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810F9" w14:textId="77777777" w:rsidR="00B716FB" w:rsidRDefault="00B716FB" w:rsidP="00B716FB">
      <w:pPr>
        <w:spacing w:line="480" w:lineRule="auto"/>
        <w:jc w:val="center"/>
        <w:rPr>
          <w:b/>
        </w:rPr>
      </w:pPr>
      <w:bookmarkStart w:id="0" w:name="_GoBack"/>
      <w:bookmarkEnd w:id="0"/>
    </w:p>
    <w:p w14:paraId="119A2BCE" w14:textId="0A3A40E9" w:rsidR="00B716FB" w:rsidRDefault="00B716FB" w:rsidP="00B716FB">
      <w:pPr>
        <w:spacing w:line="480" w:lineRule="auto"/>
        <w:jc w:val="center"/>
        <w:rPr>
          <w:b/>
        </w:rPr>
      </w:pPr>
    </w:p>
    <w:p w14:paraId="77D8E6A9" w14:textId="29E1E6C8" w:rsidR="00B716FB" w:rsidRDefault="00B716FB" w:rsidP="00B716FB">
      <w:pPr>
        <w:spacing w:line="480" w:lineRule="auto"/>
        <w:jc w:val="center"/>
        <w:rPr>
          <w:b/>
        </w:rPr>
      </w:pPr>
    </w:p>
    <w:p w14:paraId="5A5F4EA9" w14:textId="18C55AD9" w:rsidR="00B716FB" w:rsidRDefault="00B716FB" w:rsidP="00B716FB">
      <w:pPr>
        <w:spacing w:line="480" w:lineRule="auto"/>
        <w:jc w:val="center"/>
        <w:rPr>
          <w:b/>
        </w:rPr>
      </w:pPr>
    </w:p>
    <w:p w14:paraId="663AFFE3" w14:textId="0B6F3761" w:rsidR="00B716FB" w:rsidRDefault="00B716FB" w:rsidP="00B716FB">
      <w:pPr>
        <w:spacing w:line="480" w:lineRule="auto"/>
        <w:jc w:val="center"/>
        <w:rPr>
          <w:b/>
        </w:rPr>
      </w:pPr>
    </w:p>
    <w:p w14:paraId="44AC4401" w14:textId="209ACA15" w:rsidR="00B716FB" w:rsidRDefault="00B716FB" w:rsidP="00B716FB">
      <w:pPr>
        <w:spacing w:line="480" w:lineRule="auto"/>
        <w:jc w:val="center"/>
        <w:rPr>
          <w:b/>
        </w:rPr>
      </w:pPr>
    </w:p>
    <w:p w14:paraId="6D474272" w14:textId="16351DD6" w:rsidR="00B716FB" w:rsidRDefault="00B716FB" w:rsidP="00B716FB">
      <w:pPr>
        <w:spacing w:line="480" w:lineRule="auto"/>
        <w:jc w:val="center"/>
        <w:rPr>
          <w:b/>
        </w:rPr>
      </w:pPr>
    </w:p>
    <w:p w14:paraId="0EC64D06" w14:textId="77777777" w:rsidR="00B716FB" w:rsidRDefault="00B716FB" w:rsidP="00B716FB">
      <w:pPr>
        <w:spacing w:line="480" w:lineRule="auto"/>
        <w:jc w:val="center"/>
        <w:rPr>
          <w:b/>
        </w:rPr>
      </w:pPr>
    </w:p>
    <w:p w14:paraId="41A21D26" w14:textId="77777777" w:rsidR="00B716FB" w:rsidRDefault="00B716FB" w:rsidP="00B716FB">
      <w:pPr>
        <w:spacing w:line="480" w:lineRule="auto"/>
        <w:jc w:val="center"/>
        <w:rPr>
          <w:b/>
        </w:rPr>
      </w:pPr>
    </w:p>
    <w:p w14:paraId="27F40E2B" w14:textId="1CAA0582" w:rsidR="00590B67" w:rsidRPr="00E5545F" w:rsidRDefault="00590B67" w:rsidP="00B716FB">
      <w:pPr>
        <w:spacing w:line="480" w:lineRule="auto"/>
        <w:jc w:val="center"/>
        <w:rPr>
          <w:b/>
        </w:rPr>
      </w:pPr>
      <w:r w:rsidRPr="00E5545F">
        <w:rPr>
          <w:b/>
        </w:rPr>
        <w:t xml:space="preserve">Was there a </w:t>
      </w:r>
      <w:r w:rsidR="00FC3D13">
        <w:rPr>
          <w:b/>
        </w:rPr>
        <w:t>‘Y</w:t>
      </w:r>
      <w:r w:rsidRPr="00E5545F">
        <w:rPr>
          <w:b/>
        </w:rPr>
        <w:t>outhquake</w:t>
      </w:r>
      <w:r w:rsidR="00FC3D13">
        <w:rPr>
          <w:b/>
        </w:rPr>
        <w:t>’</w:t>
      </w:r>
      <w:r w:rsidRPr="00E5545F">
        <w:rPr>
          <w:b/>
        </w:rPr>
        <w:t xml:space="preserve"> in</w:t>
      </w:r>
      <w:r w:rsidR="00FC3D13">
        <w:rPr>
          <w:b/>
        </w:rPr>
        <w:t xml:space="preserve"> the</w:t>
      </w:r>
      <w:r w:rsidRPr="00E5545F">
        <w:rPr>
          <w:b/>
        </w:rPr>
        <w:t xml:space="preserve"> 2017</w:t>
      </w:r>
      <w:r w:rsidR="00FC3D13">
        <w:rPr>
          <w:b/>
        </w:rPr>
        <w:t xml:space="preserve"> general election</w:t>
      </w:r>
      <w:r w:rsidRPr="00E5545F">
        <w:rPr>
          <w:b/>
        </w:rPr>
        <w:t>?</w:t>
      </w:r>
    </w:p>
    <w:p w14:paraId="3EA456D5" w14:textId="77777777" w:rsidR="00B716FB" w:rsidRDefault="00B716FB" w:rsidP="00B716FB">
      <w:pPr>
        <w:spacing w:line="480" w:lineRule="auto"/>
        <w:jc w:val="center"/>
        <w:rPr>
          <w:i/>
        </w:rPr>
      </w:pPr>
    </w:p>
    <w:p w14:paraId="4A8E7C30" w14:textId="7C64B5EE" w:rsidR="004238C5" w:rsidRPr="00E5545F" w:rsidRDefault="004238C5" w:rsidP="00B716FB">
      <w:pPr>
        <w:spacing w:line="480" w:lineRule="auto"/>
        <w:jc w:val="center"/>
        <w:rPr>
          <w:i/>
        </w:rPr>
      </w:pPr>
      <w:r w:rsidRPr="00E5545F">
        <w:rPr>
          <w:i/>
        </w:rPr>
        <w:t>Patrick Sturgis, University of Southampton</w:t>
      </w:r>
    </w:p>
    <w:p w14:paraId="10222929" w14:textId="28118F20" w:rsidR="00B716FB" w:rsidRDefault="00B716FB" w:rsidP="00B716FB">
      <w:pPr>
        <w:spacing w:line="480" w:lineRule="auto"/>
        <w:jc w:val="center"/>
        <w:rPr>
          <w:i/>
        </w:rPr>
      </w:pPr>
      <w:r w:rsidRPr="00E5545F">
        <w:rPr>
          <w:i/>
        </w:rPr>
        <w:t>Will Jennings, University of Southampton</w:t>
      </w:r>
    </w:p>
    <w:p w14:paraId="44AC7C24" w14:textId="22057448" w:rsidR="004C6FED" w:rsidRDefault="004C6FED" w:rsidP="00B716FB">
      <w:pPr>
        <w:spacing w:line="480" w:lineRule="auto"/>
        <w:jc w:val="center"/>
        <w:rPr>
          <w:i/>
        </w:rPr>
      </w:pPr>
    </w:p>
    <w:p w14:paraId="464AB543" w14:textId="55EB0978" w:rsidR="004C6FED" w:rsidRDefault="004C6FED" w:rsidP="00B716FB">
      <w:pPr>
        <w:spacing w:line="480" w:lineRule="auto"/>
        <w:jc w:val="center"/>
        <w:rPr>
          <w:i/>
        </w:rPr>
      </w:pPr>
    </w:p>
    <w:p w14:paraId="34D71989" w14:textId="018FCEE5" w:rsidR="004C6FED" w:rsidRDefault="004C6FED" w:rsidP="00B716FB">
      <w:pPr>
        <w:spacing w:line="480" w:lineRule="auto"/>
        <w:jc w:val="center"/>
        <w:rPr>
          <w:i/>
        </w:rPr>
      </w:pPr>
    </w:p>
    <w:p w14:paraId="0500CB63" w14:textId="6DC9B372" w:rsidR="004C6FED" w:rsidRPr="00E5545F" w:rsidRDefault="004C6FED" w:rsidP="00B716FB">
      <w:pPr>
        <w:spacing w:line="480" w:lineRule="auto"/>
        <w:jc w:val="center"/>
        <w:rPr>
          <w:i/>
        </w:rPr>
      </w:pPr>
      <w:r>
        <w:rPr>
          <w:i/>
        </w:rPr>
        <w:t>Forthcoming in Electoral Studies (accepted 6</w:t>
      </w:r>
      <w:r w:rsidRPr="004C6FED">
        <w:rPr>
          <w:i/>
          <w:vertAlign w:val="superscript"/>
        </w:rPr>
        <w:t>th</w:t>
      </w:r>
      <w:r>
        <w:rPr>
          <w:i/>
        </w:rPr>
        <w:t xml:space="preserve"> August 2019)</w:t>
      </w:r>
    </w:p>
    <w:p w14:paraId="573F286F" w14:textId="77777777" w:rsidR="004238C5" w:rsidRDefault="004238C5" w:rsidP="00B716FB">
      <w:pPr>
        <w:spacing w:line="480" w:lineRule="auto"/>
      </w:pPr>
    </w:p>
    <w:p w14:paraId="684B611F" w14:textId="77777777" w:rsidR="00B716FB" w:rsidRDefault="00B716FB" w:rsidP="00B716FB">
      <w:pPr>
        <w:spacing w:line="480" w:lineRule="auto"/>
      </w:pPr>
      <w:r>
        <w:br w:type="page"/>
      </w:r>
    </w:p>
    <w:p w14:paraId="543BA19C" w14:textId="77777777" w:rsidR="00BD4E24" w:rsidRDefault="00BD4E24" w:rsidP="00B716FB">
      <w:pPr>
        <w:spacing w:line="480" w:lineRule="auto"/>
        <w:jc w:val="center"/>
        <w:rPr>
          <w:b/>
        </w:rPr>
      </w:pPr>
    </w:p>
    <w:p w14:paraId="4B62B5B0" w14:textId="77777777" w:rsidR="00BD4E24" w:rsidRDefault="00BD4E24" w:rsidP="00B716FB">
      <w:pPr>
        <w:spacing w:line="480" w:lineRule="auto"/>
        <w:jc w:val="center"/>
        <w:rPr>
          <w:b/>
        </w:rPr>
      </w:pPr>
    </w:p>
    <w:p w14:paraId="34B5BC0C" w14:textId="77777777" w:rsidR="00BD4E24" w:rsidRDefault="00BD4E24" w:rsidP="00B716FB">
      <w:pPr>
        <w:spacing w:line="480" w:lineRule="auto"/>
        <w:jc w:val="center"/>
        <w:rPr>
          <w:b/>
        </w:rPr>
      </w:pPr>
    </w:p>
    <w:p w14:paraId="22CC6138" w14:textId="77777777" w:rsidR="00BD4E24" w:rsidRDefault="00BD4E24" w:rsidP="00B716FB">
      <w:pPr>
        <w:spacing w:line="480" w:lineRule="auto"/>
        <w:jc w:val="center"/>
        <w:rPr>
          <w:b/>
        </w:rPr>
      </w:pPr>
    </w:p>
    <w:p w14:paraId="578C9DF3" w14:textId="052CCD4B" w:rsidR="00B716FB" w:rsidRPr="00B716FB" w:rsidRDefault="00B716FB" w:rsidP="00B716FB">
      <w:pPr>
        <w:spacing w:line="480" w:lineRule="auto"/>
        <w:jc w:val="center"/>
        <w:rPr>
          <w:b/>
        </w:rPr>
      </w:pPr>
      <w:r w:rsidRPr="00B716FB">
        <w:rPr>
          <w:b/>
        </w:rPr>
        <w:t>Abstract</w:t>
      </w:r>
    </w:p>
    <w:p w14:paraId="0EA7FAD7" w14:textId="13BAA2DD" w:rsidR="00BD4E24" w:rsidRDefault="00BD4E24" w:rsidP="00BD4E24">
      <w:pPr>
        <w:spacing w:line="480" w:lineRule="auto"/>
      </w:pPr>
      <w:r>
        <w:t xml:space="preserve">Studies using </w:t>
      </w:r>
      <w:r w:rsidR="007B1330">
        <w:t>data from the</w:t>
      </w:r>
      <w:r>
        <w:t xml:space="preserve"> British Election Study and</w:t>
      </w:r>
      <w:r w:rsidR="007B1330">
        <w:t xml:space="preserve"> the</w:t>
      </w:r>
      <w:r>
        <w:t xml:space="preserve"> British Social Attitudes survey have </w:t>
      </w:r>
      <w:r w:rsidR="007B1330">
        <w:t>concluded</w:t>
      </w:r>
      <w:r w:rsidR="00F522A3">
        <w:t xml:space="preserve"> that</w:t>
      </w:r>
      <w:r>
        <w:t xml:space="preserve"> the case for a significant rise in turnout</w:t>
      </w:r>
      <w:r w:rsidR="007B1330">
        <w:t xml:space="preserve"> amongst young people at the 2017 general election</w:t>
      </w:r>
      <w:r>
        <w:t xml:space="preserve"> </w:t>
      </w:r>
      <w:r w:rsidR="00F522A3">
        <w:t>remains</w:t>
      </w:r>
      <w:r>
        <w:t xml:space="preserve"> unproven.</w:t>
      </w:r>
      <w:r w:rsidR="00F522A3">
        <w:t xml:space="preserve"> </w:t>
      </w:r>
      <w:r w:rsidR="007B1330">
        <w:t>A limitation of these data sets for assessing the so-called Youthquake thesis is the small number of younger voters they contain. In t</w:t>
      </w:r>
      <w:r w:rsidR="00B716FB">
        <w:t>his research note</w:t>
      </w:r>
      <w:r w:rsidR="007B1330">
        <w:t xml:space="preserve"> we</w:t>
      </w:r>
      <w:r w:rsidR="00B716FB">
        <w:t xml:space="preserve"> use data from the </w:t>
      </w:r>
      <w:r w:rsidR="00B716FB" w:rsidRPr="00EE1E83">
        <w:rPr>
          <w:iCs/>
        </w:rPr>
        <w:t xml:space="preserve">UK Household Longitudinal Survey </w:t>
      </w:r>
      <w:r w:rsidR="00B716FB">
        <w:t xml:space="preserve">to produce more </w:t>
      </w:r>
      <w:r w:rsidR="007B1330">
        <w:t>robust</w:t>
      </w:r>
      <w:r w:rsidR="00B716FB">
        <w:t xml:space="preserve"> estimates of turnout amongst people</w:t>
      </w:r>
      <w:r w:rsidR="007B1330">
        <w:t xml:space="preserve"> aged under thirty</w:t>
      </w:r>
      <w:r w:rsidR="00B716FB">
        <w:t xml:space="preserve"> between the 2010, 2015, and 2017 general elections.</w:t>
      </w:r>
      <w:r>
        <w:t xml:space="preserve"> Our findings support the</w:t>
      </w:r>
      <w:r w:rsidR="00F522A3">
        <w:t xml:space="preserve"> claim </w:t>
      </w:r>
      <w:r>
        <w:t>that turnout increased</w:t>
      </w:r>
      <w:r w:rsidR="00695750">
        <w:t xml:space="preserve"> </w:t>
      </w:r>
      <w:r w:rsidR="007B1330">
        <w:t>markedly</w:t>
      </w:r>
      <w:r>
        <w:t xml:space="preserve"> among voters</w:t>
      </w:r>
      <w:r w:rsidR="007B1330">
        <w:t xml:space="preserve"> in this age group in 2017</w:t>
      </w:r>
      <w:r>
        <w:t xml:space="preserve">. They also </w:t>
      </w:r>
      <w:r w:rsidR="007B1330">
        <w:t>demonstrate</w:t>
      </w:r>
      <w:r>
        <w:t xml:space="preserve"> that the increase in youth turnout was not specific to 2017 but, rather, represented a continuation of a change between 2010 and 2015. </w:t>
      </w:r>
      <w:r w:rsidR="007B1330">
        <w:t>Our analysis</w:t>
      </w:r>
      <w:r>
        <w:t xml:space="preserve"> confirm</w:t>
      </w:r>
      <w:r w:rsidR="007B1330">
        <w:t>s</w:t>
      </w:r>
      <w:r>
        <w:t xml:space="preserve"> the </w:t>
      </w:r>
      <w:r w:rsidR="007B1330">
        <w:t>heightened</w:t>
      </w:r>
      <w:r>
        <w:t xml:space="preserve"> importance of age as a predictor of vote choice </w:t>
      </w:r>
      <w:r w:rsidR="007B1330">
        <w:t>in 2017</w:t>
      </w:r>
      <w:r w:rsidR="00F522A3">
        <w:t>, with younger voters significantly more likely to vote Labour compared to 2010 and 2015.</w:t>
      </w:r>
    </w:p>
    <w:p w14:paraId="3427F840" w14:textId="3E136CFA" w:rsidR="00BD4E24" w:rsidRDefault="00BD4E24" w:rsidP="00B716FB">
      <w:pPr>
        <w:spacing w:line="480" w:lineRule="auto"/>
      </w:pPr>
    </w:p>
    <w:p w14:paraId="0A4889BE" w14:textId="7E5463CE" w:rsidR="00BD4E24" w:rsidRDefault="00BD4E24" w:rsidP="00B716FB">
      <w:pPr>
        <w:spacing w:line="480" w:lineRule="auto"/>
      </w:pPr>
      <w:r>
        <w:t>Key words: elections, survey methodology, UK general elections</w:t>
      </w:r>
    </w:p>
    <w:p w14:paraId="613BC303" w14:textId="77777777" w:rsidR="00B716FB" w:rsidRDefault="00B716FB">
      <w:r>
        <w:br w:type="page"/>
      </w:r>
    </w:p>
    <w:p w14:paraId="2CFF12DA" w14:textId="7A06C60F" w:rsidR="00BD13D3" w:rsidRDefault="00590B67" w:rsidP="00B716FB">
      <w:pPr>
        <w:spacing w:line="480" w:lineRule="auto"/>
      </w:pPr>
      <w:r>
        <w:lastRenderedPageBreak/>
        <w:t>The</w:t>
      </w:r>
      <w:r w:rsidR="00B716FB">
        <w:t xml:space="preserve"> UK’s</w:t>
      </w:r>
      <w:r>
        <w:t xml:space="preserve"> </w:t>
      </w:r>
      <w:r w:rsidR="005D0B76">
        <w:t xml:space="preserve">2017 </w:t>
      </w:r>
      <w:r w:rsidR="002216E4">
        <w:t>‘</w:t>
      </w:r>
      <w:r>
        <w:t>snap</w:t>
      </w:r>
      <w:r w:rsidR="002216E4">
        <w:t>’</w:t>
      </w:r>
      <w:r>
        <w:t xml:space="preserve"> general election </w:t>
      </w:r>
      <w:r w:rsidR="00C05EFB">
        <w:t>saw</w:t>
      </w:r>
      <w:r>
        <w:t xml:space="preserve"> a </w:t>
      </w:r>
      <w:r w:rsidR="004A6A67" w:rsidRPr="004A6A67">
        <w:t>substantial reconfiguration of party support</w:t>
      </w:r>
      <w:r w:rsidR="005418E9">
        <w:t xml:space="preserve"> during the</w:t>
      </w:r>
      <w:r w:rsidR="00120578">
        <w:t xml:space="preserve"> short </w:t>
      </w:r>
      <w:r w:rsidR="005418E9">
        <w:t>campaign</w:t>
      </w:r>
      <w:r w:rsidR="005D0B76">
        <w:t xml:space="preserve"> </w:t>
      </w:r>
      <w:r w:rsidR="00DD77F4">
        <w:t xml:space="preserve">from </w:t>
      </w:r>
      <w:r w:rsidR="00764BB6">
        <w:t>18</w:t>
      </w:r>
      <w:r w:rsidR="00764BB6" w:rsidRPr="00AA609C">
        <w:rPr>
          <w:vertAlign w:val="superscript"/>
        </w:rPr>
        <w:t>th</w:t>
      </w:r>
      <w:r w:rsidR="00764BB6">
        <w:t xml:space="preserve"> </w:t>
      </w:r>
      <w:r w:rsidR="00DD77F4">
        <w:t xml:space="preserve">April to </w:t>
      </w:r>
      <w:r w:rsidR="005B556A">
        <w:t>Election D</w:t>
      </w:r>
      <w:r w:rsidR="00DD77F4">
        <w:t>ay on 8</w:t>
      </w:r>
      <w:r w:rsidR="00DD77F4" w:rsidRPr="00DD77F4">
        <w:rPr>
          <w:vertAlign w:val="superscript"/>
        </w:rPr>
        <w:t>th</w:t>
      </w:r>
      <w:r w:rsidR="00DD77F4">
        <w:t xml:space="preserve"> June</w:t>
      </w:r>
      <w:r w:rsidR="005418E9">
        <w:t>. F</w:t>
      </w:r>
      <w:r>
        <w:t>rom</w:t>
      </w:r>
      <w:r w:rsidR="005418E9">
        <w:t xml:space="preserve"> </w:t>
      </w:r>
      <w:r w:rsidR="00764BB6">
        <w:t xml:space="preserve">polling as low as </w:t>
      </w:r>
      <w:r>
        <w:t>25%</w:t>
      </w:r>
      <w:r w:rsidR="00487BB0">
        <w:t xml:space="preserve"> </w:t>
      </w:r>
      <w:r w:rsidR="005418E9">
        <w:t>in mid-April,</w:t>
      </w:r>
      <w:r w:rsidR="00B716FB">
        <w:t xml:space="preserve"> the</w:t>
      </w:r>
      <w:r w:rsidR="005418E9">
        <w:t xml:space="preserve"> Labour</w:t>
      </w:r>
      <w:r w:rsidR="00B716FB">
        <w:t xml:space="preserve"> Party</w:t>
      </w:r>
      <w:r w:rsidR="005418E9">
        <w:t xml:space="preserve"> </w:t>
      </w:r>
      <w:r w:rsidR="003354C6">
        <w:t>rose</w:t>
      </w:r>
      <w:r>
        <w:t xml:space="preserve"> to </w:t>
      </w:r>
      <w:r w:rsidR="00DA13C3">
        <w:t xml:space="preserve">as high as </w:t>
      </w:r>
      <w:r>
        <w:t>40%</w:t>
      </w:r>
      <w:r w:rsidR="005418E9">
        <w:t xml:space="preserve"> </w:t>
      </w:r>
      <w:r>
        <w:t>in the final polls</w:t>
      </w:r>
      <w:r w:rsidR="009B046C">
        <w:t xml:space="preserve">, an estimate that </w:t>
      </w:r>
      <w:r w:rsidR="0086639C">
        <w:t>matched</w:t>
      </w:r>
      <w:r w:rsidR="00764BB6">
        <w:t xml:space="preserve"> </w:t>
      </w:r>
      <w:r w:rsidR="009B046C">
        <w:t>their actual vote</w:t>
      </w:r>
      <w:r w:rsidR="00DF20D4">
        <w:t xml:space="preserve"> share</w:t>
      </w:r>
      <w:r>
        <w:t xml:space="preserve">. While not </w:t>
      </w:r>
      <w:r w:rsidR="005418E9">
        <w:t xml:space="preserve">historically </w:t>
      </w:r>
      <w:r>
        <w:t xml:space="preserve">unprecedented, such </w:t>
      </w:r>
      <w:r w:rsidR="00120578">
        <w:t>large</w:t>
      </w:r>
      <w:r>
        <w:t xml:space="preserve"> shifts in voting preferences </w:t>
      </w:r>
      <w:r w:rsidR="00DA13C3">
        <w:t xml:space="preserve">are rare </w:t>
      </w:r>
      <w:r>
        <w:t>during</w:t>
      </w:r>
      <w:r w:rsidR="00DA13C3">
        <w:t xml:space="preserve"> the course of</w:t>
      </w:r>
      <w:r w:rsidR="00BD4E24">
        <w:t xml:space="preserve"> British general election</w:t>
      </w:r>
      <w:r>
        <w:t xml:space="preserve"> campaign</w:t>
      </w:r>
      <w:r w:rsidR="0029372D">
        <w:t>s</w:t>
      </w:r>
      <w:r w:rsidR="003354C6">
        <w:t xml:space="preserve"> (Jennings, 2018)</w:t>
      </w:r>
      <w:r>
        <w:t>.</w:t>
      </w:r>
      <w:r w:rsidR="005418E9">
        <w:t xml:space="preserve"> </w:t>
      </w:r>
    </w:p>
    <w:p w14:paraId="5082F795" w14:textId="77777777" w:rsidR="00BD13D3" w:rsidRDefault="00BD13D3" w:rsidP="00B716FB">
      <w:pPr>
        <w:spacing w:line="480" w:lineRule="auto"/>
      </w:pPr>
    </w:p>
    <w:p w14:paraId="4B60E66C" w14:textId="2A1E8444" w:rsidR="00590B67" w:rsidRDefault="005418E9" w:rsidP="00B716FB">
      <w:pPr>
        <w:spacing w:line="480" w:lineRule="auto"/>
      </w:pPr>
      <w:r>
        <w:t>Commentators have offered a variety of explanations for the surge</w:t>
      </w:r>
      <w:r w:rsidR="008B7E95">
        <w:t xml:space="preserve"> in Labour support</w:t>
      </w:r>
      <w:r w:rsidR="00120578">
        <w:t xml:space="preserve"> in 2017</w:t>
      </w:r>
      <w:r w:rsidR="004322C5">
        <w:t xml:space="preserve">. These </w:t>
      </w:r>
      <w:r>
        <w:t>includ</w:t>
      </w:r>
      <w:r w:rsidR="004322C5">
        <w:t>e</w:t>
      </w:r>
      <w:r>
        <w:t xml:space="preserve"> </w:t>
      </w:r>
      <w:r w:rsidRPr="005345B3">
        <w:t>disaffected Conservative Remainers</w:t>
      </w:r>
      <w:r>
        <w:t xml:space="preserve"> switching to Labour</w:t>
      </w:r>
      <w:r w:rsidR="008567B7">
        <w:t xml:space="preserve"> (Bush 2017; Merrick 2017)</w:t>
      </w:r>
      <w:r w:rsidR="00120578">
        <w:t>, weakness</w:t>
      </w:r>
      <w:r w:rsidR="004322C5">
        <w:t>es</w:t>
      </w:r>
      <w:r w:rsidR="00120578">
        <w:t xml:space="preserve"> </w:t>
      </w:r>
      <w:r w:rsidR="004322C5">
        <w:t>in</w:t>
      </w:r>
      <w:r w:rsidR="00120578">
        <w:t xml:space="preserve"> the Conservative manifesto and campaign strategy</w:t>
      </w:r>
      <w:r w:rsidR="000A3117">
        <w:t xml:space="preserve"> – in particular the so-called ‘</w:t>
      </w:r>
      <w:r w:rsidR="000A3117" w:rsidRPr="005345B3">
        <w:t>Dementia Tax</w:t>
      </w:r>
      <w:r w:rsidR="000A3117">
        <w:t>’</w:t>
      </w:r>
      <w:r w:rsidR="006459DD">
        <w:t xml:space="preserve"> (Heaven 2017; Hunt </w:t>
      </w:r>
      <w:r w:rsidR="003F1CD4">
        <w:t xml:space="preserve">and </w:t>
      </w:r>
      <w:r w:rsidR="006459DD">
        <w:t>Wheeler 2017)</w:t>
      </w:r>
      <w:r w:rsidR="00120578">
        <w:t>,</w:t>
      </w:r>
      <w:r>
        <w:t xml:space="preserve"> and </w:t>
      </w:r>
      <w:r w:rsidRPr="005345B3">
        <w:t>tactical voting</w:t>
      </w:r>
      <w:r w:rsidR="004238C5" w:rsidRPr="005345B3">
        <w:t xml:space="preserve"> </w:t>
      </w:r>
      <w:r w:rsidR="004238C5">
        <w:t>as a means of</w:t>
      </w:r>
      <w:r>
        <w:t xml:space="preserve"> prevent</w:t>
      </w:r>
      <w:r w:rsidR="004238C5">
        <w:t>ing</w:t>
      </w:r>
      <w:r>
        <w:t xml:space="preserve"> the Conservatives</w:t>
      </w:r>
      <w:r w:rsidR="008D7FE9">
        <w:t xml:space="preserve"> </w:t>
      </w:r>
      <w:r>
        <w:t>winning</w:t>
      </w:r>
      <w:r w:rsidR="00AC4E55">
        <w:t xml:space="preserve"> by</w:t>
      </w:r>
      <w:r>
        <w:t xml:space="preserve"> a landslide</w:t>
      </w:r>
      <w:r w:rsidR="009076CB">
        <w:t xml:space="preserve"> (</w:t>
      </w:r>
      <w:r w:rsidR="002216E4">
        <w:t>Mellon and Prosser, 2017</w:t>
      </w:r>
      <w:r w:rsidR="007D6D79">
        <w:t>a</w:t>
      </w:r>
      <w:r w:rsidR="009076CB">
        <w:t>)</w:t>
      </w:r>
      <w:r>
        <w:t xml:space="preserve">. </w:t>
      </w:r>
      <w:r w:rsidR="004238C5">
        <w:t>In the weeks after the election, however, the most</w:t>
      </w:r>
      <w:r>
        <w:t xml:space="preserve"> widely held </w:t>
      </w:r>
      <w:r w:rsidR="00210958">
        <w:t>view</w:t>
      </w:r>
      <w:r>
        <w:t xml:space="preserve"> was that Jeremy Corbyn </w:t>
      </w:r>
      <w:r w:rsidR="00DA13C3">
        <w:t>had</w:t>
      </w:r>
      <w:r>
        <w:t xml:space="preserve"> particular</w:t>
      </w:r>
      <w:r w:rsidR="00DA13C3">
        <w:t>ly</w:t>
      </w:r>
      <w:r>
        <w:t xml:space="preserve"> appeal</w:t>
      </w:r>
      <w:r w:rsidR="00DA13C3">
        <w:t>ed to</w:t>
      </w:r>
      <w:r>
        <w:t xml:space="preserve"> young people</w:t>
      </w:r>
      <w:r w:rsidR="00120578">
        <w:t>, who</w:t>
      </w:r>
      <w:r w:rsidR="00D36F56">
        <w:t xml:space="preserve"> were repelled by Theresa May’s strongly pro-Brexit, technocratic approach. </w:t>
      </w:r>
      <w:r w:rsidR="002A6E12">
        <w:t xml:space="preserve">By way of contrast, </w:t>
      </w:r>
      <w:r w:rsidR="00D36F56">
        <w:t xml:space="preserve">Labour’s ‘constructive ambiguity’ on Brexit, a focus on delivering a new kind of politics and policies targeted at younger voters such as scrapping tuition fees and subsidising rail travel led this group to </w:t>
      </w:r>
      <w:r>
        <w:t>turn out to vote</w:t>
      </w:r>
      <w:r w:rsidR="00210958">
        <w:t xml:space="preserve"> </w:t>
      </w:r>
      <w:r w:rsidR="00120578">
        <w:t xml:space="preserve">at historically unprecedented levels – the </w:t>
      </w:r>
      <w:r w:rsidR="00120578" w:rsidRPr="005345B3">
        <w:t xml:space="preserve">so-called </w:t>
      </w:r>
      <w:r w:rsidR="004322C5" w:rsidRPr="005345B3">
        <w:t>‘</w:t>
      </w:r>
      <w:r w:rsidR="005454D2" w:rsidRPr="005345B3">
        <w:t>Y</w:t>
      </w:r>
      <w:r w:rsidR="00120578" w:rsidRPr="005345B3">
        <w:t>outhquake</w:t>
      </w:r>
      <w:r w:rsidR="004322C5" w:rsidRPr="005345B3">
        <w:t>’</w:t>
      </w:r>
      <w:r w:rsidR="006459DD" w:rsidRPr="005345B3">
        <w:t xml:space="preserve"> </w:t>
      </w:r>
      <w:r w:rsidR="006459DD">
        <w:t>(Travis and Barr 2018)</w:t>
      </w:r>
      <w:r w:rsidR="00120578">
        <w:t xml:space="preserve">. </w:t>
      </w:r>
      <w:r>
        <w:t xml:space="preserve">  </w:t>
      </w:r>
      <w:r w:rsidR="00590B67">
        <w:t xml:space="preserve"> </w:t>
      </w:r>
    </w:p>
    <w:p w14:paraId="5F748829" w14:textId="77777777" w:rsidR="004238C5" w:rsidRDefault="004238C5" w:rsidP="00B716FB">
      <w:pPr>
        <w:spacing w:line="480" w:lineRule="auto"/>
      </w:pPr>
    </w:p>
    <w:p w14:paraId="14987F50" w14:textId="3820BD9B" w:rsidR="004238C5" w:rsidRDefault="004238C5" w:rsidP="00B716FB">
      <w:pPr>
        <w:spacing w:line="480" w:lineRule="auto"/>
      </w:pPr>
      <w:r>
        <w:t xml:space="preserve">The </w:t>
      </w:r>
      <w:r w:rsidR="005454D2">
        <w:t>Y</w:t>
      </w:r>
      <w:r>
        <w:t>outhquake theory was</w:t>
      </w:r>
      <w:r w:rsidR="004322C5">
        <w:t xml:space="preserve"> </w:t>
      </w:r>
      <w:r>
        <w:t>supported</w:t>
      </w:r>
      <w:r w:rsidR="00210958">
        <w:t xml:space="preserve"> by</w:t>
      </w:r>
      <w:r>
        <w:t xml:space="preserve"> </w:t>
      </w:r>
      <w:r w:rsidR="00210958">
        <w:t>an analysis of constituency level vote shares</w:t>
      </w:r>
      <w:r w:rsidR="008D7FE9">
        <w:t xml:space="preserve"> carried out shortly after the election</w:t>
      </w:r>
      <w:r w:rsidR="00210958">
        <w:t xml:space="preserve"> by </w:t>
      </w:r>
      <w:r w:rsidR="00210958" w:rsidRPr="005345B3">
        <w:t>Heath and Goodwin</w:t>
      </w:r>
      <w:r w:rsidR="006459DD" w:rsidRPr="005345B3">
        <w:t xml:space="preserve"> </w:t>
      </w:r>
      <w:r w:rsidR="006459DD">
        <w:t>(</w:t>
      </w:r>
      <w:r w:rsidR="006459DD" w:rsidRPr="005345B3">
        <w:t>2017</w:t>
      </w:r>
      <w:r w:rsidR="006459DD">
        <w:t>)</w:t>
      </w:r>
      <w:r w:rsidR="002216E4">
        <w:t>,</w:t>
      </w:r>
      <w:r w:rsidR="005345B3">
        <w:t xml:space="preserve"> </w:t>
      </w:r>
      <w:r w:rsidR="00AC4E55">
        <w:t>who</w:t>
      </w:r>
      <w:r w:rsidR="00210958">
        <w:t xml:space="preserve"> found the largest increases in turnout were</w:t>
      </w:r>
      <w:r w:rsidR="009076CB">
        <w:t xml:space="preserve"> situated</w:t>
      </w:r>
      <w:r w:rsidR="00210958">
        <w:t xml:space="preserve"> in constituencies </w:t>
      </w:r>
      <w:r w:rsidR="0029372D">
        <w:t xml:space="preserve">containing </w:t>
      </w:r>
      <w:r w:rsidR="00210958">
        <w:t>larger numbers of young people.</w:t>
      </w:r>
      <w:r w:rsidR="00E65D93">
        <w:t xml:space="preserve"> </w:t>
      </w:r>
      <w:r w:rsidR="00D86170">
        <w:t xml:space="preserve">This </w:t>
      </w:r>
      <w:r w:rsidR="00476F7A">
        <w:t xml:space="preserve">constituency level </w:t>
      </w:r>
      <w:r w:rsidR="00D86170">
        <w:t xml:space="preserve">pattern was also noted by </w:t>
      </w:r>
      <w:r w:rsidR="00E65D93">
        <w:t xml:space="preserve">Curtice et al. (2018) </w:t>
      </w:r>
      <w:r w:rsidR="00D86170">
        <w:t>although</w:t>
      </w:r>
      <w:r w:rsidR="00E65D93">
        <w:t xml:space="preserve"> </w:t>
      </w:r>
      <w:r w:rsidR="00476F7A">
        <w:t xml:space="preserve">the </w:t>
      </w:r>
      <w:r w:rsidR="000A6817">
        <w:t xml:space="preserve">relationship was </w:t>
      </w:r>
      <w:r w:rsidR="00476F7A">
        <w:t>largely explained in both studies</w:t>
      </w:r>
      <w:r w:rsidR="000A6817">
        <w:t xml:space="preserve"> by controlling for</w:t>
      </w:r>
      <w:r w:rsidR="00476F7A">
        <w:t xml:space="preserve"> the size of the</w:t>
      </w:r>
      <w:r w:rsidR="000A6817">
        <w:t xml:space="preserve"> Leave vote</w:t>
      </w:r>
      <w:r w:rsidR="00476F7A">
        <w:t xml:space="preserve">, </w:t>
      </w:r>
      <w:r w:rsidR="000A6817">
        <w:t xml:space="preserve">which </w:t>
      </w:r>
      <w:r w:rsidR="00476F7A">
        <w:t>was</w:t>
      </w:r>
      <w:r w:rsidR="000A6817">
        <w:t xml:space="preserve"> </w:t>
      </w:r>
      <w:r w:rsidR="00476F7A">
        <w:t xml:space="preserve">itself </w:t>
      </w:r>
      <w:r w:rsidR="000A6817">
        <w:t>associated with lower turnout</w:t>
      </w:r>
      <w:r w:rsidR="00E65D93">
        <w:t>.</w:t>
      </w:r>
      <w:r w:rsidR="00210958">
        <w:t xml:space="preserve"> Pre</w:t>
      </w:r>
      <w:r w:rsidR="000D1371">
        <w:t>-</w:t>
      </w:r>
      <w:r w:rsidR="00210958">
        <w:t xml:space="preserve"> and post-election </w:t>
      </w:r>
      <w:r>
        <w:t>poll</w:t>
      </w:r>
      <w:r w:rsidR="00210958">
        <w:t>s</w:t>
      </w:r>
      <w:r>
        <w:t xml:space="preserve"> conducted </w:t>
      </w:r>
      <w:r>
        <w:lastRenderedPageBreak/>
        <w:t xml:space="preserve">by </w:t>
      </w:r>
      <w:r w:rsidR="00487BB0" w:rsidRPr="005345B3">
        <w:t>The Stream</w:t>
      </w:r>
      <w:r w:rsidRPr="005345B3">
        <w:t xml:space="preserve"> for the music magazine NME</w:t>
      </w:r>
      <w:r w:rsidR="006459DD" w:rsidRPr="005345B3">
        <w:t xml:space="preserve"> </w:t>
      </w:r>
      <w:r w:rsidR="006459DD">
        <w:t>(Morgan Britton 2017)</w:t>
      </w:r>
      <w:r w:rsidR="00DA13C3">
        <w:t xml:space="preserve"> </w:t>
      </w:r>
      <w:r>
        <w:t xml:space="preserve">and by Ipsos MORI </w:t>
      </w:r>
      <w:r w:rsidR="00210958">
        <w:t xml:space="preserve">also </w:t>
      </w:r>
      <w:r>
        <w:t>showed large increases in turnout amongst 18 to 30</w:t>
      </w:r>
      <w:r w:rsidR="005D0B76">
        <w:t xml:space="preserve"> </w:t>
      </w:r>
      <w:r w:rsidR="00DA13C3">
        <w:t>year olds</w:t>
      </w:r>
      <w:r w:rsidR="00210958">
        <w:t xml:space="preserve"> between</w:t>
      </w:r>
      <w:r w:rsidR="000D1371">
        <w:t xml:space="preserve"> the</w:t>
      </w:r>
      <w:r w:rsidR="00210958">
        <w:t xml:space="preserve"> 2015 and 2017</w:t>
      </w:r>
      <w:r w:rsidR="000D1371">
        <w:t xml:space="preserve"> elections</w:t>
      </w:r>
      <w:r w:rsidR="00210958">
        <w:t>.</w:t>
      </w:r>
      <w:r w:rsidR="005D0B76">
        <w:t xml:space="preserve"> YouGov</w:t>
      </w:r>
      <w:r w:rsidR="00210958">
        <w:t xml:space="preserve">’s own </w:t>
      </w:r>
      <w:r w:rsidR="00DA13C3">
        <w:t>poll</w:t>
      </w:r>
      <w:r w:rsidR="007773A2">
        <w:t xml:space="preserve">ing, as well as </w:t>
      </w:r>
      <w:r w:rsidR="00487BB0">
        <w:t>polls</w:t>
      </w:r>
      <w:r w:rsidR="007773A2">
        <w:t xml:space="preserve"> </w:t>
      </w:r>
      <w:r w:rsidR="000D1371">
        <w:t xml:space="preserve">it </w:t>
      </w:r>
      <w:r w:rsidR="004322C5">
        <w:t>carried out</w:t>
      </w:r>
      <w:r w:rsidR="00A815FC">
        <w:t xml:space="preserve"> </w:t>
      </w:r>
      <w:r w:rsidR="000D1371">
        <w:t>for</w:t>
      </w:r>
      <w:r w:rsidR="00DA13C3">
        <w:t xml:space="preserve"> </w:t>
      </w:r>
      <w:r w:rsidR="007773A2">
        <w:t>t</w:t>
      </w:r>
      <w:r w:rsidR="00210958">
        <w:t>he</w:t>
      </w:r>
      <w:r w:rsidR="00371A67">
        <w:t xml:space="preserve"> </w:t>
      </w:r>
      <w:r w:rsidR="00077E57" w:rsidRPr="005345B3">
        <w:t>Essex Continuous Monitoring Survey</w:t>
      </w:r>
      <w:r w:rsidR="004322C5">
        <w:t>,</w:t>
      </w:r>
      <w:r w:rsidR="007773A2">
        <w:t xml:space="preserve"> </w:t>
      </w:r>
      <w:r w:rsidR="00210958">
        <w:t xml:space="preserve">provided further </w:t>
      </w:r>
      <w:r w:rsidR="00AC4E55">
        <w:t>credence to the idea</w:t>
      </w:r>
      <w:r w:rsidR="009076CB">
        <w:t xml:space="preserve"> that</w:t>
      </w:r>
      <w:r w:rsidR="00AC4E55">
        <w:t xml:space="preserve"> there had been</w:t>
      </w:r>
      <w:r w:rsidR="007773A2">
        <w:t xml:space="preserve"> a large increase in voting amongst those aged under thir</w:t>
      </w:r>
      <w:r w:rsidR="00A815FC">
        <w:t>t</w:t>
      </w:r>
      <w:r w:rsidR="007773A2">
        <w:t>y</w:t>
      </w:r>
      <w:r w:rsidR="006459DD">
        <w:t xml:space="preserve"> (Clarke and Whiteley 2017)</w:t>
      </w:r>
      <w:r>
        <w:t xml:space="preserve">. </w:t>
      </w:r>
      <w:r w:rsidR="004322C5">
        <w:t xml:space="preserve">As </w:t>
      </w:r>
      <w:r w:rsidR="009076CB">
        <w:t xml:space="preserve">these </w:t>
      </w:r>
      <w:r w:rsidR="0029372D">
        <w:t>estimates</w:t>
      </w:r>
      <w:r w:rsidR="00B232D3">
        <w:t xml:space="preserve"> all</w:t>
      </w:r>
      <w:r w:rsidR="004322C5">
        <w:t xml:space="preserve"> tallied with anecdotal evidence, such as Corbyn’s ecstatic reception at</w:t>
      </w:r>
      <w:r w:rsidR="001970E8">
        <w:t xml:space="preserve"> the</w:t>
      </w:r>
      <w:r w:rsidR="004322C5">
        <w:t xml:space="preserve"> Glastonbury</w:t>
      </w:r>
      <w:r w:rsidR="001970E8">
        <w:t xml:space="preserve"> music festival</w:t>
      </w:r>
      <w:r w:rsidR="004322C5">
        <w:t>, the idea that Labour’s</w:t>
      </w:r>
      <w:r w:rsidR="009076CB">
        <w:t xml:space="preserve"> rapid</w:t>
      </w:r>
      <w:r w:rsidR="004322C5">
        <w:t xml:space="preserve"> electoral </w:t>
      </w:r>
      <w:r w:rsidR="008B7E95">
        <w:t xml:space="preserve">gains </w:t>
      </w:r>
      <w:r w:rsidR="009076CB">
        <w:t xml:space="preserve">in 2017 </w:t>
      </w:r>
      <w:r w:rsidR="008B7E95">
        <w:t>were</w:t>
      </w:r>
      <w:r w:rsidR="004322C5">
        <w:t xml:space="preserve"> driven by young voters soon became established as </w:t>
      </w:r>
      <w:r w:rsidR="008B7E95">
        <w:t>conventional wisdom</w:t>
      </w:r>
      <w:r w:rsidR="002216E4">
        <w:t xml:space="preserve"> (see Mortimore (2018) for a review of data sources on turnout in the 2017 election)</w:t>
      </w:r>
      <w:r w:rsidR="004322C5">
        <w:t xml:space="preserve">. </w:t>
      </w:r>
    </w:p>
    <w:p w14:paraId="3958E18D" w14:textId="77777777" w:rsidR="001E00A9" w:rsidRDefault="001E00A9" w:rsidP="00B716FB">
      <w:pPr>
        <w:spacing w:line="480" w:lineRule="auto"/>
      </w:pPr>
    </w:p>
    <w:p w14:paraId="21D1AE9F" w14:textId="76C17EEC" w:rsidR="00487BB0" w:rsidRDefault="004322C5" w:rsidP="00B716FB">
      <w:pPr>
        <w:spacing w:line="480" w:lineRule="auto"/>
      </w:pPr>
      <w:r>
        <w:t>The British Election Study</w:t>
      </w:r>
      <w:r w:rsidR="008000B6">
        <w:t xml:space="preserve"> (BES)</w:t>
      </w:r>
      <w:r>
        <w:t xml:space="preserve"> team, however, were </w:t>
      </w:r>
      <w:r w:rsidRPr="005345B3">
        <w:t>not convinced</w:t>
      </w:r>
      <w:r w:rsidR="0086639C">
        <w:t xml:space="preserve">. </w:t>
      </w:r>
      <w:r w:rsidR="000228F1">
        <w:t xml:space="preserve">In a </w:t>
      </w:r>
      <w:r w:rsidR="000228F1" w:rsidRPr="005345B3">
        <w:t>widely</w:t>
      </w:r>
      <w:r w:rsidR="000228F1">
        <w:t xml:space="preserve"> </w:t>
      </w:r>
      <w:r w:rsidR="001E4E19" w:rsidRPr="005345B3">
        <w:t>reported</w:t>
      </w:r>
      <w:r w:rsidR="000228F1">
        <w:t xml:space="preserve"> study</w:t>
      </w:r>
      <w:r w:rsidR="006459DD">
        <w:t xml:space="preserve"> (</w:t>
      </w:r>
      <w:r w:rsidR="006459DD" w:rsidRPr="005345B3">
        <w:t>Prosser et al. 2018</w:t>
      </w:r>
      <w:r w:rsidR="006459DD">
        <w:t>)</w:t>
      </w:r>
      <w:r w:rsidR="000228F1">
        <w:t>,</w:t>
      </w:r>
      <w:r>
        <w:t xml:space="preserve"> </w:t>
      </w:r>
      <w:r w:rsidR="000228F1">
        <w:t xml:space="preserve">they </w:t>
      </w:r>
      <w:r w:rsidR="00487BB0">
        <w:t>showed that there was no relationship between the proportion of 18 to 30 year olds in a constituency and</w:t>
      </w:r>
      <w:r w:rsidR="00B232D3">
        <w:t xml:space="preserve"> the level of</w:t>
      </w:r>
      <w:r w:rsidR="00487BB0">
        <w:t xml:space="preserve"> </w:t>
      </w:r>
      <w:r w:rsidR="00AC4E55">
        <w:t xml:space="preserve">increase in </w:t>
      </w:r>
      <w:r w:rsidR="00B232D3">
        <w:t>turnout</w:t>
      </w:r>
      <w:r w:rsidR="009076CB">
        <w:t>,</w:t>
      </w:r>
      <w:r w:rsidR="00B232D3">
        <w:t xml:space="preserve"> </w:t>
      </w:r>
      <w:r w:rsidR="001E4E19">
        <w:t>once</w:t>
      </w:r>
      <w:r w:rsidR="00AC4E55">
        <w:t xml:space="preserve"> controls were introduced for</w:t>
      </w:r>
      <w:r w:rsidR="001E4E19">
        <w:t xml:space="preserve"> </w:t>
      </w:r>
      <w:r w:rsidR="00487BB0">
        <w:t>population density. Turnout just happened to have increased most in constituencies with more young people</w:t>
      </w:r>
      <w:r w:rsidR="001E4E19">
        <w:t>,</w:t>
      </w:r>
      <w:r w:rsidR="00487BB0">
        <w:t xml:space="preserve"> </w:t>
      </w:r>
      <w:r w:rsidR="0086639C">
        <w:t xml:space="preserve">and </w:t>
      </w:r>
      <w:r w:rsidR="00B232D3">
        <w:t>it</w:t>
      </w:r>
      <w:r w:rsidR="00487BB0">
        <w:t xml:space="preserve"> </w:t>
      </w:r>
      <w:r w:rsidR="000D1371">
        <w:t xml:space="preserve">could not </w:t>
      </w:r>
      <w:r w:rsidR="00B232D3">
        <w:t xml:space="preserve">be </w:t>
      </w:r>
      <w:r w:rsidR="00487BB0">
        <w:t>conclude</w:t>
      </w:r>
      <w:r w:rsidR="00B232D3">
        <w:t>d</w:t>
      </w:r>
      <w:r w:rsidR="0086639C">
        <w:t xml:space="preserve"> from this </w:t>
      </w:r>
      <w:r w:rsidR="001970E8">
        <w:t>constituency-level</w:t>
      </w:r>
      <w:r w:rsidR="0086639C">
        <w:t xml:space="preserve"> evidence</w:t>
      </w:r>
      <w:r w:rsidR="00487BB0">
        <w:t xml:space="preserve"> that more young people</w:t>
      </w:r>
      <w:r w:rsidR="00AC4E55">
        <w:t xml:space="preserve"> had</w:t>
      </w:r>
      <w:r w:rsidR="00487BB0">
        <w:t xml:space="preserve"> actually turned out to vote. </w:t>
      </w:r>
    </w:p>
    <w:p w14:paraId="0424DFC9" w14:textId="77777777" w:rsidR="00487BB0" w:rsidRDefault="00487BB0" w:rsidP="00B716FB">
      <w:pPr>
        <w:spacing w:line="480" w:lineRule="auto"/>
      </w:pPr>
    </w:p>
    <w:p w14:paraId="15A9C337" w14:textId="6C87EF70" w:rsidR="004322C5" w:rsidRDefault="00AC4E55" w:rsidP="00B716FB">
      <w:pPr>
        <w:spacing w:line="480" w:lineRule="auto"/>
      </w:pPr>
      <w:r>
        <w:t>Prosser and colleagues</w:t>
      </w:r>
      <w:r w:rsidR="00487BB0">
        <w:t xml:space="preserve"> also </w:t>
      </w:r>
      <w:r w:rsidR="00B232D3">
        <w:t>noted</w:t>
      </w:r>
      <w:r w:rsidR="00487BB0">
        <w:t xml:space="preserve"> </w:t>
      </w:r>
      <w:r w:rsidR="004322C5">
        <w:t>serious</w:t>
      </w:r>
      <w:r w:rsidR="005D0B76">
        <w:t xml:space="preserve"> limitation</w:t>
      </w:r>
      <w:r w:rsidR="004322C5">
        <w:t>s</w:t>
      </w:r>
      <w:r w:rsidR="005D0B76">
        <w:t xml:space="preserve"> of opinion polls for studying </w:t>
      </w:r>
      <w:r w:rsidR="00487BB0">
        <w:t>voting behaviour</w:t>
      </w:r>
      <w:r w:rsidR="004322C5">
        <w:t xml:space="preserve">, </w:t>
      </w:r>
      <w:r w:rsidR="009076CB">
        <w:t>particularly</w:t>
      </w:r>
      <w:r w:rsidR="004322C5">
        <w:t xml:space="preserve"> </w:t>
      </w:r>
      <w:r w:rsidR="005D0B76">
        <w:t xml:space="preserve">that </w:t>
      </w:r>
      <w:r>
        <w:t>they</w:t>
      </w:r>
      <w:r w:rsidR="005D0B76">
        <w:t xml:space="preserve"> substantially over-estimate turnout</w:t>
      </w:r>
      <w:r w:rsidR="008000B6">
        <w:t xml:space="preserve">. This is </w:t>
      </w:r>
      <w:r w:rsidR="00E430DC">
        <w:t xml:space="preserve">for two reasons. First, </w:t>
      </w:r>
      <w:r w:rsidR="004322C5">
        <w:t xml:space="preserve">UK </w:t>
      </w:r>
      <w:r w:rsidR="007773A2">
        <w:t>polls</w:t>
      </w:r>
      <w:r w:rsidR="00077E57">
        <w:t xml:space="preserve"> </w:t>
      </w:r>
      <w:r w:rsidR="008000B6">
        <w:t>employ</w:t>
      </w:r>
      <w:r w:rsidR="005D0B76">
        <w:t xml:space="preserve"> </w:t>
      </w:r>
      <w:r w:rsidR="005D0B76" w:rsidRPr="005345B3">
        <w:t>non-random sampling procedures</w:t>
      </w:r>
      <w:r w:rsidR="004322C5">
        <w:t xml:space="preserve"> which </w:t>
      </w:r>
      <w:r w:rsidR="007012E2">
        <w:t>result in</w:t>
      </w:r>
      <w:r w:rsidR="00A815FC">
        <w:t xml:space="preserve"> </w:t>
      </w:r>
      <w:r w:rsidR="005D0B76">
        <w:t>too</w:t>
      </w:r>
      <w:r w:rsidR="00E430DC">
        <w:t xml:space="preserve"> </w:t>
      </w:r>
      <w:r w:rsidR="007773A2">
        <w:t>few non-</w:t>
      </w:r>
      <w:r w:rsidR="005D0B76">
        <w:t>voters</w:t>
      </w:r>
      <w:r w:rsidR="007012E2">
        <w:t xml:space="preserve"> being included in the samples</w:t>
      </w:r>
      <w:r w:rsidR="006459DD">
        <w:t xml:space="preserve"> (Sturgis et al. 2016; 2017</w:t>
      </w:r>
      <w:r w:rsidR="00EE30E2">
        <w:t>; Mellon and Prosser 2017</w:t>
      </w:r>
      <w:r w:rsidR="007D6D79">
        <w:t>b</w:t>
      </w:r>
      <w:r w:rsidR="006459DD">
        <w:t>)</w:t>
      </w:r>
      <w:r w:rsidR="0086639C">
        <w:t>.</w:t>
      </w:r>
      <w:r w:rsidR="00E430DC">
        <w:t xml:space="preserve"> Second, </w:t>
      </w:r>
      <w:r w:rsidR="00487BB0">
        <w:t xml:space="preserve">a substantial minority of </w:t>
      </w:r>
      <w:proofErr w:type="gramStart"/>
      <w:r w:rsidR="009947EA">
        <w:t>respondents</w:t>
      </w:r>
      <w:proofErr w:type="gramEnd"/>
      <w:r w:rsidR="008000B6">
        <w:t xml:space="preserve"> </w:t>
      </w:r>
      <w:r w:rsidR="00EE30E2">
        <w:t>report having</w:t>
      </w:r>
      <w:r w:rsidR="008000B6">
        <w:t xml:space="preserve"> voted</w:t>
      </w:r>
      <w:r w:rsidR="00EE30E2">
        <w:t xml:space="preserve"> in surveys,</w:t>
      </w:r>
      <w:r w:rsidR="008000B6">
        <w:t xml:space="preserve"> </w:t>
      </w:r>
      <w:r w:rsidR="008000B6" w:rsidRPr="005345B3">
        <w:t>when they</w:t>
      </w:r>
      <w:r w:rsidR="000D1371" w:rsidRPr="005345B3">
        <w:t xml:space="preserve"> in fact</w:t>
      </w:r>
      <w:r w:rsidR="008000B6" w:rsidRPr="005345B3">
        <w:t xml:space="preserve"> did</w:t>
      </w:r>
      <w:r w:rsidR="00152C9C">
        <w:t xml:space="preserve"> </w:t>
      </w:r>
      <w:r w:rsidR="008000B6" w:rsidRPr="005345B3">
        <w:t>n</w:t>
      </w:r>
      <w:r w:rsidR="00152C9C">
        <w:t>o</w:t>
      </w:r>
      <w:r w:rsidR="008000B6" w:rsidRPr="005345B3">
        <w:t>t</w:t>
      </w:r>
      <w:r w:rsidR="001970E8">
        <w:t>,</w:t>
      </w:r>
      <w:r w:rsidR="00EE30E2">
        <w:t xml:space="preserve"> as a result of</w:t>
      </w:r>
      <w:r w:rsidR="00930BE4">
        <w:t xml:space="preserve"> recall error and</w:t>
      </w:r>
      <w:r w:rsidR="00EE30E2">
        <w:t xml:space="preserve"> pressure to conform to social norms of civic responsibility (Belli et al.</w:t>
      </w:r>
      <w:r w:rsidR="00576F96">
        <w:t xml:space="preserve"> 1999; </w:t>
      </w:r>
      <w:r w:rsidR="00281A61" w:rsidRPr="007A64FD">
        <w:t>Bernstein</w:t>
      </w:r>
      <w:r w:rsidR="00ED1255">
        <w:t xml:space="preserve"> et al.</w:t>
      </w:r>
      <w:r w:rsidR="00281A61" w:rsidRPr="007A64FD">
        <w:t xml:space="preserve"> 2001</w:t>
      </w:r>
      <w:r w:rsidR="007A64FD">
        <w:t>)</w:t>
      </w:r>
      <w:r w:rsidR="00E11EDF">
        <w:t>.</w:t>
      </w:r>
      <w:r w:rsidR="008000B6">
        <w:t xml:space="preserve">  </w:t>
      </w:r>
    </w:p>
    <w:p w14:paraId="2CB2DA5E" w14:textId="77777777" w:rsidR="003B48B7" w:rsidRDefault="003B48B7" w:rsidP="00B716FB">
      <w:pPr>
        <w:spacing w:line="480" w:lineRule="auto"/>
      </w:pPr>
    </w:p>
    <w:p w14:paraId="64700344" w14:textId="38D4E672" w:rsidR="00B232D3" w:rsidRDefault="001970E8" w:rsidP="00B716FB">
      <w:pPr>
        <w:spacing w:line="480" w:lineRule="auto"/>
      </w:pPr>
      <w:r>
        <w:lastRenderedPageBreak/>
        <w:t>Prosser et al</w:t>
      </w:r>
      <w:r w:rsidR="001A3A3A">
        <w:t>. (2018)</w:t>
      </w:r>
      <w:r w:rsidR="003B48B7">
        <w:t xml:space="preserve"> undertook </w:t>
      </w:r>
      <w:r>
        <w:t>an</w:t>
      </w:r>
      <w:r w:rsidR="001D23AE">
        <w:t xml:space="preserve"> individual-level</w:t>
      </w:r>
      <w:r w:rsidR="003B48B7">
        <w:t xml:space="preserve"> analysis of turnout amongst young people using the 2015 and 2017 waves of the </w:t>
      </w:r>
      <w:r w:rsidR="001A3A3A">
        <w:t>f</w:t>
      </w:r>
      <w:r w:rsidR="00FA70B9">
        <w:t>ace-to-</w:t>
      </w:r>
      <w:r w:rsidR="001A3A3A">
        <w:t>f</w:t>
      </w:r>
      <w:r w:rsidR="00FA70B9">
        <w:t>ace BES</w:t>
      </w:r>
      <w:r w:rsidR="003B48B7">
        <w:t xml:space="preserve">. </w:t>
      </w:r>
      <w:r w:rsidR="009947EA">
        <w:t>The BES</w:t>
      </w:r>
      <w:r w:rsidR="003B48B7">
        <w:t xml:space="preserve"> is a post-election cross-sectional survey </w:t>
      </w:r>
      <w:r w:rsidR="002C6C95">
        <w:t>that has been fielded at</w:t>
      </w:r>
      <w:r w:rsidR="003B48B7">
        <w:t xml:space="preserve"> every election since 1964. It adheres to the highest methodological standards, </w:t>
      </w:r>
      <w:r w:rsidR="002C6C95">
        <w:t xml:space="preserve">using </w:t>
      </w:r>
      <w:r w:rsidR="00B232D3">
        <w:t>face-to-face</w:t>
      </w:r>
      <w:r w:rsidR="00FA70B9">
        <w:t xml:space="preserve"> in-home</w:t>
      </w:r>
      <w:r w:rsidR="00B232D3">
        <w:t xml:space="preserve"> interview</w:t>
      </w:r>
      <w:r w:rsidR="00FA70B9">
        <w:t>ing</w:t>
      </w:r>
      <w:r w:rsidR="00B232D3">
        <w:t xml:space="preserve"> and</w:t>
      </w:r>
      <w:r w:rsidR="003B48B7">
        <w:t xml:space="preserve"> strict random sampling at all stages</w:t>
      </w:r>
      <w:r w:rsidR="00576F96">
        <w:t xml:space="preserve"> (</w:t>
      </w:r>
      <w:r w:rsidR="00B56BA7">
        <w:t>Moon et al. 2017</w:t>
      </w:r>
      <w:r w:rsidR="00576F96">
        <w:t>)</w:t>
      </w:r>
      <w:r w:rsidR="003B48B7">
        <w:t xml:space="preserve">. </w:t>
      </w:r>
      <w:r w:rsidR="001D23AE">
        <w:t xml:space="preserve">The survey </w:t>
      </w:r>
      <w:r w:rsidR="003B48B7">
        <w:t xml:space="preserve">also includes a vote validation component, in which respondents’ </w:t>
      </w:r>
      <w:r w:rsidR="009947EA">
        <w:t xml:space="preserve">turnout </w:t>
      </w:r>
      <w:r w:rsidR="003B48B7">
        <w:t>self-report</w:t>
      </w:r>
      <w:r w:rsidR="009947EA">
        <w:t>s</w:t>
      </w:r>
      <w:r w:rsidR="003B48B7">
        <w:t xml:space="preserve"> </w:t>
      </w:r>
      <w:r w:rsidR="009076CB">
        <w:t>are</w:t>
      </w:r>
      <w:r w:rsidR="002C6C95">
        <w:t xml:space="preserve"> </w:t>
      </w:r>
      <w:r>
        <w:t>cross-checked</w:t>
      </w:r>
      <w:r w:rsidR="003B48B7">
        <w:t xml:space="preserve"> against electoral records</w:t>
      </w:r>
      <w:r w:rsidR="0029372D">
        <w:t>.</w:t>
      </w:r>
      <w:r w:rsidR="003B48B7">
        <w:t xml:space="preserve"> </w:t>
      </w:r>
      <w:r w:rsidR="00FA70B9">
        <w:t>The match rate between respondent self-report</w:t>
      </w:r>
      <w:r w:rsidR="009947EA">
        <w:t>s</w:t>
      </w:r>
      <w:r w:rsidR="00FA70B9">
        <w:t xml:space="preserve"> and validated votes was 90%</w:t>
      </w:r>
      <w:r w:rsidR="009076CB">
        <w:t xml:space="preserve"> in 2017</w:t>
      </w:r>
      <w:r w:rsidR="00FA70B9">
        <w:t xml:space="preserve">, meaning there </w:t>
      </w:r>
      <w:r w:rsidR="00AC4E55">
        <w:t>was</w:t>
      </w:r>
      <w:r w:rsidR="00FA70B9">
        <w:t xml:space="preserve"> little </w:t>
      </w:r>
      <w:r w:rsidR="00930BE4">
        <w:t>scope for mis-classification error affecting turnout estimates</w:t>
      </w:r>
      <w:r w:rsidR="00A4502D">
        <w:t>.</w:t>
      </w:r>
      <w:r w:rsidR="009947EA">
        <w:rPr>
          <w:rStyle w:val="FootnoteReference"/>
        </w:rPr>
        <w:footnoteReference w:id="1"/>
      </w:r>
      <w:r w:rsidR="00E93AC9">
        <w:t xml:space="preserve"> </w:t>
      </w:r>
    </w:p>
    <w:p w14:paraId="383A2D9B" w14:textId="77777777" w:rsidR="00B232D3" w:rsidRDefault="00B232D3" w:rsidP="00B716FB">
      <w:pPr>
        <w:spacing w:line="480" w:lineRule="auto"/>
      </w:pPr>
    </w:p>
    <w:p w14:paraId="2AF46E59" w14:textId="4C084810" w:rsidR="00550B37" w:rsidRDefault="00E93AC9" w:rsidP="00B716FB">
      <w:pPr>
        <w:spacing w:line="480" w:lineRule="auto"/>
      </w:pPr>
      <w:r>
        <w:t xml:space="preserve">Using these higher quality data sets, </w:t>
      </w:r>
      <w:r w:rsidR="00AC4E55">
        <w:t>Prosser et al</w:t>
      </w:r>
      <w:r w:rsidR="00BB5BDE">
        <w:t>.</w:t>
      </w:r>
      <w:r>
        <w:t xml:space="preserve"> found </w:t>
      </w:r>
      <w:r w:rsidR="00DE27DC">
        <w:t>no</w:t>
      </w:r>
      <w:r>
        <w:t xml:space="preserve"> change in </w:t>
      </w:r>
      <w:r w:rsidR="00AC4E55">
        <w:t>voting patterns</w:t>
      </w:r>
      <w:r>
        <w:t xml:space="preserve"> for the under</w:t>
      </w:r>
      <w:r w:rsidR="00B9607D">
        <w:t xml:space="preserve">-30s </w:t>
      </w:r>
      <w:r w:rsidR="001970E8">
        <w:t>between 2015 and</w:t>
      </w:r>
      <w:r w:rsidR="00B232D3">
        <w:t xml:space="preserve"> 2017</w:t>
      </w:r>
      <w:r>
        <w:t>, concluding, “</w:t>
      </w:r>
      <w:r w:rsidRPr="00E93AC9">
        <w:t>there is no evidence to suggest the relationship between age and turnout changed substantially between 2015 and 2017</w:t>
      </w:r>
      <w:r>
        <w:t>”</w:t>
      </w:r>
      <w:r w:rsidR="00DE27DC">
        <w:t xml:space="preserve"> (2018, </w:t>
      </w:r>
      <w:r w:rsidR="00B30924">
        <w:t>p. 17</w:t>
      </w:r>
      <w:r w:rsidR="00DE27DC">
        <w:t>)</w:t>
      </w:r>
      <w:r>
        <w:t xml:space="preserve">. </w:t>
      </w:r>
      <w:r w:rsidR="00DE27DC">
        <w:t xml:space="preserve">Indeed, for those aged 18-24, the BES actually showed a </w:t>
      </w:r>
      <w:proofErr w:type="gramStart"/>
      <w:r w:rsidR="00DE27DC">
        <w:t>5 point</w:t>
      </w:r>
      <w:proofErr w:type="gramEnd"/>
      <w:r w:rsidR="00DE27DC">
        <w:t xml:space="preserve"> </w:t>
      </w:r>
      <w:r w:rsidR="00DE27DC" w:rsidRPr="009076CB">
        <w:rPr>
          <w:i/>
        </w:rPr>
        <w:t>decline</w:t>
      </w:r>
      <w:r w:rsidR="00DE27DC">
        <w:t xml:space="preserve"> in turnout using the validated vote </w:t>
      </w:r>
      <w:r w:rsidR="009076CB">
        <w:t>records</w:t>
      </w:r>
      <w:r w:rsidR="00DE27DC">
        <w:t xml:space="preserve">, although this was not statistically significant. </w:t>
      </w:r>
      <w:r w:rsidR="00930BE4">
        <w:t>Independently, t</w:t>
      </w:r>
      <w:r>
        <w:t xml:space="preserve">he same conclusion was drawn by </w:t>
      </w:r>
      <w:r w:rsidRPr="007012E2">
        <w:t xml:space="preserve">Curtice </w:t>
      </w:r>
      <w:r w:rsidR="00930BE4">
        <w:t>and</w:t>
      </w:r>
      <w:r w:rsidRPr="007012E2">
        <w:t xml:space="preserve"> Simpson</w:t>
      </w:r>
      <w:r w:rsidR="006459DD" w:rsidRPr="007012E2">
        <w:t xml:space="preserve"> </w:t>
      </w:r>
      <w:r w:rsidR="006459DD">
        <w:t>(</w:t>
      </w:r>
      <w:hyperlink r:id="rId8" w:history="1">
        <w:r w:rsidR="006459DD" w:rsidRPr="007012E2">
          <w:t>2018</w:t>
        </w:r>
      </w:hyperlink>
      <w:r w:rsidR="006459DD">
        <w:t>)</w:t>
      </w:r>
      <w:r>
        <w:t xml:space="preserve"> in their analysis of the 2015 and 2017 British Social Attitudes (BSA) survey</w:t>
      </w:r>
      <w:r w:rsidR="00AC4E55">
        <w:t xml:space="preserve">, which </w:t>
      </w:r>
      <w:r>
        <w:t>also employ</w:t>
      </w:r>
      <w:r w:rsidR="00930BE4">
        <w:t>s</w:t>
      </w:r>
      <w:r>
        <w:t xml:space="preserve"> random sampling and face-to-face interview</w:t>
      </w:r>
      <w:r w:rsidR="001D23AE">
        <w:t>s</w:t>
      </w:r>
      <w:r>
        <w:t xml:space="preserve">. While the BSA showed a </w:t>
      </w:r>
      <w:proofErr w:type="gramStart"/>
      <w:r w:rsidR="00C9148B">
        <w:t>5</w:t>
      </w:r>
      <w:r>
        <w:t xml:space="preserve"> point</w:t>
      </w:r>
      <w:proofErr w:type="gramEnd"/>
      <w:r>
        <w:t xml:space="preserve"> increase in turnout</w:t>
      </w:r>
      <w:r w:rsidR="00C9148B">
        <w:t xml:space="preserve"> (from 56% to 61%)</w:t>
      </w:r>
      <w:r>
        <w:t xml:space="preserve"> for the 18 to 24 group</w:t>
      </w:r>
      <w:r w:rsidR="00930BE4">
        <w:t xml:space="preserve"> between 2015 and 2017</w:t>
      </w:r>
      <w:r>
        <w:t xml:space="preserve">, this was not statistically distinguishable from </w:t>
      </w:r>
      <w:r w:rsidR="001D23AE">
        <w:t xml:space="preserve">no </w:t>
      </w:r>
      <w:r>
        <w:t xml:space="preserve">change. </w:t>
      </w:r>
      <w:r w:rsidR="00DE27DC">
        <w:t>In short, using the best data</w:t>
      </w:r>
      <w:r w:rsidR="009076CB">
        <w:t xml:space="preserve"> available</w:t>
      </w:r>
      <w:r w:rsidR="00DE27DC">
        <w:t xml:space="preserve"> at the time, there was little in the way of support for the Youthquake </w:t>
      </w:r>
      <w:r w:rsidR="00BB5BDE">
        <w:t>thesis</w:t>
      </w:r>
      <w:r w:rsidR="00DE27DC">
        <w:t>.</w:t>
      </w:r>
    </w:p>
    <w:p w14:paraId="63CDDB94" w14:textId="77777777" w:rsidR="002216E4" w:rsidRDefault="002216E4" w:rsidP="00B716FB">
      <w:pPr>
        <w:spacing w:line="480" w:lineRule="auto"/>
      </w:pPr>
    </w:p>
    <w:p w14:paraId="1613EBF7" w14:textId="143797BD" w:rsidR="003510AC" w:rsidRDefault="001970E8">
      <w:pPr>
        <w:spacing w:line="480" w:lineRule="auto"/>
      </w:pPr>
      <w:r>
        <w:t>However, w</w:t>
      </w:r>
      <w:r w:rsidR="00930BE4">
        <w:t xml:space="preserve">hile </w:t>
      </w:r>
      <w:r>
        <w:t>the quality of BES and BSA data sets is undoubtedly superior to opinion polls</w:t>
      </w:r>
      <w:r w:rsidR="00930BE4">
        <w:t xml:space="preserve">, </w:t>
      </w:r>
      <w:r>
        <w:t xml:space="preserve">they </w:t>
      </w:r>
      <w:r w:rsidR="002B55D6">
        <w:t>have</w:t>
      </w:r>
      <w:r>
        <w:t xml:space="preserve"> a</w:t>
      </w:r>
      <w:r w:rsidR="00930BE4">
        <w:t xml:space="preserve"> key weakness – the small sample sizes on which the comparisons between </w:t>
      </w:r>
      <w:r w:rsidR="00930BE4">
        <w:lastRenderedPageBreak/>
        <w:t>elections are based</w:t>
      </w:r>
      <w:r w:rsidR="00550B37">
        <w:t xml:space="preserve">. </w:t>
      </w:r>
      <w:r w:rsidR="003510AC">
        <w:t xml:space="preserve">For the BES, the </w:t>
      </w:r>
      <w:r w:rsidR="00483424">
        <w:t xml:space="preserve">validated vote </w:t>
      </w:r>
      <w:r w:rsidR="003510AC">
        <w:t>sample</w:t>
      </w:r>
      <w:r w:rsidR="00DE27DC">
        <w:t>s</w:t>
      </w:r>
      <w:r w:rsidR="003510AC">
        <w:t xml:space="preserve"> </w:t>
      </w:r>
      <w:r w:rsidR="00483424">
        <w:t>for</w:t>
      </w:r>
      <w:r w:rsidR="003510AC">
        <w:t xml:space="preserve"> </w:t>
      </w:r>
      <w:r w:rsidR="00721457">
        <w:t>18 to 24 year olds</w:t>
      </w:r>
      <w:r w:rsidR="00483424">
        <w:t xml:space="preserve"> were</w:t>
      </w:r>
      <w:r w:rsidR="00B630E3">
        <w:t xml:space="preserve"> </w:t>
      </w:r>
      <w:r w:rsidR="00483424">
        <w:t xml:space="preserve">157 and </w:t>
      </w:r>
      <w:r w:rsidR="006A0D64">
        <w:t>109</w:t>
      </w:r>
      <w:r w:rsidR="00E266CE">
        <w:t xml:space="preserve"> </w:t>
      </w:r>
      <w:r w:rsidR="00483424">
        <w:t>in</w:t>
      </w:r>
      <w:r w:rsidR="00771FDE">
        <w:t xml:space="preserve"> 2015 and 2017 respectively</w:t>
      </w:r>
      <w:r w:rsidR="003510AC">
        <w:t>, while</w:t>
      </w:r>
      <w:r w:rsidR="006C29DA">
        <w:t xml:space="preserve"> the corresponding figures for self-report were </w:t>
      </w:r>
      <w:r w:rsidR="00B56BA7">
        <w:t>209</w:t>
      </w:r>
      <w:r w:rsidR="006C29DA">
        <w:t xml:space="preserve"> and </w:t>
      </w:r>
      <w:r w:rsidR="00B56BA7">
        <w:t>151</w:t>
      </w:r>
      <w:r w:rsidR="006C29DA">
        <w:t>. F</w:t>
      </w:r>
      <w:r w:rsidR="003510AC">
        <w:t>or the BSA</w:t>
      </w:r>
      <w:r w:rsidR="006C29DA">
        <w:t xml:space="preserve">, </w:t>
      </w:r>
      <w:r w:rsidR="003510AC">
        <w:t>the</w:t>
      </w:r>
      <w:r w:rsidR="00771FDE">
        <w:t xml:space="preserve"> </w:t>
      </w:r>
      <w:r w:rsidR="00A91028">
        <w:t xml:space="preserve">18 to </w:t>
      </w:r>
      <w:proofErr w:type="gramStart"/>
      <w:r w:rsidR="00A91028">
        <w:t>24 year old</w:t>
      </w:r>
      <w:proofErr w:type="gramEnd"/>
      <w:r w:rsidR="003510AC">
        <w:t xml:space="preserve"> sample size</w:t>
      </w:r>
      <w:r w:rsidR="00771FDE">
        <w:t>s</w:t>
      </w:r>
      <w:r w:rsidR="005E4CA4">
        <w:t xml:space="preserve"> </w:t>
      </w:r>
      <w:r w:rsidR="00771FDE">
        <w:t>were</w:t>
      </w:r>
      <w:r w:rsidR="00B90F1E">
        <w:t xml:space="preserve"> 289</w:t>
      </w:r>
      <w:r w:rsidR="00A91028">
        <w:t xml:space="preserve"> in 2015</w:t>
      </w:r>
      <w:r w:rsidR="00B90F1E">
        <w:t xml:space="preserve"> and</w:t>
      </w:r>
      <w:r w:rsidR="003510AC">
        <w:t xml:space="preserve"> </w:t>
      </w:r>
      <w:r w:rsidR="00E430DC">
        <w:t>162</w:t>
      </w:r>
      <w:r w:rsidR="00A91028">
        <w:t xml:space="preserve"> in 2017</w:t>
      </w:r>
      <w:r w:rsidR="003510AC">
        <w:t>. Th</w:t>
      </w:r>
      <w:r w:rsidR="00721457">
        <w:t>e</w:t>
      </w:r>
      <w:r w:rsidR="003510AC">
        <w:t>s</w:t>
      </w:r>
      <w:r w:rsidR="00721457">
        <w:t>e small sample</w:t>
      </w:r>
      <w:r w:rsidR="00B630E3">
        <w:t>s</w:t>
      </w:r>
      <w:r w:rsidR="003510AC">
        <w:t xml:space="preserve"> </w:t>
      </w:r>
      <w:r w:rsidR="002B55D6">
        <w:t>mean that</w:t>
      </w:r>
      <w:r w:rsidR="007921D4">
        <w:t xml:space="preserve"> population parameters are imprecisely estimated and</w:t>
      </w:r>
      <w:r w:rsidR="002B55D6">
        <w:t xml:space="preserve"> the probability of</w:t>
      </w:r>
      <w:r w:rsidR="003510AC">
        <w:t xml:space="preserve"> </w:t>
      </w:r>
      <w:r w:rsidR="002B55D6">
        <w:t>failing</w:t>
      </w:r>
      <w:r w:rsidR="003510AC">
        <w:t xml:space="preserve"> to </w:t>
      </w:r>
      <w:r w:rsidR="00B90F1E">
        <w:t xml:space="preserve">reject </w:t>
      </w:r>
      <w:r w:rsidR="009076CB">
        <w:t>a true</w:t>
      </w:r>
      <w:r w:rsidR="00B90F1E">
        <w:t xml:space="preserve"> null hypothesis of</w:t>
      </w:r>
      <w:r w:rsidR="003510AC">
        <w:t xml:space="preserve"> even quite </w:t>
      </w:r>
      <w:r w:rsidR="002B55D6">
        <w:t xml:space="preserve">substantial </w:t>
      </w:r>
      <w:r w:rsidR="003510AC">
        <w:t>change</w:t>
      </w:r>
      <w:r w:rsidR="002B55D6">
        <w:t xml:space="preserve"> in turnout between elections is high</w:t>
      </w:r>
      <w:r w:rsidR="00B32F2D">
        <w:t>. For example</w:t>
      </w:r>
      <w:r w:rsidR="002B55D6">
        <w:t>,</w:t>
      </w:r>
      <w:r w:rsidR="00B32F2D">
        <w:t xml:space="preserve"> the BES</w:t>
      </w:r>
      <w:r w:rsidR="002B55D6">
        <w:t xml:space="preserve"> </w:t>
      </w:r>
      <w:r w:rsidR="005D503C">
        <w:t>has power of</w:t>
      </w:r>
      <w:r w:rsidR="003F5AA8">
        <w:t xml:space="preserve"> just</w:t>
      </w:r>
      <w:r w:rsidR="005D503C">
        <w:t xml:space="preserve"> 0.37 to detect an increase in</w:t>
      </w:r>
      <w:r w:rsidR="003F5AA8">
        <w:t xml:space="preserve"> </w:t>
      </w:r>
      <w:r w:rsidR="005D503C">
        <w:t>turnout</w:t>
      </w:r>
      <w:r w:rsidR="003F5AA8">
        <w:t xml:space="preserve"> amongst 18 to 24 year olds </w:t>
      </w:r>
      <w:r w:rsidR="005D503C">
        <w:t xml:space="preserve">from </w:t>
      </w:r>
      <w:r w:rsidR="003F5AA8">
        <w:t>50% in 2015 to 60% in 2017. This implies that in around two thirds of samples drawn using the BES design, nearly two thirds would find no statistically significant change in turnout</w:t>
      </w:r>
      <w:r w:rsidR="00476F7A">
        <w:t xml:space="preserve"> even</w:t>
      </w:r>
      <w:r w:rsidR="003F5AA8">
        <w:t xml:space="preserve"> when turnout had</w:t>
      </w:r>
      <w:r w:rsidR="00476F7A">
        <w:t xml:space="preserve"> in fact</w:t>
      </w:r>
      <w:r w:rsidR="003F5AA8">
        <w:t xml:space="preserve"> increased by ten percentage points.  </w:t>
      </w:r>
      <w:r w:rsidR="00922722">
        <w:t xml:space="preserve">Indeed, the ‘noisy’ nature of the BES and BSA estimates is well illustrated by the fact that the BES finds a </w:t>
      </w:r>
      <w:proofErr w:type="gramStart"/>
      <w:r w:rsidR="00922722">
        <w:t>5 point</w:t>
      </w:r>
      <w:proofErr w:type="gramEnd"/>
      <w:r w:rsidR="00922722">
        <w:t xml:space="preserve"> decline in turnout, while the BSA finds an </w:t>
      </w:r>
      <w:r w:rsidR="00922722" w:rsidRPr="00015B9B">
        <w:rPr>
          <w:i/>
        </w:rPr>
        <w:t>increase</w:t>
      </w:r>
      <w:r w:rsidR="00922722">
        <w:t xml:space="preserve"> of the same magnitude. </w:t>
      </w:r>
      <w:r w:rsidR="003F5AA8">
        <w:t>In practice the</w:t>
      </w:r>
      <w:r w:rsidR="00476F7A">
        <w:t xml:space="preserve"> true</w:t>
      </w:r>
      <w:r w:rsidR="003F5AA8">
        <w:t xml:space="preserve"> power of this test </w:t>
      </w:r>
      <w:r w:rsidR="00476F7A">
        <w:t>is likely to</w:t>
      </w:r>
      <w:r w:rsidR="003F5AA8">
        <w:t xml:space="preserve"> be even lower because complex</w:t>
      </w:r>
      <w:r w:rsidR="003510AC">
        <w:t xml:space="preserve"> </w:t>
      </w:r>
      <w:r w:rsidR="00476F7A">
        <w:t xml:space="preserve">features of the sample design such as weighting and clustering tend to </w:t>
      </w:r>
      <w:r w:rsidR="003F5AA8">
        <w:t>increase sampling variance</w:t>
      </w:r>
      <w:r w:rsidR="00476F7A">
        <w:t xml:space="preserve"> </w:t>
      </w:r>
      <w:r w:rsidR="00922722">
        <w:t xml:space="preserve">relative to a simple random sample of the same size </w:t>
      </w:r>
      <w:r w:rsidR="00FF7472">
        <w:t>(</w:t>
      </w:r>
      <w:r w:rsidR="002B55D6">
        <w:t>Sturgis 2004</w:t>
      </w:r>
      <w:r w:rsidR="00FF7472">
        <w:t>)</w:t>
      </w:r>
      <w:r w:rsidR="003510AC">
        <w:t xml:space="preserve">. </w:t>
      </w:r>
    </w:p>
    <w:p w14:paraId="36557086" w14:textId="77777777" w:rsidR="00820325" w:rsidRDefault="00820325" w:rsidP="00B716FB">
      <w:pPr>
        <w:spacing w:line="480" w:lineRule="auto"/>
      </w:pPr>
    </w:p>
    <w:p w14:paraId="4C025D39" w14:textId="2A14A0A1" w:rsidR="005E4CA4" w:rsidRPr="005E4CA4" w:rsidRDefault="00EE1E83" w:rsidP="00B716FB">
      <w:pPr>
        <w:spacing w:line="480" w:lineRule="auto"/>
        <w:rPr>
          <w:i/>
        </w:rPr>
      </w:pPr>
      <w:r>
        <w:rPr>
          <w:i/>
        </w:rPr>
        <w:t>The UK Household Longitudinal Survey</w:t>
      </w:r>
    </w:p>
    <w:p w14:paraId="405AD3BB" w14:textId="4F291F6D" w:rsidR="005E4CA4" w:rsidRPr="005E4CA4" w:rsidRDefault="001970E8" w:rsidP="00B716FB">
      <w:pPr>
        <w:spacing w:line="480" w:lineRule="auto"/>
        <w:rPr>
          <w:lang w:val="en-US"/>
        </w:rPr>
      </w:pPr>
      <w:r>
        <w:t xml:space="preserve">In this </w:t>
      </w:r>
      <w:r w:rsidR="00BB5BDE">
        <w:t xml:space="preserve">research </w:t>
      </w:r>
      <w:r>
        <w:t xml:space="preserve">note, we use wave 8 of </w:t>
      </w:r>
      <w:r w:rsidR="00EE1E83">
        <w:t xml:space="preserve">the </w:t>
      </w:r>
      <w:r w:rsidR="00EE1E83" w:rsidRPr="00EE1E83">
        <w:rPr>
          <w:iCs/>
        </w:rPr>
        <w:t>UK Household Longitudinal Survey (UKHLS)</w:t>
      </w:r>
      <w:r>
        <w:t xml:space="preserve"> to produce more </w:t>
      </w:r>
      <w:r w:rsidR="002B55D6">
        <w:t>precise</w:t>
      </w:r>
      <w:r>
        <w:t xml:space="preserve"> estimates of change in turnout amongst young people between the</w:t>
      </w:r>
      <w:r w:rsidR="002B55D6">
        <w:t xml:space="preserve"> 2010,</w:t>
      </w:r>
      <w:r>
        <w:t xml:space="preserve"> 2015</w:t>
      </w:r>
      <w:r w:rsidR="002B55D6">
        <w:t>,</w:t>
      </w:r>
      <w:r>
        <w:t xml:space="preserve"> and 2017 general elections. </w:t>
      </w:r>
      <w:r w:rsidR="00EE1E83">
        <w:rPr>
          <w:lang w:val="en-US"/>
        </w:rPr>
        <w:t>The UKHLS</w:t>
      </w:r>
      <w:r w:rsidR="005E4CA4" w:rsidRPr="005E4CA4">
        <w:rPr>
          <w:lang w:val="en-US"/>
        </w:rPr>
        <w:t xml:space="preserve"> is a multi-purpose household panel survey</w:t>
      </w:r>
      <w:r w:rsidR="005E4CA4">
        <w:rPr>
          <w:lang w:val="en-US"/>
        </w:rPr>
        <w:t xml:space="preserve"> covering </w:t>
      </w:r>
      <w:r w:rsidR="00B90F1E">
        <w:rPr>
          <w:lang w:val="en-US"/>
        </w:rPr>
        <w:t xml:space="preserve">topics such as </w:t>
      </w:r>
      <w:r w:rsidR="005E4CA4" w:rsidRPr="005E4CA4">
        <w:rPr>
          <w:lang w:val="en-US"/>
        </w:rPr>
        <w:t xml:space="preserve">health, work, education, income, family and social life, as well as </w:t>
      </w:r>
      <w:r w:rsidR="005E4CA4">
        <w:rPr>
          <w:lang w:val="en-US"/>
        </w:rPr>
        <w:t xml:space="preserve">political attitudes and voting </w:t>
      </w:r>
      <w:r w:rsidR="005E4CA4" w:rsidRPr="005E4CA4">
        <w:rPr>
          <w:lang w:val="en-US"/>
        </w:rPr>
        <w:t>(Scott and Jessop 2013). The survey has a</w:t>
      </w:r>
      <w:r w:rsidR="00B90F1E">
        <w:rPr>
          <w:lang w:val="en-US"/>
        </w:rPr>
        <w:t xml:space="preserve"> stratified,</w:t>
      </w:r>
      <w:r w:rsidR="005E4CA4" w:rsidRPr="005E4CA4">
        <w:rPr>
          <w:lang w:val="en-US"/>
        </w:rPr>
        <w:t xml:space="preserve"> multistage design with a sample of postcode sectors selected with probability proportional to size and households selected</w:t>
      </w:r>
      <w:r w:rsidR="00B90F1E">
        <w:rPr>
          <w:lang w:val="en-US"/>
        </w:rPr>
        <w:t xml:space="preserve"> at random</w:t>
      </w:r>
      <w:r w:rsidR="005E4CA4" w:rsidRPr="005E4CA4">
        <w:rPr>
          <w:lang w:val="en-US"/>
        </w:rPr>
        <w:t xml:space="preserve"> </w:t>
      </w:r>
      <w:r w:rsidR="00B90F1E">
        <w:rPr>
          <w:lang w:val="en-US"/>
        </w:rPr>
        <w:t>within</w:t>
      </w:r>
      <w:r w:rsidR="005E4CA4" w:rsidRPr="005E4CA4">
        <w:rPr>
          <w:lang w:val="en-US"/>
        </w:rPr>
        <w:t xml:space="preserve"> each sector. All household members aged 16 and over are invited to provide an individual interview</w:t>
      </w:r>
      <w:r w:rsidR="005E4CA4">
        <w:rPr>
          <w:lang w:val="en-US"/>
        </w:rPr>
        <w:t xml:space="preserve">, </w:t>
      </w:r>
      <w:r w:rsidR="005E4CA4" w:rsidRPr="005E4CA4">
        <w:rPr>
          <w:lang w:val="en-US"/>
        </w:rPr>
        <w:t>with interviews carried out face-to-</w:t>
      </w:r>
      <w:r w:rsidR="005E4CA4" w:rsidRPr="005E4CA4">
        <w:rPr>
          <w:lang w:val="en-US"/>
        </w:rPr>
        <w:lastRenderedPageBreak/>
        <w:t>face in respondents</w:t>
      </w:r>
      <w:r w:rsidR="00B716FB">
        <w:rPr>
          <w:lang w:val="en-US"/>
        </w:rPr>
        <w:t>’</w:t>
      </w:r>
      <w:r w:rsidR="005E4CA4" w:rsidRPr="005E4CA4">
        <w:rPr>
          <w:lang w:val="en-US"/>
        </w:rPr>
        <w:t xml:space="preserve"> homes using computer-assisted personal interviewing (CAPI). Hard-to-reach respondents </w:t>
      </w:r>
      <w:r w:rsidR="00B90F1E">
        <w:rPr>
          <w:lang w:val="en-US"/>
        </w:rPr>
        <w:t>are</w:t>
      </w:r>
      <w:r w:rsidR="005E4CA4" w:rsidRPr="005E4CA4">
        <w:rPr>
          <w:lang w:val="en-US"/>
        </w:rPr>
        <w:t xml:space="preserve"> interviewed over the phone at the end of fieldwork in order to boost response rates. </w:t>
      </w:r>
      <w:r w:rsidR="002D6003">
        <w:rPr>
          <w:lang w:val="en-US"/>
        </w:rPr>
        <w:t xml:space="preserve">We use respondents from the </w:t>
      </w:r>
      <w:r w:rsidR="00EE1E83">
        <w:rPr>
          <w:lang w:val="en-US"/>
        </w:rPr>
        <w:t>UKHLS</w:t>
      </w:r>
      <w:r w:rsidR="002B55D6">
        <w:rPr>
          <w:lang w:val="en-US"/>
        </w:rPr>
        <w:t xml:space="preserve"> </w:t>
      </w:r>
      <w:r w:rsidR="002D6003">
        <w:rPr>
          <w:lang w:val="en-US"/>
        </w:rPr>
        <w:t>General Population sample only, dropping those from the Ethnic Minority Boost</w:t>
      </w:r>
      <w:r w:rsidR="0029372D">
        <w:rPr>
          <w:lang w:val="en-US"/>
        </w:rPr>
        <w:t>, Immigrant,</w:t>
      </w:r>
      <w:r w:rsidR="002D6003">
        <w:rPr>
          <w:lang w:val="en-US"/>
        </w:rPr>
        <w:t xml:space="preserve"> and </w:t>
      </w:r>
      <w:r w:rsidR="00BB5BDE">
        <w:rPr>
          <w:lang w:val="en-US"/>
        </w:rPr>
        <w:t xml:space="preserve">British Household Panel Survey </w:t>
      </w:r>
      <w:r w:rsidR="002D6003">
        <w:rPr>
          <w:lang w:val="en-US"/>
        </w:rPr>
        <w:t>sub-samples</w:t>
      </w:r>
      <w:r w:rsidR="00392313">
        <w:rPr>
          <w:lang w:val="en-US"/>
        </w:rPr>
        <w:t>.</w:t>
      </w:r>
    </w:p>
    <w:p w14:paraId="69D94FD2" w14:textId="77777777" w:rsidR="005E4CA4" w:rsidRDefault="005E4CA4" w:rsidP="00B716FB">
      <w:pPr>
        <w:spacing w:line="480" w:lineRule="auto"/>
      </w:pPr>
    </w:p>
    <w:p w14:paraId="0489607F" w14:textId="57CCD077" w:rsidR="00F635EE" w:rsidRDefault="00E93AC9" w:rsidP="00B716FB">
      <w:pPr>
        <w:spacing w:line="480" w:lineRule="auto"/>
      </w:pPr>
      <w:r>
        <w:t xml:space="preserve">In </w:t>
      </w:r>
      <w:r w:rsidR="00BB5BDE">
        <w:t xml:space="preserve">UKHLS </w:t>
      </w:r>
      <w:r w:rsidR="00E266CE">
        <w:t>W</w:t>
      </w:r>
      <w:r>
        <w:t>aves 2, 7, and 8</w:t>
      </w:r>
      <w:r w:rsidR="005E4CA4">
        <w:t xml:space="preserve"> (corresponding to the 2010, 2015 and 2017 general elections, respectively)</w:t>
      </w:r>
      <w:r>
        <w:t xml:space="preserve"> respondents were asked whether they had voted in the most recent election and, if they had, which party they voted for. </w:t>
      </w:r>
      <w:r w:rsidR="003510AC">
        <w:t xml:space="preserve">The </w:t>
      </w:r>
      <w:r w:rsidR="00F635EE">
        <w:t>number</w:t>
      </w:r>
      <w:r w:rsidR="003510AC">
        <w:t xml:space="preserve"> of 18 to 24 year olds</w:t>
      </w:r>
      <w:r w:rsidR="0036045F">
        <w:t xml:space="preserve"> who were asked the turnout question and provided a valid response</w:t>
      </w:r>
      <w:r w:rsidR="003510AC">
        <w:t xml:space="preserve"> was 1,897 in </w:t>
      </w:r>
      <w:r w:rsidR="00E266CE">
        <w:t>W</w:t>
      </w:r>
      <w:r w:rsidR="003510AC">
        <w:t xml:space="preserve">ave 2, 1,363 in </w:t>
      </w:r>
      <w:r w:rsidR="00E266CE">
        <w:t>W</w:t>
      </w:r>
      <w:r w:rsidR="003510AC">
        <w:t>ave 7</w:t>
      </w:r>
      <w:r w:rsidR="0036045F">
        <w:t>,</w:t>
      </w:r>
      <w:r w:rsidR="003510AC">
        <w:t xml:space="preserve"> and 919 in </w:t>
      </w:r>
      <w:r w:rsidR="00E266CE">
        <w:t>W</w:t>
      </w:r>
      <w:r w:rsidR="003510AC">
        <w:t>ave 8</w:t>
      </w:r>
      <w:r w:rsidR="00614C75">
        <w:t>.</w:t>
      </w:r>
      <w:r w:rsidR="00A10013">
        <w:rPr>
          <w:rStyle w:val="FootnoteReference"/>
        </w:rPr>
        <w:footnoteReference w:id="2"/>
      </w:r>
      <w:r w:rsidR="003510AC">
        <w:t xml:space="preserve"> </w:t>
      </w:r>
    </w:p>
    <w:p w14:paraId="676648CF" w14:textId="77777777" w:rsidR="007C6A1F" w:rsidRDefault="007C6A1F" w:rsidP="00B716FB">
      <w:pPr>
        <w:spacing w:line="480" w:lineRule="auto"/>
      </w:pPr>
    </w:p>
    <w:p w14:paraId="3B9C0A7F" w14:textId="46AA3AD0" w:rsidR="00550B37" w:rsidRDefault="00721457" w:rsidP="00B716FB">
      <w:pPr>
        <w:spacing w:line="480" w:lineRule="auto"/>
      </w:pPr>
      <w:r>
        <w:t xml:space="preserve">Figure 1 </w:t>
      </w:r>
      <w:r w:rsidR="00F635EE">
        <w:t>plots</w:t>
      </w:r>
      <w:r w:rsidR="000C6B9F">
        <w:t xml:space="preserve"> smoothed</w:t>
      </w:r>
      <w:r w:rsidR="00F635EE">
        <w:t xml:space="preserve"> </w:t>
      </w:r>
      <w:r w:rsidR="000C6B9F">
        <w:t>kernel-weighted local polynomial</w:t>
      </w:r>
      <w:r>
        <w:t xml:space="preserve"> regression estimates of the relationship between age and turnout</w:t>
      </w:r>
      <w:r w:rsidR="002B55D6">
        <w:t>, with 95% confidence intervals,</w:t>
      </w:r>
      <w:r w:rsidR="000C6B9F">
        <w:t xml:space="preserve"> in each of the</w:t>
      </w:r>
      <w:r w:rsidR="00FF7472">
        <w:t xml:space="preserve"> past</w:t>
      </w:r>
      <w:r w:rsidR="000C6B9F">
        <w:t xml:space="preserve"> three</w:t>
      </w:r>
      <w:r w:rsidR="00FF7472">
        <w:t xml:space="preserve"> general</w:t>
      </w:r>
      <w:r w:rsidR="000C6B9F">
        <w:t xml:space="preserve"> elections</w:t>
      </w:r>
      <w:r>
        <w:t xml:space="preserve">. </w:t>
      </w:r>
      <w:r w:rsidR="002D6F80">
        <w:t xml:space="preserve">The </w:t>
      </w:r>
      <w:r w:rsidR="002B55D6">
        <w:t>dark blue</w:t>
      </w:r>
      <w:r w:rsidR="002D6F80">
        <w:t xml:space="preserve"> line</w:t>
      </w:r>
      <w:r w:rsidR="00B630E3">
        <w:t xml:space="preserve"> </w:t>
      </w:r>
      <w:r w:rsidR="00B232D3">
        <w:t>which represents</w:t>
      </w:r>
      <w:r w:rsidR="00B630E3">
        <w:t xml:space="preserve"> turnout in</w:t>
      </w:r>
      <w:r w:rsidR="002D6F80">
        <w:t xml:space="preserve"> 2017</w:t>
      </w:r>
      <w:r w:rsidR="00BD02E0">
        <w:t>,</w:t>
      </w:r>
      <w:r w:rsidR="002D6F80">
        <w:t xml:space="preserve"> is clearly </w:t>
      </w:r>
      <w:r w:rsidR="00B630E3">
        <w:t>and substantially higher for the youngest voters</w:t>
      </w:r>
      <w:r w:rsidR="00B232D3">
        <w:t>,</w:t>
      </w:r>
      <w:r w:rsidR="00B630E3">
        <w:t xml:space="preserve"> aligning with 2015</w:t>
      </w:r>
      <w:r w:rsidR="00B232D3">
        <w:t xml:space="preserve"> turnout</w:t>
      </w:r>
      <w:r w:rsidR="00B630E3">
        <w:t xml:space="preserve"> at around the age of 35. Interestingly, </w:t>
      </w:r>
      <w:r w:rsidR="007E7952">
        <w:t>the f</w:t>
      </w:r>
      <w:r w:rsidR="000C6B9F">
        <w:t>igure</w:t>
      </w:r>
      <w:r w:rsidR="00B630E3">
        <w:t xml:space="preserve"> also </w:t>
      </w:r>
      <w:r w:rsidR="00D40A12">
        <w:t xml:space="preserve">reveals </w:t>
      </w:r>
      <w:r w:rsidR="00B630E3">
        <w:t xml:space="preserve">a significant increase in turnout for voters </w:t>
      </w:r>
      <w:r w:rsidR="002D6003">
        <w:t xml:space="preserve">aged under thirty </w:t>
      </w:r>
      <w:r w:rsidR="00B630E3">
        <w:t xml:space="preserve">between 2010 and 2015, a change which </w:t>
      </w:r>
      <w:r w:rsidR="000C6B9F">
        <w:t>was also observed by Curtice and Simpson (2018) in their analysis of the British Social Attitudes survey time series</w:t>
      </w:r>
      <w:r w:rsidR="00B630E3">
        <w:t>.</w:t>
      </w:r>
      <w:r w:rsidR="000C6B9F">
        <w:t xml:space="preserve"> This suggests that the increase in turnout amongst younger voters</w:t>
      </w:r>
      <w:r w:rsidR="002D6003">
        <w:t xml:space="preserve"> in 2017</w:t>
      </w:r>
      <w:r w:rsidR="000C6B9F">
        <w:t xml:space="preserve"> </w:t>
      </w:r>
      <w:r w:rsidR="0029372D">
        <w:t>w</w:t>
      </w:r>
      <w:r w:rsidR="009F3FCA">
        <w:t>a</w:t>
      </w:r>
      <w:r w:rsidR="0029372D">
        <w:t>s</w:t>
      </w:r>
      <w:r w:rsidR="000C6B9F">
        <w:t xml:space="preserve"> a continuation of a broader secular trend, rather than a response to the specific context of the </w:t>
      </w:r>
      <w:r w:rsidR="00864F2A">
        <w:t xml:space="preserve">2017 </w:t>
      </w:r>
      <w:r w:rsidR="002D6003">
        <w:t>election</w:t>
      </w:r>
      <w:r w:rsidR="000C6B9F">
        <w:t>.</w:t>
      </w:r>
    </w:p>
    <w:p w14:paraId="3DD805A0" w14:textId="503B19DC" w:rsidR="00094A65" w:rsidRDefault="00094A65" w:rsidP="00B716FB">
      <w:pPr>
        <w:spacing w:line="480" w:lineRule="auto"/>
      </w:pPr>
    </w:p>
    <w:p w14:paraId="0FBECC5C" w14:textId="77777777" w:rsidR="00693A79" w:rsidRDefault="00693A79" w:rsidP="00B716FB">
      <w:pPr>
        <w:spacing w:line="480" w:lineRule="auto"/>
      </w:pPr>
      <w:r>
        <w:t>FIGURE 1 HERE</w:t>
      </w:r>
    </w:p>
    <w:p w14:paraId="065BEDCF" w14:textId="77777777" w:rsidR="00693A79" w:rsidRDefault="00693A79" w:rsidP="00B716FB">
      <w:pPr>
        <w:spacing w:line="480" w:lineRule="auto"/>
      </w:pPr>
    </w:p>
    <w:p w14:paraId="2B09D97B" w14:textId="555BA08A" w:rsidR="00EE30E2" w:rsidRDefault="00891FEB" w:rsidP="00B716FB">
      <w:pPr>
        <w:spacing w:line="480" w:lineRule="auto"/>
      </w:pPr>
      <w:r>
        <w:t>The estimates in Figure 1 are unweighted, so do not account for the greater tendency of non-voters to drop out of the</w:t>
      </w:r>
      <w:r w:rsidR="00864F2A">
        <w:t xml:space="preserve"> UKHLS</w:t>
      </w:r>
      <w:r>
        <w:t xml:space="preserve"> </w:t>
      </w:r>
      <w:r w:rsidR="00B232D3">
        <w:t>over time</w:t>
      </w:r>
      <w:r>
        <w:t>. We therefore also compare turnout proportions within age-bands using a weighted estimator</w:t>
      </w:r>
      <w:r w:rsidR="002D6003">
        <w:t xml:space="preserve"> and Taylor-series linearization for variance estimation (</w:t>
      </w:r>
      <w:r w:rsidR="00864F2A">
        <w:t>Wolter 1985</w:t>
      </w:r>
      <w:r w:rsidR="002D6003">
        <w:t>)</w:t>
      </w:r>
      <w:r w:rsidR="00AB4AA2">
        <w:t>.</w:t>
      </w:r>
      <w:r w:rsidR="00152C9C">
        <w:rPr>
          <w:rStyle w:val="FootnoteReference"/>
        </w:rPr>
        <w:footnoteReference w:id="3"/>
      </w:r>
      <w:r>
        <w:t xml:space="preserve"> </w:t>
      </w:r>
      <w:r w:rsidR="004261B8">
        <w:t>The results</w:t>
      </w:r>
      <w:r w:rsidR="002D6003">
        <w:t>,</w:t>
      </w:r>
      <w:r w:rsidR="004261B8">
        <w:t xml:space="preserve"> reported in </w:t>
      </w:r>
      <w:r>
        <w:t>Table 1</w:t>
      </w:r>
      <w:r w:rsidR="002D6003">
        <w:t>,</w:t>
      </w:r>
      <w:r w:rsidR="00614C75">
        <w:t xml:space="preserve"> </w:t>
      </w:r>
      <w:r>
        <w:t xml:space="preserve">show there was an </w:t>
      </w:r>
      <w:r w:rsidR="00693A79">
        <w:t>9</w:t>
      </w:r>
      <w:r>
        <w:t xml:space="preserve"> point increase in turnout for 18-24 year olds </w:t>
      </w:r>
      <w:r w:rsidR="00693A79">
        <w:t>and a 13 point increase for 25-29 year olds</w:t>
      </w:r>
      <w:r w:rsidR="002B55D6">
        <w:t xml:space="preserve"> between 2015 and 2017</w:t>
      </w:r>
      <w:r w:rsidR="00693A79">
        <w:t>, with both</w:t>
      </w:r>
      <w:r w:rsidR="00FF7472">
        <w:t xml:space="preserve"> differences</w:t>
      </w:r>
      <w:r w:rsidR="00693A79">
        <w:t xml:space="preserve"> significant at the 95% level of confidence</w:t>
      </w:r>
      <w:r>
        <w:t xml:space="preserve">. </w:t>
      </w:r>
      <w:r w:rsidR="00693A79">
        <w:t>Changes</w:t>
      </w:r>
      <w:r>
        <w:t xml:space="preserve"> in turnout </w:t>
      </w:r>
      <w:r w:rsidR="00693A79">
        <w:t>across</w:t>
      </w:r>
      <w:r>
        <w:t xml:space="preserve"> </w:t>
      </w:r>
      <w:r w:rsidR="00693A79">
        <w:t>the older</w:t>
      </w:r>
      <w:r>
        <w:t xml:space="preserve"> age bands are smaller</w:t>
      </w:r>
      <w:r w:rsidR="00693A79">
        <w:t xml:space="preserve"> in magnitude</w:t>
      </w:r>
      <w:r>
        <w:t xml:space="preserve"> and none </w:t>
      </w:r>
      <w:r w:rsidR="00693A79">
        <w:t>is</w:t>
      </w:r>
      <w:r w:rsidR="004261B8">
        <w:t xml:space="preserve"> </w:t>
      </w:r>
      <w:r>
        <w:t xml:space="preserve">statistically significant. </w:t>
      </w:r>
      <w:r w:rsidR="00693A79">
        <w:t>Table 1 also confirms the pattern evident in Figure 1 for changes in turnout between 201</w:t>
      </w:r>
      <w:r w:rsidR="00FF7472">
        <w:t>0</w:t>
      </w:r>
      <w:r w:rsidR="00693A79">
        <w:t xml:space="preserve"> and 201</w:t>
      </w:r>
      <w:r w:rsidR="00FF7472">
        <w:t>5</w:t>
      </w:r>
      <w:r w:rsidR="002B55D6">
        <w:t>;</w:t>
      </w:r>
      <w:r w:rsidR="00693A79">
        <w:t xml:space="preserve"> there was a statistically significant </w:t>
      </w:r>
      <w:proofErr w:type="gramStart"/>
      <w:r w:rsidR="00693A79">
        <w:t>9 point</w:t>
      </w:r>
      <w:proofErr w:type="gramEnd"/>
      <w:r w:rsidR="00693A79">
        <w:t xml:space="preserve"> increase for the 18-24 year old age group, although for 25-29 year </w:t>
      </w:r>
      <w:r w:rsidR="00FF7472">
        <w:t>olds</w:t>
      </w:r>
      <w:r w:rsidR="00693A79">
        <w:t xml:space="preserve"> the increase </w:t>
      </w:r>
      <w:r w:rsidR="00FF7472">
        <w:t>was</w:t>
      </w:r>
      <w:r w:rsidR="00693A79">
        <w:t xml:space="preserve"> only 3 percentage points, a non-significant difference. </w:t>
      </w:r>
    </w:p>
    <w:p w14:paraId="2D6B2D18" w14:textId="77777777" w:rsidR="00EE30E2" w:rsidRDefault="00EE30E2" w:rsidP="00B716FB">
      <w:pPr>
        <w:spacing w:line="480" w:lineRule="auto"/>
      </w:pPr>
    </w:p>
    <w:p w14:paraId="3FB30F30" w14:textId="67FBE1C4" w:rsidR="00891FEB" w:rsidRDefault="008558EE" w:rsidP="00B716FB">
      <w:pPr>
        <w:spacing w:line="480" w:lineRule="auto"/>
      </w:pPr>
      <w:r>
        <w:t xml:space="preserve">This increase in turnout amongst </w:t>
      </w:r>
      <w:r w:rsidR="00693A79">
        <w:t>the under thirties</w:t>
      </w:r>
      <w:r w:rsidR="00BD02E0">
        <w:t>,</w:t>
      </w:r>
      <w:r>
        <w:t xml:space="preserve"> combined with the greater tendency of young people to vote Labour</w:t>
      </w:r>
      <w:r w:rsidR="00BD02E0">
        <w:t xml:space="preserve"> in 2017,</w:t>
      </w:r>
      <w:r>
        <w:t xml:space="preserve"> means that </w:t>
      </w:r>
      <w:r w:rsidR="00D51406">
        <w:t xml:space="preserve">the party </w:t>
      </w:r>
      <w:r w:rsidR="000C0B5F">
        <w:t xml:space="preserve">drew </w:t>
      </w:r>
      <w:r>
        <w:t xml:space="preserve">particularly </w:t>
      </w:r>
      <w:r w:rsidR="000C0B5F">
        <w:t>heavily on the support of</w:t>
      </w:r>
      <w:r>
        <w:t xml:space="preserve"> younger voters in </w:t>
      </w:r>
      <w:r w:rsidR="00BD02E0">
        <w:t>this election</w:t>
      </w:r>
      <w:r>
        <w:t xml:space="preserve">. This can be </w:t>
      </w:r>
      <w:r w:rsidR="00BD02E0">
        <w:t>seen</w:t>
      </w:r>
      <w:r w:rsidR="00D51406">
        <w:t xml:space="preserve"> </w:t>
      </w:r>
      <w:r>
        <w:t>in Figure 2</w:t>
      </w:r>
      <w:r w:rsidR="00BD02E0">
        <w:t>,</w:t>
      </w:r>
      <w:r>
        <w:t xml:space="preserve"> which </w:t>
      </w:r>
      <w:r w:rsidR="00693A79">
        <w:t xml:space="preserve">plots smoothed kernel-weighted local polynomial regression estimates of voting </w:t>
      </w:r>
      <w:r>
        <w:t>Labour by age</w:t>
      </w:r>
      <w:r w:rsidR="002B55D6">
        <w:t xml:space="preserve"> in each of the three elections</w:t>
      </w:r>
      <w:r>
        <w:t>.</w:t>
      </w:r>
      <w:r w:rsidR="00477716">
        <w:t xml:space="preserve"> Strikingly, the probability of someone in their</w:t>
      </w:r>
      <w:r w:rsidR="001970E8">
        <w:t xml:space="preserve"> early</w:t>
      </w:r>
      <w:r w:rsidR="00477716">
        <w:t xml:space="preserve"> 20s voting Labour </w:t>
      </w:r>
      <w:r w:rsidR="007E7952">
        <w:t>wa</w:t>
      </w:r>
      <w:r w:rsidR="008A6A90">
        <w:t xml:space="preserve">s </w:t>
      </w:r>
      <w:r w:rsidR="00693A79">
        <w:t>approximately 60%</w:t>
      </w:r>
      <w:r w:rsidR="00FF7472">
        <w:t xml:space="preserve"> in 2017</w:t>
      </w:r>
      <w:r w:rsidR="00693A79">
        <w:t>,</w:t>
      </w:r>
      <w:r w:rsidR="00477716">
        <w:t xml:space="preserve"> compared to </w:t>
      </w:r>
      <w:r w:rsidR="00693A79">
        <w:t>40%</w:t>
      </w:r>
      <w:r w:rsidR="00477716">
        <w:t xml:space="preserve"> in 2015 and</w:t>
      </w:r>
      <w:r w:rsidR="001970E8">
        <w:t xml:space="preserve"> </w:t>
      </w:r>
      <w:r w:rsidR="00693A79">
        <w:t>only 30%</w:t>
      </w:r>
      <w:r w:rsidR="001970E8">
        <w:t xml:space="preserve"> in</w:t>
      </w:r>
      <w:r w:rsidR="00477716">
        <w:t xml:space="preserve"> 2010.</w:t>
      </w:r>
      <w:r w:rsidR="007E7952">
        <w:t xml:space="preserve"> It is thus clear that the </w:t>
      </w:r>
      <w:r w:rsidR="007E7952" w:rsidRPr="00CC5349">
        <w:rPr>
          <w:i/>
        </w:rPr>
        <w:t>combination</w:t>
      </w:r>
      <w:r w:rsidR="007E7952">
        <w:t xml:space="preserve"> of increased turnout and a large swing towards Labour among younger </w:t>
      </w:r>
      <w:r w:rsidR="007E7952">
        <w:lastRenderedPageBreak/>
        <w:t xml:space="preserve">voters was consequential </w:t>
      </w:r>
      <w:r w:rsidR="00CC5349">
        <w:t>in the final result</w:t>
      </w:r>
      <w:r w:rsidR="0068027A">
        <w:t>, though was just one of the factors that contributed to Labour’s surge</w:t>
      </w:r>
      <w:r w:rsidR="00CC5349">
        <w:t>.</w:t>
      </w:r>
      <w:r w:rsidR="009F3FCA">
        <w:rPr>
          <w:rStyle w:val="FootnoteReference"/>
        </w:rPr>
        <w:footnoteReference w:id="4"/>
      </w:r>
    </w:p>
    <w:p w14:paraId="4011874F" w14:textId="63892552" w:rsidR="00240C2C" w:rsidRDefault="00240C2C" w:rsidP="00B716FB">
      <w:pPr>
        <w:spacing w:line="480" w:lineRule="auto"/>
      </w:pPr>
    </w:p>
    <w:p w14:paraId="1F699408" w14:textId="0B9CA4A9" w:rsidR="00EE30E2" w:rsidRDefault="00EE30E2" w:rsidP="00B716FB">
      <w:pPr>
        <w:spacing w:line="480" w:lineRule="auto"/>
      </w:pPr>
      <w:r>
        <w:t>FIGURE 2 HERE</w:t>
      </w:r>
    </w:p>
    <w:p w14:paraId="136590C2" w14:textId="7A181BD1" w:rsidR="00EE30E2" w:rsidRDefault="00EE30E2" w:rsidP="00B716FB">
      <w:pPr>
        <w:spacing w:line="480" w:lineRule="auto"/>
      </w:pPr>
    </w:p>
    <w:p w14:paraId="09F01691" w14:textId="593367F0" w:rsidR="001970E8" w:rsidRPr="001970E8" w:rsidRDefault="001970E8" w:rsidP="00B716FB">
      <w:pPr>
        <w:spacing w:line="480" w:lineRule="auto"/>
        <w:rPr>
          <w:i/>
        </w:rPr>
      </w:pPr>
      <w:r w:rsidRPr="001970E8">
        <w:rPr>
          <w:i/>
        </w:rPr>
        <w:t>Discussion</w:t>
      </w:r>
    </w:p>
    <w:p w14:paraId="29093A39" w14:textId="7B66B897" w:rsidR="00152ABE" w:rsidRDefault="008B1577" w:rsidP="00B716FB">
      <w:pPr>
        <w:spacing w:line="480" w:lineRule="auto"/>
      </w:pPr>
      <w:r>
        <w:t>In this note, we have sought to bring additional high quality evidence to</w:t>
      </w:r>
      <w:r w:rsidR="002A2B58">
        <w:t xml:space="preserve"> bear on</w:t>
      </w:r>
      <w:r>
        <w:t xml:space="preserve"> the question of whether turnout amongst young people exhibited a marked increase in</w:t>
      </w:r>
      <w:r w:rsidR="002A2B58">
        <w:t xml:space="preserve"> the</w:t>
      </w:r>
      <w:r>
        <w:t xml:space="preserve"> 2017</w:t>
      </w:r>
      <w:r w:rsidR="002A2B58">
        <w:t xml:space="preserve"> general election</w:t>
      </w:r>
      <w:r>
        <w:t xml:space="preserve">. Our analysis of </w:t>
      </w:r>
      <w:r w:rsidR="00EE1E83">
        <w:t>the UKHLS</w:t>
      </w:r>
      <w:r>
        <w:t xml:space="preserve"> supports the conclusion that it did, with turnout increasing by 9 percentage points for voters aged under 25 and by 13 points for those aged 25 to 29. </w:t>
      </w:r>
      <w:r w:rsidR="00542C4C">
        <w:t>Because the UKHLS has a very</w:t>
      </w:r>
      <w:r w:rsidR="00542C4C" w:rsidDel="00152ABE">
        <w:t xml:space="preserve"> </w:t>
      </w:r>
      <w:r w:rsidR="00542C4C">
        <w:t>large sample size t</w:t>
      </w:r>
      <w:r w:rsidR="00152ABE">
        <w:t>hese estimates are precisely estimated</w:t>
      </w:r>
      <w:r w:rsidR="002A2B58">
        <w:t>, so it is unlikely that these differences have arisen</w:t>
      </w:r>
      <w:r w:rsidR="00F1793A">
        <w:t xml:space="preserve"> </w:t>
      </w:r>
      <w:r w:rsidR="00864F2A">
        <w:t>due to sampling variability</w:t>
      </w:r>
      <w:r w:rsidR="002A2B58">
        <w:t xml:space="preserve">.  </w:t>
      </w:r>
      <w:r w:rsidR="00F1793A">
        <w:t>Our analysis also shows that the increase in turnout</w:t>
      </w:r>
      <w:r w:rsidR="004E66B4">
        <w:t xml:space="preserve"> amongst younger people</w:t>
      </w:r>
      <w:r w:rsidR="00F1793A">
        <w:t xml:space="preserve"> was not specific to 2017 but, rather, represented a continuation of a change between 2010 and 2015, where turnout amongst </w:t>
      </w:r>
      <w:r w:rsidR="002216E4">
        <w:t xml:space="preserve">the youngest </w:t>
      </w:r>
      <w:r w:rsidR="00F1793A">
        <w:t xml:space="preserve">voters also increased by 9 percentage points. </w:t>
      </w:r>
      <w:r w:rsidR="00C93612">
        <w:t>Curtice and Simpson (2018) have shown, using the British Social Attitudes survey, that turnout amongst the youngest voters saw a similar level of increase between 2005 and 2010, a trend which itself is associated with increasing levels of political interest and engagement amongst younger voters</w:t>
      </w:r>
      <w:r w:rsidR="008B3D34">
        <w:t xml:space="preserve"> (their estimate is of an 18 percentage point increase in youth turnout since </w:t>
      </w:r>
      <w:r w:rsidR="008B3D34">
        <w:lastRenderedPageBreak/>
        <w:t>2001)</w:t>
      </w:r>
      <w:r w:rsidR="00C93612">
        <w:t xml:space="preserve">. Thus, it would seem that rather than being a specific reaction to the particular context of the 2017 general election, and indeed to Jeremy Corbyn, the unusually high levels of voting amongst younger people in fact represented the continuation of a broader secular trend. </w:t>
      </w:r>
    </w:p>
    <w:p w14:paraId="6A5FE698" w14:textId="77777777" w:rsidR="00152ABE" w:rsidRDefault="00152ABE" w:rsidP="00B716FB">
      <w:pPr>
        <w:spacing w:line="480" w:lineRule="auto"/>
      </w:pPr>
    </w:p>
    <w:p w14:paraId="0F94D753" w14:textId="283F5A85" w:rsidR="002A2B58" w:rsidRDefault="00692EC3" w:rsidP="00B716FB">
      <w:pPr>
        <w:spacing w:line="480" w:lineRule="auto"/>
      </w:pPr>
      <w:r>
        <w:t xml:space="preserve">While </w:t>
      </w:r>
      <w:r w:rsidR="00152ABE">
        <w:t>our attention in this note has been on sample size as the driver of differences in estimates of turnout between the available random probability surveys, we cannot rule out the possibility that some of the difference may also arise from differential nonresponse between the studies. In particular, some of the observed increase in turnout over time may have arisen due to attrition of non-voting young people from the UKHLS across waves. However, while nonresponse bias might in principle be the cause of some of the apparent increase in turnout, this must be weighed against the fact that the between wave response rates for the UKHLS are high</w:t>
      </w:r>
      <w:r w:rsidR="00152ABE">
        <w:rPr>
          <w:rStyle w:val="FootnoteReference"/>
        </w:rPr>
        <w:footnoteReference w:id="5"/>
      </w:r>
      <w:r w:rsidR="00152ABE">
        <w:t xml:space="preserve"> and the turnout estimates we have presented are weighted to correct for nonresponse and attrition. We do not, therefore, consider differential nonresponse to be a compelling counter explanation for the turnout changes </w:t>
      </w:r>
      <w:r w:rsidR="00DD190C">
        <w:t xml:space="preserve">that </w:t>
      </w:r>
      <w:r w:rsidR="00152ABE">
        <w:t xml:space="preserve">we </w:t>
      </w:r>
      <w:r w:rsidR="00922722">
        <w:t>have presented</w:t>
      </w:r>
      <w:r w:rsidR="00152ABE">
        <w:t>.</w:t>
      </w:r>
    </w:p>
    <w:p w14:paraId="0E4E4508" w14:textId="6E6B0BFF" w:rsidR="00BD4E24" w:rsidRDefault="00BD4E24" w:rsidP="00B716FB">
      <w:pPr>
        <w:spacing w:line="480" w:lineRule="auto"/>
      </w:pPr>
    </w:p>
    <w:p w14:paraId="550F207C" w14:textId="75BE71F3" w:rsidR="006459DD" w:rsidRDefault="00DE3C7A">
      <w:pPr>
        <w:spacing w:line="480" w:lineRule="auto"/>
      </w:pPr>
      <w:r>
        <w:t>T</w:t>
      </w:r>
      <w:r w:rsidR="002A2B58">
        <w:t>he UKHS</w:t>
      </w:r>
      <w:r w:rsidR="0091771E">
        <w:t xml:space="preserve"> </w:t>
      </w:r>
      <w:r w:rsidR="002A2B58">
        <w:t>is not without limitations</w:t>
      </w:r>
      <w:r>
        <w:t xml:space="preserve"> of its own of course</w:t>
      </w:r>
      <w:r w:rsidR="00922722">
        <w:t>, in addition to those relating to representativeness discussed above. Notably, this includes</w:t>
      </w:r>
      <w:r w:rsidR="0091771E">
        <w:t xml:space="preserve"> the use of</w:t>
      </w:r>
      <w:r w:rsidR="00891FEB">
        <w:t xml:space="preserve"> self-reported turnout</w:t>
      </w:r>
      <w:r w:rsidR="0091771E">
        <w:t xml:space="preserve"> rather than </w:t>
      </w:r>
      <w:r w:rsidR="008A6A90">
        <w:t xml:space="preserve">validated </w:t>
      </w:r>
      <w:r w:rsidR="0091771E">
        <w:t>vote</w:t>
      </w:r>
      <w:r w:rsidR="00BD02E0">
        <w:t xml:space="preserve">. </w:t>
      </w:r>
      <w:r w:rsidR="002A2B58">
        <w:t>The survey</w:t>
      </w:r>
      <w:r w:rsidR="00891FEB">
        <w:t xml:space="preserve"> over-estimates turnout at each</w:t>
      </w:r>
      <w:r w:rsidR="00BD02E0">
        <w:t xml:space="preserve"> of the past three</w:t>
      </w:r>
      <w:r w:rsidR="00891FEB">
        <w:t xml:space="preserve"> </w:t>
      </w:r>
      <w:r w:rsidR="0091771E">
        <w:t xml:space="preserve">general </w:t>
      </w:r>
      <w:r w:rsidR="00891FEB">
        <w:t>election</w:t>
      </w:r>
      <w:r w:rsidR="00BD02E0">
        <w:t xml:space="preserve">s by </w:t>
      </w:r>
      <w:r w:rsidR="002545EF">
        <w:t>around ten</w:t>
      </w:r>
      <w:r w:rsidR="00BD02E0">
        <w:t xml:space="preserve"> percentage points, </w:t>
      </w:r>
      <w:r w:rsidR="002A2B58">
        <w:t xml:space="preserve">which is </w:t>
      </w:r>
      <w:r w:rsidR="00BD02E0">
        <w:t xml:space="preserve">no doubt a combination of nonresponse bias and </w:t>
      </w:r>
      <w:r w:rsidR="002A2B58">
        <w:t xml:space="preserve">respondent </w:t>
      </w:r>
      <w:r w:rsidR="00071BFB">
        <w:t>over</w:t>
      </w:r>
      <w:r w:rsidR="00BD02E0">
        <w:t>-reporting</w:t>
      </w:r>
      <w:r w:rsidR="00891FEB">
        <w:t xml:space="preserve">. </w:t>
      </w:r>
      <w:r w:rsidR="0091771E">
        <w:t xml:space="preserve">Nevertheless, </w:t>
      </w:r>
      <w:r w:rsidR="00A474DC">
        <w:t>there are no strong grounds</w:t>
      </w:r>
      <w:r w:rsidR="00891FEB">
        <w:t xml:space="preserve"> to assume that </w:t>
      </w:r>
      <w:r w:rsidR="002A2B58">
        <w:t>these</w:t>
      </w:r>
      <w:r w:rsidR="00891FEB">
        <w:t xml:space="preserve"> </w:t>
      </w:r>
      <w:r w:rsidR="002A2B58">
        <w:t>errors</w:t>
      </w:r>
      <w:r w:rsidR="00891FEB">
        <w:t xml:space="preserve"> </w:t>
      </w:r>
      <w:r w:rsidR="00A474DC">
        <w:t>vary substantially</w:t>
      </w:r>
      <w:r w:rsidR="00891FEB">
        <w:t xml:space="preserve"> </w:t>
      </w:r>
      <w:r>
        <w:t>over time. Which is to say that, while</w:t>
      </w:r>
      <w:r w:rsidR="00071BFB">
        <w:t xml:space="preserve"> </w:t>
      </w:r>
      <w:r w:rsidR="00891FEB">
        <w:t xml:space="preserve">the </w:t>
      </w:r>
      <w:r w:rsidR="00891FEB" w:rsidRPr="00DE3C7A">
        <w:rPr>
          <w:i/>
          <w:iCs/>
        </w:rPr>
        <w:t>levels</w:t>
      </w:r>
      <w:r w:rsidR="0091771E">
        <w:t xml:space="preserve"> of estimated turnout</w:t>
      </w:r>
      <w:r w:rsidR="00891FEB">
        <w:t xml:space="preserve"> may be </w:t>
      </w:r>
      <w:r w:rsidR="00BD02E0">
        <w:t>too high</w:t>
      </w:r>
      <w:r>
        <w:t xml:space="preserve"> at each election,</w:t>
      </w:r>
      <w:r w:rsidR="00922722">
        <w:t xml:space="preserve"> we assume that </w:t>
      </w:r>
      <w:r w:rsidR="00891FEB" w:rsidRPr="00DC445F">
        <w:rPr>
          <w:i/>
        </w:rPr>
        <w:t>changes</w:t>
      </w:r>
      <w:r w:rsidR="0091771E">
        <w:t xml:space="preserve"> in </w:t>
      </w:r>
      <w:r w:rsidR="00A474DC">
        <w:t xml:space="preserve">these levels are not </w:t>
      </w:r>
      <w:r>
        <w:t>subject to</w:t>
      </w:r>
      <w:r w:rsidR="00891FEB">
        <w:t xml:space="preserve"> systematically different </w:t>
      </w:r>
      <w:r>
        <w:t>errors</w:t>
      </w:r>
      <w:r w:rsidR="00891FEB">
        <w:t xml:space="preserve">. </w:t>
      </w:r>
      <w:r w:rsidR="00A474DC">
        <w:t xml:space="preserve">This assumption would be violated if social norms </w:t>
      </w:r>
      <w:r w:rsidR="00A474DC">
        <w:lastRenderedPageBreak/>
        <w:t>of voting for young people shifted across elections</w:t>
      </w:r>
      <w:r w:rsidR="00922722">
        <w:t>,</w:t>
      </w:r>
      <w:r w:rsidR="00586F3E">
        <w:t xml:space="preserve"> with more social pressure to report having voted in the later elections. T</w:t>
      </w:r>
      <w:r w:rsidR="00A474DC">
        <w:t xml:space="preserve">his is at least </w:t>
      </w:r>
      <w:r w:rsidR="00A474DC" w:rsidRPr="004B5FA7">
        <w:rPr>
          <w:i/>
          <w:iCs/>
        </w:rPr>
        <w:t>prima facie</w:t>
      </w:r>
      <w:r w:rsidR="00A474DC">
        <w:t xml:space="preserve"> plausible in 2017, given the prominence of support for Labour</w:t>
      </w:r>
      <w:r w:rsidR="00922722">
        <w:t xml:space="preserve"> amongst younger voters</w:t>
      </w:r>
      <w:r w:rsidR="00A474DC">
        <w:t xml:space="preserve"> in media reports of the campaign. </w:t>
      </w:r>
      <w:r w:rsidR="00DD190C">
        <w:t>However, t</w:t>
      </w:r>
      <w:r w:rsidR="00B601E7">
        <w:t xml:space="preserve">he vote validation </w:t>
      </w:r>
      <w:r w:rsidR="00DD190C">
        <w:t>exercises</w:t>
      </w:r>
      <w:r w:rsidR="00B601E7">
        <w:t xml:space="preserve"> carried out by the British Election Study at the 2010, 2015, and 2017 reveal no evidence of systematic change in over-reporting between these elections, </w:t>
      </w:r>
      <w:r w:rsidR="00A474DC">
        <w:t>albeit that</w:t>
      </w:r>
      <w:r w:rsidR="00B601E7">
        <w:t xml:space="preserve"> these estimates are also imprecise due to the small sample size</w:t>
      </w:r>
      <w:r w:rsidR="00C86CB5">
        <w:t xml:space="preserve"> of over-reporters at each election</w:t>
      </w:r>
      <w:r w:rsidR="00B601E7">
        <w:t xml:space="preserve">. </w:t>
      </w:r>
      <w:r w:rsidR="00152C9C">
        <w:t xml:space="preserve"> </w:t>
      </w:r>
      <w:r w:rsidR="00810789">
        <w:t>And</w:t>
      </w:r>
      <w:r w:rsidR="00152ABE">
        <w:t xml:space="preserve"> </w:t>
      </w:r>
      <w:r w:rsidR="00BD02E0">
        <w:t>while the</w:t>
      </w:r>
      <w:r>
        <w:t xml:space="preserve"> moniker ‘Youthquake’ no doubt overstates the level of increase</w:t>
      </w:r>
      <w:r w:rsidR="00BD02E0">
        <w:t xml:space="preserve">, </w:t>
      </w:r>
      <w:r>
        <w:t>the evidence we have presented here suggests</w:t>
      </w:r>
      <w:r w:rsidR="00BD02E0">
        <w:t xml:space="preserve"> that </w:t>
      </w:r>
      <w:r w:rsidR="00E11EDF">
        <w:t xml:space="preserve">2017 </w:t>
      </w:r>
      <w:r>
        <w:t>did witness</w:t>
      </w:r>
      <w:r w:rsidR="00E11EDF">
        <w:t xml:space="preserve"> </w:t>
      </w:r>
      <w:r>
        <w:t>a marked increase in turnout amongst young people</w:t>
      </w:r>
      <w:r w:rsidR="00CC5349">
        <w:t xml:space="preserve"> combined with a large swing towards Labour in that group</w:t>
      </w:r>
      <w:r w:rsidR="00E11EDF">
        <w:t>.</w:t>
      </w:r>
      <w:r w:rsidR="00653D57">
        <w:t xml:space="preserve"> </w:t>
      </w:r>
      <w:r w:rsidR="00922722">
        <w:t xml:space="preserve">These findings hold broader implications for our understanding of the likely shape of future elections in the United Kingdom. </w:t>
      </w:r>
      <w:r w:rsidR="00653D57">
        <w:t xml:space="preserve">While younger people </w:t>
      </w:r>
      <w:r w:rsidR="00EB38B7">
        <w:t>remain considerably</w:t>
      </w:r>
      <w:r w:rsidR="00653D57">
        <w:t xml:space="preserve"> less likely to vote than</w:t>
      </w:r>
      <w:r w:rsidR="00EB38B7">
        <w:t xml:space="preserve"> those from</w:t>
      </w:r>
      <w:r w:rsidR="00653D57">
        <w:t xml:space="preserve"> </w:t>
      </w:r>
      <w:r w:rsidR="00EB38B7">
        <w:t>older cohorts</w:t>
      </w:r>
      <w:r w:rsidR="00653D57">
        <w:t>,</w:t>
      </w:r>
      <w:r w:rsidR="00EB38B7">
        <w:t xml:space="preserve"> the turnout gap has been closing progressively over successive elections, since at least 2010. </w:t>
      </w:r>
      <w:r w:rsidR="00653D57">
        <w:t xml:space="preserve"> </w:t>
      </w:r>
      <w:r w:rsidR="00EB38B7">
        <w:t>E</w:t>
      </w:r>
      <w:r w:rsidR="00653D57">
        <w:t xml:space="preserve">vidence of </w:t>
      </w:r>
      <w:r w:rsidR="00EB38B7">
        <w:t>a</w:t>
      </w:r>
      <w:r w:rsidR="00653D57">
        <w:t xml:space="preserve"> long-term trend of rising electoral participation combined with the habit-forming effects of voting early in life points to the potential for</w:t>
      </w:r>
      <w:r w:rsidR="00EB38B7">
        <w:t xml:space="preserve"> younger voters</w:t>
      </w:r>
      <w:r w:rsidR="00653D57">
        <w:t xml:space="preserve"> </w:t>
      </w:r>
      <w:r w:rsidR="00EB38B7">
        <w:t>to be more electorally lucrative for</w:t>
      </w:r>
      <w:r w:rsidR="00653D57">
        <w:t xml:space="preserve"> political parties in</w:t>
      </w:r>
      <w:r w:rsidR="00EB38B7">
        <w:t xml:space="preserve"> the</w:t>
      </w:r>
      <w:r w:rsidR="00653D57">
        <w:t xml:space="preserve"> future.</w:t>
      </w:r>
      <w:r w:rsidR="00AA1D39">
        <w:t xml:space="preserve"> </w:t>
      </w:r>
    </w:p>
    <w:p w14:paraId="57510913" w14:textId="15762B48" w:rsidR="00071BFB" w:rsidRDefault="00071BFB" w:rsidP="00B716FB">
      <w:pPr>
        <w:spacing w:line="480" w:lineRule="auto"/>
      </w:pPr>
    </w:p>
    <w:p w14:paraId="3CDDCE19" w14:textId="77777777" w:rsidR="006459DD" w:rsidRPr="00AA609C" w:rsidRDefault="006459DD" w:rsidP="00B716FB">
      <w:pPr>
        <w:spacing w:line="480" w:lineRule="auto"/>
        <w:rPr>
          <w:b/>
        </w:rPr>
      </w:pPr>
      <w:r w:rsidRPr="00AA609C">
        <w:rPr>
          <w:b/>
        </w:rPr>
        <w:t>References</w:t>
      </w:r>
    </w:p>
    <w:p w14:paraId="03E6BBD1" w14:textId="6940C5B0" w:rsidR="00576F96" w:rsidRPr="007A64FD" w:rsidRDefault="00576F96" w:rsidP="00B716FB">
      <w:pPr>
        <w:spacing w:after="120" w:line="480" w:lineRule="auto"/>
        <w:ind w:left="284" w:hanging="284"/>
        <w:rPr>
          <w:bCs/>
          <w:sz w:val="22"/>
          <w:szCs w:val="22"/>
        </w:rPr>
      </w:pPr>
      <w:r w:rsidRPr="001C1AB0">
        <w:rPr>
          <w:rFonts w:eastAsia="Calibri"/>
          <w:sz w:val="22"/>
          <w:szCs w:val="22"/>
        </w:rPr>
        <w:t>Belli,</w:t>
      </w:r>
      <w:r w:rsidRPr="007A64FD">
        <w:rPr>
          <w:sz w:val="22"/>
          <w:szCs w:val="22"/>
        </w:rPr>
        <w:t xml:space="preserve"> R.</w:t>
      </w:r>
      <w:r w:rsidRPr="001C1AB0">
        <w:rPr>
          <w:rFonts w:eastAsia="Calibri"/>
          <w:sz w:val="22"/>
          <w:szCs w:val="22"/>
        </w:rPr>
        <w:t xml:space="preserve"> Traugott,</w:t>
      </w:r>
      <w:r w:rsidRPr="007A64FD">
        <w:rPr>
          <w:sz w:val="22"/>
          <w:szCs w:val="22"/>
        </w:rPr>
        <w:t xml:space="preserve"> M.</w:t>
      </w:r>
      <w:r w:rsidRPr="001C1AB0">
        <w:rPr>
          <w:rFonts w:eastAsia="Calibri"/>
          <w:sz w:val="22"/>
          <w:szCs w:val="22"/>
        </w:rPr>
        <w:t xml:space="preserve"> Young</w:t>
      </w:r>
      <w:r w:rsidRPr="007A64FD">
        <w:rPr>
          <w:sz w:val="22"/>
          <w:szCs w:val="22"/>
        </w:rPr>
        <w:t>, M.</w:t>
      </w:r>
      <w:r w:rsidRPr="001C1AB0">
        <w:rPr>
          <w:rFonts w:eastAsia="Calibri"/>
          <w:sz w:val="22"/>
          <w:szCs w:val="22"/>
        </w:rPr>
        <w:t xml:space="preserve"> and McGonagle</w:t>
      </w:r>
      <w:r w:rsidRPr="007A64FD">
        <w:rPr>
          <w:sz w:val="22"/>
          <w:szCs w:val="22"/>
        </w:rPr>
        <w:t xml:space="preserve"> M. (1999)</w:t>
      </w:r>
      <w:r w:rsidR="009F3FCA">
        <w:rPr>
          <w:sz w:val="22"/>
          <w:szCs w:val="22"/>
        </w:rPr>
        <w:t>.</w:t>
      </w:r>
      <w:r w:rsidRPr="007A64FD">
        <w:rPr>
          <w:sz w:val="22"/>
          <w:szCs w:val="22"/>
        </w:rPr>
        <w:t xml:space="preserve"> </w:t>
      </w:r>
      <w:r w:rsidR="009F3FCA">
        <w:rPr>
          <w:sz w:val="22"/>
          <w:szCs w:val="22"/>
        </w:rPr>
        <w:t>‘</w:t>
      </w:r>
      <w:r w:rsidRPr="001C1AB0">
        <w:rPr>
          <w:rFonts w:eastAsia="Calibri"/>
          <w:bCs/>
          <w:sz w:val="22"/>
          <w:szCs w:val="22"/>
        </w:rPr>
        <w:t>Reducing Vote Overreporting in Surveys: Social Desirability, Memory Failure, and Source Monitoring</w:t>
      </w:r>
      <w:r w:rsidR="009F3FCA" w:rsidRPr="001C1AB0">
        <w:rPr>
          <w:rFonts w:eastAsia="Calibri"/>
          <w:bCs/>
          <w:sz w:val="22"/>
          <w:szCs w:val="22"/>
        </w:rPr>
        <w:t>.’</w:t>
      </w:r>
      <w:r w:rsidRPr="007A64FD">
        <w:rPr>
          <w:bCs/>
          <w:sz w:val="22"/>
          <w:szCs w:val="22"/>
        </w:rPr>
        <w:t xml:space="preserve"> </w:t>
      </w:r>
      <w:r w:rsidRPr="007A64FD">
        <w:rPr>
          <w:bCs/>
          <w:i/>
          <w:sz w:val="22"/>
          <w:szCs w:val="22"/>
        </w:rPr>
        <w:t>Public Opinion Quarterly</w:t>
      </w:r>
      <w:r w:rsidRPr="007A64FD">
        <w:rPr>
          <w:bCs/>
          <w:sz w:val="22"/>
          <w:szCs w:val="22"/>
        </w:rPr>
        <w:t xml:space="preserve"> 63(1)</w:t>
      </w:r>
      <w:r w:rsidR="009F3FCA">
        <w:rPr>
          <w:bCs/>
          <w:sz w:val="22"/>
          <w:szCs w:val="22"/>
        </w:rPr>
        <w:t>:</w:t>
      </w:r>
      <w:r w:rsidRPr="007A64FD">
        <w:rPr>
          <w:bCs/>
          <w:sz w:val="22"/>
          <w:szCs w:val="22"/>
        </w:rPr>
        <w:t xml:space="preserve"> 90-108.</w:t>
      </w:r>
    </w:p>
    <w:p w14:paraId="22B026C1" w14:textId="4365BD99" w:rsidR="007A64FD" w:rsidRPr="001C1AB0" w:rsidRDefault="007A64FD" w:rsidP="00B716FB">
      <w:pPr>
        <w:spacing w:after="120" w:line="480" w:lineRule="auto"/>
        <w:ind w:left="284" w:hanging="284"/>
        <w:rPr>
          <w:rFonts w:eastAsia="Calibri"/>
          <w:sz w:val="22"/>
          <w:szCs w:val="22"/>
        </w:rPr>
      </w:pPr>
      <w:r w:rsidRPr="001C1AB0">
        <w:rPr>
          <w:rFonts w:eastAsia="Calibri"/>
          <w:sz w:val="22"/>
          <w:szCs w:val="22"/>
        </w:rPr>
        <w:t>Bernstein, R</w:t>
      </w:r>
      <w:r w:rsidR="009F3FCA" w:rsidRPr="001C1AB0">
        <w:rPr>
          <w:rFonts w:eastAsia="Calibri"/>
          <w:sz w:val="22"/>
          <w:szCs w:val="22"/>
        </w:rPr>
        <w:t>.</w:t>
      </w:r>
      <w:r w:rsidRPr="001C1AB0">
        <w:rPr>
          <w:rFonts w:eastAsia="Calibri"/>
          <w:sz w:val="22"/>
          <w:szCs w:val="22"/>
        </w:rPr>
        <w:t>, Chadha,</w:t>
      </w:r>
      <w:r w:rsidR="009F3FCA" w:rsidRPr="001C1AB0">
        <w:rPr>
          <w:rFonts w:eastAsia="Calibri"/>
          <w:sz w:val="22"/>
          <w:szCs w:val="22"/>
        </w:rPr>
        <w:t xml:space="preserve"> A.,</w:t>
      </w:r>
      <w:r w:rsidRPr="001C1AB0">
        <w:rPr>
          <w:rFonts w:eastAsia="Calibri"/>
          <w:sz w:val="22"/>
          <w:szCs w:val="22"/>
        </w:rPr>
        <w:t xml:space="preserve"> and Montjoy</w:t>
      </w:r>
      <w:r w:rsidR="009F3FCA" w:rsidRPr="001C1AB0">
        <w:rPr>
          <w:rFonts w:eastAsia="Calibri"/>
          <w:sz w:val="22"/>
          <w:szCs w:val="22"/>
        </w:rPr>
        <w:t>, R</w:t>
      </w:r>
      <w:r w:rsidRPr="001C1AB0">
        <w:rPr>
          <w:rFonts w:eastAsia="Calibri"/>
          <w:sz w:val="22"/>
          <w:szCs w:val="22"/>
        </w:rPr>
        <w:t xml:space="preserve">. </w:t>
      </w:r>
      <w:r w:rsidR="009F3FCA" w:rsidRPr="001C1AB0">
        <w:rPr>
          <w:rFonts w:eastAsia="Calibri"/>
          <w:sz w:val="22"/>
          <w:szCs w:val="22"/>
        </w:rPr>
        <w:t>(</w:t>
      </w:r>
      <w:r w:rsidRPr="001C1AB0">
        <w:rPr>
          <w:rFonts w:eastAsia="Calibri"/>
          <w:sz w:val="22"/>
          <w:szCs w:val="22"/>
        </w:rPr>
        <w:t>2001</w:t>
      </w:r>
      <w:r w:rsidR="009F3FCA" w:rsidRPr="001C1AB0">
        <w:rPr>
          <w:rFonts w:eastAsia="Calibri"/>
          <w:sz w:val="22"/>
          <w:szCs w:val="22"/>
        </w:rPr>
        <w:t>)</w:t>
      </w:r>
      <w:r w:rsidRPr="001C1AB0">
        <w:rPr>
          <w:rFonts w:eastAsia="Calibri"/>
          <w:sz w:val="22"/>
          <w:szCs w:val="22"/>
        </w:rPr>
        <w:t xml:space="preserve">. </w:t>
      </w:r>
      <w:r w:rsidR="009F3FCA" w:rsidRPr="001C1AB0">
        <w:rPr>
          <w:rFonts w:eastAsia="Calibri"/>
          <w:sz w:val="22"/>
          <w:szCs w:val="22"/>
        </w:rPr>
        <w:t>‘</w:t>
      </w:r>
      <w:r w:rsidRPr="001C1AB0">
        <w:rPr>
          <w:rFonts w:eastAsia="Calibri"/>
          <w:sz w:val="22"/>
          <w:szCs w:val="22"/>
        </w:rPr>
        <w:t>Overreporting Voting.</w:t>
      </w:r>
      <w:r w:rsidR="009F3FCA" w:rsidRPr="001C1AB0">
        <w:rPr>
          <w:rFonts w:eastAsia="Calibri"/>
          <w:sz w:val="22"/>
          <w:szCs w:val="22"/>
        </w:rPr>
        <w:t>’</w:t>
      </w:r>
      <w:r w:rsidRPr="001C1AB0">
        <w:rPr>
          <w:rFonts w:eastAsia="Calibri"/>
          <w:sz w:val="22"/>
          <w:szCs w:val="22"/>
        </w:rPr>
        <w:t xml:space="preserve"> </w:t>
      </w:r>
      <w:r w:rsidRPr="001C1AB0">
        <w:rPr>
          <w:rFonts w:eastAsia="Calibri"/>
          <w:i/>
          <w:sz w:val="22"/>
          <w:szCs w:val="22"/>
        </w:rPr>
        <w:t>Public Opinion Quarterly</w:t>
      </w:r>
      <w:r w:rsidRPr="001C1AB0">
        <w:rPr>
          <w:rFonts w:eastAsia="Calibri"/>
          <w:sz w:val="22"/>
          <w:szCs w:val="22"/>
        </w:rPr>
        <w:t xml:space="preserve"> 65(1): 22</w:t>
      </w:r>
      <w:r w:rsidR="009F3FCA" w:rsidRPr="001C1AB0">
        <w:rPr>
          <w:rFonts w:eastAsia="Calibri"/>
          <w:sz w:val="22"/>
          <w:szCs w:val="22"/>
        </w:rPr>
        <w:t>-</w:t>
      </w:r>
      <w:r w:rsidRPr="001C1AB0">
        <w:rPr>
          <w:rFonts w:eastAsia="Calibri"/>
          <w:sz w:val="22"/>
          <w:szCs w:val="22"/>
        </w:rPr>
        <w:t>44.</w:t>
      </w:r>
    </w:p>
    <w:p w14:paraId="24387511" w14:textId="44722E50" w:rsidR="006459DD" w:rsidRPr="007A64FD" w:rsidRDefault="006459DD" w:rsidP="00B716FB">
      <w:pPr>
        <w:spacing w:after="120" w:line="480" w:lineRule="auto"/>
        <w:ind w:left="284" w:hanging="284"/>
        <w:rPr>
          <w:sz w:val="22"/>
          <w:szCs w:val="22"/>
        </w:rPr>
      </w:pPr>
      <w:r w:rsidRPr="007A64FD">
        <w:rPr>
          <w:sz w:val="22"/>
          <w:szCs w:val="22"/>
        </w:rPr>
        <w:lastRenderedPageBreak/>
        <w:t xml:space="preserve">Bush, S. (2017). </w:t>
      </w:r>
      <w:r w:rsidR="009F3FCA">
        <w:rPr>
          <w:sz w:val="22"/>
          <w:szCs w:val="22"/>
        </w:rPr>
        <w:t>‘</w:t>
      </w:r>
      <w:r w:rsidRPr="007A64FD">
        <w:rPr>
          <w:sz w:val="22"/>
          <w:szCs w:val="22"/>
        </w:rPr>
        <w:t>How Remainers cost Theresa May her majority in the 2017 election.</w:t>
      </w:r>
      <w:r w:rsidR="009F3FCA">
        <w:rPr>
          <w:sz w:val="22"/>
          <w:szCs w:val="22"/>
        </w:rPr>
        <w:t>’</w:t>
      </w:r>
      <w:r w:rsidRPr="007A64FD">
        <w:rPr>
          <w:sz w:val="22"/>
          <w:szCs w:val="22"/>
        </w:rPr>
        <w:t xml:space="preserve"> </w:t>
      </w:r>
      <w:r w:rsidRPr="007A64FD">
        <w:rPr>
          <w:i/>
          <w:sz w:val="22"/>
          <w:szCs w:val="22"/>
        </w:rPr>
        <w:t>The New Statesman</w:t>
      </w:r>
      <w:r w:rsidRPr="007A64FD">
        <w:rPr>
          <w:sz w:val="22"/>
          <w:szCs w:val="22"/>
        </w:rPr>
        <w:t xml:space="preserve">, 24 October 2017. </w:t>
      </w:r>
      <w:hyperlink r:id="rId9" w:history="1">
        <w:r w:rsidRPr="007A64FD">
          <w:rPr>
            <w:rStyle w:val="Hyperlink"/>
            <w:sz w:val="22"/>
            <w:szCs w:val="22"/>
          </w:rPr>
          <w:t>https://www.newstatesman.com/2017/10/how-remainers-cost-theresa-may-her-majority-2017-election</w:t>
        </w:r>
      </w:hyperlink>
    </w:p>
    <w:p w14:paraId="5AB9CF95" w14:textId="3F640156" w:rsidR="008605B2" w:rsidRPr="008605B2" w:rsidRDefault="008605B2" w:rsidP="008605B2">
      <w:pPr>
        <w:spacing w:after="120" w:line="480" w:lineRule="auto"/>
        <w:ind w:left="284" w:hanging="284"/>
        <w:rPr>
          <w:sz w:val="22"/>
          <w:szCs w:val="22"/>
        </w:rPr>
      </w:pPr>
      <w:r w:rsidRPr="008605B2">
        <w:rPr>
          <w:sz w:val="22"/>
          <w:szCs w:val="22"/>
        </w:rPr>
        <w:t>Curtice, J., Fisher,</w:t>
      </w:r>
      <w:r>
        <w:rPr>
          <w:sz w:val="22"/>
          <w:szCs w:val="22"/>
        </w:rPr>
        <w:t xml:space="preserve"> </w:t>
      </w:r>
      <w:r w:rsidRPr="008605B2">
        <w:rPr>
          <w:sz w:val="22"/>
          <w:szCs w:val="22"/>
        </w:rPr>
        <w:t>S.D.</w:t>
      </w:r>
      <w:r>
        <w:rPr>
          <w:sz w:val="22"/>
          <w:szCs w:val="22"/>
        </w:rPr>
        <w:t xml:space="preserve">, </w:t>
      </w:r>
      <w:r w:rsidRPr="008605B2">
        <w:rPr>
          <w:sz w:val="22"/>
          <w:szCs w:val="22"/>
        </w:rPr>
        <w:t>Ford, R.</w:t>
      </w:r>
      <w:r>
        <w:rPr>
          <w:sz w:val="22"/>
          <w:szCs w:val="22"/>
        </w:rPr>
        <w:t xml:space="preserve">, </w:t>
      </w:r>
      <w:r w:rsidRPr="008605B2">
        <w:rPr>
          <w:sz w:val="22"/>
          <w:szCs w:val="22"/>
        </w:rPr>
        <w:t>and English</w:t>
      </w:r>
      <w:r>
        <w:rPr>
          <w:sz w:val="22"/>
          <w:szCs w:val="22"/>
        </w:rPr>
        <w:t xml:space="preserve">, </w:t>
      </w:r>
      <w:r w:rsidRPr="008605B2">
        <w:rPr>
          <w:sz w:val="22"/>
          <w:szCs w:val="22"/>
        </w:rPr>
        <w:t xml:space="preserve">P. (2018). </w:t>
      </w:r>
      <w:r>
        <w:rPr>
          <w:sz w:val="22"/>
          <w:szCs w:val="22"/>
        </w:rPr>
        <w:t>‘</w:t>
      </w:r>
      <w:r w:rsidRPr="008605B2">
        <w:rPr>
          <w:sz w:val="22"/>
          <w:szCs w:val="22"/>
        </w:rPr>
        <w:t>An Analysis of the Results.</w:t>
      </w:r>
      <w:r>
        <w:rPr>
          <w:sz w:val="22"/>
          <w:szCs w:val="22"/>
        </w:rPr>
        <w:t>’</w:t>
      </w:r>
      <w:r w:rsidRPr="008605B2">
        <w:rPr>
          <w:sz w:val="22"/>
          <w:szCs w:val="22"/>
        </w:rPr>
        <w:t xml:space="preserve"> In P. Cowley and D. Kavanagh (Eds.), </w:t>
      </w:r>
      <w:r w:rsidRPr="00AA1D39">
        <w:rPr>
          <w:i/>
          <w:sz w:val="22"/>
          <w:szCs w:val="22"/>
        </w:rPr>
        <w:t>The British General Election of 2017</w:t>
      </w:r>
      <w:r w:rsidRPr="008605B2">
        <w:rPr>
          <w:sz w:val="22"/>
          <w:szCs w:val="22"/>
        </w:rPr>
        <w:t>, pp. 449</w:t>
      </w:r>
      <w:r>
        <w:rPr>
          <w:sz w:val="22"/>
          <w:szCs w:val="22"/>
        </w:rPr>
        <w:t>-</w:t>
      </w:r>
      <w:r w:rsidRPr="008605B2">
        <w:rPr>
          <w:sz w:val="22"/>
          <w:szCs w:val="22"/>
        </w:rPr>
        <w:t>495. London: Palgrave Macmillan.</w:t>
      </w:r>
    </w:p>
    <w:p w14:paraId="13D4DC2A" w14:textId="56F045FD" w:rsidR="00542C4C" w:rsidRPr="00542C4C" w:rsidRDefault="00542C4C" w:rsidP="00542C4C">
      <w:pPr>
        <w:spacing w:after="120" w:line="480" w:lineRule="auto"/>
        <w:ind w:left="284" w:hanging="284"/>
        <w:rPr>
          <w:sz w:val="22"/>
          <w:szCs w:val="22"/>
        </w:rPr>
      </w:pPr>
      <w:r w:rsidRPr="00542C4C">
        <w:rPr>
          <w:sz w:val="22"/>
          <w:szCs w:val="22"/>
        </w:rPr>
        <w:t xml:space="preserve">Curtice, J. and I. Simpson (2018). </w:t>
      </w:r>
      <w:r w:rsidRPr="00AA1D39">
        <w:rPr>
          <w:i/>
          <w:sz w:val="22"/>
          <w:szCs w:val="22"/>
        </w:rPr>
        <w:t xml:space="preserve">Why Turnout Increased in the 2017 General Election </w:t>
      </w:r>
      <w:proofErr w:type="gramStart"/>
      <w:r w:rsidRPr="00AA1D39">
        <w:rPr>
          <w:i/>
          <w:sz w:val="22"/>
          <w:szCs w:val="22"/>
        </w:rPr>
        <w:t>And</w:t>
      </w:r>
      <w:proofErr w:type="gramEnd"/>
      <w:r w:rsidRPr="00AA1D39">
        <w:rPr>
          <w:i/>
          <w:sz w:val="22"/>
          <w:szCs w:val="22"/>
        </w:rPr>
        <w:t xml:space="preserve"> The Increase Did Not Help Labour</w:t>
      </w:r>
      <w:r w:rsidRPr="00542C4C">
        <w:rPr>
          <w:sz w:val="22"/>
          <w:szCs w:val="22"/>
        </w:rPr>
        <w:t>. NatCen Social Research, London. </w:t>
      </w:r>
    </w:p>
    <w:p w14:paraId="20A9CB35" w14:textId="77777777" w:rsidR="006459DD" w:rsidRPr="007A64FD" w:rsidRDefault="006459DD" w:rsidP="00B716FB">
      <w:pPr>
        <w:spacing w:after="120" w:line="480" w:lineRule="auto"/>
        <w:ind w:left="284" w:hanging="284"/>
        <w:rPr>
          <w:sz w:val="22"/>
          <w:szCs w:val="22"/>
        </w:rPr>
      </w:pPr>
      <w:r w:rsidRPr="007A64FD">
        <w:rPr>
          <w:sz w:val="22"/>
          <w:szCs w:val="22"/>
        </w:rPr>
        <w:t>Gerber, A.S., Green, D.P., and Shachar, R. (2003). ‘Voting May Be Habit</w:t>
      </w:r>
      <w:r w:rsidRPr="007A64FD">
        <w:rPr>
          <w:rFonts w:ascii="Cambria Math" w:hAnsi="Cambria Math" w:cs="Cambria Math"/>
          <w:sz w:val="22"/>
          <w:szCs w:val="22"/>
        </w:rPr>
        <w:t>‐</w:t>
      </w:r>
      <w:r w:rsidRPr="007A64FD">
        <w:rPr>
          <w:sz w:val="22"/>
          <w:szCs w:val="22"/>
        </w:rPr>
        <w:t xml:space="preserve">Forming: Evidence from a Randomized Field Experiment.’ </w:t>
      </w:r>
      <w:r w:rsidRPr="007A64FD">
        <w:rPr>
          <w:i/>
          <w:sz w:val="22"/>
          <w:szCs w:val="22"/>
        </w:rPr>
        <w:t>American Journal of Political Science</w:t>
      </w:r>
      <w:r w:rsidRPr="007A64FD">
        <w:rPr>
          <w:sz w:val="22"/>
          <w:szCs w:val="22"/>
        </w:rPr>
        <w:t xml:space="preserve"> 47: 540-550.</w:t>
      </w:r>
    </w:p>
    <w:p w14:paraId="2CE576D6" w14:textId="77777777" w:rsidR="006459DD" w:rsidRPr="007A64FD" w:rsidRDefault="006459DD" w:rsidP="00B716FB">
      <w:pPr>
        <w:spacing w:after="120" w:line="480" w:lineRule="auto"/>
        <w:ind w:left="284" w:hanging="284"/>
        <w:rPr>
          <w:sz w:val="22"/>
          <w:szCs w:val="22"/>
        </w:rPr>
      </w:pPr>
      <w:r w:rsidRPr="007A64FD">
        <w:rPr>
          <w:sz w:val="22"/>
          <w:szCs w:val="22"/>
        </w:rPr>
        <w:t>Heath, O. and Goodwin, M. (2017). ‘The 2017 General Election, Brexit and the Return to Two</w:t>
      </w:r>
      <w:r w:rsidRPr="007A64FD">
        <w:rPr>
          <w:rFonts w:ascii="Cambria Math" w:hAnsi="Cambria Math" w:cs="Cambria Math"/>
          <w:sz w:val="22"/>
          <w:szCs w:val="22"/>
        </w:rPr>
        <w:t>‐</w:t>
      </w:r>
      <w:r w:rsidRPr="007A64FD">
        <w:rPr>
          <w:sz w:val="22"/>
          <w:szCs w:val="22"/>
        </w:rPr>
        <w:t>Party Politics: An Aggregate</w:t>
      </w:r>
      <w:r w:rsidRPr="007A64FD">
        <w:rPr>
          <w:rFonts w:ascii="Cambria Math" w:hAnsi="Cambria Math" w:cs="Cambria Math"/>
          <w:sz w:val="22"/>
          <w:szCs w:val="22"/>
        </w:rPr>
        <w:t>‐</w:t>
      </w:r>
      <w:r w:rsidRPr="007A64FD">
        <w:rPr>
          <w:sz w:val="22"/>
          <w:szCs w:val="22"/>
        </w:rPr>
        <w:t xml:space="preserve">Level Analysis of the Result.’ </w:t>
      </w:r>
      <w:r w:rsidRPr="007A64FD">
        <w:rPr>
          <w:i/>
          <w:sz w:val="22"/>
          <w:szCs w:val="22"/>
        </w:rPr>
        <w:t>The Political Quarterly</w:t>
      </w:r>
      <w:r w:rsidRPr="007A64FD">
        <w:rPr>
          <w:sz w:val="22"/>
          <w:szCs w:val="22"/>
        </w:rPr>
        <w:t xml:space="preserve"> 88(3): 345-358.</w:t>
      </w:r>
    </w:p>
    <w:p w14:paraId="7A0CCDA0" w14:textId="77F58B5F" w:rsidR="006459DD" w:rsidRPr="007A64FD" w:rsidRDefault="006459DD" w:rsidP="00B716FB">
      <w:pPr>
        <w:spacing w:after="120" w:line="480" w:lineRule="auto"/>
        <w:ind w:left="284" w:hanging="284"/>
        <w:rPr>
          <w:sz w:val="22"/>
          <w:szCs w:val="22"/>
        </w:rPr>
      </w:pPr>
      <w:r w:rsidRPr="007A64FD">
        <w:rPr>
          <w:sz w:val="22"/>
          <w:szCs w:val="22"/>
        </w:rPr>
        <w:t xml:space="preserve">Heaven, W. (2017). </w:t>
      </w:r>
      <w:r w:rsidR="009F3FCA">
        <w:rPr>
          <w:sz w:val="22"/>
          <w:szCs w:val="22"/>
        </w:rPr>
        <w:t>‘</w:t>
      </w:r>
      <w:r w:rsidRPr="007A64FD">
        <w:rPr>
          <w:sz w:val="22"/>
          <w:szCs w:val="22"/>
        </w:rPr>
        <w:t>How the dementia tax – a ‘nasty party’ policy – lost Theresa May her majority.</w:t>
      </w:r>
      <w:r w:rsidR="009F3FCA">
        <w:rPr>
          <w:sz w:val="22"/>
          <w:szCs w:val="22"/>
        </w:rPr>
        <w:t>’</w:t>
      </w:r>
      <w:r w:rsidRPr="007A64FD">
        <w:rPr>
          <w:sz w:val="22"/>
          <w:szCs w:val="22"/>
        </w:rPr>
        <w:t xml:space="preserve"> </w:t>
      </w:r>
      <w:r w:rsidRPr="007A64FD">
        <w:rPr>
          <w:i/>
          <w:sz w:val="22"/>
          <w:szCs w:val="22"/>
        </w:rPr>
        <w:t>The Spectator</w:t>
      </w:r>
      <w:r w:rsidRPr="007A64FD">
        <w:rPr>
          <w:sz w:val="22"/>
          <w:szCs w:val="22"/>
        </w:rPr>
        <w:t xml:space="preserve">, 10 June 2017. </w:t>
      </w:r>
      <w:hyperlink r:id="rId10" w:history="1">
        <w:r w:rsidR="009F3FCA" w:rsidRPr="00F52D69">
          <w:rPr>
            <w:rStyle w:val="Hyperlink"/>
            <w:sz w:val="22"/>
            <w:szCs w:val="22"/>
          </w:rPr>
          <w:t>https://blogs.spectator.co.uk/2017/06/dementia-tax-nasty-party-policy-lost-theresa-may-majority/</w:t>
        </w:r>
      </w:hyperlink>
      <w:r w:rsidR="009F3FCA">
        <w:rPr>
          <w:sz w:val="22"/>
          <w:szCs w:val="22"/>
        </w:rPr>
        <w:t xml:space="preserve"> </w:t>
      </w:r>
    </w:p>
    <w:p w14:paraId="583963D1" w14:textId="77777777" w:rsidR="006459DD" w:rsidRPr="007A64FD" w:rsidRDefault="006459DD" w:rsidP="00B716FB">
      <w:pPr>
        <w:spacing w:after="120" w:line="480" w:lineRule="auto"/>
        <w:ind w:left="284" w:hanging="284"/>
        <w:rPr>
          <w:sz w:val="22"/>
          <w:szCs w:val="22"/>
        </w:rPr>
      </w:pPr>
      <w:r w:rsidRPr="007A64FD">
        <w:rPr>
          <w:sz w:val="22"/>
          <w:szCs w:val="22"/>
        </w:rPr>
        <w:t xml:space="preserve">Hunt, A., and Wheeler, B. (2017). ‘'Theresa May: 10 reasons why the PM blew her majority.’ </w:t>
      </w:r>
      <w:r w:rsidRPr="007A64FD">
        <w:rPr>
          <w:i/>
          <w:sz w:val="22"/>
          <w:szCs w:val="22"/>
        </w:rPr>
        <w:t>BBC News</w:t>
      </w:r>
      <w:r w:rsidRPr="007A64FD">
        <w:rPr>
          <w:sz w:val="22"/>
          <w:szCs w:val="22"/>
        </w:rPr>
        <w:t xml:space="preserve">, 14 June 2017. </w:t>
      </w:r>
      <w:hyperlink r:id="rId11" w:history="1">
        <w:r w:rsidRPr="007A64FD">
          <w:rPr>
            <w:rStyle w:val="Hyperlink"/>
            <w:sz w:val="22"/>
            <w:szCs w:val="22"/>
          </w:rPr>
          <w:t>https://www.bbc.co.uk/news/election-2017-40237833</w:t>
        </w:r>
      </w:hyperlink>
    </w:p>
    <w:p w14:paraId="2CB729F6" w14:textId="4DED53D3" w:rsidR="006459DD" w:rsidRDefault="006459DD" w:rsidP="00B716FB">
      <w:pPr>
        <w:spacing w:after="120" w:line="480" w:lineRule="auto"/>
        <w:ind w:left="284" w:hanging="284"/>
        <w:rPr>
          <w:sz w:val="22"/>
          <w:szCs w:val="22"/>
        </w:rPr>
      </w:pPr>
      <w:r w:rsidRPr="007A64FD">
        <w:rPr>
          <w:sz w:val="22"/>
          <w:szCs w:val="22"/>
        </w:rPr>
        <w:t xml:space="preserve">Jennings, W. (2018). ‘The Polls in 2017’ in Dominic Wring, Roger Mortimore &amp; Simon Atkinson (eds.) </w:t>
      </w:r>
      <w:r w:rsidRPr="007A64FD">
        <w:rPr>
          <w:i/>
          <w:sz w:val="22"/>
          <w:szCs w:val="22"/>
        </w:rPr>
        <w:t>Political Communication in Britain: Campaigning, Media and Polling in the 2017 General Election</w:t>
      </w:r>
      <w:r w:rsidRPr="007A64FD">
        <w:rPr>
          <w:sz w:val="22"/>
          <w:szCs w:val="22"/>
        </w:rPr>
        <w:t>. Basingstoke: Palgrave Macmillan.</w:t>
      </w:r>
    </w:p>
    <w:p w14:paraId="24B59441" w14:textId="1E274517" w:rsidR="00152C9C" w:rsidRPr="007A64FD" w:rsidRDefault="00152C9C" w:rsidP="00542C4C">
      <w:pPr>
        <w:spacing w:after="120" w:line="480" w:lineRule="auto"/>
        <w:ind w:left="284" w:hanging="284"/>
        <w:rPr>
          <w:sz w:val="22"/>
          <w:szCs w:val="22"/>
        </w:rPr>
      </w:pPr>
      <w:r w:rsidRPr="00152C9C">
        <w:rPr>
          <w:sz w:val="22"/>
          <w:szCs w:val="22"/>
        </w:rPr>
        <w:t>Lynn</w:t>
      </w:r>
      <w:r>
        <w:rPr>
          <w:sz w:val="22"/>
          <w:szCs w:val="22"/>
        </w:rPr>
        <w:t>, P.</w:t>
      </w:r>
      <w:r w:rsidRPr="00152C9C">
        <w:rPr>
          <w:sz w:val="22"/>
          <w:szCs w:val="22"/>
        </w:rPr>
        <w:t xml:space="preserve"> and Kaminska</w:t>
      </w:r>
      <w:r>
        <w:rPr>
          <w:sz w:val="22"/>
          <w:szCs w:val="22"/>
        </w:rPr>
        <w:t>, O.</w:t>
      </w:r>
      <w:r w:rsidRPr="00152C9C">
        <w:rPr>
          <w:sz w:val="22"/>
          <w:szCs w:val="22"/>
        </w:rPr>
        <w:t xml:space="preserve"> (2010)</w:t>
      </w:r>
      <w:r w:rsidR="004B5FA7">
        <w:rPr>
          <w:sz w:val="22"/>
          <w:szCs w:val="22"/>
        </w:rPr>
        <w:t>.</w:t>
      </w:r>
      <w:r w:rsidRPr="00152C9C">
        <w:rPr>
          <w:sz w:val="22"/>
          <w:szCs w:val="22"/>
        </w:rPr>
        <w:t xml:space="preserve"> Weighting strategy for Understanding Society, </w:t>
      </w:r>
      <w:r w:rsidRPr="00152C9C">
        <w:rPr>
          <w:i/>
          <w:iCs/>
          <w:sz w:val="22"/>
          <w:szCs w:val="22"/>
        </w:rPr>
        <w:t>Understanding Society Working Paper 2010-05</w:t>
      </w:r>
      <w:r w:rsidR="004B5FA7">
        <w:rPr>
          <w:sz w:val="22"/>
          <w:szCs w:val="22"/>
        </w:rPr>
        <w:t>.</w:t>
      </w:r>
      <w:r w:rsidRPr="00152C9C">
        <w:rPr>
          <w:sz w:val="22"/>
          <w:szCs w:val="22"/>
        </w:rPr>
        <w:t xml:space="preserve"> Colchester: University of Essex</w:t>
      </w:r>
    </w:p>
    <w:p w14:paraId="30FB0CB6" w14:textId="42CCDB08" w:rsidR="007B57E3" w:rsidRDefault="007B57E3" w:rsidP="00B716FB">
      <w:pPr>
        <w:spacing w:after="120" w:line="480" w:lineRule="auto"/>
        <w:ind w:left="284" w:hanging="284"/>
        <w:rPr>
          <w:sz w:val="22"/>
          <w:szCs w:val="22"/>
        </w:rPr>
      </w:pPr>
      <w:r w:rsidRPr="007B57E3">
        <w:rPr>
          <w:sz w:val="22"/>
          <w:szCs w:val="22"/>
        </w:rPr>
        <w:t>Mellon,</w:t>
      </w:r>
      <w:r>
        <w:rPr>
          <w:sz w:val="22"/>
          <w:szCs w:val="22"/>
        </w:rPr>
        <w:t xml:space="preserve"> J., </w:t>
      </w:r>
      <w:r w:rsidRPr="007B57E3">
        <w:rPr>
          <w:sz w:val="22"/>
          <w:szCs w:val="22"/>
        </w:rPr>
        <w:t>Evans,</w:t>
      </w:r>
      <w:r>
        <w:rPr>
          <w:sz w:val="22"/>
          <w:szCs w:val="22"/>
        </w:rPr>
        <w:t xml:space="preserve"> G.,</w:t>
      </w:r>
      <w:r w:rsidRPr="007B57E3">
        <w:rPr>
          <w:sz w:val="22"/>
          <w:szCs w:val="22"/>
        </w:rPr>
        <w:t xml:space="preserve"> Fieldhouse,</w:t>
      </w:r>
      <w:r>
        <w:rPr>
          <w:sz w:val="22"/>
          <w:szCs w:val="22"/>
        </w:rPr>
        <w:t xml:space="preserve"> E., </w:t>
      </w:r>
      <w:r w:rsidRPr="007B57E3">
        <w:rPr>
          <w:sz w:val="22"/>
          <w:szCs w:val="22"/>
        </w:rPr>
        <w:t>Green,</w:t>
      </w:r>
      <w:r>
        <w:rPr>
          <w:sz w:val="22"/>
          <w:szCs w:val="22"/>
        </w:rPr>
        <w:t xml:space="preserve"> J. and</w:t>
      </w:r>
      <w:r w:rsidRPr="007B57E3">
        <w:rPr>
          <w:sz w:val="22"/>
          <w:szCs w:val="22"/>
        </w:rPr>
        <w:t xml:space="preserve"> Prosser,</w:t>
      </w:r>
      <w:r>
        <w:rPr>
          <w:sz w:val="22"/>
          <w:szCs w:val="22"/>
        </w:rPr>
        <w:t xml:space="preserve"> C. (2018)</w:t>
      </w:r>
      <w:r w:rsidRPr="007B57E3">
        <w:rPr>
          <w:sz w:val="22"/>
          <w:szCs w:val="22"/>
        </w:rPr>
        <w:t xml:space="preserve"> </w:t>
      </w:r>
      <w:r>
        <w:rPr>
          <w:sz w:val="22"/>
          <w:szCs w:val="22"/>
        </w:rPr>
        <w:t>‘</w:t>
      </w:r>
      <w:r w:rsidRPr="007B57E3">
        <w:rPr>
          <w:sz w:val="22"/>
          <w:szCs w:val="22"/>
        </w:rPr>
        <w:t>Brexit or Corbyn? Campaign and Inter-Election Vote Switching in the 2017 UK General Election</w:t>
      </w:r>
      <w:r>
        <w:rPr>
          <w:sz w:val="22"/>
          <w:szCs w:val="22"/>
        </w:rPr>
        <w:t>.’</w:t>
      </w:r>
      <w:r w:rsidRPr="007B57E3">
        <w:rPr>
          <w:sz w:val="22"/>
          <w:szCs w:val="22"/>
        </w:rPr>
        <w:t xml:space="preserve"> </w:t>
      </w:r>
      <w:r w:rsidRPr="007B57E3">
        <w:rPr>
          <w:i/>
          <w:sz w:val="22"/>
          <w:szCs w:val="22"/>
        </w:rPr>
        <w:t>Parliamentary Affairs</w:t>
      </w:r>
      <w:r w:rsidRPr="007B57E3">
        <w:rPr>
          <w:sz w:val="22"/>
          <w:szCs w:val="22"/>
        </w:rPr>
        <w:t xml:space="preserve"> 71</w:t>
      </w:r>
      <w:r>
        <w:rPr>
          <w:sz w:val="22"/>
          <w:szCs w:val="22"/>
        </w:rPr>
        <w:t>(</w:t>
      </w:r>
      <w:r w:rsidRPr="007B57E3">
        <w:rPr>
          <w:sz w:val="22"/>
          <w:szCs w:val="22"/>
        </w:rPr>
        <w:t>4</w:t>
      </w:r>
      <w:r>
        <w:rPr>
          <w:sz w:val="22"/>
          <w:szCs w:val="22"/>
        </w:rPr>
        <w:t xml:space="preserve">): </w:t>
      </w:r>
      <w:r w:rsidRPr="007B57E3">
        <w:rPr>
          <w:sz w:val="22"/>
          <w:szCs w:val="22"/>
        </w:rPr>
        <w:t>719</w:t>
      </w:r>
      <w:r>
        <w:rPr>
          <w:sz w:val="22"/>
          <w:szCs w:val="22"/>
        </w:rPr>
        <w:t>-</w:t>
      </w:r>
      <w:r w:rsidRPr="007B57E3">
        <w:rPr>
          <w:sz w:val="22"/>
          <w:szCs w:val="22"/>
        </w:rPr>
        <w:t>737</w:t>
      </w:r>
      <w:r>
        <w:rPr>
          <w:sz w:val="22"/>
          <w:szCs w:val="22"/>
        </w:rPr>
        <w:t>.</w:t>
      </w:r>
    </w:p>
    <w:p w14:paraId="09D17E77" w14:textId="77777777" w:rsidR="006459DD" w:rsidRPr="007A64FD" w:rsidRDefault="006459DD" w:rsidP="00B716FB">
      <w:pPr>
        <w:spacing w:after="120" w:line="480" w:lineRule="auto"/>
        <w:ind w:left="284" w:hanging="284"/>
        <w:rPr>
          <w:sz w:val="22"/>
          <w:szCs w:val="22"/>
        </w:rPr>
      </w:pPr>
      <w:r w:rsidRPr="007A64FD">
        <w:rPr>
          <w:sz w:val="22"/>
          <w:szCs w:val="22"/>
        </w:rPr>
        <w:lastRenderedPageBreak/>
        <w:t xml:space="preserve">Merrick, R. (2017). ‘Remain voters destroyed Tory majority by flocking to Labour as 'best bet' to stop a hard Brexit, finds study.’ </w:t>
      </w:r>
      <w:r w:rsidRPr="007A64FD">
        <w:rPr>
          <w:i/>
          <w:sz w:val="22"/>
          <w:szCs w:val="22"/>
        </w:rPr>
        <w:t>The Independent</w:t>
      </w:r>
      <w:r w:rsidRPr="007A64FD">
        <w:rPr>
          <w:sz w:val="22"/>
          <w:szCs w:val="22"/>
        </w:rPr>
        <w:t>, 1 August 2017. https://www.independent.co.uk/news/uk/politics/remain-voters-tory-majority-election-labour-hard-brexit-conservatives-leave-eu-talks-minority-jeremy-a7871541.html</w:t>
      </w:r>
    </w:p>
    <w:p w14:paraId="44ED4245" w14:textId="5AF47F4D" w:rsidR="006459DD" w:rsidRPr="007A64FD" w:rsidRDefault="006459DD" w:rsidP="00B716FB">
      <w:pPr>
        <w:spacing w:after="120" w:line="480" w:lineRule="auto"/>
        <w:ind w:left="284" w:hanging="284"/>
        <w:rPr>
          <w:rStyle w:val="Hyperlink"/>
          <w:sz w:val="22"/>
          <w:szCs w:val="22"/>
        </w:rPr>
      </w:pPr>
      <w:r w:rsidRPr="007A64FD">
        <w:rPr>
          <w:sz w:val="22"/>
          <w:szCs w:val="22"/>
        </w:rPr>
        <w:t>Morgan Britton, L. (2017). ‘Here’s the NME exit poll of how young people voted in 2017 General Election.’</w:t>
      </w:r>
      <w:r w:rsidRPr="007A64FD">
        <w:rPr>
          <w:i/>
          <w:sz w:val="22"/>
          <w:szCs w:val="22"/>
        </w:rPr>
        <w:t xml:space="preserve"> NME</w:t>
      </w:r>
      <w:r w:rsidRPr="007A64FD">
        <w:rPr>
          <w:sz w:val="22"/>
          <w:szCs w:val="22"/>
        </w:rPr>
        <w:t xml:space="preserve">, 9 June 2017. </w:t>
      </w:r>
      <w:hyperlink r:id="rId12" w:history="1">
        <w:r w:rsidRPr="007A64FD">
          <w:rPr>
            <w:rStyle w:val="Hyperlink"/>
            <w:sz w:val="22"/>
            <w:szCs w:val="22"/>
          </w:rPr>
          <w:t>https://www.nme.com/news/nme-exit-poll-young-voters-2017-general-election-2086012</w:t>
        </w:r>
      </w:hyperlink>
    </w:p>
    <w:p w14:paraId="441A70EB" w14:textId="3FDB1C17" w:rsidR="002216E4" w:rsidRPr="007A64FD" w:rsidRDefault="002216E4" w:rsidP="00B716FB">
      <w:pPr>
        <w:spacing w:after="120" w:line="480" w:lineRule="auto"/>
        <w:ind w:left="284" w:hanging="284"/>
        <w:rPr>
          <w:bCs/>
          <w:sz w:val="22"/>
          <w:szCs w:val="22"/>
        </w:rPr>
      </w:pPr>
      <w:r w:rsidRPr="002216E4">
        <w:rPr>
          <w:bCs/>
          <w:sz w:val="22"/>
          <w:szCs w:val="22"/>
        </w:rPr>
        <w:t xml:space="preserve">Mellon, </w:t>
      </w:r>
      <w:r w:rsidR="007D6D79" w:rsidRPr="002216E4">
        <w:rPr>
          <w:bCs/>
          <w:sz w:val="22"/>
          <w:szCs w:val="22"/>
        </w:rPr>
        <w:t>J</w:t>
      </w:r>
      <w:r w:rsidR="007D6D79">
        <w:rPr>
          <w:bCs/>
          <w:sz w:val="22"/>
          <w:szCs w:val="22"/>
        </w:rPr>
        <w:t>.</w:t>
      </w:r>
      <w:r w:rsidR="007D6D79" w:rsidRPr="002216E4">
        <w:rPr>
          <w:bCs/>
          <w:sz w:val="22"/>
          <w:szCs w:val="22"/>
        </w:rPr>
        <w:t xml:space="preserve"> </w:t>
      </w:r>
      <w:r w:rsidRPr="002216E4">
        <w:rPr>
          <w:bCs/>
          <w:sz w:val="22"/>
          <w:szCs w:val="22"/>
        </w:rPr>
        <w:t>and Prosser, C</w:t>
      </w:r>
      <w:r w:rsidR="007D6D79">
        <w:rPr>
          <w:bCs/>
          <w:sz w:val="22"/>
          <w:szCs w:val="22"/>
        </w:rPr>
        <w:t>. (2017a).</w:t>
      </w:r>
      <w:r w:rsidRPr="002216E4">
        <w:rPr>
          <w:bCs/>
          <w:sz w:val="22"/>
          <w:szCs w:val="22"/>
        </w:rPr>
        <w:t xml:space="preserve"> </w:t>
      </w:r>
      <w:r w:rsidR="007D6D79">
        <w:rPr>
          <w:bCs/>
          <w:sz w:val="22"/>
          <w:szCs w:val="22"/>
        </w:rPr>
        <w:t>‘</w:t>
      </w:r>
      <w:r w:rsidRPr="002216E4">
        <w:rPr>
          <w:bCs/>
          <w:sz w:val="22"/>
          <w:szCs w:val="22"/>
        </w:rPr>
        <w:t>Mainstream Protest Voting: Did Voters Choose Brexit and Corbyn because they expected them to lose? (August 2, 2017</w:t>
      </w:r>
      <w:r>
        <w:rPr>
          <w:bCs/>
          <w:sz w:val="22"/>
          <w:szCs w:val="22"/>
        </w:rPr>
        <w:t>b</w:t>
      </w:r>
      <w:r w:rsidRPr="002216E4">
        <w:rPr>
          <w:bCs/>
          <w:sz w:val="22"/>
          <w:szCs w:val="22"/>
        </w:rPr>
        <w:t>). Available at SSRN: </w:t>
      </w:r>
      <w:hyperlink r:id="rId13" w:tgtFrame="_blank" w:history="1">
        <w:r w:rsidRPr="002216E4">
          <w:rPr>
            <w:rStyle w:val="Hyperlink"/>
            <w:bCs/>
            <w:sz w:val="22"/>
            <w:szCs w:val="22"/>
          </w:rPr>
          <w:t>https://ssrn.com/abstract=3012739</w:t>
        </w:r>
      </w:hyperlink>
      <w:r w:rsidRPr="002216E4">
        <w:rPr>
          <w:bCs/>
          <w:sz w:val="22"/>
          <w:szCs w:val="22"/>
        </w:rPr>
        <w:t> or </w:t>
      </w:r>
      <w:hyperlink r:id="rId14" w:tgtFrame="_blank" w:history="1">
        <w:r w:rsidRPr="002216E4">
          <w:rPr>
            <w:rStyle w:val="Hyperlink"/>
            <w:bCs/>
            <w:sz w:val="22"/>
            <w:szCs w:val="22"/>
          </w:rPr>
          <w:t>http://dx.doi.org/10.2139/ssrn.3012739</w:t>
        </w:r>
      </w:hyperlink>
    </w:p>
    <w:p w14:paraId="30014D00" w14:textId="7079C7B2" w:rsidR="007D6D79" w:rsidRDefault="007D6D79" w:rsidP="007D6D79">
      <w:pPr>
        <w:spacing w:after="120" w:line="480" w:lineRule="auto"/>
        <w:ind w:left="284" w:hanging="284"/>
        <w:rPr>
          <w:bCs/>
          <w:sz w:val="22"/>
          <w:szCs w:val="22"/>
        </w:rPr>
      </w:pPr>
      <w:r w:rsidRPr="007A64FD">
        <w:rPr>
          <w:sz w:val="22"/>
          <w:szCs w:val="22"/>
        </w:rPr>
        <w:t>Mellon, J. and Prosser, C. (2017</w:t>
      </w:r>
      <w:r>
        <w:rPr>
          <w:sz w:val="22"/>
          <w:szCs w:val="22"/>
        </w:rPr>
        <w:t>b</w:t>
      </w:r>
      <w:r w:rsidRPr="007A64FD">
        <w:rPr>
          <w:sz w:val="22"/>
          <w:szCs w:val="22"/>
        </w:rPr>
        <w:t>)</w:t>
      </w:r>
      <w:r w:rsidR="009F3FCA">
        <w:rPr>
          <w:sz w:val="22"/>
          <w:szCs w:val="22"/>
        </w:rPr>
        <w:t>.</w:t>
      </w:r>
      <w:r w:rsidRPr="007A64FD">
        <w:rPr>
          <w:sz w:val="22"/>
          <w:szCs w:val="22"/>
        </w:rPr>
        <w:t xml:space="preserve"> </w:t>
      </w:r>
      <w:r w:rsidR="009F3FCA">
        <w:rPr>
          <w:sz w:val="22"/>
          <w:szCs w:val="22"/>
        </w:rPr>
        <w:t>‘</w:t>
      </w:r>
      <w:r w:rsidRPr="001C1AB0">
        <w:rPr>
          <w:rFonts w:eastAsia="Calibri"/>
          <w:bCs/>
          <w:sz w:val="22"/>
          <w:szCs w:val="22"/>
        </w:rPr>
        <w:t>Missing Nonvoters and Misweighted Samples: Explaining the 2015 Great British Polling Miss</w:t>
      </w:r>
      <w:r w:rsidR="009F3FCA" w:rsidRPr="001C1AB0">
        <w:rPr>
          <w:rFonts w:eastAsia="Calibri"/>
          <w:bCs/>
          <w:sz w:val="22"/>
          <w:szCs w:val="22"/>
        </w:rPr>
        <w:t>.</w:t>
      </w:r>
      <w:r w:rsidR="009F3FCA">
        <w:rPr>
          <w:bCs/>
          <w:sz w:val="22"/>
          <w:szCs w:val="22"/>
        </w:rPr>
        <w:t>’</w:t>
      </w:r>
      <w:r w:rsidRPr="007A64FD">
        <w:rPr>
          <w:bCs/>
          <w:sz w:val="22"/>
          <w:szCs w:val="22"/>
        </w:rPr>
        <w:t xml:space="preserve"> </w:t>
      </w:r>
      <w:r w:rsidRPr="007A64FD">
        <w:rPr>
          <w:bCs/>
          <w:i/>
          <w:sz w:val="22"/>
          <w:szCs w:val="22"/>
        </w:rPr>
        <w:t>Public Opinion Quarterly</w:t>
      </w:r>
      <w:r w:rsidRPr="007A64FD">
        <w:rPr>
          <w:bCs/>
          <w:sz w:val="22"/>
          <w:szCs w:val="22"/>
        </w:rPr>
        <w:t xml:space="preserve"> 81(3), 661-687.</w:t>
      </w:r>
    </w:p>
    <w:p w14:paraId="6FDAF429" w14:textId="331AD58F" w:rsidR="00B56BA7" w:rsidRDefault="00B56BA7" w:rsidP="007D6D79">
      <w:pPr>
        <w:spacing w:after="120" w:line="480" w:lineRule="auto"/>
        <w:ind w:left="284" w:hanging="284"/>
        <w:rPr>
          <w:bCs/>
          <w:sz w:val="22"/>
          <w:szCs w:val="22"/>
        </w:rPr>
      </w:pPr>
      <w:r>
        <w:rPr>
          <w:bCs/>
          <w:sz w:val="22"/>
          <w:szCs w:val="22"/>
        </w:rPr>
        <w:t xml:space="preserve">Moon, N., Green, A., and Bogdan, A. (2017). </w:t>
      </w:r>
      <w:r w:rsidRPr="00B56BA7">
        <w:rPr>
          <w:bCs/>
          <w:i/>
          <w:sz w:val="22"/>
          <w:szCs w:val="22"/>
        </w:rPr>
        <w:t>British Election Study 2017: Technical Report</w:t>
      </w:r>
      <w:r>
        <w:rPr>
          <w:bCs/>
          <w:sz w:val="22"/>
          <w:szCs w:val="22"/>
        </w:rPr>
        <w:t xml:space="preserve">. British Election Study/GfK. </w:t>
      </w:r>
      <w:hyperlink r:id="rId15" w:history="1">
        <w:r w:rsidRPr="00B44E7B">
          <w:rPr>
            <w:rStyle w:val="Hyperlink"/>
            <w:bCs/>
            <w:sz w:val="22"/>
            <w:szCs w:val="22"/>
          </w:rPr>
          <w:t>https://www.britishelectionstudy.com/wp-content/uploads/2018/01/GfK-BES2017-technical-report.pdf</w:t>
        </w:r>
      </w:hyperlink>
      <w:r>
        <w:rPr>
          <w:bCs/>
          <w:sz w:val="22"/>
          <w:szCs w:val="22"/>
        </w:rPr>
        <w:t xml:space="preserve"> </w:t>
      </w:r>
    </w:p>
    <w:p w14:paraId="5D141CE4" w14:textId="45AF33E5" w:rsidR="006459DD" w:rsidRPr="007A64FD" w:rsidRDefault="006459DD" w:rsidP="00B716FB">
      <w:pPr>
        <w:spacing w:after="120" w:line="480" w:lineRule="auto"/>
        <w:ind w:left="284" w:hanging="284"/>
        <w:rPr>
          <w:sz w:val="22"/>
          <w:szCs w:val="22"/>
        </w:rPr>
      </w:pPr>
      <w:r w:rsidRPr="007A64FD">
        <w:rPr>
          <w:sz w:val="22"/>
          <w:szCs w:val="22"/>
        </w:rPr>
        <w:t xml:space="preserve">Prosser, C., Fieldhouse, E.A., Green, J., Mellon, J., and Evans, G. (2018). </w:t>
      </w:r>
      <w:r w:rsidR="009F3FCA">
        <w:rPr>
          <w:sz w:val="22"/>
          <w:szCs w:val="22"/>
        </w:rPr>
        <w:t>‘</w:t>
      </w:r>
      <w:r w:rsidRPr="007A64FD">
        <w:rPr>
          <w:sz w:val="22"/>
          <w:szCs w:val="22"/>
        </w:rPr>
        <w:t xml:space="preserve">Tremors </w:t>
      </w:r>
      <w:proofErr w:type="gramStart"/>
      <w:r w:rsidRPr="007A64FD">
        <w:rPr>
          <w:sz w:val="22"/>
          <w:szCs w:val="22"/>
        </w:rPr>
        <w:t>But</w:t>
      </w:r>
      <w:proofErr w:type="gramEnd"/>
      <w:r w:rsidRPr="007A64FD">
        <w:rPr>
          <w:sz w:val="22"/>
          <w:szCs w:val="22"/>
        </w:rPr>
        <w:t xml:space="preserve"> No Youthquake: Measuring Changes in the Age and Turnout Gradients at the 2015 and 2017 British General Elections.</w:t>
      </w:r>
      <w:r w:rsidR="009F3FCA">
        <w:rPr>
          <w:sz w:val="22"/>
          <w:szCs w:val="22"/>
        </w:rPr>
        <w:t>’</w:t>
      </w:r>
      <w:r w:rsidRPr="007A64FD">
        <w:rPr>
          <w:sz w:val="22"/>
          <w:szCs w:val="22"/>
        </w:rPr>
        <w:t xml:space="preserve"> Available at SSRN: https://ssrn.com/abstract=3111839. </w:t>
      </w:r>
    </w:p>
    <w:p w14:paraId="4A8B8AE3" w14:textId="06872460" w:rsidR="008A7158" w:rsidRPr="008A7158" w:rsidRDefault="008A7158" w:rsidP="00B716FB">
      <w:pPr>
        <w:spacing w:after="60" w:line="480" w:lineRule="auto"/>
        <w:ind w:left="284" w:hanging="284"/>
        <w:rPr>
          <w:bCs/>
          <w:i/>
          <w:sz w:val="22"/>
          <w:szCs w:val="22"/>
        </w:rPr>
      </w:pPr>
      <w:r w:rsidRPr="008A7158">
        <w:rPr>
          <w:bCs/>
          <w:iCs/>
          <w:sz w:val="22"/>
          <w:szCs w:val="22"/>
        </w:rPr>
        <w:t>Sturgis, P. (2004)</w:t>
      </w:r>
      <w:r w:rsidR="009F3FCA">
        <w:rPr>
          <w:bCs/>
          <w:iCs/>
          <w:sz w:val="22"/>
          <w:szCs w:val="22"/>
        </w:rPr>
        <w:t>.</w:t>
      </w:r>
      <w:r w:rsidRPr="008A7158">
        <w:rPr>
          <w:bCs/>
          <w:iCs/>
          <w:sz w:val="22"/>
          <w:szCs w:val="22"/>
        </w:rPr>
        <w:t xml:space="preserve"> </w:t>
      </w:r>
      <w:r w:rsidR="009F3FCA">
        <w:rPr>
          <w:bCs/>
          <w:iCs/>
          <w:sz w:val="22"/>
          <w:szCs w:val="22"/>
        </w:rPr>
        <w:t>‘</w:t>
      </w:r>
      <w:r w:rsidRPr="008A7158">
        <w:rPr>
          <w:bCs/>
          <w:iCs/>
          <w:sz w:val="22"/>
          <w:szCs w:val="22"/>
        </w:rPr>
        <w:t>Analysing Complex Survey Data: Clustering, Stratification and Weights.</w:t>
      </w:r>
      <w:r w:rsidR="009F3FCA">
        <w:rPr>
          <w:bCs/>
          <w:iCs/>
          <w:sz w:val="22"/>
          <w:szCs w:val="22"/>
        </w:rPr>
        <w:t>’</w:t>
      </w:r>
      <w:r w:rsidRPr="008A7158">
        <w:rPr>
          <w:bCs/>
          <w:iCs/>
          <w:sz w:val="22"/>
          <w:szCs w:val="22"/>
        </w:rPr>
        <w:t xml:space="preserve"> </w:t>
      </w:r>
      <w:r w:rsidRPr="008A7158">
        <w:rPr>
          <w:bCs/>
          <w:i/>
          <w:sz w:val="22"/>
          <w:szCs w:val="22"/>
        </w:rPr>
        <w:t>Social</w:t>
      </w:r>
    </w:p>
    <w:p w14:paraId="665C0FBD" w14:textId="18C5A333" w:rsidR="008A7158" w:rsidRPr="008A7158" w:rsidRDefault="008A7158" w:rsidP="00B716FB">
      <w:pPr>
        <w:spacing w:after="60" w:line="480" w:lineRule="auto"/>
        <w:ind w:left="284" w:hanging="284"/>
        <w:rPr>
          <w:bCs/>
          <w:iCs/>
          <w:sz w:val="22"/>
          <w:szCs w:val="22"/>
        </w:rPr>
      </w:pPr>
      <w:r w:rsidRPr="008A7158">
        <w:rPr>
          <w:bCs/>
          <w:i/>
          <w:sz w:val="22"/>
          <w:szCs w:val="22"/>
        </w:rPr>
        <w:t>Research Update</w:t>
      </w:r>
      <w:r w:rsidRPr="008A7158">
        <w:rPr>
          <w:bCs/>
          <w:iCs/>
          <w:sz w:val="22"/>
          <w:szCs w:val="22"/>
        </w:rPr>
        <w:t xml:space="preserve"> 43</w:t>
      </w:r>
      <w:r w:rsidR="009F3FCA">
        <w:rPr>
          <w:bCs/>
          <w:iCs/>
          <w:sz w:val="22"/>
          <w:szCs w:val="22"/>
        </w:rPr>
        <w:t>.</w:t>
      </w:r>
      <w:r>
        <w:rPr>
          <w:bCs/>
          <w:iCs/>
          <w:sz w:val="22"/>
          <w:szCs w:val="22"/>
        </w:rPr>
        <w:t xml:space="preserve"> </w:t>
      </w:r>
      <w:r w:rsidR="009F3FCA">
        <w:rPr>
          <w:bCs/>
          <w:iCs/>
          <w:sz w:val="22"/>
          <w:szCs w:val="22"/>
        </w:rPr>
        <w:t xml:space="preserve">Available at </w:t>
      </w:r>
      <w:hyperlink r:id="rId16" w:history="1">
        <w:r w:rsidRPr="00106F16">
          <w:rPr>
            <w:rStyle w:val="Hyperlink"/>
            <w:bCs/>
            <w:iCs/>
            <w:sz w:val="22"/>
            <w:szCs w:val="22"/>
          </w:rPr>
          <w:t>http://sru.soc.surrey.ac.uk/SRU43.html</w:t>
        </w:r>
      </w:hyperlink>
      <w:r>
        <w:rPr>
          <w:bCs/>
          <w:iCs/>
          <w:sz w:val="22"/>
          <w:szCs w:val="22"/>
        </w:rPr>
        <w:t xml:space="preserve"> </w:t>
      </w:r>
      <w:r w:rsidRPr="008A7158">
        <w:rPr>
          <w:bCs/>
          <w:iCs/>
          <w:sz w:val="22"/>
          <w:szCs w:val="22"/>
        </w:rPr>
        <w:t xml:space="preserve">    </w:t>
      </w:r>
    </w:p>
    <w:p w14:paraId="67A55023" w14:textId="77777777" w:rsidR="006459DD" w:rsidRPr="007A64FD" w:rsidRDefault="006459DD" w:rsidP="00B716FB">
      <w:pPr>
        <w:spacing w:after="60" w:line="480" w:lineRule="auto"/>
        <w:ind w:left="284" w:hanging="284"/>
        <w:rPr>
          <w:sz w:val="22"/>
          <w:szCs w:val="22"/>
        </w:rPr>
      </w:pPr>
      <w:r w:rsidRPr="007A64FD">
        <w:rPr>
          <w:sz w:val="22"/>
          <w:szCs w:val="22"/>
        </w:rPr>
        <w:t xml:space="preserve">Sturgis, P., Baker, N., Callegaro, M., Fisher, S., Green, J., Jennings, W., Kuha, J., Lauderdale, B., and Smith, P. (2016). </w:t>
      </w:r>
      <w:r w:rsidRPr="007A64FD">
        <w:rPr>
          <w:i/>
          <w:sz w:val="22"/>
          <w:szCs w:val="22"/>
        </w:rPr>
        <w:t>Report of the Inquiry into the 2015 British general election opinion polls</w:t>
      </w:r>
      <w:r w:rsidRPr="007A64FD">
        <w:rPr>
          <w:sz w:val="22"/>
          <w:szCs w:val="22"/>
        </w:rPr>
        <w:t>. London: Market Research Society/British Polling Council.</w:t>
      </w:r>
    </w:p>
    <w:p w14:paraId="4C002B7A" w14:textId="77777777" w:rsidR="006459DD" w:rsidRPr="007A64FD" w:rsidRDefault="006459DD" w:rsidP="00B716FB">
      <w:pPr>
        <w:spacing w:after="120" w:line="480" w:lineRule="auto"/>
        <w:ind w:left="284" w:hanging="284"/>
        <w:rPr>
          <w:sz w:val="22"/>
          <w:szCs w:val="22"/>
        </w:rPr>
      </w:pPr>
      <w:r w:rsidRPr="007A64FD">
        <w:rPr>
          <w:sz w:val="22"/>
          <w:szCs w:val="22"/>
        </w:rPr>
        <w:t xml:space="preserve">Sturgis, P., Baker, N., Callegaro, M., Fisher, S., Green, J., Jennings, W., Kuha, J., Lauderdale, B., and Smith, P. (2018). ‘An assessment of the causes of the errors in the 2015 UK General Election opinion polls.’ </w:t>
      </w:r>
      <w:r w:rsidRPr="007A64FD">
        <w:rPr>
          <w:i/>
          <w:sz w:val="22"/>
          <w:szCs w:val="22"/>
        </w:rPr>
        <w:t>Journal of the Royal Statistical Society: Series A</w:t>
      </w:r>
      <w:r w:rsidRPr="007A64FD">
        <w:rPr>
          <w:sz w:val="22"/>
          <w:szCs w:val="22"/>
        </w:rPr>
        <w:t xml:space="preserve"> 181(3): 757-781.</w:t>
      </w:r>
    </w:p>
    <w:p w14:paraId="3D90BC37" w14:textId="77777777" w:rsidR="006459DD" w:rsidRPr="007A64FD" w:rsidRDefault="006459DD" w:rsidP="00B716FB">
      <w:pPr>
        <w:spacing w:after="120" w:line="480" w:lineRule="auto"/>
        <w:ind w:left="284" w:hanging="284"/>
        <w:rPr>
          <w:sz w:val="22"/>
          <w:szCs w:val="22"/>
        </w:rPr>
      </w:pPr>
      <w:r w:rsidRPr="007A64FD">
        <w:rPr>
          <w:sz w:val="22"/>
          <w:szCs w:val="22"/>
        </w:rPr>
        <w:lastRenderedPageBreak/>
        <w:t xml:space="preserve">Travis, A., and Barr, C. (2017). ‘'Youthquake' behind Labour election surge divides generations.’ </w:t>
      </w:r>
      <w:r w:rsidRPr="007A64FD">
        <w:rPr>
          <w:i/>
          <w:sz w:val="22"/>
          <w:szCs w:val="22"/>
        </w:rPr>
        <w:t>The Guardian</w:t>
      </w:r>
      <w:r w:rsidRPr="007A64FD">
        <w:rPr>
          <w:sz w:val="22"/>
          <w:szCs w:val="22"/>
        </w:rPr>
        <w:t xml:space="preserve">, 20 June 2017. </w:t>
      </w:r>
      <w:hyperlink r:id="rId17" w:history="1">
        <w:r w:rsidRPr="007A64FD">
          <w:rPr>
            <w:rStyle w:val="Hyperlink"/>
            <w:sz w:val="22"/>
            <w:szCs w:val="22"/>
          </w:rPr>
          <w:t>https://www.theguardian.com/politics/2017/jun/20/youthquake-behind-labour-election-surge-divides-generations</w:t>
        </w:r>
      </w:hyperlink>
    </w:p>
    <w:p w14:paraId="2EEAE3F7" w14:textId="6B0D209F" w:rsidR="00864F2A" w:rsidRDefault="006459DD" w:rsidP="00B716FB">
      <w:pPr>
        <w:spacing w:after="120" w:line="480" w:lineRule="auto"/>
        <w:ind w:left="284" w:hanging="284"/>
        <w:rPr>
          <w:sz w:val="22"/>
          <w:szCs w:val="22"/>
        </w:rPr>
      </w:pPr>
      <w:r w:rsidRPr="007A64FD">
        <w:rPr>
          <w:sz w:val="22"/>
          <w:szCs w:val="22"/>
        </w:rPr>
        <w:t xml:space="preserve">Whiteley, P., and Clarke, H.D. (2017). </w:t>
      </w:r>
      <w:r w:rsidR="009F3FCA">
        <w:rPr>
          <w:sz w:val="22"/>
          <w:szCs w:val="22"/>
        </w:rPr>
        <w:t>‘</w:t>
      </w:r>
      <w:r w:rsidRPr="007A64FD">
        <w:rPr>
          <w:sz w:val="22"/>
          <w:szCs w:val="22"/>
        </w:rPr>
        <w:t>Understanding Labour’s ‘youthquake’.</w:t>
      </w:r>
      <w:r w:rsidR="009F3FCA">
        <w:rPr>
          <w:sz w:val="22"/>
          <w:szCs w:val="22"/>
        </w:rPr>
        <w:t>’</w:t>
      </w:r>
      <w:r w:rsidRPr="007A64FD">
        <w:rPr>
          <w:sz w:val="22"/>
          <w:szCs w:val="22"/>
        </w:rPr>
        <w:t xml:space="preserve"> </w:t>
      </w:r>
      <w:r w:rsidRPr="009F3FCA">
        <w:rPr>
          <w:i/>
          <w:sz w:val="22"/>
          <w:szCs w:val="22"/>
        </w:rPr>
        <w:t>The Conversation, 3 July 2017</w:t>
      </w:r>
      <w:r w:rsidRPr="007A64FD">
        <w:rPr>
          <w:sz w:val="22"/>
          <w:szCs w:val="22"/>
        </w:rPr>
        <w:t xml:space="preserve">. </w:t>
      </w:r>
      <w:hyperlink r:id="rId18" w:history="1">
        <w:r w:rsidR="00864F2A" w:rsidRPr="006F12D8">
          <w:rPr>
            <w:rStyle w:val="Hyperlink"/>
            <w:sz w:val="22"/>
            <w:szCs w:val="22"/>
          </w:rPr>
          <w:t>https://theconversation.com/understanding-labours-youthquake-80333</w:t>
        </w:r>
      </w:hyperlink>
      <w:r w:rsidR="00864F2A">
        <w:rPr>
          <w:sz w:val="22"/>
          <w:szCs w:val="22"/>
        </w:rPr>
        <w:t xml:space="preserve">. </w:t>
      </w:r>
    </w:p>
    <w:p w14:paraId="12BF32F0" w14:textId="71A95CCF" w:rsidR="00864F2A" w:rsidRPr="00864F2A" w:rsidRDefault="00864F2A" w:rsidP="00864F2A">
      <w:pPr>
        <w:spacing w:after="120" w:line="480" w:lineRule="auto"/>
        <w:ind w:left="284" w:hanging="284"/>
        <w:rPr>
          <w:sz w:val="22"/>
          <w:szCs w:val="22"/>
        </w:rPr>
      </w:pPr>
      <w:r w:rsidRPr="00864F2A">
        <w:rPr>
          <w:sz w:val="22"/>
          <w:szCs w:val="22"/>
        </w:rPr>
        <w:t>Wolter K</w:t>
      </w:r>
      <w:r w:rsidR="009F3FCA">
        <w:rPr>
          <w:sz w:val="22"/>
          <w:szCs w:val="22"/>
        </w:rPr>
        <w:t>.</w:t>
      </w:r>
      <w:r w:rsidRPr="00864F2A">
        <w:rPr>
          <w:sz w:val="22"/>
          <w:szCs w:val="22"/>
        </w:rPr>
        <w:t>M</w:t>
      </w:r>
      <w:r w:rsidR="009F3FCA">
        <w:rPr>
          <w:sz w:val="22"/>
          <w:szCs w:val="22"/>
        </w:rPr>
        <w:t>.</w:t>
      </w:r>
      <w:r w:rsidRPr="00864F2A">
        <w:rPr>
          <w:sz w:val="22"/>
          <w:szCs w:val="22"/>
        </w:rPr>
        <w:t xml:space="preserve"> (1985)</w:t>
      </w:r>
      <w:r w:rsidR="009F3FCA">
        <w:rPr>
          <w:sz w:val="22"/>
          <w:szCs w:val="22"/>
        </w:rPr>
        <w:t>.</w:t>
      </w:r>
      <w:r w:rsidRPr="00864F2A">
        <w:rPr>
          <w:sz w:val="22"/>
          <w:szCs w:val="22"/>
        </w:rPr>
        <w:t xml:space="preserve"> </w:t>
      </w:r>
      <w:r w:rsidRPr="009F3FCA">
        <w:rPr>
          <w:i/>
          <w:sz w:val="22"/>
          <w:szCs w:val="22"/>
        </w:rPr>
        <w:t>Introduction to Variance Estimation</w:t>
      </w:r>
      <w:r w:rsidRPr="00864F2A">
        <w:rPr>
          <w:sz w:val="22"/>
          <w:szCs w:val="22"/>
        </w:rPr>
        <w:t>. New York: Springer-Verlag.</w:t>
      </w:r>
    </w:p>
    <w:p w14:paraId="74915C19" w14:textId="04385313" w:rsidR="006459DD" w:rsidRPr="007A64FD" w:rsidRDefault="006459DD" w:rsidP="00B716FB">
      <w:pPr>
        <w:spacing w:after="120" w:line="480" w:lineRule="auto"/>
        <w:ind w:left="284" w:hanging="284"/>
        <w:rPr>
          <w:sz w:val="22"/>
          <w:szCs w:val="22"/>
        </w:rPr>
      </w:pPr>
      <w:r w:rsidRPr="007A64FD">
        <w:rPr>
          <w:sz w:val="22"/>
          <w:szCs w:val="22"/>
        </w:rPr>
        <w:t xml:space="preserve"> </w:t>
      </w:r>
    </w:p>
    <w:p w14:paraId="128530D0" w14:textId="77777777" w:rsidR="00BD4E24" w:rsidRDefault="00BD4E24">
      <w:r>
        <w:br w:type="page"/>
      </w:r>
    </w:p>
    <w:p w14:paraId="5EEE6344" w14:textId="157ABC19" w:rsidR="00EE30E2" w:rsidRDefault="00E11EDF" w:rsidP="007A64FD">
      <w:pPr>
        <w:spacing w:line="360" w:lineRule="auto"/>
      </w:pPr>
      <w:r>
        <w:lastRenderedPageBreak/>
        <w:t xml:space="preserve"> </w:t>
      </w:r>
      <w:r w:rsidR="002818DC" w:rsidRPr="009B2972">
        <w:rPr>
          <w:noProof/>
          <w:lang w:eastAsia="en-GB"/>
        </w:rPr>
        <w:drawing>
          <wp:inline distT="0" distB="0" distL="0" distR="0" wp14:anchorId="21C776E5" wp14:editId="5654FD00">
            <wp:extent cx="5727700" cy="416687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4166870"/>
                    </a:xfrm>
                    <a:prstGeom prst="rect">
                      <a:avLst/>
                    </a:prstGeom>
                    <a:noFill/>
                    <a:ln>
                      <a:noFill/>
                    </a:ln>
                  </pic:spPr>
                </pic:pic>
              </a:graphicData>
            </a:graphic>
          </wp:inline>
        </w:drawing>
      </w:r>
    </w:p>
    <w:p w14:paraId="7A631625" w14:textId="4D9A72B2" w:rsidR="00EE30E2" w:rsidRDefault="00EE30E2" w:rsidP="00EE1E83">
      <w:pPr>
        <w:spacing w:line="360" w:lineRule="auto"/>
        <w:rPr>
          <w:i/>
        </w:rPr>
      </w:pPr>
      <w:r w:rsidRPr="007773A2">
        <w:rPr>
          <w:i/>
        </w:rPr>
        <w:t>Figure 1</w:t>
      </w:r>
      <w:r>
        <w:rPr>
          <w:i/>
        </w:rPr>
        <w:t>.</w:t>
      </w:r>
      <w:r w:rsidRPr="007773A2">
        <w:rPr>
          <w:i/>
        </w:rPr>
        <w:t xml:space="preserve"> Nonparametric smoothed local polynomial regression probability of turnout by age in years, </w:t>
      </w:r>
      <w:r w:rsidR="00EE1E83">
        <w:rPr>
          <w:i/>
        </w:rPr>
        <w:t>UKHLS</w:t>
      </w:r>
      <w:r w:rsidRPr="007773A2">
        <w:rPr>
          <w:i/>
        </w:rPr>
        <w:t xml:space="preserve"> </w:t>
      </w:r>
      <w:r>
        <w:rPr>
          <w:i/>
        </w:rPr>
        <w:t>W</w:t>
      </w:r>
      <w:r w:rsidRPr="007773A2">
        <w:rPr>
          <w:i/>
        </w:rPr>
        <w:t xml:space="preserve">aves 2, 7 </w:t>
      </w:r>
      <w:r>
        <w:rPr>
          <w:i/>
        </w:rPr>
        <w:t>&amp;</w:t>
      </w:r>
      <w:r w:rsidRPr="007773A2">
        <w:rPr>
          <w:i/>
        </w:rPr>
        <w:t xml:space="preserve"> 8</w:t>
      </w:r>
    </w:p>
    <w:p w14:paraId="515B7EA5" w14:textId="77777777" w:rsidR="00EE30E2" w:rsidRDefault="00EE30E2" w:rsidP="007773A2">
      <w:pPr>
        <w:spacing w:line="360" w:lineRule="auto"/>
      </w:pPr>
    </w:p>
    <w:p w14:paraId="7B1A5857" w14:textId="77777777" w:rsidR="00EE30E2" w:rsidRDefault="00EE30E2" w:rsidP="007773A2">
      <w:pPr>
        <w:spacing w:line="360" w:lineRule="auto"/>
      </w:pPr>
    </w:p>
    <w:p w14:paraId="3CBC0900" w14:textId="28DED74E" w:rsidR="00EE30E2" w:rsidRDefault="002818DC" w:rsidP="00EE30E2">
      <w:r w:rsidRPr="009B2972">
        <w:rPr>
          <w:noProof/>
          <w:lang w:eastAsia="en-GB"/>
        </w:rPr>
        <w:lastRenderedPageBreak/>
        <w:drawing>
          <wp:inline distT="0" distB="0" distL="0" distR="0" wp14:anchorId="5F6F17DB" wp14:editId="27209AC9">
            <wp:extent cx="5727700" cy="41668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700" cy="4166870"/>
                    </a:xfrm>
                    <a:prstGeom prst="rect">
                      <a:avLst/>
                    </a:prstGeom>
                    <a:noFill/>
                    <a:ln>
                      <a:noFill/>
                    </a:ln>
                  </pic:spPr>
                </pic:pic>
              </a:graphicData>
            </a:graphic>
          </wp:inline>
        </w:drawing>
      </w:r>
    </w:p>
    <w:p w14:paraId="14B22789" w14:textId="17D16048" w:rsidR="00EE30E2" w:rsidRPr="007773A2" w:rsidRDefault="00EE30E2" w:rsidP="00EE1E83">
      <w:pPr>
        <w:spacing w:line="360" w:lineRule="auto"/>
        <w:rPr>
          <w:i/>
        </w:rPr>
      </w:pPr>
      <w:r w:rsidRPr="007773A2">
        <w:rPr>
          <w:i/>
        </w:rPr>
        <w:t xml:space="preserve">Figure </w:t>
      </w:r>
      <w:r>
        <w:rPr>
          <w:i/>
        </w:rPr>
        <w:t>2.</w:t>
      </w:r>
      <w:r w:rsidRPr="007773A2">
        <w:rPr>
          <w:i/>
        </w:rPr>
        <w:t xml:space="preserve"> Nonparametric smoothed local polynomial regression probability of </w:t>
      </w:r>
      <w:r>
        <w:rPr>
          <w:i/>
        </w:rPr>
        <w:t>Labour vote</w:t>
      </w:r>
      <w:r w:rsidRPr="007773A2">
        <w:rPr>
          <w:i/>
        </w:rPr>
        <w:t xml:space="preserve"> by age in years, </w:t>
      </w:r>
      <w:r w:rsidR="00EE1E83">
        <w:rPr>
          <w:i/>
        </w:rPr>
        <w:t>UKHLS</w:t>
      </w:r>
      <w:r w:rsidRPr="007773A2">
        <w:rPr>
          <w:i/>
        </w:rPr>
        <w:t xml:space="preserve"> </w:t>
      </w:r>
      <w:r>
        <w:rPr>
          <w:i/>
        </w:rPr>
        <w:t>W</w:t>
      </w:r>
      <w:r w:rsidRPr="007773A2">
        <w:rPr>
          <w:i/>
        </w:rPr>
        <w:t xml:space="preserve">aves 2, 7 </w:t>
      </w:r>
      <w:r>
        <w:rPr>
          <w:i/>
        </w:rPr>
        <w:t>&amp;</w:t>
      </w:r>
      <w:r w:rsidRPr="007773A2">
        <w:rPr>
          <w:i/>
        </w:rPr>
        <w:t xml:space="preserve"> 8</w:t>
      </w:r>
    </w:p>
    <w:p w14:paraId="4909A3EC" w14:textId="3E165DD4" w:rsidR="00EE30E2" w:rsidRDefault="00EE30E2" w:rsidP="007773A2">
      <w:pPr>
        <w:spacing w:line="360" w:lineRule="auto"/>
        <w:sectPr w:rsidR="00EE30E2" w:rsidSect="00494B56">
          <w:footerReference w:type="even" r:id="rId21"/>
          <w:footerReference w:type="default" r:id="rId22"/>
          <w:pgSz w:w="11900" w:h="16840"/>
          <w:pgMar w:top="1440" w:right="1440" w:bottom="1440" w:left="1440" w:header="708" w:footer="708" w:gutter="0"/>
          <w:cols w:space="708"/>
          <w:docGrid w:linePitch="360"/>
        </w:sectPr>
      </w:pPr>
    </w:p>
    <w:p w14:paraId="11E273BF" w14:textId="7734FB5D" w:rsidR="00965DF6" w:rsidRDefault="00E41EEF" w:rsidP="00E41EEF">
      <w:pPr>
        <w:spacing w:line="360" w:lineRule="auto"/>
      </w:pPr>
      <w:r w:rsidRPr="00AA609C">
        <w:rPr>
          <w:b/>
        </w:rPr>
        <w:lastRenderedPageBreak/>
        <w:t>Table 1</w:t>
      </w:r>
      <w:r w:rsidR="005377A8" w:rsidRPr="00AA609C">
        <w:rPr>
          <w:b/>
        </w:rPr>
        <w:t>.</w:t>
      </w:r>
      <w:r w:rsidR="00EE1E83">
        <w:t xml:space="preserve"> UKHLS t</w:t>
      </w:r>
      <w:r>
        <w:t>urnout estimates by age group: 2010, 2015, and 2017 elections using 18-24 age band</w:t>
      </w:r>
    </w:p>
    <w:tbl>
      <w:tblPr>
        <w:tblpPr w:leftFromText="180" w:rightFromText="180" w:horzAnchor="margin" w:tblpY="552"/>
        <w:tblW w:w="13000" w:type="dxa"/>
        <w:tblLook w:val="04A0" w:firstRow="1" w:lastRow="0" w:firstColumn="1" w:lastColumn="0" w:noHBand="0" w:noVBand="1"/>
      </w:tblPr>
      <w:tblGrid>
        <w:gridCol w:w="1300"/>
        <w:gridCol w:w="1300"/>
        <w:gridCol w:w="1300"/>
        <w:gridCol w:w="1300"/>
        <w:gridCol w:w="1300"/>
        <w:gridCol w:w="1300"/>
        <w:gridCol w:w="1300"/>
        <w:gridCol w:w="1300"/>
        <w:gridCol w:w="1300"/>
        <w:gridCol w:w="1300"/>
      </w:tblGrid>
      <w:tr w:rsidR="00E41EEF" w:rsidRPr="00797228" w14:paraId="6600BF5D" w14:textId="77777777" w:rsidTr="005C0A0A">
        <w:trPr>
          <w:trHeight w:val="320"/>
        </w:trPr>
        <w:tc>
          <w:tcPr>
            <w:tcW w:w="1300" w:type="dxa"/>
            <w:tcBorders>
              <w:top w:val="single" w:sz="4" w:space="0" w:color="auto"/>
              <w:left w:val="nil"/>
              <w:bottom w:val="nil"/>
              <w:right w:val="nil"/>
            </w:tcBorders>
            <w:shd w:val="clear" w:color="auto" w:fill="auto"/>
            <w:noWrap/>
            <w:vAlign w:val="bottom"/>
            <w:hideMark/>
          </w:tcPr>
          <w:p w14:paraId="377F2627" w14:textId="77777777" w:rsidR="00E41EEF" w:rsidRPr="00B90F1E" w:rsidRDefault="00E41EEF" w:rsidP="00E41EEF"/>
        </w:tc>
        <w:tc>
          <w:tcPr>
            <w:tcW w:w="1300" w:type="dxa"/>
            <w:tcBorders>
              <w:top w:val="single" w:sz="4" w:space="0" w:color="auto"/>
              <w:left w:val="nil"/>
              <w:bottom w:val="nil"/>
              <w:right w:val="nil"/>
            </w:tcBorders>
            <w:shd w:val="clear" w:color="auto" w:fill="auto"/>
            <w:noWrap/>
            <w:vAlign w:val="bottom"/>
            <w:hideMark/>
          </w:tcPr>
          <w:p w14:paraId="23E76FC0" w14:textId="77777777" w:rsidR="00E41EEF" w:rsidRPr="00B90F1E" w:rsidRDefault="00E41EEF" w:rsidP="00E41EEF">
            <w:pPr>
              <w:rPr>
                <w:sz w:val="20"/>
                <w:szCs w:val="20"/>
              </w:rPr>
            </w:pPr>
          </w:p>
        </w:tc>
        <w:tc>
          <w:tcPr>
            <w:tcW w:w="1300" w:type="dxa"/>
            <w:tcBorders>
              <w:top w:val="single" w:sz="4" w:space="0" w:color="auto"/>
              <w:left w:val="nil"/>
              <w:bottom w:val="nil"/>
              <w:right w:val="nil"/>
            </w:tcBorders>
            <w:shd w:val="clear" w:color="auto" w:fill="auto"/>
            <w:noWrap/>
            <w:vAlign w:val="bottom"/>
            <w:hideMark/>
          </w:tcPr>
          <w:p w14:paraId="00B6DA77" w14:textId="77777777" w:rsidR="00E41EEF" w:rsidRPr="00B90F1E" w:rsidRDefault="00E41EEF" w:rsidP="00E41EEF">
            <w:pPr>
              <w:jc w:val="center"/>
              <w:rPr>
                <w:color w:val="000000"/>
              </w:rPr>
            </w:pPr>
            <w:r w:rsidRPr="00B90F1E">
              <w:rPr>
                <w:color w:val="000000"/>
              </w:rPr>
              <w:t>2010</w:t>
            </w:r>
          </w:p>
        </w:tc>
        <w:tc>
          <w:tcPr>
            <w:tcW w:w="1300" w:type="dxa"/>
            <w:tcBorders>
              <w:top w:val="single" w:sz="4" w:space="0" w:color="auto"/>
              <w:left w:val="nil"/>
              <w:bottom w:val="nil"/>
              <w:right w:val="nil"/>
            </w:tcBorders>
            <w:shd w:val="clear" w:color="auto" w:fill="auto"/>
            <w:noWrap/>
            <w:vAlign w:val="bottom"/>
            <w:hideMark/>
          </w:tcPr>
          <w:p w14:paraId="01E7C62D" w14:textId="77777777" w:rsidR="00E41EEF" w:rsidRPr="00B90F1E" w:rsidRDefault="00E41EEF" w:rsidP="00E41EEF">
            <w:pPr>
              <w:jc w:val="center"/>
              <w:rPr>
                <w:color w:val="000000"/>
              </w:rPr>
            </w:pPr>
          </w:p>
        </w:tc>
        <w:tc>
          <w:tcPr>
            <w:tcW w:w="1300" w:type="dxa"/>
            <w:tcBorders>
              <w:top w:val="single" w:sz="4" w:space="0" w:color="auto"/>
              <w:left w:val="nil"/>
              <w:bottom w:val="nil"/>
              <w:right w:val="nil"/>
            </w:tcBorders>
            <w:shd w:val="clear" w:color="auto" w:fill="auto"/>
            <w:noWrap/>
            <w:vAlign w:val="bottom"/>
            <w:hideMark/>
          </w:tcPr>
          <w:p w14:paraId="33AA4FA4" w14:textId="77777777" w:rsidR="00E41EEF" w:rsidRPr="00B90F1E" w:rsidRDefault="00E41EEF" w:rsidP="00E41EEF">
            <w:pPr>
              <w:jc w:val="center"/>
              <w:rPr>
                <w:sz w:val="20"/>
                <w:szCs w:val="20"/>
              </w:rPr>
            </w:pPr>
          </w:p>
        </w:tc>
        <w:tc>
          <w:tcPr>
            <w:tcW w:w="1300" w:type="dxa"/>
            <w:tcBorders>
              <w:top w:val="single" w:sz="4" w:space="0" w:color="auto"/>
              <w:left w:val="nil"/>
              <w:bottom w:val="nil"/>
              <w:right w:val="nil"/>
            </w:tcBorders>
            <w:shd w:val="clear" w:color="auto" w:fill="auto"/>
            <w:noWrap/>
            <w:vAlign w:val="bottom"/>
            <w:hideMark/>
          </w:tcPr>
          <w:p w14:paraId="27BE1AC2" w14:textId="77777777" w:rsidR="00E41EEF" w:rsidRPr="00B90F1E" w:rsidRDefault="00E41EEF" w:rsidP="00E41EEF">
            <w:pPr>
              <w:jc w:val="center"/>
              <w:rPr>
                <w:color w:val="000000"/>
              </w:rPr>
            </w:pPr>
            <w:r w:rsidRPr="00B90F1E">
              <w:rPr>
                <w:color w:val="000000"/>
              </w:rPr>
              <w:t>2015</w:t>
            </w:r>
          </w:p>
        </w:tc>
        <w:tc>
          <w:tcPr>
            <w:tcW w:w="1300" w:type="dxa"/>
            <w:tcBorders>
              <w:top w:val="single" w:sz="4" w:space="0" w:color="auto"/>
              <w:left w:val="nil"/>
              <w:bottom w:val="nil"/>
              <w:right w:val="nil"/>
            </w:tcBorders>
            <w:shd w:val="clear" w:color="auto" w:fill="auto"/>
            <w:noWrap/>
            <w:vAlign w:val="bottom"/>
            <w:hideMark/>
          </w:tcPr>
          <w:p w14:paraId="43155D4E" w14:textId="77777777" w:rsidR="00E41EEF" w:rsidRPr="00B90F1E" w:rsidRDefault="00E41EEF" w:rsidP="00E41EEF">
            <w:pPr>
              <w:jc w:val="center"/>
              <w:rPr>
                <w:color w:val="000000"/>
              </w:rPr>
            </w:pPr>
          </w:p>
        </w:tc>
        <w:tc>
          <w:tcPr>
            <w:tcW w:w="1300" w:type="dxa"/>
            <w:tcBorders>
              <w:top w:val="single" w:sz="4" w:space="0" w:color="auto"/>
              <w:left w:val="nil"/>
              <w:bottom w:val="nil"/>
              <w:right w:val="nil"/>
            </w:tcBorders>
            <w:shd w:val="clear" w:color="auto" w:fill="auto"/>
            <w:noWrap/>
            <w:vAlign w:val="bottom"/>
            <w:hideMark/>
          </w:tcPr>
          <w:p w14:paraId="25A94CD8" w14:textId="77777777" w:rsidR="00E41EEF" w:rsidRPr="00B90F1E" w:rsidRDefault="00E41EEF" w:rsidP="00E41EEF">
            <w:pPr>
              <w:jc w:val="center"/>
              <w:rPr>
                <w:sz w:val="20"/>
                <w:szCs w:val="20"/>
              </w:rPr>
            </w:pPr>
          </w:p>
        </w:tc>
        <w:tc>
          <w:tcPr>
            <w:tcW w:w="1300" w:type="dxa"/>
            <w:tcBorders>
              <w:top w:val="single" w:sz="4" w:space="0" w:color="auto"/>
              <w:left w:val="nil"/>
              <w:bottom w:val="nil"/>
              <w:right w:val="nil"/>
            </w:tcBorders>
            <w:shd w:val="clear" w:color="auto" w:fill="auto"/>
            <w:noWrap/>
            <w:vAlign w:val="bottom"/>
            <w:hideMark/>
          </w:tcPr>
          <w:p w14:paraId="6AF5D1FC" w14:textId="77777777" w:rsidR="00E41EEF" w:rsidRPr="00B90F1E" w:rsidRDefault="00E41EEF" w:rsidP="00E41EEF">
            <w:pPr>
              <w:jc w:val="center"/>
              <w:rPr>
                <w:color w:val="000000"/>
              </w:rPr>
            </w:pPr>
            <w:r w:rsidRPr="00B90F1E">
              <w:rPr>
                <w:color w:val="000000"/>
              </w:rPr>
              <w:t>2017</w:t>
            </w:r>
          </w:p>
        </w:tc>
        <w:tc>
          <w:tcPr>
            <w:tcW w:w="1300" w:type="dxa"/>
            <w:tcBorders>
              <w:top w:val="single" w:sz="4" w:space="0" w:color="auto"/>
              <w:left w:val="nil"/>
              <w:bottom w:val="nil"/>
              <w:right w:val="nil"/>
            </w:tcBorders>
            <w:shd w:val="clear" w:color="auto" w:fill="auto"/>
            <w:noWrap/>
            <w:vAlign w:val="bottom"/>
            <w:hideMark/>
          </w:tcPr>
          <w:p w14:paraId="73859061" w14:textId="77777777" w:rsidR="00E41EEF" w:rsidRPr="00B90F1E" w:rsidRDefault="00E41EEF" w:rsidP="00E41EEF">
            <w:pPr>
              <w:jc w:val="center"/>
              <w:rPr>
                <w:color w:val="000000"/>
              </w:rPr>
            </w:pPr>
          </w:p>
        </w:tc>
      </w:tr>
      <w:tr w:rsidR="00E41EEF" w:rsidRPr="00797228" w14:paraId="553E909A" w14:textId="77777777" w:rsidTr="005C0A0A">
        <w:trPr>
          <w:trHeight w:val="320"/>
        </w:trPr>
        <w:tc>
          <w:tcPr>
            <w:tcW w:w="1300" w:type="dxa"/>
            <w:tcBorders>
              <w:top w:val="nil"/>
              <w:left w:val="nil"/>
              <w:bottom w:val="single" w:sz="4" w:space="0" w:color="auto"/>
              <w:right w:val="nil"/>
            </w:tcBorders>
            <w:shd w:val="clear" w:color="auto" w:fill="auto"/>
            <w:noWrap/>
            <w:vAlign w:val="bottom"/>
            <w:hideMark/>
          </w:tcPr>
          <w:p w14:paraId="45BA42CE" w14:textId="77777777" w:rsidR="00E41EEF" w:rsidRPr="00B90F1E" w:rsidRDefault="00E41EEF" w:rsidP="00E41EEF">
            <w:pPr>
              <w:rPr>
                <w:color w:val="000000"/>
              </w:rPr>
            </w:pPr>
            <w:r w:rsidRPr="00B90F1E">
              <w:rPr>
                <w:color w:val="000000"/>
              </w:rPr>
              <w:t>Age group</w:t>
            </w:r>
          </w:p>
        </w:tc>
        <w:tc>
          <w:tcPr>
            <w:tcW w:w="1300" w:type="dxa"/>
            <w:tcBorders>
              <w:top w:val="nil"/>
              <w:left w:val="nil"/>
              <w:bottom w:val="single" w:sz="4" w:space="0" w:color="auto"/>
              <w:right w:val="nil"/>
            </w:tcBorders>
            <w:shd w:val="clear" w:color="auto" w:fill="auto"/>
            <w:noWrap/>
            <w:vAlign w:val="bottom"/>
            <w:hideMark/>
          </w:tcPr>
          <w:p w14:paraId="15A1A185" w14:textId="2C3FFF76" w:rsidR="00E41EEF" w:rsidRPr="00B90F1E" w:rsidRDefault="005377A8" w:rsidP="005377A8">
            <w:pPr>
              <w:jc w:val="center"/>
              <w:rPr>
                <w:color w:val="000000"/>
              </w:rPr>
            </w:pPr>
            <w:r w:rsidRPr="00B90F1E">
              <w:rPr>
                <w:color w:val="000000"/>
              </w:rPr>
              <w:t>T</w:t>
            </w:r>
            <w:r w:rsidR="00E41EEF" w:rsidRPr="00B90F1E">
              <w:rPr>
                <w:color w:val="000000"/>
              </w:rPr>
              <w:t>urnout</w:t>
            </w:r>
          </w:p>
        </w:tc>
        <w:tc>
          <w:tcPr>
            <w:tcW w:w="1300" w:type="dxa"/>
            <w:tcBorders>
              <w:top w:val="nil"/>
              <w:left w:val="nil"/>
              <w:bottom w:val="single" w:sz="4" w:space="0" w:color="auto"/>
              <w:right w:val="nil"/>
            </w:tcBorders>
            <w:shd w:val="clear" w:color="auto" w:fill="auto"/>
            <w:noWrap/>
            <w:vAlign w:val="bottom"/>
            <w:hideMark/>
          </w:tcPr>
          <w:p w14:paraId="74BE2622" w14:textId="2E382231" w:rsidR="00E41EEF" w:rsidRPr="00B90F1E" w:rsidRDefault="005377A8" w:rsidP="005377A8">
            <w:pPr>
              <w:jc w:val="center"/>
              <w:rPr>
                <w:color w:val="000000"/>
              </w:rPr>
            </w:pPr>
            <w:r w:rsidRPr="00B90F1E">
              <w:rPr>
                <w:color w:val="000000"/>
              </w:rPr>
              <w:t>L</w:t>
            </w:r>
            <w:r w:rsidR="00E41EEF" w:rsidRPr="00B90F1E">
              <w:rPr>
                <w:color w:val="000000"/>
              </w:rPr>
              <w:t>95%CI</w:t>
            </w:r>
          </w:p>
        </w:tc>
        <w:tc>
          <w:tcPr>
            <w:tcW w:w="1300" w:type="dxa"/>
            <w:tcBorders>
              <w:top w:val="nil"/>
              <w:left w:val="nil"/>
              <w:bottom w:val="single" w:sz="4" w:space="0" w:color="auto"/>
              <w:right w:val="nil"/>
            </w:tcBorders>
            <w:shd w:val="clear" w:color="auto" w:fill="auto"/>
            <w:noWrap/>
            <w:vAlign w:val="bottom"/>
            <w:hideMark/>
          </w:tcPr>
          <w:p w14:paraId="3DC9D6BF" w14:textId="3A8480DA" w:rsidR="00E41EEF" w:rsidRPr="00B90F1E" w:rsidRDefault="00E41EEF" w:rsidP="00127506">
            <w:pPr>
              <w:jc w:val="center"/>
              <w:rPr>
                <w:color w:val="000000"/>
              </w:rPr>
            </w:pPr>
            <w:r w:rsidRPr="00B90F1E">
              <w:rPr>
                <w:color w:val="000000"/>
              </w:rPr>
              <w:t>U95%C</w:t>
            </w:r>
            <w:r w:rsidR="00127506" w:rsidRPr="00B90F1E">
              <w:rPr>
                <w:color w:val="000000"/>
              </w:rPr>
              <w:t>I</w:t>
            </w:r>
          </w:p>
        </w:tc>
        <w:tc>
          <w:tcPr>
            <w:tcW w:w="1300" w:type="dxa"/>
            <w:tcBorders>
              <w:top w:val="nil"/>
              <w:left w:val="nil"/>
              <w:bottom w:val="single" w:sz="4" w:space="0" w:color="auto"/>
              <w:right w:val="nil"/>
            </w:tcBorders>
            <w:shd w:val="clear" w:color="auto" w:fill="auto"/>
            <w:noWrap/>
            <w:vAlign w:val="bottom"/>
            <w:hideMark/>
          </w:tcPr>
          <w:p w14:paraId="0340228D" w14:textId="084FF6E0" w:rsidR="00E41EEF" w:rsidRPr="00B90F1E" w:rsidRDefault="005377A8" w:rsidP="005377A8">
            <w:pPr>
              <w:jc w:val="center"/>
              <w:rPr>
                <w:color w:val="000000"/>
              </w:rPr>
            </w:pPr>
            <w:r w:rsidRPr="00B90F1E">
              <w:rPr>
                <w:color w:val="000000"/>
              </w:rPr>
              <w:t>T</w:t>
            </w:r>
            <w:r w:rsidR="00E41EEF" w:rsidRPr="00B90F1E">
              <w:rPr>
                <w:color w:val="000000"/>
              </w:rPr>
              <w:t>urnout</w:t>
            </w:r>
          </w:p>
        </w:tc>
        <w:tc>
          <w:tcPr>
            <w:tcW w:w="1300" w:type="dxa"/>
            <w:tcBorders>
              <w:top w:val="nil"/>
              <w:left w:val="nil"/>
              <w:bottom w:val="single" w:sz="4" w:space="0" w:color="auto"/>
              <w:right w:val="nil"/>
            </w:tcBorders>
            <w:shd w:val="clear" w:color="auto" w:fill="auto"/>
            <w:noWrap/>
            <w:vAlign w:val="bottom"/>
            <w:hideMark/>
          </w:tcPr>
          <w:p w14:paraId="4E7A216F" w14:textId="7EBEB461" w:rsidR="00E41EEF" w:rsidRPr="00B90F1E" w:rsidRDefault="00127506" w:rsidP="00127506">
            <w:pPr>
              <w:jc w:val="center"/>
              <w:rPr>
                <w:color w:val="000000"/>
              </w:rPr>
            </w:pPr>
            <w:r w:rsidRPr="00B90F1E">
              <w:rPr>
                <w:color w:val="000000"/>
              </w:rPr>
              <w:t>L</w:t>
            </w:r>
            <w:r w:rsidR="00E41EEF" w:rsidRPr="00B90F1E">
              <w:rPr>
                <w:color w:val="000000"/>
              </w:rPr>
              <w:t>95%CI</w:t>
            </w:r>
          </w:p>
        </w:tc>
        <w:tc>
          <w:tcPr>
            <w:tcW w:w="1300" w:type="dxa"/>
            <w:tcBorders>
              <w:top w:val="nil"/>
              <w:left w:val="nil"/>
              <w:bottom w:val="single" w:sz="4" w:space="0" w:color="auto"/>
              <w:right w:val="nil"/>
            </w:tcBorders>
            <w:shd w:val="clear" w:color="auto" w:fill="auto"/>
            <w:noWrap/>
            <w:vAlign w:val="bottom"/>
            <w:hideMark/>
          </w:tcPr>
          <w:p w14:paraId="3E619198" w14:textId="751AF89A" w:rsidR="00E41EEF" w:rsidRPr="00B90F1E" w:rsidRDefault="00E41EEF" w:rsidP="00127506">
            <w:pPr>
              <w:jc w:val="center"/>
              <w:rPr>
                <w:color w:val="000000"/>
              </w:rPr>
            </w:pPr>
            <w:r w:rsidRPr="00B90F1E">
              <w:rPr>
                <w:color w:val="000000"/>
              </w:rPr>
              <w:t>U95%C</w:t>
            </w:r>
            <w:r w:rsidR="00127506" w:rsidRPr="00B90F1E">
              <w:rPr>
                <w:color w:val="000000"/>
              </w:rPr>
              <w:t>I</w:t>
            </w:r>
          </w:p>
        </w:tc>
        <w:tc>
          <w:tcPr>
            <w:tcW w:w="1300" w:type="dxa"/>
            <w:tcBorders>
              <w:top w:val="nil"/>
              <w:left w:val="nil"/>
              <w:bottom w:val="single" w:sz="4" w:space="0" w:color="auto"/>
              <w:right w:val="nil"/>
            </w:tcBorders>
            <w:shd w:val="clear" w:color="auto" w:fill="auto"/>
            <w:noWrap/>
            <w:vAlign w:val="bottom"/>
            <w:hideMark/>
          </w:tcPr>
          <w:p w14:paraId="401B3EC6" w14:textId="26C02674" w:rsidR="00E41EEF" w:rsidRPr="00B90F1E" w:rsidRDefault="00127506" w:rsidP="00127506">
            <w:pPr>
              <w:jc w:val="center"/>
              <w:rPr>
                <w:color w:val="000000"/>
              </w:rPr>
            </w:pPr>
            <w:r w:rsidRPr="00B90F1E">
              <w:rPr>
                <w:color w:val="000000"/>
              </w:rPr>
              <w:t>T</w:t>
            </w:r>
            <w:r w:rsidR="00E41EEF" w:rsidRPr="00B90F1E">
              <w:rPr>
                <w:color w:val="000000"/>
              </w:rPr>
              <w:t>urnout</w:t>
            </w:r>
          </w:p>
        </w:tc>
        <w:tc>
          <w:tcPr>
            <w:tcW w:w="1300" w:type="dxa"/>
            <w:tcBorders>
              <w:top w:val="nil"/>
              <w:left w:val="nil"/>
              <w:bottom w:val="single" w:sz="4" w:space="0" w:color="auto"/>
              <w:right w:val="nil"/>
            </w:tcBorders>
            <w:shd w:val="clear" w:color="auto" w:fill="auto"/>
            <w:noWrap/>
            <w:vAlign w:val="bottom"/>
            <w:hideMark/>
          </w:tcPr>
          <w:p w14:paraId="70440180" w14:textId="34900962" w:rsidR="00E41EEF" w:rsidRPr="00B90F1E" w:rsidRDefault="00127506" w:rsidP="00127506">
            <w:pPr>
              <w:jc w:val="center"/>
              <w:rPr>
                <w:color w:val="000000"/>
              </w:rPr>
            </w:pPr>
            <w:r w:rsidRPr="00B90F1E">
              <w:rPr>
                <w:color w:val="000000"/>
              </w:rPr>
              <w:t>L</w:t>
            </w:r>
            <w:r w:rsidR="00E41EEF" w:rsidRPr="00B90F1E">
              <w:rPr>
                <w:color w:val="000000"/>
              </w:rPr>
              <w:t>95%CI</w:t>
            </w:r>
          </w:p>
        </w:tc>
        <w:tc>
          <w:tcPr>
            <w:tcW w:w="1300" w:type="dxa"/>
            <w:tcBorders>
              <w:top w:val="nil"/>
              <w:left w:val="nil"/>
              <w:bottom w:val="single" w:sz="4" w:space="0" w:color="auto"/>
              <w:right w:val="nil"/>
            </w:tcBorders>
            <w:shd w:val="clear" w:color="auto" w:fill="auto"/>
            <w:noWrap/>
            <w:vAlign w:val="bottom"/>
            <w:hideMark/>
          </w:tcPr>
          <w:p w14:paraId="7BFA87F4" w14:textId="14C4B4E5" w:rsidR="00E41EEF" w:rsidRPr="00B90F1E" w:rsidRDefault="00E41EEF" w:rsidP="00127506">
            <w:pPr>
              <w:jc w:val="center"/>
              <w:rPr>
                <w:color w:val="000000"/>
              </w:rPr>
            </w:pPr>
            <w:r w:rsidRPr="00B90F1E">
              <w:rPr>
                <w:color w:val="000000"/>
              </w:rPr>
              <w:t>U95%C</w:t>
            </w:r>
            <w:r w:rsidR="00127506" w:rsidRPr="00B90F1E">
              <w:rPr>
                <w:color w:val="000000"/>
              </w:rPr>
              <w:t>I</w:t>
            </w:r>
          </w:p>
        </w:tc>
      </w:tr>
      <w:tr w:rsidR="00E41EEF" w:rsidRPr="00797228" w14:paraId="2D14954C" w14:textId="77777777" w:rsidTr="005C0A0A">
        <w:trPr>
          <w:trHeight w:val="320"/>
        </w:trPr>
        <w:tc>
          <w:tcPr>
            <w:tcW w:w="1300" w:type="dxa"/>
            <w:tcBorders>
              <w:top w:val="single" w:sz="4" w:space="0" w:color="auto"/>
              <w:left w:val="nil"/>
              <w:bottom w:val="nil"/>
              <w:right w:val="nil"/>
            </w:tcBorders>
            <w:shd w:val="clear" w:color="auto" w:fill="auto"/>
            <w:noWrap/>
            <w:vAlign w:val="bottom"/>
            <w:hideMark/>
          </w:tcPr>
          <w:p w14:paraId="5C3E529D" w14:textId="77777777" w:rsidR="00E41EEF" w:rsidRPr="00B90F1E" w:rsidRDefault="00E41EEF" w:rsidP="00E41EEF">
            <w:pPr>
              <w:rPr>
                <w:color w:val="000000"/>
              </w:rPr>
            </w:pPr>
            <w:r w:rsidRPr="00B90F1E">
              <w:rPr>
                <w:color w:val="000000"/>
              </w:rPr>
              <w:t>18-24</w:t>
            </w:r>
          </w:p>
        </w:tc>
        <w:tc>
          <w:tcPr>
            <w:tcW w:w="1300" w:type="dxa"/>
            <w:tcBorders>
              <w:top w:val="single" w:sz="4" w:space="0" w:color="auto"/>
              <w:left w:val="nil"/>
              <w:bottom w:val="nil"/>
              <w:right w:val="nil"/>
            </w:tcBorders>
            <w:shd w:val="clear" w:color="auto" w:fill="auto"/>
            <w:noWrap/>
            <w:vAlign w:val="bottom"/>
            <w:hideMark/>
          </w:tcPr>
          <w:p w14:paraId="5DF435BD" w14:textId="24F57DF8" w:rsidR="00E41EEF" w:rsidRPr="00B90F1E" w:rsidRDefault="00BC5F89" w:rsidP="00E41EEF">
            <w:pPr>
              <w:jc w:val="center"/>
              <w:rPr>
                <w:color w:val="000000"/>
              </w:rPr>
            </w:pPr>
            <w:r>
              <w:rPr>
                <w:color w:val="000000"/>
              </w:rPr>
              <w:t>51</w:t>
            </w:r>
            <w:r w:rsidR="00E41EEF" w:rsidRPr="00B90F1E">
              <w:rPr>
                <w:color w:val="000000"/>
              </w:rPr>
              <w:t>%</w:t>
            </w:r>
          </w:p>
        </w:tc>
        <w:tc>
          <w:tcPr>
            <w:tcW w:w="1300" w:type="dxa"/>
            <w:tcBorders>
              <w:top w:val="single" w:sz="4" w:space="0" w:color="auto"/>
              <w:left w:val="nil"/>
              <w:bottom w:val="nil"/>
              <w:right w:val="nil"/>
            </w:tcBorders>
            <w:shd w:val="clear" w:color="auto" w:fill="auto"/>
            <w:noWrap/>
            <w:vAlign w:val="bottom"/>
            <w:hideMark/>
          </w:tcPr>
          <w:p w14:paraId="7CBE724B" w14:textId="6B4F1B98" w:rsidR="00E41EEF" w:rsidRPr="00B90F1E" w:rsidRDefault="00E41EEF" w:rsidP="00E41EEF">
            <w:pPr>
              <w:jc w:val="center"/>
              <w:rPr>
                <w:color w:val="000000"/>
              </w:rPr>
            </w:pPr>
            <w:r w:rsidRPr="00B90F1E">
              <w:rPr>
                <w:color w:val="000000"/>
              </w:rPr>
              <w:t>4</w:t>
            </w:r>
            <w:r w:rsidR="00BC5F89">
              <w:rPr>
                <w:color w:val="000000"/>
              </w:rPr>
              <w:t>8</w:t>
            </w:r>
            <w:r w:rsidRPr="00B90F1E">
              <w:rPr>
                <w:color w:val="000000"/>
              </w:rPr>
              <w:t>%</w:t>
            </w:r>
          </w:p>
        </w:tc>
        <w:tc>
          <w:tcPr>
            <w:tcW w:w="1300" w:type="dxa"/>
            <w:tcBorders>
              <w:top w:val="single" w:sz="4" w:space="0" w:color="auto"/>
              <w:left w:val="nil"/>
              <w:bottom w:val="nil"/>
              <w:right w:val="dotted" w:sz="4" w:space="0" w:color="auto"/>
            </w:tcBorders>
            <w:shd w:val="clear" w:color="auto" w:fill="auto"/>
            <w:noWrap/>
            <w:vAlign w:val="bottom"/>
            <w:hideMark/>
          </w:tcPr>
          <w:p w14:paraId="313390E5" w14:textId="0EDD7698" w:rsidR="00E41EEF" w:rsidRPr="00B90F1E" w:rsidRDefault="00E41EEF" w:rsidP="00E41EEF">
            <w:pPr>
              <w:jc w:val="center"/>
              <w:rPr>
                <w:color w:val="000000"/>
              </w:rPr>
            </w:pPr>
            <w:r w:rsidRPr="00B90F1E">
              <w:rPr>
                <w:color w:val="000000"/>
              </w:rPr>
              <w:t>5</w:t>
            </w:r>
            <w:r w:rsidR="00BC5F89">
              <w:rPr>
                <w:color w:val="000000"/>
              </w:rPr>
              <w:t>3</w:t>
            </w:r>
            <w:r w:rsidRPr="00B90F1E">
              <w:rPr>
                <w:color w:val="000000"/>
              </w:rPr>
              <w:t>%</w:t>
            </w:r>
          </w:p>
        </w:tc>
        <w:tc>
          <w:tcPr>
            <w:tcW w:w="1300" w:type="dxa"/>
            <w:tcBorders>
              <w:top w:val="single" w:sz="4" w:space="0" w:color="auto"/>
              <w:left w:val="dotted" w:sz="4" w:space="0" w:color="auto"/>
              <w:bottom w:val="nil"/>
              <w:right w:val="nil"/>
            </w:tcBorders>
            <w:shd w:val="clear" w:color="auto" w:fill="auto"/>
            <w:noWrap/>
            <w:vAlign w:val="bottom"/>
            <w:hideMark/>
          </w:tcPr>
          <w:p w14:paraId="224A7F87" w14:textId="0698FE3A" w:rsidR="00E41EEF" w:rsidRPr="00B90F1E" w:rsidRDefault="00263FDA" w:rsidP="00E41EEF">
            <w:pPr>
              <w:jc w:val="center"/>
              <w:rPr>
                <w:color w:val="000000"/>
              </w:rPr>
            </w:pPr>
            <w:r>
              <w:rPr>
                <w:color w:val="000000"/>
              </w:rPr>
              <w:t>60</w:t>
            </w:r>
            <w:r w:rsidR="00E41EEF" w:rsidRPr="00B90F1E">
              <w:rPr>
                <w:color w:val="000000"/>
              </w:rPr>
              <w:t>%</w:t>
            </w:r>
          </w:p>
        </w:tc>
        <w:tc>
          <w:tcPr>
            <w:tcW w:w="1300" w:type="dxa"/>
            <w:tcBorders>
              <w:top w:val="single" w:sz="4" w:space="0" w:color="auto"/>
              <w:left w:val="nil"/>
              <w:bottom w:val="nil"/>
              <w:right w:val="nil"/>
            </w:tcBorders>
            <w:shd w:val="clear" w:color="auto" w:fill="auto"/>
            <w:noWrap/>
            <w:vAlign w:val="bottom"/>
            <w:hideMark/>
          </w:tcPr>
          <w:p w14:paraId="1F0B2BD2" w14:textId="18324B53" w:rsidR="00E41EEF" w:rsidRPr="00B90F1E" w:rsidRDefault="00E41EEF" w:rsidP="00E41EEF">
            <w:pPr>
              <w:jc w:val="center"/>
              <w:rPr>
                <w:color w:val="000000"/>
              </w:rPr>
            </w:pPr>
            <w:r w:rsidRPr="00B90F1E">
              <w:rPr>
                <w:color w:val="000000"/>
              </w:rPr>
              <w:t>5</w:t>
            </w:r>
            <w:r w:rsidR="00374EC1">
              <w:rPr>
                <w:color w:val="000000"/>
              </w:rPr>
              <w:t>6</w:t>
            </w:r>
            <w:r w:rsidRPr="00B90F1E">
              <w:rPr>
                <w:color w:val="000000"/>
              </w:rPr>
              <w:t>%</w:t>
            </w:r>
          </w:p>
        </w:tc>
        <w:tc>
          <w:tcPr>
            <w:tcW w:w="1300" w:type="dxa"/>
            <w:tcBorders>
              <w:top w:val="single" w:sz="4" w:space="0" w:color="auto"/>
              <w:left w:val="nil"/>
              <w:bottom w:val="nil"/>
              <w:right w:val="dotted" w:sz="4" w:space="0" w:color="auto"/>
            </w:tcBorders>
            <w:shd w:val="clear" w:color="auto" w:fill="auto"/>
            <w:noWrap/>
            <w:vAlign w:val="bottom"/>
            <w:hideMark/>
          </w:tcPr>
          <w:p w14:paraId="0A9CDF99" w14:textId="44C4A71E" w:rsidR="00E41EEF" w:rsidRPr="00B90F1E" w:rsidRDefault="00E41EEF" w:rsidP="00E41EEF">
            <w:pPr>
              <w:jc w:val="center"/>
              <w:rPr>
                <w:color w:val="000000"/>
              </w:rPr>
            </w:pPr>
            <w:r w:rsidRPr="00B90F1E">
              <w:rPr>
                <w:color w:val="000000"/>
              </w:rPr>
              <w:t>6</w:t>
            </w:r>
            <w:r w:rsidR="00374EC1">
              <w:rPr>
                <w:color w:val="000000"/>
              </w:rPr>
              <w:t>3</w:t>
            </w:r>
            <w:r w:rsidRPr="00B90F1E">
              <w:rPr>
                <w:color w:val="000000"/>
              </w:rPr>
              <w:t>%</w:t>
            </w:r>
          </w:p>
        </w:tc>
        <w:tc>
          <w:tcPr>
            <w:tcW w:w="1300" w:type="dxa"/>
            <w:tcBorders>
              <w:top w:val="single" w:sz="4" w:space="0" w:color="auto"/>
              <w:left w:val="dotted" w:sz="4" w:space="0" w:color="auto"/>
              <w:bottom w:val="nil"/>
              <w:right w:val="nil"/>
            </w:tcBorders>
            <w:shd w:val="clear" w:color="auto" w:fill="auto"/>
            <w:noWrap/>
            <w:vAlign w:val="bottom"/>
            <w:hideMark/>
          </w:tcPr>
          <w:p w14:paraId="3F3AAEEC" w14:textId="5A52365B" w:rsidR="00E41EEF" w:rsidRPr="00B90F1E" w:rsidRDefault="00E41EEF" w:rsidP="00E41EEF">
            <w:pPr>
              <w:jc w:val="center"/>
              <w:rPr>
                <w:color w:val="000000"/>
              </w:rPr>
            </w:pPr>
            <w:r w:rsidRPr="00B90F1E">
              <w:rPr>
                <w:color w:val="000000"/>
              </w:rPr>
              <w:t>6</w:t>
            </w:r>
            <w:r w:rsidR="00374EC1">
              <w:rPr>
                <w:color w:val="000000"/>
              </w:rPr>
              <w:t>9</w:t>
            </w:r>
            <w:r w:rsidRPr="00B90F1E">
              <w:rPr>
                <w:color w:val="000000"/>
              </w:rPr>
              <w:t>%</w:t>
            </w:r>
          </w:p>
        </w:tc>
        <w:tc>
          <w:tcPr>
            <w:tcW w:w="1300" w:type="dxa"/>
            <w:tcBorders>
              <w:top w:val="single" w:sz="4" w:space="0" w:color="auto"/>
              <w:left w:val="nil"/>
              <w:bottom w:val="nil"/>
              <w:right w:val="nil"/>
            </w:tcBorders>
            <w:shd w:val="clear" w:color="auto" w:fill="auto"/>
            <w:noWrap/>
            <w:vAlign w:val="bottom"/>
            <w:hideMark/>
          </w:tcPr>
          <w:p w14:paraId="4955725E" w14:textId="49615290" w:rsidR="00E41EEF" w:rsidRPr="00B90F1E" w:rsidRDefault="00E41EEF" w:rsidP="00E41EEF">
            <w:pPr>
              <w:jc w:val="center"/>
              <w:rPr>
                <w:color w:val="000000"/>
              </w:rPr>
            </w:pPr>
            <w:r w:rsidRPr="00B90F1E">
              <w:rPr>
                <w:color w:val="000000"/>
              </w:rPr>
              <w:t>6</w:t>
            </w:r>
            <w:r w:rsidR="00374EC1">
              <w:rPr>
                <w:color w:val="000000"/>
              </w:rPr>
              <w:t>4</w:t>
            </w:r>
            <w:r w:rsidRPr="00B90F1E">
              <w:rPr>
                <w:color w:val="000000"/>
              </w:rPr>
              <w:t>%</w:t>
            </w:r>
          </w:p>
        </w:tc>
        <w:tc>
          <w:tcPr>
            <w:tcW w:w="1300" w:type="dxa"/>
            <w:tcBorders>
              <w:top w:val="single" w:sz="4" w:space="0" w:color="auto"/>
              <w:left w:val="nil"/>
              <w:bottom w:val="nil"/>
              <w:right w:val="nil"/>
            </w:tcBorders>
            <w:shd w:val="clear" w:color="auto" w:fill="auto"/>
            <w:noWrap/>
            <w:vAlign w:val="bottom"/>
            <w:hideMark/>
          </w:tcPr>
          <w:p w14:paraId="6E1169CB" w14:textId="2A3691E9" w:rsidR="00E41EEF" w:rsidRPr="00B90F1E" w:rsidRDefault="00E41EEF" w:rsidP="00E41EEF">
            <w:pPr>
              <w:jc w:val="center"/>
              <w:rPr>
                <w:color w:val="000000"/>
              </w:rPr>
            </w:pPr>
            <w:r w:rsidRPr="00B90F1E">
              <w:rPr>
                <w:color w:val="000000"/>
              </w:rPr>
              <w:t>7</w:t>
            </w:r>
            <w:r w:rsidR="009F07B8">
              <w:rPr>
                <w:color w:val="000000"/>
              </w:rPr>
              <w:t>4</w:t>
            </w:r>
            <w:r w:rsidRPr="00B90F1E">
              <w:rPr>
                <w:color w:val="000000"/>
              </w:rPr>
              <w:t>%</w:t>
            </w:r>
          </w:p>
        </w:tc>
      </w:tr>
      <w:tr w:rsidR="00E41EEF" w:rsidRPr="00797228" w14:paraId="0D82E4E2" w14:textId="77777777" w:rsidTr="005C0A0A">
        <w:trPr>
          <w:trHeight w:val="320"/>
        </w:trPr>
        <w:tc>
          <w:tcPr>
            <w:tcW w:w="1300" w:type="dxa"/>
            <w:tcBorders>
              <w:top w:val="nil"/>
              <w:left w:val="nil"/>
              <w:bottom w:val="nil"/>
              <w:right w:val="nil"/>
            </w:tcBorders>
            <w:shd w:val="clear" w:color="auto" w:fill="auto"/>
            <w:noWrap/>
            <w:vAlign w:val="bottom"/>
            <w:hideMark/>
          </w:tcPr>
          <w:p w14:paraId="09B04487" w14:textId="77777777" w:rsidR="00E41EEF" w:rsidRPr="00B90F1E" w:rsidRDefault="00E41EEF" w:rsidP="00E41EEF">
            <w:pPr>
              <w:rPr>
                <w:color w:val="000000"/>
              </w:rPr>
            </w:pPr>
            <w:r w:rsidRPr="00B90F1E">
              <w:rPr>
                <w:color w:val="000000"/>
              </w:rPr>
              <w:t>25-29</w:t>
            </w:r>
          </w:p>
        </w:tc>
        <w:tc>
          <w:tcPr>
            <w:tcW w:w="1300" w:type="dxa"/>
            <w:tcBorders>
              <w:top w:val="nil"/>
              <w:left w:val="nil"/>
              <w:bottom w:val="nil"/>
              <w:right w:val="nil"/>
            </w:tcBorders>
            <w:shd w:val="clear" w:color="auto" w:fill="auto"/>
            <w:noWrap/>
            <w:vAlign w:val="bottom"/>
            <w:hideMark/>
          </w:tcPr>
          <w:p w14:paraId="4A41A032" w14:textId="733A3E68" w:rsidR="00E41EEF" w:rsidRPr="00B90F1E" w:rsidRDefault="00E41EEF" w:rsidP="00E41EEF">
            <w:pPr>
              <w:jc w:val="center"/>
              <w:rPr>
                <w:color w:val="000000"/>
              </w:rPr>
            </w:pPr>
            <w:r w:rsidRPr="00B90F1E">
              <w:rPr>
                <w:color w:val="000000"/>
              </w:rPr>
              <w:t>5</w:t>
            </w:r>
            <w:r w:rsidR="00BC5F89">
              <w:rPr>
                <w:color w:val="000000"/>
              </w:rPr>
              <w:t>7</w:t>
            </w:r>
            <w:r w:rsidRPr="00B90F1E">
              <w:rPr>
                <w:color w:val="000000"/>
              </w:rPr>
              <w:t>%</w:t>
            </w:r>
          </w:p>
        </w:tc>
        <w:tc>
          <w:tcPr>
            <w:tcW w:w="1300" w:type="dxa"/>
            <w:tcBorders>
              <w:top w:val="nil"/>
              <w:left w:val="nil"/>
              <w:bottom w:val="nil"/>
              <w:right w:val="nil"/>
            </w:tcBorders>
            <w:shd w:val="clear" w:color="auto" w:fill="auto"/>
            <w:noWrap/>
            <w:vAlign w:val="bottom"/>
            <w:hideMark/>
          </w:tcPr>
          <w:p w14:paraId="52AB7DFF" w14:textId="6DDCFCBC" w:rsidR="00E41EEF" w:rsidRPr="00B90F1E" w:rsidRDefault="00E41EEF" w:rsidP="00E41EEF">
            <w:pPr>
              <w:jc w:val="center"/>
              <w:rPr>
                <w:color w:val="000000"/>
              </w:rPr>
            </w:pPr>
            <w:r w:rsidRPr="00B90F1E">
              <w:rPr>
                <w:color w:val="000000"/>
              </w:rPr>
              <w:t>5</w:t>
            </w:r>
            <w:r w:rsidR="00BC5F89">
              <w:rPr>
                <w:color w:val="000000"/>
              </w:rPr>
              <w:t>4</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180D85B1" w14:textId="023EF76C" w:rsidR="00E41EEF" w:rsidRPr="00B90F1E" w:rsidRDefault="00E41EEF" w:rsidP="00E41EEF">
            <w:pPr>
              <w:jc w:val="center"/>
              <w:rPr>
                <w:color w:val="000000"/>
              </w:rPr>
            </w:pPr>
            <w:r w:rsidRPr="00B90F1E">
              <w:rPr>
                <w:color w:val="000000"/>
              </w:rPr>
              <w:t>6</w:t>
            </w:r>
            <w:r w:rsidR="00BC5F89">
              <w:rPr>
                <w:color w:val="000000"/>
              </w:rPr>
              <w:t>0</w:t>
            </w:r>
            <w:r w:rsidRPr="00B90F1E">
              <w:rPr>
                <w:color w:val="000000"/>
              </w:rPr>
              <w:t>%</w:t>
            </w:r>
          </w:p>
        </w:tc>
        <w:tc>
          <w:tcPr>
            <w:tcW w:w="1300" w:type="dxa"/>
            <w:tcBorders>
              <w:top w:val="nil"/>
              <w:left w:val="dotted" w:sz="4" w:space="0" w:color="auto"/>
              <w:bottom w:val="nil"/>
              <w:right w:val="nil"/>
            </w:tcBorders>
            <w:shd w:val="clear" w:color="auto" w:fill="auto"/>
            <w:noWrap/>
            <w:vAlign w:val="bottom"/>
            <w:hideMark/>
          </w:tcPr>
          <w:p w14:paraId="59CE99E9" w14:textId="0BF46A89" w:rsidR="00E41EEF" w:rsidRPr="00B90F1E" w:rsidRDefault="00374EC1" w:rsidP="00E41EEF">
            <w:pPr>
              <w:jc w:val="center"/>
              <w:rPr>
                <w:color w:val="000000"/>
              </w:rPr>
            </w:pPr>
            <w:r>
              <w:rPr>
                <w:color w:val="000000"/>
              </w:rPr>
              <w:t>60</w:t>
            </w:r>
            <w:r w:rsidR="00E41EEF" w:rsidRPr="00B90F1E">
              <w:rPr>
                <w:color w:val="000000"/>
              </w:rPr>
              <w:t>%</w:t>
            </w:r>
          </w:p>
        </w:tc>
        <w:tc>
          <w:tcPr>
            <w:tcW w:w="1300" w:type="dxa"/>
            <w:tcBorders>
              <w:top w:val="nil"/>
              <w:left w:val="nil"/>
              <w:bottom w:val="nil"/>
              <w:right w:val="nil"/>
            </w:tcBorders>
            <w:shd w:val="clear" w:color="auto" w:fill="auto"/>
            <w:noWrap/>
            <w:vAlign w:val="bottom"/>
            <w:hideMark/>
          </w:tcPr>
          <w:p w14:paraId="65F36BD7" w14:textId="4E4DBFFE" w:rsidR="00E41EEF" w:rsidRPr="00B90F1E" w:rsidRDefault="00E41EEF" w:rsidP="00E41EEF">
            <w:pPr>
              <w:jc w:val="center"/>
              <w:rPr>
                <w:color w:val="000000"/>
              </w:rPr>
            </w:pPr>
            <w:r w:rsidRPr="00B90F1E">
              <w:rPr>
                <w:color w:val="000000"/>
              </w:rPr>
              <w:t>5</w:t>
            </w:r>
            <w:r w:rsidR="00374EC1">
              <w:rPr>
                <w:color w:val="000000"/>
              </w:rPr>
              <w:t>6</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467CFC09" w14:textId="6D20A5CB" w:rsidR="00E41EEF" w:rsidRPr="00B90F1E" w:rsidRDefault="00E41EEF" w:rsidP="00E41EEF">
            <w:pPr>
              <w:jc w:val="center"/>
              <w:rPr>
                <w:color w:val="000000"/>
              </w:rPr>
            </w:pPr>
            <w:r w:rsidRPr="00B90F1E">
              <w:rPr>
                <w:color w:val="000000"/>
              </w:rPr>
              <w:t>6</w:t>
            </w:r>
            <w:r w:rsidR="00374EC1">
              <w:rPr>
                <w:color w:val="000000"/>
              </w:rPr>
              <w:t>5</w:t>
            </w:r>
            <w:r w:rsidRPr="00B90F1E">
              <w:rPr>
                <w:color w:val="000000"/>
              </w:rPr>
              <w:t>%</w:t>
            </w:r>
          </w:p>
        </w:tc>
        <w:tc>
          <w:tcPr>
            <w:tcW w:w="1300" w:type="dxa"/>
            <w:tcBorders>
              <w:top w:val="nil"/>
              <w:left w:val="dotted" w:sz="4" w:space="0" w:color="auto"/>
              <w:bottom w:val="nil"/>
              <w:right w:val="nil"/>
            </w:tcBorders>
            <w:shd w:val="clear" w:color="auto" w:fill="auto"/>
            <w:noWrap/>
            <w:vAlign w:val="bottom"/>
            <w:hideMark/>
          </w:tcPr>
          <w:p w14:paraId="43DDB272" w14:textId="77777777" w:rsidR="00E41EEF" w:rsidRPr="00B90F1E" w:rsidRDefault="00E41EEF" w:rsidP="00E41EEF">
            <w:pPr>
              <w:jc w:val="center"/>
              <w:rPr>
                <w:color w:val="000000"/>
              </w:rPr>
            </w:pPr>
            <w:r w:rsidRPr="00B90F1E">
              <w:rPr>
                <w:color w:val="000000"/>
              </w:rPr>
              <w:t>73%</w:t>
            </w:r>
          </w:p>
        </w:tc>
        <w:tc>
          <w:tcPr>
            <w:tcW w:w="1300" w:type="dxa"/>
            <w:tcBorders>
              <w:top w:val="nil"/>
              <w:left w:val="nil"/>
              <w:bottom w:val="nil"/>
              <w:right w:val="nil"/>
            </w:tcBorders>
            <w:shd w:val="clear" w:color="auto" w:fill="auto"/>
            <w:noWrap/>
            <w:vAlign w:val="bottom"/>
            <w:hideMark/>
          </w:tcPr>
          <w:p w14:paraId="2B139CB4" w14:textId="77777777" w:rsidR="00E41EEF" w:rsidRPr="00B90F1E" w:rsidRDefault="00E41EEF" w:rsidP="00E41EEF">
            <w:pPr>
              <w:jc w:val="center"/>
              <w:rPr>
                <w:color w:val="000000"/>
              </w:rPr>
            </w:pPr>
            <w:r w:rsidRPr="00B90F1E">
              <w:rPr>
                <w:color w:val="000000"/>
              </w:rPr>
              <w:t>65%</w:t>
            </w:r>
          </w:p>
        </w:tc>
        <w:tc>
          <w:tcPr>
            <w:tcW w:w="1300" w:type="dxa"/>
            <w:tcBorders>
              <w:top w:val="nil"/>
              <w:left w:val="nil"/>
              <w:bottom w:val="nil"/>
              <w:right w:val="nil"/>
            </w:tcBorders>
            <w:shd w:val="clear" w:color="auto" w:fill="auto"/>
            <w:noWrap/>
            <w:vAlign w:val="bottom"/>
            <w:hideMark/>
          </w:tcPr>
          <w:p w14:paraId="2A6F5E56" w14:textId="77777777" w:rsidR="00E41EEF" w:rsidRPr="00B90F1E" w:rsidRDefault="00E41EEF" w:rsidP="00E41EEF">
            <w:pPr>
              <w:jc w:val="center"/>
              <w:rPr>
                <w:color w:val="000000"/>
              </w:rPr>
            </w:pPr>
            <w:r w:rsidRPr="00B90F1E">
              <w:rPr>
                <w:color w:val="000000"/>
              </w:rPr>
              <w:t>79%</w:t>
            </w:r>
          </w:p>
        </w:tc>
      </w:tr>
      <w:tr w:rsidR="00E41EEF" w:rsidRPr="00797228" w14:paraId="0BCE49AC" w14:textId="77777777" w:rsidTr="005C0A0A">
        <w:trPr>
          <w:trHeight w:val="320"/>
        </w:trPr>
        <w:tc>
          <w:tcPr>
            <w:tcW w:w="1300" w:type="dxa"/>
            <w:tcBorders>
              <w:top w:val="nil"/>
              <w:left w:val="nil"/>
              <w:bottom w:val="nil"/>
              <w:right w:val="nil"/>
            </w:tcBorders>
            <w:shd w:val="clear" w:color="auto" w:fill="auto"/>
            <w:noWrap/>
            <w:vAlign w:val="bottom"/>
            <w:hideMark/>
          </w:tcPr>
          <w:p w14:paraId="71936B32" w14:textId="77777777" w:rsidR="00E41EEF" w:rsidRPr="00B90F1E" w:rsidRDefault="00E41EEF" w:rsidP="00E41EEF">
            <w:pPr>
              <w:rPr>
                <w:color w:val="000000"/>
              </w:rPr>
            </w:pPr>
            <w:r w:rsidRPr="00B90F1E">
              <w:rPr>
                <w:color w:val="000000"/>
              </w:rPr>
              <w:t>30-34</w:t>
            </w:r>
          </w:p>
        </w:tc>
        <w:tc>
          <w:tcPr>
            <w:tcW w:w="1300" w:type="dxa"/>
            <w:tcBorders>
              <w:top w:val="nil"/>
              <w:left w:val="nil"/>
              <w:bottom w:val="nil"/>
              <w:right w:val="nil"/>
            </w:tcBorders>
            <w:shd w:val="clear" w:color="auto" w:fill="auto"/>
            <w:noWrap/>
            <w:vAlign w:val="bottom"/>
            <w:hideMark/>
          </w:tcPr>
          <w:p w14:paraId="3F8446BD" w14:textId="44AFDB4E" w:rsidR="00E41EEF" w:rsidRPr="00B90F1E" w:rsidRDefault="00E41EEF" w:rsidP="00E41EEF">
            <w:pPr>
              <w:jc w:val="center"/>
              <w:rPr>
                <w:color w:val="000000"/>
              </w:rPr>
            </w:pPr>
            <w:r w:rsidRPr="00B90F1E">
              <w:rPr>
                <w:color w:val="000000"/>
              </w:rPr>
              <w:t>6</w:t>
            </w:r>
            <w:r w:rsidR="00BC5F89">
              <w:rPr>
                <w:color w:val="000000"/>
              </w:rPr>
              <w:t>3</w:t>
            </w:r>
            <w:r w:rsidRPr="00B90F1E">
              <w:rPr>
                <w:color w:val="000000"/>
              </w:rPr>
              <w:t>%</w:t>
            </w:r>
          </w:p>
        </w:tc>
        <w:tc>
          <w:tcPr>
            <w:tcW w:w="1300" w:type="dxa"/>
            <w:tcBorders>
              <w:top w:val="nil"/>
              <w:left w:val="nil"/>
              <w:bottom w:val="nil"/>
              <w:right w:val="nil"/>
            </w:tcBorders>
            <w:shd w:val="clear" w:color="auto" w:fill="auto"/>
            <w:noWrap/>
            <w:vAlign w:val="bottom"/>
            <w:hideMark/>
          </w:tcPr>
          <w:p w14:paraId="509A97F3" w14:textId="3CFCBEE3" w:rsidR="00E41EEF" w:rsidRPr="00B90F1E" w:rsidRDefault="00E41EEF" w:rsidP="00E41EEF">
            <w:pPr>
              <w:jc w:val="center"/>
              <w:rPr>
                <w:color w:val="000000"/>
              </w:rPr>
            </w:pPr>
            <w:r w:rsidRPr="00B90F1E">
              <w:rPr>
                <w:color w:val="000000"/>
              </w:rPr>
              <w:t>6</w:t>
            </w:r>
            <w:r w:rsidR="00BC5F89">
              <w:rPr>
                <w:color w:val="000000"/>
              </w:rPr>
              <w:t>0</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55C43691" w14:textId="1E5B0A61" w:rsidR="00E41EEF" w:rsidRPr="00B90F1E" w:rsidRDefault="00E41EEF" w:rsidP="00E41EEF">
            <w:pPr>
              <w:jc w:val="center"/>
              <w:rPr>
                <w:color w:val="000000"/>
              </w:rPr>
            </w:pPr>
            <w:r w:rsidRPr="00B90F1E">
              <w:rPr>
                <w:color w:val="000000"/>
              </w:rPr>
              <w:t>6</w:t>
            </w:r>
            <w:r w:rsidR="00BC5F89">
              <w:rPr>
                <w:color w:val="000000"/>
              </w:rPr>
              <w:t>6</w:t>
            </w:r>
            <w:r w:rsidRPr="00B90F1E">
              <w:rPr>
                <w:color w:val="000000"/>
              </w:rPr>
              <w:t>%</w:t>
            </w:r>
          </w:p>
        </w:tc>
        <w:tc>
          <w:tcPr>
            <w:tcW w:w="1300" w:type="dxa"/>
            <w:tcBorders>
              <w:top w:val="nil"/>
              <w:left w:val="dotted" w:sz="4" w:space="0" w:color="auto"/>
              <w:bottom w:val="nil"/>
              <w:right w:val="nil"/>
            </w:tcBorders>
            <w:shd w:val="clear" w:color="auto" w:fill="auto"/>
            <w:noWrap/>
            <w:vAlign w:val="bottom"/>
            <w:hideMark/>
          </w:tcPr>
          <w:p w14:paraId="636E4B17" w14:textId="4A552130" w:rsidR="00E41EEF" w:rsidRPr="00B90F1E" w:rsidRDefault="00E41EEF" w:rsidP="00E41EEF">
            <w:pPr>
              <w:jc w:val="center"/>
              <w:rPr>
                <w:color w:val="000000"/>
              </w:rPr>
            </w:pPr>
            <w:r w:rsidRPr="00B90F1E">
              <w:rPr>
                <w:color w:val="000000"/>
              </w:rPr>
              <w:t>6</w:t>
            </w:r>
            <w:r w:rsidR="00374EC1">
              <w:rPr>
                <w:color w:val="000000"/>
              </w:rPr>
              <w:t>7</w:t>
            </w:r>
            <w:r w:rsidRPr="00B90F1E">
              <w:rPr>
                <w:color w:val="000000"/>
              </w:rPr>
              <w:t>%</w:t>
            </w:r>
          </w:p>
        </w:tc>
        <w:tc>
          <w:tcPr>
            <w:tcW w:w="1300" w:type="dxa"/>
            <w:tcBorders>
              <w:top w:val="nil"/>
              <w:left w:val="nil"/>
              <w:bottom w:val="nil"/>
              <w:right w:val="nil"/>
            </w:tcBorders>
            <w:shd w:val="clear" w:color="auto" w:fill="auto"/>
            <w:noWrap/>
            <w:vAlign w:val="bottom"/>
            <w:hideMark/>
          </w:tcPr>
          <w:p w14:paraId="19439935" w14:textId="289BE265" w:rsidR="00E41EEF" w:rsidRPr="00B90F1E" w:rsidRDefault="00E41EEF" w:rsidP="00E41EEF">
            <w:pPr>
              <w:jc w:val="center"/>
              <w:rPr>
                <w:color w:val="000000"/>
              </w:rPr>
            </w:pPr>
            <w:r w:rsidRPr="00B90F1E">
              <w:rPr>
                <w:color w:val="000000"/>
              </w:rPr>
              <w:t>6</w:t>
            </w:r>
            <w:r w:rsidR="00374EC1">
              <w:rPr>
                <w:color w:val="000000"/>
              </w:rPr>
              <w:t>3</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515956A7" w14:textId="300F46CE" w:rsidR="00E41EEF" w:rsidRPr="00B90F1E" w:rsidRDefault="00E41EEF" w:rsidP="00E41EEF">
            <w:pPr>
              <w:jc w:val="center"/>
              <w:rPr>
                <w:color w:val="000000"/>
              </w:rPr>
            </w:pPr>
            <w:r w:rsidRPr="00B90F1E">
              <w:rPr>
                <w:color w:val="000000"/>
              </w:rPr>
              <w:t>7</w:t>
            </w:r>
            <w:r w:rsidR="00374EC1">
              <w:rPr>
                <w:color w:val="000000"/>
              </w:rPr>
              <w:t>1</w:t>
            </w:r>
            <w:r w:rsidRPr="00B90F1E">
              <w:rPr>
                <w:color w:val="000000"/>
              </w:rPr>
              <w:t>%</w:t>
            </w:r>
          </w:p>
        </w:tc>
        <w:tc>
          <w:tcPr>
            <w:tcW w:w="1300" w:type="dxa"/>
            <w:tcBorders>
              <w:top w:val="nil"/>
              <w:left w:val="dotted" w:sz="4" w:space="0" w:color="auto"/>
              <w:bottom w:val="nil"/>
              <w:right w:val="nil"/>
            </w:tcBorders>
            <w:shd w:val="clear" w:color="auto" w:fill="auto"/>
            <w:noWrap/>
            <w:vAlign w:val="bottom"/>
            <w:hideMark/>
          </w:tcPr>
          <w:p w14:paraId="6B5E1AAF" w14:textId="77777777" w:rsidR="00E41EEF" w:rsidRPr="00B90F1E" w:rsidRDefault="00E41EEF" w:rsidP="00E41EEF">
            <w:pPr>
              <w:jc w:val="center"/>
              <w:rPr>
                <w:color w:val="000000"/>
              </w:rPr>
            </w:pPr>
            <w:r w:rsidRPr="00B90F1E">
              <w:rPr>
                <w:color w:val="000000"/>
              </w:rPr>
              <w:t>72%</w:t>
            </w:r>
          </w:p>
        </w:tc>
        <w:tc>
          <w:tcPr>
            <w:tcW w:w="1300" w:type="dxa"/>
            <w:tcBorders>
              <w:top w:val="nil"/>
              <w:left w:val="nil"/>
              <w:bottom w:val="nil"/>
              <w:right w:val="nil"/>
            </w:tcBorders>
            <w:shd w:val="clear" w:color="auto" w:fill="auto"/>
            <w:noWrap/>
            <w:vAlign w:val="bottom"/>
            <w:hideMark/>
          </w:tcPr>
          <w:p w14:paraId="1432997F" w14:textId="77777777" w:rsidR="00E41EEF" w:rsidRPr="00B90F1E" w:rsidRDefault="00E41EEF" w:rsidP="00E41EEF">
            <w:pPr>
              <w:jc w:val="center"/>
              <w:rPr>
                <w:color w:val="000000"/>
              </w:rPr>
            </w:pPr>
            <w:r w:rsidRPr="00B90F1E">
              <w:rPr>
                <w:color w:val="000000"/>
              </w:rPr>
              <w:t>66%</w:t>
            </w:r>
          </w:p>
        </w:tc>
        <w:tc>
          <w:tcPr>
            <w:tcW w:w="1300" w:type="dxa"/>
            <w:tcBorders>
              <w:top w:val="nil"/>
              <w:left w:val="nil"/>
              <w:bottom w:val="nil"/>
              <w:right w:val="nil"/>
            </w:tcBorders>
            <w:shd w:val="clear" w:color="auto" w:fill="auto"/>
            <w:noWrap/>
            <w:vAlign w:val="bottom"/>
            <w:hideMark/>
          </w:tcPr>
          <w:p w14:paraId="74376298" w14:textId="77777777" w:rsidR="00E41EEF" w:rsidRPr="00B90F1E" w:rsidRDefault="00E41EEF" w:rsidP="00E41EEF">
            <w:pPr>
              <w:jc w:val="center"/>
              <w:rPr>
                <w:color w:val="000000"/>
              </w:rPr>
            </w:pPr>
            <w:r w:rsidRPr="00B90F1E">
              <w:rPr>
                <w:color w:val="000000"/>
              </w:rPr>
              <w:t>78%</w:t>
            </w:r>
          </w:p>
        </w:tc>
      </w:tr>
      <w:tr w:rsidR="00E41EEF" w:rsidRPr="00797228" w14:paraId="3494EC66" w14:textId="77777777" w:rsidTr="005C0A0A">
        <w:trPr>
          <w:trHeight w:val="320"/>
        </w:trPr>
        <w:tc>
          <w:tcPr>
            <w:tcW w:w="1300" w:type="dxa"/>
            <w:tcBorders>
              <w:top w:val="nil"/>
              <w:left w:val="nil"/>
              <w:bottom w:val="nil"/>
              <w:right w:val="nil"/>
            </w:tcBorders>
            <w:shd w:val="clear" w:color="auto" w:fill="auto"/>
            <w:noWrap/>
            <w:vAlign w:val="bottom"/>
            <w:hideMark/>
          </w:tcPr>
          <w:p w14:paraId="03ED070E" w14:textId="77777777" w:rsidR="00E41EEF" w:rsidRPr="00B90F1E" w:rsidRDefault="00E41EEF" w:rsidP="00E41EEF">
            <w:pPr>
              <w:rPr>
                <w:color w:val="000000"/>
              </w:rPr>
            </w:pPr>
            <w:r w:rsidRPr="00B90F1E">
              <w:rPr>
                <w:color w:val="000000"/>
              </w:rPr>
              <w:t>35-39</w:t>
            </w:r>
          </w:p>
        </w:tc>
        <w:tc>
          <w:tcPr>
            <w:tcW w:w="1300" w:type="dxa"/>
            <w:tcBorders>
              <w:top w:val="nil"/>
              <w:left w:val="nil"/>
              <w:bottom w:val="nil"/>
              <w:right w:val="nil"/>
            </w:tcBorders>
            <w:shd w:val="clear" w:color="auto" w:fill="auto"/>
            <w:noWrap/>
            <w:vAlign w:val="bottom"/>
            <w:hideMark/>
          </w:tcPr>
          <w:p w14:paraId="37346713" w14:textId="77777777" w:rsidR="00E41EEF" w:rsidRPr="00B90F1E" w:rsidRDefault="00E41EEF" w:rsidP="00E41EEF">
            <w:pPr>
              <w:jc w:val="center"/>
              <w:rPr>
                <w:color w:val="000000"/>
              </w:rPr>
            </w:pPr>
            <w:r w:rsidRPr="00B90F1E">
              <w:rPr>
                <w:color w:val="000000"/>
              </w:rPr>
              <w:t>71%</w:t>
            </w:r>
          </w:p>
        </w:tc>
        <w:tc>
          <w:tcPr>
            <w:tcW w:w="1300" w:type="dxa"/>
            <w:tcBorders>
              <w:top w:val="nil"/>
              <w:left w:val="nil"/>
              <w:bottom w:val="nil"/>
              <w:right w:val="nil"/>
            </w:tcBorders>
            <w:shd w:val="clear" w:color="auto" w:fill="auto"/>
            <w:noWrap/>
            <w:vAlign w:val="bottom"/>
            <w:hideMark/>
          </w:tcPr>
          <w:p w14:paraId="70630636" w14:textId="77777777" w:rsidR="00E41EEF" w:rsidRPr="00B90F1E" w:rsidRDefault="00E41EEF" w:rsidP="00E41EEF">
            <w:pPr>
              <w:jc w:val="center"/>
              <w:rPr>
                <w:color w:val="000000"/>
              </w:rPr>
            </w:pPr>
            <w:r w:rsidRPr="00B90F1E">
              <w:rPr>
                <w:color w:val="000000"/>
              </w:rPr>
              <w:t>68%</w:t>
            </w:r>
          </w:p>
        </w:tc>
        <w:tc>
          <w:tcPr>
            <w:tcW w:w="1300" w:type="dxa"/>
            <w:tcBorders>
              <w:top w:val="nil"/>
              <w:left w:val="nil"/>
              <w:bottom w:val="nil"/>
              <w:right w:val="dotted" w:sz="4" w:space="0" w:color="auto"/>
            </w:tcBorders>
            <w:shd w:val="clear" w:color="auto" w:fill="auto"/>
            <w:noWrap/>
            <w:vAlign w:val="bottom"/>
            <w:hideMark/>
          </w:tcPr>
          <w:p w14:paraId="21F23C4E" w14:textId="77777777" w:rsidR="00E41EEF" w:rsidRPr="00B90F1E" w:rsidRDefault="00E41EEF" w:rsidP="00E41EEF">
            <w:pPr>
              <w:jc w:val="center"/>
              <w:rPr>
                <w:color w:val="000000"/>
              </w:rPr>
            </w:pPr>
            <w:r w:rsidRPr="00B90F1E">
              <w:rPr>
                <w:color w:val="000000"/>
              </w:rPr>
              <w:t>74%</w:t>
            </w:r>
          </w:p>
        </w:tc>
        <w:tc>
          <w:tcPr>
            <w:tcW w:w="1300" w:type="dxa"/>
            <w:tcBorders>
              <w:top w:val="nil"/>
              <w:left w:val="dotted" w:sz="4" w:space="0" w:color="auto"/>
              <w:bottom w:val="nil"/>
              <w:right w:val="nil"/>
            </w:tcBorders>
            <w:shd w:val="clear" w:color="auto" w:fill="auto"/>
            <w:noWrap/>
            <w:vAlign w:val="bottom"/>
            <w:hideMark/>
          </w:tcPr>
          <w:p w14:paraId="65004B62" w14:textId="3E32D49D" w:rsidR="00E41EEF" w:rsidRPr="00B90F1E" w:rsidRDefault="00E41EEF" w:rsidP="00E41EEF">
            <w:pPr>
              <w:jc w:val="center"/>
              <w:rPr>
                <w:color w:val="000000"/>
              </w:rPr>
            </w:pPr>
            <w:r w:rsidRPr="00B90F1E">
              <w:rPr>
                <w:color w:val="000000"/>
              </w:rPr>
              <w:t>7</w:t>
            </w:r>
            <w:r w:rsidR="00374EC1">
              <w:rPr>
                <w:color w:val="000000"/>
              </w:rPr>
              <w:t>4</w:t>
            </w:r>
            <w:r w:rsidRPr="00B90F1E">
              <w:rPr>
                <w:color w:val="000000"/>
              </w:rPr>
              <w:t>%</w:t>
            </w:r>
          </w:p>
        </w:tc>
        <w:tc>
          <w:tcPr>
            <w:tcW w:w="1300" w:type="dxa"/>
            <w:tcBorders>
              <w:top w:val="nil"/>
              <w:left w:val="nil"/>
              <w:bottom w:val="nil"/>
              <w:right w:val="nil"/>
            </w:tcBorders>
            <w:shd w:val="clear" w:color="auto" w:fill="auto"/>
            <w:noWrap/>
            <w:vAlign w:val="bottom"/>
            <w:hideMark/>
          </w:tcPr>
          <w:p w14:paraId="5758E0A4" w14:textId="343E09EF" w:rsidR="00E41EEF" w:rsidRPr="00B90F1E" w:rsidRDefault="00E41EEF" w:rsidP="00E41EEF">
            <w:pPr>
              <w:jc w:val="center"/>
              <w:rPr>
                <w:color w:val="000000"/>
              </w:rPr>
            </w:pPr>
            <w:r w:rsidRPr="00B90F1E">
              <w:rPr>
                <w:color w:val="000000"/>
              </w:rPr>
              <w:t>7</w:t>
            </w:r>
            <w:r w:rsidR="00374EC1">
              <w:rPr>
                <w:color w:val="000000"/>
              </w:rPr>
              <w:t>1</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07AEDEF4" w14:textId="3C7E6909" w:rsidR="00E41EEF" w:rsidRPr="00B90F1E" w:rsidRDefault="00E41EEF" w:rsidP="00E41EEF">
            <w:pPr>
              <w:jc w:val="center"/>
              <w:rPr>
                <w:color w:val="000000"/>
              </w:rPr>
            </w:pPr>
            <w:r w:rsidRPr="00B90F1E">
              <w:rPr>
                <w:color w:val="000000"/>
              </w:rPr>
              <w:t>7</w:t>
            </w:r>
            <w:r w:rsidR="00374EC1">
              <w:rPr>
                <w:color w:val="000000"/>
              </w:rPr>
              <w:t>8</w:t>
            </w:r>
            <w:r w:rsidRPr="00B90F1E">
              <w:rPr>
                <w:color w:val="000000"/>
              </w:rPr>
              <w:t>%</w:t>
            </w:r>
          </w:p>
        </w:tc>
        <w:tc>
          <w:tcPr>
            <w:tcW w:w="1300" w:type="dxa"/>
            <w:tcBorders>
              <w:top w:val="nil"/>
              <w:left w:val="dotted" w:sz="4" w:space="0" w:color="auto"/>
              <w:bottom w:val="nil"/>
              <w:right w:val="nil"/>
            </w:tcBorders>
            <w:shd w:val="clear" w:color="auto" w:fill="auto"/>
            <w:noWrap/>
            <w:vAlign w:val="bottom"/>
            <w:hideMark/>
          </w:tcPr>
          <w:p w14:paraId="5AABF548" w14:textId="77777777" w:rsidR="00E41EEF" w:rsidRPr="00B90F1E" w:rsidRDefault="00E41EEF" w:rsidP="00E41EEF">
            <w:pPr>
              <w:jc w:val="center"/>
              <w:rPr>
                <w:color w:val="000000"/>
              </w:rPr>
            </w:pPr>
            <w:r w:rsidRPr="00B90F1E">
              <w:rPr>
                <w:color w:val="000000"/>
              </w:rPr>
              <w:t>77%</w:t>
            </w:r>
          </w:p>
        </w:tc>
        <w:tc>
          <w:tcPr>
            <w:tcW w:w="1300" w:type="dxa"/>
            <w:tcBorders>
              <w:top w:val="nil"/>
              <w:left w:val="nil"/>
              <w:bottom w:val="nil"/>
              <w:right w:val="nil"/>
            </w:tcBorders>
            <w:shd w:val="clear" w:color="auto" w:fill="auto"/>
            <w:noWrap/>
            <w:vAlign w:val="bottom"/>
            <w:hideMark/>
          </w:tcPr>
          <w:p w14:paraId="11ED9F4E" w14:textId="77777777" w:rsidR="00E41EEF" w:rsidRPr="00B90F1E" w:rsidRDefault="00E41EEF" w:rsidP="00E41EEF">
            <w:pPr>
              <w:jc w:val="center"/>
              <w:rPr>
                <w:color w:val="000000"/>
              </w:rPr>
            </w:pPr>
            <w:r w:rsidRPr="00B90F1E">
              <w:rPr>
                <w:color w:val="000000"/>
              </w:rPr>
              <w:t>72%</w:t>
            </w:r>
          </w:p>
        </w:tc>
        <w:tc>
          <w:tcPr>
            <w:tcW w:w="1300" w:type="dxa"/>
            <w:tcBorders>
              <w:top w:val="nil"/>
              <w:left w:val="nil"/>
              <w:bottom w:val="nil"/>
              <w:right w:val="nil"/>
            </w:tcBorders>
            <w:shd w:val="clear" w:color="auto" w:fill="auto"/>
            <w:noWrap/>
            <w:vAlign w:val="bottom"/>
            <w:hideMark/>
          </w:tcPr>
          <w:p w14:paraId="64052623" w14:textId="77777777" w:rsidR="00E41EEF" w:rsidRPr="00B90F1E" w:rsidRDefault="00E41EEF" w:rsidP="00E41EEF">
            <w:pPr>
              <w:jc w:val="center"/>
              <w:rPr>
                <w:color w:val="000000"/>
              </w:rPr>
            </w:pPr>
            <w:r w:rsidRPr="00B90F1E">
              <w:rPr>
                <w:color w:val="000000"/>
              </w:rPr>
              <w:t>81%</w:t>
            </w:r>
          </w:p>
        </w:tc>
      </w:tr>
      <w:tr w:rsidR="00E41EEF" w:rsidRPr="00797228" w14:paraId="1C173036" w14:textId="77777777" w:rsidTr="005C0A0A">
        <w:trPr>
          <w:trHeight w:val="320"/>
        </w:trPr>
        <w:tc>
          <w:tcPr>
            <w:tcW w:w="1300" w:type="dxa"/>
            <w:tcBorders>
              <w:top w:val="nil"/>
              <w:left w:val="nil"/>
              <w:bottom w:val="nil"/>
              <w:right w:val="nil"/>
            </w:tcBorders>
            <w:shd w:val="clear" w:color="auto" w:fill="auto"/>
            <w:noWrap/>
            <w:vAlign w:val="bottom"/>
            <w:hideMark/>
          </w:tcPr>
          <w:p w14:paraId="503DDD2B" w14:textId="77777777" w:rsidR="00E41EEF" w:rsidRPr="00B90F1E" w:rsidRDefault="00E41EEF" w:rsidP="00E41EEF">
            <w:pPr>
              <w:rPr>
                <w:color w:val="000000"/>
              </w:rPr>
            </w:pPr>
            <w:r w:rsidRPr="00B90F1E">
              <w:rPr>
                <w:color w:val="000000"/>
              </w:rPr>
              <w:t>40-44</w:t>
            </w:r>
          </w:p>
        </w:tc>
        <w:tc>
          <w:tcPr>
            <w:tcW w:w="1300" w:type="dxa"/>
            <w:tcBorders>
              <w:top w:val="nil"/>
              <w:left w:val="nil"/>
              <w:bottom w:val="nil"/>
              <w:right w:val="nil"/>
            </w:tcBorders>
            <w:shd w:val="clear" w:color="auto" w:fill="auto"/>
            <w:noWrap/>
            <w:vAlign w:val="bottom"/>
            <w:hideMark/>
          </w:tcPr>
          <w:p w14:paraId="705AABD6" w14:textId="0339087B" w:rsidR="00E41EEF" w:rsidRPr="00B90F1E" w:rsidRDefault="00E41EEF" w:rsidP="00E41EEF">
            <w:pPr>
              <w:jc w:val="center"/>
              <w:rPr>
                <w:color w:val="000000"/>
              </w:rPr>
            </w:pPr>
            <w:r w:rsidRPr="00B90F1E">
              <w:rPr>
                <w:color w:val="000000"/>
              </w:rPr>
              <w:t>7</w:t>
            </w:r>
            <w:r w:rsidR="00BC5F89">
              <w:rPr>
                <w:color w:val="000000"/>
              </w:rPr>
              <w:t>5</w:t>
            </w:r>
            <w:r w:rsidRPr="00B90F1E">
              <w:rPr>
                <w:color w:val="000000"/>
              </w:rPr>
              <w:t>%</w:t>
            </w:r>
          </w:p>
        </w:tc>
        <w:tc>
          <w:tcPr>
            <w:tcW w:w="1300" w:type="dxa"/>
            <w:tcBorders>
              <w:top w:val="nil"/>
              <w:left w:val="nil"/>
              <w:bottom w:val="nil"/>
              <w:right w:val="nil"/>
            </w:tcBorders>
            <w:shd w:val="clear" w:color="auto" w:fill="auto"/>
            <w:noWrap/>
            <w:vAlign w:val="bottom"/>
            <w:hideMark/>
          </w:tcPr>
          <w:p w14:paraId="617F1C30" w14:textId="2F1D9892" w:rsidR="00E41EEF" w:rsidRPr="00B90F1E" w:rsidRDefault="00E41EEF" w:rsidP="00E41EEF">
            <w:pPr>
              <w:jc w:val="center"/>
              <w:rPr>
                <w:color w:val="000000"/>
              </w:rPr>
            </w:pPr>
            <w:r w:rsidRPr="00B90F1E">
              <w:rPr>
                <w:color w:val="000000"/>
              </w:rPr>
              <w:t>7</w:t>
            </w:r>
            <w:r w:rsidR="00BC5F89">
              <w:rPr>
                <w:color w:val="000000"/>
              </w:rPr>
              <w:t>2</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6469498F" w14:textId="5B7DEEB2" w:rsidR="00E41EEF" w:rsidRPr="00B90F1E" w:rsidRDefault="00E41EEF" w:rsidP="00E41EEF">
            <w:pPr>
              <w:jc w:val="center"/>
              <w:rPr>
                <w:color w:val="000000"/>
              </w:rPr>
            </w:pPr>
            <w:r w:rsidRPr="00B90F1E">
              <w:rPr>
                <w:color w:val="000000"/>
              </w:rPr>
              <w:t>7</w:t>
            </w:r>
            <w:r w:rsidR="00BC5F89">
              <w:rPr>
                <w:color w:val="000000"/>
              </w:rPr>
              <w:t>7</w:t>
            </w:r>
            <w:r w:rsidRPr="00B90F1E">
              <w:rPr>
                <w:color w:val="000000"/>
              </w:rPr>
              <w:t>%</w:t>
            </w:r>
          </w:p>
        </w:tc>
        <w:tc>
          <w:tcPr>
            <w:tcW w:w="1300" w:type="dxa"/>
            <w:tcBorders>
              <w:top w:val="nil"/>
              <w:left w:val="dotted" w:sz="4" w:space="0" w:color="auto"/>
              <w:bottom w:val="nil"/>
              <w:right w:val="nil"/>
            </w:tcBorders>
            <w:shd w:val="clear" w:color="auto" w:fill="auto"/>
            <w:noWrap/>
            <w:vAlign w:val="bottom"/>
            <w:hideMark/>
          </w:tcPr>
          <w:p w14:paraId="3637D0E9" w14:textId="6750C8B1" w:rsidR="00E41EEF" w:rsidRPr="00B90F1E" w:rsidRDefault="00E41EEF" w:rsidP="00E41EEF">
            <w:pPr>
              <w:jc w:val="center"/>
              <w:rPr>
                <w:color w:val="000000"/>
              </w:rPr>
            </w:pPr>
            <w:r w:rsidRPr="00B90F1E">
              <w:rPr>
                <w:color w:val="000000"/>
              </w:rPr>
              <w:t>7</w:t>
            </w:r>
            <w:r w:rsidR="00374EC1">
              <w:rPr>
                <w:color w:val="000000"/>
              </w:rPr>
              <w:t>6</w:t>
            </w:r>
            <w:r w:rsidRPr="00B90F1E">
              <w:rPr>
                <w:color w:val="000000"/>
              </w:rPr>
              <w:t>%</w:t>
            </w:r>
          </w:p>
        </w:tc>
        <w:tc>
          <w:tcPr>
            <w:tcW w:w="1300" w:type="dxa"/>
            <w:tcBorders>
              <w:top w:val="nil"/>
              <w:left w:val="nil"/>
              <w:bottom w:val="nil"/>
              <w:right w:val="nil"/>
            </w:tcBorders>
            <w:shd w:val="clear" w:color="auto" w:fill="auto"/>
            <w:noWrap/>
            <w:vAlign w:val="bottom"/>
            <w:hideMark/>
          </w:tcPr>
          <w:p w14:paraId="16564BF2" w14:textId="3366094B" w:rsidR="00E41EEF" w:rsidRPr="00B90F1E" w:rsidRDefault="00E41EEF" w:rsidP="00E41EEF">
            <w:pPr>
              <w:jc w:val="center"/>
              <w:rPr>
                <w:color w:val="000000"/>
              </w:rPr>
            </w:pPr>
            <w:r w:rsidRPr="00B90F1E">
              <w:rPr>
                <w:color w:val="000000"/>
              </w:rPr>
              <w:t>7</w:t>
            </w:r>
            <w:r w:rsidR="00374EC1">
              <w:rPr>
                <w:color w:val="000000"/>
              </w:rPr>
              <w:t>3</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07AC3977" w14:textId="01C80330" w:rsidR="00E41EEF" w:rsidRPr="00B90F1E" w:rsidRDefault="00374EC1" w:rsidP="00E41EEF">
            <w:pPr>
              <w:jc w:val="center"/>
              <w:rPr>
                <w:color w:val="000000"/>
              </w:rPr>
            </w:pPr>
            <w:r>
              <w:rPr>
                <w:color w:val="000000"/>
              </w:rPr>
              <w:t>79</w:t>
            </w:r>
            <w:r w:rsidR="00E41EEF" w:rsidRPr="00B90F1E">
              <w:rPr>
                <w:color w:val="000000"/>
              </w:rPr>
              <w:t>%</w:t>
            </w:r>
          </w:p>
        </w:tc>
        <w:tc>
          <w:tcPr>
            <w:tcW w:w="1300" w:type="dxa"/>
            <w:tcBorders>
              <w:top w:val="nil"/>
              <w:left w:val="dotted" w:sz="4" w:space="0" w:color="auto"/>
              <w:bottom w:val="nil"/>
              <w:right w:val="nil"/>
            </w:tcBorders>
            <w:shd w:val="clear" w:color="auto" w:fill="auto"/>
            <w:noWrap/>
            <w:vAlign w:val="bottom"/>
            <w:hideMark/>
          </w:tcPr>
          <w:p w14:paraId="752546B2" w14:textId="77777777" w:rsidR="00E41EEF" w:rsidRPr="00B90F1E" w:rsidRDefault="00E41EEF" w:rsidP="00E41EEF">
            <w:pPr>
              <w:jc w:val="center"/>
              <w:rPr>
                <w:color w:val="000000"/>
              </w:rPr>
            </w:pPr>
            <w:r w:rsidRPr="00B90F1E">
              <w:rPr>
                <w:color w:val="000000"/>
              </w:rPr>
              <w:t>75%</w:t>
            </w:r>
          </w:p>
        </w:tc>
        <w:tc>
          <w:tcPr>
            <w:tcW w:w="1300" w:type="dxa"/>
            <w:tcBorders>
              <w:top w:val="nil"/>
              <w:left w:val="nil"/>
              <w:bottom w:val="nil"/>
              <w:right w:val="nil"/>
            </w:tcBorders>
            <w:shd w:val="clear" w:color="auto" w:fill="auto"/>
            <w:noWrap/>
            <w:vAlign w:val="bottom"/>
            <w:hideMark/>
          </w:tcPr>
          <w:p w14:paraId="32160AE8" w14:textId="77777777" w:rsidR="00E41EEF" w:rsidRPr="00B90F1E" w:rsidRDefault="00E41EEF" w:rsidP="00E41EEF">
            <w:pPr>
              <w:jc w:val="center"/>
              <w:rPr>
                <w:color w:val="000000"/>
              </w:rPr>
            </w:pPr>
            <w:r w:rsidRPr="00B90F1E">
              <w:rPr>
                <w:color w:val="000000"/>
              </w:rPr>
              <w:t>69%</w:t>
            </w:r>
          </w:p>
        </w:tc>
        <w:tc>
          <w:tcPr>
            <w:tcW w:w="1300" w:type="dxa"/>
            <w:tcBorders>
              <w:top w:val="nil"/>
              <w:left w:val="nil"/>
              <w:bottom w:val="nil"/>
              <w:right w:val="nil"/>
            </w:tcBorders>
            <w:shd w:val="clear" w:color="auto" w:fill="auto"/>
            <w:noWrap/>
            <w:vAlign w:val="bottom"/>
            <w:hideMark/>
          </w:tcPr>
          <w:p w14:paraId="12AD4405" w14:textId="48FAAA04" w:rsidR="00E41EEF" w:rsidRPr="00B90F1E" w:rsidRDefault="009E679C" w:rsidP="00E41EEF">
            <w:pPr>
              <w:jc w:val="center"/>
              <w:rPr>
                <w:color w:val="000000"/>
              </w:rPr>
            </w:pPr>
            <w:r>
              <w:rPr>
                <w:color w:val="000000"/>
              </w:rPr>
              <w:t>80</w:t>
            </w:r>
            <w:r w:rsidR="00E41EEF" w:rsidRPr="00B90F1E">
              <w:rPr>
                <w:color w:val="000000"/>
              </w:rPr>
              <w:t>%</w:t>
            </w:r>
          </w:p>
        </w:tc>
      </w:tr>
      <w:tr w:rsidR="00E41EEF" w:rsidRPr="00797228" w14:paraId="336DEEF2" w14:textId="77777777" w:rsidTr="005C0A0A">
        <w:trPr>
          <w:trHeight w:val="320"/>
        </w:trPr>
        <w:tc>
          <w:tcPr>
            <w:tcW w:w="1300" w:type="dxa"/>
            <w:tcBorders>
              <w:top w:val="nil"/>
              <w:left w:val="nil"/>
              <w:bottom w:val="nil"/>
              <w:right w:val="nil"/>
            </w:tcBorders>
            <w:shd w:val="clear" w:color="auto" w:fill="auto"/>
            <w:noWrap/>
            <w:vAlign w:val="bottom"/>
            <w:hideMark/>
          </w:tcPr>
          <w:p w14:paraId="40A14A87" w14:textId="77777777" w:rsidR="00E41EEF" w:rsidRPr="00B90F1E" w:rsidRDefault="00E41EEF" w:rsidP="00E41EEF">
            <w:pPr>
              <w:rPr>
                <w:color w:val="000000"/>
              </w:rPr>
            </w:pPr>
            <w:r w:rsidRPr="00B90F1E">
              <w:rPr>
                <w:color w:val="000000"/>
              </w:rPr>
              <w:t>45-49</w:t>
            </w:r>
          </w:p>
        </w:tc>
        <w:tc>
          <w:tcPr>
            <w:tcW w:w="1300" w:type="dxa"/>
            <w:tcBorders>
              <w:top w:val="nil"/>
              <w:left w:val="nil"/>
              <w:bottom w:val="nil"/>
              <w:right w:val="nil"/>
            </w:tcBorders>
            <w:shd w:val="clear" w:color="auto" w:fill="auto"/>
            <w:noWrap/>
            <w:vAlign w:val="bottom"/>
            <w:hideMark/>
          </w:tcPr>
          <w:p w14:paraId="06B4FEC1" w14:textId="77777777" w:rsidR="00E41EEF" w:rsidRPr="00B90F1E" w:rsidRDefault="00E41EEF" w:rsidP="00E41EEF">
            <w:pPr>
              <w:jc w:val="center"/>
              <w:rPr>
                <w:color w:val="000000"/>
              </w:rPr>
            </w:pPr>
            <w:r w:rsidRPr="00B90F1E">
              <w:rPr>
                <w:color w:val="000000"/>
              </w:rPr>
              <w:t>77%</w:t>
            </w:r>
          </w:p>
        </w:tc>
        <w:tc>
          <w:tcPr>
            <w:tcW w:w="1300" w:type="dxa"/>
            <w:tcBorders>
              <w:top w:val="nil"/>
              <w:left w:val="nil"/>
              <w:bottom w:val="nil"/>
              <w:right w:val="nil"/>
            </w:tcBorders>
            <w:shd w:val="clear" w:color="auto" w:fill="auto"/>
            <w:noWrap/>
            <w:vAlign w:val="bottom"/>
            <w:hideMark/>
          </w:tcPr>
          <w:p w14:paraId="689DE031" w14:textId="77777777" w:rsidR="00E41EEF" w:rsidRPr="00B90F1E" w:rsidRDefault="00E41EEF" w:rsidP="00E41EEF">
            <w:pPr>
              <w:jc w:val="center"/>
              <w:rPr>
                <w:color w:val="000000"/>
              </w:rPr>
            </w:pPr>
            <w:r w:rsidRPr="00B90F1E">
              <w:rPr>
                <w:color w:val="000000"/>
              </w:rPr>
              <w:t>74%</w:t>
            </w:r>
          </w:p>
        </w:tc>
        <w:tc>
          <w:tcPr>
            <w:tcW w:w="1300" w:type="dxa"/>
            <w:tcBorders>
              <w:top w:val="nil"/>
              <w:left w:val="nil"/>
              <w:bottom w:val="nil"/>
              <w:right w:val="dotted" w:sz="4" w:space="0" w:color="auto"/>
            </w:tcBorders>
            <w:shd w:val="clear" w:color="auto" w:fill="auto"/>
            <w:noWrap/>
            <w:vAlign w:val="bottom"/>
            <w:hideMark/>
          </w:tcPr>
          <w:p w14:paraId="0BAEACD8" w14:textId="77777777" w:rsidR="00E41EEF" w:rsidRPr="00B90F1E" w:rsidRDefault="00E41EEF" w:rsidP="00E41EEF">
            <w:pPr>
              <w:jc w:val="center"/>
              <w:rPr>
                <w:color w:val="000000"/>
              </w:rPr>
            </w:pPr>
            <w:r w:rsidRPr="00B90F1E">
              <w:rPr>
                <w:color w:val="000000"/>
              </w:rPr>
              <w:t>79%</w:t>
            </w:r>
          </w:p>
        </w:tc>
        <w:tc>
          <w:tcPr>
            <w:tcW w:w="1300" w:type="dxa"/>
            <w:tcBorders>
              <w:top w:val="nil"/>
              <w:left w:val="dotted" w:sz="4" w:space="0" w:color="auto"/>
              <w:bottom w:val="nil"/>
              <w:right w:val="nil"/>
            </w:tcBorders>
            <w:shd w:val="clear" w:color="auto" w:fill="auto"/>
            <w:noWrap/>
            <w:vAlign w:val="bottom"/>
            <w:hideMark/>
          </w:tcPr>
          <w:p w14:paraId="4729834E" w14:textId="587D2B88" w:rsidR="00E41EEF" w:rsidRPr="00B90F1E" w:rsidRDefault="00374EC1" w:rsidP="00E41EEF">
            <w:pPr>
              <w:jc w:val="center"/>
              <w:rPr>
                <w:color w:val="000000"/>
              </w:rPr>
            </w:pPr>
            <w:r>
              <w:rPr>
                <w:color w:val="000000"/>
              </w:rPr>
              <w:t>80</w:t>
            </w:r>
            <w:r w:rsidR="00E41EEF" w:rsidRPr="00B90F1E">
              <w:rPr>
                <w:color w:val="000000"/>
              </w:rPr>
              <w:t>%</w:t>
            </w:r>
          </w:p>
        </w:tc>
        <w:tc>
          <w:tcPr>
            <w:tcW w:w="1300" w:type="dxa"/>
            <w:tcBorders>
              <w:top w:val="nil"/>
              <w:left w:val="nil"/>
              <w:bottom w:val="nil"/>
              <w:right w:val="nil"/>
            </w:tcBorders>
            <w:shd w:val="clear" w:color="auto" w:fill="auto"/>
            <w:noWrap/>
            <w:vAlign w:val="bottom"/>
            <w:hideMark/>
          </w:tcPr>
          <w:p w14:paraId="1E9F20F4" w14:textId="710FE7FE" w:rsidR="00E41EEF" w:rsidRPr="00B90F1E" w:rsidRDefault="00E41EEF" w:rsidP="00E41EEF">
            <w:pPr>
              <w:jc w:val="center"/>
              <w:rPr>
                <w:color w:val="000000"/>
              </w:rPr>
            </w:pPr>
            <w:r w:rsidRPr="00B90F1E">
              <w:rPr>
                <w:color w:val="000000"/>
              </w:rPr>
              <w:t>7</w:t>
            </w:r>
            <w:r w:rsidR="00263FDA">
              <w:rPr>
                <w:color w:val="000000"/>
              </w:rPr>
              <w:t>6</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59BFED68" w14:textId="77777777" w:rsidR="00E41EEF" w:rsidRPr="00B90F1E" w:rsidRDefault="00E41EEF" w:rsidP="00E41EEF">
            <w:pPr>
              <w:jc w:val="center"/>
              <w:rPr>
                <w:color w:val="000000"/>
              </w:rPr>
            </w:pPr>
            <w:r w:rsidRPr="00B90F1E">
              <w:rPr>
                <w:color w:val="000000"/>
              </w:rPr>
              <w:t>82%</w:t>
            </w:r>
          </w:p>
        </w:tc>
        <w:tc>
          <w:tcPr>
            <w:tcW w:w="1300" w:type="dxa"/>
            <w:tcBorders>
              <w:top w:val="nil"/>
              <w:left w:val="dotted" w:sz="4" w:space="0" w:color="auto"/>
              <w:bottom w:val="nil"/>
              <w:right w:val="nil"/>
            </w:tcBorders>
            <w:shd w:val="clear" w:color="auto" w:fill="auto"/>
            <w:noWrap/>
            <w:vAlign w:val="bottom"/>
            <w:hideMark/>
          </w:tcPr>
          <w:p w14:paraId="33039489" w14:textId="77777777" w:rsidR="00E41EEF" w:rsidRPr="00B90F1E" w:rsidRDefault="00E41EEF" w:rsidP="00E41EEF">
            <w:pPr>
              <w:jc w:val="center"/>
              <w:rPr>
                <w:color w:val="000000"/>
              </w:rPr>
            </w:pPr>
            <w:r w:rsidRPr="00B90F1E">
              <w:rPr>
                <w:color w:val="000000"/>
              </w:rPr>
              <w:t>81%</w:t>
            </w:r>
          </w:p>
        </w:tc>
        <w:tc>
          <w:tcPr>
            <w:tcW w:w="1300" w:type="dxa"/>
            <w:tcBorders>
              <w:top w:val="nil"/>
              <w:left w:val="nil"/>
              <w:bottom w:val="nil"/>
              <w:right w:val="nil"/>
            </w:tcBorders>
            <w:shd w:val="clear" w:color="auto" w:fill="auto"/>
            <w:noWrap/>
            <w:vAlign w:val="bottom"/>
            <w:hideMark/>
          </w:tcPr>
          <w:p w14:paraId="2B6618DF" w14:textId="77777777" w:rsidR="00E41EEF" w:rsidRPr="00B90F1E" w:rsidRDefault="00E41EEF" w:rsidP="00E41EEF">
            <w:pPr>
              <w:jc w:val="center"/>
              <w:rPr>
                <w:color w:val="000000"/>
              </w:rPr>
            </w:pPr>
            <w:r w:rsidRPr="00B90F1E">
              <w:rPr>
                <w:color w:val="000000"/>
              </w:rPr>
              <w:t>77%</w:t>
            </w:r>
          </w:p>
        </w:tc>
        <w:tc>
          <w:tcPr>
            <w:tcW w:w="1300" w:type="dxa"/>
            <w:tcBorders>
              <w:top w:val="nil"/>
              <w:left w:val="nil"/>
              <w:bottom w:val="nil"/>
              <w:right w:val="nil"/>
            </w:tcBorders>
            <w:shd w:val="clear" w:color="auto" w:fill="auto"/>
            <w:noWrap/>
            <w:vAlign w:val="bottom"/>
            <w:hideMark/>
          </w:tcPr>
          <w:p w14:paraId="06D4F955" w14:textId="77777777" w:rsidR="00E41EEF" w:rsidRPr="00B90F1E" w:rsidRDefault="00E41EEF" w:rsidP="00E41EEF">
            <w:pPr>
              <w:jc w:val="center"/>
              <w:rPr>
                <w:color w:val="000000"/>
              </w:rPr>
            </w:pPr>
            <w:r w:rsidRPr="00B90F1E">
              <w:rPr>
                <w:color w:val="000000"/>
              </w:rPr>
              <w:t>85%</w:t>
            </w:r>
          </w:p>
        </w:tc>
      </w:tr>
      <w:tr w:rsidR="00E41EEF" w:rsidRPr="00797228" w14:paraId="622172DA" w14:textId="77777777" w:rsidTr="005C0A0A">
        <w:trPr>
          <w:trHeight w:val="320"/>
        </w:trPr>
        <w:tc>
          <w:tcPr>
            <w:tcW w:w="1300" w:type="dxa"/>
            <w:tcBorders>
              <w:top w:val="nil"/>
              <w:left w:val="nil"/>
              <w:bottom w:val="nil"/>
              <w:right w:val="nil"/>
            </w:tcBorders>
            <w:shd w:val="clear" w:color="auto" w:fill="auto"/>
            <w:noWrap/>
            <w:vAlign w:val="bottom"/>
            <w:hideMark/>
          </w:tcPr>
          <w:p w14:paraId="1B74952E" w14:textId="77777777" w:rsidR="00E41EEF" w:rsidRPr="00B90F1E" w:rsidRDefault="00E41EEF" w:rsidP="00E41EEF">
            <w:pPr>
              <w:rPr>
                <w:color w:val="000000"/>
              </w:rPr>
            </w:pPr>
            <w:r w:rsidRPr="00B90F1E">
              <w:rPr>
                <w:color w:val="000000"/>
              </w:rPr>
              <w:t>50-54</w:t>
            </w:r>
          </w:p>
        </w:tc>
        <w:tc>
          <w:tcPr>
            <w:tcW w:w="1300" w:type="dxa"/>
            <w:tcBorders>
              <w:top w:val="nil"/>
              <w:left w:val="nil"/>
              <w:bottom w:val="nil"/>
              <w:right w:val="nil"/>
            </w:tcBorders>
            <w:shd w:val="clear" w:color="auto" w:fill="auto"/>
            <w:noWrap/>
            <w:vAlign w:val="bottom"/>
            <w:hideMark/>
          </w:tcPr>
          <w:p w14:paraId="628BC253" w14:textId="77777777" w:rsidR="00E41EEF" w:rsidRPr="00B90F1E" w:rsidRDefault="00E41EEF" w:rsidP="00E41EEF">
            <w:pPr>
              <w:jc w:val="center"/>
              <w:rPr>
                <w:color w:val="000000"/>
              </w:rPr>
            </w:pPr>
            <w:r w:rsidRPr="00B90F1E">
              <w:rPr>
                <w:color w:val="000000"/>
              </w:rPr>
              <w:t>78%</w:t>
            </w:r>
          </w:p>
        </w:tc>
        <w:tc>
          <w:tcPr>
            <w:tcW w:w="1300" w:type="dxa"/>
            <w:tcBorders>
              <w:top w:val="nil"/>
              <w:left w:val="nil"/>
              <w:bottom w:val="nil"/>
              <w:right w:val="nil"/>
            </w:tcBorders>
            <w:shd w:val="clear" w:color="auto" w:fill="auto"/>
            <w:noWrap/>
            <w:vAlign w:val="bottom"/>
            <w:hideMark/>
          </w:tcPr>
          <w:p w14:paraId="26AAE855" w14:textId="3AB8A736" w:rsidR="00E41EEF" w:rsidRPr="00B90F1E" w:rsidRDefault="00E41EEF" w:rsidP="00E41EEF">
            <w:pPr>
              <w:jc w:val="center"/>
              <w:rPr>
                <w:color w:val="000000"/>
              </w:rPr>
            </w:pPr>
            <w:r w:rsidRPr="00B90F1E">
              <w:rPr>
                <w:color w:val="000000"/>
              </w:rPr>
              <w:t>7</w:t>
            </w:r>
            <w:r w:rsidR="00BC5F89">
              <w:rPr>
                <w:color w:val="000000"/>
              </w:rPr>
              <w:t>6</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059FDA3A" w14:textId="77777777" w:rsidR="00E41EEF" w:rsidRPr="00B90F1E" w:rsidRDefault="00E41EEF" w:rsidP="00E41EEF">
            <w:pPr>
              <w:jc w:val="center"/>
              <w:rPr>
                <w:color w:val="000000"/>
              </w:rPr>
            </w:pPr>
            <w:r w:rsidRPr="00B90F1E">
              <w:rPr>
                <w:color w:val="000000"/>
              </w:rPr>
              <w:t>80%</w:t>
            </w:r>
          </w:p>
        </w:tc>
        <w:tc>
          <w:tcPr>
            <w:tcW w:w="1300" w:type="dxa"/>
            <w:tcBorders>
              <w:top w:val="nil"/>
              <w:left w:val="dotted" w:sz="4" w:space="0" w:color="auto"/>
              <w:bottom w:val="nil"/>
              <w:right w:val="nil"/>
            </w:tcBorders>
            <w:shd w:val="clear" w:color="auto" w:fill="auto"/>
            <w:noWrap/>
            <w:vAlign w:val="bottom"/>
            <w:hideMark/>
          </w:tcPr>
          <w:p w14:paraId="60839246" w14:textId="77777777" w:rsidR="00E41EEF" w:rsidRPr="00B90F1E" w:rsidRDefault="00E41EEF" w:rsidP="00E41EEF">
            <w:pPr>
              <w:jc w:val="center"/>
              <w:rPr>
                <w:color w:val="000000"/>
              </w:rPr>
            </w:pPr>
            <w:r w:rsidRPr="00B90F1E">
              <w:rPr>
                <w:color w:val="000000"/>
              </w:rPr>
              <w:t>80%</w:t>
            </w:r>
          </w:p>
        </w:tc>
        <w:tc>
          <w:tcPr>
            <w:tcW w:w="1300" w:type="dxa"/>
            <w:tcBorders>
              <w:top w:val="nil"/>
              <w:left w:val="nil"/>
              <w:bottom w:val="nil"/>
              <w:right w:val="nil"/>
            </w:tcBorders>
            <w:shd w:val="clear" w:color="auto" w:fill="auto"/>
            <w:noWrap/>
            <w:vAlign w:val="bottom"/>
            <w:hideMark/>
          </w:tcPr>
          <w:p w14:paraId="328F71E7" w14:textId="1CE3A079" w:rsidR="00E41EEF" w:rsidRPr="00B90F1E" w:rsidRDefault="00E41EEF" w:rsidP="00E41EEF">
            <w:pPr>
              <w:jc w:val="center"/>
              <w:rPr>
                <w:color w:val="000000"/>
              </w:rPr>
            </w:pPr>
            <w:r w:rsidRPr="00B90F1E">
              <w:rPr>
                <w:color w:val="000000"/>
              </w:rPr>
              <w:t>7</w:t>
            </w:r>
            <w:r w:rsidR="00374EC1">
              <w:rPr>
                <w:color w:val="000000"/>
              </w:rPr>
              <w:t>8</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44118907" w14:textId="2FA332CA" w:rsidR="00E41EEF" w:rsidRPr="00B90F1E" w:rsidRDefault="00E41EEF" w:rsidP="00E41EEF">
            <w:pPr>
              <w:jc w:val="center"/>
              <w:rPr>
                <w:color w:val="000000"/>
              </w:rPr>
            </w:pPr>
            <w:r w:rsidRPr="00B90F1E">
              <w:rPr>
                <w:color w:val="000000"/>
              </w:rPr>
              <w:t>8</w:t>
            </w:r>
            <w:r w:rsidR="00374EC1">
              <w:rPr>
                <w:color w:val="000000"/>
              </w:rPr>
              <w:t>2</w:t>
            </w:r>
            <w:r w:rsidRPr="00B90F1E">
              <w:rPr>
                <w:color w:val="000000"/>
              </w:rPr>
              <w:t>%</w:t>
            </w:r>
          </w:p>
        </w:tc>
        <w:tc>
          <w:tcPr>
            <w:tcW w:w="1300" w:type="dxa"/>
            <w:tcBorders>
              <w:top w:val="nil"/>
              <w:left w:val="dotted" w:sz="4" w:space="0" w:color="auto"/>
              <w:bottom w:val="nil"/>
              <w:right w:val="nil"/>
            </w:tcBorders>
            <w:shd w:val="clear" w:color="auto" w:fill="auto"/>
            <w:noWrap/>
            <w:vAlign w:val="bottom"/>
            <w:hideMark/>
          </w:tcPr>
          <w:p w14:paraId="6FC2B0C6" w14:textId="77777777" w:rsidR="00E41EEF" w:rsidRPr="00B90F1E" w:rsidRDefault="00E41EEF" w:rsidP="00E41EEF">
            <w:pPr>
              <w:jc w:val="center"/>
              <w:rPr>
                <w:color w:val="000000"/>
              </w:rPr>
            </w:pPr>
            <w:r w:rsidRPr="00B90F1E">
              <w:rPr>
                <w:color w:val="000000"/>
              </w:rPr>
              <w:t>82%</w:t>
            </w:r>
          </w:p>
        </w:tc>
        <w:tc>
          <w:tcPr>
            <w:tcW w:w="1300" w:type="dxa"/>
            <w:tcBorders>
              <w:top w:val="nil"/>
              <w:left w:val="nil"/>
              <w:bottom w:val="nil"/>
              <w:right w:val="nil"/>
            </w:tcBorders>
            <w:shd w:val="clear" w:color="auto" w:fill="auto"/>
            <w:noWrap/>
            <w:vAlign w:val="bottom"/>
            <w:hideMark/>
          </w:tcPr>
          <w:p w14:paraId="1B0496F7" w14:textId="77777777" w:rsidR="00E41EEF" w:rsidRPr="00B90F1E" w:rsidRDefault="00E41EEF" w:rsidP="00E41EEF">
            <w:pPr>
              <w:jc w:val="center"/>
              <w:rPr>
                <w:color w:val="000000"/>
              </w:rPr>
            </w:pPr>
            <w:r w:rsidRPr="00B90F1E">
              <w:rPr>
                <w:color w:val="000000"/>
              </w:rPr>
              <w:t>78%</w:t>
            </w:r>
          </w:p>
        </w:tc>
        <w:tc>
          <w:tcPr>
            <w:tcW w:w="1300" w:type="dxa"/>
            <w:tcBorders>
              <w:top w:val="nil"/>
              <w:left w:val="nil"/>
              <w:bottom w:val="nil"/>
              <w:right w:val="nil"/>
            </w:tcBorders>
            <w:shd w:val="clear" w:color="auto" w:fill="auto"/>
            <w:noWrap/>
            <w:vAlign w:val="bottom"/>
            <w:hideMark/>
          </w:tcPr>
          <w:p w14:paraId="1A203F19" w14:textId="77777777" w:rsidR="00E41EEF" w:rsidRPr="00B90F1E" w:rsidRDefault="00E41EEF" w:rsidP="00E41EEF">
            <w:pPr>
              <w:jc w:val="center"/>
              <w:rPr>
                <w:color w:val="000000"/>
              </w:rPr>
            </w:pPr>
            <w:r w:rsidRPr="00B90F1E">
              <w:rPr>
                <w:color w:val="000000"/>
              </w:rPr>
              <w:t>86%</w:t>
            </w:r>
          </w:p>
        </w:tc>
      </w:tr>
      <w:tr w:rsidR="00E41EEF" w:rsidRPr="00797228" w14:paraId="6023D112" w14:textId="77777777" w:rsidTr="005C0A0A">
        <w:trPr>
          <w:trHeight w:val="320"/>
        </w:trPr>
        <w:tc>
          <w:tcPr>
            <w:tcW w:w="1300" w:type="dxa"/>
            <w:tcBorders>
              <w:top w:val="nil"/>
              <w:left w:val="nil"/>
              <w:bottom w:val="nil"/>
              <w:right w:val="nil"/>
            </w:tcBorders>
            <w:shd w:val="clear" w:color="auto" w:fill="auto"/>
            <w:noWrap/>
            <w:vAlign w:val="bottom"/>
            <w:hideMark/>
          </w:tcPr>
          <w:p w14:paraId="38400E0E" w14:textId="77777777" w:rsidR="00E41EEF" w:rsidRPr="00B90F1E" w:rsidRDefault="00E41EEF" w:rsidP="00E41EEF">
            <w:pPr>
              <w:rPr>
                <w:color w:val="000000"/>
              </w:rPr>
            </w:pPr>
            <w:r w:rsidRPr="00B90F1E">
              <w:rPr>
                <w:color w:val="000000"/>
              </w:rPr>
              <w:t>55-59</w:t>
            </w:r>
          </w:p>
        </w:tc>
        <w:tc>
          <w:tcPr>
            <w:tcW w:w="1300" w:type="dxa"/>
            <w:tcBorders>
              <w:top w:val="nil"/>
              <w:left w:val="nil"/>
              <w:bottom w:val="nil"/>
              <w:right w:val="nil"/>
            </w:tcBorders>
            <w:shd w:val="clear" w:color="auto" w:fill="auto"/>
            <w:noWrap/>
            <w:vAlign w:val="bottom"/>
            <w:hideMark/>
          </w:tcPr>
          <w:p w14:paraId="0C680867" w14:textId="77777777" w:rsidR="00E41EEF" w:rsidRPr="00B90F1E" w:rsidRDefault="00E41EEF" w:rsidP="00E41EEF">
            <w:pPr>
              <w:jc w:val="center"/>
              <w:rPr>
                <w:color w:val="000000"/>
              </w:rPr>
            </w:pPr>
            <w:r w:rsidRPr="00B90F1E">
              <w:rPr>
                <w:color w:val="000000"/>
              </w:rPr>
              <w:t>84%</w:t>
            </w:r>
          </w:p>
        </w:tc>
        <w:tc>
          <w:tcPr>
            <w:tcW w:w="1300" w:type="dxa"/>
            <w:tcBorders>
              <w:top w:val="nil"/>
              <w:left w:val="nil"/>
              <w:bottom w:val="nil"/>
              <w:right w:val="nil"/>
            </w:tcBorders>
            <w:shd w:val="clear" w:color="auto" w:fill="auto"/>
            <w:noWrap/>
            <w:vAlign w:val="bottom"/>
            <w:hideMark/>
          </w:tcPr>
          <w:p w14:paraId="0E171EAE" w14:textId="14C8E60D" w:rsidR="00E41EEF" w:rsidRPr="00B90F1E" w:rsidRDefault="00E41EEF" w:rsidP="00E41EEF">
            <w:pPr>
              <w:jc w:val="center"/>
              <w:rPr>
                <w:color w:val="000000"/>
              </w:rPr>
            </w:pPr>
            <w:r w:rsidRPr="00B90F1E">
              <w:rPr>
                <w:color w:val="000000"/>
              </w:rPr>
              <w:t>8</w:t>
            </w:r>
            <w:r w:rsidR="00BC5F89">
              <w:rPr>
                <w:color w:val="000000"/>
              </w:rPr>
              <w:t>2</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2800A2B9" w14:textId="77777777" w:rsidR="00E41EEF" w:rsidRPr="00B90F1E" w:rsidRDefault="00E41EEF" w:rsidP="00E41EEF">
            <w:pPr>
              <w:jc w:val="center"/>
              <w:rPr>
                <w:color w:val="000000"/>
              </w:rPr>
            </w:pPr>
            <w:r w:rsidRPr="00B90F1E">
              <w:rPr>
                <w:color w:val="000000"/>
              </w:rPr>
              <w:t>86%</w:t>
            </w:r>
          </w:p>
        </w:tc>
        <w:tc>
          <w:tcPr>
            <w:tcW w:w="1300" w:type="dxa"/>
            <w:tcBorders>
              <w:top w:val="nil"/>
              <w:left w:val="dotted" w:sz="4" w:space="0" w:color="auto"/>
              <w:bottom w:val="nil"/>
              <w:right w:val="nil"/>
            </w:tcBorders>
            <w:shd w:val="clear" w:color="auto" w:fill="auto"/>
            <w:noWrap/>
            <w:vAlign w:val="bottom"/>
            <w:hideMark/>
          </w:tcPr>
          <w:p w14:paraId="3B6F5ECF" w14:textId="5D0D3344" w:rsidR="00E41EEF" w:rsidRPr="00B90F1E" w:rsidRDefault="00E41EEF" w:rsidP="00E41EEF">
            <w:pPr>
              <w:jc w:val="center"/>
              <w:rPr>
                <w:color w:val="000000"/>
              </w:rPr>
            </w:pPr>
            <w:r w:rsidRPr="00B90F1E">
              <w:rPr>
                <w:color w:val="000000"/>
              </w:rPr>
              <w:t>8</w:t>
            </w:r>
            <w:r w:rsidR="00374EC1">
              <w:rPr>
                <w:color w:val="000000"/>
              </w:rPr>
              <w:t>1</w:t>
            </w:r>
            <w:r w:rsidRPr="00B90F1E">
              <w:rPr>
                <w:color w:val="000000"/>
              </w:rPr>
              <w:t>%</w:t>
            </w:r>
          </w:p>
        </w:tc>
        <w:tc>
          <w:tcPr>
            <w:tcW w:w="1300" w:type="dxa"/>
            <w:tcBorders>
              <w:top w:val="nil"/>
              <w:left w:val="nil"/>
              <w:bottom w:val="nil"/>
              <w:right w:val="nil"/>
            </w:tcBorders>
            <w:shd w:val="clear" w:color="auto" w:fill="auto"/>
            <w:noWrap/>
            <w:vAlign w:val="bottom"/>
            <w:hideMark/>
          </w:tcPr>
          <w:p w14:paraId="3A950F9B" w14:textId="273FD88C" w:rsidR="00E41EEF" w:rsidRPr="00B90F1E" w:rsidRDefault="00E41EEF" w:rsidP="00E41EEF">
            <w:pPr>
              <w:jc w:val="center"/>
              <w:rPr>
                <w:color w:val="000000"/>
              </w:rPr>
            </w:pPr>
            <w:r w:rsidRPr="00B90F1E">
              <w:rPr>
                <w:color w:val="000000"/>
              </w:rPr>
              <w:t>7</w:t>
            </w:r>
            <w:r w:rsidR="00374EC1">
              <w:rPr>
                <w:color w:val="000000"/>
              </w:rPr>
              <w:t>9</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03847013" w14:textId="13CDAB61" w:rsidR="00E41EEF" w:rsidRPr="00B90F1E" w:rsidRDefault="00E41EEF" w:rsidP="00E41EEF">
            <w:pPr>
              <w:jc w:val="center"/>
              <w:rPr>
                <w:color w:val="000000"/>
              </w:rPr>
            </w:pPr>
            <w:r w:rsidRPr="00B90F1E">
              <w:rPr>
                <w:color w:val="000000"/>
              </w:rPr>
              <w:t>8</w:t>
            </w:r>
            <w:r w:rsidR="00374EC1">
              <w:rPr>
                <w:color w:val="000000"/>
              </w:rPr>
              <w:t>4</w:t>
            </w:r>
            <w:r w:rsidRPr="00B90F1E">
              <w:rPr>
                <w:color w:val="000000"/>
              </w:rPr>
              <w:t>%</w:t>
            </w:r>
          </w:p>
        </w:tc>
        <w:tc>
          <w:tcPr>
            <w:tcW w:w="1300" w:type="dxa"/>
            <w:tcBorders>
              <w:top w:val="nil"/>
              <w:left w:val="dotted" w:sz="4" w:space="0" w:color="auto"/>
              <w:bottom w:val="nil"/>
              <w:right w:val="nil"/>
            </w:tcBorders>
            <w:shd w:val="clear" w:color="auto" w:fill="auto"/>
            <w:noWrap/>
            <w:vAlign w:val="bottom"/>
            <w:hideMark/>
          </w:tcPr>
          <w:p w14:paraId="0ACC3650" w14:textId="77777777" w:rsidR="00E41EEF" w:rsidRPr="00B90F1E" w:rsidRDefault="00E41EEF" w:rsidP="00E41EEF">
            <w:pPr>
              <w:jc w:val="center"/>
              <w:rPr>
                <w:color w:val="000000"/>
              </w:rPr>
            </w:pPr>
            <w:r w:rsidRPr="00B90F1E">
              <w:rPr>
                <w:color w:val="000000"/>
              </w:rPr>
              <w:t>86%</w:t>
            </w:r>
          </w:p>
        </w:tc>
        <w:tc>
          <w:tcPr>
            <w:tcW w:w="1300" w:type="dxa"/>
            <w:tcBorders>
              <w:top w:val="nil"/>
              <w:left w:val="nil"/>
              <w:bottom w:val="nil"/>
              <w:right w:val="nil"/>
            </w:tcBorders>
            <w:shd w:val="clear" w:color="auto" w:fill="auto"/>
            <w:noWrap/>
            <w:vAlign w:val="bottom"/>
            <w:hideMark/>
          </w:tcPr>
          <w:p w14:paraId="574C5162" w14:textId="77777777" w:rsidR="00E41EEF" w:rsidRPr="00B90F1E" w:rsidRDefault="00E41EEF" w:rsidP="00E41EEF">
            <w:pPr>
              <w:jc w:val="center"/>
              <w:rPr>
                <w:color w:val="000000"/>
              </w:rPr>
            </w:pPr>
            <w:r w:rsidRPr="00B90F1E">
              <w:rPr>
                <w:color w:val="000000"/>
              </w:rPr>
              <w:t>82%</w:t>
            </w:r>
          </w:p>
        </w:tc>
        <w:tc>
          <w:tcPr>
            <w:tcW w:w="1300" w:type="dxa"/>
            <w:tcBorders>
              <w:top w:val="nil"/>
              <w:left w:val="nil"/>
              <w:bottom w:val="nil"/>
              <w:right w:val="nil"/>
            </w:tcBorders>
            <w:shd w:val="clear" w:color="auto" w:fill="auto"/>
            <w:noWrap/>
            <w:vAlign w:val="bottom"/>
            <w:hideMark/>
          </w:tcPr>
          <w:p w14:paraId="25DB10E4" w14:textId="77777777" w:rsidR="00E41EEF" w:rsidRPr="00B90F1E" w:rsidRDefault="00E41EEF" w:rsidP="00E41EEF">
            <w:pPr>
              <w:jc w:val="center"/>
              <w:rPr>
                <w:color w:val="000000"/>
              </w:rPr>
            </w:pPr>
            <w:r w:rsidRPr="00B90F1E">
              <w:rPr>
                <w:color w:val="000000"/>
              </w:rPr>
              <w:t>89%</w:t>
            </w:r>
          </w:p>
        </w:tc>
      </w:tr>
      <w:tr w:rsidR="00E41EEF" w:rsidRPr="00797228" w14:paraId="55C7BBBA" w14:textId="77777777" w:rsidTr="005C0A0A">
        <w:trPr>
          <w:trHeight w:val="320"/>
        </w:trPr>
        <w:tc>
          <w:tcPr>
            <w:tcW w:w="1300" w:type="dxa"/>
            <w:tcBorders>
              <w:top w:val="nil"/>
              <w:left w:val="nil"/>
              <w:bottom w:val="nil"/>
              <w:right w:val="nil"/>
            </w:tcBorders>
            <w:shd w:val="clear" w:color="auto" w:fill="auto"/>
            <w:noWrap/>
            <w:vAlign w:val="bottom"/>
            <w:hideMark/>
          </w:tcPr>
          <w:p w14:paraId="59187C00" w14:textId="77777777" w:rsidR="00E41EEF" w:rsidRPr="00B90F1E" w:rsidRDefault="00E41EEF" w:rsidP="00E41EEF">
            <w:pPr>
              <w:rPr>
                <w:color w:val="000000"/>
              </w:rPr>
            </w:pPr>
            <w:r w:rsidRPr="00B90F1E">
              <w:rPr>
                <w:color w:val="000000"/>
              </w:rPr>
              <w:t>60-64</w:t>
            </w:r>
          </w:p>
        </w:tc>
        <w:tc>
          <w:tcPr>
            <w:tcW w:w="1300" w:type="dxa"/>
            <w:tcBorders>
              <w:top w:val="nil"/>
              <w:left w:val="nil"/>
              <w:bottom w:val="nil"/>
              <w:right w:val="nil"/>
            </w:tcBorders>
            <w:shd w:val="clear" w:color="auto" w:fill="auto"/>
            <w:noWrap/>
            <w:vAlign w:val="bottom"/>
            <w:hideMark/>
          </w:tcPr>
          <w:p w14:paraId="1B59EB63" w14:textId="58E60216" w:rsidR="00E41EEF" w:rsidRPr="00B90F1E" w:rsidRDefault="00E41EEF" w:rsidP="00E41EEF">
            <w:pPr>
              <w:jc w:val="center"/>
              <w:rPr>
                <w:color w:val="000000"/>
              </w:rPr>
            </w:pPr>
            <w:r w:rsidRPr="00B90F1E">
              <w:rPr>
                <w:color w:val="000000"/>
              </w:rPr>
              <w:t>8</w:t>
            </w:r>
            <w:r w:rsidR="00BC5F89">
              <w:rPr>
                <w:color w:val="000000"/>
              </w:rPr>
              <w:t>5</w:t>
            </w:r>
            <w:r w:rsidRPr="00B90F1E">
              <w:rPr>
                <w:color w:val="000000"/>
              </w:rPr>
              <w:t>%</w:t>
            </w:r>
          </w:p>
        </w:tc>
        <w:tc>
          <w:tcPr>
            <w:tcW w:w="1300" w:type="dxa"/>
            <w:tcBorders>
              <w:top w:val="nil"/>
              <w:left w:val="nil"/>
              <w:bottom w:val="nil"/>
              <w:right w:val="nil"/>
            </w:tcBorders>
            <w:shd w:val="clear" w:color="auto" w:fill="auto"/>
            <w:noWrap/>
            <w:vAlign w:val="bottom"/>
            <w:hideMark/>
          </w:tcPr>
          <w:p w14:paraId="63A7F135" w14:textId="72B8DC18" w:rsidR="00E41EEF" w:rsidRPr="00B90F1E" w:rsidRDefault="00E41EEF" w:rsidP="00E41EEF">
            <w:pPr>
              <w:jc w:val="center"/>
              <w:rPr>
                <w:color w:val="000000"/>
              </w:rPr>
            </w:pPr>
            <w:r w:rsidRPr="00B90F1E">
              <w:rPr>
                <w:color w:val="000000"/>
              </w:rPr>
              <w:t>8</w:t>
            </w:r>
            <w:r w:rsidR="00BC5F89">
              <w:rPr>
                <w:color w:val="000000"/>
              </w:rPr>
              <w:t>3</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3CDD5998" w14:textId="19101B35" w:rsidR="00E41EEF" w:rsidRPr="00B90F1E" w:rsidRDefault="00E41EEF" w:rsidP="00E41EEF">
            <w:pPr>
              <w:jc w:val="center"/>
              <w:rPr>
                <w:color w:val="000000"/>
              </w:rPr>
            </w:pPr>
            <w:r w:rsidRPr="00B90F1E">
              <w:rPr>
                <w:color w:val="000000"/>
              </w:rPr>
              <w:t>8</w:t>
            </w:r>
            <w:r w:rsidR="00BC5F89">
              <w:rPr>
                <w:color w:val="000000"/>
              </w:rPr>
              <w:t>7</w:t>
            </w:r>
            <w:r w:rsidRPr="00B90F1E">
              <w:rPr>
                <w:color w:val="000000"/>
              </w:rPr>
              <w:t>%</w:t>
            </w:r>
          </w:p>
        </w:tc>
        <w:tc>
          <w:tcPr>
            <w:tcW w:w="1300" w:type="dxa"/>
            <w:tcBorders>
              <w:top w:val="nil"/>
              <w:left w:val="dotted" w:sz="4" w:space="0" w:color="auto"/>
              <w:bottom w:val="nil"/>
              <w:right w:val="nil"/>
            </w:tcBorders>
            <w:shd w:val="clear" w:color="auto" w:fill="auto"/>
            <w:noWrap/>
            <w:vAlign w:val="bottom"/>
            <w:hideMark/>
          </w:tcPr>
          <w:p w14:paraId="12C2DFCF" w14:textId="3881D8DC" w:rsidR="00E41EEF" w:rsidRPr="00B90F1E" w:rsidRDefault="00E41EEF" w:rsidP="00E41EEF">
            <w:pPr>
              <w:jc w:val="center"/>
              <w:rPr>
                <w:color w:val="000000"/>
              </w:rPr>
            </w:pPr>
            <w:r w:rsidRPr="00B90F1E">
              <w:rPr>
                <w:color w:val="000000"/>
              </w:rPr>
              <w:t>8</w:t>
            </w:r>
            <w:r w:rsidR="00374EC1">
              <w:rPr>
                <w:color w:val="000000"/>
              </w:rPr>
              <w:t>6</w:t>
            </w:r>
            <w:r w:rsidRPr="00B90F1E">
              <w:rPr>
                <w:color w:val="000000"/>
              </w:rPr>
              <w:t>%</w:t>
            </w:r>
          </w:p>
        </w:tc>
        <w:tc>
          <w:tcPr>
            <w:tcW w:w="1300" w:type="dxa"/>
            <w:tcBorders>
              <w:top w:val="nil"/>
              <w:left w:val="nil"/>
              <w:bottom w:val="nil"/>
              <w:right w:val="nil"/>
            </w:tcBorders>
            <w:shd w:val="clear" w:color="auto" w:fill="auto"/>
            <w:noWrap/>
            <w:vAlign w:val="bottom"/>
            <w:hideMark/>
          </w:tcPr>
          <w:p w14:paraId="5910B588" w14:textId="265246D9" w:rsidR="00E41EEF" w:rsidRPr="00B90F1E" w:rsidRDefault="00E41EEF" w:rsidP="00E41EEF">
            <w:pPr>
              <w:jc w:val="center"/>
              <w:rPr>
                <w:color w:val="000000"/>
              </w:rPr>
            </w:pPr>
            <w:r w:rsidRPr="00B90F1E">
              <w:rPr>
                <w:color w:val="000000"/>
              </w:rPr>
              <w:t>8</w:t>
            </w:r>
            <w:r w:rsidR="00263FDA">
              <w:rPr>
                <w:color w:val="000000"/>
              </w:rPr>
              <w:t>4</w:t>
            </w:r>
            <w:r w:rsidRPr="00B90F1E">
              <w:rPr>
                <w:color w:val="000000"/>
              </w:rPr>
              <w:t>%</w:t>
            </w:r>
          </w:p>
        </w:tc>
        <w:tc>
          <w:tcPr>
            <w:tcW w:w="1300" w:type="dxa"/>
            <w:tcBorders>
              <w:top w:val="nil"/>
              <w:left w:val="nil"/>
              <w:bottom w:val="nil"/>
              <w:right w:val="dotted" w:sz="4" w:space="0" w:color="auto"/>
            </w:tcBorders>
            <w:shd w:val="clear" w:color="auto" w:fill="auto"/>
            <w:noWrap/>
            <w:vAlign w:val="bottom"/>
            <w:hideMark/>
          </w:tcPr>
          <w:p w14:paraId="7110F81F" w14:textId="7A33302E" w:rsidR="00E41EEF" w:rsidRPr="00B90F1E" w:rsidRDefault="00E41EEF" w:rsidP="00E41EEF">
            <w:pPr>
              <w:jc w:val="center"/>
              <w:rPr>
                <w:color w:val="000000"/>
              </w:rPr>
            </w:pPr>
            <w:r w:rsidRPr="00B90F1E">
              <w:rPr>
                <w:color w:val="000000"/>
              </w:rPr>
              <w:t>8</w:t>
            </w:r>
            <w:r w:rsidR="00374EC1">
              <w:rPr>
                <w:color w:val="000000"/>
              </w:rPr>
              <w:t>8</w:t>
            </w:r>
            <w:r w:rsidRPr="00B90F1E">
              <w:rPr>
                <w:color w:val="000000"/>
              </w:rPr>
              <w:t>%</w:t>
            </w:r>
          </w:p>
        </w:tc>
        <w:tc>
          <w:tcPr>
            <w:tcW w:w="1300" w:type="dxa"/>
            <w:tcBorders>
              <w:top w:val="nil"/>
              <w:left w:val="dotted" w:sz="4" w:space="0" w:color="auto"/>
              <w:bottom w:val="nil"/>
              <w:right w:val="nil"/>
            </w:tcBorders>
            <w:shd w:val="clear" w:color="auto" w:fill="auto"/>
            <w:noWrap/>
            <w:vAlign w:val="bottom"/>
            <w:hideMark/>
          </w:tcPr>
          <w:p w14:paraId="330BB5AC" w14:textId="77777777" w:rsidR="00E41EEF" w:rsidRPr="00B90F1E" w:rsidRDefault="00E41EEF" w:rsidP="00E41EEF">
            <w:pPr>
              <w:jc w:val="center"/>
              <w:rPr>
                <w:color w:val="000000"/>
              </w:rPr>
            </w:pPr>
            <w:r w:rsidRPr="00B90F1E">
              <w:rPr>
                <w:color w:val="000000"/>
              </w:rPr>
              <w:t>89%</w:t>
            </w:r>
          </w:p>
        </w:tc>
        <w:tc>
          <w:tcPr>
            <w:tcW w:w="1300" w:type="dxa"/>
            <w:tcBorders>
              <w:top w:val="nil"/>
              <w:left w:val="nil"/>
              <w:bottom w:val="nil"/>
              <w:right w:val="nil"/>
            </w:tcBorders>
            <w:shd w:val="clear" w:color="auto" w:fill="auto"/>
            <w:noWrap/>
            <w:vAlign w:val="bottom"/>
            <w:hideMark/>
          </w:tcPr>
          <w:p w14:paraId="63455D6D" w14:textId="77777777" w:rsidR="00E41EEF" w:rsidRPr="00B90F1E" w:rsidRDefault="00E41EEF" w:rsidP="00E41EEF">
            <w:pPr>
              <w:jc w:val="center"/>
              <w:rPr>
                <w:color w:val="000000"/>
              </w:rPr>
            </w:pPr>
            <w:r w:rsidRPr="00B90F1E">
              <w:rPr>
                <w:color w:val="000000"/>
              </w:rPr>
              <w:t>85%</w:t>
            </w:r>
          </w:p>
        </w:tc>
        <w:tc>
          <w:tcPr>
            <w:tcW w:w="1300" w:type="dxa"/>
            <w:tcBorders>
              <w:top w:val="nil"/>
              <w:left w:val="nil"/>
              <w:bottom w:val="nil"/>
              <w:right w:val="nil"/>
            </w:tcBorders>
            <w:shd w:val="clear" w:color="auto" w:fill="auto"/>
            <w:noWrap/>
            <w:vAlign w:val="bottom"/>
            <w:hideMark/>
          </w:tcPr>
          <w:p w14:paraId="771E058C" w14:textId="77777777" w:rsidR="00E41EEF" w:rsidRPr="00B90F1E" w:rsidRDefault="00E41EEF" w:rsidP="00E41EEF">
            <w:pPr>
              <w:jc w:val="center"/>
              <w:rPr>
                <w:color w:val="000000"/>
              </w:rPr>
            </w:pPr>
            <w:r w:rsidRPr="00B90F1E">
              <w:rPr>
                <w:color w:val="000000"/>
              </w:rPr>
              <w:t>92%</w:t>
            </w:r>
          </w:p>
        </w:tc>
      </w:tr>
      <w:tr w:rsidR="00E41EEF" w:rsidRPr="00797228" w14:paraId="5ACB5E69" w14:textId="77777777" w:rsidTr="005C0A0A">
        <w:trPr>
          <w:trHeight w:val="320"/>
        </w:trPr>
        <w:tc>
          <w:tcPr>
            <w:tcW w:w="1300" w:type="dxa"/>
            <w:tcBorders>
              <w:top w:val="nil"/>
              <w:left w:val="nil"/>
              <w:right w:val="nil"/>
            </w:tcBorders>
            <w:shd w:val="clear" w:color="auto" w:fill="auto"/>
            <w:noWrap/>
            <w:vAlign w:val="bottom"/>
            <w:hideMark/>
          </w:tcPr>
          <w:p w14:paraId="6A79AFC0" w14:textId="77777777" w:rsidR="00E41EEF" w:rsidRPr="00B90F1E" w:rsidRDefault="00E41EEF" w:rsidP="00E41EEF">
            <w:pPr>
              <w:rPr>
                <w:color w:val="000000"/>
              </w:rPr>
            </w:pPr>
            <w:r w:rsidRPr="00B90F1E">
              <w:rPr>
                <w:color w:val="000000"/>
              </w:rPr>
              <w:t>65+</w:t>
            </w:r>
          </w:p>
        </w:tc>
        <w:tc>
          <w:tcPr>
            <w:tcW w:w="1300" w:type="dxa"/>
            <w:tcBorders>
              <w:top w:val="nil"/>
              <w:left w:val="nil"/>
              <w:right w:val="nil"/>
            </w:tcBorders>
            <w:shd w:val="clear" w:color="auto" w:fill="auto"/>
            <w:noWrap/>
            <w:vAlign w:val="bottom"/>
            <w:hideMark/>
          </w:tcPr>
          <w:p w14:paraId="59584924" w14:textId="3A46AB14" w:rsidR="00E41EEF" w:rsidRPr="00B90F1E" w:rsidRDefault="00E41EEF" w:rsidP="00E41EEF">
            <w:pPr>
              <w:jc w:val="center"/>
              <w:rPr>
                <w:color w:val="000000"/>
              </w:rPr>
            </w:pPr>
            <w:r w:rsidRPr="00B90F1E">
              <w:rPr>
                <w:color w:val="000000"/>
              </w:rPr>
              <w:t>8</w:t>
            </w:r>
            <w:r w:rsidR="00BC5F89">
              <w:rPr>
                <w:color w:val="000000"/>
              </w:rPr>
              <w:t>5</w:t>
            </w:r>
            <w:r w:rsidRPr="00B90F1E">
              <w:rPr>
                <w:color w:val="000000"/>
              </w:rPr>
              <w:t>%</w:t>
            </w:r>
          </w:p>
        </w:tc>
        <w:tc>
          <w:tcPr>
            <w:tcW w:w="1300" w:type="dxa"/>
            <w:tcBorders>
              <w:top w:val="nil"/>
              <w:left w:val="nil"/>
              <w:right w:val="nil"/>
            </w:tcBorders>
            <w:shd w:val="clear" w:color="auto" w:fill="auto"/>
            <w:noWrap/>
            <w:vAlign w:val="bottom"/>
            <w:hideMark/>
          </w:tcPr>
          <w:p w14:paraId="2AFAD59A" w14:textId="4B6DE4DF" w:rsidR="00E41EEF" w:rsidRPr="00B90F1E" w:rsidRDefault="00E41EEF" w:rsidP="00E41EEF">
            <w:pPr>
              <w:jc w:val="center"/>
              <w:rPr>
                <w:color w:val="000000"/>
              </w:rPr>
            </w:pPr>
            <w:r w:rsidRPr="00B90F1E">
              <w:rPr>
                <w:color w:val="000000"/>
              </w:rPr>
              <w:t>8</w:t>
            </w:r>
            <w:r w:rsidR="00BC5F89">
              <w:rPr>
                <w:color w:val="000000"/>
              </w:rPr>
              <w:t>3</w:t>
            </w:r>
            <w:r w:rsidRPr="00B90F1E">
              <w:rPr>
                <w:color w:val="000000"/>
              </w:rPr>
              <w:t>%</w:t>
            </w:r>
          </w:p>
        </w:tc>
        <w:tc>
          <w:tcPr>
            <w:tcW w:w="1300" w:type="dxa"/>
            <w:tcBorders>
              <w:top w:val="nil"/>
              <w:left w:val="nil"/>
              <w:right w:val="dotted" w:sz="4" w:space="0" w:color="auto"/>
            </w:tcBorders>
            <w:shd w:val="clear" w:color="auto" w:fill="auto"/>
            <w:noWrap/>
            <w:vAlign w:val="bottom"/>
            <w:hideMark/>
          </w:tcPr>
          <w:p w14:paraId="73E14185" w14:textId="4E5FE3FF" w:rsidR="00E41EEF" w:rsidRPr="00B90F1E" w:rsidRDefault="00E41EEF" w:rsidP="00E41EEF">
            <w:pPr>
              <w:jc w:val="center"/>
              <w:rPr>
                <w:color w:val="000000"/>
              </w:rPr>
            </w:pPr>
            <w:r w:rsidRPr="00B90F1E">
              <w:rPr>
                <w:color w:val="000000"/>
              </w:rPr>
              <w:t>8</w:t>
            </w:r>
            <w:r w:rsidR="00BC5F89">
              <w:rPr>
                <w:color w:val="000000"/>
              </w:rPr>
              <w:t>6</w:t>
            </w:r>
            <w:r w:rsidRPr="00B90F1E">
              <w:rPr>
                <w:color w:val="000000"/>
              </w:rPr>
              <w:t>%</w:t>
            </w:r>
          </w:p>
        </w:tc>
        <w:tc>
          <w:tcPr>
            <w:tcW w:w="1300" w:type="dxa"/>
            <w:tcBorders>
              <w:top w:val="nil"/>
              <w:left w:val="dotted" w:sz="4" w:space="0" w:color="auto"/>
              <w:right w:val="nil"/>
            </w:tcBorders>
            <w:shd w:val="clear" w:color="auto" w:fill="auto"/>
            <w:noWrap/>
            <w:vAlign w:val="bottom"/>
            <w:hideMark/>
          </w:tcPr>
          <w:p w14:paraId="239B7D96" w14:textId="77777777" w:rsidR="00E41EEF" w:rsidRPr="00B90F1E" w:rsidRDefault="00E41EEF" w:rsidP="00E41EEF">
            <w:pPr>
              <w:jc w:val="center"/>
              <w:rPr>
                <w:color w:val="000000"/>
              </w:rPr>
            </w:pPr>
            <w:r w:rsidRPr="00B90F1E">
              <w:rPr>
                <w:color w:val="000000"/>
              </w:rPr>
              <w:t>89%</w:t>
            </w:r>
          </w:p>
        </w:tc>
        <w:tc>
          <w:tcPr>
            <w:tcW w:w="1300" w:type="dxa"/>
            <w:tcBorders>
              <w:top w:val="nil"/>
              <w:left w:val="nil"/>
              <w:right w:val="nil"/>
            </w:tcBorders>
            <w:shd w:val="clear" w:color="auto" w:fill="auto"/>
            <w:noWrap/>
            <w:vAlign w:val="bottom"/>
            <w:hideMark/>
          </w:tcPr>
          <w:p w14:paraId="1F2D971F" w14:textId="77777777" w:rsidR="00E41EEF" w:rsidRPr="00B90F1E" w:rsidRDefault="00E41EEF" w:rsidP="00E41EEF">
            <w:pPr>
              <w:jc w:val="center"/>
              <w:rPr>
                <w:color w:val="000000"/>
              </w:rPr>
            </w:pPr>
            <w:r w:rsidRPr="00B90F1E">
              <w:rPr>
                <w:color w:val="000000"/>
              </w:rPr>
              <w:t>88%</w:t>
            </w:r>
          </w:p>
        </w:tc>
        <w:tc>
          <w:tcPr>
            <w:tcW w:w="1300" w:type="dxa"/>
            <w:tcBorders>
              <w:top w:val="nil"/>
              <w:left w:val="nil"/>
              <w:right w:val="dotted" w:sz="4" w:space="0" w:color="auto"/>
            </w:tcBorders>
            <w:shd w:val="clear" w:color="auto" w:fill="auto"/>
            <w:noWrap/>
            <w:vAlign w:val="bottom"/>
            <w:hideMark/>
          </w:tcPr>
          <w:p w14:paraId="330B3982" w14:textId="71752BAB" w:rsidR="00E41EEF" w:rsidRPr="00B90F1E" w:rsidRDefault="00E41EEF" w:rsidP="00E41EEF">
            <w:pPr>
              <w:jc w:val="center"/>
              <w:rPr>
                <w:color w:val="000000"/>
              </w:rPr>
            </w:pPr>
            <w:r w:rsidRPr="00B90F1E">
              <w:rPr>
                <w:color w:val="000000"/>
              </w:rPr>
              <w:t>9</w:t>
            </w:r>
            <w:r w:rsidR="00374EC1">
              <w:rPr>
                <w:color w:val="000000"/>
              </w:rPr>
              <w:t>0</w:t>
            </w:r>
            <w:r w:rsidRPr="00B90F1E">
              <w:rPr>
                <w:color w:val="000000"/>
              </w:rPr>
              <w:t>%</w:t>
            </w:r>
          </w:p>
        </w:tc>
        <w:tc>
          <w:tcPr>
            <w:tcW w:w="1300" w:type="dxa"/>
            <w:tcBorders>
              <w:top w:val="nil"/>
              <w:left w:val="dotted" w:sz="4" w:space="0" w:color="auto"/>
              <w:right w:val="nil"/>
            </w:tcBorders>
            <w:shd w:val="clear" w:color="auto" w:fill="auto"/>
            <w:noWrap/>
            <w:vAlign w:val="bottom"/>
            <w:hideMark/>
          </w:tcPr>
          <w:p w14:paraId="50AA0160" w14:textId="77777777" w:rsidR="00E41EEF" w:rsidRPr="00B90F1E" w:rsidRDefault="00E41EEF" w:rsidP="00E41EEF">
            <w:pPr>
              <w:jc w:val="center"/>
              <w:rPr>
                <w:color w:val="000000"/>
              </w:rPr>
            </w:pPr>
            <w:r w:rsidRPr="00B90F1E">
              <w:rPr>
                <w:color w:val="000000"/>
              </w:rPr>
              <w:t>91%</w:t>
            </w:r>
          </w:p>
        </w:tc>
        <w:tc>
          <w:tcPr>
            <w:tcW w:w="1300" w:type="dxa"/>
            <w:tcBorders>
              <w:top w:val="nil"/>
              <w:left w:val="nil"/>
              <w:right w:val="nil"/>
            </w:tcBorders>
            <w:shd w:val="clear" w:color="auto" w:fill="auto"/>
            <w:noWrap/>
            <w:vAlign w:val="bottom"/>
            <w:hideMark/>
          </w:tcPr>
          <w:p w14:paraId="25038EDA" w14:textId="77777777" w:rsidR="00E41EEF" w:rsidRPr="00B90F1E" w:rsidRDefault="00E41EEF" w:rsidP="00E41EEF">
            <w:pPr>
              <w:jc w:val="center"/>
              <w:rPr>
                <w:color w:val="000000"/>
              </w:rPr>
            </w:pPr>
            <w:r w:rsidRPr="00B90F1E">
              <w:rPr>
                <w:color w:val="000000"/>
              </w:rPr>
              <w:t>89%</w:t>
            </w:r>
          </w:p>
        </w:tc>
        <w:tc>
          <w:tcPr>
            <w:tcW w:w="1300" w:type="dxa"/>
            <w:tcBorders>
              <w:top w:val="nil"/>
              <w:left w:val="nil"/>
              <w:right w:val="nil"/>
            </w:tcBorders>
            <w:shd w:val="clear" w:color="auto" w:fill="auto"/>
            <w:noWrap/>
            <w:vAlign w:val="bottom"/>
            <w:hideMark/>
          </w:tcPr>
          <w:p w14:paraId="148C05E8" w14:textId="77777777" w:rsidR="00E41EEF" w:rsidRPr="00B90F1E" w:rsidRDefault="00E41EEF" w:rsidP="00E41EEF">
            <w:pPr>
              <w:jc w:val="center"/>
              <w:rPr>
                <w:color w:val="000000"/>
              </w:rPr>
            </w:pPr>
            <w:r w:rsidRPr="00B90F1E">
              <w:rPr>
                <w:color w:val="000000"/>
              </w:rPr>
              <w:t>92%</w:t>
            </w:r>
          </w:p>
        </w:tc>
      </w:tr>
      <w:tr w:rsidR="00E41EEF" w:rsidRPr="00797228" w14:paraId="39BBAA15" w14:textId="77777777" w:rsidTr="005C0A0A">
        <w:trPr>
          <w:trHeight w:val="320"/>
        </w:trPr>
        <w:tc>
          <w:tcPr>
            <w:tcW w:w="1300" w:type="dxa"/>
            <w:tcBorders>
              <w:top w:val="nil"/>
              <w:left w:val="nil"/>
              <w:bottom w:val="single" w:sz="4" w:space="0" w:color="auto"/>
              <w:right w:val="nil"/>
            </w:tcBorders>
            <w:shd w:val="clear" w:color="auto" w:fill="auto"/>
            <w:noWrap/>
            <w:vAlign w:val="bottom"/>
            <w:hideMark/>
          </w:tcPr>
          <w:p w14:paraId="46F1C6C6" w14:textId="595C62D2" w:rsidR="00E41EEF" w:rsidRPr="00B90F1E" w:rsidRDefault="005377A8" w:rsidP="005377A8">
            <w:pPr>
              <w:rPr>
                <w:color w:val="000000"/>
              </w:rPr>
            </w:pPr>
            <w:r w:rsidRPr="00B90F1E">
              <w:rPr>
                <w:color w:val="000000"/>
              </w:rPr>
              <w:t>T</w:t>
            </w:r>
            <w:r w:rsidR="00E41EEF" w:rsidRPr="00B90F1E">
              <w:rPr>
                <w:color w:val="000000"/>
              </w:rPr>
              <w:t>otal</w:t>
            </w:r>
          </w:p>
        </w:tc>
        <w:tc>
          <w:tcPr>
            <w:tcW w:w="1300" w:type="dxa"/>
            <w:tcBorders>
              <w:top w:val="nil"/>
              <w:left w:val="nil"/>
              <w:bottom w:val="single" w:sz="4" w:space="0" w:color="auto"/>
              <w:right w:val="nil"/>
            </w:tcBorders>
            <w:shd w:val="clear" w:color="auto" w:fill="auto"/>
            <w:noWrap/>
            <w:vAlign w:val="bottom"/>
            <w:hideMark/>
          </w:tcPr>
          <w:p w14:paraId="44637199" w14:textId="77777777" w:rsidR="00E41EEF" w:rsidRPr="00B90F1E" w:rsidRDefault="00E41EEF" w:rsidP="00E41EEF">
            <w:pPr>
              <w:jc w:val="center"/>
              <w:rPr>
                <w:color w:val="000000"/>
              </w:rPr>
            </w:pPr>
            <w:r w:rsidRPr="00B90F1E">
              <w:rPr>
                <w:color w:val="000000"/>
              </w:rPr>
              <w:t>74%</w:t>
            </w:r>
            <w:r w:rsidR="00B630E3" w:rsidRPr="00B90F1E">
              <w:rPr>
                <w:color w:val="000000"/>
                <w:vertAlign w:val="superscript"/>
              </w:rPr>
              <w:t>1</w:t>
            </w:r>
          </w:p>
        </w:tc>
        <w:tc>
          <w:tcPr>
            <w:tcW w:w="1300" w:type="dxa"/>
            <w:tcBorders>
              <w:top w:val="nil"/>
              <w:left w:val="nil"/>
              <w:bottom w:val="single" w:sz="4" w:space="0" w:color="auto"/>
              <w:right w:val="nil"/>
            </w:tcBorders>
            <w:shd w:val="clear" w:color="auto" w:fill="auto"/>
            <w:noWrap/>
            <w:vAlign w:val="bottom"/>
            <w:hideMark/>
          </w:tcPr>
          <w:p w14:paraId="3609C1FD" w14:textId="37F6D5A5" w:rsidR="00E41EEF" w:rsidRPr="00B90F1E" w:rsidRDefault="00E41EEF" w:rsidP="00E41EEF">
            <w:pPr>
              <w:jc w:val="center"/>
              <w:rPr>
                <w:color w:val="000000"/>
              </w:rPr>
            </w:pPr>
            <w:r w:rsidRPr="00B90F1E">
              <w:rPr>
                <w:color w:val="000000"/>
              </w:rPr>
              <w:t>7</w:t>
            </w:r>
            <w:r w:rsidR="00263FDA">
              <w:rPr>
                <w:color w:val="000000"/>
              </w:rPr>
              <w:t>3</w:t>
            </w:r>
            <w:r w:rsidRPr="00B90F1E">
              <w:rPr>
                <w:color w:val="000000"/>
              </w:rPr>
              <w:t>%</w:t>
            </w:r>
          </w:p>
        </w:tc>
        <w:tc>
          <w:tcPr>
            <w:tcW w:w="1300" w:type="dxa"/>
            <w:tcBorders>
              <w:top w:val="nil"/>
              <w:left w:val="nil"/>
              <w:bottom w:val="single" w:sz="4" w:space="0" w:color="auto"/>
              <w:right w:val="dotted" w:sz="4" w:space="0" w:color="auto"/>
            </w:tcBorders>
            <w:shd w:val="clear" w:color="auto" w:fill="auto"/>
            <w:noWrap/>
            <w:vAlign w:val="bottom"/>
            <w:hideMark/>
          </w:tcPr>
          <w:p w14:paraId="2F63E4B9" w14:textId="77777777" w:rsidR="00E41EEF" w:rsidRPr="00B90F1E" w:rsidRDefault="00E41EEF" w:rsidP="00E41EEF">
            <w:pPr>
              <w:jc w:val="center"/>
              <w:rPr>
                <w:color w:val="000000"/>
              </w:rPr>
            </w:pPr>
            <w:r w:rsidRPr="00B90F1E">
              <w:rPr>
                <w:color w:val="000000"/>
              </w:rPr>
              <w:t>75%</w:t>
            </w:r>
          </w:p>
        </w:tc>
        <w:tc>
          <w:tcPr>
            <w:tcW w:w="1300" w:type="dxa"/>
            <w:tcBorders>
              <w:top w:val="nil"/>
              <w:left w:val="dotted" w:sz="4" w:space="0" w:color="auto"/>
              <w:bottom w:val="single" w:sz="4" w:space="0" w:color="auto"/>
              <w:right w:val="nil"/>
            </w:tcBorders>
            <w:shd w:val="clear" w:color="auto" w:fill="auto"/>
            <w:noWrap/>
            <w:vAlign w:val="bottom"/>
            <w:hideMark/>
          </w:tcPr>
          <w:p w14:paraId="264A5092" w14:textId="77777777" w:rsidR="00E41EEF" w:rsidRPr="00B90F1E" w:rsidRDefault="00E41EEF" w:rsidP="00E41EEF">
            <w:pPr>
              <w:jc w:val="center"/>
              <w:rPr>
                <w:color w:val="000000"/>
              </w:rPr>
            </w:pPr>
            <w:r w:rsidRPr="00B90F1E">
              <w:rPr>
                <w:color w:val="000000"/>
              </w:rPr>
              <w:t>78%</w:t>
            </w:r>
            <w:r w:rsidR="00B630E3" w:rsidRPr="00B90F1E">
              <w:rPr>
                <w:color w:val="000000"/>
                <w:vertAlign w:val="superscript"/>
              </w:rPr>
              <w:t>2</w:t>
            </w:r>
          </w:p>
        </w:tc>
        <w:tc>
          <w:tcPr>
            <w:tcW w:w="1300" w:type="dxa"/>
            <w:tcBorders>
              <w:top w:val="nil"/>
              <w:left w:val="nil"/>
              <w:bottom w:val="single" w:sz="4" w:space="0" w:color="auto"/>
              <w:right w:val="nil"/>
            </w:tcBorders>
            <w:shd w:val="clear" w:color="auto" w:fill="auto"/>
            <w:noWrap/>
            <w:vAlign w:val="bottom"/>
            <w:hideMark/>
          </w:tcPr>
          <w:p w14:paraId="0C01AFD5" w14:textId="77777777" w:rsidR="00E41EEF" w:rsidRPr="00B90F1E" w:rsidRDefault="00E41EEF" w:rsidP="00E41EEF">
            <w:pPr>
              <w:jc w:val="center"/>
              <w:rPr>
                <w:color w:val="000000"/>
              </w:rPr>
            </w:pPr>
            <w:r w:rsidRPr="00B90F1E">
              <w:rPr>
                <w:color w:val="000000"/>
              </w:rPr>
              <w:t>77%</w:t>
            </w:r>
          </w:p>
        </w:tc>
        <w:tc>
          <w:tcPr>
            <w:tcW w:w="1300" w:type="dxa"/>
            <w:tcBorders>
              <w:top w:val="nil"/>
              <w:left w:val="nil"/>
              <w:bottom w:val="single" w:sz="4" w:space="0" w:color="auto"/>
              <w:right w:val="dotted" w:sz="4" w:space="0" w:color="auto"/>
            </w:tcBorders>
            <w:shd w:val="clear" w:color="auto" w:fill="auto"/>
            <w:noWrap/>
            <w:vAlign w:val="bottom"/>
            <w:hideMark/>
          </w:tcPr>
          <w:p w14:paraId="37C33A19" w14:textId="77777777" w:rsidR="00E41EEF" w:rsidRPr="00B90F1E" w:rsidRDefault="00E41EEF" w:rsidP="00E41EEF">
            <w:pPr>
              <w:jc w:val="center"/>
              <w:rPr>
                <w:color w:val="000000"/>
              </w:rPr>
            </w:pPr>
            <w:r w:rsidRPr="00B90F1E">
              <w:rPr>
                <w:color w:val="000000"/>
              </w:rPr>
              <w:t>79%</w:t>
            </w:r>
          </w:p>
        </w:tc>
        <w:tc>
          <w:tcPr>
            <w:tcW w:w="1300" w:type="dxa"/>
            <w:tcBorders>
              <w:top w:val="nil"/>
              <w:left w:val="dotted" w:sz="4" w:space="0" w:color="auto"/>
              <w:bottom w:val="single" w:sz="4" w:space="0" w:color="auto"/>
              <w:right w:val="nil"/>
            </w:tcBorders>
            <w:shd w:val="clear" w:color="auto" w:fill="auto"/>
            <w:noWrap/>
            <w:vAlign w:val="bottom"/>
            <w:hideMark/>
          </w:tcPr>
          <w:p w14:paraId="5798A201" w14:textId="3699203E" w:rsidR="00E41EEF" w:rsidRPr="00B90F1E" w:rsidRDefault="00E41EEF" w:rsidP="00E41EEF">
            <w:pPr>
              <w:jc w:val="center"/>
              <w:rPr>
                <w:color w:val="000000"/>
              </w:rPr>
            </w:pPr>
            <w:r w:rsidRPr="00B90F1E">
              <w:rPr>
                <w:color w:val="000000"/>
              </w:rPr>
              <w:t>8</w:t>
            </w:r>
            <w:r w:rsidR="00B72F6C">
              <w:rPr>
                <w:color w:val="000000"/>
              </w:rPr>
              <w:t>1</w:t>
            </w:r>
            <w:r w:rsidRPr="00B90F1E">
              <w:rPr>
                <w:color w:val="000000"/>
              </w:rPr>
              <w:t>%</w:t>
            </w:r>
            <w:r w:rsidR="00B630E3" w:rsidRPr="00B90F1E">
              <w:rPr>
                <w:color w:val="000000"/>
                <w:vertAlign w:val="superscript"/>
              </w:rPr>
              <w:t>3</w:t>
            </w:r>
          </w:p>
        </w:tc>
        <w:tc>
          <w:tcPr>
            <w:tcW w:w="1300" w:type="dxa"/>
            <w:tcBorders>
              <w:top w:val="nil"/>
              <w:left w:val="nil"/>
              <w:bottom w:val="single" w:sz="4" w:space="0" w:color="auto"/>
              <w:right w:val="nil"/>
            </w:tcBorders>
            <w:shd w:val="clear" w:color="auto" w:fill="auto"/>
            <w:noWrap/>
            <w:vAlign w:val="bottom"/>
            <w:hideMark/>
          </w:tcPr>
          <w:p w14:paraId="158BE0CD" w14:textId="77777777" w:rsidR="00E41EEF" w:rsidRPr="00B90F1E" w:rsidRDefault="00E41EEF" w:rsidP="00E41EEF">
            <w:pPr>
              <w:jc w:val="center"/>
              <w:rPr>
                <w:color w:val="000000"/>
              </w:rPr>
            </w:pPr>
            <w:r w:rsidRPr="00B90F1E">
              <w:rPr>
                <w:color w:val="000000"/>
              </w:rPr>
              <w:t>80%</w:t>
            </w:r>
          </w:p>
        </w:tc>
        <w:tc>
          <w:tcPr>
            <w:tcW w:w="1300" w:type="dxa"/>
            <w:tcBorders>
              <w:top w:val="nil"/>
              <w:left w:val="nil"/>
              <w:bottom w:val="single" w:sz="4" w:space="0" w:color="auto"/>
              <w:right w:val="nil"/>
            </w:tcBorders>
            <w:shd w:val="clear" w:color="auto" w:fill="auto"/>
            <w:noWrap/>
            <w:vAlign w:val="bottom"/>
            <w:hideMark/>
          </w:tcPr>
          <w:p w14:paraId="323BC32F" w14:textId="1FA65832" w:rsidR="00E41EEF" w:rsidRPr="00B90F1E" w:rsidRDefault="00E41EEF" w:rsidP="00E41EEF">
            <w:pPr>
              <w:jc w:val="center"/>
              <w:rPr>
                <w:color w:val="000000"/>
              </w:rPr>
            </w:pPr>
            <w:r w:rsidRPr="00B90F1E">
              <w:rPr>
                <w:color w:val="000000"/>
              </w:rPr>
              <w:t>8</w:t>
            </w:r>
            <w:r w:rsidR="009E679C">
              <w:rPr>
                <w:color w:val="000000"/>
              </w:rPr>
              <w:t>3</w:t>
            </w:r>
            <w:r w:rsidRPr="00B90F1E">
              <w:rPr>
                <w:color w:val="000000"/>
              </w:rPr>
              <w:t>%</w:t>
            </w:r>
          </w:p>
        </w:tc>
      </w:tr>
    </w:tbl>
    <w:p w14:paraId="6F78B075" w14:textId="77777777" w:rsidR="00E41EEF" w:rsidRDefault="00E41EEF" w:rsidP="00E41EEF">
      <w:pPr>
        <w:spacing w:line="360" w:lineRule="auto"/>
      </w:pPr>
    </w:p>
    <w:p w14:paraId="041667A0" w14:textId="77777777" w:rsidR="00E41EEF" w:rsidRDefault="00E41EEF" w:rsidP="00E41EEF">
      <w:pPr>
        <w:spacing w:line="360" w:lineRule="auto"/>
      </w:pPr>
    </w:p>
    <w:p w14:paraId="6A9226FC" w14:textId="77777777" w:rsidR="00E41EEF" w:rsidRDefault="00E41EEF" w:rsidP="00E41EEF">
      <w:pPr>
        <w:spacing w:line="360" w:lineRule="auto"/>
      </w:pPr>
    </w:p>
    <w:p w14:paraId="03EE84CA" w14:textId="77777777" w:rsidR="00E41EEF" w:rsidRDefault="00E41EEF" w:rsidP="00E41EEF">
      <w:pPr>
        <w:spacing w:line="360" w:lineRule="auto"/>
      </w:pPr>
    </w:p>
    <w:p w14:paraId="7068FACB" w14:textId="77777777" w:rsidR="00E41EEF" w:rsidRDefault="00E41EEF" w:rsidP="00E41EEF">
      <w:pPr>
        <w:spacing w:line="360" w:lineRule="auto"/>
      </w:pPr>
    </w:p>
    <w:p w14:paraId="066A2D8B" w14:textId="77777777" w:rsidR="00E41EEF" w:rsidRDefault="00E41EEF" w:rsidP="00E41EEF">
      <w:pPr>
        <w:spacing w:line="360" w:lineRule="auto"/>
      </w:pPr>
    </w:p>
    <w:p w14:paraId="3261E146" w14:textId="77777777" w:rsidR="00E41EEF" w:rsidRDefault="00E41EEF" w:rsidP="00E41EEF">
      <w:pPr>
        <w:spacing w:line="360" w:lineRule="auto"/>
      </w:pPr>
    </w:p>
    <w:p w14:paraId="700C019C" w14:textId="77777777" w:rsidR="00E41EEF" w:rsidRDefault="00E41EEF" w:rsidP="00E41EEF">
      <w:pPr>
        <w:spacing w:line="360" w:lineRule="auto"/>
      </w:pPr>
    </w:p>
    <w:p w14:paraId="17A6ACF1" w14:textId="77777777" w:rsidR="00E41EEF" w:rsidRDefault="00E41EEF" w:rsidP="00E41EEF">
      <w:pPr>
        <w:spacing w:line="360" w:lineRule="auto"/>
      </w:pPr>
    </w:p>
    <w:p w14:paraId="70456959" w14:textId="77777777" w:rsidR="00E41EEF" w:rsidRDefault="00E41EEF" w:rsidP="00E41EEF">
      <w:pPr>
        <w:spacing w:line="360" w:lineRule="auto"/>
      </w:pPr>
    </w:p>
    <w:p w14:paraId="31E76655" w14:textId="114B68E5" w:rsidR="00B630E3" w:rsidRPr="00EE1E83" w:rsidRDefault="002545EF" w:rsidP="00B630E3">
      <w:pPr>
        <w:spacing w:line="360" w:lineRule="auto"/>
        <w:rPr>
          <w:sz w:val="20"/>
          <w:szCs w:val="20"/>
        </w:rPr>
      </w:pPr>
      <w:r>
        <w:rPr>
          <w:rFonts w:ascii="Calibri" w:hAnsi="Calibri" w:cs="Calibri"/>
          <w:color w:val="000000"/>
          <w:vertAlign w:val="superscript"/>
        </w:rPr>
        <w:t xml:space="preserve">                        </w:t>
      </w:r>
      <w:r w:rsidR="00B630E3" w:rsidRPr="00EE1E83">
        <w:rPr>
          <w:rFonts w:ascii="Calibri" w:hAnsi="Calibri" w:cs="Calibri"/>
          <w:color w:val="000000"/>
          <w:sz w:val="20"/>
          <w:szCs w:val="20"/>
          <w:vertAlign w:val="superscript"/>
        </w:rPr>
        <w:t>1</w:t>
      </w:r>
      <w:r w:rsidR="00B630E3" w:rsidRPr="00EE1E83">
        <w:rPr>
          <w:sz w:val="20"/>
          <w:szCs w:val="20"/>
        </w:rPr>
        <w:t xml:space="preserve"> </w:t>
      </w:r>
      <w:r w:rsidR="00127506" w:rsidRPr="00EE1E83">
        <w:rPr>
          <w:sz w:val="20"/>
          <w:szCs w:val="20"/>
        </w:rPr>
        <w:t>A</w:t>
      </w:r>
      <w:r w:rsidR="00B630E3" w:rsidRPr="00EE1E83">
        <w:rPr>
          <w:sz w:val="20"/>
          <w:szCs w:val="20"/>
        </w:rPr>
        <w:t>ctual turnout =</w:t>
      </w:r>
      <w:r w:rsidR="00127506" w:rsidRPr="00EE1E83">
        <w:rPr>
          <w:sz w:val="20"/>
          <w:szCs w:val="20"/>
        </w:rPr>
        <w:t xml:space="preserve"> </w:t>
      </w:r>
      <w:r w:rsidR="00B630E3" w:rsidRPr="00EE1E83">
        <w:rPr>
          <w:sz w:val="20"/>
          <w:szCs w:val="20"/>
        </w:rPr>
        <w:t>65%</w:t>
      </w:r>
      <w:r w:rsidR="00127506" w:rsidRPr="00EE1E83">
        <w:rPr>
          <w:sz w:val="20"/>
          <w:szCs w:val="20"/>
        </w:rPr>
        <w:t>,</w:t>
      </w:r>
      <w:r w:rsidR="00B630E3" w:rsidRPr="00EE1E83">
        <w:rPr>
          <w:sz w:val="20"/>
          <w:szCs w:val="20"/>
        </w:rPr>
        <w:t xml:space="preserve"> </w:t>
      </w:r>
      <w:r w:rsidR="00B630E3" w:rsidRPr="00EE1E83">
        <w:rPr>
          <w:rFonts w:ascii="Calibri" w:hAnsi="Calibri" w:cs="Calibri"/>
          <w:color w:val="000000"/>
          <w:sz w:val="20"/>
          <w:szCs w:val="20"/>
          <w:vertAlign w:val="superscript"/>
        </w:rPr>
        <w:t>2</w:t>
      </w:r>
      <w:r w:rsidR="00B630E3" w:rsidRPr="00EE1E83">
        <w:rPr>
          <w:sz w:val="20"/>
          <w:szCs w:val="20"/>
        </w:rPr>
        <w:t xml:space="preserve"> </w:t>
      </w:r>
      <w:r w:rsidR="00127506" w:rsidRPr="00EE1E83">
        <w:rPr>
          <w:sz w:val="20"/>
          <w:szCs w:val="20"/>
        </w:rPr>
        <w:t>A</w:t>
      </w:r>
      <w:r w:rsidR="00B630E3" w:rsidRPr="00EE1E83">
        <w:rPr>
          <w:sz w:val="20"/>
          <w:szCs w:val="20"/>
        </w:rPr>
        <w:t xml:space="preserve">ctual </w:t>
      </w:r>
      <w:proofErr w:type="gramStart"/>
      <w:r w:rsidR="00B630E3" w:rsidRPr="00EE1E83">
        <w:rPr>
          <w:sz w:val="20"/>
          <w:szCs w:val="20"/>
        </w:rPr>
        <w:t>turnout</w:t>
      </w:r>
      <w:proofErr w:type="gramEnd"/>
      <w:r w:rsidR="00B630E3" w:rsidRPr="00EE1E83">
        <w:rPr>
          <w:sz w:val="20"/>
          <w:szCs w:val="20"/>
        </w:rPr>
        <w:t xml:space="preserve"> =</w:t>
      </w:r>
      <w:r w:rsidR="00127506" w:rsidRPr="00EE1E83">
        <w:rPr>
          <w:sz w:val="20"/>
          <w:szCs w:val="20"/>
        </w:rPr>
        <w:t xml:space="preserve"> </w:t>
      </w:r>
      <w:r w:rsidR="00B630E3" w:rsidRPr="00EE1E83">
        <w:rPr>
          <w:sz w:val="20"/>
          <w:szCs w:val="20"/>
        </w:rPr>
        <w:t>66%</w:t>
      </w:r>
      <w:r w:rsidR="00127506" w:rsidRPr="00EE1E83">
        <w:rPr>
          <w:sz w:val="20"/>
          <w:szCs w:val="20"/>
        </w:rPr>
        <w:t>,</w:t>
      </w:r>
      <w:r w:rsidR="00B630E3" w:rsidRPr="00EE1E83">
        <w:rPr>
          <w:sz w:val="20"/>
          <w:szCs w:val="20"/>
        </w:rPr>
        <w:t xml:space="preserve"> </w:t>
      </w:r>
      <w:r w:rsidR="00B630E3" w:rsidRPr="00EE1E83">
        <w:rPr>
          <w:rFonts w:ascii="Calibri" w:hAnsi="Calibri" w:cs="Calibri"/>
          <w:color w:val="000000"/>
          <w:sz w:val="20"/>
          <w:szCs w:val="20"/>
          <w:vertAlign w:val="superscript"/>
        </w:rPr>
        <w:t>3</w:t>
      </w:r>
      <w:r w:rsidR="00B630E3" w:rsidRPr="00EE1E83">
        <w:rPr>
          <w:sz w:val="20"/>
          <w:szCs w:val="20"/>
        </w:rPr>
        <w:t xml:space="preserve"> </w:t>
      </w:r>
      <w:r w:rsidR="00127506" w:rsidRPr="00EE1E83">
        <w:rPr>
          <w:sz w:val="20"/>
          <w:szCs w:val="20"/>
        </w:rPr>
        <w:t>A</w:t>
      </w:r>
      <w:r w:rsidR="00B630E3" w:rsidRPr="00EE1E83">
        <w:rPr>
          <w:sz w:val="20"/>
          <w:szCs w:val="20"/>
        </w:rPr>
        <w:t>ctual turnout =</w:t>
      </w:r>
      <w:r w:rsidR="00127506" w:rsidRPr="00EE1E83">
        <w:rPr>
          <w:sz w:val="20"/>
          <w:szCs w:val="20"/>
        </w:rPr>
        <w:t xml:space="preserve"> </w:t>
      </w:r>
      <w:r w:rsidR="00B630E3" w:rsidRPr="00EE1E83">
        <w:rPr>
          <w:sz w:val="20"/>
          <w:szCs w:val="20"/>
        </w:rPr>
        <w:t xml:space="preserve">69%; standard errors estimated using Taylor-series linearization.  </w:t>
      </w:r>
    </w:p>
    <w:p w14:paraId="40C403E5" w14:textId="77777777" w:rsidR="00E41EEF" w:rsidRDefault="00E41EEF" w:rsidP="00E41EEF">
      <w:pPr>
        <w:spacing w:line="360" w:lineRule="auto"/>
      </w:pPr>
    </w:p>
    <w:p w14:paraId="3AD6331F" w14:textId="77777777" w:rsidR="00E41EEF" w:rsidRDefault="00E41EEF" w:rsidP="00E41EEF">
      <w:pPr>
        <w:spacing w:line="360" w:lineRule="auto"/>
      </w:pPr>
    </w:p>
    <w:p w14:paraId="4673F850" w14:textId="77777777" w:rsidR="00E41EEF" w:rsidRDefault="00E41EEF" w:rsidP="00E41EEF">
      <w:pPr>
        <w:spacing w:line="360" w:lineRule="auto"/>
      </w:pPr>
    </w:p>
    <w:p w14:paraId="6A09FCE9" w14:textId="77777777" w:rsidR="00E41EEF" w:rsidRDefault="00E41EEF" w:rsidP="00E41EEF">
      <w:pPr>
        <w:spacing w:line="360" w:lineRule="auto"/>
      </w:pPr>
    </w:p>
    <w:p w14:paraId="1C386D69" w14:textId="77777777" w:rsidR="00E41EEF" w:rsidRDefault="00E41EEF" w:rsidP="00E41EEF">
      <w:pPr>
        <w:spacing w:line="360" w:lineRule="auto"/>
      </w:pPr>
    </w:p>
    <w:p w14:paraId="3BCA04CD" w14:textId="77777777" w:rsidR="00E41EEF" w:rsidRDefault="00E41EEF" w:rsidP="00E41EEF">
      <w:pPr>
        <w:spacing w:line="360" w:lineRule="auto"/>
      </w:pPr>
    </w:p>
    <w:p w14:paraId="6A2A038D" w14:textId="77777777" w:rsidR="00E41EEF" w:rsidRDefault="00E41EEF" w:rsidP="00E41EEF">
      <w:pPr>
        <w:spacing w:line="360" w:lineRule="auto"/>
      </w:pPr>
    </w:p>
    <w:p w14:paraId="68D72025" w14:textId="77777777" w:rsidR="00E41EEF" w:rsidRDefault="00E41EEF" w:rsidP="00E41EEF">
      <w:pPr>
        <w:spacing w:line="360" w:lineRule="auto"/>
      </w:pPr>
    </w:p>
    <w:sectPr w:rsidR="00E41EEF" w:rsidSect="00797228">
      <w:pgSz w:w="16820" w:h="11900"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90E999" w16cid:durableId="20E9459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FCAF5" w14:textId="77777777" w:rsidR="008179E0" w:rsidRDefault="008179E0" w:rsidP="008000B6">
      <w:r>
        <w:separator/>
      </w:r>
    </w:p>
  </w:endnote>
  <w:endnote w:type="continuationSeparator" w:id="0">
    <w:p w14:paraId="34F0F0E6" w14:textId="77777777" w:rsidR="008179E0" w:rsidRDefault="008179E0" w:rsidP="0080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7CCFE" w14:textId="4A257056" w:rsidR="000237B9" w:rsidRDefault="000237B9" w:rsidP="007972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9A00D01" w14:textId="77777777" w:rsidR="000237B9" w:rsidRDefault="000237B9" w:rsidP="008000B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D096" w14:textId="7B19EF18" w:rsidR="000237B9" w:rsidRDefault="000237B9" w:rsidP="007972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C6FED">
      <w:rPr>
        <w:rStyle w:val="PageNumber"/>
        <w:noProof/>
      </w:rPr>
      <w:t>2</w:t>
    </w:r>
    <w:r>
      <w:rPr>
        <w:rStyle w:val="PageNumber"/>
      </w:rPr>
      <w:fldChar w:fldCharType="end"/>
    </w:r>
  </w:p>
  <w:p w14:paraId="0067D4D3" w14:textId="77777777" w:rsidR="000237B9" w:rsidRDefault="000237B9" w:rsidP="008000B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A3E75" w14:textId="77777777" w:rsidR="008179E0" w:rsidRDefault="008179E0" w:rsidP="008000B6">
      <w:r>
        <w:separator/>
      </w:r>
    </w:p>
  </w:footnote>
  <w:footnote w:type="continuationSeparator" w:id="0">
    <w:p w14:paraId="014A9A75" w14:textId="77777777" w:rsidR="008179E0" w:rsidRDefault="008179E0" w:rsidP="008000B6">
      <w:r>
        <w:continuationSeparator/>
      </w:r>
    </w:p>
  </w:footnote>
  <w:footnote w:id="1">
    <w:p w14:paraId="596C6B38" w14:textId="37801A23" w:rsidR="000237B9" w:rsidRPr="009947EA" w:rsidRDefault="000237B9" w:rsidP="009F3FCA">
      <w:pPr>
        <w:pStyle w:val="FootnoteText"/>
        <w:spacing w:line="480" w:lineRule="auto"/>
        <w:rPr>
          <w:rFonts w:ascii="Times New Roman" w:hAnsi="Times New Roman" w:cs="Times New Roman"/>
        </w:rPr>
      </w:pPr>
      <w:r w:rsidRPr="009947EA">
        <w:rPr>
          <w:rStyle w:val="FootnoteReference"/>
          <w:rFonts w:ascii="Times New Roman" w:hAnsi="Times New Roman" w:cs="Times New Roman"/>
        </w:rPr>
        <w:footnoteRef/>
      </w:r>
      <w:r w:rsidRPr="009947EA">
        <w:rPr>
          <w:rFonts w:ascii="Times New Roman" w:hAnsi="Times New Roman" w:cs="Times New Roman"/>
        </w:rPr>
        <w:t xml:space="preserve"> Insofar as classification errors are systematic, they are likely to result in under</w:t>
      </w:r>
      <w:r>
        <w:rPr>
          <w:rFonts w:ascii="Times New Roman" w:hAnsi="Times New Roman" w:cs="Times New Roman"/>
        </w:rPr>
        <w:t xml:space="preserve">-estimate turnout due to respondents being registered to vote at more than one address and typographical errors at polling stations. </w:t>
      </w:r>
    </w:p>
  </w:footnote>
  <w:footnote w:id="2">
    <w:p w14:paraId="05F14DAE" w14:textId="2CDFB3E7" w:rsidR="000237B9" w:rsidRDefault="000237B9" w:rsidP="009F3FCA">
      <w:pPr>
        <w:pStyle w:val="FootnoteText"/>
        <w:spacing w:line="480" w:lineRule="auto"/>
      </w:pPr>
      <w:r>
        <w:rPr>
          <w:rStyle w:val="FootnoteReference"/>
        </w:rPr>
        <w:footnoteRef/>
      </w:r>
      <w:r>
        <w:t xml:space="preserve"> </w:t>
      </w:r>
      <w:r w:rsidRPr="0036045F">
        <w:rPr>
          <w:rFonts w:ascii="Times New Roman" w:hAnsi="Times New Roman" w:cs="Times New Roman"/>
        </w:rPr>
        <w:t>The sample size is lower in Wave 8 partly due to attrition and partly because some respondents were interviewed before the election, so were not asked whether they voted.</w:t>
      </w:r>
      <w:r>
        <w:t xml:space="preserve"> </w:t>
      </w:r>
    </w:p>
  </w:footnote>
  <w:footnote w:id="3">
    <w:p w14:paraId="5D7E4DF9" w14:textId="01864271" w:rsidR="00152C9C" w:rsidRPr="00AB4AA2" w:rsidRDefault="00152C9C" w:rsidP="004B5FA7">
      <w:pPr>
        <w:pStyle w:val="FootnoteText"/>
        <w:spacing w:line="480" w:lineRule="auto"/>
        <w:rPr>
          <w:rFonts w:ascii="Times New Roman" w:hAnsi="Times New Roman" w:cs="Times New Roman"/>
        </w:rPr>
      </w:pPr>
      <w:r w:rsidRPr="00AB4AA2">
        <w:rPr>
          <w:rStyle w:val="FootnoteReference"/>
          <w:rFonts w:ascii="Times New Roman" w:hAnsi="Times New Roman" w:cs="Times New Roman"/>
        </w:rPr>
        <w:footnoteRef/>
      </w:r>
      <w:r w:rsidRPr="00AB4AA2">
        <w:rPr>
          <w:rFonts w:ascii="Times New Roman" w:hAnsi="Times New Roman" w:cs="Times New Roman"/>
        </w:rPr>
        <w:t xml:space="preserve"> We use the ‘indinub_xw’ weight in the UKHLS data set which adjusts for unequal selection probabilities in the sample design, nonresponse at wave 1 and attrition at subsequent waves (see Lynn and Kaminska 2010). </w:t>
      </w:r>
    </w:p>
  </w:footnote>
  <w:footnote w:id="4">
    <w:p w14:paraId="4C31C7E6" w14:textId="35490829" w:rsidR="009F3FCA" w:rsidRPr="0068027A" w:rsidRDefault="009F3FCA" w:rsidP="0068027A">
      <w:pPr>
        <w:pStyle w:val="FootnoteText"/>
        <w:spacing w:line="480" w:lineRule="auto"/>
        <w:rPr>
          <w:rFonts w:ascii="Times New Roman" w:hAnsi="Times New Roman" w:cs="Times New Roman"/>
        </w:rPr>
      </w:pPr>
      <w:r w:rsidRPr="0068027A">
        <w:rPr>
          <w:rStyle w:val="FootnoteReference"/>
          <w:rFonts w:ascii="Times New Roman" w:hAnsi="Times New Roman" w:cs="Times New Roman"/>
        </w:rPr>
        <w:footnoteRef/>
      </w:r>
      <w:r w:rsidR="00AF7344">
        <w:rPr>
          <w:rFonts w:ascii="Times New Roman" w:hAnsi="Times New Roman" w:cs="Times New Roman"/>
        </w:rPr>
        <w:t xml:space="preserve"> The total number of votes cast for </w:t>
      </w:r>
      <w:r w:rsidR="00AF7344" w:rsidRPr="00AF7344">
        <w:rPr>
          <w:rFonts w:ascii="Times New Roman" w:hAnsi="Times New Roman" w:cs="Times New Roman"/>
        </w:rPr>
        <w:t xml:space="preserve">Labour in 2017 </w:t>
      </w:r>
      <w:r w:rsidR="00AF7344">
        <w:rPr>
          <w:rFonts w:ascii="Times New Roman" w:hAnsi="Times New Roman" w:cs="Times New Roman"/>
        </w:rPr>
        <w:t xml:space="preserve">was </w:t>
      </w:r>
      <w:r w:rsidR="00AF7344" w:rsidRPr="00AF7344">
        <w:rPr>
          <w:rFonts w:ascii="Times New Roman" w:hAnsi="Times New Roman" w:cs="Times New Roman"/>
        </w:rPr>
        <w:t>12</w:t>
      </w:r>
      <w:r w:rsidR="00AF7344">
        <w:rPr>
          <w:rFonts w:ascii="Times New Roman" w:hAnsi="Times New Roman" w:cs="Times New Roman"/>
        </w:rPr>
        <w:t>,</w:t>
      </w:r>
      <w:r w:rsidR="00AF7344" w:rsidRPr="00AF7344">
        <w:rPr>
          <w:rFonts w:ascii="Times New Roman" w:hAnsi="Times New Roman" w:cs="Times New Roman"/>
        </w:rPr>
        <w:t>87</w:t>
      </w:r>
      <w:r w:rsidR="00C26665">
        <w:rPr>
          <w:rFonts w:ascii="Times New Roman" w:hAnsi="Times New Roman" w:cs="Times New Roman"/>
        </w:rPr>
        <w:t>7</w:t>
      </w:r>
      <w:r w:rsidR="00AF7344">
        <w:rPr>
          <w:rFonts w:ascii="Times New Roman" w:hAnsi="Times New Roman" w:cs="Times New Roman"/>
        </w:rPr>
        <w:t>,</w:t>
      </w:r>
      <w:r w:rsidR="00C26665">
        <w:rPr>
          <w:rFonts w:ascii="Times New Roman" w:hAnsi="Times New Roman" w:cs="Times New Roman"/>
        </w:rPr>
        <w:t>918</w:t>
      </w:r>
      <w:r w:rsidR="00AF7344">
        <w:rPr>
          <w:rFonts w:ascii="Times New Roman" w:hAnsi="Times New Roman" w:cs="Times New Roman"/>
        </w:rPr>
        <w:t xml:space="preserve">. Approximately </w:t>
      </w:r>
      <w:r w:rsidRPr="0068027A">
        <w:rPr>
          <w:rFonts w:ascii="Times New Roman" w:eastAsia="Times New Roman" w:hAnsi="Times New Roman" w:cs="Times New Roman"/>
        </w:rPr>
        <w:t xml:space="preserve">15% of </w:t>
      </w:r>
      <w:r w:rsidR="00AF7344">
        <w:rPr>
          <w:rFonts w:ascii="Times New Roman" w:eastAsia="Times New Roman" w:hAnsi="Times New Roman" w:cs="Times New Roman"/>
        </w:rPr>
        <w:t xml:space="preserve">the </w:t>
      </w:r>
      <w:r w:rsidRPr="0068027A">
        <w:rPr>
          <w:rFonts w:ascii="Times New Roman" w:eastAsia="Times New Roman" w:hAnsi="Times New Roman" w:cs="Times New Roman"/>
        </w:rPr>
        <w:t>electorate is</w:t>
      </w:r>
      <w:r w:rsidR="00AF7344">
        <w:rPr>
          <w:rFonts w:ascii="Times New Roman" w:eastAsia="Times New Roman" w:hAnsi="Times New Roman" w:cs="Times New Roman"/>
        </w:rPr>
        <w:t xml:space="preserve"> under 30 and </w:t>
      </w:r>
      <w:r w:rsidRPr="0068027A">
        <w:rPr>
          <w:rFonts w:ascii="Times New Roman" w:eastAsia="Times New Roman" w:hAnsi="Times New Roman" w:cs="Times New Roman"/>
        </w:rPr>
        <w:t xml:space="preserve">our estimate has 60% of this </w:t>
      </w:r>
      <w:r w:rsidR="00AF7344">
        <w:rPr>
          <w:rFonts w:ascii="Times New Roman" w:eastAsia="Times New Roman" w:hAnsi="Times New Roman" w:cs="Times New Roman"/>
        </w:rPr>
        <w:t xml:space="preserve">age </w:t>
      </w:r>
      <w:r w:rsidRPr="0068027A">
        <w:rPr>
          <w:rFonts w:ascii="Times New Roman" w:eastAsia="Times New Roman" w:hAnsi="Times New Roman" w:cs="Times New Roman"/>
        </w:rPr>
        <w:t>group vot</w:t>
      </w:r>
      <w:r w:rsidR="00AF7344">
        <w:rPr>
          <w:rFonts w:ascii="Times New Roman" w:eastAsia="Times New Roman" w:hAnsi="Times New Roman" w:cs="Times New Roman"/>
        </w:rPr>
        <w:t>ing for</w:t>
      </w:r>
      <w:r w:rsidRPr="0068027A">
        <w:rPr>
          <w:rFonts w:ascii="Times New Roman" w:eastAsia="Times New Roman" w:hAnsi="Times New Roman" w:cs="Times New Roman"/>
        </w:rPr>
        <w:t xml:space="preserve"> Labour in 2017</w:t>
      </w:r>
      <w:r w:rsidR="00AF7344">
        <w:rPr>
          <w:rFonts w:ascii="Times New Roman" w:eastAsia="Times New Roman" w:hAnsi="Times New Roman" w:cs="Times New Roman"/>
        </w:rPr>
        <w:t>, amounting to 1,159,0</w:t>
      </w:r>
      <w:r w:rsidR="00C26665">
        <w:rPr>
          <w:rFonts w:ascii="Times New Roman" w:eastAsia="Times New Roman" w:hAnsi="Times New Roman" w:cs="Times New Roman"/>
        </w:rPr>
        <w:t>13</w:t>
      </w:r>
      <w:r w:rsidR="00AF7344">
        <w:rPr>
          <w:rFonts w:ascii="Times New Roman" w:eastAsia="Times New Roman" w:hAnsi="Times New Roman" w:cs="Times New Roman"/>
        </w:rPr>
        <w:t xml:space="preserve"> voters </w:t>
      </w:r>
      <m:oMath>
        <m:d>
          <m:dPr>
            <m:ctrlPr>
              <w:rPr>
                <w:rFonts w:ascii="Cambria Math" w:hAnsi="Cambria Math"/>
                <w:i/>
              </w:rPr>
            </m:ctrlPr>
          </m:dPr>
          <m:e>
            <m:r>
              <w:rPr>
                <w:rFonts w:ascii="Cambria Math" w:hAnsi="Cambria Math"/>
              </w:rPr>
              <m:t>12,877,918×0.15×0.6</m:t>
            </m:r>
          </m:e>
        </m:d>
      </m:oMath>
      <w:r w:rsidR="00AF7344">
        <w:rPr>
          <w:rFonts w:ascii="Times New Roman" w:eastAsia="Times New Roman" w:hAnsi="Times New Roman" w:cs="Times New Roman"/>
        </w:rPr>
        <w:t>.</w:t>
      </w:r>
      <w:r w:rsidR="00F00F30">
        <w:rPr>
          <w:rFonts w:ascii="Times New Roman" w:eastAsia="Times New Roman" w:hAnsi="Times New Roman" w:cs="Times New Roman"/>
        </w:rPr>
        <w:t xml:space="preserve"> Hypothetically, h</w:t>
      </w:r>
      <w:r w:rsidR="00B95DE4">
        <w:rPr>
          <w:rFonts w:ascii="Times New Roman" w:eastAsia="Times New Roman" w:hAnsi="Times New Roman" w:cs="Times New Roman"/>
        </w:rPr>
        <w:t>ad Labour</w:t>
      </w:r>
      <w:r w:rsidR="00F00F30">
        <w:rPr>
          <w:rFonts w:ascii="Times New Roman" w:eastAsia="Times New Roman" w:hAnsi="Times New Roman" w:cs="Times New Roman"/>
        </w:rPr>
        <w:t>’s</w:t>
      </w:r>
      <w:r w:rsidR="00B95DE4">
        <w:rPr>
          <w:rFonts w:ascii="Times New Roman" w:eastAsia="Times New Roman" w:hAnsi="Times New Roman" w:cs="Times New Roman"/>
        </w:rPr>
        <w:t xml:space="preserve"> vote for this age group remained at 40%</w:t>
      </w:r>
      <w:r w:rsidR="00AF7344">
        <w:rPr>
          <w:rFonts w:ascii="Times New Roman" w:eastAsia="Times New Roman" w:hAnsi="Times New Roman" w:cs="Times New Roman"/>
        </w:rPr>
        <w:t xml:space="preserve"> </w:t>
      </w:r>
      <w:r w:rsidR="00F00F30">
        <w:rPr>
          <w:rFonts w:ascii="Times New Roman" w:eastAsia="Times New Roman" w:hAnsi="Times New Roman" w:cs="Times New Roman"/>
        </w:rPr>
        <w:t xml:space="preserve">and turnout 11 points lower at 60%, as in 2015, </w:t>
      </w:r>
      <w:r w:rsidR="00B218A6">
        <w:rPr>
          <w:rFonts w:ascii="Times New Roman" w:eastAsia="Times New Roman" w:hAnsi="Times New Roman" w:cs="Times New Roman"/>
        </w:rPr>
        <w:t>this</w:t>
      </w:r>
      <w:r w:rsidR="00F00F30">
        <w:rPr>
          <w:rFonts w:ascii="Times New Roman" w:eastAsia="Times New Roman" w:hAnsi="Times New Roman" w:cs="Times New Roman"/>
        </w:rPr>
        <w:t xml:space="preserve"> would have </w:t>
      </w:r>
      <w:r w:rsidR="00B218A6">
        <w:rPr>
          <w:rFonts w:ascii="Times New Roman" w:eastAsia="Times New Roman" w:hAnsi="Times New Roman" w:cs="Times New Roman"/>
        </w:rPr>
        <w:t xml:space="preserve">comprised </w:t>
      </w:r>
      <w:r w:rsidR="00F00F30" w:rsidRPr="00F00F30">
        <w:rPr>
          <w:rFonts w:ascii="Times New Roman" w:eastAsia="Times New Roman" w:hAnsi="Times New Roman" w:cs="Times New Roman"/>
        </w:rPr>
        <w:t>652</w:t>
      </w:r>
      <w:r w:rsidR="00F00F30">
        <w:rPr>
          <w:rFonts w:ascii="Times New Roman" w:eastAsia="Times New Roman" w:hAnsi="Times New Roman" w:cs="Times New Roman"/>
        </w:rPr>
        <w:t>,</w:t>
      </w:r>
      <w:r w:rsidR="00F00F30" w:rsidRPr="00F00F30">
        <w:rPr>
          <w:rFonts w:ascii="Times New Roman" w:eastAsia="Times New Roman" w:hAnsi="Times New Roman" w:cs="Times New Roman"/>
        </w:rPr>
        <w:t>9</w:t>
      </w:r>
      <w:r w:rsidR="00C26665">
        <w:rPr>
          <w:rFonts w:ascii="Times New Roman" w:eastAsia="Times New Roman" w:hAnsi="Times New Roman" w:cs="Times New Roman"/>
        </w:rPr>
        <w:t>04</w:t>
      </w:r>
      <w:r w:rsidR="00F00F30">
        <w:rPr>
          <w:rFonts w:ascii="Times New Roman" w:eastAsia="Times New Roman" w:hAnsi="Times New Roman" w:cs="Times New Roman"/>
        </w:rPr>
        <w:t xml:space="preserve"> voters </w:t>
      </w:r>
      <m:oMath>
        <m:d>
          <m:dPr>
            <m:ctrlPr>
              <w:rPr>
                <w:rFonts w:ascii="Cambria Math" w:hAnsi="Cambria Math"/>
                <w:i/>
              </w:rPr>
            </m:ctrlPr>
          </m:dPr>
          <m:e>
            <m:r>
              <m:rPr>
                <m:sty m:val="p"/>
              </m:rPr>
              <w:rPr>
                <w:rFonts w:ascii="Cambria Math" w:hAnsi="Cambria Math"/>
              </w:rPr>
              <m:t>1,159,013</m:t>
            </m:r>
            <m:r>
              <w:rPr>
                <w:rFonts w:ascii="Cambria Math" w:hAnsi="Cambria Math"/>
              </w:rPr>
              <m:t>×</m:t>
            </m:r>
            <m:f>
              <m:fPr>
                <m:ctrlPr>
                  <w:rPr>
                    <w:rFonts w:ascii="Cambria Math" w:hAnsi="Cambria Math"/>
                    <w:i/>
                  </w:rPr>
                </m:ctrlPr>
              </m:fPr>
              <m:num>
                <m:r>
                  <w:rPr>
                    <w:rFonts w:ascii="Cambria Math" w:hAnsi="Cambria Math"/>
                  </w:rPr>
                  <m:t>40</m:t>
                </m:r>
              </m:num>
              <m:den>
                <m:r>
                  <w:rPr>
                    <w:rFonts w:ascii="Cambria Math" w:hAnsi="Cambria Math"/>
                  </w:rPr>
                  <m:t>60</m:t>
                </m:r>
              </m:den>
            </m:f>
            <m:r>
              <w:rPr>
                <w:rFonts w:ascii="Cambria Math" w:hAnsi="Cambria Math"/>
              </w:rPr>
              <m:t>×</m:t>
            </m:r>
            <m:f>
              <m:fPr>
                <m:ctrlPr>
                  <w:rPr>
                    <w:rFonts w:ascii="Cambria Math" w:hAnsi="Cambria Math"/>
                    <w:i/>
                  </w:rPr>
                </m:ctrlPr>
              </m:fPr>
              <m:num>
                <m:r>
                  <w:rPr>
                    <w:rFonts w:ascii="Cambria Math" w:hAnsi="Cambria Math"/>
                  </w:rPr>
                  <m:t>60</m:t>
                </m:r>
              </m:num>
              <m:den>
                <m:r>
                  <w:rPr>
                    <w:rFonts w:ascii="Cambria Math" w:hAnsi="Cambria Math"/>
                  </w:rPr>
                  <m:t>71</m:t>
                </m:r>
              </m:den>
            </m:f>
          </m:e>
        </m:d>
      </m:oMath>
      <w:r w:rsidR="00B218A6">
        <w:rPr>
          <w:rFonts w:ascii="Times New Roman" w:eastAsia="Times New Roman" w:hAnsi="Times New Roman" w:cs="Times New Roman"/>
        </w:rPr>
        <w:t>. This difference of around half a million votes represents around 4% of its total and thus would have added around</w:t>
      </w:r>
      <w:r w:rsidR="00C26665">
        <w:rPr>
          <w:rFonts w:ascii="Times New Roman" w:eastAsia="Times New Roman" w:hAnsi="Times New Roman" w:cs="Times New Roman"/>
        </w:rPr>
        <w:t xml:space="preserve"> 1.6</w:t>
      </w:r>
      <w:r w:rsidR="00B218A6">
        <w:rPr>
          <w:rFonts w:ascii="Times New Roman" w:eastAsia="Times New Roman" w:hAnsi="Times New Roman" w:cs="Times New Roman"/>
        </w:rPr>
        <w:t xml:space="preserve"> percentage points to its vote share</w:t>
      </w:r>
      <w:r w:rsidR="00C26665">
        <w:rPr>
          <w:rFonts w:ascii="Times New Roman" w:eastAsia="Times New Roman" w:hAnsi="Times New Roman" w:cs="Times New Roman"/>
        </w:rPr>
        <w:t xml:space="preserve"> </w:t>
      </w:r>
      <m:oMath>
        <m:d>
          <m:dPr>
            <m:ctrlPr>
              <w:rPr>
                <w:rFonts w:ascii="Cambria Math" w:hAnsi="Cambria Math"/>
                <w:i/>
              </w:rPr>
            </m:ctrlPr>
          </m:dPr>
          <m:e>
            <m:f>
              <m:fPr>
                <m:ctrlPr>
                  <w:rPr>
                    <w:rFonts w:ascii="Cambria Math" w:hAnsi="Cambria Math"/>
                    <w:i/>
                  </w:rPr>
                </m:ctrlPr>
              </m:fPr>
              <m:num>
                <m:r>
                  <m:rPr>
                    <m:sty m:val="p"/>
                  </m:rPr>
                  <w:rPr>
                    <w:rFonts w:ascii="Cambria Math" w:hAnsi="Cambria Math"/>
                  </w:rPr>
                  <m:t>1,159,013-652,904</m:t>
                </m:r>
              </m:num>
              <m:den>
                <m:r>
                  <w:rPr>
                    <w:rFonts w:ascii="Cambria Math" w:hAnsi="Cambria Math"/>
                  </w:rPr>
                  <m:t>32,204,184</m:t>
                </m:r>
              </m:den>
            </m:f>
          </m:e>
        </m:d>
      </m:oMath>
      <w:r w:rsidR="00B218A6">
        <w:rPr>
          <w:rFonts w:ascii="Times New Roman" w:eastAsia="Times New Roman" w:hAnsi="Times New Roman" w:cs="Times New Roman"/>
        </w:rPr>
        <w:t>.</w:t>
      </w:r>
    </w:p>
  </w:footnote>
  <w:footnote w:id="5">
    <w:p w14:paraId="2EB7F056" w14:textId="77777777" w:rsidR="00152ABE" w:rsidRPr="00B2019D" w:rsidRDefault="00152ABE" w:rsidP="00152ABE">
      <w:pPr>
        <w:pStyle w:val="FootnoteText"/>
        <w:rPr>
          <w:rFonts w:ascii="Times New Roman" w:hAnsi="Times New Roman" w:cs="Times New Roman"/>
        </w:rPr>
      </w:pPr>
      <w:r w:rsidRPr="00B2019D">
        <w:rPr>
          <w:rStyle w:val="FootnoteReference"/>
          <w:rFonts w:ascii="Times New Roman" w:hAnsi="Times New Roman" w:cs="Times New Roman"/>
        </w:rPr>
        <w:footnoteRef/>
      </w:r>
      <w:r w:rsidRPr="00B2019D">
        <w:rPr>
          <w:rFonts w:ascii="Times New Roman" w:hAnsi="Times New Roman" w:cs="Times New Roman"/>
        </w:rPr>
        <w:t xml:space="preserve"> Longitudinal individual re-interview rates were 74% at wave 2, 85% at wave 7 and 88% at wave 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A03CE"/>
    <w:multiLevelType w:val="hybridMultilevel"/>
    <w:tmpl w:val="6AB297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63028A"/>
    <w:multiLevelType w:val="hybridMultilevel"/>
    <w:tmpl w:val="3D1823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5D04AA"/>
    <w:multiLevelType w:val="hybridMultilevel"/>
    <w:tmpl w:val="46A6C3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67"/>
    <w:rsid w:val="00003EA3"/>
    <w:rsid w:val="00012404"/>
    <w:rsid w:val="000170DA"/>
    <w:rsid w:val="000228F1"/>
    <w:rsid w:val="000237B9"/>
    <w:rsid w:val="00044B43"/>
    <w:rsid w:val="00057485"/>
    <w:rsid w:val="000659C4"/>
    <w:rsid w:val="00066D07"/>
    <w:rsid w:val="000705E5"/>
    <w:rsid w:val="00071BFB"/>
    <w:rsid w:val="00077E57"/>
    <w:rsid w:val="00091669"/>
    <w:rsid w:val="00094A65"/>
    <w:rsid w:val="000951AB"/>
    <w:rsid w:val="000A3117"/>
    <w:rsid w:val="000A6817"/>
    <w:rsid w:val="000B0484"/>
    <w:rsid w:val="000C0B5F"/>
    <w:rsid w:val="000C69D1"/>
    <w:rsid w:val="000C6B9F"/>
    <w:rsid w:val="000D1371"/>
    <w:rsid w:val="000D4011"/>
    <w:rsid w:val="00115940"/>
    <w:rsid w:val="00120578"/>
    <w:rsid w:val="00127506"/>
    <w:rsid w:val="00142FFC"/>
    <w:rsid w:val="001452B3"/>
    <w:rsid w:val="00146A2D"/>
    <w:rsid w:val="00152ABE"/>
    <w:rsid w:val="00152C9C"/>
    <w:rsid w:val="00195B36"/>
    <w:rsid w:val="001970E8"/>
    <w:rsid w:val="001A3A3A"/>
    <w:rsid w:val="001B1245"/>
    <w:rsid w:val="001C1AB0"/>
    <w:rsid w:val="001D23AE"/>
    <w:rsid w:val="001E00A9"/>
    <w:rsid w:val="001E4758"/>
    <w:rsid w:val="001E4E19"/>
    <w:rsid w:val="001F29DC"/>
    <w:rsid w:val="002040A2"/>
    <w:rsid w:val="00210958"/>
    <w:rsid w:val="002216E4"/>
    <w:rsid w:val="00240C2C"/>
    <w:rsid w:val="002520D8"/>
    <w:rsid w:val="002545EF"/>
    <w:rsid w:val="00263FDA"/>
    <w:rsid w:val="00265C3B"/>
    <w:rsid w:val="002818DC"/>
    <w:rsid w:val="00281A61"/>
    <w:rsid w:val="0029372D"/>
    <w:rsid w:val="002A2B58"/>
    <w:rsid w:val="002A6E12"/>
    <w:rsid w:val="002B0017"/>
    <w:rsid w:val="002B55D6"/>
    <w:rsid w:val="002C6C95"/>
    <w:rsid w:val="002D3C6F"/>
    <w:rsid w:val="002D6003"/>
    <w:rsid w:val="002D6F80"/>
    <w:rsid w:val="002E15C2"/>
    <w:rsid w:val="00311676"/>
    <w:rsid w:val="00321A02"/>
    <w:rsid w:val="00324371"/>
    <w:rsid w:val="003354C6"/>
    <w:rsid w:val="00344AF6"/>
    <w:rsid w:val="003510AC"/>
    <w:rsid w:val="0036045F"/>
    <w:rsid w:val="00367651"/>
    <w:rsid w:val="00371A67"/>
    <w:rsid w:val="00374EC1"/>
    <w:rsid w:val="00392313"/>
    <w:rsid w:val="003B10F0"/>
    <w:rsid w:val="003B237A"/>
    <w:rsid w:val="003B48B7"/>
    <w:rsid w:val="003F1CD4"/>
    <w:rsid w:val="003F5AA8"/>
    <w:rsid w:val="004238C5"/>
    <w:rsid w:val="004261B8"/>
    <w:rsid w:val="004322C5"/>
    <w:rsid w:val="004356EE"/>
    <w:rsid w:val="004365C2"/>
    <w:rsid w:val="00444340"/>
    <w:rsid w:val="00463C2E"/>
    <w:rsid w:val="00476F7A"/>
    <w:rsid w:val="0047709D"/>
    <w:rsid w:val="00477716"/>
    <w:rsid w:val="00483424"/>
    <w:rsid w:val="00487BB0"/>
    <w:rsid w:val="00494B56"/>
    <w:rsid w:val="004A6A67"/>
    <w:rsid w:val="004B5FA7"/>
    <w:rsid w:val="004C6FED"/>
    <w:rsid w:val="004E66B4"/>
    <w:rsid w:val="00530C69"/>
    <w:rsid w:val="005345B3"/>
    <w:rsid w:val="005355BB"/>
    <w:rsid w:val="005377A8"/>
    <w:rsid w:val="00537D67"/>
    <w:rsid w:val="005418E9"/>
    <w:rsid w:val="00542C4C"/>
    <w:rsid w:val="005454D2"/>
    <w:rsid w:val="00550B37"/>
    <w:rsid w:val="00553913"/>
    <w:rsid w:val="00565AD8"/>
    <w:rsid w:val="0057004E"/>
    <w:rsid w:val="00574502"/>
    <w:rsid w:val="00576F96"/>
    <w:rsid w:val="00586F3E"/>
    <w:rsid w:val="00590B67"/>
    <w:rsid w:val="005918E4"/>
    <w:rsid w:val="005A25B7"/>
    <w:rsid w:val="005B556A"/>
    <w:rsid w:val="005C0A0A"/>
    <w:rsid w:val="005D0B76"/>
    <w:rsid w:val="005D503C"/>
    <w:rsid w:val="005D7022"/>
    <w:rsid w:val="005E4CA4"/>
    <w:rsid w:val="005F50E5"/>
    <w:rsid w:val="006027E9"/>
    <w:rsid w:val="00614C75"/>
    <w:rsid w:val="00641298"/>
    <w:rsid w:val="006459DD"/>
    <w:rsid w:val="00653D57"/>
    <w:rsid w:val="00653F77"/>
    <w:rsid w:val="00661564"/>
    <w:rsid w:val="0068027A"/>
    <w:rsid w:val="00692EC3"/>
    <w:rsid w:val="00693A79"/>
    <w:rsid w:val="00695750"/>
    <w:rsid w:val="006A0D64"/>
    <w:rsid w:val="006B1E41"/>
    <w:rsid w:val="006B1F55"/>
    <w:rsid w:val="006B3F95"/>
    <w:rsid w:val="006C29DA"/>
    <w:rsid w:val="006D3D25"/>
    <w:rsid w:val="006E1ED1"/>
    <w:rsid w:val="006E260D"/>
    <w:rsid w:val="006E2F1D"/>
    <w:rsid w:val="006E502E"/>
    <w:rsid w:val="007012E2"/>
    <w:rsid w:val="00710018"/>
    <w:rsid w:val="00715607"/>
    <w:rsid w:val="00721457"/>
    <w:rsid w:val="00742CCF"/>
    <w:rsid w:val="00764BB6"/>
    <w:rsid w:val="00771FDE"/>
    <w:rsid w:val="007773A2"/>
    <w:rsid w:val="007921D4"/>
    <w:rsid w:val="00797228"/>
    <w:rsid w:val="007A64FD"/>
    <w:rsid w:val="007B1330"/>
    <w:rsid w:val="007B3551"/>
    <w:rsid w:val="007B57E3"/>
    <w:rsid w:val="007C6A1F"/>
    <w:rsid w:val="007D6D79"/>
    <w:rsid w:val="007E7952"/>
    <w:rsid w:val="008000B6"/>
    <w:rsid w:val="00810789"/>
    <w:rsid w:val="008179E0"/>
    <w:rsid w:val="00820325"/>
    <w:rsid w:val="00826B81"/>
    <w:rsid w:val="0085406B"/>
    <w:rsid w:val="008558EE"/>
    <w:rsid w:val="008567B7"/>
    <w:rsid w:val="008605B2"/>
    <w:rsid w:val="00864F2A"/>
    <w:rsid w:val="0086639C"/>
    <w:rsid w:val="00891FEB"/>
    <w:rsid w:val="008A6A90"/>
    <w:rsid w:val="008A7158"/>
    <w:rsid w:val="008B1577"/>
    <w:rsid w:val="008B3D34"/>
    <w:rsid w:val="008B7E95"/>
    <w:rsid w:val="008D7754"/>
    <w:rsid w:val="008D7FE9"/>
    <w:rsid w:val="009076CB"/>
    <w:rsid w:val="0091771E"/>
    <w:rsid w:val="00922722"/>
    <w:rsid w:val="00930BE4"/>
    <w:rsid w:val="00960B45"/>
    <w:rsid w:val="00965DF6"/>
    <w:rsid w:val="00974227"/>
    <w:rsid w:val="009947EA"/>
    <w:rsid w:val="009B046C"/>
    <w:rsid w:val="009B0D3A"/>
    <w:rsid w:val="009E679C"/>
    <w:rsid w:val="009F07B8"/>
    <w:rsid w:val="009F3FCA"/>
    <w:rsid w:val="00A10013"/>
    <w:rsid w:val="00A4502D"/>
    <w:rsid w:val="00A474DC"/>
    <w:rsid w:val="00A5089C"/>
    <w:rsid w:val="00A50D19"/>
    <w:rsid w:val="00A70918"/>
    <w:rsid w:val="00A815FC"/>
    <w:rsid w:val="00A903D9"/>
    <w:rsid w:val="00A91028"/>
    <w:rsid w:val="00AA0F51"/>
    <w:rsid w:val="00AA1D39"/>
    <w:rsid w:val="00AA32C2"/>
    <w:rsid w:val="00AA609C"/>
    <w:rsid w:val="00AB4AA2"/>
    <w:rsid w:val="00AC4E55"/>
    <w:rsid w:val="00AD5C20"/>
    <w:rsid w:val="00AE576A"/>
    <w:rsid w:val="00AF29C4"/>
    <w:rsid w:val="00AF7344"/>
    <w:rsid w:val="00B0075A"/>
    <w:rsid w:val="00B0217B"/>
    <w:rsid w:val="00B15517"/>
    <w:rsid w:val="00B218A6"/>
    <w:rsid w:val="00B232D3"/>
    <w:rsid w:val="00B30924"/>
    <w:rsid w:val="00B32F2D"/>
    <w:rsid w:val="00B56BA7"/>
    <w:rsid w:val="00B601E7"/>
    <w:rsid w:val="00B630E3"/>
    <w:rsid w:val="00B716FB"/>
    <w:rsid w:val="00B72F6C"/>
    <w:rsid w:val="00B86763"/>
    <w:rsid w:val="00B90F1E"/>
    <w:rsid w:val="00B95DE4"/>
    <w:rsid w:val="00B9607D"/>
    <w:rsid w:val="00BB5BDE"/>
    <w:rsid w:val="00BC5F89"/>
    <w:rsid w:val="00BC6F7B"/>
    <w:rsid w:val="00BD02E0"/>
    <w:rsid w:val="00BD13D3"/>
    <w:rsid w:val="00BD1EE4"/>
    <w:rsid w:val="00BD2321"/>
    <w:rsid w:val="00BD4E24"/>
    <w:rsid w:val="00BE4834"/>
    <w:rsid w:val="00C05EFB"/>
    <w:rsid w:val="00C1233D"/>
    <w:rsid w:val="00C164AC"/>
    <w:rsid w:val="00C26665"/>
    <w:rsid w:val="00C439D1"/>
    <w:rsid w:val="00C86CB5"/>
    <w:rsid w:val="00C9148B"/>
    <w:rsid w:val="00C93612"/>
    <w:rsid w:val="00CA083B"/>
    <w:rsid w:val="00CA38CE"/>
    <w:rsid w:val="00CA46C1"/>
    <w:rsid w:val="00CA495B"/>
    <w:rsid w:val="00CC1AC3"/>
    <w:rsid w:val="00CC5349"/>
    <w:rsid w:val="00CC59A3"/>
    <w:rsid w:val="00CD6B65"/>
    <w:rsid w:val="00D2301A"/>
    <w:rsid w:val="00D26971"/>
    <w:rsid w:val="00D36F56"/>
    <w:rsid w:val="00D40A12"/>
    <w:rsid w:val="00D51406"/>
    <w:rsid w:val="00D52286"/>
    <w:rsid w:val="00D57942"/>
    <w:rsid w:val="00D70BBF"/>
    <w:rsid w:val="00D86170"/>
    <w:rsid w:val="00DA13C3"/>
    <w:rsid w:val="00DC445F"/>
    <w:rsid w:val="00DD190C"/>
    <w:rsid w:val="00DD22C7"/>
    <w:rsid w:val="00DD77F4"/>
    <w:rsid w:val="00DE1ED4"/>
    <w:rsid w:val="00DE27DC"/>
    <w:rsid w:val="00DE3C7A"/>
    <w:rsid w:val="00DF20D4"/>
    <w:rsid w:val="00E0193A"/>
    <w:rsid w:val="00E11D04"/>
    <w:rsid w:val="00E11EDF"/>
    <w:rsid w:val="00E266CE"/>
    <w:rsid w:val="00E36314"/>
    <w:rsid w:val="00E41EEF"/>
    <w:rsid w:val="00E430DC"/>
    <w:rsid w:val="00E5545F"/>
    <w:rsid w:val="00E6129B"/>
    <w:rsid w:val="00E65D93"/>
    <w:rsid w:val="00E93AC9"/>
    <w:rsid w:val="00E94BE2"/>
    <w:rsid w:val="00EA0CF9"/>
    <w:rsid w:val="00EA1A66"/>
    <w:rsid w:val="00EB38B7"/>
    <w:rsid w:val="00ED1255"/>
    <w:rsid w:val="00EE1E83"/>
    <w:rsid w:val="00EE30E2"/>
    <w:rsid w:val="00F00F30"/>
    <w:rsid w:val="00F1793A"/>
    <w:rsid w:val="00F36FCF"/>
    <w:rsid w:val="00F376EE"/>
    <w:rsid w:val="00F41D76"/>
    <w:rsid w:val="00F522A3"/>
    <w:rsid w:val="00F62A38"/>
    <w:rsid w:val="00F635EE"/>
    <w:rsid w:val="00F80420"/>
    <w:rsid w:val="00F87A98"/>
    <w:rsid w:val="00FA70B9"/>
    <w:rsid w:val="00FC3D13"/>
    <w:rsid w:val="00FD3CFE"/>
    <w:rsid w:val="00FE5C71"/>
    <w:rsid w:val="00FE7CD1"/>
    <w:rsid w:val="00FF197B"/>
    <w:rsid w:val="00FF74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D74C"/>
  <w15:docId w15:val="{2F4649F9-1F2D-41EB-BA8A-F102F9AF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A61"/>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EE30E2"/>
    <w:pPr>
      <w:keepNext/>
      <w:keepLines/>
      <w:spacing w:before="240"/>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000B6"/>
    <w:pPr>
      <w:tabs>
        <w:tab w:val="center" w:pos="4513"/>
        <w:tab w:val="right" w:pos="9026"/>
      </w:tabs>
    </w:pPr>
    <w:rPr>
      <w:rFonts w:ascii="Calibri" w:eastAsia="Calibri" w:hAnsi="Calibri" w:cs="Arial"/>
    </w:rPr>
  </w:style>
  <w:style w:type="character" w:customStyle="1" w:styleId="FooterChar">
    <w:name w:val="Footer Char"/>
    <w:basedOn w:val="DefaultParagraphFont"/>
    <w:link w:val="Footer"/>
    <w:uiPriority w:val="99"/>
    <w:rsid w:val="008000B6"/>
  </w:style>
  <w:style w:type="character" w:styleId="PageNumber">
    <w:name w:val="page number"/>
    <w:basedOn w:val="DefaultParagraphFont"/>
    <w:uiPriority w:val="99"/>
    <w:semiHidden/>
    <w:unhideWhenUsed/>
    <w:rsid w:val="008000B6"/>
  </w:style>
  <w:style w:type="paragraph" w:styleId="FootnoteText">
    <w:name w:val="footnote text"/>
    <w:basedOn w:val="Normal"/>
    <w:link w:val="FootnoteTextChar"/>
    <w:uiPriority w:val="99"/>
    <w:unhideWhenUsed/>
    <w:rsid w:val="00A10013"/>
    <w:rPr>
      <w:rFonts w:ascii="Calibri" w:eastAsia="Calibri" w:hAnsi="Calibri" w:cs="Arial"/>
      <w:sz w:val="20"/>
      <w:szCs w:val="20"/>
    </w:rPr>
  </w:style>
  <w:style w:type="character" w:customStyle="1" w:styleId="FootnoteTextChar">
    <w:name w:val="Footnote Text Char"/>
    <w:link w:val="FootnoteText"/>
    <w:uiPriority w:val="99"/>
    <w:rsid w:val="00A10013"/>
    <w:rPr>
      <w:sz w:val="20"/>
      <w:szCs w:val="20"/>
    </w:rPr>
  </w:style>
  <w:style w:type="character" w:styleId="FootnoteReference">
    <w:name w:val="footnote reference"/>
    <w:uiPriority w:val="99"/>
    <w:semiHidden/>
    <w:unhideWhenUsed/>
    <w:rsid w:val="00A10013"/>
    <w:rPr>
      <w:vertAlign w:val="superscript"/>
    </w:rPr>
  </w:style>
  <w:style w:type="character" w:styleId="CommentReference">
    <w:name w:val="annotation reference"/>
    <w:uiPriority w:val="99"/>
    <w:semiHidden/>
    <w:unhideWhenUsed/>
    <w:rsid w:val="00FC3D13"/>
    <w:rPr>
      <w:sz w:val="16"/>
      <w:szCs w:val="16"/>
    </w:rPr>
  </w:style>
  <w:style w:type="paragraph" w:styleId="CommentText">
    <w:name w:val="annotation text"/>
    <w:basedOn w:val="Normal"/>
    <w:link w:val="CommentTextChar"/>
    <w:uiPriority w:val="99"/>
    <w:unhideWhenUsed/>
    <w:rsid w:val="00FC3D13"/>
    <w:rPr>
      <w:rFonts w:ascii="Calibri" w:eastAsia="Calibri" w:hAnsi="Calibri" w:cs="Arial"/>
      <w:sz w:val="20"/>
      <w:szCs w:val="20"/>
    </w:rPr>
  </w:style>
  <w:style w:type="character" w:customStyle="1" w:styleId="CommentTextChar">
    <w:name w:val="Comment Text Char"/>
    <w:link w:val="CommentText"/>
    <w:uiPriority w:val="99"/>
    <w:rsid w:val="00FC3D13"/>
    <w:rPr>
      <w:sz w:val="20"/>
      <w:szCs w:val="20"/>
    </w:rPr>
  </w:style>
  <w:style w:type="paragraph" w:styleId="CommentSubject">
    <w:name w:val="annotation subject"/>
    <w:basedOn w:val="CommentText"/>
    <w:next w:val="CommentText"/>
    <w:link w:val="CommentSubjectChar"/>
    <w:uiPriority w:val="99"/>
    <w:semiHidden/>
    <w:unhideWhenUsed/>
    <w:rsid w:val="00FC3D13"/>
    <w:rPr>
      <w:b/>
      <w:bCs/>
    </w:rPr>
  </w:style>
  <w:style w:type="character" w:customStyle="1" w:styleId="CommentSubjectChar">
    <w:name w:val="Comment Subject Char"/>
    <w:link w:val="CommentSubject"/>
    <w:uiPriority w:val="99"/>
    <w:semiHidden/>
    <w:rsid w:val="00FC3D13"/>
    <w:rPr>
      <w:b/>
      <w:bCs/>
      <w:sz w:val="20"/>
      <w:szCs w:val="20"/>
    </w:rPr>
  </w:style>
  <w:style w:type="paragraph" w:styleId="BalloonText">
    <w:name w:val="Balloon Text"/>
    <w:basedOn w:val="Normal"/>
    <w:link w:val="BalloonTextChar"/>
    <w:uiPriority w:val="99"/>
    <w:semiHidden/>
    <w:unhideWhenUsed/>
    <w:rsid w:val="00FC3D13"/>
    <w:rPr>
      <w:rFonts w:ascii="Segoe UI" w:eastAsia="Calibri" w:hAnsi="Segoe UI" w:cs="Segoe UI"/>
      <w:sz w:val="18"/>
      <w:szCs w:val="18"/>
    </w:rPr>
  </w:style>
  <w:style w:type="character" w:customStyle="1" w:styleId="BalloonTextChar">
    <w:name w:val="Balloon Text Char"/>
    <w:link w:val="BalloonText"/>
    <w:uiPriority w:val="99"/>
    <w:semiHidden/>
    <w:rsid w:val="00FC3D13"/>
    <w:rPr>
      <w:rFonts w:ascii="Segoe UI" w:hAnsi="Segoe UI" w:cs="Segoe UI"/>
      <w:sz w:val="18"/>
      <w:szCs w:val="18"/>
    </w:rPr>
  </w:style>
  <w:style w:type="character" w:styleId="Hyperlink">
    <w:name w:val="Hyperlink"/>
    <w:uiPriority w:val="99"/>
    <w:unhideWhenUsed/>
    <w:rsid w:val="00FC3D13"/>
    <w:rPr>
      <w:color w:val="0563C1"/>
      <w:u w:val="single"/>
    </w:rPr>
  </w:style>
  <w:style w:type="paragraph" w:styleId="Revision">
    <w:name w:val="Revision"/>
    <w:hidden/>
    <w:uiPriority w:val="99"/>
    <w:semiHidden/>
    <w:rsid w:val="000228F1"/>
    <w:rPr>
      <w:sz w:val="24"/>
      <w:szCs w:val="24"/>
      <w:lang w:eastAsia="en-US"/>
    </w:rPr>
  </w:style>
  <w:style w:type="character" w:customStyle="1" w:styleId="UnresolvedMention1">
    <w:name w:val="Unresolved Mention1"/>
    <w:uiPriority w:val="99"/>
    <w:semiHidden/>
    <w:unhideWhenUsed/>
    <w:rsid w:val="00565AD8"/>
    <w:rPr>
      <w:color w:val="605E5C"/>
      <w:shd w:val="clear" w:color="auto" w:fill="E1DFDD"/>
    </w:rPr>
  </w:style>
  <w:style w:type="character" w:styleId="FollowedHyperlink">
    <w:name w:val="FollowedHyperlink"/>
    <w:uiPriority w:val="99"/>
    <w:semiHidden/>
    <w:unhideWhenUsed/>
    <w:rsid w:val="0086639C"/>
    <w:rPr>
      <w:color w:val="954F72"/>
      <w:u w:val="single"/>
    </w:rPr>
  </w:style>
  <w:style w:type="character" w:customStyle="1" w:styleId="UnresolvedMention2">
    <w:name w:val="Unresolved Mention2"/>
    <w:uiPriority w:val="99"/>
    <w:semiHidden/>
    <w:unhideWhenUsed/>
    <w:rsid w:val="0086639C"/>
    <w:rPr>
      <w:color w:val="605E5C"/>
      <w:shd w:val="clear" w:color="auto" w:fill="E1DFDD"/>
    </w:rPr>
  </w:style>
  <w:style w:type="character" w:customStyle="1" w:styleId="Heading1Char">
    <w:name w:val="Heading 1 Char"/>
    <w:link w:val="Heading1"/>
    <w:uiPriority w:val="9"/>
    <w:rsid w:val="00EE30E2"/>
    <w:rPr>
      <w:rFonts w:ascii="Calibri Light" w:eastAsia="DengXian Light" w:hAnsi="Calibri Light" w:cs="Times New Roman"/>
      <w:color w:val="2F5496"/>
      <w:sz w:val="32"/>
      <w:szCs w:val="32"/>
    </w:rPr>
  </w:style>
  <w:style w:type="paragraph" w:styleId="Header">
    <w:name w:val="header"/>
    <w:basedOn w:val="Normal"/>
    <w:link w:val="HeaderChar"/>
    <w:uiPriority w:val="99"/>
    <w:unhideWhenUsed/>
    <w:rsid w:val="002545EF"/>
    <w:pPr>
      <w:tabs>
        <w:tab w:val="center" w:pos="4513"/>
        <w:tab w:val="right" w:pos="9026"/>
      </w:tabs>
    </w:pPr>
  </w:style>
  <w:style w:type="character" w:customStyle="1" w:styleId="HeaderChar">
    <w:name w:val="Header Char"/>
    <w:link w:val="Header"/>
    <w:uiPriority w:val="99"/>
    <w:rsid w:val="002545EF"/>
    <w:rPr>
      <w:rFonts w:ascii="Times New Roman" w:eastAsia="Times New Roman" w:hAnsi="Times New Roman" w:cs="Times New Roman"/>
    </w:rPr>
  </w:style>
  <w:style w:type="character" w:customStyle="1" w:styleId="UnresolvedMention3">
    <w:name w:val="Unresolved Mention3"/>
    <w:uiPriority w:val="99"/>
    <w:semiHidden/>
    <w:unhideWhenUsed/>
    <w:rsid w:val="00864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5523">
      <w:bodyDiv w:val="1"/>
      <w:marLeft w:val="0"/>
      <w:marRight w:val="0"/>
      <w:marTop w:val="0"/>
      <w:marBottom w:val="0"/>
      <w:divBdr>
        <w:top w:val="none" w:sz="0" w:space="0" w:color="auto"/>
        <w:left w:val="none" w:sz="0" w:space="0" w:color="auto"/>
        <w:bottom w:val="none" w:sz="0" w:space="0" w:color="auto"/>
        <w:right w:val="none" w:sz="0" w:space="0" w:color="auto"/>
      </w:divBdr>
    </w:div>
    <w:div w:id="461726762">
      <w:bodyDiv w:val="1"/>
      <w:marLeft w:val="0"/>
      <w:marRight w:val="0"/>
      <w:marTop w:val="0"/>
      <w:marBottom w:val="0"/>
      <w:divBdr>
        <w:top w:val="none" w:sz="0" w:space="0" w:color="auto"/>
        <w:left w:val="none" w:sz="0" w:space="0" w:color="auto"/>
        <w:bottom w:val="none" w:sz="0" w:space="0" w:color="auto"/>
        <w:right w:val="none" w:sz="0" w:space="0" w:color="auto"/>
      </w:divBdr>
    </w:div>
    <w:div w:id="587424529">
      <w:bodyDiv w:val="1"/>
      <w:marLeft w:val="0"/>
      <w:marRight w:val="0"/>
      <w:marTop w:val="0"/>
      <w:marBottom w:val="0"/>
      <w:divBdr>
        <w:top w:val="none" w:sz="0" w:space="0" w:color="auto"/>
        <w:left w:val="none" w:sz="0" w:space="0" w:color="auto"/>
        <w:bottom w:val="none" w:sz="0" w:space="0" w:color="auto"/>
        <w:right w:val="none" w:sz="0" w:space="0" w:color="auto"/>
      </w:divBdr>
    </w:div>
    <w:div w:id="664167466">
      <w:bodyDiv w:val="1"/>
      <w:marLeft w:val="0"/>
      <w:marRight w:val="0"/>
      <w:marTop w:val="0"/>
      <w:marBottom w:val="0"/>
      <w:divBdr>
        <w:top w:val="none" w:sz="0" w:space="0" w:color="auto"/>
        <w:left w:val="none" w:sz="0" w:space="0" w:color="auto"/>
        <w:bottom w:val="none" w:sz="0" w:space="0" w:color="auto"/>
        <w:right w:val="none" w:sz="0" w:space="0" w:color="auto"/>
      </w:divBdr>
    </w:div>
    <w:div w:id="740296922">
      <w:bodyDiv w:val="1"/>
      <w:marLeft w:val="0"/>
      <w:marRight w:val="0"/>
      <w:marTop w:val="0"/>
      <w:marBottom w:val="0"/>
      <w:divBdr>
        <w:top w:val="none" w:sz="0" w:space="0" w:color="auto"/>
        <w:left w:val="none" w:sz="0" w:space="0" w:color="auto"/>
        <w:bottom w:val="none" w:sz="0" w:space="0" w:color="auto"/>
        <w:right w:val="none" w:sz="0" w:space="0" w:color="auto"/>
      </w:divBdr>
    </w:div>
    <w:div w:id="905915265">
      <w:bodyDiv w:val="1"/>
      <w:marLeft w:val="0"/>
      <w:marRight w:val="0"/>
      <w:marTop w:val="0"/>
      <w:marBottom w:val="0"/>
      <w:divBdr>
        <w:top w:val="none" w:sz="0" w:space="0" w:color="auto"/>
        <w:left w:val="none" w:sz="0" w:space="0" w:color="auto"/>
        <w:bottom w:val="none" w:sz="0" w:space="0" w:color="auto"/>
        <w:right w:val="none" w:sz="0" w:space="0" w:color="auto"/>
      </w:divBdr>
    </w:div>
    <w:div w:id="934822666">
      <w:bodyDiv w:val="1"/>
      <w:marLeft w:val="0"/>
      <w:marRight w:val="0"/>
      <w:marTop w:val="0"/>
      <w:marBottom w:val="0"/>
      <w:divBdr>
        <w:top w:val="none" w:sz="0" w:space="0" w:color="auto"/>
        <w:left w:val="none" w:sz="0" w:space="0" w:color="auto"/>
        <w:bottom w:val="none" w:sz="0" w:space="0" w:color="auto"/>
        <w:right w:val="none" w:sz="0" w:space="0" w:color="auto"/>
      </w:divBdr>
    </w:div>
    <w:div w:id="954285976">
      <w:bodyDiv w:val="1"/>
      <w:marLeft w:val="0"/>
      <w:marRight w:val="0"/>
      <w:marTop w:val="0"/>
      <w:marBottom w:val="0"/>
      <w:divBdr>
        <w:top w:val="none" w:sz="0" w:space="0" w:color="auto"/>
        <w:left w:val="none" w:sz="0" w:space="0" w:color="auto"/>
        <w:bottom w:val="none" w:sz="0" w:space="0" w:color="auto"/>
        <w:right w:val="none" w:sz="0" w:space="0" w:color="auto"/>
      </w:divBdr>
    </w:div>
    <w:div w:id="1186483413">
      <w:bodyDiv w:val="1"/>
      <w:marLeft w:val="0"/>
      <w:marRight w:val="0"/>
      <w:marTop w:val="0"/>
      <w:marBottom w:val="0"/>
      <w:divBdr>
        <w:top w:val="none" w:sz="0" w:space="0" w:color="auto"/>
        <w:left w:val="none" w:sz="0" w:space="0" w:color="auto"/>
        <w:bottom w:val="none" w:sz="0" w:space="0" w:color="auto"/>
        <w:right w:val="none" w:sz="0" w:space="0" w:color="auto"/>
      </w:divBdr>
    </w:div>
    <w:div w:id="1268462072">
      <w:bodyDiv w:val="1"/>
      <w:marLeft w:val="0"/>
      <w:marRight w:val="0"/>
      <w:marTop w:val="0"/>
      <w:marBottom w:val="0"/>
      <w:divBdr>
        <w:top w:val="none" w:sz="0" w:space="0" w:color="auto"/>
        <w:left w:val="none" w:sz="0" w:space="0" w:color="auto"/>
        <w:bottom w:val="none" w:sz="0" w:space="0" w:color="auto"/>
        <w:right w:val="none" w:sz="0" w:space="0" w:color="auto"/>
      </w:divBdr>
    </w:div>
    <w:div w:id="1285039187">
      <w:bodyDiv w:val="1"/>
      <w:marLeft w:val="0"/>
      <w:marRight w:val="0"/>
      <w:marTop w:val="0"/>
      <w:marBottom w:val="0"/>
      <w:divBdr>
        <w:top w:val="none" w:sz="0" w:space="0" w:color="auto"/>
        <w:left w:val="none" w:sz="0" w:space="0" w:color="auto"/>
        <w:bottom w:val="none" w:sz="0" w:space="0" w:color="auto"/>
        <w:right w:val="none" w:sz="0" w:space="0" w:color="auto"/>
      </w:divBdr>
    </w:div>
    <w:div w:id="1618364489">
      <w:bodyDiv w:val="1"/>
      <w:marLeft w:val="0"/>
      <w:marRight w:val="0"/>
      <w:marTop w:val="0"/>
      <w:marBottom w:val="0"/>
      <w:divBdr>
        <w:top w:val="none" w:sz="0" w:space="0" w:color="auto"/>
        <w:left w:val="none" w:sz="0" w:space="0" w:color="auto"/>
        <w:bottom w:val="none" w:sz="0" w:space="0" w:color="auto"/>
        <w:right w:val="none" w:sz="0" w:space="0" w:color="auto"/>
      </w:divBdr>
    </w:div>
    <w:div w:id="211427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a.natcen.ac.uk/media/39255/bsa35_voting.pdf" TargetMode="External"/><Relationship Id="rId13" Type="http://schemas.openxmlformats.org/officeDocument/2006/relationships/hyperlink" Target="https://ssrn.com/abstract=3012739" TargetMode="External"/><Relationship Id="rId18" Type="http://schemas.openxmlformats.org/officeDocument/2006/relationships/hyperlink" Target="https://theconversation.com/understanding-labours-youthquake-8033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me.com/news/nme-exit-poll-young-voters-2017-general-election-2086012" TargetMode="External"/><Relationship Id="rId17" Type="http://schemas.openxmlformats.org/officeDocument/2006/relationships/hyperlink" Target="https://www.theguardian.com/politics/2017/jun/20/youthquake-behind-labour-election-surge-divides-generations"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ru.soc.surrey.ac.uk/SRU43.htm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news/election-2017-4023783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ritishelectionstudy.com/wp-content/uploads/2018/01/GfK-BES2017-technical-report.pdf" TargetMode="External"/><Relationship Id="rId23" Type="http://schemas.openxmlformats.org/officeDocument/2006/relationships/fontTable" Target="fontTable.xml"/><Relationship Id="rId10" Type="http://schemas.openxmlformats.org/officeDocument/2006/relationships/hyperlink" Target="https://blogs.spectator.co.uk/2017/06/dementia-tax-nasty-party-policy-lost-theresa-may-majority/"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ewstatesman.com/2017/10/how-remainers-cost-theresa-may-her-majority-2017-election" TargetMode="External"/><Relationship Id="rId14" Type="http://schemas.openxmlformats.org/officeDocument/2006/relationships/hyperlink" Target="https://dx.doi.org/10.2139/ssrn.301273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1E67D-9A82-45D4-843B-B4B35AA7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3561</Words>
  <Characters>20303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23817</CharactersWithSpaces>
  <SharedDoc>false</SharedDoc>
  <HLinks>
    <vt:vector size="66" baseType="variant">
      <vt:variant>
        <vt:i4>3014777</vt:i4>
      </vt:variant>
      <vt:variant>
        <vt:i4>30</vt:i4>
      </vt:variant>
      <vt:variant>
        <vt:i4>0</vt:i4>
      </vt:variant>
      <vt:variant>
        <vt:i4>5</vt:i4>
      </vt:variant>
      <vt:variant>
        <vt:lpwstr>https://theconversation.com/understanding-labours-youthquake-80333</vt:lpwstr>
      </vt:variant>
      <vt:variant>
        <vt:lpwstr/>
      </vt:variant>
      <vt:variant>
        <vt:i4>262169</vt:i4>
      </vt:variant>
      <vt:variant>
        <vt:i4>27</vt:i4>
      </vt:variant>
      <vt:variant>
        <vt:i4>0</vt:i4>
      </vt:variant>
      <vt:variant>
        <vt:i4>5</vt:i4>
      </vt:variant>
      <vt:variant>
        <vt:lpwstr>https://www.theguardian.com/politics/2017/jun/20/youthquake-behind-labour-election-surge-divides-generations</vt:lpwstr>
      </vt:variant>
      <vt:variant>
        <vt:lpwstr/>
      </vt:variant>
      <vt:variant>
        <vt:i4>4063358</vt:i4>
      </vt:variant>
      <vt:variant>
        <vt:i4>24</vt:i4>
      </vt:variant>
      <vt:variant>
        <vt:i4>0</vt:i4>
      </vt:variant>
      <vt:variant>
        <vt:i4>5</vt:i4>
      </vt:variant>
      <vt:variant>
        <vt:lpwstr>http://sru.soc.surrey.ac.uk/SRU43.html</vt:lpwstr>
      </vt:variant>
      <vt:variant>
        <vt:lpwstr/>
      </vt:variant>
      <vt:variant>
        <vt:i4>5505040</vt:i4>
      </vt:variant>
      <vt:variant>
        <vt:i4>21</vt:i4>
      </vt:variant>
      <vt:variant>
        <vt:i4>0</vt:i4>
      </vt:variant>
      <vt:variant>
        <vt:i4>5</vt:i4>
      </vt:variant>
      <vt:variant>
        <vt:lpwstr>https://www.britishelectionstudy.com/wp-content/uploads/2018/01/GfK-BES2017-technical-report.pdf</vt:lpwstr>
      </vt:variant>
      <vt:variant>
        <vt:lpwstr/>
      </vt:variant>
      <vt:variant>
        <vt:i4>6619168</vt:i4>
      </vt:variant>
      <vt:variant>
        <vt:i4>18</vt:i4>
      </vt:variant>
      <vt:variant>
        <vt:i4>0</vt:i4>
      </vt:variant>
      <vt:variant>
        <vt:i4>5</vt:i4>
      </vt:variant>
      <vt:variant>
        <vt:lpwstr>https://dx.doi.org/10.2139/ssrn.3012739</vt:lpwstr>
      </vt:variant>
      <vt:variant>
        <vt:lpwstr/>
      </vt:variant>
      <vt:variant>
        <vt:i4>851993</vt:i4>
      </vt:variant>
      <vt:variant>
        <vt:i4>15</vt:i4>
      </vt:variant>
      <vt:variant>
        <vt:i4>0</vt:i4>
      </vt:variant>
      <vt:variant>
        <vt:i4>5</vt:i4>
      </vt:variant>
      <vt:variant>
        <vt:lpwstr>https://ssrn.com/abstract=3012739</vt:lpwstr>
      </vt:variant>
      <vt:variant>
        <vt:lpwstr/>
      </vt:variant>
      <vt:variant>
        <vt:i4>5439499</vt:i4>
      </vt:variant>
      <vt:variant>
        <vt:i4>12</vt:i4>
      </vt:variant>
      <vt:variant>
        <vt:i4>0</vt:i4>
      </vt:variant>
      <vt:variant>
        <vt:i4>5</vt:i4>
      </vt:variant>
      <vt:variant>
        <vt:lpwstr>https://www.nme.com/news/nme-exit-poll-young-voters-2017-general-election-2086012</vt:lpwstr>
      </vt:variant>
      <vt:variant>
        <vt:lpwstr/>
      </vt:variant>
      <vt:variant>
        <vt:i4>1310796</vt:i4>
      </vt:variant>
      <vt:variant>
        <vt:i4>9</vt:i4>
      </vt:variant>
      <vt:variant>
        <vt:i4>0</vt:i4>
      </vt:variant>
      <vt:variant>
        <vt:i4>5</vt:i4>
      </vt:variant>
      <vt:variant>
        <vt:lpwstr>https://www.bbc.co.uk/news/election-2017-40237833</vt:lpwstr>
      </vt:variant>
      <vt:variant>
        <vt:lpwstr/>
      </vt:variant>
      <vt:variant>
        <vt:i4>4849746</vt:i4>
      </vt:variant>
      <vt:variant>
        <vt:i4>6</vt:i4>
      </vt:variant>
      <vt:variant>
        <vt:i4>0</vt:i4>
      </vt:variant>
      <vt:variant>
        <vt:i4>5</vt:i4>
      </vt:variant>
      <vt:variant>
        <vt:lpwstr>https://blogs.spectator.co.uk/2017/06/dementia-tax-nasty-party-policy-lost-theresa-may-majority/</vt:lpwstr>
      </vt:variant>
      <vt:variant>
        <vt:lpwstr/>
      </vt:variant>
      <vt:variant>
        <vt:i4>7405691</vt:i4>
      </vt:variant>
      <vt:variant>
        <vt:i4>3</vt:i4>
      </vt:variant>
      <vt:variant>
        <vt:i4>0</vt:i4>
      </vt:variant>
      <vt:variant>
        <vt:i4>5</vt:i4>
      </vt:variant>
      <vt:variant>
        <vt:lpwstr>https://www.newstatesman.com/2017/10/how-remainers-cost-theresa-may-her-majority-2017-election</vt:lpwstr>
      </vt:variant>
      <vt:variant>
        <vt:lpwstr/>
      </vt:variant>
      <vt:variant>
        <vt:i4>2621449</vt:i4>
      </vt:variant>
      <vt:variant>
        <vt:i4>0</vt:i4>
      </vt:variant>
      <vt:variant>
        <vt:i4>0</vt:i4>
      </vt:variant>
      <vt:variant>
        <vt:i4>5</vt:i4>
      </vt:variant>
      <vt:variant>
        <vt:lpwstr>http://www.bsa.natcen.ac.uk/media/39255/bsa35_voting.pdf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Jennings W.J.</cp:lastModifiedBy>
  <cp:revision>3</cp:revision>
  <dcterms:created xsi:type="dcterms:W3CDTF">2019-08-07T23:25:00Z</dcterms:created>
  <dcterms:modified xsi:type="dcterms:W3CDTF">2019-08-07T23:25:00Z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