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229" w:rsidRDefault="006439EE" w:rsidP="00A64E1C">
      <w:pPr>
        <w:spacing w:line="480" w:lineRule="auto"/>
        <w:rPr>
          <w:b/>
        </w:rPr>
      </w:pPr>
      <w:r w:rsidRPr="00A64E1C">
        <w:rPr>
          <w:b/>
        </w:rPr>
        <w:t>Letter</w:t>
      </w:r>
      <w:r w:rsidR="009D66BA">
        <w:rPr>
          <w:b/>
        </w:rPr>
        <w:t xml:space="preserve"> to the Editors</w:t>
      </w:r>
      <w:r w:rsidR="00B02229">
        <w:rPr>
          <w:b/>
        </w:rPr>
        <w:t>-</w:t>
      </w:r>
      <w:r w:rsidRPr="00A64E1C">
        <w:rPr>
          <w:b/>
        </w:rPr>
        <w:t xml:space="preserve"> Anti-TNF therapy</w:t>
      </w:r>
      <w:r w:rsidR="00A64E1C" w:rsidRPr="00A64E1C">
        <w:rPr>
          <w:b/>
        </w:rPr>
        <w:t xml:space="preserve"> </w:t>
      </w:r>
      <w:r w:rsidR="00A64E1C">
        <w:rPr>
          <w:b/>
        </w:rPr>
        <w:t>and intestinal resections</w:t>
      </w:r>
      <w:r w:rsidR="00A64E1C" w:rsidRPr="00A64E1C">
        <w:rPr>
          <w:b/>
        </w:rPr>
        <w:t xml:space="preserve"> in </w:t>
      </w:r>
      <w:r w:rsidR="001248B6">
        <w:rPr>
          <w:b/>
        </w:rPr>
        <w:t>Crohn’s disease</w:t>
      </w:r>
      <w:r w:rsidR="00A64E1C" w:rsidRPr="00A64E1C">
        <w:rPr>
          <w:b/>
        </w:rPr>
        <w:t xml:space="preserve"> - are we just delaying the inevitable?</w:t>
      </w:r>
    </w:p>
    <w:p w:rsidR="00877BF7" w:rsidRPr="00877BF7" w:rsidRDefault="00B02229" w:rsidP="00877BF7">
      <w:pPr>
        <w:spacing w:line="480" w:lineRule="auto"/>
        <w:rPr>
          <w:rFonts w:ascii="Calibri" w:hAnsi="Calibri" w:cs="Calibri"/>
          <w:b/>
          <w:bCs/>
          <w:i/>
          <w:noProof/>
          <w:szCs w:val="24"/>
        </w:rPr>
      </w:pPr>
      <w:r w:rsidRPr="00B02229">
        <w:rPr>
          <w:i/>
        </w:rPr>
        <w:t>Reply to</w:t>
      </w:r>
      <w:r w:rsidRPr="00877BF7">
        <w:rPr>
          <w:i/>
        </w:rPr>
        <w:t>-</w:t>
      </w:r>
      <w:r w:rsidRPr="00877BF7">
        <w:rPr>
          <w:rFonts w:ascii="Calibri" w:hAnsi="Calibri" w:cs="Calibri"/>
          <w:i/>
          <w:noProof/>
          <w:szCs w:val="24"/>
        </w:rPr>
        <w:t xml:space="preserve"> </w:t>
      </w:r>
      <w:r w:rsidR="00877BF7" w:rsidRPr="00877BF7">
        <w:rPr>
          <w:rFonts w:ascii="Calibri" w:hAnsi="Calibri" w:cs="Calibri"/>
          <w:bCs/>
          <w:i/>
          <w:noProof/>
          <w:szCs w:val="24"/>
        </w:rPr>
        <w:t>Increased prevalence of anti‐TNF therapy in paediatric inflammatory bowel disease is associated with a decline in surgical resections during childhood</w:t>
      </w:r>
    </w:p>
    <w:p w:rsidR="00A64E1C" w:rsidRPr="002B4DA4" w:rsidRDefault="00A64E1C" w:rsidP="00A64E1C">
      <w:pPr>
        <w:spacing w:line="480" w:lineRule="auto"/>
        <w:rPr>
          <w:vertAlign w:val="superscript"/>
        </w:rPr>
      </w:pPr>
      <w:r w:rsidRPr="002B4DA4">
        <w:t>James J Ashton</w:t>
      </w:r>
      <w:r w:rsidRPr="002B4DA4">
        <w:rPr>
          <w:vertAlign w:val="superscript"/>
        </w:rPr>
        <w:t>1,2</w:t>
      </w:r>
      <w:r w:rsidRPr="002B4DA4">
        <w:t>, R Mark Beattie</w:t>
      </w:r>
      <w:r w:rsidRPr="002B4DA4">
        <w:rPr>
          <w:vertAlign w:val="superscript"/>
        </w:rPr>
        <w:t>1</w:t>
      </w:r>
    </w:p>
    <w:p w:rsidR="00A64E1C" w:rsidRPr="002B4DA4" w:rsidRDefault="00A64E1C" w:rsidP="00A64E1C">
      <w:pPr>
        <w:pStyle w:val="ListParagraph"/>
        <w:numPr>
          <w:ilvl w:val="0"/>
          <w:numId w:val="1"/>
        </w:numPr>
        <w:spacing w:line="480" w:lineRule="auto"/>
      </w:pPr>
      <w:r w:rsidRPr="002B4DA4">
        <w:t>Department of Paediatric Gastroenterology, Southampton Children’s Hospital, Southampton, UK</w:t>
      </w:r>
    </w:p>
    <w:p w:rsidR="00A64E1C" w:rsidRDefault="00A64E1C" w:rsidP="00A64E1C">
      <w:pPr>
        <w:pStyle w:val="ListParagraph"/>
        <w:numPr>
          <w:ilvl w:val="0"/>
          <w:numId w:val="1"/>
        </w:numPr>
        <w:spacing w:line="480" w:lineRule="auto"/>
      </w:pPr>
      <w:r w:rsidRPr="002B4DA4">
        <w:t>Department of Human Genetics and Genomics, University of Southampton, Southampton, UK</w:t>
      </w:r>
    </w:p>
    <w:p w:rsidR="00A64E1C" w:rsidRPr="002B4DA4" w:rsidRDefault="00A64E1C" w:rsidP="00A64E1C">
      <w:pPr>
        <w:spacing w:line="240" w:lineRule="auto"/>
      </w:pPr>
      <w:r w:rsidRPr="002B4DA4">
        <w:t>Correspondence to-</w:t>
      </w:r>
    </w:p>
    <w:p w:rsidR="00A64E1C" w:rsidRPr="002B4DA4" w:rsidRDefault="00A64E1C" w:rsidP="00A64E1C">
      <w:pPr>
        <w:spacing w:line="240" w:lineRule="auto"/>
      </w:pPr>
      <w:r w:rsidRPr="002B4DA4">
        <w:t xml:space="preserve">Professor R Mark Beattie </w:t>
      </w:r>
    </w:p>
    <w:p w:rsidR="00A64E1C" w:rsidRPr="002B4DA4" w:rsidRDefault="00A64E1C" w:rsidP="00A64E1C">
      <w:pPr>
        <w:spacing w:line="240" w:lineRule="auto"/>
      </w:pPr>
      <w:r w:rsidRPr="002B4DA4">
        <w:t xml:space="preserve">Department of Paediatric Gastroenterology, </w:t>
      </w:r>
    </w:p>
    <w:p w:rsidR="00A64E1C" w:rsidRPr="002B4DA4" w:rsidRDefault="00A64E1C" w:rsidP="00A64E1C">
      <w:pPr>
        <w:spacing w:line="240" w:lineRule="auto"/>
      </w:pPr>
      <w:r w:rsidRPr="002B4DA4">
        <w:t xml:space="preserve">Southampton Children’s Hospital, </w:t>
      </w:r>
    </w:p>
    <w:p w:rsidR="00A64E1C" w:rsidRPr="002B4DA4" w:rsidRDefault="00A64E1C" w:rsidP="00A64E1C">
      <w:pPr>
        <w:spacing w:line="240" w:lineRule="auto"/>
      </w:pPr>
      <w:r w:rsidRPr="002B4DA4">
        <w:t>University Hospitals Southampton</w:t>
      </w:r>
    </w:p>
    <w:p w:rsidR="00A64E1C" w:rsidRPr="002B4DA4" w:rsidRDefault="00A64E1C" w:rsidP="00A64E1C">
      <w:pPr>
        <w:spacing w:line="240" w:lineRule="auto"/>
      </w:pPr>
      <w:proofErr w:type="spellStart"/>
      <w:r w:rsidRPr="002B4DA4">
        <w:t>Tremona</w:t>
      </w:r>
      <w:proofErr w:type="spellEnd"/>
      <w:r w:rsidRPr="002B4DA4">
        <w:t xml:space="preserve"> Road</w:t>
      </w:r>
    </w:p>
    <w:p w:rsidR="00A64E1C" w:rsidRPr="002B4DA4" w:rsidRDefault="00A64E1C" w:rsidP="00A64E1C">
      <w:pPr>
        <w:spacing w:line="240" w:lineRule="auto"/>
      </w:pPr>
      <w:r w:rsidRPr="002B4DA4">
        <w:t>Southampton</w:t>
      </w:r>
    </w:p>
    <w:p w:rsidR="00A64E1C" w:rsidRPr="002B4DA4" w:rsidRDefault="00A64E1C" w:rsidP="00A64E1C">
      <w:pPr>
        <w:spacing w:line="240" w:lineRule="auto"/>
      </w:pPr>
      <w:r w:rsidRPr="002B4DA4">
        <w:t>SO16 6YD</w:t>
      </w:r>
    </w:p>
    <w:p w:rsidR="00A64E1C" w:rsidRPr="002B4DA4" w:rsidRDefault="00A64E1C" w:rsidP="00A64E1C">
      <w:pPr>
        <w:spacing w:line="240" w:lineRule="auto"/>
      </w:pPr>
      <w:r w:rsidRPr="002B4DA4">
        <w:t>UK</w:t>
      </w:r>
    </w:p>
    <w:p w:rsidR="00A64E1C" w:rsidRDefault="00AB1398" w:rsidP="00A64E1C">
      <w:pPr>
        <w:spacing w:line="240" w:lineRule="auto"/>
      </w:pPr>
      <w:hyperlink r:id="rId6" w:history="1">
        <w:r w:rsidR="00A64E1C" w:rsidRPr="00CE724B">
          <w:rPr>
            <w:rStyle w:val="Hyperlink"/>
          </w:rPr>
          <w:t>Mark.beattie@uhs.nhs.uk</w:t>
        </w:r>
      </w:hyperlink>
      <w:r w:rsidR="00A64E1C">
        <w:t xml:space="preserve"> </w:t>
      </w:r>
      <w:r w:rsidR="00A64E1C" w:rsidRPr="002B4DA4">
        <w:t xml:space="preserve"> </w:t>
      </w:r>
    </w:p>
    <w:p w:rsidR="00BE1F03" w:rsidRDefault="00BE1F03" w:rsidP="00A64E1C">
      <w:pPr>
        <w:spacing w:line="240" w:lineRule="auto"/>
      </w:pPr>
    </w:p>
    <w:p w:rsidR="009D66BA" w:rsidRDefault="009D66BA" w:rsidP="00A64E1C">
      <w:pPr>
        <w:spacing w:line="240" w:lineRule="auto"/>
      </w:pPr>
    </w:p>
    <w:p w:rsidR="009D66BA" w:rsidRDefault="009D66BA" w:rsidP="00A64E1C">
      <w:pPr>
        <w:spacing w:line="240" w:lineRule="auto"/>
      </w:pPr>
    </w:p>
    <w:p w:rsidR="009D66BA" w:rsidRDefault="009D66BA" w:rsidP="00A64E1C">
      <w:pPr>
        <w:spacing w:line="240" w:lineRule="auto"/>
      </w:pPr>
    </w:p>
    <w:p w:rsidR="009D66BA" w:rsidRDefault="009D66BA" w:rsidP="00A64E1C">
      <w:pPr>
        <w:spacing w:line="240" w:lineRule="auto"/>
      </w:pPr>
    </w:p>
    <w:p w:rsidR="009D66BA" w:rsidRDefault="009D66BA" w:rsidP="00A64E1C">
      <w:pPr>
        <w:spacing w:line="240" w:lineRule="auto"/>
      </w:pPr>
    </w:p>
    <w:p w:rsidR="009D66BA" w:rsidRDefault="009D66BA" w:rsidP="00A64E1C">
      <w:pPr>
        <w:spacing w:line="240" w:lineRule="auto"/>
      </w:pPr>
    </w:p>
    <w:p w:rsidR="009D66BA" w:rsidRDefault="009D66BA" w:rsidP="00A64E1C">
      <w:pPr>
        <w:spacing w:line="240" w:lineRule="auto"/>
      </w:pPr>
    </w:p>
    <w:p w:rsidR="009D66BA" w:rsidRDefault="009D66BA" w:rsidP="00A64E1C">
      <w:pPr>
        <w:spacing w:line="240" w:lineRule="auto"/>
      </w:pPr>
    </w:p>
    <w:p w:rsidR="009D66BA" w:rsidRPr="002B4DA4" w:rsidRDefault="009D66BA" w:rsidP="00A64E1C">
      <w:pPr>
        <w:spacing w:line="240" w:lineRule="auto"/>
      </w:pPr>
    </w:p>
    <w:p w:rsidR="00BE1F03" w:rsidRPr="00BE1F03" w:rsidRDefault="009D66BA" w:rsidP="00A64E1C">
      <w:pPr>
        <w:spacing w:line="480" w:lineRule="auto"/>
        <w:rPr>
          <w:u w:val="single"/>
        </w:rPr>
      </w:pPr>
      <w:r>
        <w:rPr>
          <w:u w:val="single"/>
        </w:rPr>
        <w:lastRenderedPageBreak/>
        <w:t>Funding and c</w:t>
      </w:r>
      <w:r w:rsidR="00BE1F03" w:rsidRPr="00BE1F03">
        <w:rPr>
          <w:u w:val="single"/>
        </w:rPr>
        <w:t>onflicts of interest</w:t>
      </w:r>
    </w:p>
    <w:p w:rsidR="00A64E1C" w:rsidRDefault="00A64E1C" w:rsidP="00A64E1C">
      <w:pPr>
        <w:spacing w:line="480" w:lineRule="auto"/>
      </w:pPr>
      <w:r w:rsidRPr="002B4DA4">
        <w:t>The authors declared no conflicts of interest</w:t>
      </w:r>
      <w:r w:rsidR="009D66BA">
        <w:t xml:space="preserve">. JJA is funded by an action medical research training fellowship and by an ESPEN personal fellowship. </w:t>
      </w:r>
    </w:p>
    <w:p w:rsidR="00BE1F03" w:rsidRPr="00BE1F03" w:rsidRDefault="009D66BA" w:rsidP="00A64E1C">
      <w:pPr>
        <w:spacing w:line="480" w:lineRule="auto"/>
        <w:rPr>
          <w:u w:val="single"/>
        </w:rPr>
      </w:pPr>
      <w:r>
        <w:rPr>
          <w:u w:val="single"/>
        </w:rPr>
        <w:t>Authorship statement</w:t>
      </w:r>
    </w:p>
    <w:p w:rsidR="00BE1F03" w:rsidRPr="00BE1F03" w:rsidRDefault="00BE1F03" w:rsidP="00A64E1C">
      <w:pPr>
        <w:spacing w:line="480" w:lineRule="auto"/>
      </w:pPr>
      <w:r w:rsidRPr="00BE1F03">
        <w:t xml:space="preserve">JJA </w:t>
      </w:r>
      <w:r>
        <w:t xml:space="preserve">and </w:t>
      </w:r>
      <w:r w:rsidRPr="00BE1F03">
        <w:t>RMB wrote the manuscript</w:t>
      </w:r>
      <w:r>
        <w:t xml:space="preserve"> </w:t>
      </w:r>
      <w:r w:rsidRPr="00BE1F03">
        <w:t xml:space="preserve">and both authors </w:t>
      </w:r>
      <w:r>
        <w:t>approve the final submission</w:t>
      </w:r>
      <w:r w:rsidR="009D66BA">
        <w:t>. RMB acts as the guarantor of the article</w:t>
      </w:r>
    </w:p>
    <w:p w:rsidR="00A64E1C" w:rsidRPr="00A67E57" w:rsidRDefault="00A64E1C" w:rsidP="00A64E1C">
      <w:pPr>
        <w:spacing w:line="480" w:lineRule="auto"/>
        <w:rPr>
          <w:b/>
        </w:rPr>
      </w:pPr>
      <w:r w:rsidRPr="00A67E57">
        <w:rPr>
          <w:b/>
        </w:rPr>
        <w:t>Word count</w:t>
      </w:r>
      <w:r w:rsidR="00F812F9">
        <w:rPr>
          <w:b/>
        </w:rPr>
        <w:t xml:space="preserve"> </w:t>
      </w:r>
      <w:r w:rsidR="00AB1398">
        <w:rPr>
          <w:b/>
        </w:rPr>
        <w:t>499</w:t>
      </w:r>
    </w:p>
    <w:p w:rsidR="009D66BA" w:rsidRDefault="009D66BA" w:rsidP="00A64E1C">
      <w:pPr>
        <w:spacing w:line="480" w:lineRule="auto"/>
      </w:pPr>
    </w:p>
    <w:p w:rsidR="009D66BA" w:rsidRDefault="009D66BA" w:rsidP="00A64E1C">
      <w:pPr>
        <w:spacing w:line="480" w:lineRule="auto"/>
      </w:pPr>
    </w:p>
    <w:p w:rsidR="009D66BA" w:rsidRDefault="009D66BA" w:rsidP="00A64E1C">
      <w:pPr>
        <w:spacing w:line="480" w:lineRule="auto"/>
      </w:pPr>
      <w:bookmarkStart w:id="0" w:name="_GoBack"/>
      <w:bookmarkEnd w:id="0"/>
    </w:p>
    <w:p w:rsidR="009D66BA" w:rsidRDefault="009D66BA" w:rsidP="00A64E1C">
      <w:pPr>
        <w:spacing w:line="480" w:lineRule="auto"/>
      </w:pPr>
    </w:p>
    <w:p w:rsidR="009D66BA" w:rsidRDefault="009D66BA" w:rsidP="00A64E1C">
      <w:pPr>
        <w:spacing w:line="480" w:lineRule="auto"/>
      </w:pPr>
    </w:p>
    <w:p w:rsidR="009D66BA" w:rsidRDefault="009D66BA" w:rsidP="00A64E1C">
      <w:pPr>
        <w:spacing w:line="480" w:lineRule="auto"/>
      </w:pPr>
    </w:p>
    <w:p w:rsidR="009D66BA" w:rsidRDefault="009D66BA" w:rsidP="00A64E1C">
      <w:pPr>
        <w:spacing w:line="480" w:lineRule="auto"/>
      </w:pPr>
    </w:p>
    <w:p w:rsidR="009D66BA" w:rsidRDefault="009D66BA" w:rsidP="00A64E1C">
      <w:pPr>
        <w:spacing w:line="480" w:lineRule="auto"/>
      </w:pPr>
    </w:p>
    <w:p w:rsidR="009D66BA" w:rsidRDefault="009D66BA" w:rsidP="00A64E1C">
      <w:pPr>
        <w:spacing w:line="480" w:lineRule="auto"/>
      </w:pPr>
    </w:p>
    <w:p w:rsidR="009D66BA" w:rsidRDefault="009D66BA" w:rsidP="00A64E1C">
      <w:pPr>
        <w:spacing w:line="480" w:lineRule="auto"/>
      </w:pPr>
    </w:p>
    <w:p w:rsidR="009D66BA" w:rsidRDefault="009D66BA" w:rsidP="00A64E1C">
      <w:pPr>
        <w:spacing w:line="480" w:lineRule="auto"/>
      </w:pPr>
    </w:p>
    <w:p w:rsidR="009D66BA" w:rsidRDefault="009D66BA" w:rsidP="00A64E1C">
      <w:pPr>
        <w:spacing w:line="480" w:lineRule="auto"/>
      </w:pPr>
    </w:p>
    <w:p w:rsidR="009D66BA" w:rsidRDefault="009D66BA" w:rsidP="00A64E1C">
      <w:pPr>
        <w:spacing w:line="480" w:lineRule="auto"/>
      </w:pPr>
    </w:p>
    <w:p w:rsidR="00A64E1C" w:rsidRDefault="00AB1398" w:rsidP="00A64E1C">
      <w:pPr>
        <w:spacing w:line="480" w:lineRule="auto"/>
      </w:pPr>
      <w:r>
        <w:lastRenderedPageBreak/>
        <w:t xml:space="preserve">We read with interest </w:t>
      </w:r>
      <w:r>
        <w:t>the</w:t>
      </w:r>
      <w:r>
        <w:t xml:space="preserve"> recent publication in </w:t>
      </w:r>
      <w:r w:rsidRPr="00877BF7">
        <w:rPr>
          <w:i/>
        </w:rPr>
        <w:t>Gut</w:t>
      </w:r>
      <w:r>
        <w:t xml:space="preserve"> from Murthy </w:t>
      </w:r>
      <w:r w:rsidRPr="00A64E1C">
        <w:rPr>
          <w:i/>
        </w:rPr>
        <w:t>et a</w:t>
      </w:r>
      <w:r>
        <w:rPr>
          <w:i/>
        </w:rPr>
        <w:t>l</w:t>
      </w:r>
      <w:r>
        <w:t xml:space="preserve">, reporting no impact on rates of intestinal surgery in patients with </w:t>
      </w:r>
      <w:r>
        <w:t>Crohn’s</w:t>
      </w:r>
      <w:r>
        <w:t xml:space="preserve"> disease (CD)</w:t>
      </w:r>
      <w:r>
        <w:t xml:space="preserve"> </w:t>
      </w:r>
      <w:r>
        <w:t xml:space="preserve">since the introduction of widespread anti-TNF therapy in Ontario, Canada </w:t>
      </w:r>
      <w:r>
        <w:fldChar w:fldCharType="begin" w:fldLock="1"/>
      </w:r>
      <w:r>
        <w:instrText>ADDIN CSL_CITATION {"citationItems":[{"id":"ITEM-1","itemData":{"DOI":"10.1136/GUTJNL-2019-318440","ISSN":"0017-5749","PMID":"31196874","abstract":"Objectives To better understand the real-world impact of biologic therapy in persons with Crohn’s disease (CD) and UC, we evaluated the effect of marketplace introduction of infliximab on the population rates of hospitalisations and surgeries and public payer drug costs.\n\nDesign We used health administrative data to study adult persons with CD and UC living in Ontario, Canada between 1995 and 2012. We used an interrupted time series design with segmented regression analysis to evaluate the impact of infliximab introduction on the rates of IBD-related hospitalisations, intestinal resections and public payer drug costs over 10 years among patients with CD and 5 years among patients with UC, allowing for a 1-year transition.\n\nResults Relative to what would have been expected in the absence of infliximab, marketplace introduction of infliximab did not produce significant declines in the rates of CD-related hospitalisations (OR at the last observation quarter 1.06, 95% CI 0.811 to 1.39) or intestinal resections (OR 1.10, 95% CI 0.810 to 1.50), or in the rates of UC-related hospitalisations (OR 1.22, 95% CI 1.07 to 1.39) or colectomies (OR 0.933, 95% CI 0.54 to 1.61). The findings were similar among infliximab users, except that hospitalisation rates declined substantially among UC patients following marketplace introduction of infliximab (OR 0.515, 95% CI 0.342 to 0.777). There was a threefold rise over expected trends in public payer drug cost among patients with CD following infliximab introduction (OR 2.98,95% CI 2.29 to 3.86), suggesting robust market penetration in this group, but no significant change among patients with UC (OR 1.06, 95% CI 0.955 to 1.18).\n\nConclusions Marketplace introduction of infliximab has not yielded anticipated reductions in the population rates of IBD-related hospitalisations or intestinal resections, despite robust market penetration among patients with CD. Misguided use of infliximab in CD patients and underuse of infliximab in UC patients may largely explain our study findings.","author":[{"dropping-particle":"","family":"Murthy","given":"Sanjay K","non-dropping-particle":"","parse-names":false,"suffix":""},{"dropping-particle":"","family":"Begum","given":"Jahanara","non-dropping-particle":"","parse-names":false,"suffix":""},{"dropping-particle":"","family":"Benchimol","given":"Eric I","non-dropping-particle":"","parse-names":false,"suffix":""},{"dropping-particle":"","family":"Bernstein","given":"Charles N","non-dropping-particle":"","parse-names":false,"suffix":""},{"dropping-particle":"","family":"Kaplan","given":"Gilaad G","non-dropping-particle":"","parse-names":false,"suffix":""},{"dropping-particle":"","family":"McCurdy","given":"Jeffrey D","non-dropping-particle":"","parse-names":false,"suffix":""},{"dropping-particle":"","family":"Singh","given":"Harminder","non-dropping-particle":"","parse-names":false,"suffix":""},{"dropping-particle":"","family":"Targownik","given":"Laura","non-dropping-particle":"","parse-names":false,"suffix":""},{"dropping-particle":"","family":"Taljaard","given":"Monica","non-dropping-particle":"","parse-names":false,"suffix":""}],"container-title":"Gut","id":"ITEM-1","issued":{"date-parts":[["2019","6","12"]]},"page":"gutjnl-2019-318440","publisher":"BMJ Publishing Group","title":"Introduction of anti-TNF therapy has not yielded expected declines in hospitalisation and intestinal resection rates in inflammatory bowel diseases: a population-based interrupted time series study","type":"article-journal"},"uris":["http://www.mendeley.com/documents/?uuid=801bc196-4ed8-3619-be39-87877b302bb7"]}],"mendeley":{"formattedCitation":"[2]","plainTextFormattedCitation":"[2]","previouslyFormattedCitation":"[2]"},"properties":{"noteIndex":0},"schema":"https://github.com/citation-style-language/schema/raw/master/csl-citation.json"}</w:instrText>
      </w:r>
      <w:r>
        <w:fldChar w:fldCharType="separate"/>
      </w:r>
      <w:r w:rsidRPr="002645D2">
        <w:rPr>
          <w:noProof/>
        </w:rPr>
        <w:t>[2]</w:t>
      </w:r>
      <w:r>
        <w:fldChar w:fldCharType="end"/>
      </w:r>
      <w:r>
        <w:t xml:space="preserve">. </w:t>
      </w:r>
      <w:r>
        <w:t>In contrast, r</w:t>
      </w:r>
      <w:r w:rsidR="00877BF7">
        <w:t xml:space="preserve">ecent data published </w:t>
      </w:r>
      <w:r w:rsidR="00701919">
        <w:t xml:space="preserve">in </w:t>
      </w:r>
      <w:r w:rsidR="00701919" w:rsidRPr="00877BF7">
        <w:rPr>
          <w:i/>
        </w:rPr>
        <w:t>Alimentary Pharmacology and Therapeutics</w:t>
      </w:r>
      <w:r>
        <w:rPr>
          <w:i/>
        </w:rPr>
        <w:t>,</w:t>
      </w:r>
      <w:r w:rsidR="00701919">
        <w:t xml:space="preserve"> </w:t>
      </w:r>
      <w:r w:rsidR="00877BF7">
        <w:t>from our centre</w:t>
      </w:r>
      <w:r>
        <w:t>,</w:t>
      </w:r>
      <w:r w:rsidR="00877BF7">
        <w:t xml:space="preserve"> identifying a significant reduction in intestinal resections during childhood, parallel to the increased use of monoclonal antibody therapy in paediatric onset disease </w:t>
      </w:r>
      <w:r w:rsidR="00877BF7">
        <w:fldChar w:fldCharType="begin" w:fldLock="1"/>
      </w:r>
      <w:r w:rsidR="002645D2">
        <w:instrText>ADDIN CSL_CITATION {"citationItems":[{"id":"ITEM-1","itemData":{"DOI":"10.1111/apt.15094","ISSN":"02692813","author":[{"dropping-particle":"","family":"Ashton","given":"James J.","non-dropping-particle":"","parse-names":false,"suffix":""},{"dropping-particle":"","family":"Borca","given":"Florina","non-dropping-particle":"","parse-names":false,"suffix":""},{"dropping-particle":"","family":"Mossotto","given":"Enrico","non-dropping-particle":"","parse-names":false,"suffix":""},{"dropping-particle":"","family":"Coelho","given":"Tracy","non-dropping-particle":"","parse-names":false,"suffix":""},{"dropping-particle":"","family":"Batra","given":"Akshay","non-dropping-particle":"","parse-names":false,"suffix":""},{"dropping-particle":"","family":"Afzal","given":"Nadeem A.","non-dropping-particle":"","parse-names":false,"suffix":""},{"dropping-particle":"","family":"Phan","given":"Hang T. T.","non-dropping-particle":"","parse-names":false,"suffix":""},{"dropping-particle":"","family":"Stanton","given":"Michael","non-dropping-particle":"","parse-names":false,"suffix":""},{"dropping-particle":"","family":"Ennis","given":"Sarah","non-dropping-particle":"","parse-names":false,"suffix":""},{"dropping-particle":"","family":"Beattie","given":"Robert Mark","non-dropping-particle":"","parse-names":false,"suffix":""}],"container-title":"Alimentary Pharmacology &amp; Therapeutics","id":"ITEM-1","issued":{"date-parts":[["2019"]]},"title":"Increased prevalence of anti-TNF therapy in paediatric inflammatory bowel disease is associated with a decline in surgical resections during childhood","type":"article-journal"},"uris":["http://www.mendeley.com/documents/?uuid=a57bd48f-b832-323c-bfb6-6875f500f4ee"]}],"mendeley":{"formattedCitation":"[1]","plainTextFormattedCitation":"[1]","previouslyFormattedCitation":"[1]"},"properties":{"noteIndex":0},"schema":"https://github.com/citation-style-language/schema/raw/master/csl-citation.json"}</w:instrText>
      </w:r>
      <w:r w:rsidR="00877BF7">
        <w:fldChar w:fldCharType="separate"/>
      </w:r>
      <w:r w:rsidR="002645D2" w:rsidRPr="002645D2">
        <w:rPr>
          <w:noProof/>
        </w:rPr>
        <w:t>[1]</w:t>
      </w:r>
      <w:r w:rsidR="00877BF7">
        <w:fldChar w:fldCharType="end"/>
      </w:r>
      <w:r w:rsidR="00877BF7">
        <w:t xml:space="preserve">.  </w:t>
      </w:r>
    </w:p>
    <w:p w:rsidR="00AD169F" w:rsidRDefault="00146D56" w:rsidP="00A64E1C">
      <w:pPr>
        <w:spacing w:line="480" w:lineRule="auto"/>
      </w:pPr>
      <w:r>
        <w:t>M</w:t>
      </w:r>
      <w:r w:rsidR="00D85271">
        <w:t xml:space="preserve">any factors </w:t>
      </w:r>
      <w:r>
        <w:t>influence</w:t>
      </w:r>
      <w:r w:rsidR="00D85271">
        <w:t xml:space="preserve"> </w:t>
      </w:r>
      <w:r>
        <w:t xml:space="preserve">surgical </w:t>
      </w:r>
      <w:r w:rsidR="00D85271">
        <w:t xml:space="preserve">decision </w:t>
      </w:r>
      <w:r>
        <w:t xml:space="preserve">making </w:t>
      </w:r>
      <w:r w:rsidR="00D85271">
        <w:t>in</w:t>
      </w:r>
      <w:r w:rsidR="00D64B66">
        <w:t xml:space="preserve"> </w:t>
      </w:r>
      <w:r w:rsidR="00AB1398">
        <w:t>CD</w:t>
      </w:r>
      <w:r w:rsidR="00D85271">
        <w:t xml:space="preserve">, </w:t>
      </w:r>
      <w:r w:rsidR="006E5F5B">
        <w:t xml:space="preserve">however </w:t>
      </w:r>
      <w:r w:rsidR="00D85271">
        <w:t>the major driver behind intestinal resection</w:t>
      </w:r>
      <w:r>
        <w:t xml:space="preserve"> </w:t>
      </w:r>
      <w:r w:rsidR="006E5F5B">
        <w:t xml:space="preserve">is </w:t>
      </w:r>
      <w:r w:rsidR="00584708">
        <w:t xml:space="preserve">the </w:t>
      </w:r>
      <w:r w:rsidR="006E5F5B">
        <w:t>development of</w:t>
      </w:r>
      <w:r w:rsidR="00D85271">
        <w:t xml:space="preserve"> fibrostenotic disease</w:t>
      </w:r>
      <w:r w:rsidR="00D64B66">
        <w:t xml:space="preserve"> </w:t>
      </w:r>
      <w:r w:rsidR="00F810E3">
        <w:fldChar w:fldCharType="begin" w:fldLock="1"/>
      </w:r>
      <w:r w:rsidR="00D64B66">
        <w:instrText>ADDIN CSL_CITATION {"citationItems":[{"id":"ITEM-1","itemData":{"DOI":"10.1136/archdischild-2013-305214","ISSN":"1468-2044","author":[{"dropping-particle":"","family":"Blackburn","given":"S C","non-dropping-particle":"","parse-names":false,"suffix":""},{"dropping-particle":"","family":"Wiskin","given":"A E","non-dropping-particle":"","parse-names":false,"suffix":""},{"dropping-particle":"","family":"Barnes","given":"C","non-dropping-particle":"","parse-names":false,"suffix":""},{"dropping-particle":"","family":"Dick","given":"K","non-dropping-particle":"","parse-names":false,"suffix":""},{"dropping-particle":"","family":"Afzal","given":"N A","non-dropping-particle":"","parse-names":false,"suffix":""},{"dropping-particle":"","family":"Griffiths","given":"D M","non-dropping-particle":"","parse-names":false,"suffix":""},{"dropping-particle":"","family":"Beattie","given":"R M","non-dropping-particle":"","parse-names":false,"suffix":""},{"dropping-particle":"","family":"Stanton","given":"M P","non-dropping-particle":"","parse-names":false,"suffix":""}],"container-title":"Arch Dis Child","id":"ITEM-1","issue":"5","issued":{"date-parts":[["2014"]]},"page":"420-426","title":"Surgery for children with Crohn's disease: indications, complications and outcome","type":"article-journal","volume":"99"},"uris":["http://www.mendeley.com/documents/?uuid=b85420f2-6187-4911-a4c1-86398fbe85ca"]}],"mendeley":{"formattedCitation":"[3]","plainTextFormattedCitation":"[3]","previouslyFormattedCitation":"[3]"},"properties":{"noteIndex":0},"schema":"https://github.com/citation-style-language/schema/raw/master/csl-citation.json"}</w:instrText>
      </w:r>
      <w:r w:rsidR="00F810E3">
        <w:fldChar w:fldCharType="separate"/>
      </w:r>
      <w:r w:rsidR="00D64B66" w:rsidRPr="00D64B66">
        <w:rPr>
          <w:noProof/>
        </w:rPr>
        <w:t>[3]</w:t>
      </w:r>
      <w:r w:rsidR="00F810E3">
        <w:fldChar w:fldCharType="end"/>
      </w:r>
      <w:r w:rsidR="00D85271">
        <w:t xml:space="preserve">. </w:t>
      </w:r>
      <w:r w:rsidR="008B45F6">
        <w:t>A</w:t>
      </w:r>
      <w:r w:rsidR="006E5F5B">
        <w:t>nti-TNF therapy has proven extremely</w:t>
      </w:r>
      <w:r w:rsidR="00D64B66">
        <w:t xml:space="preserve"> effective in controlling inflammation and perianal disease</w:t>
      </w:r>
      <w:r w:rsidR="00451575">
        <w:t>, but it’s effect on intestinal fibrosis is less certain</w:t>
      </w:r>
      <w:r w:rsidR="00D64B66">
        <w:t xml:space="preserve"> </w:t>
      </w:r>
      <w:r w:rsidR="00F810E3">
        <w:fldChar w:fldCharType="begin" w:fldLock="1"/>
      </w:r>
      <w:r w:rsidR="002645D2">
        <w:instrText>ADDIN CSL_CITATION {"citationItems":[{"id":"ITEM-1","itemData":{"DOI":"10.1093/ecco-jcc/jjw053","ISSN":"1873-9946","author":[{"dropping-particle":"","family":"Levin","given":"Alon D.","non-dropping-particle":"","parse-names":false,"suffix":""},{"dropping-particle":"","family":"Wildenberg","given":"Manon E.","non-dropping-particle":"","parse-names":false,"suffix":""},{"dropping-particle":"","family":"Brink","given":"Gijs R.","non-dropping-particle":"van den","parse-names":false,"suffix":""}],"container-title":"Journal of Crohn's and Colitis","id":"ITEM-1","issue":"8","issued":{"date-parts":[["2016","8","1"]]},"page":"989-997","publisher":"Narnia","title":"Mechanism of Action of Anti-TNF Therapy in Inflammatory Bowel Disease","type":"article-journal","volume":"10"},"uris":["http://www.mendeley.com/documents/?uuid=5d56517a-b3fd-3f37-8602-c6325a529a85"]}],"mendeley":{"formattedCitation":"[4]","plainTextFormattedCitation":"[4]","previouslyFormattedCitation":"[4]"},"properties":{"noteIndex":0},"schema":"https://github.com/citation-style-language/schema/raw/master/csl-citation.json"}</w:instrText>
      </w:r>
      <w:r w:rsidR="00F810E3">
        <w:fldChar w:fldCharType="separate"/>
      </w:r>
      <w:r w:rsidR="002645D2" w:rsidRPr="002645D2">
        <w:rPr>
          <w:noProof/>
        </w:rPr>
        <w:t>[4]</w:t>
      </w:r>
      <w:r w:rsidR="00F810E3">
        <w:fldChar w:fldCharType="end"/>
      </w:r>
      <w:r w:rsidR="00D64B66">
        <w:t xml:space="preserve">. </w:t>
      </w:r>
      <w:r w:rsidR="008335B5">
        <w:t>B</w:t>
      </w:r>
      <w:r w:rsidR="006E5F5B">
        <w:t xml:space="preserve">lockade </w:t>
      </w:r>
      <w:r w:rsidR="00F812F9">
        <w:t xml:space="preserve">of TNF-alpha </w:t>
      </w:r>
      <w:r w:rsidR="008335B5">
        <w:t xml:space="preserve">reduces the </w:t>
      </w:r>
      <w:r w:rsidR="006E5F5B">
        <w:t xml:space="preserve">inflammatory response </w:t>
      </w:r>
      <w:r w:rsidR="00B02229">
        <w:t>through</w:t>
      </w:r>
      <w:r w:rsidR="006E5F5B">
        <w:t xml:space="preserve"> decreased activation of downstream pro-inflammatory pathways</w:t>
      </w:r>
      <w:r w:rsidR="00AD7AC5">
        <w:t xml:space="preserve"> </w:t>
      </w:r>
      <w:r w:rsidR="00F810E3">
        <w:fldChar w:fldCharType="begin" w:fldLock="1"/>
      </w:r>
      <w:r w:rsidR="002645D2">
        <w:instrText>ADDIN CSL_CITATION {"citationItems":[{"id":"ITEM-1","itemData":{"DOI":"10.1093/ecco-jcc/jjw053","ISSN":"1873-9946","author":[{"dropping-particle":"","family":"Levin","given":"Alon D.","non-dropping-particle":"","parse-names":false,"suffix":""},{"dropping-particle":"","family":"Wildenberg","given":"Manon E.","non-dropping-particle":"","parse-names":false,"suffix":""},{"dropping-particle":"","family":"Brink","given":"Gijs R.","non-dropping-particle":"van den","parse-names":false,"suffix":""}],"container-title":"Journal of Crohn's and Colitis","id":"ITEM-1","issue":"8","issued":{"date-parts":[["2016","8","1"]]},"page":"989-997","publisher":"Narnia","title":"Mechanism of Action of Anti-TNF Therapy in Inflammatory Bowel Disease","type":"article-journal","volume":"10"},"uris":["http://www.mendeley.com/documents/?uuid=5d56517a-b3fd-3f37-8602-c6325a529a85"]}],"mendeley":{"formattedCitation":"[4]","plainTextFormattedCitation":"[4]","previouslyFormattedCitation":"[4]"},"properties":{"noteIndex":0},"schema":"https://github.com/citation-style-language/schema/raw/master/csl-citation.json"}</w:instrText>
      </w:r>
      <w:r w:rsidR="00F810E3">
        <w:fldChar w:fldCharType="separate"/>
      </w:r>
      <w:r w:rsidR="002645D2" w:rsidRPr="002645D2">
        <w:rPr>
          <w:noProof/>
        </w:rPr>
        <w:t>[4]</w:t>
      </w:r>
      <w:r w:rsidR="00F810E3">
        <w:fldChar w:fldCharType="end"/>
      </w:r>
      <w:r w:rsidR="006E5F5B">
        <w:t xml:space="preserve">. </w:t>
      </w:r>
      <w:r w:rsidR="008B45F6">
        <w:t>T</w:t>
      </w:r>
      <w:r w:rsidR="00AD7AC5">
        <w:t xml:space="preserve">he premise that anti-TNF therapy should reduce surgical resections </w:t>
      </w:r>
      <w:r w:rsidR="008B45F6">
        <w:t xml:space="preserve">in CD </w:t>
      </w:r>
      <w:r w:rsidR="00AD7AC5">
        <w:t xml:space="preserve">is based upon the assumption that stricturing disease is secondary to a TNF-alpha mediated process, which </w:t>
      </w:r>
      <w:r w:rsidR="00FC6F95">
        <w:t>is the case in a</w:t>
      </w:r>
      <w:r w:rsidR="00AD7AC5">
        <w:t xml:space="preserve"> subset of patients</w:t>
      </w:r>
      <w:r w:rsidR="00FC6F95">
        <w:t xml:space="preserve"> only</w:t>
      </w:r>
      <w:r w:rsidR="00AD7AC5">
        <w:t xml:space="preserve"> </w:t>
      </w:r>
      <w:r w:rsidR="00F810E3">
        <w:fldChar w:fldCharType="begin" w:fldLock="1"/>
      </w:r>
      <w:r w:rsidR="002645D2">
        <w:instrText>ADDIN CSL_CITATION {"citationItems":[{"id":"ITEM-1","itemData":{"DOI":"10.3389/fmed.2016.00024","ISSN":"2296-858X","abstract":"Fibrostenotic strictures are an important complication in patients with Crohn’s Disease, very often necessitating surgery. This fibrotic process develops in a genetically susceptible individual, and is influenced by an interplay with environmental, immunological and disease-related factors. A deeper understanding of the genetic factors driving this fibrostenotic process might help to unravel the pathogenesis, and ultimately lead to development of new, anti-fibrotic therapy. Here we review the genetic factors that have been associated with the development of fibrosis in patients with Crohn’s disease, as well as their potential pathophysiological mechanism(s). We also hypothesize on clinical implications if any, and future research directions.","author":[{"dropping-particle":"","family":"Verstockt","given":"Bram","non-dropping-particle":"","parse-names":false,"suffix":""},{"dropping-particle":"","family":"Cleynen","given":"Isabelle","non-dropping-particle":"","parse-names":false,"suffix":""}],"container-title":"Frontiers in Medicine","id":"ITEM-1","issued":{"date-parts":[["2016","5","30"]]},"page":"24","publisher":"Frontiers","title":"Genetic Influences on the Development of Fibrosis in Crohn’s Disease","type":"article-journal","volume":"3"},"uris":["http://www.mendeley.com/documents/?uuid=a216d503-1b6e-335d-8a6f-52827d4dc28e"]}],"mendeley":{"formattedCitation":"[5]","plainTextFormattedCitation":"[5]","previouslyFormattedCitation":"[5]"},"properties":{"noteIndex":0},"schema":"https://github.com/citation-style-language/schema/raw/master/csl-citation.json"}</w:instrText>
      </w:r>
      <w:r w:rsidR="00F810E3">
        <w:fldChar w:fldCharType="separate"/>
      </w:r>
      <w:r w:rsidR="002645D2" w:rsidRPr="002645D2">
        <w:rPr>
          <w:noProof/>
        </w:rPr>
        <w:t>[5]</w:t>
      </w:r>
      <w:r w:rsidR="00F810E3">
        <w:fldChar w:fldCharType="end"/>
      </w:r>
      <w:r w:rsidR="00AD7AC5">
        <w:t xml:space="preserve">. </w:t>
      </w:r>
      <w:r w:rsidR="001B3140">
        <w:t xml:space="preserve">Mutations in the </w:t>
      </w:r>
      <w:r w:rsidR="006F173F" w:rsidRPr="00AD7AC5">
        <w:rPr>
          <w:i/>
        </w:rPr>
        <w:t>NOD2</w:t>
      </w:r>
      <w:r w:rsidR="001B3140">
        <w:rPr>
          <w:i/>
        </w:rPr>
        <w:t xml:space="preserve"> </w:t>
      </w:r>
      <w:r w:rsidR="001B3140">
        <w:t>gene</w:t>
      </w:r>
      <w:r w:rsidR="006F173F">
        <w:rPr>
          <w:i/>
        </w:rPr>
        <w:t xml:space="preserve"> </w:t>
      </w:r>
      <w:r w:rsidR="001B3140">
        <w:t>are</w:t>
      </w:r>
      <w:r w:rsidR="006F173F">
        <w:t xml:space="preserve"> the most replicated </w:t>
      </w:r>
      <w:r w:rsidR="00AD7AC5">
        <w:t xml:space="preserve">basis </w:t>
      </w:r>
      <w:r w:rsidR="006F173F">
        <w:t>for</w:t>
      </w:r>
      <w:r w:rsidR="00AD7AC5">
        <w:t xml:space="preserve"> </w:t>
      </w:r>
      <w:r w:rsidR="000C34B1">
        <w:t>a stricturing phenotype</w:t>
      </w:r>
      <w:r w:rsidR="006F173F">
        <w:t>, with studies also implicating</w:t>
      </w:r>
      <w:r w:rsidR="00F812F9">
        <w:t xml:space="preserve"> variation in</w:t>
      </w:r>
      <w:r w:rsidR="006F173F">
        <w:t xml:space="preserve"> </w:t>
      </w:r>
      <w:r w:rsidR="006F173F" w:rsidRPr="006F173F">
        <w:rPr>
          <w:i/>
        </w:rPr>
        <w:t>ATG16L1, IL23R, MAGI1, IL12B</w:t>
      </w:r>
      <w:r w:rsidR="006F173F">
        <w:t xml:space="preserve"> and </w:t>
      </w:r>
      <w:r w:rsidR="006F173F" w:rsidRPr="006F173F">
        <w:rPr>
          <w:i/>
        </w:rPr>
        <w:t>JAK2</w:t>
      </w:r>
      <w:r w:rsidR="006F173F">
        <w:rPr>
          <w:i/>
        </w:rPr>
        <w:t xml:space="preserve"> </w:t>
      </w:r>
      <w:r w:rsidR="00F810E3">
        <w:rPr>
          <w:i/>
        </w:rPr>
        <w:fldChar w:fldCharType="begin" w:fldLock="1"/>
      </w:r>
      <w:r w:rsidR="002645D2">
        <w:rPr>
          <w:i/>
        </w:rPr>
        <w:instrText>ADDIN CSL_CITATION {"citationItems":[{"id":"ITEM-1","itemData":{"DOI":"10.3389/fmed.2016.00024","ISSN":"2296-858X","abstract":"Fibrostenotic strictures are an important complication in patients with Crohn’s Disease, very often necessitating surgery. This fibrotic process develops in a genetically susceptible individual, and is influenced by an interplay with environmental, immunological and disease-related factors. A deeper understanding of the genetic factors driving this fibrostenotic process might help to unravel the pathogenesis, and ultimately lead to development of new, anti-fibrotic therapy. Here we review the genetic factors that have been associated with the development of fibrosis in patients with Crohn’s disease, as well as their potential pathophysiological mechanism(s). We also hypothesize on clinical implications if any, and future research directions.","author":[{"dropping-particle":"","family":"Verstockt","given":"Bram","non-dropping-particle":"","parse-names":false,"suffix":""},{"dropping-particle":"","family":"Cleynen","given":"Isabelle","non-dropping-particle":"","parse-names":false,"suffix":""}],"container-title":"Frontiers in Medicine","id":"ITEM-1","issued":{"date-parts":[["2016","5","30"]]},"page":"24","publisher":"Frontiers","title":"Genetic Influences on the Development of Fibrosis in Crohn’s Disease","type":"article-journal","volume":"3"},"uris":["http://www.mendeley.com/documents/?uuid=a216d503-1b6e-335d-8a6f-52827d4dc28e"]}],"mendeley":{"formattedCitation":"[5]","plainTextFormattedCitation":"[5]","previouslyFormattedCitation":"[5]"},"properties":{"noteIndex":0},"schema":"https://github.com/citation-style-language/schema/raw/master/csl-citation.json"}</w:instrText>
      </w:r>
      <w:r w:rsidR="00F810E3">
        <w:rPr>
          <w:i/>
        </w:rPr>
        <w:fldChar w:fldCharType="separate"/>
      </w:r>
      <w:r w:rsidR="002645D2" w:rsidRPr="002645D2">
        <w:rPr>
          <w:noProof/>
        </w:rPr>
        <w:t>[5]</w:t>
      </w:r>
      <w:r w:rsidR="00F810E3">
        <w:rPr>
          <w:i/>
        </w:rPr>
        <w:fldChar w:fldCharType="end"/>
      </w:r>
      <w:r w:rsidR="006F173F">
        <w:rPr>
          <w:i/>
        </w:rPr>
        <w:t xml:space="preserve">. </w:t>
      </w:r>
      <w:r w:rsidR="003432C9">
        <w:t>A g</w:t>
      </w:r>
      <w:r w:rsidR="008335B5">
        <w:t xml:space="preserve">enetic </w:t>
      </w:r>
      <w:r w:rsidR="00C010AF">
        <w:t>predisposition</w:t>
      </w:r>
      <w:r w:rsidR="000C7A22">
        <w:t xml:space="preserve"> appears to </w:t>
      </w:r>
      <w:r w:rsidR="003432C9">
        <w:t xml:space="preserve">be the main </w:t>
      </w:r>
      <w:r w:rsidR="008335B5">
        <w:t>drive</w:t>
      </w:r>
      <w:r w:rsidR="003432C9">
        <w:t>r of</w:t>
      </w:r>
      <w:r w:rsidR="000C7A22">
        <w:t xml:space="preserve"> </w:t>
      </w:r>
      <w:r w:rsidR="00C010AF">
        <w:t xml:space="preserve">a </w:t>
      </w:r>
      <w:r w:rsidR="000C7A22">
        <w:t xml:space="preserve">distinct stricturing </w:t>
      </w:r>
      <w:r w:rsidR="0054151A">
        <w:t>behaviour</w:t>
      </w:r>
      <w:r w:rsidR="000C7A22">
        <w:t xml:space="preserve"> in some patients with </w:t>
      </w:r>
      <w:r>
        <w:t>CD</w:t>
      </w:r>
      <w:r w:rsidR="000C7A22">
        <w:t>, which may coexist with an inflammatory phenotype</w:t>
      </w:r>
      <w:r w:rsidR="003432C9">
        <w:t>. H</w:t>
      </w:r>
      <w:r w:rsidR="00C010AF">
        <w:t>owever</w:t>
      </w:r>
      <w:r w:rsidR="003432C9">
        <w:t>,</w:t>
      </w:r>
      <w:r w:rsidR="00F812F9">
        <w:t xml:space="preserve"> only an estimated 10%</w:t>
      </w:r>
      <w:r w:rsidR="000C7A22">
        <w:t xml:space="preserve"> of patients with purely inflammatory phenotype will </w:t>
      </w:r>
      <w:r w:rsidR="00F812F9">
        <w:t xml:space="preserve">progress to </w:t>
      </w:r>
      <w:r w:rsidR="000C7A22">
        <w:t xml:space="preserve">fibrostenotic </w:t>
      </w:r>
      <w:r w:rsidR="0054151A">
        <w:t>complications</w:t>
      </w:r>
      <w:r w:rsidR="003432C9">
        <w:t xml:space="preserve">, suggesting a separate process driving </w:t>
      </w:r>
      <w:r w:rsidR="00D32D84">
        <w:t xml:space="preserve">differing </w:t>
      </w:r>
      <w:r w:rsidR="003432C9">
        <w:t>disease behaviour</w:t>
      </w:r>
      <w:r w:rsidR="00D32D84">
        <w:t>s</w:t>
      </w:r>
      <w:r w:rsidR="000C7A22">
        <w:t xml:space="preserve"> </w:t>
      </w:r>
      <w:r w:rsidR="00F810E3">
        <w:fldChar w:fldCharType="begin" w:fldLock="1"/>
      </w:r>
      <w:r w:rsidR="002645D2">
        <w:instrText>ADDIN CSL_CITATION {"citationItems":[{"id":"ITEM-1","itemData":{"DOI":"10.1093/ecco-jcc/jjx138","ISSN":"1873-9946","author":[{"dropping-particle":"","family":"Lo","given":"B","non-dropping-particle":"","parse-names":false,"suffix":""},{"dropping-particle":"","family":"Vester-Andersen","given":"M K","non-dropping-particle":"","parse-names":false,"suffix":""},{"dropping-particle":"","family":"Vind","given":"I","non-dropping-particle":"","parse-names":false,"suffix":""},{"dropping-particle":"","family":"Prosberg","given":"M","non-dropping-particle":"","parse-names":false,"suffix":""},{"dropping-particle":"","family":"Dubinsky","given":"M","non-dropping-particle":"","parse-names":false,"suffix":""},{"dropping-particle":"","family":"Siegel","given":"C A","non-dropping-particle":"","parse-names":false,"suffix":""},{"dropping-particle":"","family":"Bendtsen","given":"F","non-dropping-particle":"","parse-names":false,"suffix":""},{"dropping-particle":"","family":"Burisch","given":"J","non-dropping-particle":"","parse-names":false,"suffix":""}],"container-title":"Journal of Crohn's and Colitis","id":"ITEM-1","issue":"3","issued":{"date-parts":[["2018","2","28"]]},"page":"265-272","publisher":"Narnia","title":"Changes in Disease Behaviour and Location in Patients With Crohn’s Disease After Seven Years of Follow-Up: A Danish Population-based Inception Cohort","type":"article-journal","volume":"12"},"uris":["http://www.mendeley.com/documents/?uuid=8440030c-5468-38cf-80f3-8a49f85d948a"]}],"mendeley":{"formattedCitation":"[6]","plainTextFormattedCitation":"[6]","previouslyFormattedCitation":"[6]"},"properties":{"noteIndex":0},"schema":"https://github.com/citation-style-language/schema/raw/master/csl-citation.json"}</w:instrText>
      </w:r>
      <w:r w:rsidR="00F810E3">
        <w:fldChar w:fldCharType="separate"/>
      </w:r>
      <w:r w:rsidR="002645D2" w:rsidRPr="002645D2">
        <w:rPr>
          <w:noProof/>
        </w:rPr>
        <w:t>[6]</w:t>
      </w:r>
      <w:r w:rsidR="00F810E3">
        <w:fldChar w:fldCharType="end"/>
      </w:r>
      <w:r w:rsidR="000C7A22">
        <w:t>.</w:t>
      </w:r>
      <w:r w:rsidR="006F173F">
        <w:t xml:space="preserve"> </w:t>
      </w:r>
    </w:p>
    <w:p w:rsidR="006F173F" w:rsidRDefault="00EC121A" w:rsidP="00A64E1C">
      <w:pPr>
        <w:spacing w:line="480" w:lineRule="auto"/>
      </w:pPr>
      <w:r>
        <w:t>S</w:t>
      </w:r>
      <w:r w:rsidR="00FC6F95">
        <w:t xml:space="preserve">ome data suggests early initiation of anti-TNF may reduce the need for surgery in the longer term </w:t>
      </w:r>
      <w:r w:rsidR="00FC6F95">
        <w:fldChar w:fldCharType="begin" w:fldLock="1"/>
      </w:r>
      <w:r w:rsidR="00FC6F95">
        <w:instrText>ADDIN CSL_CITATION {"citationItems":[{"id":"ITEM-1","itemData":{"DOI":"10.1371/journal.pone.0177479","ISSN":"1932-6203","PMID":"28542298","abstract":"Although early treatment of Crohn's disease (CD) patients with anti-tumor necrosis factor (TNF) agents or immunomodulators (IMs) may improve long-term outcomes, especially those with poor prognostic factors, their effectiveness in Asians remains unclear. In this study, Korean patients with CD naïve to both intestinal surgery and intestinal complications, and with at least two risk factors for progression (diagnosis at age &lt;40 years, systemic corticosteroid treatment &lt;3 months after diagnosis, and perianal fistula at diagnosis) were retrospectively analyzed. Patients were classified into those who started anti-TNFs, or IMs but not anti-TNFs, within 2 years of diagnosis, and those who started anti-TNFs and/or IMs later. Their probabilities of intestinal surgery and intestinal complications were compared. A total of 670 patients were enrolled, 79 in the early anti-TNF, 286 in the early IM, and 305 in the late treatment group. Kaplan-Meier analysis with the log-rank test showed that from starting anti-TNFs/IMs, times to intestinal surgery (P &lt; 0.001), stricturing complications (P = 0.002), and penetrating complications (P &lt; 0.001) were significantly longer in the early anti-TNF/IM groups than in the late treatment group. Multivariate Cox regression analysis showed that, from starting anti-TNFs/IMs, late anti-TNF/IM treatment was independently associated with higher risks of intestinal surgery (adjusted hazard ratio [aHR] 2.321, 95% confidence interval [CI] 1.503-3.584, P &lt; 0.001), behavioral progression (aHR 2.001, 95% CI 1.449-2.763, P &lt; 0.001), stricturing complications (aHR 1.736, 95% CI 1.209-2.493, P = 0.003), and penetrating complications (aHR 3.315, 95% CI 2.094-5.249, P &lt; 0.001) than early treatment. In conclusion, treatment of Asian CD patients having poor prognostic factors with anti-TNFs/IMs within 2 years of diagnosis is associated with better clinical outcomes than later treatment.","author":[{"dropping-particle":"","family":"Oh","given":"Eun Hye","non-dropping-particle":"","parse-names":false,"suffix":""},{"dropping-particle":"","family":"Oh","given":"Kyunghwan","non-dropping-particle":"","parse-names":false,"suffix":""},{"dropping-particle":"","family":"Han","given":"Minkyu","non-dropping-particle":"","parse-names":false,"suffix":""},{"dropping-particle":"","family":"Seo","given":"Hyungil","non-dropping-particle":"","parse-names":false,"suffix":""},{"dropping-particle":"","family":"Chang","given":"Kiju","non-dropping-particle":"","parse-names":false,"suffix":""},{"dropping-particle":"","family":"Lee","given":"Sun-Ho","non-dropping-particle":"","parse-names":false,"suffix":""},{"dropping-particle":"","family":"Kim","given":"Gwang-Un","non-dropping-particle":"","parse-names":false,"suffix":""},{"dropping-particle":"","family":"Song","given":"Eun Mi","non-dropping-particle":"","parse-names":false,"suffix":""},{"dropping-particle":"","family":"Seo","given":"Myeongsook","non-dropping-particle":"","parse-names":false,"suffix":""},{"dropping-particle":"","family":"Lee","given":"Ho-Su","non-dropping-particle":"","parse-names":false,"suffix":""},{"dropping-particle":"","family":"Hwang","given":"Sung Wook","non-dropping-particle":"","parse-names":false,"suffix":""},{"dropping-particle":"","family":"Park","given":"Sang Hyoung","non-dropping-particle":"","parse-names":false,"suffix":""},{"dropping-particle":"","family":"Yang","given":"Dong-Hoon","non-dropping-particle":"","parse-names":false,"suffix":""},{"dropping-particle":"","family":"Kim","given":"Kyung-Jo","non-dropping-particle":"","parse-names":false,"suffix":""},{"dropping-particle":"","family":"Byeon","given":"Jeong-Sik","non-dropping-particle":"","parse-names":false,"suffix":""},{"dropping-particle":"","family":"Myung","given":"Seung-Jae","non-dropping-particle":"","parse-names":false,"suffix":""},{"dropping-particle":"","family":"Yang","given":"Suk-Kyun","non-dropping-particle":"","parse-names":false,"suffix":""},{"dropping-particle":"","family":"Ye","given":"Byong Duk","non-dropping-particle":"","parse-names":false,"suffix":""}],"container-title":"PLOS ONE","editor":[{"dropping-particle":"","family":"Green","given":"John","non-dropping-particle":"","parse-names":false,"suffix":""}],"id":"ITEM-1","issue":"5","issued":{"date-parts":[["2017","5","23"]]},"page":"e0177479","title":"Early anti-TNF/immunomodulator therapy is associated with better long-term clinical outcomes in Asian patients with Crohn’s disease with poor prognostic factors","type":"article-journal","volume":"12"},"uris":["http://www.mendeley.com/documents/?uuid=13adc67a-a08f-3a1d-89c7-e90e39d4cdfa"]}],"mendeley":{"formattedCitation":"[7]","plainTextFormattedCitation":"[7]","previouslyFormattedCitation":"[7]"},"properties":{"noteIndex":0},"schema":"https://github.com/citation-style-language/schema/raw/master/csl-citation.json"}</w:instrText>
      </w:r>
      <w:r w:rsidR="00FC6F95">
        <w:fldChar w:fldCharType="separate"/>
      </w:r>
      <w:r w:rsidR="00FC6F95" w:rsidRPr="002645D2">
        <w:rPr>
          <w:noProof/>
        </w:rPr>
        <w:t>[7]</w:t>
      </w:r>
      <w:r w:rsidR="00FC6F95">
        <w:fldChar w:fldCharType="end"/>
      </w:r>
      <w:r w:rsidR="00FC6F95">
        <w:t xml:space="preserve">. </w:t>
      </w:r>
      <w:r>
        <w:t xml:space="preserve">Conversely, our data indicates early anti-TNF therapy is more likely to delay </w:t>
      </w:r>
      <w:r w:rsidR="006F173F">
        <w:t xml:space="preserve">resection until adulthood, </w:t>
      </w:r>
      <w:r w:rsidR="00367647">
        <w:t xml:space="preserve">through </w:t>
      </w:r>
      <w:r w:rsidR="006F173F">
        <w:t>shrinking the inflammatory component of stricturing disease and buying time prior to resection of the fibrotic bowel</w:t>
      </w:r>
      <w:r w:rsidR="002645D2">
        <w:t xml:space="preserve"> </w:t>
      </w:r>
      <w:r w:rsidR="002645D2">
        <w:fldChar w:fldCharType="begin" w:fldLock="1"/>
      </w:r>
      <w:r w:rsidR="002645D2">
        <w:instrText>ADDIN CSL_CITATION {"citationItems":[{"id":"ITEM-1","itemData":{"DOI":"10.1111/apt.15094","ISSN":"02692813","author":[{"dropping-particle":"","family":"Ashton","given":"James J.","non-dropping-particle":"","parse-names":false,"suffix":""},{"dropping-particle":"","family":"Borca","given":"Florina","non-dropping-particle":"","parse-names":false,"suffix":""},{"dropping-particle":"","family":"Mossotto","given":"Enrico","non-dropping-particle":"","parse-names":false,"suffix":""},{"dropping-particle":"","family":"Coelho","given":"Tracy","non-dropping-particle":"","parse-names":false,"suffix":""},{"dropping-particle":"","family":"Batra","given":"Akshay","non-dropping-particle":"","parse-names":false,"suffix":""},{"dropping-particle":"","family":"Afzal","given":"Nadeem A.","non-dropping-particle":"","parse-names":false,"suffix":""},{"dropping-particle":"","family":"Phan","given":"Hang T. T.","non-dropping-particle":"","parse-names":false,"suffix":""},{"dropping-particle":"","family":"Stanton","given":"Michael","non-dropping-particle":"","parse-names":false,"suffix":""},{"dropping-particle":"","family":"Ennis","given":"Sarah","non-dropping-particle":"","parse-names":false,"suffix":""},{"dropping-particle":"","family":"Beattie","given":"Robert Mark","non-dropping-particle":"","parse-names":false,"suffix":""}],"container-title":"Alimentary Pharmacology &amp; Therapeutics","id":"ITEM-1","issued":{"date-parts":[["2019"]]},"title":"Increased prevalence of anti-TNF therapy in paediatric inflammatory bowel disease is associated with a decline in surgical resections during childhood","type":"article-journal"},"uris":["http://www.mendeley.com/documents/?uuid=a57bd48f-b832-323c-bfb6-6875f500f4ee"]}],"mendeley":{"formattedCitation":"[1]","plainTextFormattedCitation":"[1]"},"properties":{"noteIndex":0},"schema":"https://github.com/citation-style-language/schema/raw/master/csl-citation.json"}</w:instrText>
      </w:r>
      <w:r w:rsidR="002645D2">
        <w:fldChar w:fldCharType="separate"/>
      </w:r>
      <w:r w:rsidR="002645D2" w:rsidRPr="002645D2">
        <w:rPr>
          <w:noProof/>
        </w:rPr>
        <w:t>[1]</w:t>
      </w:r>
      <w:r w:rsidR="002645D2">
        <w:fldChar w:fldCharType="end"/>
      </w:r>
      <w:r w:rsidR="008B45F6">
        <w:t xml:space="preserve">. </w:t>
      </w:r>
      <w:r>
        <w:t xml:space="preserve">It seems increasingly likely that anti-TNF therapy delays, but does not avoid, stricturing complications. </w:t>
      </w:r>
      <w:r w:rsidR="00367647">
        <w:t xml:space="preserve">This hypothesis makes the reports from </w:t>
      </w:r>
      <w:r w:rsidR="006F173F">
        <w:t xml:space="preserve">Murthy </w:t>
      </w:r>
      <w:r w:rsidR="006F173F" w:rsidRPr="006F173F">
        <w:rPr>
          <w:i/>
        </w:rPr>
        <w:t>et al</w:t>
      </w:r>
      <w:r w:rsidR="006F173F">
        <w:t xml:space="preserve"> </w:t>
      </w:r>
      <w:r w:rsidR="00367647">
        <w:t xml:space="preserve">even more </w:t>
      </w:r>
      <w:r w:rsidR="000B69A4">
        <w:t>intriguing</w:t>
      </w:r>
      <w:r>
        <w:t>, with similar d</w:t>
      </w:r>
      <w:r w:rsidR="00FC6F95">
        <w:t xml:space="preserve">ata from </w:t>
      </w:r>
      <w:proofErr w:type="spellStart"/>
      <w:r w:rsidR="00FC6F95">
        <w:t>Eberhardson</w:t>
      </w:r>
      <w:proofErr w:type="spellEnd"/>
      <w:r w:rsidR="00FC6F95">
        <w:t xml:space="preserve"> </w:t>
      </w:r>
      <w:r w:rsidR="00FC6F95" w:rsidRPr="002645D2">
        <w:rPr>
          <w:i/>
        </w:rPr>
        <w:t>et al</w:t>
      </w:r>
      <w:r w:rsidR="00FC6F95">
        <w:t xml:space="preserve"> in 2017 also demonstrat</w:t>
      </w:r>
      <w:r>
        <w:t>ing</w:t>
      </w:r>
      <w:r w:rsidR="00FC6F95">
        <w:t xml:space="preserve"> anti-TNF </w:t>
      </w:r>
      <w:r w:rsidR="00FC6F95">
        <w:lastRenderedPageBreak/>
        <w:t xml:space="preserve">therapy lacking impact on bowel resections in the long-term management of CD </w:t>
      </w:r>
      <w:r w:rsidR="00FC6F95">
        <w:fldChar w:fldCharType="begin" w:fldLock="1"/>
      </w:r>
      <w:r w:rsidR="00FC6F95">
        <w:instrText>ADDIN CSL_CITATION {"citationItems":[{"id":"ITEM-1","itemData":{"DOI":"10.1111/apt.14224","ISSN":"02692813","PMID":"28752637","abstract":"BACKGROUND TNF inhibitors (TNFi) have been shown to reduce the need for surgery in Crohn's disease, but few studies have examined their effect beyond the first year of treatment. AIM To conduct a register-based observational cohort study in Sweden 2006-2014 to investigate the risk of bowel resection in bowel surgery naïve TNFi-treated Crohn's disease patients and whether patients on TNFi ≥12 months are less likely to undergo bowel resection than patients discontinuing treatment before 12 months. METHODS We identified all individuals in Sweden with Crohn's disease through the Swedish National Patient Register 1987-2014 and evaluated the incidence of bowel resection after first ever dispensation of adalimumab or infliximab from 2006 and up to 7 years follow-up. RESULTS We identified 1856 Crohn's disease patients who had received TNFi. Among these patients, 90% treatment retention was observed at 6 months after start of TNFi and 65% remained on the drug after 12 months. The cumulative rates of surgery in Crohn's disease patients exposed to TNFi years 1-7 were 7%, 13%, 17%, 20%, 23%, 25% and 28%. Rates of bowel resection were similar between patients with TNFi survival &lt;12 months and ≥12 months respectively (P=.27). No predictors (eg, sex, age, extension or duration of disease) for bowel resection were identified. CONCLUSIONS The risk of bowel resection after start of anti-TNF treatment is higher in regular health care than in published RCTs. Patients on sustained TNFi treatment beyond 12 months have bowel resection rates similar to those who discontinue TNFi treatment earlier.","author":[{"dropping-particle":"","family":"Eberhardson","given":"M.","non-dropping-particle":"","parse-names":false,"suffix":""},{"dropping-particle":"","family":"Söderling","given":"J. K.","non-dropping-particle":"","parse-names":false,"suffix":""},{"dropping-particle":"","family":"Neovius","given":"M.","non-dropping-particle":"","parse-names":false,"suffix":""},{"dropping-particle":"","family":"Cars","given":"T.","non-dropping-particle":"","parse-names":false,"suffix":""},{"dropping-particle":"","family":"Myrelid","given":"P.","non-dropping-particle":"","parse-names":false,"suffix":""},{"dropping-particle":"","family":"Ludvigsson","given":"J. F.","non-dropping-particle":"","parse-names":false,"suffix":""},{"dropping-particle":"","family":"Askling","given":"J.","non-dropping-particle":"","parse-names":false,"suffix":""},{"dropping-particle":"","family":"Ekbom","given":"A.","non-dropping-particle":"","parse-names":false,"suffix":""},{"dropping-particle":"","family":"Olén","given":"O.","non-dropping-particle":"","parse-names":false,"suffix":""}],"container-title":"Alimentary Pharmacology &amp; Therapeutics","id":"ITEM-1","issue":"6","issued":{"date-parts":[["2017","9"]]},"page":"589-598","title":"Anti-TNF treatment in Crohn's disease and risk of bowel resection-a population based cohort study","type":"article-journal","volume":"46"},"uris":["http://www.mendeley.com/documents/?uuid=c57fdaac-27f5-328e-b42d-9572a50b34c1"]}],"mendeley":{"formattedCitation":"[8]","plainTextFormattedCitation":"[8]","previouslyFormattedCitation":"[8]"},"properties":{"noteIndex":0},"schema":"https://github.com/citation-style-language/schema/raw/master/csl-citation.json"}</w:instrText>
      </w:r>
      <w:r w:rsidR="00FC6F95">
        <w:fldChar w:fldCharType="separate"/>
      </w:r>
      <w:r w:rsidR="00FC6F95" w:rsidRPr="002645D2">
        <w:rPr>
          <w:noProof/>
        </w:rPr>
        <w:t>[8]</w:t>
      </w:r>
      <w:r w:rsidR="00FC6F95">
        <w:fldChar w:fldCharType="end"/>
      </w:r>
      <w:r w:rsidR="00FC6F95">
        <w:t xml:space="preserve">. </w:t>
      </w:r>
      <w:r w:rsidR="003432C9">
        <w:t>A</w:t>
      </w:r>
      <w:r w:rsidR="00367647">
        <w:t xml:space="preserve">t a molecular level it is possible </w:t>
      </w:r>
      <w:r w:rsidR="00FC6F95">
        <w:t>these results</w:t>
      </w:r>
      <w:r w:rsidR="00367647">
        <w:t xml:space="preserve"> </w:t>
      </w:r>
      <w:r w:rsidR="003432C9">
        <w:t>are</w:t>
      </w:r>
      <w:r w:rsidR="00367647">
        <w:t xml:space="preserve"> explained by anti-TNF agents merely delaying </w:t>
      </w:r>
      <w:r w:rsidR="00FC6F95">
        <w:t>resection</w:t>
      </w:r>
      <w:r w:rsidR="001F5CC1">
        <w:t>, through shrinking the inflammatory component of disease</w:t>
      </w:r>
      <w:r w:rsidR="00367647">
        <w:t>.</w:t>
      </w:r>
      <w:r w:rsidR="002645D2">
        <w:t xml:space="preserve"> </w:t>
      </w:r>
      <w:r w:rsidR="00FC6F95">
        <w:t>I</w:t>
      </w:r>
      <w:r w:rsidR="00E33549">
        <w:t xml:space="preserve">n patients with the </w:t>
      </w:r>
      <w:r w:rsidR="00D64B66">
        <w:t xml:space="preserve">stricturing </w:t>
      </w:r>
      <w:r w:rsidR="00E33549">
        <w:t>phenotype</w:t>
      </w:r>
      <w:r w:rsidR="003432C9">
        <w:t>,</w:t>
      </w:r>
      <w:r w:rsidR="00D64B66">
        <w:t xml:space="preserve"> the introduction of anti-TNF </w:t>
      </w:r>
      <w:r w:rsidR="00FC6F95">
        <w:t>would</w:t>
      </w:r>
      <w:r w:rsidR="00D64B66">
        <w:t xml:space="preserve"> not reduce the number of intestinal resections as the molecular cause for stricturing disease is, at least in part, distinct from the inflammatory aetiology. Testing this hypothesis will require </w:t>
      </w:r>
      <w:r w:rsidR="00FC6F95">
        <w:t>prospective</w:t>
      </w:r>
      <w:r w:rsidR="00D64B66">
        <w:t xml:space="preserve"> cohorts to determine the impact of anti-TNF therapy on stricturing disease incidence and intestinal resection</w:t>
      </w:r>
      <w:r w:rsidR="000C34B1">
        <w:t xml:space="preserve"> rates</w:t>
      </w:r>
      <w:r w:rsidR="00D64B66">
        <w:t xml:space="preserve">. Novel medications targeting </w:t>
      </w:r>
      <w:r w:rsidR="000C34B1">
        <w:t>alternative</w:t>
      </w:r>
      <w:r w:rsidR="00D64B66">
        <w:t xml:space="preserve"> pathways, such as </w:t>
      </w:r>
      <w:r w:rsidR="00D64B66" w:rsidRPr="00D64B66">
        <w:rPr>
          <w:i/>
        </w:rPr>
        <w:t>RIPK2</w:t>
      </w:r>
      <w:r w:rsidR="00D64B66">
        <w:t xml:space="preserve"> inhibitors in the </w:t>
      </w:r>
      <w:r w:rsidR="00D64B66" w:rsidRPr="00D64B66">
        <w:rPr>
          <w:i/>
        </w:rPr>
        <w:t>NOD2</w:t>
      </w:r>
      <w:r w:rsidR="00D64B66">
        <w:t xml:space="preserve"> signalling cascade</w:t>
      </w:r>
      <w:r w:rsidR="008B45F6">
        <w:t>,</w:t>
      </w:r>
      <w:r w:rsidR="00D64B66">
        <w:t xml:space="preserve"> may prove more useful in the management of patients with a genetic predisposition to fibrostenotic disease </w:t>
      </w:r>
      <w:r w:rsidR="00F810E3">
        <w:fldChar w:fldCharType="begin" w:fldLock="1"/>
      </w:r>
      <w:r w:rsidR="002645D2">
        <w:instrText>ADDIN CSL_CITATION {"citationItems":[{"id":"ITEM-1","itemData":{"DOI":"10.15252/embj.201899372","ISSN":"1460-2075","PMID":"30026309","abstract":"RIPK2 mediates inflammatory signaling by the bacteria-sensing receptors NOD1 and NOD2. Kinase inhibitors targeting RIPK2 are a proposed strategy to ameliorate NOD-mediated pathologies. Here, we reveal that RIPK2 kinase activity is dispensable for NOD2 inflammatory signaling and show that RIPK2 inhibitors function instead by antagonizing XIAP-binding and XIAP-mediated ubiquitination of RIPK2. We map the XIAP binding site on RIPK2 to the loop between β2 and β3 of the N-lobe of the kinase, which is in close proximity to the ATP-binding pocket. Through characterization of a new series of ATP pocket-binding RIPK2 inhibitors, we identify the molecular features that determine their inhibition of both the RIPK2-XIAP interaction, and of cellular and in vivoNOD2 signaling. Our study exemplifies how targeting of the ATP-binding pocket in RIPK2 can be exploited to interfere with the RIPK2-XIAP interaction for modulation of NOD signaling.","author":[{"dropping-particle":"","family":"Hrdinka","given":"Matous","non-dropping-particle":"","parse-names":false,"suffix":""},{"dropping-particle":"","family":"Schlicher","given":"Lisa","non-dropping-particle":"","parse-names":false,"suffix":""},{"dropping-particle":"","family":"Dai","given":"Bing","non-dropping-particle":"","parse-names":false,"suffix":""},{"dropping-particle":"","family":"Pinkas","given":"Daniel M","non-dropping-particle":"","parse-names":false,"suffix":""},{"dropping-particle":"","family":"Bufton","given":"Joshua C","non-dropping-particle":"","parse-names":false,"suffix":""},{"dropping-particle":"","family":"Picaud","given":"Sarah","non-dropping-particle":"","parse-names":false,"suffix":""},{"dropping-particle":"","family":"Ward","given":"Jennifer A","non-dropping-particle":"","parse-names":false,"suffix":""},{"dropping-particle":"","family":"Rogers","given":"Catherine","non-dropping-particle":"","parse-names":false,"suffix":""},{"dropping-particle":"","family":"Suebsuwong","given":"Chalada","non-dropping-particle":"","parse-names":false,"suffix":""},{"dropping-particle":"","family":"Nikhar","given":"Sameer","non-dropping-particle":"","parse-names":false,"suffix":""},{"dropping-particle":"","family":"Cuny","given":"Gregory D","non-dropping-particle":"","parse-names":false,"suffix":""},{"dropping-particle":"","family":"Huber","given":"Kilian Vm","non-dropping-particle":"","parse-names":false,"suffix":""},{"dropping-particle":"","family":"Filippakopoulos","given":"Panagis","non-dropping-particle":"","parse-names":false,"suffix":""},{"dropping-particle":"","family":"Bullock","given":"Alex N","non-dropping-particle":"","parse-names":false,"suffix":""},{"dropping-particle":"","family":"Degterev","given":"Alexei","non-dropping-particle":"","parse-names":false,"suffix":""},{"dropping-particle":"","family":"Gyrd-Hansen","given":"Mads","non-dropping-particle":"","parse-names":false,"suffix":""}],"container-title":"The EMBO journal","id":"ITEM-1","issue":"17","issued":{"date-parts":[["2018","9","3"]]},"page":"e99372","publisher":"EMBO Press","title":"Small molecule inhibitors reveal an indispensable scaffolding role of RIPK2 in NOD2 signaling.","type":"article-journal","volume":"37"},"uris":["http://www.mendeley.com/documents/?uuid=86fd9a85-c43f-3e5c-b96d-994fa6a841e2"]}],"mendeley":{"formattedCitation":"[9]","plainTextFormattedCitation":"[9]","previouslyFormattedCitation":"[9]"},"properties":{"noteIndex":0},"schema":"https://github.com/citation-style-language/schema/raw/master/csl-citation.json"}</w:instrText>
      </w:r>
      <w:r w:rsidR="00F810E3">
        <w:fldChar w:fldCharType="separate"/>
      </w:r>
      <w:r w:rsidR="002645D2" w:rsidRPr="002645D2">
        <w:rPr>
          <w:noProof/>
        </w:rPr>
        <w:t>[9]</w:t>
      </w:r>
      <w:r w:rsidR="00F810E3">
        <w:fldChar w:fldCharType="end"/>
      </w:r>
      <w:r w:rsidR="00D64B66">
        <w:t xml:space="preserve">. </w:t>
      </w:r>
      <w:r w:rsidR="00AD169F">
        <w:t>D</w:t>
      </w:r>
      <w:r w:rsidR="008B45F6">
        <w:t xml:space="preserve">espite the lack of long-term </w:t>
      </w:r>
      <w:r w:rsidR="00B01FBC">
        <w:t>evidence</w:t>
      </w:r>
      <w:r w:rsidR="008B45F6">
        <w:t xml:space="preserve"> </w:t>
      </w:r>
      <w:r w:rsidR="00701919">
        <w:t>indicating</w:t>
      </w:r>
      <w:r w:rsidR="00B01FBC">
        <w:t xml:space="preserve"> a reduction in </w:t>
      </w:r>
      <w:r w:rsidR="00701919">
        <w:t xml:space="preserve">intestinal </w:t>
      </w:r>
      <w:r w:rsidR="00B01FBC">
        <w:t xml:space="preserve">resections with anti-TNF therapy, controlling the inflammatory component, reducing the resection size and delaying surgery until after childhood are significant outcomes, which improve patient’s lives. </w:t>
      </w:r>
    </w:p>
    <w:p w:rsidR="00F812F9" w:rsidRDefault="00F812F9" w:rsidP="00A64E1C">
      <w:pPr>
        <w:spacing w:line="480" w:lineRule="auto"/>
        <w:rPr>
          <w:b/>
        </w:rPr>
      </w:pPr>
    </w:p>
    <w:p w:rsidR="00E25802" w:rsidRDefault="00E25802" w:rsidP="00A64E1C">
      <w:pPr>
        <w:spacing w:line="480" w:lineRule="auto"/>
        <w:rPr>
          <w:b/>
        </w:rPr>
      </w:pPr>
    </w:p>
    <w:p w:rsidR="00E25802" w:rsidRDefault="00E25802" w:rsidP="00A64E1C">
      <w:pPr>
        <w:spacing w:line="480" w:lineRule="auto"/>
        <w:rPr>
          <w:b/>
        </w:rPr>
      </w:pPr>
    </w:p>
    <w:p w:rsidR="00EC121A" w:rsidRDefault="00EC121A" w:rsidP="00A64E1C">
      <w:pPr>
        <w:spacing w:line="480" w:lineRule="auto"/>
        <w:rPr>
          <w:b/>
        </w:rPr>
      </w:pPr>
    </w:p>
    <w:p w:rsidR="00EC121A" w:rsidRDefault="00EC121A" w:rsidP="00A64E1C">
      <w:pPr>
        <w:spacing w:line="480" w:lineRule="auto"/>
        <w:rPr>
          <w:b/>
        </w:rPr>
      </w:pPr>
    </w:p>
    <w:p w:rsidR="00E25802" w:rsidRDefault="00E25802" w:rsidP="00A64E1C">
      <w:pPr>
        <w:spacing w:line="480" w:lineRule="auto"/>
        <w:rPr>
          <w:b/>
        </w:rPr>
      </w:pPr>
    </w:p>
    <w:p w:rsidR="002645D2" w:rsidRDefault="002645D2" w:rsidP="00A64E1C">
      <w:pPr>
        <w:spacing w:line="480" w:lineRule="auto"/>
        <w:rPr>
          <w:b/>
        </w:rPr>
      </w:pPr>
    </w:p>
    <w:p w:rsidR="00EC121A" w:rsidRDefault="00EC121A" w:rsidP="00A64E1C">
      <w:pPr>
        <w:spacing w:line="480" w:lineRule="auto"/>
        <w:rPr>
          <w:b/>
        </w:rPr>
      </w:pPr>
    </w:p>
    <w:p w:rsidR="00F812F9" w:rsidRDefault="00F812F9" w:rsidP="00A64E1C">
      <w:pPr>
        <w:spacing w:line="480" w:lineRule="auto"/>
        <w:rPr>
          <w:b/>
        </w:rPr>
      </w:pPr>
    </w:p>
    <w:p w:rsidR="00701919" w:rsidRDefault="00701919" w:rsidP="00A64E1C">
      <w:pPr>
        <w:spacing w:line="480" w:lineRule="auto"/>
        <w:rPr>
          <w:b/>
        </w:rPr>
      </w:pPr>
    </w:p>
    <w:p w:rsidR="00146D56" w:rsidRDefault="00146D56" w:rsidP="00A64E1C">
      <w:pPr>
        <w:spacing w:line="480" w:lineRule="auto"/>
        <w:rPr>
          <w:b/>
        </w:rPr>
      </w:pPr>
    </w:p>
    <w:p w:rsidR="00A64E1C" w:rsidRPr="00A64E1C" w:rsidRDefault="00A64E1C" w:rsidP="00A64E1C">
      <w:pPr>
        <w:spacing w:line="480" w:lineRule="auto"/>
        <w:rPr>
          <w:b/>
        </w:rPr>
      </w:pPr>
      <w:r w:rsidRPr="00A64E1C">
        <w:rPr>
          <w:b/>
        </w:rPr>
        <w:lastRenderedPageBreak/>
        <w:t xml:space="preserve">References </w:t>
      </w:r>
    </w:p>
    <w:p w:rsidR="002645D2" w:rsidRPr="002645D2" w:rsidRDefault="00F810E3" w:rsidP="002645D2">
      <w:pPr>
        <w:widowControl w:val="0"/>
        <w:autoSpaceDE w:val="0"/>
        <w:autoSpaceDN w:val="0"/>
        <w:adjustRightInd w:val="0"/>
        <w:spacing w:line="480" w:lineRule="auto"/>
        <w:ind w:left="640" w:hanging="640"/>
        <w:rPr>
          <w:rFonts w:ascii="Calibri" w:hAnsi="Calibri" w:cs="Calibri"/>
          <w:noProof/>
          <w:szCs w:val="24"/>
        </w:rPr>
      </w:pPr>
      <w:r>
        <w:fldChar w:fldCharType="begin" w:fldLock="1"/>
      </w:r>
      <w:r w:rsidR="00A64E1C">
        <w:instrText xml:space="preserve">ADDIN Mendeley Bibliography CSL_BIBLIOGRAPHY </w:instrText>
      </w:r>
      <w:r>
        <w:fldChar w:fldCharType="separate"/>
      </w:r>
      <w:r w:rsidR="002645D2" w:rsidRPr="002645D2">
        <w:rPr>
          <w:rFonts w:ascii="Calibri" w:hAnsi="Calibri" w:cs="Calibri"/>
          <w:noProof/>
          <w:szCs w:val="24"/>
        </w:rPr>
        <w:t xml:space="preserve">1 </w:t>
      </w:r>
      <w:r w:rsidR="002645D2" w:rsidRPr="002645D2">
        <w:rPr>
          <w:rFonts w:ascii="Calibri" w:hAnsi="Calibri" w:cs="Calibri"/>
          <w:noProof/>
          <w:szCs w:val="24"/>
        </w:rPr>
        <w:tab/>
        <w:t xml:space="preserve">Ashton JJ, Borca F, Mossotto E, </w:t>
      </w:r>
      <w:r w:rsidR="002645D2" w:rsidRPr="002645D2">
        <w:rPr>
          <w:rFonts w:ascii="Calibri" w:hAnsi="Calibri" w:cs="Calibri"/>
          <w:i/>
          <w:iCs/>
          <w:noProof/>
          <w:szCs w:val="24"/>
        </w:rPr>
        <w:t>et al.</w:t>
      </w:r>
      <w:r w:rsidR="002645D2" w:rsidRPr="002645D2">
        <w:rPr>
          <w:rFonts w:ascii="Calibri" w:hAnsi="Calibri" w:cs="Calibri"/>
          <w:noProof/>
          <w:szCs w:val="24"/>
        </w:rPr>
        <w:t xml:space="preserve"> Increased prevalence of anti-TNF therapy in paediatric inflammatory bowel disease is associated with a decline in surgical resections during childhood. </w:t>
      </w:r>
      <w:r w:rsidR="002645D2" w:rsidRPr="002645D2">
        <w:rPr>
          <w:rFonts w:ascii="Calibri" w:hAnsi="Calibri" w:cs="Calibri"/>
          <w:i/>
          <w:iCs/>
          <w:noProof/>
          <w:szCs w:val="24"/>
        </w:rPr>
        <w:t>Aliment Pharmacol Ther</w:t>
      </w:r>
      <w:r w:rsidR="002645D2" w:rsidRPr="002645D2">
        <w:rPr>
          <w:rFonts w:ascii="Calibri" w:hAnsi="Calibri" w:cs="Calibri"/>
          <w:noProof/>
          <w:szCs w:val="24"/>
        </w:rPr>
        <w:t xml:space="preserve"> Published Online First: 2019. doi:10.1111/apt.15094</w:t>
      </w:r>
    </w:p>
    <w:p w:rsidR="002645D2" w:rsidRPr="002645D2" w:rsidRDefault="002645D2" w:rsidP="002645D2">
      <w:pPr>
        <w:widowControl w:val="0"/>
        <w:autoSpaceDE w:val="0"/>
        <w:autoSpaceDN w:val="0"/>
        <w:adjustRightInd w:val="0"/>
        <w:spacing w:line="480" w:lineRule="auto"/>
        <w:ind w:left="640" w:hanging="640"/>
        <w:rPr>
          <w:rFonts w:ascii="Calibri" w:hAnsi="Calibri" w:cs="Calibri"/>
          <w:noProof/>
          <w:szCs w:val="24"/>
        </w:rPr>
      </w:pPr>
      <w:r w:rsidRPr="002645D2">
        <w:rPr>
          <w:rFonts w:ascii="Calibri" w:hAnsi="Calibri" w:cs="Calibri"/>
          <w:noProof/>
          <w:szCs w:val="24"/>
        </w:rPr>
        <w:t xml:space="preserve">2 </w:t>
      </w:r>
      <w:r w:rsidRPr="002645D2">
        <w:rPr>
          <w:rFonts w:ascii="Calibri" w:hAnsi="Calibri" w:cs="Calibri"/>
          <w:noProof/>
          <w:szCs w:val="24"/>
        </w:rPr>
        <w:tab/>
        <w:t xml:space="preserve">Murthy SK, Begum J, Benchimol EI, </w:t>
      </w:r>
      <w:r w:rsidRPr="002645D2">
        <w:rPr>
          <w:rFonts w:ascii="Calibri" w:hAnsi="Calibri" w:cs="Calibri"/>
          <w:i/>
          <w:iCs/>
          <w:noProof/>
          <w:szCs w:val="24"/>
        </w:rPr>
        <w:t>et al.</w:t>
      </w:r>
      <w:r w:rsidRPr="002645D2">
        <w:rPr>
          <w:rFonts w:ascii="Calibri" w:hAnsi="Calibri" w:cs="Calibri"/>
          <w:noProof/>
          <w:szCs w:val="24"/>
        </w:rPr>
        <w:t xml:space="preserve"> Introduction of anti-TNF therapy has not yielded expected declines in hospitalisation and intestinal resection rates in inflammatory bowel diseases: a population-based interrupted time series study. </w:t>
      </w:r>
      <w:r w:rsidRPr="002645D2">
        <w:rPr>
          <w:rFonts w:ascii="Calibri" w:hAnsi="Calibri" w:cs="Calibri"/>
          <w:i/>
          <w:iCs/>
          <w:noProof/>
          <w:szCs w:val="24"/>
        </w:rPr>
        <w:t>Gut</w:t>
      </w:r>
      <w:r w:rsidRPr="002645D2">
        <w:rPr>
          <w:rFonts w:ascii="Calibri" w:hAnsi="Calibri" w:cs="Calibri"/>
          <w:noProof/>
          <w:szCs w:val="24"/>
        </w:rPr>
        <w:t xml:space="preserve"> 2019;:gutjnl-2019-318440. doi:10.1136/GUTJNL-2019-318440</w:t>
      </w:r>
    </w:p>
    <w:p w:rsidR="002645D2" w:rsidRPr="002645D2" w:rsidRDefault="002645D2" w:rsidP="002645D2">
      <w:pPr>
        <w:widowControl w:val="0"/>
        <w:autoSpaceDE w:val="0"/>
        <w:autoSpaceDN w:val="0"/>
        <w:adjustRightInd w:val="0"/>
        <w:spacing w:line="480" w:lineRule="auto"/>
        <w:ind w:left="640" w:hanging="640"/>
        <w:rPr>
          <w:rFonts w:ascii="Calibri" w:hAnsi="Calibri" w:cs="Calibri"/>
          <w:noProof/>
          <w:szCs w:val="24"/>
        </w:rPr>
      </w:pPr>
      <w:r w:rsidRPr="002645D2">
        <w:rPr>
          <w:rFonts w:ascii="Calibri" w:hAnsi="Calibri" w:cs="Calibri"/>
          <w:noProof/>
          <w:szCs w:val="24"/>
        </w:rPr>
        <w:t xml:space="preserve">3 </w:t>
      </w:r>
      <w:r w:rsidRPr="002645D2">
        <w:rPr>
          <w:rFonts w:ascii="Calibri" w:hAnsi="Calibri" w:cs="Calibri"/>
          <w:noProof/>
          <w:szCs w:val="24"/>
        </w:rPr>
        <w:tab/>
        <w:t xml:space="preserve">Blackburn SC, Wiskin AE, Barnes C, </w:t>
      </w:r>
      <w:r w:rsidRPr="002645D2">
        <w:rPr>
          <w:rFonts w:ascii="Calibri" w:hAnsi="Calibri" w:cs="Calibri"/>
          <w:i/>
          <w:iCs/>
          <w:noProof/>
          <w:szCs w:val="24"/>
        </w:rPr>
        <w:t>et al.</w:t>
      </w:r>
      <w:r w:rsidRPr="002645D2">
        <w:rPr>
          <w:rFonts w:ascii="Calibri" w:hAnsi="Calibri" w:cs="Calibri"/>
          <w:noProof/>
          <w:szCs w:val="24"/>
        </w:rPr>
        <w:t xml:space="preserve"> Surgery for children with Crohn’s disease: indications, complications and outcome. </w:t>
      </w:r>
      <w:r w:rsidRPr="002645D2">
        <w:rPr>
          <w:rFonts w:ascii="Calibri" w:hAnsi="Calibri" w:cs="Calibri"/>
          <w:i/>
          <w:iCs/>
          <w:noProof/>
          <w:szCs w:val="24"/>
        </w:rPr>
        <w:t>Arch Dis Child</w:t>
      </w:r>
      <w:r w:rsidRPr="002645D2">
        <w:rPr>
          <w:rFonts w:ascii="Calibri" w:hAnsi="Calibri" w:cs="Calibri"/>
          <w:noProof/>
          <w:szCs w:val="24"/>
        </w:rPr>
        <w:t xml:space="preserve"> 2014;</w:t>
      </w:r>
      <w:r w:rsidRPr="002645D2">
        <w:rPr>
          <w:rFonts w:ascii="Calibri" w:hAnsi="Calibri" w:cs="Calibri"/>
          <w:b/>
          <w:bCs/>
          <w:noProof/>
          <w:szCs w:val="24"/>
        </w:rPr>
        <w:t>99</w:t>
      </w:r>
      <w:r w:rsidRPr="002645D2">
        <w:rPr>
          <w:rFonts w:ascii="Calibri" w:hAnsi="Calibri" w:cs="Calibri"/>
          <w:noProof/>
          <w:szCs w:val="24"/>
        </w:rPr>
        <w:t>:420–6. doi:10.1136/archdischild-2013-305214</w:t>
      </w:r>
    </w:p>
    <w:p w:rsidR="002645D2" w:rsidRPr="002645D2" w:rsidRDefault="002645D2" w:rsidP="002645D2">
      <w:pPr>
        <w:widowControl w:val="0"/>
        <w:autoSpaceDE w:val="0"/>
        <w:autoSpaceDN w:val="0"/>
        <w:adjustRightInd w:val="0"/>
        <w:spacing w:line="480" w:lineRule="auto"/>
        <w:ind w:left="640" w:hanging="640"/>
        <w:rPr>
          <w:rFonts w:ascii="Calibri" w:hAnsi="Calibri" w:cs="Calibri"/>
          <w:noProof/>
          <w:szCs w:val="24"/>
        </w:rPr>
      </w:pPr>
      <w:r w:rsidRPr="002645D2">
        <w:rPr>
          <w:rFonts w:ascii="Calibri" w:hAnsi="Calibri" w:cs="Calibri"/>
          <w:noProof/>
          <w:szCs w:val="24"/>
        </w:rPr>
        <w:t xml:space="preserve">4 </w:t>
      </w:r>
      <w:r w:rsidRPr="002645D2">
        <w:rPr>
          <w:rFonts w:ascii="Calibri" w:hAnsi="Calibri" w:cs="Calibri"/>
          <w:noProof/>
          <w:szCs w:val="24"/>
        </w:rPr>
        <w:tab/>
        <w:t xml:space="preserve">Levin AD, Wildenberg ME, van den Brink GR. Mechanism of Action of Anti-TNF Therapy in Inflammatory Bowel Disease. </w:t>
      </w:r>
      <w:r w:rsidRPr="002645D2">
        <w:rPr>
          <w:rFonts w:ascii="Calibri" w:hAnsi="Calibri" w:cs="Calibri"/>
          <w:i/>
          <w:iCs/>
          <w:noProof/>
          <w:szCs w:val="24"/>
        </w:rPr>
        <w:t>J Crohn’s Colitis</w:t>
      </w:r>
      <w:r w:rsidRPr="002645D2">
        <w:rPr>
          <w:rFonts w:ascii="Calibri" w:hAnsi="Calibri" w:cs="Calibri"/>
          <w:noProof/>
          <w:szCs w:val="24"/>
        </w:rPr>
        <w:t xml:space="preserve"> 2016;</w:t>
      </w:r>
      <w:r w:rsidRPr="002645D2">
        <w:rPr>
          <w:rFonts w:ascii="Calibri" w:hAnsi="Calibri" w:cs="Calibri"/>
          <w:b/>
          <w:bCs/>
          <w:noProof/>
          <w:szCs w:val="24"/>
        </w:rPr>
        <w:t>10</w:t>
      </w:r>
      <w:r w:rsidRPr="002645D2">
        <w:rPr>
          <w:rFonts w:ascii="Calibri" w:hAnsi="Calibri" w:cs="Calibri"/>
          <w:noProof/>
          <w:szCs w:val="24"/>
        </w:rPr>
        <w:t>:989–97. doi:10.1093/ecco-jcc/jjw053</w:t>
      </w:r>
    </w:p>
    <w:p w:rsidR="002645D2" w:rsidRPr="002645D2" w:rsidRDefault="002645D2" w:rsidP="002645D2">
      <w:pPr>
        <w:widowControl w:val="0"/>
        <w:autoSpaceDE w:val="0"/>
        <w:autoSpaceDN w:val="0"/>
        <w:adjustRightInd w:val="0"/>
        <w:spacing w:line="480" w:lineRule="auto"/>
        <w:ind w:left="640" w:hanging="640"/>
        <w:rPr>
          <w:rFonts w:ascii="Calibri" w:hAnsi="Calibri" w:cs="Calibri"/>
          <w:noProof/>
          <w:szCs w:val="24"/>
        </w:rPr>
      </w:pPr>
      <w:r w:rsidRPr="002645D2">
        <w:rPr>
          <w:rFonts w:ascii="Calibri" w:hAnsi="Calibri" w:cs="Calibri"/>
          <w:noProof/>
          <w:szCs w:val="24"/>
        </w:rPr>
        <w:t xml:space="preserve">5 </w:t>
      </w:r>
      <w:r w:rsidRPr="002645D2">
        <w:rPr>
          <w:rFonts w:ascii="Calibri" w:hAnsi="Calibri" w:cs="Calibri"/>
          <w:noProof/>
          <w:szCs w:val="24"/>
        </w:rPr>
        <w:tab/>
        <w:t xml:space="preserve">Verstockt B, Cleynen I. Genetic Influences on the Development of Fibrosis in Crohn’s Disease. </w:t>
      </w:r>
      <w:r w:rsidRPr="002645D2">
        <w:rPr>
          <w:rFonts w:ascii="Calibri" w:hAnsi="Calibri" w:cs="Calibri"/>
          <w:i/>
          <w:iCs/>
          <w:noProof/>
          <w:szCs w:val="24"/>
        </w:rPr>
        <w:t>Front Med</w:t>
      </w:r>
      <w:r w:rsidRPr="002645D2">
        <w:rPr>
          <w:rFonts w:ascii="Calibri" w:hAnsi="Calibri" w:cs="Calibri"/>
          <w:noProof/>
          <w:szCs w:val="24"/>
        </w:rPr>
        <w:t xml:space="preserve"> 2016;</w:t>
      </w:r>
      <w:r w:rsidRPr="002645D2">
        <w:rPr>
          <w:rFonts w:ascii="Calibri" w:hAnsi="Calibri" w:cs="Calibri"/>
          <w:b/>
          <w:bCs/>
          <w:noProof/>
          <w:szCs w:val="24"/>
        </w:rPr>
        <w:t>3</w:t>
      </w:r>
      <w:r w:rsidRPr="002645D2">
        <w:rPr>
          <w:rFonts w:ascii="Calibri" w:hAnsi="Calibri" w:cs="Calibri"/>
          <w:noProof/>
          <w:szCs w:val="24"/>
        </w:rPr>
        <w:t>:24. doi:10.3389/fmed.2016.00024</w:t>
      </w:r>
    </w:p>
    <w:p w:rsidR="002645D2" w:rsidRPr="002645D2" w:rsidRDefault="002645D2" w:rsidP="002645D2">
      <w:pPr>
        <w:widowControl w:val="0"/>
        <w:autoSpaceDE w:val="0"/>
        <w:autoSpaceDN w:val="0"/>
        <w:adjustRightInd w:val="0"/>
        <w:spacing w:line="480" w:lineRule="auto"/>
        <w:ind w:left="640" w:hanging="640"/>
        <w:rPr>
          <w:rFonts w:ascii="Calibri" w:hAnsi="Calibri" w:cs="Calibri"/>
          <w:noProof/>
          <w:szCs w:val="24"/>
        </w:rPr>
      </w:pPr>
      <w:r w:rsidRPr="002645D2">
        <w:rPr>
          <w:rFonts w:ascii="Calibri" w:hAnsi="Calibri" w:cs="Calibri"/>
          <w:noProof/>
          <w:szCs w:val="24"/>
        </w:rPr>
        <w:t xml:space="preserve">6 </w:t>
      </w:r>
      <w:r w:rsidRPr="002645D2">
        <w:rPr>
          <w:rFonts w:ascii="Calibri" w:hAnsi="Calibri" w:cs="Calibri"/>
          <w:noProof/>
          <w:szCs w:val="24"/>
        </w:rPr>
        <w:tab/>
        <w:t xml:space="preserve">Lo B, Vester-Andersen MK, Vind I, </w:t>
      </w:r>
      <w:r w:rsidRPr="002645D2">
        <w:rPr>
          <w:rFonts w:ascii="Calibri" w:hAnsi="Calibri" w:cs="Calibri"/>
          <w:i/>
          <w:iCs/>
          <w:noProof/>
          <w:szCs w:val="24"/>
        </w:rPr>
        <w:t>et al.</w:t>
      </w:r>
      <w:r w:rsidRPr="002645D2">
        <w:rPr>
          <w:rFonts w:ascii="Calibri" w:hAnsi="Calibri" w:cs="Calibri"/>
          <w:noProof/>
          <w:szCs w:val="24"/>
        </w:rPr>
        <w:t xml:space="preserve"> Changes in Disease Behaviour and Location in Patients With Crohn’s Disease After Seven Years of Follow-Up: A Danish Population-based Inception Cohort. </w:t>
      </w:r>
      <w:r w:rsidRPr="002645D2">
        <w:rPr>
          <w:rFonts w:ascii="Calibri" w:hAnsi="Calibri" w:cs="Calibri"/>
          <w:i/>
          <w:iCs/>
          <w:noProof/>
          <w:szCs w:val="24"/>
        </w:rPr>
        <w:t>J Crohn’s Colitis</w:t>
      </w:r>
      <w:r w:rsidRPr="002645D2">
        <w:rPr>
          <w:rFonts w:ascii="Calibri" w:hAnsi="Calibri" w:cs="Calibri"/>
          <w:noProof/>
          <w:szCs w:val="24"/>
        </w:rPr>
        <w:t xml:space="preserve"> 2018;</w:t>
      </w:r>
      <w:r w:rsidRPr="002645D2">
        <w:rPr>
          <w:rFonts w:ascii="Calibri" w:hAnsi="Calibri" w:cs="Calibri"/>
          <w:b/>
          <w:bCs/>
          <w:noProof/>
          <w:szCs w:val="24"/>
        </w:rPr>
        <w:t>12</w:t>
      </w:r>
      <w:r w:rsidRPr="002645D2">
        <w:rPr>
          <w:rFonts w:ascii="Calibri" w:hAnsi="Calibri" w:cs="Calibri"/>
          <w:noProof/>
          <w:szCs w:val="24"/>
        </w:rPr>
        <w:t>:265–72. doi:10.1093/ecco-jcc/jjx138</w:t>
      </w:r>
    </w:p>
    <w:p w:rsidR="002645D2" w:rsidRPr="002645D2" w:rsidRDefault="002645D2" w:rsidP="002645D2">
      <w:pPr>
        <w:widowControl w:val="0"/>
        <w:autoSpaceDE w:val="0"/>
        <w:autoSpaceDN w:val="0"/>
        <w:adjustRightInd w:val="0"/>
        <w:spacing w:line="480" w:lineRule="auto"/>
        <w:ind w:left="640" w:hanging="640"/>
        <w:rPr>
          <w:rFonts w:ascii="Calibri" w:hAnsi="Calibri" w:cs="Calibri"/>
          <w:noProof/>
          <w:szCs w:val="24"/>
        </w:rPr>
      </w:pPr>
      <w:r w:rsidRPr="002645D2">
        <w:rPr>
          <w:rFonts w:ascii="Calibri" w:hAnsi="Calibri" w:cs="Calibri"/>
          <w:noProof/>
          <w:szCs w:val="24"/>
        </w:rPr>
        <w:t xml:space="preserve">7 </w:t>
      </w:r>
      <w:r w:rsidRPr="002645D2">
        <w:rPr>
          <w:rFonts w:ascii="Calibri" w:hAnsi="Calibri" w:cs="Calibri"/>
          <w:noProof/>
          <w:szCs w:val="24"/>
        </w:rPr>
        <w:tab/>
        <w:t xml:space="preserve">Oh EH, Oh K, Han M, </w:t>
      </w:r>
      <w:r w:rsidRPr="002645D2">
        <w:rPr>
          <w:rFonts w:ascii="Calibri" w:hAnsi="Calibri" w:cs="Calibri"/>
          <w:i/>
          <w:iCs/>
          <w:noProof/>
          <w:szCs w:val="24"/>
        </w:rPr>
        <w:t>et al.</w:t>
      </w:r>
      <w:r w:rsidRPr="002645D2">
        <w:rPr>
          <w:rFonts w:ascii="Calibri" w:hAnsi="Calibri" w:cs="Calibri"/>
          <w:noProof/>
          <w:szCs w:val="24"/>
        </w:rPr>
        <w:t xml:space="preserve"> Early anti-TNF/immunomodulator therapy is associated with better long-term clinical outcomes in Asian patients with Crohn’s disease with poor prognostic factors. </w:t>
      </w:r>
      <w:r w:rsidRPr="002645D2">
        <w:rPr>
          <w:rFonts w:ascii="Calibri" w:hAnsi="Calibri" w:cs="Calibri"/>
          <w:i/>
          <w:iCs/>
          <w:noProof/>
          <w:szCs w:val="24"/>
        </w:rPr>
        <w:t>PLoS One</w:t>
      </w:r>
      <w:r w:rsidRPr="002645D2">
        <w:rPr>
          <w:rFonts w:ascii="Calibri" w:hAnsi="Calibri" w:cs="Calibri"/>
          <w:noProof/>
          <w:szCs w:val="24"/>
        </w:rPr>
        <w:t xml:space="preserve"> 2017;</w:t>
      </w:r>
      <w:r w:rsidRPr="002645D2">
        <w:rPr>
          <w:rFonts w:ascii="Calibri" w:hAnsi="Calibri" w:cs="Calibri"/>
          <w:b/>
          <w:bCs/>
          <w:noProof/>
          <w:szCs w:val="24"/>
        </w:rPr>
        <w:t>12</w:t>
      </w:r>
      <w:r w:rsidRPr="002645D2">
        <w:rPr>
          <w:rFonts w:ascii="Calibri" w:hAnsi="Calibri" w:cs="Calibri"/>
          <w:noProof/>
          <w:szCs w:val="24"/>
        </w:rPr>
        <w:t>:e0177479. doi:10.1371/journal.pone.0177479</w:t>
      </w:r>
    </w:p>
    <w:p w:rsidR="002645D2" w:rsidRPr="002645D2" w:rsidRDefault="002645D2" w:rsidP="002645D2">
      <w:pPr>
        <w:widowControl w:val="0"/>
        <w:autoSpaceDE w:val="0"/>
        <w:autoSpaceDN w:val="0"/>
        <w:adjustRightInd w:val="0"/>
        <w:spacing w:line="480" w:lineRule="auto"/>
        <w:ind w:left="640" w:hanging="640"/>
        <w:rPr>
          <w:rFonts w:ascii="Calibri" w:hAnsi="Calibri" w:cs="Calibri"/>
          <w:noProof/>
          <w:szCs w:val="24"/>
        </w:rPr>
      </w:pPr>
      <w:r w:rsidRPr="002645D2">
        <w:rPr>
          <w:rFonts w:ascii="Calibri" w:hAnsi="Calibri" w:cs="Calibri"/>
          <w:noProof/>
          <w:szCs w:val="24"/>
        </w:rPr>
        <w:t xml:space="preserve">8 </w:t>
      </w:r>
      <w:r w:rsidRPr="002645D2">
        <w:rPr>
          <w:rFonts w:ascii="Calibri" w:hAnsi="Calibri" w:cs="Calibri"/>
          <w:noProof/>
          <w:szCs w:val="24"/>
        </w:rPr>
        <w:tab/>
        <w:t xml:space="preserve">Eberhardson M, Söderling JK, Neovius M, </w:t>
      </w:r>
      <w:r w:rsidRPr="002645D2">
        <w:rPr>
          <w:rFonts w:ascii="Calibri" w:hAnsi="Calibri" w:cs="Calibri"/>
          <w:i/>
          <w:iCs/>
          <w:noProof/>
          <w:szCs w:val="24"/>
        </w:rPr>
        <w:t>et al.</w:t>
      </w:r>
      <w:r w:rsidRPr="002645D2">
        <w:rPr>
          <w:rFonts w:ascii="Calibri" w:hAnsi="Calibri" w:cs="Calibri"/>
          <w:noProof/>
          <w:szCs w:val="24"/>
        </w:rPr>
        <w:t xml:space="preserve"> Anti-TNF treatment in Crohn’s disease and risk of bowel resection-a population based cohort study. </w:t>
      </w:r>
      <w:r w:rsidRPr="002645D2">
        <w:rPr>
          <w:rFonts w:ascii="Calibri" w:hAnsi="Calibri" w:cs="Calibri"/>
          <w:i/>
          <w:iCs/>
          <w:noProof/>
          <w:szCs w:val="24"/>
        </w:rPr>
        <w:t>Aliment Pharmacol Ther</w:t>
      </w:r>
      <w:r w:rsidRPr="002645D2">
        <w:rPr>
          <w:rFonts w:ascii="Calibri" w:hAnsi="Calibri" w:cs="Calibri"/>
          <w:noProof/>
          <w:szCs w:val="24"/>
        </w:rPr>
        <w:t xml:space="preserve"> 2017;</w:t>
      </w:r>
      <w:r w:rsidRPr="002645D2">
        <w:rPr>
          <w:rFonts w:ascii="Calibri" w:hAnsi="Calibri" w:cs="Calibri"/>
          <w:b/>
          <w:bCs/>
          <w:noProof/>
          <w:szCs w:val="24"/>
        </w:rPr>
        <w:t>46</w:t>
      </w:r>
      <w:r w:rsidRPr="002645D2">
        <w:rPr>
          <w:rFonts w:ascii="Calibri" w:hAnsi="Calibri" w:cs="Calibri"/>
          <w:noProof/>
          <w:szCs w:val="24"/>
        </w:rPr>
        <w:t>:589–98. doi:10.1111/apt.14224</w:t>
      </w:r>
    </w:p>
    <w:p w:rsidR="002645D2" w:rsidRPr="002645D2" w:rsidRDefault="002645D2" w:rsidP="002645D2">
      <w:pPr>
        <w:widowControl w:val="0"/>
        <w:autoSpaceDE w:val="0"/>
        <w:autoSpaceDN w:val="0"/>
        <w:adjustRightInd w:val="0"/>
        <w:spacing w:line="480" w:lineRule="auto"/>
        <w:ind w:left="640" w:hanging="640"/>
        <w:rPr>
          <w:rFonts w:ascii="Calibri" w:hAnsi="Calibri" w:cs="Calibri"/>
          <w:noProof/>
        </w:rPr>
      </w:pPr>
      <w:r w:rsidRPr="002645D2">
        <w:rPr>
          <w:rFonts w:ascii="Calibri" w:hAnsi="Calibri" w:cs="Calibri"/>
          <w:noProof/>
          <w:szCs w:val="24"/>
        </w:rPr>
        <w:lastRenderedPageBreak/>
        <w:t xml:space="preserve">9 </w:t>
      </w:r>
      <w:r w:rsidRPr="002645D2">
        <w:rPr>
          <w:rFonts w:ascii="Calibri" w:hAnsi="Calibri" w:cs="Calibri"/>
          <w:noProof/>
          <w:szCs w:val="24"/>
        </w:rPr>
        <w:tab/>
        <w:t xml:space="preserve">Hrdinka M, Schlicher L, Dai B, </w:t>
      </w:r>
      <w:r w:rsidRPr="002645D2">
        <w:rPr>
          <w:rFonts w:ascii="Calibri" w:hAnsi="Calibri" w:cs="Calibri"/>
          <w:i/>
          <w:iCs/>
          <w:noProof/>
          <w:szCs w:val="24"/>
        </w:rPr>
        <w:t>et al.</w:t>
      </w:r>
      <w:r w:rsidRPr="002645D2">
        <w:rPr>
          <w:rFonts w:ascii="Calibri" w:hAnsi="Calibri" w:cs="Calibri"/>
          <w:noProof/>
          <w:szCs w:val="24"/>
        </w:rPr>
        <w:t xml:space="preserve"> Small molecule inhibitors reveal an indispensable scaffolding role of RIPK2 in NOD2 signaling. </w:t>
      </w:r>
      <w:r w:rsidRPr="002645D2">
        <w:rPr>
          <w:rFonts w:ascii="Calibri" w:hAnsi="Calibri" w:cs="Calibri"/>
          <w:i/>
          <w:iCs/>
          <w:noProof/>
          <w:szCs w:val="24"/>
        </w:rPr>
        <w:t>EMBO J</w:t>
      </w:r>
      <w:r w:rsidRPr="002645D2">
        <w:rPr>
          <w:rFonts w:ascii="Calibri" w:hAnsi="Calibri" w:cs="Calibri"/>
          <w:noProof/>
          <w:szCs w:val="24"/>
        </w:rPr>
        <w:t xml:space="preserve"> 2018;</w:t>
      </w:r>
      <w:r w:rsidRPr="002645D2">
        <w:rPr>
          <w:rFonts w:ascii="Calibri" w:hAnsi="Calibri" w:cs="Calibri"/>
          <w:b/>
          <w:bCs/>
          <w:noProof/>
          <w:szCs w:val="24"/>
        </w:rPr>
        <w:t>37</w:t>
      </w:r>
      <w:r w:rsidRPr="002645D2">
        <w:rPr>
          <w:rFonts w:ascii="Calibri" w:hAnsi="Calibri" w:cs="Calibri"/>
          <w:noProof/>
          <w:szCs w:val="24"/>
        </w:rPr>
        <w:t>:e99372. doi:10.15252/embj.201899372</w:t>
      </w:r>
    </w:p>
    <w:p w:rsidR="00A64E1C" w:rsidRPr="00A64E1C" w:rsidRDefault="00F810E3" w:rsidP="00A64E1C">
      <w:pPr>
        <w:spacing w:line="480" w:lineRule="auto"/>
      </w:pPr>
      <w:r>
        <w:fldChar w:fldCharType="end"/>
      </w:r>
    </w:p>
    <w:p w:rsidR="006439EE" w:rsidRDefault="006439EE">
      <w:pPr>
        <w:rPr>
          <w:i/>
        </w:rPr>
      </w:pPr>
    </w:p>
    <w:p w:rsidR="006439EE" w:rsidRPr="006439EE" w:rsidRDefault="006439EE"/>
    <w:sectPr w:rsidR="006439EE" w:rsidRPr="006439EE" w:rsidSect="00F81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34C5F"/>
    <w:multiLevelType w:val="hybridMultilevel"/>
    <w:tmpl w:val="5764E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EE"/>
    <w:rsid w:val="000250E6"/>
    <w:rsid w:val="00061EE5"/>
    <w:rsid w:val="000B69A4"/>
    <w:rsid w:val="000C34B1"/>
    <w:rsid w:val="000C7A22"/>
    <w:rsid w:val="001248B6"/>
    <w:rsid w:val="00146D56"/>
    <w:rsid w:val="001B3140"/>
    <w:rsid w:val="001F5CC1"/>
    <w:rsid w:val="002645D2"/>
    <w:rsid w:val="002F4360"/>
    <w:rsid w:val="003432C9"/>
    <w:rsid w:val="00367647"/>
    <w:rsid w:val="00451575"/>
    <w:rsid w:val="0054151A"/>
    <w:rsid w:val="00584708"/>
    <w:rsid w:val="006439EE"/>
    <w:rsid w:val="006E5F5B"/>
    <w:rsid w:val="006F173F"/>
    <w:rsid w:val="00701919"/>
    <w:rsid w:val="007227BE"/>
    <w:rsid w:val="007D3118"/>
    <w:rsid w:val="007F1C07"/>
    <w:rsid w:val="008335B5"/>
    <w:rsid w:val="00877BF7"/>
    <w:rsid w:val="008A713D"/>
    <w:rsid w:val="008B45F6"/>
    <w:rsid w:val="00906259"/>
    <w:rsid w:val="009D66BA"/>
    <w:rsid w:val="009F2B22"/>
    <w:rsid w:val="00A64E1C"/>
    <w:rsid w:val="00AB1398"/>
    <w:rsid w:val="00AD169F"/>
    <w:rsid w:val="00AD7AC5"/>
    <w:rsid w:val="00B01FBC"/>
    <w:rsid w:val="00B02229"/>
    <w:rsid w:val="00BE1F03"/>
    <w:rsid w:val="00C010AF"/>
    <w:rsid w:val="00D071D8"/>
    <w:rsid w:val="00D32D84"/>
    <w:rsid w:val="00D64B66"/>
    <w:rsid w:val="00D85271"/>
    <w:rsid w:val="00E25802"/>
    <w:rsid w:val="00E33549"/>
    <w:rsid w:val="00EC121A"/>
    <w:rsid w:val="00F810E3"/>
    <w:rsid w:val="00F812F9"/>
    <w:rsid w:val="00FC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74C9C"/>
  <w15:docId w15:val="{077D5FF4-AF41-4D81-870F-1DE8A6A2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0E3"/>
  </w:style>
  <w:style w:type="paragraph" w:styleId="Heading2">
    <w:name w:val="heading 2"/>
    <w:basedOn w:val="Normal"/>
    <w:next w:val="Normal"/>
    <w:link w:val="Heading2Char"/>
    <w:uiPriority w:val="9"/>
    <w:semiHidden/>
    <w:unhideWhenUsed/>
    <w:qFormat/>
    <w:rsid w:val="00877B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E1C"/>
    <w:pPr>
      <w:ind w:left="720"/>
      <w:contextualSpacing/>
    </w:pPr>
  </w:style>
  <w:style w:type="character" w:styleId="Hyperlink">
    <w:name w:val="Hyperlink"/>
    <w:basedOn w:val="DefaultParagraphFont"/>
    <w:uiPriority w:val="99"/>
    <w:unhideWhenUsed/>
    <w:rsid w:val="00A64E1C"/>
    <w:rPr>
      <w:color w:val="0563C1" w:themeColor="hyperlink"/>
      <w:u w:val="single"/>
    </w:rPr>
  </w:style>
  <w:style w:type="paragraph" w:styleId="BalloonText">
    <w:name w:val="Balloon Text"/>
    <w:basedOn w:val="Normal"/>
    <w:link w:val="BalloonTextChar"/>
    <w:uiPriority w:val="99"/>
    <w:semiHidden/>
    <w:unhideWhenUsed/>
    <w:rsid w:val="005847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708"/>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877B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8278">
      <w:bodyDiv w:val="1"/>
      <w:marLeft w:val="0"/>
      <w:marRight w:val="0"/>
      <w:marTop w:val="0"/>
      <w:marBottom w:val="0"/>
      <w:divBdr>
        <w:top w:val="none" w:sz="0" w:space="0" w:color="auto"/>
        <w:left w:val="none" w:sz="0" w:space="0" w:color="auto"/>
        <w:bottom w:val="none" w:sz="0" w:space="0" w:color="auto"/>
        <w:right w:val="none" w:sz="0" w:space="0" w:color="auto"/>
      </w:divBdr>
    </w:div>
    <w:div w:id="5623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beattie@uhs.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A7CF-8AA2-49D1-934B-031F1BA6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5303</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J.</dc:creator>
  <cp:lastModifiedBy>Ashton J.</cp:lastModifiedBy>
  <cp:revision>12</cp:revision>
  <dcterms:created xsi:type="dcterms:W3CDTF">2019-07-26T09:30:00Z</dcterms:created>
  <dcterms:modified xsi:type="dcterms:W3CDTF">2019-08-06T13:54:00Z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dbbddcf1-2576-3385-99ee-f75c9988e972</vt:lpwstr>
  </property>
  <property fmtid="{D5CDD505-2E9C-101B-9397-08002B2CF9AE}" pid="4" name="Mendeley Citation Style_1">
    <vt:lpwstr>http://www.zotero.org/styles/bmj</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vt:lpwstr>
  </property>
  <property fmtid="{D5CDD505-2E9C-101B-9397-08002B2CF9AE}" pid="12" name="Mendeley Recent Style Name 3_1">
    <vt:lpwstr>BMJ</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