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1808" w14:textId="3436FBB0" w:rsidR="00EB4758" w:rsidRPr="00D014F3" w:rsidRDefault="00EB4758" w:rsidP="00EB4758">
      <w:pPr>
        <w:spacing w:before="100" w:beforeAutospacing="1" w:after="100" w:afterAutospacing="1" w:line="480" w:lineRule="auto"/>
        <w:rPr>
          <w:b/>
          <w:bCs/>
          <w:sz w:val="20"/>
          <w:szCs w:val="20"/>
        </w:rPr>
      </w:pPr>
      <w:bookmarkStart w:id="0" w:name="_GoBack"/>
      <w:bookmarkEnd w:id="0"/>
      <w:r w:rsidRPr="00D014F3">
        <w:rPr>
          <w:b/>
          <w:bCs/>
          <w:sz w:val="20"/>
          <w:szCs w:val="20"/>
        </w:rPr>
        <w:t xml:space="preserve">Do recovery outcome measures improve clinical practice?  A linguistic analysis of the impact of the Hope, Agency and Opportunity </w:t>
      </w:r>
      <w:r w:rsidR="00FC2D3C" w:rsidRPr="00D014F3">
        <w:rPr>
          <w:b/>
          <w:bCs/>
          <w:sz w:val="20"/>
          <w:szCs w:val="20"/>
        </w:rPr>
        <w:t xml:space="preserve">(HAO) </w:t>
      </w:r>
      <w:r w:rsidR="00A77DB1" w:rsidRPr="00D014F3">
        <w:rPr>
          <w:b/>
          <w:bCs/>
          <w:sz w:val="20"/>
          <w:szCs w:val="20"/>
        </w:rPr>
        <w:t>measure</w:t>
      </w:r>
      <w:r w:rsidRPr="00D014F3">
        <w:rPr>
          <w:b/>
          <w:bCs/>
          <w:sz w:val="20"/>
          <w:szCs w:val="20"/>
        </w:rPr>
        <w:t xml:space="preserve"> in community mental health teams</w:t>
      </w:r>
    </w:p>
    <w:p w14:paraId="2BA8C8F1" w14:textId="3B662B6E" w:rsidR="009078D0" w:rsidRPr="00D014F3" w:rsidRDefault="0017285D" w:rsidP="00EB4758">
      <w:pPr>
        <w:pStyle w:val="ABKWH"/>
        <w:spacing w:line="480" w:lineRule="auto"/>
        <w:rPr>
          <w:b/>
          <w:color w:val="000000" w:themeColor="text1"/>
          <w:sz w:val="20"/>
          <w:szCs w:val="20"/>
        </w:rPr>
      </w:pPr>
      <w:r w:rsidRPr="00D014F3">
        <w:rPr>
          <w:b/>
          <w:color w:val="000000" w:themeColor="text1"/>
          <w:sz w:val="20"/>
          <w:szCs w:val="20"/>
        </w:rPr>
        <w:t>Abstract</w:t>
      </w:r>
    </w:p>
    <w:p w14:paraId="0ABF07D3" w14:textId="384DD2EE" w:rsidR="00E919C7" w:rsidRPr="00D014F3" w:rsidRDefault="0062476D" w:rsidP="00EB4758">
      <w:pPr>
        <w:pStyle w:val="ABKW"/>
        <w:spacing w:line="480" w:lineRule="auto"/>
        <w:rPr>
          <w:b/>
          <w:sz w:val="20"/>
          <w:szCs w:val="20"/>
        </w:rPr>
      </w:pPr>
      <w:r w:rsidRPr="00D014F3">
        <w:rPr>
          <w:b/>
          <w:sz w:val="20"/>
          <w:szCs w:val="20"/>
        </w:rPr>
        <w:t>Aims:</w:t>
      </w:r>
      <w:r w:rsidR="00A23360" w:rsidRPr="00D014F3">
        <w:rPr>
          <w:b/>
          <w:sz w:val="20"/>
          <w:szCs w:val="20"/>
        </w:rPr>
        <w:t xml:space="preserve">  </w:t>
      </w:r>
      <w:r w:rsidR="00734C3F" w:rsidRPr="00D014F3">
        <w:rPr>
          <w:sz w:val="20"/>
          <w:szCs w:val="20"/>
        </w:rPr>
        <w:t>R</w:t>
      </w:r>
      <w:r w:rsidR="0038550D" w:rsidRPr="00D014F3">
        <w:rPr>
          <w:sz w:val="20"/>
          <w:szCs w:val="20"/>
        </w:rPr>
        <w:t xml:space="preserve">ecovery </w:t>
      </w:r>
      <w:r w:rsidR="00734C3F" w:rsidRPr="00D014F3">
        <w:rPr>
          <w:sz w:val="20"/>
          <w:szCs w:val="20"/>
        </w:rPr>
        <w:t>approaches</w:t>
      </w:r>
      <w:r w:rsidR="007D4C18" w:rsidRPr="00D014F3">
        <w:rPr>
          <w:sz w:val="20"/>
          <w:szCs w:val="20"/>
        </w:rPr>
        <w:t xml:space="preserve"> </w:t>
      </w:r>
      <w:r w:rsidR="00734C3F" w:rsidRPr="00D014F3">
        <w:rPr>
          <w:sz w:val="20"/>
          <w:szCs w:val="20"/>
        </w:rPr>
        <w:t>are</w:t>
      </w:r>
      <w:r w:rsidR="008040A4" w:rsidRPr="00D014F3">
        <w:rPr>
          <w:sz w:val="20"/>
          <w:szCs w:val="20"/>
        </w:rPr>
        <w:t xml:space="preserve"> identified as </w:t>
      </w:r>
      <w:r w:rsidR="00734C3F" w:rsidRPr="00D014F3">
        <w:rPr>
          <w:sz w:val="20"/>
          <w:szCs w:val="20"/>
        </w:rPr>
        <w:t>the overarching framework for</w:t>
      </w:r>
      <w:r w:rsidR="007D4C18" w:rsidRPr="00D014F3">
        <w:rPr>
          <w:sz w:val="20"/>
          <w:szCs w:val="20"/>
        </w:rPr>
        <w:t xml:space="preserve"> </w:t>
      </w:r>
      <w:r w:rsidR="008040A4" w:rsidRPr="00D014F3">
        <w:rPr>
          <w:sz w:val="20"/>
          <w:szCs w:val="20"/>
        </w:rPr>
        <w:t>improving</w:t>
      </w:r>
      <w:r w:rsidR="0038550D" w:rsidRPr="00D014F3">
        <w:rPr>
          <w:sz w:val="20"/>
          <w:szCs w:val="20"/>
        </w:rPr>
        <w:t xml:space="preserve"> mental health service</w:t>
      </w:r>
      <w:r w:rsidR="008040A4" w:rsidRPr="00D014F3">
        <w:rPr>
          <w:sz w:val="20"/>
          <w:szCs w:val="20"/>
        </w:rPr>
        <w:t>s f</w:t>
      </w:r>
      <w:r w:rsidR="0038550D" w:rsidRPr="00D014F3">
        <w:rPr>
          <w:sz w:val="20"/>
          <w:szCs w:val="20"/>
        </w:rPr>
        <w:t>or people with sever</w:t>
      </w:r>
      <w:r w:rsidR="00734C3F" w:rsidRPr="00D014F3">
        <w:rPr>
          <w:sz w:val="20"/>
          <w:szCs w:val="20"/>
        </w:rPr>
        <w:t>e and enduring conditions.  These</w:t>
      </w:r>
      <w:r w:rsidR="0038550D" w:rsidRPr="00D014F3">
        <w:rPr>
          <w:sz w:val="20"/>
          <w:szCs w:val="20"/>
        </w:rPr>
        <w:t xml:space="preserve"> </w:t>
      </w:r>
      <w:r w:rsidR="007D4C18" w:rsidRPr="00D014F3">
        <w:rPr>
          <w:sz w:val="20"/>
          <w:szCs w:val="20"/>
        </w:rPr>
        <w:t>approach</w:t>
      </w:r>
      <w:r w:rsidR="00734C3F" w:rsidRPr="00D014F3">
        <w:rPr>
          <w:sz w:val="20"/>
          <w:szCs w:val="20"/>
        </w:rPr>
        <w:t>es</w:t>
      </w:r>
      <w:r w:rsidR="00720751" w:rsidRPr="00D014F3">
        <w:rPr>
          <w:sz w:val="20"/>
          <w:szCs w:val="20"/>
        </w:rPr>
        <w:t xml:space="preserve"> </w:t>
      </w:r>
      <w:proofErr w:type="spellStart"/>
      <w:r w:rsidR="00734C3F" w:rsidRPr="00D014F3">
        <w:rPr>
          <w:sz w:val="20"/>
          <w:szCs w:val="20"/>
        </w:rPr>
        <w:t>prioritise</w:t>
      </w:r>
      <w:proofErr w:type="spellEnd"/>
      <w:r w:rsidR="0038550D" w:rsidRPr="00D014F3">
        <w:rPr>
          <w:sz w:val="20"/>
          <w:szCs w:val="20"/>
        </w:rPr>
        <w:t xml:space="preserve"> </w:t>
      </w:r>
      <w:r w:rsidR="007D3450" w:rsidRPr="00D014F3">
        <w:rPr>
          <w:sz w:val="20"/>
          <w:szCs w:val="20"/>
        </w:rPr>
        <w:t>living well with long-t</w:t>
      </w:r>
      <w:r w:rsidR="0038550D" w:rsidRPr="00D014F3">
        <w:rPr>
          <w:sz w:val="20"/>
          <w:szCs w:val="20"/>
        </w:rPr>
        <w:t>erm conditions</w:t>
      </w:r>
      <w:r w:rsidR="008C4E35" w:rsidRPr="00D014F3">
        <w:rPr>
          <w:sz w:val="20"/>
          <w:szCs w:val="20"/>
        </w:rPr>
        <w:t xml:space="preserve">, </w:t>
      </w:r>
      <w:r w:rsidR="0094040B" w:rsidRPr="00D014F3">
        <w:rPr>
          <w:sz w:val="20"/>
          <w:szCs w:val="20"/>
        </w:rPr>
        <w:t>as</w:t>
      </w:r>
      <w:r w:rsidR="00720751" w:rsidRPr="00D014F3">
        <w:rPr>
          <w:sz w:val="20"/>
          <w:szCs w:val="20"/>
        </w:rPr>
        <w:t xml:space="preserve"> evidenced by personal recovery outcomes</w:t>
      </w:r>
      <w:r w:rsidR="008C4E35" w:rsidRPr="00D014F3">
        <w:rPr>
          <w:sz w:val="20"/>
          <w:szCs w:val="20"/>
        </w:rPr>
        <w:t xml:space="preserve">. </w:t>
      </w:r>
      <w:r w:rsidR="00720751" w:rsidRPr="00D014F3">
        <w:rPr>
          <w:sz w:val="20"/>
          <w:szCs w:val="20"/>
        </w:rPr>
        <w:t xml:space="preserve"> </w:t>
      </w:r>
      <w:r w:rsidR="007D4C18" w:rsidRPr="00D014F3">
        <w:rPr>
          <w:sz w:val="20"/>
          <w:szCs w:val="20"/>
        </w:rPr>
        <w:t>T</w:t>
      </w:r>
      <w:r w:rsidR="00720751" w:rsidRPr="00D014F3">
        <w:rPr>
          <w:sz w:val="20"/>
          <w:szCs w:val="20"/>
        </w:rPr>
        <w:t>here is lit</w:t>
      </w:r>
      <w:r w:rsidR="002B4073" w:rsidRPr="00D014F3">
        <w:rPr>
          <w:sz w:val="20"/>
          <w:szCs w:val="20"/>
        </w:rPr>
        <w:t xml:space="preserve">tle research demonstrating how </w:t>
      </w:r>
      <w:r w:rsidR="00A77DB1" w:rsidRPr="00D014F3">
        <w:rPr>
          <w:sz w:val="20"/>
          <w:szCs w:val="20"/>
        </w:rPr>
        <w:t>to</w:t>
      </w:r>
      <w:r w:rsidR="00720751" w:rsidRPr="00D014F3">
        <w:rPr>
          <w:sz w:val="20"/>
          <w:szCs w:val="20"/>
        </w:rPr>
        <w:t xml:space="preserve"> </w:t>
      </w:r>
      <w:r w:rsidR="007D4C18" w:rsidRPr="00D014F3">
        <w:rPr>
          <w:sz w:val="20"/>
          <w:szCs w:val="20"/>
        </w:rPr>
        <w:t>support</w:t>
      </w:r>
      <w:r w:rsidR="002B4073" w:rsidRPr="00D014F3">
        <w:rPr>
          <w:sz w:val="20"/>
          <w:szCs w:val="20"/>
        </w:rPr>
        <w:t xml:space="preserve"> </w:t>
      </w:r>
      <w:r w:rsidR="00D031B3" w:rsidRPr="00D014F3">
        <w:rPr>
          <w:sz w:val="20"/>
          <w:szCs w:val="20"/>
        </w:rPr>
        <w:t xml:space="preserve">busy </w:t>
      </w:r>
      <w:r w:rsidR="002B4073" w:rsidRPr="00D014F3">
        <w:rPr>
          <w:sz w:val="20"/>
          <w:szCs w:val="20"/>
        </w:rPr>
        <w:t xml:space="preserve">mental health teams </w:t>
      </w:r>
      <w:r w:rsidR="00D031B3" w:rsidRPr="00D014F3">
        <w:rPr>
          <w:sz w:val="20"/>
          <w:szCs w:val="20"/>
        </w:rPr>
        <w:t>work in this way</w:t>
      </w:r>
      <w:r w:rsidR="002B4073" w:rsidRPr="00D014F3">
        <w:rPr>
          <w:sz w:val="20"/>
          <w:szCs w:val="20"/>
        </w:rPr>
        <w:t xml:space="preserve">.  </w:t>
      </w:r>
      <w:r w:rsidRPr="00D014F3">
        <w:rPr>
          <w:sz w:val="20"/>
          <w:szCs w:val="20"/>
        </w:rPr>
        <w:t xml:space="preserve">This study </w:t>
      </w:r>
      <w:r w:rsidR="002B4073" w:rsidRPr="00D014F3">
        <w:rPr>
          <w:sz w:val="20"/>
          <w:szCs w:val="20"/>
        </w:rPr>
        <w:t>assessed</w:t>
      </w:r>
      <w:r w:rsidRPr="00D014F3">
        <w:rPr>
          <w:sz w:val="20"/>
          <w:szCs w:val="20"/>
        </w:rPr>
        <w:t xml:space="preserve"> the impact </w:t>
      </w:r>
      <w:r w:rsidR="00F826B1" w:rsidRPr="00D014F3">
        <w:rPr>
          <w:sz w:val="20"/>
          <w:szCs w:val="20"/>
        </w:rPr>
        <w:t>of introducing a brief measure of recovery</w:t>
      </w:r>
      <w:r w:rsidR="00FC2D3C" w:rsidRPr="00D014F3">
        <w:rPr>
          <w:sz w:val="20"/>
          <w:szCs w:val="20"/>
        </w:rPr>
        <w:t>, the HAO,</w:t>
      </w:r>
      <w:r w:rsidR="00F826B1" w:rsidRPr="00D014F3">
        <w:rPr>
          <w:sz w:val="20"/>
          <w:szCs w:val="20"/>
        </w:rPr>
        <w:t xml:space="preserve"> </w:t>
      </w:r>
      <w:r w:rsidRPr="00D014F3">
        <w:rPr>
          <w:sz w:val="20"/>
          <w:szCs w:val="20"/>
        </w:rPr>
        <w:t xml:space="preserve">on </w:t>
      </w:r>
      <w:r w:rsidR="00F826B1" w:rsidRPr="00D014F3">
        <w:rPr>
          <w:sz w:val="20"/>
          <w:szCs w:val="20"/>
        </w:rPr>
        <w:t>the attitudes and behaviour</w:t>
      </w:r>
      <w:r w:rsidR="0087661A" w:rsidRPr="00D014F3">
        <w:rPr>
          <w:sz w:val="20"/>
          <w:szCs w:val="20"/>
        </w:rPr>
        <w:t>s</w:t>
      </w:r>
      <w:r w:rsidR="00F826B1" w:rsidRPr="00D014F3">
        <w:rPr>
          <w:sz w:val="20"/>
          <w:szCs w:val="20"/>
        </w:rPr>
        <w:t xml:space="preserve"> of staff working in community mental health teams, to test whether routine use of such </w:t>
      </w:r>
      <w:r w:rsidR="00A77DB1" w:rsidRPr="00D014F3">
        <w:rPr>
          <w:sz w:val="20"/>
          <w:szCs w:val="20"/>
        </w:rPr>
        <w:t>measure</w:t>
      </w:r>
      <w:r w:rsidR="00F826B1" w:rsidRPr="00D014F3">
        <w:rPr>
          <w:sz w:val="20"/>
          <w:szCs w:val="20"/>
        </w:rPr>
        <w:t>s facilitates recovery-based practice.</w:t>
      </w:r>
    </w:p>
    <w:p w14:paraId="3DCA2051" w14:textId="3ED88D82" w:rsidR="00E919C7" w:rsidRPr="00D014F3" w:rsidRDefault="0062476D" w:rsidP="00EB4758">
      <w:pPr>
        <w:pStyle w:val="ABKW"/>
        <w:spacing w:line="480" w:lineRule="auto"/>
        <w:rPr>
          <w:sz w:val="20"/>
          <w:szCs w:val="20"/>
        </w:rPr>
      </w:pPr>
      <w:r w:rsidRPr="00D014F3">
        <w:rPr>
          <w:b/>
          <w:sz w:val="20"/>
          <w:szCs w:val="20"/>
        </w:rPr>
        <w:t xml:space="preserve">Methods: </w:t>
      </w:r>
      <w:r w:rsidR="00EB4758" w:rsidRPr="00D014F3">
        <w:rPr>
          <w:b/>
          <w:sz w:val="20"/>
          <w:szCs w:val="20"/>
        </w:rPr>
        <w:t xml:space="preserve"> </w:t>
      </w:r>
      <w:r w:rsidR="00F826B1" w:rsidRPr="00D014F3">
        <w:rPr>
          <w:sz w:val="20"/>
          <w:szCs w:val="20"/>
        </w:rPr>
        <w:t>Linguistic analysis</w:t>
      </w:r>
      <w:r w:rsidR="00F826B1" w:rsidRPr="00D014F3">
        <w:rPr>
          <w:b/>
          <w:sz w:val="20"/>
          <w:szCs w:val="20"/>
        </w:rPr>
        <w:t xml:space="preserve"> </w:t>
      </w:r>
      <w:r w:rsidR="00F826B1" w:rsidRPr="00D014F3">
        <w:rPr>
          <w:sz w:val="20"/>
          <w:szCs w:val="20"/>
        </w:rPr>
        <w:t xml:space="preserve">assumes that </w:t>
      </w:r>
      <w:r w:rsidRPr="00D014F3">
        <w:rPr>
          <w:sz w:val="20"/>
          <w:szCs w:val="20"/>
        </w:rPr>
        <w:t>language is indicative of wider attitudes and behaviour</w:t>
      </w:r>
      <w:r w:rsidR="0087661A" w:rsidRPr="00D014F3">
        <w:rPr>
          <w:sz w:val="20"/>
          <w:szCs w:val="20"/>
        </w:rPr>
        <w:t>s</w:t>
      </w:r>
      <w:r w:rsidR="00F826B1" w:rsidRPr="00D014F3">
        <w:rPr>
          <w:sz w:val="20"/>
          <w:szCs w:val="20"/>
        </w:rPr>
        <w:t>.  A</w:t>
      </w:r>
      <w:r w:rsidRPr="00D014F3">
        <w:rPr>
          <w:sz w:val="20"/>
          <w:szCs w:val="20"/>
        </w:rPr>
        <w:t xml:space="preserve">nonymised </w:t>
      </w:r>
      <w:r w:rsidR="0094040B" w:rsidRPr="00D014F3">
        <w:rPr>
          <w:sz w:val="20"/>
          <w:szCs w:val="20"/>
        </w:rPr>
        <w:t>clinical</w:t>
      </w:r>
      <w:r w:rsidRPr="00D014F3">
        <w:rPr>
          <w:sz w:val="20"/>
          <w:szCs w:val="20"/>
        </w:rPr>
        <w:t xml:space="preserve"> </w:t>
      </w:r>
      <w:r w:rsidR="00F826B1" w:rsidRPr="00D014F3">
        <w:rPr>
          <w:sz w:val="20"/>
          <w:szCs w:val="20"/>
        </w:rPr>
        <w:t>notes</w:t>
      </w:r>
      <w:r w:rsidRPr="00D014F3">
        <w:rPr>
          <w:sz w:val="20"/>
          <w:szCs w:val="20"/>
        </w:rPr>
        <w:t xml:space="preserve"> recorded by </w:t>
      </w:r>
      <w:r w:rsidR="00F826B1" w:rsidRPr="00D014F3">
        <w:rPr>
          <w:sz w:val="20"/>
          <w:szCs w:val="20"/>
        </w:rPr>
        <w:t>community m</w:t>
      </w:r>
      <w:r w:rsidRPr="00D014F3">
        <w:rPr>
          <w:sz w:val="20"/>
          <w:szCs w:val="20"/>
        </w:rPr>
        <w:t>ent</w:t>
      </w:r>
      <w:r w:rsidR="00F826B1" w:rsidRPr="00D014F3">
        <w:rPr>
          <w:sz w:val="20"/>
          <w:szCs w:val="20"/>
        </w:rPr>
        <w:t xml:space="preserve">al health team </w:t>
      </w:r>
      <w:r w:rsidR="00054C6C" w:rsidRPr="00D014F3">
        <w:rPr>
          <w:sz w:val="20"/>
          <w:szCs w:val="20"/>
        </w:rPr>
        <w:t>clinicians</w:t>
      </w:r>
      <w:r w:rsidR="005C7A42" w:rsidRPr="00D014F3">
        <w:rPr>
          <w:sz w:val="20"/>
          <w:szCs w:val="20"/>
        </w:rPr>
        <w:t xml:space="preserve"> were analysed</w:t>
      </w:r>
      <w:r w:rsidR="00F826B1" w:rsidRPr="00D014F3">
        <w:rPr>
          <w:sz w:val="20"/>
          <w:szCs w:val="20"/>
        </w:rPr>
        <w:t xml:space="preserve"> for recovery and non-recovery language, over </w:t>
      </w:r>
      <w:r w:rsidR="006228D9" w:rsidRPr="00D014F3">
        <w:rPr>
          <w:sz w:val="20"/>
          <w:szCs w:val="20"/>
        </w:rPr>
        <w:t>30 months</w:t>
      </w:r>
      <w:r w:rsidRPr="00D014F3">
        <w:rPr>
          <w:sz w:val="20"/>
          <w:szCs w:val="20"/>
        </w:rPr>
        <w:t xml:space="preserve">.  </w:t>
      </w:r>
      <w:r w:rsidR="00F826B1" w:rsidRPr="00D014F3">
        <w:rPr>
          <w:sz w:val="20"/>
          <w:szCs w:val="20"/>
        </w:rPr>
        <w:t xml:space="preserve">This covered periods before, during and after the introduction of the recovery measure.  We </w:t>
      </w:r>
      <w:r w:rsidR="005C7A42" w:rsidRPr="00D014F3">
        <w:rPr>
          <w:sz w:val="20"/>
          <w:szCs w:val="20"/>
        </w:rPr>
        <w:t xml:space="preserve">used </w:t>
      </w:r>
      <w:r w:rsidR="00FC2D3C" w:rsidRPr="00D014F3">
        <w:rPr>
          <w:sz w:val="20"/>
          <w:szCs w:val="20"/>
        </w:rPr>
        <w:t xml:space="preserve">a </w:t>
      </w:r>
      <w:r w:rsidR="005C7A42" w:rsidRPr="00D014F3">
        <w:rPr>
          <w:sz w:val="20"/>
          <w:szCs w:val="20"/>
        </w:rPr>
        <w:t xml:space="preserve">single-case </w:t>
      </w:r>
      <w:r w:rsidR="00FC2D3C" w:rsidRPr="00D014F3">
        <w:rPr>
          <w:sz w:val="20"/>
          <w:szCs w:val="20"/>
        </w:rPr>
        <w:t>design</w:t>
      </w:r>
      <w:r w:rsidR="0099087D" w:rsidRPr="00D014F3">
        <w:rPr>
          <w:sz w:val="20"/>
          <w:szCs w:val="20"/>
        </w:rPr>
        <w:t xml:space="preserve"> (N=1 community mental health team)</w:t>
      </w:r>
      <w:r w:rsidR="005C7A42" w:rsidRPr="00D014F3">
        <w:rPr>
          <w:sz w:val="20"/>
          <w:szCs w:val="20"/>
        </w:rPr>
        <w:t xml:space="preserve">, and </w:t>
      </w:r>
      <w:r w:rsidRPr="00D014F3">
        <w:rPr>
          <w:sz w:val="20"/>
          <w:szCs w:val="20"/>
        </w:rPr>
        <w:t xml:space="preserve">hypothesised that clinicians </w:t>
      </w:r>
      <w:r w:rsidR="00F826B1" w:rsidRPr="00D014F3">
        <w:rPr>
          <w:sz w:val="20"/>
          <w:szCs w:val="20"/>
        </w:rPr>
        <w:t xml:space="preserve">would use </w:t>
      </w:r>
      <w:proofErr w:type="gramStart"/>
      <w:r w:rsidRPr="00D014F3">
        <w:rPr>
          <w:sz w:val="20"/>
          <w:szCs w:val="20"/>
        </w:rPr>
        <w:t>recovery</w:t>
      </w:r>
      <w:proofErr w:type="gramEnd"/>
      <w:r w:rsidR="005C7A42" w:rsidRPr="00D014F3">
        <w:rPr>
          <w:sz w:val="20"/>
          <w:szCs w:val="20"/>
        </w:rPr>
        <w:t xml:space="preserve"> </w:t>
      </w:r>
      <w:r w:rsidRPr="00D014F3">
        <w:rPr>
          <w:sz w:val="20"/>
          <w:szCs w:val="20"/>
        </w:rPr>
        <w:t>focused language more frequently</w:t>
      </w:r>
      <w:r w:rsidR="005C7A42" w:rsidRPr="00D014F3">
        <w:rPr>
          <w:sz w:val="20"/>
          <w:szCs w:val="20"/>
        </w:rPr>
        <w:t>, and non-recovery focused language less frequently,</w:t>
      </w:r>
      <w:r w:rsidRPr="00D014F3">
        <w:rPr>
          <w:sz w:val="20"/>
          <w:szCs w:val="20"/>
        </w:rPr>
        <w:t xml:space="preserve"> </w:t>
      </w:r>
      <w:r w:rsidR="005C7A42" w:rsidRPr="00D014F3">
        <w:rPr>
          <w:sz w:val="20"/>
          <w:szCs w:val="20"/>
        </w:rPr>
        <w:t>following</w:t>
      </w:r>
      <w:r w:rsidRPr="00D014F3">
        <w:rPr>
          <w:sz w:val="20"/>
          <w:szCs w:val="20"/>
        </w:rPr>
        <w:t xml:space="preserve"> the introduction of the </w:t>
      </w:r>
      <w:r w:rsidR="00F826B1" w:rsidRPr="00D014F3">
        <w:rPr>
          <w:sz w:val="20"/>
          <w:szCs w:val="20"/>
        </w:rPr>
        <w:t>measure</w:t>
      </w:r>
      <w:r w:rsidRPr="00D014F3">
        <w:rPr>
          <w:sz w:val="20"/>
          <w:szCs w:val="20"/>
        </w:rPr>
        <w:t xml:space="preserve">, and </w:t>
      </w:r>
      <w:r w:rsidR="005C7A42" w:rsidRPr="00D014F3">
        <w:rPr>
          <w:sz w:val="20"/>
          <w:szCs w:val="20"/>
        </w:rPr>
        <w:t xml:space="preserve">that </w:t>
      </w:r>
      <w:r w:rsidR="00D87139" w:rsidRPr="00D014F3">
        <w:rPr>
          <w:sz w:val="20"/>
          <w:szCs w:val="20"/>
        </w:rPr>
        <w:t>these changes</w:t>
      </w:r>
      <w:r w:rsidRPr="00D014F3">
        <w:rPr>
          <w:sz w:val="20"/>
          <w:szCs w:val="20"/>
        </w:rPr>
        <w:t xml:space="preserve"> </w:t>
      </w:r>
      <w:r w:rsidR="005C7A42" w:rsidRPr="00D014F3">
        <w:rPr>
          <w:sz w:val="20"/>
          <w:szCs w:val="20"/>
        </w:rPr>
        <w:t>would</w:t>
      </w:r>
      <w:r w:rsidRPr="00D014F3">
        <w:rPr>
          <w:sz w:val="20"/>
          <w:szCs w:val="20"/>
        </w:rPr>
        <w:t xml:space="preserve"> be maintained </w:t>
      </w:r>
      <w:r w:rsidR="005C7A42" w:rsidRPr="00D014F3">
        <w:rPr>
          <w:sz w:val="20"/>
          <w:szCs w:val="20"/>
        </w:rPr>
        <w:t>at</w:t>
      </w:r>
      <w:r w:rsidRPr="00D014F3">
        <w:rPr>
          <w:sz w:val="20"/>
          <w:szCs w:val="20"/>
        </w:rPr>
        <w:t xml:space="preserve"> 18-month </w:t>
      </w:r>
      <w:r w:rsidR="005C7A42" w:rsidRPr="00D014F3">
        <w:rPr>
          <w:sz w:val="20"/>
          <w:szCs w:val="20"/>
        </w:rPr>
        <w:t>follow-up.</w:t>
      </w:r>
    </w:p>
    <w:p w14:paraId="2323E2EE" w14:textId="17C48AAF" w:rsidR="00A23360" w:rsidRPr="00D014F3" w:rsidRDefault="0062476D" w:rsidP="00EB4758">
      <w:pPr>
        <w:pStyle w:val="ABKW"/>
        <w:spacing w:line="480" w:lineRule="auto"/>
        <w:rPr>
          <w:sz w:val="20"/>
          <w:szCs w:val="20"/>
        </w:rPr>
      </w:pPr>
      <w:r w:rsidRPr="00D014F3">
        <w:rPr>
          <w:b/>
          <w:sz w:val="20"/>
          <w:szCs w:val="20"/>
        </w:rPr>
        <w:t xml:space="preserve">Results: </w:t>
      </w:r>
      <w:r w:rsidR="00EB4758" w:rsidRPr="00D014F3">
        <w:rPr>
          <w:b/>
          <w:sz w:val="20"/>
          <w:szCs w:val="20"/>
        </w:rPr>
        <w:t xml:space="preserve"> </w:t>
      </w:r>
      <w:r w:rsidR="005C7A42" w:rsidRPr="00D014F3">
        <w:rPr>
          <w:sz w:val="20"/>
          <w:szCs w:val="20"/>
        </w:rPr>
        <w:t xml:space="preserve">Visual </w:t>
      </w:r>
      <w:r w:rsidR="00841436" w:rsidRPr="00D014F3">
        <w:rPr>
          <w:sz w:val="20"/>
          <w:szCs w:val="20"/>
        </w:rPr>
        <w:t>inspection of the data</w:t>
      </w:r>
      <w:r w:rsidRPr="00D014F3">
        <w:rPr>
          <w:sz w:val="20"/>
          <w:szCs w:val="20"/>
        </w:rPr>
        <w:t xml:space="preserve"> </w:t>
      </w:r>
      <w:r w:rsidR="00FB3023" w:rsidRPr="00D014F3">
        <w:rPr>
          <w:sz w:val="20"/>
          <w:szCs w:val="20"/>
        </w:rPr>
        <w:t>indicated</w:t>
      </w:r>
      <w:r w:rsidR="005C7A42" w:rsidRPr="00D014F3">
        <w:rPr>
          <w:sz w:val="20"/>
          <w:szCs w:val="20"/>
        </w:rPr>
        <w:t xml:space="preserve"> that </w:t>
      </w:r>
      <w:r w:rsidRPr="00D014F3">
        <w:rPr>
          <w:sz w:val="20"/>
          <w:szCs w:val="20"/>
        </w:rPr>
        <w:t>recovery-focused language increased</w:t>
      </w:r>
      <w:r w:rsidR="00FB3023" w:rsidRPr="00D014F3">
        <w:rPr>
          <w:sz w:val="20"/>
          <w:szCs w:val="20"/>
        </w:rPr>
        <w:t xml:space="preserve"> following the introduction of the HAO,</w:t>
      </w:r>
      <w:r w:rsidRPr="00D014F3">
        <w:rPr>
          <w:sz w:val="20"/>
          <w:szCs w:val="20"/>
        </w:rPr>
        <w:t xml:space="preserve"> though this was not maintained</w:t>
      </w:r>
      <w:r w:rsidR="008B4580" w:rsidRPr="00D014F3">
        <w:rPr>
          <w:sz w:val="20"/>
          <w:szCs w:val="20"/>
        </w:rPr>
        <w:t xml:space="preserve"> at follow-up</w:t>
      </w:r>
      <w:r w:rsidRPr="00D014F3">
        <w:rPr>
          <w:sz w:val="20"/>
          <w:szCs w:val="20"/>
        </w:rPr>
        <w:t xml:space="preserve">.  </w:t>
      </w:r>
      <w:r w:rsidR="008B4580" w:rsidRPr="00D014F3">
        <w:rPr>
          <w:sz w:val="20"/>
          <w:szCs w:val="20"/>
        </w:rPr>
        <w:t xml:space="preserve">This pattern was not supported by </w:t>
      </w:r>
      <w:r w:rsidR="0099087D" w:rsidRPr="00D014F3">
        <w:rPr>
          <w:sz w:val="20"/>
          <w:szCs w:val="20"/>
        </w:rPr>
        <w:t>statistical analyse</w:t>
      </w:r>
      <w:r w:rsidR="008B4580" w:rsidRPr="00D014F3">
        <w:rPr>
          <w:sz w:val="20"/>
          <w:szCs w:val="20"/>
        </w:rPr>
        <w:t xml:space="preserve">s.  </w:t>
      </w:r>
      <w:r w:rsidR="005C7A42" w:rsidRPr="00D014F3">
        <w:rPr>
          <w:sz w:val="20"/>
          <w:szCs w:val="20"/>
        </w:rPr>
        <w:t xml:space="preserve">No clear </w:t>
      </w:r>
      <w:r w:rsidR="0087661A" w:rsidRPr="00D014F3">
        <w:rPr>
          <w:sz w:val="20"/>
          <w:szCs w:val="20"/>
        </w:rPr>
        <w:t xml:space="preserve">pattern of </w:t>
      </w:r>
      <w:r w:rsidR="005C7A42" w:rsidRPr="00D014F3">
        <w:rPr>
          <w:sz w:val="20"/>
          <w:szCs w:val="20"/>
        </w:rPr>
        <w:t xml:space="preserve">change was found </w:t>
      </w:r>
      <w:r w:rsidR="00FB3023" w:rsidRPr="00D014F3">
        <w:rPr>
          <w:sz w:val="20"/>
          <w:szCs w:val="20"/>
        </w:rPr>
        <w:t>for n</w:t>
      </w:r>
      <w:r w:rsidR="005C7A42" w:rsidRPr="00D014F3">
        <w:rPr>
          <w:sz w:val="20"/>
          <w:szCs w:val="20"/>
        </w:rPr>
        <w:t xml:space="preserve">on-recovery </w:t>
      </w:r>
      <w:r w:rsidRPr="00D014F3">
        <w:rPr>
          <w:sz w:val="20"/>
          <w:szCs w:val="20"/>
        </w:rPr>
        <w:t>focused language</w:t>
      </w:r>
      <w:r w:rsidR="008B4580" w:rsidRPr="00D014F3">
        <w:rPr>
          <w:sz w:val="20"/>
          <w:szCs w:val="20"/>
        </w:rPr>
        <w:t>.</w:t>
      </w:r>
    </w:p>
    <w:p w14:paraId="4FC4FA8F" w14:textId="6A60CD37" w:rsidR="00E40996" w:rsidRPr="00D014F3" w:rsidRDefault="0038550D" w:rsidP="00E40996">
      <w:pPr>
        <w:pStyle w:val="ABKW"/>
        <w:spacing w:line="480" w:lineRule="auto"/>
        <w:rPr>
          <w:sz w:val="20"/>
          <w:szCs w:val="20"/>
        </w:rPr>
      </w:pPr>
      <w:r w:rsidRPr="00D014F3">
        <w:rPr>
          <w:b/>
          <w:sz w:val="20"/>
          <w:szCs w:val="20"/>
        </w:rPr>
        <w:lastRenderedPageBreak/>
        <w:t>Conclusion</w:t>
      </w:r>
      <w:r w:rsidR="0062476D" w:rsidRPr="00D014F3">
        <w:rPr>
          <w:b/>
          <w:sz w:val="20"/>
          <w:szCs w:val="20"/>
        </w:rPr>
        <w:t xml:space="preserve">: </w:t>
      </w:r>
      <w:r w:rsidR="00EB4758" w:rsidRPr="00D014F3">
        <w:rPr>
          <w:b/>
          <w:sz w:val="20"/>
          <w:szCs w:val="20"/>
        </w:rPr>
        <w:t xml:space="preserve"> </w:t>
      </w:r>
      <w:r w:rsidR="00E40996" w:rsidRPr="00D014F3">
        <w:rPr>
          <w:sz w:val="20"/>
          <w:szCs w:val="20"/>
        </w:rPr>
        <w:t>The introduction of a brief measure of recovery may have influenced staff attitudes and behaviour</w:t>
      </w:r>
      <w:r w:rsidR="0087661A" w:rsidRPr="00D014F3">
        <w:rPr>
          <w:sz w:val="20"/>
          <w:szCs w:val="20"/>
        </w:rPr>
        <w:t>s</w:t>
      </w:r>
      <w:r w:rsidR="00E40996" w:rsidRPr="00D014F3">
        <w:rPr>
          <w:sz w:val="20"/>
          <w:szCs w:val="20"/>
        </w:rPr>
        <w:t xml:space="preserve"> temporarily.  Any longer-term impact is likely to depend on ongoing </w:t>
      </w:r>
      <w:r w:rsidR="0087661A" w:rsidRPr="00D014F3">
        <w:rPr>
          <w:sz w:val="20"/>
          <w:szCs w:val="20"/>
        </w:rPr>
        <w:t xml:space="preserve">commitment </w:t>
      </w:r>
      <w:r w:rsidR="00D87139" w:rsidRPr="00D014F3">
        <w:rPr>
          <w:sz w:val="20"/>
          <w:szCs w:val="20"/>
        </w:rPr>
        <w:t xml:space="preserve">to </w:t>
      </w:r>
      <w:r w:rsidR="0087661A" w:rsidRPr="00D014F3">
        <w:rPr>
          <w:sz w:val="20"/>
          <w:szCs w:val="20"/>
        </w:rPr>
        <w:t xml:space="preserve">the use of the </w:t>
      </w:r>
      <w:r w:rsidR="00382EEE" w:rsidRPr="00D014F3">
        <w:rPr>
          <w:sz w:val="20"/>
          <w:szCs w:val="20"/>
        </w:rPr>
        <w:t>measure</w:t>
      </w:r>
      <w:r w:rsidR="0087661A" w:rsidRPr="00D014F3">
        <w:rPr>
          <w:sz w:val="20"/>
          <w:szCs w:val="20"/>
        </w:rPr>
        <w:t xml:space="preserve">, </w:t>
      </w:r>
      <w:r w:rsidR="00E40996" w:rsidRPr="00D014F3">
        <w:rPr>
          <w:sz w:val="20"/>
          <w:szCs w:val="20"/>
        </w:rPr>
        <w:t>without which staff language, attitudes and behaviours return to previous levels.</w:t>
      </w:r>
    </w:p>
    <w:p w14:paraId="5721249C" w14:textId="77777777" w:rsidR="00E40996" w:rsidRPr="00D014F3" w:rsidRDefault="00E40996" w:rsidP="00E40996">
      <w:pPr>
        <w:pStyle w:val="ABKW"/>
        <w:spacing w:line="480" w:lineRule="auto"/>
        <w:rPr>
          <w:b/>
          <w:sz w:val="20"/>
          <w:szCs w:val="20"/>
        </w:rPr>
      </w:pPr>
    </w:p>
    <w:p w14:paraId="5B8033B7" w14:textId="507C9446" w:rsidR="006042B0" w:rsidRPr="00D014F3" w:rsidRDefault="0062476D" w:rsidP="00EB4758">
      <w:pPr>
        <w:pStyle w:val="ABKW"/>
        <w:spacing w:line="480" w:lineRule="auto"/>
        <w:rPr>
          <w:sz w:val="20"/>
          <w:szCs w:val="20"/>
        </w:rPr>
      </w:pPr>
      <w:r w:rsidRPr="00D014F3">
        <w:rPr>
          <w:b/>
          <w:sz w:val="20"/>
          <w:szCs w:val="20"/>
        </w:rPr>
        <w:t>Keywords</w:t>
      </w:r>
      <w:r w:rsidRPr="00D014F3">
        <w:rPr>
          <w:sz w:val="20"/>
          <w:szCs w:val="20"/>
        </w:rPr>
        <w:t>:</w:t>
      </w:r>
      <w:r w:rsidRPr="00D014F3">
        <w:rPr>
          <w:i/>
          <w:sz w:val="20"/>
          <w:szCs w:val="20"/>
        </w:rPr>
        <w:t xml:space="preserve"> </w:t>
      </w:r>
      <w:r w:rsidRPr="00D014F3">
        <w:rPr>
          <w:sz w:val="20"/>
          <w:szCs w:val="20"/>
        </w:rPr>
        <w:t xml:space="preserve">mental health, </w:t>
      </w:r>
      <w:r w:rsidR="00416FF5" w:rsidRPr="00D014F3">
        <w:rPr>
          <w:sz w:val="20"/>
          <w:szCs w:val="20"/>
        </w:rPr>
        <w:t>recovery, out</w:t>
      </w:r>
      <w:r w:rsidR="00D87139" w:rsidRPr="00D014F3">
        <w:rPr>
          <w:sz w:val="20"/>
          <w:szCs w:val="20"/>
        </w:rPr>
        <w:t>come measures, H</w:t>
      </w:r>
      <w:r w:rsidR="00E40996" w:rsidRPr="00D014F3">
        <w:rPr>
          <w:sz w:val="20"/>
          <w:szCs w:val="20"/>
        </w:rPr>
        <w:t>AO</w:t>
      </w:r>
    </w:p>
    <w:p w14:paraId="7B96C31F" w14:textId="77777777" w:rsidR="00E40996" w:rsidRPr="00D014F3" w:rsidRDefault="00E40996" w:rsidP="00EB4758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24FD168C" w14:textId="77777777" w:rsidR="00B542C5" w:rsidRPr="00D014F3" w:rsidRDefault="00B542C5" w:rsidP="00EB4758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br w:type="page"/>
      </w:r>
    </w:p>
    <w:p w14:paraId="604CD6AF" w14:textId="23325421" w:rsidR="00F41BF5" w:rsidRPr="00D014F3" w:rsidRDefault="00F41BF5" w:rsidP="00EB4758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lastRenderedPageBreak/>
        <w:t>Introduction</w:t>
      </w:r>
    </w:p>
    <w:p w14:paraId="7ED4E44B" w14:textId="04D1E254" w:rsidR="00F41BF5" w:rsidRPr="00D014F3" w:rsidRDefault="00F41BF5" w:rsidP="00EC4E11">
      <w:pPr>
        <w:pStyle w:val="TEXTIND"/>
        <w:spacing w:line="480" w:lineRule="auto"/>
        <w:ind w:firstLine="0"/>
        <w:rPr>
          <w:color w:val="000000" w:themeColor="text1"/>
          <w:sz w:val="20"/>
          <w:szCs w:val="20"/>
          <w:lang w:val="en-GB"/>
        </w:rPr>
      </w:pPr>
      <w:r w:rsidRPr="00D014F3">
        <w:rPr>
          <w:color w:val="000000" w:themeColor="text1"/>
          <w:sz w:val="20"/>
          <w:szCs w:val="20"/>
          <w:lang w:val="en-GB"/>
        </w:rPr>
        <w:t xml:space="preserve">The concept of mental health recovery has </w:t>
      </w:r>
      <w:r w:rsidR="00327299" w:rsidRPr="00D014F3">
        <w:rPr>
          <w:color w:val="000000" w:themeColor="text1"/>
          <w:sz w:val="20"/>
          <w:szCs w:val="20"/>
          <w:lang w:val="en-GB"/>
        </w:rPr>
        <w:t>evolved</w:t>
      </w:r>
      <w:r w:rsidR="0099087D" w:rsidRPr="00D014F3">
        <w:rPr>
          <w:color w:val="000000" w:themeColor="text1"/>
          <w:sz w:val="20"/>
          <w:szCs w:val="20"/>
          <w:lang w:val="en-GB"/>
        </w:rPr>
        <w:t xml:space="preserve"> over the last two decades</w:t>
      </w:r>
      <w:r w:rsidR="0099087D" w:rsidRPr="00D014F3">
        <w:rPr>
          <w:color w:val="000000" w:themeColor="text1"/>
          <w:sz w:val="20"/>
          <w:szCs w:val="20"/>
          <w:vertAlign w:val="superscript"/>
          <w:lang w:val="en-GB"/>
        </w:rPr>
        <w:t>1</w:t>
      </w:r>
      <w:proofErr w:type="gramStart"/>
      <w:r w:rsidR="0099087D" w:rsidRPr="00D014F3">
        <w:rPr>
          <w:color w:val="000000" w:themeColor="text1"/>
          <w:sz w:val="20"/>
          <w:szCs w:val="20"/>
          <w:vertAlign w:val="superscript"/>
          <w:lang w:val="en-GB"/>
        </w:rPr>
        <w:t>,2</w:t>
      </w:r>
      <w:proofErr w:type="gramEnd"/>
      <w:r w:rsidR="000647E8" w:rsidRPr="00D014F3">
        <w:rPr>
          <w:color w:val="000000" w:themeColor="text1"/>
          <w:sz w:val="20"/>
          <w:szCs w:val="20"/>
          <w:lang w:val="en-GB"/>
        </w:rPr>
        <w:t xml:space="preserve">.  </w:t>
      </w:r>
      <w:r w:rsidRPr="00D014F3">
        <w:rPr>
          <w:color w:val="000000" w:themeColor="text1"/>
          <w:sz w:val="20"/>
          <w:szCs w:val="20"/>
          <w:lang w:val="en-GB"/>
        </w:rPr>
        <w:t>Conventionally, mental health is defined in clinical terms</w:t>
      </w:r>
      <w:r w:rsidR="0029251A" w:rsidRPr="00D014F3">
        <w:rPr>
          <w:color w:val="000000" w:themeColor="text1"/>
          <w:sz w:val="20"/>
          <w:szCs w:val="20"/>
          <w:lang w:val="en-GB"/>
        </w:rPr>
        <w:t>; p</w:t>
      </w:r>
      <w:r w:rsidRPr="00D014F3">
        <w:rPr>
          <w:color w:val="000000" w:themeColor="text1"/>
          <w:sz w:val="20"/>
          <w:szCs w:val="20"/>
          <w:lang w:val="en-GB"/>
        </w:rPr>
        <w:t xml:space="preserve">atient symptomatology </w:t>
      </w:r>
      <w:r w:rsidR="00327299" w:rsidRPr="00D014F3">
        <w:rPr>
          <w:color w:val="000000" w:themeColor="text1"/>
          <w:sz w:val="20"/>
          <w:szCs w:val="20"/>
          <w:lang w:val="en-GB"/>
        </w:rPr>
        <w:t xml:space="preserve">is assessed regularly </w:t>
      </w:r>
      <w:r w:rsidRPr="00D014F3">
        <w:rPr>
          <w:color w:val="000000" w:themeColor="text1"/>
          <w:sz w:val="20"/>
          <w:szCs w:val="20"/>
          <w:lang w:val="en-GB"/>
        </w:rPr>
        <w:t>(e.g. low mood</w:t>
      </w:r>
      <w:r w:rsidR="00327299" w:rsidRPr="00D014F3">
        <w:rPr>
          <w:color w:val="000000" w:themeColor="text1"/>
          <w:sz w:val="20"/>
          <w:szCs w:val="20"/>
          <w:lang w:val="en-GB"/>
        </w:rPr>
        <w:t>, voices</w:t>
      </w:r>
      <w:r w:rsidRPr="00D014F3">
        <w:rPr>
          <w:color w:val="000000" w:themeColor="text1"/>
          <w:sz w:val="20"/>
          <w:szCs w:val="20"/>
          <w:lang w:val="en-GB"/>
        </w:rPr>
        <w:t xml:space="preserve">) to establish </w:t>
      </w:r>
      <w:r w:rsidR="00FA3944" w:rsidRPr="00D014F3">
        <w:rPr>
          <w:color w:val="000000" w:themeColor="text1"/>
          <w:sz w:val="20"/>
          <w:szCs w:val="20"/>
          <w:lang w:val="en-GB"/>
        </w:rPr>
        <w:t>presence of illness</w:t>
      </w:r>
      <w:r w:rsidR="00B630FB" w:rsidRPr="00D014F3">
        <w:rPr>
          <w:color w:val="000000" w:themeColor="text1"/>
          <w:sz w:val="20"/>
          <w:szCs w:val="20"/>
          <w:lang w:val="en-GB"/>
        </w:rPr>
        <w:t xml:space="preserve">, and </w:t>
      </w:r>
      <w:r w:rsidR="003D0793" w:rsidRPr="00D014F3">
        <w:rPr>
          <w:color w:val="000000" w:themeColor="text1"/>
          <w:sz w:val="20"/>
          <w:szCs w:val="20"/>
          <w:lang w:val="en-GB"/>
        </w:rPr>
        <w:t>t</w:t>
      </w:r>
      <w:r w:rsidR="00327299" w:rsidRPr="00D014F3">
        <w:rPr>
          <w:color w:val="000000" w:themeColor="text1"/>
          <w:sz w:val="20"/>
          <w:szCs w:val="20"/>
          <w:lang w:val="en-GB"/>
        </w:rPr>
        <w:t xml:space="preserve">he decline or absence of </w:t>
      </w:r>
      <w:r w:rsidRPr="00D014F3">
        <w:rPr>
          <w:color w:val="000000" w:themeColor="text1"/>
          <w:sz w:val="20"/>
          <w:szCs w:val="20"/>
          <w:lang w:val="en-GB"/>
        </w:rPr>
        <w:t>symptoms indicates recovery</w:t>
      </w:r>
      <w:r w:rsidR="00327299" w:rsidRPr="00D014F3">
        <w:rPr>
          <w:color w:val="000000" w:themeColor="text1"/>
          <w:sz w:val="20"/>
          <w:szCs w:val="20"/>
          <w:vertAlign w:val="superscript"/>
          <w:lang w:val="en-GB"/>
        </w:rPr>
        <w:t>3</w:t>
      </w:r>
      <w:r w:rsidRPr="00D014F3">
        <w:rPr>
          <w:color w:val="000000" w:themeColor="text1"/>
          <w:sz w:val="20"/>
          <w:szCs w:val="20"/>
          <w:lang w:val="en-GB"/>
        </w:rPr>
        <w:t xml:space="preserve">.  </w:t>
      </w:r>
      <w:r w:rsidR="00327299" w:rsidRPr="00D014F3">
        <w:rPr>
          <w:color w:val="000000" w:themeColor="text1"/>
          <w:sz w:val="20"/>
          <w:szCs w:val="20"/>
          <w:lang w:val="en-GB"/>
        </w:rPr>
        <w:t>More r</w:t>
      </w:r>
      <w:r w:rsidRPr="00D014F3">
        <w:rPr>
          <w:color w:val="000000" w:themeColor="text1"/>
          <w:sz w:val="20"/>
          <w:szCs w:val="20"/>
          <w:lang w:val="en-GB"/>
        </w:rPr>
        <w:t>ecently</w:t>
      </w:r>
      <w:r w:rsidR="00327299" w:rsidRPr="00D014F3">
        <w:rPr>
          <w:color w:val="000000" w:themeColor="text1"/>
          <w:sz w:val="20"/>
          <w:szCs w:val="20"/>
          <w:lang w:val="en-GB"/>
        </w:rPr>
        <w:t>,</w:t>
      </w:r>
      <w:r w:rsidRPr="00D014F3">
        <w:rPr>
          <w:color w:val="000000" w:themeColor="text1"/>
          <w:sz w:val="20"/>
          <w:szCs w:val="20"/>
          <w:lang w:val="en-GB"/>
        </w:rPr>
        <w:t xml:space="preserve"> </w:t>
      </w:r>
      <w:r w:rsidR="00DB0759" w:rsidRPr="00D014F3">
        <w:rPr>
          <w:color w:val="000000" w:themeColor="text1"/>
          <w:sz w:val="20"/>
          <w:szCs w:val="20"/>
          <w:lang w:val="en-GB"/>
        </w:rPr>
        <w:t xml:space="preserve">lived experience </w:t>
      </w:r>
      <w:r w:rsidR="00DE7845" w:rsidRPr="00D014F3">
        <w:rPr>
          <w:color w:val="000000" w:themeColor="text1"/>
          <w:sz w:val="20"/>
          <w:szCs w:val="20"/>
          <w:lang w:val="en-GB"/>
        </w:rPr>
        <w:t xml:space="preserve">accounts </w:t>
      </w:r>
      <w:r w:rsidR="00DB0759" w:rsidRPr="00D014F3">
        <w:rPr>
          <w:color w:val="000000" w:themeColor="text1"/>
          <w:sz w:val="20"/>
          <w:szCs w:val="20"/>
          <w:lang w:val="en-GB"/>
        </w:rPr>
        <w:t xml:space="preserve">have </w:t>
      </w:r>
      <w:r w:rsidR="00582924" w:rsidRPr="00D014F3">
        <w:rPr>
          <w:color w:val="000000" w:themeColor="text1"/>
          <w:sz w:val="20"/>
          <w:szCs w:val="20"/>
          <w:lang w:val="en-GB"/>
        </w:rPr>
        <w:t xml:space="preserve">shown that people can and do recover </w:t>
      </w:r>
      <w:r w:rsidR="00022506" w:rsidRPr="00D014F3">
        <w:rPr>
          <w:color w:val="000000" w:themeColor="text1"/>
          <w:sz w:val="20"/>
          <w:szCs w:val="20"/>
          <w:lang w:val="en-GB"/>
        </w:rPr>
        <w:t xml:space="preserve">meaningful and satisfying </w:t>
      </w:r>
      <w:r w:rsidR="009C0207" w:rsidRPr="00D014F3">
        <w:rPr>
          <w:color w:val="000000" w:themeColor="text1"/>
          <w:sz w:val="20"/>
          <w:szCs w:val="20"/>
          <w:lang w:val="en-GB"/>
        </w:rPr>
        <w:t xml:space="preserve">lives </w:t>
      </w:r>
      <w:r w:rsidR="00F010A5" w:rsidRPr="00D014F3">
        <w:rPr>
          <w:color w:val="000000" w:themeColor="text1"/>
          <w:sz w:val="20"/>
          <w:szCs w:val="20"/>
          <w:lang w:val="en-GB"/>
        </w:rPr>
        <w:t>– personal recovery –</w:t>
      </w:r>
      <w:r w:rsidR="00022506" w:rsidRPr="00D014F3">
        <w:rPr>
          <w:color w:val="000000" w:themeColor="text1"/>
          <w:sz w:val="20"/>
          <w:szCs w:val="20"/>
          <w:lang w:val="en-GB"/>
        </w:rPr>
        <w:t xml:space="preserve"> </w:t>
      </w:r>
      <w:r w:rsidR="009C0207" w:rsidRPr="00D014F3">
        <w:rPr>
          <w:color w:val="000000" w:themeColor="text1"/>
          <w:sz w:val="20"/>
          <w:szCs w:val="20"/>
          <w:lang w:val="en-GB"/>
        </w:rPr>
        <w:t xml:space="preserve">in the context of ongoing </w:t>
      </w:r>
      <w:r w:rsidR="00F010A5" w:rsidRPr="00D014F3">
        <w:rPr>
          <w:color w:val="000000" w:themeColor="text1"/>
          <w:sz w:val="20"/>
          <w:szCs w:val="20"/>
          <w:lang w:val="en-GB"/>
        </w:rPr>
        <w:t>ill-health</w:t>
      </w:r>
      <w:r w:rsidR="00327299" w:rsidRPr="00D014F3">
        <w:rPr>
          <w:color w:val="000000" w:themeColor="text1"/>
          <w:sz w:val="20"/>
          <w:szCs w:val="20"/>
          <w:vertAlign w:val="superscript"/>
          <w:lang w:val="en-GB"/>
        </w:rPr>
        <w:t>1</w:t>
      </w:r>
      <w:proofErr w:type="gramStart"/>
      <w:r w:rsidR="00022506" w:rsidRPr="00D014F3">
        <w:rPr>
          <w:color w:val="000000" w:themeColor="text1"/>
          <w:sz w:val="20"/>
          <w:szCs w:val="20"/>
          <w:vertAlign w:val="superscript"/>
          <w:lang w:val="en-GB"/>
        </w:rPr>
        <w:t>,2</w:t>
      </w:r>
      <w:proofErr w:type="gramEnd"/>
      <w:r w:rsidRPr="00D014F3">
        <w:rPr>
          <w:color w:val="000000" w:themeColor="text1"/>
          <w:sz w:val="20"/>
          <w:szCs w:val="20"/>
          <w:lang w:val="en-GB"/>
        </w:rPr>
        <w:t>.</w:t>
      </w:r>
    </w:p>
    <w:p w14:paraId="1F41E7B7" w14:textId="183BF896" w:rsidR="002E0F72" w:rsidRPr="00D014F3" w:rsidRDefault="0076740A" w:rsidP="00716549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color w:val="000000" w:themeColor="text1"/>
          <w:sz w:val="20"/>
          <w:szCs w:val="20"/>
          <w:lang w:val="en-GB"/>
        </w:rPr>
        <w:tab/>
        <w:t xml:space="preserve">Mental </w:t>
      </w:r>
      <w:r w:rsidR="00B542C5" w:rsidRPr="00D014F3">
        <w:rPr>
          <w:color w:val="000000" w:themeColor="text1"/>
          <w:sz w:val="20"/>
          <w:szCs w:val="20"/>
          <w:lang w:val="en-GB"/>
        </w:rPr>
        <w:t>ill-</w:t>
      </w:r>
      <w:r w:rsidRPr="00D014F3">
        <w:rPr>
          <w:color w:val="000000" w:themeColor="text1"/>
          <w:sz w:val="20"/>
          <w:szCs w:val="20"/>
          <w:lang w:val="en-GB"/>
        </w:rPr>
        <w:t xml:space="preserve">health </w:t>
      </w:r>
      <w:r w:rsidR="00D310F2" w:rsidRPr="00D014F3">
        <w:rPr>
          <w:color w:val="000000" w:themeColor="text1"/>
          <w:sz w:val="20"/>
          <w:szCs w:val="20"/>
          <w:lang w:val="en-GB"/>
        </w:rPr>
        <w:t>is</w:t>
      </w:r>
      <w:r w:rsidRPr="00D014F3">
        <w:rPr>
          <w:color w:val="000000" w:themeColor="text1"/>
          <w:sz w:val="20"/>
          <w:szCs w:val="20"/>
          <w:lang w:val="en-GB"/>
        </w:rPr>
        <w:t xml:space="preserve"> one of the </w:t>
      </w:r>
      <w:r w:rsidR="00B542C5" w:rsidRPr="00D014F3">
        <w:rPr>
          <w:color w:val="000000" w:themeColor="text1"/>
          <w:sz w:val="20"/>
          <w:szCs w:val="20"/>
          <w:lang w:val="en-GB"/>
        </w:rPr>
        <w:t>primary</w:t>
      </w:r>
      <w:r w:rsidRPr="00D014F3">
        <w:rPr>
          <w:color w:val="000000" w:themeColor="text1"/>
          <w:sz w:val="20"/>
          <w:szCs w:val="20"/>
          <w:lang w:val="en-GB"/>
        </w:rPr>
        <w:t xml:space="preserve"> causes of </w:t>
      </w:r>
      <w:r w:rsidR="008A4427" w:rsidRPr="00D014F3">
        <w:rPr>
          <w:color w:val="000000" w:themeColor="text1"/>
          <w:sz w:val="20"/>
          <w:szCs w:val="20"/>
          <w:lang w:val="en-GB"/>
        </w:rPr>
        <w:t>health</w:t>
      </w:r>
      <w:r w:rsidRPr="00D014F3">
        <w:rPr>
          <w:color w:val="000000" w:themeColor="text1"/>
          <w:sz w:val="20"/>
          <w:szCs w:val="20"/>
          <w:lang w:val="en-GB"/>
        </w:rPr>
        <w:t xml:space="preserve"> burden worldwide</w:t>
      </w:r>
      <w:r w:rsidR="00735D6E" w:rsidRPr="00D014F3">
        <w:rPr>
          <w:color w:val="000000" w:themeColor="text1"/>
          <w:sz w:val="20"/>
          <w:szCs w:val="20"/>
          <w:vertAlign w:val="superscript"/>
          <w:lang w:val="en-GB"/>
        </w:rPr>
        <w:t>4</w:t>
      </w:r>
      <w:r w:rsidR="00450270" w:rsidRPr="00D014F3">
        <w:rPr>
          <w:color w:val="000000" w:themeColor="text1"/>
          <w:sz w:val="20"/>
          <w:szCs w:val="20"/>
          <w:lang w:val="en-GB"/>
        </w:rPr>
        <w:t xml:space="preserve">.  In the UK, direct and indirect costs amount to 4.5% of </w:t>
      </w:r>
      <w:r w:rsidR="0018270D" w:rsidRPr="00D014F3">
        <w:rPr>
          <w:color w:val="000000" w:themeColor="text1"/>
          <w:sz w:val="20"/>
          <w:szCs w:val="20"/>
          <w:lang w:val="en-GB"/>
        </w:rPr>
        <w:t xml:space="preserve">the </w:t>
      </w:r>
      <w:r w:rsidR="00450270" w:rsidRPr="00D014F3">
        <w:rPr>
          <w:color w:val="000000" w:themeColor="text1"/>
          <w:sz w:val="20"/>
          <w:szCs w:val="20"/>
          <w:lang w:val="en-GB"/>
        </w:rPr>
        <w:t>gross domestic product</w:t>
      </w:r>
      <w:r w:rsidR="00735D6E" w:rsidRPr="00D014F3">
        <w:rPr>
          <w:color w:val="000000" w:themeColor="text1"/>
          <w:sz w:val="20"/>
          <w:szCs w:val="20"/>
          <w:vertAlign w:val="superscript"/>
          <w:lang w:val="en-GB"/>
        </w:rPr>
        <w:t>5</w:t>
      </w:r>
      <w:r w:rsidR="00450270" w:rsidRPr="00D014F3">
        <w:rPr>
          <w:color w:val="000000" w:themeColor="text1"/>
          <w:sz w:val="20"/>
          <w:szCs w:val="20"/>
          <w:lang w:val="en-GB"/>
        </w:rPr>
        <w:t xml:space="preserve">.  </w:t>
      </w:r>
      <w:r w:rsidR="00A542A5" w:rsidRPr="00D014F3">
        <w:rPr>
          <w:color w:val="000000" w:themeColor="text1"/>
          <w:sz w:val="20"/>
          <w:szCs w:val="20"/>
          <w:lang w:val="en-GB"/>
        </w:rPr>
        <w:t>Developing services that promote</w:t>
      </w:r>
      <w:r w:rsidR="00450270" w:rsidRPr="00D014F3">
        <w:rPr>
          <w:color w:val="000000" w:themeColor="text1"/>
          <w:sz w:val="20"/>
          <w:szCs w:val="20"/>
          <w:lang w:val="en-GB"/>
        </w:rPr>
        <w:t xml:space="preserve"> personal recovery </w:t>
      </w:r>
      <w:r w:rsidR="0018270D" w:rsidRPr="00D014F3">
        <w:rPr>
          <w:color w:val="000000" w:themeColor="text1"/>
          <w:sz w:val="20"/>
          <w:szCs w:val="20"/>
          <w:lang w:val="en-GB"/>
        </w:rPr>
        <w:t>is</w:t>
      </w:r>
      <w:r w:rsidR="00450270" w:rsidRPr="00D014F3">
        <w:rPr>
          <w:color w:val="000000" w:themeColor="text1"/>
          <w:sz w:val="20"/>
          <w:szCs w:val="20"/>
          <w:lang w:val="en-GB"/>
        </w:rPr>
        <w:t xml:space="preserve"> therefore </w:t>
      </w:r>
      <w:r w:rsidR="0018270D" w:rsidRPr="00D014F3">
        <w:rPr>
          <w:color w:val="000000" w:themeColor="text1"/>
          <w:sz w:val="20"/>
          <w:szCs w:val="20"/>
          <w:lang w:val="en-GB"/>
        </w:rPr>
        <w:t>a public health priority</w:t>
      </w:r>
      <w:r w:rsidR="00A542A5" w:rsidRPr="00D014F3">
        <w:rPr>
          <w:color w:val="000000" w:themeColor="text1"/>
          <w:sz w:val="20"/>
          <w:szCs w:val="20"/>
          <w:lang w:val="en-GB"/>
        </w:rPr>
        <w:t>.</w:t>
      </w:r>
      <w:r w:rsidR="003B621E" w:rsidRPr="00D014F3">
        <w:rPr>
          <w:sz w:val="20"/>
          <w:szCs w:val="20"/>
          <w:lang w:val="en-GB"/>
        </w:rPr>
        <w:t xml:space="preserve"> </w:t>
      </w:r>
      <w:r w:rsidR="00A542A5" w:rsidRPr="00D014F3">
        <w:rPr>
          <w:sz w:val="20"/>
          <w:szCs w:val="20"/>
          <w:lang w:val="en-GB"/>
        </w:rPr>
        <w:t xml:space="preserve"> A</w:t>
      </w:r>
      <w:r w:rsidR="003B621E" w:rsidRPr="00D014F3">
        <w:rPr>
          <w:sz w:val="20"/>
          <w:szCs w:val="20"/>
          <w:lang w:val="en-GB"/>
        </w:rPr>
        <w:t xml:space="preserve"> r</w:t>
      </w:r>
      <w:r w:rsidR="00F41BF5" w:rsidRPr="00D014F3">
        <w:rPr>
          <w:sz w:val="20"/>
          <w:szCs w:val="20"/>
          <w:lang w:val="en-GB"/>
        </w:rPr>
        <w:t>ecovery-based practice (RBP)</w:t>
      </w:r>
      <w:r w:rsidR="003B621E" w:rsidRPr="00D014F3">
        <w:rPr>
          <w:sz w:val="20"/>
          <w:szCs w:val="20"/>
          <w:lang w:val="en-GB"/>
        </w:rPr>
        <w:t xml:space="preserve"> approach</w:t>
      </w:r>
      <w:r w:rsidR="006C079A" w:rsidRPr="00D014F3">
        <w:rPr>
          <w:sz w:val="20"/>
          <w:szCs w:val="20"/>
          <w:lang w:val="en-GB"/>
        </w:rPr>
        <w:t xml:space="preserve"> is one</w:t>
      </w:r>
      <w:r w:rsidR="003B621E" w:rsidRPr="00D014F3">
        <w:rPr>
          <w:sz w:val="20"/>
          <w:szCs w:val="20"/>
          <w:lang w:val="en-GB"/>
        </w:rPr>
        <w:t xml:space="preserve"> in which clinical interactions, service systems and overarching governance arrangements are demonstrably focused on </w:t>
      </w:r>
      <w:r w:rsidR="00F41BF5" w:rsidRPr="00D014F3">
        <w:rPr>
          <w:sz w:val="20"/>
          <w:szCs w:val="20"/>
          <w:lang w:val="en-GB"/>
        </w:rPr>
        <w:t>support</w:t>
      </w:r>
      <w:r w:rsidR="003B621E" w:rsidRPr="00D014F3">
        <w:rPr>
          <w:sz w:val="20"/>
          <w:szCs w:val="20"/>
          <w:lang w:val="en-GB"/>
        </w:rPr>
        <w:t xml:space="preserve">ing individuals </w:t>
      </w:r>
      <w:r w:rsidR="00E7660D" w:rsidRPr="00D014F3">
        <w:rPr>
          <w:sz w:val="20"/>
          <w:szCs w:val="20"/>
          <w:lang w:val="en-GB"/>
        </w:rPr>
        <w:t>to build the lives they wish to lead</w:t>
      </w:r>
      <w:r w:rsidR="007615EA" w:rsidRPr="00D014F3">
        <w:rPr>
          <w:sz w:val="20"/>
          <w:szCs w:val="20"/>
          <w:vertAlign w:val="superscript"/>
          <w:lang w:val="en-GB"/>
        </w:rPr>
        <w:t>2</w:t>
      </w:r>
      <w:r w:rsidR="006C079A" w:rsidRPr="00D014F3">
        <w:rPr>
          <w:sz w:val="20"/>
          <w:szCs w:val="20"/>
          <w:lang w:val="en-GB"/>
        </w:rPr>
        <w:t>.</w:t>
      </w:r>
      <w:r w:rsidR="00E7660D" w:rsidRPr="00D014F3">
        <w:rPr>
          <w:sz w:val="20"/>
          <w:szCs w:val="20"/>
          <w:lang w:val="en-GB"/>
        </w:rPr>
        <w:t xml:space="preserve">  This is likely to involve </w:t>
      </w:r>
      <w:r w:rsidR="004C4426" w:rsidRPr="00D014F3">
        <w:rPr>
          <w:sz w:val="20"/>
          <w:szCs w:val="20"/>
          <w:lang w:val="en-GB"/>
        </w:rPr>
        <w:t>facilitating people’s</w:t>
      </w:r>
      <w:r w:rsidR="00E7660D" w:rsidRPr="00D014F3">
        <w:rPr>
          <w:sz w:val="20"/>
          <w:szCs w:val="20"/>
          <w:lang w:val="en-GB"/>
        </w:rPr>
        <w:t xml:space="preserve"> </w:t>
      </w:r>
      <w:r w:rsidR="00F41BF5" w:rsidRPr="00D014F3">
        <w:rPr>
          <w:sz w:val="20"/>
          <w:szCs w:val="20"/>
          <w:lang w:val="en-GB"/>
        </w:rPr>
        <w:t xml:space="preserve">hope, agency </w:t>
      </w:r>
      <w:r w:rsidR="004C4426" w:rsidRPr="00D014F3">
        <w:rPr>
          <w:sz w:val="20"/>
          <w:szCs w:val="20"/>
          <w:lang w:val="en-GB"/>
        </w:rPr>
        <w:t>(</w:t>
      </w:r>
      <w:r w:rsidR="00E7660D" w:rsidRPr="00D014F3">
        <w:rPr>
          <w:sz w:val="20"/>
          <w:szCs w:val="20"/>
          <w:lang w:val="en-GB"/>
        </w:rPr>
        <w:t xml:space="preserve">sense of control over </w:t>
      </w:r>
      <w:r w:rsidR="004C4426" w:rsidRPr="00D014F3">
        <w:rPr>
          <w:sz w:val="20"/>
          <w:szCs w:val="20"/>
          <w:lang w:val="en-GB"/>
        </w:rPr>
        <w:t>their</w:t>
      </w:r>
      <w:r w:rsidR="00E7660D" w:rsidRPr="00D014F3">
        <w:rPr>
          <w:sz w:val="20"/>
          <w:szCs w:val="20"/>
          <w:lang w:val="en-GB"/>
        </w:rPr>
        <w:t xml:space="preserve"> lives) </w:t>
      </w:r>
      <w:r w:rsidR="00F41BF5" w:rsidRPr="00D014F3">
        <w:rPr>
          <w:sz w:val="20"/>
          <w:szCs w:val="20"/>
          <w:lang w:val="en-GB"/>
        </w:rPr>
        <w:t>and opportunity for self-determination and social inclusion</w:t>
      </w:r>
      <w:r w:rsidR="00E7660D" w:rsidRPr="00D014F3">
        <w:rPr>
          <w:sz w:val="20"/>
          <w:szCs w:val="20"/>
          <w:vertAlign w:val="superscript"/>
          <w:lang w:val="en-GB"/>
        </w:rPr>
        <w:t>6</w:t>
      </w:r>
      <w:r w:rsidR="00735D6E" w:rsidRPr="00D014F3">
        <w:rPr>
          <w:sz w:val="20"/>
          <w:szCs w:val="20"/>
          <w:vertAlign w:val="superscript"/>
          <w:lang w:val="en-GB"/>
        </w:rPr>
        <w:t>, 7</w:t>
      </w:r>
      <w:r w:rsidR="00E7660D" w:rsidRPr="00D014F3">
        <w:rPr>
          <w:sz w:val="20"/>
          <w:szCs w:val="20"/>
          <w:lang w:val="en-GB"/>
        </w:rPr>
        <w:t>.</w:t>
      </w:r>
      <w:r w:rsidR="004C4426" w:rsidRPr="00D014F3">
        <w:rPr>
          <w:sz w:val="20"/>
          <w:szCs w:val="20"/>
          <w:lang w:val="en-GB"/>
        </w:rPr>
        <w:t xml:space="preserve">  </w:t>
      </w:r>
      <w:r w:rsidR="00F41BF5" w:rsidRPr="00D014F3">
        <w:rPr>
          <w:sz w:val="20"/>
          <w:szCs w:val="20"/>
          <w:lang w:val="en-GB"/>
        </w:rPr>
        <w:t xml:space="preserve">Since 2012, RBP </w:t>
      </w:r>
      <w:r w:rsidR="004C4426" w:rsidRPr="00D014F3">
        <w:rPr>
          <w:sz w:val="20"/>
          <w:szCs w:val="20"/>
          <w:lang w:val="en-GB"/>
        </w:rPr>
        <w:t xml:space="preserve">has been the basis for </w:t>
      </w:r>
      <w:r w:rsidR="006C079A" w:rsidRPr="00D014F3">
        <w:rPr>
          <w:sz w:val="20"/>
          <w:szCs w:val="20"/>
          <w:lang w:val="en-GB"/>
        </w:rPr>
        <w:t>National Health Service (</w:t>
      </w:r>
      <w:r w:rsidR="00F41BF5" w:rsidRPr="00D014F3">
        <w:rPr>
          <w:sz w:val="20"/>
          <w:szCs w:val="20"/>
          <w:lang w:val="en-GB"/>
        </w:rPr>
        <w:t>NHS</w:t>
      </w:r>
      <w:r w:rsidR="006C079A" w:rsidRPr="00D014F3">
        <w:rPr>
          <w:sz w:val="20"/>
          <w:szCs w:val="20"/>
          <w:lang w:val="en-GB"/>
        </w:rPr>
        <w:t>)</w:t>
      </w:r>
      <w:r w:rsidR="00F41BF5" w:rsidRPr="00D014F3">
        <w:rPr>
          <w:sz w:val="20"/>
          <w:szCs w:val="20"/>
          <w:lang w:val="en-GB"/>
        </w:rPr>
        <w:t xml:space="preserve"> m</w:t>
      </w:r>
      <w:r w:rsidR="007615EA" w:rsidRPr="00D014F3">
        <w:rPr>
          <w:sz w:val="20"/>
          <w:szCs w:val="20"/>
          <w:lang w:val="en-GB"/>
        </w:rPr>
        <w:t>ental health service</w:t>
      </w:r>
      <w:r w:rsidR="004C4426" w:rsidRPr="00D014F3">
        <w:rPr>
          <w:sz w:val="20"/>
          <w:szCs w:val="20"/>
          <w:lang w:val="en-GB"/>
        </w:rPr>
        <w:t xml:space="preserve"> improvement</w:t>
      </w:r>
      <w:r w:rsidR="000647E8" w:rsidRPr="00D014F3">
        <w:rPr>
          <w:sz w:val="20"/>
          <w:szCs w:val="20"/>
          <w:vertAlign w:val="superscript"/>
          <w:lang w:val="en-GB"/>
        </w:rPr>
        <w:t>8</w:t>
      </w:r>
      <w:r w:rsidR="00735D6E" w:rsidRPr="00D014F3">
        <w:rPr>
          <w:sz w:val="20"/>
          <w:szCs w:val="20"/>
          <w:vertAlign w:val="superscript"/>
          <w:lang w:val="en-GB"/>
        </w:rPr>
        <w:t>, 9</w:t>
      </w:r>
      <w:r w:rsidR="00F41BF5" w:rsidRPr="00D014F3">
        <w:rPr>
          <w:sz w:val="20"/>
          <w:szCs w:val="20"/>
          <w:lang w:val="en-GB"/>
        </w:rPr>
        <w:t xml:space="preserve">, </w:t>
      </w:r>
      <w:r w:rsidR="004C4426" w:rsidRPr="00D014F3">
        <w:rPr>
          <w:sz w:val="20"/>
          <w:szCs w:val="20"/>
          <w:lang w:val="en-GB"/>
        </w:rPr>
        <w:t xml:space="preserve">in line with </w:t>
      </w:r>
      <w:r w:rsidR="006928BE" w:rsidRPr="00D014F3">
        <w:rPr>
          <w:sz w:val="20"/>
          <w:szCs w:val="20"/>
          <w:lang w:val="en-GB"/>
        </w:rPr>
        <w:t>best practice guidelines</w:t>
      </w:r>
      <w:r w:rsidR="000647E8" w:rsidRPr="00D014F3">
        <w:rPr>
          <w:sz w:val="20"/>
          <w:szCs w:val="20"/>
          <w:vertAlign w:val="superscript"/>
          <w:lang w:val="en-GB"/>
        </w:rPr>
        <w:t>1</w:t>
      </w:r>
      <w:r w:rsidR="00735D6E" w:rsidRPr="00D014F3">
        <w:rPr>
          <w:sz w:val="20"/>
          <w:szCs w:val="20"/>
          <w:vertAlign w:val="superscript"/>
          <w:lang w:val="en-GB"/>
        </w:rPr>
        <w:t>0-12</w:t>
      </w:r>
      <w:r w:rsidR="004C4426" w:rsidRPr="00D014F3">
        <w:rPr>
          <w:sz w:val="20"/>
          <w:szCs w:val="20"/>
          <w:lang w:val="en-GB"/>
        </w:rPr>
        <w:t xml:space="preserve">, </w:t>
      </w:r>
      <w:r w:rsidR="00F41BF5" w:rsidRPr="00D014F3">
        <w:rPr>
          <w:sz w:val="20"/>
          <w:szCs w:val="20"/>
          <w:lang w:val="en-GB"/>
        </w:rPr>
        <w:t xml:space="preserve">and </w:t>
      </w:r>
      <w:r w:rsidR="0087661A" w:rsidRPr="00D014F3">
        <w:rPr>
          <w:sz w:val="20"/>
          <w:szCs w:val="20"/>
          <w:lang w:val="en-GB"/>
        </w:rPr>
        <w:t xml:space="preserve">as </w:t>
      </w:r>
      <w:r w:rsidR="004C4426" w:rsidRPr="00D014F3">
        <w:rPr>
          <w:sz w:val="20"/>
          <w:szCs w:val="20"/>
          <w:lang w:val="en-GB"/>
        </w:rPr>
        <w:t xml:space="preserve">endorsed by most of the </w:t>
      </w:r>
      <w:r w:rsidR="00B542C5" w:rsidRPr="00D014F3">
        <w:rPr>
          <w:sz w:val="20"/>
          <w:szCs w:val="20"/>
          <w:lang w:val="en-GB"/>
        </w:rPr>
        <w:t xml:space="preserve">UK </w:t>
      </w:r>
      <w:r w:rsidR="004C4426" w:rsidRPr="00D014F3">
        <w:rPr>
          <w:sz w:val="20"/>
          <w:szCs w:val="20"/>
          <w:lang w:val="en-GB"/>
        </w:rPr>
        <w:t>professional practice bodies</w:t>
      </w:r>
      <w:r w:rsidR="000647E8" w:rsidRPr="00D014F3">
        <w:rPr>
          <w:sz w:val="20"/>
          <w:szCs w:val="20"/>
          <w:vertAlign w:val="superscript"/>
          <w:lang w:val="en-GB"/>
        </w:rPr>
        <w:t>1</w:t>
      </w:r>
      <w:r w:rsidR="00735D6E" w:rsidRPr="00D014F3">
        <w:rPr>
          <w:sz w:val="20"/>
          <w:szCs w:val="20"/>
          <w:vertAlign w:val="superscript"/>
          <w:lang w:val="en-GB"/>
        </w:rPr>
        <w:t>3</w:t>
      </w:r>
      <w:r w:rsidR="000647E8" w:rsidRPr="00D014F3">
        <w:rPr>
          <w:sz w:val="20"/>
          <w:szCs w:val="20"/>
          <w:vertAlign w:val="superscript"/>
          <w:lang w:val="en-GB"/>
        </w:rPr>
        <w:t>-1</w:t>
      </w:r>
      <w:r w:rsidR="00735D6E" w:rsidRPr="00D014F3">
        <w:rPr>
          <w:sz w:val="20"/>
          <w:szCs w:val="20"/>
          <w:vertAlign w:val="superscript"/>
          <w:lang w:val="en-GB"/>
        </w:rPr>
        <w:t>7</w:t>
      </w:r>
      <w:r w:rsidR="004C4426" w:rsidRPr="00D014F3">
        <w:rPr>
          <w:sz w:val="20"/>
          <w:szCs w:val="20"/>
          <w:lang w:val="en-GB"/>
        </w:rPr>
        <w:t>.</w:t>
      </w:r>
      <w:r w:rsidR="00EC32DD" w:rsidRPr="00D014F3">
        <w:rPr>
          <w:sz w:val="20"/>
          <w:szCs w:val="20"/>
          <w:lang w:val="en-GB"/>
        </w:rPr>
        <w:t xml:space="preserve">  </w:t>
      </w:r>
      <w:r w:rsidR="0018270D" w:rsidRPr="00D014F3">
        <w:rPr>
          <w:sz w:val="20"/>
          <w:szCs w:val="20"/>
          <w:lang w:val="en-GB"/>
        </w:rPr>
        <w:t xml:space="preserve">This also depends on </w:t>
      </w:r>
      <w:r w:rsidR="0018270D" w:rsidRPr="00D014F3">
        <w:rPr>
          <w:sz w:val="20"/>
          <w:szCs w:val="20"/>
        </w:rPr>
        <w:t>commissioners</w:t>
      </w:r>
      <w:r w:rsidR="00EC0476" w:rsidRPr="00D014F3">
        <w:rPr>
          <w:sz w:val="20"/>
          <w:szCs w:val="20"/>
        </w:rPr>
        <w:t xml:space="preserve"> and healthcare providers know</w:t>
      </w:r>
      <w:r w:rsidR="0018270D" w:rsidRPr="00D014F3">
        <w:rPr>
          <w:sz w:val="20"/>
          <w:szCs w:val="20"/>
        </w:rPr>
        <w:t>ing</w:t>
      </w:r>
      <w:r w:rsidR="002C5064" w:rsidRPr="00D014F3">
        <w:rPr>
          <w:sz w:val="20"/>
          <w:szCs w:val="20"/>
        </w:rPr>
        <w:t xml:space="preserve"> what service </w:t>
      </w:r>
      <w:r w:rsidR="00EC0476" w:rsidRPr="00D014F3">
        <w:rPr>
          <w:sz w:val="20"/>
          <w:szCs w:val="20"/>
        </w:rPr>
        <w:t xml:space="preserve">indicators </w:t>
      </w:r>
      <w:r w:rsidR="002C5064" w:rsidRPr="00D014F3">
        <w:rPr>
          <w:sz w:val="20"/>
          <w:szCs w:val="20"/>
        </w:rPr>
        <w:t xml:space="preserve">lead to </w:t>
      </w:r>
      <w:r w:rsidR="006C079A" w:rsidRPr="00D014F3">
        <w:rPr>
          <w:sz w:val="20"/>
          <w:szCs w:val="20"/>
        </w:rPr>
        <w:t xml:space="preserve">the intended </w:t>
      </w:r>
      <w:r w:rsidR="002C5064" w:rsidRPr="00D014F3">
        <w:rPr>
          <w:sz w:val="20"/>
          <w:szCs w:val="20"/>
        </w:rPr>
        <w:t>outcomes</w:t>
      </w:r>
      <w:r w:rsidR="00EC0476" w:rsidRPr="00D014F3">
        <w:rPr>
          <w:sz w:val="20"/>
          <w:szCs w:val="20"/>
        </w:rPr>
        <w:t>.</w:t>
      </w:r>
      <w:r w:rsidR="002E0F72" w:rsidRPr="00D014F3">
        <w:rPr>
          <w:sz w:val="20"/>
          <w:szCs w:val="20"/>
        </w:rPr>
        <w:t xml:space="preserve">  Shepherd and colleagues</w:t>
      </w:r>
      <w:r w:rsidR="00735D6E" w:rsidRPr="00D014F3">
        <w:rPr>
          <w:sz w:val="20"/>
          <w:szCs w:val="20"/>
          <w:vertAlign w:val="superscript"/>
        </w:rPr>
        <w:t>18</w:t>
      </w:r>
      <w:r w:rsidR="002E0F72" w:rsidRPr="00D014F3">
        <w:rPr>
          <w:sz w:val="20"/>
          <w:szCs w:val="20"/>
        </w:rPr>
        <w:t xml:space="preserve"> identify quality indicators for supporting recovery at individual (e.g. evidence of shared decision-making) and </w:t>
      </w:r>
      <w:proofErr w:type="spellStart"/>
      <w:r w:rsidR="002E0F72" w:rsidRPr="00D014F3">
        <w:rPr>
          <w:sz w:val="20"/>
          <w:szCs w:val="20"/>
        </w:rPr>
        <w:t>organi</w:t>
      </w:r>
      <w:r w:rsidR="00B542C5" w:rsidRPr="00D014F3">
        <w:rPr>
          <w:sz w:val="20"/>
          <w:szCs w:val="20"/>
        </w:rPr>
        <w:t>s</w:t>
      </w:r>
      <w:r w:rsidR="002E0F72" w:rsidRPr="00D014F3">
        <w:rPr>
          <w:sz w:val="20"/>
          <w:szCs w:val="20"/>
        </w:rPr>
        <w:t>ational</w:t>
      </w:r>
      <w:proofErr w:type="spellEnd"/>
      <w:r w:rsidR="002E0F72" w:rsidRPr="00D014F3">
        <w:rPr>
          <w:sz w:val="20"/>
          <w:szCs w:val="20"/>
        </w:rPr>
        <w:t xml:space="preserve"> </w:t>
      </w:r>
      <w:r w:rsidR="006928BE" w:rsidRPr="00D014F3">
        <w:rPr>
          <w:sz w:val="20"/>
          <w:szCs w:val="20"/>
        </w:rPr>
        <w:t xml:space="preserve">levels </w:t>
      </w:r>
      <w:r w:rsidR="002E0F72" w:rsidRPr="00D014F3">
        <w:rPr>
          <w:sz w:val="20"/>
          <w:szCs w:val="20"/>
        </w:rPr>
        <w:t xml:space="preserve">(e.g. </w:t>
      </w:r>
      <w:r w:rsidR="006928BE" w:rsidRPr="00D014F3">
        <w:rPr>
          <w:sz w:val="20"/>
          <w:szCs w:val="20"/>
        </w:rPr>
        <w:t>using</w:t>
      </w:r>
      <w:r w:rsidR="002E0F72" w:rsidRPr="00D014F3">
        <w:rPr>
          <w:sz w:val="20"/>
          <w:szCs w:val="20"/>
        </w:rPr>
        <w:t xml:space="preserve"> validated recovery outcome measures).</w:t>
      </w:r>
      <w:r w:rsidR="006A6CD5" w:rsidRPr="00D014F3">
        <w:rPr>
          <w:sz w:val="20"/>
          <w:szCs w:val="20"/>
        </w:rPr>
        <w:t xml:space="preserve">  These indicators </w:t>
      </w:r>
      <w:proofErr w:type="spellStart"/>
      <w:r w:rsidR="006A6CD5" w:rsidRPr="00D014F3">
        <w:rPr>
          <w:sz w:val="20"/>
          <w:szCs w:val="20"/>
        </w:rPr>
        <w:t>emphasise</w:t>
      </w:r>
      <w:proofErr w:type="spellEnd"/>
      <w:r w:rsidR="006A6CD5" w:rsidRPr="00D014F3">
        <w:rPr>
          <w:sz w:val="20"/>
          <w:szCs w:val="20"/>
        </w:rPr>
        <w:t xml:space="preserve"> the nature and quality of staff / service-user relationships, which are deemed effective to the extent that they promote personal recovery.</w:t>
      </w:r>
    </w:p>
    <w:p w14:paraId="235B3CCC" w14:textId="7CD6D144" w:rsidR="007D60C7" w:rsidRPr="00D014F3" w:rsidRDefault="007D60C7" w:rsidP="007D60C7">
      <w:pPr>
        <w:pStyle w:val="TEXTIND"/>
        <w:spacing w:line="480" w:lineRule="auto"/>
        <w:rPr>
          <w:color w:val="000000" w:themeColor="text1"/>
          <w:sz w:val="20"/>
          <w:szCs w:val="20"/>
          <w:lang w:val="en-GB"/>
        </w:rPr>
      </w:pPr>
      <w:r w:rsidRPr="00D014F3">
        <w:rPr>
          <w:sz w:val="20"/>
          <w:szCs w:val="20"/>
          <w:lang w:val="en-GB"/>
        </w:rPr>
        <w:t xml:space="preserve">While there is some evidence </w:t>
      </w:r>
      <w:r w:rsidR="00EC32DD" w:rsidRPr="00D014F3">
        <w:rPr>
          <w:sz w:val="20"/>
          <w:szCs w:val="20"/>
          <w:lang w:val="en-GB"/>
        </w:rPr>
        <w:t xml:space="preserve">that </w:t>
      </w:r>
      <w:r w:rsidR="00F41BF5" w:rsidRPr="00D014F3">
        <w:rPr>
          <w:sz w:val="20"/>
          <w:szCs w:val="20"/>
        </w:rPr>
        <w:t xml:space="preserve">RBP may </w:t>
      </w:r>
      <w:r w:rsidR="00EC32DD" w:rsidRPr="00D014F3">
        <w:rPr>
          <w:sz w:val="20"/>
          <w:szCs w:val="20"/>
        </w:rPr>
        <w:t>reduce self-stigma</w:t>
      </w:r>
      <w:r w:rsidR="001A5744" w:rsidRPr="00D014F3">
        <w:rPr>
          <w:sz w:val="20"/>
          <w:szCs w:val="20"/>
        </w:rPr>
        <w:t>, across community, day service and forensic settings</w:t>
      </w:r>
      <w:r w:rsidR="007C1E53" w:rsidRPr="00D014F3">
        <w:rPr>
          <w:sz w:val="20"/>
          <w:szCs w:val="20"/>
          <w:vertAlign w:val="superscript"/>
        </w:rPr>
        <w:t>1</w:t>
      </w:r>
      <w:r w:rsidR="00735D6E" w:rsidRPr="00D014F3">
        <w:rPr>
          <w:sz w:val="20"/>
          <w:szCs w:val="20"/>
          <w:vertAlign w:val="superscript"/>
        </w:rPr>
        <w:t>9</w:t>
      </w:r>
      <w:r w:rsidR="007C1E53" w:rsidRPr="00D014F3">
        <w:rPr>
          <w:sz w:val="20"/>
          <w:szCs w:val="20"/>
          <w:vertAlign w:val="superscript"/>
        </w:rPr>
        <w:t>-2</w:t>
      </w:r>
      <w:r w:rsidR="00735D6E" w:rsidRPr="00D014F3">
        <w:rPr>
          <w:sz w:val="20"/>
          <w:szCs w:val="20"/>
          <w:vertAlign w:val="superscript"/>
        </w:rPr>
        <w:t>6</w:t>
      </w:r>
      <w:r w:rsidRPr="00D014F3">
        <w:rPr>
          <w:sz w:val="20"/>
          <w:szCs w:val="20"/>
        </w:rPr>
        <w:t>, l</w:t>
      </w:r>
      <w:r w:rsidR="00DE7845" w:rsidRPr="00D014F3">
        <w:rPr>
          <w:sz w:val="20"/>
          <w:szCs w:val="20"/>
        </w:rPr>
        <w:t>ess research has examined m</w:t>
      </w:r>
      <w:r w:rsidR="00F41BF5" w:rsidRPr="00D014F3">
        <w:rPr>
          <w:sz w:val="20"/>
          <w:szCs w:val="20"/>
        </w:rPr>
        <w:t xml:space="preserve">eans of facilitating </w:t>
      </w:r>
      <w:r w:rsidR="00DE7845" w:rsidRPr="00D014F3">
        <w:rPr>
          <w:sz w:val="20"/>
          <w:szCs w:val="20"/>
        </w:rPr>
        <w:t>RBP i</w:t>
      </w:r>
      <w:r w:rsidR="00F41BF5" w:rsidRPr="00D014F3">
        <w:rPr>
          <w:sz w:val="20"/>
          <w:szCs w:val="20"/>
        </w:rPr>
        <w:t xml:space="preserve">n </w:t>
      </w:r>
      <w:r w:rsidR="0087661A" w:rsidRPr="00D014F3">
        <w:rPr>
          <w:sz w:val="20"/>
          <w:szCs w:val="20"/>
        </w:rPr>
        <w:t xml:space="preserve">NHS </w:t>
      </w:r>
      <w:r w:rsidR="00F41BF5" w:rsidRPr="00D014F3">
        <w:rPr>
          <w:sz w:val="20"/>
          <w:szCs w:val="20"/>
        </w:rPr>
        <w:t>services</w:t>
      </w:r>
      <w:r w:rsidR="006928BE" w:rsidRPr="00D014F3">
        <w:rPr>
          <w:sz w:val="20"/>
          <w:szCs w:val="20"/>
        </w:rPr>
        <w:t xml:space="preserve"> </w:t>
      </w:r>
      <w:r w:rsidR="00C70FE6" w:rsidRPr="00D014F3">
        <w:rPr>
          <w:sz w:val="20"/>
          <w:szCs w:val="20"/>
        </w:rPr>
        <w:t xml:space="preserve">and </w:t>
      </w:r>
      <w:r w:rsidR="006C079A" w:rsidRPr="00D014F3">
        <w:rPr>
          <w:sz w:val="20"/>
          <w:szCs w:val="20"/>
        </w:rPr>
        <w:t>the</w:t>
      </w:r>
      <w:r w:rsidR="00C70FE6" w:rsidRPr="00D014F3">
        <w:rPr>
          <w:sz w:val="20"/>
          <w:szCs w:val="20"/>
        </w:rPr>
        <w:t xml:space="preserve"> impact on </w:t>
      </w:r>
      <w:r w:rsidR="006928BE" w:rsidRPr="00D014F3">
        <w:rPr>
          <w:sz w:val="20"/>
          <w:szCs w:val="20"/>
        </w:rPr>
        <w:lastRenderedPageBreak/>
        <w:t>outcomes</w:t>
      </w:r>
      <w:r w:rsidR="00F41BF5" w:rsidRPr="00D014F3">
        <w:rPr>
          <w:sz w:val="20"/>
          <w:szCs w:val="20"/>
        </w:rPr>
        <w:t>.</w:t>
      </w:r>
      <w:r w:rsidR="00DE7845" w:rsidRPr="00D014F3">
        <w:rPr>
          <w:sz w:val="20"/>
          <w:szCs w:val="20"/>
        </w:rPr>
        <w:t xml:space="preserve"> </w:t>
      </w:r>
      <w:r w:rsidR="00716549" w:rsidRPr="00D014F3">
        <w:rPr>
          <w:sz w:val="20"/>
          <w:szCs w:val="20"/>
        </w:rPr>
        <w:t xml:space="preserve"> </w:t>
      </w:r>
      <w:r w:rsidR="00716549" w:rsidRPr="00D014F3">
        <w:rPr>
          <w:color w:val="000000" w:themeColor="text1"/>
          <w:sz w:val="20"/>
          <w:szCs w:val="20"/>
          <w:lang w:val="en-GB"/>
        </w:rPr>
        <w:t>Training programmes can be effective in improving staff knowledge and attitudes, but may not lead to changes in clinical</w:t>
      </w:r>
      <w:r w:rsidR="00675D08" w:rsidRPr="00D014F3">
        <w:rPr>
          <w:color w:val="000000" w:themeColor="text1"/>
          <w:sz w:val="20"/>
          <w:szCs w:val="20"/>
          <w:lang w:val="en-GB"/>
        </w:rPr>
        <w:t xml:space="preserve"> practice</w:t>
      </w:r>
      <w:r w:rsidR="00735D6E" w:rsidRPr="00D014F3">
        <w:rPr>
          <w:color w:val="000000" w:themeColor="text1"/>
          <w:sz w:val="20"/>
          <w:szCs w:val="20"/>
          <w:vertAlign w:val="superscript"/>
          <w:lang w:val="en-GB"/>
        </w:rPr>
        <w:t>27, 28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.   </w:t>
      </w:r>
      <w:r w:rsidR="0018270D" w:rsidRPr="00D014F3">
        <w:rPr>
          <w:color w:val="000000" w:themeColor="text1"/>
          <w:sz w:val="20"/>
          <w:szCs w:val="20"/>
          <w:lang w:val="en-GB"/>
        </w:rPr>
        <w:t>For example, a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 year-long team-based intervention incorporating training and reflective sessions for staff had no overall effect on recovery outcomes compared with treatment as usual</w:t>
      </w:r>
      <w:r w:rsidR="00735D6E" w:rsidRPr="00D014F3">
        <w:rPr>
          <w:color w:val="000000" w:themeColor="text1"/>
          <w:sz w:val="20"/>
          <w:szCs w:val="20"/>
          <w:vertAlign w:val="superscript"/>
          <w:lang w:val="en-GB"/>
        </w:rPr>
        <w:t>28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.  Importantly, however, </w:t>
      </w:r>
      <w:r w:rsidR="007F31DF" w:rsidRPr="00D014F3">
        <w:rPr>
          <w:color w:val="000000" w:themeColor="text1"/>
          <w:sz w:val="20"/>
          <w:szCs w:val="20"/>
          <w:lang w:val="en-GB"/>
        </w:rPr>
        <w:t xml:space="preserve">post-hoc analyses </w:t>
      </w:r>
      <w:r w:rsidR="00B542C5" w:rsidRPr="00D014F3">
        <w:rPr>
          <w:color w:val="000000" w:themeColor="text1"/>
          <w:sz w:val="20"/>
          <w:szCs w:val="20"/>
          <w:lang w:val="en-GB"/>
        </w:rPr>
        <w:t>show</w:t>
      </w:r>
      <w:r w:rsidR="007F31DF" w:rsidRPr="00D014F3">
        <w:rPr>
          <w:color w:val="000000" w:themeColor="text1"/>
          <w:sz w:val="20"/>
          <w:szCs w:val="20"/>
          <w:lang w:val="en-GB"/>
        </w:rPr>
        <w:t xml:space="preserve">ed that </w:t>
      </w:r>
      <w:r w:rsidR="00716549" w:rsidRPr="00D014F3">
        <w:rPr>
          <w:color w:val="000000" w:themeColor="text1"/>
          <w:sz w:val="20"/>
          <w:szCs w:val="20"/>
          <w:lang w:val="en-GB"/>
        </w:rPr>
        <w:t>service-users rated their relationships</w:t>
      </w:r>
      <w:r w:rsidR="00B542C5" w:rsidRPr="00D014F3">
        <w:rPr>
          <w:color w:val="000000" w:themeColor="text1"/>
          <w:sz w:val="20"/>
          <w:szCs w:val="20"/>
          <w:lang w:val="en-GB"/>
        </w:rPr>
        <w:t xml:space="preserve"> with staff</w:t>
      </w:r>
      <w:r w:rsidR="00735D6E" w:rsidRPr="00D014F3">
        <w:rPr>
          <w:color w:val="000000" w:themeColor="text1"/>
          <w:sz w:val="20"/>
          <w:szCs w:val="20"/>
          <w:vertAlign w:val="superscript"/>
          <w:lang w:val="en-GB"/>
        </w:rPr>
        <w:t>29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 and recovery outcomes</w:t>
      </w:r>
      <w:r w:rsidR="00735D6E" w:rsidRPr="00D014F3">
        <w:rPr>
          <w:color w:val="000000" w:themeColor="text1"/>
          <w:sz w:val="20"/>
          <w:szCs w:val="20"/>
          <w:vertAlign w:val="superscript"/>
          <w:lang w:val="en-GB"/>
        </w:rPr>
        <w:t>28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 </w:t>
      </w:r>
      <w:r w:rsidR="00675D08" w:rsidRPr="00D014F3">
        <w:rPr>
          <w:color w:val="000000" w:themeColor="text1"/>
          <w:sz w:val="20"/>
          <w:szCs w:val="20"/>
          <w:lang w:val="en-GB"/>
        </w:rPr>
        <w:t>higher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 in teams </w:t>
      </w:r>
      <w:r w:rsidR="00C70FE6" w:rsidRPr="00D014F3">
        <w:rPr>
          <w:color w:val="000000" w:themeColor="text1"/>
          <w:sz w:val="20"/>
          <w:szCs w:val="20"/>
          <w:lang w:val="en-GB"/>
        </w:rPr>
        <w:t>that had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 participated more fully in the intervention.  This suggests that </w:t>
      </w:r>
      <w:r w:rsidRPr="00D014F3">
        <w:rPr>
          <w:color w:val="000000" w:themeColor="text1"/>
          <w:sz w:val="20"/>
          <w:szCs w:val="20"/>
          <w:lang w:val="en-GB"/>
        </w:rPr>
        <w:t>organisational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 </w:t>
      </w:r>
      <w:r w:rsidRPr="00D014F3">
        <w:rPr>
          <w:color w:val="000000" w:themeColor="text1"/>
          <w:sz w:val="20"/>
          <w:szCs w:val="20"/>
          <w:lang w:val="en-GB"/>
        </w:rPr>
        <w:t>commitment</w:t>
      </w:r>
      <w:r w:rsidR="00716549" w:rsidRPr="00D014F3">
        <w:rPr>
          <w:color w:val="000000" w:themeColor="text1"/>
          <w:sz w:val="20"/>
          <w:szCs w:val="20"/>
          <w:lang w:val="en-GB"/>
        </w:rPr>
        <w:t xml:space="preserve"> is necessary to implement </w:t>
      </w:r>
      <w:r w:rsidR="00675D08" w:rsidRPr="00D014F3">
        <w:rPr>
          <w:color w:val="000000" w:themeColor="text1"/>
          <w:sz w:val="20"/>
          <w:szCs w:val="20"/>
          <w:lang w:val="en-GB"/>
        </w:rPr>
        <w:t>RBP</w:t>
      </w:r>
      <w:r w:rsidRPr="00D014F3">
        <w:rPr>
          <w:color w:val="000000" w:themeColor="text1"/>
          <w:sz w:val="20"/>
          <w:szCs w:val="20"/>
          <w:lang w:val="en-GB"/>
        </w:rPr>
        <w:t xml:space="preserve">, and that such changes may first </w:t>
      </w:r>
      <w:r w:rsidR="00C70FE6" w:rsidRPr="00D014F3">
        <w:rPr>
          <w:color w:val="000000" w:themeColor="text1"/>
          <w:sz w:val="20"/>
          <w:szCs w:val="20"/>
          <w:lang w:val="en-GB"/>
        </w:rPr>
        <w:t xml:space="preserve">be </w:t>
      </w:r>
      <w:r w:rsidRPr="00D014F3">
        <w:rPr>
          <w:color w:val="000000" w:themeColor="text1"/>
          <w:sz w:val="20"/>
          <w:szCs w:val="20"/>
          <w:lang w:val="en-GB"/>
        </w:rPr>
        <w:t xml:space="preserve">evident in the relationships between service-users and staff.  </w:t>
      </w:r>
    </w:p>
    <w:p w14:paraId="3643B74C" w14:textId="58AEFC2A" w:rsidR="003A0B47" w:rsidRPr="00D014F3" w:rsidRDefault="00F41BF5" w:rsidP="00AC0522">
      <w:pPr>
        <w:pStyle w:val="TEXTIND"/>
        <w:spacing w:line="480" w:lineRule="auto"/>
        <w:rPr>
          <w:color w:val="000000" w:themeColor="text1"/>
          <w:sz w:val="20"/>
          <w:szCs w:val="20"/>
          <w:lang w:val="en-GB"/>
        </w:rPr>
      </w:pPr>
      <w:r w:rsidRPr="00D014F3">
        <w:rPr>
          <w:sz w:val="20"/>
          <w:szCs w:val="20"/>
          <w:lang w:val="en-GB"/>
        </w:rPr>
        <w:t xml:space="preserve">Discourse analysts </w:t>
      </w:r>
      <w:r w:rsidR="00860A96" w:rsidRPr="00D014F3">
        <w:rPr>
          <w:sz w:val="20"/>
          <w:szCs w:val="20"/>
          <w:lang w:val="en-GB"/>
        </w:rPr>
        <w:t>assume</w:t>
      </w:r>
      <w:r w:rsidRPr="00D014F3">
        <w:rPr>
          <w:sz w:val="20"/>
          <w:szCs w:val="20"/>
          <w:lang w:val="en-GB"/>
        </w:rPr>
        <w:t xml:space="preserve"> that text is one form of social practice that contributes to the constitution of situations, social identities and relationships </w:t>
      </w:r>
      <w:r w:rsidR="00860A96" w:rsidRPr="00D014F3">
        <w:rPr>
          <w:sz w:val="20"/>
          <w:szCs w:val="20"/>
          <w:lang w:val="en-GB"/>
        </w:rPr>
        <w:t>between people</w:t>
      </w:r>
      <w:r w:rsidR="00735D6E" w:rsidRPr="00D014F3">
        <w:rPr>
          <w:sz w:val="20"/>
          <w:szCs w:val="20"/>
          <w:vertAlign w:val="superscript"/>
          <w:lang w:val="en-GB"/>
        </w:rPr>
        <w:t>30</w:t>
      </w:r>
      <w:r w:rsidRPr="00D014F3">
        <w:rPr>
          <w:sz w:val="20"/>
          <w:szCs w:val="20"/>
          <w:lang w:val="en-GB"/>
        </w:rPr>
        <w:t xml:space="preserve">.  </w:t>
      </w:r>
      <w:r w:rsidR="005F44F6" w:rsidRPr="00D014F3">
        <w:rPr>
          <w:sz w:val="20"/>
          <w:szCs w:val="20"/>
          <w:lang w:val="en-GB"/>
        </w:rPr>
        <w:t xml:space="preserve">By examining language we can extract meaning from text, </w:t>
      </w:r>
      <w:r w:rsidR="00C70FE6" w:rsidRPr="00D014F3">
        <w:rPr>
          <w:sz w:val="20"/>
          <w:szCs w:val="20"/>
          <w:lang w:val="en-GB"/>
        </w:rPr>
        <w:t>and examine</w:t>
      </w:r>
      <w:r w:rsidR="005F44F6" w:rsidRPr="00D014F3">
        <w:rPr>
          <w:sz w:val="20"/>
          <w:szCs w:val="20"/>
          <w:lang w:val="en-GB"/>
        </w:rPr>
        <w:t xml:space="preserve"> the relationships between those writing and those being written about.  In healthcare settings, linguistic analysis can elucidate the relationships between those providing and those receiving care.  </w:t>
      </w:r>
      <w:r w:rsidR="00860A96" w:rsidRPr="00D014F3">
        <w:rPr>
          <w:sz w:val="20"/>
          <w:szCs w:val="20"/>
          <w:lang w:val="en-GB"/>
        </w:rPr>
        <w:t>T</w:t>
      </w:r>
      <w:r w:rsidRPr="00D014F3">
        <w:rPr>
          <w:sz w:val="20"/>
          <w:szCs w:val="20"/>
          <w:lang w:val="en-GB"/>
        </w:rPr>
        <w:t xml:space="preserve">he language used in </w:t>
      </w:r>
      <w:r w:rsidR="00860A96" w:rsidRPr="00D014F3">
        <w:rPr>
          <w:sz w:val="20"/>
          <w:szCs w:val="20"/>
          <w:lang w:val="en-GB"/>
        </w:rPr>
        <w:t>clinical</w:t>
      </w:r>
      <w:r w:rsidRPr="00D014F3">
        <w:rPr>
          <w:sz w:val="20"/>
          <w:szCs w:val="20"/>
          <w:lang w:val="en-GB"/>
        </w:rPr>
        <w:t xml:space="preserve"> notes </w:t>
      </w:r>
      <w:r w:rsidR="00860A96" w:rsidRPr="00D014F3">
        <w:rPr>
          <w:sz w:val="20"/>
          <w:szCs w:val="20"/>
          <w:lang w:val="en-GB"/>
        </w:rPr>
        <w:t xml:space="preserve">can thus be used as a proxy </w:t>
      </w:r>
      <w:r w:rsidRPr="00D014F3">
        <w:rPr>
          <w:sz w:val="20"/>
          <w:szCs w:val="20"/>
          <w:lang w:val="en-GB"/>
        </w:rPr>
        <w:t xml:space="preserve">for </w:t>
      </w:r>
      <w:r w:rsidR="00860A96" w:rsidRPr="00D014F3">
        <w:rPr>
          <w:sz w:val="20"/>
          <w:szCs w:val="20"/>
          <w:lang w:val="en-GB"/>
        </w:rPr>
        <w:t xml:space="preserve">the </w:t>
      </w:r>
      <w:r w:rsidRPr="00D014F3">
        <w:rPr>
          <w:sz w:val="20"/>
          <w:szCs w:val="20"/>
          <w:lang w:val="en-GB"/>
        </w:rPr>
        <w:t>attitudes and behaviour</w:t>
      </w:r>
      <w:r w:rsidR="0087661A" w:rsidRPr="00D014F3">
        <w:rPr>
          <w:sz w:val="20"/>
          <w:szCs w:val="20"/>
          <w:lang w:val="en-GB"/>
        </w:rPr>
        <w:t>s</w:t>
      </w:r>
      <w:r w:rsidRPr="00D014F3">
        <w:rPr>
          <w:sz w:val="20"/>
          <w:szCs w:val="20"/>
          <w:lang w:val="en-GB"/>
        </w:rPr>
        <w:t xml:space="preserve"> </w:t>
      </w:r>
      <w:r w:rsidR="00860A96" w:rsidRPr="00D014F3">
        <w:rPr>
          <w:sz w:val="20"/>
          <w:szCs w:val="20"/>
          <w:lang w:val="en-GB"/>
        </w:rPr>
        <w:t>of staff</w:t>
      </w:r>
      <w:r w:rsidR="0018270D" w:rsidRPr="00D014F3">
        <w:rPr>
          <w:sz w:val="20"/>
          <w:szCs w:val="20"/>
          <w:lang w:val="en-GB"/>
        </w:rPr>
        <w:t xml:space="preserve"> toward service-users</w:t>
      </w:r>
      <w:r w:rsidR="00860A96" w:rsidRPr="00D014F3">
        <w:rPr>
          <w:sz w:val="20"/>
          <w:szCs w:val="20"/>
          <w:lang w:val="en-GB"/>
        </w:rPr>
        <w:t xml:space="preserve">.  </w:t>
      </w:r>
      <w:r w:rsidRPr="00D014F3">
        <w:rPr>
          <w:sz w:val="20"/>
          <w:szCs w:val="20"/>
          <w:lang w:val="en-GB"/>
        </w:rPr>
        <w:t xml:space="preserve">For example, medical notes recorded by </w:t>
      </w:r>
      <w:r w:rsidR="00860A96" w:rsidRPr="00D014F3">
        <w:rPr>
          <w:sz w:val="20"/>
          <w:szCs w:val="20"/>
          <w:lang w:val="en-GB"/>
        </w:rPr>
        <w:t>nurses</w:t>
      </w:r>
      <w:r w:rsidR="00735D6E" w:rsidRPr="00D014F3">
        <w:rPr>
          <w:sz w:val="20"/>
          <w:szCs w:val="20"/>
          <w:vertAlign w:val="superscript"/>
          <w:lang w:val="en-GB"/>
        </w:rPr>
        <w:t>31</w:t>
      </w:r>
      <w:r w:rsidR="00860A96" w:rsidRPr="00D014F3">
        <w:rPr>
          <w:sz w:val="20"/>
          <w:szCs w:val="20"/>
          <w:lang w:val="en-GB"/>
        </w:rPr>
        <w:t xml:space="preserve"> and dieticians</w:t>
      </w:r>
      <w:r w:rsidR="00735D6E" w:rsidRPr="00D014F3">
        <w:rPr>
          <w:sz w:val="20"/>
          <w:szCs w:val="20"/>
          <w:vertAlign w:val="superscript"/>
          <w:lang w:val="en-GB"/>
        </w:rPr>
        <w:t>32</w:t>
      </w:r>
      <w:r w:rsidRPr="00D014F3">
        <w:rPr>
          <w:sz w:val="20"/>
          <w:szCs w:val="20"/>
          <w:lang w:val="en-GB"/>
        </w:rPr>
        <w:t xml:space="preserve"> have been analysed to construct </w:t>
      </w:r>
      <w:r w:rsidR="00860A96" w:rsidRPr="00D014F3">
        <w:rPr>
          <w:sz w:val="20"/>
          <w:szCs w:val="20"/>
          <w:lang w:val="en-GB"/>
        </w:rPr>
        <w:t xml:space="preserve">representations of </w:t>
      </w:r>
      <w:r w:rsidRPr="00D014F3">
        <w:rPr>
          <w:sz w:val="20"/>
          <w:szCs w:val="20"/>
          <w:lang w:val="en-GB"/>
        </w:rPr>
        <w:t>patients</w:t>
      </w:r>
      <w:r w:rsidR="00860A96" w:rsidRPr="00D014F3">
        <w:rPr>
          <w:sz w:val="20"/>
          <w:szCs w:val="20"/>
          <w:lang w:val="en-GB"/>
        </w:rPr>
        <w:t>’</w:t>
      </w:r>
      <w:r w:rsidRPr="00D014F3">
        <w:rPr>
          <w:sz w:val="20"/>
          <w:szCs w:val="20"/>
          <w:lang w:val="en-GB"/>
        </w:rPr>
        <w:t xml:space="preserve"> and practitioners</w:t>
      </w:r>
      <w:r w:rsidR="00860A96" w:rsidRPr="00D014F3">
        <w:rPr>
          <w:sz w:val="20"/>
          <w:szCs w:val="20"/>
          <w:lang w:val="en-GB"/>
        </w:rPr>
        <w:t>’ reality</w:t>
      </w:r>
      <w:r w:rsidRPr="00D014F3">
        <w:rPr>
          <w:sz w:val="20"/>
          <w:szCs w:val="20"/>
          <w:lang w:val="en-GB"/>
        </w:rPr>
        <w:t xml:space="preserve">. </w:t>
      </w:r>
      <w:r w:rsidR="007A0C00" w:rsidRPr="00D014F3">
        <w:rPr>
          <w:sz w:val="20"/>
          <w:szCs w:val="20"/>
          <w:lang w:val="en-GB"/>
        </w:rPr>
        <w:t xml:space="preserve"> </w:t>
      </w:r>
      <w:r w:rsidR="005F44F6" w:rsidRPr="00D014F3">
        <w:rPr>
          <w:sz w:val="20"/>
          <w:szCs w:val="20"/>
          <w:lang w:val="en-GB"/>
        </w:rPr>
        <w:t xml:space="preserve">In </w:t>
      </w:r>
      <w:r w:rsidR="003A0B47" w:rsidRPr="00D014F3">
        <w:rPr>
          <w:sz w:val="20"/>
          <w:szCs w:val="20"/>
          <w:lang w:val="en-GB"/>
        </w:rPr>
        <w:t>mental healthcare</w:t>
      </w:r>
      <w:r w:rsidR="00C70FE6" w:rsidRPr="00D014F3">
        <w:rPr>
          <w:sz w:val="20"/>
          <w:szCs w:val="20"/>
          <w:lang w:val="en-GB"/>
        </w:rPr>
        <w:t xml:space="preserve"> settings</w:t>
      </w:r>
      <w:r w:rsidR="003A0B47" w:rsidRPr="00D014F3">
        <w:rPr>
          <w:sz w:val="20"/>
          <w:szCs w:val="20"/>
          <w:lang w:val="en-GB"/>
        </w:rPr>
        <w:t xml:space="preserve">, </w:t>
      </w:r>
      <w:r w:rsidR="00AC0522" w:rsidRPr="00D014F3">
        <w:rPr>
          <w:sz w:val="20"/>
          <w:szCs w:val="20"/>
          <w:lang w:val="en-GB"/>
        </w:rPr>
        <w:t xml:space="preserve">linguistic </w:t>
      </w:r>
      <w:r w:rsidR="003A0B47" w:rsidRPr="00D014F3">
        <w:rPr>
          <w:sz w:val="20"/>
          <w:szCs w:val="20"/>
          <w:lang w:val="en-GB"/>
        </w:rPr>
        <w:t xml:space="preserve">analysis </w:t>
      </w:r>
      <w:r w:rsidR="0018270D" w:rsidRPr="00D014F3">
        <w:rPr>
          <w:sz w:val="20"/>
          <w:szCs w:val="20"/>
          <w:lang w:val="en-GB"/>
        </w:rPr>
        <w:t>can</w:t>
      </w:r>
      <w:r w:rsidR="00C70FE6" w:rsidRPr="00D014F3">
        <w:rPr>
          <w:sz w:val="20"/>
          <w:szCs w:val="20"/>
          <w:lang w:val="en-GB"/>
        </w:rPr>
        <w:t xml:space="preserve"> </w:t>
      </w:r>
      <w:r w:rsidR="00AC0522" w:rsidRPr="00D014F3">
        <w:rPr>
          <w:sz w:val="20"/>
          <w:szCs w:val="20"/>
          <w:lang w:val="en-GB"/>
        </w:rPr>
        <w:t>be used to examine</w:t>
      </w:r>
      <w:r w:rsidR="003A0B47" w:rsidRPr="00D014F3">
        <w:rPr>
          <w:sz w:val="20"/>
          <w:szCs w:val="20"/>
          <w:lang w:val="en-GB"/>
        </w:rPr>
        <w:t xml:space="preserve"> </w:t>
      </w:r>
      <w:r w:rsidR="00C70FE6" w:rsidRPr="00D014F3">
        <w:rPr>
          <w:sz w:val="20"/>
          <w:szCs w:val="20"/>
          <w:lang w:val="en-GB"/>
        </w:rPr>
        <w:t xml:space="preserve">the extent to which </w:t>
      </w:r>
      <w:r w:rsidR="003A0B47" w:rsidRPr="00D014F3">
        <w:rPr>
          <w:sz w:val="20"/>
          <w:szCs w:val="20"/>
          <w:lang w:val="en-GB"/>
        </w:rPr>
        <w:t xml:space="preserve">services have moved from </w:t>
      </w:r>
      <w:r w:rsidR="00C70FE6" w:rsidRPr="00D014F3">
        <w:rPr>
          <w:sz w:val="20"/>
          <w:szCs w:val="20"/>
          <w:lang w:val="en-GB"/>
        </w:rPr>
        <w:t xml:space="preserve">a </w:t>
      </w:r>
      <w:r w:rsidR="003A0B47" w:rsidRPr="00D014F3">
        <w:rPr>
          <w:sz w:val="20"/>
          <w:szCs w:val="20"/>
          <w:lang w:val="en-GB"/>
        </w:rPr>
        <w:t xml:space="preserve">traditional medical </w:t>
      </w:r>
      <w:r w:rsidR="00AC0522" w:rsidRPr="00D014F3">
        <w:rPr>
          <w:sz w:val="20"/>
          <w:szCs w:val="20"/>
          <w:lang w:val="en-GB"/>
        </w:rPr>
        <w:t xml:space="preserve">model to one that </w:t>
      </w:r>
      <w:r w:rsidR="00C70FE6" w:rsidRPr="00D014F3">
        <w:rPr>
          <w:sz w:val="20"/>
          <w:szCs w:val="20"/>
          <w:lang w:val="en-GB"/>
        </w:rPr>
        <w:t xml:space="preserve">prioritises </w:t>
      </w:r>
      <w:r w:rsidR="003A0B47" w:rsidRPr="00D014F3">
        <w:rPr>
          <w:sz w:val="20"/>
          <w:szCs w:val="20"/>
          <w:lang w:val="en-GB"/>
        </w:rPr>
        <w:t>personal recovery</w:t>
      </w:r>
      <w:r w:rsidR="00AC0522" w:rsidRPr="00D014F3">
        <w:rPr>
          <w:sz w:val="20"/>
          <w:szCs w:val="20"/>
          <w:lang w:val="en-GB"/>
        </w:rPr>
        <w:t>.</w:t>
      </w:r>
    </w:p>
    <w:p w14:paraId="57CF8036" w14:textId="218E0C93" w:rsidR="00D87139" w:rsidRPr="00D014F3" w:rsidRDefault="001A50EA" w:rsidP="007D60C7">
      <w:pPr>
        <w:pStyle w:val="TEXTIND"/>
        <w:spacing w:line="480" w:lineRule="auto"/>
        <w:rPr>
          <w:sz w:val="20"/>
          <w:szCs w:val="20"/>
          <w:lang w:val="en-GB"/>
        </w:rPr>
      </w:pPr>
      <w:r w:rsidRPr="00D014F3">
        <w:rPr>
          <w:sz w:val="20"/>
          <w:szCs w:val="20"/>
        </w:rPr>
        <w:t>The Hope, Agency and Opportunity measure (HAO)</w:t>
      </w:r>
      <w:r w:rsidR="00735D6E" w:rsidRPr="00D014F3">
        <w:rPr>
          <w:sz w:val="20"/>
          <w:szCs w:val="20"/>
          <w:vertAlign w:val="superscript"/>
        </w:rPr>
        <w:t>33</w:t>
      </w:r>
      <w:r w:rsidRPr="00D014F3">
        <w:rPr>
          <w:sz w:val="20"/>
          <w:szCs w:val="20"/>
        </w:rPr>
        <w:t xml:space="preserve"> was designed by clinicians and people with mental ill-health as a means of </w:t>
      </w:r>
      <w:r w:rsidRPr="00D014F3">
        <w:rPr>
          <w:sz w:val="20"/>
          <w:szCs w:val="20"/>
          <w:lang w:val="en-GB"/>
        </w:rPr>
        <w:t>focusing clinical discussions on the key principles of recovery, developing relevant and personal care plans, and assessing outcomes</w:t>
      </w:r>
      <w:r w:rsidR="004C5F04" w:rsidRPr="00D014F3">
        <w:rPr>
          <w:sz w:val="20"/>
          <w:szCs w:val="20"/>
          <w:lang w:val="en-GB"/>
        </w:rPr>
        <w:t>.</w:t>
      </w:r>
      <w:r w:rsidR="00CC4E29" w:rsidRPr="00D014F3">
        <w:rPr>
          <w:sz w:val="20"/>
          <w:szCs w:val="20"/>
          <w:lang w:val="en-GB"/>
        </w:rPr>
        <w:t xml:space="preserve">  </w:t>
      </w:r>
      <w:r w:rsidR="007A0C00" w:rsidRPr="00D014F3">
        <w:rPr>
          <w:sz w:val="20"/>
          <w:szCs w:val="20"/>
        </w:rPr>
        <w:t xml:space="preserve">The present study aimed to assess the impact of introducing a brief measure of recovery to be used routinely by staff in a community mental health team, on RBP, calculated by </w:t>
      </w:r>
      <w:r w:rsidR="0087661A" w:rsidRPr="00D014F3">
        <w:rPr>
          <w:sz w:val="20"/>
          <w:szCs w:val="20"/>
        </w:rPr>
        <w:t>counts of language use</w:t>
      </w:r>
      <w:r w:rsidR="007A0C00" w:rsidRPr="00D014F3">
        <w:rPr>
          <w:sz w:val="20"/>
          <w:szCs w:val="20"/>
        </w:rPr>
        <w:t xml:space="preserve"> in clinical notes before, during and after the introduction of the measure.  </w:t>
      </w:r>
      <w:r w:rsidR="00D87139" w:rsidRPr="00D014F3">
        <w:rPr>
          <w:sz w:val="20"/>
          <w:szCs w:val="20"/>
        </w:rPr>
        <w:t xml:space="preserve">We hypothesised that clinicians would use recovery focused language more frequently, and non-recovery focused language less </w:t>
      </w:r>
      <w:r w:rsidR="00D87139" w:rsidRPr="00D014F3">
        <w:rPr>
          <w:sz w:val="20"/>
          <w:szCs w:val="20"/>
        </w:rPr>
        <w:lastRenderedPageBreak/>
        <w:t>frequently, following the introduction of the measure, and that these changes would be maintained at 18-month follow-up.</w:t>
      </w:r>
    </w:p>
    <w:p w14:paraId="1AE3415D" w14:textId="6ED0B57D" w:rsidR="00F41BF5" w:rsidRPr="00D014F3" w:rsidRDefault="00F41BF5" w:rsidP="00EB4758">
      <w:pPr>
        <w:pStyle w:val="TEXTIND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t xml:space="preserve"> </w:t>
      </w:r>
    </w:p>
    <w:p w14:paraId="1B4F4AE7" w14:textId="77777777" w:rsidR="00F41BF5" w:rsidRPr="00D014F3" w:rsidRDefault="00F41BF5" w:rsidP="00EB4758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Method </w:t>
      </w:r>
    </w:p>
    <w:p w14:paraId="358B34F4" w14:textId="7817F496" w:rsidR="00F41BF5" w:rsidRPr="00D014F3" w:rsidRDefault="00D87139" w:rsidP="00D87139">
      <w:pPr>
        <w:pStyle w:val="TEXTIND"/>
        <w:spacing w:line="480" w:lineRule="auto"/>
        <w:ind w:firstLine="0"/>
        <w:rPr>
          <w:color w:val="000000" w:themeColor="text1"/>
          <w:sz w:val="20"/>
          <w:szCs w:val="20"/>
        </w:rPr>
      </w:pPr>
      <w:r w:rsidRPr="00D014F3">
        <w:rPr>
          <w:color w:val="000000" w:themeColor="text1"/>
          <w:sz w:val="20"/>
          <w:szCs w:val="20"/>
        </w:rPr>
        <w:t>E</w:t>
      </w:r>
      <w:r w:rsidR="00F41BF5" w:rsidRPr="00D014F3">
        <w:rPr>
          <w:color w:val="000000" w:themeColor="text1"/>
          <w:sz w:val="20"/>
          <w:szCs w:val="20"/>
        </w:rPr>
        <w:t xml:space="preserve">thical approval was granted by the University </w:t>
      </w:r>
      <w:r w:rsidRPr="00D014F3">
        <w:rPr>
          <w:color w:val="000000" w:themeColor="text1"/>
          <w:sz w:val="20"/>
          <w:szCs w:val="20"/>
        </w:rPr>
        <w:t xml:space="preserve">of – Research </w:t>
      </w:r>
      <w:r w:rsidR="00F41BF5" w:rsidRPr="00D014F3">
        <w:rPr>
          <w:color w:val="000000" w:themeColor="text1"/>
          <w:sz w:val="20"/>
          <w:szCs w:val="20"/>
        </w:rPr>
        <w:t>Ethics Committee (ID: 30552).</w:t>
      </w:r>
    </w:p>
    <w:p w14:paraId="387B51B4" w14:textId="35BCB503" w:rsidR="00F41BF5" w:rsidRPr="00D014F3" w:rsidRDefault="00D87139" w:rsidP="00EB4758">
      <w:pPr>
        <w:pStyle w:val="Heading2"/>
        <w:spacing w:line="48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Participants</w:t>
      </w:r>
    </w:p>
    <w:p w14:paraId="6DFA30CB" w14:textId="445E1D9A" w:rsidR="00F41BF5" w:rsidRPr="00D014F3" w:rsidRDefault="001A50EA" w:rsidP="004C5F04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sz w:val="20"/>
          <w:szCs w:val="20"/>
        </w:rPr>
        <w:t>The</w:t>
      </w:r>
      <w:r w:rsidR="00F41BF5" w:rsidRPr="00D014F3">
        <w:rPr>
          <w:sz w:val="20"/>
          <w:szCs w:val="20"/>
        </w:rPr>
        <w:t xml:space="preserve"> </w:t>
      </w:r>
      <w:r w:rsidR="00D87139" w:rsidRPr="00D014F3">
        <w:rPr>
          <w:sz w:val="20"/>
          <w:szCs w:val="20"/>
        </w:rPr>
        <w:t>c</w:t>
      </w:r>
      <w:r w:rsidR="00F41BF5" w:rsidRPr="00D014F3">
        <w:rPr>
          <w:sz w:val="20"/>
          <w:szCs w:val="20"/>
        </w:rPr>
        <w:t xml:space="preserve">ommunity </w:t>
      </w:r>
      <w:r w:rsidR="00D87139" w:rsidRPr="00D014F3">
        <w:rPr>
          <w:sz w:val="20"/>
          <w:szCs w:val="20"/>
        </w:rPr>
        <w:t>m</w:t>
      </w:r>
      <w:r w:rsidR="00F41BF5" w:rsidRPr="00D014F3">
        <w:rPr>
          <w:sz w:val="20"/>
          <w:szCs w:val="20"/>
        </w:rPr>
        <w:t xml:space="preserve">ental </w:t>
      </w:r>
      <w:r w:rsidR="00D87139" w:rsidRPr="00D014F3">
        <w:rPr>
          <w:sz w:val="20"/>
          <w:szCs w:val="20"/>
        </w:rPr>
        <w:t>h</w:t>
      </w:r>
      <w:r w:rsidR="00F41BF5" w:rsidRPr="00D014F3">
        <w:rPr>
          <w:sz w:val="20"/>
          <w:szCs w:val="20"/>
        </w:rPr>
        <w:t xml:space="preserve">ealth </w:t>
      </w:r>
      <w:r w:rsidR="00D87139" w:rsidRPr="00D014F3">
        <w:rPr>
          <w:sz w:val="20"/>
          <w:szCs w:val="20"/>
        </w:rPr>
        <w:t>t</w:t>
      </w:r>
      <w:r w:rsidR="00F41BF5" w:rsidRPr="00D014F3">
        <w:rPr>
          <w:sz w:val="20"/>
          <w:szCs w:val="20"/>
        </w:rPr>
        <w:t xml:space="preserve">eam </w:t>
      </w:r>
      <w:r w:rsidRPr="00D014F3">
        <w:rPr>
          <w:sz w:val="20"/>
          <w:szCs w:val="20"/>
        </w:rPr>
        <w:t>is part of</w:t>
      </w:r>
      <w:r w:rsidR="00D87139" w:rsidRPr="00D014F3">
        <w:rPr>
          <w:sz w:val="20"/>
          <w:szCs w:val="20"/>
        </w:rPr>
        <w:t xml:space="preserve"> an NHS Trust in the South of England.</w:t>
      </w:r>
      <w:r w:rsidR="00F41BF5" w:rsidRPr="00D014F3">
        <w:rPr>
          <w:sz w:val="20"/>
          <w:szCs w:val="20"/>
        </w:rPr>
        <w:t xml:space="preserve">  Over the </w:t>
      </w:r>
      <w:r w:rsidR="00930941" w:rsidRPr="00D014F3">
        <w:rPr>
          <w:sz w:val="20"/>
          <w:szCs w:val="20"/>
        </w:rPr>
        <w:t xml:space="preserve">30-month </w:t>
      </w:r>
      <w:r w:rsidR="00F41BF5" w:rsidRPr="00D014F3">
        <w:rPr>
          <w:sz w:val="20"/>
          <w:szCs w:val="20"/>
        </w:rPr>
        <w:t xml:space="preserve">timescale, the average number of staff </w:t>
      </w:r>
      <w:proofErr w:type="gramStart"/>
      <w:r w:rsidR="0087661A" w:rsidRPr="00D014F3">
        <w:rPr>
          <w:sz w:val="20"/>
          <w:szCs w:val="20"/>
        </w:rPr>
        <w:t>was .</w:t>
      </w:r>
      <w:proofErr w:type="gramEnd"/>
      <w:r w:rsidR="00860A96" w:rsidRPr="00D014F3">
        <w:rPr>
          <w:sz w:val="20"/>
          <w:szCs w:val="20"/>
        </w:rPr>
        <w:t xml:space="preserve"> </w:t>
      </w:r>
      <w:proofErr w:type="gramStart"/>
      <w:r w:rsidR="00860A96" w:rsidRPr="00D014F3">
        <w:rPr>
          <w:sz w:val="20"/>
          <w:szCs w:val="20"/>
        </w:rPr>
        <w:t>whole</w:t>
      </w:r>
      <w:proofErr w:type="gramEnd"/>
      <w:r w:rsidR="00860A96" w:rsidRPr="00D014F3">
        <w:rPr>
          <w:sz w:val="20"/>
          <w:szCs w:val="20"/>
        </w:rPr>
        <w:t xml:space="preserve"> time equivalent</w:t>
      </w:r>
      <w:r w:rsidR="00930941" w:rsidRPr="00D014F3">
        <w:rPr>
          <w:sz w:val="20"/>
          <w:szCs w:val="20"/>
        </w:rPr>
        <w:t>,</w:t>
      </w:r>
      <w:r w:rsidR="00F41BF5" w:rsidRPr="00D014F3">
        <w:rPr>
          <w:sz w:val="20"/>
          <w:szCs w:val="20"/>
        </w:rPr>
        <w:t xml:space="preserve"> with an average team caseload of 454.  </w:t>
      </w:r>
      <w:r w:rsidRPr="00D014F3">
        <w:rPr>
          <w:sz w:val="20"/>
          <w:szCs w:val="20"/>
        </w:rPr>
        <w:t>These teams</w:t>
      </w:r>
      <w:r w:rsidR="00F41BF5" w:rsidRPr="00D014F3">
        <w:rPr>
          <w:sz w:val="20"/>
          <w:szCs w:val="20"/>
        </w:rPr>
        <w:t xml:space="preserve"> provide multidisciplinary care to people with severe and enduring mental ill-health, and </w:t>
      </w:r>
      <w:r w:rsidR="00A9768A" w:rsidRPr="00D014F3">
        <w:rPr>
          <w:sz w:val="20"/>
          <w:szCs w:val="20"/>
        </w:rPr>
        <w:t xml:space="preserve">typically </w:t>
      </w:r>
      <w:r w:rsidR="00930941" w:rsidRPr="00D014F3">
        <w:rPr>
          <w:sz w:val="20"/>
          <w:szCs w:val="20"/>
        </w:rPr>
        <w:t>comprise</w:t>
      </w:r>
      <w:r w:rsidR="00F41BF5" w:rsidRPr="00D014F3">
        <w:rPr>
          <w:sz w:val="20"/>
          <w:szCs w:val="20"/>
        </w:rPr>
        <w:t xml:space="preserve"> </w:t>
      </w:r>
      <w:r w:rsidR="00930941" w:rsidRPr="00D014F3">
        <w:rPr>
          <w:sz w:val="20"/>
          <w:szCs w:val="20"/>
        </w:rPr>
        <w:t xml:space="preserve">nurses, </w:t>
      </w:r>
      <w:r w:rsidR="00F41BF5" w:rsidRPr="00D014F3">
        <w:rPr>
          <w:sz w:val="20"/>
          <w:szCs w:val="20"/>
        </w:rPr>
        <w:t>psychiatrists, occupati</w:t>
      </w:r>
      <w:r w:rsidR="00930941" w:rsidRPr="00D014F3">
        <w:rPr>
          <w:sz w:val="20"/>
          <w:szCs w:val="20"/>
        </w:rPr>
        <w:t xml:space="preserve">onal therapists, social workers, </w:t>
      </w:r>
      <w:r w:rsidR="00F41BF5" w:rsidRPr="00D014F3">
        <w:rPr>
          <w:sz w:val="20"/>
          <w:szCs w:val="20"/>
        </w:rPr>
        <w:t>healthc</w:t>
      </w:r>
      <w:r w:rsidR="00A00717" w:rsidRPr="00D014F3">
        <w:rPr>
          <w:sz w:val="20"/>
          <w:szCs w:val="20"/>
        </w:rPr>
        <w:t xml:space="preserve">are support workers </w:t>
      </w:r>
      <w:r w:rsidR="00930941" w:rsidRPr="00D014F3">
        <w:rPr>
          <w:sz w:val="20"/>
          <w:szCs w:val="20"/>
        </w:rPr>
        <w:t>and psychol</w:t>
      </w:r>
      <w:r w:rsidRPr="00D014F3">
        <w:rPr>
          <w:sz w:val="20"/>
          <w:szCs w:val="20"/>
        </w:rPr>
        <w:t>ogists</w:t>
      </w:r>
      <w:r w:rsidR="00F41BF5" w:rsidRPr="00D014F3">
        <w:rPr>
          <w:sz w:val="20"/>
          <w:szCs w:val="20"/>
        </w:rPr>
        <w:t xml:space="preserve">.  </w:t>
      </w:r>
      <w:r w:rsidR="00B106C0" w:rsidRPr="00D014F3">
        <w:rPr>
          <w:sz w:val="20"/>
          <w:szCs w:val="20"/>
          <w:lang w:val="en-GB"/>
        </w:rPr>
        <w:t xml:space="preserve">The </w:t>
      </w:r>
      <w:r w:rsidRPr="00D014F3">
        <w:rPr>
          <w:sz w:val="20"/>
          <w:szCs w:val="20"/>
          <w:lang w:val="en-GB"/>
        </w:rPr>
        <w:t>HAO</w:t>
      </w:r>
      <w:r w:rsidR="00B106C0" w:rsidRPr="00D014F3">
        <w:rPr>
          <w:sz w:val="20"/>
          <w:szCs w:val="20"/>
          <w:lang w:val="en-GB"/>
        </w:rPr>
        <w:t xml:space="preserve"> was introduced to </w:t>
      </w:r>
      <w:r w:rsidRPr="00D014F3">
        <w:rPr>
          <w:sz w:val="20"/>
          <w:szCs w:val="20"/>
          <w:lang w:val="en-GB"/>
        </w:rPr>
        <w:t>the</w:t>
      </w:r>
      <w:r w:rsidR="00B106C0" w:rsidRPr="00D014F3">
        <w:rPr>
          <w:sz w:val="20"/>
          <w:szCs w:val="20"/>
          <w:lang w:val="en-GB"/>
        </w:rPr>
        <w:t xml:space="preserve"> team over a six-month period.  </w:t>
      </w:r>
      <w:proofErr w:type="gramStart"/>
      <w:r w:rsidR="00B106C0" w:rsidRPr="00D014F3">
        <w:rPr>
          <w:sz w:val="20"/>
          <w:szCs w:val="20"/>
          <w:lang w:val="en-GB"/>
        </w:rPr>
        <w:t>Staff were</w:t>
      </w:r>
      <w:proofErr w:type="gramEnd"/>
      <w:r w:rsidR="00B106C0" w:rsidRPr="00D014F3">
        <w:rPr>
          <w:sz w:val="20"/>
          <w:szCs w:val="20"/>
          <w:lang w:val="en-GB"/>
        </w:rPr>
        <w:t xml:space="preserve"> provided with information about </w:t>
      </w:r>
      <w:r w:rsidRPr="00D014F3">
        <w:rPr>
          <w:sz w:val="20"/>
          <w:szCs w:val="20"/>
          <w:lang w:val="en-GB"/>
        </w:rPr>
        <w:t>its</w:t>
      </w:r>
      <w:r w:rsidR="00B106C0" w:rsidRPr="00D014F3">
        <w:rPr>
          <w:sz w:val="20"/>
          <w:szCs w:val="20"/>
          <w:lang w:val="en-GB"/>
        </w:rPr>
        <w:t xml:space="preserve"> development</w:t>
      </w:r>
      <w:r w:rsidRPr="00D014F3">
        <w:rPr>
          <w:sz w:val="20"/>
          <w:szCs w:val="20"/>
          <w:lang w:val="en-GB"/>
        </w:rPr>
        <w:t>,</w:t>
      </w:r>
      <w:r w:rsidR="00B106C0" w:rsidRPr="00D014F3">
        <w:rPr>
          <w:sz w:val="20"/>
          <w:szCs w:val="20"/>
          <w:lang w:val="en-GB"/>
        </w:rPr>
        <w:t xml:space="preserve"> practical guidance on structuring recovery-focused conversations </w:t>
      </w:r>
      <w:r w:rsidRPr="00D014F3">
        <w:rPr>
          <w:sz w:val="20"/>
          <w:szCs w:val="20"/>
          <w:lang w:val="en-GB"/>
        </w:rPr>
        <w:t>using the HAO</w:t>
      </w:r>
      <w:r w:rsidR="00B106C0" w:rsidRPr="00D014F3">
        <w:rPr>
          <w:sz w:val="20"/>
          <w:szCs w:val="20"/>
          <w:lang w:val="en-GB"/>
        </w:rPr>
        <w:t xml:space="preserve">, and recommendations on how the </w:t>
      </w:r>
      <w:r w:rsidR="00382EEE" w:rsidRPr="00D014F3">
        <w:rPr>
          <w:sz w:val="20"/>
          <w:szCs w:val="20"/>
          <w:lang w:val="en-GB"/>
        </w:rPr>
        <w:t>measure</w:t>
      </w:r>
      <w:r w:rsidR="00B106C0" w:rsidRPr="00D014F3">
        <w:rPr>
          <w:sz w:val="20"/>
          <w:szCs w:val="20"/>
          <w:lang w:val="en-GB"/>
        </w:rPr>
        <w:t xml:space="preserve"> can be used in care planning.  </w:t>
      </w:r>
    </w:p>
    <w:p w14:paraId="322EC3BF" w14:textId="77777777" w:rsidR="00F41BF5" w:rsidRPr="00D014F3" w:rsidRDefault="00F41BF5" w:rsidP="00EB4758">
      <w:pPr>
        <w:pStyle w:val="Heading2"/>
        <w:spacing w:line="48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Design </w:t>
      </w:r>
    </w:p>
    <w:p w14:paraId="217808FB" w14:textId="6224F133" w:rsidR="0017285D" w:rsidRPr="00D014F3" w:rsidRDefault="00A9768A" w:rsidP="0017285D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sz w:val="20"/>
          <w:szCs w:val="20"/>
        </w:rPr>
        <w:t xml:space="preserve">We used a single-case </w:t>
      </w:r>
      <w:r w:rsidR="00D66310" w:rsidRPr="00D014F3">
        <w:rPr>
          <w:sz w:val="20"/>
          <w:szCs w:val="20"/>
        </w:rPr>
        <w:t xml:space="preserve">AB </w:t>
      </w:r>
      <w:r w:rsidR="00F41BF5" w:rsidRPr="00D014F3">
        <w:rPr>
          <w:sz w:val="20"/>
          <w:szCs w:val="20"/>
        </w:rPr>
        <w:t>naturalistic design</w:t>
      </w:r>
      <w:r w:rsidR="00425B22" w:rsidRPr="00D014F3">
        <w:rPr>
          <w:sz w:val="20"/>
          <w:szCs w:val="20"/>
        </w:rPr>
        <w:t xml:space="preserve">, which consists of two phases – a baseline phase </w:t>
      </w:r>
      <w:r w:rsidR="00FC1346" w:rsidRPr="00D014F3">
        <w:rPr>
          <w:sz w:val="20"/>
          <w:szCs w:val="20"/>
        </w:rPr>
        <w:t xml:space="preserve">prior to </w:t>
      </w:r>
      <w:r w:rsidR="00425B22" w:rsidRPr="00D014F3">
        <w:rPr>
          <w:sz w:val="20"/>
          <w:szCs w:val="20"/>
        </w:rPr>
        <w:t>changes made, and an intervention phase</w:t>
      </w:r>
      <w:r w:rsidR="00F41BF5" w:rsidRPr="00D014F3">
        <w:rPr>
          <w:sz w:val="20"/>
          <w:szCs w:val="20"/>
        </w:rPr>
        <w:t xml:space="preserve">.  </w:t>
      </w:r>
      <w:r w:rsidR="0017285D" w:rsidRPr="00D014F3">
        <w:rPr>
          <w:sz w:val="20"/>
          <w:szCs w:val="20"/>
        </w:rPr>
        <w:t>Single-case methods are typically used to investigate an individual’s response to an intervention</w:t>
      </w:r>
      <w:r w:rsidR="0017285D" w:rsidRPr="00D014F3">
        <w:rPr>
          <w:sz w:val="20"/>
          <w:szCs w:val="20"/>
          <w:vertAlign w:val="superscript"/>
        </w:rPr>
        <w:t>3</w:t>
      </w:r>
      <w:r w:rsidR="00735D6E" w:rsidRPr="00D014F3">
        <w:rPr>
          <w:sz w:val="20"/>
          <w:szCs w:val="20"/>
          <w:vertAlign w:val="superscript"/>
        </w:rPr>
        <w:t>4</w:t>
      </w:r>
      <w:r w:rsidR="0017285D" w:rsidRPr="00D014F3">
        <w:rPr>
          <w:sz w:val="20"/>
          <w:szCs w:val="20"/>
        </w:rPr>
        <w:t>, but can be used for a cluster of participants</w:t>
      </w:r>
      <w:r w:rsidR="0017285D" w:rsidRPr="00D014F3">
        <w:rPr>
          <w:sz w:val="20"/>
          <w:szCs w:val="20"/>
          <w:vertAlign w:val="superscript"/>
        </w:rPr>
        <w:t>3</w:t>
      </w:r>
      <w:r w:rsidR="00735D6E" w:rsidRPr="00D014F3">
        <w:rPr>
          <w:sz w:val="20"/>
          <w:szCs w:val="20"/>
          <w:vertAlign w:val="superscript"/>
        </w:rPr>
        <w:t>5</w:t>
      </w:r>
      <w:r w:rsidR="0017285D" w:rsidRPr="00D014F3">
        <w:rPr>
          <w:sz w:val="20"/>
          <w:szCs w:val="20"/>
        </w:rPr>
        <w:t xml:space="preserve"> – here a community mental health team.</w:t>
      </w:r>
    </w:p>
    <w:p w14:paraId="471854B9" w14:textId="72F714ED" w:rsidR="00F41BF5" w:rsidRPr="00D014F3" w:rsidRDefault="00A9768A" w:rsidP="0017285D">
      <w:pPr>
        <w:pStyle w:val="TEXTIND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lastRenderedPageBreak/>
        <w:t>A</w:t>
      </w:r>
      <w:r w:rsidR="00F41BF5" w:rsidRPr="00D014F3">
        <w:rPr>
          <w:sz w:val="20"/>
          <w:szCs w:val="20"/>
        </w:rPr>
        <w:t xml:space="preserve">nonymised </w:t>
      </w:r>
      <w:r w:rsidRPr="00D014F3">
        <w:rPr>
          <w:sz w:val="20"/>
          <w:szCs w:val="20"/>
        </w:rPr>
        <w:t>electronic</w:t>
      </w:r>
      <w:r w:rsidR="00F41BF5" w:rsidRPr="00D014F3">
        <w:rPr>
          <w:sz w:val="20"/>
          <w:szCs w:val="20"/>
        </w:rPr>
        <w:t xml:space="preserve"> notes recorded as part of routine </w:t>
      </w:r>
      <w:r w:rsidR="00D66310" w:rsidRPr="00D014F3">
        <w:rPr>
          <w:sz w:val="20"/>
          <w:szCs w:val="20"/>
        </w:rPr>
        <w:t xml:space="preserve">clinical </w:t>
      </w:r>
      <w:r w:rsidR="00F41BF5" w:rsidRPr="00D014F3">
        <w:rPr>
          <w:sz w:val="20"/>
          <w:szCs w:val="20"/>
        </w:rPr>
        <w:t>care over a 30-month period (March 2013 – August 2015)</w:t>
      </w:r>
      <w:r w:rsidRPr="00D014F3">
        <w:rPr>
          <w:sz w:val="20"/>
          <w:szCs w:val="20"/>
        </w:rPr>
        <w:t xml:space="preserve"> were examined</w:t>
      </w:r>
      <w:r w:rsidR="00F41BF5" w:rsidRPr="00D014F3">
        <w:rPr>
          <w:sz w:val="20"/>
          <w:szCs w:val="20"/>
        </w:rPr>
        <w:t>.  The ti</w:t>
      </w:r>
      <w:r w:rsidR="002863D3" w:rsidRPr="00D014F3">
        <w:rPr>
          <w:sz w:val="20"/>
          <w:szCs w:val="20"/>
        </w:rPr>
        <w:t>mescale was divided into five, six</w:t>
      </w:r>
      <w:r w:rsidR="00F41BF5" w:rsidRPr="00D014F3">
        <w:rPr>
          <w:sz w:val="20"/>
          <w:szCs w:val="20"/>
        </w:rPr>
        <w:t xml:space="preserve">-month periods.  These periods were grouped into two phases: baseline </w:t>
      </w:r>
      <w:r w:rsidR="00D66310" w:rsidRPr="00D014F3">
        <w:rPr>
          <w:sz w:val="20"/>
          <w:szCs w:val="20"/>
        </w:rPr>
        <w:t xml:space="preserve">(A) </w:t>
      </w:r>
      <w:r w:rsidR="00F41BF5" w:rsidRPr="00D014F3">
        <w:rPr>
          <w:sz w:val="20"/>
          <w:szCs w:val="20"/>
        </w:rPr>
        <w:t>and intervention</w:t>
      </w:r>
      <w:r w:rsidR="00D66310" w:rsidRPr="00D014F3">
        <w:rPr>
          <w:sz w:val="20"/>
          <w:szCs w:val="20"/>
        </w:rPr>
        <w:t xml:space="preserve"> (B)</w:t>
      </w:r>
      <w:r w:rsidR="00F41BF5" w:rsidRPr="00D014F3">
        <w:rPr>
          <w:sz w:val="20"/>
          <w:szCs w:val="20"/>
        </w:rPr>
        <w:t xml:space="preserve">.  </w:t>
      </w:r>
      <w:r w:rsidR="00747470" w:rsidRPr="00D014F3">
        <w:rPr>
          <w:sz w:val="20"/>
          <w:szCs w:val="20"/>
        </w:rPr>
        <w:t>The b</w:t>
      </w:r>
      <w:r w:rsidR="00F41BF5" w:rsidRPr="00D014F3">
        <w:rPr>
          <w:sz w:val="20"/>
          <w:szCs w:val="20"/>
        </w:rPr>
        <w:t xml:space="preserve">aseline </w:t>
      </w:r>
      <w:r w:rsidR="00747470" w:rsidRPr="00D014F3">
        <w:rPr>
          <w:sz w:val="20"/>
          <w:szCs w:val="20"/>
        </w:rPr>
        <w:t xml:space="preserve">phase </w:t>
      </w:r>
      <w:r w:rsidR="00D66310" w:rsidRPr="00D014F3">
        <w:rPr>
          <w:sz w:val="20"/>
          <w:szCs w:val="20"/>
        </w:rPr>
        <w:t>combined the periods before</w:t>
      </w:r>
      <w:r w:rsidR="00F41BF5" w:rsidRPr="00D014F3">
        <w:rPr>
          <w:sz w:val="20"/>
          <w:szCs w:val="20"/>
        </w:rPr>
        <w:t xml:space="preserve"> </w:t>
      </w:r>
      <w:r w:rsidR="00D66310" w:rsidRPr="00D014F3">
        <w:rPr>
          <w:sz w:val="20"/>
          <w:szCs w:val="20"/>
        </w:rPr>
        <w:t>(T1:</w:t>
      </w:r>
      <w:r w:rsidR="00F41BF5" w:rsidRPr="00D014F3">
        <w:rPr>
          <w:sz w:val="20"/>
          <w:szCs w:val="20"/>
        </w:rPr>
        <w:t xml:space="preserve"> 0-6 months) and </w:t>
      </w:r>
      <w:r w:rsidR="00D66310" w:rsidRPr="00D014F3">
        <w:rPr>
          <w:sz w:val="20"/>
          <w:szCs w:val="20"/>
        </w:rPr>
        <w:t xml:space="preserve">during </w:t>
      </w:r>
      <w:r w:rsidR="00747470" w:rsidRPr="00D014F3">
        <w:rPr>
          <w:sz w:val="20"/>
          <w:szCs w:val="20"/>
        </w:rPr>
        <w:t xml:space="preserve">the </w:t>
      </w:r>
      <w:r w:rsidR="00D66310" w:rsidRPr="00D014F3">
        <w:rPr>
          <w:sz w:val="20"/>
          <w:szCs w:val="20"/>
        </w:rPr>
        <w:t>introduction of the HAO (T2: 6-12 months)</w:t>
      </w:r>
      <w:r w:rsidR="00F41BF5" w:rsidRPr="00D014F3">
        <w:rPr>
          <w:sz w:val="20"/>
          <w:szCs w:val="20"/>
        </w:rPr>
        <w:t xml:space="preserve">.  </w:t>
      </w:r>
      <w:r w:rsidR="00747470" w:rsidRPr="00D014F3">
        <w:rPr>
          <w:sz w:val="20"/>
          <w:szCs w:val="20"/>
        </w:rPr>
        <w:t>The i</w:t>
      </w:r>
      <w:r w:rsidR="00F41BF5" w:rsidRPr="00D014F3">
        <w:rPr>
          <w:sz w:val="20"/>
          <w:szCs w:val="20"/>
        </w:rPr>
        <w:t xml:space="preserve">ntervention </w:t>
      </w:r>
      <w:r w:rsidR="00747470" w:rsidRPr="00D014F3">
        <w:rPr>
          <w:sz w:val="20"/>
          <w:szCs w:val="20"/>
        </w:rPr>
        <w:t xml:space="preserve">phase </w:t>
      </w:r>
      <w:r w:rsidR="00D66310" w:rsidRPr="00D014F3">
        <w:rPr>
          <w:sz w:val="20"/>
          <w:szCs w:val="20"/>
        </w:rPr>
        <w:t xml:space="preserve">combined the periods immediately </w:t>
      </w:r>
      <w:r w:rsidR="00F41BF5" w:rsidRPr="00D014F3">
        <w:rPr>
          <w:sz w:val="20"/>
          <w:szCs w:val="20"/>
        </w:rPr>
        <w:t xml:space="preserve">following introduction </w:t>
      </w:r>
      <w:r w:rsidR="00D66310" w:rsidRPr="00D014F3">
        <w:rPr>
          <w:sz w:val="20"/>
          <w:szCs w:val="20"/>
        </w:rPr>
        <w:t>of the HAO (T3:</w:t>
      </w:r>
      <w:r w:rsidR="00F41BF5" w:rsidRPr="00D014F3">
        <w:rPr>
          <w:sz w:val="20"/>
          <w:szCs w:val="20"/>
        </w:rPr>
        <w:t xml:space="preserve"> 12-18 months), </w:t>
      </w:r>
      <w:r w:rsidR="00D66310" w:rsidRPr="00D014F3">
        <w:rPr>
          <w:sz w:val="20"/>
          <w:szCs w:val="20"/>
        </w:rPr>
        <w:t>and follow-up periods (T4:</w:t>
      </w:r>
      <w:r w:rsidR="00F41BF5" w:rsidRPr="00D014F3">
        <w:rPr>
          <w:sz w:val="20"/>
          <w:szCs w:val="20"/>
        </w:rPr>
        <w:t xml:space="preserve"> 18-24 months</w:t>
      </w:r>
      <w:r w:rsidR="00D66310" w:rsidRPr="00D014F3">
        <w:rPr>
          <w:sz w:val="20"/>
          <w:szCs w:val="20"/>
        </w:rPr>
        <w:t xml:space="preserve">; and </w:t>
      </w:r>
      <w:r w:rsidR="00F41BF5" w:rsidRPr="00D014F3">
        <w:rPr>
          <w:sz w:val="20"/>
          <w:szCs w:val="20"/>
        </w:rPr>
        <w:t>T5</w:t>
      </w:r>
      <w:r w:rsidR="00D66310" w:rsidRPr="00D014F3">
        <w:rPr>
          <w:sz w:val="20"/>
          <w:szCs w:val="20"/>
        </w:rPr>
        <w:t>:</w:t>
      </w:r>
      <w:r w:rsidR="00F41BF5" w:rsidRPr="00D014F3">
        <w:rPr>
          <w:sz w:val="20"/>
          <w:szCs w:val="20"/>
        </w:rPr>
        <w:t xml:space="preserve"> 24-30 months). </w:t>
      </w:r>
      <w:r w:rsidR="001A50EA" w:rsidRPr="00D014F3">
        <w:rPr>
          <w:sz w:val="20"/>
          <w:szCs w:val="20"/>
        </w:rPr>
        <w:t xml:space="preserve"> </w:t>
      </w:r>
      <w:proofErr w:type="gramStart"/>
      <w:r w:rsidR="001A50EA" w:rsidRPr="00D014F3">
        <w:rPr>
          <w:sz w:val="20"/>
          <w:szCs w:val="20"/>
        </w:rPr>
        <w:t>Frequency of recovery and non-recovery terms were</w:t>
      </w:r>
      <w:proofErr w:type="gramEnd"/>
      <w:r w:rsidR="001A50EA" w:rsidRPr="00D014F3">
        <w:rPr>
          <w:sz w:val="20"/>
          <w:szCs w:val="20"/>
        </w:rPr>
        <w:t xml:space="preserve"> computed </w:t>
      </w:r>
      <w:r w:rsidR="00E41560" w:rsidRPr="00D014F3">
        <w:rPr>
          <w:sz w:val="20"/>
          <w:szCs w:val="20"/>
        </w:rPr>
        <w:t xml:space="preserve">using the automated CRIS system, and then calculated </w:t>
      </w:r>
      <w:r w:rsidR="001A50EA" w:rsidRPr="00D014F3">
        <w:rPr>
          <w:sz w:val="20"/>
          <w:szCs w:val="20"/>
        </w:rPr>
        <w:t xml:space="preserve">as a proportion of the total </w:t>
      </w:r>
      <w:r w:rsidR="00747470" w:rsidRPr="00D014F3">
        <w:rPr>
          <w:sz w:val="20"/>
          <w:szCs w:val="20"/>
        </w:rPr>
        <w:t xml:space="preserve">team </w:t>
      </w:r>
      <w:r w:rsidR="001A50EA" w:rsidRPr="00D014F3">
        <w:rPr>
          <w:sz w:val="20"/>
          <w:szCs w:val="20"/>
        </w:rPr>
        <w:t>caseload over these periods.</w:t>
      </w:r>
    </w:p>
    <w:p w14:paraId="27D1050F" w14:textId="77777777" w:rsidR="00F41BF5" w:rsidRPr="00D014F3" w:rsidRDefault="00F41BF5" w:rsidP="00EB4758">
      <w:pPr>
        <w:pStyle w:val="Heading2"/>
        <w:spacing w:line="48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Procedure </w:t>
      </w:r>
    </w:p>
    <w:p w14:paraId="0C5B8CA9" w14:textId="24F1AFFD" w:rsidR="001E2F9B" w:rsidRPr="00D014F3" w:rsidRDefault="001A50EA" w:rsidP="001A50EA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bCs/>
          <w:iCs/>
          <w:sz w:val="20"/>
          <w:szCs w:val="20"/>
        </w:rPr>
        <w:t>The Clinical Record Interactive Search system (CRIS</w:t>
      </w:r>
      <w:proofErr w:type="gramStart"/>
      <w:r w:rsidRPr="00D014F3">
        <w:rPr>
          <w:bCs/>
          <w:iCs/>
          <w:sz w:val="20"/>
          <w:szCs w:val="20"/>
        </w:rPr>
        <w:t>)</w:t>
      </w:r>
      <w:r w:rsidRPr="00D014F3">
        <w:rPr>
          <w:bCs/>
          <w:iCs/>
          <w:sz w:val="20"/>
          <w:szCs w:val="20"/>
          <w:vertAlign w:val="superscript"/>
        </w:rPr>
        <w:t>3</w:t>
      </w:r>
      <w:r w:rsidR="00735D6E" w:rsidRPr="00D014F3">
        <w:rPr>
          <w:bCs/>
          <w:iCs/>
          <w:sz w:val="20"/>
          <w:szCs w:val="20"/>
          <w:vertAlign w:val="superscript"/>
        </w:rPr>
        <w:t>6</w:t>
      </w:r>
      <w:proofErr w:type="gramEnd"/>
      <w:r w:rsidR="004C5F04" w:rsidRPr="00D014F3">
        <w:rPr>
          <w:bCs/>
          <w:iCs/>
          <w:sz w:val="20"/>
          <w:szCs w:val="20"/>
        </w:rPr>
        <w:t xml:space="preserve"> de-identifies</w:t>
      </w:r>
      <w:r w:rsidRPr="00D014F3">
        <w:rPr>
          <w:bCs/>
          <w:iCs/>
          <w:sz w:val="20"/>
          <w:szCs w:val="20"/>
        </w:rPr>
        <w:t xml:space="preserve"> personal data (e.</w:t>
      </w:r>
      <w:r w:rsidR="004C5F04" w:rsidRPr="00D014F3">
        <w:rPr>
          <w:bCs/>
          <w:iCs/>
          <w:sz w:val="20"/>
          <w:szCs w:val="20"/>
        </w:rPr>
        <w:t xml:space="preserve">g. name, address details, date of birth) </w:t>
      </w:r>
      <w:r w:rsidRPr="00D014F3">
        <w:rPr>
          <w:bCs/>
          <w:iCs/>
          <w:sz w:val="20"/>
          <w:szCs w:val="20"/>
        </w:rPr>
        <w:t xml:space="preserve">in </w:t>
      </w:r>
      <w:r w:rsidR="004C5F04" w:rsidRPr="00D014F3">
        <w:rPr>
          <w:bCs/>
          <w:iCs/>
          <w:sz w:val="20"/>
          <w:szCs w:val="20"/>
        </w:rPr>
        <w:t>electronic clinical notes</w:t>
      </w:r>
      <w:r w:rsidR="001E2F9B" w:rsidRPr="00D014F3">
        <w:rPr>
          <w:bCs/>
          <w:iCs/>
          <w:sz w:val="20"/>
          <w:szCs w:val="20"/>
        </w:rPr>
        <w:t>, which can then be used to search for and count specified terms</w:t>
      </w:r>
      <w:r w:rsidR="004C5F04" w:rsidRPr="00D014F3">
        <w:rPr>
          <w:bCs/>
          <w:iCs/>
          <w:sz w:val="20"/>
          <w:szCs w:val="20"/>
        </w:rPr>
        <w:t>.</w:t>
      </w:r>
      <w:r w:rsidR="001E2F9B" w:rsidRPr="00D014F3">
        <w:rPr>
          <w:bCs/>
          <w:iCs/>
          <w:sz w:val="20"/>
          <w:szCs w:val="20"/>
        </w:rPr>
        <w:t xml:space="preserve">  This system was used to count </w:t>
      </w:r>
      <w:r w:rsidR="001E2F9B" w:rsidRPr="00D014F3">
        <w:rPr>
          <w:sz w:val="20"/>
          <w:szCs w:val="20"/>
        </w:rPr>
        <w:t>recovery and non-recovery terms over the</w:t>
      </w:r>
      <w:r w:rsidR="00747470" w:rsidRPr="00D014F3">
        <w:rPr>
          <w:sz w:val="20"/>
          <w:szCs w:val="20"/>
        </w:rPr>
        <w:t xml:space="preserve"> five</w:t>
      </w:r>
      <w:r w:rsidR="001E2F9B" w:rsidRPr="00D014F3">
        <w:rPr>
          <w:sz w:val="20"/>
          <w:szCs w:val="20"/>
        </w:rPr>
        <w:t xml:space="preserve"> time periods.  </w:t>
      </w:r>
    </w:p>
    <w:p w14:paraId="1A413534" w14:textId="09852FD2" w:rsidR="001A50EA" w:rsidRPr="00D014F3" w:rsidRDefault="001E2F9B" w:rsidP="001E2F9B">
      <w:pPr>
        <w:pStyle w:val="TEXTIND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t xml:space="preserve">The first author created a total of </w:t>
      </w:r>
      <w:r w:rsidR="001A50EA" w:rsidRPr="00D014F3">
        <w:rPr>
          <w:sz w:val="20"/>
          <w:szCs w:val="20"/>
        </w:rPr>
        <w:t>32 search terms on the basis of the literature</w:t>
      </w:r>
      <w:r w:rsidRPr="00D014F3">
        <w:rPr>
          <w:sz w:val="20"/>
          <w:szCs w:val="20"/>
        </w:rPr>
        <w:t xml:space="preserve"> </w:t>
      </w:r>
      <w:r w:rsidR="001A50EA" w:rsidRPr="00D014F3">
        <w:rPr>
          <w:sz w:val="20"/>
          <w:szCs w:val="20"/>
        </w:rPr>
        <w:t>(see table 1).  Independent raters (</w:t>
      </w:r>
      <w:r w:rsidR="001A50EA" w:rsidRPr="00D014F3">
        <w:rPr>
          <w:i/>
          <w:sz w:val="20"/>
          <w:szCs w:val="20"/>
        </w:rPr>
        <w:t>N</w:t>
      </w:r>
      <w:r w:rsidR="001A50EA" w:rsidRPr="00D014F3">
        <w:rPr>
          <w:sz w:val="20"/>
          <w:szCs w:val="20"/>
        </w:rPr>
        <w:t>=10) with experience i</w:t>
      </w:r>
      <w:r w:rsidRPr="00D014F3">
        <w:rPr>
          <w:sz w:val="20"/>
          <w:szCs w:val="20"/>
        </w:rPr>
        <w:t>n the field of mental health (</w:t>
      </w:r>
      <w:r w:rsidR="001A50EA" w:rsidRPr="00D014F3">
        <w:rPr>
          <w:sz w:val="20"/>
          <w:szCs w:val="20"/>
        </w:rPr>
        <w:t xml:space="preserve">post-graduate </w:t>
      </w:r>
      <w:r w:rsidRPr="00D014F3">
        <w:rPr>
          <w:sz w:val="20"/>
          <w:szCs w:val="20"/>
        </w:rPr>
        <w:t xml:space="preserve">clinical psychology </w:t>
      </w:r>
      <w:r w:rsidR="001A50EA" w:rsidRPr="00D014F3">
        <w:rPr>
          <w:sz w:val="20"/>
          <w:szCs w:val="20"/>
        </w:rPr>
        <w:t>students; recovery college staff; academics) were recruited to code the terms.  Fleiss’ kappa</w:t>
      </w:r>
      <w:r w:rsidR="00425B22" w:rsidRPr="00D014F3">
        <w:rPr>
          <w:sz w:val="20"/>
          <w:szCs w:val="20"/>
        </w:rPr>
        <w:t xml:space="preserve">, a measure of reliability between raters for categorical variables, </w:t>
      </w:r>
      <w:r w:rsidRPr="00D014F3">
        <w:rPr>
          <w:sz w:val="20"/>
          <w:szCs w:val="20"/>
        </w:rPr>
        <w:t xml:space="preserve">indicated very good inter-rater agreement on whether terms were recovery or non-recovery focused, </w:t>
      </w:r>
      <w:r w:rsidRPr="00D014F3">
        <w:rPr>
          <w:rStyle w:val="Title1"/>
          <w:color w:val="000000" w:themeColor="text1"/>
          <w:sz w:val="20"/>
          <w:szCs w:val="20"/>
        </w:rPr>
        <w:t>κ</w:t>
      </w:r>
      <w:r w:rsidRPr="00D014F3">
        <w:rPr>
          <w:sz w:val="20"/>
          <w:szCs w:val="20"/>
        </w:rPr>
        <w:t xml:space="preserve">=.94, 95% </w:t>
      </w:r>
      <w:proofErr w:type="gramStart"/>
      <w:r w:rsidRPr="00D014F3">
        <w:rPr>
          <w:sz w:val="20"/>
          <w:szCs w:val="20"/>
        </w:rPr>
        <w:t>CI[</w:t>
      </w:r>
      <w:proofErr w:type="gramEnd"/>
      <w:r w:rsidRPr="00D014F3">
        <w:rPr>
          <w:sz w:val="20"/>
          <w:szCs w:val="20"/>
        </w:rPr>
        <w:t xml:space="preserve">.889, .992], </w:t>
      </w:r>
      <w:r w:rsidRPr="00D014F3">
        <w:rPr>
          <w:i/>
          <w:sz w:val="20"/>
          <w:szCs w:val="20"/>
        </w:rPr>
        <w:t>p</w:t>
      </w:r>
      <w:r w:rsidRPr="00D014F3">
        <w:rPr>
          <w:sz w:val="20"/>
          <w:szCs w:val="20"/>
        </w:rPr>
        <w:t>&lt;.001.</w:t>
      </w:r>
    </w:p>
    <w:p w14:paraId="78D96CCB" w14:textId="77777777" w:rsidR="00F41BF5" w:rsidRPr="00D014F3" w:rsidRDefault="00F41BF5" w:rsidP="00EB4758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Results</w:t>
      </w:r>
    </w:p>
    <w:p w14:paraId="35F8A7D9" w14:textId="451AD1EE" w:rsidR="00F41BF5" w:rsidRPr="00D014F3" w:rsidRDefault="0017285D" w:rsidP="00EB4758">
      <w:pPr>
        <w:pStyle w:val="Heading2"/>
        <w:spacing w:line="48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Term frequency counts</w:t>
      </w:r>
      <w:r w:rsidR="00F41BF5" w:rsidRPr="00D014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0B4AFF9F" w14:textId="793FBC47" w:rsidR="0017285D" w:rsidRPr="00D014F3" w:rsidRDefault="00F41BF5" w:rsidP="0017285D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sz w:val="20"/>
          <w:szCs w:val="20"/>
        </w:rPr>
        <w:t xml:space="preserve">Data from 7601 </w:t>
      </w:r>
      <w:r w:rsidR="00685485" w:rsidRPr="00D014F3">
        <w:rPr>
          <w:sz w:val="20"/>
          <w:szCs w:val="20"/>
        </w:rPr>
        <w:t>clinical</w:t>
      </w:r>
      <w:r w:rsidRPr="00D014F3">
        <w:rPr>
          <w:sz w:val="20"/>
          <w:szCs w:val="20"/>
        </w:rPr>
        <w:t xml:space="preserve"> records were included in the analyses.  Term frequency c</w:t>
      </w:r>
      <w:r w:rsidR="0017285D" w:rsidRPr="00D014F3">
        <w:rPr>
          <w:sz w:val="20"/>
          <w:szCs w:val="20"/>
        </w:rPr>
        <w:t>ounts were recorded over time</w:t>
      </w:r>
      <w:r w:rsidRPr="00D014F3">
        <w:rPr>
          <w:sz w:val="20"/>
          <w:szCs w:val="20"/>
        </w:rPr>
        <w:t xml:space="preserve">. </w:t>
      </w:r>
      <w:proofErr w:type="gramStart"/>
      <w:r w:rsidRPr="00D014F3">
        <w:rPr>
          <w:sz w:val="20"/>
          <w:szCs w:val="20"/>
        </w:rPr>
        <w:t>as</w:t>
      </w:r>
      <w:proofErr w:type="gramEnd"/>
      <w:r w:rsidRPr="00D014F3">
        <w:rPr>
          <w:sz w:val="20"/>
          <w:szCs w:val="20"/>
        </w:rPr>
        <w:t xml:space="preserve"> a proportion of </w:t>
      </w:r>
      <w:r w:rsidR="0017285D" w:rsidRPr="00D014F3">
        <w:rPr>
          <w:sz w:val="20"/>
          <w:szCs w:val="20"/>
        </w:rPr>
        <w:t xml:space="preserve">the </w:t>
      </w:r>
      <w:r w:rsidRPr="00D014F3">
        <w:rPr>
          <w:sz w:val="20"/>
          <w:szCs w:val="20"/>
        </w:rPr>
        <w:t>average c</w:t>
      </w:r>
      <w:r w:rsidR="00747470" w:rsidRPr="00D014F3">
        <w:rPr>
          <w:sz w:val="20"/>
          <w:szCs w:val="20"/>
        </w:rPr>
        <w:t>aseload for the six</w:t>
      </w:r>
      <w:r w:rsidR="0017285D" w:rsidRPr="00D014F3">
        <w:rPr>
          <w:sz w:val="20"/>
          <w:szCs w:val="20"/>
        </w:rPr>
        <w:t>-month period</w:t>
      </w:r>
      <w:r w:rsidRPr="00D014F3">
        <w:rPr>
          <w:sz w:val="20"/>
          <w:szCs w:val="20"/>
        </w:rPr>
        <w:t xml:space="preserve"> to account for caseload </w:t>
      </w:r>
      <w:r w:rsidR="0017285D" w:rsidRPr="00D014F3">
        <w:rPr>
          <w:sz w:val="20"/>
          <w:szCs w:val="20"/>
        </w:rPr>
        <w:t>variation (table 1).</w:t>
      </w:r>
    </w:p>
    <w:p w14:paraId="716F4B9D" w14:textId="77777777" w:rsidR="00CC4E29" w:rsidRPr="00D014F3" w:rsidRDefault="0017285D" w:rsidP="00CC4E29">
      <w:pPr>
        <w:pStyle w:val="TEXTIND"/>
        <w:spacing w:line="480" w:lineRule="auto"/>
        <w:ind w:firstLine="0"/>
        <w:jc w:val="center"/>
        <w:rPr>
          <w:i/>
          <w:sz w:val="20"/>
          <w:szCs w:val="20"/>
        </w:rPr>
      </w:pPr>
      <w:r w:rsidRPr="00D014F3">
        <w:rPr>
          <w:i/>
          <w:sz w:val="20"/>
          <w:szCs w:val="20"/>
        </w:rPr>
        <w:t>Table 1 about here</w:t>
      </w:r>
    </w:p>
    <w:p w14:paraId="0E99B85D" w14:textId="77777777" w:rsidR="00CC4E29" w:rsidRPr="00D014F3" w:rsidRDefault="00CC4E29" w:rsidP="00CC4E29">
      <w:pPr>
        <w:pStyle w:val="TEXTIND"/>
        <w:spacing w:line="480" w:lineRule="auto"/>
        <w:ind w:firstLine="0"/>
        <w:jc w:val="center"/>
        <w:rPr>
          <w:i/>
          <w:sz w:val="20"/>
          <w:szCs w:val="20"/>
        </w:rPr>
      </w:pPr>
    </w:p>
    <w:p w14:paraId="4DBECC70" w14:textId="55B4A7E4" w:rsidR="00F41BF5" w:rsidRPr="00D014F3" w:rsidRDefault="00870FE2" w:rsidP="00CC4E29">
      <w:pPr>
        <w:pStyle w:val="TEXTIND"/>
        <w:spacing w:line="480" w:lineRule="auto"/>
        <w:ind w:firstLine="0"/>
        <w:rPr>
          <w:i/>
          <w:sz w:val="20"/>
          <w:szCs w:val="20"/>
        </w:rPr>
      </w:pPr>
      <w:r w:rsidRPr="00D014F3">
        <w:rPr>
          <w:b/>
          <w:i/>
          <w:color w:val="000000" w:themeColor="text1"/>
          <w:sz w:val="20"/>
          <w:szCs w:val="20"/>
        </w:rPr>
        <w:t>Visual a</w:t>
      </w:r>
      <w:r w:rsidR="00F41BF5" w:rsidRPr="00D014F3">
        <w:rPr>
          <w:b/>
          <w:i/>
          <w:color w:val="000000" w:themeColor="text1"/>
          <w:sz w:val="20"/>
          <w:szCs w:val="20"/>
        </w:rPr>
        <w:t>nalysis</w:t>
      </w:r>
    </w:p>
    <w:p w14:paraId="19A8B264" w14:textId="067380E3" w:rsidR="006A0CF0" w:rsidRPr="00D014F3" w:rsidRDefault="00F41BF5" w:rsidP="006A0CF0">
      <w:pPr>
        <w:pStyle w:val="TEXTIND"/>
        <w:spacing w:line="480" w:lineRule="auto"/>
        <w:ind w:firstLine="0"/>
        <w:rPr>
          <w:noProof/>
          <w:sz w:val="20"/>
          <w:szCs w:val="20"/>
        </w:rPr>
      </w:pPr>
      <w:r w:rsidRPr="00D014F3">
        <w:rPr>
          <w:sz w:val="20"/>
          <w:szCs w:val="20"/>
        </w:rPr>
        <w:t xml:space="preserve">Single-case methodology </w:t>
      </w:r>
      <w:proofErr w:type="spellStart"/>
      <w:r w:rsidR="0049200E" w:rsidRPr="00D014F3">
        <w:rPr>
          <w:sz w:val="20"/>
          <w:szCs w:val="20"/>
        </w:rPr>
        <w:t>prioritises</w:t>
      </w:r>
      <w:proofErr w:type="spellEnd"/>
      <w:r w:rsidRPr="00D014F3">
        <w:rPr>
          <w:sz w:val="20"/>
          <w:szCs w:val="20"/>
        </w:rPr>
        <w:t xml:space="preserve"> visual inspection of data</w:t>
      </w:r>
      <w:r w:rsidR="00767CDF" w:rsidRPr="00D014F3">
        <w:rPr>
          <w:sz w:val="20"/>
          <w:szCs w:val="20"/>
          <w:vertAlign w:val="superscript"/>
        </w:rPr>
        <w:t>31</w:t>
      </w:r>
      <w:r w:rsidR="00F30C88" w:rsidRPr="00D014F3">
        <w:rPr>
          <w:sz w:val="20"/>
          <w:szCs w:val="20"/>
        </w:rPr>
        <w:t>.</w:t>
      </w:r>
      <w:r w:rsidR="006A0CF0" w:rsidRPr="00D014F3">
        <w:rPr>
          <w:sz w:val="20"/>
          <w:szCs w:val="20"/>
        </w:rPr>
        <w:t xml:space="preserve">  Comparison</w:t>
      </w:r>
      <w:r w:rsidRPr="00D014F3">
        <w:rPr>
          <w:sz w:val="20"/>
          <w:szCs w:val="20"/>
        </w:rPr>
        <w:t xml:space="preserve"> of central tendency and points of change </w:t>
      </w:r>
      <w:r w:rsidR="006A0CF0" w:rsidRPr="00D014F3">
        <w:rPr>
          <w:sz w:val="20"/>
          <w:szCs w:val="20"/>
        </w:rPr>
        <w:t>can be used to compare phases</w:t>
      </w:r>
      <w:r w:rsidR="00A00717" w:rsidRPr="00D014F3">
        <w:rPr>
          <w:sz w:val="20"/>
          <w:szCs w:val="20"/>
          <w:vertAlign w:val="superscript"/>
        </w:rPr>
        <w:t>31</w:t>
      </w:r>
      <w:r w:rsidRPr="00D014F3">
        <w:rPr>
          <w:sz w:val="20"/>
          <w:szCs w:val="20"/>
        </w:rPr>
        <w:t xml:space="preserve">.  Term frequency counts as proportions of caseload were plotted over time, </w:t>
      </w:r>
      <w:r w:rsidR="006A0CF0" w:rsidRPr="00D014F3">
        <w:rPr>
          <w:sz w:val="20"/>
          <w:szCs w:val="20"/>
        </w:rPr>
        <w:t xml:space="preserve">across </w:t>
      </w:r>
      <w:r w:rsidRPr="00D014F3">
        <w:rPr>
          <w:sz w:val="20"/>
          <w:szCs w:val="20"/>
        </w:rPr>
        <w:t>baseline and intervention</w:t>
      </w:r>
      <w:r w:rsidR="006A0CF0" w:rsidRPr="00D014F3">
        <w:rPr>
          <w:sz w:val="20"/>
          <w:szCs w:val="20"/>
        </w:rPr>
        <w:t xml:space="preserve"> phases (f</w:t>
      </w:r>
      <w:r w:rsidRPr="00D014F3">
        <w:rPr>
          <w:sz w:val="20"/>
          <w:szCs w:val="20"/>
        </w:rPr>
        <w:t>igure</w:t>
      </w:r>
      <w:r w:rsidR="006A0CF0" w:rsidRPr="00D014F3">
        <w:rPr>
          <w:sz w:val="20"/>
          <w:szCs w:val="20"/>
        </w:rPr>
        <w:t>s</w:t>
      </w:r>
      <w:r w:rsidRPr="00D014F3">
        <w:rPr>
          <w:sz w:val="20"/>
          <w:szCs w:val="20"/>
        </w:rPr>
        <w:t xml:space="preserve"> 1</w:t>
      </w:r>
      <w:r w:rsidR="006A0CF0" w:rsidRPr="00D014F3">
        <w:rPr>
          <w:sz w:val="20"/>
          <w:szCs w:val="20"/>
        </w:rPr>
        <w:t xml:space="preserve"> and 2</w:t>
      </w:r>
      <w:r w:rsidRPr="00D014F3">
        <w:rPr>
          <w:sz w:val="20"/>
          <w:szCs w:val="20"/>
        </w:rPr>
        <w:t>).</w:t>
      </w:r>
      <w:r w:rsidR="009F61F0" w:rsidRPr="00D014F3">
        <w:rPr>
          <w:noProof/>
          <w:sz w:val="20"/>
          <w:szCs w:val="20"/>
        </w:rPr>
        <w:t xml:space="preserve"> </w:t>
      </w:r>
    </w:p>
    <w:p w14:paraId="0EFB556E" w14:textId="7447CD7D" w:rsidR="00C27644" w:rsidRPr="00D014F3" w:rsidRDefault="00C27644" w:rsidP="00C27644">
      <w:pPr>
        <w:pStyle w:val="TEXTIND"/>
        <w:spacing w:line="480" w:lineRule="auto"/>
        <w:ind w:firstLine="0"/>
        <w:jc w:val="center"/>
        <w:rPr>
          <w:i/>
          <w:sz w:val="20"/>
          <w:szCs w:val="20"/>
        </w:rPr>
      </w:pPr>
      <w:r w:rsidRPr="00D014F3">
        <w:rPr>
          <w:i/>
          <w:sz w:val="20"/>
          <w:szCs w:val="20"/>
        </w:rPr>
        <w:t>Figures 1 and 2 about here</w:t>
      </w:r>
    </w:p>
    <w:p w14:paraId="7CC5CC4A" w14:textId="2EE2FA10" w:rsidR="00C01185" w:rsidRPr="00D014F3" w:rsidRDefault="00C27644" w:rsidP="00C01185">
      <w:pPr>
        <w:pStyle w:val="TEXTIND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t xml:space="preserve">The average number of recovery </w:t>
      </w:r>
      <w:r w:rsidR="00F41BF5" w:rsidRPr="00D014F3">
        <w:rPr>
          <w:sz w:val="20"/>
          <w:szCs w:val="20"/>
        </w:rPr>
        <w:t>terms increased from baseline (</w:t>
      </w:r>
      <w:r w:rsidR="00F41BF5" w:rsidRPr="00D014F3">
        <w:rPr>
          <w:i/>
          <w:sz w:val="20"/>
          <w:szCs w:val="20"/>
        </w:rPr>
        <w:t>M</w:t>
      </w:r>
      <w:r w:rsidR="00F41BF5" w:rsidRPr="00D014F3">
        <w:rPr>
          <w:sz w:val="20"/>
          <w:szCs w:val="20"/>
        </w:rPr>
        <w:t xml:space="preserve"> = 10.64) to intervention (</w:t>
      </w:r>
      <w:r w:rsidR="00F41BF5" w:rsidRPr="00D014F3">
        <w:rPr>
          <w:i/>
          <w:sz w:val="20"/>
          <w:szCs w:val="20"/>
        </w:rPr>
        <w:t xml:space="preserve">M </w:t>
      </w:r>
      <w:r w:rsidR="00F41BF5" w:rsidRPr="00D014F3">
        <w:rPr>
          <w:sz w:val="20"/>
          <w:szCs w:val="20"/>
        </w:rPr>
        <w:t>= 11.42)</w:t>
      </w:r>
      <w:r w:rsidR="00747470" w:rsidRPr="00D014F3">
        <w:rPr>
          <w:sz w:val="20"/>
          <w:szCs w:val="20"/>
        </w:rPr>
        <w:t>.  T</w:t>
      </w:r>
      <w:r w:rsidRPr="00D014F3">
        <w:rPr>
          <w:sz w:val="20"/>
          <w:szCs w:val="20"/>
        </w:rPr>
        <w:t xml:space="preserve">he average number of non-recovery </w:t>
      </w:r>
      <w:r w:rsidR="00F41BF5" w:rsidRPr="00D014F3">
        <w:rPr>
          <w:sz w:val="20"/>
          <w:szCs w:val="20"/>
        </w:rPr>
        <w:t>terms decreased from baseline (</w:t>
      </w:r>
      <w:r w:rsidR="00F41BF5" w:rsidRPr="00D014F3">
        <w:rPr>
          <w:i/>
          <w:sz w:val="20"/>
          <w:szCs w:val="20"/>
        </w:rPr>
        <w:t xml:space="preserve">M </w:t>
      </w:r>
      <w:r w:rsidR="00F41BF5" w:rsidRPr="00D014F3">
        <w:rPr>
          <w:sz w:val="20"/>
          <w:szCs w:val="20"/>
        </w:rPr>
        <w:t>= 9.38) to intervention (</w:t>
      </w:r>
      <w:r w:rsidR="00F41BF5" w:rsidRPr="00D014F3">
        <w:rPr>
          <w:i/>
          <w:sz w:val="20"/>
          <w:szCs w:val="20"/>
        </w:rPr>
        <w:t xml:space="preserve">M </w:t>
      </w:r>
      <w:r w:rsidR="00F41BF5" w:rsidRPr="00D014F3">
        <w:rPr>
          <w:sz w:val="20"/>
          <w:szCs w:val="20"/>
        </w:rPr>
        <w:t>= 9.22</w:t>
      </w:r>
      <w:r w:rsidRPr="00D014F3">
        <w:rPr>
          <w:sz w:val="20"/>
          <w:szCs w:val="20"/>
        </w:rPr>
        <w:t>)</w:t>
      </w:r>
      <w:r w:rsidR="003B7206" w:rsidRPr="00D014F3">
        <w:rPr>
          <w:sz w:val="20"/>
          <w:szCs w:val="20"/>
        </w:rPr>
        <w:t>,</w:t>
      </w:r>
      <w:r w:rsidRPr="00D014F3">
        <w:rPr>
          <w:sz w:val="20"/>
          <w:szCs w:val="20"/>
        </w:rPr>
        <w:t xml:space="preserve"> tho</w:t>
      </w:r>
      <w:r w:rsidR="00C01185" w:rsidRPr="00D014F3">
        <w:rPr>
          <w:sz w:val="20"/>
          <w:szCs w:val="20"/>
        </w:rPr>
        <w:t xml:space="preserve">ugh this difference was </w:t>
      </w:r>
      <w:r w:rsidR="00747470" w:rsidRPr="00D014F3">
        <w:rPr>
          <w:sz w:val="20"/>
          <w:szCs w:val="20"/>
        </w:rPr>
        <w:t xml:space="preserve">very </w:t>
      </w:r>
      <w:r w:rsidR="00C01185" w:rsidRPr="00D014F3">
        <w:rPr>
          <w:sz w:val="20"/>
          <w:szCs w:val="20"/>
        </w:rPr>
        <w:t xml:space="preserve">modest.  Comparison of points of change (circled) indicates an increase </w:t>
      </w:r>
      <w:r w:rsidR="00F41BF5" w:rsidRPr="00D014F3">
        <w:rPr>
          <w:sz w:val="20"/>
          <w:szCs w:val="20"/>
        </w:rPr>
        <w:t>i</w:t>
      </w:r>
      <w:r w:rsidR="00C01185" w:rsidRPr="00D014F3">
        <w:rPr>
          <w:sz w:val="20"/>
          <w:szCs w:val="20"/>
        </w:rPr>
        <w:t>n use of recovery</w:t>
      </w:r>
      <w:r w:rsidR="00F41BF5" w:rsidRPr="00D014F3">
        <w:rPr>
          <w:sz w:val="20"/>
          <w:szCs w:val="20"/>
        </w:rPr>
        <w:t xml:space="preserve"> terms </w:t>
      </w:r>
      <w:r w:rsidR="00C01185" w:rsidRPr="00D014F3">
        <w:rPr>
          <w:sz w:val="20"/>
          <w:szCs w:val="20"/>
        </w:rPr>
        <w:t xml:space="preserve">between the baseline and intervention phases, though this was not maintained at follow-up.  Points of change for non-recovery terms showed a modest </w:t>
      </w:r>
      <w:r w:rsidR="00747470" w:rsidRPr="00D014F3">
        <w:rPr>
          <w:sz w:val="20"/>
          <w:szCs w:val="20"/>
        </w:rPr>
        <w:t>change</w:t>
      </w:r>
      <w:r w:rsidR="00C01185" w:rsidRPr="00D014F3">
        <w:rPr>
          <w:sz w:val="20"/>
          <w:szCs w:val="20"/>
        </w:rPr>
        <w:t>, which again was not maintained at follow-up.</w:t>
      </w:r>
    </w:p>
    <w:p w14:paraId="476F0CF6" w14:textId="77777777" w:rsidR="00C01185" w:rsidRPr="00D014F3" w:rsidRDefault="00C01185" w:rsidP="00C01185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b/>
          <w:i/>
          <w:sz w:val="20"/>
          <w:szCs w:val="20"/>
        </w:rPr>
        <w:t>Statistical a</w:t>
      </w:r>
      <w:r w:rsidR="00F41BF5" w:rsidRPr="00D014F3">
        <w:rPr>
          <w:b/>
          <w:i/>
          <w:sz w:val="20"/>
          <w:szCs w:val="20"/>
        </w:rPr>
        <w:t xml:space="preserve">nalysis   </w:t>
      </w:r>
    </w:p>
    <w:p w14:paraId="2308FD5D" w14:textId="685FE349" w:rsidR="00F41BF5" w:rsidRPr="00D014F3" w:rsidRDefault="00F41BF5" w:rsidP="00C01185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sz w:val="20"/>
          <w:szCs w:val="20"/>
        </w:rPr>
        <w:lastRenderedPageBreak/>
        <w:t>Mood’s median nonparametric test can be</w:t>
      </w:r>
      <w:r w:rsidR="00A00717" w:rsidRPr="00D014F3">
        <w:rPr>
          <w:sz w:val="20"/>
          <w:szCs w:val="20"/>
        </w:rPr>
        <w:t xml:space="preserve"> applied to two or more groups</w:t>
      </w:r>
      <w:r w:rsidR="00C01185" w:rsidRPr="00D014F3">
        <w:rPr>
          <w:sz w:val="20"/>
          <w:szCs w:val="20"/>
        </w:rPr>
        <w:t xml:space="preserve">, </w:t>
      </w:r>
      <w:r w:rsidR="00747470" w:rsidRPr="00D014F3">
        <w:rPr>
          <w:sz w:val="20"/>
          <w:szCs w:val="20"/>
        </w:rPr>
        <w:t>incorporating</w:t>
      </w:r>
      <w:r w:rsidR="00C01185" w:rsidRPr="00D014F3">
        <w:rPr>
          <w:sz w:val="20"/>
          <w:szCs w:val="20"/>
        </w:rPr>
        <w:t xml:space="preserve"> Fisher’s exact test to compare </w:t>
      </w:r>
      <w:r w:rsidR="00747470" w:rsidRPr="00D014F3">
        <w:rPr>
          <w:sz w:val="20"/>
          <w:szCs w:val="20"/>
        </w:rPr>
        <w:t xml:space="preserve">the </w:t>
      </w:r>
      <w:r w:rsidR="00C01185" w:rsidRPr="00D014F3">
        <w:rPr>
          <w:sz w:val="20"/>
          <w:szCs w:val="20"/>
        </w:rPr>
        <w:t xml:space="preserve">relationship </w:t>
      </w:r>
      <w:r w:rsidR="00747470" w:rsidRPr="00D014F3">
        <w:rPr>
          <w:sz w:val="20"/>
          <w:szCs w:val="20"/>
        </w:rPr>
        <w:t xml:space="preserve">of data points </w:t>
      </w:r>
      <w:r w:rsidR="00C01185" w:rsidRPr="00D014F3">
        <w:rPr>
          <w:sz w:val="20"/>
          <w:szCs w:val="20"/>
        </w:rPr>
        <w:t>to the median</w:t>
      </w:r>
      <w:r w:rsidR="00A00717" w:rsidRPr="00D014F3">
        <w:rPr>
          <w:sz w:val="20"/>
          <w:szCs w:val="20"/>
          <w:vertAlign w:val="superscript"/>
        </w:rPr>
        <w:t>31</w:t>
      </w:r>
      <w:r w:rsidR="00A00717" w:rsidRPr="00D014F3">
        <w:rPr>
          <w:sz w:val="20"/>
          <w:szCs w:val="20"/>
        </w:rPr>
        <w:t xml:space="preserve">. </w:t>
      </w:r>
      <w:r w:rsidR="00C01185" w:rsidRPr="00D014F3">
        <w:rPr>
          <w:sz w:val="20"/>
          <w:szCs w:val="20"/>
        </w:rPr>
        <w:t xml:space="preserve"> </w:t>
      </w:r>
      <w:r w:rsidRPr="00D014F3">
        <w:rPr>
          <w:sz w:val="20"/>
          <w:szCs w:val="20"/>
        </w:rPr>
        <w:t xml:space="preserve">There was no association between median category and phase </w:t>
      </w:r>
      <w:r w:rsidR="00487688" w:rsidRPr="00D014F3">
        <w:rPr>
          <w:sz w:val="20"/>
          <w:szCs w:val="20"/>
        </w:rPr>
        <w:t xml:space="preserve">for recovery </w:t>
      </w:r>
      <w:r w:rsidRPr="00D014F3">
        <w:rPr>
          <w:sz w:val="20"/>
          <w:szCs w:val="20"/>
        </w:rPr>
        <w:t>(</w:t>
      </w:r>
      <w:r w:rsidRPr="00D014F3">
        <w:rPr>
          <w:i/>
          <w:sz w:val="20"/>
          <w:szCs w:val="20"/>
        </w:rPr>
        <w:t>p</w:t>
      </w:r>
      <w:r w:rsidR="000E36D8" w:rsidRPr="00D014F3">
        <w:rPr>
          <w:sz w:val="20"/>
          <w:szCs w:val="20"/>
        </w:rPr>
        <w:t>=</w:t>
      </w:r>
      <w:r w:rsidRPr="00D014F3">
        <w:rPr>
          <w:sz w:val="20"/>
          <w:szCs w:val="20"/>
        </w:rPr>
        <w:t>1.00)</w:t>
      </w:r>
      <w:r w:rsidR="00487688" w:rsidRPr="00D014F3">
        <w:rPr>
          <w:sz w:val="20"/>
          <w:szCs w:val="20"/>
        </w:rPr>
        <w:t xml:space="preserve"> or non-</w:t>
      </w:r>
      <w:r w:rsidRPr="00D014F3">
        <w:rPr>
          <w:sz w:val="20"/>
          <w:szCs w:val="20"/>
        </w:rPr>
        <w:t>recovery terms (</w:t>
      </w:r>
      <w:r w:rsidRPr="00D014F3">
        <w:rPr>
          <w:i/>
          <w:sz w:val="20"/>
          <w:szCs w:val="20"/>
        </w:rPr>
        <w:t>p</w:t>
      </w:r>
      <w:r w:rsidR="000E36D8" w:rsidRPr="00D014F3">
        <w:rPr>
          <w:sz w:val="20"/>
          <w:szCs w:val="20"/>
        </w:rPr>
        <w:t>=</w:t>
      </w:r>
      <w:r w:rsidRPr="00D014F3">
        <w:rPr>
          <w:sz w:val="20"/>
          <w:szCs w:val="20"/>
        </w:rPr>
        <w:t>.400).</w:t>
      </w:r>
    </w:p>
    <w:p w14:paraId="2A7306A6" w14:textId="77777777" w:rsidR="00487688" w:rsidRPr="00D014F3" w:rsidRDefault="00487688" w:rsidP="00C01185">
      <w:pPr>
        <w:pStyle w:val="TEXTIND"/>
        <w:spacing w:line="480" w:lineRule="auto"/>
        <w:ind w:firstLine="0"/>
        <w:rPr>
          <w:sz w:val="20"/>
          <w:szCs w:val="20"/>
        </w:rPr>
      </w:pPr>
    </w:p>
    <w:p w14:paraId="7BA8D024" w14:textId="788631E5" w:rsidR="00382EEE" w:rsidRPr="00D014F3" w:rsidRDefault="00382EEE" w:rsidP="00FC1346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Discussion</w:t>
      </w:r>
    </w:p>
    <w:p w14:paraId="32045BDA" w14:textId="4E080EEF" w:rsidR="00767CDF" w:rsidRPr="00D014F3" w:rsidRDefault="00487688" w:rsidP="00767CDF">
      <w:pPr>
        <w:pStyle w:val="ABKW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t>This</w:t>
      </w:r>
      <w:r w:rsidR="00F41BF5" w:rsidRPr="00D014F3">
        <w:rPr>
          <w:sz w:val="20"/>
          <w:szCs w:val="20"/>
        </w:rPr>
        <w:t xml:space="preserve"> study </w:t>
      </w:r>
      <w:r w:rsidRPr="00D014F3">
        <w:rPr>
          <w:sz w:val="20"/>
          <w:szCs w:val="20"/>
        </w:rPr>
        <w:t>assess</w:t>
      </w:r>
      <w:r w:rsidR="00EC0EA0" w:rsidRPr="00D014F3">
        <w:rPr>
          <w:sz w:val="20"/>
          <w:szCs w:val="20"/>
        </w:rPr>
        <w:t>ed</w:t>
      </w:r>
      <w:r w:rsidRPr="00D014F3">
        <w:rPr>
          <w:sz w:val="20"/>
          <w:szCs w:val="20"/>
        </w:rPr>
        <w:t xml:space="preserve"> the impact of introducing a brief measure of recovery on RBP</w:t>
      </w:r>
      <w:r w:rsidR="00EC0EA0" w:rsidRPr="00D014F3">
        <w:rPr>
          <w:sz w:val="20"/>
          <w:szCs w:val="20"/>
        </w:rPr>
        <w:t xml:space="preserve"> in a community mental health team</w:t>
      </w:r>
      <w:r w:rsidRPr="00D014F3">
        <w:rPr>
          <w:sz w:val="20"/>
          <w:szCs w:val="20"/>
        </w:rPr>
        <w:t xml:space="preserve">.  We used linguistic analysis as a proxy for </w:t>
      </w:r>
      <w:r w:rsidR="00EC0EA0" w:rsidRPr="00D014F3">
        <w:rPr>
          <w:sz w:val="20"/>
          <w:szCs w:val="20"/>
        </w:rPr>
        <w:t xml:space="preserve">staff </w:t>
      </w:r>
      <w:r w:rsidRPr="00D014F3">
        <w:rPr>
          <w:sz w:val="20"/>
          <w:szCs w:val="20"/>
        </w:rPr>
        <w:t>attitudes and behaviour</w:t>
      </w:r>
      <w:r w:rsidR="00010B97" w:rsidRPr="00D014F3">
        <w:rPr>
          <w:sz w:val="20"/>
          <w:szCs w:val="20"/>
        </w:rPr>
        <w:t>, and</w:t>
      </w:r>
      <w:r w:rsidR="00B542C5" w:rsidRPr="00D014F3">
        <w:rPr>
          <w:sz w:val="20"/>
          <w:szCs w:val="20"/>
        </w:rPr>
        <w:t xml:space="preserve"> </w:t>
      </w:r>
      <w:r w:rsidR="00767CDF" w:rsidRPr="00D014F3">
        <w:rPr>
          <w:sz w:val="20"/>
          <w:szCs w:val="20"/>
        </w:rPr>
        <w:t xml:space="preserve">predicted increased use of recovery focused language, and decreased use of non-recovery focused language, and that these changes would be maintained at 18-month follow-up.  </w:t>
      </w:r>
    </w:p>
    <w:p w14:paraId="61C020B0" w14:textId="13D6A2FB" w:rsidR="00767CDF" w:rsidRPr="00D014F3" w:rsidRDefault="00767CDF" w:rsidP="00767CDF">
      <w:pPr>
        <w:pStyle w:val="ABKW"/>
        <w:spacing w:line="480" w:lineRule="auto"/>
        <w:ind w:firstLine="720"/>
        <w:rPr>
          <w:sz w:val="20"/>
          <w:szCs w:val="20"/>
        </w:rPr>
      </w:pPr>
      <w:r w:rsidRPr="00D014F3">
        <w:rPr>
          <w:sz w:val="20"/>
          <w:szCs w:val="20"/>
        </w:rPr>
        <w:t>F</w:t>
      </w:r>
      <w:r w:rsidR="009123E5" w:rsidRPr="00D014F3">
        <w:rPr>
          <w:sz w:val="20"/>
          <w:szCs w:val="20"/>
        </w:rPr>
        <w:t xml:space="preserve">ollowing minimal baseline variability, the introduction of the HAO </w:t>
      </w:r>
      <w:r w:rsidRPr="00D014F3">
        <w:rPr>
          <w:sz w:val="20"/>
          <w:szCs w:val="20"/>
        </w:rPr>
        <w:t xml:space="preserve">may have </w:t>
      </w:r>
      <w:r w:rsidR="009123E5" w:rsidRPr="00D014F3">
        <w:rPr>
          <w:sz w:val="20"/>
          <w:szCs w:val="20"/>
        </w:rPr>
        <w:t xml:space="preserve">had an initial </w:t>
      </w:r>
      <w:r w:rsidR="00747470" w:rsidRPr="00D014F3">
        <w:rPr>
          <w:sz w:val="20"/>
          <w:szCs w:val="20"/>
        </w:rPr>
        <w:t>impact on use of recovery</w:t>
      </w:r>
      <w:r w:rsidR="009123E5" w:rsidRPr="00D014F3">
        <w:rPr>
          <w:sz w:val="20"/>
          <w:szCs w:val="20"/>
        </w:rPr>
        <w:t xml:space="preserve"> language, though this was not maintained</w:t>
      </w:r>
      <w:r w:rsidRPr="00D014F3">
        <w:rPr>
          <w:sz w:val="20"/>
          <w:szCs w:val="20"/>
        </w:rPr>
        <w:t xml:space="preserve">.  Change in non-recovery language was too modest to draw any conclusions.  The statistical analyses </w:t>
      </w:r>
      <w:r w:rsidR="00F41BF5" w:rsidRPr="00D014F3">
        <w:rPr>
          <w:sz w:val="20"/>
          <w:szCs w:val="20"/>
        </w:rPr>
        <w:t xml:space="preserve">did not support </w:t>
      </w:r>
      <w:r w:rsidRPr="00D014F3">
        <w:rPr>
          <w:sz w:val="20"/>
          <w:szCs w:val="20"/>
        </w:rPr>
        <w:t>either</w:t>
      </w:r>
      <w:r w:rsidR="00F41BF5" w:rsidRPr="00D014F3">
        <w:rPr>
          <w:sz w:val="20"/>
          <w:szCs w:val="20"/>
        </w:rPr>
        <w:t xml:space="preserve"> hypothesis.</w:t>
      </w:r>
    </w:p>
    <w:p w14:paraId="346DD7C8" w14:textId="481008A0" w:rsidR="004B61E1" w:rsidRPr="00D014F3" w:rsidRDefault="000372E1" w:rsidP="00010B97">
      <w:pPr>
        <w:pStyle w:val="TEXTIND"/>
        <w:spacing w:line="480" w:lineRule="auto"/>
        <w:rPr>
          <w:sz w:val="20"/>
          <w:szCs w:val="20"/>
        </w:rPr>
      </w:pPr>
      <w:r w:rsidRPr="00D014F3">
        <w:rPr>
          <w:color w:val="000000" w:themeColor="text1"/>
          <w:sz w:val="20"/>
          <w:szCs w:val="20"/>
          <w:lang w:val="en-GB"/>
        </w:rPr>
        <w:t>Given the personal and societal costs of mental ill-health</w:t>
      </w:r>
      <w:r w:rsidR="00502CBB" w:rsidRPr="00D014F3">
        <w:rPr>
          <w:color w:val="000000" w:themeColor="text1"/>
          <w:sz w:val="20"/>
          <w:szCs w:val="20"/>
          <w:vertAlign w:val="superscript"/>
          <w:lang w:val="en-GB"/>
        </w:rPr>
        <w:t>4</w:t>
      </w:r>
      <w:r w:rsidRPr="00D014F3">
        <w:rPr>
          <w:color w:val="000000" w:themeColor="text1"/>
          <w:sz w:val="20"/>
          <w:szCs w:val="20"/>
          <w:vertAlign w:val="superscript"/>
          <w:lang w:val="en-GB"/>
        </w:rPr>
        <w:t xml:space="preserve">, </w:t>
      </w:r>
      <w:r w:rsidR="00502CBB" w:rsidRPr="00D014F3">
        <w:rPr>
          <w:color w:val="000000" w:themeColor="text1"/>
          <w:sz w:val="20"/>
          <w:szCs w:val="20"/>
          <w:vertAlign w:val="superscript"/>
          <w:lang w:val="en-GB"/>
        </w:rPr>
        <w:t>5</w:t>
      </w:r>
      <w:r w:rsidRPr="00D014F3">
        <w:rPr>
          <w:color w:val="000000" w:themeColor="text1"/>
          <w:sz w:val="20"/>
          <w:szCs w:val="20"/>
          <w:lang w:val="en-GB"/>
        </w:rPr>
        <w:t xml:space="preserve">, </w:t>
      </w:r>
      <w:r w:rsidR="003877B7" w:rsidRPr="00D014F3">
        <w:rPr>
          <w:color w:val="000000" w:themeColor="text1"/>
          <w:sz w:val="20"/>
          <w:szCs w:val="20"/>
          <w:lang w:val="en-GB"/>
        </w:rPr>
        <w:t>and</w:t>
      </w:r>
      <w:r w:rsidR="00B542C5" w:rsidRPr="00D014F3">
        <w:rPr>
          <w:color w:val="000000" w:themeColor="text1"/>
          <w:sz w:val="20"/>
          <w:szCs w:val="20"/>
          <w:lang w:val="en-GB"/>
        </w:rPr>
        <w:t xml:space="preserve"> </w:t>
      </w:r>
      <w:r w:rsidR="007F31DF" w:rsidRPr="00D014F3">
        <w:rPr>
          <w:color w:val="000000" w:themeColor="text1"/>
          <w:sz w:val="20"/>
          <w:szCs w:val="20"/>
          <w:lang w:val="en-GB"/>
        </w:rPr>
        <w:t xml:space="preserve">broad agreement </w:t>
      </w:r>
      <w:r w:rsidR="003877B7" w:rsidRPr="00D014F3">
        <w:rPr>
          <w:color w:val="000000" w:themeColor="text1"/>
          <w:sz w:val="20"/>
          <w:szCs w:val="20"/>
          <w:lang w:val="en-GB"/>
        </w:rPr>
        <w:t xml:space="preserve">that </w:t>
      </w:r>
      <w:r w:rsidR="00700A53" w:rsidRPr="00D014F3">
        <w:rPr>
          <w:sz w:val="20"/>
          <w:szCs w:val="20"/>
          <w:lang w:val="en-GB"/>
        </w:rPr>
        <w:t>healthcare</w:t>
      </w:r>
      <w:r w:rsidR="003877B7" w:rsidRPr="00D014F3">
        <w:rPr>
          <w:sz w:val="20"/>
          <w:szCs w:val="20"/>
          <w:lang w:val="en-GB"/>
        </w:rPr>
        <w:t xml:space="preserve"> improvement depends on RBP</w:t>
      </w:r>
      <w:r w:rsidR="00502CBB" w:rsidRPr="00D014F3">
        <w:rPr>
          <w:sz w:val="20"/>
          <w:szCs w:val="20"/>
          <w:vertAlign w:val="superscript"/>
          <w:lang w:val="en-GB"/>
        </w:rPr>
        <w:t>8, 9</w:t>
      </w:r>
      <w:r w:rsidR="003877B7" w:rsidRPr="00D014F3">
        <w:rPr>
          <w:sz w:val="20"/>
          <w:szCs w:val="20"/>
          <w:lang w:val="en-GB"/>
        </w:rPr>
        <w:t xml:space="preserve">, means of </w:t>
      </w:r>
      <w:r w:rsidR="00944D2A" w:rsidRPr="00D014F3">
        <w:rPr>
          <w:sz w:val="20"/>
          <w:szCs w:val="20"/>
          <w:lang w:val="en-GB"/>
        </w:rPr>
        <w:t>facilitating</w:t>
      </w:r>
      <w:r w:rsidR="003877B7" w:rsidRPr="00D014F3">
        <w:rPr>
          <w:sz w:val="20"/>
          <w:szCs w:val="20"/>
          <w:lang w:val="en-GB"/>
        </w:rPr>
        <w:t xml:space="preserve"> service-level change are </w:t>
      </w:r>
      <w:r w:rsidR="00B542C5" w:rsidRPr="00D014F3">
        <w:rPr>
          <w:sz w:val="20"/>
          <w:szCs w:val="20"/>
          <w:lang w:val="en-GB"/>
        </w:rPr>
        <w:t xml:space="preserve">urgently </w:t>
      </w:r>
      <w:r w:rsidR="003877B7" w:rsidRPr="00D014F3">
        <w:rPr>
          <w:sz w:val="20"/>
          <w:szCs w:val="20"/>
          <w:lang w:val="en-GB"/>
        </w:rPr>
        <w:t>needed</w:t>
      </w:r>
      <w:r w:rsidR="00502CBB" w:rsidRPr="00D014F3">
        <w:rPr>
          <w:sz w:val="20"/>
          <w:szCs w:val="20"/>
          <w:vertAlign w:val="superscript"/>
        </w:rPr>
        <w:t>18</w:t>
      </w:r>
      <w:r w:rsidR="003877B7" w:rsidRPr="00D014F3">
        <w:rPr>
          <w:sz w:val="20"/>
          <w:szCs w:val="20"/>
        </w:rPr>
        <w:t>.</w:t>
      </w:r>
      <w:r w:rsidR="0073779E" w:rsidRPr="00D014F3">
        <w:rPr>
          <w:sz w:val="20"/>
          <w:szCs w:val="20"/>
        </w:rPr>
        <w:t xml:space="preserve"> </w:t>
      </w:r>
      <w:r w:rsidR="003877B7" w:rsidRPr="00D014F3">
        <w:rPr>
          <w:sz w:val="20"/>
          <w:szCs w:val="20"/>
        </w:rPr>
        <w:t xml:space="preserve"> </w:t>
      </w:r>
      <w:r w:rsidR="0073779E" w:rsidRPr="00D014F3">
        <w:rPr>
          <w:sz w:val="20"/>
          <w:szCs w:val="20"/>
        </w:rPr>
        <w:t>L</w:t>
      </w:r>
      <w:r w:rsidR="003877B7" w:rsidRPr="00D014F3">
        <w:rPr>
          <w:sz w:val="20"/>
          <w:szCs w:val="20"/>
        </w:rPr>
        <w:t>inguistic analysis</w:t>
      </w:r>
      <w:r w:rsidR="006A6CD5" w:rsidRPr="00D014F3">
        <w:rPr>
          <w:sz w:val="20"/>
          <w:szCs w:val="20"/>
        </w:rPr>
        <w:t xml:space="preserve"> </w:t>
      </w:r>
      <w:r w:rsidR="003B7206" w:rsidRPr="00D014F3">
        <w:rPr>
          <w:sz w:val="20"/>
          <w:szCs w:val="20"/>
        </w:rPr>
        <w:t>used to examine staff attitudes and behaviours toward service-users,</w:t>
      </w:r>
      <w:r w:rsidR="00FC1346" w:rsidRPr="00D014F3">
        <w:rPr>
          <w:sz w:val="20"/>
          <w:szCs w:val="20"/>
        </w:rPr>
        <w:t xml:space="preserve"> </w:t>
      </w:r>
      <w:r w:rsidR="00FC1346" w:rsidRPr="00D014F3">
        <w:rPr>
          <w:sz w:val="20"/>
          <w:szCs w:val="20"/>
          <w:lang w:val="en-GB"/>
        </w:rPr>
        <w:t xml:space="preserve">is well suited to the assessment of RBP, which prioritises </w:t>
      </w:r>
      <w:r w:rsidR="006A6CD5" w:rsidRPr="00D014F3">
        <w:rPr>
          <w:sz w:val="20"/>
          <w:szCs w:val="20"/>
        </w:rPr>
        <w:t xml:space="preserve">staff / service-user relationships </w:t>
      </w:r>
      <w:r w:rsidR="00FC1346" w:rsidRPr="00D014F3">
        <w:rPr>
          <w:sz w:val="20"/>
          <w:szCs w:val="20"/>
        </w:rPr>
        <w:t>and the promotion of personal recovery</w:t>
      </w:r>
      <w:r w:rsidR="007F31DF" w:rsidRPr="00D014F3">
        <w:rPr>
          <w:sz w:val="20"/>
          <w:szCs w:val="20"/>
          <w:lang w:val="en-GB"/>
        </w:rPr>
        <w:t>.</w:t>
      </w:r>
    </w:p>
    <w:p w14:paraId="73545CA8" w14:textId="60FADF2B" w:rsidR="00767CDF" w:rsidRPr="00D014F3" w:rsidRDefault="00767CDF" w:rsidP="00944D2A">
      <w:pPr>
        <w:pStyle w:val="TEXTIND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t xml:space="preserve">The study is primarily limited by the assumption that introduction of the HAO resulted in ongoing use of the </w:t>
      </w:r>
      <w:r w:rsidR="00382EEE" w:rsidRPr="00D014F3">
        <w:rPr>
          <w:sz w:val="20"/>
          <w:szCs w:val="20"/>
        </w:rPr>
        <w:t>measure</w:t>
      </w:r>
      <w:r w:rsidRPr="00D014F3">
        <w:rPr>
          <w:sz w:val="20"/>
          <w:szCs w:val="20"/>
        </w:rPr>
        <w:t xml:space="preserve">.  Anecdotal </w:t>
      </w:r>
      <w:r w:rsidR="00A0738E" w:rsidRPr="00D014F3">
        <w:rPr>
          <w:sz w:val="20"/>
          <w:szCs w:val="20"/>
        </w:rPr>
        <w:t>feedback from the community mental health team suggested that following an initial increase in use of the HAO, this then tailed off as other service demands took precedence.</w:t>
      </w:r>
      <w:r w:rsidR="00E856AD" w:rsidRPr="00D014F3">
        <w:rPr>
          <w:sz w:val="20"/>
          <w:szCs w:val="20"/>
        </w:rPr>
        <w:t xml:space="preserve">  </w:t>
      </w:r>
      <w:r w:rsidR="00A0738E" w:rsidRPr="00D014F3">
        <w:rPr>
          <w:sz w:val="20"/>
          <w:szCs w:val="20"/>
        </w:rPr>
        <w:t xml:space="preserve">In this context, it is likely </w:t>
      </w:r>
      <w:r w:rsidR="00A0738E" w:rsidRPr="00D014F3">
        <w:rPr>
          <w:sz w:val="20"/>
          <w:szCs w:val="20"/>
        </w:rPr>
        <w:lastRenderedPageBreak/>
        <w:t xml:space="preserve">that the introduction of </w:t>
      </w:r>
      <w:r w:rsidR="00E856AD" w:rsidRPr="00D014F3">
        <w:rPr>
          <w:sz w:val="20"/>
          <w:szCs w:val="20"/>
        </w:rPr>
        <w:t xml:space="preserve">a brief measure of recovery had a temporary impact, but that the use of the </w:t>
      </w:r>
      <w:r w:rsidR="00382EEE" w:rsidRPr="00D014F3">
        <w:rPr>
          <w:sz w:val="20"/>
          <w:szCs w:val="20"/>
        </w:rPr>
        <w:t>measure</w:t>
      </w:r>
      <w:r w:rsidR="00E856AD" w:rsidRPr="00D014F3">
        <w:rPr>
          <w:sz w:val="20"/>
          <w:szCs w:val="20"/>
        </w:rPr>
        <w:t xml:space="preserve"> and thus broader impact on RBP was not maintained over time.  </w:t>
      </w:r>
      <w:r w:rsidR="00A0116E" w:rsidRPr="00D014F3">
        <w:rPr>
          <w:sz w:val="20"/>
          <w:szCs w:val="20"/>
        </w:rPr>
        <w:t xml:space="preserve">This </w:t>
      </w:r>
      <w:r w:rsidR="00A751EF" w:rsidRPr="00D014F3">
        <w:rPr>
          <w:sz w:val="20"/>
          <w:szCs w:val="20"/>
        </w:rPr>
        <w:t xml:space="preserve">might be addressed by comparing </w:t>
      </w:r>
      <w:r w:rsidR="00A0116E" w:rsidRPr="00D014F3">
        <w:rPr>
          <w:sz w:val="20"/>
          <w:szCs w:val="20"/>
        </w:rPr>
        <w:t xml:space="preserve">teams who have been able to maintain use of recovery </w:t>
      </w:r>
      <w:r w:rsidR="00A751EF" w:rsidRPr="00D014F3">
        <w:rPr>
          <w:sz w:val="20"/>
          <w:szCs w:val="20"/>
        </w:rPr>
        <w:t>measures</w:t>
      </w:r>
      <w:r w:rsidR="00A0116E" w:rsidRPr="00D014F3">
        <w:rPr>
          <w:sz w:val="20"/>
          <w:szCs w:val="20"/>
        </w:rPr>
        <w:t>, with others who have not</w:t>
      </w:r>
      <w:r w:rsidR="00A751EF" w:rsidRPr="00D014F3">
        <w:rPr>
          <w:sz w:val="20"/>
          <w:szCs w:val="20"/>
        </w:rPr>
        <w:t>.  Such differences between teams are</w:t>
      </w:r>
      <w:r w:rsidR="00A0116E" w:rsidRPr="00D014F3">
        <w:rPr>
          <w:sz w:val="20"/>
          <w:szCs w:val="20"/>
        </w:rPr>
        <w:t xml:space="preserve"> likely to depend on managerial commitment to</w:t>
      </w:r>
      <w:r w:rsidR="00A751EF" w:rsidRPr="00D014F3">
        <w:rPr>
          <w:sz w:val="20"/>
          <w:szCs w:val="20"/>
        </w:rPr>
        <w:t xml:space="preserve"> routine</w:t>
      </w:r>
      <w:r w:rsidR="00A0116E" w:rsidRPr="00D014F3">
        <w:rPr>
          <w:sz w:val="20"/>
          <w:szCs w:val="20"/>
        </w:rPr>
        <w:t xml:space="preserve"> implementation of recovery measures, in the context of the many other competing pressures and demands on community mental health teams.</w:t>
      </w:r>
      <w:r w:rsidR="00944D2A" w:rsidRPr="00D014F3">
        <w:rPr>
          <w:sz w:val="20"/>
          <w:szCs w:val="20"/>
        </w:rPr>
        <w:t xml:space="preserve">  </w:t>
      </w:r>
      <w:r w:rsidR="00944D2A" w:rsidRPr="00D014F3">
        <w:rPr>
          <w:sz w:val="20"/>
          <w:szCs w:val="20"/>
          <w:lang w:val="en-GB"/>
        </w:rPr>
        <w:t xml:space="preserve">The results are perhaps unsurprising considering that an intensive team-based intervention also resulted in </w:t>
      </w:r>
      <w:r w:rsidR="00944D2A" w:rsidRPr="00D014F3">
        <w:rPr>
          <w:color w:val="000000" w:themeColor="text1"/>
          <w:sz w:val="20"/>
          <w:szCs w:val="20"/>
          <w:lang w:val="en-GB"/>
        </w:rPr>
        <w:t xml:space="preserve">no effect on recovery outcomes unless teams </w:t>
      </w:r>
      <w:proofErr w:type="gramStart"/>
      <w:r w:rsidR="00944D2A" w:rsidRPr="00D014F3">
        <w:rPr>
          <w:color w:val="000000" w:themeColor="text1"/>
          <w:sz w:val="20"/>
          <w:szCs w:val="20"/>
          <w:lang w:val="en-GB"/>
        </w:rPr>
        <w:t>participated</w:t>
      </w:r>
      <w:proofErr w:type="gramEnd"/>
      <w:r w:rsidR="00944D2A" w:rsidRPr="00D014F3">
        <w:rPr>
          <w:color w:val="000000" w:themeColor="text1"/>
          <w:sz w:val="20"/>
          <w:szCs w:val="20"/>
          <w:lang w:val="en-GB"/>
        </w:rPr>
        <w:t xml:space="preserve"> fully</w:t>
      </w:r>
      <w:r w:rsidR="00502CBB" w:rsidRPr="00D014F3">
        <w:rPr>
          <w:color w:val="000000" w:themeColor="text1"/>
          <w:sz w:val="20"/>
          <w:szCs w:val="20"/>
          <w:vertAlign w:val="superscript"/>
          <w:lang w:val="en-GB"/>
        </w:rPr>
        <w:t>28</w:t>
      </w:r>
      <w:r w:rsidR="00944D2A" w:rsidRPr="00D014F3">
        <w:rPr>
          <w:color w:val="000000" w:themeColor="text1"/>
          <w:sz w:val="20"/>
          <w:szCs w:val="20"/>
          <w:lang w:val="en-GB"/>
        </w:rPr>
        <w:t xml:space="preserve">.  The modest literature focusing on facilitating and evaluating RBP suggests that organisational prioritisation of key performance indicators, such as the use of </w:t>
      </w:r>
      <w:r w:rsidR="006A6CD5" w:rsidRPr="00D014F3">
        <w:rPr>
          <w:color w:val="000000" w:themeColor="text1"/>
          <w:sz w:val="20"/>
          <w:szCs w:val="20"/>
          <w:lang w:val="en-GB"/>
        </w:rPr>
        <w:t xml:space="preserve">recovery </w:t>
      </w:r>
      <w:r w:rsidR="00944D2A" w:rsidRPr="00D014F3">
        <w:rPr>
          <w:color w:val="000000" w:themeColor="text1"/>
          <w:sz w:val="20"/>
          <w:szCs w:val="20"/>
          <w:lang w:val="en-GB"/>
        </w:rPr>
        <w:t>measures</w:t>
      </w:r>
      <w:r w:rsidR="00502CBB" w:rsidRPr="00D014F3">
        <w:rPr>
          <w:color w:val="000000" w:themeColor="text1"/>
          <w:sz w:val="20"/>
          <w:szCs w:val="20"/>
          <w:vertAlign w:val="superscript"/>
          <w:lang w:val="en-GB"/>
        </w:rPr>
        <w:t>18</w:t>
      </w:r>
      <w:r w:rsidR="00944D2A" w:rsidRPr="00D014F3">
        <w:rPr>
          <w:color w:val="000000" w:themeColor="text1"/>
          <w:sz w:val="20"/>
          <w:szCs w:val="20"/>
          <w:lang w:val="en-GB"/>
        </w:rPr>
        <w:t xml:space="preserve">, is necessary to effect change. </w:t>
      </w:r>
    </w:p>
    <w:p w14:paraId="433B82FC" w14:textId="178422BD" w:rsidR="00382EEE" w:rsidRPr="00D014F3" w:rsidRDefault="00E856AD" w:rsidP="004B61E1">
      <w:pPr>
        <w:pStyle w:val="TEXTIND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t xml:space="preserve">The </w:t>
      </w:r>
      <w:r w:rsidR="00C30353" w:rsidRPr="00D014F3">
        <w:rPr>
          <w:sz w:val="20"/>
          <w:szCs w:val="20"/>
        </w:rPr>
        <w:t xml:space="preserve">lack of any evidence of an inverse relationship between recovery and non-recovery terms is interesting, and suggests that improvement in recovery language cannot be assumed to indicate a corresponding reduction in non-recovery language.  This may have implications for </w:t>
      </w:r>
      <w:r w:rsidR="00A751EF" w:rsidRPr="00D014F3">
        <w:rPr>
          <w:sz w:val="20"/>
          <w:szCs w:val="20"/>
        </w:rPr>
        <w:t>education of staff;</w:t>
      </w:r>
      <w:r w:rsidR="00C30353" w:rsidRPr="00D014F3">
        <w:rPr>
          <w:sz w:val="20"/>
          <w:szCs w:val="20"/>
        </w:rPr>
        <w:t xml:space="preserve"> recovery training </w:t>
      </w:r>
      <w:r w:rsidR="00A751EF" w:rsidRPr="00D014F3">
        <w:rPr>
          <w:sz w:val="20"/>
          <w:szCs w:val="20"/>
        </w:rPr>
        <w:t xml:space="preserve">typically </w:t>
      </w:r>
      <w:proofErr w:type="spellStart"/>
      <w:r w:rsidR="00C30353" w:rsidRPr="00D014F3">
        <w:rPr>
          <w:sz w:val="20"/>
          <w:szCs w:val="20"/>
        </w:rPr>
        <w:t>emphasises</w:t>
      </w:r>
      <w:proofErr w:type="spellEnd"/>
      <w:r w:rsidR="00C30353" w:rsidRPr="00D014F3">
        <w:rPr>
          <w:sz w:val="20"/>
          <w:szCs w:val="20"/>
        </w:rPr>
        <w:t xml:space="preserve"> the advantages of RBP, but </w:t>
      </w:r>
      <w:r w:rsidR="00A77DB1" w:rsidRPr="00D014F3">
        <w:rPr>
          <w:sz w:val="20"/>
          <w:szCs w:val="20"/>
        </w:rPr>
        <w:t>it</w:t>
      </w:r>
      <w:r w:rsidR="00A751EF" w:rsidRPr="00D014F3">
        <w:rPr>
          <w:sz w:val="20"/>
          <w:szCs w:val="20"/>
        </w:rPr>
        <w:t xml:space="preserve"> may also </w:t>
      </w:r>
      <w:r w:rsidR="00A77DB1" w:rsidRPr="00D014F3">
        <w:rPr>
          <w:sz w:val="20"/>
          <w:szCs w:val="20"/>
        </w:rPr>
        <w:t xml:space="preserve">be necessary </w:t>
      </w:r>
      <w:r w:rsidR="00A751EF" w:rsidRPr="00D014F3">
        <w:rPr>
          <w:sz w:val="20"/>
          <w:szCs w:val="20"/>
        </w:rPr>
        <w:t xml:space="preserve">to </w:t>
      </w:r>
      <w:proofErr w:type="spellStart"/>
      <w:r w:rsidR="00C30353" w:rsidRPr="00D014F3">
        <w:rPr>
          <w:sz w:val="20"/>
          <w:szCs w:val="20"/>
        </w:rPr>
        <w:t>emphasis</w:t>
      </w:r>
      <w:r w:rsidR="00A751EF" w:rsidRPr="00D014F3">
        <w:rPr>
          <w:sz w:val="20"/>
          <w:szCs w:val="20"/>
        </w:rPr>
        <w:t>e</w:t>
      </w:r>
      <w:proofErr w:type="spellEnd"/>
      <w:r w:rsidR="00C30353" w:rsidRPr="00D014F3">
        <w:rPr>
          <w:sz w:val="20"/>
          <w:szCs w:val="20"/>
        </w:rPr>
        <w:t xml:space="preserve"> the disadvantages of non-RBP</w:t>
      </w:r>
      <w:r w:rsidR="004B61E1" w:rsidRPr="00D014F3">
        <w:rPr>
          <w:sz w:val="20"/>
          <w:szCs w:val="20"/>
        </w:rPr>
        <w:t>.</w:t>
      </w:r>
    </w:p>
    <w:p w14:paraId="5772448D" w14:textId="5D1CCE18" w:rsidR="00382EEE" w:rsidRPr="00D014F3" w:rsidRDefault="00382EEE" w:rsidP="00382EEE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Conclusions</w:t>
      </w:r>
    </w:p>
    <w:p w14:paraId="605F4253" w14:textId="3560F6F0" w:rsidR="00A751EF" w:rsidRPr="00D014F3" w:rsidRDefault="00382EEE" w:rsidP="00382EEE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sz w:val="20"/>
          <w:szCs w:val="20"/>
        </w:rPr>
        <w:t>This</w:t>
      </w:r>
      <w:r w:rsidR="00A0116E" w:rsidRPr="00D014F3">
        <w:rPr>
          <w:sz w:val="20"/>
          <w:szCs w:val="20"/>
        </w:rPr>
        <w:t xml:space="preserve"> is the first </w:t>
      </w:r>
      <w:r w:rsidR="00F41BF5" w:rsidRPr="00D014F3">
        <w:rPr>
          <w:sz w:val="20"/>
          <w:szCs w:val="20"/>
        </w:rPr>
        <w:t xml:space="preserve">study to examine the impact of </w:t>
      </w:r>
      <w:r w:rsidR="00A0116E" w:rsidRPr="00D014F3">
        <w:rPr>
          <w:sz w:val="20"/>
          <w:szCs w:val="20"/>
        </w:rPr>
        <w:t>int</w:t>
      </w:r>
      <w:r w:rsidR="00892E65" w:rsidRPr="00D014F3">
        <w:rPr>
          <w:sz w:val="20"/>
          <w:szCs w:val="20"/>
        </w:rPr>
        <w:t>roducing</w:t>
      </w:r>
      <w:r w:rsidR="00A0116E" w:rsidRPr="00D014F3">
        <w:rPr>
          <w:sz w:val="20"/>
          <w:szCs w:val="20"/>
        </w:rPr>
        <w:t xml:space="preserve"> </w:t>
      </w:r>
      <w:r w:rsidR="00F41BF5" w:rsidRPr="00D014F3">
        <w:rPr>
          <w:sz w:val="20"/>
          <w:szCs w:val="20"/>
        </w:rPr>
        <w:t xml:space="preserve">a recovery </w:t>
      </w:r>
      <w:r w:rsidR="00A751EF" w:rsidRPr="00D014F3">
        <w:rPr>
          <w:sz w:val="20"/>
          <w:szCs w:val="20"/>
        </w:rPr>
        <w:t>measure</w:t>
      </w:r>
      <w:r w:rsidR="00F41BF5" w:rsidRPr="00D014F3">
        <w:rPr>
          <w:sz w:val="20"/>
          <w:szCs w:val="20"/>
        </w:rPr>
        <w:t xml:space="preserve"> </w:t>
      </w:r>
      <w:r w:rsidR="00A751EF" w:rsidRPr="00D014F3">
        <w:rPr>
          <w:sz w:val="20"/>
          <w:szCs w:val="20"/>
        </w:rPr>
        <w:t>in</w:t>
      </w:r>
      <w:r w:rsidR="00F41BF5" w:rsidRPr="00D014F3">
        <w:rPr>
          <w:sz w:val="20"/>
          <w:szCs w:val="20"/>
        </w:rPr>
        <w:t xml:space="preserve"> routine NHS settings over a substantial time period (30-months). </w:t>
      </w:r>
      <w:r w:rsidR="00892E65" w:rsidRPr="00D014F3">
        <w:rPr>
          <w:sz w:val="20"/>
          <w:szCs w:val="20"/>
        </w:rPr>
        <w:t xml:space="preserve"> The results suggest that this may have </w:t>
      </w:r>
      <w:r w:rsidRPr="00D014F3">
        <w:rPr>
          <w:sz w:val="20"/>
          <w:szCs w:val="20"/>
        </w:rPr>
        <w:t xml:space="preserve">had </w:t>
      </w:r>
      <w:r w:rsidR="00892E65" w:rsidRPr="00D014F3">
        <w:rPr>
          <w:sz w:val="20"/>
          <w:szCs w:val="20"/>
        </w:rPr>
        <w:t>an impact on RBP in the short-term</w:t>
      </w:r>
      <w:r w:rsidR="00C30353" w:rsidRPr="00D014F3">
        <w:rPr>
          <w:sz w:val="20"/>
          <w:szCs w:val="20"/>
        </w:rPr>
        <w:t xml:space="preserve">, </w:t>
      </w:r>
      <w:r w:rsidR="00892E65" w:rsidRPr="00D014F3">
        <w:rPr>
          <w:sz w:val="20"/>
          <w:szCs w:val="20"/>
        </w:rPr>
        <w:t xml:space="preserve">but that </w:t>
      </w:r>
      <w:r w:rsidR="00C30353" w:rsidRPr="00D014F3">
        <w:rPr>
          <w:sz w:val="20"/>
          <w:szCs w:val="20"/>
        </w:rPr>
        <w:t>recovery language</w:t>
      </w:r>
      <w:r w:rsidR="00892E65" w:rsidRPr="00D014F3">
        <w:rPr>
          <w:sz w:val="20"/>
          <w:szCs w:val="20"/>
        </w:rPr>
        <w:t xml:space="preserve">, as a reflection of the </w:t>
      </w:r>
      <w:r w:rsidR="00C30353" w:rsidRPr="00D014F3">
        <w:rPr>
          <w:sz w:val="20"/>
          <w:szCs w:val="20"/>
        </w:rPr>
        <w:t xml:space="preserve">wider culture </w:t>
      </w:r>
      <w:r w:rsidR="00892E65" w:rsidRPr="00D014F3">
        <w:rPr>
          <w:sz w:val="20"/>
          <w:szCs w:val="20"/>
        </w:rPr>
        <w:t xml:space="preserve">of </w:t>
      </w:r>
      <w:r w:rsidR="00C30353" w:rsidRPr="00D014F3">
        <w:rPr>
          <w:sz w:val="20"/>
          <w:szCs w:val="20"/>
        </w:rPr>
        <w:t>mental health teams</w:t>
      </w:r>
      <w:r w:rsidR="00892E65" w:rsidRPr="00D014F3">
        <w:rPr>
          <w:sz w:val="20"/>
          <w:szCs w:val="20"/>
        </w:rPr>
        <w:t xml:space="preserve">, </w:t>
      </w:r>
      <w:r w:rsidR="00C30353" w:rsidRPr="00D014F3">
        <w:rPr>
          <w:sz w:val="20"/>
          <w:szCs w:val="20"/>
        </w:rPr>
        <w:t>revert</w:t>
      </w:r>
      <w:r w:rsidR="00892E65" w:rsidRPr="00D014F3">
        <w:rPr>
          <w:sz w:val="20"/>
          <w:szCs w:val="20"/>
        </w:rPr>
        <w:t>s</w:t>
      </w:r>
      <w:r w:rsidR="00C30353" w:rsidRPr="00D014F3">
        <w:rPr>
          <w:sz w:val="20"/>
          <w:szCs w:val="20"/>
        </w:rPr>
        <w:t xml:space="preserve"> to baseline levels</w:t>
      </w:r>
      <w:r w:rsidR="00892E65" w:rsidRPr="00D014F3">
        <w:rPr>
          <w:sz w:val="20"/>
          <w:szCs w:val="20"/>
        </w:rPr>
        <w:t xml:space="preserve"> over time.  Any enduring effect </w:t>
      </w:r>
      <w:r w:rsidR="00A751EF" w:rsidRPr="00D014F3">
        <w:rPr>
          <w:sz w:val="20"/>
          <w:szCs w:val="20"/>
        </w:rPr>
        <w:t>may</w:t>
      </w:r>
      <w:r w:rsidR="00892E65" w:rsidRPr="00D014F3">
        <w:rPr>
          <w:sz w:val="20"/>
          <w:szCs w:val="20"/>
        </w:rPr>
        <w:t xml:space="preserve"> depend on </w:t>
      </w:r>
      <w:r w:rsidR="00A751EF" w:rsidRPr="00D014F3">
        <w:rPr>
          <w:sz w:val="20"/>
          <w:szCs w:val="20"/>
        </w:rPr>
        <w:t>persistent managerial and structural support – no mean feat given the current pressures on community mental health teams.</w:t>
      </w:r>
      <w:r w:rsidR="00A751EF" w:rsidRPr="00D014F3">
        <w:rPr>
          <w:b/>
          <w:color w:val="000000" w:themeColor="text1"/>
          <w:sz w:val="20"/>
          <w:szCs w:val="20"/>
        </w:rPr>
        <w:br w:type="page"/>
      </w:r>
    </w:p>
    <w:p w14:paraId="39EE6676" w14:textId="62A650E6" w:rsidR="00C21540" w:rsidRPr="00D014F3" w:rsidRDefault="00FE0DF1" w:rsidP="0098105B">
      <w:pPr>
        <w:pStyle w:val="Heading1"/>
        <w:spacing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Acknowledgements</w:t>
      </w:r>
      <w:r w:rsidR="0098105B"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 </w:t>
      </w:r>
      <w:r w:rsidR="00C21540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Thanks go to </w:t>
      </w:r>
      <w:proofErr w:type="spellStart"/>
      <w:r w:rsidR="00C21540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Drs</w:t>
      </w:r>
      <w:proofErr w:type="spellEnd"/>
      <w:r w:rsidR="00C21540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Claire Hart and Katy Sivyer for their statistical guidance</w:t>
      </w:r>
      <w:r w:rsidR="00A751EF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and to Emily </w:t>
      </w:r>
      <w:r w:rsidR="0086677C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Huskins, Research Administrator with </w:t>
      </w:r>
      <w:r w:rsidR="00C21540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the </w:t>
      </w:r>
      <w:r w:rsidR="0098105B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="00C21540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NHS Foundation Trust Research and Development team for </w:t>
      </w:r>
      <w:r w:rsidR="00A751EF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her </w:t>
      </w:r>
      <w:r w:rsidR="00C21540" w:rsidRPr="00D014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support with CRIS.  The study was approved by the Departmental Research Ethics Committee, University of -. </w:t>
      </w:r>
    </w:p>
    <w:p w14:paraId="451B3C3A" w14:textId="410F81AC" w:rsidR="00FB6D4C" w:rsidRPr="00D014F3" w:rsidRDefault="00FB6D4C" w:rsidP="0098105B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Funding</w:t>
      </w:r>
      <w:r w:rsidR="0098105B"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 </w:t>
      </w:r>
      <w:r w:rsidR="00C21540" w:rsidRPr="00D014F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This research received no specific grant from any funding agency in the public, commercial, or not-for-profit sectors. </w:t>
      </w:r>
    </w:p>
    <w:p w14:paraId="3E54AD07" w14:textId="058CA063" w:rsidR="00FE0DF1" w:rsidRPr="00D014F3" w:rsidRDefault="00FE0DF1" w:rsidP="0098105B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Declaration of </w:t>
      </w:r>
      <w:r w:rsidR="0098105B"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conflicting i</w:t>
      </w:r>
      <w:r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nterest</w:t>
      </w:r>
      <w:r w:rsidR="0098105B" w:rsidRPr="00D0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 </w:t>
      </w:r>
      <w:r w:rsidR="0098105B"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>The a</w:t>
      </w: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uthors declare that there is no conflict of interest. </w:t>
      </w:r>
    </w:p>
    <w:p w14:paraId="517EAADA" w14:textId="77777777" w:rsidR="00C21540" w:rsidRPr="00D014F3" w:rsidRDefault="00C21540" w:rsidP="00EB4758">
      <w:pPr>
        <w:pStyle w:val="TEXTIND"/>
        <w:spacing w:line="480" w:lineRule="auto"/>
        <w:rPr>
          <w:sz w:val="20"/>
          <w:szCs w:val="20"/>
        </w:rPr>
      </w:pPr>
    </w:p>
    <w:p w14:paraId="5BC33C1B" w14:textId="1A31A924" w:rsidR="0017285D" w:rsidRPr="00D014F3" w:rsidRDefault="0017285D" w:rsidP="0017285D">
      <w:pPr>
        <w:pStyle w:val="EH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br w:type="page"/>
      </w:r>
    </w:p>
    <w:tbl>
      <w:tblPr>
        <w:tblW w:w="4693" w:type="pct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576"/>
        <w:gridCol w:w="573"/>
        <w:gridCol w:w="571"/>
        <w:gridCol w:w="571"/>
        <w:gridCol w:w="524"/>
        <w:gridCol w:w="46"/>
        <w:gridCol w:w="279"/>
        <w:gridCol w:w="1395"/>
        <w:gridCol w:w="576"/>
        <w:gridCol w:w="576"/>
        <w:gridCol w:w="576"/>
        <w:gridCol w:w="576"/>
        <w:gridCol w:w="559"/>
      </w:tblGrid>
      <w:tr w:rsidR="0017285D" w:rsidRPr="00D014F3" w14:paraId="153B329D" w14:textId="77777777" w:rsidTr="00C27644">
        <w:trPr>
          <w:trHeight w:val="340"/>
        </w:trPr>
        <w:tc>
          <w:tcPr>
            <w:tcW w:w="2391" w:type="pct"/>
            <w:gridSpan w:val="6"/>
            <w:vAlign w:val="center"/>
          </w:tcPr>
          <w:p w14:paraId="0F2B4F40" w14:textId="77777777" w:rsidR="0017285D" w:rsidRPr="00D014F3" w:rsidRDefault="0017285D" w:rsidP="0087661A">
            <w:pPr>
              <w:pStyle w:val="CP"/>
              <w:rPr>
                <w:i/>
                <w:color w:val="000000" w:themeColor="text1"/>
                <w:sz w:val="20"/>
                <w:szCs w:val="20"/>
              </w:rPr>
            </w:pPr>
            <w:r w:rsidRPr="00D014F3">
              <w:rPr>
                <w:i/>
                <w:color w:val="000000" w:themeColor="text1"/>
                <w:sz w:val="20"/>
                <w:szCs w:val="20"/>
              </w:rPr>
              <w:lastRenderedPageBreak/>
              <w:t>Non-recovery-focused term frequency counts</w:t>
            </w:r>
          </w:p>
        </w:tc>
        <w:tc>
          <w:tcPr>
            <w:tcW w:w="2609" w:type="pct"/>
            <w:gridSpan w:val="8"/>
          </w:tcPr>
          <w:p w14:paraId="0B8C0226" w14:textId="77777777" w:rsidR="0017285D" w:rsidRPr="00D014F3" w:rsidRDefault="0017285D" w:rsidP="0087661A">
            <w:pPr>
              <w:pStyle w:val="CP"/>
              <w:rPr>
                <w:i/>
                <w:color w:val="000000" w:themeColor="text1"/>
                <w:sz w:val="20"/>
                <w:szCs w:val="20"/>
              </w:rPr>
            </w:pPr>
            <w:r w:rsidRPr="00D014F3">
              <w:rPr>
                <w:i/>
                <w:color w:val="000000" w:themeColor="text1"/>
                <w:sz w:val="20"/>
                <w:szCs w:val="20"/>
              </w:rPr>
              <w:t xml:space="preserve">        Recovery-focused term frequency counts</w:t>
            </w:r>
          </w:p>
        </w:tc>
      </w:tr>
      <w:tr w:rsidR="0017285D" w:rsidRPr="00D014F3" w14:paraId="7FB55957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17D77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906FC33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C05EC51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47DDAE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2103898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581DFF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83A65E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39218D2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6CF24BB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C0D7BF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21B4F8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0286E3A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1982A2" w14:textId="77777777" w:rsidR="0017285D" w:rsidRPr="00D014F3" w:rsidRDefault="0017285D" w:rsidP="0087661A">
            <w:pPr>
              <w:pStyle w:val="TCH"/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T5</w:t>
            </w:r>
          </w:p>
        </w:tc>
      </w:tr>
      <w:tr w:rsidR="0017285D" w:rsidRPr="00D014F3" w14:paraId="313E768A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14C4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Ill*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48FCD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1882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17A57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1728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344B6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1748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3E9C72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1344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0480F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1832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D3EBA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05404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Engage*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8014B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1784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A6EB3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1610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9BB00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1861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BC96D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F3ACF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1476</w:t>
            </w:r>
          </w:p>
        </w:tc>
      </w:tr>
      <w:tr w:rsidR="0017285D" w:rsidRPr="00D014F3" w14:paraId="670C8A6B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66692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Unable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A9D21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1014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EDC18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1109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25431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1163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8B78E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AB4FD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875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232EB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C512F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14F3">
              <w:rPr>
                <w:color w:val="000000" w:themeColor="text1"/>
                <w:sz w:val="20"/>
                <w:szCs w:val="20"/>
              </w:rPr>
              <w:t>Inclu</w:t>
            </w:r>
            <w:proofErr w:type="spellEnd"/>
            <w:r w:rsidRPr="00D014F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75E68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1882A2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599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585B4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799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B308F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6ABE1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614</w:t>
            </w:r>
          </w:p>
        </w:tc>
      </w:tr>
      <w:tr w:rsidR="0017285D" w:rsidRPr="00D014F3" w14:paraId="686BA900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71EE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Symptom*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DA9E8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826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00638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688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F62A2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795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BAD49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7A327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642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EFE7D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9EC5D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Cop*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1826D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97C5C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571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8A376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805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7C76C2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E4D27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606</w:t>
            </w:r>
          </w:p>
        </w:tc>
      </w:tr>
      <w:tr w:rsidR="0017285D" w:rsidRPr="00D014F3" w14:paraId="39C6B4FA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F498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Limit*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59D4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9FC50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573AC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776AF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5065A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59316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C925E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Recovery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3C078A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586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E033D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564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31B54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682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303DCB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529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36A78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514</w:t>
            </w:r>
          </w:p>
        </w:tc>
      </w:tr>
      <w:tr w:rsidR="0017285D" w:rsidRPr="00D014F3" w14:paraId="22DEF42B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9A2C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Demand*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8587F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BE4EB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DDEA7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77BA7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39DAD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8C97D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A9B5A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Hope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AA711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C1DD8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5C007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603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89FA0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4A4FA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494</w:t>
            </w:r>
          </w:p>
        </w:tc>
      </w:tr>
      <w:tr w:rsidR="0017285D" w:rsidRPr="00D014F3" w14:paraId="465724D2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9CD1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Depend*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4CEEE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75D2B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214BD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6721A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83573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B4C3E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CB306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Goals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0BE86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E0B31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42EE7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C424B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C1BC0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17285D" w:rsidRPr="00D014F3" w14:paraId="0588019A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C6E3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Resist*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D43B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6AC5F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39D83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28B26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52413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9C9C3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22D862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14F3">
              <w:rPr>
                <w:color w:val="000000" w:themeColor="text1"/>
                <w:sz w:val="20"/>
                <w:szCs w:val="20"/>
              </w:rPr>
              <w:t>Opportunit</w:t>
            </w:r>
            <w:proofErr w:type="spellEnd"/>
            <w:r w:rsidRPr="00D014F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D3E39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D0113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307B1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EFDA1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8F1E3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264</w:t>
            </w:r>
          </w:p>
        </w:tc>
      </w:tr>
      <w:tr w:rsidR="0017285D" w:rsidRPr="00D014F3" w14:paraId="3472C7AB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2129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Hopeless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7FF3B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B46FB2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2DC17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63450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5CC94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A1B209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37BAA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WRAP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00085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4C8E4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FC0F9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EFEC9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549F5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217</w:t>
            </w:r>
          </w:p>
        </w:tc>
      </w:tr>
      <w:tr w:rsidR="0017285D" w:rsidRPr="00D014F3" w14:paraId="6B7CEC81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2C1E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Disengage*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B5085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0DDA8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846C1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33976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443D9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FB5DE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4F8DB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Choice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FD658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2BB12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38BE6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EC371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0AAC3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149</w:t>
            </w:r>
          </w:p>
        </w:tc>
      </w:tr>
      <w:tr w:rsidR="0017285D" w:rsidRPr="00D014F3" w14:paraId="27CB5053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9F1B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Unmotivated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0C00F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8E79C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E34E12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36BC9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EEB61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CC6F2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D0894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3024E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050BF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A8A5E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F03D3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687132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111</w:t>
            </w:r>
          </w:p>
        </w:tc>
      </w:tr>
      <w:tr w:rsidR="0017285D" w:rsidRPr="00D014F3" w14:paraId="09A29A89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54CB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Maladaptive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ED6DD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9B84A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3CF9A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4310C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E68AB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6456C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6241B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Agency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8034D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7805C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819B7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35588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9307E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65</w:t>
            </w:r>
          </w:p>
        </w:tc>
      </w:tr>
      <w:tr w:rsidR="0017285D" w:rsidRPr="00D014F3" w14:paraId="1D853968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F320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Unmanage*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F934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C20F5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D362C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826FB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05D66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FF8D2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D6F98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Wellness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30244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EDCA3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7429F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7B2EE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C3B1B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54</w:t>
            </w:r>
          </w:p>
        </w:tc>
      </w:tr>
      <w:tr w:rsidR="0017285D" w:rsidRPr="00D014F3" w14:paraId="5E7A3940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81DB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14F3">
              <w:rPr>
                <w:color w:val="000000" w:themeColor="text1"/>
                <w:sz w:val="20"/>
                <w:szCs w:val="20"/>
              </w:rPr>
              <w:t>Manipulat</w:t>
            </w:r>
            <w:proofErr w:type="spellEnd"/>
            <w:r w:rsidRPr="00D014F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99455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05A2C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42580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38C78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4CABD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6835D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E716F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14F3">
              <w:rPr>
                <w:color w:val="000000" w:themeColor="text1"/>
                <w:sz w:val="20"/>
                <w:szCs w:val="20"/>
              </w:rPr>
              <w:t>Collaborat</w:t>
            </w:r>
            <w:proofErr w:type="spellEnd"/>
            <w:r w:rsidRPr="00D014F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688D5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0348B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09E6C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E8418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25D57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17285D" w:rsidRPr="00D014F3" w14:paraId="7DF4637D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326F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Attention seeking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2B907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52669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37B47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13C0E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DC3F2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70725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DF815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Strengths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72E67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002B9C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95EB5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72697B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457DB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17285D" w:rsidRPr="00D014F3" w14:paraId="55695CD5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9B15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Disempowered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35250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DB6AB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9AE10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B69F0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FED9AF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F1CCD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4C2BC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14F3">
              <w:rPr>
                <w:color w:val="000000" w:themeColor="text1"/>
                <w:sz w:val="20"/>
                <w:szCs w:val="20"/>
              </w:rPr>
              <w:t>Resilien</w:t>
            </w:r>
            <w:proofErr w:type="spellEnd"/>
            <w:r w:rsidRPr="00D014F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38125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244B0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601B7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09E093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F91A0E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17285D" w:rsidRPr="00D014F3" w14:paraId="41F18462" w14:textId="77777777" w:rsidTr="0087661A">
        <w:trPr>
          <w:trHeight w:val="340"/>
        </w:trPr>
        <w:tc>
          <w:tcPr>
            <w:tcW w:w="789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B37B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Non-</w:t>
            </w:r>
            <w:proofErr w:type="spellStart"/>
            <w:r w:rsidRPr="00D014F3">
              <w:rPr>
                <w:color w:val="000000" w:themeColor="text1"/>
                <w:sz w:val="20"/>
                <w:szCs w:val="20"/>
              </w:rPr>
              <w:t>complian</w:t>
            </w:r>
            <w:proofErr w:type="spellEnd"/>
            <w:r w:rsidRPr="00D014F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1D3617C4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3F3A8655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4340335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10FE368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037E62B6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14:paraId="229DA427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14AF4350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 xml:space="preserve">Self-management 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22B6110E" w14:textId="32F45E29" w:rsidR="000865B0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DB91A61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0135E258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0B38FB0D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2403D43A" w14:textId="77777777" w:rsidR="0017285D" w:rsidRPr="00D014F3" w:rsidRDefault="0017285D" w:rsidP="0087661A">
            <w:pPr>
              <w:rPr>
                <w:color w:val="000000" w:themeColor="text1"/>
                <w:sz w:val="20"/>
                <w:szCs w:val="20"/>
              </w:rPr>
            </w:pPr>
            <w:r w:rsidRPr="00D014F3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970747C" w14:textId="5322B6E9" w:rsidR="0017285D" w:rsidRPr="00D014F3" w:rsidRDefault="0028498A" w:rsidP="0028498A">
      <w:pPr>
        <w:pStyle w:val="TEXTIND"/>
        <w:ind w:firstLine="0"/>
        <w:rPr>
          <w:sz w:val="20"/>
          <w:szCs w:val="20"/>
        </w:rPr>
      </w:pPr>
      <w:proofErr w:type="gramStart"/>
      <w:r w:rsidRPr="00D014F3">
        <w:rPr>
          <w:i/>
          <w:color w:val="000000" w:themeColor="text1"/>
          <w:sz w:val="20"/>
          <w:szCs w:val="20"/>
        </w:rPr>
        <w:t>Table 1</w:t>
      </w:r>
      <w:r w:rsidRPr="00D014F3">
        <w:rPr>
          <w:color w:val="000000" w:themeColor="text1"/>
          <w:sz w:val="20"/>
          <w:szCs w:val="20"/>
        </w:rPr>
        <w:t>.</w:t>
      </w:r>
      <w:proofErr w:type="gramEnd"/>
      <w:r w:rsidRPr="00D014F3">
        <w:rPr>
          <w:color w:val="000000" w:themeColor="text1"/>
          <w:sz w:val="20"/>
          <w:szCs w:val="20"/>
        </w:rPr>
        <w:t xml:space="preserve">  Frequency counts for recovery and non-recovery terms</w:t>
      </w:r>
    </w:p>
    <w:p w14:paraId="47E3109C" w14:textId="77777777" w:rsidR="006A0CF0" w:rsidRPr="00D014F3" w:rsidRDefault="006A0CF0" w:rsidP="006A0CF0">
      <w:pPr>
        <w:pStyle w:val="TEXTIND"/>
        <w:spacing w:line="480" w:lineRule="auto"/>
        <w:ind w:firstLine="0"/>
        <w:rPr>
          <w:sz w:val="20"/>
          <w:szCs w:val="20"/>
        </w:rPr>
      </w:pPr>
      <w:r w:rsidRPr="00D014F3">
        <w:rPr>
          <w:noProof/>
          <w:color w:val="000000" w:themeColor="text1"/>
          <w:sz w:val="20"/>
          <w:szCs w:val="20"/>
          <w:lang w:val="en-GB" w:eastAsia="zh-CN"/>
        </w:rPr>
        <w:lastRenderedPageBreak/>
        <w:drawing>
          <wp:inline distT="0" distB="0" distL="0" distR="0" wp14:anchorId="48478E40" wp14:editId="3CC77B01">
            <wp:extent cx="5612130" cy="3599815"/>
            <wp:effectExtent l="0" t="0" r="127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3D42B6-C6F5-7A4F-AE04-392E040AA8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01185F" w14:textId="4184E4D4" w:rsidR="006A0CF0" w:rsidRPr="00D014F3" w:rsidRDefault="006A0CF0" w:rsidP="006A0CF0">
      <w:pPr>
        <w:pStyle w:val="CP"/>
        <w:spacing w:line="480" w:lineRule="auto"/>
        <w:rPr>
          <w:color w:val="000000" w:themeColor="text1"/>
          <w:sz w:val="20"/>
          <w:szCs w:val="20"/>
        </w:rPr>
      </w:pPr>
      <w:proofErr w:type="gramStart"/>
      <w:r w:rsidRPr="00D014F3">
        <w:rPr>
          <w:i/>
          <w:color w:val="000000" w:themeColor="text1"/>
          <w:sz w:val="20"/>
          <w:szCs w:val="20"/>
        </w:rPr>
        <w:t>Figure 1</w:t>
      </w:r>
      <w:r w:rsidRPr="00D014F3">
        <w:rPr>
          <w:color w:val="000000" w:themeColor="text1"/>
          <w:sz w:val="20"/>
          <w:szCs w:val="20"/>
        </w:rPr>
        <w:t>.</w:t>
      </w:r>
      <w:proofErr w:type="gramEnd"/>
      <w:r w:rsidRPr="00D014F3">
        <w:rPr>
          <w:color w:val="000000" w:themeColor="text1"/>
          <w:sz w:val="20"/>
          <w:szCs w:val="20"/>
        </w:rPr>
        <w:t xml:space="preserve"> Recovery</w:t>
      </w:r>
      <w:r w:rsidR="0028498A" w:rsidRPr="00D014F3">
        <w:rPr>
          <w:color w:val="000000" w:themeColor="text1"/>
          <w:sz w:val="20"/>
          <w:szCs w:val="20"/>
        </w:rPr>
        <w:t xml:space="preserve"> t</w:t>
      </w:r>
      <w:r w:rsidRPr="00D014F3">
        <w:rPr>
          <w:color w:val="000000" w:themeColor="text1"/>
          <w:sz w:val="20"/>
          <w:szCs w:val="20"/>
        </w:rPr>
        <w:t xml:space="preserve">erm frequency counts as a proportion of caseload.  Horizontal dotted lines represent average frequency count for the phase.  </w:t>
      </w:r>
      <w:r w:rsidR="00A15BD2" w:rsidRPr="00D014F3">
        <w:rPr>
          <w:color w:val="000000" w:themeColor="text1"/>
          <w:sz w:val="20"/>
          <w:szCs w:val="20"/>
        </w:rPr>
        <w:t>D</w:t>
      </w:r>
      <w:r w:rsidRPr="00D014F3">
        <w:rPr>
          <w:color w:val="000000" w:themeColor="text1"/>
          <w:sz w:val="20"/>
          <w:szCs w:val="20"/>
        </w:rPr>
        <w:t>ashed circles represent change points.</w:t>
      </w:r>
    </w:p>
    <w:p w14:paraId="5E10DD56" w14:textId="77777777" w:rsidR="006A0CF0" w:rsidRPr="00D014F3" w:rsidRDefault="006A0CF0" w:rsidP="006A0CF0">
      <w:pPr>
        <w:pStyle w:val="TEXTIND"/>
        <w:spacing w:line="480" w:lineRule="auto"/>
        <w:jc w:val="center"/>
        <w:rPr>
          <w:sz w:val="20"/>
          <w:szCs w:val="20"/>
        </w:rPr>
      </w:pPr>
    </w:p>
    <w:p w14:paraId="48080A94" w14:textId="77777777" w:rsidR="006A0CF0" w:rsidRPr="00D014F3" w:rsidRDefault="006A0CF0" w:rsidP="006A0CF0">
      <w:pPr>
        <w:pStyle w:val="TEXTIND"/>
        <w:spacing w:line="480" w:lineRule="auto"/>
        <w:ind w:firstLine="284"/>
        <w:rPr>
          <w:sz w:val="20"/>
          <w:szCs w:val="20"/>
        </w:rPr>
      </w:pPr>
      <w:r w:rsidRPr="00D014F3">
        <w:rPr>
          <w:noProof/>
          <w:sz w:val="20"/>
          <w:szCs w:val="20"/>
          <w:lang w:val="en-GB" w:eastAsia="zh-CN"/>
        </w:rPr>
        <w:lastRenderedPageBreak/>
        <w:drawing>
          <wp:inline distT="0" distB="0" distL="0" distR="0" wp14:anchorId="4EC51AB9" wp14:editId="4BC6B951">
            <wp:extent cx="5612130" cy="3503930"/>
            <wp:effectExtent l="0" t="0" r="1270" b="12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64BE15-32ED-8B4F-8657-40AD1665EA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EA95E9" w14:textId="299A6F99" w:rsidR="0028498A" w:rsidRPr="00D014F3" w:rsidRDefault="0028498A" w:rsidP="0028498A">
      <w:pPr>
        <w:pStyle w:val="CP"/>
        <w:spacing w:line="480" w:lineRule="auto"/>
        <w:rPr>
          <w:color w:val="000000" w:themeColor="text1"/>
          <w:sz w:val="20"/>
          <w:szCs w:val="20"/>
        </w:rPr>
      </w:pPr>
      <w:proofErr w:type="gramStart"/>
      <w:r w:rsidRPr="00D014F3">
        <w:rPr>
          <w:i/>
          <w:color w:val="000000" w:themeColor="text1"/>
          <w:sz w:val="20"/>
          <w:szCs w:val="20"/>
        </w:rPr>
        <w:t>Figure 2</w:t>
      </w:r>
      <w:r w:rsidRPr="00D014F3">
        <w:rPr>
          <w:color w:val="000000" w:themeColor="text1"/>
          <w:sz w:val="20"/>
          <w:szCs w:val="20"/>
        </w:rPr>
        <w:t>.</w:t>
      </w:r>
      <w:proofErr w:type="gramEnd"/>
      <w:r w:rsidRPr="00D014F3">
        <w:rPr>
          <w:color w:val="000000" w:themeColor="text1"/>
          <w:sz w:val="20"/>
          <w:szCs w:val="20"/>
        </w:rPr>
        <w:t xml:space="preserve">  Non-recovery term frequency counts as a proportion of caseload.  Horizontal dotted lines represent average frequency count for the phase.  </w:t>
      </w:r>
      <w:r w:rsidR="00A15BD2" w:rsidRPr="00D014F3">
        <w:rPr>
          <w:color w:val="000000" w:themeColor="text1"/>
          <w:sz w:val="20"/>
          <w:szCs w:val="20"/>
        </w:rPr>
        <w:t>D</w:t>
      </w:r>
      <w:r w:rsidRPr="00D014F3">
        <w:rPr>
          <w:color w:val="000000" w:themeColor="text1"/>
          <w:sz w:val="20"/>
          <w:szCs w:val="20"/>
        </w:rPr>
        <w:t>ashed circles represent change points.</w:t>
      </w:r>
    </w:p>
    <w:p w14:paraId="1BCAA5CE" w14:textId="77777777" w:rsidR="006A0CF0" w:rsidRPr="00D014F3" w:rsidRDefault="006A0CF0" w:rsidP="006A0CF0">
      <w:pPr>
        <w:pStyle w:val="TEXTIND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t xml:space="preserve">  </w:t>
      </w:r>
    </w:p>
    <w:p w14:paraId="1B886F37" w14:textId="77D05A66" w:rsidR="0017285D" w:rsidRPr="00D014F3" w:rsidRDefault="0017285D" w:rsidP="00EB4758">
      <w:pPr>
        <w:pStyle w:val="EH"/>
        <w:spacing w:line="480" w:lineRule="auto"/>
        <w:rPr>
          <w:sz w:val="20"/>
          <w:szCs w:val="20"/>
        </w:rPr>
      </w:pPr>
    </w:p>
    <w:p w14:paraId="3A9A2DFD" w14:textId="77777777" w:rsidR="006A0CF0" w:rsidRPr="00D014F3" w:rsidRDefault="006A0CF0" w:rsidP="00EB4758">
      <w:pPr>
        <w:pStyle w:val="EH"/>
        <w:spacing w:line="480" w:lineRule="auto"/>
        <w:rPr>
          <w:sz w:val="20"/>
          <w:szCs w:val="20"/>
        </w:rPr>
      </w:pPr>
      <w:r w:rsidRPr="00D014F3">
        <w:rPr>
          <w:sz w:val="20"/>
          <w:szCs w:val="20"/>
        </w:rPr>
        <w:br w:type="page"/>
      </w:r>
    </w:p>
    <w:p w14:paraId="55195944" w14:textId="719FF110" w:rsidR="008A4427" w:rsidRPr="00D014F3" w:rsidRDefault="00FE0DF1" w:rsidP="00C547E0">
      <w:pPr>
        <w:pStyle w:val="EH"/>
        <w:spacing w:line="480" w:lineRule="auto"/>
        <w:rPr>
          <w:b/>
          <w:color w:val="000000" w:themeColor="text1"/>
          <w:sz w:val="20"/>
          <w:szCs w:val="20"/>
        </w:rPr>
      </w:pPr>
      <w:r w:rsidRPr="00D014F3">
        <w:rPr>
          <w:b/>
          <w:color w:val="000000" w:themeColor="text1"/>
          <w:sz w:val="20"/>
          <w:szCs w:val="20"/>
        </w:rPr>
        <w:lastRenderedPageBreak/>
        <w:t>References</w:t>
      </w:r>
    </w:p>
    <w:p w14:paraId="1264D4C8" w14:textId="04E80BCD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Anthony WA. Recovery from mental illness: The guiding vision of the mental health service system in the 1990s. 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Psychosocial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Rehabil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J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>1993; 16: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11-23. </w:t>
      </w:r>
    </w:p>
    <w:p w14:paraId="4143B0F5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Repper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J and Perkins R. Recovery and social inclusion. In: Callaghan P,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Playle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J and Cooper L (</w:t>
      </w:r>
      <w:proofErr w:type="spellStart"/>
      <w:proofErr w:type="gramStart"/>
      <w:r w:rsidRPr="00D014F3">
        <w:rPr>
          <w:rFonts w:ascii="Times New Roman" w:hAnsi="Times New Roman"/>
          <w:color w:val="000000" w:themeColor="text1"/>
          <w:sz w:val="20"/>
          <w:szCs w:val="20"/>
        </w:rPr>
        <w:t>eds</w:t>
      </w:r>
      <w:proofErr w:type="spellEnd"/>
      <w:proofErr w:type="gram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Mental health nursing skills.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>Oxford: Oxford University Press, 2009,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pp. 85-95. </w:t>
      </w:r>
    </w:p>
    <w:p w14:paraId="5CE87899" w14:textId="69A26579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  <w:lang w:val="fr-FR"/>
        </w:rPr>
        <w:t>Yanos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PT,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  <w:lang w:val="fr-FR"/>
        </w:rPr>
        <w:t>Roe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D, Markus K, et al.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Pathways between internalized stigma and outcomes related to recovery in schizophrenia spectrum disorders.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Psychiat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Serv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>2008;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59: 1437-1442. </w:t>
      </w:r>
    </w:p>
    <w:p w14:paraId="783F8BB2" w14:textId="77777777" w:rsidR="000865B0" w:rsidRPr="00D014F3" w:rsidRDefault="000865B0" w:rsidP="000865B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bCs/>
          <w:color w:val="000000" w:themeColor="text1"/>
          <w:sz w:val="20"/>
          <w:szCs w:val="20"/>
        </w:rPr>
        <w:t>Vos, T., et al. (2013) Global, regional, and national incidence, prevalence, and years lived with disability for 301 acute and chronic diseases and injuries in 188 countries, 1990–2013: a systematic analysis for the Global Burden of Disease Study. The Lancet. 386 (9995). pp. 743-800.</w:t>
      </w:r>
    </w:p>
    <w:p w14:paraId="52BCD107" w14:textId="6791142C" w:rsidR="000865B0" w:rsidRPr="00D014F3" w:rsidRDefault="000865B0" w:rsidP="000865B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Department of Health. (2014). Annual Report of the Chief Medical Officer 2013: Public Mental Health Priorities: Investing in the Evidence. Retrieved from gov.uk/government/publications/chief-medical-officer-cmoannual-report-public-mental-health </w:t>
      </w:r>
      <w:r w:rsidR="00097DD1" w:rsidRPr="00D014F3">
        <w:rPr>
          <w:rFonts w:ascii="Times New Roman" w:hAnsi="Times New Roman"/>
          <w:bCs/>
          <w:color w:val="000000" w:themeColor="text1"/>
          <w:sz w:val="20"/>
          <w:szCs w:val="20"/>
        </w:rPr>
        <w:t>(a</w:t>
      </w:r>
      <w:r w:rsidRPr="00D014F3">
        <w:rPr>
          <w:rFonts w:ascii="Times New Roman" w:hAnsi="Times New Roman"/>
          <w:bCs/>
          <w:color w:val="000000" w:themeColor="text1"/>
          <w:sz w:val="20"/>
          <w:szCs w:val="20"/>
        </w:rPr>
        <w:t>ccessed 24</w:t>
      </w:r>
      <w:r w:rsidR="00097DD1" w:rsidRPr="00D014F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March 20</w:t>
      </w:r>
      <w:r w:rsidRPr="00D014F3">
        <w:rPr>
          <w:rFonts w:ascii="Times New Roman" w:hAnsi="Times New Roman"/>
          <w:bCs/>
          <w:color w:val="000000" w:themeColor="text1"/>
          <w:sz w:val="20"/>
          <w:szCs w:val="20"/>
        </w:rPr>
        <w:t>19</w:t>
      </w:r>
      <w:r w:rsidR="00097DD1" w:rsidRPr="00D014F3">
        <w:rPr>
          <w:rFonts w:ascii="Times New Roman" w:hAnsi="Times New Roman"/>
          <w:bCs/>
          <w:color w:val="000000" w:themeColor="text1"/>
          <w:sz w:val="20"/>
          <w:szCs w:val="20"/>
        </w:rPr>
        <w:t>)</w:t>
      </w:r>
      <w:r w:rsidRPr="00D014F3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14:paraId="6667AE7E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Deegan PE. Recovery: The lived experience of rehabilitation. 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Psychosocial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Rehabil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J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1988; 11: 11-19. </w:t>
      </w:r>
    </w:p>
    <w:p w14:paraId="7EA573BF" w14:textId="77777777" w:rsidR="00C547E0" w:rsidRPr="00D014F3" w:rsidRDefault="00F41BF5" w:rsidP="00C547E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Perkins R. Recovery: A journey of the mind and spirit. 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Clinical Psychology Forum 268,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https://www1.bps.org.uk/system/files/Public%20files/recovery.pdf (2015, accessed 1 March 2018).</w:t>
      </w:r>
    </w:p>
    <w:p w14:paraId="73DFDC73" w14:textId="76A6F8D8" w:rsidR="00F41BF5" w:rsidRPr="00D014F3" w:rsidRDefault="00F41BF5" w:rsidP="00C547E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>Department of Health. No health without mental health: Implementation framework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https://www.gov.uk/government/uploads/system/uploads/attachment_data/file/216870/No-Health-Without-Mental-Health-Implementation-Framework-Report-accessible-version.pdf (2012, accessed 10 February 2018). </w:t>
      </w:r>
    </w:p>
    <w:p w14:paraId="6E191D43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lastRenderedPageBreak/>
        <w:t>Department of Health. Closing the gap: Priorities for essential change in mental health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https://www.gov.uk/government/uploads/system/uploads/attachment_data/file/281250/Closing_the_gap_V2_-_17_Feb_2014.pdf (2014, accessed 10 February 2018). </w:t>
      </w:r>
    </w:p>
    <w:p w14:paraId="54848C59" w14:textId="77777777" w:rsidR="00F41BF5" w:rsidRPr="00D014F3" w:rsidRDefault="00F41BF5" w:rsidP="00EB4758">
      <w:pPr>
        <w:pStyle w:val="BodyA"/>
        <w:numPr>
          <w:ilvl w:val="0"/>
          <w:numId w:val="4"/>
        </w:numPr>
        <w:spacing w:before="120" w:line="480" w:lineRule="auto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National Institute for Health and Care Excellence. </w:t>
      </w:r>
      <w:r w:rsidRPr="00D014F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Looked-after children and young people, </w:t>
      </w: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>https://www.nice.org.uk/guidance/ph28/resources/lookedafter-children-and-young-people-pdf-1996243726021 (2010, accessed 10 February 2018).</w:t>
      </w:r>
    </w:p>
    <w:p w14:paraId="7C0919A8" w14:textId="77777777" w:rsidR="00F41BF5" w:rsidRPr="00D014F3" w:rsidRDefault="00F41BF5" w:rsidP="00EB4758">
      <w:pPr>
        <w:pStyle w:val="BodyA"/>
        <w:numPr>
          <w:ilvl w:val="0"/>
          <w:numId w:val="4"/>
        </w:numPr>
        <w:spacing w:before="120" w:line="480" w:lineRule="auto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National Institute for Health and Care Excellence. </w:t>
      </w:r>
      <w:r w:rsidRPr="00D014F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Service user experience in adult mental health: improving the experience of care for people using adult NHS mental health services, </w:t>
      </w: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https://www.nice.org.uk/guidance/cg136/resources/service-user-experience-in-adult-mental-health-improving-the-experience-of-care-for-people-using-adult-nhs-mental-health-services-pdf-35109513728197 (2011, accessed 10 February 2018). </w:t>
      </w:r>
    </w:p>
    <w:p w14:paraId="042A2E62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National Institute for Health and Care Excellence. </w:t>
      </w:r>
      <w:r w:rsidRPr="00D014F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Older people: independence and mental wellbeing,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https://www.nice.org.uk/guidance/ng32/resources/older-people-independence-and-mental-wellbeing-pdf-1837389003973 (2015, accessed 10 February 2018). </w:t>
      </w:r>
    </w:p>
    <w:p w14:paraId="61420BE3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  <w:u w:color="FF7D78"/>
        </w:rPr>
        <w:t xml:space="preserve">British Association of Social Workers. The role of the social worker in adult mental health services, https://www.basw.co.uk/resources/tcsw/Roles%20and%20Functions%20of%20Mental%20Health%20Social%20Workers%202014.pdf (2014, accessed 10 February 2018). </w:t>
      </w:r>
    </w:p>
    <w:p w14:paraId="3DCEFCB3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  <w:u w:color="FF7D78"/>
        </w:rPr>
        <w:t xml:space="preserve">British Psychological Society. Commissioning and delivering clinical psychology in acute adult mental health care, http://www.bps.org.uk/system/files/Public%20files/DCP/cat-1138.pdf (2012, accessed 10 February 2018). </w:t>
      </w:r>
    </w:p>
    <w:p w14:paraId="48C134D2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Royal College of Nursing. </w:t>
      </w:r>
      <w:r w:rsidRPr="00D014F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Frontline first: Turning back the clock? RCN report on mental health services in the UK,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https://www.rcn.org.uk/professional-development/publications/pub-004772 (2014, accessed 10 February 2018). </w:t>
      </w:r>
    </w:p>
    <w:p w14:paraId="3714354E" w14:textId="77777777" w:rsidR="00F41BF5" w:rsidRPr="00D014F3" w:rsidRDefault="00F41BF5" w:rsidP="00EB4758">
      <w:pPr>
        <w:pStyle w:val="BodyA"/>
        <w:numPr>
          <w:ilvl w:val="0"/>
          <w:numId w:val="4"/>
        </w:numPr>
        <w:spacing w:before="120" w:line="480" w:lineRule="auto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Royal College of Psychiatrists. </w:t>
      </w:r>
      <w:r w:rsidRPr="00D014F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Recovery is for all, </w:t>
      </w: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>http://www.rcpsych.ac.uk/pdf/Recovery%20is%20for%20all.pdf (2010, accessed 10 February 2018).</w:t>
      </w:r>
    </w:p>
    <w:p w14:paraId="1D4DC316" w14:textId="2C565B34" w:rsidR="00F41BF5" w:rsidRPr="00D014F3" w:rsidRDefault="00F41BF5" w:rsidP="00EB4758">
      <w:pPr>
        <w:pStyle w:val="BodyA"/>
        <w:numPr>
          <w:ilvl w:val="0"/>
          <w:numId w:val="4"/>
        </w:numPr>
        <w:spacing w:before="12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Royal College of Psychiatrists. </w:t>
      </w:r>
      <w:r w:rsidRPr="00D014F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Recovery for people with severe and complex mental health problems in Northern Ireland</w:t>
      </w:r>
      <w:r w:rsidRPr="00D0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http://www.rcpsych.ac.uk/files/pdfversion/CR187.pdf (2014, accessed 10 February 2018). </w:t>
      </w:r>
    </w:p>
    <w:p w14:paraId="2763112B" w14:textId="0958DD04" w:rsidR="00C547E0" w:rsidRPr="00D014F3" w:rsidRDefault="00C547E0" w:rsidP="00C547E0">
      <w:pPr>
        <w:pStyle w:val="EH"/>
        <w:numPr>
          <w:ilvl w:val="0"/>
          <w:numId w:val="4"/>
        </w:numPr>
        <w:spacing w:line="480" w:lineRule="auto"/>
        <w:rPr>
          <w:bCs/>
          <w:color w:val="000000" w:themeColor="text1"/>
          <w:sz w:val="20"/>
          <w:szCs w:val="20"/>
        </w:rPr>
      </w:pPr>
      <w:r w:rsidRPr="00D014F3">
        <w:rPr>
          <w:bCs/>
          <w:color w:val="000000" w:themeColor="text1"/>
          <w:sz w:val="20"/>
          <w:szCs w:val="20"/>
        </w:rPr>
        <w:t>Shepherd, G, Boardman, J, Rinaldi, M</w:t>
      </w:r>
      <w:r w:rsidR="00097DD1" w:rsidRPr="00D014F3">
        <w:rPr>
          <w:bCs/>
          <w:color w:val="000000" w:themeColor="text1"/>
          <w:sz w:val="20"/>
          <w:szCs w:val="20"/>
        </w:rPr>
        <w:t>,</w:t>
      </w:r>
      <w:r w:rsidRPr="00D014F3">
        <w:rPr>
          <w:bCs/>
          <w:color w:val="000000" w:themeColor="text1"/>
          <w:sz w:val="20"/>
          <w:szCs w:val="20"/>
        </w:rPr>
        <w:t xml:space="preserve"> Roberts, G. Supporting Recovery in Mental Health Services: Quality and Outcomes. </w:t>
      </w:r>
      <w:proofErr w:type="spellStart"/>
      <w:r w:rsidRPr="00D014F3">
        <w:rPr>
          <w:bCs/>
          <w:color w:val="000000" w:themeColor="text1"/>
          <w:sz w:val="20"/>
          <w:szCs w:val="20"/>
        </w:rPr>
        <w:t>ImROC</w:t>
      </w:r>
      <w:proofErr w:type="spellEnd"/>
      <w:r w:rsidRPr="00D014F3">
        <w:rPr>
          <w:bCs/>
          <w:color w:val="000000" w:themeColor="text1"/>
          <w:sz w:val="20"/>
          <w:szCs w:val="20"/>
        </w:rPr>
        <w:t xml:space="preserve"> Briefing Paper 8. Centre for Mental Health (online). Retrieved from http://www. centreformentalhealth.org.uk/pdfs/</w:t>
      </w:r>
      <w:proofErr w:type="spellStart"/>
      <w:r w:rsidRPr="00D014F3">
        <w:rPr>
          <w:bCs/>
          <w:color w:val="000000" w:themeColor="text1"/>
          <w:sz w:val="20"/>
          <w:szCs w:val="20"/>
        </w:rPr>
        <w:t>ImROC</w:t>
      </w:r>
      <w:proofErr w:type="spellEnd"/>
      <w:r w:rsidRPr="00D014F3">
        <w:rPr>
          <w:bCs/>
          <w:color w:val="000000" w:themeColor="text1"/>
          <w:sz w:val="20"/>
          <w:szCs w:val="20"/>
        </w:rPr>
        <w:t xml:space="preserve">_ briefing8_quality_and_outcomes.pdf </w:t>
      </w:r>
      <w:r w:rsidR="00097DD1" w:rsidRPr="00D014F3">
        <w:rPr>
          <w:bCs/>
          <w:color w:val="000000" w:themeColor="text1"/>
          <w:sz w:val="20"/>
          <w:szCs w:val="20"/>
        </w:rPr>
        <w:t>(2014, a</w:t>
      </w:r>
      <w:r w:rsidRPr="00D014F3">
        <w:rPr>
          <w:bCs/>
          <w:color w:val="000000" w:themeColor="text1"/>
          <w:sz w:val="20"/>
          <w:szCs w:val="20"/>
        </w:rPr>
        <w:t>ccessed 24 March 2019</w:t>
      </w:r>
      <w:r w:rsidR="00097DD1" w:rsidRPr="00D014F3">
        <w:rPr>
          <w:bCs/>
          <w:color w:val="000000" w:themeColor="text1"/>
          <w:sz w:val="20"/>
          <w:szCs w:val="20"/>
        </w:rPr>
        <w:t>)</w:t>
      </w:r>
      <w:r w:rsidRPr="00D014F3">
        <w:rPr>
          <w:bCs/>
          <w:color w:val="000000" w:themeColor="text1"/>
          <w:sz w:val="20"/>
          <w:szCs w:val="20"/>
        </w:rPr>
        <w:t>.</w:t>
      </w:r>
    </w:p>
    <w:p w14:paraId="16C1BC4D" w14:textId="77777777" w:rsidR="00C547E0" w:rsidRPr="00D014F3" w:rsidRDefault="00F41BF5" w:rsidP="00C547E0">
      <w:pPr>
        <w:pStyle w:val="EH"/>
        <w:numPr>
          <w:ilvl w:val="0"/>
          <w:numId w:val="4"/>
        </w:numPr>
        <w:spacing w:line="480" w:lineRule="auto"/>
        <w:rPr>
          <w:bCs/>
          <w:color w:val="000000" w:themeColor="text1"/>
          <w:sz w:val="20"/>
          <w:szCs w:val="20"/>
        </w:rPr>
      </w:pPr>
      <w:r w:rsidRPr="00D014F3">
        <w:rPr>
          <w:color w:val="000000" w:themeColor="text1"/>
          <w:sz w:val="20"/>
          <w:szCs w:val="20"/>
          <w:lang w:val="fr-FR"/>
        </w:rPr>
        <w:t xml:space="preserve">Watson AC, Corrigan P, </w:t>
      </w:r>
      <w:proofErr w:type="spellStart"/>
      <w:r w:rsidRPr="00D014F3">
        <w:rPr>
          <w:color w:val="000000" w:themeColor="text1"/>
          <w:sz w:val="20"/>
          <w:szCs w:val="20"/>
          <w:lang w:val="fr-FR"/>
        </w:rPr>
        <w:t>Larson</w:t>
      </w:r>
      <w:proofErr w:type="spellEnd"/>
      <w:r w:rsidRPr="00D014F3">
        <w:rPr>
          <w:color w:val="000000" w:themeColor="text1"/>
          <w:sz w:val="20"/>
          <w:szCs w:val="20"/>
          <w:lang w:val="fr-FR"/>
        </w:rPr>
        <w:t xml:space="preserve"> JE, et al. </w:t>
      </w:r>
      <w:r w:rsidRPr="00D014F3">
        <w:rPr>
          <w:color w:val="000000" w:themeColor="text1"/>
          <w:sz w:val="20"/>
          <w:szCs w:val="20"/>
        </w:rPr>
        <w:t xml:space="preserve">Self-stigma in people with mental illness. </w:t>
      </w:r>
      <w:r w:rsidRPr="00D014F3">
        <w:rPr>
          <w:i/>
          <w:color w:val="000000" w:themeColor="text1"/>
          <w:sz w:val="20"/>
          <w:szCs w:val="20"/>
        </w:rPr>
        <w:t xml:space="preserve">Schizophrenia Bull </w:t>
      </w:r>
      <w:r w:rsidRPr="00D014F3">
        <w:rPr>
          <w:color w:val="000000" w:themeColor="text1"/>
          <w:sz w:val="20"/>
          <w:szCs w:val="20"/>
        </w:rPr>
        <w:t>2007;</w:t>
      </w:r>
      <w:r w:rsidRPr="00D014F3">
        <w:rPr>
          <w:i/>
          <w:color w:val="000000" w:themeColor="text1"/>
          <w:sz w:val="20"/>
          <w:szCs w:val="20"/>
        </w:rPr>
        <w:t xml:space="preserve"> </w:t>
      </w:r>
      <w:r w:rsidRPr="00D014F3">
        <w:rPr>
          <w:color w:val="000000" w:themeColor="text1"/>
          <w:sz w:val="20"/>
          <w:szCs w:val="20"/>
        </w:rPr>
        <w:t xml:space="preserve">33: 1312-1318. </w:t>
      </w:r>
    </w:p>
    <w:p w14:paraId="38C7A004" w14:textId="3F756C1F" w:rsidR="00F41BF5" w:rsidRPr="00D014F3" w:rsidRDefault="00F41BF5" w:rsidP="00C547E0">
      <w:pPr>
        <w:pStyle w:val="EH"/>
        <w:numPr>
          <w:ilvl w:val="0"/>
          <w:numId w:val="4"/>
        </w:numPr>
        <w:spacing w:line="480" w:lineRule="auto"/>
        <w:rPr>
          <w:bCs/>
          <w:color w:val="000000" w:themeColor="text1"/>
          <w:sz w:val="20"/>
          <w:szCs w:val="20"/>
        </w:rPr>
      </w:pPr>
      <w:proofErr w:type="gramStart"/>
      <w:r w:rsidRPr="00D014F3">
        <w:rPr>
          <w:color w:val="000000" w:themeColor="text1"/>
          <w:sz w:val="20"/>
          <w:szCs w:val="20"/>
          <w:lang w:val="it-IT"/>
        </w:rPr>
        <w:t xml:space="preserve">Burke E, Wood L, Zabel E, et al. </w:t>
      </w:r>
      <w:r w:rsidRPr="00D014F3">
        <w:rPr>
          <w:color w:val="000000" w:themeColor="text1"/>
          <w:sz w:val="20"/>
          <w:szCs w:val="20"/>
        </w:rPr>
        <w:t>Experiences of stigma in psychosis: A qualitative analysis of service users’ perspectives</w:t>
      </w:r>
      <w:proofErr w:type="gramEnd"/>
      <w:r w:rsidRPr="00D014F3">
        <w:rPr>
          <w:color w:val="000000" w:themeColor="text1"/>
          <w:sz w:val="20"/>
          <w:szCs w:val="20"/>
        </w:rPr>
        <w:t xml:space="preserve">. </w:t>
      </w:r>
      <w:r w:rsidRPr="00D014F3">
        <w:rPr>
          <w:i/>
          <w:color w:val="000000" w:themeColor="text1"/>
          <w:sz w:val="20"/>
          <w:szCs w:val="20"/>
        </w:rPr>
        <w:t xml:space="preserve">Psychosis </w:t>
      </w:r>
      <w:r w:rsidRPr="00D014F3">
        <w:rPr>
          <w:color w:val="000000" w:themeColor="text1"/>
          <w:sz w:val="20"/>
          <w:szCs w:val="20"/>
        </w:rPr>
        <w:t xml:space="preserve">2016; 8: 130-142. </w:t>
      </w:r>
    </w:p>
    <w:p w14:paraId="5D528594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Espinosa R,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Valiente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C,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Rigabert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A, et al. Recovery style and stigma in psychosis: The healing power of integrating.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Cogn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Neuropsychiatry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>2016; 21: 146-155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. </w:t>
      </w:r>
    </w:p>
    <w:p w14:paraId="41DB6D96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Moriarty A, Jolley S, Callanan MM, et al. Understanding reduced activity in psychosis: The roles of stigma and illness appraisals.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Soc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Psych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Psych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Epid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2012; 47: 1685-1693. </w:t>
      </w:r>
    </w:p>
    <w:p w14:paraId="1A07DFC6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Cunningham KC and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Lucksted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A. Social cognition, internalized stigma, and recovery orientation among adults with serious mental illness.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Psychiatr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Rehabil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J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2017; 40: 409-411. </w:t>
      </w:r>
    </w:p>
    <w:p w14:paraId="3B205EF6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Wood L, Byrne R, Burke E, et al. The impact of stigma on emotional distress and recovery from psychosis: The mediatory role of internalised shame and self-esteem.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Psychiat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Res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>2017; 255: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94-100. </w:t>
      </w:r>
    </w:p>
    <w:p w14:paraId="63E7C766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Livingston JD,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Nijdam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-Jones A,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Lapsley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S, et al. Supporting recovery by improving patient engagement in a forensic mental health hospital: Results from a demonstration project. 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J Am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Psychiatr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Nurses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2013; 19: 132-145. </w:t>
      </w:r>
    </w:p>
    <w:p w14:paraId="4DD9918F" w14:textId="2161A40D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  <w:lang w:val="es-ES"/>
        </w:rPr>
        <w:t>Vayshenker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B,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  <w:lang w:val="es-ES"/>
        </w:rPr>
        <w:t>Mulay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  <w:lang w:val="es-ES"/>
        </w:rPr>
        <w:t xml:space="preserve"> AL, Gonzales L, et al.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Participation in peer support services and outcomes related to recovery.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Psychiatr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Rehabil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J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2016; 39: 274-281. </w:t>
      </w:r>
    </w:p>
    <w:p w14:paraId="1FEFEA07" w14:textId="77777777" w:rsidR="00C547E0" w:rsidRPr="00D014F3" w:rsidRDefault="00C547E0" w:rsidP="00C547E0">
      <w:pPr>
        <w:pStyle w:val="EH"/>
        <w:numPr>
          <w:ilvl w:val="0"/>
          <w:numId w:val="4"/>
        </w:numPr>
        <w:spacing w:line="480" w:lineRule="auto"/>
        <w:rPr>
          <w:bCs/>
          <w:color w:val="000000" w:themeColor="text1"/>
          <w:sz w:val="20"/>
          <w:szCs w:val="20"/>
        </w:rPr>
      </w:pPr>
      <w:r w:rsidRPr="00D014F3">
        <w:rPr>
          <w:bCs/>
          <w:color w:val="000000" w:themeColor="text1"/>
          <w:sz w:val="20"/>
          <w:szCs w:val="20"/>
        </w:rPr>
        <w:t>Jackson-</w:t>
      </w:r>
      <w:proofErr w:type="spellStart"/>
      <w:r w:rsidRPr="00D014F3">
        <w:rPr>
          <w:bCs/>
          <w:color w:val="000000" w:themeColor="text1"/>
          <w:sz w:val="20"/>
          <w:szCs w:val="20"/>
        </w:rPr>
        <w:t>Blott</w:t>
      </w:r>
      <w:proofErr w:type="spellEnd"/>
      <w:r w:rsidRPr="00D014F3">
        <w:rPr>
          <w:bCs/>
          <w:color w:val="000000" w:themeColor="text1"/>
          <w:sz w:val="20"/>
          <w:szCs w:val="20"/>
        </w:rPr>
        <w:t xml:space="preserve"> K, Hare D, </w:t>
      </w:r>
      <w:proofErr w:type="spellStart"/>
      <w:r w:rsidRPr="00D014F3">
        <w:rPr>
          <w:bCs/>
          <w:color w:val="000000" w:themeColor="text1"/>
          <w:sz w:val="20"/>
          <w:szCs w:val="20"/>
        </w:rPr>
        <w:t>Bronwen</w:t>
      </w:r>
      <w:proofErr w:type="spellEnd"/>
      <w:r w:rsidRPr="00D014F3">
        <w:rPr>
          <w:bCs/>
          <w:color w:val="000000" w:themeColor="text1"/>
          <w:sz w:val="20"/>
          <w:szCs w:val="20"/>
        </w:rPr>
        <w:t xml:space="preserve"> D, et al. Recovery-oriented training programmes for mental health professionals: A narrative literature review. Mental Health &amp; Prevention 2019; 13: 113-127.</w:t>
      </w:r>
    </w:p>
    <w:p w14:paraId="51F1C1B8" w14:textId="77777777" w:rsidR="00C547E0" w:rsidRPr="00D014F3" w:rsidRDefault="00C547E0" w:rsidP="00C547E0">
      <w:pPr>
        <w:pStyle w:val="EH"/>
        <w:numPr>
          <w:ilvl w:val="0"/>
          <w:numId w:val="4"/>
        </w:numPr>
        <w:spacing w:line="480" w:lineRule="auto"/>
        <w:rPr>
          <w:bCs/>
          <w:color w:val="000000" w:themeColor="text1"/>
          <w:sz w:val="20"/>
          <w:szCs w:val="20"/>
        </w:rPr>
      </w:pPr>
      <w:r w:rsidRPr="00D014F3">
        <w:rPr>
          <w:bCs/>
          <w:color w:val="000000" w:themeColor="text1"/>
          <w:sz w:val="20"/>
          <w:szCs w:val="20"/>
        </w:rPr>
        <w:t>Slade M, Bird V, Clarke E, et al. Supporting recovery in patients with psychosis through care by community-based adult mental health teams (REFOCUS): A multisite, cluster, randomized, controlled trial. Lancet Psychiatry 2015; 2: 503-514.</w:t>
      </w:r>
    </w:p>
    <w:p w14:paraId="39DF448A" w14:textId="19EB624F" w:rsidR="00C547E0" w:rsidRPr="00D014F3" w:rsidRDefault="00C547E0" w:rsidP="00C547E0">
      <w:pPr>
        <w:pStyle w:val="EH"/>
        <w:numPr>
          <w:ilvl w:val="0"/>
          <w:numId w:val="4"/>
        </w:numPr>
        <w:spacing w:line="480" w:lineRule="auto"/>
        <w:rPr>
          <w:bCs/>
          <w:color w:val="000000" w:themeColor="text1"/>
          <w:sz w:val="20"/>
          <w:szCs w:val="20"/>
        </w:rPr>
      </w:pPr>
      <w:r w:rsidRPr="00D014F3">
        <w:rPr>
          <w:bCs/>
          <w:color w:val="000000" w:themeColor="text1"/>
          <w:sz w:val="20"/>
          <w:szCs w:val="20"/>
        </w:rPr>
        <w:t xml:space="preserve">Wallace G, Bird V, </w:t>
      </w:r>
      <w:proofErr w:type="spellStart"/>
      <w:r w:rsidRPr="00D014F3">
        <w:rPr>
          <w:bCs/>
          <w:color w:val="000000" w:themeColor="text1"/>
          <w:sz w:val="20"/>
          <w:szCs w:val="20"/>
        </w:rPr>
        <w:t>Leamy</w:t>
      </w:r>
      <w:proofErr w:type="spellEnd"/>
      <w:r w:rsidRPr="00D014F3">
        <w:rPr>
          <w:bCs/>
          <w:color w:val="000000" w:themeColor="text1"/>
          <w:sz w:val="20"/>
          <w:szCs w:val="20"/>
        </w:rPr>
        <w:t xml:space="preserve"> M, et al. Service user experiences of REFOCUS: A process evaluation of a pro-recovery complex intervention. </w:t>
      </w:r>
      <w:proofErr w:type="spellStart"/>
      <w:r w:rsidRPr="00D014F3">
        <w:rPr>
          <w:bCs/>
          <w:color w:val="000000" w:themeColor="text1"/>
          <w:sz w:val="20"/>
          <w:szCs w:val="20"/>
        </w:rPr>
        <w:t>Soc</w:t>
      </w:r>
      <w:proofErr w:type="spellEnd"/>
      <w:r w:rsidRPr="00D014F3">
        <w:rPr>
          <w:bCs/>
          <w:color w:val="000000" w:themeColor="text1"/>
          <w:sz w:val="20"/>
          <w:szCs w:val="20"/>
        </w:rPr>
        <w:t xml:space="preserve"> Psychiatry </w:t>
      </w:r>
      <w:proofErr w:type="spellStart"/>
      <w:r w:rsidRPr="00D014F3">
        <w:rPr>
          <w:bCs/>
          <w:color w:val="000000" w:themeColor="text1"/>
          <w:sz w:val="20"/>
          <w:szCs w:val="20"/>
        </w:rPr>
        <w:t>Psychiatr</w:t>
      </w:r>
      <w:proofErr w:type="spellEnd"/>
      <w:r w:rsidRPr="00D014F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D014F3">
        <w:rPr>
          <w:bCs/>
          <w:color w:val="000000" w:themeColor="text1"/>
          <w:sz w:val="20"/>
          <w:szCs w:val="20"/>
        </w:rPr>
        <w:t>Epidemiol</w:t>
      </w:r>
      <w:proofErr w:type="spellEnd"/>
      <w:r w:rsidRPr="00D014F3">
        <w:rPr>
          <w:bCs/>
          <w:color w:val="000000" w:themeColor="text1"/>
          <w:sz w:val="20"/>
          <w:szCs w:val="20"/>
        </w:rPr>
        <w:t xml:space="preserve"> 2016; 51: 1275-1284.</w:t>
      </w:r>
    </w:p>
    <w:p w14:paraId="2AEB6997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>Van Dijk TA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. Discourse studies: A multidisciplinary introduction.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Vol. 2. London: Sage Publications, 1997.</w:t>
      </w:r>
    </w:p>
    <w:p w14:paraId="243E9D4C" w14:textId="77777777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Irving K,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Treacy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M, Scott A, et al. Discursive practices in the documentation of patient assessments. 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Journal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Adv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Nurs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>2006;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53: 151-159. </w:t>
      </w:r>
    </w:p>
    <w:p w14:paraId="1125457A" w14:textId="4619BC2C" w:rsidR="00F41BF5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Lövestam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E,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Fjellström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C, 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Koochek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 A, et al. The power of language on patient-</w:t>
      </w:r>
      <w:proofErr w:type="spellStart"/>
      <w:r w:rsidRPr="00D014F3">
        <w:rPr>
          <w:rFonts w:ascii="Times New Roman" w:hAnsi="Times New Roman"/>
          <w:color w:val="000000" w:themeColor="text1"/>
          <w:sz w:val="20"/>
          <w:szCs w:val="20"/>
        </w:rPr>
        <w:t>centredness</w:t>
      </w:r>
      <w:proofErr w:type="spellEnd"/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: Linguistic devices in the dietetic notes of patient records.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Int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J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Appl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Linguist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>2015; 25: 225-245.</w:t>
      </w:r>
    </w:p>
    <w:p w14:paraId="6454BF18" w14:textId="0606BC84" w:rsidR="00502CBB" w:rsidRPr="00D014F3" w:rsidRDefault="00502CBB" w:rsidP="00502CB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Newman-Taylor K, Garner C, Vernon-Wilson E, et al. Psychometric evaluation of the hope, agency and opportunity (HAO): A brief measure of mental health recovery. 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J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Ment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Health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>2017; 26:</w:t>
      </w:r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562-568. </w:t>
      </w:r>
    </w:p>
    <w:p w14:paraId="06556398" w14:textId="7DF9AFAC" w:rsidR="006042B0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>Morley S, Masterson C and Main J, editors. Single-case methods in clinical psychology. A practical guide. Oxford: Routledge; 2018</w:t>
      </w:r>
      <w:r w:rsidR="00F44638" w:rsidRPr="00D014F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4DA6137" w14:textId="4F8D621C" w:rsidR="009078D0" w:rsidRPr="00D014F3" w:rsidRDefault="00F41BF5" w:rsidP="00EB47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Smith JD. Single-case experimental designs: A systematic review of published research and current standards. </w:t>
      </w:r>
      <w:proofErr w:type="spellStart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>Psychol</w:t>
      </w:r>
      <w:proofErr w:type="spellEnd"/>
      <w:r w:rsidRPr="00D014F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Methods </w:t>
      </w: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2012; 17: </w:t>
      </w:r>
      <w:r w:rsidR="000814E7" w:rsidRPr="00D014F3">
        <w:rPr>
          <w:rFonts w:ascii="Times New Roman" w:hAnsi="Times New Roman"/>
          <w:color w:val="000000" w:themeColor="text1"/>
          <w:sz w:val="20"/>
          <w:szCs w:val="20"/>
        </w:rPr>
        <w:t>510-550</w:t>
      </w:r>
      <w:r w:rsidR="00F44638" w:rsidRPr="00D014F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3EFCE84" w14:textId="0948F937" w:rsidR="00F44638" w:rsidRPr="00D014F3" w:rsidRDefault="00F44638" w:rsidP="00F446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14F3">
        <w:rPr>
          <w:rFonts w:ascii="Times New Roman" w:hAnsi="Times New Roman"/>
          <w:color w:val="000000" w:themeColor="text1"/>
          <w:sz w:val="20"/>
          <w:szCs w:val="20"/>
        </w:rPr>
        <w:t xml:space="preserve">CRIS Network. Governance, https://crisnetwork.co/governance (2018, accessed 5 March 2018). </w:t>
      </w:r>
    </w:p>
    <w:p w14:paraId="18D027CA" w14:textId="77777777" w:rsidR="000814E7" w:rsidRPr="0038550D" w:rsidRDefault="000814E7" w:rsidP="00EB4758">
      <w:pPr>
        <w:spacing w:line="480" w:lineRule="auto"/>
        <w:jc w:val="center"/>
        <w:rPr>
          <w:color w:val="000000" w:themeColor="text1"/>
          <w:sz w:val="20"/>
          <w:szCs w:val="20"/>
        </w:rPr>
      </w:pPr>
    </w:p>
    <w:p w14:paraId="04933BB1" w14:textId="77777777" w:rsidR="000814E7" w:rsidRPr="0038550D" w:rsidRDefault="000814E7" w:rsidP="00EB4758">
      <w:pPr>
        <w:spacing w:line="480" w:lineRule="auto"/>
        <w:jc w:val="center"/>
        <w:rPr>
          <w:color w:val="000000" w:themeColor="text1"/>
          <w:sz w:val="20"/>
          <w:szCs w:val="20"/>
        </w:rPr>
      </w:pPr>
    </w:p>
    <w:sectPr w:rsidR="000814E7" w:rsidRPr="0038550D" w:rsidSect="0049179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48F6C" w14:textId="77777777" w:rsidR="00391804" w:rsidRDefault="00391804" w:rsidP="0062476D">
      <w:r>
        <w:separator/>
      </w:r>
    </w:p>
  </w:endnote>
  <w:endnote w:type="continuationSeparator" w:id="0">
    <w:p w14:paraId="4CB56419" w14:textId="77777777" w:rsidR="00391804" w:rsidRDefault="00391804" w:rsidP="0062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9CF10" w14:textId="77777777" w:rsidR="00B542C5" w:rsidRDefault="00B542C5" w:rsidP="00C215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957AE" w14:textId="77777777" w:rsidR="00B542C5" w:rsidRDefault="00B54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8F45C" w14:textId="77777777" w:rsidR="00B542C5" w:rsidRDefault="00B542C5" w:rsidP="00C215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4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3327DD" w14:textId="77777777" w:rsidR="00B542C5" w:rsidRDefault="00B54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9C9F8" w14:textId="77777777" w:rsidR="00391804" w:rsidRDefault="00391804" w:rsidP="0062476D">
      <w:r>
        <w:separator/>
      </w:r>
    </w:p>
  </w:footnote>
  <w:footnote w:type="continuationSeparator" w:id="0">
    <w:p w14:paraId="0A366830" w14:textId="77777777" w:rsidR="00391804" w:rsidRDefault="00391804" w:rsidP="0062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101673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CEBE25B" w14:textId="77777777" w:rsidR="00B542C5" w:rsidRDefault="00B542C5" w:rsidP="003855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57AF9F" w14:textId="77777777" w:rsidR="00B542C5" w:rsidRDefault="00B542C5" w:rsidP="00D07D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05561" w14:textId="77777777" w:rsidR="00B542C5" w:rsidRDefault="00B542C5" w:rsidP="0038550D">
    <w:pPr>
      <w:pStyle w:val="Header"/>
      <w:framePr w:wrap="none" w:vAnchor="text" w:hAnchor="margin" w:xAlign="right" w:y="1"/>
      <w:rPr>
        <w:rStyle w:val="PageNumber"/>
      </w:rPr>
    </w:pPr>
  </w:p>
  <w:p w14:paraId="0DB84102" w14:textId="77777777" w:rsidR="00B542C5" w:rsidRDefault="00B542C5" w:rsidP="00D07D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A73"/>
    <w:multiLevelType w:val="hybridMultilevel"/>
    <w:tmpl w:val="90EC2B4E"/>
    <w:lvl w:ilvl="0" w:tplc="CB0AC2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803BB"/>
    <w:multiLevelType w:val="hybridMultilevel"/>
    <w:tmpl w:val="04F820BE"/>
    <w:lvl w:ilvl="0" w:tplc="99141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5720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490899"/>
    <w:multiLevelType w:val="hybridMultilevel"/>
    <w:tmpl w:val="4106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0"/>
    <w:rsid w:val="00010B97"/>
    <w:rsid w:val="00022506"/>
    <w:rsid w:val="000372E1"/>
    <w:rsid w:val="00054C6C"/>
    <w:rsid w:val="000605A1"/>
    <w:rsid w:val="000647E8"/>
    <w:rsid w:val="00071E95"/>
    <w:rsid w:val="000814E7"/>
    <w:rsid w:val="000865B0"/>
    <w:rsid w:val="00097DD1"/>
    <w:rsid w:val="000A036C"/>
    <w:rsid w:val="000C09B5"/>
    <w:rsid w:val="000E36D8"/>
    <w:rsid w:val="000E68C5"/>
    <w:rsid w:val="000F67CE"/>
    <w:rsid w:val="00144684"/>
    <w:rsid w:val="001463EE"/>
    <w:rsid w:val="0017285D"/>
    <w:rsid w:val="00181A42"/>
    <w:rsid w:val="0018270D"/>
    <w:rsid w:val="001835E9"/>
    <w:rsid w:val="001A50EA"/>
    <w:rsid w:val="001A5744"/>
    <w:rsid w:val="001A774B"/>
    <w:rsid w:val="001C1C61"/>
    <w:rsid w:val="001E2F9B"/>
    <w:rsid w:val="001F0891"/>
    <w:rsid w:val="002707A5"/>
    <w:rsid w:val="0028498A"/>
    <w:rsid w:val="002863D3"/>
    <w:rsid w:val="0028723D"/>
    <w:rsid w:val="00291546"/>
    <w:rsid w:val="0029251A"/>
    <w:rsid w:val="002B4073"/>
    <w:rsid w:val="002C362F"/>
    <w:rsid w:val="002C5064"/>
    <w:rsid w:val="002D40ED"/>
    <w:rsid w:val="002E0F72"/>
    <w:rsid w:val="002F59A0"/>
    <w:rsid w:val="002F6E65"/>
    <w:rsid w:val="003120C7"/>
    <w:rsid w:val="00327299"/>
    <w:rsid w:val="003454DD"/>
    <w:rsid w:val="00366BA4"/>
    <w:rsid w:val="00366E40"/>
    <w:rsid w:val="00382EEE"/>
    <w:rsid w:val="0038550D"/>
    <w:rsid w:val="003877B7"/>
    <w:rsid w:val="00391804"/>
    <w:rsid w:val="003A087C"/>
    <w:rsid w:val="003A0B47"/>
    <w:rsid w:val="003A54FF"/>
    <w:rsid w:val="003B621E"/>
    <w:rsid w:val="003B7206"/>
    <w:rsid w:val="003D0793"/>
    <w:rsid w:val="0041252B"/>
    <w:rsid w:val="00416AAC"/>
    <w:rsid w:val="00416FF5"/>
    <w:rsid w:val="00417B46"/>
    <w:rsid w:val="00424785"/>
    <w:rsid w:val="00425B22"/>
    <w:rsid w:val="00436662"/>
    <w:rsid w:val="00450270"/>
    <w:rsid w:val="00457744"/>
    <w:rsid w:val="004724DA"/>
    <w:rsid w:val="00482374"/>
    <w:rsid w:val="00487688"/>
    <w:rsid w:val="0049179E"/>
    <w:rsid w:val="0049200E"/>
    <w:rsid w:val="004962F0"/>
    <w:rsid w:val="004A15D0"/>
    <w:rsid w:val="004A7AF4"/>
    <w:rsid w:val="004B2CAE"/>
    <w:rsid w:val="004B6117"/>
    <w:rsid w:val="004B61E1"/>
    <w:rsid w:val="004C4426"/>
    <w:rsid w:val="004C5F04"/>
    <w:rsid w:val="004F4EA7"/>
    <w:rsid w:val="00502CBB"/>
    <w:rsid w:val="00515967"/>
    <w:rsid w:val="0058119E"/>
    <w:rsid w:val="00582924"/>
    <w:rsid w:val="00582EC1"/>
    <w:rsid w:val="00587574"/>
    <w:rsid w:val="005941B1"/>
    <w:rsid w:val="005A4766"/>
    <w:rsid w:val="005C6573"/>
    <w:rsid w:val="005C7A42"/>
    <w:rsid w:val="005E53BE"/>
    <w:rsid w:val="005E7DEE"/>
    <w:rsid w:val="005F44F6"/>
    <w:rsid w:val="006042B0"/>
    <w:rsid w:val="006228D9"/>
    <w:rsid w:val="0062476D"/>
    <w:rsid w:val="00632673"/>
    <w:rsid w:val="00633005"/>
    <w:rsid w:val="00661F44"/>
    <w:rsid w:val="00675D08"/>
    <w:rsid w:val="00685485"/>
    <w:rsid w:val="006928BE"/>
    <w:rsid w:val="006A0CF0"/>
    <w:rsid w:val="006A6CD5"/>
    <w:rsid w:val="006C079A"/>
    <w:rsid w:val="006C0D90"/>
    <w:rsid w:val="006C5881"/>
    <w:rsid w:val="00700A53"/>
    <w:rsid w:val="00716549"/>
    <w:rsid w:val="00720751"/>
    <w:rsid w:val="00724809"/>
    <w:rsid w:val="00734684"/>
    <w:rsid w:val="00734C3F"/>
    <w:rsid w:val="00735D6E"/>
    <w:rsid w:val="0073779E"/>
    <w:rsid w:val="00747470"/>
    <w:rsid w:val="00755262"/>
    <w:rsid w:val="007615EA"/>
    <w:rsid w:val="0076740A"/>
    <w:rsid w:val="00767CDF"/>
    <w:rsid w:val="00783C5B"/>
    <w:rsid w:val="007851D8"/>
    <w:rsid w:val="0079478C"/>
    <w:rsid w:val="007A0C00"/>
    <w:rsid w:val="007C1E53"/>
    <w:rsid w:val="007C6AF2"/>
    <w:rsid w:val="007D3450"/>
    <w:rsid w:val="007D4C18"/>
    <w:rsid w:val="007D60C7"/>
    <w:rsid w:val="007E2329"/>
    <w:rsid w:val="007F31DF"/>
    <w:rsid w:val="008040A4"/>
    <w:rsid w:val="00806F7C"/>
    <w:rsid w:val="00840101"/>
    <w:rsid w:val="00841436"/>
    <w:rsid w:val="00860A96"/>
    <w:rsid w:val="0086677C"/>
    <w:rsid w:val="00870FE2"/>
    <w:rsid w:val="0087661A"/>
    <w:rsid w:val="00892E65"/>
    <w:rsid w:val="008A4427"/>
    <w:rsid w:val="008A61A8"/>
    <w:rsid w:val="008A73EA"/>
    <w:rsid w:val="008B4580"/>
    <w:rsid w:val="008B4B10"/>
    <w:rsid w:val="008B6062"/>
    <w:rsid w:val="008C4E35"/>
    <w:rsid w:val="009078D0"/>
    <w:rsid w:val="009123E5"/>
    <w:rsid w:val="00930941"/>
    <w:rsid w:val="00933647"/>
    <w:rsid w:val="0094040B"/>
    <w:rsid w:val="00944D2A"/>
    <w:rsid w:val="00960C3E"/>
    <w:rsid w:val="00980835"/>
    <w:rsid w:val="0098105B"/>
    <w:rsid w:val="0099087D"/>
    <w:rsid w:val="00991465"/>
    <w:rsid w:val="009A747D"/>
    <w:rsid w:val="009C0207"/>
    <w:rsid w:val="009D04B7"/>
    <w:rsid w:val="009D5F4F"/>
    <w:rsid w:val="009D6ECC"/>
    <w:rsid w:val="009E4233"/>
    <w:rsid w:val="009F063F"/>
    <w:rsid w:val="009F61F0"/>
    <w:rsid w:val="00A00717"/>
    <w:rsid w:val="00A0116E"/>
    <w:rsid w:val="00A0738E"/>
    <w:rsid w:val="00A149F7"/>
    <w:rsid w:val="00A15BD2"/>
    <w:rsid w:val="00A23360"/>
    <w:rsid w:val="00A45820"/>
    <w:rsid w:val="00A542A5"/>
    <w:rsid w:val="00A641D9"/>
    <w:rsid w:val="00A751EF"/>
    <w:rsid w:val="00A75AEF"/>
    <w:rsid w:val="00A77DB1"/>
    <w:rsid w:val="00A9768A"/>
    <w:rsid w:val="00AC0522"/>
    <w:rsid w:val="00AF416F"/>
    <w:rsid w:val="00AF4C05"/>
    <w:rsid w:val="00B06D22"/>
    <w:rsid w:val="00B072D2"/>
    <w:rsid w:val="00B106C0"/>
    <w:rsid w:val="00B372B2"/>
    <w:rsid w:val="00B542C5"/>
    <w:rsid w:val="00B56DCB"/>
    <w:rsid w:val="00B630FB"/>
    <w:rsid w:val="00B92E2B"/>
    <w:rsid w:val="00BA6120"/>
    <w:rsid w:val="00BD1C7E"/>
    <w:rsid w:val="00BD1EB4"/>
    <w:rsid w:val="00BD6DA6"/>
    <w:rsid w:val="00C01185"/>
    <w:rsid w:val="00C21540"/>
    <w:rsid w:val="00C25234"/>
    <w:rsid w:val="00C27644"/>
    <w:rsid w:val="00C30353"/>
    <w:rsid w:val="00C31874"/>
    <w:rsid w:val="00C547E0"/>
    <w:rsid w:val="00C70FE6"/>
    <w:rsid w:val="00C82BC6"/>
    <w:rsid w:val="00CC4E29"/>
    <w:rsid w:val="00D014F3"/>
    <w:rsid w:val="00D031B3"/>
    <w:rsid w:val="00D07D02"/>
    <w:rsid w:val="00D27253"/>
    <w:rsid w:val="00D310F2"/>
    <w:rsid w:val="00D52189"/>
    <w:rsid w:val="00D66310"/>
    <w:rsid w:val="00D87139"/>
    <w:rsid w:val="00D91688"/>
    <w:rsid w:val="00DA3D8A"/>
    <w:rsid w:val="00DB0759"/>
    <w:rsid w:val="00DE7845"/>
    <w:rsid w:val="00E10094"/>
    <w:rsid w:val="00E40996"/>
    <w:rsid w:val="00E41560"/>
    <w:rsid w:val="00E7660D"/>
    <w:rsid w:val="00E83973"/>
    <w:rsid w:val="00E856AD"/>
    <w:rsid w:val="00E919C7"/>
    <w:rsid w:val="00EB4758"/>
    <w:rsid w:val="00EB7DD3"/>
    <w:rsid w:val="00EC0476"/>
    <w:rsid w:val="00EC0EA0"/>
    <w:rsid w:val="00EC32DD"/>
    <w:rsid w:val="00EC4E11"/>
    <w:rsid w:val="00EF227E"/>
    <w:rsid w:val="00F010A5"/>
    <w:rsid w:val="00F17FC8"/>
    <w:rsid w:val="00F30C88"/>
    <w:rsid w:val="00F40BBC"/>
    <w:rsid w:val="00F41BF5"/>
    <w:rsid w:val="00F44638"/>
    <w:rsid w:val="00F737B4"/>
    <w:rsid w:val="00F826B1"/>
    <w:rsid w:val="00F83853"/>
    <w:rsid w:val="00F9452F"/>
    <w:rsid w:val="00FA3944"/>
    <w:rsid w:val="00FB3023"/>
    <w:rsid w:val="00FB6D4C"/>
    <w:rsid w:val="00FC1346"/>
    <w:rsid w:val="00FC2D3C"/>
    <w:rsid w:val="00FE0DF1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E1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04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04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42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KW">
    <w:name w:val="ABKW"/>
    <w:basedOn w:val="Normal"/>
    <w:rsid w:val="00291546"/>
    <w:pPr>
      <w:spacing w:before="120" w:after="120"/>
    </w:pPr>
  </w:style>
  <w:style w:type="paragraph" w:customStyle="1" w:styleId="ABKWH">
    <w:name w:val="ABKWH"/>
    <w:basedOn w:val="Normal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Normal"/>
    <w:rsid w:val="0079478C"/>
    <w:pPr>
      <w:spacing w:before="120" w:after="120"/>
    </w:pPr>
  </w:style>
  <w:style w:type="paragraph" w:customStyle="1" w:styleId="AN">
    <w:name w:val="AN"/>
    <w:basedOn w:val="Normal"/>
    <w:rsid w:val="00416AAC"/>
  </w:style>
  <w:style w:type="paragraph" w:customStyle="1" w:styleId="AS">
    <w:name w:val="AS"/>
    <w:basedOn w:val="Normal"/>
    <w:rsid w:val="00734684"/>
    <w:rPr>
      <w:color w:val="4BACC6" w:themeColor="accent5"/>
      <w:sz w:val="36"/>
    </w:rPr>
  </w:style>
  <w:style w:type="paragraph" w:customStyle="1" w:styleId="AT">
    <w:name w:val="AT"/>
    <w:basedOn w:val="Normal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Normal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Normal"/>
    <w:rsid w:val="001463EE"/>
    <w:rPr>
      <w:color w:val="666633"/>
    </w:rPr>
  </w:style>
  <w:style w:type="paragraph" w:customStyle="1" w:styleId="BRA">
    <w:name w:val="BRA"/>
    <w:basedOn w:val="Normal"/>
    <w:rsid w:val="00416AAC"/>
  </w:style>
  <w:style w:type="paragraph" w:customStyle="1" w:styleId="BRAF">
    <w:name w:val="BRAF"/>
    <w:basedOn w:val="Normal"/>
    <w:rsid w:val="00416AAC"/>
  </w:style>
  <w:style w:type="paragraph" w:customStyle="1" w:styleId="BRD">
    <w:name w:val="BRD"/>
    <w:basedOn w:val="Normal"/>
    <w:rsid w:val="00416AAC"/>
  </w:style>
  <w:style w:type="paragraph" w:customStyle="1" w:styleId="BRE">
    <w:name w:val="BRE"/>
    <w:basedOn w:val="Normal"/>
    <w:rsid w:val="00416AAC"/>
  </w:style>
  <w:style w:type="paragraph" w:customStyle="1" w:styleId="BRREF">
    <w:name w:val="BRREF"/>
    <w:basedOn w:val="Normal"/>
    <w:rsid w:val="00416AAC"/>
  </w:style>
  <w:style w:type="paragraph" w:customStyle="1" w:styleId="BRT">
    <w:name w:val="BRT"/>
    <w:basedOn w:val="Normal"/>
    <w:rsid w:val="00416AAC"/>
  </w:style>
  <w:style w:type="paragraph" w:customStyle="1" w:styleId="BRTI">
    <w:name w:val="BRTI"/>
    <w:basedOn w:val="Normal"/>
    <w:rsid w:val="00416AAC"/>
  </w:style>
  <w:style w:type="paragraph" w:customStyle="1" w:styleId="CL">
    <w:name w:val="CL"/>
    <w:basedOn w:val="Normal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Normal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Normal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Normal"/>
    <w:rsid w:val="00416AAC"/>
  </w:style>
  <w:style w:type="paragraph" w:customStyle="1" w:styleId="DR">
    <w:name w:val="DR"/>
    <w:basedOn w:val="Normal"/>
    <w:rsid w:val="00416AAC"/>
  </w:style>
  <w:style w:type="paragraph" w:customStyle="1" w:styleId="EH">
    <w:name w:val="EH"/>
    <w:basedOn w:val="Normal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Normal"/>
    <w:rsid w:val="00416AAC"/>
  </w:style>
  <w:style w:type="paragraph" w:customStyle="1" w:styleId="EQ">
    <w:name w:val="EQ"/>
    <w:basedOn w:val="Normal"/>
    <w:rsid w:val="00416AAC"/>
  </w:style>
  <w:style w:type="paragraph" w:customStyle="1" w:styleId="EX">
    <w:name w:val="EX"/>
    <w:basedOn w:val="Normal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Normal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Normal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Normal"/>
    <w:rsid w:val="003A087C"/>
    <w:rPr>
      <w:color w:val="007434"/>
      <w:sz w:val="28"/>
    </w:rPr>
  </w:style>
  <w:style w:type="paragraph" w:customStyle="1" w:styleId="H4">
    <w:name w:val="H4"/>
    <w:basedOn w:val="Normal"/>
    <w:rsid w:val="002C362F"/>
    <w:rPr>
      <w:color w:val="3C2D65"/>
    </w:rPr>
  </w:style>
  <w:style w:type="paragraph" w:customStyle="1" w:styleId="H4IN">
    <w:name w:val="H4 IN"/>
    <w:basedOn w:val="Normal"/>
    <w:rsid w:val="00EF227E"/>
    <w:rPr>
      <w:color w:val="FF0000"/>
    </w:rPr>
  </w:style>
  <w:style w:type="paragraph" w:customStyle="1" w:styleId="IN">
    <w:name w:val="IN"/>
    <w:basedOn w:val="Normal"/>
    <w:rsid w:val="00416AAC"/>
  </w:style>
  <w:style w:type="paragraph" w:customStyle="1" w:styleId="INFL">
    <w:name w:val="IN FL"/>
    <w:basedOn w:val="Normal"/>
    <w:rsid w:val="00416AAC"/>
  </w:style>
  <w:style w:type="paragraph" w:customStyle="1" w:styleId="ML">
    <w:name w:val="ML"/>
    <w:basedOn w:val="Normal"/>
    <w:rsid w:val="00416AAC"/>
  </w:style>
  <w:style w:type="paragraph" w:customStyle="1" w:styleId="NL">
    <w:name w:val="NL"/>
    <w:basedOn w:val="Normal"/>
    <w:rsid w:val="001463EE"/>
    <w:rPr>
      <w:color w:val="666633"/>
    </w:rPr>
  </w:style>
  <w:style w:type="paragraph" w:customStyle="1" w:styleId="NNUM">
    <w:name w:val="NNUM"/>
    <w:basedOn w:val="Normal"/>
    <w:rsid w:val="00416AAC"/>
  </w:style>
  <w:style w:type="paragraph" w:customStyle="1" w:styleId="OPIN">
    <w:name w:val="OP IN"/>
    <w:basedOn w:val="Normal"/>
    <w:rsid w:val="00416AAC"/>
  </w:style>
  <w:style w:type="paragraph" w:customStyle="1" w:styleId="OQ">
    <w:name w:val="OQ"/>
    <w:basedOn w:val="Normal"/>
    <w:rsid w:val="00416AAC"/>
  </w:style>
  <w:style w:type="paragraph" w:customStyle="1" w:styleId="OUT">
    <w:name w:val="OUT"/>
    <w:basedOn w:val="Normal"/>
    <w:rsid w:val="00416AAC"/>
  </w:style>
  <w:style w:type="paragraph" w:customStyle="1" w:styleId="OUTFL">
    <w:name w:val="OUT FL"/>
    <w:basedOn w:val="Normal"/>
    <w:rsid w:val="00416AAC"/>
  </w:style>
  <w:style w:type="paragraph" w:customStyle="1" w:styleId="OUTIN">
    <w:name w:val="OUT IN"/>
    <w:basedOn w:val="Normal"/>
    <w:rsid w:val="00416AAC"/>
  </w:style>
  <w:style w:type="paragraph" w:customStyle="1" w:styleId="OUTINFL">
    <w:name w:val="OUT IN FL"/>
    <w:basedOn w:val="Normal"/>
    <w:rsid w:val="00416AAC"/>
  </w:style>
  <w:style w:type="paragraph" w:customStyle="1" w:styleId="PO">
    <w:name w:val="PO"/>
    <w:basedOn w:val="Normal"/>
    <w:rsid w:val="00416AAC"/>
  </w:style>
  <w:style w:type="paragraph" w:customStyle="1" w:styleId="PX">
    <w:name w:val="PX"/>
    <w:basedOn w:val="Normal"/>
    <w:rsid w:val="00416AAC"/>
  </w:style>
  <w:style w:type="paragraph" w:customStyle="1" w:styleId="QS">
    <w:name w:val="QS"/>
    <w:basedOn w:val="Normal"/>
    <w:rsid w:val="00416AAC"/>
  </w:style>
  <w:style w:type="paragraph" w:customStyle="1" w:styleId="REF">
    <w:name w:val="REF"/>
    <w:basedOn w:val="Normal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Normal"/>
    <w:rsid w:val="00416AAC"/>
  </w:style>
  <w:style w:type="paragraph" w:customStyle="1" w:styleId="SIAF">
    <w:name w:val="SI AF"/>
    <w:basedOn w:val="Normal"/>
    <w:rsid w:val="00416AAC"/>
  </w:style>
  <w:style w:type="paragraph" w:customStyle="1" w:styleId="TBL">
    <w:name w:val="TBL"/>
    <w:basedOn w:val="Normal"/>
    <w:rsid w:val="008B6062"/>
    <w:rPr>
      <w:color w:val="31849B"/>
    </w:rPr>
  </w:style>
  <w:style w:type="paragraph" w:customStyle="1" w:styleId="TCH">
    <w:name w:val="TCH"/>
    <w:basedOn w:val="Normal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Normal"/>
    <w:rsid w:val="00416AAC"/>
  </w:style>
  <w:style w:type="paragraph" w:customStyle="1" w:styleId="TEXTIND">
    <w:name w:val="TEXT IND"/>
    <w:basedOn w:val="Normal"/>
    <w:rsid w:val="004B6117"/>
    <w:pPr>
      <w:spacing w:before="240" w:after="240"/>
      <w:ind w:firstLine="720"/>
    </w:pPr>
  </w:style>
  <w:style w:type="paragraph" w:customStyle="1" w:styleId="TNL">
    <w:name w:val="TNL"/>
    <w:basedOn w:val="Normal"/>
    <w:rsid w:val="008B6062"/>
    <w:rPr>
      <w:color w:val="31849B"/>
    </w:rPr>
  </w:style>
  <w:style w:type="paragraph" w:customStyle="1" w:styleId="TT">
    <w:name w:val="TT"/>
    <w:basedOn w:val="Normal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Normal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Normal"/>
    <w:rsid w:val="001463EE"/>
    <w:rPr>
      <w:color w:val="666633"/>
    </w:rPr>
  </w:style>
  <w:style w:type="paragraph" w:customStyle="1" w:styleId="ULB">
    <w:name w:val="ULB"/>
    <w:basedOn w:val="Normal"/>
    <w:rsid w:val="00416AAC"/>
  </w:style>
  <w:style w:type="paragraph" w:customStyle="1" w:styleId="ULT">
    <w:name w:val="ULT"/>
    <w:basedOn w:val="Normal"/>
    <w:rsid w:val="00416AAC"/>
  </w:style>
  <w:style w:type="paragraph" w:customStyle="1" w:styleId="DOI">
    <w:name w:val="DOI"/>
    <w:basedOn w:val="Normal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Normal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Normal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DefaultParagraphFont"/>
    <w:rsid w:val="009078D0"/>
    <w:rPr>
      <w:color w:val="0000FF"/>
      <w:u w:val="single"/>
    </w:rPr>
  </w:style>
  <w:style w:type="paragraph" w:styleId="BodyText3">
    <w:name w:val="Body Text 3"/>
    <w:basedOn w:val="Normal"/>
    <w:link w:val="BodyText3Char"/>
    <w:rsid w:val="00F41BF5"/>
    <w:pPr>
      <w:tabs>
        <w:tab w:val="left" w:pos="720"/>
      </w:tabs>
      <w:spacing w:line="480" w:lineRule="auto"/>
      <w:ind w:right="-540"/>
    </w:pPr>
    <w:rPr>
      <w:rFonts w:ascii="Times" w:hAnsi="Times"/>
      <w:szCs w:val="20"/>
    </w:rPr>
  </w:style>
  <w:style w:type="character" w:customStyle="1" w:styleId="BodyText3Char">
    <w:name w:val="Body Text 3 Char"/>
    <w:basedOn w:val="DefaultParagraphFont"/>
    <w:link w:val="BodyText3"/>
    <w:rsid w:val="00F41BF5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F41BF5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41B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41BF5"/>
    <w:pPr>
      <w:ind w:left="720"/>
      <w:contextualSpacing/>
    </w:pPr>
    <w:rPr>
      <w:rFonts w:ascii="Arial" w:hAnsi="Arial"/>
      <w:sz w:val="22"/>
      <w:lang w:val="en-GB"/>
    </w:rPr>
  </w:style>
  <w:style w:type="character" w:customStyle="1" w:styleId="Title1">
    <w:name w:val="Title1"/>
    <w:basedOn w:val="DefaultParagraphFont"/>
    <w:rsid w:val="00F41BF5"/>
  </w:style>
  <w:style w:type="paragraph" w:styleId="Header">
    <w:name w:val="header"/>
    <w:basedOn w:val="Normal"/>
    <w:link w:val="HeaderChar"/>
    <w:unhideWhenUsed/>
    <w:rsid w:val="00624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7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4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476D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D07D02"/>
  </w:style>
  <w:style w:type="character" w:customStyle="1" w:styleId="Heading1Char">
    <w:name w:val="Heading 1 Char"/>
    <w:basedOn w:val="DefaultParagraphFont"/>
    <w:link w:val="Heading1"/>
    <w:rsid w:val="00604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4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42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1F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A73E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A73EA"/>
  </w:style>
  <w:style w:type="character" w:customStyle="1" w:styleId="CommentTextChar">
    <w:name w:val="Comment Text Char"/>
    <w:basedOn w:val="DefaultParagraphFont"/>
    <w:link w:val="CommentText"/>
    <w:semiHidden/>
    <w:rsid w:val="008A73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3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A73E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A73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73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04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04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42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KW">
    <w:name w:val="ABKW"/>
    <w:basedOn w:val="Normal"/>
    <w:rsid w:val="00291546"/>
    <w:pPr>
      <w:spacing w:before="120" w:after="120"/>
    </w:pPr>
  </w:style>
  <w:style w:type="paragraph" w:customStyle="1" w:styleId="ABKWH">
    <w:name w:val="ABKWH"/>
    <w:basedOn w:val="Normal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Normal"/>
    <w:rsid w:val="0079478C"/>
    <w:pPr>
      <w:spacing w:before="120" w:after="120"/>
    </w:pPr>
  </w:style>
  <w:style w:type="paragraph" w:customStyle="1" w:styleId="AN">
    <w:name w:val="AN"/>
    <w:basedOn w:val="Normal"/>
    <w:rsid w:val="00416AAC"/>
  </w:style>
  <w:style w:type="paragraph" w:customStyle="1" w:styleId="AS">
    <w:name w:val="AS"/>
    <w:basedOn w:val="Normal"/>
    <w:rsid w:val="00734684"/>
    <w:rPr>
      <w:color w:val="4BACC6" w:themeColor="accent5"/>
      <w:sz w:val="36"/>
    </w:rPr>
  </w:style>
  <w:style w:type="paragraph" w:customStyle="1" w:styleId="AT">
    <w:name w:val="AT"/>
    <w:basedOn w:val="Normal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Normal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Normal"/>
    <w:rsid w:val="001463EE"/>
    <w:rPr>
      <w:color w:val="666633"/>
    </w:rPr>
  </w:style>
  <w:style w:type="paragraph" w:customStyle="1" w:styleId="BRA">
    <w:name w:val="BRA"/>
    <w:basedOn w:val="Normal"/>
    <w:rsid w:val="00416AAC"/>
  </w:style>
  <w:style w:type="paragraph" w:customStyle="1" w:styleId="BRAF">
    <w:name w:val="BRAF"/>
    <w:basedOn w:val="Normal"/>
    <w:rsid w:val="00416AAC"/>
  </w:style>
  <w:style w:type="paragraph" w:customStyle="1" w:styleId="BRD">
    <w:name w:val="BRD"/>
    <w:basedOn w:val="Normal"/>
    <w:rsid w:val="00416AAC"/>
  </w:style>
  <w:style w:type="paragraph" w:customStyle="1" w:styleId="BRE">
    <w:name w:val="BRE"/>
    <w:basedOn w:val="Normal"/>
    <w:rsid w:val="00416AAC"/>
  </w:style>
  <w:style w:type="paragraph" w:customStyle="1" w:styleId="BRREF">
    <w:name w:val="BRREF"/>
    <w:basedOn w:val="Normal"/>
    <w:rsid w:val="00416AAC"/>
  </w:style>
  <w:style w:type="paragraph" w:customStyle="1" w:styleId="BRT">
    <w:name w:val="BRT"/>
    <w:basedOn w:val="Normal"/>
    <w:rsid w:val="00416AAC"/>
  </w:style>
  <w:style w:type="paragraph" w:customStyle="1" w:styleId="BRTI">
    <w:name w:val="BRTI"/>
    <w:basedOn w:val="Normal"/>
    <w:rsid w:val="00416AAC"/>
  </w:style>
  <w:style w:type="paragraph" w:customStyle="1" w:styleId="CL">
    <w:name w:val="CL"/>
    <w:basedOn w:val="Normal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Normal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Normal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Normal"/>
    <w:rsid w:val="00416AAC"/>
  </w:style>
  <w:style w:type="paragraph" w:customStyle="1" w:styleId="DR">
    <w:name w:val="DR"/>
    <w:basedOn w:val="Normal"/>
    <w:rsid w:val="00416AAC"/>
  </w:style>
  <w:style w:type="paragraph" w:customStyle="1" w:styleId="EH">
    <w:name w:val="EH"/>
    <w:basedOn w:val="Normal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Normal"/>
    <w:rsid w:val="00416AAC"/>
  </w:style>
  <w:style w:type="paragraph" w:customStyle="1" w:styleId="EQ">
    <w:name w:val="EQ"/>
    <w:basedOn w:val="Normal"/>
    <w:rsid w:val="00416AAC"/>
  </w:style>
  <w:style w:type="paragraph" w:customStyle="1" w:styleId="EX">
    <w:name w:val="EX"/>
    <w:basedOn w:val="Normal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Normal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Normal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Normal"/>
    <w:rsid w:val="003A087C"/>
    <w:rPr>
      <w:color w:val="007434"/>
      <w:sz w:val="28"/>
    </w:rPr>
  </w:style>
  <w:style w:type="paragraph" w:customStyle="1" w:styleId="H4">
    <w:name w:val="H4"/>
    <w:basedOn w:val="Normal"/>
    <w:rsid w:val="002C362F"/>
    <w:rPr>
      <w:color w:val="3C2D65"/>
    </w:rPr>
  </w:style>
  <w:style w:type="paragraph" w:customStyle="1" w:styleId="H4IN">
    <w:name w:val="H4 IN"/>
    <w:basedOn w:val="Normal"/>
    <w:rsid w:val="00EF227E"/>
    <w:rPr>
      <w:color w:val="FF0000"/>
    </w:rPr>
  </w:style>
  <w:style w:type="paragraph" w:customStyle="1" w:styleId="IN">
    <w:name w:val="IN"/>
    <w:basedOn w:val="Normal"/>
    <w:rsid w:val="00416AAC"/>
  </w:style>
  <w:style w:type="paragraph" w:customStyle="1" w:styleId="INFL">
    <w:name w:val="IN FL"/>
    <w:basedOn w:val="Normal"/>
    <w:rsid w:val="00416AAC"/>
  </w:style>
  <w:style w:type="paragraph" w:customStyle="1" w:styleId="ML">
    <w:name w:val="ML"/>
    <w:basedOn w:val="Normal"/>
    <w:rsid w:val="00416AAC"/>
  </w:style>
  <w:style w:type="paragraph" w:customStyle="1" w:styleId="NL">
    <w:name w:val="NL"/>
    <w:basedOn w:val="Normal"/>
    <w:rsid w:val="001463EE"/>
    <w:rPr>
      <w:color w:val="666633"/>
    </w:rPr>
  </w:style>
  <w:style w:type="paragraph" w:customStyle="1" w:styleId="NNUM">
    <w:name w:val="NNUM"/>
    <w:basedOn w:val="Normal"/>
    <w:rsid w:val="00416AAC"/>
  </w:style>
  <w:style w:type="paragraph" w:customStyle="1" w:styleId="OPIN">
    <w:name w:val="OP IN"/>
    <w:basedOn w:val="Normal"/>
    <w:rsid w:val="00416AAC"/>
  </w:style>
  <w:style w:type="paragraph" w:customStyle="1" w:styleId="OQ">
    <w:name w:val="OQ"/>
    <w:basedOn w:val="Normal"/>
    <w:rsid w:val="00416AAC"/>
  </w:style>
  <w:style w:type="paragraph" w:customStyle="1" w:styleId="OUT">
    <w:name w:val="OUT"/>
    <w:basedOn w:val="Normal"/>
    <w:rsid w:val="00416AAC"/>
  </w:style>
  <w:style w:type="paragraph" w:customStyle="1" w:styleId="OUTFL">
    <w:name w:val="OUT FL"/>
    <w:basedOn w:val="Normal"/>
    <w:rsid w:val="00416AAC"/>
  </w:style>
  <w:style w:type="paragraph" w:customStyle="1" w:styleId="OUTIN">
    <w:name w:val="OUT IN"/>
    <w:basedOn w:val="Normal"/>
    <w:rsid w:val="00416AAC"/>
  </w:style>
  <w:style w:type="paragraph" w:customStyle="1" w:styleId="OUTINFL">
    <w:name w:val="OUT IN FL"/>
    <w:basedOn w:val="Normal"/>
    <w:rsid w:val="00416AAC"/>
  </w:style>
  <w:style w:type="paragraph" w:customStyle="1" w:styleId="PO">
    <w:name w:val="PO"/>
    <w:basedOn w:val="Normal"/>
    <w:rsid w:val="00416AAC"/>
  </w:style>
  <w:style w:type="paragraph" w:customStyle="1" w:styleId="PX">
    <w:name w:val="PX"/>
    <w:basedOn w:val="Normal"/>
    <w:rsid w:val="00416AAC"/>
  </w:style>
  <w:style w:type="paragraph" w:customStyle="1" w:styleId="QS">
    <w:name w:val="QS"/>
    <w:basedOn w:val="Normal"/>
    <w:rsid w:val="00416AAC"/>
  </w:style>
  <w:style w:type="paragraph" w:customStyle="1" w:styleId="REF">
    <w:name w:val="REF"/>
    <w:basedOn w:val="Normal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Normal"/>
    <w:rsid w:val="00416AAC"/>
  </w:style>
  <w:style w:type="paragraph" w:customStyle="1" w:styleId="SIAF">
    <w:name w:val="SI AF"/>
    <w:basedOn w:val="Normal"/>
    <w:rsid w:val="00416AAC"/>
  </w:style>
  <w:style w:type="paragraph" w:customStyle="1" w:styleId="TBL">
    <w:name w:val="TBL"/>
    <w:basedOn w:val="Normal"/>
    <w:rsid w:val="008B6062"/>
    <w:rPr>
      <w:color w:val="31849B"/>
    </w:rPr>
  </w:style>
  <w:style w:type="paragraph" w:customStyle="1" w:styleId="TCH">
    <w:name w:val="TCH"/>
    <w:basedOn w:val="Normal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Normal"/>
    <w:rsid w:val="00416AAC"/>
  </w:style>
  <w:style w:type="paragraph" w:customStyle="1" w:styleId="TEXTIND">
    <w:name w:val="TEXT IND"/>
    <w:basedOn w:val="Normal"/>
    <w:rsid w:val="004B6117"/>
    <w:pPr>
      <w:spacing w:before="240" w:after="240"/>
      <w:ind w:firstLine="720"/>
    </w:pPr>
  </w:style>
  <w:style w:type="paragraph" w:customStyle="1" w:styleId="TNL">
    <w:name w:val="TNL"/>
    <w:basedOn w:val="Normal"/>
    <w:rsid w:val="008B6062"/>
    <w:rPr>
      <w:color w:val="31849B"/>
    </w:rPr>
  </w:style>
  <w:style w:type="paragraph" w:customStyle="1" w:styleId="TT">
    <w:name w:val="TT"/>
    <w:basedOn w:val="Normal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Normal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Normal"/>
    <w:rsid w:val="001463EE"/>
    <w:rPr>
      <w:color w:val="666633"/>
    </w:rPr>
  </w:style>
  <w:style w:type="paragraph" w:customStyle="1" w:styleId="ULB">
    <w:name w:val="ULB"/>
    <w:basedOn w:val="Normal"/>
    <w:rsid w:val="00416AAC"/>
  </w:style>
  <w:style w:type="paragraph" w:customStyle="1" w:styleId="ULT">
    <w:name w:val="ULT"/>
    <w:basedOn w:val="Normal"/>
    <w:rsid w:val="00416AAC"/>
  </w:style>
  <w:style w:type="paragraph" w:customStyle="1" w:styleId="DOI">
    <w:name w:val="DOI"/>
    <w:basedOn w:val="Normal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Normal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Normal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DefaultParagraphFont"/>
    <w:rsid w:val="009078D0"/>
    <w:rPr>
      <w:color w:val="0000FF"/>
      <w:u w:val="single"/>
    </w:rPr>
  </w:style>
  <w:style w:type="paragraph" w:styleId="BodyText3">
    <w:name w:val="Body Text 3"/>
    <w:basedOn w:val="Normal"/>
    <w:link w:val="BodyText3Char"/>
    <w:rsid w:val="00F41BF5"/>
    <w:pPr>
      <w:tabs>
        <w:tab w:val="left" w:pos="720"/>
      </w:tabs>
      <w:spacing w:line="480" w:lineRule="auto"/>
      <w:ind w:right="-540"/>
    </w:pPr>
    <w:rPr>
      <w:rFonts w:ascii="Times" w:hAnsi="Times"/>
      <w:szCs w:val="20"/>
    </w:rPr>
  </w:style>
  <w:style w:type="character" w:customStyle="1" w:styleId="BodyText3Char">
    <w:name w:val="Body Text 3 Char"/>
    <w:basedOn w:val="DefaultParagraphFont"/>
    <w:link w:val="BodyText3"/>
    <w:rsid w:val="00F41BF5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F41BF5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41B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41BF5"/>
    <w:pPr>
      <w:ind w:left="720"/>
      <w:contextualSpacing/>
    </w:pPr>
    <w:rPr>
      <w:rFonts w:ascii="Arial" w:hAnsi="Arial"/>
      <w:sz w:val="22"/>
      <w:lang w:val="en-GB"/>
    </w:rPr>
  </w:style>
  <w:style w:type="character" w:customStyle="1" w:styleId="Title1">
    <w:name w:val="Title1"/>
    <w:basedOn w:val="DefaultParagraphFont"/>
    <w:rsid w:val="00F41BF5"/>
  </w:style>
  <w:style w:type="paragraph" w:styleId="Header">
    <w:name w:val="header"/>
    <w:basedOn w:val="Normal"/>
    <w:link w:val="HeaderChar"/>
    <w:unhideWhenUsed/>
    <w:rsid w:val="00624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7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4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476D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D07D02"/>
  </w:style>
  <w:style w:type="character" w:customStyle="1" w:styleId="Heading1Char">
    <w:name w:val="Heading 1 Char"/>
    <w:basedOn w:val="DefaultParagraphFont"/>
    <w:link w:val="Heading1"/>
    <w:rsid w:val="00604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4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42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1F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A73E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A73EA"/>
  </w:style>
  <w:style w:type="character" w:customStyle="1" w:styleId="CommentTextChar">
    <w:name w:val="Comment Text Char"/>
    <w:basedOn w:val="DefaultParagraphFont"/>
    <w:link w:val="CommentText"/>
    <w:semiHidden/>
    <w:rsid w:val="008A73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3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A73E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A73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7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\\Users\stefankucerak\Documents\Final%20Year\Second%20Semester\Research%20Paper\Morley\Morley%20Data%20(2%20Phases).xlsx" TargetMode="Externa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\\Users\stefankucerak\Documents\Final%20Year\Second%20Semester\Research%20Paper\Morley\Morley%20Data%20(2%20Phases).xlsx" TargetMode="External"/><Relationship Id="rId4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'Graphs (Ave. &amp; Point of Change)'!$C$1:$C$2</c:f>
              <c:strCache>
                <c:ptCount val="2"/>
                <c:pt idx="0">
                  <c:v>RF terms as a proportion of caseload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2"/>
            <c:bubble3D val="0"/>
            <c:spPr>
              <a:ln w="12700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4C-474C-8CBD-02F64456A9E7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04C-474C-8CBD-02F64456A9E7}"/>
              </c:ext>
            </c:extLst>
          </c:dPt>
          <c:cat>
            <c:multiLvlStrRef>
              <c:f>'Graphs (Ave. &amp; Point of Change)'!$A$3:$B$7</c:f>
              <c:multiLvlStrCache>
                <c:ptCount val="5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T5</c:v>
                  </c:pt>
                </c:lvl>
                <c:lvl>
                  <c:pt idx="0">
                    <c:v>Baseline</c:v>
                  </c:pt>
                  <c:pt idx="2">
                    <c:v>Intervention</c:v>
                  </c:pt>
                </c:lvl>
              </c:multiLvlStrCache>
            </c:multiLvlStrRef>
          </c:cat>
          <c:val>
            <c:numRef>
              <c:f>'Graphs (Ave. &amp; Point of Change)'!$C$3:$C$7</c:f>
              <c:numCache>
                <c:formatCode>General</c:formatCode>
                <c:ptCount val="5"/>
                <c:pt idx="0">
                  <c:v>10.16</c:v>
                </c:pt>
                <c:pt idx="1">
                  <c:v>11.12</c:v>
                </c:pt>
                <c:pt idx="2">
                  <c:v>15.15</c:v>
                </c:pt>
                <c:pt idx="3">
                  <c:v>8.7200000000000006</c:v>
                </c:pt>
                <c:pt idx="4">
                  <c:v>10.39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04C-474C-8CBD-02F64456A9E7}"/>
            </c:ext>
          </c:extLst>
        </c:ser>
        <c:ser>
          <c:idx val="1"/>
          <c:order val="1"/>
          <c:tx>
            <c:strRef>
              <c:f>'Graphs (Ave. &amp; Point of Change)'!$D$1:$D$2</c:f>
              <c:strCache>
                <c:ptCount val="2"/>
                <c:pt idx="0">
                  <c:v>RF terms as a proportion of caseload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dPt>
            <c:idx val="2"/>
            <c:bubble3D val="0"/>
            <c:spPr>
              <a:ln w="12700" cap="rnd">
                <a:noFill/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04C-474C-8CBD-02F64456A9E7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C04C-474C-8CBD-02F64456A9E7}"/>
              </c:ext>
            </c:extLst>
          </c:dPt>
          <c:dPt>
            <c:idx val="4"/>
            <c:bubble3D val="0"/>
            <c:spPr>
              <a:ln w="12700" cap="rnd">
                <a:noFill/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04C-474C-8CBD-02F64456A9E7}"/>
              </c:ext>
            </c:extLst>
          </c:dPt>
          <c:cat>
            <c:multiLvlStrRef>
              <c:f>'Graphs (Ave. &amp; Point of Change)'!$A$3:$B$7</c:f>
              <c:multiLvlStrCache>
                <c:ptCount val="5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T5</c:v>
                  </c:pt>
                </c:lvl>
                <c:lvl>
                  <c:pt idx="0">
                    <c:v>Baseline</c:v>
                  </c:pt>
                  <c:pt idx="2">
                    <c:v>Intervention</c:v>
                  </c:pt>
                </c:lvl>
              </c:multiLvlStrCache>
            </c:multiLvlStrRef>
          </c:cat>
          <c:val>
            <c:numRef>
              <c:f>'Graphs (Ave. &amp; Point of Change)'!$D$3:$D$7</c:f>
              <c:numCache>
                <c:formatCode>General</c:formatCode>
                <c:ptCount val="5"/>
                <c:pt idx="0">
                  <c:v>10.64</c:v>
                </c:pt>
                <c:pt idx="1">
                  <c:v>10.64</c:v>
                </c:pt>
                <c:pt idx="2">
                  <c:v>11.42</c:v>
                </c:pt>
                <c:pt idx="3">
                  <c:v>11.42</c:v>
                </c:pt>
                <c:pt idx="4">
                  <c:v>11.42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04C-474C-8CBD-02F64456A9E7}"/>
            </c:ext>
          </c:extLst>
        </c:ser>
        <c:ser>
          <c:idx val="2"/>
          <c:order val="2"/>
          <c:tx>
            <c:strRef>
              <c:f>'Graphs (Ave. &amp; Point of Change)'!$E$1:$E$2</c:f>
              <c:strCache>
                <c:ptCount val="2"/>
                <c:pt idx="0">
                  <c:v>RF terms as a proportion of caseload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multiLvlStrRef>
              <c:f>'Graphs (Ave. &amp; Point of Change)'!$A$3:$B$7</c:f>
              <c:multiLvlStrCache>
                <c:ptCount val="5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T5</c:v>
                  </c:pt>
                </c:lvl>
                <c:lvl>
                  <c:pt idx="0">
                    <c:v>Baseline</c:v>
                  </c:pt>
                  <c:pt idx="2">
                    <c:v>Intervention</c:v>
                  </c:pt>
                </c:lvl>
              </c:multiLvlStrCache>
            </c:multiLvlStrRef>
          </c:cat>
          <c:val>
            <c:numRef>
              <c:f>'Graphs (Ave. &amp; Point of Change)'!$E$3:$E$7</c:f>
              <c:numCache>
                <c:formatCode>General</c:formatCode>
                <c:ptCount val="5"/>
                <c:pt idx="2">
                  <c:v>11.42</c:v>
                </c:pt>
                <c:pt idx="3">
                  <c:v>11.42</c:v>
                </c:pt>
                <c:pt idx="4">
                  <c:v>11.42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C04C-474C-8CBD-02F64456A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753344"/>
        <c:axId val="77763328"/>
      </c:lineChart>
      <c:catAx>
        <c:axId val="777533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763328"/>
        <c:crosses val="autoZero"/>
        <c:auto val="1"/>
        <c:lblAlgn val="ctr"/>
        <c:lblOffset val="100"/>
        <c:noMultiLvlLbl val="0"/>
      </c:catAx>
      <c:valAx>
        <c:axId val="777633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Term Frequency Count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75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066169360408907E-2"/>
          <c:y val="4.0582095856446301E-2"/>
          <c:w val="0.87681102362204699"/>
          <c:h val="0.73636504004971604"/>
        </c:manualLayout>
      </c:layout>
      <c:lineChart>
        <c:grouping val="standard"/>
        <c:varyColors val="0"/>
        <c:ser>
          <c:idx val="0"/>
          <c:order val="0"/>
          <c:tx>
            <c:strRef>
              <c:f>'Graphs (Ave. &amp; Point of Change)'!$C$25:$C$26</c:f>
              <c:strCache>
                <c:ptCount val="2"/>
                <c:pt idx="0">
                  <c:v>NRF as a proportion of caseload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2"/>
            <c:bubble3D val="0"/>
            <c:spPr>
              <a:ln w="12700" cap="rnd">
                <a:noFill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DB-2C4C-88FA-C67EE3419410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FDB-2C4C-88FA-C67EE3419410}"/>
              </c:ext>
            </c:extLst>
          </c:dPt>
          <c:cat>
            <c:multiLvlStrRef>
              <c:f>'Graphs (Ave. &amp; Point of Change)'!$A$27:$B$31</c:f>
              <c:multiLvlStrCache>
                <c:ptCount val="5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T5</c:v>
                  </c:pt>
                </c:lvl>
                <c:lvl>
                  <c:pt idx="0">
                    <c:v>Baseline</c:v>
                  </c:pt>
                  <c:pt idx="2">
                    <c:v>Intervention</c:v>
                  </c:pt>
                </c:lvl>
              </c:multiLvlStrCache>
            </c:multiLvlStrRef>
          </c:cat>
          <c:val>
            <c:numRef>
              <c:f>'Graphs (Ave. &amp; Point of Change)'!$C$27:$C$31</c:f>
              <c:numCache>
                <c:formatCode>General</c:formatCode>
                <c:ptCount val="5"/>
                <c:pt idx="0">
                  <c:v>8.8800000000000008</c:v>
                </c:pt>
                <c:pt idx="1">
                  <c:v>9.8700000000000028</c:v>
                </c:pt>
                <c:pt idx="2">
                  <c:v>11.15</c:v>
                </c:pt>
                <c:pt idx="3">
                  <c:v>7.79</c:v>
                </c:pt>
                <c:pt idx="4">
                  <c:v>8.7200000000000006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FDB-2C4C-88FA-C67EE3419410}"/>
            </c:ext>
          </c:extLst>
        </c:ser>
        <c:ser>
          <c:idx val="1"/>
          <c:order val="1"/>
          <c:tx>
            <c:strRef>
              <c:f>'Graphs (Ave. &amp; Point of Change)'!$D$25:$D$26</c:f>
              <c:strCache>
                <c:ptCount val="2"/>
                <c:pt idx="0">
                  <c:v>NRF as a proportion of caseload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dPt>
            <c:idx val="2"/>
            <c:bubble3D val="0"/>
            <c:spPr>
              <a:ln w="12700" cap="rnd">
                <a:noFill/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FDB-2C4C-88FA-C67EE3419410}"/>
              </c:ext>
            </c:extLst>
          </c:dPt>
          <c:dPt>
            <c:idx val="4"/>
            <c:bubble3D val="0"/>
            <c:spPr>
              <a:ln w="12700" cap="rnd">
                <a:noFill/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FFDB-2C4C-88FA-C67EE3419410}"/>
              </c:ext>
            </c:extLst>
          </c:dPt>
          <c:cat>
            <c:multiLvlStrRef>
              <c:f>'Graphs (Ave. &amp; Point of Change)'!$A$27:$B$31</c:f>
              <c:multiLvlStrCache>
                <c:ptCount val="5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T5</c:v>
                  </c:pt>
                </c:lvl>
                <c:lvl>
                  <c:pt idx="0">
                    <c:v>Baseline</c:v>
                  </c:pt>
                  <c:pt idx="2">
                    <c:v>Intervention</c:v>
                  </c:pt>
                </c:lvl>
              </c:multiLvlStrCache>
            </c:multiLvlStrRef>
          </c:cat>
          <c:val>
            <c:numRef>
              <c:f>'Graphs (Ave. &amp; Point of Change)'!$D$27:$D$31</c:f>
              <c:numCache>
                <c:formatCode>General</c:formatCode>
                <c:ptCount val="5"/>
                <c:pt idx="0">
                  <c:v>9.375</c:v>
                </c:pt>
                <c:pt idx="1">
                  <c:v>9.375</c:v>
                </c:pt>
                <c:pt idx="2">
                  <c:v>9.2200000000000006</c:v>
                </c:pt>
                <c:pt idx="3">
                  <c:v>9.2200000000000006</c:v>
                </c:pt>
                <c:pt idx="4">
                  <c:v>9.2200000000000006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FFDB-2C4C-88FA-C67EE3419410}"/>
            </c:ext>
          </c:extLst>
        </c:ser>
        <c:ser>
          <c:idx val="2"/>
          <c:order val="2"/>
          <c:tx>
            <c:strRef>
              <c:f>'Graphs (Ave. &amp; Point of Change)'!$E$25:$E$26</c:f>
              <c:strCache>
                <c:ptCount val="2"/>
                <c:pt idx="0">
                  <c:v>NRF as a proportion of caseload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multiLvlStrRef>
              <c:f>'Graphs (Ave. &amp; Point of Change)'!$A$27:$B$31</c:f>
              <c:multiLvlStrCache>
                <c:ptCount val="5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T5</c:v>
                  </c:pt>
                </c:lvl>
                <c:lvl>
                  <c:pt idx="0">
                    <c:v>Baseline</c:v>
                  </c:pt>
                  <c:pt idx="2">
                    <c:v>Intervention</c:v>
                  </c:pt>
                </c:lvl>
              </c:multiLvlStrCache>
            </c:multiLvlStrRef>
          </c:cat>
          <c:val>
            <c:numRef>
              <c:f>'Graphs (Ave. &amp; Point of Change)'!$E$27:$E$31</c:f>
              <c:numCache>
                <c:formatCode>General</c:formatCode>
                <c:ptCount val="5"/>
                <c:pt idx="2">
                  <c:v>9.2200000000000006</c:v>
                </c:pt>
                <c:pt idx="3">
                  <c:v>9.2200000000000006</c:v>
                </c:pt>
                <c:pt idx="4">
                  <c:v>9.2200000000000006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FFDB-2C4C-88FA-C67EE3419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957824"/>
        <c:axId val="192963712"/>
      </c:lineChart>
      <c:catAx>
        <c:axId val="1929578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2963712"/>
        <c:crosses val="autoZero"/>
        <c:auto val="1"/>
        <c:lblAlgn val="ctr"/>
        <c:lblOffset val="100"/>
        <c:noMultiLvlLbl val="0"/>
      </c:catAx>
      <c:valAx>
        <c:axId val="192963712"/>
        <c:scaling>
          <c:orientation val="minMax"/>
          <c:max val="1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Term Frequency Count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295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0.36453</cdr:x>
      <cdr:y>0.2418</cdr:y>
    </cdr:from>
    <cdr:to>
      <cdr:x>0.38942</cdr:x>
      <cdr:y>0.31575</cdr:y>
    </cdr:to>
    <cdr:sp macro="" textlink="">
      <cdr:nvSpPr>
        <cdr:cNvPr id="2" name="Oval 1">
          <a:extLst xmlns:a="http://schemas.openxmlformats.org/drawingml/2006/main">
            <a:ext uri="{FF2B5EF4-FFF2-40B4-BE49-F238E27FC236}">
              <a16:creationId xmlns:a16="http://schemas.microsoft.com/office/drawing/2014/main" xmlns="" id="{B38D6980-A98B-EB49-AF9A-86BF089E4163}"/>
            </a:ext>
          </a:extLst>
        </cdr:cNvPr>
        <cdr:cNvSpPr/>
      </cdr:nvSpPr>
      <cdr:spPr>
        <a:xfrm xmlns:a="http://schemas.openxmlformats.org/drawingml/2006/main">
          <a:off x="2045795" y="870453"/>
          <a:ext cx="139686" cy="266206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2700">
          <a:solidFill>
            <a:srgbClr val="FF0000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0.53356</cdr:x>
      <cdr:y>0.04135</cdr:y>
    </cdr:from>
    <cdr:to>
      <cdr:x>0.55845</cdr:x>
      <cdr:y>0.11529</cdr:y>
    </cdr:to>
    <cdr:sp macro="" textlink="">
      <cdr:nvSpPr>
        <cdr:cNvPr id="3" name="Oval 2">
          <a:extLst xmlns:a="http://schemas.openxmlformats.org/drawingml/2006/main">
            <a:ext uri="{FF2B5EF4-FFF2-40B4-BE49-F238E27FC236}">
              <a16:creationId xmlns:a16="http://schemas.microsoft.com/office/drawing/2014/main" xmlns="" id="{009976EC-CE40-3E46-8ED9-816B0AF5660A}"/>
            </a:ext>
          </a:extLst>
        </cdr:cNvPr>
        <cdr:cNvSpPr/>
      </cdr:nvSpPr>
      <cdr:spPr>
        <a:xfrm xmlns:a="http://schemas.openxmlformats.org/drawingml/2006/main">
          <a:off x="2994427" y="148866"/>
          <a:ext cx="139686" cy="266171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2700">
          <a:solidFill>
            <a:srgbClr val="FF0000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0.46058</cdr:x>
      <cdr:y>0.01391</cdr:y>
    </cdr:from>
    <cdr:to>
      <cdr:x>0.46058</cdr:x>
      <cdr:y>0.75899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2584827" y="50069"/>
          <a:ext cx="0" cy="268215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0.34996</cdr:x>
      <cdr:y>0.2863</cdr:y>
    </cdr:from>
    <cdr:to>
      <cdr:x>0.37548</cdr:x>
      <cdr:y>0.36017</cdr:y>
    </cdr:to>
    <cdr:sp macro="" textlink="">
      <cdr:nvSpPr>
        <cdr:cNvPr id="2" name="Oval 1">
          <a:extLst xmlns:a="http://schemas.openxmlformats.org/drawingml/2006/main">
            <a:ext uri="{FF2B5EF4-FFF2-40B4-BE49-F238E27FC236}">
              <a16:creationId xmlns:a16="http://schemas.microsoft.com/office/drawing/2014/main" xmlns="" id="{009976EC-CE40-3E46-8ED9-816B0AF5660A}"/>
            </a:ext>
          </a:extLst>
        </cdr:cNvPr>
        <cdr:cNvSpPr/>
      </cdr:nvSpPr>
      <cdr:spPr>
        <a:xfrm xmlns:a="http://schemas.openxmlformats.org/drawingml/2006/main">
          <a:off x="1964034" y="1003188"/>
          <a:ext cx="143221" cy="25883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2700">
          <a:solidFill>
            <a:srgbClr val="FF0000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0.52518</cdr:x>
      <cdr:y>0.2262</cdr:y>
    </cdr:from>
    <cdr:to>
      <cdr:x>0.5507</cdr:x>
      <cdr:y>0.30007</cdr:y>
    </cdr:to>
    <cdr:sp macro="" textlink="">
      <cdr:nvSpPr>
        <cdr:cNvPr id="3" name="Oval 2">
          <a:extLst xmlns:a="http://schemas.openxmlformats.org/drawingml/2006/main">
            <a:ext uri="{FF2B5EF4-FFF2-40B4-BE49-F238E27FC236}">
              <a16:creationId xmlns:a16="http://schemas.microsoft.com/office/drawing/2014/main" xmlns="" id="{009976EC-CE40-3E46-8ED9-816B0AF5660A}"/>
            </a:ext>
          </a:extLst>
        </cdr:cNvPr>
        <cdr:cNvSpPr/>
      </cdr:nvSpPr>
      <cdr:spPr>
        <a:xfrm xmlns:a="http://schemas.openxmlformats.org/drawingml/2006/main">
          <a:off x="3121453" y="749507"/>
          <a:ext cx="151680" cy="244763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2700">
          <a:solidFill>
            <a:srgbClr val="FF0000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0.44856</cdr:x>
      <cdr:y>0.00953</cdr:y>
    </cdr:from>
    <cdr:to>
      <cdr:x>0.44856</cdr:x>
      <cdr:y>0.775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2666050" y="35351"/>
          <a:ext cx="0" cy="2840644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20384-53CC-4848-8C01-DD6AE606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template.dotx</Template>
  <TotalTime>1</TotalTime>
  <Pages>18</Pages>
  <Words>3461</Words>
  <Characters>19728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knt</cp:lastModifiedBy>
  <cp:revision>2</cp:revision>
  <dcterms:created xsi:type="dcterms:W3CDTF">2019-07-11T10:11:00Z</dcterms:created>
  <dcterms:modified xsi:type="dcterms:W3CDTF">2019-07-11T10:11:00Z</dcterms:modified>
</cp:coreProperties>
</file>