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D0F02" w14:textId="77777777" w:rsidR="008E2C20" w:rsidRPr="00FD794E" w:rsidRDefault="008E2C20" w:rsidP="008013AC">
      <w:pPr>
        <w:rPr>
          <w:b/>
          <w:sz w:val="28"/>
          <w:szCs w:val="28"/>
        </w:rPr>
      </w:pPr>
      <w:bookmarkStart w:id="0" w:name="_GoBack"/>
      <w:r>
        <w:rPr>
          <w:b/>
          <w:sz w:val="28"/>
          <w:szCs w:val="28"/>
        </w:rPr>
        <w:t xml:space="preserve">Association between </w:t>
      </w:r>
      <w:r w:rsidRPr="00FD794E">
        <w:rPr>
          <w:b/>
          <w:sz w:val="28"/>
          <w:szCs w:val="28"/>
        </w:rPr>
        <w:t xml:space="preserve">antibiotic exposure </w:t>
      </w:r>
      <w:r>
        <w:rPr>
          <w:b/>
          <w:sz w:val="28"/>
          <w:szCs w:val="28"/>
        </w:rPr>
        <w:t>and “response failure” for</w:t>
      </w:r>
      <w:r w:rsidR="00F24DE5">
        <w:rPr>
          <w:b/>
          <w:sz w:val="28"/>
          <w:szCs w:val="28"/>
        </w:rPr>
        <w:t xml:space="preserve"> </w:t>
      </w:r>
      <w:r>
        <w:rPr>
          <w:b/>
          <w:sz w:val="28"/>
          <w:szCs w:val="28"/>
        </w:rPr>
        <w:t xml:space="preserve">subsequent </w:t>
      </w:r>
      <w:r w:rsidRPr="00FD794E">
        <w:rPr>
          <w:b/>
          <w:sz w:val="28"/>
          <w:szCs w:val="28"/>
        </w:rPr>
        <w:t>respiratory tract infections</w:t>
      </w:r>
      <w:r>
        <w:rPr>
          <w:b/>
          <w:sz w:val="28"/>
          <w:szCs w:val="28"/>
        </w:rPr>
        <w:t xml:space="preserve"> in preschool children: an observational cohort study</w:t>
      </w:r>
    </w:p>
    <w:bookmarkEnd w:id="0"/>
    <w:p w14:paraId="4FE57D18" w14:textId="77777777" w:rsidR="008E2C20" w:rsidRDefault="008E2C20" w:rsidP="008013AC">
      <w:pPr>
        <w:rPr>
          <w:b/>
          <w:sz w:val="28"/>
          <w:szCs w:val="28"/>
        </w:rPr>
      </w:pPr>
    </w:p>
    <w:p w14:paraId="31FCD27E" w14:textId="77777777" w:rsidR="008E2C20" w:rsidRDefault="008E2C20" w:rsidP="008013AC">
      <w:pPr>
        <w:outlineLvl w:val="0"/>
        <w:rPr>
          <w:b/>
        </w:rPr>
      </w:pPr>
      <w:r w:rsidRPr="00E0106F">
        <w:rPr>
          <w:b/>
        </w:rPr>
        <w:t>Authors:</w:t>
      </w:r>
      <w:r>
        <w:rPr>
          <w:b/>
        </w:rPr>
        <w:t xml:space="preserve"> </w:t>
      </w:r>
    </w:p>
    <w:p w14:paraId="4B2409BC" w14:textId="77777777" w:rsidR="008E2C20" w:rsidRDefault="008E2C20" w:rsidP="008013AC">
      <w:pPr>
        <w:outlineLvl w:val="0"/>
        <w:rPr>
          <w:vertAlign w:val="superscript"/>
        </w:rPr>
      </w:pPr>
      <w:r>
        <w:rPr>
          <w:vertAlign w:val="superscript"/>
        </w:rPr>
        <w:t>1</w:t>
      </w:r>
      <w:r>
        <w:t>Oliver van Hecke</w:t>
      </w:r>
      <w:r w:rsidRPr="00FD794E">
        <w:t xml:space="preserve">, </w:t>
      </w:r>
      <w:r>
        <w:t>NIHR academic clinical lecturer, DPhil</w:t>
      </w:r>
      <w:r>
        <w:rPr>
          <w:vertAlign w:val="superscript"/>
        </w:rPr>
        <w:t xml:space="preserve"> </w:t>
      </w:r>
    </w:p>
    <w:p w14:paraId="40964298" w14:textId="77777777" w:rsidR="008E2C20" w:rsidRDefault="008E2C20" w:rsidP="008013AC">
      <w:pPr>
        <w:outlineLvl w:val="0"/>
      </w:pPr>
      <w:r>
        <w:rPr>
          <w:vertAlign w:val="superscript"/>
        </w:rPr>
        <w:t>1</w:t>
      </w:r>
      <w:r>
        <w:t>Alice Fuller</w:t>
      </w:r>
      <w:r w:rsidRPr="00FD794E">
        <w:t xml:space="preserve">, </w:t>
      </w:r>
      <w:r>
        <w:t>Research Officer, BSc</w:t>
      </w:r>
    </w:p>
    <w:p w14:paraId="5F859E21" w14:textId="77777777" w:rsidR="008E2C20" w:rsidRDefault="008E2C20" w:rsidP="008013AC">
      <w:pPr>
        <w:outlineLvl w:val="0"/>
      </w:pPr>
      <w:r>
        <w:rPr>
          <w:vertAlign w:val="superscript"/>
        </w:rPr>
        <w:t>1</w:t>
      </w:r>
      <w:r>
        <w:t>Clare Bankhead</w:t>
      </w:r>
      <w:r w:rsidRPr="00FD794E">
        <w:t xml:space="preserve">, </w:t>
      </w:r>
      <w:r>
        <w:t xml:space="preserve">Associate professor, DPhil  </w:t>
      </w:r>
    </w:p>
    <w:p w14:paraId="24103AD2" w14:textId="77777777" w:rsidR="008E2C20" w:rsidRDefault="008E2C20" w:rsidP="008013AC">
      <w:pPr>
        <w:outlineLvl w:val="0"/>
        <w:rPr>
          <w:vertAlign w:val="superscript"/>
        </w:rPr>
      </w:pPr>
      <w:r>
        <w:rPr>
          <w:vertAlign w:val="superscript"/>
        </w:rPr>
        <w:t>2</w:t>
      </w:r>
      <w:r>
        <w:t>Sara Jenkins-Jones</w:t>
      </w:r>
      <w:r w:rsidRPr="00FD794E">
        <w:t>,</w:t>
      </w:r>
      <w:r>
        <w:t xml:space="preserve"> Data manager, MSc</w:t>
      </w:r>
    </w:p>
    <w:p w14:paraId="1DAD542C" w14:textId="77777777" w:rsidR="008E2C20" w:rsidRDefault="003A302D" w:rsidP="008013AC">
      <w:pPr>
        <w:outlineLvl w:val="0"/>
      </w:pPr>
      <w:r>
        <w:rPr>
          <w:vertAlign w:val="superscript"/>
        </w:rPr>
        <w:t>c</w:t>
      </w:r>
      <w:r w:rsidR="008E2C20" w:rsidRPr="00FD794E">
        <w:t xml:space="preserve">, </w:t>
      </w:r>
      <w:r w:rsidR="008013AC">
        <w:t>Professor of primary care</w:t>
      </w:r>
      <w:r w:rsidR="008E2C20">
        <w:t>, PhD</w:t>
      </w:r>
    </w:p>
    <w:p w14:paraId="1D82D335" w14:textId="77777777" w:rsidR="008E2C20" w:rsidRDefault="008E2C20" w:rsidP="008013AC">
      <w:pPr>
        <w:outlineLvl w:val="0"/>
      </w:pPr>
      <w:r>
        <w:rPr>
          <w:vertAlign w:val="superscript"/>
        </w:rPr>
        <w:t>4</w:t>
      </w:r>
      <w:r w:rsidRPr="00FD794E">
        <w:t xml:space="preserve">Michael Moore, </w:t>
      </w:r>
      <w:r>
        <w:t>Professor of primary care, FRCGP</w:t>
      </w:r>
    </w:p>
    <w:p w14:paraId="3EED6D13" w14:textId="77777777" w:rsidR="008E2C20" w:rsidRDefault="008E2C20" w:rsidP="008013AC">
      <w:pPr>
        <w:outlineLvl w:val="0"/>
      </w:pPr>
      <w:r>
        <w:rPr>
          <w:vertAlign w:val="superscript"/>
        </w:rPr>
        <w:t>1</w:t>
      </w:r>
      <w:r>
        <w:t>Chris Butler</w:t>
      </w:r>
      <w:r w:rsidRPr="00FD794E">
        <w:t xml:space="preserve">, </w:t>
      </w:r>
      <w:r>
        <w:t>Professor of primary care, MD</w:t>
      </w:r>
    </w:p>
    <w:p w14:paraId="357E3D0E" w14:textId="77777777" w:rsidR="008E2C20" w:rsidRDefault="008E2C20" w:rsidP="008013AC">
      <w:pPr>
        <w:outlineLvl w:val="0"/>
        <w:rPr>
          <w:vertAlign w:val="superscript"/>
        </w:rPr>
      </w:pPr>
      <w:r>
        <w:rPr>
          <w:vertAlign w:val="superscript"/>
        </w:rPr>
        <w:t>1</w:t>
      </w:r>
      <w:r>
        <w:t xml:space="preserve">Kay Wang, </w:t>
      </w:r>
      <w:r w:rsidRPr="00991077">
        <w:t xml:space="preserve">NIHR </w:t>
      </w:r>
      <w:r>
        <w:t xml:space="preserve">postdoctoral fellow, DPhil </w:t>
      </w:r>
    </w:p>
    <w:p w14:paraId="46F9230B" w14:textId="77777777" w:rsidR="008E2C20" w:rsidRPr="00991077" w:rsidRDefault="008E2C20" w:rsidP="008013AC">
      <w:pPr>
        <w:outlineLvl w:val="0"/>
        <w:rPr>
          <w:vertAlign w:val="superscript"/>
        </w:rPr>
      </w:pPr>
    </w:p>
    <w:p w14:paraId="5EC2387B" w14:textId="77777777" w:rsidR="008E2C20" w:rsidRPr="00FD794E" w:rsidRDefault="008E2C20" w:rsidP="008013AC">
      <w:pPr>
        <w:outlineLvl w:val="0"/>
        <w:rPr>
          <w:b/>
        </w:rPr>
      </w:pPr>
      <w:r>
        <w:rPr>
          <w:b/>
        </w:rPr>
        <w:t>Author affiliations:</w:t>
      </w:r>
    </w:p>
    <w:p w14:paraId="5BFDBE91" w14:textId="77777777" w:rsidR="008E2C20" w:rsidRPr="00FD794E" w:rsidRDefault="008E2C20" w:rsidP="008013AC">
      <w:pPr>
        <w:outlineLvl w:val="0"/>
      </w:pPr>
      <w:r>
        <w:rPr>
          <w:vertAlign w:val="superscript"/>
        </w:rPr>
        <w:t>1</w:t>
      </w:r>
      <w:r w:rsidRPr="00FD794E">
        <w:t>Nuffield Department of Primary Health Care Sciences, University of Oxford</w:t>
      </w:r>
    </w:p>
    <w:p w14:paraId="3084B27E" w14:textId="77777777" w:rsidR="008E2C20" w:rsidRPr="00FD794E" w:rsidRDefault="008E2C20" w:rsidP="008013AC">
      <w:pPr>
        <w:outlineLvl w:val="0"/>
      </w:pPr>
      <w:r>
        <w:rPr>
          <w:vertAlign w:val="superscript"/>
        </w:rPr>
        <w:t>2</w:t>
      </w:r>
      <w:r w:rsidRPr="00FD794E">
        <w:t>Pharmatelligence, Cardiff</w:t>
      </w:r>
    </w:p>
    <w:p w14:paraId="6DC0623D" w14:textId="77777777" w:rsidR="008E2C20" w:rsidRPr="00FD794E" w:rsidRDefault="008E2C20" w:rsidP="008013AC">
      <w:pPr>
        <w:outlineLvl w:val="0"/>
      </w:pPr>
      <w:r>
        <w:rPr>
          <w:vertAlign w:val="superscript"/>
        </w:rPr>
        <w:t>3</w:t>
      </w:r>
      <w:r>
        <w:t xml:space="preserve">Division of Population Medicine, School of Medicine, </w:t>
      </w:r>
      <w:r w:rsidRPr="00FD794E">
        <w:t xml:space="preserve">Cardiff University </w:t>
      </w:r>
    </w:p>
    <w:p w14:paraId="0885AF88" w14:textId="77777777" w:rsidR="008E2C20" w:rsidRPr="00B757F7" w:rsidRDefault="008E2C20" w:rsidP="008013AC">
      <w:pPr>
        <w:outlineLvl w:val="0"/>
      </w:pPr>
      <w:r>
        <w:rPr>
          <w:vertAlign w:val="superscript"/>
        </w:rPr>
        <w:t>4</w:t>
      </w:r>
      <w:r w:rsidRPr="00FD794E">
        <w:t>Primary Care and Population Sciences, University of Southampton</w:t>
      </w:r>
    </w:p>
    <w:p w14:paraId="0BABA124" w14:textId="77777777" w:rsidR="008E2C20" w:rsidRPr="00F009F3" w:rsidRDefault="008E2C20" w:rsidP="008013AC">
      <w:pPr>
        <w:outlineLvl w:val="0"/>
      </w:pPr>
      <w:r w:rsidRPr="00F009F3">
        <w:t xml:space="preserve">Number of pages: </w:t>
      </w:r>
      <w:r>
        <w:t>24</w:t>
      </w:r>
    </w:p>
    <w:p w14:paraId="5251A669" w14:textId="77777777" w:rsidR="008E2C20" w:rsidRPr="00F009F3" w:rsidRDefault="008E2C20" w:rsidP="008013AC">
      <w:r w:rsidRPr="00A84E61">
        <w:t>Number of figures:  1</w:t>
      </w:r>
    </w:p>
    <w:p w14:paraId="2169FD29" w14:textId="77777777" w:rsidR="008E2C20" w:rsidRDefault="008E2C20" w:rsidP="008013AC">
      <w:r w:rsidRPr="00F009F3">
        <w:t xml:space="preserve">Number of tables:  </w:t>
      </w:r>
      <w:r>
        <w:t>3</w:t>
      </w:r>
    </w:p>
    <w:p w14:paraId="7A21E0C3" w14:textId="77777777" w:rsidR="008E2C20" w:rsidRPr="00F010BF" w:rsidRDefault="008E2C20" w:rsidP="008013AC">
      <w:r w:rsidRPr="002C1899">
        <w:t>Word count:  3,</w:t>
      </w:r>
      <w:r>
        <w:t>594</w:t>
      </w:r>
    </w:p>
    <w:p w14:paraId="00B89500" w14:textId="77777777" w:rsidR="008E2C20" w:rsidRPr="00B757F7" w:rsidRDefault="008E2C20" w:rsidP="008013AC">
      <w:pPr>
        <w:outlineLvl w:val="0"/>
        <w:rPr>
          <w:b/>
        </w:rPr>
      </w:pPr>
      <w:r w:rsidRPr="00B757F7">
        <w:rPr>
          <w:b/>
        </w:rPr>
        <w:t>Corresponding author:</w:t>
      </w:r>
    </w:p>
    <w:p w14:paraId="4438D3BA" w14:textId="77777777" w:rsidR="008E2C20" w:rsidRPr="00FD794E" w:rsidRDefault="008E2C20" w:rsidP="008013AC">
      <w:pPr>
        <w:outlineLvl w:val="0"/>
      </w:pPr>
      <w:r w:rsidRPr="00FD794E">
        <w:lastRenderedPageBreak/>
        <w:t xml:space="preserve">Dr Oliver van Hecke </w:t>
      </w:r>
    </w:p>
    <w:p w14:paraId="531F5F49" w14:textId="77777777" w:rsidR="008E2C20" w:rsidRPr="00FD794E" w:rsidRDefault="008E2C20" w:rsidP="008013AC">
      <w:pPr>
        <w:pStyle w:val="NoSpacing"/>
      </w:pPr>
      <w:r w:rsidRPr="00FD794E">
        <w:t>Nuffield Department of Primary Care Health Sciences</w:t>
      </w:r>
    </w:p>
    <w:p w14:paraId="75975B38" w14:textId="77777777" w:rsidR="008E2C20" w:rsidRPr="00FD794E" w:rsidRDefault="008E2C20" w:rsidP="008013AC">
      <w:pPr>
        <w:pStyle w:val="NoSpacing"/>
      </w:pPr>
      <w:r w:rsidRPr="00FD794E">
        <w:t>University of Oxford</w:t>
      </w:r>
    </w:p>
    <w:p w14:paraId="4A935C2B" w14:textId="77777777" w:rsidR="008E2C20" w:rsidRPr="00FD794E" w:rsidRDefault="008E2C20" w:rsidP="008013AC">
      <w:pPr>
        <w:pStyle w:val="NoSpacing"/>
      </w:pPr>
      <w:r w:rsidRPr="00FD794E">
        <w:t>Radcliffe Observatory Quarter</w:t>
      </w:r>
    </w:p>
    <w:p w14:paraId="1243BBF5" w14:textId="77777777" w:rsidR="008E2C20" w:rsidRPr="00FD794E" w:rsidRDefault="008E2C20" w:rsidP="008013AC">
      <w:pPr>
        <w:pStyle w:val="NoSpacing"/>
      </w:pPr>
      <w:r w:rsidRPr="00FD794E">
        <w:t>Woodstock Road</w:t>
      </w:r>
    </w:p>
    <w:p w14:paraId="4B8E73C7" w14:textId="77777777" w:rsidR="008E2C20" w:rsidRPr="00FD794E" w:rsidRDefault="008E2C20" w:rsidP="008013AC">
      <w:pPr>
        <w:pStyle w:val="NoSpacing"/>
      </w:pPr>
      <w:r w:rsidRPr="00FD794E">
        <w:t>Oxford</w:t>
      </w:r>
    </w:p>
    <w:p w14:paraId="32FC87F7" w14:textId="77777777" w:rsidR="008E2C20" w:rsidRPr="00FD794E" w:rsidRDefault="008E2C20" w:rsidP="008013AC">
      <w:pPr>
        <w:pStyle w:val="NoSpacing"/>
      </w:pPr>
      <w:r w:rsidRPr="00FD794E">
        <w:t>OX2 6GG</w:t>
      </w:r>
    </w:p>
    <w:p w14:paraId="1CF8CD13" w14:textId="77777777" w:rsidR="008E2C20" w:rsidRDefault="008E2C20" w:rsidP="008013AC">
      <w:pPr>
        <w:outlineLvl w:val="0"/>
      </w:pPr>
      <w:r w:rsidRPr="00FD794E">
        <w:t xml:space="preserve">Tel: +44 (0) 1865 617 </w:t>
      </w:r>
      <w:r>
        <w:t>946</w:t>
      </w:r>
      <w:r>
        <w:tab/>
      </w:r>
      <w:r>
        <w:tab/>
      </w:r>
      <w:r>
        <w:tab/>
      </w:r>
      <w:r>
        <w:tab/>
      </w:r>
      <w:r w:rsidRPr="00FD794E">
        <w:t xml:space="preserve">Email: </w:t>
      </w:r>
      <w:hyperlink r:id="rId8" w:history="1">
        <w:r w:rsidRPr="00BD27A3">
          <w:rPr>
            <w:rStyle w:val="Hyperlink"/>
          </w:rPr>
          <w:t>oliver.vanhecke@phc.ox.ac.uk</w:t>
        </w:r>
      </w:hyperlink>
    </w:p>
    <w:p w14:paraId="0FE00A2D" w14:textId="77777777" w:rsidR="008E2C20" w:rsidRDefault="008E2C20" w:rsidP="008013AC">
      <w:pPr>
        <w:outlineLvl w:val="0"/>
        <w:rPr>
          <w:b/>
          <w:sz w:val="28"/>
          <w:szCs w:val="28"/>
        </w:rPr>
      </w:pPr>
    </w:p>
    <w:p w14:paraId="20F323A3" w14:textId="77777777" w:rsidR="00ED328A" w:rsidRDefault="008E2C20" w:rsidP="008013AC">
      <w:pPr>
        <w:rPr>
          <w:rFonts w:cs="Calibri"/>
        </w:rPr>
      </w:pPr>
      <w:r w:rsidRPr="005E4B0B">
        <w:rPr>
          <w:rFonts w:cs="Calibri"/>
        </w:rPr>
        <w:t>Presentat</w:t>
      </w:r>
      <w:r>
        <w:rPr>
          <w:rFonts w:cs="Calibri"/>
        </w:rPr>
        <w:t>ion</w:t>
      </w:r>
      <w:r w:rsidR="00ED328A">
        <w:rPr>
          <w:rFonts w:cs="Calibri"/>
        </w:rPr>
        <w:t xml:space="preserve">s (oral): </w:t>
      </w:r>
    </w:p>
    <w:p w14:paraId="2AAADC0A" w14:textId="77777777" w:rsidR="00ED328A" w:rsidRDefault="008E2C20" w:rsidP="008013AC">
      <w:pPr>
        <w:rPr>
          <w:rFonts w:cs="Calibri"/>
        </w:rPr>
      </w:pPr>
      <w:r>
        <w:rPr>
          <w:rFonts w:cs="Calibri"/>
        </w:rPr>
        <w:t>General Practice Research in Infections Network (GRIN) 29 September 2017 Oslo</w:t>
      </w:r>
    </w:p>
    <w:p w14:paraId="77C82B78" w14:textId="77777777" w:rsidR="008E2C20" w:rsidRDefault="008E2C20" w:rsidP="008013AC">
      <w:pPr>
        <w:rPr>
          <w:rFonts w:cs="Calibri"/>
        </w:rPr>
      </w:pPr>
      <w:r>
        <w:rPr>
          <w:rFonts w:cs="Calibri"/>
        </w:rPr>
        <w:t xml:space="preserve">Seminar, </w:t>
      </w:r>
      <w:r w:rsidRPr="00DB6B48">
        <w:rPr>
          <w:rFonts w:cs="Calibri"/>
        </w:rPr>
        <w:t xml:space="preserve">National Centre for Antimicrobial Stewardship </w:t>
      </w:r>
      <w:r>
        <w:rPr>
          <w:rFonts w:cs="Calibri"/>
        </w:rPr>
        <w:t>(</w:t>
      </w:r>
      <w:r w:rsidRPr="005E4B0B">
        <w:rPr>
          <w:rFonts w:cs="Calibri"/>
        </w:rPr>
        <w:t>N</w:t>
      </w:r>
      <w:r>
        <w:rPr>
          <w:rFonts w:cs="Calibri"/>
        </w:rPr>
        <w:t>CAS)</w:t>
      </w:r>
      <w:r w:rsidRPr="005E4B0B">
        <w:rPr>
          <w:rFonts w:cs="Calibri"/>
        </w:rPr>
        <w:t xml:space="preserve"> 9-13</w:t>
      </w:r>
      <w:r>
        <w:rPr>
          <w:rFonts w:cs="Calibri"/>
        </w:rPr>
        <w:t xml:space="preserve"> October 2018, Melbourne </w:t>
      </w:r>
    </w:p>
    <w:p w14:paraId="55389181" w14:textId="77777777" w:rsidR="008E2C20" w:rsidRPr="001449BC" w:rsidRDefault="008E2C20" w:rsidP="008013AC">
      <w:pPr>
        <w:outlineLvl w:val="0"/>
      </w:pPr>
      <w:r>
        <w:rPr>
          <w:rFonts w:cs="Calibri"/>
          <w:highlight w:val="yellow"/>
        </w:rPr>
        <w:br w:type="page"/>
      </w:r>
    </w:p>
    <w:p w14:paraId="7632E5E4" w14:textId="77777777" w:rsidR="008E2C20" w:rsidRDefault="008E2C20" w:rsidP="008013AC">
      <w:pPr>
        <w:spacing w:line="480" w:lineRule="auto"/>
        <w:outlineLvl w:val="0"/>
        <w:rPr>
          <w:b/>
        </w:rPr>
      </w:pPr>
      <w:r w:rsidRPr="00B0764B">
        <w:rPr>
          <w:b/>
        </w:rPr>
        <w:lastRenderedPageBreak/>
        <w:t xml:space="preserve">Abstract </w:t>
      </w:r>
    </w:p>
    <w:p w14:paraId="19AA487A" w14:textId="77777777" w:rsidR="000958AD" w:rsidRDefault="000958AD" w:rsidP="000958AD">
      <w:pPr>
        <w:spacing w:line="360" w:lineRule="auto"/>
      </w:pPr>
      <w:r>
        <w:rPr>
          <w:b/>
        </w:rPr>
        <w:t>Background</w:t>
      </w:r>
    </w:p>
    <w:p w14:paraId="34AB327C" w14:textId="77777777" w:rsidR="000958AD" w:rsidRDefault="000958AD" w:rsidP="000958AD">
      <w:pPr>
        <w:pStyle w:val="CommentText"/>
        <w:spacing w:line="360" w:lineRule="auto"/>
        <w:rPr>
          <w:sz w:val="22"/>
          <w:szCs w:val="22"/>
        </w:rPr>
      </w:pPr>
      <w:r>
        <w:rPr>
          <w:sz w:val="22"/>
          <w:szCs w:val="22"/>
        </w:rPr>
        <w:t>Childhood antibiotic e</w:t>
      </w:r>
      <w:r w:rsidRPr="00ED509F">
        <w:rPr>
          <w:sz w:val="22"/>
          <w:szCs w:val="22"/>
        </w:rPr>
        <w:t xml:space="preserve">xposure </w:t>
      </w:r>
      <w:r>
        <w:rPr>
          <w:sz w:val="22"/>
          <w:szCs w:val="22"/>
        </w:rPr>
        <w:t xml:space="preserve">has </w:t>
      </w:r>
      <w:r w:rsidRPr="00ED509F">
        <w:rPr>
          <w:sz w:val="22"/>
          <w:szCs w:val="22"/>
        </w:rPr>
        <w:t>important clinically</w:t>
      </w:r>
      <w:r>
        <w:rPr>
          <w:sz w:val="22"/>
          <w:szCs w:val="22"/>
        </w:rPr>
        <w:t>-r</w:t>
      </w:r>
      <w:r w:rsidRPr="00ED509F">
        <w:rPr>
          <w:sz w:val="22"/>
          <w:szCs w:val="22"/>
        </w:rPr>
        <w:t xml:space="preserve">elevant </w:t>
      </w:r>
      <w:r>
        <w:rPr>
          <w:sz w:val="22"/>
          <w:szCs w:val="22"/>
        </w:rPr>
        <w:t xml:space="preserve">implications. </w:t>
      </w:r>
      <w:r w:rsidRPr="00C51183">
        <w:rPr>
          <w:sz w:val="22"/>
          <w:szCs w:val="22"/>
        </w:rPr>
        <w:t>These include disruption</w:t>
      </w:r>
      <w:r>
        <w:rPr>
          <w:sz w:val="22"/>
          <w:szCs w:val="22"/>
        </w:rPr>
        <w:t xml:space="preserve"> to the microbiome</w:t>
      </w:r>
      <w:r w:rsidRPr="00C51183">
        <w:rPr>
          <w:sz w:val="22"/>
          <w:szCs w:val="22"/>
        </w:rPr>
        <w:t>,</w:t>
      </w:r>
      <w:r>
        <w:rPr>
          <w:sz w:val="22"/>
          <w:szCs w:val="22"/>
        </w:rPr>
        <w:t xml:space="preserve"> </w:t>
      </w:r>
      <w:r w:rsidRPr="00C51183">
        <w:rPr>
          <w:sz w:val="22"/>
          <w:szCs w:val="22"/>
        </w:rPr>
        <w:t>antibiotic resistance</w:t>
      </w:r>
      <w:r>
        <w:rPr>
          <w:sz w:val="22"/>
          <w:szCs w:val="22"/>
        </w:rPr>
        <w:t xml:space="preserve"> </w:t>
      </w:r>
      <w:r w:rsidRPr="00C51183">
        <w:rPr>
          <w:sz w:val="22"/>
          <w:szCs w:val="22"/>
        </w:rPr>
        <w:t>and clinical workload</w:t>
      </w:r>
      <w:r>
        <w:rPr>
          <w:sz w:val="22"/>
          <w:szCs w:val="22"/>
        </w:rPr>
        <w:t xml:space="preserve"> </w:t>
      </w:r>
      <w:r w:rsidRPr="00C51183">
        <w:rPr>
          <w:sz w:val="22"/>
          <w:szCs w:val="22"/>
        </w:rPr>
        <w:t>manifesting as treatment</w:t>
      </w:r>
      <w:r>
        <w:rPr>
          <w:sz w:val="22"/>
          <w:szCs w:val="22"/>
        </w:rPr>
        <w:t xml:space="preserve"> </w:t>
      </w:r>
      <w:r w:rsidRPr="00C51183">
        <w:rPr>
          <w:sz w:val="22"/>
          <w:szCs w:val="22"/>
        </w:rPr>
        <w:t xml:space="preserve">“failure”. </w:t>
      </w:r>
      <w:r>
        <w:rPr>
          <w:sz w:val="22"/>
          <w:szCs w:val="22"/>
        </w:rPr>
        <w:t xml:space="preserve"> </w:t>
      </w:r>
    </w:p>
    <w:p w14:paraId="26BC816F" w14:textId="77777777" w:rsidR="000958AD" w:rsidRPr="00155BCD" w:rsidRDefault="000958AD" w:rsidP="000958AD">
      <w:pPr>
        <w:pStyle w:val="CommentText"/>
        <w:spacing w:line="360" w:lineRule="auto"/>
        <w:rPr>
          <w:b/>
          <w:sz w:val="22"/>
          <w:szCs w:val="22"/>
        </w:rPr>
      </w:pPr>
      <w:r w:rsidRPr="00155BCD">
        <w:rPr>
          <w:b/>
          <w:sz w:val="22"/>
          <w:szCs w:val="22"/>
        </w:rPr>
        <w:t>Aim</w:t>
      </w:r>
    </w:p>
    <w:p w14:paraId="28BE569E" w14:textId="77777777" w:rsidR="000958AD" w:rsidRDefault="000958AD" w:rsidP="000958AD">
      <w:pPr>
        <w:pStyle w:val="CommentText"/>
        <w:spacing w:line="360" w:lineRule="auto"/>
        <w:rPr>
          <w:sz w:val="22"/>
          <w:szCs w:val="22"/>
        </w:rPr>
      </w:pPr>
      <w:r>
        <w:rPr>
          <w:sz w:val="22"/>
          <w:szCs w:val="22"/>
        </w:rPr>
        <w:t xml:space="preserve">To </w:t>
      </w:r>
      <w:r w:rsidRPr="00F80D33">
        <w:rPr>
          <w:sz w:val="22"/>
          <w:szCs w:val="22"/>
        </w:rPr>
        <w:t>examine the relationship between the number of antibiotic courses prescribed to preschool children for acute respiratory tract infection</w:t>
      </w:r>
      <w:r>
        <w:rPr>
          <w:sz w:val="22"/>
          <w:szCs w:val="22"/>
        </w:rPr>
        <w:t xml:space="preserve">s (RTI) </w:t>
      </w:r>
      <w:r w:rsidRPr="00F80D33">
        <w:rPr>
          <w:sz w:val="22"/>
          <w:szCs w:val="22"/>
        </w:rPr>
        <w:t>in the preceding year,</w:t>
      </w:r>
      <w:r>
        <w:rPr>
          <w:sz w:val="22"/>
          <w:szCs w:val="22"/>
        </w:rPr>
        <w:t xml:space="preserve"> </w:t>
      </w:r>
      <w:r w:rsidRPr="00F80D33">
        <w:rPr>
          <w:sz w:val="22"/>
          <w:szCs w:val="22"/>
        </w:rPr>
        <w:t>and subsequent RTIs that fail to respond to antibiotic treatment</w:t>
      </w:r>
      <w:r>
        <w:rPr>
          <w:sz w:val="22"/>
          <w:szCs w:val="22"/>
        </w:rPr>
        <w:t xml:space="preserve"> </w:t>
      </w:r>
      <w:r w:rsidRPr="00F80D33">
        <w:rPr>
          <w:sz w:val="22"/>
          <w:szCs w:val="22"/>
        </w:rPr>
        <w:t>(“response failures”)</w:t>
      </w:r>
    </w:p>
    <w:p w14:paraId="290DB654" w14:textId="77777777" w:rsidR="000958AD" w:rsidRDefault="000958AD" w:rsidP="000958AD">
      <w:pPr>
        <w:pStyle w:val="CommentText"/>
        <w:spacing w:line="360" w:lineRule="auto"/>
        <w:rPr>
          <w:b/>
          <w:sz w:val="22"/>
          <w:szCs w:val="22"/>
        </w:rPr>
      </w:pPr>
      <w:r w:rsidRPr="00155BCD">
        <w:rPr>
          <w:b/>
          <w:sz w:val="22"/>
          <w:szCs w:val="22"/>
        </w:rPr>
        <w:t>Design and setting</w:t>
      </w:r>
    </w:p>
    <w:p w14:paraId="0E188092" w14:textId="77777777" w:rsidR="000958AD" w:rsidRPr="00155BCD" w:rsidRDefault="000958AD" w:rsidP="000958AD">
      <w:pPr>
        <w:pStyle w:val="CommentText"/>
        <w:spacing w:line="360" w:lineRule="auto"/>
        <w:rPr>
          <w:sz w:val="22"/>
          <w:szCs w:val="22"/>
        </w:rPr>
      </w:pPr>
      <w:r>
        <w:rPr>
          <w:sz w:val="22"/>
          <w:szCs w:val="22"/>
        </w:rPr>
        <w:t>C</w:t>
      </w:r>
      <w:r w:rsidRPr="00155BCD">
        <w:rPr>
          <w:sz w:val="22"/>
          <w:szCs w:val="22"/>
        </w:rPr>
        <w:t xml:space="preserve">ohort study using </w:t>
      </w:r>
      <w:r>
        <w:rPr>
          <w:sz w:val="22"/>
          <w:szCs w:val="22"/>
        </w:rPr>
        <w:t xml:space="preserve">UK </w:t>
      </w:r>
      <w:r w:rsidRPr="00155BCD">
        <w:rPr>
          <w:sz w:val="22"/>
          <w:szCs w:val="22"/>
        </w:rPr>
        <w:t xml:space="preserve">primary care data </w:t>
      </w:r>
      <w:r>
        <w:rPr>
          <w:sz w:val="22"/>
          <w:szCs w:val="22"/>
        </w:rPr>
        <w:t>(</w:t>
      </w:r>
      <w:r w:rsidRPr="00155BCD">
        <w:rPr>
          <w:sz w:val="22"/>
          <w:szCs w:val="22"/>
        </w:rPr>
        <w:t>Clinical Practice Research Datalink</w:t>
      </w:r>
      <w:r>
        <w:rPr>
          <w:sz w:val="22"/>
          <w:szCs w:val="22"/>
        </w:rPr>
        <w:t xml:space="preserve">, </w:t>
      </w:r>
      <w:r w:rsidRPr="00155BCD">
        <w:rPr>
          <w:rFonts w:cs="Arial"/>
          <w:sz w:val="22"/>
          <w:szCs w:val="22"/>
        </w:rPr>
        <w:t>2009-2016)</w:t>
      </w:r>
    </w:p>
    <w:p w14:paraId="5D092286" w14:textId="77777777" w:rsidR="000958AD" w:rsidRPr="007B2815" w:rsidRDefault="000958AD" w:rsidP="000958AD">
      <w:pPr>
        <w:pStyle w:val="CommentText"/>
        <w:spacing w:line="360" w:lineRule="auto"/>
        <w:rPr>
          <w:b/>
          <w:sz w:val="22"/>
          <w:szCs w:val="22"/>
        </w:rPr>
      </w:pPr>
      <w:r w:rsidRPr="007B2815">
        <w:rPr>
          <w:b/>
          <w:sz w:val="22"/>
          <w:szCs w:val="22"/>
        </w:rPr>
        <w:t>Methods</w:t>
      </w:r>
    </w:p>
    <w:p w14:paraId="427E6571" w14:textId="77777777" w:rsidR="000958AD" w:rsidRPr="00ED509F" w:rsidRDefault="000958AD" w:rsidP="000958AD">
      <w:pPr>
        <w:spacing w:line="360" w:lineRule="auto"/>
      </w:pPr>
      <w:r>
        <w:rPr>
          <w:rFonts w:cs="Arial"/>
        </w:rPr>
        <w:t>C</w:t>
      </w:r>
      <w:r w:rsidRPr="007A44C8">
        <w:t>hil</w:t>
      </w:r>
      <w:r>
        <w:t xml:space="preserve">dren aged 12-60 months and </w:t>
      </w:r>
      <w:r w:rsidRPr="007A44C8">
        <w:t>prescribed an antibi</w:t>
      </w:r>
      <w:r>
        <w:t>otic for an acute RTI (upper and l</w:t>
      </w:r>
      <w:r w:rsidRPr="007A44C8">
        <w:t>ower RTI or otitis media)</w:t>
      </w:r>
      <w:r>
        <w:t xml:space="preserve"> were included</w:t>
      </w:r>
      <w:r w:rsidRPr="007A44C8">
        <w:t>.</w:t>
      </w:r>
      <w:r>
        <w:t xml:space="preserve"> </w:t>
      </w:r>
      <w:r>
        <w:rPr>
          <w:rFonts w:cs="Arial"/>
        </w:rPr>
        <w:t xml:space="preserve">We selected one random index </w:t>
      </w:r>
      <w:r w:rsidRPr="00B86F8F">
        <w:rPr>
          <w:rFonts w:cs="Arial"/>
        </w:rPr>
        <w:t xml:space="preserve">antibiotic </w:t>
      </w:r>
      <w:r>
        <w:rPr>
          <w:rFonts w:cs="Arial"/>
        </w:rPr>
        <w:t xml:space="preserve">course for RTI per child. Exposure was </w:t>
      </w:r>
      <w:r w:rsidRPr="00395711">
        <w:rPr>
          <w:rFonts w:cs="Arial"/>
        </w:rPr>
        <w:t>the number o</w:t>
      </w:r>
      <w:r>
        <w:rPr>
          <w:rFonts w:cs="Arial"/>
        </w:rPr>
        <w:t>f antibiotic prescriptions for acute RTI</w:t>
      </w:r>
      <w:r w:rsidRPr="00395711">
        <w:rPr>
          <w:rFonts w:cs="Arial"/>
        </w:rPr>
        <w:t xml:space="preserve"> up to 12 months prior to t</w:t>
      </w:r>
      <w:r>
        <w:rPr>
          <w:rFonts w:cs="Arial"/>
        </w:rPr>
        <w:t xml:space="preserve">he index antibiotic prescription. </w:t>
      </w:r>
      <w:r w:rsidRPr="00874D7F">
        <w:t>The outcome was</w:t>
      </w:r>
      <w:r>
        <w:t xml:space="preserve"> “response failure” up to 14 days after index antibiotic prescription, defined as: subsequent antibiotic prescription; referral; hospital admission; death; or emergency department attendance within three days. </w:t>
      </w:r>
      <w:r w:rsidRPr="007B2815">
        <w:t xml:space="preserve">We </w:t>
      </w:r>
      <w:r>
        <w:t xml:space="preserve">used logistic regression models to estimate the odds </w:t>
      </w:r>
      <w:r w:rsidRPr="007B2815">
        <w:t xml:space="preserve">between </w:t>
      </w:r>
      <w:r>
        <w:t xml:space="preserve">antibiotic exposure </w:t>
      </w:r>
      <w:r w:rsidRPr="007B2815">
        <w:t>and</w:t>
      </w:r>
      <w:r>
        <w:t xml:space="preserve"> </w:t>
      </w:r>
      <w:r w:rsidRPr="007B2815">
        <w:t>“response failure</w:t>
      </w:r>
      <w:r>
        <w:t xml:space="preserve">”. </w:t>
      </w:r>
    </w:p>
    <w:p w14:paraId="06067613" w14:textId="77777777" w:rsidR="000958AD" w:rsidRPr="00247929" w:rsidRDefault="000958AD" w:rsidP="000958AD">
      <w:pPr>
        <w:spacing w:line="360" w:lineRule="auto"/>
        <w:rPr>
          <w:b/>
        </w:rPr>
      </w:pPr>
      <w:r>
        <w:rPr>
          <w:b/>
        </w:rPr>
        <w:t>Results</w:t>
      </w:r>
    </w:p>
    <w:p w14:paraId="40EC5819" w14:textId="77777777" w:rsidR="000958AD" w:rsidRPr="00874D7F" w:rsidRDefault="000958AD" w:rsidP="000958AD">
      <w:pPr>
        <w:spacing w:line="360" w:lineRule="auto"/>
        <w:outlineLvl w:val="0"/>
      </w:pPr>
      <w:r>
        <w:t xml:space="preserve">From </w:t>
      </w:r>
      <w:r w:rsidRPr="004047D2">
        <w:t>114,329</w:t>
      </w:r>
      <w:r>
        <w:t xml:space="preserve"> children who</w:t>
      </w:r>
      <w:r w:rsidRPr="004047D2">
        <w:t xml:space="preserve"> were prescribed an antibiotic course for acute RTI</w:t>
      </w:r>
      <w:r>
        <w:t xml:space="preserve">, </w:t>
      </w:r>
      <w:r>
        <w:rPr>
          <w:rFonts w:cs="Arial"/>
        </w:rPr>
        <w:t>c</w:t>
      </w:r>
      <w:r w:rsidRPr="004047D2">
        <w:rPr>
          <w:rFonts w:cs="Arial"/>
        </w:rPr>
        <w:t>hildren who received two or more antibiotic courses for acute RTIs in the preceding year had greater odds of “response failure” (one antibiotic course:</w:t>
      </w:r>
      <w:r>
        <w:rPr>
          <w:rFonts w:cs="Arial"/>
        </w:rPr>
        <w:t xml:space="preserve"> </w:t>
      </w:r>
      <w:r w:rsidRPr="004047D2">
        <w:rPr>
          <w:rFonts w:cs="Arial"/>
        </w:rPr>
        <w:t xml:space="preserve">adjusted odds ratio (OR) 1·03 </w:t>
      </w:r>
      <w:r w:rsidRPr="004047D2">
        <w:rPr>
          <w:rFonts w:cs="Arial"/>
        </w:rPr>
        <w:lastRenderedPageBreak/>
        <w:t>[95% CI 0·88-1·21],</w:t>
      </w:r>
      <w:r>
        <w:rPr>
          <w:rFonts w:cs="Arial"/>
        </w:rPr>
        <w:t xml:space="preserve"> </w:t>
      </w:r>
      <w:r w:rsidRPr="004047D2">
        <w:rPr>
          <w:rFonts w:cs="Arial"/>
        </w:rPr>
        <w:t>p=0.67,n=230 children;</w:t>
      </w:r>
      <w:r>
        <w:rPr>
          <w:rFonts w:cs="Arial"/>
        </w:rPr>
        <w:t xml:space="preserve"> </w:t>
      </w:r>
      <w:r w:rsidRPr="004047D2">
        <w:rPr>
          <w:rFonts w:cs="Arial"/>
        </w:rPr>
        <w:t>two or more antibiotic courses:</w:t>
      </w:r>
      <w:r>
        <w:rPr>
          <w:rFonts w:cs="Arial"/>
        </w:rPr>
        <w:t xml:space="preserve"> </w:t>
      </w:r>
      <w:r w:rsidRPr="004047D2">
        <w:rPr>
          <w:rFonts w:cs="Arial"/>
        </w:rPr>
        <w:t>OR 1·32 [1·04-1·66], p=0.02,</w:t>
      </w:r>
      <w:r>
        <w:rPr>
          <w:rFonts w:cs="Arial"/>
        </w:rPr>
        <w:t xml:space="preserve"> </w:t>
      </w:r>
      <w:r w:rsidRPr="004047D2">
        <w:rPr>
          <w:rFonts w:cs="Arial"/>
        </w:rPr>
        <w:t xml:space="preserve">n=97). </w:t>
      </w:r>
    </w:p>
    <w:p w14:paraId="45FC7C77" w14:textId="77777777" w:rsidR="000958AD" w:rsidRPr="00A820EB" w:rsidRDefault="000958AD" w:rsidP="000958AD">
      <w:pPr>
        <w:spacing w:line="360" w:lineRule="auto"/>
        <w:outlineLvl w:val="0"/>
        <w:rPr>
          <w:b/>
        </w:rPr>
      </w:pPr>
      <w:r>
        <w:rPr>
          <w:b/>
        </w:rPr>
        <w:t>Conclusion</w:t>
      </w:r>
    </w:p>
    <w:p w14:paraId="023FC2B7" w14:textId="77777777" w:rsidR="000958AD" w:rsidRDefault="000958AD" w:rsidP="000958AD">
      <w:pPr>
        <w:spacing w:line="360" w:lineRule="auto"/>
        <w:outlineLvl w:val="0"/>
        <w:rPr>
          <w:bCs/>
        </w:rPr>
      </w:pPr>
      <w:r>
        <w:rPr>
          <w:rFonts w:cs="Calibri"/>
        </w:rPr>
        <w:t>Childhood a</w:t>
      </w:r>
      <w:r w:rsidRPr="002A3F14">
        <w:rPr>
          <w:rFonts w:cs="Calibri"/>
        </w:rPr>
        <w:t xml:space="preserve">ntibiotic exposure for acute RTI may be a good predictor for subsequent </w:t>
      </w:r>
      <w:r>
        <w:rPr>
          <w:rFonts w:cs="Calibri"/>
        </w:rPr>
        <w:t xml:space="preserve">“response </w:t>
      </w:r>
      <w:r w:rsidRPr="002A3F14">
        <w:rPr>
          <w:rFonts w:cs="Calibri"/>
        </w:rPr>
        <w:t>failure</w:t>
      </w:r>
      <w:r>
        <w:rPr>
          <w:rFonts w:cs="Calibri"/>
        </w:rPr>
        <w:t>’’</w:t>
      </w:r>
      <w:r w:rsidRPr="002A3F14">
        <w:rPr>
          <w:rFonts w:cs="Calibri"/>
        </w:rPr>
        <w:t>(but not necessarily because of antibiotic treatment failure).</w:t>
      </w:r>
      <w:r>
        <w:rPr>
          <w:rFonts w:cs="Calibri"/>
        </w:rPr>
        <w:t xml:space="preserve"> Further research is </w:t>
      </w:r>
      <w:r w:rsidRPr="00587708">
        <w:rPr>
          <w:rFonts w:cs="Calibri"/>
        </w:rPr>
        <w:t xml:space="preserve">needed </w:t>
      </w:r>
      <w:r w:rsidRPr="007D552C">
        <w:rPr>
          <w:bCs/>
        </w:rPr>
        <w:t xml:space="preserve">to improve </w:t>
      </w:r>
      <w:r>
        <w:rPr>
          <w:bCs/>
        </w:rPr>
        <w:t xml:space="preserve">our </w:t>
      </w:r>
      <w:r w:rsidRPr="007D552C">
        <w:rPr>
          <w:bCs/>
        </w:rPr>
        <w:t>understanding of the mechanisms underlying “response failure”</w:t>
      </w:r>
      <w:r>
        <w:rPr>
          <w:bCs/>
        </w:rPr>
        <w:t xml:space="preserve">. </w:t>
      </w:r>
    </w:p>
    <w:p w14:paraId="631DA605" w14:textId="77777777" w:rsidR="00155BCD" w:rsidRDefault="00155BCD" w:rsidP="00D93390">
      <w:pPr>
        <w:spacing w:line="360" w:lineRule="auto"/>
        <w:rPr>
          <w:rFonts w:cs="Calibri"/>
        </w:rPr>
      </w:pPr>
      <w:r w:rsidRPr="00155BCD">
        <w:rPr>
          <w:rFonts w:cs="Calibri"/>
          <w:b/>
        </w:rPr>
        <w:t>Keywords</w:t>
      </w:r>
    </w:p>
    <w:p w14:paraId="0376E8DC" w14:textId="77777777" w:rsidR="00155BCD" w:rsidRDefault="00155BCD" w:rsidP="00D93390">
      <w:pPr>
        <w:spacing w:line="360" w:lineRule="auto"/>
        <w:rPr>
          <w:rFonts w:cs="Calibri"/>
        </w:rPr>
      </w:pPr>
      <w:r>
        <w:rPr>
          <w:rFonts w:cs="Calibri"/>
        </w:rPr>
        <w:t xml:space="preserve">children; antibiotic exposure, </w:t>
      </w:r>
      <w:r w:rsidR="00DE48FA" w:rsidRPr="00DE48FA">
        <w:rPr>
          <w:rFonts w:cs="Calibri"/>
        </w:rPr>
        <w:t>primary</w:t>
      </w:r>
      <w:r w:rsidR="00DE48FA">
        <w:rPr>
          <w:rFonts w:cs="Calibri"/>
        </w:rPr>
        <w:t xml:space="preserve"> </w:t>
      </w:r>
      <w:r w:rsidR="00DE48FA" w:rsidRPr="00DE48FA">
        <w:rPr>
          <w:rFonts w:cs="Calibri"/>
        </w:rPr>
        <w:t>care</w:t>
      </w:r>
      <w:r w:rsidR="00DE48FA">
        <w:rPr>
          <w:rFonts w:cs="Calibri"/>
        </w:rPr>
        <w:t xml:space="preserve">; </w:t>
      </w:r>
      <w:r>
        <w:rPr>
          <w:rFonts w:cs="Calibri"/>
        </w:rPr>
        <w:t>treatment failure</w:t>
      </w:r>
    </w:p>
    <w:p w14:paraId="03CFFEA4" w14:textId="77777777" w:rsidR="00DE48FA" w:rsidRDefault="00DE48FA" w:rsidP="00155BCD">
      <w:pPr>
        <w:rPr>
          <w:rFonts w:cs="Calibri"/>
        </w:rPr>
      </w:pPr>
    </w:p>
    <w:p w14:paraId="5D688E54" w14:textId="77777777" w:rsidR="00DE48FA" w:rsidRDefault="00DE48FA" w:rsidP="007035DE">
      <w:pPr>
        <w:spacing w:after="0" w:line="240" w:lineRule="auto"/>
        <w:rPr>
          <w:rFonts w:ascii="Helvetica Neue" w:eastAsia="Times New Roman" w:hAnsi="Helvetica Neue"/>
          <w:color w:val="333333"/>
          <w:sz w:val="21"/>
          <w:szCs w:val="21"/>
          <w:shd w:val="clear" w:color="auto" w:fill="FFFFFF"/>
        </w:rPr>
      </w:pPr>
      <w:r w:rsidRPr="00DE48FA">
        <w:rPr>
          <w:rFonts w:cs="Calibri"/>
          <w:b/>
          <w:bCs/>
        </w:rPr>
        <w:t>How this fits in</w:t>
      </w:r>
      <w:r>
        <w:rPr>
          <w:rFonts w:cs="Calibri"/>
          <w:b/>
          <w:bCs/>
        </w:rPr>
        <w:t xml:space="preserve"> </w:t>
      </w:r>
    </w:p>
    <w:p w14:paraId="0F290190" w14:textId="77777777" w:rsidR="007035DE" w:rsidRDefault="007035DE" w:rsidP="0037307B">
      <w:pPr>
        <w:rPr>
          <w:rFonts w:cs="Calibri"/>
        </w:rPr>
      </w:pPr>
    </w:p>
    <w:p w14:paraId="332DAB02" w14:textId="77777777" w:rsidR="0037307B" w:rsidRPr="0037307B" w:rsidRDefault="00087B0C" w:rsidP="0037307B">
      <w:pPr>
        <w:rPr>
          <w:rFonts w:asciiTheme="minorHAnsi" w:hAnsiTheme="minorHAnsi" w:cstheme="minorHAnsi"/>
        </w:rPr>
      </w:pPr>
      <w:r>
        <w:rPr>
          <w:rFonts w:asciiTheme="minorHAnsi" w:hAnsiTheme="minorHAnsi" w:cstheme="minorHAnsi"/>
        </w:rPr>
        <w:t xml:space="preserve">Theoretical predictions about the </w:t>
      </w:r>
      <w:r w:rsidR="00EB3D4B">
        <w:rPr>
          <w:rFonts w:asciiTheme="minorHAnsi" w:hAnsiTheme="minorHAnsi" w:cstheme="minorHAnsi"/>
        </w:rPr>
        <w:t xml:space="preserve">potential </w:t>
      </w:r>
      <w:r w:rsidR="00D93390" w:rsidRPr="0037307B">
        <w:rPr>
          <w:rFonts w:asciiTheme="minorHAnsi" w:hAnsiTheme="minorHAnsi" w:cstheme="minorHAnsi"/>
        </w:rPr>
        <w:t xml:space="preserve">consequences of unnecessary antibiotic use </w:t>
      </w:r>
      <w:r>
        <w:rPr>
          <w:rFonts w:asciiTheme="minorHAnsi" w:hAnsiTheme="minorHAnsi" w:cstheme="minorHAnsi"/>
        </w:rPr>
        <w:t xml:space="preserve">and antibiotic resistance </w:t>
      </w:r>
      <w:r w:rsidR="00D93390" w:rsidRPr="0037307B">
        <w:rPr>
          <w:rFonts w:asciiTheme="minorHAnsi" w:hAnsiTheme="minorHAnsi" w:cstheme="minorHAnsi"/>
        </w:rPr>
        <w:t xml:space="preserve">can seem abstract and remote to individuals with common infections </w:t>
      </w:r>
      <w:r w:rsidR="0037307B">
        <w:rPr>
          <w:rFonts w:asciiTheme="minorHAnsi" w:hAnsiTheme="minorHAnsi" w:cstheme="minorHAnsi"/>
        </w:rPr>
        <w:t>i</w:t>
      </w:r>
      <w:r w:rsidR="00D93390" w:rsidRPr="0037307B">
        <w:rPr>
          <w:rFonts w:asciiTheme="minorHAnsi" w:hAnsiTheme="minorHAnsi" w:cstheme="minorHAnsi"/>
        </w:rPr>
        <w:t xml:space="preserve">n </w:t>
      </w:r>
      <w:r w:rsidR="00ED328A" w:rsidRPr="0037307B">
        <w:rPr>
          <w:rFonts w:asciiTheme="minorHAnsi" w:hAnsiTheme="minorHAnsi" w:cstheme="minorHAnsi"/>
        </w:rPr>
        <w:t>the community.</w:t>
      </w:r>
      <w:r w:rsidR="00D93390" w:rsidRPr="0037307B">
        <w:rPr>
          <w:rFonts w:asciiTheme="minorHAnsi" w:hAnsiTheme="minorHAnsi" w:cstheme="minorHAnsi"/>
        </w:rPr>
        <w:t xml:space="preserve"> Likewise, primary care clinicians report that they rarely encounter treatment failure</w:t>
      </w:r>
      <w:r w:rsidR="005D19CB">
        <w:rPr>
          <w:rFonts w:asciiTheme="minorHAnsi" w:hAnsiTheme="minorHAnsi" w:cstheme="minorHAnsi"/>
        </w:rPr>
        <w:t xml:space="preserve"> -</w:t>
      </w:r>
      <w:r w:rsidR="00D93390" w:rsidRPr="0037307B">
        <w:rPr>
          <w:rFonts w:asciiTheme="minorHAnsi" w:hAnsiTheme="minorHAnsi" w:cstheme="minorHAnsi"/>
        </w:rPr>
        <w:t xml:space="preserve">remote from </w:t>
      </w:r>
      <w:r w:rsidR="005D19CB">
        <w:rPr>
          <w:rFonts w:asciiTheme="minorHAnsi" w:hAnsiTheme="minorHAnsi" w:cstheme="minorHAnsi"/>
        </w:rPr>
        <w:t xml:space="preserve">their </w:t>
      </w:r>
      <w:r w:rsidR="00D93390" w:rsidRPr="0037307B">
        <w:rPr>
          <w:rFonts w:asciiTheme="minorHAnsi" w:hAnsiTheme="minorHAnsi" w:cstheme="minorHAnsi"/>
        </w:rPr>
        <w:t>prescribing decisions.</w:t>
      </w:r>
      <w:r w:rsidR="00ED328A" w:rsidRPr="0037307B">
        <w:rPr>
          <w:rFonts w:asciiTheme="minorHAnsi" w:hAnsiTheme="minorHAnsi" w:cstheme="minorHAnsi"/>
        </w:rPr>
        <w:t xml:space="preserve"> </w:t>
      </w:r>
      <w:r w:rsidR="0037307B" w:rsidRPr="0037307B">
        <w:rPr>
          <w:rFonts w:asciiTheme="minorHAnsi" w:hAnsiTheme="minorHAnsi" w:cstheme="minorHAnsi"/>
        </w:rPr>
        <w:t>Yet we know that unnecessary antibiotic use and resistant infections have worse implications for patients’ illness burden in the community – even for common infections. A subset of the population that is at particular risk of receiving antibiotics unnecessarily is preschool children.</w:t>
      </w:r>
      <w:r w:rsidR="007035DE">
        <w:rPr>
          <w:rFonts w:asciiTheme="minorHAnsi" w:hAnsiTheme="minorHAnsi" w:cstheme="minorHAnsi"/>
        </w:rPr>
        <w:t xml:space="preserve"> </w:t>
      </w:r>
      <w:r w:rsidR="0037307B" w:rsidRPr="0008341B">
        <w:t>Our</w:t>
      </w:r>
      <w:r w:rsidR="0037307B">
        <w:t xml:space="preserve"> findings suggest that children receiving more antibiotics for acute respiratory tract infections (RTIs) affects their likelihood of re-consulting a health professional and increases clinical workload</w:t>
      </w:r>
      <w:r w:rsidR="007035DE">
        <w:t xml:space="preserve">. </w:t>
      </w:r>
      <w:r w:rsidR="0037307B" w:rsidRPr="007D5C41">
        <w:rPr>
          <w:rFonts w:cs="Calibri"/>
          <w:bCs/>
        </w:rPr>
        <w:t xml:space="preserve">Incorporating </w:t>
      </w:r>
      <w:r w:rsidR="0037307B">
        <w:rPr>
          <w:rFonts w:cs="Calibri"/>
          <w:bCs/>
        </w:rPr>
        <w:t xml:space="preserve">antibiotic </w:t>
      </w:r>
      <w:r w:rsidR="0037307B" w:rsidRPr="007D5C41">
        <w:rPr>
          <w:rFonts w:cs="Calibri"/>
          <w:bCs/>
        </w:rPr>
        <w:t xml:space="preserve">exposure data into </w:t>
      </w:r>
      <w:r w:rsidR="0037307B">
        <w:rPr>
          <w:rFonts w:cs="Calibri"/>
          <w:bCs/>
        </w:rPr>
        <w:t xml:space="preserve">clinical </w:t>
      </w:r>
      <w:r w:rsidR="0037307B" w:rsidRPr="007D5C41">
        <w:rPr>
          <w:rFonts w:cs="Calibri"/>
          <w:bCs/>
        </w:rPr>
        <w:t xml:space="preserve">decision-support systems </w:t>
      </w:r>
      <w:r w:rsidR="0037307B">
        <w:rPr>
          <w:rFonts w:cs="Calibri"/>
          <w:bCs/>
        </w:rPr>
        <w:t xml:space="preserve">might prompt clinicians to implement strategies to support a non-antibiotic strategy </w:t>
      </w:r>
      <w:r w:rsidR="007035DE">
        <w:rPr>
          <w:rFonts w:cs="Calibri"/>
          <w:bCs/>
        </w:rPr>
        <w:t xml:space="preserve">(e.g. </w:t>
      </w:r>
      <w:r w:rsidR="0037307B">
        <w:rPr>
          <w:rFonts w:cs="Calibri"/>
          <w:bCs/>
        </w:rPr>
        <w:t xml:space="preserve">informing parents about the anticipated recovery period </w:t>
      </w:r>
      <w:r w:rsidR="0037307B">
        <w:t>of common RTIs in children</w:t>
      </w:r>
      <w:r w:rsidR="007035DE">
        <w:t xml:space="preserve">). </w:t>
      </w:r>
    </w:p>
    <w:p w14:paraId="7A064051" w14:textId="77777777" w:rsidR="00ED328A" w:rsidRPr="00D93390" w:rsidRDefault="00ED328A" w:rsidP="00D93390">
      <w:pPr>
        <w:rPr>
          <w:rFonts w:cs="Calibri"/>
        </w:rPr>
      </w:pPr>
    </w:p>
    <w:p w14:paraId="5CDE6666" w14:textId="77777777" w:rsidR="00D93390" w:rsidRDefault="00D93390" w:rsidP="00DE48FA">
      <w:pPr>
        <w:rPr>
          <w:rFonts w:cs="Calibri"/>
        </w:rPr>
      </w:pPr>
    </w:p>
    <w:p w14:paraId="5B0B4460" w14:textId="77777777" w:rsidR="00DE48FA" w:rsidRPr="00DE48FA" w:rsidRDefault="00DE48FA" w:rsidP="00DE48FA">
      <w:pPr>
        <w:rPr>
          <w:rFonts w:cs="Calibri"/>
        </w:rPr>
      </w:pPr>
    </w:p>
    <w:p w14:paraId="5A4AF13D" w14:textId="77777777" w:rsidR="00DE48FA" w:rsidRDefault="00DE48FA" w:rsidP="00155BCD">
      <w:pPr>
        <w:rPr>
          <w:rFonts w:cs="Calibri"/>
        </w:rPr>
      </w:pPr>
    </w:p>
    <w:p w14:paraId="08158D40" w14:textId="77777777" w:rsidR="00155BCD" w:rsidRDefault="00155BCD" w:rsidP="008013AC">
      <w:pPr>
        <w:spacing w:line="480" w:lineRule="auto"/>
        <w:outlineLvl w:val="0"/>
        <w:rPr>
          <w:rFonts w:cs="Calibri"/>
        </w:rPr>
      </w:pPr>
    </w:p>
    <w:p w14:paraId="3DD88CCB" w14:textId="77777777" w:rsidR="008E2C20" w:rsidRDefault="008E2C20" w:rsidP="008013AC">
      <w:pPr>
        <w:spacing w:line="480" w:lineRule="auto"/>
        <w:outlineLvl w:val="0"/>
        <w:rPr>
          <w:b/>
        </w:rPr>
      </w:pPr>
      <w:r>
        <w:br w:type="page"/>
      </w:r>
      <w:r>
        <w:rPr>
          <w:b/>
        </w:rPr>
        <w:lastRenderedPageBreak/>
        <w:t xml:space="preserve">Introduction </w:t>
      </w:r>
    </w:p>
    <w:p w14:paraId="379E1898" w14:textId="77777777" w:rsidR="008E2C20" w:rsidRPr="00F540D3" w:rsidRDefault="008E2C20" w:rsidP="008013AC">
      <w:pPr>
        <w:spacing w:line="360" w:lineRule="auto"/>
        <w:rPr>
          <w:lang w:val="en-US"/>
        </w:rPr>
      </w:pPr>
      <w:r>
        <w:t xml:space="preserve">Many </w:t>
      </w:r>
      <w:r w:rsidRPr="009B3FCF">
        <w:t>antibiotic</w:t>
      </w:r>
      <w:r>
        <w:t xml:space="preserve"> courses that do not benefit children</w:t>
      </w:r>
      <w:r w:rsidRPr="009B3FCF">
        <w:t xml:space="preserve"> are being </w:t>
      </w:r>
      <w:r>
        <w:t xml:space="preserve">prescribed </w:t>
      </w:r>
      <w:r w:rsidRPr="009B3FCF">
        <w:t>for self-lim</w:t>
      </w:r>
      <w:r>
        <w:t>iting acute respiratory tract infections (RTIs) in the community.</w:t>
      </w:r>
      <w:r w:rsidRPr="00333655">
        <w:rPr>
          <w:noProof/>
          <w:vertAlign w:val="superscript"/>
        </w:rPr>
        <w:t>1</w:t>
      </w:r>
      <w:r w:rsidRPr="00C86A01">
        <w:t xml:space="preserve"> </w:t>
      </w:r>
      <w:r>
        <w:t>At</w:t>
      </w:r>
      <w:r w:rsidRPr="005512BA">
        <w:t xml:space="preserve"> least 30% o</w:t>
      </w:r>
      <w:r>
        <w:t xml:space="preserve">f antibiotics prescribed in </w:t>
      </w:r>
      <w:r w:rsidRPr="005512BA">
        <w:t>outpatient setting</w:t>
      </w:r>
      <w:r>
        <w:t>s in the USA, and between 9% and</w:t>
      </w:r>
      <w:r>
        <w:rPr>
          <w:lang w:val="en-US"/>
        </w:rPr>
        <w:t xml:space="preserve"> 23% in UK primary care </w:t>
      </w:r>
      <w:r w:rsidRPr="005512BA">
        <w:t>are unnecessary</w:t>
      </w:r>
      <w:r>
        <w:t>.</w:t>
      </w:r>
      <w:r w:rsidRPr="00333655">
        <w:rPr>
          <w:noProof/>
          <w:vertAlign w:val="superscript"/>
        </w:rPr>
        <w:t>2,3</w:t>
      </w:r>
      <w:r>
        <w:rPr>
          <w:lang w:val="en-US"/>
        </w:rPr>
        <w:t xml:space="preserve"> Children </w:t>
      </w:r>
      <w:r w:rsidRPr="00FB3100">
        <w:t>under 5 years old</w:t>
      </w:r>
      <w:r>
        <w:t xml:space="preserve"> are prescribed proportionally more antibiotics for acute RTIs than any other age group.</w:t>
      </w:r>
      <w:r w:rsidRPr="00333655">
        <w:rPr>
          <w:noProof/>
          <w:vertAlign w:val="superscript"/>
        </w:rPr>
        <w:t>4-7</w:t>
      </w:r>
      <w:r w:rsidRPr="00800BB0">
        <w:rPr>
          <w:lang w:val="nl-BE"/>
        </w:rPr>
        <w:t xml:space="preserve"> </w:t>
      </w:r>
      <w:r>
        <w:rPr>
          <w:lang w:val="nl-BE"/>
        </w:rPr>
        <w:t xml:space="preserve">Antibiotic prescribing varies by country from around </w:t>
      </w:r>
      <w:r>
        <w:t xml:space="preserve">one in six children receiving </w:t>
      </w:r>
      <w:r w:rsidRPr="0024314E">
        <w:t xml:space="preserve">at least one oral antibiotic prescription per year </w:t>
      </w:r>
      <w:r>
        <w:t xml:space="preserve">in the Netherlands </w:t>
      </w:r>
      <w:r w:rsidRPr="00333655">
        <w:rPr>
          <w:noProof/>
          <w:vertAlign w:val="superscript"/>
        </w:rPr>
        <w:t>4</w:t>
      </w:r>
      <w:r>
        <w:t>, to around  57% of all acute RTIs in the USA, where this represents about</w:t>
      </w:r>
      <w:r w:rsidRPr="0024314E">
        <w:t xml:space="preserve"> 11.4 million potent</w:t>
      </w:r>
      <w:r>
        <w:t xml:space="preserve">ially preventable antibiotic </w:t>
      </w:r>
      <w:r w:rsidRPr="0024314E">
        <w:t>prescriptions annually.</w:t>
      </w:r>
      <w:r w:rsidRPr="00333655">
        <w:rPr>
          <w:noProof/>
          <w:vertAlign w:val="superscript"/>
        </w:rPr>
        <w:t>5</w:t>
      </w:r>
    </w:p>
    <w:p w14:paraId="472258AF" w14:textId="77777777" w:rsidR="008E2C20" w:rsidRDefault="008E2C20" w:rsidP="008013AC">
      <w:pPr>
        <w:spacing w:line="360" w:lineRule="auto"/>
      </w:pPr>
      <w:r>
        <w:t xml:space="preserve">Many children, though, will </w:t>
      </w:r>
      <w:r w:rsidRPr="00395711">
        <w:t xml:space="preserve">have </w:t>
      </w:r>
      <w:r>
        <w:t xml:space="preserve">had </w:t>
      </w:r>
      <w:r w:rsidRPr="00395711">
        <w:t>mu</w:t>
      </w:r>
      <w:r>
        <w:t xml:space="preserve">ltiple antibiotic courses </w:t>
      </w:r>
      <w:r w:rsidRPr="00395711">
        <w:t>within the</w:t>
      </w:r>
      <w:r>
        <w:t>ir early childhood.</w:t>
      </w:r>
      <w:r w:rsidRPr="00333655">
        <w:rPr>
          <w:noProof/>
          <w:vertAlign w:val="superscript"/>
        </w:rPr>
        <w:t>8</w:t>
      </w:r>
      <w:r>
        <w:t xml:space="preserve"> Such prescribing </w:t>
      </w:r>
      <w:r w:rsidR="002F0EDE" w:rsidRPr="002F0EDE">
        <w:rPr>
          <w:highlight w:val="cyan"/>
        </w:rPr>
        <w:t>medicalises self-limiting RTIs in children</w:t>
      </w:r>
      <w:r w:rsidR="002F0EDE">
        <w:t xml:space="preserve"> and </w:t>
      </w:r>
      <w:r>
        <w:t xml:space="preserve">goes against recommendations of </w:t>
      </w:r>
      <w:r w:rsidRPr="00FB3100">
        <w:t>antibiotic prescribing guidance</w:t>
      </w:r>
      <w:r>
        <w:t>.</w:t>
      </w:r>
      <w:r w:rsidRPr="003C264D">
        <w:rPr>
          <w:noProof/>
          <w:vertAlign w:val="superscript"/>
        </w:rPr>
        <w:t>9,10</w:t>
      </w:r>
      <w:r>
        <w:t xml:space="preserve"> However, in ambulatory care, unnecessary e</w:t>
      </w:r>
      <w:r w:rsidRPr="00232FD6">
        <w:t>xposure</w:t>
      </w:r>
      <w:r>
        <w:t xml:space="preserve"> to antibiotics is likely to have important clinically </w:t>
      </w:r>
      <w:r w:rsidRPr="00232FD6">
        <w:t>relevant implications</w:t>
      </w:r>
      <w:r>
        <w:t xml:space="preserve"> such as treatment “response failure” </w:t>
      </w:r>
      <w:r w:rsidRPr="00232FD6">
        <w:t>mostly in the form of re-consulta</w:t>
      </w:r>
      <w:r>
        <w:t xml:space="preserve">tion and receipt of another </w:t>
      </w:r>
      <w:r w:rsidRPr="00232FD6">
        <w:t xml:space="preserve">antibiotic </w:t>
      </w:r>
      <w:r>
        <w:t>course.</w:t>
      </w:r>
      <w:r w:rsidRPr="003C264D">
        <w:rPr>
          <w:noProof/>
          <w:vertAlign w:val="superscript"/>
        </w:rPr>
        <w:t>11-13</w:t>
      </w:r>
      <w:r>
        <w:t xml:space="preserve"> T</w:t>
      </w:r>
      <w:r w:rsidRPr="009B3FCF">
        <w:t xml:space="preserve">here </w:t>
      </w:r>
      <w:r>
        <w:t xml:space="preserve">is also robust </w:t>
      </w:r>
      <w:r w:rsidRPr="009B3FCF">
        <w:t>evidence for an association</w:t>
      </w:r>
      <w:r>
        <w:t xml:space="preserve"> between antibiotic use and </w:t>
      </w:r>
      <w:r w:rsidRPr="009B3FCF">
        <w:t>resistant bacteria</w:t>
      </w:r>
      <w:r>
        <w:t>l carriage.</w:t>
      </w:r>
      <w:r w:rsidRPr="003C264D">
        <w:rPr>
          <w:noProof/>
          <w:vertAlign w:val="superscript"/>
        </w:rPr>
        <w:t>14,15</w:t>
      </w:r>
      <w:r>
        <w:t xml:space="preserve"> Antibiotic use </w:t>
      </w:r>
      <w:r w:rsidRPr="00395711">
        <w:t>may</w:t>
      </w:r>
      <w:r>
        <w:t xml:space="preserve"> also</w:t>
      </w:r>
      <w:r w:rsidRPr="00395711">
        <w:t xml:space="preserve"> </w:t>
      </w:r>
      <w:r>
        <w:rPr>
          <w:rFonts w:cs="Arial"/>
        </w:rPr>
        <w:t xml:space="preserve">disrupt the protective gut and lung microbiomes and potentially </w:t>
      </w:r>
      <w:r w:rsidRPr="00914AF7">
        <w:rPr>
          <w:rFonts w:cs="Arial"/>
        </w:rPr>
        <w:t>predispos</w:t>
      </w:r>
      <w:r>
        <w:rPr>
          <w:rFonts w:cs="Arial"/>
        </w:rPr>
        <w:t>e</w:t>
      </w:r>
      <w:r w:rsidRPr="00914AF7">
        <w:rPr>
          <w:rFonts w:cs="Arial"/>
        </w:rPr>
        <w:t xml:space="preserve"> </w:t>
      </w:r>
      <w:r>
        <w:rPr>
          <w:rFonts w:cs="Arial"/>
        </w:rPr>
        <w:t xml:space="preserve">young </w:t>
      </w:r>
      <w:r w:rsidRPr="00914AF7">
        <w:rPr>
          <w:rFonts w:cs="Arial"/>
        </w:rPr>
        <w:t xml:space="preserve">children to </w:t>
      </w:r>
      <w:r w:rsidRPr="00395711">
        <w:t xml:space="preserve">increased susceptibility to certain bacterial and opportunistic pathogens with adverse health outcomes such as higher rates of </w:t>
      </w:r>
      <w:r>
        <w:t xml:space="preserve">RTI </w:t>
      </w:r>
      <w:r w:rsidRPr="003C264D">
        <w:rPr>
          <w:noProof/>
          <w:vertAlign w:val="superscript"/>
        </w:rPr>
        <w:t>16</w:t>
      </w:r>
      <w:r>
        <w:t xml:space="preserve">, and </w:t>
      </w:r>
      <w:r>
        <w:rPr>
          <w:rFonts w:cs="Arial"/>
        </w:rPr>
        <w:t xml:space="preserve">subsequent </w:t>
      </w:r>
      <w:r w:rsidRPr="00914AF7">
        <w:rPr>
          <w:rFonts w:cs="Arial"/>
        </w:rPr>
        <w:t xml:space="preserve">RTIs which </w:t>
      </w:r>
      <w:r>
        <w:rPr>
          <w:rFonts w:cs="Arial"/>
        </w:rPr>
        <w:t xml:space="preserve">may </w:t>
      </w:r>
      <w:r w:rsidRPr="00914AF7">
        <w:rPr>
          <w:rFonts w:cs="Arial"/>
        </w:rPr>
        <w:t xml:space="preserve">which </w:t>
      </w:r>
      <w:r>
        <w:rPr>
          <w:rFonts w:cs="Arial"/>
        </w:rPr>
        <w:t>may be less responsive to antibiotic treatment</w:t>
      </w:r>
      <w:r>
        <w:t>.</w:t>
      </w:r>
      <w:r w:rsidRPr="003C264D">
        <w:rPr>
          <w:noProof/>
          <w:vertAlign w:val="superscript"/>
        </w:rPr>
        <w:t>17,18</w:t>
      </w:r>
      <w:r w:rsidRPr="00395711">
        <w:rPr>
          <w:vertAlign w:val="superscript"/>
        </w:rPr>
        <w:t xml:space="preserve"> </w:t>
      </w:r>
    </w:p>
    <w:p w14:paraId="0BB106C5" w14:textId="77777777" w:rsidR="008E2C20" w:rsidRDefault="008E2C20" w:rsidP="008013AC">
      <w:pPr>
        <w:spacing w:line="360" w:lineRule="auto"/>
      </w:pPr>
      <w:r>
        <w:t xml:space="preserve">We therefore examined </w:t>
      </w:r>
      <w:r w:rsidRPr="00395711">
        <w:t>the relationship between the nu</w:t>
      </w:r>
      <w:r>
        <w:t>mber of antibiotic courses prescribed to preschool children</w:t>
      </w:r>
      <w:r w:rsidRPr="00395711">
        <w:t xml:space="preserve"> for </w:t>
      </w:r>
      <w:r>
        <w:t xml:space="preserve">acute RTIs in the preceding year, and subsequent RTIs </w:t>
      </w:r>
      <w:r w:rsidRPr="00395711">
        <w:t xml:space="preserve">that </w:t>
      </w:r>
      <w:r>
        <w:t xml:space="preserve">“fail” to adequately respond </w:t>
      </w:r>
      <w:r w:rsidRPr="00395711">
        <w:t>to antibiotic treatment</w:t>
      </w:r>
      <w:r>
        <w:t xml:space="preserve"> (</w:t>
      </w:r>
      <w:r w:rsidRPr="003D4F1A">
        <w:t>“response failures”</w:t>
      </w:r>
      <w:r>
        <w:t>).</w:t>
      </w:r>
    </w:p>
    <w:p w14:paraId="215D7B33" w14:textId="77777777" w:rsidR="008E2C20" w:rsidRDefault="008E2C20" w:rsidP="008013AC"/>
    <w:p w14:paraId="1A4C1FE2" w14:textId="77777777" w:rsidR="008E2C20" w:rsidRDefault="008E2C20" w:rsidP="008013AC">
      <w:pPr>
        <w:spacing w:line="480" w:lineRule="auto"/>
        <w:outlineLvl w:val="0"/>
        <w:rPr>
          <w:b/>
        </w:rPr>
      </w:pPr>
      <w:r w:rsidRPr="00AF4F73">
        <w:rPr>
          <w:b/>
        </w:rPr>
        <w:t>Methods</w:t>
      </w:r>
    </w:p>
    <w:p w14:paraId="756FD819" w14:textId="77777777" w:rsidR="008E2C20" w:rsidRPr="00DB19A7" w:rsidRDefault="008E2C20" w:rsidP="008013AC">
      <w:pPr>
        <w:spacing w:line="240" w:lineRule="auto"/>
        <w:outlineLvl w:val="0"/>
        <w:rPr>
          <w:i/>
        </w:rPr>
      </w:pPr>
      <w:r w:rsidRPr="00DB19A7">
        <w:rPr>
          <w:i/>
        </w:rPr>
        <w:t xml:space="preserve">Study design </w:t>
      </w:r>
    </w:p>
    <w:p w14:paraId="5EC21D5C" w14:textId="77777777" w:rsidR="008E2C20" w:rsidRPr="00A97C38" w:rsidRDefault="008E2C20" w:rsidP="008013AC">
      <w:pPr>
        <w:spacing w:line="360" w:lineRule="auto"/>
        <w:rPr>
          <w:lang w:val="en-US"/>
        </w:rPr>
      </w:pPr>
      <w:r>
        <w:lastRenderedPageBreak/>
        <w:t xml:space="preserve">This </w:t>
      </w:r>
      <w:r>
        <w:rPr>
          <w:rFonts w:cs="Arial"/>
        </w:rPr>
        <w:t>observational cohort study used</w:t>
      </w:r>
      <w:r w:rsidRPr="00277543">
        <w:rPr>
          <w:rFonts w:cs="Arial"/>
        </w:rPr>
        <w:t xml:space="preserve"> routinely collected </w:t>
      </w:r>
      <w:r>
        <w:rPr>
          <w:rFonts w:cs="Arial"/>
        </w:rPr>
        <w:t xml:space="preserve">primary care </w:t>
      </w:r>
      <w:r w:rsidRPr="00277543">
        <w:rPr>
          <w:rFonts w:cs="Arial"/>
        </w:rPr>
        <w:t>data from the Clinical Practice Research Datalink (CPRD)</w:t>
      </w:r>
      <w:r w:rsidRPr="00B52183">
        <w:rPr>
          <w:rFonts w:cs="Arial"/>
        </w:rPr>
        <w:t xml:space="preserve"> </w:t>
      </w:r>
      <w:r>
        <w:rPr>
          <w:rFonts w:cs="Arial"/>
        </w:rPr>
        <w:t>in the United Kingdom</w:t>
      </w:r>
      <w:r w:rsidRPr="00277543">
        <w:rPr>
          <w:rFonts w:cs="Arial"/>
        </w:rPr>
        <w:t xml:space="preserve">. </w:t>
      </w:r>
      <w:r w:rsidRPr="00B9786F">
        <w:t xml:space="preserve">The CPRD </w:t>
      </w:r>
      <w:r>
        <w:t>(</w:t>
      </w:r>
      <w:hyperlink r:id="rId9" w:history="1">
        <w:r w:rsidRPr="003D4F1A">
          <w:rPr>
            <w:rStyle w:val="Hyperlink"/>
          </w:rPr>
          <w:t>www.cprd.com</w:t>
        </w:r>
      </w:hyperlink>
      <w:r>
        <w:t xml:space="preserve">) </w:t>
      </w:r>
      <w:r w:rsidRPr="00B9786F">
        <w:t xml:space="preserve">is a national database of electronic medical records </w:t>
      </w:r>
      <w:r w:rsidRPr="00A97C38">
        <w:rPr>
          <w:lang w:val="en-US"/>
        </w:rPr>
        <w:t xml:space="preserve">that contains </w:t>
      </w:r>
      <w:r w:rsidRPr="00B9786F">
        <w:t xml:space="preserve">anonymised longitudinal data </w:t>
      </w:r>
      <w:r>
        <w:rPr>
          <w:lang w:val="en-US"/>
        </w:rPr>
        <w:t>f</w:t>
      </w:r>
      <w:r w:rsidRPr="00B9786F">
        <w:t xml:space="preserve">rom </w:t>
      </w:r>
      <w:r>
        <w:t>over 670</w:t>
      </w:r>
      <w:r w:rsidRPr="00B9786F">
        <w:t xml:space="preserve"> GP </w:t>
      </w:r>
      <w:r>
        <w:t>clinics</w:t>
      </w:r>
      <w:r w:rsidRPr="00B9786F">
        <w:t xml:space="preserve"> across </w:t>
      </w:r>
      <w:r>
        <w:t>the United Kingdom</w:t>
      </w:r>
      <w:r w:rsidRPr="00B9786F">
        <w:t>.</w:t>
      </w:r>
      <w:r w:rsidRPr="003C264D">
        <w:rPr>
          <w:noProof/>
          <w:vertAlign w:val="superscript"/>
        </w:rPr>
        <w:t>19</w:t>
      </w:r>
      <w:r w:rsidRPr="00B9786F">
        <w:t xml:space="preserve">  </w:t>
      </w:r>
      <w:r>
        <w:t>The database includes records of all prescriptions issued, clinical diagnoses, referrals to secondary care, hospitalisations, and investigation results during consultations in primary care.  Prescriptions are computer generated and are automatically incorporated into the patient medical record. The data have been extensively validated for pharmaco-epidemiological, clinical and health service usage research.</w:t>
      </w:r>
      <w:r w:rsidRPr="003C264D">
        <w:rPr>
          <w:noProof/>
          <w:vertAlign w:val="superscript"/>
        </w:rPr>
        <w:t>20-22</w:t>
      </w:r>
      <w:r w:rsidRPr="00800BB0">
        <w:rPr>
          <w:lang w:val="nl-BE"/>
        </w:rPr>
        <w:t xml:space="preserve"> </w:t>
      </w:r>
    </w:p>
    <w:p w14:paraId="57ED2A03" w14:textId="77777777" w:rsidR="008E2C20" w:rsidRPr="00DB19A7" w:rsidRDefault="008E2C20" w:rsidP="008013AC">
      <w:pPr>
        <w:spacing w:line="240" w:lineRule="auto"/>
        <w:outlineLvl w:val="0"/>
        <w:rPr>
          <w:bCs/>
          <w:i/>
        </w:rPr>
      </w:pPr>
      <w:r w:rsidRPr="00DB19A7">
        <w:rPr>
          <w:bCs/>
          <w:i/>
        </w:rPr>
        <w:t xml:space="preserve">Study population </w:t>
      </w:r>
    </w:p>
    <w:p w14:paraId="40719BE4" w14:textId="77777777" w:rsidR="008E2C20" w:rsidRPr="00A95EA5" w:rsidRDefault="008E2C20" w:rsidP="008013AC">
      <w:pPr>
        <w:spacing w:line="360" w:lineRule="auto"/>
        <w:rPr>
          <w:rFonts w:cs="Arial"/>
          <w:lang w:val="en-US"/>
        </w:rPr>
      </w:pPr>
      <w:r>
        <w:rPr>
          <w:rFonts w:cs="Arial"/>
        </w:rPr>
        <w:t>We included c</w:t>
      </w:r>
      <w:r w:rsidRPr="00395711">
        <w:rPr>
          <w:rFonts w:cs="Arial"/>
        </w:rPr>
        <w:t>hildren aged 12-60 months inclusive</w:t>
      </w:r>
      <w:r w:rsidR="00C61C85">
        <w:rPr>
          <w:rFonts w:cs="Arial"/>
        </w:rPr>
        <w:t xml:space="preserve"> </w:t>
      </w:r>
      <w:r w:rsidR="00C61C85" w:rsidRPr="00C61C85">
        <w:rPr>
          <w:rFonts w:cs="Arial"/>
          <w:highlight w:val="cyan"/>
        </w:rPr>
        <w:t>who were</w:t>
      </w:r>
      <w:r w:rsidRPr="00395711">
        <w:rPr>
          <w:rFonts w:cs="Arial"/>
        </w:rPr>
        <w:t xml:space="preserve"> prescribed an antibiotic for an acute RTI (upp</w:t>
      </w:r>
      <w:r>
        <w:rPr>
          <w:rFonts w:cs="Arial"/>
        </w:rPr>
        <w:t xml:space="preserve">er and lower RTI or otitis media) from </w:t>
      </w:r>
      <w:r w:rsidRPr="001F713F">
        <w:rPr>
          <w:rFonts w:cs="Arial"/>
        </w:rPr>
        <w:t xml:space="preserve">January 2009 to </w:t>
      </w:r>
      <w:r>
        <w:rPr>
          <w:rFonts w:cs="Arial"/>
        </w:rPr>
        <w:t>September 2016.</w:t>
      </w:r>
      <w:r w:rsidRPr="006318BA">
        <w:rPr>
          <w:rFonts w:cs="Arial"/>
        </w:rPr>
        <w:t xml:space="preserve"> </w:t>
      </w:r>
      <w:r>
        <w:rPr>
          <w:rFonts w:cs="Arial"/>
        </w:rPr>
        <w:t>For the purposes of counting</w:t>
      </w:r>
      <w:r>
        <w:rPr>
          <w:rFonts w:cs="Arial"/>
          <w:lang w:val="en-US"/>
        </w:rPr>
        <w:t xml:space="preserve"> the number of antibiotic courses </w:t>
      </w:r>
      <w:r w:rsidRPr="008E042C">
        <w:rPr>
          <w:rFonts w:cs="Arial"/>
          <w:lang w:val="en-US"/>
        </w:rPr>
        <w:t>prescribed for acute RTIs in the preceding year before</w:t>
      </w:r>
      <w:r>
        <w:rPr>
          <w:rFonts w:cs="Arial"/>
          <w:lang w:val="en-US"/>
        </w:rPr>
        <w:t xml:space="preserve"> the start of the study period, data were included from </w:t>
      </w:r>
      <w:r w:rsidRPr="008E042C">
        <w:rPr>
          <w:rFonts w:cs="Arial"/>
          <w:lang w:val="en-US"/>
        </w:rPr>
        <w:t xml:space="preserve">January 2008 to end study date. </w:t>
      </w:r>
    </w:p>
    <w:p w14:paraId="61765BC2" w14:textId="77777777" w:rsidR="008E2C20" w:rsidRPr="00DB19A7" w:rsidRDefault="008E2C20" w:rsidP="008013AC">
      <w:pPr>
        <w:rPr>
          <w:rFonts w:cs="Arial"/>
          <w:i/>
        </w:rPr>
      </w:pPr>
      <w:r w:rsidRPr="00DB19A7">
        <w:rPr>
          <w:rFonts w:cs="Arial"/>
          <w:i/>
        </w:rPr>
        <w:t>Study definitions</w:t>
      </w:r>
    </w:p>
    <w:p w14:paraId="14AB0AD4" w14:textId="77777777" w:rsidR="008E2C20" w:rsidRPr="00BE6504" w:rsidRDefault="008E2C20" w:rsidP="008013AC">
      <w:pPr>
        <w:spacing w:line="360" w:lineRule="auto"/>
        <w:rPr>
          <w:rFonts w:cs="Arial"/>
        </w:rPr>
      </w:pPr>
      <w:r>
        <w:rPr>
          <w:rFonts w:cs="Arial"/>
        </w:rPr>
        <w:t xml:space="preserve">Acute RTIs </w:t>
      </w:r>
      <w:r w:rsidRPr="00825AB8">
        <w:rPr>
          <w:rFonts w:cs="Arial"/>
        </w:rPr>
        <w:t xml:space="preserve">were defined by </w:t>
      </w:r>
      <w:r>
        <w:t xml:space="preserve">one or more clinical </w:t>
      </w:r>
      <w:r w:rsidRPr="00825AB8">
        <w:t>diagnostic codes (</w:t>
      </w:r>
      <w:r w:rsidRPr="00C6114C">
        <w:rPr>
          <w:rFonts w:cs="Arial"/>
        </w:rPr>
        <w:t>Read</w:t>
      </w:r>
      <w:r w:rsidRPr="00825AB8">
        <w:rPr>
          <w:rFonts w:cs="Arial"/>
          <w:i/>
        </w:rPr>
        <w:t xml:space="preserve"> </w:t>
      </w:r>
      <w:r w:rsidRPr="000C7598">
        <w:rPr>
          <w:rFonts w:cs="Arial"/>
        </w:rPr>
        <w:t>codes</w:t>
      </w:r>
      <w:r w:rsidRPr="00825AB8">
        <w:rPr>
          <w:rFonts w:cs="Arial"/>
        </w:rPr>
        <w:t>) relating to acute up</w:t>
      </w:r>
      <w:r>
        <w:rPr>
          <w:rFonts w:cs="Arial"/>
        </w:rPr>
        <w:t>per RTIs (e.g.</w:t>
      </w:r>
      <w:r w:rsidRPr="00825AB8">
        <w:rPr>
          <w:rFonts w:cs="Arial"/>
        </w:rPr>
        <w:t xml:space="preserve"> rhinosinusitis) and lower RTIs (e.g. pneumonia, bronchitis), and </w:t>
      </w:r>
      <w:r>
        <w:rPr>
          <w:rFonts w:cs="Arial"/>
        </w:rPr>
        <w:t xml:space="preserve">acute otitis media. </w:t>
      </w:r>
      <w:r w:rsidRPr="00395711">
        <w:rPr>
          <w:rFonts w:cs="Arial"/>
        </w:rPr>
        <w:t xml:space="preserve">Antibiotic </w:t>
      </w:r>
      <w:r>
        <w:rPr>
          <w:rFonts w:cs="Arial"/>
        </w:rPr>
        <w:t xml:space="preserve">prescription </w:t>
      </w:r>
      <w:r w:rsidRPr="00395711">
        <w:rPr>
          <w:rFonts w:cs="Arial"/>
        </w:rPr>
        <w:t>include</w:t>
      </w:r>
      <w:r>
        <w:rPr>
          <w:rFonts w:cs="Arial"/>
        </w:rPr>
        <w:t>d</w:t>
      </w:r>
      <w:r w:rsidRPr="00395711">
        <w:rPr>
          <w:rFonts w:cs="Arial"/>
        </w:rPr>
        <w:t xml:space="preserve"> oral therapy with primarily antibacterial activity listed in the British National Formulary (BNF) for Ch</w:t>
      </w:r>
      <w:r>
        <w:rPr>
          <w:rFonts w:cs="Arial"/>
        </w:rPr>
        <w:t xml:space="preserve">ildren (Chapter 5.1) </w:t>
      </w:r>
      <w:r w:rsidRPr="00395711">
        <w:rPr>
          <w:rFonts w:cs="Arial"/>
        </w:rPr>
        <w:t xml:space="preserve">licensed </w:t>
      </w:r>
      <w:r>
        <w:rPr>
          <w:rFonts w:cs="Arial"/>
        </w:rPr>
        <w:t xml:space="preserve">for acute RTIs in young children and defined by means of CPRD </w:t>
      </w:r>
      <w:r w:rsidRPr="000A4FB7">
        <w:rPr>
          <w:i/>
        </w:rPr>
        <w:t>product codes</w:t>
      </w:r>
      <w:r>
        <w:rPr>
          <w:rFonts w:cs="Arial"/>
        </w:rPr>
        <w:t xml:space="preserve">. </w:t>
      </w:r>
      <w:r w:rsidR="00C61C85" w:rsidRPr="00C61C85">
        <w:rPr>
          <w:szCs w:val="24"/>
          <w:highlight w:val="cyan"/>
        </w:rPr>
        <w:t xml:space="preserve">There was no minimum </w:t>
      </w:r>
      <w:r w:rsidR="00AD51C2">
        <w:rPr>
          <w:szCs w:val="24"/>
          <w:highlight w:val="cyan"/>
        </w:rPr>
        <w:t xml:space="preserve">antibiotic </w:t>
      </w:r>
      <w:r w:rsidR="00C61C85" w:rsidRPr="00C61C85">
        <w:rPr>
          <w:szCs w:val="24"/>
          <w:highlight w:val="cyan"/>
        </w:rPr>
        <w:t>duration or dose to qualify for inclusion.</w:t>
      </w:r>
      <w:r w:rsidR="00C61C85">
        <w:rPr>
          <w:color w:val="2E74B5" w:themeColor="accent5" w:themeShade="BF"/>
          <w:szCs w:val="24"/>
        </w:rPr>
        <w:t xml:space="preserve"> </w:t>
      </w:r>
      <w:r w:rsidRPr="00395711">
        <w:rPr>
          <w:rFonts w:cs="Arial"/>
        </w:rPr>
        <w:t xml:space="preserve">Drugs with primarily antiviral or antifungal activity and drugs for non-acute </w:t>
      </w:r>
      <w:r>
        <w:rPr>
          <w:rFonts w:cs="Arial"/>
        </w:rPr>
        <w:t xml:space="preserve">RTI (e.g. tuberculosis) were </w:t>
      </w:r>
      <w:r w:rsidRPr="00395711">
        <w:rPr>
          <w:rFonts w:cs="Arial"/>
        </w:rPr>
        <w:t>excluded.</w:t>
      </w:r>
      <w:r>
        <w:rPr>
          <w:rFonts w:cs="Arial"/>
        </w:rPr>
        <w:t xml:space="preserve"> </w:t>
      </w:r>
      <w:r>
        <w:t>C</w:t>
      </w:r>
      <w:r w:rsidRPr="00395061">
        <w:t xml:space="preserve">hildren </w:t>
      </w:r>
      <w:r>
        <w:t>who were prescribed</w:t>
      </w:r>
      <w:r w:rsidRPr="00395061">
        <w:t xml:space="preserve"> </w:t>
      </w:r>
      <w:r>
        <w:t xml:space="preserve">an </w:t>
      </w:r>
      <w:r w:rsidRPr="00395061">
        <w:t xml:space="preserve">antibiotic </w:t>
      </w:r>
      <w:r>
        <w:t>at an index consultation that did not have an associated Read code or had an irrelevant (not RTI-related) Read code</w:t>
      </w:r>
      <w:r w:rsidRPr="00395061">
        <w:t xml:space="preserve"> </w:t>
      </w:r>
      <w:r>
        <w:t>were excluded from the analysis. Children were also excluded where there was an inadequate follow-up period.</w:t>
      </w:r>
      <w:r>
        <w:rPr>
          <w:rFonts w:cs="Arial"/>
        </w:rPr>
        <w:t xml:space="preserve"> </w:t>
      </w:r>
      <w:r w:rsidRPr="00395061">
        <w:t xml:space="preserve">All children </w:t>
      </w:r>
      <w:r>
        <w:t xml:space="preserve">had to be </w:t>
      </w:r>
      <w:r w:rsidRPr="00395061">
        <w:t xml:space="preserve">registered in the CPRD database for at least 14 days after index consultation to allow </w:t>
      </w:r>
      <w:r>
        <w:t>the outcome to occur and be recorded.</w:t>
      </w:r>
      <w:r>
        <w:rPr>
          <w:rFonts w:cs="Arial"/>
        </w:rPr>
        <w:t xml:space="preserve"> </w:t>
      </w:r>
      <w:r w:rsidRPr="00395711">
        <w:rPr>
          <w:rFonts w:cs="Arial"/>
        </w:rPr>
        <w:lastRenderedPageBreak/>
        <w:t xml:space="preserve">Highly specific patient groups in whom specialised </w:t>
      </w:r>
      <w:r>
        <w:rPr>
          <w:rFonts w:cs="Arial"/>
        </w:rPr>
        <w:t xml:space="preserve">long-term </w:t>
      </w:r>
      <w:r w:rsidRPr="00395711">
        <w:rPr>
          <w:rFonts w:cs="Arial"/>
        </w:rPr>
        <w:t xml:space="preserve">antibiotic regimens are recommended for chronic respiratory </w:t>
      </w:r>
      <w:r>
        <w:rPr>
          <w:rFonts w:cs="Arial"/>
        </w:rPr>
        <w:t xml:space="preserve">diseases (e.g. </w:t>
      </w:r>
      <w:r w:rsidRPr="00395711">
        <w:rPr>
          <w:rFonts w:cs="Arial"/>
        </w:rPr>
        <w:t>tuberculosis)</w:t>
      </w:r>
      <w:r>
        <w:rPr>
          <w:rFonts w:cs="Arial"/>
        </w:rPr>
        <w:t xml:space="preserve"> were </w:t>
      </w:r>
      <w:r w:rsidRPr="00395711">
        <w:rPr>
          <w:rFonts w:cs="Arial"/>
        </w:rPr>
        <w:t>excluded</w:t>
      </w:r>
      <w:r>
        <w:rPr>
          <w:rFonts w:cs="Arial"/>
        </w:rPr>
        <w:t xml:space="preserve"> (Appendix 1)</w:t>
      </w:r>
      <w:r w:rsidRPr="00395711">
        <w:rPr>
          <w:rFonts w:cs="Arial"/>
        </w:rPr>
        <w:t>.</w:t>
      </w:r>
      <w:r>
        <w:rPr>
          <w:rFonts w:cs="Arial"/>
        </w:rPr>
        <w:t xml:space="preserve"> </w:t>
      </w:r>
    </w:p>
    <w:p w14:paraId="00CB2955" w14:textId="77777777" w:rsidR="008E2C20" w:rsidRPr="00DB19A7" w:rsidRDefault="008E2C20" w:rsidP="008013AC">
      <w:pPr>
        <w:rPr>
          <w:rFonts w:cs="Arial"/>
          <w:i/>
        </w:rPr>
      </w:pPr>
      <w:r w:rsidRPr="00DB19A7">
        <w:rPr>
          <w:rFonts w:cs="Arial"/>
          <w:i/>
        </w:rPr>
        <w:t xml:space="preserve">Antibiotic exposure </w:t>
      </w:r>
    </w:p>
    <w:p w14:paraId="0CFD4BD8" w14:textId="77777777" w:rsidR="008E2C20" w:rsidRDefault="008E2C20" w:rsidP="008013AC">
      <w:pPr>
        <w:spacing w:line="360" w:lineRule="auto"/>
        <w:rPr>
          <w:rFonts w:cs="Arial"/>
        </w:rPr>
      </w:pPr>
      <w:r w:rsidRPr="00395711">
        <w:rPr>
          <w:rFonts w:cs="Arial"/>
        </w:rPr>
        <w:t xml:space="preserve">Antibiotic exposure </w:t>
      </w:r>
      <w:r>
        <w:rPr>
          <w:rFonts w:cs="Arial"/>
        </w:rPr>
        <w:t xml:space="preserve">was </w:t>
      </w:r>
      <w:r w:rsidRPr="00395711">
        <w:rPr>
          <w:rFonts w:cs="Arial"/>
        </w:rPr>
        <w:t>measured as the number of antibiotic prescriptions for “acute RTI” up to 12 months prior to the index prescription (T</w:t>
      </w:r>
      <w:r w:rsidRPr="00395711">
        <w:rPr>
          <w:rFonts w:cs="Arial"/>
          <w:vertAlign w:val="subscript"/>
        </w:rPr>
        <w:t>0</w:t>
      </w:r>
      <w:r w:rsidRPr="00395711">
        <w:rPr>
          <w:rFonts w:cs="Arial"/>
        </w:rPr>
        <w:t xml:space="preserve">) (Fig. 1). </w:t>
      </w:r>
    </w:p>
    <w:p w14:paraId="6C534627" w14:textId="77777777" w:rsidR="008E2C20" w:rsidRDefault="008E2C20" w:rsidP="008013AC">
      <w:pPr>
        <w:spacing w:line="360" w:lineRule="auto"/>
        <w:rPr>
          <w:rFonts w:cs="Arial"/>
          <w:i/>
        </w:rPr>
      </w:pPr>
      <w:r w:rsidRPr="00AE03E9">
        <w:rPr>
          <w:rFonts w:cs="Arial"/>
          <w:i/>
        </w:rPr>
        <w:t xml:space="preserve">Insert Figure 1. </w:t>
      </w:r>
    </w:p>
    <w:p w14:paraId="51B743B6" w14:textId="77777777" w:rsidR="008E2C20" w:rsidRPr="00A40C4F" w:rsidRDefault="00D60A00" w:rsidP="008013AC">
      <w:pPr>
        <w:spacing w:line="360" w:lineRule="auto"/>
        <w:rPr>
          <w:rFonts w:cs="Arial"/>
          <w:i/>
        </w:rPr>
      </w:pPr>
      <w:r>
        <w:rPr>
          <w:rFonts w:cs="Arial"/>
          <w:highlight w:val="cyan"/>
        </w:rPr>
        <w:t>A</w:t>
      </w:r>
      <w:r w:rsidRPr="000207D6">
        <w:rPr>
          <w:rFonts w:cs="Arial"/>
          <w:highlight w:val="cyan"/>
        </w:rPr>
        <w:t xml:space="preserve">ntibiotic prescriptions </w:t>
      </w:r>
      <w:r>
        <w:rPr>
          <w:rFonts w:cs="Arial"/>
          <w:highlight w:val="cyan"/>
        </w:rPr>
        <w:t xml:space="preserve">for </w:t>
      </w:r>
      <w:r w:rsidR="00042CCB">
        <w:rPr>
          <w:rFonts w:cs="Arial"/>
          <w:highlight w:val="cyan"/>
        </w:rPr>
        <w:t xml:space="preserve">acute </w:t>
      </w:r>
      <w:r>
        <w:rPr>
          <w:rFonts w:cs="Arial"/>
          <w:highlight w:val="cyan"/>
        </w:rPr>
        <w:t>RTI</w:t>
      </w:r>
      <w:r w:rsidR="00042CCB">
        <w:rPr>
          <w:rFonts w:cs="Arial"/>
          <w:highlight w:val="cyan"/>
        </w:rPr>
        <w:t xml:space="preserve"> episodes </w:t>
      </w:r>
      <w:r w:rsidRPr="000207D6">
        <w:rPr>
          <w:rFonts w:cs="Arial"/>
          <w:highlight w:val="cyan"/>
        </w:rPr>
        <w:t>w</w:t>
      </w:r>
      <w:r w:rsidR="00042CCB">
        <w:rPr>
          <w:rFonts w:cs="Arial"/>
          <w:highlight w:val="cyan"/>
        </w:rPr>
        <w:t>ere</w:t>
      </w:r>
      <w:r w:rsidRPr="000207D6">
        <w:rPr>
          <w:rFonts w:cs="Arial"/>
          <w:highlight w:val="cyan"/>
        </w:rPr>
        <w:t xml:space="preserve"> selected </w:t>
      </w:r>
      <w:r w:rsidR="00042CCB">
        <w:rPr>
          <w:rFonts w:cs="Arial"/>
          <w:highlight w:val="cyan"/>
        </w:rPr>
        <w:t>at random</w:t>
      </w:r>
      <w:r w:rsidR="00042CCB" w:rsidRPr="00042CCB">
        <w:rPr>
          <w:rFonts w:cs="Arial"/>
          <w:highlight w:val="cyan"/>
        </w:rPr>
        <w:t xml:space="preserve">. The selection of the random sample of episodes within children was derived using the STATA set seed randomisation command (www.stata.com/manuals13/rsetseed). </w:t>
      </w:r>
      <w:r w:rsidR="007073AE" w:rsidRPr="00042CCB">
        <w:rPr>
          <w:rFonts w:cs="Arial"/>
          <w:highlight w:val="cyan"/>
        </w:rPr>
        <w:t>T</w:t>
      </w:r>
      <w:r w:rsidR="007073AE" w:rsidRPr="000207D6">
        <w:rPr>
          <w:rFonts w:cs="Arial"/>
          <w:highlight w:val="cyan"/>
        </w:rPr>
        <w:t>o account for multiple individual RTI episodes presenting in each child,</w:t>
      </w:r>
      <w:r w:rsidR="00042CCB">
        <w:rPr>
          <w:rFonts w:cs="Arial"/>
          <w:highlight w:val="cyan"/>
        </w:rPr>
        <w:t xml:space="preserve"> </w:t>
      </w:r>
      <w:r w:rsidR="00042CCB">
        <w:rPr>
          <w:rFonts w:cs="Arial"/>
        </w:rPr>
        <w:t>t</w:t>
      </w:r>
      <w:r w:rsidR="008E2C20" w:rsidRPr="00A166A1">
        <w:rPr>
          <w:rFonts w:cs="Arial"/>
        </w:rPr>
        <w:t>he index prescription (T</w:t>
      </w:r>
      <w:r w:rsidR="008E2C20" w:rsidRPr="00A166A1">
        <w:rPr>
          <w:rFonts w:cs="Arial"/>
          <w:vertAlign w:val="subscript"/>
        </w:rPr>
        <w:t>0</w:t>
      </w:r>
      <w:r w:rsidR="008E2C20">
        <w:rPr>
          <w:rFonts w:cs="Arial"/>
        </w:rPr>
        <w:t>) was defined as</w:t>
      </w:r>
      <w:r w:rsidR="008E2C20" w:rsidRPr="00A166A1">
        <w:rPr>
          <w:rFonts w:cs="Arial"/>
        </w:rPr>
        <w:t xml:space="preserve"> the </w:t>
      </w:r>
      <w:r w:rsidR="008E2C20">
        <w:rPr>
          <w:rFonts w:cs="Arial"/>
        </w:rPr>
        <w:t xml:space="preserve">first </w:t>
      </w:r>
      <w:r w:rsidR="008E2C20" w:rsidRPr="00A166A1">
        <w:rPr>
          <w:rFonts w:cs="Arial"/>
        </w:rPr>
        <w:t>ant</w:t>
      </w:r>
      <w:r w:rsidR="008E2C20">
        <w:rPr>
          <w:rFonts w:cs="Arial"/>
        </w:rPr>
        <w:t xml:space="preserve">ibiotic prescription for an acute RTI during the study period. All antibiotic </w:t>
      </w:r>
      <w:r w:rsidR="008E2C20" w:rsidRPr="002D275D">
        <w:rPr>
          <w:rFonts w:cs="Arial"/>
        </w:rPr>
        <w:t xml:space="preserve">prescriptions associated with acute RTIs </w:t>
      </w:r>
      <w:r w:rsidR="008E2C20">
        <w:rPr>
          <w:rFonts w:cs="Arial"/>
        </w:rPr>
        <w:t xml:space="preserve">up to </w:t>
      </w:r>
      <w:r w:rsidR="008E2C20" w:rsidRPr="00277543">
        <w:rPr>
          <w:rFonts w:cs="Arial"/>
        </w:rPr>
        <w:t xml:space="preserve">12 months prior to the index </w:t>
      </w:r>
      <w:r w:rsidR="008E2C20">
        <w:rPr>
          <w:rFonts w:cs="Arial"/>
        </w:rPr>
        <w:t xml:space="preserve">prescription were counted. </w:t>
      </w:r>
    </w:p>
    <w:p w14:paraId="7EAD70CF" w14:textId="77777777" w:rsidR="008E2C20" w:rsidRPr="006E0688" w:rsidRDefault="008E2C20" w:rsidP="008013AC">
      <w:pPr>
        <w:spacing w:line="360" w:lineRule="auto"/>
        <w:jc w:val="both"/>
        <w:rPr>
          <w:b/>
        </w:rPr>
      </w:pPr>
      <w:r w:rsidRPr="00BE6504">
        <w:t xml:space="preserve">Covariates for adjustment </w:t>
      </w:r>
      <w:r>
        <w:t>were (further details in Appendix 1)</w:t>
      </w:r>
      <w:r w:rsidRPr="00BE6504">
        <w:t>:</w:t>
      </w:r>
      <w:r w:rsidRPr="006E0688">
        <w:t xml:space="preserve"> </w:t>
      </w:r>
    </w:p>
    <w:p w14:paraId="5ECDB147" w14:textId="77777777" w:rsidR="008E2C20" w:rsidRDefault="008E2C20" w:rsidP="008013AC">
      <w:pPr>
        <w:numPr>
          <w:ilvl w:val="0"/>
          <w:numId w:val="3"/>
        </w:numPr>
        <w:spacing w:line="360" w:lineRule="auto"/>
        <w:contextualSpacing/>
        <w:jc w:val="both"/>
      </w:pPr>
      <w:r>
        <w:t xml:space="preserve">age (years) at the time of index antibiotic prescription, </w:t>
      </w:r>
    </w:p>
    <w:p w14:paraId="1416E935" w14:textId="77777777" w:rsidR="008E2C20" w:rsidRPr="006B0861" w:rsidRDefault="008E2C20" w:rsidP="008013AC">
      <w:pPr>
        <w:numPr>
          <w:ilvl w:val="0"/>
          <w:numId w:val="3"/>
        </w:numPr>
        <w:spacing w:line="360" w:lineRule="auto"/>
        <w:contextualSpacing/>
        <w:jc w:val="both"/>
      </w:pPr>
      <w:r w:rsidRPr="006B0861">
        <w:t xml:space="preserve">sex, </w:t>
      </w:r>
    </w:p>
    <w:p w14:paraId="4DFD45C2" w14:textId="77777777" w:rsidR="008E2C20" w:rsidRPr="006B0861" w:rsidRDefault="008E2C20" w:rsidP="008013AC">
      <w:pPr>
        <w:numPr>
          <w:ilvl w:val="0"/>
          <w:numId w:val="3"/>
        </w:numPr>
        <w:spacing w:line="360" w:lineRule="auto"/>
        <w:contextualSpacing/>
      </w:pPr>
      <w:r w:rsidRPr="006B0861">
        <w:t xml:space="preserve">time of year (according to seasons: </w:t>
      </w:r>
      <w:r w:rsidRPr="0009580B">
        <w:t>Dec-Feb = winter; Mar-May = spring; Jun-A</w:t>
      </w:r>
      <w:r>
        <w:t>ug = summer; Sept-Nov = autumn)</w:t>
      </w:r>
      <w:r w:rsidRPr="006B0861">
        <w:t xml:space="preserve">, </w:t>
      </w:r>
    </w:p>
    <w:p w14:paraId="086A0377" w14:textId="77777777" w:rsidR="008E2C20" w:rsidRPr="006B0861" w:rsidRDefault="008E2C20" w:rsidP="008013AC">
      <w:pPr>
        <w:numPr>
          <w:ilvl w:val="0"/>
          <w:numId w:val="3"/>
        </w:numPr>
        <w:spacing w:line="360" w:lineRule="auto"/>
        <w:contextualSpacing/>
        <w:jc w:val="both"/>
      </w:pPr>
      <w:r>
        <w:t>RTI type (upper-</w:t>
      </w:r>
      <w:r w:rsidRPr="006B0861">
        <w:t xml:space="preserve">, lower </w:t>
      </w:r>
      <w:r>
        <w:t xml:space="preserve">RTI, </w:t>
      </w:r>
      <w:r w:rsidRPr="006B0861">
        <w:t xml:space="preserve">and otitis media), </w:t>
      </w:r>
    </w:p>
    <w:p w14:paraId="6613937E" w14:textId="77777777" w:rsidR="008E2C20" w:rsidRPr="006B0861" w:rsidRDefault="008E2C20" w:rsidP="008013AC">
      <w:pPr>
        <w:numPr>
          <w:ilvl w:val="0"/>
          <w:numId w:val="3"/>
        </w:numPr>
        <w:spacing w:line="360" w:lineRule="auto"/>
        <w:contextualSpacing/>
        <w:jc w:val="both"/>
      </w:pPr>
      <w:r>
        <w:t xml:space="preserve">class of antibiotic </w:t>
      </w:r>
      <w:r w:rsidRPr="006B0861">
        <w:t xml:space="preserve">(according to the BNFC classification), </w:t>
      </w:r>
    </w:p>
    <w:p w14:paraId="180E2982" w14:textId="77777777" w:rsidR="008E2C20" w:rsidRPr="006B0861" w:rsidRDefault="008E2C20" w:rsidP="008013AC">
      <w:pPr>
        <w:numPr>
          <w:ilvl w:val="0"/>
          <w:numId w:val="3"/>
        </w:numPr>
        <w:spacing w:line="360" w:lineRule="auto"/>
        <w:contextualSpacing/>
        <w:jc w:val="both"/>
      </w:pPr>
      <w:r w:rsidRPr="006B0861">
        <w:t>pres</w:t>
      </w:r>
      <w:r>
        <w:t>ence of one or more comorbidit</w:t>
      </w:r>
      <w:r w:rsidR="00C61C85">
        <w:t>ies</w:t>
      </w:r>
      <w:r>
        <w:t>,</w:t>
      </w:r>
    </w:p>
    <w:p w14:paraId="725B26CE" w14:textId="77777777" w:rsidR="008E2C20" w:rsidRPr="006B0861" w:rsidRDefault="008E2C20" w:rsidP="008013AC">
      <w:pPr>
        <w:numPr>
          <w:ilvl w:val="0"/>
          <w:numId w:val="3"/>
        </w:numPr>
        <w:spacing w:line="360" w:lineRule="auto"/>
        <w:contextualSpacing/>
        <w:jc w:val="both"/>
      </w:pPr>
      <w:r w:rsidRPr="006B0861">
        <w:t xml:space="preserve">childhood vaccination status: </w:t>
      </w:r>
      <w:r>
        <w:t>d</w:t>
      </w:r>
      <w:r w:rsidRPr="00395061">
        <w:t>iphtheria, tetanus, pertussi</w:t>
      </w:r>
      <w:r>
        <w:t>s, polio and Hib (DTaP/IPV/Hib)</w:t>
      </w:r>
      <w:r w:rsidRPr="006B0861">
        <w:t xml:space="preserve"> and pneumococcal conjugate (PCV), </w:t>
      </w:r>
    </w:p>
    <w:p w14:paraId="2DECB116" w14:textId="77777777" w:rsidR="008E2C20" w:rsidRPr="00855A96" w:rsidRDefault="008E2C20" w:rsidP="008013AC">
      <w:pPr>
        <w:numPr>
          <w:ilvl w:val="0"/>
          <w:numId w:val="3"/>
        </w:numPr>
        <w:spacing w:line="360" w:lineRule="auto"/>
        <w:contextualSpacing/>
        <w:jc w:val="both"/>
      </w:pPr>
      <w:r>
        <w:t xml:space="preserve">social deprivation quintiles: </w:t>
      </w:r>
      <w:r w:rsidRPr="006B0861">
        <w:t xml:space="preserve">based on </w:t>
      </w:r>
      <w:r>
        <w:t>patient</w:t>
      </w:r>
      <w:r w:rsidRPr="006B0861">
        <w:t xml:space="preserve">-linked </w:t>
      </w:r>
      <w:r w:rsidRPr="00BA4151">
        <w:t xml:space="preserve">deprivation index score </w:t>
      </w:r>
      <w:r>
        <w:t>(</w:t>
      </w:r>
      <w:r w:rsidRPr="00855A96">
        <w:t>IMD</w:t>
      </w:r>
      <w:r>
        <w:t>),</w:t>
      </w:r>
    </w:p>
    <w:p w14:paraId="6C526365" w14:textId="77777777" w:rsidR="008E2C20" w:rsidRPr="006B0861" w:rsidRDefault="008E2C20" w:rsidP="008013AC">
      <w:pPr>
        <w:numPr>
          <w:ilvl w:val="0"/>
          <w:numId w:val="3"/>
        </w:numPr>
        <w:spacing w:line="360" w:lineRule="auto"/>
        <w:contextualSpacing/>
      </w:pPr>
      <w:r w:rsidRPr="006B0861">
        <w:t>number of previous “response failure” episodes during the 12-month period before the index prescription</w:t>
      </w:r>
      <w:r>
        <w:t xml:space="preserve">, and </w:t>
      </w:r>
    </w:p>
    <w:p w14:paraId="2FBC01B1" w14:textId="77777777" w:rsidR="008E2C20" w:rsidRDefault="008E2C20" w:rsidP="008013AC">
      <w:pPr>
        <w:numPr>
          <w:ilvl w:val="0"/>
          <w:numId w:val="3"/>
        </w:numPr>
        <w:spacing w:line="360" w:lineRule="auto"/>
        <w:contextualSpacing/>
        <w:jc w:val="both"/>
      </w:pPr>
      <w:r w:rsidRPr="006B0861">
        <w:lastRenderedPageBreak/>
        <w:t>number of consultations for acute RTIs during the 12 months before the index prescription</w:t>
      </w:r>
      <w:r>
        <w:t xml:space="preserve"> (baseline consultation rate</w:t>
      </w:r>
      <w:r w:rsidRPr="006B0861">
        <w:t xml:space="preserve">). </w:t>
      </w:r>
    </w:p>
    <w:p w14:paraId="5A99C1A2" w14:textId="77777777" w:rsidR="008E2C20" w:rsidRDefault="008E2C20" w:rsidP="008013AC">
      <w:pPr>
        <w:rPr>
          <w:rFonts w:cs="Arial"/>
        </w:rPr>
      </w:pPr>
    </w:p>
    <w:p w14:paraId="57A657FD" w14:textId="77777777" w:rsidR="008E2C20" w:rsidRPr="00A53464" w:rsidRDefault="008E2C20" w:rsidP="008013AC">
      <w:pPr>
        <w:rPr>
          <w:rFonts w:cs="Arial"/>
          <w:i/>
        </w:rPr>
      </w:pPr>
      <w:r w:rsidRPr="00A53464">
        <w:rPr>
          <w:rFonts w:cs="Arial"/>
          <w:i/>
        </w:rPr>
        <w:t>Outcome</w:t>
      </w:r>
    </w:p>
    <w:p w14:paraId="238A7395" w14:textId="77777777" w:rsidR="008E2C20" w:rsidRPr="0062693A" w:rsidRDefault="008E2C20" w:rsidP="008013AC">
      <w:pPr>
        <w:spacing w:line="360" w:lineRule="auto"/>
        <w:rPr>
          <w:rFonts w:eastAsia="Times New Roman" w:cs="Calibri"/>
        </w:rPr>
      </w:pPr>
      <w:r w:rsidRPr="0062693A">
        <w:t>We conceptualised the term “response failure” in recognition that for many acute</w:t>
      </w:r>
      <w:r>
        <w:t xml:space="preserve"> </w:t>
      </w:r>
      <w:r w:rsidRPr="0062693A">
        <w:t xml:space="preserve">RTIs, failure </w:t>
      </w:r>
      <w:r w:rsidRPr="0062693A">
        <w:rPr>
          <w:rFonts w:eastAsia="Times New Roman" w:cs="Calibri"/>
        </w:rPr>
        <w:t xml:space="preserve">may occur for reasons other than the antibiotic treatment itself. </w:t>
      </w:r>
      <w:r w:rsidRPr="0062693A">
        <w:t xml:space="preserve">For the purposes of this analysis, “response failure” was defined as the earliest occurrence of any of:  </w:t>
      </w:r>
    </w:p>
    <w:p w14:paraId="1180D979" w14:textId="77777777" w:rsidR="008E2C20" w:rsidRPr="00395711" w:rsidRDefault="008E2C20" w:rsidP="008013AC">
      <w:pPr>
        <w:numPr>
          <w:ilvl w:val="0"/>
          <w:numId w:val="5"/>
        </w:numPr>
        <w:spacing w:after="0" w:line="360" w:lineRule="auto"/>
      </w:pPr>
      <w:r w:rsidRPr="00395711">
        <w:t xml:space="preserve">prescription of a subsequent antibiotic within 14 days of the initial antibiotic </w:t>
      </w:r>
      <w:r>
        <w:t>being prescribed to that child,</w:t>
      </w:r>
    </w:p>
    <w:p w14:paraId="1723AF3B" w14:textId="77777777" w:rsidR="008E2C20" w:rsidRPr="00395711" w:rsidRDefault="008E2C20" w:rsidP="008013AC">
      <w:pPr>
        <w:numPr>
          <w:ilvl w:val="0"/>
          <w:numId w:val="5"/>
        </w:numPr>
        <w:spacing w:after="0" w:line="360" w:lineRule="auto"/>
      </w:pPr>
      <w:r w:rsidRPr="00395711">
        <w:t xml:space="preserve">GP record of </w:t>
      </w:r>
      <w:r>
        <w:t xml:space="preserve">hospital </w:t>
      </w:r>
      <w:r w:rsidRPr="00395711">
        <w:t>admission with an infection-related diagnostic code</w:t>
      </w:r>
      <w:r w:rsidRPr="001A5A55">
        <w:t xml:space="preserve"> </w:t>
      </w:r>
      <w:r w:rsidRPr="00395711">
        <w:t>within 14 days of antibiotic initiation,</w:t>
      </w:r>
    </w:p>
    <w:p w14:paraId="4F062DB8" w14:textId="77777777" w:rsidR="008E2C20" w:rsidRPr="00395711" w:rsidRDefault="008E2C20" w:rsidP="008013AC">
      <w:pPr>
        <w:numPr>
          <w:ilvl w:val="0"/>
          <w:numId w:val="5"/>
        </w:numPr>
        <w:spacing w:after="0" w:line="360" w:lineRule="auto"/>
      </w:pPr>
      <w:r w:rsidRPr="00395711">
        <w:t>GP record of death with an infection-related diagnostic code</w:t>
      </w:r>
      <w:r w:rsidRPr="001A5A55">
        <w:t xml:space="preserve"> </w:t>
      </w:r>
      <w:r w:rsidRPr="00395711">
        <w:t>within 14 days of antibiotic initiation,</w:t>
      </w:r>
    </w:p>
    <w:p w14:paraId="3B14CA07" w14:textId="77777777" w:rsidR="008E2C20" w:rsidRPr="000174F3" w:rsidRDefault="008E2C20" w:rsidP="008013AC">
      <w:pPr>
        <w:numPr>
          <w:ilvl w:val="0"/>
          <w:numId w:val="5"/>
        </w:numPr>
        <w:spacing w:after="0" w:line="360" w:lineRule="auto"/>
      </w:pPr>
      <w:r w:rsidRPr="001A5A55">
        <w:t xml:space="preserve">GP record of referral to an infection-related specialist service within 14 days of antibiotic </w:t>
      </w:r>
      <w:r w:rsidRPr="000174F3">
        <w:t>initiation, or</w:t>
      </w:r>
    </w:p>
    <w:p w14:paraId="279754BF" w14:textId="77777777" w:rsidR="000174F3" w:rsidRPr="000174F3" w:rsidRDefault="008E2C20" w:rsidP="008013AC">
      <w:pPr>
        <w:numPr>
          <w:ilvl w:val="0"/>
          <w:numId w:val="5"/>
        </w:numPr>
        <w:spacing w:after="0" w:line="360" w:lineRule="auto"/>
      </w:pPr>
      <w:r w:rsidRPr="000174F3">
        <w:t>GP record of an emergency department visit within three days of antibiotic initiation</w:t>
      </w:r>
      <w:r w:rsidR="000174F3" w:rsidRPr="000174F3">
        <w:t xml:space="preserve"> </w:t>
      </w:r>
    </w:p>
    <w:p w14:paraId="739AF3EF" w14:textId="77777777" w:rsidR="008E2C20" w:rsidRPr="000174F3" w:rsidRDefault="000174F3" w:rsidP="000174F3">
      <w:pPr>
        <w:spacing w:after="0" w:line="360" w:lineRule="auto"/>
        <w:ind w:left="720"/>
        <w:rPr>
          <w:highlight w:val="cyan"/>
        </w:rPr>
      </w:pPr>
      <w:r>
        <w:t>(</w:t>
      </w:r>
      <w:r w:rsidRPr="000174F3">
        <w:rPr>
          <w:rFonts w:cs="Calibri"/>
          <w:highlight w:val="cyan"/>
        </w:rPr>
        <w:t xml:space="preserve">the shorter time window likely reflects that the emergency event was related to the illness episode, and acknowledges that </w:t>
      </w:r>
      <w:r w:rsidRPr="000174F3">
        <w:rPr>
          <w:rFonts w:asciiTheme="minorHAnsi" w:hAnsiTheme="minorHAnsi" w:cs="Calibri"/>
          <w:highlight w:val="cyan"/>
        </w:rPr>
        <w:t>carers of young children tend to consult within a shorter period of time if their child’s symptoms do not improve)</w:t>
      </w:r>
      <w:r>
        <w:rPr>
          <w:rFonts w:asciiTheme="minorHAnsi" w:hAnsiTheme="minorHAnsi" w:cs="Calibri"/>
          <w:highlight w:val="cyan"/>
        </w:rPr>
        <w:t>.</w:t>
      </w:r>
    </w:p>
    <w:p w14:paraId="1A8CFBC8" w14:textId="77777777" w:rsidR="000174F3" w:rsidRPr="001A5A55" w:rsidRDefault="000174F3" w:rsidP="000174F3">
      <w:pPr>
        <w:spacing w:after="0" w:line="360" w:lineRule="auto"/>
        <w:ind w:left="720"/>
      </w:pPr>
    </w:p>
    <w:p w14:paraId="2DA3E71F" w14:textId="77777777" w:rsidR="008E2C20" w:rsidRPr="00371704" w:rsidRDefault="008E2C20" w:rsidP="008013AC">
      <w:pPr>
        <w:spacing w:line="360" w:lineRule="auto"/>
      </w:pPr>
      <w:r>
        <w:t xml:space="preserve">Referrals to a </w:t>
      </w:r>
      <w:r w:rsidRPr="001A5A55">
        <w:t>specialist service</w:t>
      </w:r>
      <w:r>
        <w:t xml:space="preserve"> in secondary care were taken were taken from CPRD’s Referral table.  This table contains information about who the referral is made to and is linked to a </w:t>
      </w:r>
      <w:r w:rsidRPr="00C6114C">
        <w:rPr>
          <w:rFonts w:cs="Arial"/>
        </w:rPr>
        <w:t>Read</w:t>
      </w:r>
      <w:r w:rsidRPr="00825AB8">
        <w:rPr>
          <w:rFonts w:cs="Arial"/>
          <w:i/>
        </w:rPr>
        <w:t xml:space="preserve"> </w:t>
      </w:r>
      <w:r>
        <w:rPr>
          <w:rFonts w:cs="Arial"/>
        </w:rPr>
        <w:t>code</w:t>
      </w:r>
      <w:r>
        <w:t>. We matched referrals</w:t>
      </w:r>
      <w:r w:rsidRPr="0025187A">
        <w:t xml:space="preserve"> </w:t>
      </w:r>
      <w:r>
        <w:t xml:space="preserve">to secondary care by index consultation dates and selected acute specialities relevant to acute infections with an RTI diagnostic code. Referrals for </w:t>
      </w:r>
      <w:r w:rsidRPr="00831B1A">
        <w:t>blood tests, microbiology</w:t>
      </w:r>
      <w:r>
        <w:t xml:space="preserve"> (throat or ear swabs etc.) were excluded. Where it was not clear where the referral was being made to, referrals were based on probable acute RTI-related symptoms e.g. breathlessness. </w:t>
      </w:r>
      <w:r w:rsidRPr="00395711">
        <w:t xml:space="preserve">For each index </w:t>
      </w:r>
      <w:r>
        <w:t xml:space="preserve">antibiotic </w:t>
      </w:r>
      <w:r w:rsidRPr="00395711">
        <w:t>prescription (T</w:t>
      </w:r>
      <w:r w:rsidRPr="00395711">
        <w:rPr>
          <w:vertAlign w:val="subscript"/>
        </w:rPr>
        <w:t>0</w:t>
      </w:r>
      <w:r>
        <w:t xml:space="preserve">), </w:t>
      </w:r>
      <w:r w:rsidRPr="00395711">
        <w:t>“response failure” e</w:t>
      </w:r>
      <w:r>
        <w:t>vents</w:t>
      </w:r>
      <w:r w:rsidRPr="00395711">
        <w:t xml:space="preserve"> </w:t>
      </w:r>
      <w:r>
        <w:t xml:space="preserve">were derived </w:t>
      </w:r>
      <w:r w:rsidRPr="00395711">
        <w:t xml:space="preserve">by searching forward 14 days from </w:t>
      </w:r>
      <w:r w:rsidRPr="00395711">
        <w:lastRenderedPageBreak/>
        <w:t>T</w:t>
      </w:r>
      <w:r w:rsidRPr="00395711">
        <w:rPr>
          <w:vertAlign w:val="subscript"/>
        </w:rPr>
        <w:t xml:space="preserve">0 </w:t>
      </w:r>
      <w:r w:rsidRPr="00395711">
        <w:t>for the first indication of “response failure” as per the definition thereof. For those children who fulfil</w:t>
      </w:r>
      <w:r>
        <w:t>led</w:t>
      </w:r>
      <w:r w:rsidRPr="00395711">
        <w:t xml:space="preserve"> one of the criteria</w:t>
      </w:r>
      <w:r>
        <w:t xml:space="preserve"> of “response failure”, </w:t>
      </w:r>
      <w:r w:rsidRPr="00395711">
        <w:t>any RTI</w:t>
      </w:r>
      <w:r>
        <w:t>-</w:t>
      </w:r>
      <w:r w:rsidRPr="00395711">
        <w:t xml:space="preserve">relevant </w:t>
      </w:r>
      <w:r>
        <w:t xml:space="preserve">Read code was sought immediately before or after the “response failure” event. </w:t>
      </w:r>
    </w:p>
    <w:p w14:paraId="03E66456" w14:textId="77777777" w:rsidR="008E2C20" w:rsidRPr="00A53464" w:rsidRDefault="008E2C20" w:rsidP="008013AC">
      <w:pPr>
        <w:spacing w:line="480" w:lineRule="auto"/>
        <w:outlineLvl w:val="0"/>
        <w:rPr>
          <w:i/>
        </w:rPr>
      </w:pPr>
      <w:bookmarkStart w:id="1" w:name="italic24"/>
      <w:r w:rsidRPr="00A53464">
        <w:rPr>
          <w:i/>
        </w:rPr>
        <w:t>Statistical</w:t>
      </w:r>
      <w:bookmarkStart w:id="2" w:name="italic25"/>
      <w:bookmarkEnd w:id="1"/>
      <w:r w:rsidRPr="00A53464">
        <w:rPr>
          <w:i/>
        </w:rPr>
        <w:t xml:space="preserve"> methods</w:t>
      </w:r>
      <w:bookmarkEnd w:id="2"/>
    </w:p>
    <w:p w14:paraId="38A3E313" w14:textId="77777777" w:rsidR="008E2C20" w:rsidRPr="00A53464" w:rsidRDefault="008E2C20" w:rsidP="008013AC">
      <w:pPr>
        <w:spacing w:line="360" w:lineRule="auto"/>
        <w:jc w:val="both"/>
      </w:pPr>
      <w:r w:rsidRPr="00CB489D">
        <w:t>Stata 1</w:t>
      </w:r>
      <w:r>
        <w:t xml:space="preserve">3SE was </w:t>
      </w:r>
      <w:r w:rsidRPr="00CB489D">
        <w:t xml:space="preserve">used to carry out all statistical analyses. </w:t>
      </w:r>
      <w:r>
        <w:t xml:space="preserve">Data were summarised </w:t>
      </w:r>
      <w:r w:rsidRPr="00395711">
        <w:t>as numbers and percentages for categorical</w:t>
      </w:r>
      <w:r>
        <w:t xml:space="preserve"> variables </w:t>
      </w:r>
      <w:r w:rsidRPr="00395711">
        <w:t>and means and standard deviations for continuous variables</w:t>
      </w:r>
      <w:r>
        <w:t xml:space="preserve"> where appropriate</w:t>
      </w:r>
      <w:r w:rsidRPr="00395711">
        <w:t xml:space="preserve">. </w:t>
      </w:r>
      <w:r>
        <w:t xml:space="preserve">Two analyses were performed: a multivariable logistic regression analysis on a </w:t>
      </w:r>
      <w:r>
        <w:rPr>
          <w:rFonts w:cs="Arial"/>
        </w:rPr>
        <w:t xml:space="preserve">random index </w:t>
      </w:r>
      <w:r w:rsidRPr="00B86F8F">
        <w:rPr>
          <w:rFonts w:cs="Arial"/>
        </w:rPr>
        <w:t xml:space="preserve">antibiotic </w:t>
      </w:r>
      <w:r>
        <w:rPr>
          <w:rFonts w:cs="Arial"/>
        </w:rPr>
        <w:t>course (</w:t>
      </w:r>
      <w:r w:rsidRPr="00B86F8F">
        <w:rPr>
          <w:rFonts w:cs="Arial"/>
        </w:rPr>
        <w:t>pr</w:t>
      </w:r>
      <w:r>
        <w:rPr>
          <w:rFonts w:cs="Arial"/>
        </w:rPr>
        <w:t xml:space="preserve">escription) for RTI per child </w:t>
      </w:r>
      <w:r>
        <w:t xml:space="preserve">(primary analysis) and </w:t>
      </w:r>
      <w:r w:rsidRPr="000D0CC2">
        <w:t>multivariable logistic regression using a three-level mixed effects model</w:t>
      </w:r>
      <w:r>
        <w:t xml:space="preserve"> (secondary analysis). </w:t>
      </w:r>
    </w:p>
    <w:p w14:paraId="024B33B6" w14:textId="77777777" w:rsidR="008E2C20" w:rsidRPr="009A2878" w:rsidRDefault="008E2C20" w:rsidP="008013AC">
      <w:pPr>
        <w:jc w:val="both"/>
        <w:rPr>
          <w:i/>
        </w:rPr>
      </w:pPr>
      <w:r>
        <w:rPr>
          <w:i/>
        </w:rPr>
        <w:t xml:space="preserve">(a) </w:t>
      </w:r>
      <w:r w:rsidRPr="00796FA8">
        <w:rPr>
          <w:i/>
        </w:rPr>
        <w:t>Primary analysis</w:t>
      </w:r>
    </w:p>
    <w:p w14:paraId="1A0B7E7F" w14:textId="77777777" w:rsidR="008E2C20" w:rsidRPr="00371704" w:rsidRDefault="008E2C20" w:rsidP="008013AC">
      <w:pPr>
        <w:spacing w:line="360" w:lineRule="auto"/>
      </w:pPr>
      <w:r>
        <w:rPr>
          <w:rFonts w:cs="Arial"/>
        </w:rPr>
        <w:t xml:space="preserve">The primary analysis included one random index </w:t>
      </w:r>
      <w:r w:rsidRPr="00B86F8F">
        <w:rPr>
          <w:rFonts w:cs="Arial"/>
        </w:rPr>
        <w:t xml:space="preserve">antibiotic </w:t>
      </w:r>
      <w:r>
        <w:rPr>
          <w:rFonts w:cs="Arial"/>
        </w:rPr>
        <w:t>course (</w:t>
      </w:r>
      <w:r w:rsidRPr="00B86F8F">
        <w:rPr>
          <w:rFonts w:cs="Arial"/>
        </w:rPr>
        <w:t>pr</w:t>
      </w:r>
      <w:r>
        <w:rPr>
          <w:rFonts w:cs="Arial"/>
        </w:rPr>
        <w:t xml:space="preserve">escription) for RTI per child </w:t>
      </w:r>
      <w:r>
        <w:t>during the study period</w:t>
      </w:r>
      <w:r>
        <w:rPr>
          <w:rFonts w:cs="Arial"/>
        </w:rPr>
        <w:t xml:space="preserve">. </w:t>
      </w:r>
      <w:r w:rsidRPr="00B86F8F">
        <w:rPr>
          <w:rFonts w:cs="Arial"/>
        </w:rPr>
        <w:t xml:space="preserve">To examine the association between the number of antibiotic </w:t>
      </w:r>
      <w:r>
        <w:rPr>
          <w:rFonts w:cs="Arial"/>
        </w:rPr>
        <w:t xml:space="preserve">courses </w:t>
      </w:r>
      <w:r w:rsidRPr="00B86F8F">
        <w:rPr>
          <w:rFonts w:cs="Arial"/>
        </w:rPr>
        <w:t xml:space="preserve">for </w:t>
      </w:r>
      <w:r>
        <w:rPr>
          <w:rFonts w:cs="Arial"/>
        </w:rPr>
        <w:t xml:space="preserve">acute </w:t>
      </w:r>
      <w:r w:rsidRPr="00B86F8F">
        <w:rPr>
          <w:rFonts w:cs="Arial"/>
        </w:rPr>
        <w:t>RTIs in the preceding 12 mo</w:t>
      </w:r>
      <w:r>
        <w:rPr>
          <w:rFonts w:cs="Arial"/>
        </w:rPr>
        <w:t xml:space="preserve">nths and “response failure”, we calculated </w:t>
      </w:r>
      <w:r w:rsidRPr="00B86F8F">
        <w:rPr>
          <w:rFonts w:cs="Arial"/>
        </w:rPr>
        <w:t xml:space="preserve">unadjusted and adjusted odds ratios with 95% confidence intervals in relation to the study </w:t>
      </w:r>
      <w:r w:rsidRPr="006511D4">
        <w:rPr>
          <w:rFonts w:cs="Arial"/>
        </w:rPr>
        <w:t>outcome using multivariable logistic regression</w:t>
      </w:r>
      <w:r>
        <w:rPr>
          <w:rFonts w:cs="Arial"/>
        </w:rPr>
        <w:t xml:space="preserve">. </w:t>
      </w:r>
      <w:r w:rsidRPr="006511D4">
        <w:rPr>
          <w:rFonts w:cs="Arial"/>
        </w:rPr>
        <w:t xml:space="preserve"> </w:t>
      </w:r>
    </w:p>
    <w:p w14:paraId="46009C84" w14:textId="77777777" w:rsidR="008E2C20" w:rsidRPr="004224D5" w:rsidRDefault="008E2C20" w:rsidP="008013AC">
      <w:pPr>
        <w:jc w:val="both"/>
        <w:rPr>
          <w:rFonts w:cs="Arial"/>
          <w:i/>
        </w:rPr>
      </w:pPr>
      <w:r w:rsidRPr="004224D5">
        <w:rPr>
          <w:rFonts w:cs="Arial"/>
          <w:i/>
        </w:rPr>
        <w:t>(b) Secondary analysis</w:t>
      </w:r>
    </w:p>
    <w:p w14:paraId="20813E49" w14:textId="77777777" w:rsidR="008E2C20" w:rsidRDefault="008E2C20" w:rsidP="008013AC">
      <w:pPr>
        <w:spacing w:line="360" w:lineRule="auto"/>
        <w:jc w:val="both"/>
        <w:rPr>
          <w:rFonts w:cs="Arial"/>
        </w:rPr>
      </w:pPr>
      <w:r>
        <w:rPr>
          <w:rFonts w:cs="Arial"/>
        </w:rPr>
        <w:t>To account for multiple individual RTI episodes presenting in each child nested within each practice, we carried out m</w:t>
      </w:r>
      <w:r w:rsidRPr="00F615E5">
        <w:rPr>
          <w:rFonts w:cs="Arial"/>
        </w:rPr>
        <w:t xml:space="preserve">ultivariable logistic regression </w:t>
      </w:r>
      <w:r>
        <w:rPr>
          <w:rFonts w:cs="Arial"/>
        </w:rPr>
        <w:t xml:space="preserve">using a three-level mixed effects model </w:t>
      </w:r>
      <w:r w:rsidRPr="00F615E5">
        <w:rPr>
          <w:rFonts w:cs="Arial"/>
        </w:rPr>
        <w:t>to examine whether (i) GP practice-level, (ii) child-level factors and (iii) antibiotic prescriptions</w:t>
      </w:r>
      <w:r>
        <w:rPr>
          <w:rFonts w:cs="Arial"/>
        </w:rPr>
        <w:t xml:space="preserve"> were</w:t>
      </w:r>
      <w:r w:rsidRPr="00F615E5">
        <w:rPr>
          <w:rFonts w:cs="Arial"/>
        </w:rPr>
        <w:t xml:space="preserve"> associated with “response failure” adjusting for covariates</w:t>
      </w:r>
      <w:r>
        <w:rPr>
          <w:rFonts w:cs="Arial"/>
        </w:rPr>
        <w:t xml:space="preserve">. </w:t>
      </w:r>
    </w:p>
    <w:p w14:paraId="193F3131" w14:textId="77777777" w:rsidR="008E2C20" w:rsidRPr="004224D5" w:rsidRDefault="008E2C20" w:rsidP="008013AC">
      <w:pPr>
        <w:jc w:val="both"/>
        <w:rPr>
          <w:rFonts w:cs="Arial"/>
          <w:i/>
        </w:rPr>
      </w:pPr>
      <w:r w:rsidRPr="004224D5">
        <w:rPr>
          <w:rFonts w:cs="Arial"/>
          <w:i/>
        </w:rPr>
        <w:t xml:space="preserve">(c) </w:t>
      </w:r>
      <w:r>
        <w:rPr>
          <w:rFonts w:cs="Arial"/>
          <w:i/>
        </w:rPr>
        <w:t>Sensitivity analyse</w:t>
      </w:r>
      <w:r w:rsidRPr="004224D5">
        <w:rPr>
          <w:rFonts w:cs="Arial"/>
          <w:i/>
        </w:rPr>
        <w:t>s</w:t>
      </w:r>
    </w:p>
    <w:p w14:paraId="284EE0E5" w14:textId="77777777" w:rsidR="008E2C20" w:rsidRDefault="008E2C20" w:rsidP="008013AC">
      <w:pPr>
        <w:spacing w:line="360" w:lineRule="auto"/>
        <w:jc w:val="both"/>
        <w:rPr>
          <w:rFonts w:cs="Arial"/>
        </w:rPr>
      </w:pPr>
      <w:r w:rsidRPr="00B33F97">
        <w:rPr>
          <w:rFonts w:cs="Arial"/>
        </w:rPr>
        <w:t>To as</w:t>
      </w:r>
      <w:r>
        <w:rPr>
          <w:rFonts w:cs="Arial"/>
        </w:rPr>
        <w:t xml:space="preserve">sess the robustness of the primary </w:t>
      </w:r>
      <w:r w:rsidRPr="00B33F97">
        <w:rPr>
          <w:rFonts w:cs="Arial"/>
        </w:rPr>
        <w:t>analysis, sensitivity analyses were perfor</w:t>
      </w:r>
      <w:r>
        <w:rPr>
          <w:rFonts w:cs="Arial"/>
        </w:rPr>
        <w:t xml:space="preserve">med, which excluded data from: </w:t>
      </w:r>
    </w:p>
    <w:p w14:paraId="75167E97" w14:textId="77777777" w:rsidR="008E2C20" w:rsidRPr="00AD6B48" w:rsidRDefault="008E2C20" w:rsidP="008013AC">
      <w:pPr>
        <w:pStyle w:val="ListParagraph"/>
        <w:numPr>
          <w:ilvl w:val="0"/>
          <w:numId w:val="2"/>
        </w:numPr>
        <w:spacing w:after="200" w:line="360" w:lineRule="auto"/>
        <w:jc w:val="both"/>
      </w:pPr>
      <w:r>
        <w:rPr>
          <w:rFonts w:cs="Arial"/>
        </w:rPr>
        <w:lastRenderedPageBreak/>
        <w:t xml:space="preserve">index </w:t>
      </w:r>
      <w:r w:rsidRPr="00CD1607">
        <w:rPr>
          <w:rFonts w:cs="Arial"/>
        </w:rPr>
        <w:t>antibiotic prescribing episodes which were preceded by one or more antibiotic prescriptions within the la</w:t>
      </w:r>
      <w:r>
        <w:rPr>
          <w:rFonts w:cs="Arial"/>
        </w:rPr>
        <w:t>st 14 days. T</w:t>
      </w:r>
      <w:r w:rsidRPr="00CD1607">
        <w:rPr>
          <w:rFonts w:cs="Arial"/>
        </w:rPr>
        <w:t>hese episodes may be response failures rather than index prescription</w:t>
      </w:r>
      <w:r>
        <w:rPr>
          <w:rFonts w:cs="Arial"/>
        </w:rPr>
        <w:t>s based on our study definition</w:t>
      </w:r>
      <w:r w:rsidRPr="00CD1607">
        <w:rPr>
          <w:rFonts w:cs="Arial"/>
        </w:rPr>
        <w:t xml:space="preserve">; </w:t>
      </w:r>
    </w:p>
    <w:p w14:paraId="7B03590B" w14:textId="77777777" w:rsidR="008E2C20" w:rsidRPr="00AD6B48" w:rsidRDefault="008E2C20" w:rsidP="008013AC">
      <w:pPr>
        <w:pStyle w:val="ListParagraph"/>
        <w:numPr>
          <w:ilvl w:val="0"/>
          <w:numId w:val="2"/>
        </w:numPr>
        <w:spacing w:after="200" w:line="360" w:lineRule="auto"/>
        <w:jc w:val="both"/>
      </w:pPr>
      <w:r>
        <w:rPr>
          <w:rFonts w:cs="Arial"/>
        </w:rPr>
        <w:t xml:space="preserve">index </w:t>
      </w:r>
      <w:r w:rsidRPr="00CD1607">
        <w:rPr>
          <w:rFonts w:cs="Arial"/>
        </w:rPr>
        <w:t xml:space="preserve">antibiotic prescribing episodes which were preceded by one or more antibiotic prescriptions during the 8-week period before the index prescription. </w:t>
      </w:r>
      <w:r w:rsidRPr="00CD1607">
        <w:t>Individuals with self-limiting respiratory tract infections may continue to experience symptoms such as persistent cough for up to eight weeks</w:t>
      </w:r>
      <w:r w:rsidRPr="003C264D">
        <w:rPr>
          <w:noProof/>
          <w:vertAlign w:val="superscript"/>
        </w:rPr>
        <w:t>23,24</w:t>
      </w:r>
      <w:r>
        <w:t xml:space="preserve">; </w:t>
      </w:r>
    </w:p>
    <w:p w14:paraId="4A7BF44E" w14:textId="77777777" w:rsidR="008E2C20" w:rsidRPr="00B33F97" w:rsidRDefault="008E2C20" w:rsidP="008013AC">
      <w:pPr>
        <w:pStyle w:val="ListParagraph"/>
        <w:numPr>
          <w:ilvl w:val="0"/>
          <w:numId w:val="2"/>
        </w:numPr>
        <w:spacing w:after="200" w:line="360" w:lineRule="auto"/>
        <w:jc w:val="both"/>
      </w:pPr>
      <w:r w:rsidRPr="00B11DE0">
        <w:rPr>
          <w:rFonts w:cs="Arial"/>
        </w:rPr>
        <w:t>children who were 12 months of age at the time of index prescription since these children would only have data from the time the child was registered at the GP surgery and may not h</w:t>
      </w:r>
      <w:r>
        <w:rPr>
          <w:rFonts w:cs="Arial"/>
        </w:rPr>
        <w:t>ave 12 months data in the CPRD.</w:t>
      </w:r>
    </w:p>
    <w:p w14:paraId="1058312D" w14:textId="77777777" w:rsidR="008E2C20" w:rsidRDefault="008E2C20" w:rsidP="008013AC">
      <w:pPr>
        <w:pStyle w:val="ListParagraph"/>
        <w:spacing w:line="360" w:lineRule="auto"/>
        <w:ind w:left="1080"/>
        <w:jc w:val="both"/>
        <w:rPr>
          <w:rFonts w:cs="Arial"/>
        </w:rPr>
      </w:pPr>
    </w:p>
    <w:p w14:paraId="226340D9" w14:textId="77777777" w:rsidR="008E2C20" w:rsidRPr="00B33F97" w:rsidRDefault="008E2C20" w:rsidP="008013AC">
      <w:pPr>
        <w:pStyle w:val="ListParagraph"/>
        <w:spacing w:line="360" w:lineRule="auto"/>
        <w:ind w:left="0"/>
        <w:jc w:val="both"/>
      </w:pPr>
      <w:r w:rsidRPr="00B33F97">
        <w:rPr>
          <w:rFonts w:cs="Arial"/>
        </w:rPr>
        <w:t xml:space="preserve">An additional sensitivity analysis was also performed whereby the response failure outcomes were only defined as criteria </w:t>
      </w:r>
      <w:r>
        <w:rPr>
          <w:rFonts w:cs="Arial"/>
        </w:rPr>
        <w:t xml:space="preserve">ii-v of the outcome definition </w:t>
      </w:r>
      <w:r w:rsidRPr="00B33F97">
        <w:rPr>
          <w:rFonts w:cs="Arial"/>
        </w:rPr>
        <w:t>thereby minimising the behavioural aspects of parental consultation and antibiotic prescri</w:t>
      </w:r>
      <w:r>
        <w:rPr>
          <w:rFonts w:cs="Arial"/>
        </w:rPr>
        <w:t xml:space="preserve">bing. </w:t>
      </w:r>
    </w:p>
    <w:p w14:paraId="54BB92D5" w14:textId="77777777" w:rsidR="008E2C20" w:rsidRPr="006511D4" w:rsidRDefault="008E2C20" w:rsidP="008013AC">
      <w:pPr>
        <w:jc w:val="both"/>
      </w:pPr>
      <w:r w:rsidRPr="006511D4">
        <w:rPr>
          <w:rFonts w:cs="Arial"/>
          <w:i/>
        </w:rPr>
        <w:t>(d) Subgroup analysis</w:t>
      </w:r>
    </w:p>
    <w:p w14:paraId="3AFCD297" w14:textId="77777777" w:rsidR="008E2C20" w:rsidRDefault="008E2C20" w:rsidP="008013AC">
      <w:pPr>
        <w:spacing w:line="360" w:lineRule="auto"/>
        <w:jc w:val="both"/>
        <w:rPr>
          <w:rFonts w:cs="Arial"/>
        </w:rPr>
      </w:pPr>
      <w:r>
        <w:rPr>
          <w:rFonts w:cs="Arial"/>
        </w:rPr>
        <w:t>Subgroup analysi</w:t>
      </w:r>
      <w:r w:rsidRPr="00954132">
        <w:rPr>
          <w:rFonts w:cs="Arial"/>
        </w:rPr>
        <w:t>s</w:t>
      </w:r>
      <w:r>
        <w:rPr>
          <w:rFonts w:cs="Arial"/>
        </w:rPr>
        <w:t xml:space="preserve"> was performed</w:t>
      </w:r>
      <w:r w:rsidRPr="00954132">
        <w:rPr>
          <w:rFonts w:cs="Arial"/>
        </w:rPr>
        <w:t xml:space="preserve"> by RTI type (upper RTI vs lower RTIs vs otitis media).</w:t>
      </w:r>
    </w:p>
    <w:p w14:paraId="1027C333" w14:textId="77777777" w:rsidR="008E2C20" w:rsidRPr="007010EF" w:rsidRDefault="008E2C20" w:rsidP="008013AC">
      <w:pPr>
        <w:jc w:val="both"/>
        <w:rPr>
          <w:rFonts w:cs="Arial"/>
        </w:rPr>
      </w:pPr>
    </w:p>
    <w:p w14:paraId="607834EC" w14:textId="77777777" w:rsidR="008E2C20" w:rsidRDefault="008E2C20" w:rsidP="008013AC">
      <w:pPr>
        <w:spacing w:line="480" w:lineRule="auto"/>
        <w:outlineLvl w:val="0"/>
        <w:rPr>
          <w:b/>
        </w:rPr>
      </w:pPr>
      <w:r w:rsidRPr="00AF4F73">
        <w:rPr>
          <w:b/>
        </w:rPr>
        <w:t>Results</w:t>
      </w:r>
    </w:p>
    <w:p w14:paraId="7E9320D1" w14:textId="77777777" w:rsidR="008E2C20" w:rsidRPr="000C070E" w:rsidRDefault="008E2C20" w:rsidP="008013AC">
      <w:pPr>
        <w:spacing w:line="360" w:lineRule="auto"/>
      </w:pPr>
      <w:r>
        <w:t>T</w:t>
      </w:r>
      <w:r w:rsidRPr="007010EF">
        <w:t xml:space="preserve">here were 252,572 preschool children </w:t>
      </w:r>
      <w:r w:rsidR="00C61C85" w:rsidRPr="004A047E">
        <w:rPr>
          <w:highlight w:val="cyan"/>
        </w:rPr>
        <w:t>who had a total of</w:t>
      </w:r>
      <w:r w:rsidR="00C61C85">
        <w:t xml:space="preserve"> </w:t>
      </w:r>
      <w:r>
        <w:t>1,546,364 acute RTI consultations (upper and</w:t>
      </w:r>
      <w:r w:rsidRPr="007010EF">
        <w:t xml:space="preserve"> lower RTIs, AOM) </w:t>
      </w:r>
      <w:r w:rsidR="004A047E" w:rsidRPr="004A047E">
        <w:rPr>
          <w:highlight w:val="cyan"/>
        </w:rPr>
        <w:t>during the study period</w:t>
      </w:r>
      <w:r w:rsidRPr="007010EF">
        <w:t xml:space="preserve">.  The proportion of children prescribed an antibiotic </w:t>
      </w:r>
      <w:r>
        <w:t>course</w:t>
      </w:r>
      <w:r w:rsidR="004A047E">
        <w:t xml:space="preserve"> </w:t>
      </w:r>
      <w:r w:rsidR="004A047E" w:rsidRPr="004A047E">
        <w:rPr>
          <w:highlight w:val="cyan"/>
        </w:rPr>
        <w:t>during one of these consultations</w:t>
      </w:r>
      <w:r>
        <w:t xml:space="preserve"> </w:t>
      </w:r>
      <w:r w:rsidRPr="007010EF">
        <w:t>for acute RTI was 45% (114,329/</w:t>
      </w:r>
      <w:r>
        <w:t>252,572)</w:t>
      </w:r>
      <w:r w:rsidRPr="007010EF">
        <w:t xml:space="preserve">.  </w:t>
      </w:r>
      <w:r>
        <w:t xml:space="preserve">Children had an average of six consultations for RTI over the 92-month study period (0.8 RTI consultations per year). </w:t>
      </w:r>
    </w:p>
    <w:p w14:paraId="6D5EDF05" w14:textId="77777777" w:rsidR="008E2C20" w:rsidRPr="00D6394F" w:rsidRDefault="008E2C20" w:rsidP="008013AC">
      <w:pPr>
        <w:keepNext/>
        <w:keepLines/>
        <w:numPr>
          <w:ilvl w:val="2"/>
          <w:numId w:val="0"/>
        </w:numPr>
        <w:spacing w:before="200" w:after="0"/>
        <w:outlineLvl w:val="2"/>
        <w:rPr>
          <w:rFonts w:eastAsia="Times New Roman" w:cs="Calibri"/>
          <w:b/>
          <w:bCs/>
        </w:rPr>
      </w:pPr>
      <w:r w:rsidRPr="00D6394F">
        <w:rPr>
          <w:rFonts w:eastAsia="Times New Roman" w:cs="Calibri"/>
          <w:b/>
          <w:bCs/>
        </w:rPr>
        <w:t>Primary Analysis</w:t>
      </w:r>
    </w:p>
    <w:p w14:paraId="6B9EAEA3" w14:textId="77777777" w:rsidR="008E2C20" w:rsidRPr="007010EF" w:rsidRDefault="008E2C20" w:rsidP="008013AC"/>
    <w:p w14:paraId="419E8BBD" w14:textId="77777777" w:rsidR="008E2C20" w:rsidRPr="007010EF" w:rsidRDefault="008E2C20" w:rsidP="008013AC">
      <w:pPr>
        <w:rPr>
          <w:i/>
        </w:rPr>
      </w:pPr>
      <w:r w:rsidRPr="007010EF">
        <w:rPr>
          <w:i/>
        </w:rPr>
        <w:t>Baseline characteristics</w:t>
      </w:r>
    </w:p>
    <w:p w14:paraId="7A63BA7B" w14:textId="77777777" w:rsidR="008E2C20" w:rsidRDefault="008E2C20" w:rsidP="008013AC">
      <w:pPr>
        <w:spacing w:line="360" w:lineRule="auto"/>
      </w:pPr>
      <w:r>
        <w:lastRenderedPageBreak/>
        <w:t>T</w:t>
      </w:r>
      <w:r w:rsidRPr="007010EF">
        <w:t xml:space="preserve">here were 114,329 children </w:t>
      </w:r>
      <w:r>
        <w:t xml:space="preserve">prescribed </w:t>
      </w:r>
      <w:r w:rsidRPr="007010EF">
        <w:t xml:space="preserve">an antibiotic </w:t>
      </w:r>
      <w:r>
        <w:t>course</w:t>
      </w:r>
      <w:r w:rsidRPr="007010EF">
        <w:t xml:space="preserve"> for RTI during the study period. Baseline characteristics of this cohort are shown in Table 1. The median baseline consultation rate for RTI was 4 (IQR 2 to 7) in the </w:t>
      </w:r>
      <w:r>
        <w:t>year previous to the index prescription</w:t>
      </w:r>
      <w:r w:rsidRPr="007010EF">
        <w:t>. Asthma (n=3,134; 47·31%) was the most common comorbidity. A third of children</w:t>
      </w:r>
      <w:r>
        <w:t xml:space="preserve"> with a comorbidity</w:t>
      </w:r>
      <w:r w:rsidRPr="007010EF">
        <w:t xml:space="preserve"> had a history of premature birth (n=2,201; 33·22%).</w:t>
      </w:r>
      <w:r>
        <w:t xml:space="preserve"> Less than 3% of children had experienced </w:t>
      </w:r>
      <w:r w:rsidRPr="007010EF">
        <w:t xml:space="preserve">one or two previous response failures during the 12 months prior to the index RTI consultation. </w:t>
      </w:r>
    </w:p>
    <w:p w14:paraId="5EF6054E" w14:textId="77777777" w:rsidR="008E2C20" w:rsidRPr="00917F5C" w:rsidRDefault="008E2C20" w:rsidP="008013AC">
      <w:pPr>
        <w:spacing w:line="360" w:lineRule="auto"/>
        <w:rPr>
          <w:i/>
        </w:rPr>
      </w:pPr>
      <w:r w:rsidRPr="00AE03E9">
        <w:rPr>
          <w:i/>
        </w:rPr>
        <w:t xml:space="preserve">Insert Table 1. </w:t>
      </w:r>
    </w:p>
    <w:p w14:paraId="1F366EA9" w14:textId="77777777" w:rsidR="008E2C20" w:rsidRDefault="008E2C20" w:rsidP="008013AC">
      <w:pPr>
        <w:rPr>
          <w:i/>
        </w:rPr>
      </w:pPr>
      <w:r w:rsidRPr="007010EF">
        <w:rPr>
          <w:i/>
        </w:rPr>
        <w:t xml:space="preserve">Antibiotic exposure </w:t>
      </w:r>
    </w:p>
    <w:p w14:paraId="063FFD66" w14:textId="77777777" w:rsidR="008E2C20" w:rsidRPr="00B911A4" w:rsidRDefault="008E2C20" w:rsidP="008013AC">
      <w:pPr>
        <w:spacing w:line="360" w:lineRule="auto"/>
        <w:rPr>
          <w:i/>
        </w:rPr>
      </w:pPr>
      <w:r w:rsidRPr="00AB1BE7">
        <w:t>There were 18, 946 (16·57%) children who received at least one antibiotic prescription for acute RTI</w:t>
      </w:r>
      <w:r>
        <w:t xml:space="preserve"> in the preceding year</w:t>
      </w:r>
      <w:r w:rsidRPr="00AB1BE7">
        <w:t xml:space="preserve"> (Table 1). The distribution of antibiotic exposure in the year prior to index prescription was positively skewed with a range of 0 to 12</w:t>
      </w:r>
      <w:r>
        <w:t>, a median of 0</w:t>
      </w:r>
      <w:r w:rsidRPr="00AB1BE7">
        <w:t>, and only 3% being exposed to two or more antibiotic courses in the 12 months prior to index prescription.</w:t>
      </w:r>
      <w:r>
        <w:t xml:space="preserve"> </w:t>
      </w:r>
    </w:p>
    <w:p w14:paraId="5FE8E7C7" w14:textId="77777777" w:rsidR="008E2C20" w:rsidRPr="00B911A4" w:rsidRDefault="008E2C20" w:rsidP="008013AC">
      <w:r w:rsidRPr="007010EF">
        <w:rPr>
          <w:i/>
        </w:rPr>
        <w:t xml:space="preserve">Response Failure </w:t>
      </w:r>
    </w:p>
    <w:p w14:paraId="0510A034" w14:textId="77777777" w:rsidR="008E2C20" w:rsidRDefault="008E2C20" w:rsidP="008013AC">
      <w:pPr>
        <w:shd w:val="clear" w:color="auto" w:fill="FFFFFF"/>
        <w:spacing w:line="360" w:lineRule="auto"/>
      </w:pPr>
      <w:r w:rsidRPr="007010EF">
        <w:t xml:space="preserve">In the primary analysis, we observed 1,337 </w:t>
      </w:r>
      <w:r w:rsidR="005D0DB8" w:rsidRPr="007010EF">
        <w:t>response failures</w:t>
      </w:r>
      <w:r w:rsidR="005D0DB8">
        <w:t xml:space="preserve"> </w:t>
      </w:r>
      <w:r w:rsidRPr="005D0DB8">
        <w:rPr>
          <w:highlight w:val="cyan"/>
        </w:rPr>
        <w:t>(1·17%</w:t>
      </w:r>
      <w:r w:rsidR="005D0DB8" w:rsidRPr="005D0DB8">
        <w:rPr>
          <w:highlight w:val="cyan"/>
        </w:rPr>
        <w:t xml:space="preserve"> of 114,329 children prescribed an antibiotic course for RTI</w:t>
      </w:r>
      <w:r w:rsidRPr="005D0DB8">
        <w:rPr>
          <w:highlight w:val="cyan"/>
        </w:rPr>
        <w:t>)</w:t>
      </w:r>
      <w:r w:rsidRPr="007010EF">
        <w:t>, of which 724 (52·58%) were referrals to an infection-related specialist service in secondary care, 306 (22·22%) were subsequent antibiotic prescriptions, 243 (17·65%) were emergency department visits within three days, 103 (7·48%) were hospital admissions, and one death (Table 2). Around half of referrals were to Paediatric and Ear Nose &amp; Throat specialities</w:t>
      </w:r>
      <w:r>
        <w:t xml:space="preserve">. </w:t>
      </w:r>
      <w:r w:rsidRPr="00C61DDC">
        <w:t>Around a third of referrals occurred on the same day as the index antibiotic prescription</w:t>
      </w:r>
      <w:r w:rsidRPr="007010EF">
        <w:t xml:space="preserve">. Just under a quarter of referrals </w:t>
      </w:r>
      <w:r>
        <w:t xml:space="preserve">receiving an antibiotic course </w:t>
      </w:r>
      <w:r w:rsidRPr="007010EF">
        <w:t>(23%; 167/724) were based on symptom</w:t>
      </w:r>
      <w:r>
        <w:t>s related to probable acute RTI. The remaining referrals had a linked RTI READ code. The absolute risk of response failure was respectively: referral</w:t>
      </w:r>
      <w:r w:rsidRPr="007010EF">
        <w:t xml:space="preserve"> </w:t>
      </w:r>
      <w:r>
        <w:t>(0.6%);</w:t>
      </w:r>
      <w:r w:rsidRPr="007010EF">
        <w:t xml:space="preserve"> </w:t>
      </w:r>
      <w:r>
        <w:t>second prescription (0.3%); emergency department visit (0.2%)</w:t>
      </w:r>
      <w:r w:rsidRPr="007010EF">
        <w:t xml:space="preserve"> </w:t>
      </w:r>
      <w:r>
        <w:t>hospital admission (0.1%), and death (&lt;0.01%)</w:t>
      </w:r>
      <w:r w:rsidRPr="007010EF">
        <w:t>.</w:t>
      </w:r>
    </w:p>
    <w:p w14:paraId="69DE955F" w14:textId="77777777" w:rsidR="008E2C20" w:rsidRPr="00A40C4F" w:rsidRDefault="008E2C20" w:rsidP="008013AC">
      <w:pPr>
        <w:contextualSpacing/>
        <w:rPr>
          <w:i/>
        </w:rPr>
      </w:pPr>
      <w:r w:rsidRPr="00AE03E9">
        <w:rPr>
          <w:i/>
        </w:rPr>
        <w:t xml:space="preserve">Insert Table 2. </w:t>
      </w:r>
    </w:p>
    <w:p w14:paraId="1B155D58" w14:textId="77777777" w:rsidR="008E2C20" w:rsidRPr="007010EF" w:rsidRDefault="008E2C20" w:rsidP="008013AC">
      <w:pPr>
        <w:shd w:val="clear" w:color="auto" w:fill="FFFFFF"/>
        <w:rPr>
          <w:i/>
        </w:rPr>
      </w:pPr>
    </w:p>
    <w:p w14:paraId="1DAAA7CD" w14:textId="77777777" w:rsidR="008E2C20" w:rsidRPr="007010EF" w:rsidRDefault="008E2C20" w:rsidP="008013AC">
      <w:pPr>
        <w:shd w:val="clear" w:color="auto" w:fill="FFFFFF"/>
        <w:rPr>
          <w:i/>
        </w:rPr>
      </w:pPr>
      <w:r w:rsidRPr="007010EF">
        <w:rPr>
          <w:i/>
        </w:rPr>
        <w:lastRenderedPageBreak/>
        <w:t xml:space="preserve">Odds of response failure  </w:t>
      </w:r>
    </w:p>
    <w:p w14:paraId="36F42B1B" w14:textId="77777777" w:rsidR="008E2C20" w:rsidRDefault="008E2C20" w:rsidP="008013AC">
      <w:pPr>
        <w:shd w:val="clear" w:color="auto" w:fill="FFFFFF"/>
        <w:spacing w:line="360" w:lineRule="auto"/>
      </w:pPr>
      <w:r>
        <w:t xml:space="preserve">Children who were prescribed </w:t>
      </w:r>
      <w:r w:rsidRPr="007010EF">
        <w:t>two or more antibiotic courses for “acute RTI” in the preceding year had greater likeli</w:t>
      </w:r>
      <w:r>
        <w:t xml:space="preserve">hood of “response failure” </w:t>
      </w:r>
      <w:r w:rsidRPr="007010EF">
        <w:t>after adjusting for covariates (unadjuste</w:t>
      </w:r>
      <w:r>
        <w:t>d odds ratio (OR) 2·22 [1·80-</w:t>
      </w:r>
      <w:r w:rsidRPr="007010EF">
        <w:t>2·74], p&lt;0.001; adjusted OR 1·32 [95% CI 1·04-1·66], p=0.02, n=97; Table</w:t>
      </w:r>
      <w:r>
        <w:t xml:space="preserve"> </w:t>
      </w:r>
      <w:r w:rsidRPr="007010EF">
        <w:t xml:space="preserve">3). </w:t>
      </w:r>
      <w:r>
        <w:t>C</w:t>
      </w:r>
      <w:r w:rsidRPr="007010EF">
        <w:t>hildren who had one antibiotic course during the pr</w:t>
      </w:r>
      <w:r>
        <w:t xml:space="preserve">evious year also had greater odds of response failure, but this </w:t>
      </w:r>
      <w:r w:rsidRPr="007010EF">
        <w:t>was no longer statistically significant after adjustme</w:t>
      </w:r>
      <w:r>
        <w:t>nt (unadjusted OR 1·41 [1·22-</w:t>
      </w:r>
      <w:r w:rsidRPr="007010EF">
        <w:t xml:space="preserve">1·62], p&lt;0.001; adjusted OR 1·03 [95% CI 0·88-1·21], p=0.67). </w:t>
      </w:r>
    </w:p>
    <w:p w14:paraId="50267729" w14:textId="77777777" w:rsidR="008E2C20" w:rsidRDefault="008E2C20" w:rsidP="008013AC">
      <w:pPr>
        <w:shd w:val="clear" w:color="auto" w:fill="FFFFFF"/>
        <w:spacing w:line="360" w:lineRule="auto"/>
        <w:rPr>
          <w:i/>
        </w:rPr>
      </w:pPr>
      <w:r w:rsidRPr="00905DD0">
        <w:rPr>
          <w:i/>
        </w:rPr>
        <w:t>Insert Table 3.</w:t>
      </w:r>
    </w:p>
    <w:p w14:paraId="6EB63D41" w14:textId="77777777" w:rsidR="008E2C20" w:rsidRPr="00A40C4F" w:rsidRDefault="008E2C20" w:rsidP="008013AC">
      <w:pPr>
        <w:shd w:val="clear" w:color="auto" w:fill="FFFFFF"/>
        <w:spacing w:line="360" w:lineRule="auto"/>
      </w:pPr>
    </w:p>
    <w:p w14:paraId="6058CCE4" w14:textId="77777777" w:rsidR="008E2C20" w:rsidRPr="00BB36F4" w:rsidRDefault="008E2C20" w:rsidP="008013AC">
      <w:pPr>
        <w:keepNext/>
        <w:keepLines/>
        <w:numPr>
          <w:ilvl w:val="2"/>
          <w:numId w:val="0"/>
        </w:numPr>
        <w:spacing w:before="200" w:after="0"/>
        <w:outlineLvl w:val="2"/>
        <w:rPr>
          <w:rFonts w:eastAsia="Times New Roman" w:cs="Calibri"/>
          <w:b/>
          <w:bCs/>
        </w:rPr>
      </w:pPr>
      <w:r w:rsidRPr="00BB36F4">
        <w:rPr>
          <w:rFonts w:eastAsia="Times New Roman" w:cs="Calibri"/>
          <w:b/>
          <w:bCs/>
        </w:rPr>
        <w:t xml:space="preserve">Secondary analysis </w:t>
      </w:r>
    </w:p>
    <w:p w14:paraId="49B91E6B" w14:textId="77777777" w:rsidR="008E2C20" w:rsidRPr="007010EF" w:rsidRDefault="008E2C20" w:rsidP="008013AC"/>
    <w:p w14:paraId="5DD0D5AC" w14:textId="77777777" w:rsidR="008E2C20" w:rsidRPr="007010EF" w:rsidRDefault="008E2C20" w:rsidP="008013AC">
      <w:pPr>
        <w:spacing w:line="360" w:lineRule="auto"/>
      </w:pPr>
      <w:r w:rsidRPr="007010EF">
        <w:t>Incorporating multiple RTI episodes in each child, there were 190,290 acute RTI episodes in 114,329 children from 380 GP practices during the study period. Baseline characterist</w:t>
      </w:r>
      <w:r>
        <w:t xml:space="preserve">ics of this cohort are detailed </w:t>
      </w:r>
      <w:r w:rsidRPr="007010EF">
        <w:t xml:space="preserve">in </w:t>
      </w:r>
      <w:r>
        <w:t>Appendix 2 (</w:t>
      </w:r>
      <w:r w:rsidRPr="007010EF">
        <w:t xml:space="preserve">Table </w:t>
      </w:r>
      <w:r>
        <w:t>S1)</w:t>
      </w:r>
      <w:r w:rsidRPr="007010EF">
        <w:t>.</w:t>
      </w:r>
    </w:p>
    <w:p w14:paraId="2FA2096B" w14:textId="77777777" w:rsidR="008E2C20" w:rsidRPr="007010EF" w:rsidRDefault="008E2C20" w:rsidP="008013AC">
      <w:pPr>
        <w:rPr>
          <w:i/>
        </w:rPr>
      </w:pPr>
      <w:r w:rsidRPr="007010EF">
        <w:rPr>
          <w:i/>
        </w:rPr>
        <w:t xml:space="preserve">Response failure </w:t>
      </w:r>
    </w:p>
    <w:p w14:paraId="765010DB" w14:textId="77777777" w:rsidR="008E2C20" w:rsidRPr="007010EF" w:rsidRDefault="008E2C20" w:rsidP="008013AC">
      <w:pPr>
        <w:shd w:val="clear" w:color="auto" w:fill="FFFFFF"/>
        <w:spacing w:line="360" w:lineRule="auto"/>
      </w:pPr>
      <w:r w:rsidRPr="007010EF">
        <w:t>There were 3,709 response failures</w:t>
      </w:r>
      <w:r>
        <w:t xml:space="preserve"> included in the secondary analysis</w:t>
      </w:r>
      <w:r w:rsidRPr="007010EF">
        <w:t xml:space="preserve">. The median number of response failures per practice was 8 </w:t>
      </w:r>
      <w:r>
        <w:t xml:space="preserve">[IQR </w:t>
      </w:r>
      <w:r w:rsidRPr="007010EF">
        <w:t>4 to 14] during the study period. Subsequent antibiotic prescriptions (1,757, 47·3</w:t>
      </w:r>
      <w:r>
        <w:t>7%) was t</w:t>
      </w:r>
      <w:r w:rsidRPr="007010EF">
        <w:t xml:space="preserve">he top criterion </w:t>
      </w:r>
      <w:r>
        <w:t>for response failure, f</w:t>
      </w:r>
      <w:r w:rsidRPr="007010EF">
        <w:t xml:space="preserve">ollowed by referrals to an infection-related specialist service in secondary care (1,359, 36·64%); emergency department visits within three days (426, 11·49%); hospital admissions (166, 4·48%) and one death (Appendix </w:t>
      </w:r>
      <w:r>
        <w:t>2, Table S2</w:t>
      </w:r>
      <w:r w:rsidRPr="007010EF">
        <w:t xml:space="preserve">). </w:t>
      </w:r>
    </w:p>
    <w:p w14:paraId="78A38A3B" w14:textId="77777777" w:rsidR="008E2C20" w:rsidRPr="007010EF" w:rsidRDefault="008E2C20" w:rsidP="008013AC">
      <w:pPr>
        <w:spacing w:after="0" w:line="240" w:lineRule="auto"/>
      </w:pPr>
    </w:p>
    <w:p w14:paraId="34FAF032" w14:textId="77777777" w:rsidR="008E2C20" w:rsidRPr="007010EF" w:rsidRDefault="008E2C20" w:rsidP="008013AC">
      <w:pPr>
        <w:shd w:val="clear" w:color="auto" w:fill="FFFFFF"/>
        <w:rPr>
          <w:i/>
        </w:rPr>
      </w:pPr>
      <w:r w:rsidRPr="007010EF">
        <w:rPr>
          <w:i/>
        </w:rPr>
        <w:t xml:space="preserve">Odds of response failure  </w:t>
      </w:r>
    </w:p>
    <w:p w14:paraId="19DD8442" w14:textId="77777777" w:rsidR="008E2C20" w:rsidRDefault="008E2C20" w:rsidP="008013AC">
      <w:pPr>
        <w:shd w:val="clear" w:color="auto" w:fill="FFFFFF"/>
        <w:spacing w:line="360" w:lineRule="auto"/>
      </w:pPr>
      <w:r w:rsidRPr="007010EF">
        <w:t>When accounting for multiple individual RTI episodes presenting in each child nested wi</w:t>
      </w:r>
      <w:r>
        <w:t xml:space="preserve">thin each general practice, </w:t>
      </w:r>
      <w:r w:rsidRPr="007010EF">
        <w:t xml:space="preserve">secondary analysis supported the findings from the primary </w:t>
      </w:r>
      <w:r w:rsidRPr="007010EF">
        <w:lastRenderedPageBreak/>
        <w:t>analysis. Greater odds of response failure were observed in children who had one antibiotic course during the previous year (one antibiotic course: unadjuste</w:t>
      </w:r>
      <w:r>
        <w:t>d odds ratio (OR) 1·62 [1·50-</w:t>
      </w:r>
      <w:r w:rsidRPr="007010EF">
        <w:t>1·75], p&lt;0.001; adjusted OR 1·16 [95% CI 1·</w:t>
      </w:r>
      <w:r>
        <w:t>07-1·27], p&lt;0.001, n=1,029. The</w:t>
      </w:r>
      <w:r w:rsidRPr="007010EF">
        <w:t xml:space="preserve"> likelihood of response failure was greater for children who had two or more antibiotic courses during the previous year: unadjuste</w:t>
      </w:r>
      <w:r>
        <w:t>d odds ratio (OR) 2·92 [2·68-</w:t>
      </w:r>
      <w:r w:rsidRPr="007010EF">
        <w:t xml:space="preserve">3·17], p&lt;0.001; adjusted OR 1·92 [95% CI 1·75-2·10], p&lt;0.001, n=820; </w:t>
      </w:r>
      <w:r>
        <w:t xml:space="preserve">Appendix 2, </w:t>
      </w:r>
      <w:r w:rsidRPr="007010EF">
        <w:t xml:space="preserve">Table </w:t>
      </w:r>
      <w:r>
        <w:t>S3</w:t>
      </w:r>
      <w:r w:rsidRPr="007010EF">
        <w:t xml:space="preserve">). </w:t>
      </w:r>
    </w:p>
    <w:p w14:paraId="6227A680" w14:textId="77777777" w:rsidR="008E2C20" w:rsidRPr="007010EF" w:rsidRDefault="008E2C20" w:rsidP="008013AC">
      <w:pPr>
        <w:shd w:val="clear" w:color="auto" w:fill="FFFFFF"/>
      </w:pPr>
    </w:p>
    <w:p w14:paraId="262B6421" w14:textId="77777777" w:rsidR="008E2C20" w:rsidRDefault="008E2C20" w:rsidP="008013AC">
      <w:pPr>
        <w:keepNext/>
        <w:keepLines/>
        <w:numPr>
          <w:ilvl w:val="2"/>
          <w:numId w:val="0"/>
        </w:numPr>
        <w:spacing w:before="200" w:after="0"/>
        <w:outlineLvl w:val="2"/>
        <w:rPr>
          <w:rFonts w:eastAsia="Times New Roman" w:cs="Calibri"/>
          <w:b/>
          <w:bCs/>
        </w:rPr>
      </w:pPr>
      <w:r w:rsidRPr="00BB36F4">
        <w:rPr>
          <w:rFonts w:eastAsia="Times New Roman" w:cs="Calibri"/>
          <w:b/>
          <w:bCs/>
        </w:rPr>
        <w:t>Sensitivity analyses</w:t>
      </w:r>
    </w:p>
    <w:p w14:paraId="69AD017B" w14:textId="77777777" w:rsidR="008E2C20" w:rsidRDefault="008E2C20" w:rsidP="008013AC">
      <w:pPr>
        <w:shd w:val="clear" w:color="auto" w:fill="FFFFFF"/>
        <w:rPr>
          <w:rFonts w:eastAsia="Times New Roman" w:cs="Calibri"/>
          <w:b/>
          <w:bCs/>
        </w:rPr>
      </w:pPr>
    </w:p>
    <w:p w14:paraId="2D1EAE11" w14:textId="77777777" w:rsidR="008E2C20" w:rsidRPr="007010EF" w:rsidRDefault="008E2C20" w:rsidP="008013AC">
      <w:pPr>
        <w:shd w:val="clear" w:color="auto" w:fill="FFFFFF"/>
        <w:spacing w:line="360" w:lineRule="auto"/>
      </w:pPr>
      <w:r w:rsidRPr="007010EF">
        <w:t xml:space="preserve">When </w:t>
      </w:r>
      <w:r>
        <w:t>excluding</w:t>
      </w:r>
      <w:r w:rsidRPr="007010EF">
        <w:t xml:space="preserve"> RTI-associated antibiotic prescribing episodes which were preceded by one or more antibiotic c</w:t>
      </w:r>
      <w:r>
        <w:t xml:space="preserve">ourses within the last 14 days, </w:t>
      </w:r>
      <w:r w:rsidRPr="007010EF">
        <w:t>the association between ≥2 antibiotic courses and response failure was of borderline statistical significance: one antibiotic course:  adjusted OR 1·</w:t>
      </w:r>
      <w:r>
        <w:t xml:space="preserve">00 [95% CI 0·85-1·18], p=0.98, n=217; </w:t>
      </w:r>
      <w:r w:rsidRPr="007010EF">
        <w:t>two or more antibiotic courses:  OR 1·28 [95% CI 1·01-1·61], p=0.046</w:t>
      </w:r>
      <w:r>
        <w:t xml:space="preserve">, n=90 </w:t>
      </w:r>
      <w:r w:rsidRPr="007010EF">
        <w:t xml:space="preserve"> (Appendix </w:t>
      </w:r>
      <w:r>
        <w:t>3, Table S4a</w:t>
      </w:r>
      <w:r w:rsidRPr="007010EF">
        <w:t xml:space="preserve">).  </w:t>
      </w:r>
    </w:p>
    <w:p w14:paraId="0D08889D" w14:textId="77777777" w:rsidR="008E2C20" w:rsidRDefault="008E2C20" w:rsidP="008013AC">
      <w:pPr>
        <w:shd w:val="clear" w:color="auto" w:fill="FFFFFF"/>
        <w:spacing w:line="360" w:lineRule="auto"/>
      </w:pPr>
      <w:r w:rsidRPr="007010EF">
        <w:t xml:space="preserve">When excluding antibiotic prescribing episodes which were preceded by one or more antibiotic prescriptions during the 8-week period before the index prescription, a statistically significant association was not demonstrated between children </w:t>
      </w:r>
      <w:r>
        <w:t>receiving two or more antibiotic courses</w:t>
      </w:r>
      <w:r w:rsidRPr="007010EF">
        <w:t xml:space="preserve"> and “response failure”: two or more antibiotic courses:  OR 1·13 [95% CI 0·86-1·47], p=0.38 </w:t>
      </w:r>
      <w:r>
        <w:t xml:space="preserve">, n=66 </w:t>
      </w:r>
      <w:r w:rsidRPr="007010EF">
        <w:t xml:space="preserve">(Appendix </w:t>
      </w:r>
      <w:r>
        <w:t>3, Table S4b</w:t>
      </w:r>
      <w:r w:rsidRPr="007010EF">
        <w:t xml:space="preserve">).  </w:t>
      </w:r>
    </w:p>
    <w:p w14:paraId="1B6D989F" w14:textId="77777777" w:rsidR="008E2C20" w:rsidRDefault="008E2C20" w:rsidP="008013AC">
      <w:pPr>
        <w:shd w:val="clear" w:color="auto" w:fill="FFFFFF"/>
        <w:spacing w:line="360" w:lineRule="auto"/>
      </w:pPr>
      <w:r>
        <w:t>Excluding c</w:t>
      </w:r>
      <w:r w:rsidRPr="007010EF">
        <w:t>hildren who were 12 months of age at the time of index prescription (14,438 excluded; 12·62%) did</w:t>
      </w:r>
      <w:r>
        <w:t xml:space="preserve"> not change the overall results</w:t>
      </w:r>
      <w:r w:rsidRPr="007010EF">
        <w:t>: one antibiotic course: adjusted OR 1·03 [95% CI 0·87-1·22], p=0.75</w:t>
      </w:r>
      <w:r>
        <w:t>,n=215</w:t>
      </w:r>
      <w:r w:rsidRPr="007010EF">
        <w:t>; two or more antibiotics courses:  OR 1·29 [95% CI 1·01-1·64], p=0.04</w:t>
      </w:r>
      <w:r>
        <w:t>, n=95 (</w:t>
      </w:r>
      <w:r w:rsidRPr="007010EF">
        <w:t xml:space="preserve">Appendix </w:t>
      </w:r>
      <w:r>
        <w:t>3, Table S5a</w:t>
      </w:r>
      <w:r w:rsidRPr="007010EF">
        <w:t xml:space="preserve">).  </w:t>
      </w:r>
    </w:p>
    <w:p w14:paraId="5684DE55" w14:textId="77777777" w:rsidR="008E2C20" w:rsidRPr="00C61DDC" w:rsidRDefault="008E2C20" w:rsidP="008013AC">
      <w:pPr>
        <w:shd w:val="clear" w:color="auto" w:fill="FFFFFF"/>
        <w:spacing w:line="360" w:lineRule="auto"/>
      </w:pPr>
      <w:r w:rsidRPr="007010EF">
        <w:t>By excluding children where the first criterion of our study outcome was used (i.e. prescription of a subsequent antibiotic within 14 days of the initial antibiotic being prescribed to</w:t>
      </w:r>
      <w:r>
        <w:t xml:space="preserve"> that child; n=306 excluded), we </w:t>
      </w:r>
      <w:r w:rsidRPr="007010EF">
        <w:t xml:space="preserve">observed that the prescription of one antibiotic </w:t>
      </w:r>
      <w:r>
        <w:t xml:space="preserve">course </w:t>
      </w:r>
      <w:r w:rsidRPr="007010EF">
        <w:t xml:space="preserve">was associated with significantly increased risk of response failure (adjusted </w:t>
      </w:r>
      <w:r w:rsidRPr="007010EF">
        <w:lastRenderedPageBreak/>
        <w:t>OR 1·21 [95% CI 1·02-1·44], p=0.03</w:t>
      </w:r>
      <w:r>
        <w:t>, n=198</w:t>
      </w:r>
      <w:r w:rsidRPr="007010EF">
        <w:t>), as was prescription of two or more antibiotics (OR 1·54 [95% CI 1·20-1·98], p=0.001</w:t>
      </w:r>
      <w:r>
        <w:t>, n=91</w:t>
      </w:r>
      <w:r w:rsidRPr="007010EF">
        <w:t xml:space="preserve"> (Appendix </w:t>
      </w:r>
      <w:r>
        <w:t>3, Table S5b</w:t>
      </w:r>
      <w:r w:rsidRPr="007010EF">
        <w:t xml:space="preserve">).  </w:t>
      </w:r>
    </w:p>
    <w:p w14:paraId="42524329" w14:textId="77777777" w:rsidR="008E2C20" w:rsidRPr="00BB36F4" w:rsidRDefault="008E2C20" w:rsidP="008013AC">
      <w:pPr>
        <w:keepNext/>
        <w:keepLines/>
        <w:numPr>
          <w:ilvl w:val="2"/>
          <w:numId w:val="0"/>
        </w:numPr>
        <w:spacing w:before="200" w:after="0"/>
        <w:outlineLvl w:val="2"/>
        <w:rPr>
          <w:rFonts w:eastAsia="Times New Roman" w:cs="Calibri"/>
          <w:b/>
          <w:bCs/>
        </w:rPr>
      </w:pPr>
      <w:r w:rsidRPr="00BB36F4">
        <w:rPr>
          <w:rFonts w:eastAsia="Times New Roman" w:cs="Calibri"/>
          <w:b/>
          <w:bCs/>
        </w:rPr>
        <w:t>Subgroup analysis</w:t>
      </w:r>
    </w:p>
    <w:p w14:paraId="68E76564" w14:textId="77777777" w:rsidR="008E2C20" w:rsidRPr="007010EF" w:rsidRDefault="008E2C20" w:rsidP="008013AC"/>
    <w:p w14:paraId="1029A3F1" w14:textId="77777777" w:rsidR="008E2C20" w:rsidRDefault="008E2C20" w:rsidP="008013AC">
      <w:pPr>
        <w:spacing w:line="360" w:lineRule="auto"/>
      </w:pPr>
      <w:r w:rsidRPr="007010EF">
        <w:t>Children who received two or more antibiotic courses specifically with a lower RTI (n=68,634) in the preceding 12 months were more likely to have “response failure” (one antibiotic course: OR 1·13 [95% CI 0·92-1·39], p=0.25; two or more antibiotic courses:  OR 1·60 [95% CI 1·19-2·16], p=0.002. A statistically significant association was not observed for the other four categories of acute RTI</w:t>
      </w:r>
      <w:r>
        <w:t>s</w:t>
      </w:r>
      <w:r w:rsidRPr="007010EF">
        <w:t xml:space="preserve"> coded in the CPRD. </w:t>
      </w:r>
    </w:p>
    <w:p w14:paraId="28831CA2" w14:textId="77777777" w:rsidR="008E2C20" w:rsidRPr="00144979" w:rsidRDefault="008E2C20" w:rsidP="008013AC"/>
    <w:p w14:paraId="48EE42A6" w14:textId="77777777" w:rsidR="008E2C20" w:rsidRDefault="008E2C20" w:rsidP="008013AC">
      <w:pPr>
        <w:spacing w:line="480" w:lineRule="auto"/>
        <w:outlineLvl w:val="0"/>
        <w:rPr>
          <w:b/>
        </w:rPr>
      </w:pPr>
      <w:r w:rsidRPr="00C83295">
        <w:rPr>
          <w:b/>
        </w:rPr>
        <w:t>Discussion</w:t>
      </w:r>
    </w:p>
    <w:p w14:paraId="777FC54D" w14:textId="77777777" w:rsidR="008E2C20" w:rsidRDefault="008E2C20" w:rsidP="008013AC">
      <w:pPr>
        <w:spacing w:line="480" w:lineRule="auto"/>
        <w:outlineLvl w:val="0"/>
        <w:rPr>
          <w:i/>
        </w:rPr>
      </w:pPr>
      <w:r w:rsidRPr="00B83B6B">
        <w:rPr>
          <w:i/>
        </w:rPr>
        <w:t>Main findings</w:t>
      </w:r>
    </w:p>
    <w:p w14:paraId="7BC1037F" w14:textId="77777777" w:rsidR="008E2C20" w:rsidRPr="00925D4B" w:rsidRDefault="008E2C20" w:rsidP="008013AC">
      <w:pPr>
        <w:shd w:val="clear" w:color="auto" w:fill="FFFFFF"/>
        <w:spacing w:line="360" w:lineRule="auto"/>
      </w:pPr>
      <w:r>
        <w:t>C</w:t>
      </w:r>
      <w:r w:rsidRPr="00D21F61">
        <w:t xml:space="preserve">hildren under 5 years old who received two or more antibiotic courses in the previous year for acute RTI had greater likelihood of “response failure” for subsequent acute RTIs compared to children that had received none. Our findings were supported after accounting for multiple individual RTI episodes in children nested within clinics. </w:t>
      </w:r>
      <w:r>
        <w:t>I</w:t>
      </w:r>
      <w:r w:rsidRPr="00D21F61">
        <w:t xml:space="preserve">n the primary analysis, referrals to a specialist service in secondary care accounted for around half of response failures and one third of these occurred on the same day as the antibiotic prescription.   </w:t>
      </w:r>
      <w:r>
        <w:rPr>
          <w:color w:val="000000"/>
        </w:rPr>
        <w:t>F</w:t>
      </w:r>
      <w:r w:rsidRPr="00D21F61">
        <w:rPr>
          <w:color w:val="000000"/>
        </w:rPr>
        <w:t xml:space="preserve">urther studies are needed in which the reason for referral can be accurately elucidated. </w:t>
      </w:r>
    </w:p>
    <w:p w14:paraId="36B007F6" w14:textId="77777777" w:rsidR="008E2C20" w:rsidRDefault="008E2C20" w:rsidP="008013AC">
      <w:pPr>
        <w:rPr>
          <w:i/>
        </w:rPr>
      </w:pPr>
      <w:r>
        <w:rPr>
          <w:i/>
        </w:rPr>
        <w:t>Comparison with existing literature</w:t>
      </w:r>
    </w:p>
    <w:p w14:paraId="1A2E46B4" w14:textId="77777777" w:rsidR="008E2C20" w:rsidRPr="003D1083" w:rsidRDefault="008E2C20" w:rsidP="003D1083">
      <w:pPr>
        <w:spacing w:line="360" w:lineRule="auto"/>
      </w:pPr>
      <w:r w:rsidRPr="009F04F9">
        <w:rPr>
          <w:rFonts w:cs="Calibri"/>
        </w:rPr>
        <w:t xml:space="preserve">Our findings are consistent with a </w:t>
      </w:r>
      <w:r w:rsidRPr="00740200">
        <w:rPr>
          <w:rFonts w:cs="Calibri"/>
        </w:rPr>
        <w:t xml:space="preserve">recent study from the USA examining treatment failure rates </w:t>
      </w:r>
      <w:r w:rsidRPr="009F04F9">
        <w:rPr>
          <w:rFonts w:cs="Calibri"/>
          <w:color w:val="000000"/>
          <w:lang w:val="en-US"/>
        </w:rPr>
        <w:t xml:space="preserve">within 14 days </w:t>
      </w:r>
      <w:r>
        <w:rPr>
          <w:rFonts w:cs="Calibri"/>
          <w:color w:val="000000"/>
          <w:lang w:val="en-US"/>
        </w:rPr>
        <w:t xml:space="preserve">of over </w:t>
      </w:r>
      <w:r>
        <w:rPr>
          <w:rFonts w:cs="Calibri"/>
        </w:rPr>
        <w:t xml:space="preserve">30,000 </w:t>
      </w:r>
      <w:r w:rsidRPr="00740200">
        <w:rPr>
          <w:rFonts w:cs="Calibri"/>
          <w:color w:val="000000"/>
          <w:lang w:val="en-US"/>
        </w:rPr>
        <w:t xml:space="preserve">children </w:t>
      </w:r>
      <w:r>
        <w:rPr>
          <w:rFonts w:cs="Calibri"/>
          <w:color w:val="000000"/>
          <w:lang w:val="en-US"/>
        </w:rPr>
        <w:t>(</w:t>
      </w:r>
      <w:r w:rsidRPr="00740200">
        <w:rPr>
          <w:rFonts w:cs="Calibri"/>
          <w:color w:val="000000"/>
          <w:lang w:val="en-US"/>
        </w:rPr>
        <w:t>aged 6 months to 12 years</w:t>
      </w:r>
      <w:r>
        <w:rPr>
          <w:rFonts w:cs="Calibri"/>
          <w:color w:val="000000"/>
          <w:lang w:val="en-US"/>
        </w:rPr>
        <w:t>)</w:t>
      </w:r>
      <w:r w:rsidRPr="00740200">
        <w:rPr>
          <w:rFonts w:cs="Calibri"/>
          <w:color w:val="000000"/>
          <w:lang w:val="en-US"/>
        </w:rPr>
        <w:t xml:space="preserve"> with acute RTIs where around 3% required a new prescription for a systemic antibiotic.</w:t>
      </w:r>
      <w:r w:rsidRPr="003C264D">
        <w:rPr>
          <w:rFonts w:cs="Calibri"/>
          <w:noProof/>
          <w:color w:val="000000"/>
          <w:vertAlign w:val="superscript"/>
          <w:lang w:val="en-US"/>
        </w:rPr>
        <w:t>13</w:t>
      </w:r>
      <w:r w:rsidRPr="00740200">
        <w:rPr>
          <w:rFonts w:cs="Calibri"/>
          <w:color w:val="000000"/>
          <w:lang w:val="en-US"/>
        </w:rPr>
        <w:t xml:space="preserve"> </w:t>
      </w:r>
      <w:r w:rsidRPr="009F04F9">
        <w:rPr>
          <w:rFonts w:cs="Calibri"/>
          <w:color w:val="000000"/>
          <w:lang w:val="en-US"/>
        </w:rPr>
        <w:t>Through 30 days, 8.2% of children experienced treatment failure.</w:t>
      </w:r>
      <w:r>
        <w:rPr>
          <w:rFonts w:cs="Calibri"/>
          <w:color w:val="000000"/>
          <w:lang w:val="en-US"/>
        </w:rPr>
        <w:t xml:space="preserve"> The former study did not specifically look at other clinically-defined criteria (e.g. hospital admission) or antibiotic exposure in the previous year. </w:t>
      </w:r>
      <w:r w:rsidRPr="00BB36F4">
        <w:rPr>
          <w:rFonts w:cs="Calibri"/>
        </w:rPr>
        <w:t>Previous population-</w:t>
      </w:r>
      <w:r>
        <w:rPr>
          <w:rFonts w:cs="Calibri"/>
        </w:rPr>
        <w:t xml:space="preserve">based studies in the UK found </w:t>
      </w:r>
      <w:r w:rsidRPr="00BB36F4">
        <w:rPr>
          <w:rFonts w:cs="Calibri"/>
        </w:rPr>
        <w:t xml:space="preserve">that around </w:t>
      </w:r>
      <w:r w:rsidRPr="00BB36F4">
        <w:rPr>
          <w:rFonts w:cs="Calibri"/>
        </w:rPr>
        <w:lastRenderedPageBreak/>
        <w:t>1 in 10 patients of all ages prescribed antibiot</w:t>
      </w:r>
      <w:r>
        <w:rPr>
          <w:rFonts w:cs="Calibri"/>
        </w:rPr>
        <w:t>ics for an “acute RTI” (upper and</w:t>
      </w:r>
      <w:r w:rsidRPr="00BB36F4">
        <w:rPr>
          <w:rFonts w:cs="Calibri"/>
        </w:rPr>
        <w:t xml:space="preserve"> lower </w:t>
      </w:r>
      <w:r>
        <w:rPr>
          <w:rFonts w:cs="Calibri"/>
        </w:rPr>
        <w:t>RTIs</w:t>
      </w:r>
      <w:r w:rsidRPr="00BB36F4">
        <w:rPr>
          <w:rFonts w:cs="Calibri"/>
        </w:rPr>
        <w:t>, acute otitis media) in the community experience an antibiot</w:t>
      </w:r>
      <w:r>
        <w:rPr>
          <w:rFonts w:cs="Calibri"/>
        </w:rPr>
        <w:t>ic “treatment failure”</w:t>
      </w:r>
      <w:r w:rsidRPr="00BB36F4">
        <w:rPr>
          <w:rFonts w:cs="Calibri"/>
        </w:rPr>
        <w:t>.</w:t>
      </w:r>
      <w:r w:rsidRPr="003C264D">
        <w:rPr>
          <w:rFonts w:cs="Calibri"/>
          <w:noProof/>
          <w:vertAlign w:val="superscript"/>
        </w:rPr>
        <w:t>11,25</w:t>
      </w:r>
      <w:r>
        <w:rPr>
          <w:rFonts w:cs="Calibri"/>
          <w:noProof/>
        </w:rPr>
        <w:t xml:space="preserve"> </w:t>
      </w:r>
      <w:r>
        <w:rPr>
          <w:rFonts w:cs="Calibri"/>
        </w:rPr>
        <w:t>Cl</w:t>
      </w:r>
      <w:r w:rsidRPr="00BB36F4">
        <w:rPr>
          <w:rFonts w:cs="Calibri"/>
        </w:rPr>
        <w:t xml:space="preserve">ose to 95% of these antibiotic “treatment failures” were in the form of re-consultation and receipt of a different antibiotic prescription within 30 days of their initial prescription. These </w:t>
      </w:r>
      <w:r>
        <w:rPr>
          <w:rFonts w:cs="Calibri"/>
        </w:rPr>
        <w:t xml:space="preserve">previous </w:t>
      </w:r>
      <w:r w:rsidRPr="00BB36F4">
        <w:rPr>
          <w:rFonts w:cs="Calibri"/>
        </w:rPr>
        <w:t xml:space="preserve">studies </w:t>
      </w:r>
      <w:r>
        <w:rPr>
          <w:rFonts w:cs="Calibri"/>
        </w:rPr>
        <w:t>found</w:t>
      </w:r>
      <w:r w:rsidRPr="00BB36F4">
        <w:rPr>
          <w:rFonts w:cs="Calibri"/>
        </w:rPr>
        <w:t xml:space="preserve"> that the highest failure rates were for lower </w:t>
      </w:r>
      <w:r>
        <w:rPr>
          <w:rFonts w:cs="Calibri"/>
        </w:rPr>
        <w:t>RTIs</w:t>
      </w:r>
      <w:r w:rsidRPr="00BB36F4">
        <w:rPr>
          <w:rFonts w:cs="Calibri"/>
        </w:rPr>
        <w:t xml:space="preserve">, which is </w:t>
      </w:r>
      <w:r>
        <w:rPr>
          <w:rFonts w:cs="Calibri"/>
        </w:rPr>
        <w:t>similar</w:t>
      </w:r>
      <w:r w:rsidRPr="00BB36F4">
        <w:rPr>
          <w:rFonts w:cs="Calibri"/>
        </w:rPr>
        <w:t xml:space="preserve"> to our findings. However, these studies did not </w:t>
      </w:r>
      <w:r>
        <w:rPr>
          <w:rFonts w:cs="Calibri"/>
        </w:rPr>
        <w:t xml:space="preserve">focus on preschool </w:t>
      </w:r>
      <w:r w:rsidRPr="00BB36F4">
        <w:rPr>
          <w:rFonts w:cs="Calibri"/>
        </w:rPr>
        <w:t xml:space="preserve">children.  </w:t>
      </w:r>
      <w:r w:rsidR="007A513A" w:rsidRPr="003D1083">
        <w:rPr>
          <w:highlight w:val="cyan"/>
        </w:rPr>
        <w:t xml:space="preserve">We </w:t>
      </w:r>
      <w:r w:rsidR="003D1083" w:rsidRPr="003D1083">
        <w:rPr>
          <w:highlight w:val="cyan"/>
        </w:rPr>
        <w:t xml:space="preserve">surmise </w:t>
      </w:r>
      <w:r w:rsidR="007A513A" w:rsidRPr="003D1083">
        <w:rPr>
          <w:highlight w:val="cyan"/>
        </w:rPr>
        <w:t xml:space="preserve">that our lower rates </w:t>
      </w:r>
      <w:r w:rsidR="003D1083" w:rsidRPr="003D1083">
        <w:rPr>
          <w:highlight w:val="cyan"/>
        </w:rPr>
        <w:t xml:space="preserve">of “failure” </w:t>
      </w:r>
      <w:r w:rsidR="007A513A" w:rsidRPr="003D1083">
        <w:rPr>
          <w:highlight w:val="cyan"/>
        </w:rPr>
        <w:t xml:space="preserve">relate to a number of factors including a </w:t>
      </w:r>
      <w:r w:rsidR="003D1083" w:rsidRPr="003D1083">
        <w:rPr>
          <w:highlight w:val="cyan"/>
        </w:rPr>
        <w:t xml:space="preserve">different </w:t>
      </w:r>
      <w:r w:rsidR="007A513A" w:rsidRPr="003D1083">
        <w:rPr>
          <w:highlight w:val="cyan"/>
        </w:rPr>
        <w:t>outcome definition for failure</w:t>
      </w:r>
      <w:r w:rsidR="003D1083" w:rsidRPr="003D1083">
        <w:rPr>
          <w:highlight w:val="cyan"/>
        </w:rPr>
        <w:t xml:space="preserve"> </w:t>
      </w:r>
      <w:r w:rsidR="007A513A" w:rsidRPr="003D1083">
        <w:rPr>
          <w:highlight w:val="cyan"/>
        </w:rPr>
        <w:t>(14 days instead of 30 days); other studies including both inpatient, outpatients, urgent care settings; prescription drug claims including injectable or intravenous antibiotics; and/or a focus on all children as opposed to preschool children.</w:t>
      </w:r>
      <w:r w:rsidR="007A513A" w:rsidRPr="003D1083">
        <w:t xml:space="preserve"> </w:t>
      </w:r>
    </w:p>
    <w:p w14:paraId="7C5B352A" w14:textId="77777777" w:rsidR="008E2C20" w:rsidRPr="001E69AC" w:rsidRDefault="008E2C20" w:rsidP="008013AC">
      <w:pPr>
        <w:spacing w:line="360" w:lineRule="auto"/>
        <w:ind w:right="19"/>
        <w:rPr>
          <w:rFonts w:cs="Calibri"/>
        </w:rPr>
      </w:pPr>
      <w:r w:rsidRPr="00BB36F4">
        <w:rPr>
          <w:rFonts w:cs="Calibri"/>
        </w:rPr>
        <w:t>Importantly, the underlying reasons fo</w:t>
      </w:r>
      <w:r>
        <w:rPr>
          <w:rFonts w:cs="Calibri"/>
        </w:rPr>
        <w:t xml:space="preserve">r “response failure” events </w:t>
      </w:r>
      <w:r w:rsidRPr="00BB36F4">
        <w:rPr>
          <w:rFonts w:cs="Calibri"/>
        </w:rPr>
        <w:t xml:space="preserve">are </w:t>
      </w:r>
      <w:r>
        <w:rPr>
          <w:rFonts w:cs="Calibri"/>
        </w:rPr>
        <w:t xml:space="preserve">complex and </w:t>
      </w:r>
      <w:r w:rsidRPr="00BB36F4">
        <w:rPr>
          <w:rFonts w:cs="Calibri"/>
        </w:rPr>
        <w:t xml:space="preserve">multifactorial. Possible explanations include that these “failures” are more to do </w:t>
      </w:r>
      <w:r>
        <w:rPr>
          <w:rFonts w:cs="Calibri"/>
        </w:rPr>
        <w:t xml:space="preserve">parents’ healthcare seeking behaviour and that they are </w:t>
      </w:r>
      <w:r w:rsidRPr="00BB36F4">
        <w:rPr>
          <w:rFonts w:cs="Calibri"/>
        </w:rPr>
        <w:t xml:space="preserve">unaware of the </w:t>
      </w:r>
      <w:r>
        <w:rPr>
          <w:rFonts w:cs="Calibri"/>
        </w:rPr>
        <w:t xml:space="preserve">normal </w:t>
      </w:r>
      <w:r w:rsidRPr="00BB36F4">
        <w:rPr>
          <w:rFonts w:cs="Calibri"/>
        </w:rPr>
        <w:t>duration of common RTI illness</w:t>
      </w:r>
      <w:r>
        <w:rPr>
          <w:rFonts w:cs="Calibri"/>
        </w:rPr>
        <w:t>.</w:t>
      </w:r>
      <w:r w:rsidRPr="006847D5">
        <w:rPr>
          <w:rFonts w:cs="Calibri"/>
          <w:noProof/>
          <w:vertAlign w:val="superscript"/>
        </w:rPr>
        <w:t>26</w:t>
      </w:r>
      <w:r>
        <w:rPr>
          <w:rFonts w:cs="Calibri"/>
          <w:noProof/>
        </w:rPr>
        <w:t xml:space="preserve"> </w:t>
      </w:r>
      <w:r>
        <w:rPr>
          <w:rFonts w:cs="Calibri"/>
        </w:rPr>
        <w:t xml:space="preserve">Prescriber factors include </w:t>
      </w:r>
      <w:r w:rsidRPr="00BB36F4">
        <w:rPr>
          <w:rFonts w:cs="Calibri"/>
        </w:rPr>
        <w:t xml:space="preserve">the </w:t>
      </w:r>
      <w:r>
        <w:rPr>
          <w:rFonts w:cs="Calibri"/>
        </w:rPr>
        <w:t xml:space="preserve">clinician’s </w:t>
      </w:r>
      <w:r w:rsidRPr="00BB36F4">
        <w:rPr>
          <w:rFonts w:cs="Calibri"/>
        </w:rPr>
        <w:t>inclination to pres</w:t>
      </w:r>
      <w:r>
        <w:rPr>
          <w:rFonts w:cs="Calibri"/>
        </w:rPr>
        <w:t xml:space="preserve">cribe an antibiotic </w:t>
      </w:r>
      <w:r w:rsidRPr="00BB36F4">
        <w:rPr>
          <w:rFonts w:cs="Calibri"/>
        </w:rPr>
        <w:t>because of diagnostic uncertainty couple</w:t>
      </w:r>
      <w:r>
        <w:rPr>
          <w:rFonts w:cs="Calibri"/>
        </w:rPr>
        <w:t xml:space="preserve">d with concern that the infection </w:t>
      </w:r>
      <w:r w:rsidRPr="00BB36F4">
        <w:rPr>
          <w:rFonts w:cs="Calibri"/>
        </w:rPr>
        <w:t>might progress</w:t>
      </w:r>
      <w:r>
        <w:rPr>
          <w:rFonts w:cs="Calibri"/>
        </w:rPr>
        <w:t>.</w:t>
      </w:r>
      <w:r w:rsidRPr="00D13C65">
        <w:rPr>
          <w:rFonts w:cs="Calibri"/>
          <w:noProof/>
          <w:vertAlign w:val="superscript"/>
        </w:rPr>
        <w:t>27</w:t>
      </w:r>
      <w:r>
        <w:rPr>
          <w:rFonts w:cs="Calibri"/>
        </w:rPr>
        <w:t xml:space="preserve"> Other factors might also include </w:t>
      </w:r>
      <w:r w:rsidRPr="00BB36F4">
        <w:rPr>
          <w:rFonts w:cs="Calibri"/>
        </w:rPr>
        <w:t>that antibiotic use in young children disturbs the fragile microbiome with subsequent increased susceptibility to infection</w:t>
      </w:r>
      <w:r w:rsidRPr="00D13C65">
        <w:rPr>
          <w:rFonts w:cs="Calibri"/>
          <w:noProof/>
          <w:vertAlign w:val="superscript"/>
        </w:rPr>
        <w:t>28</w:t>
      </w:r>
      <w:r w:rsidRPr="00BB36F4">
        <w:rPr>
          <w:rFonts w:cs="Calibri"/>
        </w:rPr>
        <w:t xml:space="preserve"> or that antibiotic-resistant inf</w:t>
      </w:r>
      <w:r>
        <w:rPr>
          <w:rFonts w:cs="Calibri"/>
        </w:rPr>
        <w:t xml:space="preserve">ections could have a </w:t>
      </w:r>
      <w:r w:rsidRPr="00BB36F4">
        <w:rPr>
          <w:rFonts w:cs="Calibri"/>
        </w:rPr>
        <w:t>role to play in leading to “response failures”.</w:t>
      </w:r>
      <w:r w:rsidRPr="00D13C65">
        <w:rPr>
          <w:rFonts w:cs="Calibri"/>
          <w:noProof/>
          <w:vertAlign w:val="superscript"/>
        </w:rPr>
        <w:t>29</w:t>
      </w:r>
      <w:r>
        <w:rPr>
          <w:rFonts w:cs="Calibri"/>
          <w:noProof/>
          <w:lang w:val="en-US"/>
        </w:rPr>
        <w:t xml:space="preserve"> </w:t>
      </w:r>
    </w:p>
    <w:p w14:paraId="52137AED" w14:textId="77777777" w:rsidR="008E2C20" w:rsidRPr="00F8331D" w:rsidRDefault="008E2C20" w:rsidP="008013AC">
      <w:pPr>
        <w:spacing w:line="480" w:lineRule="auto"/>
        <w:outlineLvl w:val="0"/>
        <w:rPr>
          <w:bCs/>
          <w:i/>
          <w:sz w:val="20"/>
        </w:rPr>
      </w:pPr>
      <w:r w:rsidRPr="00F8331D">
        <w:rPr>
          <w:i/>
        </w:rPr>
        <w:t xml:space="preserve">Strengths and </w:t>
      </w:r>
      <w:r w:rsidRPr="00F8331D">
        <w:rPr>
          <w:bCs/>
          <w:i/>
          <w:sz w:val="20"/>
        </w:rPr>
        <w:t>Limitations</w:t>
      </w:r>
    </w:p>
    <w:p w14:paraId="505FBAE0" w14:textId="77777777" w:rsidR="008E2C20" w:rsidRPr="00D33AB1" w:rsidRDefault="008E2C20" w:rsidP="008013AC">
      <w:pPr>
        <w:spacing w:line="360" w:lineRule="auto"/>
      </w:pPr>
      <w:r w:rsidRPr="00D21F61">
        <w:rPr>
          <w:color w:val="000000"/>
        </w:rPr>
        <w:t>In the absence of routine microbiological sampling for acute RTIs in primary care</w:t>
      </w:r>
      <w:r>
        <w:t xml:space="preserve"> , t</w:t>
      </w:r>
      <w:r w:rsidRPr="00D21F61">
        <w:t xml:space="preserve">he estimates for “response failure” give a pragmatic, clinically relevant outcome measure that patients and clinicians in the community can relate to. </w:t>
      </w:r>
      <w:r>
        <w:t>A strength of this study is the scale and quality of primary care data to conduct this study and therefore the results are likely to be generalisable to similar paediatric populations. O</w:t>
      </w:r>
      <w:r>
        <w:rPr>
          <w:color w:val="000000"/>
        </w:rPr>
        <w:t xml:space="preserve">ur analysis adjusted </w:t>
      </w:r>
      <w:r w:rsidRPr="001A5FD5">
        <w:t>for baseline consultation rate and previous</w:t>
      </w:r>
      <w:r>
        <w:t xml:space="preserve"> response failures</w:t>
      </w:r>
      <w:r>
        <w:rPr>
          <w:color w:val="000000"/>
        </w:rPr>
        <w:t xml:space="preserve">. A methodological strength is that the </w:t>
      </w:r>
      <w:r w:rsidRPr="00FA516B">
        <w:rPr>
          <w:color w:val="000000"/>
        </w:rPr>
        <w:t xml:space="preserve">main findings are supported by the secondary analysis, where </w:t>
      </w:r>
      <w:r>
        <w:rPr>
          <w:color w:val="000000"/>
        </w:rPr>
        <w:t xml:space="preserve">we </w:t>
      </w:r>
      <w:r w:rsidRPr="00FA516B">
        <w:rPr>
          <w:color w:val="000000"/>
        </w:rPr>
        <w:t xml:space="preserve">have </w:t>
      </w:r>
      <w:r>
        <w:rPr>
          <w:color w:val="000000"/>
        </w:rPr>
        <w:t>considered</w:t>
      </w:r>
      <w:r w:rsidRPr="00FA516B">
        <w:rPr>
          <w:color w:val="000000"/>
        </w:rPr>
        <w:t xml:space="preserve"> multiple RTI episodes in each child nested in GP practices over the study period.</w:t>
      </w:r>
      <w:r>
        <w:rPr>
          <w:color w:val="000000"/>
        </w:rPr>
        <w:t xml:space="preserve"> In </w:t>
      </w:r>
      <w:r>
        <w:rPr>
          <w:color w:val="000000"/>
        </w:rPr>
        <w:lastRenderedPageBreak/>
        <w:t xml:space="preserve">addition, greater ORs were observed in the sensitivity analysis </w:t>
      </w:r>
      <w:r w:rsidRPr="00290275">
        <w:rPr>
          <w:color w:val="000000"/>
        </w:rPr>
        <w:t xml:space="preserve">excluding children where the first criterion of our study outcome was used </w:t>
      </w:r>
      <w:r>
        <w:rPr>
          <w:color w:val="000000"/>
        </w:rPr>
        <w:t xml:space="preserve">(i.e. antibiotic prescriptions, </w:t>
      </w:r>
      <w:r>
        <w:t xml:space="preserve">OR 1·32 [95% CI 1·04-1·66] vs </w:t>
      </w:r>
      <w:r w:rsidRPr="00290275">
        <w:rPr>
          <w:color w:val="000000"/>
        </w:rPr>
        <w:t>OR 1·54 [95% CI 1·20-1·98]</w:t>
      </w:r>
      <w:r>
        <w:rPr>
          <w:color w:val="000000"/>
        </w:rPr>
        <w:t>). This finding supports the primary analysis suggesting that patient demand for antibiotics is unlikely to be driving this association or perhaps that a child with a history of frequent antibiotic use may prompt the clinician to suspect an anatomical or immunity-related issue and seek specialist opinion</w:t>
      </w:r>
      <w:r w:rsidRPr="00D74A04">
        <w:rPr>
          <w:color w:val="000000"/>
          <w:highlight w:val="cyan"/>
        </w:rPr>
        <w:t xml:space="preserve">.  </w:t>
      </w:r>
      <w:r w:rsidR="00501DDB" w:rsidRPr="00D74A04">
        <w:rPr>
          <w:color w:val="000000"/>
          <w:highlight w:val="cyan"/>
        </w:rPr>
        <w:t xml:space="preserve">The absolute increase in the </w:t>
      </w:r>
      <w:r w:rsidR="0034568A" w:rsidRPr="00D74A04">
        <w:rPr>
          <w:color w:val="000000"/>
          <w:highlight w:val="cyan"/>
        </w:rPr>
        <w:t>likelihood of ‘response failure’</w:t>
      </w:r>
      <w:r w:rsidR="00F013F8" w:rsidRPr="00D74A04">
        <w:rPr>
          <w:color w:val="000000"/>
          <w:highlight w:val="cyan"/>
        </w:rPr>
        <w:t xml:space="preserve"> between </w:t>
      </w:r>
      <w:r w:rsidR="0034568A" w:rsidRPr="00D74A04">
        <w:rPr>
          <w:color w:val="000000"/>
          <w:highlight w:val="cyan"/>
        </w:rPr>
        <w:t xml:space="preserve">non-exposed </w:t>
      </w:r>
      <w:r w:rsidR="00D90380" w:rsidRPr="00D74A04">
        <w:rPr>
          <w:color w:val="000000"/>
          <w:highlight w:val="cyan"/>
        </w:rPr>
        <w:t xml:space="preserve">and exposed </w:t>
      </w:r>
      <w:r w:rsidR="0034568A" w:rsidRPr="00D74A04">
        <w:rPr>
          <w:color w:val="000000"/>
          <w:highlight w:val="cyan"/>
        </w:rPr>
        <w:t xml:space="preserve">preschool children is relatively </w:t>
      </w:r>
      <w:r w:rsidR="00501DDB" w:rsidRPr="00D74A04">
        <w:rPr>
          <w:color w:val="000000"/>
          <w:highlight w:val="cyan"/>
        </w:rPr>
        <w:t>low</w:t>
      </w:r>
      <w:r w:rsidR="0034568A" w:rsidRPr="00D74A04">
        <w:rPr>
          <w:color w:val="000000"/>
          <w:highlight w:val="cyan"/>
        </w:rPr>
        <w:t xml:space="preserve"> (</w:t>
      </w:r>
      <w:r w:rsidR="00501DDB" w:rsidRPr="00D74A04">
        <w:rPr>
          <w:color w:val="000000"/>
          <w:highlight w:val="cyan"/>
        </w:rPr>
        <w:t xml:space="preserve">0.3% based on an </w:t>
      </w:r>
      <w:r w:rsidR="00604A4B" w:rsidRPr="00D74A04">
        <w:rPr>
          <w:color w:val="000000"/>
          <w:highlight w:val="cyan"/>
        </w:rPr>
        <w:t xml:space="preserve">adjusted </w:t>
      </w:r>
      <w:r w:rsidR="00501DDB" w:rsidRPr="00D74A04">
        <w:rPr>
          <w:color w:val="000000"/>
          <w:highlight w:val="cyan"/>
        </w:rPr>
        <w:t xml:space="preserve">OR of 1.32 i.e. </w:t>
      </w:r>
      <w:r w:rsidR="0034568A" w:rsidRPr="00D74A04">
        <w:rPr>
          <w:color w:val="000000"/>
          <w:highlight w:val="cyan"/>
        </w:rPr>
        <w:t>0.94%</w:t>
      </w:r>
      <w:r w:rsidR="00501DDB" w:rsidRPr="00D74A04">
        <w:rPr>
          <w:color w:val="000000"/>
          <w:highlight w:val="cyan"/>
        </w:rPr>
        <w:t xml:space="preserve"> (1050/111,281</w:t>
      </w:r>
      <w:r w:rsidR="0034568A" w:rsidRPr="00D74A04">
        <w:rPr>
          <w:color w:val="000000"/>
          <w:highlight w:val="cyan"/>
        </w:rPr>
        <w:t>)</w:t>
      </w:r>
      <w:r w:rsidR="00501DDB" w:rsidRPr="00D74A04">
        <w:rPr>
          <w:color w:val="000000"/>
          <w:highlight w:val="cyan"/>
        </w:rPr>
        <w:t>*1.</w:t>
      </w:r>
      <w:commentRangeStart w:id="3"/>
      <w:r w:rsidR="00501DDB" w:rsidRPr="00D74A04">
        <w:rPr>
          <w:color w:val="000000"/>
          <w:highlight w:val="cyan"/>
        </w:rPr>
        <w:t>32</w:t>
      </w:r>
      <w:commentRangeEnd w:id="3"/>
      <w:r w:rsidR="00E83C21">
        <w:rPr>
          <w:rStyle w:val="CommentReference"/>
        </w:rPr>
        <w:commentReference w:id="3"/>
      </w:r>
      <w:r w:rsidR="00501DDB" w:rsidRPr="00D74A04">
        <w:rPr>
          <w:color w:val="000000"/>
          <w:highlight w:val="cyan"/>
        </w:rPr>
        <w:t>).</w:t>
      </w:r>
    </w:p>
    <w:p w14:paraId="039108FB" w14:textId="77777777" w:rsidR="008E2C20" w:rsidRPr="00187987" w:rsidRDefault="008E2C20" w:rsidP="008013AC">
      <w:pPr>
        <w:spacing w:after="0" w:line="360" w:lineRule="auto"/>
      </w:pPr>
      <w:r>
        <w:rPr>
          <w:color w:val="000000"/>
        </w:rPr>
        <w:t xml:space="preserve">We accept there are </w:t>
      </w:r>
      <w:r w:rsidRPr="00187987">
        <w:t>important limitations</w:t>
      </w:r>
      <w:r>
        <w:t>. T</w:t>
      </w:r>
      <w:r w:rsidRPr="00187987">
        <w:t>he true aetiology of these acute RTIs is not known.</w:t>
      </w:r>
      <w:r>
        <w:t xml:space="preserve"> </w:t>
      </w:r>
      <w:r w:rsidRPr="00187987">
        <w:t>Therefore, evidence of antibiotic non-response may relate to sub-optimal diagnosis and inappropriate treatment</w:t>
      </w:r>
      <w:r w:rsidR="009978AA">
        <w:t xml:space="preserve"> </w:t>
      </w:r>
      <w:r w:rsidR="009978AA" w:rsidRPr="009978AA">
        <w:rPr>
          <w:highlight w:val="cyan"/>
        </w:rPr>
        <w:t>and medicalisation of self-limiting RTIs in children</w:t>
      </w:r>
      <w:r w:rsidRPr="00187987">
        <w:t xml:space="preserve"> rather than lack of </w:t>
      </w:r>
      <w:r>
        <w:t xml:space="preserve">treatment </w:t>
      </w:r>
      <w:r w:rsidRPr="00187987">
        <w:t xml:space="preserve">effectiveness. </w:t>
      </w:r>
      <w:r>
        <w:t>These data cannot report the relative contribution of bacterial resistance or answer the question of causality</w:t>
      </w:r>
      <w:r w:rsidRPr="001A5FD5">
        <w:t xml:space="preserve"> </w:t>
      </w:r>
      <w:r>
        <w:t>of the antibiotic prescription. Only children with acute LRTI treated with antibiotics were associated with ‘response failure’ and may reflect illness severity. Our findings, therefore,</w:t>
      </w:r>
      <w:r w:rsidRPr="001A5FD5">
        <w:t xml:space="preserve"> may be identifying children that are prone to infections (but without a relevant comorbidity) without identifying the association with number of antibio</w:t>
      </w:r>
      <w:r>
        <w:t xml:space="preserve">tic prescriptions. There was no association when excluding </w:t>
      </w:r>
      <w:r w:rsidRPr="007010EF">
        <w:t xml:space="preserve">antibiotic prescribing </w:t>
      </w:r>
      <w:r>
        <w:t xml:space="preserve">patterns for the eight weeks prior to </w:t>
      </w:r>
      <w:r w:rsidRPr="007010EF">
        <w:t>the index prescription</w:t>
      </w:r>
      <w:r>
        <w:t xml:space="preserve"> and might contradict the antibiotic-microbiome theory. </w:t>
      </w:r>
    </w:p>
    <w:p w14:paraId="6E124458" w14:textId="77777777" w:rsidR="008E2C20" w:rsidRDefault="008E2C20" w:rsidP="008013AC">
      <w:pPr>
        <w:spacing w:after="0" w:line="360" w:lineRule="auto"/>
      </w:pPr>
    </w:p>
    <w:p w14:paraId="4DD4E8E4" w14:textId="77777777" w:rsidR="008E2C20" w:rsidRDefault="008E2C20" w:rsidP="008013AC">
      <w:pPr>
        <w:spacing w:after="0" w:line="360" w:lineRule="auto"/>
      </w:pPr>
      <w:r>
        <w:t>I</w:t>
      </w:r>
      <w:r w:rsidRPr="00187987">
        <w:t xml:space="preserve">n the primary analysis, referral to an infection-related specialist service was the most common reason for “response failure”. We acknowledge that the reason for referral may include other issues incidental to the acute presentation. </w:t>
      </w:r>
      <w:r>
        <w:t>A</w:t>
      </w:r>
      <w:r w:rsidRPr="00187987">
        <w:t>vailable data were unable to distinguish between urgent referrals and a routine specialist referral for an ongoing or unrelated RTI-associated problem.</w:t>
      </w:r>
      <w:r>
        <w:t xml:space="preserve"> Likewise, we were not able to reliably exclude children on prophylactic antibiotics (e.g. flucloxacillin for cystic fibrosis). However, the number of children on prophylactic antibiotics is likely to be small in such a large cohort.  Within our cohort study of nearly eight years, only 725 children (0·25%) were prescribed </w:t>
      </w:r>
      <w:r>
        <w:lastRenderedPageBreak/>
        <w:t>flucloxacillin of which only three children experienced a “response failure”. Lastly, a</w:t>
      </w:r>
      <w:r w:rsidRPr="001A5FD5">
        <w:t xml:space="preserve">lthough </w:t>
      </w:r>
      <w:r>
        <w:t xml:space="preserve">we </w:t>
      </w:r>
      <w:r w:rsidRPr="001A5FD5">
        <w:t>adjust</w:t>
      </w:r>
      <w:r>
        <w:t>ed for</w:t>
      </w:r>
      <w:r w:rsidRPr="001A5FD5">
        <w:t xml:space="preserve"> important covariates, </w:t>
      </w:r>
      <w:r>
        <w:t xml:space="preserve">it was not possible to </w:t>
      </w:r>
      <w:r w:rsidRPr="001A5FD5">
        <w:t>account for confounding due to illness severity from routinely collected data</w:t>
      </w:r>
      <w:r>
        <w:t>.</w:t>
      </w:r>
    </w:p>
    <w:p w14:paraId="7BF755A8" w14:textId="77777777" w:rsidR="008E2C20" w:rsidRPr="00187987" w:rsidRDefault="008E2C20" w:rsidP="008013AC">
      <w:pPr>
        <w:spacing w:after="0" w:line="360" w:lineRule="auto"/>
        <w:rPr>
          <w:highlight w:val="yellow"/>
        </w:rPr>
      </w:pPr>
    </w:p>
    <w:p w14:paraId="5A9DFE46" w14:textId="77777777" w:rsidR="008E2C20" w:rsidRPr="00BA0204" w:rsidRDefault="008E2C20" w:rsidP="008013AC">
      <w:pPr>
        <w:tabs>
          <w:tab w:val="left" w:pos="8647"/>
        </w:tabs>
        <w:spacing w:line="480" w:lineRule="auto"/>
        <w:ind w:right="19"/>
        <w:rPr>
          <w:bCs/>
          <w:i/>
        </w:rPr>
      </w:pPr>
      <w:r w:rsidRPr="00BA0204">
        <w:rPr>
          <w:bCs/>
          <w:i/>
        </w:rPr>
        <w:t>Implications for practice, policy and future research</w:t>
      </w:r>
    </w:p>
    <w:p w14:paraId="7A30A129" w14:textId="77777777" w:rsidR="008E2C20" w:rsidRPr="007D552C" w:rsidRDefault="008E2C20" w:rsidP="008013AC">
      <w:pPr>
        <w:spacing w:line="360" w:lineRule="auto"/>
        <w:rPr>
          <w:rFonts w:cs="Calibri"/>
          <w:bCs/>
        </w:rPr>
      </w:pPr>
      <w:r>
        <w:rPr>
          <w:rFonts w:cs="Calibri"/>
          <w:bCs/>
        </w:rPr>
        <w:t>Previous a</w:t>
      </w:r>
      <w:r w:rsidRPr="0008341B">
        <w:rPr>
          <w:rFonts w:cs="Calibri"/>
          <w:bCs/>
        </w:rPr>
        <w:t xml:space="preserve">ntibiotic exposure for acute RTI in children may give an indication for subsequent “failure” (but not necessarily because of antibiotic treatment failure).  </w:t>
      </w:r>
      <w:r w:rsidRPr="0008341B">
        <w:t>Our</w:t>
      </w:r>
      <w:r>
        <w:t xml:space="preserve"> findings suggest that children receiving more antibiotics affects their likelihood of re-consulting a health professional and increase clinical workload, even though the majority of RTIs in children are viral, self-limiting </w:t>
      </w:r>
      <w:r w:rsidRPr="00FB3100">
        <w:t xml:space="preserve">and </w:t>
      </w:r>
      <w:r>
        <w:t xml:space="preserve">would not be expected to have </w:t>
      </w:r>
      <w:r w:rsidRPr="00FB3100">
        <w:t>benefit</w:t>
      </w:r>
      <w:r>
        <w:t>ted</w:t>
      </w:r>
      <w:r w:rsidRPr="00FB3100">
        <w:t xml:space="preserve"> from antibiotic treatment</w:t>
      </w:r>
      <w:r>
        <w:t>. Indirectly, this points to the importance of appropriate safety-netting and informing parents (carers) of the natural recovery period of common RTIs in children.</w:t>
      </w:r>
      <w:r w:rsidRPr="003C264D">
        <w:rPr>
          <w:noProof/>
          <w:vertAlign w:val="superscript"/>
        </w:rPr>
        <w:t>23</w:t>
      </w:r>
      <w:r>
        <w:t xml:space="preserve"> </w:t>
      </w:r>
      <w:r w:rsidRPr="007D5C41">
        <w:rPr>
          <w:rFonts w:cs="Calibri"/>
          <w:bCs/>
        </w:rPr>
        <w:t xml:space="preserve">Incorporating these exposure data into </w:t>
      </w:r>
      <w:r>
        <w:rPr>
          <w:rFonts w:cs="Calibri"/>
          <w:bCs/>
        </w:rPr>
        <w:t xml:space="preserve">clinical </w:t>
      </w:r>
      <w:r w:rsidRPr="007D5C41">
        <w:rPr>
          <w:rFonts w:cs="Calibri"/>
          <w:bCs/>
        </w:rPr>
        <w:t xml:space="preserve">decision-support systems will </w:t>
      </w:r>
      <w:r>
        <w:rPr>
          <w:rFonts w:cs="Calibri"/>
          <w:bCs/>
        </w:rPr>
        <w:t xml:space="preserve">prompt </w:t>
      </w:r>
      <w:r w:rsidRPr="007D5C41">
        <w:rPr>
          <w:rFonts w:cs="Calibri"/>
          <w:bCs/>
        </w:rPr>
        <w:t xml:space="preserve">primary care </w:t>
      </w:r>
      <w:r>
        <w:rPr>
          <w:rFonts w:cs="Calibri"/>
          <w:bCs/>
        </w:rPr>
        <w:t xml:space="preserve">clinicians to implement strategies to support a non-antibiotic strategy like informing parents about the anticipated recovery period </w:t>
      </w:r>
      <w:r>
        <w:t>of common RTIs in children.</w:t>
      </w:r>
      <w:r w:rsidRPr="00D13C65">
        <w:rPr>
          <w:rFonts w:cs="Calibri"/>
          <w:bCs/>
          <w:noProof/>
          <w:vertAlign w:val="superscript"/>
        </w:rPr>
        <w:t>30</w:t>
      </w:r>
      <w:r>
        <w:rPr>
          <w:rFonts w:cs="Calibri"/>
          <w:bCs/>
        </w:rPr>
        <w:t xml:space="preserve"> </w:t>
      </w:r>
      <w:r>
        <w:t>This is especially true where the child does not have clinical evidence of an infection which obviously requires treatment with antibiotics.</w:t>
      </w:r>
      <w:r>
        <w:rPr>
          <w:rFonts w:cs="Calibri"/>
          <w:bCs/>
        </w:rPr>
        <w:t xml:space="preserve"> </w:t>
      </w:r>
      <w:r w:rsidRPr="00323188">
        <w:rPr>
          <w:rFonts w:cs="Calibri"/>
        </w:rPr>
        <w:t>Indirectly, this can help curb</w:t>
      </w:r>
      <w:r w:rsidRPr="00C90DEB">
        <w:rPr>
          <w:rFonts w:cs="Calibri"/>
        </w:rPr>
        <w:t xml:space="preserve"> expectations for </w:t>
      </w:r>
      <w:r w:rsidRPr="00323188">
        <w:rPr>
          <w:rFonts w:cs="Calibri"/>
        </w:rPr>
        <w:t xml:space="preserve">antibiotics </w:t>
      </w:r>
      <w:r w:rsidRPr="00D13C65">
        <w:rPr>
          <w:rFonts w:cs="Calibri"/>
          <w:noProof/>
          <w:vertAlign w:val="superscript"/>
        </w:rPr>
        <w:t>31</w:t>
      </w:r>
      <w:r w:rsidRPr="00323188">
        <w:rPr>
          <w:rFonts w:cs="Calibri"/>
        </w:rPr>
        <w:t>,</w:t>
      </w:r>
      <w:r w:rsidRPr="00C90DEB">
        <w:rPr>
          <w:rFonts w:cs="Calibri"/>
        </w:rPr>
        <w:t xml:space="preserve"> and facilitate </w:t>
      </w:r>
      <w:r>
        <w:rPr>
          <w:rFonts w:cs="Calibri"/>
        </w:rPr>
        <w:t>better shared decision-</w:t>
      </w:r>
      <w:r w:rsidRPr="00C90DEB">
        <w:rPr>
          <w:rFonts w:cs="Calibri"/>
        </w:rPr>
        <w:t xml:space="preserve">making </w:t>
      </w:r>
      <w:r w:rsidRPr="00323188">
        <w:rPr>
          <w:rFonts w:cs="Calibri"/>
        </w:rPr>
        <w:t>during consultations</w:t>
      </w:r>
      <w:r>
        <w:rPr>
          <w:rFonts w:cs="Calibri"/>
        </w:rPr>
        <w:t xml:space="preserve"> </w:t>
      </w:r>
      <w:r w:rsidRPr="00980899">
        <w:rPr>
          <w:rFonts w:cs="Calibri"/>
        </w:rPr>
        <w:t>based on</w:t>
      </w:r>
      <w:r>
        <w:rPr>
          <w:rFonts w:cs="Calibri"/>
        </w:rPr>
        <w:t xml:space="preserve"> tangible outcomes that parents/carers and </w:t>
      </w:r>
      <w:r w:rsidRPr="00980899">
        <w:rPr>
          <w:rFonts w:cs="Calibri"/>
        </w:rPr>
        <w:t>clin</w:t>
      </w:r>
      <w:r>
        <w:rPr>
          <w:rFonts w:cs="Calibri"/>
        </w:rPr>
        <w:t>icians can relate to.</w:t>
      </w:r>
      <w:r w:rsidRPr="00D13C65">
        <w:rPr>
          <w:rFonts w:cs="Calibri"/>
          <w:noProof/>
          <w:vertAlign w:val="superscript"/>
        </w:rPr>
        <w:t>32</w:t>
      </w:r>
      <w:r>
        <w:rPr>
          <w:rFonts w:cs="Calibri"/>
        </w:rPr>
        <w:t xml:space="preserve"> </w:t>
      </w:r>
    </w:p>
    <w:p w14:paraId="36A3AB04" w14:textId="77777777" w:rsidR="008E2C20" w:rsidRPr="009F3959" w:rsidRDefault="008E2C20" w:rsidP="008013AC">
      <w:pPr>
        <w:tabs>
          <w:tab w:val="left" w:pos="8647"/>
        </w:tabs>
        <w:spacing w:line="360" w:lineRule="auto"/>
        <w:ind w:right="19"/>
        <w:rPr>
          <w:rFonts w:cs="Calibri"/>
        </w:rPr>
      </w:pPr>
      <w:r>
        <w:rPr>
          <w:rFonts w:cs="Calibri"/>
        </w:rPr>
        <w:t>Better</w:t>
      </w:r>
      <w:r w:rsidRPr="004D4124">
        <w:rPr>
          <w:rFonts w:cs="Calibri"/>
        </w:rPr>
        <w:t xml:space="preserve"> quality indicators </w:t>
      </w:r>
      <w:r>
        <w:rPr>
          <w:rFonts w:cs="Calibri"/>
        </w:rPr>
        <w:t xml:space="preserve">are needed for common infections </w:t>
      </w:r>
      <w:r w:rsidRPr="004D4124">
        <w:rPr>
          <w:rFonts w:cs="Calibri"/>
        </w:rPr>
        <w:t>to improve the appropriateness of antibiotic prescribing and reduce overall antibiotic prescribing.</w:t>
      </w:r>
      <w:r w:rsidRPr="00D13C65">
        <w:rPr>
          <w:rFonts w:cs="Calibri"/>
          <w:noProof/>
          <w:vertAlign w:val="superscript"/>
        </w:rPr>
        <w:t>33</w:t>
      </w:r>
      <w:r>
        <w:rPr>
          <w:rFonts w:cs="Calibri"/>
        </w:rPr>
        <w:t xml:space="preserve"> A</w:t>
      </w:r>
      <w:r w:rsidRPr="00FF0FCF">
        <w:rPr>
          <w:rFonts w:cs="Calibri"/>
        </w:rPr>
        <w:t xml:space="preserve"> recent UK database study </w:t>
      </w:r>
      <w:r>
        <w:rPr>
          <w:rFonts w:cs="Calibri"/>
        </w:rPr>
        <w:t xml:space="preserve">found </w:t>
      </w:r>
      <w:r w:rsidRPr="00FF0FCF">
        <w:rPr>
          <w:rFonts w:cs="Calibri"/>
        </w:rPr>
        <w:t>almost a third of antibiotic prescriptions could not b</w:t>
      </w:r>
      <w:r>
        <w:rPr>
          <w:rFonts w:cs="Calibri"/>
        </w:rPr>
        <w:t xml:space="preserve">e linked to a clinically-informative </w:t>
      </w:r>
      <w:r w:rsidRPr="00FF0FCF">
        <w:rPr>
          <w:rFonts w:cs="Calibri"/>
        </w:rPr>
        <w:t>condition.</w:t>
      </w:r>
      <w:r w:rsidRPr="00D13C65">
        <w:rPr>
          <w:rFonts w:cs="Calibri"/>
          <w:noProof/>
          <w:vertAlign w:val="superscript"/>
        </w:rPr>
        <w:t>34</w:t>
      </w:r>
      <w:r w:rsidRPr="00FF0FCF">
        <w:rPr>
          <w:rFonts w:cs="Calibri"/>
        </w:rPr>
        <w:t xml:space="preserve"> </w:t>
      </w:r>
      <w:r>
        <w:rPr>
          <w:rFonts w:cs="Calibri"/>
        </w:rPr>
        <w:t xml:space="preserve">Novel quality indicators should centre around </w:t>
      </w:r>
      <w:r w:rsidRPr="00587708">
        <w:rPr>
          <w:rFonts w:cs="Calibri"/>
        </w:rPr>
        <w:t>acute RTIs, where the majority of unnecessary antibiotic prescribing occ</w:t>
      </w:r>
      <w:r>
        <w:rPr>
          <w:rFonts w:cs="Calibri"/>
        </w:rPr>
        <w:t xml:space="preserve">urs, and focus on </w:t>
      </w:r>
      <w:r w:rsidRPr="00587708">
        <w:rPr>
          <w:rFonts w:cs="Calibri"/>
        </w:rPr>
        <w:t>the diagnostic proc</w:t>
      </w:r>
      <w:r>
        <w:rPr>
          <w:rFonts w:cs="Calibri"/>
        </w:rPr>
        <w:t xml:space="preserve">ess leading to a diagnosis </w:t>
      </w:r>
      <w:r w:rsidRPr="00587708">
        <w:rPr>
          <w:rFonts w:cs="Calibri"/>
        </w:rPr>
        <w:t>and the deci</w:t>
      </w:r>
      <w:r>
        <w:rPr>
          <w:rFonts w:cs="Calibri"/>
        </w:rPr>
        <w:t>sion to prescribe an antibiotic, rather than simply the choice of antibiotic</w:t>
      </w:r>
      <w:r w:rsidRPr="00587708">
        <w:rPr>
          <w:rFonts w:cs="Calibri"/>
        </w:rPr>
        <w:t>.</w:t>
      </w:r>
      <w:r w:rsidRPr="00D13C65">
        <w:rPr>
          <w:rFonts w:cs="Calibri"/>
          <w:noProof/>
          <w:vertAlign w:val="superscript"/>
        </w:rPr>
        <w:t>35</w:t>
      </w:r>
    </w:p>
    <w:p w14:paraId="3FE47B84" w14:textId="77777777" w:rsidR="008E2C20" w:rsidRDefault="008E2C20" w:rsidP="008013AC">
      <w:pPr>
        <w:tabs>
          <w:tab w:val="left" w:pos="8647"/>
        </w:tabs>
        <w:spacing w:line="360" w:lineRule="auto"/>
        <w:ind w:right="19"/>
      </w:pPr>
      <w:r w:rsidRPr="00587708">
        <w:rPr>
          <w:rFonts w:cs="Calibri"/>
        </w:rPr>
        <w:t xml:space="preserve">Routinely collected primary care data in its current format is unable to tease out the intricacies of everyday prescribing decisions. Large-scale observational studies in primary </w:t>
      </w:r>
      <w:r w:rsidRPr="00587708">
        <w:rPr>
          <w:rFonts w:cs="Calibri"/>
        </w:rPr>
        <w:lastRenderedPageBreak/>
        <w:t xml:space="preserve">care settings are therefore needed </w:t>
      </w:r>
      <w:r w:rsidRPr="007D552C">
        <w:rPr>
          <w:bCs/>
        </w:rPr>
        <w:t>to improve understanding of the mechanisms underlying “response failure”</w:t>
      </w:r>
      <w:r>
        <w:rPr>
          <w:bCs/>
        </w:rPr>
        <w:t xml:space="preserve">, </w:t>
      </w:r>
      <w:r w:rsidRPr="007D552C">
        <w:rPr>
          <w:bCs/>
        </w:rPr>
        <w:t>how these may be addressed to minimise unnecessary antibiotic prescribing and use</w:t>
      </w:r>
      <w:r>
        <w:rPr>
          <w:bCs/>
        </w:rPr>
        <w:t xml:space="preserve">, and </w:t>
      </w:r>
      <w:r w:rsidRPr="00587708">
        <w:rPr>
          <w:rFonts w:cs="Calibri"/>
        </w:rPr>
        <w:t>to determine the proportion of clinical response failures for common infections that are indeed attributable to antibiotic resistance</w:t>
      </w:r>
      <w:r>
        <w:rPr>
          <w:rFonts w:cs="Calibri"/>
        </w:rPr>
        <w:t xml:space="preserve"> and microbiome </w:t>
      </w:r>
      <w:r>
        <w:t xml:space="preserve">disruption. </w:t>
      </w:r>
    </w:p>
    <w:p w14:paraId="3B63403C" w14:textId="77777777" w:rsidR="008E2C20" w:rsidRPr="00926BC2" w:rsidRDefault="008E2C20" w:rsidP="008013AC">
      <w:pPr>
        <w:tabs>
          <w:tab w:val="left" w:pos="8647"/>
        </w:tabs>
        <w:spacing w:line="360" w:lineRule="auto"/>
        <w:ind w:right="19"/>
        <w:rPr>
          <w:rFonts w:ascii="Times New Roman" w:hAnsi="Times New Roman"/>
        </w:rPr>
      </w:pPr>
    </w:p>
    <w:p w14:paraId="69A409FF" w14:textId="77777777" w:rsidR="008E2C20" w:rsidRDefault="008E2C20" w:rsidP="008013AC">
      <w:pPr>
        <w:spacing w:line="480" w:lineRule="auto"/>
        <w:outlineLvl w:val="0"/>
        <w:rPr>
          <w:i/>
        </w:rPr>
      </w:pPr>
      <w:r>
        <w:rPr>
          <w:i/>
        </w:rPr>
        <w:t xml:space="preserve">Contributors </w:t>
      </w:r>
    </w:p>
    <w:p w14:paraId="5520716C" w14:textId="77777777" w:rsidR="008E2C20" w:rsidRPr="0030217C" w:rsidRDefault="008E2C20" w:rsidP="008013AC">
      <w:pPr>
        <w:spacing w:line="360" w:lineRule="auto"/>
        <w:rPr>
          <w:highlight w:val="yellow"/>
        </w:rPr>
      </w:pPr>
      <w:r w:rsidRPr="00DC492B">
        <w:rPr>
          <w:rFonts w:cs="Calibri"/>
          <w:color w:val="000000"/>
          <w:lang w:val="en-US"/>
        </w:rPr>
        <w:t xml:space="preserve">Dr van Hecke had full access to all of the data in the study and takes responsibility for the integrity of the data and the accuracy of the data analysis. </w:t>
      </w:r>
    </w:p>
    <w:p w14:paraId="58AC2AC1" w14:textId="77777777" w:rsidR="008E2C20" w:rsidRPr="00DC492B" w:rsidRDefault="008E2C20" w:rsidP="008013AC">
      <w:pPr>
        <w:autoSpaceDE w:val="0"/>
        <w:autoSpaceDN w:val="0"/>
        <w:adjustRightInd w:val="0"/>
        <w:spacing w:after="240" w:line="360" w:lineRule="auto"/>
        <w:rPr>
          <w:rFonts w:cs="Calibri"/>
          <w:color w:val="000000"/>
          <w:lang w:val="en-US"/>
        </w:rPr>
      </w:pPr>
      <w:r w:rsidRPr="00DC492B">
        <w:rPr>
          <w:rFonts w:cs="Calibri"/>
          <w:iCs/>
          <w:color w:val="000000"/>
          <w:lang w:val="en-US"/>
        </w:rPr>
        <w:t>Concept and design: van Hecke</w:t>
      </w:r>
      <w:r>
        <w:rPr>
          <w:rFonts w:cs="Calibri"/>
          <w:iCs/>
          <w:color w:val="000000"/>
          <w:lang w:val="en-US"/>
        </w:rPr>
        <w:t>, Wang, Fuller, Bankhead, Butler</w:t>
      </w:r>
    </w:p>
    <w:p w14:paraId="5FF104E1" w14:textId="77777777" w:rsidR="008E2C20" w:rsidRPr="00DC492B" w:rsidRDefault="008E2C20" w:rsidP="008013AC">
      <w:pPr>
        <w:autoSpaceDE w:val="0"/>
        <w:autoSpaceDN w:val="0"/>
        <w:adjustRightInd w:val="0"/>
        <w:spacing w:after="240" w:line="360" w:lineRule="auto"/>
        <w:rPr>
          <w:rFonts w:cs="Calibri"/>
          <w:color w:val="000000"/>
          <w:lang w:val="en-US"/>
        </w:rPr>
      </w:pPr>
      <w:r w:rsidRPr="00DC492B">
        <w:rPr>
          <w:rFonts w:cs="Calibri"/>
          <w:iCs/>
          <w:color w:val="000000"/>
          <w:lang w:val="en-US"/>
        </w:rPr>
        <w:t xml:space="preserve">Drafting of the manuscript: </w:t>
      </w:r>
      <w:r w:rsidRPr="0030217C">
        <w:rPr>
          <w:rFonts w:cs="Calibri"/>
          <w:iCs/>
          <w:color w:val="000000"/>
          <w:lang w:val="en-US"/>
        </w:rPr>
        <w:t>van Hecke</w:t>
      </w:r>
      <w:r>
        <w:rPr>
          <w:rFonts w:cs="Calibri"/>
          <w:iCs/>
          <w:color w:val="000000"/>
          <w:lang w:val="en-US"/>
        </w:rPr>
        <w:t xml:space="preserve">, Wang, </w:t>
      </w:r>
      <w:r>
        <w:t>Jenkins-Jones</w:t>
      </w:r>
      <w:r>
        <w:rPr>
          <w:rFonts w:cs="Calibri"/>
          <w:iCs/>
          <w:color w:val="000000"/>
          <w:lang w:val="en-US"/>
        </w:rPr>
        <w:t>, Butler, Moore, Francis, Bankhead</w:t>
      </w:r>
    </w:p>
    <w:p w14:paraId="3C55129E" w14:textId="77777777" w:rsidR="008E2C20" w:rsidRPr="00DC492B" w:rsidRDefault="008E2C20" w:rsidP="008013AC">
      <w:pPr>
        <w:autoSpaceDE w:val="0"/>
        <w:autoSpaceDN w:val="0"/>
        <w:adjustRightInd w:val="0"/>
        <w:spacing w:after="240" w:line="360" w:lineRule="auto"/>
        <w:rPr>
          <w:rFonts w:cs="Calibri"/>
          <w:color w:val="000000"/>
          <w:lang w:val="en-US"/>
        </w:rPr>
      </w:pPr>
      <w:r w:rsidRPr="00DC492B">
        <w:rPr>
          <w:rFonts w:cs="Calibri"/>
          <w:iCs/>
          <w:color w:val="000000"/>
          <w:lang w:val="en-US"/>
        </w:rPr>
        <w:t>Statistical analysis:</w:t>
      </w:r>
      <w:r w:rsidRPr="00DC492B">
        <w:rPr>
          <w:rFonts w:cs="Calibri"/>
          <w:color w:val="000000"/>
          <w:lang w:val="en-US"/>
        </w:rPr>
        <w:t xml:space="preserve"> </w:t>
      </w:r>
      <w:r w:rsidRPr="0030217C">
        <w:rPr>
          <w:rFonts w:cs="Calibri"/>
          <w:iCs/>
          <w:color w:val="000000"/>
          <w:lang w:val="en-US"/>
        </w:rPr>
        <w:t>van Hecke</w:t>
      </w:r>
      <w:r>
        <w:rPr>
          <w:rFonts w:cs="Calibri"/>
          <w:iCs/>
          <w:color w:val="000000"/>
          <w:lang w:val="en-US"/>
        </w:rPr>
        <w:t>, Bankhead</w:t>
      </w:r>
    </w:p>
    <w:p w14:paraId="26B7F9F0" w14:textId="77777777" w:rsidR="008E2C20" w:rsidRPr="00DC492B" w:rsidRDefault="008E2C20" w:rsidP="008013AC">
      <w:pPr>
        <w:autoSpaceDE w:val="0"/>
        <w:autoSpaceDN w:val="0"/>
        <w:adjustRightInd w:val="0"/>
        <w:spacing w:after="240" w:line="360" w:lineRule="auto"/>
        <w:rPr>
          <w:rFonts w:cs="Calibri"/>
          <w:iCs/>
          <w:color w:val="000000"/>
          <w:lang w:val="en-US"/>
        </w:rPr>
      </w:pPr>
      <w:r w:rsidRPr="00DC492B">
        <w:rPr>
          <w:rFonts w:cs="Calibri"/>
          <w:iCs/>
          <w:color w:val="000000"/>
          <w:lang w:val="en-US"/>
        </w:rPr>
        <w:t xml:space="preserve">Administrative, technical, or material support: </w:t>
      </w:r>
      <w:r>
        <w:rPr>
          <w:rFonts w:cs="Calibri"/>
          <w:iCs/>
          <w:color w:val="000000"/>
          <w:lang w:val="en-US"/>
        </w:rPr>
        <w:t>Bankhead, Fuller</w:t>
      </w:r>
    </w:p>
    <w:p w14:paraId="7AFC2B0D" w14:textId="77777777" w:rsidR="008E2C20" w:rsidRDefault="008E2C20" w:rsidP="008013AC">
      <w:pPr>
        <w:autoSpaceDE w:val="0"/>
        <w:autoSpaceDN w:val="0"/>
        <w:adjustRightInd w:val="0"/>
        <w:spacing w:after="240" w:line="360" w:lineRule="auto"/>
        <w:rPr>
          <w:rFonts w:cs="Calibri"/>
          <w:color w:val="000000"/>
          <w:lang w:val="en-US"/>
        </w:rPr>
      </w:pPr>
      <w:r w:rsidRPr="00DC492B">
        <w:rPr>
          <w:rFonts w:cs="Calibri"/>
          <w:iCs/>
          <w:color w:val="000000"/>
          <w:lang w:val="en-US"/>
        </w:rPr>
        <w:t xml:space="preserve">Supervision: </w:t>
      </w:r>
      <w:r>
        <w:rPr>
          <w:rFonts w:cs="Calibri"/>
          <w:iCs/>
          <w:color w:val="000000"/>
          <w:lang w:val="en-US"/>
        </w:rPr>
        <w:t>Wang, Bankhead, Butler</w:t>
      </w:r>
    </w:p>
    <w:p w14:paraId="370C7AC6" w14:textId="77777777" w:rsidR="008E2C20" w:rsidRPr="00DC492B" w:rsidRDefault="008E2C20" w:rsidP="008013AC">
      <w:pPr>
        <w:autoSpaceDE w:val="0"/>
        <w:autoSpaceDN w:val="0"/>
        <w:adjustRightInd w:val="0"/>
        <w:spacing w:after="240"/>
        <w:rPr>
          <w:rFonts w:cs="Calibri"/>
          <w:color w:val="000000"/>
          <w:lang w:val="en-US"/>
        </w:rPr>
      </w:pPr>
    </w:p>
    <w:p w14:paraId="74CECAE1" w14:textId="77777777" w:rsidR="008E2C20" w:rsidRDefault="008E2C20" w:rsidP="008013AC">
      <w:pPr>
        <w:spacing w:line="480" w:lineRule="auto"/>
        <w:outlineLvl w:val="0"/>
      </w:pPr>
      <w:r w:rsidRPr="006C7FE9">
        <w:rPr>
          <w:i/>
        </w:rPr>
        <w:t>Acknowledgements</w:t>
      </w:r>
      <w:r w:rsidRPr="006C7FE9">
        <w:t xml:space="preserve"> </w:t>
      </w:r>
    </w:p>
    <w:p w14:paraId="3C4A087C" w14:textId="77777777" w:rsidR="008E2C20" w:rsidRDefault="008E2C20" w:rsidP="008013AC">
      <w:pPr>
        <w:spacing w:line="360" w:lineRule="auto"/>
      </w:pPr>
      <w:r>
        <w:t>Th</w:t>
      </w:r>
      <w:r w:rsidRPr="005735F4">
        <w:t xml:space="preserve">e authors are grateful to Constantinos Koshiaris </w:t>
      </w:r>
      <w:r>
        <w:t xml:space="preserve">for his helpful suggestions, critical reading of the manuscript, and his statistical advice. </w:t>
      </w:r>
    </w:p>
    <w:p w14:paraId="7F344280" w14:textId="77777777" w:rsidR="008E2C20" w:rsidRPr="00DB41EB" w:rsidRDefault="008E2C20" w:rsidP="008013AC">
      <w:pPr>
        <w:spacing w:line="480" w:lineRule="auto"/>
        <w:rPr>
          <w:rFonts w:cs="ArialMT"/>
          <w:i/>
        </w:rPr>
      </w:pPr>
      <w:r w:rsidRPr="00DB41EB">
        <w:rPr>
          <w:rFonts w:cs="ArialMT"/>
          <w:i/>
        </w:rPr>
        <w:t>Ethics approval</w:t>
      </w:r>
    </w:p>
    <w:p w14:paraId="12E83751" w14:textId="77777777" w:rsidR="008E2C20" w:rsidRPr="00BB263D" w:rsidRDefault="008E2C20" w:rsidP="008013AC">
      <w:pPr>
        <w:spacing w:line="360" w:lineRule="auto"/>
        <w:rPr>
          <w:rFonts w:cs="ArialMT"/>
        </w:rPr>
      </w:pPr>
      <w:r w:rsidRPr="00B52183">
        <w:rPr>
          <w:rFonts w:cs="ArialMT"/>
        </w:rPr>
        <w:t>The study protocol was reviewed by the Independent Scientific Advisory Committee (ISA</w:t>
      </w:r>
      <w:r>
        <w:rPr>
          <w:rFonts w:cs="ArialMT"/>
        </w:rPr>
        <w:t xml:space="preserve">C) and approved 14 October 2016 </w:t>
      </w:r>
      <w:r w:rsidRPr="00717B96">
        <w:rPr>
          <w:rFonts w:cs="ArialMT"/>
        </w:rPr>
        <w:t>(ISAC Protocol 16_162R).</w:t>
      </w:r>
    </w:p>
    <w:p w14:paraId="719ED9FE" w14:textId="77777777" w:rsidR="008E2C20" w:rsidRPr="006C7FE9" w:rsidRDefault="008E2C20" w:rsidP="008013AC">
      <w:pPr>
        <w:spacing w:line="480" w:lineRule="auto"/>
        <w:outlineLvl w:val="0"/>
        <w:rPr>
          <w:i/>
        </w:rPr>
      </w:pPr>
      <w:r>
        <w:rPr>
          <w:i/>
        </w:rPr>
        <w:lastRenderedPageBreak/>
        <w:t>Competing</w:t>
      </w:r>
      <w:r w:rsidRPr="006C7FE9">
        <w:rPr>
          <w:i/>
        </w:rPr>
        <w:t xml:space="preserve"> interests</w:t>
      </w:r>
    </w:p>
    <w:p w14:paraId="761DCE9F" w14:textId="77777777" w:rsidR="008E2C20" w:rsidRDefault="008E2C20" w:rsidP="008013AC">
      <w:pPr>
        <w:spacing w:line="360" w:lineRule="auto"/>
      </w:pPr>
      <w:r w:rsidRPr="002A2423">
        <w:t>All authors have completed the ICMJE uniform disclosure form at www.icmje.org/coi_disclosure.pdf and declare: no support from any organisation for the sub</w:t>
      </w:r>
      <w:r>
        <w:t>mitted work</w:t>
      </w:r>
      <w:r w:rsidRPr="002A2423">
        <w:t xml:space="preserve">; no financial relationships with any organisations that might have an interest in the submitted work in the previous </w:t>
      </w:r>
      <w:r>
        <w:t>three years</w:t>
      </w:r>
      <w:r w:rsidRPr="002A2423">
        <w:t>; no other relationships or activities that could appear to have influenced the submi</w:t>
      </w:r>
      <w:r>
        <w:t>tted work.</w:t>
      </w:r>
    </w:p>
    <w:p w14:paraId="708C9295" w14:textId="77777777" w:rsidR="008E2C20" w:rsidRPr="00BB263D" w:rsidRDefault="008E2C20" w:rsidP="008013AC">
      <w:pPr>
        <w:spacing w:line="480" w:lineRule="auto"/>
        <w:rPr>
          <w:rFonts w:cs="ArialMT"/>
        </w:rPr>
      </w:pPr>
      <w:r>
        <w:rPr>
          <w:rFonts w:cs="ArialMT"/>
          <w:i/>
        </w:rPr>
        <w:t>Role of the f</w:t>
      </w:r>
      <w:r w:rsidRPr="00E6348B">
        <w:rPr>
          <w:rFonts w:cs="ArialMT"/>
          <w:i/>
        </w:rPr>
        <w:t>unding</w:t>
      </w:r>
      <w:r>
        <w:rPr>
          <w:rFonts w:cs="ArialMT"/>
          <w:i/>
        </w:rPr>
        <w:t xml:space="preserve"> source</w:t>
      </w:r>
    </w:p>
    <w:p w14:paraId="5BE062D3" w14:textId="77777777" w:rsidR="008E2C20" w:rsidRDefault="008E2C20" w:rsidP="008013AC">
      <w:pPr>
        <w:spacing w:line="360" w:lineRule="auto"/>
        <w:outlineLvl w:val="0"/>
        <w:rPr>
          <w:rFonts w:cs="ArialMT"/>
        </w:rPr>
      </w:pPr>
      <w:r w:rsidRPr="00910C7B">
        <w:t>This research was funded by the Scientific Foundation Board of the Royal College of General Practitioners</w:t>
      </w:r>
      <w:r>
        <w:t xml:space="preserve"> (Grant reference SFB 2015-33). </w:t>
      </w:r>
      <w:r>
        <w:rPr>
          <w:rFonts w:cs="ArialMT"/>
        </w:rPr>
        <w:t>T</w:t>
      </w:r>
      <w:r w:rsidRPr="00D50549">
        <w:rPr>
          <w:rFonts w:cs="ArialMT"/>
        </w:rPr>
        <w:t xml:space="preserve">he funding source </w:t>
      </w:r>
      <w:r>
        <w:rPr>
          <w:rFonts w:cs="ArialMT"/>
        </w:rPr>
        <w:t xml:space="preserve">was not </w:t>
      </w:r>
      <w:r w:rsidRPr="00D50549">
        <w:rPr>
          <w:rFonts w:cs="ArialMT"/>
        </w:rPr>
        <w:t xml:space="preserve">involved in study design, data collection, analysis or interpretation, report writing, or submission for publication. </w:t>
      </w:r>
    </w:p>
    <w:p w14:paraId="4A3C2CDE" w14:textId="77777777" w:rsidR="008E2C20" w:rsidRPr="00CE15B3" w:rsidRDefault="008E2C20" w:rsidP="008013AC">
      <w:pPr>
        <w:spacing w:line="360" w:lineRule="auto"/>
      </w:pPr>
      <w:r w:rsidRPr="006C7FE9">
        <w:t>The ARCHIE research programme (The early use of Antibiotics for 'at Risk' CHildren with InfluEnza) is funded by the National Institute for Health Research’s (NIHR) Applied Resea</w:t>
      </w:r>
      <w:r>
        <w:t>rch Programme. This publication</w:t>
      </w:r>
      <w:r w:rsidRPr="006C7FE9">
        <w:t xml:space="preserve"> summarises independent research funded by the NIHR under its Programme Grants for Applied Research Programme (Gran</w:t>
      </w:r>
      <w:r>
        <w:t xml:space="preserve">t Reference RP-PG-1210-12012). </w:t>
      </w:r>
      <w:r w:rsidRPr="006C7FE9">
        <w:t>The views expressed are those of the author(s) and not necessarily those of the NHS, the NIHR or the Department of Health.</w:t>
      </w:r>
      <w:r>
        <w:t xml:space="preserve"> Dr </w:t>
      </w:r>
      <w:r>
        <w:rPr>
          <w:rFonts w:cs="ArialMT"/>
        </w:rPr>
        <w:t xml:space="preserve">van Hecke’s salary was funded by the </w:t>
      </w:r>
      <w:r w:rsidRPr="006C7FE9">
        <w:t>ARCHIE research programme</w:t>
      </w:r>
      <w:r>
        <w:t xml:space="preserve"> grant. </w:t>
      </w:r>
    </w:p>
    <w:p w14:paraId="01920FED" w14:textId="77777777" w:rsidR="008E2C20" w:rsidRPr="00717B96" w:rsidRDefault="008E2C20" w:rsidP="008013AC">
      <w:pPr>
        <w:spacing w:line="480" w:lineRule="auto"/>
        <w:rPr>
          <w:rFonts w:cs="ArialMT"/>
        </w:rPr>
      </w:pPr>
    </w:p>
    <w:p w14:paraId="5B79B151" w14:textId="77777777" w:rsidR="008E2C20" w:rsidRDefault="008E2C20" w:rsidP="008013AC">
      <w:pPr>
        <w:spacing w:line="480" w:lineRule="auto"/>
        <w:rPr>
          <w:rFonts w:cs="ArialMT"/>
        </w:rPr>
      </w:pPr>
    </w:p>
    <w:p w14:paraId="66944F6F" w14:textId="77777777" w:rsidR="008E2C20" w:rsidRPr="00BD6EDB" w:rsidRDefault="008E2C20" w:rsidP="008013AC">
      <w:pPr>
        <w:pStyle w:val="EndNoteBibliographyTitle"/>
      </w:pPr>
      <w:r>
        <w:br w:type="page"/>
      </w:r>
      <w:r w:rsidRPr="00BD6EDB">
        <w:lastRenderedPageBreak/>
        <w:t>References</w:t>
      </w:r>
    </w:p>
    <w:p w14:paraId="62B846EA" w14:textId="77777777" w:rsidR="008E2C20" w:rsidRPr="00BD6EDB" w:rsidRDefault="008E2C20" w:rsidP="008013AC">
      <w:pPr>
        <w:pStyle w:val="EndNoteBibliographyTitle"/>
      </w:pPr>
    </w:p>
    <w:p w14:paraId="528566EF" w14:textId="77777777" w:rsidR="008E2C20" w:rsidRPr="00BD6EDB" w:rsidRDefault="008E2C20" w:rsidP="008013AC">
      <w:pPr>
        <w:pStyle w:val="EndNoteBibliography"/>
        <w:spacing w:after="0"/>
      </w:pPr>
      <w:r w:rsidRPr="00BD6EDB">
        <w:t>1.</w:t>
      </w:r>
      <w:r w:rsidRPr="00BD6EDB">
        <w:tab/>
        <w:t xml:space="preserve">Pouwels KB, Dolk FCK, Smith DRM, et al. Actual versus 'ideal' antibiotic prescribing for common conditions in English primary care. </w:t>
      </w:r>
      <w:r w:rsidRPr="00BD6EDB">
        <w:rPr>
          <w:i/>
        </w:rPr>
        <w:t>J Antimicrob Chemother</w:t>
      </w:r>
      <w:r w:rsidRPr="00BD6EDB">
        <w:t xml:space="preserve"> 2018; </w:t>
      </w:r>
      <w:r w:rsidRPr="00BD6EDB">
        <w:rPr>
          <w:b/>
        </w:rPr>
        <w:t>73</w:t>
      </w:r>
      <w:r w:rsidRPr="00BD6EDB">
        <w:t>: 19-26.</w:t>
      </w:r>
    </w:p>
    <w:p w14:paraId="62CAB630" w14:textId="77777777" w:rsidR="008E2C20" w:rsidRPr="00BD6EDB" w:rsidRDefault="008E2C20" w:rsidP="008013AC">
      <w:pPr>
        <w:pStyle w:val="EndNoteBibliography"/>
        <w:spacing w:after="0"/>
      </w:pPr>
      <w:r w:rsidRPr="00BD6EDB">
        <w:t>2.</w:t>
      </w:r>
      <w:r w:rsidRPr="00BD6EDB">
        <w:tab/>
        <w:t xml:space="preserve">Fleming-Dutra KE, Hersh AL, Shapiro DJ, et al. Prevalence of Inappropriate Antibiotic Prescriptions Among US Ambulatory Care Visits, 2010-2011. </w:t>
      </w:r>
      <w:r w:rsidRPr="00BD6EDB">
        <w:rPr>
          <w:i/>
        </w:rPr>
        <w:t>Jama</w:t>
      </w:r>
      <w:r w:rsidRPr="00BD6EDB">
        <w:t xml:space="preserve"> 2016; </w:t>
      </w:r>
      <w:r w:rsidRPr="00BD6EDB">
        <w:rPr>
          <w:b/>
        </w:rPr>
        <w:t>315</w:t>
      </w:r>
      <w:r w:rsidRPr="00BD6EDB">
        <w:t>: 1864-73.</w:t>
      </w:r>
    </w:p>
    <w:p w14:paraId="15BC47B3" w14:textId="77777777" w:rsidR="008E2C20" w:rsidRPr="00BD6EDB" w:rsidRDefault="008E2C20" w:rsidP="008013AC">
      <w:pPr>
        <w:pStyle w:val="EndNoteBibliography"/>
        <w:spacing w:after="0"/>
      </w:pPr>
      <w:r w:rsidRPr="00BD6EDB">
        <w:t>3.</w:t>
      </w:r>
      <w:r w:rsidRPr="00BD6EDB">
        <w:tab/>
        <w:t xml:space="preserve">Smieszek T, Pouwels KB, Dolk FCK, et al. Potential for reducing inappropriate antibiotic prescribing in English primary care. </w:t>
      </w:r>
      <w:r w:rsidRPr="00BD6EDB">
        <w:rPr>
          <w:i/>
        </w:rPr>
        <w:t>J Antimicrob Chemother</w:t>
      </w:r>
      <w:r w:rsidRPr="00BD6EDB">
        <w:t xml:space="preserve"> 2018; </w:t>
      </w:r>
      <w:r w:rsidRPr="00BD6EDB">
        <w:rPr>
          <w:b/>
        </w:rPr>
        <w:t>73</w:t>
      </w:r>
      <w:r w:rsidRPr="00BD6EDB">
        <w:t>: ii36-ii43.</w:t>
      </w:r>
    </w:p>
    <w:p w14:paraId="731765F5" w14:textId="77777777" w:rsidR="008E2C20" w:rsidRPr="00BD6EDB" w:rsidRDefault="008E2C20" w:rsidP="008013AC">
      <w:pPr>
        <w:pStyle w:val="EndNoteBibliography"/>
        <w:spacing w:after="0"/>
      </w:pPr>
      <w:r w:rsidRPr="00BD6EDB">
        <w:t>4.</w:t>
      </w:r>
      <w:r w:rsidRPr="00BD6EDB">
        <w:tab/>
        <w:t xml:space="preserve">de Bont EG, van Loo IH, Dukers-Muijrers NH, et al. Oral and topical antibiotic prescriptions for children in general practice. </w:t>
      </w:r>
      <w:r w:rsidRPr="00BD6EDB">
        <w:rPr>
          <w:i/>
        </w:rPr>
        <w:t>Arch Dis Child</w:t>
      </w:r>
      <w:r w:rsidRPr="00BD6EDB">
        <w:t xml:space="preserve"> 2013; </w:t>
      </w:r>
      <w:r w:rsidRPr="00BD6EDB">
        <w:rPr>
          <w:b/>
        </w:rPr>
        <w:t>98</w:t>
      </w:r>
      <w:r w:rsidRPr="00BD6EDB">
        <w:t>: 228-31.</w:t>
      </w:r>
    </w:p>
    <w:p w14:paraId="63AF503A" w14:textId="77777777" w:rsidR="008E2C20" w:rsidRPr="00BD6EDB" w:rsidRDefault="008E2C20" w:rsidP="008013AC">
      <w:pPr>
        <w:pStyle w:val="EndNoteBibliography"/>
        <w:spacing w:after="0"/>
      </w:pPr>
      <w:r w:rsidRPr="00BD6EDB">
        <w:t>5.</w:t>
      </w:r>
      <w:r w:rsidRPr="00BD6EDB">
        <w:tab/>
        <w:t xml:space="preserve">Kronman MP, Zhou C, Mangione-Smith R. Bacterial prevalence and antimicrobial prescribing trends for acute respiratory tract infections. </w:t>
      </w:r>
      <w:r w:rsidRPr="00BD6EDB">
        <w:rPr>
          <w:i/>
        </w:rPr>
        <w:t>Pediatrics</w:t>
      </w:r>
      <w:r w:rsidRPr="00BD6EDB">
        <w:t xml:space="preserve"> 2014; </w:t>
      </w:r>
      <w:r w:rsidRPr="00BD6EDB">
        <w:rPr>
          <w:b/>
        </w:rPr>
        <w:t>134</w:t>
      </w:r>
      <w:r w:rsidRPr="00BD6EDB">
        <w:t>: e956-65.</w:t>
      </w:r>
    </w:p>
    <w:p w14:paraId="57A5B462" w14:textId="77777777" w:rsidR="008E2C20" w:rsidRPr="00BD6EDB" w:rsidRDefault="008E2C20" w:rsidP="008013AC">
      <w:pPr>
        <w:pStyle w:val="EndNoteBibliography"/>
        <w:spacing w:after="0"/>
      </w:pPr>
      <w:r w:rsidRPr="00BD6EDB">
        <w:t>6.</w:t>
      </w:r>
      <w:r w:rsidRPr="00BD6EDB">
        <w:tab/>
        <w:t xml:space="preserve">Holstiege J, Schink T, Molokhia M, et al. Systemic antibiotic prescribing to paediatric outpatients in 5 European countries: a population-based cohort study. </w:t>
      </w:r>
      <w:r w:rsidRPr="00BD6EDB">
        <w:rPr>
          <w:i/>
        </w:rPr>
        <w:t>BMC Pediatrics</w:t>
      </w:r>
      <w:r w:rsidRPr="00BD6EDB">
        <w:t xml:space="preserve"> 2014; </w:t>
      </w:r>
      <w:r w:rsidRPr="00BD6EDB">
        <w:rPr>
          <w:b/>
        </w:rPr>
        <w:t>14</w:t>
      </w:r>
      <w:r w:rsidRPr="00BD6EDB">
        <w:t>: 174.</w:t>
      </w:r>
    </w:p>
    <w:p w14:paraId="0B060259" w14:textId="77777777" w:rsidR="008E2C20" w:rsidRPr="00BD6EDB" w:rsidRDefault="008E2C20" w:rsidP="008013AC">
      <w:pPr>
        <w:pStyle w:val="EndNoteBibliography"/>
        <w:spacing w:after="0"/>
      </w:pPr>
      <w:r w:rsidRPr="00BD6EDB">
        <w:t>7.</w:t>
      </w:r>
      <w:r w:rsidRPr="00BD6EDB">
        <w:tab/>
        <w:t xml:space="preserve">Hicks LA, Bartoces MG, Roberts RM, et al. US outpatient antibiotic prescribing variation according to geography, patient population, and provider specialty in 2011. </w:t>
      </w:r>
      <w:r w:rsidRPr="00BD6EDB">
        <w:rPr>
          <w:i/>
        </w:rPr>
        <w:t>Clin Infect Dis</w:t>
      </w:r>
      <w:r w:rsidRPr="00BD6EDB">
        <w:t xml:space="preserve"> 2015; </w:t>
      </w:r>
      <w:r w:rsidRPr="00BD6EDB">
        <w:rPr>
          <w:b/>
        </w:rPr>
        <w:t>60</w:t>
      </w:r>
      <w:r w:rsidRPr="00BD6EDB">
        <w:t>: 1308-16.</w:t>
      </w:r>
    </w:p>
    <w:p w14:paraId="0094D5A5" w14:textId="77777777" w:rsidR="008E2C20" w:rsidRPr="00BD6EDB" w:rsidRDefault="008E2C20" w:rsidP="008013AC">
      <w:pPr>
        <w:pStyle w:val="EndNoteBibliography"/>
        <w:spacing w:after="0"/>
      </w:pPr>
      <w:r w:rsidRPr="00BD6EDB">
        <w:t>8.</w:t>
      </w:r>
      <w:r w:rsidRPr="00BD6EDB">
        <w:tab/>
        <w:t xml:space="preserve">Hay AD, Heron J, Ness A. The prevalence of symptoms and consultations in pre-school children in the Avon Longitudinal Study of Parents and Children (ALSPAC): a prospective cohort study. </w:t>
      </w:r>
      <w:r w:rsidRPr="00BD6EDB">
        <w:rPr>
          <w:i/>
        </w:rPr>
        <w:t>Fam Pract</w:t>
      </w:r>
      <w:r w:rsidRPr="00BD6EDB">
        <w:t xml:space="preserve"> 2005; </w:t>
      </w:r>
      <w:r w:rsidRPr="00BD6EDB">
        <w:rPr>
          <w:b/>
        </w:rPr>
        <w:t>22</w:t>
      </w:r>
      <w:r w:rsidRPr="00BD6EDB">
        <w:t>: 367-74.</w:t>
      </w:r>
    </w:p>
    <w:p w14:paraId="68D4CF17" w14:textId="77777777" w:rsidR="008E2C20" w:rsidRPr="00BD6EDB" w:rsidRDefault="008E2C20" w:rsidP="008013AC">
      <w:pPr>
        <w:pStyle w:val="EndNoteBibliography"/>
        <w:spacing w:after="0"/>
      </w:pPr>
      <w:r w:rsidRPr="00BD6EDB">
        <w:t>9.</w:t>
      </w:r>
      <w:r w:rsidRPr="00BD6EDB">
        <w:tab/>
        <w:t>National Institute for Health and Clinical Excellence. Respiratory Tract Infections - Antibiotic Prescribing: Prescribing of Antibiotics for Self-Limiting Respiratory Tract Infections in Adults and Children in Primary Care. London: National Institute for Health and Clinical Excellence (UK), 2008.</w:t>
      </w:r>
    </w:p>
    <w:p w14:paraId="47198F61" w14:textId="77777777" w:rsidR="008E2C20" w:rsidRPr="00BD6EDB" w:rsidRDefault="008E2C20" w:rsidP="008013AC">
      <w:pPr>
        <w:pStyle w:val="EndNoteBibliography"/>
        <w:spacing w:after="0"/>
      </w:pPr>
      <w:r w:rsidRPr="00BD6EDB">
        <w:t>10.</w:t>
      </w:r>
      <w:r w:rsidRPr="00BD6EDB">
        <w:tab/>
        <w:t xml:space="preserve">Centers for Disease Control and Prevention. Pediatric Treatment Recommendations. 2017. </w:t>
      </w:r>
      <w:r w:rsidRPr="008E2C20">
        <w:t>https://www.cdc.gov/antibiotic-use/community/for-hcp/outpatient-hcp/pediatric-treatment-rec.html</w:t>
      </w:r>
      <w:r w:rsidRPr="00BD6EDB">
        <w:t xml:space="preserve"> (accessed 27 February 2018.</w:t>
      </w:r>
    </w:p>
    <w:p w14:paraId="3A9E625E" w14:textId="77777777" w:rsidR="008E2C20" w:rsidRPr="00BD6EDB" w:rsidRDefault="008E2C20" w:rsidP="008013AC">
      <w:pPr>
        <w:pStyle w:val="EndNoteBibliography"/>
        <w:spacing w:after="0"/>
      </w:pPr>
      <w:r w:rsidRPr="00BD6EDB">
        <w:t>11.</w:t>
      </w:r>
      <w:r w:rsidRPr="00BD6EDB">
        <w:tab/>
        <w:t xml:space="preserve">Currie CJ, Berni E, Jenkins-Jones S, et al. Antibiotic treatment failure in four common infections in UK primary care 1991-2012: longitudinal analysis. </w:t>
      </w:r>
      <w:r w:rsidRPr="00BD6EDB">
        <w:rPr>
          <w:i/>
        </w:rPr>
        <w:t>BMJ</w:t>
      </w:r>
      <w:r w:rsidRPr="00BD6EDB">
        <w:t xml:space="preserve"> 2014; </w:t>
      </w:r>
      <w:r w:rsidRPr="00BD6EDB">
        <w:rPr>
          <w:b/>
        </w:rPr>
        <w:t>349</w:t>
      </w:r>
      <w:r w:rsidRPr="00BD6EDB">
        <w:t>: g5493.</w:t>
      </w:r>
    </w:p>
    <w:p w14:paraId="693079BA" w14:textId="77777777" w:rsidR="008E2C20" w:rsidRPr="00BD6EDB" w:rsidRDefault="008E2C20" w:rsidP="008013AC">
      <w:pPr>
        <w:pStyle w:val="EndNoteBibliography"/>
        <w:spacing w:after="0"/>
      </w:pPr>
      <w:r w:rsidRPr="00BD6EDB">
        <w:t>12.</w:t>
      </w:r>
      <w:r w:rsidRPr="00BD6EDB">
        <w:tab/>
        <w:t xml:space="preserve">McGrath LJ, Becker-Dreps S, Pate V, et al. Trends in antibiotic treatment of acute otitis media and treatment failure in children, 2000-2011. </w:t>
      </w:r>
      <w:r w:rsidRPr="00BD6EDB">
        <w:rPr>
          <w:i/>
        </w:rPr>
        <w:t>PLoS One</w:t>
      </w:r>
      <w:r w:rsidRPr="00BD6EDB">
        <w:t xml:space="preserve"> 2013; </w:t>
      </w:r>
      <w:r w:rsidRPr="00BD6EDB">
        <w:rPr>
          <w:b/>
        </w:rPr>
        <w:t>8</w:t>
      </w:r>
      <w:r w:rsidRPr="00BD6EDB">
        <w:t>: e81210.</w:t>
      </w:r>
    </w:p>
    <w:p w14:paraId="03BABCA6" w14:textId="77777777" w:rsidR="008E2C20" w:rsidRPr="00BD6EDB" w:rsidRDefault="008E2C20" w:rsidP="008013AC">
      <w:pPr>
        <w:pStyle w:val="EndNoteBibliography"/>
        <w:spacing w:after="0"/>
      </w:pPr>
      <w:r w:rsidRPr="00BD6EDB">
        <w:t>13.</w:t>
      </w:r>
      <w:r w:rsidRPr="00BD6EDB">
        <w:tab/>
        <w:t xml:space="preserve">Gerber JS, Ross RK, Bryan M, et al. Association of Broad- vs Narrow-Spectrum Antibiotics With Treatment Failure, Adverse Events, and Quality of Life in Children With Acute Respiratory Tract Infections. </w:t>
      </w:r>
      <w:r w:rsidRPr="00BD6EDB">
        <w:rPr>
          <w:i/>
        </w:rPr>
        <w:t>Jama</w:t>
      </w:r>
      <w:r w:rsidRPr="00BD6EDB">
        <w:t xml:space="preserve"> 2017; </w:t>
      </w:r>
      <w:r w:rsidRPr="00BD6EDB">
        <w:rPr>
          <w:b/>
        </w:rPr>
        <w:t>318</w:t>
      </w:r>
      <w:r w:rsidRPr="00BD6EDB">
        <w:t>: 2325-36.</w:t>
      </w:r>
    </w:p>
    <w:p w14:paraId="2DE3EB3F" w14:textId="77777777" w:rsidR="008E2C20" w:rsidRPr="00BD6EDB" w:rsidRDefault="008E2C20" w:rsidP="008013AC">
      <w:pPr>
        <w:pStyle w:val="EndNoteBibliography"/>
        <w:spacing w:after="0"/>
      </w:pPr>
      <w:r w:rsidRPr="00BD6EDB">
        <w:t>14.</w:t>
      </w:r>
      <w:r w:rsidRPr="00BD6EDB">
        <w:tab/>
        <w:t xml:space="preserve">Costelloe C, Metcalfe C, Lovering A, et al. Effect of antibiotic prescribing in primary care on antimicrobial resistance in individual patients: systematic review and meta-analysis. </w:t>
      </w:r>
      <w:r w:rsidRPr="00BD6EDB">
        <w:rPr>
          <w:i/>
        </w:rPr>
        <w:t>BMJ</w:t>
      </w:r>
      <w:r w:rsidRPr="00BD6EDB">
        <w:t xml:space="preserve"> 2010; </w:t>
      </w:r>
      <w:r w:rsidRPr="00BD6EDB">
        <w:rPr>
          <w:b/>
        </w:rPr>
        <w:t>340</w:t>
      </w:r>
      <w:r w:rsidRPr="00BD6EDB">
        <w:t>: c2096.</w:t>
      </w:r>
    </w:p>
    <w:p w14:paraId="1BC4998B" w14:textId="77777777" w:rsidR="008E2C20" w:rsidRPr="00BD6EDB" w:rsidRDefault="008E2C20" w:rsidP="008013AC">
      <w:pPr>
        <w:pStyle w:val="EndNoteBibliography"/>
        <w:spacing w:after="0"/>
      </w:pPr>
      <w:r w:rsidRPr="00BD6EDB">
        <w:t>15.</w:t>
      </w:r>
      <w:r w:rsidRPr="00BD6EDB">
        <w:tab/>
        <w:t xml:space="preserve">Goossens H, Ferech M, Vander Stichele R, et al. Outpatient antibiotic use in Europe and association with resistance: a cross-national database study. </w:t>
      </w:r>
      <w:r w:rsidRPr="00BD6EDB">
        <w:rPr>
          <w:i/>
        </w:rPr>
        <w:t>Lancet</w:t>
      </w:r>
      <w:r w:rsidRPr="00BD6EDB">
        <w:t xml:space="preserve"> 2005; </w:t>
      </w:r>
      <w:r w:rsidRPr="00BD6EDB">
        <w:rPr>
          <w:b/>
        </w:rPr>
        <w:t>365</w:t>
      </w:r>
      <w:r w:rsidRPr="00BD6EDB">
        <w:t>: 579-87.</w:t>
      </w:r>
    </w:p>
    <w:p w14:paraId="6043322D" w14:textId="77777777" w:rsidR="008E2C20" w:rsidRPr="00BD6EDB" w:rsidRDefault="008E2C20" w:rsidP="008013AC">
      <w:pPr>
        <w:pStyle w:val="EndNoteBibliography"/>
        <w:spacing w:after="0"/>
      </w:pPr>
      <w:r w:rsidRPr="00BD6EDB">
        <w:lastRenderedPageBreak/>
        <w:t>16.</w:t>
      </w:r>
      <w:r w:rsidRPr="00BD6EDB">
        <w:tab/>
        <w:t xml:space="preserve">Biesbroek G, Tsivtsivadze E, Sanders EA, et al. Early respiratory microbiota composition determines bacterial succession patterns and respiratory health in children. </w:t>
      </w:r>
      <w:r w:rsidRPr="00BD6EDB">
        <w:rPr>
          <w:i/>
        </w:rPr>
        <w:t>Am J Respir Crit Care Med</w:t>
      </w:r>
      <w:r w:rsidRPr="00BD6EDB">
        <w:t xml:space="preserve"> 2014; </w:t>
      </w:r>
      <w:r w:rsidRPr="00BD6EDB">
        <w:rPr>
          <w:b/>
        </w:rPr>
        <w:t>190</w:t>
      </w:r>
      <w:r w:rsidRPr="00BD6EDB">
        <w:t>: 1283-92.</w:t>
      </w:r>
    </w:p>
    <w:p w14:paraId="0CE8C988" w14:textId="77777777" w:rsidR="008E2C20" w:rsidRPr="00BD6EDB" w:rsidRDefault="008E2C20" w:rsidP="008013AC">
      <w:pPr>
        <w:pStyle w:val="EndNoteBibliography"/>
        <w:spacing w:after="0"/>
      </w:pPr>
      <w:r w:rsidRPr="00BD6EDB">
        <w:t>17.</w:t>
      </w:r>
      <w:r w:rsidRPr="00BD6EDB">
        <w:tab/>
        <w:t xml:space="preserve">Johnson CL, Versalovic J. The human microbiome and its potential importance to pediatrics. </w:t>
      </w:r>
      <w:r w:rsidRPr="00BD6EDB">
        <w:rPr>
          <w:i/>
        </w:rPr>
        <w:t>Pediatrics</w:t>
      </w:r>
      <w:r w:rsidRPr="00BD6EDB">
        <w:t xml:space="preserve"> 2012; </w:t>
      </w:r>
      <w:r w:rsidRPr="00BD6EDB">
        <w:rPr>
          <w:b/>
        </w:rPr>
        <w:t>129</w:t>
      </w:r>
      <w:r w:rsidRPr="00BD6EDB">
        <w:t>: 950-60.</w:t>
      </w:r>
    </w:p>
    <w:p w14:paraId="5988306F" w14:textId="77777777" w:rsidR="008E2C20" w:rsidRPr="00BD6EDB" w:rsidRDefault="008E2C20" w:rsidP="008013AC">
      <w:pPr>
        <w:pStyle w:val="EndNoteBibliography"/>
        <w:spacing w:after="0"/>
      </w:pPr>
      <w:r w:rsidRPr="00BD6EDB">
        <w:t>18.</w:t>
      </w:r>
      <w:r w:rsidRPr="00BD6EDB">
        <w:tab/>
        <w:t xml:space="preserve">Doan T, Arzika AM, Ray KJ, et al. Gut Microbial Diversity in Antibiotic-Naive Children After Systemic Antibiotic Exposure: A Randomized Controlled Trial. </w:t>
      </w:r>
      <w:r w:rsidRPr="00BD6EDB">
        <w:rPr>
          <w:i/>
        </w:rPr>
        <w:t>Clin Infect Dis</w:t>
      </w:r>
      <w:r w:rsidRPr="00BD6EDB">
        <w:t xml:space="preserve"> 2017; </w:t>
      </w:r>
      <w:r w:rsidRPr="00BD6EDB">
        <w:rPr>
          <w:b/>
        </w:rPr>
        <w:t>64</w:t>
      </w:r>
      <w:r w:rsidRPr="00BD6EDB">
        <w:t>: 1147-53.</w:t>
      </w:r>
    </w:p>
    <w:p w14:paraId="58B6FDD8" w14:textId="77777777" w:rsidR="008E2C20" w:rsidRPr="00BD6EDB" w:rsidRDefault="008E2C20" w:rsidP="008013AC">
      <w:pPr>
        <w:pStyle w:val="EndNoteBibliography"/>
        <w:spacing w:after="0"/>
      </w:pPr>
      <w:r w:rsidRPr="00BD6EDB">
        <w:t>19.</w:t>
      </w:r>
      <w:r w:rsidRPr="00BD6EDB">
        <w:tab/>
        <w:t xml:space="preserve">Herrett E, Gallagher AM, Bhaskaran K, et al. Data Resource Profile: Clinical Practice Research Datalink (CPRD). </w:t>
      </w:r>
      <w:r w:rsidRPr="00BD6EDB">
        <w:rPr>
          <w:i/>
        </w:rPr>
        <w:t>Int J Epidemiol</w:t>
      </w:r>
      <w:r w:rsidRPr="00BD6EDB">
        <w:t xml:space="preserve"> 2015; </w:t>
      </w:r>
      <w:r w:rsidRPr="00BD6EDB">
        <w:rPr>
          <w:b/>
        </w:rPr>
        <w:t>44</w:t>
      </w:r>
      <w:r w:rsidRPr="00BD6EDB">
        <w:t>: 827-36.</w:t>
      </w:r>
    </w:p>
    <w:p w14:paraId="7F353A68" w14:textId="77777777" w:rsidR="008E2C20" w:rsidRPr="00BD6EDB" w:rsidRDefault="008E2C20" w:rsidP="008013AC">
      <w:pPr>
        <w:pStyle w:val="EndNoteBibliography"/>
        <w:spacing w:after="0"/>
      </w:pPr>
      <w:r w:rsidRPr="00BD6EDB">
        <w:t>20.</w:t>
      </w:r>
      <w:r w:rsidRPr="00BD6EDB">
        <w:tab/>
        <w:t xml:space="preserve">Hobbs FD, Bankhead C, Mukhtar T, et al. Clinical workload in UK primary care: a retrospective analysis of 100 million consultations in England, 2007-14. </w:t>
      </w:r>
      <w:r w:rsidRPr="00BD6EDB">
        <w:rPr>
          <w:i/>
        </w:rPr>
        <w:t>Lancet</w:t>
      </w:r>
      <w:r w:rsidRPr="00BD6EDB">
        <w:t xml:space="preserve"> 2016; </w:t>
      </w:r>
      <w:r w:rsidRPr="00BD6EDB">
        <w:rPr>
          <w:b/>
        </w:rPr>
        <w:t>387</w:t>
      </w:r>
      <w:r w:rsidRPr="00BD6EDB">
        <w:t>: 2323-30.</w:t>
      </w:r>
    </w:p>
    <w:p w14:paraId="380E9A0C" w14:textId="77777777" w:rsidR="008E2C20" w:rsidRPr="00BD6EDB" w:rsidRDefault="008E2C20" w:rsidP="008013AC">
      <w:pPr>
        <w:pStyle w:val="EndNoteBibliography"/>
        <w:spacing w:after="0"/>
      </w:pPr>
      <w:r w:rsidRPr="00BD6EDB">
        <w:t>21.</w:t>
      </w:r>
      <w:r w:rsidRPr="00BD6EDB">
        <w:tab/>
        <w:t xml:space="preserve">van der Velde RY, Wyers CE, Teesselink E, et al. Trends in oral anti-osteoporosis drug prescription in the United Kingdom between 1990 and 2012: Variation by age, sex, geographic location and ethnicity. </w:t>
      </w:r>
      <w:r w:rsidRPr="00BD6EDB">
        <w:rPr>
          <w:i/>
        </w:rPr>
        <w:t>Bone</w:t>
      </w:r>
      <w:r w:rsidRPr="00BD6EDB">
        <w:t xml:space="preserve"> 2017; </w:t>
      </w:r>
      <w:r w:rsidRPr="00BD6EDB">
        <w:rPr>
          <w:b/>
        </w:rPr>
        <w:t>94</w:t>
      </w:r>
      <w:r w:rsidRPr="00BD6EDB">
        <w:t>: 50-5.</w:t>
      </w:r>
    </w:p>
    <w:p w14:paraId="2338985A" w14:textId="77777777" w:rsidR="008E2C20" w:rsidRPr="00BD6EDB" w:rsidRDefault="008E2C20" w:rsidP="008013AC">
      <w:pPr>
        <w:pStyle w:val="EndNoteBibliography"/>
        <w:spacing w:after="0"/>
      </w:pPr>
      <w:r w:rsidRPr="00BD6EDB">
        <w:t>22.</w:t>
      </w:r>
      <w:r w:rsidRPr="00BD6EDB">
        <w:tab/>
        <w:t xml:space="preserve">Armstrong D, Ashworth M, Dregan A, et al. The relationship between prior antimicrobial prescription and meningitis: a case-control study. </w:t>
      </w:r>
      <w:r w:rsidRPr="00BD6EDB">
        <w:rPr>
          <w:i/>
        </w:rPr>
        <w:t>Br J Gen Pract</w:t>
      </w:r>
      <w:r w:rsidRPr="00BD6EDB">
        <w:t xml:space="preserve"> 2016; </w:t>
      </w:r>
      <w:r w:rsidRPr="00BD6EDB">
        <w:rPr>
          <w:b/>
        </w:rPr>
        <w:t>66</w:t>
      </w:r>
      <w:r w:rsidRPr="00BD6EDB">
        <w:t>: e228-33.</w:t>
      </w:r>
    </w:p>
    <w:p w14:paraId="4D396DF1" w14:textId="77777777" w:rsidR="008E2C20" w:rsidRPr="00BD6EDB" w:rsidRDefault="008E2C20" w:rsidP="008013AC">
      <w:pPr>
        <w:pStyle w:val="EndNoteBibliography"/>
        <w:spacing w:after="0"/>
      </w:pPr>
      <w:r w:rsidRPr="00BD6EDB">
        <w:t>23.</w:t>
      </w:r>
      <w:r w:rsidRPr="00BD6EDB">
        <w:tab/>
        <w:t xml:space="preserve">Thompson M, Vodicka TA, Blair PS, et al. Duration of symptoms of respiratory tract infections in children: systematic review. </w:t>
      </w:r>
      <w:r w:rsidRPr="00BD6EDB">
        <w:rPr>
          <w:i/>
        </w:rPr>
        <w:t>BMJ</w:t>
      </w:r>
      <w:r w:rsidRPr="00BD6EDB">
        <w:t xml:space="preserve"> 2013; </w:t>
      </w:r>
      <w:r w:rsidRPr="00BD6EDB">
        <w:rPr>
          <w:b/>
        </w:rPr>
        <w:t>347</w:t>
      </w:r>
      <w:r w:rsidRPr="00BD6EDB">
        <w:t>: f7027.</w:t>
      </w:r>
    </w:p>
    <w:p w14:paraId="2F3B87B3" w14:textId="77777777" w:rsidR="008E2C20" w:rsidRPr="00BD6EDB" w:rsidRDefault="008E2C20" w:rsidP="008013AC">
      <w:pPr>
        <w:pStyle w:val="EndNoteBibliography"/>
        <w:spacing w:after="0"/>
      </w:pPr>
      <w:r w:rsidRPr="00BD6EDB">
        <w:t>24.</w:t>
      </w:r>
      <w:r w:rsidRPr="00BD6EDB">
        <w:tab/>
        <w:t xml:space="preserve">Shields MD, Thavagnanam S. The difficult coughing child: prolonged acute cough in children. </w:t>
      </w:r>
      <w:r w:rsidRPr="00BD6EDB">
        <w:rPr>
          <w:i/>
        </w:rPr>
        <w:t>Cough</w:t>
      </w:r>
      <w:r w:rsidRPr="00BD6EDB">
        <w:t xml:space="preserve"> 2013; </w:t>
      </w:r>
      <w:r w:rsidRPr="00BD6EDB">
        <w:rPr>
          <w:b/>
        </w:rPr>
        <w:t>9</w:t>
      </w:r>
      <w:r w:rsidRPr="00BD6EDB">
        <w:t>: 11.</w:t>
      </w:r>
    </w:p>
    <w:p w14:paraId="19D1AD01" w14:textId="77777777" w:rsidR="008E2C20" w:rsidRPr="00BD6EDB" w:rsidRDefault="008E2C20" w:rsidP="008013AC">
      <w:pPr>
        <w:pStyle w:val="EndNoteBibliography"/>
        <w:spacing w:after="0"/>
      </w:pPr>
      <w:r w:rsidRPr="00BD6EDB">
        <w:t>25.</w:t>
      </w:r>
      <w:r w:rsidRPr="00BD6EDB">
        <w:tab/>
        <w:t xml:space="preserve">Berni E, Scott LA, Jenkins-Jones S, et al. Non-Response to Antibiotic Treatment in Adolescents for Four Common Infections in UK Primary Care 1991-2012: A Retrospective, Longitudinal Study. </w:t>
      </w:r>
      <w:r w:rsidRPr="00BD6EDB">
        <w:rPr>
          <w:i/>
        </w:rPr>
        <w:t>Antibiotics (Basel)</w:t>
      </w:r>
      <w:r w:rsidRPr="00BD6EDB">
        <w:t xml:space="preserve"> 2016; </w:t>
      </w:r>
      <w:r w:rsidRPr="00BD6EDB">
        <w:rPr>
          <w:b/>
        </w:rPr>
        <w:t>5</w:t>
      </w:r>
      <w:r w:rsidRPr="00BD6EDB">
        <w:t>.</w:t>
      </w:r>
    </w:p>
    <w:p w14:paraId="1BE6C413" w14:textId="77777777" w:rsidR="008E2C20" w:rsidRPr="00BD6EDB" w:rsidRDefault="008E2C20" w:rsidP="008013AC">
      <w:pPr>
        <w:pStyle w:val="EndNoteBibliography"/>
        <w:spacing w:after="0"/>
      </w:pPr>
      <w:r w:rsidRPr="00BD6EDB">
        <w:t>26.</w:t>
      </w:r>
      <w:r w:rsidRPr="00BD6EDB">
        <w:tab/>
        <w:t xml:space="preserve">Coxeter PD, Mar CD, Hoffmann TC. Parents' Expectations and Experiences of Antibiotics for Acute Respiratory Infections in Primary Care. </w:t>
      </w:r>
      <w:r w:rsidRPr="00BD6EDB">
        <w:rPr>
          <w:i/>
        </w:rPr>
        <w:t>Ann Fam Med</w:t>
      </w:r>
      <w:r w:rsidRPr="00BD6EDB">
        <w:t xml:space="preserve"> 2017; </w:t>
      </w:r>
      <w:r w:rsidRPr="00BD6EDB">
        <w:rPr>
          <w:b/>
        </w:rPr>
        <w:t>15</w:t>
      </w:r>
      <w:r w:rsidRPr="00BD6EDB">
        <w:t>: 149-54.</w:t>
      </w:r>
    </w:p>
    <w:p w14:paraId="7EFCD607" w14:textId="77777777" w:rsidR="008E2C20" w:rsidRPr="00BD6EDB" w:rsidRDefault="008E2C20" w:rsidP="008013AC">
      <w:pPr>
        <w:pStyle w:val="EndNoteBibliography"/>
        <w:spacing w:after="0"/>
      </w:pPr>
      <w:r w:rsidRPr="00BD6EDB">
        <w:t>27.</w:t>
      </w:r>
      <w:r w:rsidRPr="00BD6EDB">
        <w:tab/>
        <w:t xml:space="preserve">Fletcher-Lartey S, Yee M, Gaarslev C, et al. Why do general practitioners prescribe antibiotics for upper respiratory tract infections to meet patient expectations: a mixed methods study. </w:t>
      </w:r>
      <w:r w:rsidRPr="00BD6EDB">
        <w:rPr>
          <w:i/>
        </w:rPr>
        <w:t>BMJ Open</w:t>
      </w:r>
      <w:r w:rsidRPr="00BD6EDB">
        <w:t xml:space="preserve"> 2016; </w:t>
      </w:r>
      <w:r w:rsidRPr="00BD6EDB">
        <w:rPr>
          <w:b/>
        </w:rPr>
        <w:t>6</w:t>
      </w:r>
      <w:r w:rsidRPr="00BD6EDB">
        <w:t>: e012244.</w:t>
      </w:r>
    </w:p>
    <w:p w14:paraId="44ABD589" w14:textId="77777777" w:rsidR="008E2C20" w:rsidRPr="00BD6EDB" w:rsidRDefault="008E2C20" w:rsidP="008013AC">
      <w:pPr>
        <w:pStyle w:val="EndNoteBibliography"/>
        <w:spacing w:after="0"/>
      </w:pPr>
      <w:r w:rsidRPr="00BD6EDB">
        <w:t>28.</w:t>
      </w:r>
      <w:r w:rsidRPr="00BD6EDB">
        <w:tab/>
        <w:t xml:space="preserve">Bosch AA, de Steenhuijsen Piters WA, van Houten MA, et al. Maturation of the Infant Respiratory Microbiota, Environmental Drivers and Health Consequences: A Prospective Cohort Study. </w:t>
      </w:r>
      <w:r w:rsidRPr="00BD6EDB">
        <w:rPr>
          <w:i/>
        </w:rPr>
        <w:t>Am J Respir Crit Care Med</w:t>
      </w:r>
      <w:r w:rsidRPr="00BD6EDB">
        <w:t xml:space="preserve"> 2017.</w:t>
      </w:r>
    </w:p>
    <w:p w14:paraId="0F2BC084" w14:textId="77777777" w:rsidR="008E2C20" w:rsidRPr="00BD6EDB" w:rsidRDefault="008E2C20" w:rsidP="008013AC">
      <w:pPr>
        <w:pStyle w:val="EndNoteBibliography"/>
        <w:spacing w:after="0"/>
      </w:pPr>
      <w:r w:rsidRPr="00BD6EDB">
        <w:t>29.</w:t>
      </w:r>
      <w:r w:rsidRPr="00BD6EDB">
        <w:tab/>
        <w:t xml:space="preserve">Van Hecke O, Wang K, Lee JJ, et al. The implications of antibiotic resistance for patients' recovery from common infections in the community: a systematic review and meta-analysis. </w:t>
      </w:r>
      <w:r w:rsidRPr="00BD6EDB">
        <w:rPr>
          <w:i/>
        </w:rPr>
        <w:t>Clin Infect Dis</w:t>
      </w:r>
      <w:r w:rsidRPr="00BD6EDB">
        <w:t xml:space="preserve"> 2017.</w:t>
      </w:r>
    </w:p>
    <w:p w14:paraId="1C852FF8" w14:textId="77777777" w:rsidR="008E2C20" w:rsidRPr="00BD6EDB" w:rsidRDefault="008E2C20" w:rsidP="008013AC">
      <w:pPr>
        <w:pStyle w:val="EndNoteBibliography"/>
        <w:spacing w:after="0"/>
      </w:pPr>
      <w:r w:rsidRPr="00BD6EDB">
        <w:t>30.</w:t>
      </w:r>
      <w:r w:rsidRPr="00BD6EDB">
        <w:tab/>
        <w:t xml:space="preserve">Tonkin-Crine S, Yardley L, Little P. Antibiotic prescribing for acute respiratory tract infections in primary care: a systematic review and meta-ethnography. </w:t>
      </w:r>
      <w:r w:rsidRPr="00BD6EDB">
        <w:rPr>
          <w:i/>
        </w:rPr>
        <w:t>J Antimicrob Chemother</w:t>
      </w:r>
      <w:r w:rsidRPr="00BD6EDB">
        <w:t xml:space="preserve"> 2011; </w:t>
      </w:r>
      <w:r w:rsidRPr="00BD6EDB">
        <w:rPr>
          <w:b/>
        </w:rPr>
        <w:t>66</w:t>
      </w:r>
      <w:r w:rsidRPr="00BD6EDB">
        <w:t>: 2215-23.</w:t>
      </w:r>
    </w:p>
    <w:p w14:paraId="3C8DF06C" w14:textId="77777777" w:rsidR="008E2C20" w:rsidRPr="00BD6EDB" w:rsidRDefault="008E2C20" w:rsidP="008013AC">
      <w:pPr>
        <w:pStyle w:val="EndNoteBibliography"/>
        <w:spacing w:after="0"/>
      </w:pPr>
      <w:r w:rsidRPr="00BD6EDB">
        <w:t>31.</w:t>
      </w:r>
      <w:r w:rsidRPr="00BD6EDB">
        <w:tab/>
        <w:t xml:space="preserve">Cane J, O'Connor D, Michie S. Validation of the theoretical domains framework for use in behaviour change and implementation research. </w:t>
      </w:r>
      <w:r w:rsidRPr="00BD6EDB">
        <w:rPr>
          <w:i/>
        </w:rPr>
        <w:t>Implement Sci</w:t>
      </w:r>
      <w:r w:rsidRPr="00BD6EDB">
        <w:t xml:space="preserve"> 2012; </w:t>
      </w:r>
      <w:r w:rsidRPr="00BD6EDB">
        <w:rPr>
          <w:b/>
        </w:rPr>
        <w:t>7</w:t>
      </w:r>
      <w:r w:rsidRPr="00BD6EDB">
        <w:t>: 37.</w:t>
      </w:r>
    </w:p>
    <w:p w14:paraId="2C4D22F9" w14:textId="77777777" w:rsidR="008E2C20" w:rsidRPr="00BD6EDB" w:rsidRDefault="008E2C20" w:rsidP="008013AC">
      <w:pPr>
        <w:pStyle w:val="EndNoteBibliography"/>
        <w:spacing w:after="0"/>
      </w:pPr>
      <w:r w:rsidRPr="00BD6EDB">
        <w:lastRenderedPageBreak/>
        <w:t>32.</w:t>
      </w:r>
      <w:r w:rsidRPr="00BD6EDB">
        <w:tab/>
        <w:t xml:space="preserve">Coxeter P, Del Mar CB, McGregor L, et al. Interventions to facilitate shared decision making to address antibiotic use for acute respiratory infections in primary care. </w:t>
      </w:r>
      <w:r w:rsidRPr="00BD6EDB">
        <w:rPr>
          <w:i/>
        </w:rPr>
        <w:t>Cochrane Database Syst Rev</w:t>
      </w:r>
      <w:r w:rsidRPr="00BD6EDB">
        <w:t xml:space="preserve"> 2015: Cd010907.</w:t>
      </w:r>
    </w:p>
    <w:p w14:paraId="264365BA" w14:textId="77777777" w:rsidR="008E2C20" w:rsidRPr="00BD6EDB" w:rsidRDefault="008E2C20" w:rsidP="008013AC">
      <w:pPr>
        <w:pStyle w:val="EndNoteBibliography"/>
        <w:spacing w:after="0"/>
      </w:pPr>
      <w:r w:rsidRPr="00BD6EDB">
        <w:t>33.</w:t>
      </w:r>
      <w:r w:rsidRPr="00BD6EDB">
        <w:tab/>
        <w:t xml:space="preserve">NHS England. Quality Premium guidance 2017-19. 2017. Available from: </w:t>
      </w:r>
      <w:r w:rsidRPr="008E2C20">
        <w:t>https://www.england.nhs.uk/resources/resources-for-ccgs/ccg-out-tool/ccg-ois/qual-prem/</w:t>
      </w:r>
      <w:r w:rsidRPr="00BD6EDB">
        <w:t>. (accessed 03/02/2018.</w:t>
      </w:r>
    </w:p>
    <w:p w14:paraId="02A25E0D" w14:textId="77777777" w:rsidR="008E2C20" w:rsidRPr="00BD6EDB" w:rsidRDefault="008E2C20" w:rsidP="008013AC">
      <w:pPr>
        <w:pStyle w:val="EndNoteBibliography"/>
        <w:spacing w:after="0"/>
      </w:pPr>
      <w:r w:rsidRPr="00BD6EDB">
        <w:t>34.</w:t>
      </w:r>
      <w:r w:rsidRPr="00BD6EDB">
        <w:tab/>
        <w:t xml:space="preserve">Dolk FCK, Pouwels KB, Smith DRM, et al. Antibiotics in primary care in England: which antibiotics are prescribed and for which conditions? </w:t>
      </w:r>
      <w:r w:rsidRPr="00BD6EDB">
        <w:rPr>
          <w:i/>
        </w:rPr>
        <w:t>J Antimicrob Chemother</w:t>
      </w:r>
      <w:r w:rsidRPr="00BD6EDB">
        <w:t xml:space="preserve"> 2018; </w:t>
      </w:r>
      <w:r w:rsidRPr="00BD6EDB">
        <w:rPr>
          <w:b/>
        </w:rPr>
        <w:t>73</w:t>
      </w:r>
      <w:r w:rsidRPr="00BD6EDB">
        <w:t>: ii2-ii10.</w:t>
      </w:r>
    </w:p>
    <w:p w14:paraId="29FEC528" w14:textId="77777777" w:rsidR="008E2C20" w:rsidRPr="00BD6EDB" w:rsidRDefault="008E2C20" w:rsidP="008013AC">
      <w:pPr>
        <w:pStyle w:val="EndNoteBibliography"/>
      </w:pPr>
      <w:r w:rsidRPr="00BD6EDB">
        <w:t>35.</w:t>
      </w:r>
      <w:r w:rsidRPr="00BD6EDB">
        <w:tab/>
        <w:t xml:space="preserve">Saust LT, Monrad RN, Hansen MP, et al. Quality assessment of diagnosis and antibiotic treatment of infectious diseases in primary care: a systematic review of quality indicators. </w:t>
      </w:r>
      <w:r w:rsidRPr="00BD6EDB">
        <w:rPr>
          <w:i/>
        </w:rPr>
        <w:t>Scand J Prim Health Care</w:t>
      </w:r>
      <w:r w:rsidRPr="00BD6EDB">
        <w:t xml:space="preserve"> 2016; </w:t>
      </w:r>
      <w:r w:rsidRPr="00BD6EDB">
        <w:rPr>
          <w:b/>
        </w:rPr>
        <w:t>34</w:t>
      </w:r>
      <w:r w:rsidRPr="00BD6EDB">
        <w:t>: 258-66.</w:t>
      </w:r>
    </w:p>
    <w:p w14:paraId="2DDE5E5C" w14:textId="77777777" w:rsidR="008E2C20" w:rsidRDefault="008E2C20" w:rsidP="008013AC">
      <w:pPr>
        <w:pStyle w:val="Caption"/>
        <w:keepNext/>
      </w:pPr>
      <w:r>
        <w:rPr>
          <w:rFonts w:cs="ArialMT"/>
        </w:rPr>
        <w:br w:type="page"/>
      </w:r>
      <w:r>
        <w:lastRenderedPageBreak/>
        <w:t xml:space="preserve">Figure </w:t>
      </w:r>
      <w:r>
        <w:fldChar w:fldCharType="begin"/>
      </w:r>
      <w:r>
        <w:instrText xml:space="preserve"> SEQ Figure \* ARABIC </w:instrText>
      </w:r>
      <w:r>
        <w:fldChar w:fldCharType="separate"/>
      </w:r>
      <w:r>
        <w:rPr>
          <w:noProof/>
        </w:rPr>
        <w:t>1</w:t>
      </w:r>
      <w:r>
        <w:fldChar w:fldCharType="end"/>
      </w:r>
      <w:r>
        <w:t>. Antibiotic exposure a</w:t>
      </w:r>
      <w:r w:rsidRPr="00803DFD">
        <w:t>s the number of antibiotic prescriptions for acute RTIs up to 12 months pri</w:t>
      </w:r>
      <w:r>
        <w:t>or to the index prescription (T</w:t>
      </w:r>
      <w:r>
        <w:rPr>
          <w:vertAlign w:val="subscript"/>
        </w:rPr>
        <w:t>0</w:t>
      </w:r>
      <w:r w:rsidRPr="00803DFD">
        <w:t>)</w:t>
      </w:r>
    </w:p>
    <w:p w14:paraId="46D6BD33" w14:textId="77777777" w:rsidR="008E2C20" w:rsidRPr="00AE3403" w:rsidRDefault="00F3062F" w:rsidP="008013AC">
      <w:pPr>
        <w:rPr>
          <w:lang w:val="en-US" w:eastAsia="ja-JP"/>
        </w:rPr>
      </w:pPr>
      <w:r>
        <w:rPr>
          <w:noProof/>
        </w:rPr>
        <w:pict w14:anchorId="32856D2D">
          <v:rect id="Rectangle 27" o:spid="_x0000_s1031" style="position:absolute;margin-left:-7.2pt;margin-top:19.15pt;width:434.25pt;height:11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" filled="f" strokeweight="1.5pt">
            <o:lock v:ext="edit" aspectratio="t" verticies="t" text="t" shapetype="t"/>
          </v:rect>
        </w:pict>
      </w:r>
    </w:p>
    <w:tbl>
      <w:tblPr>
        <w:tblW w:w="0" w:type="auto"/>
        <w:tblLook w:val="04A0" w:firstRow="1" w:lastRow="0" w:firstColumn="1" w:lastColumn="0" w:noHBand="0" w:noVBand="1"/>
      </w:tblPr>
      <w:tblGrid>
        <w:gridCol w:w="3369"/>
        <w:gridCol w:w="2328"/>
        <w:gridCol w:w="2825"/>
      </w:tblGrid>
      <w:tr w:rsidR="008E2C20" w:rsidRPr="00395711" w14:paraId="476120FD" w14:textId="77777777" w:rsidTr="008013AC">
        <w:tc>
          <w:tcPr>
            <w:tcW w:w="3369" w:type="dxa"/>
            <w:shd w:val="clear" w:color="auto" w:fill="auto"/>
          </w:tcPr>
          <w:p w14:paraId="372515D6" w14:textId="77777777" w:rsidR="008E2C20" w:rsidRPr="00395711" w:rsidRDefault="008E2C20" w:rsidP="008013AC">
            <w:pPr>
              <w:jc w:val="center"/>
              <w:rPr>
                <w:b/>
              </w:rPr>
            </w:pPr>
            <w:r w:rsidRPr="00395711">
              <w:rPr>
                <w:b/>
              </w:rPr>
              <w:t>Antibiotic exposure of interest</w:t>
            </w:r>
          </w:p>
        </w:tc>
        <w:tc>
          <w:tcPr>
            <w:tcW w:w="2328" w:type="dxa"/>
            <w:shd w:val="clear" w:color="auto" w:fill="auto"/>
          </w:tcPr>
          <w:p w14:paraId="24C37116" w14:textId="77777777" w:rsidR="008E2C20" w:rsidRPr="00395711" w:rsidRDefault="008E2C20" w:rsidP="008013AC">
            <w:pPr>
              <w:jc w:val="center"/>
              <w:rPr>
                <w:b/>
              </w:rPr>
            </w:pPr>
            <w:r w:rsidRPr="00395711">
              <w:rPr>
                <w:b/>
              </w:rPr>
              <w:t>Index prescription                                                    (T</w:t>
            </w:r>
            <w:r w:rsidRPr="00395711">
              <w:rPr>
                <w:b/>
                <w:vertAlign w:val="subscript"/>
              </w:rPr>
              <w:t>0</w:t>
            </w:r>
            <w:r w:rsidRPr="00395711">
              <w:rPr>
                <w:b/>
              </w:rPr>
              <w:t>)</w:t>
            </w:r>
          </w:p>
        </w:tc>
        <w:tc>
          <w:tcPr>
            <w:tcW w:w="2825" w:type="dxa"/>
            <w:shd w:val="clear" w:color="auto" w:fill="auto"/>
          </w:tcPr>
          <w:p w14:paraId="78D61143" w14:textId="77777777" w:rsidR="008E2C20" w:rsidRPr="00395711" w:rsidRDefault="008E2C20" w:rsidP="008013AC">
            <w:pPr>
              <w:rPr>
                <w:b/>
              </w:rPr>
            </w:pPr>
            <w:r w:rsidRPr="00395711">
              <w:rPr>
                <w:b/>
              </w:rPr>
              <w:t xml:space="preserve">     Response Failure</w:t>
            </w:r>
          </w:p>
        </w:tc>
      </w:tr>
      <w:tr w:rsidR="008E2C20" w:rsidRPr="00395711" w14:paraId="7E6CBA41" w14:textId="77777777" w:rsidTr="008013AC">
        <w:tc>
          <w:tcPr>
            <w:tcW w:w="3369" w:type="dxa"/>
            <w:shd w:val="clear" w:color="auto" w:fill="auto"/>
          </w:tcPr>
          <w:p w14:paraId="743B683E" w14:textId="77777777" w:rsidR="008E2C20" w:rsidRPr="00395711" w:rsidRDefault="00F3062F" w:rsidP="008013AC">
            <w:r>
              <w:rPr>
                <w:noProof/>
              </w:rPr>
              <w:pict w14:anchorId="3984BD28">
                <v:shapetype id="_x0000_t32" coordsize="21600,21600" o:spt="32" o:oned="t" path="m,l21600,21600e" filled="f">
                  <v:path arrowok="t" fillok="f" o:connecttype="none"/>
                  <o:lock v:ext="edit" shapetype="t"/>
                </v:shapetype>
                <v:shape id="Straight Arrow Connector 20" o:spid="_x0000_s1030" type="#_x0000_t32" style="position:absolute;margin-left:6.45pt;margin-top:23.15pt;width:214.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" strokecolor="red">
                  <v:stroke startarrow="open" endarrow="open"/>
                  <v:path arrowok="f"/>
                  <o:lock v:ext="edit" aspectratio="t" verticies="t"/>
                </v:shape>
              </w:pict>
            </w:r>
            <w:r>
              <w:rPr>
                <w:noProof/>
              </w:rPr>
              <w:pict w14:anchorId="4B077D2F">
                <v:rect id="Rectangle 13" o:spid="_x0000_s1029" style="position:absolute;margin-left:-.7pt;margin-top:5.8pt;width:7.5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" fillcolor="#4f81bd" strokecolor="#385d8a" strokeweight="2pt">
                  <o:lock v:ext="edit" aspectratio="t" verticies="t" text="t" shapetype="t"/>
                </v:rect>
              </w:pict>
            </w:r>
          </w:p>
        </w:tc>
        <w:tc>
          <w:tcPr>
            <w:tcW w:w="2328" w:type="dxa"/>
            <w:shd w:val="clear" w:color="auto" w:fill="auto"/>
          </w:tcPr>
          <w:p w14:paraId="261B06AA" w14:textId="77777777" w:rsidR="008E2C20" w:rsidRPr="00395711" w:rsidRDefault="00F3062F" w:rsidP="008013AC">
            <w:r>
              <w:rPr>
                <w:noProof/>
              </w:rPr>
              <w:pict w14:anchorId="1E172E6D">
                <v:shape id="Straight Arrow Connector 23" o:spid="_x0000_s1028" type="#_x0000_t32" style="position:absolute;margin-left:60pt;margin-top:23.85pt;width:104.25pt;height:0;z-index:251662336;visibility:visible;mso-wrap-style:square;mso-width-percent:0;mso-height-percent:0;mso-wrap-distance-left:9pt;mso-wrap-distance-top:-.0012mm;mso-wrap-distance-right:9pt;mso-wrap-distance-bottom:-.0012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" strokecolor="red">
                  <v:stroke startarrow="open" endarrow="open"/>
                  <v:path arrowok="f"/>
                  <o:lock v:ext="edit" aspectratio="t" verticies="t"/>
                </v:shape>
              </w:pict>
            </w:r>
            <w:r>
              <w:rPr>
                <w:noProof/>
              </w:rPr>
              <w:pict w14:anchorId="3E98DD61">
                <v:rect id="Rectangle 17" o:spid="_x0000_s1027" style="position:absolute;margin-left:52.25pt;margin-top:5.8pt;width:7.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" fillcolor="#4f81bd" strokecolor="#385d8a" strokeweight="2pt">
                  <o:lock v:ext="edit" aspectratio="t" verticies="t" text="t" shapetype="t"/>
                </v:rect>
              </w:pict>
            </w:r>
          </w:p>
        </w:tc>
        <w:tc>
          <w:tcPr>
            <w:tcW w:w="2825" w:type="dxa"/>
            <w:shd w:val="clear" w:color="auto" w:fill="auto"/>
          </w:tcPr>
          <w:p w14:paraId="75DB7036" w14:textId="77777777" w:rsidR="008E2C20" w:rsidRPr="00395711" w:rsidRDefault="00F3062F" w:rsidP="008013AC">
            <w:r>
              <w:rPr>
                <w:noProof/>
              </w:rPr>
              <w:pict w14:anchorId="28305B46">
                <v:rect id="Rectangle 19" o:spid="_x0000_s1026" style="position:absolute;margin-left:47.8pt;margin-top:5.8pt;width:7.5pt;height:3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" fillcolor="#4f81bd" strokecolor="#385d8a" strokeweight="2pt">
                  <o:lock v:ext="edit" aspectratio="t" verticies="t" text="t" shapetype="t"/>
                </v:rect>
              </w:pict>
            </w:r>
          </w:p>
        </w:tc>
      </w:tr>
    </w:tbl>
    <w:p w14:paraId="2C324C85" w14:textId="77777777" w:rsidR="008E2C20" w:rsidRDefault="008E2C20" w:rsidP="008013AC">
      <w:pPr>
        <w:jc w:val="both"/>
        <w:rPr>
          <w:rFonts w:cs="Arial"/>
        </w:rPr>
      </w:pPr>
    </w:p>
    <w:p w14:paraId="20AE5C5D" w14:textId="77777777" w:rsidR="008E2C20" w:rsidRDefault="008E2C20" w:rsidP="008013AC">
      <w:pPr>
        <w:jc w:val="both"/>
        <w:rPr>
          <w:rFonts w:cs="Arial"/>
        </w:rPr>
      </w:pPr>
    </w:p>
    <w:p w14:paraId="5C1A31A7" w14:textId="77777777" w:rsidR="008E2C20" w:rsidRPr="00046668" w:rsidRDefault="008E2C20" w:rsidP="008013AC">
      <w:pPr>
        <w:pStyle w:val="EndNoteBibliography"/>
      </w:pPr>
    </w:p>
    <w:p w14:paraId="73EFB3A6" w14:textId="77777777" w:rsidR="008E2C20" w:rsidRDefault="008E2C20" w:rsidP="008013AC">
      <w:pPr>
        <w:spacing w:line="480" w:lineRule="auto"/>
        <w:rPr>
          <w:rFonts w:cs="ArialMT"/>
        </w:rPr>
        <w:sectPr w:rsidR="008E2C20" w:rsidSect="002F0EDE">
          <w:footerReference w:type="even" r:id="rId12"/>
          <w:footerReference w:type="default" r:id="rId13"/>
          <w:pgSz w:w="11900" w:h="16840"/>
          <w:pgMar w:top="1440" w:right="1440" w:bottom="1440" w:left="1440" w:header="720" w:footer="720" w:gutter="0"/>
          <w:lnNumType w:countBy="1"/>
          <w:cols w:space="720"/>
          <w:docGrid w:linePitch="360"/>
        </w:sectPr>
      </w:pPr>
    </w:p>
    <w:p w14:paraId="4DCBDB4B" w14:textId="77777777" w:rsidR="008E2C20" w:rsidRPr="007010EF" w:rsidRDefault="008E2C20" w:rsidP="008013AC">
      <w:pPr>
        <w:keepNext/>
        <w:spacing w:after="0" w:line="240" w:lineRule="auto"/>
        <w:rPr>
          <w:rFonts w:ascii="Arial" w:eastAsia="MS Mincho" w:hAnsi="Arial"/>
          <w:b/>
          <w:bCs/>
          <w:sz w:val="20"/>
          <w:szCs w:val="20"/>
          <w:lang w:val="en-US" w:eastAsia="ja-JP"/>
        </w:rPr>
      </w:pPr>
      <w:r w:rsidRPr="007010EF">
        <w:rPr>
          <w:rFonts w:ascii="Arial" w:eastAsia="MS Mincho" w:hAnsi="Arial"/>
          <w:b/>
          <w:bCs/>
          <w:sz w:val="20"/>
          <w:szCs w:val="20"/>
          <w:lang w:val="en-US" w:eastAsia="ja-JP"/>
        </w:rPr>
        <w:lastRenderedPageBreak/>
        <w:t xml:space="preserve">Table </w:t>
      </w:r>
      <w:r w:rsidRPr="007010EF">
        <w:rPr>
          <w:rFonts w:ascii="Arial" w:eastAsia="MS Mincho" w:hAnsi="Arial"/>
          <w:b/>
          <w:bCs/>
          <w:sz w:val="20"/>
          <w:szCs w:val="20"/>
          <w:lang w:val="en-US" w:eastAsia="ja-JP"/>
        </w:rPr>
        <w:fldChar w:fldCharType="begin"/>
      </w:r>
      <w:r w:rsidRPr="007010EF">
        <w:rPr>
          <w:rFonts w:ascii="Arial" w:eastAsia="MS Mincho" w:hAnsi="Arial"/>
          <w:b/>
          <w:bCs/>
          <w:sz w:val="20"/>
          <w:szCs w:val="20"/>
          <w:lang w:val="en-US" w:eastAsia="ja-JP"/>
        </w:rPr>
        <w:instrText xml:space="preserve"> SEQ Table \* ARABIC </w:instrText>
      </w:r>
      <w:r w:rsidRPr="007010EF">
        <w:rPr>
          <w:rFonts w:ascii="Arial" w:eastAsia="MS Mincho" w:hAnsi="Arial"/>
          <w:b/>
          <w:bCs/>
          <w:sz w:val="20"/>
          <w:szCs w:val="20"/>
          <w:lang w:val="en-US" w:eastAsia="ja-JP"/>
        </w:rPr>
        <w:fldChar w:fldCharType="separate"/>
      </w:r>
      <w:r w:rsidRPr="007010EF">
        <w:rPr>
          <w:rFonts w:ascii="Arial" w:eastAsia="MS Mincho" w:hAnsi="Arial"/>
          <w:b/>
          <w:bCs/>
          <w:noProof/>
          <w:sz w:val="20"/>
          <w:szCs w:val="20"/>
          <w:lang w:val="en-US" w:eastAsia="ja-JP"/>
        </w:rPr>
        <w:t>1</w:t>
      </w:r>
      <w:r w:rsidRPr="007010EF">
        <w:rPr>
          <w:rFonts w:ascii="Arial" w:eastAsia="MS Mincho" w:hAnsi="Arial"/>
          <w:b/>
          <w:bCs/>
          <w:sz w:val="20"/>
          <w:szCs w:val="20"/>
          <w:lang w:val="en-US" w:eastAsia="ja-JP"/>
        </w:rPr>
        <w:fldChar w:fldCharType="end"/>
      </w:r>
      <w:r w:rsidRPr="007010EF">
        <w:rPr>
          <w:rFonts w:ascii="Arial" w:eastAsia="MS Mincho" w:hAnsi="Arial"/>
          <w:b/>
          <w:bCs/>
          <w:sz w:val="20"/>
          <w:szCs w:val="20"/>
          <w:lang w:val="en-US" w:eastAsia="ja-JP"/>
        </w:rPr>
        <w:t xml:space="preserve">  Demographic and clinical chara</w:t>
      </w:r>
      <w:r>
        <w:rPr>
          <w:rFonts w:ascii="Arial" w:eastAsia="MS Mincho" w:hAnsi="Arial"/>
          <w:b/>
          <w:bCs/>
          <w:sz w:val="20"/>
          <w:szCs w:val="20"/>
          <w:lang w:val="en-US" w:eastAsia="ja-JP"/>
        </w:rPr>
        <w:t>cteristics of p</w:t>
      </w:r>
      <w:r w:rsidRPr="007010EF">
        <w:rPr>
          <w:rFonts w:ascii="Arial" w:eastAsia="MS Mincho" w:hAnsi="Arial"/>
          <w:b/>
          <w:bCs/>
          <w:sz w:val="20"/>
          <w:szCs w:val="20"/>
          <w:lang w:val="en-US" w:eastAsia="ja-JP"/>
        </w:rPr>
        <w:t>reschool children prescribed antibiotics for an acute RTI in the CPRD 2 January 2009 to 23 September 2016 (N=114,329)</w:t>
      </w:r>
    </w:p>
    <w:p w14:paraId="20A8ACFB" w14:textId="77777777" w:rsidR="008E2C20" w:rsidRPr="007010EF" w:rsidRDefault="008E2C20" w:rsidP="008013AC">
      <w:pPr>
        <w:rPr>
          <w:lang w:val="en-US" w:eastAsia="ja-JP"/>
        </w:rPr>
      </w:pPr>
    </w:p>
    <w:tbl>
      <w:tblPr>
        <w:tblW w:w="8426" w:type="dxa"/>
        <w:tblBorders>
          <w:top w:val="single" w:sz="4" w:space="0" w:color="auto"/>
          <w:left w:val="single" w:sz="4" w:space="0" w:color="auto"/>
          <w:bottom w:val="single" w:sz="4" w:space="0" w:color="auto"/>
          <w:right w:val="single" w:sz="4" w:space="0" w:color="auto"/>
          <w:insideH w:val="dotted" w:sz="4" w:space="0" w:color="auto"/>
          <w:insideV w:val="single" w:sz="6" w:space="0" w:color="auto"/>
        </w:tblBorders>
        <w:tblLook w:val="04A0" w:firstRow="1" w:lastRow="0" w:firstColumn="1" w:lastColumn="0" w:noHBand="0" w:noVBand="1"/>
      </w:tblPr>
      <w:tblGrid>
        <w:gridCol w:w="5311"/>
        <w:gridCol w:w="3115"/>
      </w:tblGrid>
      <w:tr w:rsidR="008E2C20" w:rsidRPr="007010EF" w14:paraId="64643DAF" w14:textId="77777777" w:rsidTr="008013AC">
        <w:tc>
          <w:tcPr>
            <w:tcW w:w="5311" w:type="dxa"/>
            <w:tcBorders>
              <w:top w:val="single" w:sz="6" w:space="0" w:color="auto"/>
              <w:bottom w:val="dotted" w:sz="4" w:space="0" w:color="auto"/>
              <w:right w:val="dotted" w:sz="4" w:space="0" w:color="auto"/>
            </w:tcBorders>
            <w:shd w:val="clear" w:color="auto" w:fill="auto"/>
          </w:tcPr>
          <w:p w14:paraId="0200DFC5" w14:textId="77777777" w:rsidR="008E2C20" w:rsidRPr="007010EF" w:rsidRDefault="008E2C20" w:rsidP="008013AC">
            <w:pPr>
              <w:spacing w:after="0" w:line="240" w:lineRule="auto"/>
              <w:rPr>
                <w:b/>
              </w:rPr>
            </w:pPr>
            <w:r w:rsidRPr="007010EF">
              <w:rPr>
                <w:b/>
              </w:rPr>
              <w:t>Characteristic</w:t>
            </w:r>
          </w:p>
        </w:tc>
        <w:tc>
          <w:tcPr>
            <w:tcW w:w="3115" w:type="dxa"/>
            <w:tcBorders>
              <w:top w:val="single" w:sz="6" w:space="0" w:color="auto"/>
              <w:left w:val="dotted" w:sz="4" w:space="0" w:color="auto"/>
              <w:bottom w:val="dotted" w:sz="4" w:space="0" w:color="auto"/>
            </w:tcBorders>
            <w:shd w:val="clear" w:color="auto" w:fill="auto"/>
          </w:tcPr>
          <w:p w14:paraId="76954016" w14:textId="77777777" w:rsidR="008E2C20" w:rsidRPr="007010EF" w:rsidRDefault="008E2C20" w:rsidP="008013AC">
            <w:pPr>
              <w:spacing w:after="0" w:line="240" w:lineRule="auto"/>
              <w:rPr>
                <w:b/>
              </w:rPr>
            </w:pPr>
            <w:r w:rsidRPr="007010EF">
              <w:rPr>
                <w:b/>
              </w:rPr>
              <w:t>Number (%) or median (interquartile range)</w:t>
            </w:r>
          </w:p>
          <w:p w14:paraId="56C87CB0" w14:textId="77777777" w:rsidR="008E2C20" w:rsidRPr="007010EF" w:rsidRDefault="008E2C20" w:rsidP="008013AC">
            <w:pPr>
              <w:spacing w:after="0" w:line="240" w:lineRule="auto"/>
              <w:jc w:val="right"/>
            </w:pPr>
          </w:p>
        </w:tc>
      </w:tr>
      <w:tr w:rsidR="008E2C20" w:rsidRPr="007010EF" w14:paraId="15793AAA" w14:textId="77777777" w:rsidTr="008013AC">
        <w:tc>
          <w:tcPr>
            <w:tcW w:w="5311" w:type="dxa"/>
            <w:tcBorders>
              <w:top w:val="single" w:sz="6" w:space="0" w:color="auto"/>
              <w:bottom w:val="dotted" w:sz="4" w:space="0" w:color="auto"/>
              <w:right w:val="dotted" w:sz="4" w:space="0" w:color="auto"/>
            </w:tcBorders>
            <w:shd w:val="clear" w:color="auto" w:fill="auto"/>
          </w:tcPr>
          <w:p w14:paraId="749F42EE" w14:textId="77777777" w:rsidR="008E2C20" w:rsidRPr="007010EF" w:rsidRDefault="008E2C20" w:rsidP="008013AC">
            <w:pPr>
              <w:spacing w:after="0" w:line="240" w:lineRule="auto"/>
              <w:rPr>
                <w:b/>
              </w:rPr>
            </w:pPr>
            <w:r w:rsidRPr="007010EF">
              <w:rPr>
                <w:b/>
              </w:rPr>
              <w:t>Age in years (median, IQR)</w:t>
            </w:r>
          </w:p>
        </w:tc>
        <w:tc>
          <w:tcPr>
            <w:tcW w:w="3115" w:type="dxa"/>
            <w:tcBorders>
              <w:top w:val="single" w:sz="6" w:space="0" w:color="auto"/>
              <w:left w:val="dotted" w:sz="4" w:space="0" w:color="auto"/>
              <w:bottom w:val="dotted" w:sz="4" w:space="0" w:color="auto"/>
            </w:tcBorders>
            <w:shd w:val="clear" w:color="auto" w:fill="auto"/>
          </w:tcPr>
          <w:p w14:paraId="1CD794EE" w14:textId="77777777" w:rsidR="008E2C20" w:rsidRPr="007010EF" w:rsidRDefault="008E2C20" w:rsidP="008013AC">
            <w:pPr>
              <w:spacing w:after="0" w:line="240" w:lineRule="auto"/>
              <w:jc w:val="right"/>
            </w:pPr>
            <w:r w:rsidRPr="007010EF">
              <w:t>2.39 yr (IQR 1.39 to 3.66)</w:t>
            </w:r>
          </w:p>
        </w:tc>
      </w:tr>
      <w:tr w:rsidR="008E2C20" w:rsidRPr="007010EF" w14:paraId="5D3DC833" w14:textId="77777777" w:rsidTr="008013AC">
        <w:tc>
          <w:tcPr>
            <w:tcW w:w="5311" w:type="dxa"/>
            <w:tcBorders>
              <w:top w:val="dotted" w:sz="4" w:space="0" w:color="auto"/>
              <w:bottom w:val="dotted" w:sz="4" w:space="0" w:color="auto"/>
              <w:right w:val="dotted" w:sz="4" w:space="0" w:color="auto"/>
            </w:tcBorders>
            <w:shd w:val="clear" w:color="auto" w:fill="auto"/>
          </w:tcPr>
          <w:p w14:paraId="66CC5B2E" w14:textId="77777777" w:rsidR="008E2C20" w:rsidRPr="007010EF" w:rsidRDefault="008E2C20" w:rsidP="008013AC">
            <w:pPr>
              <w:spacing w:after="0" w:line="240" w:lineRule="auto"/>
              <w:rPr>
                <w:b/>
              </w:rPr>
            </w:pPr>
            <w:r w:rsidRPr="007010EF">
              <w:rPr>
                <w:b/>
              </w:rPr>
              <w:t>Gender (female)</w:t>
            </w:r>
          </w:p>
        </w:tc>
        <w:tc>
          <w:tcPr>
            <w:tcW w:w="3115" w:type="dxa"/>
            <w:tcBorders>
              <w:top w:val="dotted" w:sz="4" w:space="0" w:color="auto"/>
              <w:left w:val="dotted" w:sz="4" w:space="0" w:color="auto"/>
              <w:bottom w:val="dotted" w:sz="4" w:space="0" w:color="auto"/>
            </w:tcBorders>
            <w:shd w:val="clear" w:color="auto" w:fill="auto"/>
          </w:tcPr>
          <w:p w14:paraId="48D2E23B" w14:textId="77777777" w:rsidR="008E2C20" w:rsidRPr="007010EF" w:rsidRDefault="008E2C20" w:rsidP="008013AC">
            <w:pPr>
              <w:spacing w:after="0" w:line="240" w:lineRule="auto"/>
              <w:jc w:val="right"/>
            </w:pPr>
            <w:r w:rsidRPr="007010EF">
              <w:t>54,379  (47·56%)</w:t>
            </w:r>
          </w:p>
        </w:tc>
      </w:tr>
      <w:tr w:rsidR="008E2C20" w:rsidRPr="007010EF" w14:paraId="3AAA0BA8" w14:textId="77777777" w:rsidTr="008013AC">
        <w:tc>
          <w:tcPr>
            <w:tcW w:w="5311" w:type="dxa"/>
            <w:tcBorders>
              <w:top w:val="dotted" w:sz="4" w:space="0" w:color="auto"/>
              <w:bottom w:val="dotted" w:sz="4" w:space="0" w:color="auto"/>
              <w:right w:val="dotted" w:sz="4" w:space="0" w:color="auto"/>
            </w:tcBorders>
            <w:shd w:val="clear" w:color="auto" w:fill="auto"/>
          </w:tcPr>
          <w:p w14:paraId="26363368" w14:textId="77777777" w:rsidR="008E2C20" w:rsidRPr="007010EF" w:rsidRDefault="008E2C20" w:rsidP="008013AC">
            <w:pPr>
              <w:spacing w:after="0" w:line="240" w:lineRule="auto"/>
            </w:pPr>
            <w:r w:rsidRPr="007010EF">
              <w:rPr>
                <w:b/>
              </w:rPr>
              <w:t xml:space="preserve">Season </w:t>
            </w:r>
            <w:r w:rsidRPr="007010EF">
              <w:rPr>
                <w:b/>
                <w:vertAlign w:val="superscript"/>
              </w:rPr>
              <w:t>a</w:t>
            </w:r>
            <w:r w:rsidRPr="007010EF">
              <w:rPr>
                <w:b/>
              </w:rPr>
              <w:t xml:space="preserve">                                                                          </w:t>
            </w:r>
            <w:r w:rsidRPr="007010EF">
              <w:t>Winter</w:t>
            </w:r>
          </w:p>
        </w:tc>
        <w:tc>
          <w:tcPr>
            <w:tcW w:w="3115" w:type="dxa"/>
            <w:tcBorders>
              <w:top w:val="dotted" w:sz="4" w:space="0" w:color="auto"/>
              <w:left w:val="dotted" w:sz="4" w:space="0" w:color="auto"/>
              <w:bottom w:val="dotted" w:sz="4" w:space="0" w:color="auto"/>
            </w:tcBorders>
            <w:shd w:val="clear" w:color="auto" w:fill="auto"/>
          </w:tcPr>
          <w:p w14:paraId="085EDF52" w14:textId="77777777" w:rsidR="008E2C20" w:rsidRPr="007010EF" w:rsidRDefault="008E2C20" w:rsidP="008013AC">
            <w:pPr>
              <w:spacing w:after="0" w:line="240" w:lineRule="auto"/>
              <w:jc w:val="right"/>
            </w:pPr>
            <w:r w:rsidRPr="007010EF">
              <w:t>41,830  (36·59%)</w:t>
            </w:r>
          </w:p>
        </w:tc>
      </w:tr>
      <w:tr w:rsidR="008E2C20" w:rsidRPr="007010EF" w14:paraId="290FFBC0" w14:textId="77777777" w:rsidTr="008013AC">
        <w:tc>
          <w:tcPr>
            <w:tcW w:w="5311" w:type="dxa"/>
            <w:tcBorders>
              <w:top w:val="dotted" w:sz="4" w:space="0" w:color="auto"/>
              <w:bottom w:val="dotted" w:sz="4" w:space="0" w:color="auto"/>
              <w:right w:val="dotted" w:sz="4" w:space="0" w:color="auto"/>
            </w:tcBorders>
            <w:shd w:val="clear" w:color="auto" w:fill="auto"/>
          </w:tcPr>
          <w:p w14:paraId="288DEEB8" w14:textId="77777777" w:rsidR="008E2C20" w:rsidRPr="007010EF" w:rsidRDefault="008E2C20" w:rsidP="008013AC">
            <w:pPr>
              <w:spacing w:after="0" w:line="240" w:lineRule="auto"/>
              <w:jc w:val="right"/>
            </w:pPr>
            <w:r w:rsidRPr="007010EF">
              <w:t>Spring</w:t>
            </w:r>
          </w:p>
        </w:tc>
        <w:tc>
          <w:tcPr>
            <w:tcW w:w="3115" w:type="dxa"/>
            <w:tcBorders>
              <w:top w:val="dotted" w:sz="4" w:space="0" w:color="auto"/>
              <w:left w:val="dotted" w:sz="4" w:space="0" w:color="auto"/>
              <w:bottom w:val="dotted" w:sz="4" w:space="0" w:color="auto"/>
            </w:tcBorders>
            <w:shd w:val="clear" w:color="auto" w:fill="auto"/>
          </w:tcPr>
          <w:p w14:paraId="680BD5A5" w14:textId="77777777" w:rsidR="008E2C20" w:rsidRPr="007010EF" w:rsidRDefault="008E2C20" w:rsidP="008013AC">
            <w:pPr>
              <w:spacing w:after="0" w:line="240" w:lineRule="auto"/>
              <w:jc w:val="right"/>
            </w:pPr>
            <w:r w:rsidRPr="007010EF">
              <w:t>30,110  (26·34%)</w:t>
            </w:r>
          </w:p>
        </w:tc>
      </w:tr>
      <w:tr w:rsidR="008E2C20" w:rsidRPr="007010EF" w14:paraId="6E4A665C" w14:textId="77777777" w:rsidTr="008013AC">
        <w:tc>
          <w:tcPr>
            <w:tcW w:w="5311" w:type="dxa"/>
            <w:tcBorders>
              <w:top w:val="dotted" w:sz="4" w:space="0" w:color="auto"/>
              <w:bottom w:val="dotted" w:sz="4" w:space="0" w:color="auto"/>
              <w:right w:val="dotted" w:sz="4" w:space="0" w:color="auto"/>
            </w:tcBorders>
            <w:shd w:val="clear" w:color="auto" w:fill="auto"/>
          </w:tcPr>
          <w:p w14:paraId="6539C24D" w14:textId="77777777" w:rsidR="008E2C20" w:rsidRPr="007010EF" w:rsidRDefault="008E2C20" w:rsidP="008013AC">
            <w:pPr>
              <w:spacing w:after="0" w:line="240" w:lineRule="auto"/>
              <w:jc w:val="right"/>
            </w:pPr>
            <w:r w:rsidRPr="007010EF">
              <w:t>Summer</w:t>
            </w:r>
          </w:p>
        </w:tc>
        <w:tc>
          <w:tcPr>
            <w:tcW w:w="3115" w:type="dxa"/>
            <w:tcBorders>
              <w:top w:val="dotted" w:sz="4" w:space="0" w:color="auto"/>
              <w:left w:val="dotted" w:sz="4" w:space="0" w:color="auto"/>
              <w:bottom w:val="dotted" w:sz="4" w:space="0" w:color="auto"/>
            </w:tcBorders>
            <w:shd w:val="clear" w:color="auto" w:fill="auto"/>
          </w:tcPr>
          <w:p w14:paraId="73DFDDBC" w14:textId="77777777" w:rsidR="008E2C20" w:rsidRPr="007010EF" w:rsidRDefault="008E2C20" w:rsidP="008013AC">
            <w:pPr>
              <w:spacing w:after="0" w:line="240" w:lineRule="auto"/>
              <w:jc w:val="right"/>
            </w:pPr>
            <w:r w:rsidRPr="007010EF">
              <w:t>15,108  (13·21%)</w:t>
            </w:r>
          </w:p>
        </w:tc>
      </w:tr>
      <w:tr w:rsidR="008E2C20" w:rsidRPr="007010EF" w14:paraId="55FF87E7" w14:textId="77777777" w:rsidTr="008013AC">
        <w:tc>
          <w:tcPr>
            <w:tcW w:w="5311" w:type="dxa"/>
            <w:tcBorders>
              <w:top w:val="dotted" w:sz="4" w:space="0" w:color="auto"/>
              <w:bottom w:val="dotted" w:sz="4" w:space="0" w:color="auto"/>
              <w:right w:val="dotted" w:sz="4" w:space="0" w:color="auto"/>
            </w:tcBorders>
            <w:shd w:val="clear" w:color="auto" w:fill="auto"/>
          </w:tcPr>
          <w:p w14:paraId="3745DB5F" w14:textId="77777777" w:rsidR="008E2C20" w:rsidRPr="007010EF" w:rsidRDefault="008E2C20" w:rsidP="008013AC">
            <w:pPr>
              <w:spacing w:after="0" w:line="240" w:lineRule="auto"/>
              <w:jc w:val="right"/>
            </w:pPr>
            <w:r w:rsidRPr="007010EF">
              <w:t>Autumn</w:t>
            </w:r>
          </w:p>
        </w:tc>
        <w:tc>
          <w:tcPr>
            <w:tcW w:w="3115" w:type="dxa"/>
            <w:tcBorders>
              <w:top w:val="dotted" w:sz="4" w:space="0" w:color="auto"/>
              <w:left w:val="dotted" w:sz="4" w:space="0" w:color="auto"/>
              <w:bottom w:val="dotted" w:sz="4" w:space="0" w:color="auto"/>
            </w:tcBorders>
            <w:shd w:val="clear" w:color="auto" w:fill="auto"/>
          </w:tcPr>
          <w:p w14:paraId="0DFDA069" w14:textId="77777777" w:rsidR="008E2C20" w:rsidRPr="007010EF" w:rsidRDefault="008E2C20" w:rsidP="008013AC">
            <w:pPr>
              <w:spacing w:after="0" w:line="240" w:lineRule="auto"/>
              <w:jc w:val="right"/>
            </w:pPr>
            <w:r w:rsidRPr="007010EF">
              <w:t>27,281  (23·86%)</w:t>
            </w:r>
          </w:p>
        </w:tc>
      </w:tr>
      <w:tr w:rsidR="008E2C20" w:rsidRPr="007010EF" w14:paraId="2CB7FCD2" w14:textId="77777777" w:rsidTr="008013AC">
        <w:tc>
          <w:tcPr>
            <w:tcW w:w="5311" w:type="dxa"/>
            <w:tcBorders>
              <w:top w:val="dotted" w:sz="4" w:space="0" w:color="auto"/>
              <w:bottom w:val="dotted" w:sz="4" w:space="0" w:color="auto"/>
              <w:right w:val="dotted" w:sz="4" w:space="0" w:color="auto"/>
            </w:tcBorders>
            <w:shd w:val="clear" w:color="auto" w:fill="auto"/>
          </w:tcPr>
          <w:p w14:paraId="470D85C1" w14:textId="77777777" w:rsidR="008E2C20" w:rsidRPr="007010EF" w:rsidRDefault="008E2C20" w:rsidP="008013AC">
            <w:pPr>
              <w:spacing w:after="0" w:line="240" w:lineRule="auto"/>
            </w:pPr>
            <w:r w:rsidRPr="007010EF">
              <w:rPr>
                <w:b/>
              </w:rPr>
              <w:t xml:space="preserve">RTI type </w:t>
            </w:r>
            <w:r w:rsidRPr="007010EF">
              <w:rPr>
                <w:vertAlign w:val="superscript"/>
              </w:rPr>
              <w:t>b</w:t>
            </w:r>
            <w:r w:rsidRPr="007010EF">
              <w:t xml:space="preserve">                                                                            URTI</w:t>
            </w:r>
          </w:p>
        </w:tc>
        <w:tc>
          <w:tcPr>
            <w:tcW w:w="3115" w:type="dxa"/>
            <w:tcBorders>
              <w:top w:val="dotted" w:sz="4" w:space="0" w:color="auto"/>
              <w:left w:val="dotted" w:sz="4" w:space="0" w:color="auto"/>
              <w:bottom w:val="dotted" w:sz="4" w:space="0" w:color="auto"/>
            </w:tcBorders>
            <w:shd w:val="clear" w:color="auto" w:fill="auto"/>
          </w:tcPr>
          <w:p w14:paraId="6CD118F9" w14:textId="77777777" w:rsidR="008E2C20" w:rsidRPr="007010EF" w:rsidRDefault="008E2C20" w:rsidP="008013AC">
            <w:pPr>
              <w:spacing w:after="0" w:line="240" w:lineRule="auto"/>
              <w:jc w:val="right"/>
            </w:pPr>
            <w:r w:rsidRPr="007010EF">
              <w:t>16,048  (14·04%)</w:t>
            </w:r>
          </w:p>
        </w:tc>
      </w:tr>
      <w:tr w:rsidR="008E2C20" w:rsidRPr="007010EF" w14:paraId="710158C0" w14:textId="77777777" w:rsidTr="008013AC">
        <w:tc>
          <w:tcPr>
            <w:tcW w:w="5311" w:type="dxa"/>
            <w:tcBorders>
              <w:top w:val="dotted" w:sz="4" w:space="0" w:color="auto"/>
              <w:bottom w:val="dotted" w:sz="4" w:space="0" w:color="auto"/>
              <w:right w:val="dotted" w:sz="4" w:space="0" w:color="auto"/>
            </w:tcBorders>
            <w:shd w:val="clear" w:color="auto" w:fill="auto"/>
          </w:tcPr>
          <w:p w14:paraId="296AE194" w14:textId="77777777" w:rsidR="008E2C20" w:rsidRPr="007010EF" w:rsidRDefault="008E2C20" w:rsidP="008013AC">
            <w:pPr>
              <w:spacing w:after="0" w:line="240" w:lineRule="auto"/>
              <w:jc w:val="right"/>
            </w:pPr>
            <w:r w:rsidRPr="007010EF">
              <w:t>LRTI</w:t>
            </w:r>
          </w:p>
        </w:tc>
        <w:tc>
          <w:tcPr>
            <w:tcW w:w="3115" w:type="dxa"/>
            <w:tcBorders>
              <w:top w:val="dotted" w:sz="4" w:space="0" w:color="auto"/>
              <w:left w:val="dotted" w:sz="4" w:space="0" w:color="auto"/>
              <w:bottom w:val="dotted" w:sz="4" w:space="0" w:color="auto"/>
            </w:tcBorders>
            <w:shd w:val="clear" w:color="auto" w:fill="auto"/>
          </w:tcPr>
          <w:p w14:paraId="045CA3B7" w14:textId="77777777" w:rsidR="008E2C20" w:rsidRPr="007010EF" w:rsidRDefault="008E2C20" w:rsidP="008013AC">
            <w:pPr>
              <w:spacing w:after="0" w:line="240" w:lineRule="auto"/>
              <w:jc w:val="right"/>
            </w:pPr>
            <w:r w:rsidRPr="007010EF">
              <w:t>68,634  (60·03%)</w:t>
            </w:r>
          </w:p>
        </w:tc>
      </w:tr>
      <w:tr w:rsidR="008E2C20" w:rsidRPr="007010EF" w14:paraId="0E3F9AFF" w14:textId="77777777" w:rsidTr="008013AC">
        <w:tc>
          <w:tcPr>
            <w:tcW w:w="5311" w:type="dxa"/>
            <w:tcBorders>
              <w:top w:val="dotted" w:sz="4" w:space="0" w:color="auto"/>
              <w:bottom w:val="dotted" w:sz="4" w:space="0" w:color="auto"/>
              <w:right w:val="dotted" w:sz="4" w:space="0" w:color="auto"/>
            </w:tcBorders>
            <w:shd w:val="clear" w:color="auto" w:fill="auto"/>
          </w:tcPr>
          <w:p w14:paraId="5BB6C392" w14:textId="77777777" w:rsidR="008E2C20" w:rsidRPr="007010EF" w:rsidRDefault="008E2C20" w:rsidP="008013AC">
            <w:pPr>
              <w:spacing w:after="0" w:line="240" w:lineRule="auto"/>
              <w:jc w:val="right"/>
            </w:pPr>
            <w:r w:rsidRPr="007010EF">
              <w:t>AOM</w:t>
            </w:r>
          </w:p>
        </w:tc>
        <w:tc>
          <w:tcPr>
            <w:tcW w:w="3115" w:type="dxa"/>
            <w:tcBorders>
              <w:top w:val="dotted" w:sz="4" w:space="0" w:color="auto"/>
              <w:left w:val="dotted" w:sz="4" w:space="0" w:color="auto"/>
              <w:bottom w:val="dotted" w:sz="4" w:space="0" w:color="auto"/>
            </w:tcBorders>
            <w:shd w:val="clear" w:color="auto" w:fill="auto"/>
          </w:tcPr>
          <w:p w14:paraId="0D79A1C4" w14:textId="77777777" w:rsidR="008E2C20" w:rsidRPr="007010EF" w:rsidRDefault="008E2C20" w:rsidP="008013AC">
            <w:pPr>
              <w:spacing w:after="0" w:line="240" w:lineRule="auto"/>
              <w:jc w:val="right"/>
            </w:pPr>
            <w:r w:rsidRPr="007010EF">
              <w:t>28,604  (25·02%)</w:t>
            </w:r>
          </w:p>
        </w:tc>
      </w:tr>
      <w:tr w:rsidR="008E2C20" w:rsidRPr="007010EF" w14:paraId="4C18489E" w14:textId="77777777" w:rsidTr="008013AC">
        <w:tc>
          <w:tcPr>
            <w:tcW w:w="5311" w:type="dxa"/>
            <w:tcBorders>
              <w:top w:val="dotted" w:sz="4" w:space="0" w:color="auto"/>
              <w:bottom w:val="dotted" w:sz="4" w:space="0" w:color="auto"/>
              <w:right w:val="dotted" w:sz="4" w:space="0" w:color="auto"/>
            </w:tcBorders>
            <w:shd w:val="clear" w:color="auto" w:fill="auto"/>
          </w:tcPr>
          <w:p w14:paraId="3929E45B" w14:textId="77777777" w:rsidR="008E2C20" w:rsidRPr="007010EF" w:rsidRDefault="008E2C20" w:rsidP="008013AC">
            <w:pPr>
              <w:spacing w:after="0" w:line="240" w:lineRule="auto"/>
              <w:jc w:val="right"/>
            </w:pPr>
            <w:r w:rsidRPr="007010EF">
              <w:t>URTI &amp; LRTI</w:t>
            </w:r>
          </w:p>
        </w:tc>
        <w:tc>
          <w:tcPr>
            <w:tcW w:w="3115" w:type="dxa"/>
            <w:tcBorders>
              <w:top w:val="dotted" w:sz="4" w:space="0" w:color="auto"/>
              <w:left w:val="dotted" w:sz="4" w:space="0" w:color="auto"/>
              <w:bottom w:val="dotted" w:sz="4" w:space="0" w:color="auto"/>
            </w:tcBorders>
            <w:shd w:val="clear" w:color="auto" w:fill="auto"/>
          </w:tcPr>
          <w:p w14:paraId="172A47FC" w14:textId="77777777" w:rsidR="008E2C20" w:rsidRPr="007010EF" w:rsidRDefault="008E2C20" w:rsidP="008013AC">
            <w:pPr>
              <w:spacing w:after="0" w:line="240" w:lineRule="auto"/>
              <w:jc w:val="right"/>
            </w:pPr>
            <w:r w:rsidRPr="007010EF">
              <w:t>662    (0·58%)</w:t>
            </w:r>
          </w:p>
        </w:tc>
      </w:tr>
      <w:tr w:rsidR="008E2C20" w:rsidRPr="007010EF" w14:paraId="1B68C790" w14:textId="77777777" w:rsidTr="008013AC">
        <w:tc>
          <w:tcPr>
            <w:tcW w:w="5311" w:type="dxa"/>
            <w:tcBorders>
              <w:top w:val="dotted" w:sz="4" w:space="0" w:color="auto"/>
              <w:bottom w:val="dotted" w:sz="4" w:space="0" w:color="auto"/>
              <w:right w:val="dotted" w:sz="4" w:space="0" w:color="auto"/>
            </w:tcBorders>
            <w:shd w:val="clear" w:color="auto" w:fill="auto"/>
          </w:tcPr>
          <w:p w14:paraId="5AA6A678" w14:textId="77777777" w:rsidR="008E2C20" w:rsidRPr="007010EF" w:rsidRDefault="008E2C20" w:rsidP="008013AC">
            <w:pPr>
              <w:spacing w:after="0" w:line="240" w:lineRule="auto"/>
              <w:jc w:val="right"/>
            </w:pPr>
            <w:r w:rsidRPr="007010EF">
              <w:t>Other mix</w:t>
            </w:r>
          </w:p>
        </w:tc>
        <w:tc>
          <w:tcPr>
            <w:tcW w:w="3115" w:type="dxa"/>
            <w:tcBorders>
              <w:top w:val="dotted" w:sz="4" w:space="0" w:color="auto"/>
              <w:left w:val="dotted" w:sz="4" w:space="0" w:color="auto"/>
              <w:bottom w:val="dotted" w:sz="4" w:space="0" w:color="auto"/>
            </w:tcBorders>
            <w:shd w:val="clear" w:color="auto" w:fill="auto"/>
          </w:tcPr>
          <w:p w14:paraId="464D37F7" w14:textId="77777777" w:rsidR="008E2C20" w:rsidRPr="007010EF" w:rsidRDefault="008E2C20" w:rsidP="008013AC">
            <w:pPr>
              <w:spacing w:after="0" w:line="240" w:lineRule="auto"/>
              <w:jc w:val="right"/>
            </w:pPr>
            <w:r w:rsidRPr="007010EF">
              <w:t>381    (0·33%)</w:t>
            </w:r>
          </w:p>
        </w:tc>
      </w:tr>
      <w:tr w:rsidR="008E2C20" w:rsidRPr="007010EF" w14:paraId="3416686D" w14:textId="77777777" w:rsidTr="008013AC">
        <w:tc>
          <w:tcPr>
            <w:tcW w:w="5311" w:type="dxa"/>
            <w:tcBorders>
              <w:top w:val="dotted" w:sz="4" w:space="0" w:color="auto"/>
              <w:bottom w:val="dotted" w:sz="4" w:space="0" w:color="auto"/>
              <w:right w:val="dotted" w:sz="4" w:space="0" w:color="auto"/>
            </w:tcBorders>
            <w:shd w:val="clear" w:color="auto" w:fill="auto"/>
          </w:tcPr>
          <w:p w14:paraId="1DBCA812" w14:textId="77777777" w:rsidR="008E2C20" w:rsidRPr="007010EF" w:rsidRDefault="008E2C20" w:rsidP="008013AC">
            <w:pPr>
              <w:spacing w:after="0" w:line="240" w:lineRule="auto"/>
              <w:rPr>
                <w:b/>
              </w:rPr>
            </w:pPr>
            <w:r w:rsidRPr="007010EF">
              <w:rPr>
                <w:b/>
              </w:rPr>
              <w:t>Comorbidity</w:t>
            </w:r>
          </w:p>
        </w:tc>
        <w:tc>
          <w:tcPr>
            <w:tcW w:w="3115" w:type="dxa"/>
            <w:tcBorders>
              <w:top w:val="dotted" w:sz="4" w:space="0" w:color="auto"/>
              <w:left w:val="dotted" w:sz="4" w:space="0" w:color="auto"/>
              <w:bottom w:val="dotted" w:sz="4" w:space="0" w:color="auto"/>
            </w:tcBorders>
            <w:shd w:val="clear" w:color="auto" w:fill="auto"/>
          </w:tcPr>
          <w:p w14:paraId="69887C53" w14:textId="77777777" w:rsidR="008E2C20" w:rsidRPr="007010EF" w:rsidRDefault="008E2C20" w:rsidP="008013AC">
            <w:pPr>
              <w:spacing w:after="0" w:line="240" w:lineRule="auto"/>
              <w:jc w:val="right"/>
            </w:pPr>
            <w:r w:rsidRPr="007010EF">
              <w:t>6,625    (5·79%)</w:t>
            </w:r>
          </w:p>
        </w:tc>
      </w:tr>
      <w:tr w:rsidR="008E2C20" w:rsidRPr="007010EF" w14:paraId="417A6B71" w14:textId="77777777" w:rsidTr="008013AC">
        <w:tc>
          <w:tcPr>
            <w:tcW w:w="5311" w:type="dxa"/>
            <w:tcBorders>
              <w:top w:val="dotted" w:sz="4" w:space="0" w:color="auto"/>
              <w:bottom w:val="dotted" w:sz="4" w:space="0" w:color="auto"/>
              <w:right w:val="dotted" w:sz="4" w:space="0" w:color="auto"/>
            </w:tcBorders>
            <w:shd w:val="clear" w:color="auto" w:fill="auto"/>
          </w:tcPr>
          <w:p w14:paraId="5AB0E321" w14:textId="77777777" w:rsidR="008E2C20" w:rsidRPr="007010EF" w:rsidRDefault="008E2C20" w:rsidP="008013AC">
            <w:pPr>
              <w:spacing w:after="0" w:line="240" w:lineRule="auto"/>
            </w:pPr>
            <w:r w:rsidRPr="007010EF">
              <w:rPr>
                <w:b/>
              </w:rPr>
              <w:t>Antibiotic class</w:t>
            </w:r>
            <w:r w:rsidRPr="007010EF">
              <w:t xml:space="preserve">                                                Cephalosporin</w:t>
            </w:r>
          </w:p>
        </w:tc>
        <w:tc>
          <w:tcPr>
            <w:tcW w:w="3115" w:type="dxa"/>
            <w:tcBorders>
              <w:top w:val="dotted" w:sz="4" w:space="0" w:color="auto"/>
              <w:left w:val="dotted" w:sz="4" w:space="0" w:color="auto"/>
              <w:bottom w:val="dotted" w:sz="4" w:space="0" w:color="auto"/>
            </w:tcBorders>
            <w:shd w:val="clear" w:color="auto" w:fill="auto"/>
          </w:tcPr>
          <w:p w14:paraId="4F065868" w14:textId="77777777" w:rsidR="008E2C20" w:rsidRPr="007010EF" w:rsidRDefault="008E2C20" w:rsidP="008013AC">
            <w:pPr>
              <w:spacing w:after="0" w:line="240" w:lineRule="auto"/>
              <w:jc w:val="right"/>
            </w:pPr>
            <w:r w:rsidRPr="007010EF">
              <w:t xml:space="preserve">     847    (0·74%)</w:t>
            </w:r>
          </w:p>
        </w:tc>
      </w:tr>
      <w:tr w:rsidR="008E2C20" w:rsidRPr="007010EF" w14:paraId="42C6740C" w14:textId="77777777" w:rsidTr="008013AC">
        <w:tc>
          <w:tcPr>
            <w:tcW w:w="5311" w:type="dxa"/>
            <w:tcBorders>
              <w:top w:val="dotted" w:sz="4" w:space="0" w:color="auto"/>
              <w:bottom w:val="dotted" w:sz="4" w:space="0" w:color="auto"/>
              <w:right w:val="dotted" w:sz="4" w:space="0" w:color="auto"/>
            </w:tcBorders>
            <w:shd w:val="clear" w:color="auto" w:fill="auto"/>
          </w:tcPr>
          <w:p w14:paraId="1078A9D7" w14:textId="77777777" w:rsidR="008E2C20" w:rsidRPr="007010EF" w:rsidRDefault="008E2C20" w:rsidP="008013AC">
            <w:pPr>
              <w:spacing w:after="0" w:line="240" w:lineRule="auto"/>
              <w:jc w:val="right"/>
            </w:pPr>
            <w:r w:rsidRPr="007010EF">
              <w:t>Macrolides</w:t>
            </w:r>
          </w:p>
        </w:tc>
        <w:tc>
          <w:tcPr>
            <w:tcW w:w="3115" w:type="dxa"/>
            <w:tcBorders>
              <w:top w:val="dotted" w:sz="4" w:space="0" w:color="auto"/>
              <w:left w:val="dotted" w:sz="4" w:space="0" w:color="auto"/>
              <w:bottom w:val="dotted" w:sz="4" w:space="0" w:color="auto"/>
            </w:tcBorders>
            <w:shd w:val="clear" w:color="auto" w:fill="auto"/>
          </w:tcPr>
          <w:p w14:paraId="00186424" w14:textId="77777777" w:rsidR="008E2C20" w:rsidRPr="007010EF" w:rsidRDefault="008E2C20" w:rsidP="008013AC">
            <w:pPr>
              <w:spacing w:after="0" w:line="240" w:lineRule="auto"/>
              <w:jc w:val="right"/>
            </w:pPr>
            <w:r w:rsidRPr="007010EF">
              <w:t>11,571  (10·12%)</w:t>
            </w:r>
          </w:p>
        </w:tc>
      </w:tr>
      <w:tr w:rsidR="008E2C20" w:rsidRPr="007010EF" w14:paraId="1FA379A1" w14:textId="77777777" w:rsidTr="008013AC">
        <w:tc>
          <w:tcPr>
            <w:tcW w:w="5311" w:type="dxa"/>
            <w:tcBorders>
              <w:top w:val="dotted" w:sz="4" w:space="0" w:color="auto"/>
              <w:bottom w:val="dotted" w:sz="4" w:space="0" w:color="auto"/>
              <w:right w:val="dotted" w:sz="4" w:space="0" w:color="auto"/>
            </w:tcBorders>
            <w:shd w:val="clear" w:color="auto" w:fill="auto"/>
          </w:tcPr>
          <w:p w14:paraId="525EC853" w14:textId="77777777" w:rsidR="008E2C20" w:rsidRPr="007010EF" w:rsidRDefault="008E2C20" w:rsidP="008013AC">
            <w:pPr>
              <w:spacing w:after="0" w:line="240" w:lineRule="auto"/>
              <w:jc w:val="right"/>
            </w:pPr>
            <w:r w:rsidRPr="007010EF">
              <w:t xml:space="preserve">Broad-spectrum penicillin </w:t>
            </w:r>
          </w:p>
          <w:p w14:paraId="19380912" w14:textId="77777777" w:rsidR="008E2C20" w:rsidRPr="007010EF" w:rsidRDefault="008E2C20" w:rsidP="008013AC">
            <w:pPr>
              <w:spacing w:after="0" w:line="240" w:lineRule="auto"/>
              <w:jc w:val="right"/>
            </w:pPr>
            <w:r w:rsidRPr="007010EF">
              <w:t>(amoxicillin; co-amoxiclav)</w:t>
            </w:r>
          </w:p>
        </w:tc>
        <w:tc>
          <w:tcPr>
            <w:tcW w:w="3115" w:type="dxa"/>
            <w:tcBorders>
              <w:top w:val="dotted" w:sz="4" w:space="0" w:color="auto"/>
              <w:left w:val="dotted" w:sz="4" w:space="0" w:color="auto"/>
              <w:bottom w:val="dotted" w:sz="4" w:space="0" w:color="auto"/>
            </w:tcBorders>
            <w:shd w:val="clear" w:color="auto" w:fill="auto"/>
          </w:tcPr>
          <w:p w14:paraId="15C0C71E" w14:textId="77777777" w:rsidR="008E2C20" w:rsidRPr="007010EF" w:rsidRDefault="008E2C20" w:rsidP="008013AC">
            <w:pPr>
              <w:spacing w:after="0" w:line="240" w:lineRule="auto"/>
              <w:jc w:val="right"/>
            </w:pPr>
            <w:r w:rsidRPr="007010EF">
              <w:t>87,723  (76·73%)</w:t>
            </w:r>
          </w:p>
        </w:tc>
      </w:tr>
      <w:tr w:rsidR="008E2C20" w:rsidRPr="007010EF" w14:paraId="5F8A0456" w14:textId="77777777" w:rsidTr="008013AC">
        <w:tc>
          <w:tcPr>
            <w:tcW w:w="5311" w:type="dxa"/>
            <w:tcBorders>
              <w:top w:val="dotted" w:sz="4" w:space="0" w:color="auto"/>
              <w:bottom w:val="dotted" w:sz="4" w:space="0" w:color="auto"/>
              <w:right w:val="dotted" w:sz="4" w:space="0" w:color="auto"/>
            </w:tcBorders>
            <w:shd w:val="clear" w:color="auto" w:fill="auto"/>
          </w:tcPr>
          <w:p w14:paraId="5D7DE403" w14:textId="77777777" w:rsidR="008E2C20" w:rsidRPr="007010EF" w:rsidRDefault="008E2C20" w:rsidP="008013AC">
            <w:pPr>
              <w:spacing w:after="0" w:line="240" w:lineRule="auto"/>
              <w:jc w:val="right"/>
            </w:pPr>
            <w:r w:rsidRPr="007010EF">
              <w:t>Penicillinase-resistant  (flucloxacillin)</w:t>
            </w:r>
          </w:p>
        </w:tc>
        <w:tc>
          <w:tcPr>
            <w:tcW w:w="3115" w:type="dxa"/>
            <w:tcBorders>
              <w:top w:val="dotted" w:sz="4" w:space="0" w:color="auto"/>
              <w:left w:val="dotted" w:sz="4" w:space="0" w:color="auto"/>
              <w:bottom w:val="dotted" w:sz="4" w:space="0" w:color="auto"/>
            </w:tcBorders>
            <w:shd w:val="clear" w:color="auto" w:fill="auto"/>
          </w:tcPr>
          <w:p w14:paraId="41A12EB7" w14:textId="77777777" w:rsidR="008E2C20" w:rsidRPr="007010EF" w:rsidRDefault="008E2C20" w:rsidP="008013AC">
            <w:pPr>
              <w:spacing w:after="0" w:line="240" w:lineRule="auto"/>
              <w:jc w:val="right"/>
            </w:pPr>
            <w:r w:rsidRPr="007010EF">
              <w:t>275     (0·24%)</w:t>
            </w:r>
          </w:p>
        </w:tc>
      </w:tr>
      <w:tr w:rsidR="008E2C20" w:rsidRPr="007010EF" w14:paraId="317ABEE6" w14:textId="77777777" w:rsidTr="008013AC">
        <w:tc>
          <w:tcPr>
            <w:tcW w:w="5311" w:type="dxa"/>
            <w:tcBorders>
              <w:top w:val="dotted" w:sz="4" w:space="0" w:color="auto"/>
              <w:bottom w:val="dotted" w:sz="4" w:space="0" w:color="auto"/>
              <w:right w:val="dotted" w:sz="4" w:space="0" w:color="auto"/>
            </w:tcBorders>
            <w:shd w:val="clear" w:color="auto" w:fill="auto"/>
          </w:tcPr>
          <w:p w14:paraId="4CD5399F" w14:textId="77777777" w:rsidR="008E2C20" w:rsidRPr="007010EF" w:rsidRDefault="008E2C20" w:rsidP="008013AC">
            <w:pPr>
              <w:spacing w:after="0" w:line="240" w:lineRule="auto"/>
              <w:jc w:val="right"/>
            </w:pPr>
            <w:r w:rsidRPr="007010EF">
              <w:t>Penicillin V</w:t>
            </w:r>
          </w:p>
        </w:tc>
        <w:tc>
          <w:tcPr>
            <w:tcW w:w="3115" w:type="dxa"/>
            <w:tcBorders>
              <w:top w:val="dotted" w:sz="4" w:space="0" w:color="auto"/>
              <w:left w:val="dotted" w:sz="4" w:space="0" w:color="auto"/>
              <w:bottom w:val="dotted" w:sz="4" w:space="0" w:color="auto"/>
            </w:tcBorders>
            <w:shd w:val="clear" w:color="auto" w:fill="auto"/>
          </w:tcPr>
          <w:p w14:paraId="2B10758F" w14:textId="77777777" w:rsidR="008E2C20" w:rsidRPr="007010EF" w:rsidRDefault="008E2C20" w:rsidP="008013AC">
            <w:pPr>
              <w:spacing w:after="0" w:line="240" w:lineRule="auto"/>
              <w:jc w:val="right"/>
            </w:pPr>
            <w:r w:rsidRPr="007010EF">
              <w:t>13,673   (11·96%)</w:t>
            </w:r>
          </w:p>
        </w:tc>
      </w:tr>
      <w:tr w:rsidR="008E2C20" w:rsidRPr="007010EF" w14:paraId="7D959CC7" w14:textId="77777777" w:rsidTr="008013AC">
        <w:tc>
          <w:tcPr>
            <w:tcW w:w="5311" w:type="dxa"/>
            <w:tcBorders>
              <w:top w:val="dotted" w:sz="4" w:space="0" w:color="auto"/>
              <w:bottom w:val="dotted" w:sz="4" w:space="0" w:color="auto"/>
              <w:right w:val="dotted" w:sz="4" w:space="0" w:color="auto"/>
            </w:tcBorders>
            <w:shd w:val="clear" w:color="auto" w:fill="auto"/>
          </w:tcPr>
          <w:p w14:paraId="4CFA5020" w14:textId="77777777" w:rsidR="008E2C20" w:rsidRPr="007010EF" w:rsidRDefault="008E2C20" w:rsidP="008013AC">
            <w:pPr>
              <w:spacing w:after="0" w:line="240" w:lineRule="auto"/>
              <w:jc w:val="right"/>
            </w:pPr>
            <w:r w:rsidRPr="007010EF">
              <w:t>Quinolones</w:t>
            </w:r>
          </w:p>
        </w:tc>
        <w:tc>
          <w:tcPr>
            <w:tcW w:w="3115" w:type="dxa"/>
            <w:tcBorders>
              <w:top w:val="dotted" w:sz="4" w:space="0" w:color="auto"/>
              <w:left w:val="dotted" w:sz="4" w:space="0" w:color="auto"/>
              <w:bottom w:val="dotted" w:sz="4" w:space="0" w:color="auto"/>
            </w:tcBorders>
            <w:shd w:val="clear" w:color="auto" w:fill="auto"/>
          </w:tcPr>
          <w:p w14:paraId="39E0BBE9" w14:textId="77777777" w:rsidR="008E2C20" w:rsidRPr="007010EF" w:rsidRDefault="008E2C20" w:rsidP="008013AC">
            <w:pPr>
              <w:spacing w:after="0" w:line="240" w:lineRule="auto"/>
              <w:jc w:val="right"/>
            </w:pPr>
            <w:r w:rsidRPr="007010EF">
              <w:t>7      (0·01%)</w:t>
            </w:r>
          </w:p>
        </w:tc>
      </w:tr>
      <w:tr w:rsidR="008E2C20" w:rsidRPr="007010EF" w14:paraId="16368F88" w14:textId="77777777" w:rsidTr="008013AC">
        <w:tc>
          <w:tcPr>
            <w:tcW w:w="5311" w:type="dxa"/>
            <w:tcBorders>
              <w:top w:val="dotted" w:sz="4" w:space="0" w:color="auto"/>
              <w:bottom w:val="dotted" w:sz="4" w:space="0" w:color="auto"/>
              <w:right w:val="dotted" w:sz="4" w:space="0" w:color="auto"/>
            </w:tcBorders>
            <w:shd w:val="clear" w:color="auto" w:fill="auto"/>
          </w:tcPr>
          <w:p w14:paraId="6FAC74E7" w14:textId="77777777" w:rsidR="008E2C20" w:rsidRPr="007010EF" w:rsidRDefault="008E2C20" w:rsidP="008013AC">
            <w:pPr>
              <w:spacing w:after="0" w:line="240" w:lineRule="auto"/>
              <w:jc w:val="right"/>
            </w:pPr>
            <w:r w:rsidRPr="007010EF">
              <w:t>Trimethoprim-cotrimoxazole</w:t>
            </w:r>
          </w:p>
        </w:tc>
        <w:tc>
          <w:tcPr>
            <w:tcW w:w="3115" w:type="dxa"/>
            <w:tcBorders>
              <w:top w:val="dotted" w:sz="4" w:space="0" w:color="auto"/>
              <w:left w:val="dotted" w:sz="4" w:space="0" w:color="auto"/>
              <w:bottom w:val="dotted" w:sz="4" w:space="0" w:color="auto"/>
            </w:tcBorders>
            <w:shd w:val="clear" w:color="auto" w:fill="auto"/>
          </w:tcPr>
          <w:p w14:paraId="460DB070" w14:textId="77777777" w:rsidR="008E2C20" w:rsidRPr="007010EF" w:rsidRDefault="008E2C20" w:rsidP="008013AC">
            <w:pPr>
              <w:spacing w:after="0" w:line="240" w:lineRule="auto"/>
              <w:jc w:val="right"/>
            </w:pPr>
            <w:r w:rsidRPr="007010EF">
              <w:t>233     (0·20%)</w:t>
            </w:r>
          </w:p>
        </w:tc>
      </w:tr>
      <w:tr w:rsidR="008E2C20" w:rsidRPr="007010EF" w14:paraId="7D10081F" w14:textId="77777777" w:rsidTr="008013AC">
        <w:tc>
          <w:tcPr>
            <w:tcW w:w="5311" w:type="dxa"/>
            <w:tcBorders>
              <w:top w:val="dotted" w:sz="4" w:space="0" w:color="auto"/>
              <w:bottom w:val="dotted" w:sz="4" w:space="0" w:color="auto"/>
              <w:right w:val="dotted" w:sz="4" w:space="0" w:color="auto"/>
            </w:tcBorders>
            <w:shd w:val="clear" w:color="auto" w:fill="auto"/>
          </w:tcPr>
          <w:p w14:paraId="462D1BE3" w14:textId="77777777" w:rsidR="008E2C20" w:rsidRPr="007010EF" w:rsidRDefault="008E2C20" w:rsidP="008013AC">
            <w:pPr>
              <w:spacing w:after="0" w:line="240" w:lineRule="auto"/>
              <w:rPr>
                <w:b/>
              </w:rPr>
            </w:pPr>
            <w:r w:rsidRPr="007010EF">
              <w:rPr>
                <w:b/>
              </w:rPr>
              <w:t>Vaccination status at index date (complete)</w:t>
            </w:r>
            <w:r w:rsidRPr="007010EF">
              <w:rPr>
                <w:vertAlign w:val="superscript"/>
              </w:rPr>
              <w:t xml:space="preserve"> </w:t>
            </w:r>
          </w:p>
        </w:tc>
        <w:tc>
          <w:tcPr>
            <w:tcW w:w="3115" w:type="dxa"/>
            <w:tcBorders>
              <w:top w:val="dotted" w:sz="4" w:space="0" w:color="auto"/>
              <w:left w:val="dotted" w:sz="4" w:space="0" w:color="auto"/>
              <w:bottom w:val="dotted" w:sz="4" w:space="0" w:color="auto"/>
            </w:tcBorders>
            <w:shd w:val="clear" w:color="auto" w:fill="auto"/>
          </w:tcPr>
          <w:p w14:paraId="4B93B83E" w14:textId="77777777" w:rsidR="008E2C20" w:rsidRPr="007010EF" w:rsidRDefault="008E2C20" w:rsidP="008013AC">
            <w:pPr>
              <w:spacing w:after="0" w:line="240" w:lineRule="auto"/>
              <w:jc w:val="right"/>
            </w:pPr>
            <w:r w:rsidRPr="007010EF">
              <w:t>43,401   (37.96%)</w:t>
            </w:r>
          </w:p>
        </w:tc>
      </w:tr>
      <w:tr w:rsidR="008E2C20" w:rsidRPr="007010EF" w14:paraId="271CE133" w14:textId="77777777" w:rsidTr="008013AC">
        <w:tc>
          <w:tcPr>
            <w:tcW w:w="5311" w:type="dxa"/>
            <w:tcBorders>
              <w:top w:val="dotted" w:sz="4" w:space="0" w:color="auto"/>
              <w:bottom w:val="dotted" w:sz="4" w:space="0" w:color="auto"/>
              <w:right w:val="dotted" w:sz="4" w:space="0" w:color="auto"/>
            </w:tcBorders>
            <w:shd w:val="clear" w:color="auto" w:fill="auto"/>
          </w:tcPr>
          <w:p w14:paraId="6B149927" w14:textId="77777777" w:rsidR="008E2C20" w:rsidRPr="007010EF" w:rsidRDefault="008E2C20" w:rsidP="008013AC">
            <w:pPr>
              <w:spacing w:after="0" w:line="240" w:lineRule="auto"/>
              <w:rPr>
                <w:b/>
              </w:rPr>
            </w:pPr>
            <w:r w:rsidRPr="007010EF">
              <w:rPr>
                <w:b/>
              </w:rPr>
              <w:t>Vaccination status at end of study period (complete)</w:t>
            </w:r>
            <w:r w:rsidRPr="007010EF">
              <w:rPr>
                <w:vertAlign w:val="superscript"/>
              </w:rPr>
              <w:t xml:space="preserve"> c</w:t>
            </w:r>
          </w:p>
        </w:tc>
        <w:tc>
          <w:tcPr>
            <w:tcW w:w="3115" w:type="dxa"/>
            <w:tcBorders>
              <w:top w:val="dotted" w:sz="4" w:space="0" w:color="auto"/>
              <w:left w:val="dotted" w:sz="4" w:space="0" w:color="auto"/>
              <w:bottom w:val="dotted" w:sz="4" w:space="0" w:color="auto"/>
            </w:tcBorders>
            <w:shd w:val="clear" w:color="auto" w:fill="auto"/>
          </w:tcPr>
          <w:p w14:paraId="10444BCE" w14:textId="77777777" w:rsidR="008E2C20" w:rsidRPr="007010EF" w:rsidRDefault="008E2C20" w:rsidP="008013AC">
            <w:pPr>
              <w:spacing w:after="0" w:line="240" w:lineRule="auto"/>
              <w:jc w:val="right"/>
            </w:pPr>
            <w:r w:rsidRPr="007010EF">
              <w:t>106,803   (93·42%)</w:t>
            </w:r>
          </w:p>
        </w:tc>
      </w:tr>
      <w:tr w:rsidR="008E2C20" w:rsidRPr="007010EF" w14:paraId="1D663D27" w14:textId="77777777" w:rsidTr="008013AC">
        <w:tc>
          <w:tcPr>
            <w:tcW w:w="5311" w:type="dxa"/>
            <w:tcBorders>
              <w:top w:val="dotted" w:sz="4" w:space="0" w:color="auto"/>
              <w:bottom w:val="dotted" w:sz="4" w:space="0" w:color="auto"/>
              <w:right w:val="dotted" w:sz="4" w:space="0" w:color="auto"/>
            </w:tcBorders>
            <w:shd w:val="clear" w:color="auto" w:fill="auto"/>
          </w:tcPr>
          <w:p w14:paraId="19F82052" w14:textId="77777777" w:rsidR="008E2C20" w:rsidRPr="007010EF" w:rsidRDefault="008E2C20" w:rsidP="008013AC">
            <w:pPr>
              <w:spacing w:after="0" w:line="240" w:lineRule="auto"/>
              <w:rPr>
                <w:vertAlign w:val="superscript"/>
              </w:rPr>
            </w:pPr>
            <w:r w:rsidRPr="007010EF">
              <w:rPr>
                <w:b/>
              </w:rPr>
              <w:t xml:space="preserve">Social deprivation quintiles </w:t>
            </w:r>
            <w:r w:rsidRPr="007010EF">
              <w:rPr>
                <w:vertAlign w:val="superscript"/>
              </w:rPr>
              <w:t>d</w:t>
            </w:r>
          </w:p>
        </w:tc>
        <w:tc>
          <w:tcPr>
            <w:tcW w:w="3115" w:type="dxa"/>
            <w:tcBorders>
              <w:top w:val="dotted" w:sz="4" w:space="0" w:color="auto"/>
              <w:left w:val="dotted" w:sz="4" w:space="0" w:color="auto"/>
              <w:bottom w:val="dotted" w:sz="4" w:space="0" w:color="auto"/>
            </w:tcBorders>
            <w:shd w:val="clear" w:color="auto" w:fill="auto"/>
          </w:tcPr>
          <w:p w14:paraId="5EFCA581" w14:textId="77777777" w:rsidR="008E2C20" w:rsidRPr="007010EF" w:rsidRDefault="008E2C20" w:rsidP="008013AC">
            <w:pPr>
              <w:spacing w:after="0" w:line="240" w:lineRule="auto"/>
              <w:jc w:val="right"/>
            </w:pPr>
          </w:p>
        </w:tc>
      </w:tr>
      <w:tr w:rsidR="008E2C20" w:rsidRPr="007010EF" w14:paraId="537399F4" w14:textId="77777777" w:rsidTr="008013AC">
        <w:tc>
          <w:tcPr>
            <w:tcW w:w="5311" w:type="dxa"/>
            <w:tcBorders>
              <w:top w:val="dotted" w:sz="4" w:space="0" w:color="auto"/>
              <w:bottom w:val="dotted" w:sz="4" w:space="0" w:color="auto"/>
              <w:right w:val="dotted" w:sz="4" w:space="0" w:color="auto"/>
            </w:tcBorders>
            <w:shd w:val="clear" w:color="auto" w:fill="auto"/>
          </w:tcPr>
          <w:p w14:paraId="7644BB3C" w14:textId="77777777" w:rsidR="008E2C20" w:rsidRPr="007010EF" w:rsidRDefault="008E2C20" w:rsidP="008013AC">
            <w:pPr>
              <w:spacing w:after="0" w:line="240" w:lineRule="auto"/>
              <w:jc w:val="right"/>
            </w:pPr>
            <w:r w:rsidRPr="007010EF">
              <w:t xml:space="preserve"> 1 (least deprived)</w:t>
            </w:r>
          </w:p>
        </w:tc>
        <w:tc>
          <w:tcPr>
            <w:tcW w:w="3115" w:type="dxa"/>
            <w:tcBorders>
              <w:top w:val="dotted" w:sz="4" w:space="0" w:color="auto"/>
              <w:left w:val="dotted" w:sz="4" w:space="0" w:color="auto"/>
              <w:bottom w:val="dotted" w:sz="4" w:space="0" w:color="auto"/>
            </w:tcBorders>
            <w:shd w:val="clear" w:color="auto" w:fill="auto"/>
          </w:tcPr>
          <w:p w14:paraId="45CFE43C" w14:textId="77777777" w:rsidR="008E2C20" w:rsidRPr="007010EF" w:rsidRDefault="008E2C20" w:rsidP="008013AC">
            <w:pPr>
              <w:spacing w:after="0" w:line="240" w:lineRule="auto"/>
              <w:jc w:val="right"/>
            </w:pPr>
            <w:r w:rsidRPr="007010EF">
              <w:t>25,125      (21·99%)</w:t>
            </w:r>
          </w:p>
        </w:tc>
      </w:tr>
      <w:tr w:rsidR="008E2C20" w:rsidRPr="007010EF" w14:paraId="6685FDEE" w14:textId="77777777" w:rsidTr="008013AC">
        <w:tc>
          <w:tcPr>
            <w:tcW w:w="5311" w:type="dxa"/>
            <w:tcBorders>
              <w:top w:val="dotted" w:sz="4" w:space="0" w:color="auto"/>
              <w:bottom w:val="dotted" w:sz="4" w:space="0" w:color="auto"/>
              <w:right w:val="dotted" w:sz="4" w:space="0" w:color="auto"/>
            </w:tcBorders>
            <w:shd w:val="clear" w:color="auto" w:fill="auto"/>
          </w:tcPr>
          <w:p w14:paraId="14E5FC69" w14:textId="77777777" w:rsidR="008E2C20" w:rsidRPr="007010EF" w:rsidRDefault="008E2C20" w:rsidP="008013AC">
            <w:pPr>
              <w:spacing w:after="0" w:line="240" w:lineRule="auto"/>
              <w:jc w:val="right"/>
            </w:pPr>
            <w:r w:rsidRPr="007010EF">
              <w:t xml:space="preserve">          2 </w:t>
            </w:r>
          </w:p>
        </w:tc>
        <w:tc>
          <w:tcPr>
            <w:tcW w:w="3115" w:type="dxa"/>
            <w:tcBorders>
              <w:top w:val="dotted" w:sz="4" w:space="0" w:color="auto"/>
              <w:left w:val="dotted" w:sz="4" w:space="0" w:color="auto"/>
              <w:bottom w:val="dotted" w:sz="4" w:space="0" w:color="auto"/>
            </w:tcBorders>
            <w:shd w:val="clear" w:color="auto" w:fill="auto"/>
          </w:tcPr>
          <w:p w14:paraId="561108A8" w14:textId="77777777" w:rsidR="008E2C20" w:rsidRPr="007010EF" w:rsidRDefault="008E2C20" w:rsidP="008013AC">
            <w:pPr>
              <w:spacing w:after="0" w:line="240" w:lineRule="auto"/>
              <w:jc w:val="right"/>
            </w:pPr>
            <w:r w:rsidRPr="007010EF">
              <w:t xml:space="preserve">23,021      (20·15%)       </w:t>
            </w:r>
          </w:p>
        </w:tc>
      </w:tr>
      <w:tr w:rsidR="008E2C20" w:rsidRPr="007010EF" w14:paraId="662116B6" w14:textId="77777777" w:rsidTr="008013AC">
        <w:tc>
          <w:tcPr>
            <w:tcW w:w="5311" w:type="dxa"/>
            <w:tcBorders>
              <w:top w:val="dotted" w:sz="4" w:space="0" w:color="auto"/>
              <w:bottom w:val="dotted" w:sz="4" w:space="0" w:color="auto"/>
              <w:right w:val="dotted" w:sz="4" w:space="0" w:color="auto"/>
            </w:tcBorders>
            <w:shd w:val="clear" w:color="auto" w:fill="auto"/>
          </w:tcPr>
          <w:p w14:paraId="3D6B78B1" w14:textId="77777777" w:rsidR="008E2C20" w:rsidRPr="007010EF" w:rsidRDefault="008E2C20" w:rsidP="008013AC">
            <w:pPr>
              <w:spacing w:after="0" w:line="240" w:lineRule="auto"/>
              <w:jc w:val="right"/>
            </w:pPr>
            <w:r w:rsidRPr="007010EF">
              <w:t xml:space="preserve">          3 </w:t>
            </w:r>
          </w:p>
        </w:tc>
        <w:tc>
          <w:tcPr>
            <w:tcW w:w="3115" w:type="dxa"/>
            <w:tcBorders>
              <w:top w:val="dotted" w:sz="4" w:space="0" w:color="auto"/>
              <w:left w:val="dotted" w:sz="4" w:space="0" w:color="auto"/>
              <w:bottom w:val="dotted" w:sz="4" w:space="0" w:color="auto"/>
            </w:tcBorders>
            <w:shd w:val="clear" w:color="auto" w:fill="auto"/>
          </w:tcPr>
          <w:p w14:paraId="5F01E0FC" w14:textId="77777777" w:rsidR="008E2C20" w:rsidRPr="007010EF" w:rsidRDefault="008E2C20" w:rsidP="008013AC">
            <w:pPr>
              <w:spacing w:after="0" w:line="240" w:lineRule="auto"/>
              <w:jc w:val="right"/>
            </w:pPr>
            <w:r w:rsidRPr="007010EF">
              <w:t xml:space="preserve">           20,935      (18·32%)       </w:t>
            </w:r>
          </w:p>
        </w:tc>
      </w:tr>
      <w:tr w:rsidR="008E2C20" w:rsidRPr="007010EF" w14:paraId="72226B11" w14:textId="77777777" w:rsidTr="008013AC">
        <w:tc>
          <w:tcPr>
            <w:tcW w:w="5311" w:type="dxa"/>
            <w:tcBorders>
              <w:top w:val="dotted" w:sz="4" w:space="0" w:color="auto"/>
              <w:bottom w:val="dotted" w:sz="4" w:space="0" w:color="auto"/>
              <w:right w:val="dotted" w:sz="4" w:space="0" w:color="auto"/>
            </w:tcBorders>
            <w:shd w:val="clear" w:color="auto" w:fill="auto"/>
          </w:tcPr>
          <w:p w14:paraId="1E7124ED" w14:textId="77777777" w:rsidR="008E2C20" w:rsidRPr="007010EF" w:rsidRDefault="008E2C20" w:rsidP="008013AC">
            <w:pPr>
              <w:spacing w:after="0" w:line="240" w:lineRule="auto"/>
              <w:jc w:val="right"/>
            </w:pPr>
            <w:r w:rsidRPr="007010EF">
              <w:t xml:space="preserve">          4 </w:t>
            </w:r>
          </w:p>
        </w:tc>
        <w:tc>
          <w:tcPr>
            <w:tcW w:w="3115" w:type="dxa"/>
            <w:tcBorders>
              <w:top w:val="dotted" w:sz="4" w:space="0" w:color="auto"/>
              <w:left w:val="dotted" w:sz="4" w:space="0" w:color="auto"/>
              <w:bottom w:val="dotted" w:sz="4" w:space="0" w:color="auto"/>
            </w:tcBorders>
            <w:shd w:val="clear" w:color="auto" w:fill="auto"/>
          </w:tcPr>
          <w:p w14:paraId="75A265A5" w14:textId="77777777" w:rsidR="008E2C20" w:rsidRPr="007010EF" w:rsidRDefault="008E2C20" w:rsidP="008013AC">
            <w:pPr>
              <w:spacing w:after="0" w:line="240" w:lineRule="auto"/>
              <w:jc w:val="right"/>
            </w:pPr>
            <w:r w:rsidRPr="007010EF">
              <w:t xml:space="preserve">23,186      (20·29%)      </w:t>
            </w:r>
          </w:p>
        </w:tc>
      </w:tr>
      <w:tr w:rsidR="008E2C20" w:rsidRPr="007010EF" w14:paraId="59509EC5" w14:textId="77777777" w:rsidTr="008013AC">
        <w:tc>
          <w:tcPr>
            <w:tcW w:w="5311" w:type="dxa"/>
            <w:tcBorders>
              <w:top w:val="dotted" w:sz="4" w:space="0" w:color="auto"/>
              <w:bottom w:val="dotted" w:sz="4" w:space="0" w:color="auto"/>
              <w:right w:val="dotted" w:sz="4" w:space="0" w:color="auto"/>
            </w:tcBorders>
            <w:shd w:val="clear" w:color="auto" w:fill="auto"/>
          </w:tcPr>
          <w:p w14:paraId="2D725C65" w14:textId="77777777" w:rsidR="008E2C20" w:rsidRPr="007010EF" w:rsidRDefault="008E2C20" w:rsidP="008013AC">
            <w:pPr>
              <w:spacing w:after="0" w:line="240" w:lineRule="auto"/>
              <w:jc w:val="right"/>
            </w:pPr>
            <w:r w:rsidRPr="007010EF">
              <w:t xml:space="preserve">          5 (most deprived)</w:t>
            </w:r>
          </w:p>
        </w:tc>
        <w:tc>
          <w:tcPr>
            <w:tcW w:w="3115" w:type="dxa"/>
            <w:tcBorders>
              <w:top w:val="dotted" w:sz="4" w:space="0" w:color="auto"/>
              <w:left w:val="dotted" w:sz="4" w:space="0" w:color="auto"/>
              <w:bottom w:val="dotted" w:sz="4" w:space="0" w:color="auto"/>
            </w:tcBorders>
            <w:shd w:val="clear" w:color="auto" w:fill="auto"/>
          </w:tcPr>
          <w:p w14:paraId="174F53DA" w14:textId="77777777" w:rsidR="008E2C20" w:rsidRPr="007010EF" w:rsidRDefault="008E2C20" w:rsidP="008013AC">
            <w:pPr>
              <w:spacing w:after="0" w:line="240" w:lineRule="auto"/>
              <w:jc w:val="right"/>
            </w:pPr>
            <w:r w:rsidRPr="007010EF">
              <w:t>21,994      (19·25%)</w:t>
            </w:r>
          </w:p>
        </w:tc>
      </w:tr>
      <w:tr w:rsidR="008E2C20" w:rsidRPr="007010EF" w14:paraId="0ACF2BE4" w14:textId="77777777" w:rsidTr="008013AC">
        <w:tc>
          <w:tcPr>
            <w:tcW w:w="5311" w:type="dxa"/>
            <w:tcBorders>
              <w:top w:val="dotted" w:sz="4" w:space="0" w:color="auto"/>
              <w:bottom w:val="dotted" w:sz="4" w:space="0" w:color="auto"/>
              <w:right w:val="dotted" w:sz="4" w:space="0" w:color="auto"/>
            </w:tcBorders>
            <w:shd w:val="clear" w:color="auto" w:fill="auto"/>
          </w:tcPr>
          <w:p w14:paraId="04E7DDD6" w14:textId="77777777" w:rsidR="008E2C20" w:rsidRPr="007010EF" w:rsidRDefault="008E2C20" w:rsidP="008013AC">
            <w:pPr>
              <w:spacing w:after="0" w:line="240" w:lineRule="auto"/>
              <w:jc w:val="right"/>
            </w:pPr>
            <w:r w:rsidRPr="007010EF">
              <w:t>Not linked to IMD</w:t>
            </w:r>
          </w:p>
        </w:tc>
        <w:tc>
          <w:tcPr>
            <w:tcW w:w="3115" w:type="dxa"/>
            <w:tcBorders>
              <w:top w:val="dotted" w:sz="4" w:space="0" w:color="auto"/>
              <w:left w:val="dotted" w:sz="4" w:space="0" w:color="auto"/>
              <w:bottom w:val="dotted" w:sz="4" w:space="0" w:color="auto"/>
            </w:tcBorders>
            <w:shd w:val="clear" w:color="auto" w:fill="auto"/>
          </w:tcPr>
          <w:p w14:paraId="4E360E4B" w14:textId="77777777" w:rsidR="008E2C20" w:rsidRPr="007010EF" w:rsidRDefault="008E2C20" w:rsidP="008013AC">
            <w:pPr>
              <w:spacing w:after="0" w:line="240" w:lineRule="auto"/>
              <w:jc w:val="right"/>
            </w:pPr>
            <w:r w:rsidRPr="007010EF">
              <w:t>68        (0·06%)</w:t>
            </w:r>
          </w:p>
        </w:tc>
      </w:tr>
      <w:tr w:rsidR="008E2C20" w:rsidRPr="007010EF" w14:paraId="63CF49C9" w14:textId="77777777" w:rsidTr="008013AC">
        <w:tc>
          <w:tcPr>
            <w:tcW w:w="5311" w:type="dxa"/>
            <w:tcBorders>
              <w:top w:val="dotted" w:sz="4" w:space="0" w:color="auto"/>
              <w:bottom w:val="dotted" w:sz="4" w:space="0" w:color="auto"/>
              <w:right w:val="dotted" w:sz="4" w:space="0" w:color="auto"/>
            </w:tcBorders>
            <w:shd w:val="clear" w:color="auto" w:fill="auto"/>
          </w:tcPr>
          <w:p w14:paraId="48D378BC" w14:textId="77777777" w:rsidR="008E2C20" w:rsidRPr="007010EF" w:rsidRDefault="008E2C20" w:rsidP="008013AC">
            <w:pPr>
              <w:spacing w:after="0" w:line="240" w:lineRule="auto"/>
              <w:rPr>
                <w:b/>
              </w:rPr>
            </w:pPr>
            <w:r w:rsidRPr="007010EF">
              <w:rPr>
                <w:b/>
              </w:rPr>
              <w:t xml:space="preserve">Previous response failures </w:t>
            </w:r>
            <w:r w:rsidRPr="007010EF">
              <w:rPr>
                <w:vertAlign w:val="superscript"/>
              </w:rPr>
              <w:t>e</w:t>
            </w:r>
            <w:r w:rsidRPr="007010EF">
              <w:rPr>
                <w:b/>
              </w:rPr>
              <w:t xml:space="preserve"> in last 12 months</w:t>
            </w:r>
          </w:p>
        </w:tc>
        <w:tc>
          <w:tcPr>
            <w:tcW w:w="3115" w:type="dxa"/>
            <w:tcBorders>
              <w:top w:val="dotted" w:sz="4" w:space="0" w:color="auto"/>
              <w:left w:val="dotted" w:sz="4" w:space="0" w:color="auto"/>
              <w:bottom w:val="dotted" w:sz="4" w:space="0" w:color="auto"/>
            </w:tcBorders>
            <w:shd w:val="clear" w:color="auto" w:fill="auto"/>
          </w:tcPr>
          <w:p w14:paraId="73CB92E5" w14:textId="77777777" w:rsidR="008E2C20" w:rsidRPr="007010EF" w:rsidRDefault="008E2C20" w:rsidP="008013AC">
            <w:pPr>
              <w:spacing w:after="0" w:line="240" w:lineRule="auto"/>
              <w:jc w:val="right"/>
            </w:pPr>
          </w:p>
        </w:tc>
      </w:tr>
      <w:tr w:rsidR="008E2C20" w:rsidRPr="007010EF" w14:paraId="51D24CEC" w14:textId="77777777" w:rsidTr="008013AC">
        <w:tc>
          <w:tcPr>
            <w:tcW w:w="5311" w:type="dxa"/>
            <w:tcBorders>
              <w:top w:val="dotted" w:sz="4" w:space="0" w:color="auto"/>
              <w:bottom w:val="dotted" w:sz="4" w:space="0" w:color="auto"/>
              <w:right w:val="dotted" w:sz="4" w:space="0" w:color="auto"/>
            </w:tcBorders>
            <w:shd w:val="clear" w:color="auto" w:fill="auto"/>
          </w:tcPr>
          <w:p w14:paraId="224E81C2" w14:textId="77777777" w:rsidR="008E2C20" w:rsidRPr="007010EF" w:rsidRDefault="008E2C20" w:rsidP="008013AC">
            <w:pPr>
              <w:spacing w:after="0" w:line="240" w:lineRule="auto"/>
              <w:jc w:val="right"/>
            </w:pPr>
            <w:r w:rsidRPr="007010EF">
              <w:t>None</w:t>
            </w:r>
          </w:p>
        </w:tc>
        <w:tc>
          <w:tcPr>
            <w:tcW w:w="3115" w:type="dxa"/>
            <w:tcBorders>
              <w:top w:val="dotted" w:sz="4" w:space="0" w:color="auto"/>
              <w:left w:val="dotted" w:sz="4" w:space="0" w:color="auto"/>
              <w:bottom w:val="dotted" w:sz="4" w:space="0" w:color="auto"/>
            </w:tcBorders>
            <w:shd w:val="clear" w:color="auto" w:fill="auto"/>
          </w:tcPr>
          <w:p w14:paraId="38D4ABDF" w14:textId="77777777" w:rsidR="008E2C20" w:rsidRPr="007010EF" w:rsidRDefault="008E2C20" w:rsidP="008013AC">
            <w:pPr>
              <w:spacing w:after="0" w:line="240" w:lineRule="auto"/>
              <w:jc w:val="right"/>
            </w:pPr>
            <w:r w:rsidRPr="007010EF">
              <w:t xml:space="preserve">111,281      (97·33%)      </w:t>
            </w:r>
          </w:p>
        </w:tc>
      </w:tr>
      <w:tr w:rsidR="008E2C20" w:rsidRPr="007010EF" w14:paraId="60C1A0CF" w14:textId="77777777" w:rsidTr="008013AC">
        <w:tc>
          <w:tcPr>
            <w:tcW w:w="5311" w:type="dxa"/>
            <w:tcBorders>
              <w:top w:val="dotted" w:sz="4" w:space="0" w:color="auto"/>
              <w:bottom w:val="dotted" w:sz="4" w:space="0" w:color="auto"/>
              <w:right w:val="dotted" w:sz="4" w:space="0" w:color="auto"/>
            </w:tcBorders>
            <w:shd w:val="clear" w:color="auto" w:fill="auto"/>
          </w:tcPr>
          <w:p w14:paraId="0BDDDB72" w14:textId="77777777" w:rsidR="008E2C20" w:rsidRPr="007010EF" w:rsidRDefault="008E2C20" w:rsidP="008013AC">
            <w:pPr>
              <w:spacing w:after="0" w:line="240" w:lineRule="auto"/>
              <w:jc w:val="right"/>
            </w:pPr>
            <w:r w:rsidRPr="007010EF">
              <w:t>1</w:t>
            </w:r>
          </w:p>
        </w:tc>
        <w:tc>
          <w:tcPr>
            <w:tcW w:w="3115" w:type="dxa"/>
            <w:tcBorders>
              <w:top w:val="dotted" w:sz="4" w:space="0" w:color="auto"/>
              <w:left w:val="dotted" w:sz="4" w:space="0" w:color="auto"/>
              <w:bottom w:val="dotted" w:sz="4" w:space="0" w:color="auto"/>
            </w:tcBorders>
            <w:shd w:val="clear" w:color="auto" w:fill="auto"/>
          </w:tcPr>
          <w:p w14:paraId="5938527E" w14:textId="77777777" w:rsidR="008E2C20" w:rsidRPr="007010EF" w:rsidRDefault="008E2C20" w:rsidP="008013AC">
            <w:pPr>
              <w:spacing w:after="0" w:line="240" w:lineRule="auto"/>
              <w:jc w:val="right"/>
            </w:pPr>
            <w:r w:rsidRPr="007010EF">
              <w:t xml:space="preserve">        3,011        (2·63%)       </w:t>
            </w:r>
          </w:p>
        </w:tc>
      </w:tr>
      <w:tr w:rsidR="008E2C20" w:rsidRPr="007010EF" w14:paraId="13F43946" w14:textId="77777777" w:rsidTr="008013AC">
        <w:tc>
          <w:tcPr>
            <w:tcW w:w="5311" w:type="dxa"/>
            <w:tcBorders>
              <w:top w:val="dotted" w:sz="4" w:space="0" w:color="auto"/>
              <w:bottom w:val="dotted" w:sz="4" w:space="0" w:color="auto"/>
              <w:right w:val="dotted" w:sz="4" w:space="0" w:color="auto"/>
            </w:tcBorders>
            <w:shd w:val="clear" w:color="auto" w:fill="auto"/>
          </w:tcPr>
          <w:p w14:paraId="7F431AC2" w14:textId="77777777" w:rsidR="008E2C20" w:rsidRPr="007010EF" w:rsidRDefault="008E2C20" w:rsidP="008013AC">
            <w:pPr>
              <w:spacing w:after="0" w:line="240" w:lineRule="auto"/>
              <w:jc w:val="right"/>
            </w:pPr>
            <w:r w:rsidRPr="007010EF">
              <w:t>2</w:t>
            </w:r>
          </w:p>
        </w:tc>
        <w:tc>
          <w:tcPr>
            <w:tcW w:w="3115" w:type="dxa"/>
            <w:tcBorders>
              <w:top w:val="dotted" w:sz="4" w:space="0" w:color="auto"/>
              <w:left w:val="dotted" w:sz="4" w:space="0" w:color="auto"/>
              <w:bottom w:val="dotted" w:sz="4" w:space="0" w:color="auto"/>
            </w:tcBorders>
            <w:shd w:val="clear" w:color="auto" w:fill="auto"/>
          </w:tcPr>
          <w:p w14:paraId="4C668474" w14:textId="77777777" w:rsidR="008E2C20" w:rsidRPr="007010EF" w:rsidRDefault="008E2C20" w:rsidP="008013AC">
            <w:pPr>
              <w:spacing w:after="0" w:line="240" w:lineRule="auto"/>
              <w:jc w:val="right"/>
            </w:pPr>
            <w:r w:rsidRPr="007010EF">
              <w:t>37        (0·03%)</w:t>
            </w:r>
          </w:p>
        </w:tc>
      </w:tr>
      <w:tr w:rsidR="008E2C20" w:rsidRPr="007010EF" w14:paraId="68461CA5" w14:textId="77777777" w:rsidTr="008013AC">
        <w:tc>
          <w:tcPr>
            <w:tcW w:w="5311" w:type="dxa"/>
            <w:tcBorders>
              <w:top w:val="dotted" w:sz="4" w:space="0" w:color="auto"/>
              <w:bottom w:val="dotted" w:sz="4" w:space="0" w:color="auto"/>
              <w:right w:val="dotted" w:sz="4" w:space="0" w:color="auto"/>
            </w:tcBorders>
            <w:shd w:val="clear" w:color="auto" w:fill="auto"/>
          </w:tcPr>
          <w:p w14:paraId="1B45F1D2" w14:textId="77777777" w:rsidR="008E2C20" w:rsidRPr="007010EF" w:rsidRDefault="008E2C20" w:rsidP="008013AC">
            <w:pPr>
              <w:spacing w:after="0" w:line="240" w:lineRule="auto"/>
              <w:rPr>
                <w:b/>
              </w:rPr>
            </w:pPr>
            <w:r w:rsidRPr="007010EF">
              <w:rPr>
                <w:b/>
              </w:rPr>
              <w:t>Previous RTI consultations in last 12 months (median, IQR)</w:t>
            </w:r>
          </w:p>
        </w:tc>
        <w:tc>
          <w:tcPr>
            <w:tcW w:w="3115" w:type="dxa"/>
            <w:tcBorders>
              <w:top w:val="dotted" w:sz="4" w:space="0" w:color="auto"/>
              <w:left w:val="dotted" w:sz="4" w:space="0" w:color="auto"/>
              <w:bottom w:val="dotted" w:sz="4" w:space="0" w:color="auto"/>
            </w:tcBorders>
            <w:shd w:val="clear" w:color="auto" w:fill="auto"/>
          </w:tcPr>
          <w:p w14:paraId="655AD263" w14:textId="77777777" w:rsidR="008E2C20" w:rsidRPr="007010EF" w:rsidRDefault="008E2C20" w:rsidP="008013AC">
            <w:pPr>
              <w:spacing w:after="0" w:line="240" w:lineRule="auto"/>
              <w:jc w:val="right"/>
            </w:pPr>
            <w:r w:rsidRPr="007010EF">
              <w:t>4 (IQR 2-7)</w:t>
            </w:r>
          </w:p>
        </w:tc>
      </w:tr>
      <w:tr w:rsidR="008E2C20" w:rsidRPr="007010EF" w14:paraId="151BBAEA" w14:textId="77777777" w:rsidTr="008013AC">
        <w:trPr>
          <w:trHeight w:val="664"/>
        </w:trPr>
        <w:tc>
          <w:tcPr>
            <w:tcW w:w="5311" w:type="dxa"/>
            <w:tcBorders>
              <w:top w:val="dotted" w:sz="4" w:space="0" w:color="auto"/>
              <w:bottom w:val="dotted" w:sz="4" w:space="0" w:color="auto"/>
              <w:right w:val="dotted" w:sz="4" w:space="0" w:color="auto"/>
            </w:tcBorders>
            <w:shd w:val="clear" w:color="auto" w:fill="auto"/>
          </w:tcPr>
          <w:p w14:paraId="64C5C95F" w14:textId="77777777" w:rsidR="008E2C20" w:rsidRPr="007010EF" w:rsidRDefault="008E2C20" w:rsidP="008013AC">
            <w:pPr>
              <w:spacing w:after="0" w:line="240" w:lineRule="auto"/>
              <w:rPr>
                <w:b/>
              </w:rPr>
            </w:pPr>
            <w:r w:rsidRPr="007010EF">
              <w:rPr>
                <w:b/>
              </w:rPr>
              <w:t>Number of children with an RTI-asso</w:t>
            </w:r>
            <w:r>
              <w:rPr>
                <w:b/>
              </w:rPr>
              <w:t xml:space="preserve">ciated antibiotic prescription </w:t>
            </w:r>
            <w:r w:rsidRPr="007010EF">
              <w:rPr>
                <w:b/>
              </w:rPr>
              <w:t>during the 12 months before the index consultation</w:t>
            </w:r>
          </w:p>
        </w:tc>
        <w:tc>
          <w:tcPr>
            <w:tcW w:w="3115" w:type="dxa"/>
            <w:tcBorders>
              <w:top w:val="dotted" w:sz="4" w:space="0" w:color="auto"/>
              <w:left w:val="dotted" w:sz="4" w:space="0" w:color="auto"/>
              <w:bottom w:val="dotted" w:sz="4" w:space="0" w:color="auto"/>
            </w:tcBorders>
            <w:shd w:val="clear" w:color="auto" w:fill="auto"/>
          </w:tcPr>
          <w:p w14:paraId="12CB1CC7" w14:textId="77777777" w:rsidR="008E2C20" w:rsidRPr="007010EF" w:rsidRDefault="008E2C20" w:rsidP="008013AC">
            <w:pPr>
              <w:spacing w:after="0" w:line="240" w:lineRule="auto"/>
            </w:pPr>
          </w:p>
        </w:tc>
      </w:tr>
      <w:tr w:rsidR="008E2C20" w:rsidRPr="007010EF" w14:paraId="3656D530" w14:textId="77777777" w:rsidTr="008013AC">
        <w:tc>
          <w:tcPr>
            <w:tcW w:w="5311" w:type="dxa"/>
            <w:tcBorders>
              <w:top w:val="dotted" w:sz="4" w:space="0" w:color="auto"/>
              <w:bottom w:val="dotted" w:sz="4" w:space="0" w:color="auto"/>
              <w:right w:val="dotted" w:sz="4" w:space="0" w:color="auto"/>
            </w:tcBorders>
            <w:shd w:val="clear" w:color="auto" w:fill="auto"/>
          </w:tcPr>
          <w:p w14:paraId="63DE5475" w14:textId="77777777" w:rsidR="008E2C20" w:rsidRPr="007010EF" w:rsidRDefault="008E2C20" w:rsidP="008013AC">
            <w:pPr>
              <w:spacing w:after="0" w:line="240" w:lineRule="auto"/>
              <w:jc w:val="right"/>
            </w:pPr>
            <w:r w:rsidRPr="007010EF">
              <w:t>None</w:t>
            </w:r>
          </w:p>
        </w:tc>
        <w:tc>
          <w:tcPr>
            <w:tcW w:w="3115" w:type="dxa"/>
            <w:tcBorders>
              <w:top w:val="dotted" w:sz="4" w:space="0" w:color="auto"/>
              <w:left w:val="dotted" w:sz="4" w:space="0" w:color="auto"/>
              <w:bottom w:val="dotted" w:sz="4" w:space="0" w:color="auto"/>
            </w:tcBorders>
            <w:shd w:val="clear" w:color="auto" w:fill="auto"/>
          </w:tcPr>
          <w:p w14:paraId="635B0835" w14:textId="77777777" w:rsidR="008E2C20" w:rsidRPr="007010EF" w:rsidRDefault="008E2C20" w:rsidP="008013AC">
            <w:pPr>
              <w:spacing w:after="0" w:line="240" w:lineRule="auto"/>
              <w:jc w:val="right"/>
            </w:pPr>
            <w:r w:rsidRPr="007010EF">
              <w:t>95,383 (83·43%)</w:t>
            </w:r>
          </w:p>
        </w:tc>
      </w:tr>
      <w:tr w:rsidR="008E2C20" w:rsidRPr="007010EF" w14:paraId="3B340754" w14:textId="77777777" w:rsidTr="008013AC">
        <w:tc>
          <w:tcPr>
            <w:tcW w:w="5311" w:type="dxa"/>
            <w:tcBorders>
              <w:top w:val="dotted" w:sz="4" w:space="0" w:color="auto"/>
              <w:bottom w:val="dotted" w:sz="4" w:space="0" w:color="auto"/>
              <w:right w:val="dotted" w:sz="4" w:space="0" w:color="auto"/>
            </w:tcBorders>
            <w:shd w:val="clear" w:color="auto" w:fill="auto"/>
          </w:tcPr>
          <w:p w14:paraId="3C3D568C" w14:textId="77777777" w:rsidR="008E2C20" w:rsidRPr="007010EF" w:rsidRDefault="008E2C20" w:rsidP="008013AC">
            <w:pPr>
              <w:spacing w:after="0" w:line="240" w:lineRule="auto"/>
              <w:jc w:val="right"/>
            </w:pPr>
            <w:r w:rsidRPr="007010EF">
              <w:t>1</w:t>
            </w:r>
          </w:p>
        </w:tc>
        <w:tc>
          <w:tcPr>
            <w:tcW w:w="3115" w:type="dxa"/>
            <w:tcBorders>
              <w:top w:val="dotted" w:sz="4" w:space="0" w:color="auto"/>
              <w:left w:val="dotted" w:sz="4" w:space="0" w:color="auto"/>
              <w:bottom w:val="dotted" w:sz="4" w:space="0" w:color="auto"/>
            </w:tcBorders>
            <w:shd w:val="clear" w:color="auto" w:fill="auto"/>
          </w:tcPr>
          <w:p w14:paraId="182E16F9" w14:textId="77777777" w:rsidR="008E2C20" w:rsidRPr="007010EF" w:rsidRDefault="008E2C20" w:rsidP="008013AC">
            <w:pPr>
              <w:spacing w:after="0" w:line="240" w:lineRule="auto"/>
              <w:jc w:val="right"/>
            </w:pPr>
            <w:r w:rsidRPr="007010EF">
              <w:t>14,929 (13·06%)</w:t>
            </w:r>
          </w:p>
        </w:tc>
      </w:tr>
      <w:tr w:rsidR="008E2C20" w:rsidRPr="007010EF" w14:paraId="59278BDE" w14:textId="77777777" w:rsidTr="008013AC">
        <w:tc>
          <w:tcPr>
            <w:tcW w:w="5311" w:type="dxa"/>
            <w:tcBorders>
              <w:top w:val="dotted" w:sz="4" w:space="0" w:color="auto"/>
              <w:bottom w:val="single" w:sz="4" w:space="0" w:color="auto"/>
              <w:right w:val="dotted" w:sz="4" w:space="0" w:color="auto"/>
            </w:tcBorders>
            <w:shd w:val="clear" w:color="auto" w:fill="auto"/>
          </w:tcPr>
          <w:p w14:paraId="5609F62F" w14:textId="77777777" w:rsidR="008E2C20" w:rsidRPr="007010EF" w:rsidRDefault="008E2C20" w:rsidP="008013AC">
            <w:pPr>
              <w:spacing w:after="0" w:line="240" w:lineRule="auto"/>
              <w:jc w:val="right"/>
            </w:pPr>
            <w:r w:rsidRPr="007010EF">
              <w:t>≥2</w:t>
            </w:r>
          </w:p>
        </w:tc>
        <w:tc>
          <w:tcPr>
            <w:tcW w:w="3115" w:type="dxa"/>
            <w:tcBorders>
              <w:top w:val="dotted" w:sz="4" w:space="0" w:color="auto"/>
              <w:left w:val="dotted" w:sz="4" w:space="0" w:color="auto"/>
              <w:bottom w:val="single" w:sz="4" w:space="0" w:color="auto"/>
            </w:tcBorders>
            <w:shd w:val="clear" w:color="auto" w:fill="auto"/>
          </w:tcPr>
          <w:p w14:paraId="57364CA7" w14:textId="77777777" w:rsidR="008E2C20" w:rsidRPr="007010EF" w:rsidRDefault="008E2C20" w:rsidP="008013AC">
            <w:pPr>
              <w:spacing w:after="0" w:line="240" w:lineRule="auto"/>
              <w:jc w:val="right"/>
            </w:pPr>
            <w:r w:rsidRPr="007010EF">
              <w:t>4,017   (3·51%)</w:t>
            </w:r>
          </w:p>
        </w:tc>
      </w:tr>
    </w:tbl>
    <w:p w14:paraId="5D2D9E63" w14:textId="77777777" w:rsidR="008E2C20" w:rsidRPr="007010EF" w:rsidRDefault="008E2C20" w:rsidP="008013AC">
      <w:pPr>
        <w:spacing w:after="0" w:line="240" w:lineRule="auto"/>
        <w:rPr>
          <w:sz w:val="18"/>
          <w:szCs w:val="18"/>
          <w:vertAlign w:val="superscript"/>
        </w:rPr>
      </w:pPr>
      <w:r w:rsidRPr="007010EF">
        <w:rPr>
          <w:sz w:val="18"/>
          <w:szCs w:val="18"/>
          <w:vertAlign w:val="superscript"/>
        </w:rPr>
        <w:t xml:space="preserve">a </w:t>
      </w:r>
      <w:r w:rsidRPr="007010EF">
        <w:rPr>
          <w:sz w:val="18"/>
          <w:szCs w:val="18"/>
        </w:rPr>
        <w:t>Seasons: Winter (Dec-Feb); Spring (Mar-May); Summer (Jun-Aug); Autumn (Sept-Nov)</w:t>
      </w:r>
    </w:p>
    <w:p w14:paraId="3A221488" w14:textId="77777777" w:rsidR="008E2C20" w:rsidRPr="007010EF" w:rsidRDefault="008E2C20" w:rsidP="008013AC">
      <w:pPr>
        <w:spacing w:after="0" w:line="240" w:lineRule="auto"/>
        <w:rPr>
          <w:sz w:val="18"/>
          <w:szCs w:val="18"/>
        </w:rPr>
      </w:pPr>
      <w:r w:rsidRPr="007010EF">
        <w:rPr>
          <w:sz w:val="18"/>
          <w:szCs w:val="18"/>
          <w:vertAlign w:val="superscript"/>
        </w:rPr>
        <w:t xml:space="preserve">b </w:t>
      </w:r>
      <w:r w:rsidRPr="007010EF">
        <w:rPr>
          <w:sz w:val="18"/>
          <w:szCs w:val="18"/>
        </w:rPr>
        <w:t xml:space="preserve">URTI: acute sinusitis, sore throat, laryngitis, coughs etc.; LRTI: pneumonia, bronchitis etc.; AOM: acute otitis media; URTI &amp; LRTI: </w:t>
      </w:r>
      <w:r w:rsidRPr="001D43FA">
        <w:rPr>
          <w:sz w:val="18"/>
          <w:szCs w:val="18"/>
        </w:rPr>
        <w:t xml:space="preserve">A small proportion of children had both LRTI and URTI </w:t>
      </w:r>
      <w:r>
        <w:rPr>
          <w:sz w:val="18"/>
          <w:szCs w:val="18"/>
        </w:rPr>
        <w:t xml:space="preserve">READ </w:t>
      </w:r>
      <w:r w:rsidRPr="001D43FA">
        <w:rPr>
          <w:sz w:val="18"/>
          <w:szCs w:val="18"/>
        </w:rPr>
        <w:t>codes on the same consultation day</w:t>
      </w:r>
    </w:p>
    <w:p w14:paraId="487A73B5" w14:textId="77777777" w:rsidR="008E2C20" w:rsidRPr="007010EF" w:rsidRDefault="008E2C20" w:rsidP="008013AC">
      <w:pPr>
        <w:spacing w:after="0" w:line="240" w:lineRule="auto"/>
        <w:rPr>
          <w:sz w:val="18"/>
          <w:szCs w:val="18"/>
        </w:rPr>
      </w:pPr>
      <w:r w:rsidRPr="007010EF">
        <w:rPr>
          <w:vertAlign w:val="superscript"/>
        </w:rPr>
        <w:t>c</w:t>
      </w:r>
      <w:r w:rsidRPr="007010EF">
        <w:t xml:space="preserve"> </w:t>
      </w:r>
      <w:r w:rsidRPr="007010EF">
        <w:rPr>
          <w:sz w:val="18"/>
          <w:szCs w:val="18"/>
        </w:rPr>
        <w:t xml:space="preserve">Complete set of specific vaccinations </w:t>
      </w:r>
      <w:r>
        <w:rPr>
          <w:sz w:val="18"/>
          <w:szCs w:val="18"/>
        </w:rPr>
        <w:t>completed by age 5</w:t>
      </w:r>
    </w:p>
    <w:p w14:paraId="1CB5B97A" w14:textId="77777777" w:rsidR="008E2C20" w:rsidRPr="007010EF" w:rsidRDefault="008E2C20" w:rsidP="008013AC">
      <w:pPr>
        <w:spacing w:after="0" w:line="240" w:lineRule="auto"/>
        <w:rPr>
          <w:sz w:val="18"/>
          <w:szCs w:val="18"/>
        </w:rPr>
      </w:pPr>
      <w:r w:rsidRPr="007010EF">
        <w:rPr>
          <w:sz w:val="18"/>
          <w:szCs w:val="18"/>
          <w:vertAlign w:val="superscript"/>
        </w:rPr>
        <w:t xml:space="preserve">d </w:t>
      </w:r>
      <w:r w:rsidRPr="007010EF">
        <w:rPr>
          <w:sz w:val="18"/>
          <w:szCs w:val="18"/>
        </w:rPr>
        <w:t>Index of Multiple Deprivation (IMD) quintile based on patient-linked IMD scores 2010</w:t>
      </w:r>
    </w:p>
    <w:p w14:paraId="0299452E" w14:textId="77777777" w:rsidR="008E2C20" w:rsidRPr="007010EF" w:rsidRDefault="008E2C20" w:rsidP="008013AC">
      <w:pPr>
        <w:spacing w:after="0" w:line="240" w:lineRule="auto"/>
        <w:rPr>
          <w:sz w:val="18"/>
          <w:szCs w:val="18"/>
        </w:rPr>
      </w:pPr>
      <w:r w:rsidRPr="007010EF">
        <w:rPr>
          <w:sz w:val="18"/>
          <w:szCs w:val="18"/>
          <w:vertAlign w:val="superscript"/>
        </w:rPr>
        <w:t xml:space="preserve">e </w:t>
      </w:r>
      <w:r w:rsidRPr="007010EF">
        <w:rPr>
          <w:color w:val="000000"/>
          <w:sz w:val="18"/>
          <w:szCs w:val="18"/>
        </w:rPr>
        <w:t xml:space="preserve">Response failure is defined as the earliest occurrence of any of:  </w:t>
      </w:r>
    </w:p>
    <w:p w14:paraId="4CFFB09B" w14:textId="77777777" w:rsidR="008E2C20" w:rsidRPr="007010EF" w:rsidRDefault="008E2C20" w:rsidP="008013AC">
      <w:pPr>
        <w:numPr>
          <w:ilvl w:val="0"/>
          <w:numId w:val="7"/>
        </w:numPr>
        <w:spacing w:after="0" w:line="240" w:lineRule="auto"/>
        <w:rPr>
          <w:sz w:val="18"/>
          <w:szCs w:val="18"/>
        </w:rPr>
      </w:pPr>
      <w:r w:rsidRPr="007010EF">
        <w:rPr>
          <w:sz w:val="18"/>
          <w:szCs w:val="18"/>
        </w:rPr>
        <w:t xml:space="preserve">prescription of a subsequent antibiotic within 14 days of the initial antibiotic being prescribed to that child; </w:t>
      </w:r>
    </w:p>
    <w:p w14:paraId="0826FB50" w14:textId="77777777" w:rsidR="008E2C20" w:rsidRPr="007010EF" w:rsidRDefault="008E2C20" w:rsidP="008013AC">
      <w:pPr>
        <w:numPr>
          <w:ilvl w:val="0"/>
          <w:numId w:val="7"/>
        </w:numPr>
        <w:spacing w:after="0" w:line="240" w:lineRule="auto"/>
        <w:rPr>
          <w:sz w:val="18"/>
          <w:szCs w:val="18"/>
        </w:rPr>
      </w:pPr>
      <w:r w:rsidRPr="007010EF">
        <w:rPr>
          <w:sz w:val="18"/>
          <w:szCs w:val="18"/>
        </w:rPr>
        <w:t>GP record of admission with an infection-related diagnostic code</w:t>
      </w:r>
      <w:r w:rsidRPr="007010EF">
        <w:rPr>
          <w:sz w:val="18"/>
          <w:szCs w:val="18"/>
          <w:vertAlign w:val="superscript"/>
        </w:rPr>
        <w:t>†</w:t>
      </w:r>
    </w:p>
    <w:p w14:paraId="5A83DDBD" w14:textId="77777777" w:rsidR="008E2C20" w:rsidRPr="007010EF" w:rsidRDefault="008E2C20" w:rsidP="008013AC">
      <w:pPr>
        <w:numPr>
          <w:ilvl w:val="0"/>
          <w:numId w:val="7"/>
        </w:numPr>
        <w:spacing w:after="0" w:line="240" w:lineRule="auto"/>
        <w:rPr>
          <w:sz w:val="18"/>
          <w:szCs w:val="18"/>
        </w:rPr>
      </w:pPr>
      <w:r w:rsidRPr="007010EF">
        <w:rPr>
          <w:sz w:val="18"/>
          <w:szCs w:val="18"/>
        </w:rPr>
        <w:t>GP record of death with an infection-related diagnostic code</w:t>
      </w:r>
      <w:r w:rsidRPr="007010EF">
        <w:rPr>
          <w:sz w:val="18"/>
          <w:szCs w:val="18"/>
          <w:vertAlign w:val="superscript"/>
        </w:rPr>
        <w:t>†</w:t>
      </w:r>
    </w:p>
    <w:p w14:paraId="0FDE85E9" w14:textId="77777777" w:rsidR="008E2C20" w:rsidRPr="007010EF" w:rsidRDefault="008E2C20" w:rsidP="008013AC">
      <w:pPr>
        <w:numPr>
          <w:ilvl w:val="0"/>
          <w:numId w:val="7"/>
        </w:numPr>
        <w:spacing w:after="0" w:line="240" w:lineRule="auto"/>
        <w:rPr>
          <w:sz w:val="18"/>
          <w:szCs w:val="18"/>
        </w:rPr>
      </w:pPr>
      <w:r w:rsidRPr="007010EF">
        <w:rPr>
          <w:sz w:val="18"/>
          <w:szCs w:val="18"/>
        </w:rPr>
        <w:t>GP record of referral to an infection-related specialist service</w:t>
      </w:r>
      <w:r w:rsidRPr="007010EF">
        <w:rPr>
          <w:sz w:val="18"/>
          <w:szCs w:val="18"/>
          <w:vertAlign w:val="superscript"/>
        </w:rPr>
        <w:t>†</w:t>
      </w:r>
      <w:r w:rsidRPr="007010EF">
        <w:rPr>
          <w:sz w:val="18"/>
          <w:szCs w:val="18"/>
        </w:rPr>
        <w:t xml:space="preserve"> </w:t>
      </w:r>
    </w:p>
    <w:p w14:paraId="66C404D9" w14:textId="77777777" w:rsidR="008E2C20" w:rsidRPr="007010EF" w:rsidRDefault="008E2C20" w:rsidP="008013AC">
      <w:pPr>
        <w:spacing w:after="0" w:line="240" w:lineRule="auto"/>
        <w:ind w:left="720"/>
        <w:rPr>
          <w:sz w:val="18"/>
          <w:szCs w:val="18"/>
        </w:rPr>
      </w:pPr>
      <w:r w:rsidRPr="007010EF">
        <w:rPr>
          <w:sz w:val="18"/>
          <w:szCs w:val="18"/>
        </w:rPr>
        <w:t>(</w:t>
      </w:r>
      <w:r w:rsidRPr="007010EF">
        <w:rPr>
          <w:sz w:val="18"/>
          <w:szCs w:val="18"/>
          <w:vertAlign w:val="superscript"/>
        </w:rPr>
        <w:t>†</w:t>
      </w:r>
      <w:r w:rsidRPr="007010EF">
        <w:rPr>
          <w:sz w:val="18"/>
          <w:szCs w:val="18"/>
        </w:rPr>
        <w:t xml:space="preserve">all within 14 days of antibiotic initiation); or </w:t>
      </w:r>
    </w:p>
    <w:p w14:paraId="08FAE46F" w14:textId="77777777" w:rsidR="008E2C20" w:rsidRDefault="008E2C20" w:rsidP="008013AC">
      <w:pPr>
        <w:numPr>
          <w:ilvl w:val="0"/>
          <w:numId w:val="7"/>
        </w:numPr>
        <w:spacing w:after="0" w:line="240" w:lineRule="auto"/>
        <w:rPr>
          <w:sz w:val="18"/>
          <w:szCs w:val="18"/>
        </w:rPr>
        <w:sectPr w:rsidR="008E2C20" w:rsidSect="008013AC">
          <w:pgSz w:w="11900" w:h="16840"/>
          <w:pgMar w:top="1440" w:right="1440" w:bottom="1440" w:left="1440" w:header="720" w:footer="720" w:gutter="0"/>
          <w:cols w:space="720"/>
          <w:docGrid w:linePitch="360"/>
        </w:sectPr>
      </w:pPr>
      <w:r w:rsidRPr="007010EF">
        <w:rPr>
          <w:sz w:val="18"/>
          <w:szCs w:val="18"/>
        </w:rPr>
        <w:t>GP record of an emergency department visit within three days of antibiotic initiation.</w:t>
      </w:r>
    </w:p>
    <w:p w14:paraId="1C1A2382" w14:textId="77777777" w:rsidR="008E2C20" w:rsidRPr="007010EF" w:rsidRDefault="008E2C20" w:rsidP="008013AC">
      <w:pPr>
        <w:keepNext/>
        <w:spacing w:after="0" w:line="240" w:lineRule="auto"/>
        <w:rPr>
          <w:rFonts w:ascii="Arial" w:eastAsia="MS Mincho" w:hAnsi="Arial"/>
          <w:b/>
          <w:bCs/>
          <w:sz w:val="20"/>
          <w:szCs w:val="20"/>
          <w:lang w:val="en-US" w:eastAsia="ja-JP"/>
        </w:rPr>
      </w:pPr>
      <w:r w:rsidRPr="007010EF">
        <w:rPr>
          <w:rFonts w:ascii="Arial" w:eastAsia="MS Mincho" w:hAnsi="Arial"/>
          <w:b/>
          <w:bCs/>
          <w:sz w:val="20"/>
          <w:szCs w:val="20"/>
          <w:lang w:val="en-US" w:eastAsia="ja-JP"/>
        </w:rPr>
        <w:lastRenderedPageBreak/>
        <w:t xml:space="preserve">Table </w:t>
      </w:r>
      <w:r w:rsidRPr="007010EF">
        <w:rPr>
          <w:rFonts w:ascii="Arial" w:eastAsia="MS Mincho" w:hAnsi="Arial"/>
          <w:b/>
          <w:bCs/>
          <w:sz w:val="20"/>
          <w:szCs w:val="20"/>
          <w:lang w:val="en-US" w:eastAsia="ja-JP"/>
        </w:rPr>
        <w:fldChar w:fldCharType="begin"/>
      </w:r>
      <w:r w:rsidRPr="007010EF">
        <w:rPr>
          <w:rFonts w:ascii="Arial" w:eastAsia="MS Mincho" w:hAnsi="Arial"/>
          <w:b/>
          <w:bCs/>
          <w:sz w:val="20"/>
          <w:szCs w:val="20"/>
          <w:lang w:val="en-US" w:eastAsia="ja-JP"/>
        </w:rPr>
        <w:instrText xml:space="preserve"> SEQ Table \* ARABIC </w:instrText>
      </w:r>
      <w:r w:rsidRPr="007010EF">
        <w:rPr>
          <w:rFonts w:ascii="Arial" w:eastAsia="MS Mincho" w:hAnsi="Arial"/>
          <w:b/>
          <w:bCs/>
          <w:sz w:val="20"/>
          <w:szCs w:val="20"/>
          <w:lang w:val="en-US" w:eastAsia="ja-JP"/>
        </w:rPr>
        <w:fldChar w:fldCharType="separate"/>
      </w:r>
      <w:r w:rsidRPr="007010EF">
        <w:rPr>
          <w:rFonts w:ascii="Arial" w:eastAsia="MS Mincho" w:hAnsi="Arial"/>
          <w:b/>
          <w:bCs/>
          <w:noProof/>
          <w:sz w:val="20"/>
          <w:szCs w:val="20"/>
          <w:lang w:val="en-US" w:eastAsia="ja-JP"/>
        </w:rPr>
        <w:t>2</w:t>
      </w:r>
      <w:r w:rsidRPr="007010EF">
        <w:rPr>
          <w:rFonts w:ascii="Arial" w:eastAsia="MS Mincho" w:hAnsi="Arial"/>
          <w:b/>
          <w:bCs/>
          <w:sz w:val="20"/>
          <w:szCs w:val="20"/>
          <w:lang w:val="en-US" w:eastAsia="ja-JP"/>
        </w:rPr>
        <w:fldChar w:fldCharType="end"/>
      </w:r>
      <w:r w:rsidRPr="007010EF">
        <w:rPr>
          <w:rFonts w:ascii="Arial" w:eastAsia="MS Mincho" w:hAnsi="Arial"/>
          <w:b/>
          <w:bCs/>
          <w:sz w:val="20"/>
          <w:szCs w:val="20"/>
          <w:lang w:val="en-US" w:eastAsia="ja-JP"/>
        </w:rPr>
        <w:t xml:space="preserve">  Antibiotic exposure in the 12 months prior to index consultation and response failure criteria. Values are numbers of children. </w:t>
      </w:r>
    </w:p>
    <w:p w14:paraId="31D0FA02" w14:textId="77777777" w:rsidR="008E2C20" w:rsidRPr="007010EF" w:rsidRDefault="008E2C20" w:rsidP="008013AC">
      <w:pPr>
        <w:rPr>
          <w:lang w:val="en-US" w:eastAsia="ja-JP"/>
        </w:rPr>
      </w:pPr>
    </w:p>
    <w:tbl>
      <w:tblPr>
        <w:tblW w:w="946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4A0" w:firstRow="1" w:lastRow="0" w:firstColumn="1" w:lastColumn="0" w:noHBand="0" w:noVBand="1"/>
      </w:tblPr>
      <w:tblGrid>
        <w:gridCol w:w="1381"/>
        <w:gridCol w:w="1421"/>
        <w:gridCol w:w="1559"/>
        <w:gridCol w:w="1701"/>
        <w:gridCol w:w="1134"/>
        <w:gridCol w:w="1134"/>
        <w:gridCol w:w="1134"/>
      </w:tblGrid>
      <w:tr w:rsidR="008E2C20" w:rsidRPr="007010EF" w14:paraId="4D0F3FA6" w14:textId="77777777" w:rsidTr="008013AC">
        <w:tc>
          <w:tcPr>
            <w:tcW w:w="1381" w:type="dxa"/>
            <w:shd w:val="clear" w:color="auto" w:fill="auto"/>
          </w:tcPr>
          <w:p w14:paraId="3913F904" w14:textId="77777777" w:rsidR="008E2C20" w:rsidRPr="007010EF" w:rsidRDefault="008E2C20" w:rsidP="008013AC">
            <w:pPr>
              <w:spacing w:after="0" w:line="240" w:lineRule="auto"/>
            </w:pPr>
          </w:p>
        </w:tc>
        <w:tc>
          <w:tcPr>
            <w:tcW w:w="8083" w:type="dxa"/>
            <w:gridSpan w:val="6"/>
            <w:shd w:val="clear" w:color="auto" w:fill="auto"/>
          </w:tcPr>
          <w:p w14:paraId="4E44E392" w14:textId="77777777" w:rsidR="008E2C20" w:rsidRPr="007010EF" w:rsidRDefault="008E2C20" w:rsidP="008013AC">
            <w:pPr>
              <w:spacing w:after="0" w:line="240" w:lineRule="auto"/>
              <w:jc w:val="center"/>
              <w:rPr>
                <w:b/>
              </w:rPr>
            </w:pPr>
            <w:r w:rsidRPr="007010EF">
              <w:rPr>
                <w:b/>
              </w:rPr>
              <w:t>Response failure</w:t>
            </w:r>
          </w:p>
          <w:p w14:paraId="43DB3F11" w14:textId="77777777" w:rsidR="008E2C20" w:rsidRPr="007010EF" w:rsidRDefault="008E2C20" w:rsidP="008013AC">
            <w:pPr>
              <w:spacing w:after="0" w:line="240" w:lineRule="auto"/>
              <w:jc w:val="center"/>
              <w:rPr>
                <w:b/>
              </w:rPr>
            </w:pPr>
          </w:p>
        </w:tc>
      </w:tr>
      <w:tr w:rsidR="008E2C20" w:rsidRPr="007010EF" w14:paraId="3191451A" w14:textId="77777777" w:rsidTr="008013AC">
        <w:tc>
          <w:tcPr>
            <w:tcW w:w="1381" w:type="dxa"/>
            <w:shd w:val="clear" w:color="auto" w:fill="auto"/>
          </w:tcPr>
          <w:p w14:paraId="5D09A04A" w14:textId="77777777" w:rsidR="008E2C20" w:rsidRPr="007010EF" w:rsidRDefault="008E2C20" w:rsidP="008013AC">
            <w:pPr>
              <w:spacing w:after="0" w:line="240" w:lineRule="auto"/>
              <w:rPr>
                <w:b/>
              </w:rPr>
            </w:pPr>
            <w:r w:rsidRPr="007010EF">
              <w:rPr>
                <w:b/>
              </w:rPr>
              <w:t>Antibiotic exposure</w:t>
            </w:r>
          </w:p>
        </w:tc>
        <w:tc>
          <w:tcPr>
            <w:tcW w:w="1421" w:type="dxa"/>
            <w:shd w:val="clear" w:color="auto" w:fill="auto"/>
          </w:tcPr>
          <w:p w14:paraId="555720AE" w14:textId="77777777" w:rsidR="008E2C20" w:rsidRPr="007010EF" w:rsidRDefault="008E2C20" w:rsidP="008013AC">
            <w:pPr>
              <w:spacing w:after="0" w:line="240" w:lineRule="auto"/>
            </w:pPr>
            <w:r w:rsidRPr="007010EF">
              <w:t>Referral</w:t>
            </w:r>
          </w:p>
        </w:tc>
        <w:tc>
          <w:tcPr>
            <w:tcW w:w="1559" w:type="dxa"/>
            <w:shd w:val="clear" w:color="auto" w:fill="auto"/>
          </w:tcPr>
          <w:p w14:paraId="0A8D9F56" w14:textId="77777777" w:rsidR="008E2C20" w:rsidRPr="007010EF" w:rsidRDefault="008E2C20" w:rsidP="008013AC">
            <w:pPr>
              <w:spacing w:after="0" w:line="240" w:lineRule="auto"/>
            </w:pPr>
            <w:r w:rsidRPr="007010EF">
              <w:t xml:space="preserve">Second prescription </w:t>
            </w:r>
          </w:p>
        </w:tc>
        <w:tc>
          <w:tcPr>
            <w:tcW w:w="1701" w:type="dxa"/>
            <w:shd w:val="clear" w:color="auto" w:fill="auto"/>
          </w:tcPr>
          <w:p w14:paraId="76265DD6" w14:textId="77777777" w:rsidR="008E2C20" w:rsidRPr="007010EF" w:rsidRDefault="008E2C20" w:rsidP="008013AC">
            <w:pPr>
              <w:spacing w:after="0" w:line="240" w:lineRule="auto"/>
            </w:pPr>
            <w:r w:rsidRPr="007010EF">
              <w:t xml:space="preserve">Emergency department visit </w:t>
            </w:r>
          </w:p>
        </w:tc>
        <w:tc>
          <w:tcPr>
            <w:tcW w:w="1134" w:type="dxa"/>
            <w:shd w:val="clear" w:color="auto" w:fill="auto"/>
          </w:tcPr>
          <w:p w14:paraId="38EAD267" w14:textId="77777777" w:rsidR="008E2C20" w:rsidRPr="007010EF" w:rsidRDefault="008E2C20" w:rsidP="008013AC">
            <w:pPr>
              <w:spacing w:after="0" w:line="240" w:lineRule="auto"/>
            </w:pPr>
            <w:r w:rsidRPr="007010EF">
              <w:t>Hospital admission</w:t>
            </w:r>
          </w:p>
        </w:tc>
        <w:tc>
          <w:tcPr>
            <w:tcW w:w="1134" w:type="dxa"/>
            <w:shd w:val="clear" w:color="auto" w:fill="auto"/>
          </w:tcPr>
          <w:p w14:paraId="23969668" w14:textId="77777777" w:rsidR="008E2C20" w:rsidRPr="007010EF" w:rsidRDefault="008E2C20" w:rsidP="008013AC">
            <w:pPr>
              <w:spacing w:after="0" w:line="240" w:lineRule="auto"/>
            </w:pPr>
            <w:r w:rsidRPr="007010EF">
              <w:t>Death</w:t>
            </w:r>
          </w:p>
        </w:tc>
        <w:tc>
          <w:tcPr>
            <w:tcW w:w="1134" w:type="dxa"/>
            <w:shd w:val="clear" w:color="auto" w:fill="auto"/>
          </w:tcPr>
          <w:p w14:paraId="6314D737" w14:textId="77777777" w:rsidR="008E2C20" w:rsidRPr="007010EF" w:rsidRDefault="008E2C20" w:rsidP="008013AC">
            <w:pPr>
              <w:spacing w:after="0" w:line="240" w:lineRule="auto"/>
              <w:rPr>
                <w:b/>
              </w:rPr>
            </w:pPr>
            <w:r w:rsidRPr="007010EF">
              <w:rPr>
                <w:b/>
              </w:rPr>
              <w:t xml:space="preserve">Total </w:t>
            </w:r>
          </w:p>
        </w:tc>
      </w:tr>
      <w:tr w:rsidR="008E2C20" w:rsidRPr="007010EF" w14:paraId="6EC9F12A" w14:textId="77777777" w:rsidTr="008013AC">
        <w:tc>
          <w:tcPr>
            <w:tcW w:w="1381" w:type="dxa"/>
            <w:shd w:val="clear" w:color="auto" w:fill="auto"/>
          </w:tcPr>
          <w:p w14:paraId="2D14D468" w14:textId="77777777" w:rsidR="008E2C20" w:rsidRPr="007010EF" w:rsidRDefault="008E2C20" w:rsidP="008013AC">
            <w:pPr>
              <w:spacing w:after="0" w:line="240" w:lineRule="auto"/>
              <w:jc w:val="right"/>
            </w:pPr>
            <w:r w:rsidRPr="007010EF">
              <w:t>None</w:t>
            </w:r>
          </w:p>
        </w:tc>
        <w:tc>
          <w:tcPr>
            <w:tcW w:w="1421" w:type="dxa"/>
            <w:shd w:val="clear" w:color="auto" w:fill="auto"/>
          </w:tcPr>
          <w:p w14:paraId="13256B15" w14:textId="77777777" w:rsidR="008E2C20" w:rsidRPr="007010EF" w:rsidRDefault="008E2C20" w:rsidP="008013AC">
            <w:pPr>
              <w:spacing w:after="0" w:line="240" w:lineRule="auto"/>
              <w:jc w:val="right"/>
            </w:pPr>
            <w:r w:rsidRPr="007010EF">
              <w:t>494</w:t>
            </w:r>
            <w:r>
              <w:t xml:space="preserve"> (68%)</w:t>
            </w:r>
            <w:r w:rsidRPr="007010EF">
              <w:t xml:space="preserve"> </w:t>
            </w:r>
          </w:p>
        </w:tc>
        <w:tc>
          <w:tcPr>
            <w:tcW w:w="1559" w:type="dxa"/>
            <w:shd w:val="clear" w:color="auto" w:fill="auto"/>
          </w:tcPr>
          <w:p w14:paraId="1D89BB2E" w14:textId="77777777" w:rsidR="008E2C20" w:rsidRPr="007010EF" w:rsidRDefault="008E2C20" w:rsidP="008013AC">
            <w:pPr>
              <w:spacing w:after="0" w:line="240" w:lineRule="auto"/>
              <w:jc w:val="right"/>
            </w:pPr>
            <w:r w:rsidRPr="007010EF">
              <w:t>268</w:t>
            </w:r>
            <w:r>
              <w:t xml:space="preserve"> (88%)</w:t>
            </w:r>
          </w:p>
        </w:tc>
        <w:tc>
          <w:tcPr>
            <w:tcW w:w="1701" w:type="dxa"/>
            <w:shd w:val="clear" w:color="auto" w:fill="auto"/>
          </w:tcPr>
          <w:p w14:paraId="47DE902E" w14:textId="77777777" w:rsidR="008E2C20" w:rsidRPr="007010EF" w:rsidRDefault="008E2C20" w:rsidP="008013AC">
            <w:pPr>
              <w:spacing w:after="0" w:line="240" w:lineRule="auto"/>
              <w:jc w:val="right"/>
            </w:pPr>
            <w:r w:rsidRPr="007010EF">
              <w:t>209</w:t>
            </w:r>
            <w:r>
              <w:t xml:space="preserve"> (86%)</w:t>
            </w:r>
            <w:r w:rsidRPr="007010EF">
              <w:t xml:space="preserve"> </w:t>
            </w:r>
          </w:p>
        </w:tc>
        <w:tc>
          <w:tcPr>
            <w:tcW w:w="1134" w:type="dxa"/>
            <w:shd w:val="clear" w:color="auto" w:fill="auto"/>
          </w:tcPr>
          <w:p w14:paraId="404DFE97" w14:textId="77777777" w:rsidR="008E2C20" w:rsidRPr="007010EF" w:rsidRDefault="008E2C20" w:rsidP="008013AC">
            <w:pPr>
              <w:spacing w:after="0" w:line="240" w:lineRule="auto"/>
              <w:jc w:val="right"/>
            </w:pPr>
            <w:r w:rsidRPr="007010EF">
              <w:t>78</w:t>
            </w:r>
            <w:r>
              <w:t xml:space="preserve"> (76%)</w:t>
            </w:r>
            <w:r w:rsidRPr="007010EF">
              <w:t xml:space="preserve"> </w:t>
            </w:r>
          </w:p>
        </w:tc>
        <w:tc>
          <w:tcPr>
            <w:tcW w:w="1134" w:type="dxa"/>
            <w:shd w:val="clear" w:color="auto" w:fill="auto"/>
          </w:tcPr>
          <w:p w14:paraId="0B2CC472" w14:textId="77777777" w:rsidR="008E2C20" w:rsidRPr="007010EF" w:rsidRDefault="008E2C20" w:rsidP="008013AC">
            <w:pPr>
              <w:spacing w:after="0" w:line="240" w:lineRule="auto"/>
              <w:jc w:val="right"/>
            </w:pPr>
            <w:r w:rsidRPr="007010EF">
              <w:t xml:space="preserve">1 </w:t>
            </w:r>
            <w:r>
              <w:t>(100%)</w:t>
            </w:r>
          </w:p>
        </w:tc>
        <w:tc>
          <w:tcPr>
            <w:tcW w:w="1134" w:type="dxa"/>
            <w:shd w:val="clear" w:color="auto" w:fill="auto"/>
          </w:tcPr>
          <w:p w14:paraId="4F78F7DE" w14:textId="77777777" w:rsidR="008E2C20" w:rsidRPr="007010EF" w:rsidRDefault="008E2C20" w:rsidP="008013AC">
            <w:pPr>
              <w:spacing w:after="0" w:line="240" w:lineRule="auto"/>
            </w:pPr>
            <w:r w:rsidRPr="007010EF">
              <w:t>1,050</w:t>
            </w:r>
          </w:p>
        </w:tc>
      </w:tr>
      <w:tr w:rsidR="008E2C20" w:rsidRPr="007010EF" w14:paraId="32C82C76" w14:textId="77777777" w:rsidTr="008013AC">
        <w:tc>
          <w:tcPr>
            <w:tcW w:w="1381" w:type="dxa"/>
            <w:shd w:val="clear" w:color="auto" w:fill="auto"/>
          </w:tcPr>
          <w:p w14:paraId="5435B937" w14:textId="77777777" w:rsidR="008E2C20" w:rsidRPr="007010EF" w:rsidRDefault="008E2C20" w:rsidP="008013AC">
            <w:pPr>
              <w:spacing w:after="0" w:line="240" w:lineRule="auto"/>
              <w:jc w:val="right"/>
            </w:pPr>
            <w:r w:rsidRPr="007010EF">
              <w:t>1</w:t>
            </w:r>
          </w:p>
        </w:tc>
        <w:tc>
          <w:tcPr>
            <w:tcW w:w="1421" w:type="dxa"/>
            <w:shd w:val="clear" w:color="auto" w:fill="auto"/>
          </w:tcPr>
          <w:p w14:paraId="2C0F4E9F" w14:textId="77777777" w:rsidR="008E2C20" w:rsidRPr="007010EF" w:rsidRDefault="008E2C20" w:rsidP="008013AC">
            <w:pPr>
              <w:spacing w:after="0" w:line="240" w:lineRule="auto"/>
              <w:jc w:val="right"/>
            </w:pPr>
            <w:r w:rsidRPr="007010EF">
              <w:t>153</w:t>
            </w:r>
            <w:r>
              <w:t xml:space="preserve"> (21%)</w:t>
            </w:r>
            <w:r w:rsidRPr="007010EF">
              <w:t xml:space="preserve"> </w:t>
            </w:r>
          </w:p>
        </w:tc>
        <w:tc>
          <w:tcPr>
            <w:tcW w:w="1559" w:type="dxa"/>
            <w:shd w:val="clear" w:color="auto" w:fill="auto"/>
          </w:tcPr>
          <w:p w14:paraId="6247E2DB" w14:textId="77777777" w:rsidR="008E2C20" w:rsidRPr="007010EF" w:rsidRDefault="008E2C20" w:rsidP="008013AC">
            <w:pPr>
              <w:spacing w:after="0" w:line="240" w:lineRule="auto"/>
              <w:jc w:val="right"/>
            </w:pPr>
            <w:r w:rsidRPr="007010EF">
              <w:t>32</w:t>
            </w:r>
            <w:r>
              <w:t xml:space="preserve"> (10%)</w:t>
            </w:r>
          </w:p>
        </w:tc>
        <w:tc>
          <w:tcPr>
            <w:tcW w:w="1701" w:type="dxa"/>
            <w:shd w:val="clear" w:color="auto" w:fill="auto"/>
          </w:tcPr>
          <w:p w14:paraId="7AD6D521" w14:textId="77777777" w:rsidR="008E2C20" w:rsidRPr="007010EF" w:rsidRDefault="008E2C20" w:rsidP="008013AC">
            <w:pPr>
              <w:spacing w:after="0" w:line="240" w:lineRule="auto"/>
              <w:jc w:val="right"/>
            </w:pPr>
            <w:r w:rsidRPr="007010EF">
              <w:t xml:space="preserve">28 </w:t>
            </w:r>
            <w:r>
              <w:t>(12%)</w:t>
            </w:r>
          </w:p>
        </w:tc>
        <w:tc>
          <w:tcPr>
            <w:tcW w:w="1134" w:type="dxa"/>
            <w:shd w:val="clear" w:color="auto" w:fill="auto"/>
          </w:tcPr>
          <w:p w14:paraId="1EBB5092" w14:textId="77777777" w:rsidR="008E2C20" w:rsidRPr="007010EF" w:rsidRDefault="008E2C20" w:rsidP="008013AC">
            <w:pPr>
              <w:spacing w:after="0" w:line="240" w:lineRule="auto"/>
              <w:jc w:val="right"/>
            </w:pPr>
            <w:r w:rsidRPr="007010EF">
              <w:t>17</w:t>
            </w:r>
            <w:r>
              <w:t xml:space="preserve"> (16%)</w:t>
            </w:r>
            <w:r w:rsidRPr="007010EF">
              <w:t xml:space="preserve"> </w:t>
            </w:r>
          </w:p>
        </w:tc>
        <w:tc>
          <w:tcPr>
            <w:tcW w:w="1134" w:type="dxa"/>
            <w:shd w:val="clear" w:color="auto" w:fill="auto"/>
          </w:tcPr>
          <w:p w14:paraId="130EB501" w14:textId="77777777" w:rsidR="008E2C20" w:rsidRPr="007010EF" w:rsidRDefault="008E2C20" w:rsidP="008013AC">
            <w:pPr>
              <w:spacing w:after="0" w:line="240" w:lineRule="auto"/>
              <w:jc w:val="right"/>
            </w:pPr>
            <w:r w:rsidRPr="007010EF">
              <w:t>0</w:t>
            </w:r>
          </w:p>
        </w:tc>
        <w:tc>
          <w:tcPr>
            <w:tcW w:w="1134" w:type="dxa"/>
            <w:shd w:val="clear" w:color="auto" w:fill="auto"/>
          </w:tcPr>
          <w:p w14:paraId="3642912D" w14:textId="77777777" w:rsidR="008E2C20" w:rsidRPr="007010EF" w:rsidRDefault="008E2C20" w:rsidP="008013AC">
            <w:pPr>
              <w:spacing w:after="0" w:line="240" w:lineRule="auto"/>
            </w:pPr>
            <w:r w:rsidRPr="007010EF">
              <w:t>230</w:t>
            </w:r>
          </w:p>
        </w:tc>
      </w:tr>
      <w:tr w:rsidR="008E2C20" w:rsidRPr="007010EF" w14:paraId="5B903D11" w14:textId="77777777" w:rsidTr="008013AC">
        <w:tc>
          <w:tcPr>
            <w:tcW w:w="1381" w:type="dxa"/>
            <w:shd w:val="clear" w:color="auto" w:fill="auto"/>
          </w:tcPr>
          <w:p w14:paraId="445E7EC9" w14:textId="77777777" w:rsidR="008E2C20" w:rsidRPr="007010EF" w:rsidRDefault="008E2C20" w:rsidP="008013AC">
            <w:pPr>
              <w:spacing w:after="0" w:line="240" w:lineRule="auto"/>
              <w:jc w:val="right"/>
            </w:pPr>
            <w:r w:rsidRPr="007010EF">
              <w:t>≥ 2 antibiotic courses</w:t>
            </w:r>
          </w:p>
        </w:tc>
        <w:tc>
          <w:tcPr>
            <w:tcW w:w="1421" w:type="dxa"/>
            <w:shd w:val="clear" w:color="auto" w:fill="auto"/>
          </w:tcPr>
          <w:p w14:paraId="7832CFA4" w14:textId="77777777" w:rsidR="008E2C20" w:rsidRPr="007010EF" w:rsidRDefault="008E2C20" w:rsidP="008013AC">
            <w:pPr>
              <w:spacing w:after="0" w:line="240" w:lineRule="auto"/>
              <w:jc w:val="right"/>
            </w:pPr>
            <w:r w:rsidRPr="007010EF">
              <w:t>77</w:t>
            </w:r>
            <w:r>
              <w:t xml:space="preserve"> (11%)</w:t>
            </w:r>
            <w:r w:rsidRPr="007010EF">
              <w:t xml:space="preserve"> </w:t>
            </w:r>
          </w:p>
        </w:tc>
        <w:tc>
          <w:tcPr>
            <w:tcW w:w="1559" w:type="dxa"/>
            <w:shd w:val="clear" w:color="auto" w:fill="auto"/>
          </w:tcPr>
          <w:p w14:paraId="5054B2A0" w14:textId="77777777" w:rsidR="008E2C20" w:rsidRPr="007010EF" w:rsidRDefault="008E2C20" w:rsidP="008013AC">
            <w:pPr>
              <w:spacing w:after="0" w:line="240" w:lineRule="auto"/>
              <w:jc w:val="right"/>
            </w:pPr>
            <w:r w:rsidRPr="007010EF">
              <w:t xml:space="preserve">6 </w:t>
            </w:r>
            <w:r>
              <w:t xml:space="preserve"> (2%)</w:t>
            </w:r>
          </w:p>
        </w:tc>
        <w:tc>
          <w:tcPr>
            <w:tcW w:w="1701" w:type="dxa"/>
            <w:shd w:val="clear" w:color="auto" w:fill="auto"/>
          </w:tcPr>
          <w:p w14:paraId="5C557B44" w14:textId="77777777" w:rsidR="008E2C20" w:rsidRPr="007010EF" w:rsidRDefault="008E2C20" w:rsidP="008013AC">
            <w:pPr>
              <w:spacing w:after="0" w:line="240" w:lineRule="auto"/>
              <w:jc w:val="right"/>
            </w:pPr>
            <w:r w:rsidRPr="007010EF">
              <w:t>6</w:t>
            </w:r>
            <w:r>
              <w:t xml:space="preserve"> (2%)</w:t>
            </w:r>
            <w:r w:rsidRPr="007010EF">
              <w:t xml:space="preserve"> </w:t>
            </w:r>
          </w:p>
        </w:tc>
        <w:tc>
          <w:tcPr>
            <w:tcW w:w="1134" w:type="dxa"/>
            <w:shd w:val="clear" w:color="auto" w:fill="auto"/>
          </w:tcPr>
          <w:p w14:paraId="5666C30F" w14:textId="77777777" w:rsidR="008E2C20" w:rsidRPr="007010EF" w:rsidRDefault="008E2C20" w:rsidP="008013AC">
            <w:pPr>
              <w:spacing w:after="0" w:line="240" w:lineRule="auto"/>
              <w:jc w:val="right"/>
            </w:pPr>
            <w:r w:rsidRPr="007010EF">
              <w:t>8</w:t>
            </w:r>
            <w:r>
              <w:t xml:space="preserve"> (8%)</w:t>
            </w:r>
            <w:r w:rsidRPr="007010EF">
              <w:t xml:space="preserve"> </w:t>
            </w:r>
          </w:p>
        </w:tc>
        <w:tc>
          <w:tcPr>
            <w:tcW w:w="1134" w:type="dxa"/>
            <w:shd w:val="clear" w:color="auto" w:fill="auto"/>
          </w:tcPr>
          <w:p w14:paraId="3F55EABE" w14:textId="77777777" w:rsidR="008E2C20" w:rsidRPr="007010EF" w:rsidRDefault="008E2C20" w:rsidP="008013AC">
            <w:pPr>
              <w:spacing w:after="0" w:line="240" w:lineRule="auto"/>
              <w:jc w:val="right"/>
            </w:pPr>
            <w:r w:rsidRPr="007010EF">
              <w:t>0</w:t>
            </w:r>
          </w:p>
        </w:tc>
        <w:tc>
          <w:tcPr>
            <w:tcW w:w="1134" w:type="dxa"/>
            <w:shd w:val="clear" w:color="auto" w:fill="auto"/>
          </w:tcPr>
          <w:p w14:paraId="5E1B6220" w14:textId="77777777" w:rsidR="008E2C20" w:rsidRPr="007010EF" w:rsidRDefault="008E2C20" w:rsidP="008013AC">
            <w:pPr>
              <w:spacing w:after="0" w:line="240" w:lineRule="auto"/>
            </w:pPr>
            <w:r w:rsidRPr="007010EF">
              <w:t>97</w:t>
            </w:r>
          </w:p>
        </w:tc>
      </w:tr>
      <w:tr w:rsidR="008E2C20" w:rsidRPr="007010EF" w14:paraId="27115CBC" w14:textId="77777777" w:rsidTr="008013AC">
        <w:tc>
          <w:tcPr>
            <w:tcW w:w="1381" w:type="dxa"/>
            <w:shd w:val="clear" w:color="auto" w:fill="auto"/>
          </w:tcPr>
          <w:p w14:paraId="47838E0A" w14:textId="77777777" w:rsidR="008E2C20" w:rsidRPr="007010EF" w:rsidRDefault="008E2C20" w:rsidP="008013AC">
            <w:pPr>
              <w:spacing w:after="0" w:line="240" w:lineRule="auto"/>
              <w:jc w:val="right"/>
              <w:rPr>
                <w:b/>
              </w:rPr>
            </w:pPr>
            <w:r w:rsidRPr="007010EF">
              <w:rPr>
                <w:b/>
              </w:rPr>
              <w:t>Total</w:t>
            </w:r>
          </w:p>
        </w:tc>
        <w:tc>
          <w:tcPr>
            <w:tcW w:w="1421" w:type="dxa"/>
            <w:shd w:val="clear" w:color="auto" w:fill="auto"/>
          </w:tcPr>
          <w:p w14:paraId="1CECFFCF" w14:textId="77777777" w:rsidR="008E2C20" w:rsidRPr="007010EF" w:rsidRDefault="008E2C20" w:rsidP="008013AC">
            <w:pPr>
              <w:spacing w:after="0" w:line="240" w:lineRule="auto"/>
              <w:jc w:val="right"/>
              <w:rPr>
                <w:vertAlign w:val="superscript"/>
              </w:rPr>
            </w:pPr>
            <w:r w:rsidRPr="007010EF">
              <w:t>724</w:t>
            </w:r>
            <w:r w:rsidRPr="007010EF">
              <w:rPr>
                <w:vertAlign w:val="superscript"/>
              </w:rPr>
              <w:t>a</w:t>
            </w:r>
          </w:p>
        </w:tc>
        <w:tc>
          <w:tcPr>
            <w:tcW w:w="1559" w:type="dxa"/>
            <w:shd w:val="clear" w:color="auto" w:fill="auto"/>
          </w:tcPr>
          <w:p w14:paraId="4B1E6A6F" w14:textId="77777777" w:rsidR="008E2C20" w:rsidRPr="007010EF" w:rsidRDefault="008E2C20" w:rsidP="008013AC">
            <w:pPr>
              <w:spacing w:after="0" w:line="240" w:lineRule="auto"/>
              <w:jc w:val="right"/>
              <w:rPr>
                <w:vertAlign w:val="superscript"/>
              </w:rPr>
            </w:pPr>
            <w:r w:rsidRPr="007010EF">
              <w:t>306</w:t>
            </w:r>
            <w:r w:rsidRPr="007010EF">
              <w:rPr>
                <w:vertAlign w:val="superscript"/>
              </w:rPr>
              <w:t>b</w:t>
            </w:r>
          </w:p>
        </w:tc>
        <w:tc>
          <w:tcPr>
            <w:tcW w:w="1701" w:type="dxa"/>
            <w:shd w:val="clear" w:color="auto" w:fill="auto"/>
          </w:tcPr>
          <w:p w14:paraId="68E6140A" w14:textId="77777777" w:rsidR="008E2C20" w:rsidRPr="007010EF" w:rsidRDefault="008E2C20" w:rsidP="008013AC">
            <w:pPr>
              <w:spacing w:after="0" w:line="240" w:lineRule="auto"/>
              <w:jc w:val="right"/>
              <w:rPr>
                <w:vertAlign w:val="superscript"/>
              </w:rPr>
            </w:pPr>
            <w:r w:rsidRPr="007010EF">
              <w:t>243</w:t>
            </w:r>
            <w:r w:rsidRPr="007010EF">
              <w:rPr>
                <w:vertAlign w:val="superscript"/>
              </w:rPr>
              <w:t>c</w:t>
            </w:r>
          </w:p>
        </w:tc>
        <w:tc>
          <w:tcPr>
            <w:tcW w:w="1134" w:type="dxa"/>
            <w:shd w:val="clear" w:color="auto" w:fill="auto"/>
          </w:tcPr>
          <w:p w14:paraId="5D9BBD2A" w14:textId="77777777" w:rsidR="008E2C20" w:rsidRPr="007010EF" w:rsidRDefault="008E2C20" w:rsidP="008013AC">
            <w:pPr>
              <w:spacing w:after="0" w:line="240" w:lineRule="auto"/>
              <w:jc w:val="right"/>
              <w:rPr>
                <w:vertAlign w:val="superscript"/>
              </w:rPr>
            </w:pPr>
            <w:r w:rsidRPr="007010EF">
              <w:t>103</w:t>
            </w:r>
            <w:r w:rsidRPr="007010EF">
              <w:rPr>
                <w:vertAlign w:val="superscript"/>
              </w:rPr>
              <w:t>d</w:t>
            </w:r>
          </w:p>
        </w:tc>
        <w:tc>
          <w:tcPr>
            <w:tcW w:w="1134" w:type="dxa"/>
            <w:shd w:val="clear" w:color="auto" w:fill="auto"/>
          </w:tcPr>
          <w:p w14:paraId="3AB4E5ED" w14:textId="77777777" w:rsidR="008E2C20" w:rsidRPr="007010EF" w:rsidRDefault="008E2C20" w:rsidP="008013AC">
            <w:pPr>
              <w:spacing w:after="0" w:line="240" w:lineRule="auto"/>
              <w:jc w:val="right"/>
              <w:rPr>
                <w:vertAlign w:val="superscript"/>
              </w:rPr>
            </w:pPr>
            <w:r w:rsidRPr="007010EF">
              <w:t>1</w:t>
            </w:r>
            <w:r w:rsidRPr="007010EF">
              <w:rPr>
                <w:vertAlign w:val="superscript"/>
              </w:rPr>
              <w:t>e</w:t>
            </w:r>
          </w:p>
        </w:tc>
        <w:tc>
          <w:tcPr>
            <w:tcW w:w="1134" w:type="dxa"/>
            <w:shd w:val="clear" w:color="auto" w:fill="auto"/>
          </w:tcPr>
          <w:p w14:paraId="48E57DA1" w14:textId="77777777" w:rsidR="008E2C20" w:rsidRPr="007010EF" w:rsidRDefault="008E2C20" w:rsidP="008013AC">
            <w:pPr>
              <w:spacing w:after="0" w:line="240" w:lineRule="auto"/>
            </w:pPr>
            <w:r w:rsidRPr="007010EF">
              <w:t>1,377</w:t>
            </w:r>
          </w:p>
        </w:tc>
      </w:tr>
    </w:tbl>
    <w:p w14:paraId="601F6A91" w14:textId="77777777" w:rsidR="008E2C20" w:rsidRPr="007010EF" w:rsidRDefault="008E2C20" w:rsidP="008013AC">
      <w:pPr>
        <w:numPr>
          <w:ilvl w:val="0"/>
          <w:numId w:val="6"/>
        </w:numPr>
        <w:contextualSpacing/>
        <w:rPr>
          <w:sz w:val="18"/>
          <w:szCs w:val="18"/>
        </w:rPr>
      </w:pPr>
      <w:r>
        <w:rPr>
          <w:sz w:val="18"/>
          <w:szCs w:val="18"/>
        </w:rPr>
        <w:t xml:space="preserve">a: Days to referral </w:t>
      </w:r>
      <w:r w:rsidRPr="007010EF">
        <w:rPr>
          <w:sz w:val="18"/>
          <w:szCs w:val="18"/>
        </w:rPr>
        <w:t>(median, IQR) = 2 days (0-7)</w:t>
      </w:r>
    </w:p>
    <w:p w14:paraId="30482773" w14:textId="77777777" w:rsidR="008E2C20" w:rsidRPr="007010EF" w:rsidRDefault="008E2C20" w:rsidP="008013AC">
      <w:pPr>
        <w:numPr>
          <w:ilvl w:val="0"/>
          <w:numId w:val="6"/>
        </w:numPr>
        <w:contextualSpacing/>
        <w:rPr>
          <w:sz w:val="18"/>
          <w:szCs w:val="18"/>
        </w:rPr>
      </w:pPr>
      <w:r w:rsidRPr="007010EF">
        <w:rPr>
          <w:sz w:val="18"/>
          <w:szCs w:val="18"/>
        </w:rPr>
        <w:t>b: Days to second prescription (median, IQR)</w:t>
      </w:r>
      <w:r>
        <w:rPr>
          <w:sz w:val="18"/>
          <w:szCs w:val="18"/>
        </w:rPr>
        <w:t xml:space="preserve"> </w:t>
      </w:r>
      <w:r w:rsidRPr="007010EF">
        <w:rPr>
          <w:sz w:val="18"/>
          <w:szCs w:val="18"/>
        </w:rPr>
        <w:t>=10 days (7-13)</w:t>
      </w:r>
    </w:p>
    <w:p w14:paraId="5B1E3A65" w14:textId="77777777" w:rsidR="008E2C20" w:rsidRPr="007010EF" w:rsidRDefault="008E2C20" w:rsidP="008013AC">
      <w:pPr>
        <w:numPr>
          <w:ilvl w:val="0"/>
          <w:numId w:val="6"/>
        </w:numPr>
        <w:contextualSpacing/>
        <w:rPr>
          <w:sz w:val="18"/>
          <w:szCs w:val="18"/>
        </w:rPr>
      </w:pPr>
      <w:r w:rsidRPr="007010EF">
        <w:rPr>
          <w:sz w:val="18"/>
          <w:szCs w:val="18"/>
        </w:rPr>
        <w:t xml:space="preserve">c: Days to emergency visit (median, IQR) = 2 days (1-7) </w:t>
      </w:r>
    </w:p>
    <w:p w14:paraId="31B329CE" w14:textId="77777777" w:rsidR="008E2C20" w:rsidRPr="007010EF" w:rsidRDefault="008E2C20" w:rsidP="008013AC">
      <w:pPr>
        <w:numPr>
          <w:ilvl w:val="0"/>
          <w:numId w:val="6"/>
        </w:numPr>
        <w:contextualSpacing/>
        <w:rPr>
          <w:sz w:val="18"/>
          <w:szCs w:val="18"/>
        </w:rPr>
      </w:pPr>
      <w:r w:rsidRPr="007010EF">
        <w:rPr>
          <w:sz w:val="18"/>
          <w:szCs w:val="18"/>
        </w:rPr>
        <w:t>d: Days to hospital admission (median, IQR)</w:t>
      </w:r>
      <w:r>
        <w:rPr>
          <w:sz w:val="18"/>
          <w:szCs w:val="18"/>
        </w:rPr>
        <w:t xml:space="preserve"> </w:t>
      </w:r>
      <w:r w:rsidRPr="007010EF">
        <w:rPr>
          <w:sz w:val="18"/>
          <w:szCs w:val="18"/>
        </w:rPr>
        <w:t>=2 days (1-9)</w:t>
      </w:r>
    </w:p>
    <w:p w14:paraId="41579A01" w14:textId="77777777" w:rsidR="008E2C20" w:rsidRDefault="008E2C20" w:rsidP="008013AC">
      <w:pPr>
        <w:numPr>
          <w:ilvl w:val="0"/>
          <w:numId w:val="6"/>
        </w:numPr>
        <w:contextualSpacing/>
        <w:rPr>
          <w:sz w:val="18"/>
          <w:szCs w:val="18"/>
        </w:rPr>
      </w:pPr>
      <w:r w:rsidRPr="007010EF">
        <w:rPr>
          <w:sz w:val="18"/>
          <w:szCs w:val="18"/>
        </w:rPr>
        <w:t>e: Death occurred at day 5</w:t>
      </w:r>
    </w:p>
    <w:p w14:paraId="58BBEDDB" w14:textId="77777777" w:rsidR="008E2C20" w:rsidRDefault="008E2C20" w:rsidP="008013AC">
      <w:pPr>
        <w:spacing w:after="0" w:line="240" w:lineRule="auto"/>
        <w:rPr>
          <w:sz w:val="18"/>
          <w:szCs w:val="18"/>
        </w:rPr>
      </w:pPr>
    </w:p>
    <w:p w14:paraId="3CA0CE10" w14:textId="77777777" w:rsidR="008E2C20" w:rsidRDefault="008E2C20" w:rsidP="008013AC">
      <w:pPr>
        <w:spacing w:after="0" w:line="240" w:lineRule="auto"/>
        <w:rPr>
          <w:sz w:val="18"/>
          <w:szCs w:val="18"/>
        </w:rPr>
        <w:sectPr w:rsidR="008E2C20" w:rsidSect="008013AC">
          <w:pgSz w:w="11900" w:h="16840"/>
          <w:pgMar w:top="1440" w:right="1440" w:bottom="1440" w:left="1440" w:header="720" w:footer="720" w:gutter="0"/>
          <w:cols w:space="720"/>
          <w:docGrid w:linePitch="360"/>
        </w:sectPr>
      </w:pPr>
    </w:p>
    <w:p w14:paraId="000E1E0C" w14:textId="77777777" w:rsidR="008E2C20" w:rsidRPr="007010EF" w:rsidRDefault="008E2C20" w:rsidP="008013AC">
      <w:pPr>
        <w:keepNext/>
        <w:spacing w:after="0" w:line="240" w:lineRule="auto"/>
        <w:rPr>
          <w:rFonts w:ascii="Arial" w:eastAsia="MS Mincho" w:hAnsi="Arial"/>
          <w:b/>
          <w:bCs/>
          <w:sz w:val="20"/>
          <w:szCs w:val="20"/>
          <w:lang w:val="en-US" w:eastAsia="ja-JP"/>
        </w:rPr>
      </w:pPr>
      <w:r w:rsidRPr="007010EF">
        <w:rPr>
          <w:rFonts w:ascii="Arial" w:eastAsia="MS Mincho" w:hAnsi="Arial"/>
          <w:b/>
          <w:bCs/>
          <w:sz w:val="20"/>
          <w:szCs w:val="20"/>
          <w:lang w:val="en-US" w:eastAsia="ja-JP"/>
        </w:rPr>
        <w:lastRenderedPageBreak/>
        <w:t xml:space="preserve">Table </w:t>
      </w:r>
      <w:r w:rsidRPr="007010EF">
        <w:rPr>
          <w:rFonts w:ascii="Arial" w:eastAsia="MS Mincho" w:hAnsi="Arial"/>
          <w:b/>
          <w:bCs/>
          <w:sz w:val="20"/>
          <w:szCs w:val="20"/>
          <w:lang w:val="en-US" w:eastAsia="ja-JP"/>
        </w:rPr>
        <w:fldChar w:fldCharType="begin"/>
      </w:r>
      <w:r w:rsidRPr="007010EF">
        <w:rPr>
          <w:rFonts w:ascii="Arial" w:eastAsia="MS Mincho" w:hAnsi="Arial"/>
          <w:b/>
          <w:bCs/>
          <w:sz w:val="20"/>
          <w:szCs w:val="20"/>
          <w:lang w:val="en-US" w:eastAsia="ja-JP"/>
        </w:rPr>
        <w:instrText xml:space="preserve"> SEQ Table \* ARABIC </w:instrText>
      </w:r>
      <w:r w:rsidRPr="007010EF">
        <w:rPr>
          <w:rFonts w:ascii="Arial" w:eastAsia="MS Mincho" w:hAnsi="Arial"/>
          <w:b/>
          <w:bCs/>
          <w:sz w:val="20"/>
          <w:szCs w:val="20"/>
          <w:lang w:val="en-US" w:eastAsia="ja-JP"/>
        </w:rPr>
        <w:fldChar w:fldCharType="separate"/>
      </w:r>
      <w:r w:rsidRPr="007010EF">
        <w:rPr>
          <w:rFonts w:ascii="Arial" w:eastAsia="MS Mincho" w:hAnsi="Arial"/>
          <w:b/>
          <w:bCs/>
          <w:noProof/>
          <w:sz w:val="20"/>
          <w:szCs w:val="20"/>
          <w:lang w:val="en-US" w:eastAsia="ja-JP"/>
        </w:rPr>
        <w:t>3</w:t>
      </w:r>
      <w:r w:rsidRPr="007010EF">
        <w:rPr>
          <w:rFonts w:ascii="Arial" w:eastAsia="MS Mincho" w:hAnsi="Arial"/>
          <w:b/>
          <w:bCs/>
          <w:sz w:val="20"/>
          <w:szCs w:val="20"/>
          <w:lang w:val="en-US" w:eastAsia="ja-JP"/>
        </w:rPr>
        <w:fldChar w:fldCharType="end"/>
      </w:r>
      <w:r w:rsidRPr="007010EF">
        <w:rPr>
          <w:rFonts w:ascii="Arial" w:eastAsia="MS Mincho" w:hAnsi="Arial"/>
          <w:b/>
          <w:bCs/>
          <w:sz w:val="20"/>
          <w:szCs w:val="20"/>
          <w:lang w:val="en-US" w:eastAsia="ja-JP"/>
        </w:rPr>
        <w:t xml:space="preserve"> Primary analysis: multivariable analysis of the association between RTI-associated antibiotic exposure in the previous year and subsequent “response failure” for acute RTI (n=1,377 response failures)</w:t>
      </w:r>
    </w:p>
    <w:p w14:paraId="38A36ADB" w14:textId="77777777" w:rsidR="008E2C20" w:rsidRPr="007010EF" w:rsidRDefault="008E2C20" w:rsidP="008013AC">
      <w:pPr>
        <w:rPr>
          <w:lang w:val="en-US" w:eastAsia="ja-JP"/>
        </w:rPr>
      </w:pPr>
    </w:p>
    <w:tbl>
      <w:tblPr>
        <w:tblW w:w="0" w:type="auto"/>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shd w:val="clear" w:color="auto" w:fill="FFFFFF"/>
        <w:tblLook w:val="04A0" w:firstRow="1" w:lastRow="0" w:firstColumn="1" w:lastColumn="0" w:noHBand="0" w:noVBand="1"/>
      </w:tblPr>
      <w:tblGrid>
        <w:gridCol w:w="3956"/>
        <w:gridCol w:w="2904"/>
        <w:gridCol w:w="1006"/>
      </w:tblGrid>
      <w:tr w:rsidR="008E2C20" w:rsidRPr="007010EF" w14:paraId="00729F7D" w14:textId="77777777" w:rsidTr="008013AC">
        <w:trPr>
          <w:jc w:val="center"/>
        </w:trPr>
        <w:tc>
          <w:tcPr>
            <w:tcW w:w="3956" w:type="dxa"/>
            <w:shd w:val="clear" w:color="auto" w:fill="FFFFFF"/>
          </w:tcPr>
          <w:p w14:paraId="70472BBF" w14:textId="77777777" w:rsidR="008E2C20" w:rsidRPr="007010EF" w:rsidRDefault="008E2C20" w:rsidP="008013AC">
            <w:pPr>
              <w:spacing w:after="0" w:line="240" w:lineRule="auto"/>
              <w:rPr>
                <w:b/>
              </w:rPr>
            </w:pPr>
            <w:r w:rsidRPr="007010EF">
              <w:rPr>
                <w:b/>
              </w:rPr>
              <w:t>Variable</w:t>
            </w:r>
          </w:p>
        </w:tc>
        <w:tc>
          <w:tcPr>
            <w:tcW w:w="2904" w:type="dxa"/>
            <w:shd w:val="clear" w:color="auto" w:fill="FFFFFF"/>
          </w:tcPr>
          <w:p w14:paraId="75664435" w14:textId="77777777" w:rsidR="008E2C20" w:rsidRPr="007010EF" w:rsidRDefault="008E2C20" w:rsidP="008013AC">
            <w:pPr>
              <w:spacing w:after="0" w:line="240" w:lineRule="auto"/>
              <w:rPr>
                <w:b/>
              </w:rPr>
            </w:pPr>
            <w:r w:rsidRPr="007010EF">
              <w:rPr>
                <w:b/>
              </w:rPr>
              <w:t>Adjusted Odds Ratio [95% CI]</w:t>
            </w:r>
          </w:p>
        </w:tc>
        <w:tc>
          <w:tcPr>
            <w:tcW w:w="1006" w:type="dxa"/>
            <w:shd w:val="clear" w:color="auto" w:fill="FFFFFF"/>
          </w:tcPr>
          <w:p w14:paraId="6F538EFA" w14:textId="77777777" w:rsidR="008E2C20" w:rsidRPr="007010EF" w:rsidRDefault="008E2C20" w:rsidP="008013AC">
            <w:pPr>
              <w:spacing w:after="0" w:line="240" w:lineRule="auto"/>
              <w:rPr>
                <w:b/>
              </w:rPr>
            </w:pPr>
            <w:r w:rsidRPr="007010EF">
              <w:rPr>
                <w:b/>
                <w:i/>
              </w:rPr>
              <w:t>P</w:t>
            </w:r>
            <w:r w:rsidRPr="007010EF">
              <w:rPr>
                <w:b/>
              </w:rPr>
              <w:t xml:space="preserve"> value</w:t>
            </w:r>
          </w:p>
          <w:p w14:paraId="73A0F20C" w14:textId="77777777" w:rsidR="008E2C20" w:rsidRPr="007010EF" w:rsidRDefault="008E2C20" w:rsidP="008013AC">
            <w:pPr>
              <w:spacing w:after="0" w:line="240" w:lineRule="auto"/>
              <w:rPr>
                <w:b/>
              </w:rPr>
            </w:pPr>
          </w:p>
        </w:tc>
      </w:tr>
      <w:tr w:rsidR="008E2C20" w:rsidRPr="007010EF" w14:paraId="4AF04906" w14:textId="77777777" w:rsidTr="008013AC">
        <w:trPr>
          <w:trHeight w:val="477"/>
          <w:jc w:val="center"/>
        </w:trPr>
        <w:tc>
          <w:tcPr>
            <w:tcW w:w="3956" w:type="dxa"/>
            <w:shd w:val="clear" w:color="auto" w:fill="FFFFFF"/>
          </w:tcPr>
          <w:p w14:paraId="485D2BE4" w14:textId="77777777" w:rsidR="008E2C20" w:rsidRPr="007010EF" w:rsidRDefault="008E2C20" w:rsidP="008013AC">
            <w:pPr>
              <w:spacing w:after="0" w:line="240" w:lineRule="auto"/>
            </w:pPr>
            <w:r w:rsidRPr="007010EF">
              <w:t xml:space="preserve">Number </w:t>
            </w:r>
            <w:r>
              <w:t xml:space="preserve">of RTI antibiotic courses </w:t>
            </w:r>
            <w:r w:rsidRPr="007010EF">
              <w:t>in previous year (no. of children</w:t>
            </w:r>
            <w:r>
              <w:t xml:space="preserve"> with response failure</w:t>
            </w:r>
            <w:r w:rsidRPr="007010EF">
              <w:t>)</w:t>
            </w:r>
          </w:p>
        </w:tc>
        <w:tc>
          <w:tcPr>
            <w:tcW w:w="2904" w:type="dxa"/>
            <w:shd w:val="clear" w:color="auto" w:fill="FFFFFF"/>
          </w:tcPr>
          <w:p w14:paraId="3969AD7C" w14:textId="77777777" w:rsidR="008E2C20" w:rsidRPr="007010EF" w:rsidRDefault="008E2C20" w:rsidP="008013AC">
            <w:pPr>
              <w:spacing w:after="0" w:line="240" w:lineRule="auto"/>
              <w:jc w:val="center"/>
            </w:pPr>
          </w:p>
        </w:tc>
        <w:tc>
          <w:tcPr>
            <w:tcW w:w="1006" w:type="dxa"/>
            <w:shd w:val="clear" w:color="auto" w:fill="FFFFFF"/>
          </w:tcPr>
          <w:p w14:paraId="26314351" w14:textId="77777777" w:rsidR="008E2C20" w:rsidRPr="007010EF" w:rsidRDefault="008E2C20" w:rsidP="008013AC">
            <w:pPr>
              <w:spacing w:after="0" w:line="240" w:lineRule="auto"/>
            </w:pPr>
          </w:p>
        </w:tc>
      </w:tr>
      <w:tr w:rsidR="008E2C20" w:rsidRPr="007010EF" w14:paraId="28B524BD" w14:textId="77777777" w:rsidTr="008013AC">
        <w:trPr>
          <w:jc w:val="center"/>
        </w:trPr>
        <w:tc>
          <w:tcPr>
            <w:tcW w:w="3956" w:type="dxa"/>
            <w:shd w:val="clear" w:color="auto" w:fill="FFFFFF"/>
          </w:tcPr>
          <w:p w14:paraId="7F2E59C5" w14:textId="77777777" w:rsidR="008E2C20" w:rsidRPr="007010EF" w:rsidRDefault="008E2C20" w:rsidP="008013AC">
            <w:pPr>
              <w:spacing w:after="0" w:line="240" w:lineRule="auto"/>
              <w:jc w:val="right"/>
            </w:pPr>
            <w:r w:rsidRPr="007010EF">
              <w:t>None (n=1,050)</w:t>
            </w:r>
          </w:p>
        </w:tc>
        <w:tc>
          <w:tcPr>
            <w:tcW w:w="2904" w:type="dxa"/>
            <w:shd w:val="clear" w:color="auto" w:fill="FFFFFF"/>
          </w:tcPr>
          <w:p w14:paraId="3036DEAB" w14:textId="77777777" w:rsidR="008E2C20" w:rsidRPr="007010EF" w:rsidRDefault="008E2C20" w:rsidP="008013AC">
            <w:pPr>
              <w:spacing w:after="0" w:line="240" w:lineRule="auto"/>
              <w:jc w:val="center"/>
            </w:pPr>
            <w:r w:rsidRPr="007010EF">
              <w:t>1 [Reference]</w:t>
            </w:r>
          </w:p>
        </w:tc>
        <w:tc>
          <w:tcPr>
            <w:tcW w:w="1006" w:type="dxa"/>
            <w:shd w:val="clear" w:color="auto" w:fill="FFFFFF"/>
          </w:tcPr>
          <w:p w14:paraId="44090297" w14:textId="77777777" w:rsidR="008E2C20" w:rsidRPr="007010EF" w:rsidRDefault="008E2C20" w:rsidP="008013AC">
            <w:pPr>
              <w:spacing w:after="0" w:line="240" w:lineRule="auto"/>
            </w:pPr>
          </w:p>
        </w:tc>
      </w:tr>
      <w:tr w:rsidR="008E2C20" w:rsidRPr="007010EF" w14:paraId="5FE4C06C" w14:textId="77777777" w:rsidTr="008013AC">
        <w:trPr>
          <w:jc w:val="center"/>
        </w:trPr>
        <w:tc>
          <w:tcPr>
            <w:tcW w:w="3956" w:type="dxa"/>
            <w:shd w:val="clear" w:color="auto" w:fill="FFFFFF"/>
          </w:tcPr>
          <w:p w14:paraId="484F1DE2" w14:textId="77777777" w:rsidR="008E2C20" w:rsidRPr="007010EF" w:rsidRDefault="008E2C20" w:rsidP="008013AC">
            <w:pPr>
              <w:spacing w:after="0" w:line="240" w:lineRule="auto"/>
              <w:jc w:val="right"/>
            </w:pPr>
            <w:r w:rsidRPr="007010EF">
              <w:t>1 antibiotic (n=230)</w:t>
            </w:r>
          </w:p>
        </w:tc>
        <w:tc>
          <w:tcPr>
            <w:tcW w:w="2904" w:type="dxa"/>
            <w:shd w:val="clear" w:color="auto" w:fill="FFFFFF"/>
          </w:tcPr>
          <w:p w14:paraId="1E3A3BEC" w14:textId="77777777" w:rsidR="008E2C20" w:rsidRPr="007010EF" w:rsidRDefault="008E2C20" w:rsidP="008013AC">
            <w:pPr>
              <w:spacing w:after="0" w:line="240" w:lineRule="auto"/>
              <w:jc w:val="center"/>
            </w:pPr>
            <w:r>
              <w:t>1·03 [0·88 to</w:t>
            </w:r>
            <w:r w:rsidRPr="007010EF">
              <w:t>1·21]</w:t>
            </w:r>
          </w:p>
        </w:tc>
        <w:tc>
          <w:tcPr>
            <w:tcW w:w="1006" w:type="dxa"/>
            <w:shd w:val="clear" w:color="auto" w:fill="FFFFFF"/>
          </w:tcPr>
          <w:p w14:paraId="3B1997E3" w14:textId="77777777" w:rsidR="008E2C20" w:rsidRPr="007010EF" w:rsidRDefault="008E2C20" w:rsidP="008013AC">
            <w:pPr>
              <w:spacing w:after="0" w:line="240" w:lineRule="auto"/>
            </w:pPr>
            <w:r w:rsidRPr="007010EF">
              <w:t>0.67</w:t>
            </w:r>
          </w:p>
        </w:tc>
      </w:tr>
      <w:tr w:rsidR="008E2C20" w:rsidRPr="007010EF" w14:paraId="070DE570" w14:textId="77777777" w:rsidTr="008013AC">
        <w:trPr>
          <w:jc w:val="center"/>
        </w:trPr>
        <w:tc>
          <w:tcPr>
            <w:tcW w:w="3956" w:type="dxa"/>
            <w:shd w:val="clear" w:color="auto" w:fill="FFFFFF"/>
          </w:tcPr>
          <w:p w14:paraId="65B6CAB8" w14:textId="77777777" w:rsidR="008E2C20" w:rsidRPr="007010EF" w:rsidRDefault="008E2C20" w:rsidP="008013AC">
            <w:pPr>
              <w:spacing w:after="0" w:line="240" w:lineRule="auto"/>
              <w:jc w:val="right"/>
            </w:pPr>
            <w:r w:rsidRPr="007010EF">
              <w:t>≥2 antibiotics (n=97)</w:t>
            </w:r>
          </w:p>
        </w:tc>
        <w:tc>
          <w:tcPr>
            <w:tcW w:w="2904" w:type="dxa"/>
            <w:shd w:val="clear" w:color="auto" w:fill="FFFFFF"/>
          </w:tcPr>
          <w:p w14:paraId="308BECBB" w14:textId="77777777" w:rsidR="008E2C20" w:rsidRPr="007010EF" w:rsidRDefault="008E2C20" w:rsidP="008013AC">
            <w:pPr>
              <w:spacing w:after="0" w:line="240" w:lineRule="auto"/>
              <w:jc w:val="center"/>
            </w:pPr>
            <w:r>
              <w:t xml:space="preserve">1·32 [1·04 to </w:t>
            </w:r>
            <w:r w:rsidRPr="007010EF">
              <w:t>1·66]</w:t>
            </w:r>
          </w:p>
        </w:tc>
        <w:tc>
          <w:tcPr>
            <w:tcW w:w="1006" w:type="dxa"/>
            <w:shd w:val="clear" w:color="auto" w:fill="FFFFFF"/>
          </w:tcPr>
          <w:p w14:paraId="03058D64" w14:textId="77777777" w:rsidR="008E2C20" w:rsidRPr="007010EF" w:rsidRDefault="008E2C20" w:rsidP="008013AC">
            <w:pPr>
              <w:spacing w:after="0" w:line="240" w:lineRule="auto"/>
            </w:pPr>
            <w:r w:rsidRPr="007010EF">
              <w:t>0.02</w:t>
            </w:r>
          </w:p>
        </w:tc>
      </w:tr>
      <w:tr w:rsidR="008E2C20" w:rsidRPr="007010EF" w14:paraId="527B80AB" w14:textId="77777777" w:rsidTr="008013AC">
        <w:trPr>
          <w:jc w:val="center"/>
        </w:trPr>
        <w:tc>
          <w:tcPr>
            <w:tcW w:w="3956" w:type="dxa"/>
            <w:shd w:val="clear" w:color="auto" w:fill="FFFFFF"/>
          </w:tcPr>
          <w:p w14:paraId="3B279E55" w14:textId="77777777" w:rsidR="008E2C20" w:rsidRPr="007010EF" w:rsidRDefault="008E2C20" w:rsidP="008013AC">
            <w:pPr>
              <w:spacing w:after="0" w:line="240" w:lineRule="auto"/>
            </w:pPr>
            <w:r w:rsidRPr="007010EF">
              <w:t>Age at index consultation (years)</w:t>
            </w:r>
          </w:p>
        </w:tc>
        <w:tc>
          <w:tcPr>
            <w:tcW w:w="2904" w:type="dxa"/>
            <w:shd w:val="clear" w:color="auto" w:fill="FFFFFF"/>
          </w:tcPr>
          <w:p w14:paraId="79F1E687" w14:textId="77777777" w:rsidR="008E2C20" w:rsidRPr="007010EF" w:rsidRDefault="008E2C20" w:rsidP="008013AC">
            <w:pPr>
              <w:spacing w:after="0" w:line="240" w:lineRule="auto"/>
              <w:jc w:val="center"/>
            </w:pPr>
            <w:r w:rsidRPr="007010EF">
              <w:t>0·95 [0·90 to 0.99]</w:t>
            </w:r>
          </w:p>
        </w:tc>
        <w:tc>
          <w:tcPr>
            <w:tcW w:w="1006" w:type="dxa"/>
            <w:shd w:val="clear" w:color="auto" w:fill="FFFFFF"/>
          </w:tcPr>
          <w:p w14:paraId="5025BAC9" w14:textId="77777777" w:rsidR="008E2C20" w:rsidRPr="007010EF" w:rsidRDefault="008E2C20" w:rsidP="008013AC">
            <w:pPr>
              <w:spacing w:after="0" w:line="240" w:lineRule="auto"/>
            </w:pPr>
            <w:r w:rsidRPr="007010EF">
              <w:t>0.018</w:t>
            </w:r>
          </w:p>
        </w:tc>
      </w:tr>
      <w:tr w:rsidR="008E2C20" w:rsidRPr="007010EF" w14:paraId="101CC621" w14:textId="77777777" w:rsidTr="008013AC">
        <w:trPr>
          <w:jc w:val="center"/>
        </w:trPr>
        <w:tc>
          <w:tcPr>
            <w:tcW w:w="3956" w:type="dxa"/>
            <w:shd w:val="clear" w:color="auto" w:fill="FFFFFF"/>
          </w:tcPr>
          <w:p w14:paraId="6703FD2E" w14:textId="77777777" w:rsidR="008E2C20" w:rsidRPr="007010EF" w:rsidRDefault="008E2C20" w:rsidP="008013AC">
            <w:pPr>
              <w:spacing w:after="0" w:line="240" w:lineRule="auto"/>
            </w:pPr>
            <w:r w:rsidRPr="007010EF">
              <w:t xml:space="preserve">Gender                                                    Male </w:t>
            </w:r>
          </w:p>
        </w:tc>
        <w:tc>
          <w:tcPr>
            <w:tcW w:w="2904" w:type="dxa"/>
            <w:shd w:val="clear" w:color="auto" w:fill="FFFFFF"/>
          </w:tcPr>
          <w:p w14:paraId="1F14BE7B" w14:textId="77777777" w:rsidR="008E2C20" w:rsidRPr="007010EF" w:rsidRDefault="008E2C20" w:rsidP="008013AC">
            <w:pPr>
              <w:spacing w:after="0" w:line="240" w:lineRule="auto"/>
              <w:jc w:val="center"/>
            </w:pPr>
            <w:r w:rsidRPr="007010EF">
              <w:t>1 [Reference]</w:t>
            </w:r>
          </w:p>
        </w:tc>
        <w:tc>
          <w:tcPr>
            <w:tcW w:w="1006" w:type="dxa"/>
            <w:shd w:val="clear" w:color="auto" w:fill="FFFFFF"/>
          </w:tcPr>
          <w:p w14:paraId="79DC3651" w14:textId="77777777" w:rsidR="008E2C20" w:rsidRPr="007010EF" w:rsidRDefault="008E2C20" w:rsidP="008013AC">
            <w:pPr>
              <w:spacing w:after="0" w:line="240" w:lineRule="auto"/>
            </w:pPr>
          </w:p>
        </w:tc>
      </w:tr>
      <w:tr w:rsidR="008E2C20" w:rsidRPr="007010EF" w14:paraId="0754F47C" w14:textId="77777777" w:rsidTr="008013AC">
        <w:trPr>
          <w:jc w:val="center"/>
        </w:trPr>
        <w:tc>
          <w:tcPr>
            <w:tcW w:w="3956" w:type="dxa"/>
            <w:shd w:val="clear" w:color="auto" w:fill="FFFFFF"/>
          </w:tcPr>
          <w:p w14:paraId="3AE9877A" w14:textId="77777777" w:rsidR="008E2C20" w:rsidRPr="007010EF" w:rsidRDefault="008E2C20" w:rsidP="008013AC">
            <w:pPr>
              <w:spacing w:after="0" w:line="240" w:lineRule="auto"/>
              <w:jc w:val="right"/>
            </w:pPr>
            <w:r w:rsidRPr="007010EF">
              <w:t xml:space="preserve">Female </w:t>
            </w:r>
          </w:p>
        </w:tc>
        <w:tc>
          <w:tcPr>
            <w:tcW w:w="2904" w:type="dxa"/>
            <w:shd w:val="clear" w:color="auto" w:fill="FFFFFF"/>
          </w:tcPr>
          <w:p w14:paraId="2BFF2299" w14:textId="77777777" w:rsidR="008E2C20" w:rsidRPr="007010EF" w:rsidRDefault="008E2C20" w:rsidP="008013AC">
            <w:pPr>
              <w:spacing w:after="0" w:line="240" w:lineRule="auto"/>
              <w:jc w:val="center"/>
            </w:pPr>
            <w:r w:rsidRPr="007010EF">
              <w:t>0·85 [0·76 to 0·95]</w:t>
            </w:r>
          </w:p>
        </w:tc>
        <w:tc>
          <w:tcPr>
            <w:tcW w:w="1006" w:type="dxa"/>
            <w:shd w:val="clear" w:color="auto" w:fill="FFFFFF"/>
          </w:tcPr>
          <w:p w14:paraId="75DF01CC" w14:textId="77777777" w:rsidR="008E2C20" w:rsidRPr="007010EF" w:rsidRDefault="008E2C20" w:rsidP="008013AC">
            <w:pPr>
              <w:spacing w:after="0" w:line="240" w:lineRule="auto"/>
            </w:pPr>
            <w:r w:rsidRPr="007010EF">
              <w:t>0.003</w:t>
            </w:r>
          </w:p>
        </w:tc>
      </w:tr>
      <w:tr w:rsidR="008E2C20" w:rsidRPr="007010EF" w14:paraId="244EEB79" w14:textId="77777777" w:rsidTr="008013AC">
        <w:trPr>
          <w:jc w:val="center"/>
        </w:trPr>
        <w:tc>
          <w:tcPr>
            <w:tcW w:w="3956" w:type="dxa"/>
            <w:shd w:val="clear" w:color="auto" w:fill="FFFFFF"/>
          </w:tcPr>
          <w:p w14:paraId="6133F8CF" w14:textId="77777777" w:rsidR="008E2C20" w:rsidRPr="007010EF" w:rsidRDefault="008E2C20" w:rsidP="008013AC">
            <w:pPr>
              <w:spacing w:after="0" w:line="240" w:lineRule="auto"/>
            </w:pPr>
            <w:r w:rsidRPr="007010EF">
              <w:t xml:space="preserve">Season </w:t>
            </w:r>
            <w:r w:rsidRPr="007010EF">
              <w:rPr>
                <w:vertAlign w:val="superscript"/>
              </w:rPr>
              <w:t>a</w:t>
            </w:r>
            <w:r w:rsidRPr="007010EF">
              <w:t xml:space="preserve">                                               Winter </w:t>
            </w:r>
          </w:p>
        </w:tc>
        <w:tc>
          <w:tcPr>
            <w:tcW w:w="2904" w:type="dxa"/>
            <w:shd w:val="clear" w:color="auto" w:fill="FFFFFF"/>
          </w:tcPr>
          <w:p w14:paraId="21DD0D25" w14:textId="77777777" w:rsidR="008E2C20" w:rsidRPr="007010EF" w:rsidRDefault="008E2C20" w:rsidP="008013AC">
            <w:pPr>
              <w:spacing w:after="0" w:line="240" w:lineRule="auto"/>
              <w:jc w:val="center"/>
            </w:pPr>
            <w:r w:rsidRPr="007010EF">
              <w:t>1 [Reference]</w:t>
            </w:r>
          </w:p>
        </w:tc>
        <w:tc>
          <w:tcPr>
            <w:tcW w:w="1006" w:type="dxa"/>
            <w:shd w:val="clear" w:color="auto" w:fill="FFFFFF"/>
          </w:tcPr>
          <w:p w14:paraId="384E0628" w14:textId="77777777" w:rsidR="008E2C20" w:rsidRPr="007010EF" w:rsidRDefault="008E2C20" w:rsidP="008013AC">
            <w:pPr>
              <w:spacing w:after="0" w:line="240" w:lineRule="auto"/>
            </w:pPr>
          </w:p>
        </w:tc>
      </w:tr>
      <w:tr w:rsidR="008E2C20" w:rsidRPr="007010EF" w14:paraId="283ACCCB" w14:textId="77777777" w:rsidTr="008013AC">
        <w:trPr>
          <w:jc w:val="center"/>
        </w:trPr>
        <w:tc>
          <w:tcPr>
            <w:tcW w:w="3956" w:type="dxa"/>
            <w:shd w:val="clear" w:color="auto" w:fill="FFFFFF"/>
          </w:tcPr>
          <w:p w14:paraId="02AC4A9E" w14:textId="77777777" w:rsidR="008E2C20" w:rsidRPr="007010EF" w:rsidRDefault="008E2C20" w:rsidP="008013AC">
            <w:pPr>
              <w:spacing w:after="0" w:line="240" w:lineRule="auto"/>
              <w:jc w:val="right"/>
            </w:pPr>
            <w:r w:rsidRPr="007010EF">
              <w:t>Spring</w:t>
            </w:r>
          </w:p>
        </w:tc>
        <w:tc>
          <w:tcPr>
            <w:tcW w:w="2904" w:type="dxa"/>
            <w:shd w:val="clear" w:color="auto" w:fill="FFFFFF"/>
          </w:tcPr>
          <w:p w14:paraId="26B731B8" w14:textId="77777777" w:rsidR="008E2C20" w:rsidRPr="007010EF" w:rsidRDefault="008E2C20" w:rsidP="008013AC">
            <w:pPr>
              <w:spacing w:after="0" w:line="240" w:lineRule="auto"/>
              <w:jc w:val="center"/>
            </w:pPr>
            <w:r w:rsidRPr="007010EF">
              <w:t>1·09 [0·96 to 1·26]</w:t>
            </w:r>
          </w:p>
        </w:tc>
        <w:tc>
          <w:tcPr>
            <w:tcW w:w="1006" w:type="dxa"/>
            <w:shd w:val="clear" w:color="auto" w:fill="FFFFFF"/>
          </w:tcPr>
          <w:p w14:paraId="5CFB1AAA" w14:textId="77777777" w:rsidR="008E2C20" w:rsidRPr="007010EF" w:rsidRDefault="008E2C20" w:rsidP="008013AC">
            <w:pPr>
              <w:spacing w:after="0" w:line="240" w:lineRule="auto"/>
            </w:pPr>
            <w:r w:rsidRPr="007010EF">
              <w:t>0.18</w:t>
            </w:r>
          </w:p>
        </w:tc>
      </w:tr>
      <w:tr w:rsidR="008E2C20" w:rsidRPr="007010EF" w14:paraId="71C3D2E6" w14:textId="77777777" w:rsidTr="008013AC">
        <w:trPr>
          <w:jc w:val="center"/>
        </w:trPr>
        <w:tc>
          <w:tcPr>
            <w:tcW w:w="3956" w:type="dxa"/>
            <w:shd w:val="clear" w:color="auto" w:fill="FFFFFF"/>
          </w:tcPr>
          <w:p w14:paraId="72CF43D6" w14:textId="77777777" w:rsidR="008E2C20" w:rsidRPr="007010EF" w:rsidRDefault="008E2C20" w:rsidP="008013AC">
            <w:pPr>
              <w:spacing w:after="0" w:line="240" w:lineRule="auto"/>
              <w:jc w:val="right"/>
            </w:pPr>
            <w:r w:rsidRPr="007010EF">
              <w:t>Summer</w:t>
            </w:r>
          </w:p>
        </w:tc>
        <w:tc>
          <w:tcPr>
            <w:tcW w:w="2904" w:type="dxa"/>
            <w:shd w:val="clear" w:color="auto" w:fill="FFFFFF"/>
          </w:tcPr>
          <w:p w14:paraId="146A5C82" w14:textId="77777777" w:rsidR="008E2C20" w:rsidRPr="007010EF" w:rsidRDefault="008E2C20" w:rsidP="008013AC">
            <w:pPr>
              <w:spacing w:after="0" w:line="240" w:lineRule="auto"/>
              <w:jc w:val="center"/>
            </w:pPr>
            <w:r w:rsidRPr="007010EF">
              <w:t>1·22 [1·03 to 1·43]</w:t>
            </w:r>
          </w:p>
        </w:tc>
        <w:tc>
          <w:tcPr>
            <w:tcW w:w="1006" w:type="dxa"/>
            <w:shd w:val="clear" w:color="auto" w:fill="FFFFFF"/>
          </w:tcPr>
          <w:p w14:paraId="4F6BB321" w14:textId="77777777" w:rsidR="008E2C20" w:rsidRPr="007010EF" w:rsidRDefault="008E2C20" w:rsidP="008013AC">
            <w:pPr>
              <w:spacing w:after="0" w:line="240" w:lineRule="auto"/>
            </w:pPr>
            <w:r w:rsidRPr="007010EF">
              <w:t>0.02</w:t>
            </w:r>
          </w:p>
        </w:tc>
      </w:tr>
      <w:tr w:rsidR="008E2C20" w:rsidRPr="007010EF" w14:paraId="646E0689" w14:textId="77777777" w:rsidTr="008013AC">
        <w:trPr>
          <w:jc w:val="center"/>
        </w:trPr>
        <w:tc>
          <w:tcPr>
            <w:tcW w:w="3956" w:type="dxa"/>
            <w:shd w:val="clear" w:color="auto" w:fill="FFFFFF"/>
          </w:tcPr>
          <w:p w14:paraId="007EC090" w14:textId="77777777" w:rsidR="008E2C20" w:rsidRPr="007010EF" w:rsidRDefault="008E2C20" w:rsidP="008013AC">
            <w:pPr>
              <w:spacing w:after="0" w:line="240" w:lineRule="auto"/>
              <w:jc w:val="right"/>
            </w:pPr>
            <w:r w:rsidRPr="007010EF">
              <w:t>Autumn</w:t>
            </w:r>
          </w:p>
        </w:tc>
        <w:tc>
          <w:tcPr>
            <w:tcW w:w="2904" w:type="dxa"/>
            <w:shd w:val="clear" w:color="auto" w:fill="FFFFFF"/>
          </w:tcPr>
          <w:p w14:paraId="19AE034C" w14:textId="77777777" w:rsidR="008E2C20" w:rsidRPr="007010EF" w:rsidRDefault="008E2C20" w:rsidP="008013AC">
            <w:pPr>
              <w:spacing w:after="0" w:line="240" w:lineRule="auto"/>
              <w:jc w:val="center"/>
            </w:pPr>
            <w:r w:rsidRPr="007010EF">
              <w:t>1·00 [0·87 to 1·16]</w:t>
            </w:r>
          </w:p>
        </w:tc>
        <w:tc>
          <w:tcPr>
            <w:tcW w:w="1006" w:type="dxa"/>
            <w:shd w:val="clear" w:color="auto" w:fill="FFFFFF"/>
          </w:tcPr>
          <w:p w14:paraId="43C129D1" w14:textId="77777777" w:rsidR="008E2C20" w:rsidRPr="007010EF" w:rsidRDefault="008E2C20" w:rsidP="008013AC">
            <w:pPr>
              <w:spacing w:after="0" w:line="240" w:lineRule="auto"/>
            </w:pPr>
            <w:r w:rsidRPr="007010EF">
              <w:t>0.99</w:t>
            </w:r>
          </w:p>
        </w:tc>
      </w:tr>
      <w:tr w:rsidR="008E2C20" w:rsidRPr="007010EF" w14:paraId="7A550CE4" w14:textId="77777777" w:rsidTr="008013AC">
        <w:trPr>
          <w:jc w:val="center"/>
        </w:trPr>
        <w:tc>
          <w:tcPr>
            <w:tcW w:w="3956" w:type="dxa"/>
            <w:shd w:val="clear" w:color="auto" w:fill="FFFFFF"/>
          </w:tcPr>
          <w:p w14:paraId="6BFDA290" w14:textId="77777777" w:rsidR="008E2C20" w:rsidRPr="007010EF" w:rsidRDefault="008E2C20" w:rsidP="008013AC">
            <w:pPr>
              <w:spacing w:after="0" w:line="240" w:lineRule="auto"/>
            </w:pPr>
            <w:r w:rsidRPr="007010EF">
              <w:t xml:space="preserve">RTI type </w:t>
            </w:r>
            <w:r w:rsidRPr="007010EF">
              <w:rPr>
                <w:vertAlign w:val="superscript"/>
              </w:rPr>
              <w:t>b</w:t>
            </w:r>
            <w:r w:rsidRPr="007010EF">
              <w:t xml:space="preserve">                                                 URTI</w:t>
            </w:r>
          </w:p>
        </w:tc>
        <w:tc>
          <w:tcPr>
            <w:tcW w:w="2904" w:type="dxa"/>
            <w:shd w:val="clear" w:color="auto" w:fill="FFFFFF"/>
          </w:tcPr>
          <w:p w14:paraId="7C52649F" w14:textId="77777777" w:rsidR="008E2C20" w:rsidRPr="007010EF" w:rsidRDefault="008E2C20" w:rsidP="008013AC">
            <w:pPr>
              <w:spacing w:after="0" w:line="240" w:lineRule="auto"/>
              <w:jc w:val="center"/>
            </w:pPr>
            <w:r w:rsidRPr="007010EF">
              <w:t>1 [Reference]</w:t>
            </w:r>
          </w:p>
        </w:tc>
        <w:tc>
          <w:tcPr>
            <w:tcW w:w="1006" w:type="dxa"/>
            <w:shd w:val="clear" w:color="auto" w:fill="FFFFFF"/>
          </w:tcPr>
          <w:p w14:paraId="7FEB20C4" w14:textId="77777777" w:rsidR="008E2C20" w:rsidRPr="007010EF" w:rsidRDefault="008E2C20" w:rsidP="008013AC">
            <w:pPr>
              <w:spacing w:after="0" w:line="240" w:lineRule="auto"/>
            </w:pPr>
          </w:p>
        </w:tc>
      </w:tr>
      <w:tr w:rsidR="008E2C20" w:rsidRPr="007010EF" w14:paraId="2E25D31E" w14:textId="77777777" w:rsidTr="008013AC">
        <w:trPr>
          <w:jc w:val="center"/>
        </w:trPr>
        <w:tc>
          <w:tcPr>
            <w:tcW w:w="3956" w:type="dxa"/>
            <w:shd w:val="clear" w:color="auto" w:fill="FFFFFF"/>
          </w:tcPr>
          <w:p w14:paraId="2BDC7340" w14:textId="77777777" w:rsidR="008E2C20" w:rsidRPr="007010EF" w:rsidRDefault="008E2C20" w:rsidP="008013AC">
            <w:pPr>
              <w:spacing w:after="0" w:line="240" w:lineRule="auto"/>
              <w:jc w:val="right"/>
            </w:pPr>
            <w:r w:rsidRPr="007010EF">
              <w:t>LRTI</w:t>
            </w:r>
          </w:p>
        </w:tc>
        <w:tc>
          <w:tcPr>
            <w:tcW w:w="2904" w:type="dxa"/>
            <w:shd w:val="clear" w:color="auto" w:fill="FFFFFF"/>
          </w:tcPr>
          <w:p w14:paraId="433E31CC" w14:textId="77777777" w:rsidR="008E2C20" w:rsidRPr="007010EF" w:rsidRDefault="008E2C20" w:rsidP="008013AC">
            <w:pPr>
              <w:spacing w:after="0" w:line="240" w:lineRule="auto"/>
              <w:jc w:val="center"/>
            </w:pPr>
            <w:r w:rsidRPr="007010EF">
              <w:t>0·88 [0·75 to 1·04]</w:t>
            </w:r>
          </w:p>
        </w:tc>
        <w:tc>
          <w:tcPr>
            <w:tcW w:w="1006" w:type="dxa"/>
            <w:shd w:val="clear" w:color="auto" w:fill="FFFFFF"/>
          </w:tcPr>
          <w:p w14:paraId="440926E4" w14:textId="77777777" w:rsidR="008E2C20" w:rsidRPr="007010EF" w:rsidRDefault="008E2C20" w:rsidP="008013AC">
            <w:pPr>
              <w:spacing w:after="0" w:line="240" w:lineRule="auto"/>
            </w:pPr>
            <w:r w:rsidRPr="007010EF">
              <w:t>0.13</w:t>
            </w:r>
          </w:p>
        </w:tc>
      </w:tr>
      <w:tr w:rsidR="008E2C20" w:rsidRPr="007010EF" w14:paraId="5FA00563" w14:textId="77777777" w:rsidTr="008013AC">
        <w:trPr>
          <w:jc w:val="center"/>
        </w:trPr>
        <w:tc>
          <w:tcPr>
            <w:tcW w:w="3956" w:type="dxa"/>
            <w:shd w:val="clear" w:color="auto" w:fill="FFFFFF"/>
          </w:tcPr>
          <w:p w14:paraId="7C20FB03" w14:textId="77777777" w:rsidR="008E2C20" w:rsidRPr="007010EF" w:rsidRDefault="008E2C20" w:rsidP="008013AC">
            <w:pPr>
              <w:spacing w:after="0" w:line="240" w:lineRule="auto"/>
              <w:jc w:val="right"/>
            </w:pPr>
            <w:r w:rsidRPr="007010EF">
              <w:t>AOM</w:t>
            </w:r>
          </w:p>
        </w:tc>
        <w:tc>
          <w:tcPr>
            <w:tcW w:w="2904" w:type="dxa"/>
            <w:shd w:val="clear" w:color="auto" w:fill="FFFFFF"/>
          </w:tcPr>
          <w:p w14:paraId="184AAF7B" w14:textId="77777777" w:rsidR="008E2C20" w:rsidRPr="007010EF" w:rsidRDefault="008E2C20" w:rsidP="008013AC">
            <w:pPr>
              <w:spacing w:after="0" w:line="240" w:lineRule="auto"/>
              <w:jc w:val="center"/>
            </w:pPr>
            <w:r w:rsidRPr="007010EF">
              <w:t>1·05 [0·88 to 1·25]</w:t>
            </w:r>
          </w:p>
        </w:tc>
        <w:tc>
          <w:tcPr>
            <w:tcW w:w="1006" w:type="dxa"/>
            <w:shd w:val="clear" w:color="auto" w:fill="FFFFFF"/>
          </w:tcPr>
          <w:p w14:paraId="043AD23C" w14:textId="77777777" w:rsidR="008E2C20" w:rsidRPr="007010EF" w:rsidRDefault="008E2C20" w:rsidP="008013AC">
            <w:pPr>
              <w:spacing w:after="0" w:line="240" w:lineRule="auto"/>
            </w:pPr>
            <w:r w:rsidRPr="007010EF">
              <w:t>0.60</w:t>
            </w:r>
          </w:p>
        </w:tc>
      </w:tr>
      <w:tr w:rsidR="008E2C20" w:rsidRPr="007010EF" w14:paraId="2A9B2FAA" w14:textId="77777777" w:rsidTr="008013AC">
        <w:trPr>
          <w:jc w:val="center"/>
        </w:trPr>
        <w:tc>
          <w:tcPr>
            <w:tcW w:w="3956" w:type="dxa"/>
            <w:shd w:val="clear" w:color="auto" w:fill="FFFFFF"/>
          </w:tcPr>
          <w:p w14:paraId="18FB8CA5" w14:textId="77777777" w:rsidR="008E2C20" w:rsidRPr="007010EF" w:rsidRDefault="008E2C20" w:rsidP="008013AC">
            <w:pPr>
              <w:spacing w:after="0" w:line="240" w:lineRule="auto"/>
              <w:jc w:val="right"/>
            </w:pPr>
            <w:r w:rsidRPr="007010EF">
              <w:t>URTI and LRTI</w:t>
            </w:r>
          </w:p>
        </w:tc>
        <w:tc>
          <w:tcPr>
            <w:tcW w:w="2904" w:type="dxa"/>
            <w:shd w:val="clear" w:color="auto" w:fill="FFFFFF"/>
          </w:tcPr>
          <w:p w14:paraId="054F5C14" w14:textId="77777777" w:rsidR="008E2C20" w:rsidRPr="007010EF" w:rsidRDefault="008E2C20" w:rsidP="008013AC">
            <w:pPr>
              <w:spacing w:after="0" w:line="240" w:lineRule="auto"/>
              <w:jc w:val="center"/>
            </w:pPr>
            <w:r w:rsidRPr="007010EF">
              <w:t>2·37 [1·48 to 3·79]</w:t>
            </w:r>
          </w:p>
        </w:tc>
        <w:tc>
          <w:tcPr>
            <w:tcW w:w="1006" w:type="dxa"/>
            <w:shd w:val="clear" w:color="auto" w:fill="FFFFFF"/>
          </w:tcPr>
          <w:p w14:paraId="508C1F57" w14:textId="77777777" w:rsidR="008E2C20" w:rsidRPr="007010EF" w:rsidRDefault="008E2C20" w:rsidP="008013AC">
            <w:pPr>
              <w:spacing w:after="0" w:line="240" w:lineRule="auto"/>
            </w:pPr>
            <w:r w:rsidRPr="007010EF">
              <w:t>&lt;0.001</w:t>
            </w:r>
          </w:p>
        </w:tc>
      </w:tr>
      <w:tr w:rsidR="008E2C20" w:rsidRPr="007010EF" w14:paraId="3BFE0A28" w14:textId="77777777" w:rsidTr="008013AC">
        <w:trPr>
          <w:jc w:val="center"/>
        </w:trPr>
        <w:tc>
          <w:tcPr>
            <w:tcW w:w="3956" w:type="dxa"/>
            <w:shd w:val="clear" w:color="auto" w:fill="FFFFFF"/>
          </w:tcPr>
          <w:p w14:paraId="1E80452E" w14:textId="77777777" w:rsidR="008E2C20" w:rsidRPr="007010EF" w:rsidRDefault="008E2C20" w:rsidP="008013AC">
            <w:pPr>
              <w:spacing w:after="0" w:line="240" w:lineRule="auto"/>
              <w:jc w:val="right"/>
            </w:pPr>
            <w:r w:rsidRPr="007010EF">
              <w:t xml:space="preserve">Other mix </w:t>
            </w:r>
          </w:p>
        </w:tc>
        <w:tc>
          <w:tcPr>
            <w:tcW w:w="2904" w:type="dxa"/>
            <w:shd w:val="clear" w:color="auto" w:fill="FFFFFF"/>
          </w:tcPr>
          <w:p w14:paraId="39EAC6EF" w14:textId="77777777" w:rsidR="008E2C20" w:rsidRPr="007010EF" w:rsidRDefault="008E2C20" w:rsidP="008013AC">
            <w:pPr>
              <w:spacing w:after="0" w:line="240" w:lineRule="auto"/>
              <w:jc w:val="center"/>
            </w:pPr>
            <w:r w:rsidRPr="007010EF">
              <w:t>0·84 [0·31 to 2·27]</w:t>
            </w:r>
          </w:p>
        </w:tc>
        <w:tc>
          <w:tcPr>
            <w:tcW w:w="1006" w:type="dxa"/>
            <w:shd w:val="clear" w:color="auto" w:fill="FFFFFF"/>
          </w:tcPr>
          <w:p w14:paraId="7EDE94C3" w14:textId="77777777" w:rsidR="008E2C20" w:rsidRPr="007010EF" w:rsidRDefault="008E2C20" w:rsidP="008013AC">
            <w:pPr>
              <w:spacing w:after="0" w:line="240" w:lineRule="auto"/>
            </w:pPr>
            <w:r w:rsidRPr="007010EF">
              <w:t>0.73</w:t>
            </w:r>
          </w:p>
        </w:tc>
      </w:tr>
      <w:tr w:rsidR="008E2C20" w:rsidRPr="007010EF" w14:paraId="08EB2BA9" w14:textId="77777777" w:rsidTr="008013AC">
        <w:trPr>
          <w:jc w:val="center"/>
        </w:trPr>
        <w:tc>
          <w:tcPr>
            <w:tcW w:w="3956" w:type="dxa"/>
            <w:shd w:val="clear" w:color="auto" w:fill="FFFFFF"/>
          </w:tcPr>
          <w:p w14:paraId="1BD86A30" w14:textId="77777777" w:rsidR="008E2C20" w:rsidRPr="007010EF" w:rsidRDefault="008E2C20" w:rsidP="008013AC">
            <w:pPr>
              <w:spacing w:after="0" w:line="240" w:lineRule="auto"/>
            </w:pPr>
            <w:r w:rsidRPr="007010EF">
              <w:t>Comorbidity                                          None</w:t>
            </w:r>
          </w:p>
        </w:tc>
        <w:tc>
          <w:tcPr>
            <w:tcW w:w="2904" w:type="dxa"/>
            <w:shd w:val="clear" w:color="auto" w:fill="FFFFFF"/>
          </w:tcPr>
          <w:p w14:paraId="586E7C1E" w14:textId="77777777" w:rsidR="008E2C20" w:rsidRPr="007010EF" w:rsidRDefault="008E2C20" w:rsidP="008013AC">
            <w:pPr>
              <w:spacing w:after="0" w:line="240" w:lineRule="auto"/>
              <w:jc w:val="center"/>
            </w:pPr>
            <w:r w:rsidRPr="007010EF">
              <w:t>1 [Reference]</w:t>
            </w:r>
          </w:p>
        </w:tc>
        <w:tc>
          <w:tcPr>
            <w:tcW w:w="1006" w:type="dxa"/>
            <w:shd w:val="clear" w:color="auto" w:fill="FFFFFF"/>
          </w:tcPr>
          <w:p w14:paraId="219C6C15" w14:textId="77777777" w:rsidR="008E2C20" w:rsidRPr="007010EF" w:rsidRDefault="008E2C20" w:rsidP="008013AC">
            <w:pPr>
              <w:spacing w:after="0" w:line="240" w:lineRule="auto"/>
            </w:pPr>
          </w:p>
        </w:tc>
      </w:tr>
      <w:tr w:rsidR="008E2C20" w:rsidRPr="007010EF" w14:paraId="01BBA0D0" w14:textId="77777777" w:rsidTr="008013AC">
        <w:trPr>
          <w:jc w:val="center"/>
        </w:trPr>
        <w:tc>
          <w:tcPr>
            <w:tcW w:w="3956" w:type="dxa"/>
            <w:shd w:val="clear" w:color="auto" w:fill="FFFFFF"/>
          </w:tcPr>
          <w:p w14:paraId="40F6B78E" w14:textId="77777777" w:rsidR="008E2C20" w:rsidRPr="007010EF" w:rsidRDefault="008E2C20" w:rsidP="008013AC">
            <w:pPr>
              <w:spacing w:after="0" w:line="240" w:lineRule="auto"/>
              <w:jc w:val="right"/>
            </w:pPr>
            <w:r w:rsidRPr="007010EF">
              <w:t xml:space="preserve">Present </w:t>
            </w:r>
          </w:p>
        </w:tc>
        <w:tc>
          <w:tcPr>
            <w:tcW w:w="2904" w:type="dxa"/>
            <w:shd w:val="clear" w:color="auto" w:fill="FFFFFF"/>
          </w:tcPr>
          <w:p w14:paraId="53EC8F29" w14:textId="77777777" w:rsidR="008E2C20" w:rsidRPr="007010EF" w:rsidRDefault="008E2C20" w:rsidP="008013AC">
            <w:pPr>
              <w:spacing w:after="0" w:line="240" w:lineRule="auto"/>
              <w:jc w:val="center"/>
            </w:pPr>
            <w:r w:rsidRPr="007010EF">
              <w:t>1·20 [0·98 to 1·48]</w:t>
            </w:r>
          </w:p>
        </w:tc>
        <w:tc>
          <w:tcPr>
            <w:tcW w:w="1006" w:type="dxa"/>
            <w:shd w:val="clear" w:color="auto" w:fill="FFFFFF"/>
          </w:tcPr>
          <w:p w14:paraId="353D0A29" w14:textId="77777777" w:rsidR="008E2C20" w:rsidRPr="007010EF" w:rsidRDefault="008E2C20" w:rsidP="008013AC">
            <w:pPr>
              <w:spacing w:after="0" w:line="240" w:lineRule="auto"/>
            </w:pPr>
            <w:r w:rsidRPr="007010EF">
              <w:t>0.08</w:t>
            </w:r>
          </w:p>
        </w:tc>
      </w:tr>
      <w:tr w:rsidR="008E2C20" w:rsidRPr="007010EF" w14:paraId="27C17BDA" w14:textId="77777777" w:rsidTr="008013AC">
        <w:trPr>
          <w:jc w:val="center"/>
        </w:trPr>
        <w:tc>
          <w:tcPr>
            <w:tcW w:w="3956" w:type="dxa"/>
            <w:shd w:val="clear" w:color="auto" w:fill="FFFFFF"/>
          </w:tcPr>
          <w:p w14:paraId="1614FDD8" w14:textId="77777777" w:rsidR="008E2C20" w:rsidRPr="007010EF" w:rsidRDefault="008E2C20" w:rsidP="008013AC">
            <w:pPr>
              <w:spacing w:after="0" w:line="240" w:lineRule="auto"/>
            </w:pPr>
            <w:r w:rsidRPr="007010EF">
              <w:t xml:space="preserve">Antibiotic drug class           </w:t>
            </w:r>
            <w:r>
              <w:t xml:space="preserve"> </w:t>
            </w:r>
            <w:r w:rsidRPr="007010EF">
              <w:t xml:space="preserve"> Cephalosporin</w:t>
            </w:r>
          </w:p>
        </w:tc>
        <w:tc>
          <w:tcPr>
            <w:tcW w:w="2904" w:type="dxa"/>
            <w:shd w:val="clear" w:color="auto" w:fill="FFFFFF"/>
          </w:tcPr>
          <w:p w14:paraId="3E5AF660" w14:textId="77777777" w:rsidR="008E2C20" w:rsidRPr="007010EF" w:rsidRDefault="008E2C20" w:rsidP="008013AC">
            <w:pPr>
              <w:spacing w:after="0" w:line="240" w:lineRule="auto"/>
              <w:jc w:val="center"/>
            </w:pPr>
            <w:r w:rsidRPr="007010EF">
              <w:t>1 [Reference]</w:t>
            </w:r>
          </w:p>
        </w:tc>
        <w:tc>
          <w:tcPr>
            <w:tcW w:w="1006" w:type="dxa"/>
            <w:shd w:val="clear" w:color="auto" w:fill="FFFFFF"/>
          </w:tcPr>
          <w:p w14:paraId="42AAA67A" w14:textId="77777777" w:rsidR="008E2C20" w:rsidRPr="007010EF" w:rsidRDefault="008E2C20" w:rsidP="008013AC">
            <w:pPr>
              <w:spacing w:after="0" w:line="240" w:lineRule="auto"/>
            </w:pPr>
          </w:p>
        </w:tc>
      </w:tr>
      <w:tr w:rsidR="008E2C20" w:rsidRPr="007010EF" w14:paraId="65049CBB" w14:textId="77777777" w:rsidTr="008013AC">
        <w:trPr>
          <w:jc w:val="center"/>
        </w:trPr>
        <w:tc>
          <w:tcPr>
            <w:tcW w:w="3956" w:type="dxa"/>
            <w:shd w:val="clear" w:color="auto" w:fill="FFFFFF"/>
          </w:tcPr>
          <w:p w14:paraId="44B91264" w14:textId="77777777" w:rsidR="008E2C20" w:rsidRPr="007010EF" w:rsidRDefault="008E2C20" w:rsidP="008013AC">
            <w:pPr>
              <w:spacing w:after="0" w:line="240" w:lineRule="auto"/>
              <w:jc w:val="right"/>
            </w:pPr>
            <w:r w:rsidRPr="007010EF">
              <w:t>Macrolides</w:t>
            </w:r>
          </w:p>
        </w:tc>
        <w:tc>
          <w:tcPr>
            <w:tcW w:w="2904" w:type="dxa"/>
            <w:shd w:val="clear" w:color="auto" w:fill="FFFFFF"/>
          </w:tcPr>
          <w:p w14:paraId="0B036903" w14:textId="77777777" w:rsidR="008E2C20" w:rsidRPr="007010EF" w:rsidRDefault="008E2C20" w:rsidP="008013AC">
            <w:pPr>
              <w:spacing w:after="0" w:line="240" w:lineRule="auto"/>
              <w:jc w:val="center"/>
            </w:pPr>
            <w:r w:rsidRPr="007010EF">
              <w:t>0·77 [0·50 to 1·19]</w:t>
            </w:r>
          </w:p>
        </w:tc>
        <w:tc>
          <w:tcPr>
            <w:tcW w:w="1006" w:type="dxa"/>
            <w:shd w:val="clear" w:color="auto" w:fill="FFFFFF"/>
          </w:tcPr>
          <w:p w14:paraId="1CE05409" w14:textId="77777777" w:rsidR="008E2C20" w:rsidRPr="007010EF" w:rsidRDefault="008E2C20" w:rsidP="008013AC">
            <w:pPr>
              <w:spacing w:after="0" w:line="240" w:lineRule="auto"/>
            </w:pPr>
            <w:r w:rsidRPr="007010EF">
              <w:t>0.25</w:t>
            </w:r>
          </w:p>
        </w:tc>
      </w:tr>
      <w:tr w:rsidR="008E2C20" w:rsidRPr="007010EF" w14:paraId="4BE474C0" w14:textId="77777777" w:rsidTr="008013AC">
        <w:trPr>
          <w:jc w:val="center"/>
        </w:trPr>
        <w:tc>
          <w:tcPr>
            <w:tcW w:w="3956" w:type="dxa"/>
            <w:shd w:val="clear" w:color="auto" w:fill="FFFFFF"/>
          </w:tcPr>
          <w:p w14:paraId="7CFDAC5D" w14:textId="77777777" w:rsidR="008E2C20" w:rsidRPr="007010EF" w:rsidRDefault="008E2C20" w:rsidP="008013AC">
            <w:pPr>
              <w:spacing w:after="0" w:line="240" w:lineRule="auto"/>
              <w:jc w:val="right"/>
            </w:pPr>
            <w:r w:rsidRPr="007010EF">
              <w:t>Broad spectrum penicillin</w:t>
            </w:r>
          </w:p>
          <w:p w14:paraId="2ACA6459" w14:textId="77777777" w:rsidR="008E2C20" w:rsidRPr="007010EF" w:rsidRDefault="008E2C20" w:rsidP="008013AC">
            <w:pPr>
              <w:spacing w:after="0" w:line="240" w:lineRule="auto"/>
              <w:jc w:val="right"/>
            </w:pPr>
            <w:r w:rsidRPr="007010EF">
              <w:t>(amoxicillin, co-amoxiclav)</w:t>
            </w:r>
          </w:p>
        </w:tc>
        <w:tc>
          <w:tcPr>
            <w:tcW w:w="2904" w:type="dxa"/>
            <w:shd w:val="clear" w:color="auto" w:fill="FFFFFF"/>
          </w:tcPr>
          <w:p w14:paraId="317867D9" w14:textId="77777777" w:rsidR="008E2C20" w:rsidRPr="007010EF" w:rsidRDefault="008E2C20" w:rsidP="008013AC">
            <w:pPr>
              <w:spacing w:after="0" w:line="240" w:lineRule="auto"/>
              <w:jc w:val="center"/>
            </w:pPr>
            <w:r w:rsidRPr="007010EF">
              <w:t>0·47 [0·30 to 0·71]</w:t>
            </w:r>
          </w:p>
        </w:tc>
        <w:tc>
          <w:tcPr>
            <w:tcW w:w="1006" w:type="dxa"/>
            <w:shd w:val="clear" w:color="auto" w:fill="FFFFFF"/>
          </w:tcPr>
          <w:p w14:paraId="7334CE8A" w14:textId="77777777" w:rsidR="008E2C20" w:rsidRPr="007010EF" w:rsidRDefault="008E2C20" w:rsidP="008013AC">
            <w:pPr>
              <w:spacing w:after="0" w:line="240" w:lineRule="auto"/>
            </w:pPr>
            <w:r w:rsidRPr="007010EF">
              <w:t>0.001</w:t>
            </w:r>
          </w:p>
        </w:tc>
      </w:tr>
      <w:tr w:rsidR="008E2C20" w:rsidRPr="007010EF" w14:paraId="6D80466F" w14:textId="77777777" w:rsidTr="008013AC">
        <w:trPr>
          <w:jc w:val="center"/>
        </w:trPr>
        <w:tc>
          <w:tcPr>
            <w:tcW w:w="3956" w:type="dxa"/>
            <w:shd w:val="clear" w:color="auto" w:fill="FFFFFF"/>
          </w:tcPr>
          <w:p w14:paraId="165FC3E4" w14:textId="77777777" w:rsidR="008E2C20" w:rsidRPr="007010EF" w:rsidRDefault="008E2C20" w:rsidP="008013AC">
            <w:pPr>
              <w:spacing w:after="0" w:line="240" w:lineRule="auto"/>
              <w:jc w:val="right"/>
            </w:pPr>
            <w:r>
              <w:t xml:space="preserve">Penicillinase-resistant </w:t>
            </w:r>
            <w:r w:rsidRPr="007010EF">
              <w:t>(flucloxacillin)</w:t>
            </w:r>
          </w:p>
        </w:tc>
        <w:tc>
          <w:tcPr>
            <w:tcW w:w="2904" w:type="dxa"/>
            <w:shd w:val="clear" w:color="auto" w:fill="FFFFFF"/>
          </w:tcPr>
          <w:p w14:paraId="72EAC902" w14:textId="77777777" w:rsidR="008E2C20" w:rsidRPr="007010EF" w:rsidRDefault="008E2C20" w:rsidP="008013AC">
            <w:pPr>
              <w:spacing w:after="0" w:line="240" w:lineRule="auto"/>
              <w:jc w:val="center"/>
            </w:pPr>
            <w:r w:rsidRPr="007010EF">
              <w:t>0·46 [0·14 to 1·54]</w:t>
            </w:r>
          </w:p>
        </w:tc>
        <w:tc>
          <w:tcPr>
            <w:tcW w:w="1006" w:type="dxa"/>
            <w:shd w:val="clear" w:color="auto" w:fill="FFFFFF"/>
          </w:tcPr>
          <w:p w14:paraId="342E40FF" w14:textId="77777777" w:rsidR="008E2C20" w:rsidRPr="007010EF" w:rsidRDefault="008E2C20" w:rsidP="008013AC">
            <w:pPr>
              <w:spacing w:after="0" w:line="240" w:lineRule="auto"/>
            </w:pPr>
            <w:r w:rsidRPr="007010EF">
              <w:t>0.21</w:t>
            </w:r>
          </w:p>
        </w:tc>
      </w:tr>
      <w:tr w:rsidR="008E2C20" w:rsidRPr="007010EF" w14:paraId="6A893CB9" w14:textId="77777777" w:rsidTr="008013AC">
        <w:trPr>
          <w:jc w:val="center"/>
        </w:trPr>
        <w:tc>
          <w:tcPr>
            <w:tcW w:w="3956" w:type="dxa"/>
            <w:shd w:val="clear" w:color="auto" w:fill="FFFFFF"/>
          </w:tcPr>
          <w:p w14:paraId="6D1AFB52" w14:textId="77777777" w:rsidR="008E2C20" w:rsidRPr="007010EF" w:rsidRDefault="008E2C20" w:rsidP="008013AC">
            <w:pPr>
              <w:spacing w:after="0" w:line="240" w:lineRule="auto"/>
              <w:jc w:val="right"/>
            </w:pPr>
            <w:r>
              <w:t xml:space="preserve">Pen V </w:t>
            </w:r>
            <w:r w:rsidRPr="007010EF">
              <w:t>(phenoxymethylpenicillin)</w:t>
            </w:r>
          </w:p>
        </w:tc>
        <w:tc>
          <w:tcPr>
            <w:tcW w:w="2904" w:type="dxa"/>
            <w:shd w:val="clear" w:color="auto" w:fill="FFFFFF"/>
          </w:tcPr>
          <w:p w14:paraId="3F286150" w14:textId="77777777" w:rsidR="008E2C20" w:rsidRPr="007010EF" w:rsidRDefault="008E2C20" w:rsidP="008013AC">
            <w:pPr>
              <w:spacing w:after="0" w:line="240" w:lineRule="auto"/>
              <w:jc w:val="center"/>
            </w:pPr>
            <w:r w:rsidRPr="007010EF">
              <w:t>0·60 [0·39 to 0·94]</w:t>
            </w:r>
          </w:p>
        </w:tc>
        <w:tc>
          <w:tcPr>
            <w:tcW w:w="1006" w:type="dxa"/>
            <w:shd w:val="clear" w:color="auto" w:fill="FFFFFF"/>
          </w:tcPr>
          <w:p w14:paraId="0B2A22E4" w14:textId="77777777" w:rsidR="008E2C20" w:rsidRPr="007010EF" w:rsidRDefault="008E2C20" w:rsidP="008013AC">
            <w:pPr>
              <w:spacing w:after="0" w:line="240" w:lineRule="auto"/>
            </w:pPr>
            <w:r w:rsidRPr="007010EF">
              <w:t>0.03</w:t>
            </w:r>
          </w:p>
        </w:tc>
      </w:tr>
      <w:tr w:rsidR="008E2C20" w:rsidRPr="007010EF" w14:paraId="57D44B26" w14:textId="77777777" w:rsidTr="008013AC">
        <w:trPr>
          <w:jc w:val="center"/>
        </w:trPr>
        <w:tc>
          <w:tcPr>
            <w:tcW w:w="3956" w:type="dxa"/>
            <w:shd w:val="clear" w:color="auto" w:fill="FFFFFF"/>
          </w:tcPr>
          <w:p w14:paraId="2DEB7261" w14:textId="77777777" w:rsidR="008E2C20" w:rsidRPr="007010EF" w:rsidRDefault="008E2C20" w:rsidP="008013AC">
            <w:pPr>
              <w:spacing w:after="0" w:line="240" w:lineRule="auto"/>
              <w:jc w:val="right"/>
            </w:pPr>
            <w:r w:rsidRPr="007010EF">
              <w:t>Quinolones</w:t>
            </w:r>
          </w:p>
        </w:tc>
        <w:tc>
          <w:tcPr>
            <w:tcW w:w="2904" w:type="dxa"/>
            <w:shd w:val="clear" w:color="auto" w:fill="FFFFFF"/>
          </w:tcPr>
          <w:p w14:paraId="3C8FBFAA" w14:textId="77777777" w:rsidR="008E2C20" w:rsidRPr="007010EF" w:rsidRDefault="008E2C20" w:rsidP="008013AC">
            <w:pPr>
              <w:spacing w:after="0" w:line="240" w:lineRule="auto"/>
              <w:jc w:val="center"/>
            </w:pPr>
            <w:r w:rsidRPr="007010EF">
              <w:t>0 (empty)</w:t>
            </w:r>
          </w:p>
        </w:tc>
        <w:tc>
          <w:tcPr>
            <w:tcW w:w="1006" w:type="dxa"/>
            <w:shd w:val="clear" w:color="auto" w:fill="FFFFFF"/>
          </w:tcPr>
          <w:p w14:paraId="71B8C116" w14:textId="77777777" w:rsidR="008E2C20" w:rsidRPr="007010EF" w:rsidRDefault="008E2C20" w:rsidP="008013AC">
            <w:pPr>
              <w:spacing w:after="0" w:line="240" w:lineRule="auto"/>
            </w:pPr>
          </w:p>
        </w:tc>
      </w:tr>
      <w:tr w:rsidR="008E2C20" w:rsidRPr="007010EF" w14:paraId="5EF893F4" w14:textId="77777777" w:rsidTr="008013AC">
        <w:trPr>
          <w:jc w:val="center"/>
        </w:trPr>
        <w:tc>
          <w:tcPr>
            <w:tcW w:w="3956" w:type="dxa"/>
            <w:shd w:val="clear" w:color="auto" w:fill="FFFFFF"/>
          </w:tcPr>
          <w:p w14:paraId="0653C8D9" w14:textId="77777777" w:rsidR="008E2C20" w:rsidRPr="007010EF" w:rsidRDefault="008E2C20" w:rsidP="008013AC">
            <w:pPr>
              <w:spacing w:after="0" w:line="240" w:lineRule="auto"/>
              <w:jc w:val="right"/>
            </w:pPr>
            <w:r w:rsidRPr="007010EF">
              <w:t xml:space="preserve">Trimethoprim-cotrimoxazole </w:t>
            </w:r>
          </w:p>
        </w:tc>
        <w:tc>
          <w:tcPr>
            <w:tcW w:w="2904" w:type="dxa"/>
            <w:shd w:val="clear" w:color="auto" w:fill="FFFFFF"/>
          </w:tcPr>
          <w:p w14:paraId="574CF0B7" w14:textId="77777777" w:rsidR="008E2C20" w:rsidRPr="007010EF" w:rsidRDefault="008E2C20" w:rsidP="008013AC">
            <w:pPr>
              <w:spacing w:after="0" w:line="240" w:lineRule="auto"/>
              <w:jc w:val="center"/>
            </w:pPr>
            <w:r w:rsidRPr="007010EF">
              <w:t>1·01 [0·41 to 2·53]</w:t>
            </w:r>
          </w:p>
        </w:tc>
        <w:tc>
          <w:tcPr>
            <w:tcW w:w="1006" w:type="dxa"/>
            <w:shd w:val="clear" w:color="auto" w:fill="FFFFFF"/>
          </w:tcPr>
          <w:p w14:paraId="3DBB8C0D" w14:textId="77777777" w:rsidR="008E2C20" w:rsidRPr="007010EF" w:rsidRDefault="008E2C20" w:rsidP="008013AC">
            <w:pPr>
              <w:spacing w:after="0" w:line="240" w:lineRule="auto"/>
            </w:pPr>
            <w:r w:rsidRPr="007010EF">
              <w:t>0.98</w:t>
            </w:r>
          </w:p>
        </w:tc>
      </w:tr>
      <w:tr w:rsidR="008E2C20" w:rsidRPr="007010EF" w14:paraId="70608D49" w14:textId="77777777" w:rsidTr="008013AC">
        <w:trPr>
          <w:jc w:val="center"/>
        </w:trPr>
        <w:tc>
          <w:tcPr>
            <w:tcW w:w="3956" w:type="dxa"/>
            <w:shd w:val="clear" w:color="auto" w:fill="FFFFFF"/>
          </w:tcPr>
          <w:p w14:paraId="0150F18E" w14:textId="77777777" w:rsidR="008E2C20" w:rsidRPr="007010EF" w:rsidRDefault="008E2C20" w:rsidP="008013AC">
            <w:pPr>
              <w:spacing w:after="0" w:line="240" w:lineRule="auto"/>
            </w:pPr>
            <w:r w:rsidRPr="007010EF">
              <w:t>Number of response failures in previous year</w:t>
            </w:r>
          </w:p>
        </w:tc>
        <w:tc>
          <w:tcPr>
            <w:tcW w:w="2904" w:type="dxa"/>
            <w:shd w:val="clear" w:color="auto" w:fill="FFFFFF"/>
          </w:tcPr>
          <w:p w14:paraId="194F7602" w14:textId="77777777" w:rsidR="008E2C20" w:rsidRPr="007010EF" w:rsidRDefault="008E2C20" w:rsidP="008013AC">
            <w:pPr>
              <w:spacing w:after="0" w:line="240" w:lineRule="auto"/>
              <w:jc w:val="center"/>
            </w:pPr>
          </w:p>
        </w:tc>
        <w:tc>
          <w:tcPr>
            <w:tcW w:w="1006" w:type="dxa"/>
            <w:shd w:val="clear" w:color="auto" w:fill="FFFFFF"/>
          </w:tcPr>
          <w:p w14:paraId="186EDEA8" w14:textId="77777777" w:rsidR="008E2C20" w:rsidRPr="007010EF" w:rsidRDefault="008E2C20" w:rsidP="008013AC">
            <w:pPr>
              <w:spacing w:after="0" w:line="240" w:lineRule="auto"/>
            </w:pPr>
          </w:p>
        </w:tc>
      </w:tr>
      <w:tr w:rsidR="008E2C20" w:rsidRPr="007010EF" w14:paraId="73C62E8F" w14:textId="77777777" w:rsidTr="008013AC">
        <w:trPr>
          <w:jc w:val="center"/>
        </w:trPr>
        <w:tc>
          <w:tcPr>
            <w:tcW w:w="3956" w:type="dxa"/>
            <w:shd w:val="clear" w:color="auto" w:fill="FFFFFF"/>
          </w:tcPr>
          <w:p w14:paraId="43191F32" w14:textId="77777777" w:rsidR="008E2C20" w:rsidRPr="007010EF" w:rsidRDefault="008E2C20" w:rsidP="008013AC">
            <w:pPr>
              <w:spacing w:after="0" w:line="240" w:lineRule="auto"/>
              <w:jc w:val="right"/>
            </w:pPr>
            <w:r w:rsidRPr="007010EF">
              <w:t>None</w:t>
            </w:r>
          </w:p>
        </w:tc>
        <w:tc>
          <w:tcPr>
            <w:tcW w:w="2904" w:type="dxa"/>
            <w:shd w:val="clear" w:color="auto" w:fill="FFFFFF"/>
          </w:tcPr>
          <w:p w14:paraId="35CE922A" w14:textId="77777777" w:rsidR="008E2C20" w:rsidRPr="007010EF" w:rsidRDefault="008E2C20" w:rsidP="008013AC">
            <w:pPr>
              <w:spacing w:after="0" w:line="240" w:lineRule="auto"/>
              <w:jc w:val="center"/>
            </w:pPr>
            <w:r w:rsidRPr="007010EF">
              <w:t>1 [Reference]</w:t>
            </w:r>
          </w:p>
        </w:tc>
        <w:tc>
          <w:tcPr>
            <w:tcW w:w="1006" w:type="dxa"/>
            <w:shd w:val="clear" w:color="auto" w:fill="FFFFFF"/>
          </w:tcPr>
          <w:p w14:paraId="50CA164B" w14:textId="77777777" w:rsidR="008E2C20" w:rsidRPr="007010EF" w:rsidRDefault="008E2C20" w:rsidP="008013AC">
            <w:pPr>
              <w:spacing w:after="0" w:line="240" w:lineRule="auto"/>
            </w:pPr>
          </w:p>
        </w:tc>
      </w:tr>
      <w:tr w:rsidR="008E2C20" w:rsidRPr="007010EF" w14:paraId="3F723CE6" w14:textId="77777777" w:rsidTr="008013AC">
        <w:trPr>
          <w:jc w:val="center"/>
        </w:trPr>
        <w:tc>
          <w:tcPr>
            <w:tcW w:w="3956" w:type="dxa"/>
            <w:shd w:val="clear" w:color="auto" w:fill="FFFFFF"/>
          </w:tcPr>
          <w:p w14:paraId="14F512B2" w14:textId="77777777" w:rsidR="008E2C20" w:rsidRPr="007010EF" w:rsidRDefault="008E2C20" w:rsidP="008013AC">
            <w:pPr>
              <w:spacing w:after="0" w:line="240" w:lineRule="auto"/>
              <w:jc w:val="right"/>
            </w:pPr>
            <w:r w:rsidRPr="007010EF">
              <w:t>1</w:t>
            </w:r>
          </w:p>
        </w:tc>
        <w:tc>
          <w:tcPr>
            <w:tcW w:w="2904" w:type="dxa"/>
            <w:shd w:val="clear" w:color="auto" w:fill="FFFFFF"/>
          </w:tcPr>
          <w:p w14:paraId="18DAFC20" w14:textId="77777777" w:rsidR="008E2C20" w:rsidRPr="007010EF" w:rsidRDefault="008E2C20" w:rsidP="008013AC">
            <w:pPr>
              <w:spacing w:after="0" w:line="240" w:lineRule="auto"/>
              <w:jc w:val="center"/>
            </w:pPr>
            <w:r w:rsidRPr="007010EF">
              <w:t>2·08 [1·67 to 2·58]</w:t>
            </w:r>
          </w:p>
        </w:tc>
        <w:tc>
          <w:tcPr>
            <w:tcW w:w="1006" w:type="dxa"/>
            <w:shd w:val="clear" w:color="auto" w:fill="FFFFFF"/>
          </w:tcPr>
          <w:p w14:paraId="240719B7" w14:textId="77777777" w:rsidR="008E2C20" w:rsidRPr="007010EF" w:rsidRDefault="008E2C20" w:rsidP="008013AC">
            <w:pPr>
              <w:spacing w:after="0" w:line="240" w:lineRule="auto"/>
            </w:pPr>
            <w:r w:rsidRPr="007010EF">
              <w:t>&lt;0.001</w:t>
            </w:r>
          </w:p>
        </w:tc>
      </w:tr>
      <w:tr w:rsidR="008E2C20" w:rsidRPr="007010EF" w14:paraId="2F994AFB" w14:textId="77777777" w:rsidTr="008013AC">
        <w:trPr>
          <w:jc w:val="center"/>
        </w:trPr>
        <w:tc>
          <w:tcPr>
            <w:tcW w:w="3956" w:type="dxa"/>
            <w:shd w:val="clear" w:color="auto" w:fill="FFFFFF"/>
          </w:tcPr>
          <w:p w14:paraId="1C971EF8" w14:textId="77777777" w:rsidR="008E2C20" w:rsidRPr="007010EF" w:rsidRDefault="008E2C20" w:rsidP="008013AC">
            <w:pPr>
              <w:spacing w:after="0" w:line="240" w:lineRule="auto"/>
              <w:jc w:val="right"/>
            </w:pPr>
            <w:r w:rsidRPr="007010EF">
              <w:t>2</w:t>
            </w:r>
          </w:p>
        </w:tc>
        <w:tc>
          <w:tcPr>
            <w:tcW w:w="2904" w:type="dxa"/>
            <w:shd w:val="clear" w:color="auto" w:fill="FFFFFF"/>
          </w:tcPr>
          <w:p w14:paraId="6C8BDAA5" w14:textId="77777777" w:rsidR="008E2C20" w:rsidRPr="007010EF" w:rsidRDefault="008E2C20" w:rsidP="008013AC">
            <w:pPr>
              <w:spacing w:after="0" w:line="240" w:lineRule="auto"/>
              <w:jc w:val="center"/>
            </w:pPr>
            <w:r w:rsidRPr="007010EF">
              <w:t>3·93 [1·18 to 13·12]</w:t>
            </w:r>
          </w:p>
        </w:tc>
        <w:tc>
          <w:tcPr>
            <w:tcW w:w="1006" w:type="dxa"/>
            <w:shd w:val="clear" w:color="auto" w:fill="FFFFFF"/>
          </w:tcPr>
          <w:p w14:paraId="4C4FE1E1" w14:textId="77777777" w:rsidR="008E2C20" w:rsidRPr="007010EF" w:rsidRDefault="008E2C20" w:rsidP="008013AC">
            <w:pPr>
              <w:spacing w:after="0" w:line="240" w:lineRule="auto"/>
            </w:pPr>
            <w:r w:rsidRPr="007010EF">
              <w:t>0.03</w:t>
            </w:r>
          </w:p>
        </w:tc>
      </w:tr>
      <w:tr w:rsidR="008E2C20" w:rsidRPr="007010EF" w14:paraId="69729FD0" w14:textId="77777777" w:rsidTr="008013AC">
        <w:trPr>
          <w:jc w:val="center"/>
        </w:trPr>
        <w:tc>
          <w:tcPr>
            <w:tcW w:w="3956" w:type="dxa"/>
            <w:shd w:val="clear" w:color="auto" w:fill="FFFFFF"/>
          </w:tcPr>
          <w:p w14:paraId="26DE5BA6" w14:textId="77777777" w:rsidR="008E2C20" w:rsidRPr="007010EF" w:rsidRDefault="008E2C20" w:rsidP="008013AC">
            <w:pPr>
              <w:spacing w:after="0" w:line="240" w:lineRule="auto"/>
            </w:pPr>
            <w:r w:rsidRPr="007010EF">
              <w:t>Number of acute RTI consultations in previous year</w:t>
            </w:r>
          </w:p>
        </w:tc>
        <w:tc>
          <w:tcPr>
            <w:tcW w:w="2904" w:type="dxa"/>
            <w:shd w:val="clear" w:color="auto" w:fill="FFFFFF"/>
          </w:tcPr>
          <w:p w14:paraId="3B6EA853" w14:textId="77777777" w:rsidR="008E2C20" w:rsidRPr="007010EF" w:rsidRDefault="008E2C20" w:rsidP="008013AC">
            <w:pPr>
              <w:spacing w:after="0" w:line="240" w:lineRule="auto"/>
              <w:jc w:val="center"/>
            </w:pPr>
            <w:r w:rsidRPr="007010EF">
              <w:t>1·03 [1·02 to 1·05]</w:t>
            </w:r>
          </w:p>
        </w:tc>
        <w:tc>
          <w:tcPr>
            <w:tcW w:w="1006" w:type="dxa"/>
            <w:shd w:val="clear" w:color="auto" w:fill="FFFFFF"/>
          </w:tcPr>
          <w:p w14:paraId="1F3C5AC3" w14:textId="77777777" w:rsidR="008E2C20" w:rsidRPr="007010EF" w:rsidRDefault="008E2C20" w:rsidP="008013AC">
            <w:pPr>
              <w:spacing w:after="0" w:line="240" w:lineRule="auto"/>
            </w:pPr>
            <w:r w:rsidRPr="007010EF">
              <w:t>&lt;0.001</w:t>
            </w:r>
          </w:p>
        </w:tc>
      </w:tr>
      <w:tr w:rsidR="008E2C20" w:rsidRPr="007010EF" w14:paraId="63CDD913" w14:textId="77777777" w:rsidTr="008013AC">
        <w:trPr>
          <w:jc w:val="center"/>
        </w:trPr>
        <w:tc>
          <w:tcPr>
            <w:tcW w:w="3956" w:type="dxa"/>
            <w:shd w:val="clear" w:color="auto" w:fill="FFFFFF"/>
          </w:tcPr>
          <w:p w14:paraId="6D69D882" w14:textId="77777777" w:rsidR="008E2C20" w:rsidRPr="007010EF" w:rsidRDefault="008E2C20" w:rsidP="008013AC">
            <w:pPr>
              <w:spacing w:after="0" w:line="240" w:lineRule="auto"/>
            </w:pPr>
            <w:r w:rsidRPr="007010EF">
              <w:t>Social Deprivation          1 (least deprived)</w:t>
            </w:r>
          </w:p>
        </w:tc>
        <w:tc>
          <w:tcPr>
            <w:tcW w:w="2904" w:type="dxa"/>
            <w:shd w:val="clear" w:color="auto" w:fill="FFFFFF"/>
          </w:tcPr>
          <w:p w14:paraId="10A3ED4A" w14:textId="77777777" w:rsidR="008E2C20" w:rsidRPr="007010EF" w:rsidRDefault="008E2C20" w:rsidP="008013AC">
            <w:pPr>
              <w:spacing w:after="0" w:line="240" w:lineRule="auto"/>
              <w:jc w:val="center"/>
            </w:pPr>
            <w:r w:rsidRPr="007010EF">
              <w:t>1 [Reference]</w:t>
            </w:r>
          </w:p>
        </w:tc>
        <w:tc>
          <w:tcPr>
            <w:tcW w:w="1006" w:type="dxa"/>
            <w:shd w:val="clear" w:color="auto" w:fill="FFFFFF"/>
          </w:tcPr>
          <w:p w14:paraId="7BD2DF4F" w14:textId="77777777" w:rsidR="008E2C20" w:rsidRPr="007010EF" w:rsidRDefault="008E2C20" w:rsidP="008013AC">
            <w:pPr>
              <w:spacing w:after="0" w:line="240" w:lineRule="auto"/>
            </w:pPr>
          </w:p>
        </w:tc>
      </w:tr>
      <w:tr w:rsidR="008E2C20" w:rsidRPr="007010EF" w14:paraId="7D8BA3F7" w14:textId="77777777" w:rsidTr="008013AC">
        <w:trPr>
          <w:jc w:val="center"/>
        </w:trPr>
        <w:tc>
          <w:tcPr>
            <w:tcW w:w="3956" w:type="dxa"/>
            <w:shd w:val="clear" w:color="auto" w:fill="FFFFFF"/>
          </w:tcPr>
          <w:p w14:paraId="6B0DA603" w14:textId="77777777" w:rsidR="008E2C20" w:rsidRPr="007010EF" w:rsidRDefault="008E2C20" w:rsidP="008013AC">
            <w:pPr>
              <w:spacing w:after="0" w:line="240" w:lineRule="auto"/>
              <w:jc w:val="right"/>
            </w:pPr>
            <w:r w:rsidRPr="007010EF">
              <w:t xml:space="preserve">          2 </w:t>
            </w:r>
          </w:p>
        </w:tc>
        <w:tc>
          <w:tcPr>
            <w:tcW w:w="2904" w:type="dxa"/>
            <w:shd w:val="clear" w:color="auto" w:fill="FFFFFF"/>
          </w:tcPr>
          <w:p w14:paraId="05A6A174" w14:textId="77777777" w:rsidR="008E2C20" w:rsidRPr="007010EF" w:rsidRDefault="008E2C20" w:rsidP="008013AC">
            <w:pPr>
              <w:spacing w:after="0" w:line="240" w:lineRule="auto"/>
              <w:jc w:val="center"/>
            </w:pPr>
            <w:r w:rsidRPr="007010EF">
              <w:t>0·96 [0·81 to 1·13]</w:t>
            </w:r>
          </w:p>
        </w:tc>
        <w:tc>
          <w:tcPr>
            <w:tcW w:w="1006" w:type="dxa"/>
            <w:shd w:val="clear" w:color="auto" w:fill="FFFFFF"/>
          </w:tcPr>
          <w:p w14:paraId="648C8308" w14:textId="77777777" w:rsidR="008E2C20" w:rsidRPr="007010EF" w:rsidRDefault="008E2C20" w:rsidP="008013AC">
            <w:pPr>
              <w:spacing w:after="0" w:line="240" w:lineRule="auto"/>
            </w:pPr>
            <w:r w:rsidRPr="007010EF">
              <w:t>0.61</w:t>
            </w:r>
          </w:p>
        </w:tc>
      </w:tr>
      <w:tr w:rsidR="008E2C20" w:rsidRPr="007010EF" w14:paraId="0FC2A681" w14:textId="77777777" w:rsidTr="008013AC">
        <w:trPr>
          <w:jc w:val="center"/>
        </w:trPr>
        <w:tc>
          <w:tcPr>
            <w:tcW w:w="3956" w:type="dxa"/>
            <w:shd w:val="clear" w:color="auto" w:fill="FFFFFF"/>
          </w:tcPr>
          <w:p w14:paraId="711E47AB" w14:textId="77777777" w:rsidR="008E2C20" w:rsidRPr="007010EF" w:rsidRDefault="008E2C20" w:rsidP="008013AC">
            <w:pPr>
              <w:spacing w:after="0" w:line="240" w:lineRule="auto"/>
              <w:jc w:val="right"/>
            </w:pPr>
            <w:r w:rsidRPr="007010EF">
              <w:t xml:space="preserve">          3 </w:t>
            </w:r>
          </w:p>
        </w:tc>
        <w:tc>
          <w:tcPr>
            <w:tcW w:w="2904" w:type="dxa"/>
            <w:shd w:val="clear" w:color="auto" w:fill="FFFFFF"/>
          </w:tcPr>
          <w:p w14:paraId="31B05E96" w14:textId="77777777" w:rsidR="008E2C20" w:rsidRPr="007010EF" w:rsidRDefault="008E2C20" w:rsidP="008013AC">
            <w:pPr>
              <w:spacing w:after="0" w:line="240" w:lineRule="auto"/>
              <w:jc w:val="center"/>
            </w:pPr>
            <w:r w:rsidRPr="007010EF">
              <w:t>1·08 [0·92 to 1·28]</w:t>
            </w:r>
          </w:p>
        </w:tc>
        <w:tc>
          <w:tcPr>
            <w:tcW w:w="1006" w:type="dxa"/>
            <w:shd w:val="clear" w:color="auto" w:fill="FFFFFF"/>
          </w:tcPr>
          <w:p w14:paraId="562976E2" w14:textId="77777777" w:rsidR="008E2C20" w:rsidRPr="007010EF" w:rsidRDefault="008E2C20" w:rsidP="008013AC">
            <w:pPr>
              <w:spacing w:after="0" w:line="240" w:lineRule="auto"/>
            </w:pPr>
            <w:r w:rsidRPr="007010EF">
              <w:t>0.34</w:t>
            </w:r>
          </w:p>
        </w:tc>
      </w:tr>
      <w:tr w:rsidR="008E2C20" w:rsidRPr="007010EF" w14:paraId="4FFE9C00" w14:textId="77777777" w:rsidTr="008013AC">
        <w:trPr>
          <w:jc w:val="center"/>
        </w:trPr>
        <w:tc>
          <w:tcPr>
            <w:tcW w:w="3956" w:type="dxa"/>
            <w:shd w:val="clear" w:color="auto" w:fill="FFFFFF"/>
          </w:tcPr>
          <w:p w14:paraId="397A53A4" w14:textId="77777777" w:rsidR="008E2C20" w:rsidRPr="007010EF" w:rsidRDefault="008E2C20" w:rsidP="008013AC">
            <w:pPr>
              <w:spacing w:after="0" w:line="240" w:lineRule="auto"/>
              <w:jc w:val="right"/>
            </w:pPr>
            <w:r w:rsidRPr="007010EF">
              <w:t xml:space="preserve">          4 </w:t>
            </w:r>
          </w:p>
        </w:tc>
        <w:tc>
          <w:tcPr>
            <w:tcW w:w="2904" w:type="dxa"/>
            <w:shd w:val="clear" w:color="auto" w:fill="FFFFFF"/>
          </w:tcPr>
          <w:p w14:paraId="24E79DEF" w14:textId="77777777" w:rsidR="008E2C20" w:rsidRPr="007010EF" w:rsidRDefault="008E2C20" w:rsidP="008013AC">
            <w:pPr>
              <w:spacing w:after="0" w:line="240" w:lineRule="auto"/>
              <w:jc w:val="center"/>
            </w:pPr>
            <w:r w:rsidRPr="007010EF">
              <w:t>1·12 [0.95 to 1·32]</w:t>
            </w:r>
          </w:p>
        </w:tc>
        <w:tc>
          <w:tcPr>
            <w:tcW w:w="1006" w:type="dxa"/>
            <w:shd w:val="clear" w:color="auto" w:fill="FFFFFF"/>
          </w:tcPr>
          <w:p w14:paraId="64A2AE1E" w14:textId="77777777" w:rsidR="008E2C20" w:rsidRPr="007010EF" w:rsidRDefault="008E2C20" w:rsidP="008013AC">
            <w:pPr>
              <w:spacing w:after="0" w:line="240" w:lineRule="auto"/>
            </w:pPr>
            <w:r w:rsidRPr="007010EF">
              <w:t>0.17</w:t>
            </w:r>
          </w:p>
        </w:tc>
      </w:tr>
      <w:tr w:rsidR="008E2C20" w:rsidRPr="007010EF" w14:paraId="5DEF8A0E" w14:textId="77777777" w:rsidTr="008013AC">
        <w:trPr>
          <w:jc w:val="center"/>
        </w:trPr>
        <w:tc>
          <w:tcPr>
            <w:tcW w:w="3956" w:type="dxa"/>
            <w:shd w:val="clear" w:color="auto" w:fill="FFFFFF"/>
          </w:tcPr>
          <w:p w14:paraId="75B38370" w14:textId="77777777" w:rsidR="008E2C20" w:rsidRPr="007010EF" w:rsidRDefault="008E2C20" w:rsidP="008013AC">
            <w:pPr>
              <w:spacing w:after="0" w:line="240" w:lineRule="auto"/>
              <w:jc w:val="right"/>
            </w:pPr>
            <w:r w:rsidRPr="007010EF">
              <w:t xml:space="preserve">          5 (most deprived)</w:t>
            </w:r>
          </w:p>
        </w:tc>
        <w:tc>
          <w:tcPr>
            <w:tcW w:w="2904" w:type="dxa"/>
            <w:shd w:val="clear" w:color="auto" w:fill="FFFFFF"/>
          </w:tcPr>
          <w:p w14:paraId="02C65EEB" w14:textId="77777777" w:rsidR="008E2C20" w:rsidRPr="007010EF" w:rsidRDefault="008E2C20" w:rsidP="008013AC">
            <w:pPr>
              <w:spacing w:after="0" w:line="240" w:lineRule="auto"/>
              <w:jc w:val="center"/>
            </w:pPr>
            <w:r w:rsidRPr="007010EF">
              <w:t>0.99 [0.84 to 1·18]</w:t>
            </w:r>
          </w:p>
        </w:tc>
        <w:tc>
          <w:tcPr>
            <w:tcW w:w="1006" w:type="dxa"/>
            <w:shd w:val="clear" w:color="auto" w:fill="FFFFFF"/>
          </w:tcPr>
          <w:p w14:paraId="0F342156" w14:textId="77777777" w:rsidR="008E2C20" w:rsidRPr="007010EF" w:rsidRDefault="008E2C20" w:rsidP="008013AC">
            <w:pPr>
              <w:spacing w:after="0" w:line="240" w:lineRule="auto"/>
            </w:pPr>
            <w:r w:rsidRPr="007010EF">
              <w:t>0.96</w:t>
            </w:r>
          </w:p>
        </w:tc>
      </w:tr>
      <w:tr w:rsidR="008E2C20" w:rsidRPr="007010EF" w14:paraId="65D29790" w14:textId="77777777" w:rsidTr="008013AC">
        <w:trPr>
          <w:jc w:val="center"/>
        </w:trPr>
        <w:tc>
          <w:tcPr>
            <w:tcW w:w="3956" w:type="dxa"/>
            <w:shd w:val="clear" w:color="auto" w:fill="FFFFFF"/>
          </w:tcPr>
          <w:p w14:paraId="49901334" w14:textId="77777777" w:rsidR="008E2C20" w:rsidRPr="007010EF" w:rsidRDefault="008E2C20" w:rsidP="008013AC">
            <w:pPr>
              <w:spacing w:after="0" w:line="240" w:lineRule="auto"/>
              <w:jc w:val="right"/>
            </w:pPr>
            <w:r>
              <w:t xml:space="preserve">Vaccination status </w:t>
            </w:r>
            <w:r w:rsidRPr="007010EF">
              <w:t>at index consultation</w:t>
            </w:r>
          </w:p>
        </w:tc>
        <w:tc>
          <w:tcPr>
            <w:tcW w:w="2904" w:type="dxa"/>
            <w:shd w:val="clear" w:color="auto" w:fill="FFFFFF"/>
          </w:tcPr>
          <w:p w14:paraId="373D7CBF" w14:textId="77777777" w:rsidR="008E2C20" w:rsidRPr="007010EF" w:rsidRDefault="008E2C20" w:rsidP="008013AC">
            <w:pPr>
              <w:spacing w:after="0" w:line="240" w:lineRule="auto"/>
              <w:jc w:val="center"/>
            </w:pPr>
          </w:p>
        </w:tc>
        <w:tc>
          <w:tcPr>
            <w:tcW w:w="1006" w:type="dxa"/>
            <w:shd w:val="clear" w:color="auto" w:fill="FFFFFF"/>
          </w:tcPr>
          <w:p w14:paraId="4CE77078" w14:textId="77777777" w:rsidR="008E2C20" w:rsidRPr="007010EF" w:rsidRDefault="008E2C20" w:rsidP="008013AC">
            <w:pPr>
              <w:spacing w:after="0" w:line="240" w:lineRule="auto"/>
            </w:pPr>
          </w:p>
        </w:tc>
      </w:tr>
      <w:tr w:rsidR="008E2C20" w:rsidRPr="007010EF" w14:paraId="064E7E9F" w14:textId="77777777" w:rsidTr="008013AC">
        <w:trPr>
          <w:jc w:val="center"/>
        </w:trPr>
        <w:tc>
          <w:tcPr>
            <w:tcW w:w="3956" w:type="dxa"/>
            <w:shd w:val="clear" w:color="auto" w:fill="FFFFFF"/>
          </w:tcPr>
          <w:p w14:paraId="5B0D65B3" w14:textId="77777777" w:rsidR="008E2C20" w:rsidRPr="007010EF" w:rsidRDefault="008E2C20" w:rsidP="008013AC">
            <w:pPr>
              <w:spacing w:after="0" w:line="240" w:lineRule="auto"/>
              <w:jc w:val="right"/>
            </w:pPr>
            <w:r w:rsidRPr="007010EF">
              <w:t>Incomplete or none</w:t>
            </w:r>
          </w:p>
        </w:tc>
        <w:tc>
          <w:tcPr>
            <w:tcW w:w="2904" w:type="dxa"/>
            <w:shd w:val="clear" w:color="auto" w:fill="FFFFFF"/>
          </w:tcPr>
          <w:p w14:paraId="2C035D91" w14:textId="77777777" w:rsidR="008E2C20" w:rsidRPr="007010EF" w:rsidRDefault="008E2C20" w:rsidP="008013AC">
            <w:pPr>
              <w:spacing w:after="0" w:line="240" w:lineRule="auto"/>
              <w:jc w:val="center"/>
            </w:pPr>
            <w:r w:rsidRPr="007010EF">
              <w:t>1 [Reference]</w:t>
            </w:r>
          </w:p>
        </w:tc>
        <w:tc>
          <w:tcPr>
            <w:tcW w:w="1006" w:type="dxa"/>
            <w:shd w:val="clear" w:color="auto" w:fill="FFFFFF"/>
          </w:tcPr>
          <w:p w14:paraId="18295FD7" w14:textId="77777777" w:rsidR="008E2C20" w:rsidRPr="007010EF" w:rsidRDefault="008E2C20" w:rsidP="008013AC">
            <w:pPr>
              <w:spacing w:after="0" w:line="240" w:lineRule="auto"/>
            </w:pPr>
          </w:p>
        </w:tc>
      </w:tr>
      <w:tr w:rsidR="008E2C20" w:rsidRPr="007010EF" w14:paraId="746E924E" w14:textId="77777777" w:rsidTr="008013AC">
        <w:trPr>
          <w:jc w:val="center"/>
        </w:trPr>
        <w:tc>
          <w:tcPr>
            <w:tcW w:w="3956" w:type="dxa"/>
            <w:shd w:val="clear" w:color="auto" w:fill="FFFFFF"/>
          </w:tcPr>
          <w:p w14:paraId="0C5C4021" w14:textId="77777777" w:rsidR="008E2C20" w:rsidRPr="007010EF" w:rsidRDefault="008E2C20" w:rsidP="008013AC">
            <w:pPr>
              <w:spacing w:after="0" w:line="240" w:lineRule="auto"/>
              <w:jc w:val="right"/>
            </w:pPr>
            <w:r w:rsidRPr="007010EF">
              <w:t>Complete</w:t>
            </w:r>
          </w:p>
        </w:tc>
        <w:tc>
          <w:tcPr>
            <w:tcW w:w="2904" w:type="dxa"/>
            <w:shd w:val="clear" w:color="auto" w:fill="FFFFFF"/>
          </w:tcPr>
          <w:p w14:paraId="4A14E577" w14:textId="77777777" w:rsidR="008E2C20" w:rsidRPr="007010EF" w:rsidRDefault="008E2C20" w:rsidP="008013AC">
            <w:pPr>
              <w:spacing w:after="0" w:line="240" w:lineRule="auto"/>
              <w:jc w:val="center"/>
            </w:pPr>
            <w:r w:rsidRPr="007010EF">
              <w:t>1·41 [1·26 to 1·59]</w:t>
            </w:r>
          </w:p>
        </w:tc>
        <w:tc>
          <w:tcPr>
            <w:tcW w:w="1006" w:type="dxa"/>
            <w:shd w:val="clear" w:color="auto" w:fill="FFFFFF"/>
          </w:tcPr>
          <w:p w14:paraId="1EB3D7E8" w14:textId="77777777" w:rsidR="008E2C20" w:rsidRPr="007010EF" w:rsidRDefault="008E2C20" w:rsidP="008013AC">
            <w:pPr>
              <w:spacing w:after="0" w:line="240" w:lineRule="auto"/>
            </w:pPr>
            <w:r w:rsidRPr="007010EF">
              <w:t>&lt;0.001</w:t>
            </w:r>
          </w:p>
        </w:tc>
      </w:tr>
    </w:tbl>
    <w:p w14:paraId="50EFAEEC" w14:textId="77777777" w:rsidR="008E2C20" w:rsidRPr="007010EF" w:rsidRDefault="008E2C20" w:rsidP="008013AC">
      <w:pPr>
        <w:spacing w:after="0" w:line="240" w:lineRule="auto"/>
        <w:rPr>
          <w:sz w:val="18"/>
          <w:szCs w:val="18"/>
          <w:vertAlign w:val="superscript"/>
        </w:rPr>
      </w:pPr>
      <w:r w:rsidRPr="007010EF">
        <w:tab/>
      </w:r>
      <w:r w:rsidRPr="007010EF">
        <w:rPr>
          <w:sz w:val="18"/>
          <w:szCs w:val="18"/>
          <w:vertAlign w:val="superscript"/>
        </w:rPr>
        <w:t xml:space="preserve">a </w:t>
      </w:r>
      <w:r w:rsidRPr="007010EF">
        <w:rPr>
          <w:sz w:val="18"/>
          <w:szCs w:val="18"/>
        </w:rPr>
        <w:t>Seasons: Winter (Dec-Feb); Spring (Mar-May); Summer (Jun-Aug); Autumn (Sept-Nov)</w:t>
      </w:r>
    </w:p>
    <w:p w14:paraId="161685DA" w14:textId="77777777" w:rsidR="008E2C20" w:rsidRPr="007010EF" w:rsidRDefault="008E2C20" w:rsidP="008013AC">
      <w:pPr>
        <w:spacing w:after="0" w:line="240" w:lineRule="auto"/>
        <w:ind w:left="720"/>
        <w:rPr>
          <w:sz w:val="18"/>
          <w:szCs w:val="18"/>
        </w:rPr>
      </w:pPr>
      <w:r w:rsidRPr="007010EF">
        <w:rPr>
          <w:sz w:val="18"/>
          <w:szCs w:val="18"/>
          <w:vertAlign w:val="superscript"/>
        </w:rPr>
        <w:t xml:space="preserve">b </w:t>
      </w:r>
      <w:r w:rsidRPr="007010EF">
        <w:rPr>
          <w:sz w:val="18"/>
          <w:szCs w:val="18"/>
        </w:rPr>
        <w:t>URTI: acute sinusitis, sore throat, laryngitis, coughs etc.; LRTI: pneumonia, bronchitis etc.; AOM: acute otitis media; URTI &amp; LRTI: two separate RTI READ codes for antibiotic prescribing event</w:t>
      </w:r>
      <w:r>
        <w:rPr>
          <w:sz w:val="18"/>
          <w:szCs w:val="18"/>
        </w:rPr>
        <w:t xml:space="preserve"> on same day. </w:t>
      </w:r>
    </w:p>
    <w:p w14:paraId="7919C82B" w14:textId="77777777" w:rsidR="008E2C20" w:rsidRPr="007010EF" w:rsidRDefault="008E2C20" w:rsidP="008013AC">
      <w:pPr>
        <w:spacing w:after="0" w:line="240" w:lineRule="auto"/>
        <w:rPr>
          <w:sz w:val="18"/>
          <w:szCs w:val="18"/>
        </w:rPr>
      </w:pPr>
    </w:p>
    <w:p w14:paraId="6D2120DD" w14:textId="77777777" w:rsidR="008E2C20" w:rsidRPr="00315596" w:rsidRDefault="008E2C20" w:rsidP="008013AC">
      <w:pPr>
        <w:spacing w:line="480" w:lineRule="auto"/>
        <w:rPr>
          <w:rFonts w:cs="ArialMT"/>
        </w:rPr>
      </w:pPr>
    </w:p>
    <w:p w14:paraId="2AF6B93E" w14:textId="77777777" w:rsidR="008E2C20" w:rsidRDefault="008E2C20" w:rsidP="008013AC"/>
    <w:p w14:paraId="562D5C35" w14:textId="77777777" w:rsidR="008E2C20" w:rsidRPr="00315596" w:rsidRDefault="008E2C20" w:rsidP="008013AC">
      <w:pPr>
        <w:spacing w:line="480" w:lineRule="auto"/>
        <w:rPr>
          <w:rFonts w:cs="ArialMT"/>
        </w:rPr>
      </w:pPr>
    </w:p>
    <w:p w14:paraId="2537518B" w14:textId="77777777" w:rsidR="00747B3A" w:rsidRDefault="00747B3A"/>
    <w:sectPr w:rsidR="00747B3A" w:rsidSect="008013AC">
      <w:footerReference w:type="even" r:id="rId14"/>
      <w:footerReference w:type="defaul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Microsoft Office User" w:date="2019-07-30T14:59:00Z" w:initials="MOU">
    <w:p w14:paraId="2899D633" w14:textId="77777777" w:rsidR="00E83C21" w:rsidRDefault="00E83C21">
      <w:pPr>
        <w:pStyle w:val="CommentText"/>
      </w:pPr>
      <w:r>
        <w:rPr>
          <w:rStyle w:val="CommentReference"/>
        </w:rPr>
        <w:annotationRef/>
      </w:r>
      <w:r>
        <w:t>i.e. Take OR as RR estimate therefore 32% increase</w:t>
      </w:r>
    </w:p>
    <w:p w14:paraId="30BB2E82" w14:textId="77777777" w:rsidR="00E83C21" w:rsidRDefault="00E83C21">
      <w:pPr>
        <w:pStyle w:val="CommentText"/>
      </w:pPr>
    </w:p>
    <w:p w14:paraId="17F3EBC0" w14:textId="77777777" w:rsidR="00E83C21" w:rsidRDefault="00E83C21">
      <w:pPr>
        <w:pStyle w:val="CommentText"/>
      </w:pPr>
      <w:r>
        <w:t>0.0094 X 32% = 0.003019</w:t>
      </w:r>
    </w:p>
    <w:p w14:paraId="03A7D2E9" w14:textId="77777777" w:rsidR="00E83C21" w:rsidRDefault="00E83C21">
      <w:pPr>
        <w:pStyle w:val="CommentText"/>
      </w:pPr>
    </w:p>
    <w:p w14:paraId="5852E3EC" w14:textId="77777777" w:rsidR="00E83C21" w:rsidRDefault="00E83C21">
      <w:pPr>
        <w:pStyle w:val="CommentText"/>
      </w:pPr>
      <w:r>
        <w:t>i.e. 0.30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52E3E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52E3EC" w16cid:durableId="20EAD9D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F340C" w14:textId="77777777" w:rsidR="00DA0C59" w:rsidRDefault="00DA0C59">
      <w:pPr>
        <w:spacing w:after="0" w:line="240" w:lineRule="auto"/>
      </w:pPr>
      <w:r>
        <w:separator/>
      </w:r>
    </w:p>
  </w:endnote>
  <w:endnote w:type="continuationSeparator" w:id="0">
    <w:p w14:paraId="7E57FF0E" w14:textId="77777777" w:rsidR="00DA0C59" w:rsidRDefault="00DA0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altName w:val="Corbel"/>
    <w:charset w:val="00"/>
    <w:family w:val="auto"/>
    <w:pitch w:val="variable"/>
    <w:sig w:usb0="00000003" w:usb1="500079DB" w:usb2="00000010" w:usb3="00000000" w:csb0="00000001" w:csb1="00000000"/>
  </w:font>
  <w:font w:name="ArialMT">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62121" w14:textId="77777777" w:rsidR="007A513A" w:rsidRDefault="007A513A" w:rsidP="008013A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3A1D8DD" w14:textId="77777777" w:rsidR="007A513A" w:rsidRDefault="007A513A" w:rsidP="008013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B23CE" w14:textId="196AC6A7" w:rsidR="007A513A" w:rsidRDefault="007A513A" w:rsidP="008013A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3062F">
      <w:rPr>
        <w:rStyle w:val="PageNumber"/>
        <w:noProof/>
      </w:rPr>
      <w:t>1</w:t>
    </w:r>
    <w:r>
      <w:rPr>
        <w:rStyle w:val="PageNumber"/>
      </w:rPr>
      <w:fldChar w:fldCharType="end"/>
    </w:r>
  </w:p>
  <w:p w14:paraId="34093D06" w14:textId="77777777" w:rsidR="007A513A" w:rsidRDefault="007A513A" w:rsidP="008013A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3569F" w14:textId="77777777" w:rsidR="007A513A" w:rsidRDefault="007A513A" w:rsidP="008013A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BAEC8E9" w14:textId="77777777" w:rsidR="007A513A" w:rsidRDefault="007A513A" w:rsidP="008013AC">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8B76A" w14:textId="2D8EEB0B" w:rsidR="007A513A" w:rsidRDefault="007A513A" w:rsidP="008013A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3062F">
      <w:rPr>
        <w:rStyle w:val="PageNumber"/>
        <w:noProof/>
      </w:rPr>
      <w:t>24</w:t>
    </w:r>
    <w:r>
      <w:rPr>
        <w:rStyle w:val="PageNumber"/>
      </w:rPr>
      <w:fldChar w:fldCharType="end"/>
    </w:r>
  </w:p>
  <w:p w14:paraId="499117E0" w14:textId="77777777" w:rsidR="007A513A" w:rsidRDefault="007A513A" w:rsidP="008013A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3DEDA" w14:textId="77777777" w:rsidR="00DA0C59" w:rsidRDefault="00DA0C59">
      <w:pPr>
        <w:spacing w:after="0" w:line="240" w:lineRule="auto"/>
      </w:pPr>
      <w:r>
        <w:separator/>
      </w:r>
    </w:p>
  </w:footnote>
  <w:footnote w:type="continuationSeparator" w:id="0">
    <w:p w14:paraId="7486241E" w14:textId="77777777" w:rsidR="00DA0C59" w:rsidRDefault="00DA0C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E3005"/>
    <w:multiLevelType w:val="hybridMultilevel"/>
    <w:tmpl w:val="53FC4D0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E032A0"/>
    <w:multiLevelType w:val="hybridMultilevel"/>
    <w:tmpl w:val="ADEA71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81002C"/>
    <w:multiLevelType w:val="hybridMultilevel"/>
    <w:tmpl w:val="A384A63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C03412"/>
    <w:multiLevelType w:val="hybridMultilevel"/>
    <w:tmpl w:val="53FC4D0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1421E2"/>
    <w:multiLevelType w:val="hybridMultilevel"/>
    <w:tmpl w:val="4A529CAE"/>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C3007F"/>
    <w:multiLevelType w:val="hybridMultilevel"/>
    <w:tmpl w:val="7C788598"/>
    <w:lvl w:ilvl="0" w:tplc="08090005">
      <w:start w:val="1"/>
      <w:numFmt w:val="bullet"/>
      <w:lvlText w:val=""/>
      <w:lvlJc w:val="left"/>
      <w:pPr>
        <w:ind w:left="1210" w:hanging="360"/>
      </w:pPr>
      <w:rPr>
        <w:rFonts w:ascii="Wingdings" w:hAnsi="Wingdings"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6" w15:restartNumberingAfterBreak="0">
    <w:nsid w:val="6A58096C"/>
    <w:multiLevelType w:val="hybridMultilevel"/>
    <w:tmpl w:val="3BBAAC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3924AA"/>
    <w:multiLevelType w:val="multilevel"/>
    <w:tmpl w:val="8F8A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7C67A7"/>
    <w:multiLevelType w:val="hybridMultilevel"/>
    <w:tmpl w:val="661CBAF4"/>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055450"/>
    <w:multiLevelType w:val="hybridMultilevel"/>
    <w:tmpl w:val="7CAAFAC4"/>
    <w:lvl w:ilvl="0" w:tplc="428446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2F59E8"/>
    <w:multiLevelType w:val="hybridMultilevel"/>
    <w:tmpl w:val="A384A63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C871F88"/>
    <w:multiLevelType w:val="hybridMultilevel"/>
    <w:tmpl w:val="8A2AF8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6"/>
  </w:num>
  <w:num w:numId="4">
    <w:abstractNumId w:val="5"/>
  </w:num>
  <w:num w:numId="5">
    <w:abstractNumId w:val="3"/>
  </w:num>
  <w:num w:numId="6">
    <w:abstractNumId w:val="4"/>
  </w:num>
  <w:num w:numId="7">
    <w:abstractNumId w:val="10"/>
  </w:num>
  <w:num w:numId="8">
    <w:abstractNumId w:val="2"/>
  </w:num>
  <w:num w:numId="9">
    <w:abstractNumId w:val="7"/>
  </w:num>
  <w:num w:numId="10">
    <w:abstractNumId w:val="11"/>
  </w:num>
  <w:num w:numId="11">
    <w:abstractNumId w:val="1"/>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8E2C20"/>
    <w:rsid w:val="0000496F"/>
    <w:rsid w:val="00013C1C"/>
    <w:rsid w:val="000174F3"/>
    <w:rsid w:val="000207D6"/>
    <w:rsid w:val="00030A97"/>
    <w:rsid w:val="000315FD"/>
    <w:rsid w:val="00032120"/>
    <w:rsid w:val="000333F8"/>
    <w:rsid w:val="0004223B"/>
    <w:rsid w:val="00042CCB"/>
    <w:rsid w:val="00045951"/>
    <w:rsid w:val="000471E4"/>
    <w:rsid w:val="00053001"/>
    <w:rsid w:val="00054AAD"/>
    <w:rsid w:val="00057390"/>
    <w:rsid w:val="00061F93"/>
    <w:rsid w:val="00063722"/>
    <w:rsid w:val="00065BE8"/>
    <w:rsid w:val="000754BA"/>
    <w:rsid w:val="0007609F"/>
    <w:rsid w:val="00076487"/>
    <w:rsid w:val="00087B0C"/>
    <w:rsid w:val="0009044A"/>
    <w:rsid w:val="000958AD"/>
    <w:rsid w:val="000A3060"/>
    <w:rsid w:val="000A7B08"/>
    <w:rsid w:val="000C79A9"/>
    <w:rsid w:val="000E19E1"/>
    <w:rsid w:val="000E1F16"/>
    <w:rsid w:val="00102CB4"/>
    <w:rsid w:val="00114801"/>
    <w:rsid w:val="0011581F"/>
    <w:rsid w:val="00125DF8"/>
    <w:rsid w:val="00133D86"/>
    <w:rsid w:val="00137A91"/>
    <w:rsid w:val="001417D5"/>
    <w:rsid w:val="001420EC"/>
    <w:rsid w:val="001469C7"/>
    <w:rsid w:val="00155BCD"/>
    <w:rsid w:val="00162E7C"/>
    <w:rsid w:val="0016767E"/>
    <w:rsid w:val="00172554"/>
    <w:rsid w:val="001742CB"/>
    <w:rsid w:val="00175702"/>
    <w:rsid w:val="00183CFA"/>
    <w:rsid w:val="00186A2D"/>
    <w:rsid w:val="00195B8F"/>
    <w:rsid w:val="001962A6"/>
    <w:rsid w:val="001B0FE4"/>
    <w:rsid w:val="001D05D2"/>
    <w:rsid w:val="001D253F"/>
    <w:rsid w:val="001E03A2"/>
    <w:rsid w:val="001E6502"/>
    <w:rsid w:val="001E73F5"/>
    <w:rsid w:val="001F42DF"/>
    <w:rsid w:val="001F67F6"/>
    <w:rsid w:val="002010D6"/>
    <w:rsid w:val="00206A16"/>
    <w:rsid w:val="00213F41"/>
    <w:rsid w:val="00216B72"/>
    <w:rsid w:val="0024211A"/>
    <w:rsid w:val="002434AF"/>
    <w:rsid w:val="00250EE1"/>
    <w:rsid w:val="00274E0B"/>
    <w:rsid w:val="00283E73"/>
    <w:rsid w:val="0028479C"/>
    <w:rsid w:val="002879CE"/>
    <w:rsid w:val="00296316"/>
    <w:rsid w:val="002969DD"/>
    <w:rsid w:val="002A79B0"/>
    <w:rsid w:val="002B0110"/>
    <w:rsid w:val="002B1B4D"/>
    <w:rsid w:val="002D229C"/>
    <w:rsid w:val="002E5C97"/>
    <w:rsid w:val="002F0EDE"/>
    <w:rsid w:val="003042CC"/>
    <w:rsid w:val="0031037B"/>
    <w:rsid w:val="00322AD3"/>
    <w:rsid w:val="00330074"/>
    <w:rsid w:val="0033358F"/>
    <w:rsid w:val="003354A9"/>
    <w:rsid w:val="003360D7"/>
    <w:rsid w:val="0034568A"/>
    <w:rsid w:val="00347C2E"/>
    <w:rsid w:val="003532F6"/>
    <w:rsid w:val="003568CE"/>
    <w:rsid w:val="0037307B"/>
    <w:rsid w:val="00373629"/>
    <w:rsid w:val="003742B7"/>
    <w:rsid w:val="00377DF2"/>
    <w:rsid w:val="00382300"/>
    <w:rsid w:val="00390609"/>
    <w:rsid w:val="00394BF5"/>
    <w:rsid w:val="003A302D"/>
    <w:rsid w:val="003A399C"/>
    <w:rsid w:val="003B09B3"/>
    <w:rsid w:val="003B1214"/>
    <w:rsid w:val="003D1083"/>
    <w:rsid w:val="00412017"/>
    <w:rsid w:val="004233CB"/>
    <w:rsid w:val="004263CC"/>
    <w:rsid w:val="00427571"/>
    <w:rsid w:val="00432A5C"/>
    <w:rsid w:val="00433130"/>
    <w:rsid w:val="0044431C"/>
    <w:rsid w:val="00446A5A"/>
    <w:rsid w:val="00451794"/>
    <w:rsid w:val="00461031"/>
    <w:rsid w:val="00463CB7"/>
    <w:rsid w:val="0046568E"/>
    <w:rsid w:val="00465956"/>
    <w:rsid w:val="00472A59"/>
    <w:rsid w:val="00473C43"/>
    <w:rsid w:val="00484B8B"/>
    <w:rsid w:val="004A047E"/>
    <w:rsid w:val="004A5419"/>
    <w:rsid w:val="004A7509"/>
    <w:rsid w:val="004C02AA"/>
    <w:rsid w:val="004C356F"/>
    <w:rsid w:val="004E0B37"/>
    <w:rsid w:val="004E139D"/>
    <w:rsid w:val="004F1366"/>
    <w:rsid w:val="004F3A55"/>
    <w:rsid w:val="00501DDB"/>
    <w:rsid w:val="00515533"/>
    <w:rsid w:val="00515E8D"/>
    <w:rsid w:val="00525058"/>
    <w:rsid w:val="00525AFE"/>
    <w:rsid w:val="00550265"/>
    <w:rsid w:val="00550978"/>
    <w:rsid w:val="005624F4"/>
    <w:rsid w:val="00567662"/>
    <w:rsid w:val="00573710"/>
    <w:rsid w:val="005744F1"/>
    <w:rsid w:val="00594D6E"/>
    <w:rsid w:val="00594F8D"/>
    <w:rsid w:val="005A46B3"/>
    <w:rsid w:val="005A7DF0"/>
    <w:rsid w:val="005B0CA2"/>
    <w:rsid w:val="005C5350"/>
    <w:rsid w:val="005C7B72"/>
    <w:rsid w:val="005D0DB8"/>
    <w:rsid w:val="005D19CB"/>
    <w:rsid w:val="005D3F9F"/>
    <w:rsid w:val="005E6C31"/>
    <w:rsid w:val="005E7292"/>
    <w:rsid w:val="005E72AE"/>
    <w:rsid w:val="005F7BFC"/>
    <w:rsid w:val="006012C2"/>
    <w:rsid w:val="00604A4B"/>
    <w:rsid w:val="006114BA"/>
    <w:rsid w:val="00614203"/>
    <w:rsid w:val="0061445B"/>
    <w:rsid w:val="00624375"/>
    <w:rsid w:val="00633E48"/>
    <w:rsid w:val="00634B08"/>
    <w:rsid w:val="00636303"/>
    <w:rsid w:val="00637149"/>
    <w:rsid w:val="00650359"/>
    <w:rsid w:val="00652076"/>
    <w:rsid w:val="00654EB5"/>
    <w:rsid w:val="0066458A"/>
    <w:rsid w:val="00671ED2"/>
    <w:rsid w:val="00680145"/>
    <w:rsid w:val="006840CF"/>
    <w:rsid w:val="006A17FC"/>
    <w:rsid w:val="006B64C3"/>
    <w:rsid w:val="006C02C2"/>
    <w:rsid w:val="006D246E"/>
    <w:rsid w:val="006E3B84"/>
    <w:rsid w:val="006E4F26"/>
    <w:rsid w:val="006E674C"/>
    <w:rsid w:val="006F224C"/>
    <w:rsid w:val="006F2543"/>
    <w:rsid w:val="00702711"/>
    <w:rsid w:val="00702924"/>
    <w:rsid w:val="007035DE"/>
    <w:rsid w:val="007073AE"/>
    <w:rsid w:val="00710E8B"/>
    <w:rsid w:val="007120F4"/>
    <w:rsid w:val="007304D5"/>
    <w:rsid w:val="00747B3A"/>
    <w:rsid w:val="00750FCB"/>
    <w:rsid w:val="00752C95"/>
    <w:rsid w:val="00761D0A"/>
    <w:rsid w:val="00763096"/>
    <w:rsid w:val="007741A0"/>
    <w:rsid w:val="00780409"/>
    <w:rsid w:val="00780477"/>
    <w:rsid w:val="00793FFA"/>
    <w:rsid w:val="007A12AA"/>
    <w:rsid w:val="007A513A"/>
    <w:rsid w:val="007A541A"/>
    <w:rsid w:val="007A7839"/>
    <w:rsid w:val="007B53FB"/>
    <w:rsid w:val="007B78F6"/>
    <w:rsid w:val="007C0C4E"/>
    <w:rsid w:val="007C28DA"/>
    <w:rsid w:val="007C4748"/>
    <w:rsid w:val="007D0112"/>
    <w:rsid w:val="007D1517"/>
    <w:rsid w:val="007E0C29"/>
    <w:rsid w:val="007E18BD"/>
    <w:rsid w:val="007E581B"/>
    <w:rsid w:val="007E6018"/>
    <w:rsid w:val="007F4956"/>
    <w:rsid w:val="008013AC"/>
    <w:rsid w:val="00803AE6"/>
    <w:rsid w:val="0080402C"/>
    <w:rsid w:val="0080658B"/>
    <w:rsid w:val="00815E50"/>
    <w:rsid w:val="00826A93"/>
    <w:rsid w:val="00831B41"/>
    <w:rsid w:val="00833082"/>
    <w:rsid w:val="0084021B"/>
    <w:rsid w:val="00841FD1"/>
    <w:rsid w:val="00844DE3"/>
    <w:rsid w:val="00846164"/>
    <w:rsid w:val="00853BE0"/>
    <w:rsid w:val="00856AD6"/>
    <w:rsid w:val="00863178"/>
    <w:rsid w:val="00872F4B"/>
    <w:rsid w:val="00873DBA"/>
    <w:rsid w:val="008838F6"/>
    <w:rsid w:val="00884C56"/>
    <w:rsid w:val="00885B85"/>
    <w:rsid w:val="008911D7"/>
    <w:rsid w:val="00896CEC"/>
    <w:rsid w:val="008A0E3B"/>
    <w:rsid w:val="008B38A9"/>
    <w:rsid w:val="008C02AE"/>
    <w:rsid w:val="008C70FD"/>
    <w:rsid w:val="008D406C"/>
    <w:rsid w:val="008E2C20"/>
    <w:rsid w:val="008E5FF2"/>
    <w:rsid w:val="008F5452"/>
    <w:rsid w:val="00900A79"/>
    <w:rsid w:val="00904663"/>
    <w:rsid w:val="00904F94"/>
    <w:rsid w:val="00916EDF"/>
    <w:rsid w:val="0092767B"/>
    <w:rsid w:val="00932C86"/>
    <w:rsid w:val="0093325E"/>
    <w:rsid w:val="00942D38"/>
    <w:rsid w:val="0094611D"/>
    <w:rsid w:val="00955D2A"/>
    <w:rsid w:val="00962F91"/>
    <w:rsid w:val="0096500E"/>
    <w:rsid w:val="00967664"/>
    <w:rsid w:val="0097008B"/>
    <w:rsid w:val="009761D8"/>
    <w:rsid w:val="009978AA"/>
    <w:rsid w:val="009A4B15"/>
    <w:rsid w:val="009A757F"/>
    <w:rsid w:val="009B565D"/>
    <w:rsid w:val="009D05D2"/>
    <w:rsid w:val="009D15A4"/>
    <w:rsid w:val="009D7FB5"/>
    <w:rsid w:val="009E0653"/>
    <w:rsid w:val="00A0104E"/>
    <w:rsid w:val="00A01424"/>
    <w:rsid w:val="00A06856"/>
    <w:rsid w:val="00A07B3E"/>
    <w:rsid w:val="00A43855"/>
    <w:rsid w:val="00A4588C"/>
    <w:rsid w:val="00A518FB"/>
    <w:rsid w:val="00A52F75"/>
    <w:rsid w:val="00A604D3"/>
    <w:rsid w:val="00A605F9"/>
    <w:rsid w:val="00A671A8"/>
    <w:rsid w:val="00A86C38"/>
    <w:rsid w:val="00A86D75"/>
    <w:rsid w:val="00A93A85"/>
    <w:rsid w:val="00AA398B"/>
    <w:rsid w:val="00AA4A1E"/>
    <w:rsid w:val="00AD0BBA"/>
    <w:rsid w:val="00AD2478"/>
    <w:rsid w:val="00AD51C2"/>
    <w:rsid w:val="00AF1A0D"/>
    <w:rsid w:val="00AF6C7D"/>
    <w:rsid w:val="00AF6EB8"/>
    <w:rsid w:val="00B028DF"/>
    <w:rsid w:val="00B154B1"/>
    <w:rsid w:val="00B31749"/>
    <w:rsid w:val="00B33CCB"/>
    <w:rsid w:val="00B52F6B"/>
    <w:rsid w:val="00B54A2E"/>
    <w:rsid w:val="00B6246E"/>
    <w:rsid w:val="00B6363D"/>
    <w:rsid w:val="00B665FA"/>
    <w:rsid w:val="00B75651"/>
    <w:rsid w:val="00B82A84"/>
    <w:rsid w:val="00B920DE"/>
    <w:rsid w:val="00B92AE9"/>
    <w:rsid w:val="00B94873"/>
    <w:rsid w:val="00BB3223"/>
    <w:rsid w:val="00BC4079"/>
    <w:rsid w:val="00BC57F5"/>
    <w:rsid w:val="00BD0DC6"/>
    <w:rsid w:val="00BD465A"/>
    <w:rsid w:val="00BD6DF3"/>
    <w:rsid w:val="00BE6872"/>
    <w:rsid w:val="00C04BD2"/>
    <w:rsid w:val="00C21BD8"/>
    <w:rsid w:val="00C31B20"/>
    <w:rsid w:val="00C516CC"/>
    <w:rsid w:val="00C60DB4"/>
    <w:rsid w:val="00C61C85"/>
    <w:rsid w:val="00C6591B"/>
    <w:rsid w:val="00C67365"/>
    <w:rsid w:val="00C67B0F"/>
    <w:rsid w:val="00C7062A"/>
    <w:rsid w:val="00C7361C"/>
    <w:rsid w:val="00CA4135"/>
    <w:rsid w:val="00CC584E"/>
    <w:rsid w:val="00CD2455"/>
    <w:rsid w:val="00CE3FE4"/>
    <w:rsid w:val="00CF216D"/>
    <w:rsid w:val="00D161D0"/>
    <w:rsid w:val="00D1644C"/>
    <w:rsid w:val="00D24274"/>
    <w:rsid w:val="00D32016"/>
    <w:rsid w:val="00D43FFF"/>
    <w:rsid w:val="00D453ED"/>
    <w:rsid w:val="00D60A00"/>
    <w:rsid w:val="00D656AA"/>
    <w:rsid w:val="00D7278C"/>
    <w:rsid w:val="00D74A04"/>
    <w:rsid w:val="00D90380"/>
    <w:rsid w:val="00D91EA3"/>
    <w:rsid w:val="00D93390"/>
    <w:rsid w:val="00D97E2B"/>
    <w:rsid w:val="00DA0C59"/>
    <w:rsid w:val="00DB0F02"/>
    <w:rsid w:val="00DB3D49"/>
    <w:rsid w:val="00DB5B20"/>
    <w:rsid w:val="00DB7924"/>
    <w:rsid w:val="00DC0F2A"/>
    <w:rsid w:val="00DE48FA"/>
    <w:rsid w:val="00E20A90"/>
    <w:rsid w:val="00E23BA9"/>
    <w:rsid w:val="00E3041A"/>
    <w:rsid w:val="00E3176C"/>
    <w:rsid w:val="00E36EF2"/>
    <w:rsid w:val="00E379AA"/>
    <w:rsid w:val="00E466CB"/>
    <w:rsid w:val="00E60E9F"/>
    <w:rsid w:val="00E65679"/>
    <w:rsid w:val="00E71C18"/>
    <w:rsid w:val="00E83C21"/>
    <w:rsid w:val="00E85D31"/>
    <w:rsid w:val="00E933A5"/>
    <w:rsid w:val="00E97986"/>
    <w:rsid w:val="00EA2629"/>
    <w:rsid w:val="00EA57C2"/>
    <w:rsid w:val="00EB3D4B"/>
    <w:rsid w:val="00EB7BE8"/>
    <w:rsid w:val="00EC149F"/>
    <w:rsid w:val="00EC2081"/>
    <w:rsid w:val="00EC4C4F"/>
    <w:rsid w:val="00ED328A"/>
    <w:rsid w:val="00EE0238"/>
    <w:rsid w:val="00EE4966"/>
    <w:rsid w:val="00EE6580"/>
    <w:rsid w:val="00EF1617"/>
    <w:rsid w:val="00F013F8"/>
    <w:rsid w:val="00F04DE0"/>
    <w:rsid w:val="00F159EF"/>
    <w:rsid w:val="00F15D53"/>
    <w:rsid w:val="00F16A39"/>
    <w:rsid w:val="00F24353"/>
    <w:rsid w:val="00F24DE5"/>
    <w:rsid w:val="00F3062F"/>
    <w:rsid w:val="00F30C3B"/>
    <w:rsid w:val="00F30E04"/>
    <w:rsid w:val="00F30F71"/>
    <w:rsid w:val="00F31D1C"/>
    <w:rsid w:val="00F33512"/>
    <w:rsid w:val="00F33FC3"/>
    <w:rsid w:val="00F34666"/>
    <w:rsid w:val="00F40975"/>
    <w:rsid w:val="00F4343D"/>
    <w:rsid w:val="00F435B9"/>
    <w:rsid w:val="00F606DA"/>
    <w:rsid w:val="00F7005C"/>
    <w:rsid w:val="00F75E10"/>
    <w:rsid w:val="00F772F0"/>
    <w:rsid w:val="00F970CC"/>
    <w:rsid w:val="00FA062A"/>
    <w:rsid w:val="00FA326C"/>
    <w:rsid w:val="00FA5332"/>
    <w:rsid w:val="00FB0561"/>
    <w:rsid w:val="00FC1FE0"/>
    <w:rsid w:val="00FC3E84"/>
    <w:rsid w:val="00FE4653"/>
    <w:rsid w:val="00FE60C2"/>
    <w:rsid w:val="00FF7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3" type="connector" idref="#Straight Arrow Connector 23"/>
        <o:r id="V:Rule4" type="connector" idref="#Straight Arrow Connector 20"/>
      </o:rules>
    </o:shapelayout>
  </w:shapeDefaults>
  <w:decimalSymbol w:val="."/>
  <w:listSeparator w:val=","/>
  <w14:docId w14:val="2CE5F662"/>
  <w14:defaultImageDpi w14:val="32767"/>
  <w15:chartTrackingRefBased/>
  <w15:docId w15:val="{20DEA510-0156-6444-B39E-AB5786E8D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C20"/>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rsid w:val="008E2C20"/>
    <w:pPr>
      <w:keepNext/>
      <w:keepLines/>
      <w:spacing w:before="240" w:after="0"/>
      <w:outlineLvl w:val="0"/>
    </w:pPr>
    <w:rPr>
      <w:rFonts w:ascii="Cambria" w:eastAsia="MS Gothic" w:hAnsi="Cambria"/>
      <w:color w:val="365F91"/>
      <w:sz w:val="32"/>
      <w:szCs w:val="32"/>
    </w:rPr>
  </w:style>
  <w:style w:type="paragraph" w:styleId="Heading2">
    <w:name w:val="heading 2"/>
    <w:basedOn w:val="Normal"/>
    <w:next w:val="Normal"/>
    <w:link w:val="Heading2Char"/>
    <w:uiPriority w:val="9"/>
    <w:semiHidden/>
    <w:unhideWhenUsed/>
    <w:qFormat/>
    <w:rsid w:val="008E2C20"/>
    <w:pPr>
      <w:keepNext/>
      <w:spacing w:before="240" w:after="60"/>
      <w:outlineLvl w:val="1"/>
    </w:pPr>
    <w:rPr>
      <w:rFonts w:ascii="Cambria" w:eastAsia="Times New Roman" w:hAnsi="Cambria"/>
      <w:b/>
      <w:bCs/>
      <w:sz w:val="26"/>
      <w:szCs w:val="26"/>
      <w:lang w:eastAsia="en-GB"/>
    </w:rPr>
  </w:style>
  <w:style w:type="paragraph" w:styleId="Heading3">
    <w:name w:val="heading 3"/>
    <w:basedOn w:val="Normal"/>
    <w:next w:val="Normal"/>
    <w:link w:val="Heading3Char"/>
    <w:uiPriority w:val="9"/>
    <w:unhideWhenUsed/>
    <w:qFormat/>
    <w:rsid w:val="008E2C20"/>
    <w:pPr>
      <w:keepNext/>
      <w:keepLines/>
      <w:spacing w:before="200" w:after="0"/>
      <w:outlineLvl w:val="2"/>
    </w:pPr>
    <w:rPr>
      <w:rFonts w:ascii="Cambria" w:eastAsia="MS Gothic" w:hAnsi="Cambria"/>
      <w:b/>
      <w:bCs/>
      <w:color w:val="4F81BD"/>
    </w:rPr>
  </w:style>
  <w:style w:type="paragraph" w:styleId="Heading4">
    <w:name w:val="heading 4"/>
    <w:basedOn w:val="Normal"/>
    <w:next w:val="Normal"/>
    <w:link w:val="Heading4Char"/>
    <w:uiPriority w:val="9"/>
    <w:unhideWhenUsed/>
    <w:qFormat/>
    <w:rsid w:val="008E2C20"/>
    <w:pPr>
      <w:keepNext/>
      <w:keepLines/>
      <w:spacing w:before="200" w:after="0"/>
      <w:outlineLvl w:val="3"/>
    </w:pPr>
    <w:rPr>
      <w:rFonts w:ascii="Cambria" w:eastAsia="MS Gothic" w:hAnsi="Cambria"/>
      <w:b/>
      <w:bCs/>
      <w:i/>
      <w:iCs/>
      <w:color w:val="4F81BD"/>
    </w:rPr>
  </w:style>
  <w:style w:type="paragraph" w:styleId="Heading5">
    <w:name w:val="heading 5"/>
    <w:basedOn w:val="Normal"/>
    <w:next w:val="Normal"/>
    <w:link w:val="Heading5Char"/>
    <w:uiPriority w:val="9"/>
    <w:semiHidden/>
    <w:unhideWhenUsed/>
    <w:qFormat/>
    <w:rsid w:val="008E2C20"/>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8E2C20"/>
    <w:pPr>
      <w:spacing w:before="240" w:after="60"/>
      <w:outlineLvl w:val="5"/>
    </w:pPr>
    <w:rPr>
      <w:rFonts w:ascii="Cambria" w:eastAsia="Times New Roman" w:hAnsi="Cambria"/>
      <w:i/>
      <w:iCs/>
      <w:color w:val="243F60"/>
      <w:sz w:val="20"/>
      <w:szCs w:val="20"/>
      <w:lang w:eastAsia="en-GB"/>
    </w:rPr>
  </w:style>
  <w:style w:type="paragraph" w:styleId="Heading7">
    <w:name w:val="heading 7"/>
    <w:basedOn w:val="Normal"/>
    <w:next w:val="Normal"/>
    <w:link w:val="Heading7Char"/>
    <w:uiPriority w:val="9"/>
    <w:semiHidden/>
    <w:unhideWhenUsed/>
    <w:qFormat/>
    <w:rsid w:val="008E2C20"/>
    <w:pPr>
      <w:spacing w:before="240" w:after="60"/>
      <w:outlineLvl w:val="6"/>
    </w:pPr>
    <w:rPr>
      <w:rFonts w:ascii="Cambria" w:eastAsia="Times New Roman" w:hAnsi="Cambria"/>
      <w:i/>
      <w:iCs/>
      <w:color w:val="404040"/>
      <w:sz w:val="20"/>
      <w:szCs w:val="20"/>
      <w:lang w:eastAsia="en-GB"/>
    </w:rPr>
  </w:style>
  <w:style w:type="paragraph" w:styleId="Heading8">
    <w:name w:val="heading 8"/>
    <w:basedOn w:val="Normal"/>
    <w:next w:val="Normal"/>
    <w:link w:val="Heading8Char"/>
    <w:uiPriority w:val="9"/>
    <w:semiHidden/>
    <w:unhideWhenUsed/>
    <w:qFormat/>
    <w:rsid w:val="008E2C20"/>
    <w:pPr>
      <w:spacing w:before="240" w:after="60"/>
      <w:outlineLvl w:val="7"/>
    </w:pPr>
    <w:rPr>
      <w:rFonts w:ascii="Cambria" w:eastAsia="Times New Roman" w:hAnsi="Cambria"/>
      <w:color w:val="404040"/>
      <w:sz w:val="20"/>
      <w:szCs w:val="20"/>
      <w:lang w:eastAsia="en-GB"/>
    </w:rPr>
  </w:style>
  <w:style w:type="paragraph" w:styleId="Heading9">
    <w:name w:val="heading 9"/>
    <w:basedOn w:val="Normal"/>
    <w:next w:val="Normal"/>
    <w:link w:val="Heading9Char"/>
    <w:uiPriority w:val="9"/>
    <w:semiHidden/>
    <w:unhideWhenUsed/>
    <w:qFormat/>
    <w:rsid w:val="008E2C20"/>
    <w:pPr>
      <w:spacing w:before="240" w:after="60"/>
      <w:outlineLvl w:val="8"/>
    </w:pPr>
    <w:rPr>
      <w:rFonts w:ascii="Cambria" w:eastAsia="Times New Roman" w:hAnsi="Cambria"/>
      <w:i/>
      <w:iCs/>
      <w:color w:val="40404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E2C20"/>
    <w:rPr>
      <w:rFonts w:ascii="Cambria" w:eastAsia="MS Gothic" w:hAnsi="Cambria" w:cs="Times New Roman"/>
      <w:color w:val="365F91"/>
      <w:sz w:val="32"/>
      <w:szCs w:val="32"/>
    </w:rPr>
  </w:style>
  <w:style w:type="character" w:customStyle="1" w:styleId="Heading2Char">
    <w:name w:val="Heading 2 Char"/>
    <w:link w:val="Heading2"/>
    <w:uiPriority w:val="9"/>
    <w:rsid w:val="008E2C20"/>
    <w:rPr>
      <w:rFonts w:ascii="Cambria" w:eastAsia="Times New Roman" w:hAnsi="Cambria" w:cs="Times New Roman"/>
      <w:b/>
      <w:bCs/>
      <w:sz w:val="26"/>
      <w:szCs w:val="26"/>
      <w:lang w:eastAsia="en-GB"/>
    </w:rPr>
  </w:style>
  <w:style w:type="character" w:customStyle="1" w:styleId="Heading3Char">
    <w:name w:val="Heading 3 Char"/>
    <w:link w:val="Heading3"/>
    <w:uiPriority w:val="9"/>
    <w:rsid w:val="008E2C20"/>
    <w:rPr>
      <w:rFonts w:ascii="Cambria" w:eastAsia="MS Gothic" w:hAnsi="Cambria" w:cs="Times New Roman"/>
      <w:b/>
      <w:bCs/>
      <w:color w:val="4F81BD"/>
      <w:sz w:val="22"/>
      <w:szCs w:val="22"/>
    </w:rPr>
  </w:style>
  <w:style w:type="character" w:customStyle="1" w:styleId="Heading4Char">
    <w:name w:val="Heading 4 Char"/>
    <w:link w:val="Heading4"/>
    <w:uiPriority w:val="9"/>
    <w:rsid w:val="008E2C20"/>
    <w:rPr>
      <w:rFonts w:ascii="Cambria" w:eastAsia="MS Gothic" w:hAnsi="Cambria" w:cs="Times New Roman"/>
      <w:b/>
      <w:bCs/>
      <w:i/>
      <w:iCs/>
      <w:color w:val="4F81BD"/>
      <w:sz w:val="22"/>
      <w:szCs w:val="22"/>
    </w:rPr>
  </w:style>
  <w:style w:type="character" w:customStyle="1" w:styleId="Heading5Char">
    <w:name w:val="Heading 5 Char"/>
    <w:link w:val="Heading5"/>
    <w:uiPriority w:val="9"/>
    <w:semiHidden/>
    <w:rsid w:val="008E2C20"/>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8E2C20"/>
    <w:rPr>
      <w:rFonts w:ascii="Cambria" w:eastAsia="Times New Roman" w:hAnsi="Cambria" w:cs="Times New Roman"/>
      <w:i/>
      <w:iCs/>
      <w:color w:val="243F60"/>
      <w:sz w:val="20"/>
      <w:szCs w:val="20"/>
      <w:lang w:eastAsia="en-GB"/>
    </w:rPr>
  </w:style>
  <w:style w:type="character" w:customStyle="1" w:styleId="Heading7Char">
    <w:name w:val="Heading 7 Char"/>
    <w:link w:val="Heading7"/>
    <w:uiPriority w:val="9"/>
    <w:semiHidden/>
    <w:rsid w:val="008E2C20"/>
    <w:rPr>
      <w:rFonts w:ascii="Cambria" w:eastAsia="Times New Roman" w:hAnsi="Cambria" w:cs="Times New Roman"/>
      <w:i/>
      <w:iCs/>
      <w:color w:val="404040"/>
      <w:sz w:val="20"/>
      <w:szCs w:val="20"/>
      <w:lang w:eastAsia="en-GB"/>
    </w:rPr>
  </w:style>
  <w:style w:type="character" w:customStyle="1" w:styleId="Heading8Char">
    <w:name w:val="Heading 8 Char"/>
    <w:link w:val="Heading8"/>
    <w:uiPriority w:val="9"/>
    <w:semiHidden/>
    <w:rsid w:val="008E2C20"/>
    <w:rPr>
      <w:rFonts w:ascii="Cambria" w:eastAsia="Times New Roman" w:hAnsi="Cambria" w:cs="Times New Roman"/>
      <w:color w:val="404040"/>
      <w:sz w:val="20"/>
      <w:szCs w:val="20"/>
      <w:lang w:eastAsia="en-GB"/>
    </w:rPr>
  </w:style>
  <w:style w:type="character" w:customStyle="1" w:styleId="Heading9Char">
    <w:name w:val="Heading 9 Char"/>
    <w:link w:val="Heading9"/>
    <w:uiPriority w:val="9"/>
    <w:semiHidden/>
    <w:rsid w:val="008E2C20"/>
    <w:rPr>
      <w:rFonts w:ascii="Cambria" w:eastAsia="Times New Roman" w:hAnsi="Cambria" w:cs="Times New Roman"/>
      <w:i/>
      <w:iCs/>
      <w:color w:val="404040"/>
      <w:sz w:val="20"/>
      <w:szCs w:val="20"/>
      <w:lang w:eastAsia="en-GB"/>
    </w:rPr>
  </w:style>
  <w:style w:type="paragraph" w:styleId="ListParagraph">
    <w:name w:val="List Paragraph"/>
    <w:basedOn w:val="Normal"/>
    <w:link w:val="ListParagraphChar"/>
    <w:uiPriority w:val="34"/>
    <w:qFormat/>
    <w:rsid w:val="008E2C20"/>
    <w:pPr>
      <w:spacing w:after="160" w:line="259" w:lineRule="auto"/>
      <w:ind w:left="720"/>
      <w:contextualSpacing/>
    </w:pPr>
  </w:style>
  <w:style w:type="table" w:styleId="TableGrid">
    <w:name w:val="Table Grid"/>
    <w:basedOn w:val="TableNormal"/>
    <w:uiPriority w:val="59"/>
    <w:rsid w:val="008E2C20"/>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8E2C20"/>
    <w:rPr>
      <w:sz w:val="16"/>
      <w:szCs w:val="16"/>
    </w:rPr>
  </w:style>
  <w:style w:type="paragraph" w:styleId="CommentText">
    <w:name w:val="annotation text"/>
    <w:basedOn w:val="Normal"/>
    <w:link w:val="CommentTextChar"/>
    <w:uiPriority w:val="99"/>
    <w:unhideWhenUsed/>
    <w:rsid w:val="008E2C20"/>
    <w:pPr>
      <w:spacing w:line="240" w:lineRule="auto"/>
    </w:pPr>
    <w:rPr>
      <w:sz w:val="20"/>
      <w:szCs w:val="20"/>
    </w:rPr>
  </w:style>
  <w:style w:type="character" w:customStyle="1" w:styleId="CommentTextChar">
    <w:name w:val="Comment Text Char"/>
    <w:link w:val="CommentText"/>
    <w:uiPriority w:val="99"/>
    <w:rsid w:val="008E2C2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E2C20"/>
    <w:rPr>
      <w:b/>
      <w:bCs/>
    </w:rPr>
  </w:style>
  <w:style w:type="character" w:customStyle="1" w:styleId="CommentSubjectChar">
    <w:name w:val="Comment Subject Char"/>
    <w:link w:val="CommentSubject"/>
    <w:uiPriority w:val="99"/>
    <w:semiHidden/>
    <w:rsid w:val="008E2C2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E2C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E2C20"/>
    <w:rPr>
      <w:rFonts w:ascii="Tahoma" w:eastAsia="Calibri" w:hAnsi="Tahoma" w:cs="Tahoma"/>
      <w:sz w:val="16"/>
      <w:szCs w:val="16"/>
    </w:rPr>
  </w:style>
  <w:style w:type="character" w:customStyle="1" w:styleId="apple-converted-space">
    <w:name w:val="apple-converted-space"/>
    <w:basedOn w:val="DefaultParagraphFont"/>
    <w:rsid w:val="008E2C20"/>
  </w:style>
  <w:style w:type="paragraph" w:styleId="NormalWeb">
    <w:name w:val="Normal (Web)"/>
    <w:basedOn w:val="Normal"/>
    <w:uiPriority w:val="99"/>
    <w:semiHidden/>
    <w:unhideWhenUsed/>
    <w:rsid w:val="008E2C20"/>
    <w:pPr>
      <w:spacing w:before="100" w:beforeAutospacing="1" w:after="100" w:afterAutospacing="1" w:line="240" w:lineRule="auto"/>
    </w:pPr>
    <w:rPr>
      <w:rFonts w:ascii="Times New Roman" w:eastAsia="MS Mincho" w:hAnsi="Times New Roman"/>
      <w:sz w:val="24"/>
      <w:szCs w:val="24"/>
      <w:lang w:eastAsia="en-GB"/>
    </w:rPr>
  </w:style>
  <w:style w:type="table" w:customStyle="1" w:styleId="TableGrid1">
    <w:name w:val="Table Grid1"/>
    <w:basedOn w:val="TableNormal"/>
    <w:next w:val="TableGrid"/>
    <w:uiPriority w:val="39"/>
    <w:rsid w:val="008E2C20"/>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2C20"/>
    <w:rPr>
      <w:rFonts w:ascii="Calibri" w:eastAsia="Calibri" w:hAnsi="Calibri" w:cs="Times New Roman"/>
      <w:sz w:val="22"/>
      <w:szCs w:val="22"/>
    </w:rPr>
  </w:style>
  <w:style w:type="character" w:styleId="Hyperlink">
    <w:name w:val="Hyperlink"/>
    <w:uiPriority w:val="99"/>
    <w:unhideWhenUsed/>
    <w:rsid w:val="008E2C20"/>
    <w:rPr>
      <w:color w:val="0000FF"/>
      <w:u w:val="single"/>
    </w:rPr>
  </w:style>
  <w:style w:type="paragraph" w:styleId="Revision">
    <w:name w:val="Revision"/>
    <w:hidden/>
    <w:uiPriority w:val="99"/>
    <w:semiHidden/>
    <w:rsid w:val="008E2C20"/>
    <w:rPr>
      <w:rFonts w:ascii="Calibri" w:eastAsia="Calibri" w:hAnsi="Calibri" w:cs="Times New Roman"/>
      <w:sz w:val="22"/>
      <w:szCs w:val="22"/>
    </w:rPr>
  </w:style>
  <w:style w:type="paragraph" w:styleId="Header">
    <w:name w:val="header"/>
    <w:basedOn w:val="Normal"/>
    <w:link w:val="HeaderChar"/>
    <w:uiPriority w:val="99"/>
    <w:unhideWhenUsed/>
    <w:rsid w:val="008E2C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2C20"/>
    <w:rPr>
      <w:rFonts w:ascii="Calibri" w:eastAsia="Calibri" w:hAnsi="Calibri" w:cs="Times New Roman"/>
      <w:sz w:val="22"/>
      <w:szCs w:val="22"/>
    </w:rPr>
  </w:style>
  <w:style w:type="paragraph" w:styleId="Footer">
    <w:name w:val="footer"/>
    <w:basedOn w:val="Normal"/>
    <w:link w:val="FooterChar"/>
    <w:uiPriority w:val="99"/>
    <w:unhideWhenUsed/>
    <w:rsid w:val="008E2C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2C20"/>
    <w:rPr>
      <w:rFonts w:ascii="Calibri" w:eastAsia="Calibri" w:hAnsi="Calibri" w:cs="Times New Roman"/>
      <w:sz w:val="22"/>
      <w:szCs w:val="22"/>
    </w:rPr>
  </w:style>
  <w:style w:type="character" w:styleId="FollowedHyperlink">
    <w:name w:val="FollowedHyperlink"/>
    <w:uiPriority w:val="99"/>
    <w:semiHidden/>
    <w:unhideWhenUsed/>
    <w:rsid w:val="008E2C20"/>
    <w:rPr>
      <w:color w:val="800080"/>
      <w:u w:val="single"/>
    </w:rPr>
  </w:style>
  <w:style w:type="paragraph" w:customStyle="1" w:styleId="EndNoteBibliographyTitle">
    <w:name w:val="EndNote Bibliography Title"/>
    <w:basedOn w:val="Normal"/>
    <w:link w:val="EndNoteBibliographyTitleChar"/>
    <w:rsid w:val="008E2C20"/>
    <w:pPr>
      <w:spacing w:after="0"/>
      <w:jc w:val="center"/>
    </w:pPr>
    <w:rPr>
      <w:rFonts w:cs="Calibri"/>
      <w:noProof/>
      <w:lang w:val="en-US"/>
    </w:rPr>
  </w:style>
  <w:style w:type="character" w:customStyle="1" w:styleId="EndNoteBibliographyTitleChar">
    <w:name w:val="EndNote Bibliography Title Char"/>
    <w:link w:val="EndNoteBibliographyTitle"/>
    <w:rsid w:val="008E2C20"/>
    <w:rPr>
      <w:rFonts w:ascii="Calibri" w:eastAsia="Calibri" w:hAnsi="Calibri" w:cs="Calibri"/>
      <w:noProof/>
      <w:sz w:val="22"/>
      <w:szCs w:val="22"/>
      <w:lang w:val="en-US"/>
    </w:rPr>
  </w:style>
  <w:style w:type="paragraph" w:customStyle="1" w:styleId="EndNoteBibliography">
    <w:name w:val="EndNote Bibliography"/>
    <w:basedOn w:val="Normal"/>
    <w:link w:val="EndNoteBibliographyChar"/>
    <w:rsid w:val="008E2C20"/>
    <w:pPr>
      <w:spacing w:line="240" w:lineRule="auto"/>
    </w:pPr>
    <w:rPr>
      <w:rFonts w:cs="Calibri"/>
      <w:noProof/>
      <w:lang w:val="en-US"/>
    </w:rPr>
  </w:style>
  <w:style w:type="character" w:customStyle="1" w:styleId="EndNoteBibliographyChar">
    <w:name w:val="EndNote Bibliography Char"/>
    <w:link w:val="EndNoteBibliography"/>
    <w:rsid w:val="008E2C20"/>
    <w:rPr>
      <w:rFonts w:ascii="Calibri" w:eastAsia="Calibri" w:hAnsi="Calibri" w:cs="Calibri"/>
      <w:noProof/>
      <w:sz w:val="22"/>
      <w:szCs w:val="22"/>
      <w:lang w:val="en-US"/>
    </w:rPr>
  </w:style>
  <w:style w:type="character" w:customStyle="1" w:styleId="ListParagraphChar">
    <w:name w:val="List Paragraph Char"/>
    <w:basedOn w:val="DefaultParagraphFont"/>
    <w:link w:val="ListParagraph"/>
    <w:uiPriority w:val="34"/>
    <w:rsid w:val="008E2C20"/>
    <w:rPr>
      <w:rFonts w:ascii="Calibri" w:eastAsia="Calibri" w:hAnsi="Calibri" w:cs="Times New Roman"/>
      <w:sz w:val="22"/>
      <w:szCs w:val="22"/>
    </w:rPr>
  </w:style>
  <w:style w:type="paragraph" w:styleId="DocumentMap">
    <w:name w:val="Document Map"/>
    <w:basedOn w:val="Normal"/>
    <w:link w:val="DocumentMapChar"/>
    <w:uiPriority w:val="99"/>
    <w:semiHidden/>
    <w:unhideWhenUsed/>
    <w:rsid w:val="008E2C20"/>
    <w:pPr>
      <w:spacing w:after="0" w:line="240" w:lineRule="auto"/>
    </w:pPr>
    <w:rPr>
      <w:rFonts w:ascii="Times New Roman" w:hAnsi="Times New Roman"/>
      <w:sz w:val="24"/>
      <w:szCs w:val="24"/>
    </w:rPr>
  </w:style>
  <w:style w:type="character" w:customStyle="1" w:styleId="DocumentMapChar">
    <w:name w:val="Document Map Char"/>
    <w:link w:val="DocumentMap"/>
    <w:uiPriority w:val="99"/>
    <w:semiHidden/>
    <w:rsid w:val="008E2C20"/>
    <w:rPr>
      <w:rFonts w:ascii="Times New Roman" w:eastAsia="Calibri" w:hAnsi="Times New Roman" w:cs="Times New Roman"/>
    </w:rPr>
  </w:style>
  <w:style w:type="paragraph" w:styleId="Caption">
    <w:name w:val="caption"/>
    <w:basedOn w:val="Normal"/>
    <w:next w:val="Normal"/>
    <w:uiPriority w:val="35"/>
    <w:qFormat/>
    <w:rsid w:val="008E2C20"/>
    <w:pPr>
      <w:spacing w:after="0" w:line="240" w:lineRule="auto"/>
    </w:pPr>
    <w:rPr>
      <w:rFonts w:ascii="Arial" w:eastAsia="MS Mincho" w:hAnsi="Arial"/>
      <w:b/>
      <w:bCs/>
      <w:sz w:val="20"/>
      <w:szCs w:val="20"/>
      <w:lang w:val="en-US" w:eastAsia="ja-JP"/>
    </w:rPr>
  </w:style>
  <w:style w:type="paragraph" w:customStyle="1" w:styleId="Heading21">
    <w:name w:val="Heading 21"/>
    <w:basedOn w:val="Normal"/>
    <w:next w:val="Normal"/>
    <w:uiPriority w:val="9"/>
    <w:unhideWhenUsed/>
    <w:qFormat/>
    <w:rsid w:val="008E2C20"/>
    <w:pPr>
      <w:keepNext/>
      <w:keepLines/>
      <w:spacing w:before="200" w:after="0"/>
      <w:ind w:left="1440" w:hanging="360"/>
      <w:outlineLvl w:val="1"/>
    </w:pPr>
    <w:rPr>
      <w:rFonts w:ascii="Cambria" w:eastAsia="Times New Roman" w:hAnsi="Cambria"/>
      <w:b/>
      <w:bCs/>
      <w:sz w:val="26"/>
      <w:szCs w:val="26"/>
    </w:rPr>
  </w:style>
  <w:style w:type="paragraph" w:customStyle="1" w:styleId="Heading61">
    <w:name w:val="Heading 61"/>
    <w:basedOn w:val="Normal"/>
    <w:next w:val="Normal"/>
    <w:uiPriority w:val="9"/>
    <w:semiHidden/>
    <w:unhideWhenUsed/>
    <w:qFormat/>
    <w:rsid w:val="008E2C20"/>
    <w:pPr>
      <w:keepNext/>
      <w:keepLines/>
      <w:spacing w:before="200" w:after="0"/>
      <w:ind w:left="4320" w:hanging="180"/>
      <w:outlineLvl w:val="5"/>
    </w:pPr>
    <w:rPr>
      <w:rFonts w:ascii="Cambria" w:eastAsia="Times New Roman" w:hAnsi="Cambria"/>
      <w:i/>
      <w:iCs/>
      <w:color w:val="243F60"/>
    </w:rPr>
  </w:style>
  <w:style w:type="paragraph" w:customStyle="1" w:styleId="Heading71">
    <w:name w:val="Heading 71"/>
    <w:basedOn w:val="Normal"/>
    <w:next w:val="Normal"/>
    <w:uiPriority w:val="9"/>
    <w:semiHidden/>
    <w:unhideWhenUsed/>
    <w:qFormat/>
    <w:rsid w:val="008E2C20"/>
    <w:pPr>
      <w:keepNext/>
      <w:keepLines/>
      <w:spacing w:before="200" w:after="0"/>
      <w:ind w:left="5040" w:hanging="360"/>
      <w:outlineLvl w:val="6"/>
    </w:pPr>
    <w:rPr>
      <w:rFonts w:ascii="Cambria" w:eastAsia="Times New Roman" w:hAnsi="Cambria"/>
      <w:i/>
      <w:iCs/>
      <w:color w:val="404040"/>
    </w:rPr>
  </w:style>
  <w:style w:type="paragraph" w:customStyle="1" w:styleId="Heading81">
    <w:name w:val="Heading 81"/>
    <w:basedOn w:val="Normal"/>
    <w:next w:val="Normal"/>
    <w:uiPriority w:val="9"/>
    <w:semiHidden/>
    <w:unhideWhenUsed/>
    <w:qFormat/>
    <w:rsid w:val="008E2C20"/>
    <w:pPr>
      <w:keepNext/>
      <w:keepLines/>
      <w:spacing w:before="200" w:after="0"/>
      <w:ind w:left="5760" w:hanging="360"/>
      <w:outlineLvl w:val="7"/>
    </w:pPr>
    <w:rPr>
      <w:rFonts w:ascii="Cambria" w:eastAsia="Times New Roman" w:hAnsi="Cambria"/>
      <w:color w:val="404040"/>
      <w:sz w:val="20"/>
      <w:szCs w:val="20"/>
    </w:rPr>
  </w:style>
  <w:style w:type="paragraph" w:customStyle="1" w:styleId="Heading91">
    <w:name w:val="Heading 91"/>
    <w:basedOn w:val="Normal"/>
    <w:next w:val="Normal"/>
    <w:uiPriority w:val="9"/>
    <w:semiHidden/>
    <w:unhideWhenUsed/>
    <w:qFormat/>
    <w:rsid w:val="008E2C20"/>
    <w:pPr>
      <w:keepNext/>
      <w:keepLines/>
      <w:spacing w:before="200" w:after="0"/>
      <w:ind w:left="6480" w:hanging="180"/>
      <w:outlineLvl w:val="8"/>
    </w:pPr>
    <w:rPr>
      <w:rFonts w:ascii="Cambria" w:eastAsia="Times New Roman" w:hAnsi="Cambria"/>
      <w:i/>
      <w:iCs/>
      <w:color w:val="404040"/>
      <w:sz w:val="20"/>
      <w:szCs w:val="20"/>
    </w:rPr>
  </w:style>
  <w:style w:type="numbering" w:customStyle="1" w:styleId="NoList1">
    <w:name w:val="No List1"/>
    <w:next w:val="NoList"/>
    <w:uiPriority w:val="99"/>
    <w:semiHidden/>
    <w:unhideWhenUsed/>
    <w:rsid w:val="008E2C20"/>
  </w:style>
  <w:style w:type="paragraph" w:customStyle="1" w:styleId="MediumGrid21">
    <w:name w:val="Medium Grid 21"/>
    <w:link w:val="MediumGrid2Char"/>
    <w:uiPriority w:val="1"/>
    <w:qFormat/>
    <w:rsid w:val="008E2C20"/>
    <w:rPr>
      <w:rFonts w:ascii="Calibri" w:eastAsia="Calibri" w:hAnsi="Calibri" w:cs="Times New Roman"/>
      <w:sz w:val="22"/>
      <w:szCs w:val="22"/>
    </w:rPr>
  </w:style>
  <w:style w:type="character" w:customStyle="1" w:styleId="MediumGrid2Char">
    <w:name w:val="Medium Grid 2 Char"/>
    <w:link w:val="MediumGrid21"/>
    <w:uiPriority w:val="1"/>
    <w:locked/>
    <w:rsid w:val="008E2C20"/>
    <w:rPr>
      <w:rFonts w:ascii="Calibri" w:eastAsia="Calibri" w:hAnsi="Calibri" w:cs="Times New Roman"/>
      <w:sz w:val="22"/>
      <w:szCs w:val="22"/>
    </w:rPr>
  </w:style>
  <w:style w:type="character" w:customStyle="1" w:styleId="CommentTextChar1">
    <w:name w:val="Comment Text Char1"/>
    <w:uiPriority w:val="99"/>
    <w:rsid w:val="008E2C20"/>
    <w:rPr>
      <w:lang w:val="en-GB" w:eastAsia="x-none" w:bidi="ar-SA"/>
    </w:rPr>
  </w:style>
  <w:style w:type="table" w:customStyle="1" w:styleId="TableGrid2">
    <w:name w:val="Table Grid2"/>
    <w:basedOn w:val="TableNormal"/>
    <w:next w:val="TableGrid"/>
    <w:uiPriority w:val="59"/>
    <w:rsid w:val="008E2C20"/>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uiPriority w:val="9"/>
    <w:semiHidden/>
    <w:rsid w:val="008E2C20"/>
    <w:rPr>
      <w:rFonts w:ascii="Calibri Light" w:eastAsia="Times New Roman" w:hAnsi="Calibri Light" w:cs="Times New Roman"/>
      <w:b/>
      <w:bCs/>
      <w:i/>
      <w:iCs/>
      <w:sz w:val="28"/>
      <w:szCs w:val="28"/>
      <w:lang w:eastAsia="en-US"/>
    </w:rPr>
  </w:style>
  <w:style w:type="character" w:customStyle="1" w:styleId="Heading6Char1">
    <w:name w:val="Heading 6 Char1"/>
    <w:uiPriority w:val="9"/>
    <w:semiHidden/>
    <w:rsid w:val="008E2C20"/>
    <w:rPr>
      <w:rFonts w:ascii="Calibri" w:eastAsia="Times New Roman" w:hAnsi="Calibri" w:cs="Times New Roman"/>
      <w:b/>
      <w:bCs/>
      <w:sz w:val="22"/>
      <w:szCs w:val="22"/>
      <w:lang w:eastAsia="en-US"/>
    </w:rPr>
  </w:style>
  <w:style w:type="character" w:customStyle="1" w:styleId="Heading7Char1">
    <w:name w:val="Heading 7 Char1"/>
    <w:uiPriority w:val="9"/>
    <w:semiHidden/>
    <w:rsid w:val="008E2C20"/>
    <w:rPr>
      <w:rFonts w:ascii="Calibri" w:eastAsia="Times New Roman" w:hAnsi="Calibri" w:cs="Times New Roman"/>
      <w:sz w:val="24"/>
      <w:szCs w:val="24"/>
      <w:lang w:eastAsia="en-US"/>
    </w:rPr>
  </w:style>
  <w:style w:type="character" w:customStyle="1" w:styleId="Heading8Char1">
    <w:name w:val="Heading 8 Char1"/>
    <w:uiPriority w:val="9"/>
    <w:semiHidden/>
    <w:rsid w:val="008E2C20"/>
    <w:rPr>
      <w:rFonts w:ascii="Calibri" w:eastAsia="Times New Roman" w:hAnsi="Calibri" w:cs="Times New Roman"/>
      <w:i/>
      <w:iCs/>
      <w:sz w:val="24"/>
      <w:szCs w:val="24"/>
      <w:lang w:eastAsia="en-US"/>
    </w:rPr>
  </w:style>
  <w:style w:type="character" w:customStyle="1" w:styleId="Heading9Char1">
    <w:name w:val="Heading 9 Char1"/>
    <w:uiPriority w:val="9"/>
    <w:semiHidden/>
    <w:rsid w:val="008E2C20"/>
    <w:rPr>
      <w:rFonts w:ascii="Calibri Light" w:eastAsia="Times New Roman" w:hAnsi="Calibri Light" w:cs="Times New Roman"/>
      <w:sz w:val="22"/>
      <w:szCs w:val="22"/>
      <w:lang w:eastAsia="en-US"/>
    </w:rPr>
  </w:style>
  <w:style w:type="character" w:customStyle="1" w:styleId="UnresolvedMention">
    <w:name w:val="Unresolved Mention"/>
    <w:uiPriority w:val="99"/>
    <w:unhideWhenUsed/>
    <w:rsid w:val="008E2C20"/>
    <w:rPr>
      <w:color w:val="808080"/>
      <w:shd w:val="clear" w:color="auto" w:fill="E6E6E6"/>
    </w:rPr>
  </w:style>
  <w:style w:type="character" w:styleId="PageNumber">
    <w:name w:val="page number"/>
    <w:uiPriority w:val="99"/>
    <w:semiHidden/>
    <w:unhideWhenUsed/>
    <w:rsid w:val="008E2C20"/>
  </w:style>
  <w:style w:type="character" w:styleId="LineNumber">
    <w:name w:val="line number"/>
    <w:basedOn w:val="DefaultParagraphFont"/>
    <w:uiPriority w:val="99"/>
    <w:semiHidden/>
    <w:unhideWhenUsed/>
    <w:rsid w:val="002F0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0034">
      <w:bodyDiv w:val="1"/>
      <w:marLeft w:val="0"/>
      <w:marRight w:val="0"/>
      <w:marTop w:val="0"/>
      <w:marBottom w:val="0"/>
      <w:divBdr>
        <w:top w:val="none" w:sz="0" w:space="0" w:color="auto"/>
        <w:left w:val="none" w:sz="0" w:space="0" w:color="auto"/>
        <w:bottom w:val="none" w:sz="0" w:space="0" w:color="auto"/>
        <w:right w:val="none" w:sz="0" w:space="0" w:color="auto"/>
      </w:divBdr>
    </w:div>
    <w:div w:id="176892815">
      <w:bodyDiv w:val="1"/>
      <w:marLeft w:val="0"/>
      <w:marRight w:val="0"/>
      <w:marTop w:val="0"/>
      <w:marBottom w:val="0"/>
      <w:divBdr>
        <w:top w:val="none" w:sz="0" w:space="0" w:color="auto"/>
        <w:left w:val="none" w:sz="0" w:space="0" w:color="auto"/>
        <w:bottom w:val="none" w:sz="0" w:space="0" w:color="auto"/>
        <w:right w:val="none" w:sz="0" w:space="0" w:color="auto"/>
      </w:divBdr>
    </w:div>
    <w:div w:id="189419673">
      <w:bodyDiv w:val="1"/>
      <w:marLeft w:val="0"/>
      <w:marRight w:val="0"/>
      <w:marTop w:val="0"/>
      <w:marBottom w:val="0"/>
      <w:divBdr>
        <w:top w:val="none" w:sz="0" w:space="0" w:color="auto"/>
        <w:left w:val="none" w:sz="0" w:space="0" w:color="auto"/>
        <w:bottom w:val="none" w:sz="0" w:space="0" w:color="auto"/>
        <w:right w:val="none" w:sz="0" w:space="0" w:color="auto"/>
      </w:divBdr>
      <w:divsChild>
        <w:div w:id="1355571968">
          <w:marLeft w:val="0"/>
          <w:marRight w:val="0"/>
          <w:marTop w:val="0"/>
          <w:marBottom w:val="0"/>
          <w:divBdr>
            <w:top w:val="none" w:sz="0" w:space="0" w:color="auto"/>
            <w:left w:val="none" w:sz="0" w:space="0" w:color="auto"/>
            <w:bottom w:val="none" w:sz="0" w:space="0" w:color="auto"/>
            <w:right w:val="none" w:sz="0" w:space="0" w:color="auto"/>
          </w:divBdr>
          <w:divsChild>
            <w:div w:id="764427007">
              <w:marLeft w:val="0"/>
              <w:marRight w:val="0"/>
              <w:marTop w:val="0"/>
              <w:marBottom w:val="0"/>
              <w:divBdr>
                <w:top w:val="none" w:sz="0" w:space="0" w:color="auto"/>
                <w:left w:val="none" w:sz="0" w:space="0" w:color="auto"/>
                <w:bottom w:val="none" w:sz="0" w:space="0" w:color="auto"/>
                <w:right w:val="none" w:sz="0" w:space="0" w:color="auto"/>
              </w:divBdr>
              <w:divsChild>
                <w:div w:id="47830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547382">
      <w:bodyDiv w:val="1"/>
      <w:marLeft w:val="0"/>
      <w:marRight w:val="0"/>
      <w:marTop w:val="0"/>
      <w:marBottom w:val="0"/>
      <w:divBdr>
        <w:top w:val="none" w:sz="0" w:space="0" w:color="auto"/>
        <w:left w:val="none" w:sz="0" w:space="0" w:color="auto"/>
        <w:bottom w:val="none" w:sz="0" w:space="0" w:color="auto"/>
        <w:right w:val="none" w:sz="0" w:space="0" w:color="auto"/>
      </w:divBdr>
      <w:divsChild>
        <w:div w:id="832339000">
          <w:marLeft w:val="0"/>
          <w:marRight w:val="0"/>
          <w:marTop w:val="0"/>
          <w:marBottom w:val="0"/>
          <w:divBdr>
            <w:top w:val="none" w:sz="0" w:space="0" w:color="auto"/>
            <w:left w:val="none" w:sz="0" w:space="0" w:color="auto"/>
            <w:bottom w:val="none" w:sz="0" w:space="0" w:color="auto"/>
            <w:right w:val="none" w:sz="0" w:space="0" w:color="auto"/>
          </w:divBdr>
          <w:divsChild>
            <w:div w:id="200554541">
              <w:marLeft w:val="0"/>
              <w:marRight w:val="0"/>
              <w:marTop w:val="0"/>
              <w:marBottom w:val="0"/>
              <w:divBdr>
                <w:top w:val="none" w:sz="0" w:space="0" w:color="auto"/>
                <w:left w:val="none" w:sz="0" w:space="0" w:color="auto"/>
                <w:bottom w:val="none" w:sz="0" w:space="0" w:color="auto"/>
                <w:right w:val="none" w:sz="0" w:space="0" w:color="auto"/>
              </w:divBdr>
              <w:divsChild>
                <w:div w:id="176823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501">
      <w:bodyDiv w:val="1"/>
      <w:marLeft w:val="0"/>
      <w:marRight w:val="0"/>
      <w:marTop w:val="0"/>
      <w:marBottom w:val="0"/>
      <w:divBdr>
        <w:top w:val="none" w:sz="0" w:space="0" w:color="auto"/>
        <w:left w:val="none" w:sz="0" w:space="0" w:color="auto"/>
        <w:bottom w:val="none" w:sz="0" w:space="0" w:color="auto"/>
        <w:right w:val="none" w:sz="0" w:space="0" w:color="auto"/>
      </w:divBdr>
      <w:divsChild>
        <w:div w:id="2135900051">
          <w:marLeft w:val="0"/>
          <w:marRight w:val="0"/>
          <w:marTop w:val="0"/>
          <w:marBottom w:val="0"/>
          <w:divBdr>
            <w:top w:val="none" w:sz="0" w:space="0" w:color="auto"/>
            <w:left w:val="none" w:sz="0" w:space="0" w:color="auto"/>
            <w:bottom w:val="none" w:sz="0" w:space="0" w:color="auto"/>
            <w:right w:val="none" w:sz="0" w:space="0" w:color="auto"/>
          </w:divBdr>
          <w:divsChild>
            <w:div w:id="1055932307">
              <w:marLeft w:val="0"/>
              <w:marRight w:val="0"/>
              <w:marTop w:val="0"/>
              <w:marBottom w:val="0"/>
              <w:divBdr>
                <w:top w:val="none" w:sz="0" w:space="0" w:color="auto"/>
                <w:left w:val="none" w:sz="0" w:space="0" w:color="auto"/>
                <w:bottom w:val="none" w:sz="0" w:space="0" w:color="auto"/>
                <w:right w:val="none" w:sz="0" w:space="0" w:color="auto"/>
              </w:divBdr>
              <w:divsChild>
                <w:div w:id="104779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92043">
      <w:bodyDiv w:val="1"/>
      <w:marLeft w:val="0"/>
      <w:marRight w:val="0"/>
      <w:marTop w:val="0"/>
      <w:marBottom w:val="0"/>
      <w:divBdr>
        <w:top w:val="none" w:sz="0" w:space="0" w:color="auto"/>
        <w:left w:val="none" w:sz="0" w:space="0" w:color="auto"/>
        <w:bottom w:val="none" w:sz="0" w:space="0" w:color="auto"/>
        <w:right w:val="none" w:sz="0" w:space="0" w:color="auto"/>
      </w:divBdr>
    </w:div>
    <w:div w:id="923807553">
      <w:bodyDiv w:val="1"/>
      <w:marLeft w:val="0"/>
      <w:marRight w:val="0"/>
      <w:marTop w:val="0"/>
      <w:marBottom w:val="0"/>
      <w:divBdr>
        <w:top w:val="none" w:sz="0" w:space="0" w:color="auto"/>
        <w:left w:val="none" w:sz="0" w:space="0" w:color="auto"/>
        <w:bottom w:val="none" w:sz="0" w:space="0" w:color="auto"/>
        <w:right w:val="none" w:sz="0" w:space="0" w:color="auto"/>
      </w:divBdr>
    </w:div>
    <w:div w:id="972490430">
      <w:bodyDiv w:val="1"/>
      <w:marLeft w:val="0"/>
      <w:marRight w:val="0"/>
      <w:marTop w:val="0"/>
      <w:marBottom w:val="0"/>
      <w:divBdr>
        <w:top w:val="none" w:sz="0" w:space="0" w:color="auto"/>
        <w:left w:val="none" w:sz="0" w:space="0" w:color="auto"/>
        <w:bottom w:val="none" w:sz="0" w:space="0" w:color="auto"/>
        <w:right w:val="none" w:sz="0" w:space="0" w:color="auto"/>
      </w:divBdr>
    </w:div>
    <w:div w:id="973097454">
      <w:bodyDiv w:val="1"/>
      <w:marLeft w:val="0"/>
      <w:marRight w:val="0"/>
      <w:marTop w:val="0"/>
      <w:marBottom w:val="0"/>
      <w:divBdr>
        <w:top w:val="none" w:sz="0" w:space="0" w:color="auto"/>
        <w:left w:val="none" w:sz="0" w:space="0" w:color="auto"/>
        <w:bottom w:val="none" w:sz="0" w:space="0" w:color="auto"/>
        <w:right w:val="none" w:sz="0" w:space="0" w:color="auto"/>
      </w:divBdr>
      <w:divsChild>
        <w:div w:id="1307005395">
          <w:marLeft w:val="0"/>
          <w:marRight w:val="0"/>
          <w:marTop w:val="0"/>
          <w:marBottom w:val="0"/>
          <w:divBdr>
            <w:top w:val="none" w:sz="0" w:space="0" w:color="auto"/>
            <w:left w:val="none" w:sz="0" w:space="0" w:color="auto"/>
            <w:bottom w:val="none" w:sz="0" w:space="0" w:color="auto"/>
            <w:right w:val="none" w:sz="0" w:space="0" w:color="auto"/>
          </w:divBdr>
          <w:divsChild>
            <w:div w:id="1420634684">
              <w:marLeft w:val="0"/>
              <w:marRight w:val="0"/>
              <w:marTop w:val="0"/>
              <w:marBottom w:val="0"/>
              <w:divBdr>
                <w:top w:val="none" w:sz="0" w:space="0" w:color="auto"/>
                <w:left w:val="none" w:sz="0" w:space="0" w:color="auto"/>
                <w:bottom w:val="none" w:sz="0" w:space="0" w:color="auto"/>
                <w:right w:val="none" w:sz="0" w:space="0" w:color="auto"/>
              </w:divBdr>
              <w:divsChild>
                <w:div w:id="207126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13344">
      <w:bodyDiv w:val="1"/>
      <w:marLeft w:val="0"/>
      <w:marRight w:val="0"/>
      <w:marTop w:val="0"/>
      <w:marBottom w:val="0"/>
      <w:divBdr>
        <w:top w:val="none" w:sz="0" w:space="0" w:color="auto"/>
        <w:left w:val="none" w:sz="0" w:space="0" w:color="auto"/>
        <w:bottom w:val="none" w:sz="0" w:space="0" w:color="auto"/>
        <w:right w:val="none" w:sz="0" w:space="0" w:color="auto"/>
      </w:divBdr>
      <w:divsChild>
        <w:div w:id="1631979625">
          <w:marLeft w:val="0"/>
          <w:marRight w:val="0"/>
          <w:marTop w:val="0"/>
          <w:marBottom w:val="0"/>
          <w:divBdr>
            <w:top w:val="none" w:sz="0" w:space="0" w:color="auto"/>
            <w:left w:val="none" w:sz="0" w:space="0" w:color="auto"/>
            <w:bottom w:val="none" w:sz="0" w:space="0" w:color="auto"/>
            <w:right w:val="none" w:sz="0" w:space="0" w:color="auto"/>
          </w:divBdr>
          <w:divsChild>
            <w:div w:id="1317883685">
              <w:marLeft w:val="0"/>
              <w:marRight w:val="0"/>
              <w:marTop w:val="0"/>
              <w:marBottom w:val="0"/>
              <w:divBdr>
                <w:top w:val="none" w:sz="0" w:space="0" w:color="auto"/>
                <w:left w:val="none" w:sz="0" w:space="0" w:color="auto"/>
                <w:bottom w:val="none" w:sz="0" w:space="0" w:color="auto"/>
                <w:right w:val="none" w:sz="0" w:space="0" w:color="auto"/>
              </w:divBdr>
              <w:divsChild>
                <w:div w:id="168423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363983">
      <w:bodyDiv w:val="1"/>
      <w:marLeft w:val="0"/>
      <w:marRight w:val="0"/>
      <w:marTop w:val="0"/>
      <w:marBottom w:val="0"/>
      <w:divBdr>
        <w:top w:val="none" w:sz="0" w:space="0" w:color="auto"/>
        <w:left w:val="none" w:sz="0" w:space="0" w:color="auto"/>
        <w:bottom w:val="none" w:sz="0" w:space="0" w:color="auto"/>
        <w:right w:val="none" w:sz="0" w:space="0" w:color="auto"/>
      </w:divBdr>
      <w:divsChild>
        <w:div w:id="565379267">
          <w:marLeft w:val="0"/>
          <w:marRight w:val="0"/>
          <w:marTop w:val="0"/>
          <w:marBottom w:val="0"/>
          <w:divBdr>
            <w:top w:val="none" w:sz="0" w:space="0" w:color="auto"/>
            <w:left w:val="none" w:sz="0" w:space="0" w:color="auto"/>
            <w:bottom w:val="none" w:sz="0" w:space="0" w:color="auto"/>
            <w:right w:val="none" w:sz="0" w:space="0" w:color="auto"/>
          </w:divBdr>
          <w:divsChild>
            <w:div w:id="1356888790">
              <w:marLeft w:val="0"/>
              <w:marRight w:val="0"/>
              <w:marTop w:val="0"/>
              <w:marBottom w:val="0"/>
              <w:divBdr>
                <w:top w:val="none" w:sz="0" w:space="0" w:color="auto"/>
                <w:left w:val="none" w:sz="0" w:space="0" w:color="auto"/>
                <w:bottom w:val="none" w:sz="0" w:space="0" w:color="auto"/>
                <w:right w:val="none" w:sz="0" w:space="0" w:color="auto"/>
              </w:divBdr>
              <w:divsChild>
                <w:div w:id="108726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252341">
      <w:bodyDiv w:val="1"/>
      <w:marLeft w:val="0"/>
      <w:marRight w:val="0"/>
      <w:marTop w:val="0"/>
      <w:marBottom w:val="0"/>
      <w:divBdr>
        <w:top w:val="none" w:sz="0" w:space="0" w:color="auto"/>
        <w:left w:val="none" w:sz="0" w:space="0" w:color="auto"/>
        <w:bottom w:val="none" w:sz="0" w:space="0" w:color="auto"/>
        <w:right w:val="none" w:sz="0" w:space="0" w:color="auto"/>
      </w:divBdr>
      <w:divsChild>
        <w:div w:id="538666356">
          <w:marLeft w:val="0"/>
          <w:marRight w:val="0"/>
          <w:marTop w:val="0"/>
          <w:marBottom w:val="0"/>
          <w:divBdr>
            <w:top w:val="none" w:sz="0" w:space="0" w:color="auto"/>
            <w:left w:val="none" w:sz="0" w:space="0" w:color="auto"/>
            <w:bottom w:val="none" w:sz="0" w:space="0" w:color="auto"/>
            <w:right w:val="none" w:sz="0" w:space="0" w:color="auto"/>
          </w:divBdr>
          <w:divsChild>
            <w:div w:id="1767966568">
              <w:marLeft w:val="0"/>
              <w:marRight w:val="0"/>
              <w:marTop w:val="0"/>
              <w:marBottom w:val="0"/>
              <w:divBdr>
                <w:top w:val="none" w:sz="0" w:space="0" w:color="auto"/>
                <w:left w:val="none" w:sz="0" w:space="0" w:color="auto"/>
                <w:bottom w:val="none" w:sz="0" w:space="0" w:color="auto"/>
                <w:right w:val="none" w:sz="0" w:space="0" w:color="auto"/>
              </w:divBdr>
              <w:divsChild>
                <w:div w:id="210711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829356">
      <w:bodyDiv w:val="1"/>
      <w:marLeft w:val="0"/>
      <w:marRight w:val="0"/>
      <w:marTop w:val="0"/>
      <w:marBottom w:val="0"/>
      <w:divBdr>
        <w:top w:val="none" w:sz="0" w:space="0" w:color="auto"/>
        <w:left w:val="none" w:sz="0" w:space="0" w:color="auto"/>
        <w:bottom w:val="none" w:sz="0" w:space="0" w:color="auto"/>
        <w:right w:val="none" w:sz="0" w:space="0" w:color="auto"/>
      </w:divBdr>
      <w:divsChild>
        <w:div w:id="570232652">
          <w:marLeft w:val="0"/>
          <w:marRight w:val="0"/>
          <w:marTop w:val="0"/>
          <w:marBottom w:val="0"/>
          <w:divBdr>
            <w:top w:val="none" w:sz="0" w:space="0" w:color="auto"/>
            <w:left w:val="none" w:sz="0" w:space="0" w:color="auto"/>
            <w:bottom w:val="none" w:sz="0" w:space="0" w:color="auto"/>
            <w:right w:val="none" w:sz="0" w:space="0" w:color="auto"/>
          </w:divBdr>
          <w:divsChild>
            <w:div w:id="1163356655">
              <w:marLeft w:val="0"/>
              <w:marRight w:val="0"/>
              <w:marTop w:val="0"/>
              <w:marBottom w:val="0"/>
              <w:divBdr>
                <w:top w:val="none" w:sz="0" w:space="0" w:color="auto"/>
                <w:left w:val="none" w:sz="0" w:space="0" w:color="auto"/>
                <w:bottom w:val="none" w:sz="0" w:space="0" w:color="auto"/>
                <w:right w:val="none" w:sz="0" w:space="0" w:color="auto"/>
              </w:divBdr>
              <w:divsChild>
                <w:div w:id="82405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iver.vanhecke@phc.ox.ac.uk"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comments" Target="comments.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cprd.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CF046-5435-4D57-BD65-2F622079C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6774</Words>
  <Characters>38614</Characters>
  <Application>Microsoft Office Word</Application>
  <DocSecurity>4</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Cousins J.</cp:lastModifiedBy>
  <cp:revision>2</cp:revision>
  <dcterms:created xsi:type="dcterms:W3CDTF">2019-08-15T09:47:00Z</dcterms:created>
  <dcterms:modified xsi:type="dcterms:W3CDTF">2019-08-15T09:47:00Z</dcterms:modified>
</cp:coreProperties>
</file>