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5B8DF" w14:textId="77777777" w:rsidR="00AD09CD" w:rsidRPr="00952E91" w:rsidRDefault="00AD09CD" w:rsidP="00AD09CD">
      <w:pPr>
        <w:spacing w:after="120" w:line="240" w:lineRule="auto"/>
        <w:rPr>
          <w:rFonts w:asciiTheme="minorHAnsi" w:hAnsiTheme="minorHAnsi" w:cs="Times New Roman"/>
          <w:b/>
          <w:sz w:val="28"/>
          <w:szCs w:val="28"/>
        </w:rPr>
      </w:pPr>
      <w:bookmarkStart w:id="0" w:name="_GoBack"/>
      <w:bookmarkEnd w:id="0"/>
      <w:r w:rsidRPr="00952E91">
        <w:rPr>
          <w:rFonts w:asciiTheme="minorHAnsi" w:hAnsiTheme="minorHAnsi" w:cs="Times New Roman"/>
          <w:b/>
          <w:sz w:val="28"/>
          <w:szCs w:val="28"/>
        </w:rPr>
        <w:t xml:space="preserve">FRAX-based intervention and assessment thresholds for osteoporosis in Iran </w:t>
      </w:r>
    </w:p>
    <w:p w14:paraId="672A6659" w14:textId="77777777" w:rsidR="00AD09CD" w:rsidRPr="002B73B6" w:rsidRDefault="00AD09CD" w:rsidP="00AD09CD">
      <w:pPr>
        <w:shd w:val="clear" w:color="auto" w:fill="FFFFFF"/>
        <w:spacing w:line="240" w:lineRule="auto"/>
        <w:rPr>
          <w:rFonts w:asciiTheme="minorHAnsi" w:eastAsia="MS Mincho" w:hAnsiTheme="minorHAnsi" w:cs="Times New Roman"/>
          <w:color w:val="000000"/>
          <w:highlight w:val="yellow"/>
          <w:lang w:val="en-GB" w:eastAsia="ja-JP"/>
        </w:rPr>
      </w:pPr>
    </w:p>
    <w:p w14:paraId="4647A6CF" w14:textId="77777777" w:rsidR="00AD09CD" w:rsidRPr="00A177E2" w:rsidRDefault="00AD09CD" w:rsidP="00AD09CD">
      <w:pPr>
        <w:shd w:val="clear" w:color="auto" w:fill="FFFFFF"/>
        <w:spacing w:line="240" w:lineRule="auto"/>
        <w:jc w:val="center"/>
        <w:rPr>
          <w:rFonts w:asciiTheme="minorHAnsi" w:hAnsiTheme="minorHAnsi" w:cs="Times New Roman"/>
          <w:vertAlign w:val="superscript"/>
          <w:lang w:val="en-GB"/>
        </w:rPr>
      </w:pPr>
      <w:r w:rsidRPr="00A177E2">
        <w:rPr>
          <w:rFonts w:asciiTheme="minorHAnsi" w:eastAsia="MS Mincho" w:hAnsiTheme="minorHAnsi" w:cs="Times New Roman"/>
          <w:color w:val="000000"/>
          <w:lang w:val="uz-Cyrl-UZ" w:eastAsia="ja-JP"/>
        </w:rPr>
        <w:t>Patricia Khashayar</w:t>
      </w:r>
      <w:r w:rsidRPr="00A177E2">
        <w:rPr>
          <w:rFonts w:asciiTheme="minorHAnsi" w:eastAsia="MS Mincho" w:hAnsiTheme="minorHAnsi" w:cs="Times New Roman"/>
          <w:color w:val="000000"/>
          <w:vertAlign w:val="superscript"/>
          <w:lang w:val="uz-Cyrl-UZ" w:eastAsia="ja-JP"/>
        </w:rPr>
        <w:t>1,2</w:t>
      </w:r>
      <w:r w:rsidRPr="00A177E2">
        <w:rPr>
          <w:rFonts w:asciiTheme="minorHAnsi" w:eastAsia="MS Mincho" w:hAnsiTheme="minorHAnsi" w:cs="Times New Roman"/>
          <w:color w:val="000000"/>
          <w:lang w:val="uz-Cyrl-UZ" w:eastAsia="ja-JP"/>
        </w:rPr>
        <w:t>, Abbasali Keshtkar</w:t>
      </w:r>
      <w:r w:rsidRPr="00A177E2">
        <w:rPr>
          <w:rFonts w:asciiTheme="minorHAnsi" w:eastAsia="MS Mincho" w:hAnsiTheme="minorHAnsi" w:cs="Times New Roman"/>
          <w:color w:val="000000"/>
          <w:vertAlign w:val="superscript"/>
          <w:lang w:val="uz-Cyrl-UZ" w:eastAsia="ja-JP"/>
        </w:rPr>
        <w:t>3</w:t>
      </w:r>
      <w:r w:rsidRPr="00A177E2">
        <w:rPr>
          <w:rFonts w:asciiTheme="minorHAnsi" w:eastAsia="MS Mincho" w:hAnsiTheme="minorHAnsi" w:cs="Times New Roman"/>
          <w:color w:val="000000"/>
          <w:lang w:val="uz-Cyrl-UZ" w:eastAsia="ja-JP"/>
        </w:rPr>
        <w:t>, Afshin Ostovar</w:t>
      </w:r>
      <w:r>
        <w:rPr>
          <w:rFonts w:asciiTheme="minorHAnsi" w:eastAsia="MS Mincho" w:hAnsiTheme="minorHAnsi" w:cs="Times New Roman"/>
          <w:color w:val="000000"/>
          <w:vertAlign w:val="superscript"/>
          <w:lang w:val="uz-Cyrl-UZ" w:eastAsia="ja-JP"/>
        </w:rPr>
        <w:t>1</w:t>
      </w:r>
      <w:r w:rsidRPr="00A177E2">
        <w:rPr>
          <w:rFonts w:asciiTheme="minorHAnsi" w:eastAsia="MS Mincho" w:hAnsiTheme="minorHAnsi" w:cs="Times New Roman"/>
          <w:color w:val="000000"/>
          <w:lang w:val="uz-Cyrl-UZ" w:eastAsia="ja-JP"/>
        </w:rPr>
        <w:t>, Bagher Larijani</w:t>
      </w:r>
      <w:r w:rsidRPr="00A177E2">
        <w:rPr>
          <w:rFonts w:asciiTheme="minorHAnsi" w:eastAsia="MS Mincho" w:hAnsiTheme="minorHAnsi" w:cs="Times New Roman"/>
          <w:color w:val="000000"/>
          <w:vertAlign w:val="superscript"/>
          <w:lang w:val="uz-Cyrl-UZ" w:eastAsia="ja-JP"/>
        </w:rPr>
        <w:t>4</w:t>
      </w:r>
      <w:r>
        <w:rPr>
          <w:rFonts w:asciiTheme="minorHAnsi" w:eastAsia="MS Mincho" w:hAnsiTheme="minorHAnsi" w:cs="Times New Roman"/>
          <w:color w:val="000000"/>
          <w:vertAlign w:val="superscript"/>
          <w:lang w:eastAsia="ja-JP"/>
        </w:rPr>
        <w:t>*</w:t>
      </w:r>
      <w:r w:rsidRPr="00A177E2">
        <w:rPr>
          <w:rFonts w:asciiTheme="minorHAnsi" w:eastAsia="MS Mincho" w:hAnsiTheme="minorHAnsi" w:cs="Times New Roman"/>
          <w:color w:val="000000"/>
          <w:lang w:val="en-GB" w:eastAsia="ja-JP"/>
        </w:rPr>
        <w:t>,</w:t>
      </w:r>
    </w:p>
    <w:p w14:paraId="6223BBD7" w14:textId="4B99B793" w:rsidR="00AD09CD" w:rsidRPr="00EF3DAA" w:rsidRDefault="009F0B67" w:rsidP="00EF3DAA">
      <w:pPr>
        <w:shd w:val="clear" w:color="auto" w:fill="FFFFFF" w:themeFill="background1"/>
        <w:spacing w:line="240" w:lineRule="auto"/>
        <w:jc w:val="center"/>
        <w:rPr>
          <w:rFonts w:asciiTheme="minorHAnsi" w:eastAsia="MS Mincho" w:hAnsiTheme="minorHAnsi" w:cs="Times New Roman"/>
          <w:color w:val="000000" w:themeColor="text1"/>
          <w:lang w:val="en-GB" w:eastAsia="ja-JP"/>
        </w:rPr>
      </w:pPr>
      <w:r w:rsidRPr="0AE61028">
        <w:rPr>
          <w:rFonts w:asciiTheme="minorHAnsi" w:hAnsiTheme="minorHAnsi" w:cs="Times New Roman"/>
          <w:lang w:val="uz-Cyrl-UZ"/>
        </w:rPr>
        <w:t>Helena</w:t>
      </w:r>
      <w:r w:rsidR="00AD09CD" w:rsidRPr="6B975584">
        <w:rPr>
          <w:rFonts w:asciiTheme="minorHAnsi" w:hAnsiTheme="minorHAnsi" w:cs="Times New Roman"/>
        </w:rPr>
        <w:t xml:space="preserve"> Johansson</w:t>
      </w:r>
      <w:r w:rsidR="00AD09CD" w:rsidRPr="6B975584">
        <w:rPr>
          <w:rFonts w:asciiTheme="minorHAnsi" w:hAnsiTheme="minorHAnsi" w:cs="Times New Roman"/>
          <w:vertAlign w:val="superscript"/>
        </w:rPr>
        <w:t>5, 6</w:t>
      </w:r>
      <w:r w:rsidR="00AD09CD" w:rsidRPr="6B975584">
        <w:rPr>
          <w:rFonts w:asciiTheme="minorHAnsi" w:hAnsiTheme="minorHAnsi" w:cs="Times New Roman"/>
        </w:rPr>
        <w:t>,</w:t>
      </w:r>
      <w:r w:rsidR="00AD09CD" w:rsidRPr="6B975584">
        <w:rPr>
          <w:rFonts w:asciiTheme="minorHAnsi" w:hAnsiTheme="minorHAnsi" w:cs="Times New Roman"/>
          <w:vertAlign w:val="superscript"/>
        </w:rPr>
        <w:t xml:space="preserve"> </w:t>
      </w:r>
      <w:r w:rsidR="57898B59" w:rsidRPr="00EF3DAA">
        <w:rPr>
          <w:rFonts w:asciiTheme="minorHAnsi" w:hAnsiTheme="minorHAnsi" w:cs="Times New Roman"/>
        </w:rPr>
        <w:t>Nicholas C Harvey</w:t>
      </w:r>
      <w:r w:rsidR="57898B59" w:rsidRPr="00EF3DAA">
        <w:rPr>
          <w:rFonts w:asciiTheme="minorHAnsi" w:hAnsiTheme="minorHAnsi" w:cs="Times New Roman"/>
          <w:vertAlign w:val="superscript"/>
        </w:rPr>
        <w:t xml:space="preserve"> </w:t>
      </w:r>
      <w:r w:rsidR="00AD09CD" w:rsidRPr="00EF3DAA">
        <w:rPr>
          <w:rFonts w:asciiTheme="minorHAnsi" w:hAnsiTheme="minorHAnsi" w:cs="Times New Roman"/>
          <w:vertAlign w:val="superscript"/>
        </w:rPr>
        <w:t>7, 8</w:t>
      </w:r>
      <w:r w:rsidRPr="0AE61028">
        <w:rPr>
          <w:rFonts w:asciiTheme="minorHAnsi" w:hAnsiTheme="minorHAnsi" w:cs="Times New Roman"/>
          <w:lang w:val="uz-Cyrl-UZ"/>
        </w:rPr>
        <w:t>, M</w:t>
      </w:r>
      <w:r w:rsidR="00AD09CD" w:rsidRPr="00EF3DAA">
        <w:rPr>
          <w:rFonts w:asciiTheme="minorHAnsi" w:hAnsiTheme="minorHAnsi" w:cs="Times New Roman"/>
          <w:lang w:val="uz-Cyrl-UZ"/>
        </w:rPr>
        <w:t>attias</w:t>
      </w:r>
      <w:r w:rsidR="00AD09CD" w:rsidRPr="00EF3DAA">
        <w:rPr>
          <w:rFonts w:asciiTheme="minorHAnsi" w:hAnsiTheme="minorHAnsi" w:cs="Times New Roman"/>
        </w:rPr>
        <w:t xml:space="preserve"> Lorentzon</w:t>
      </w:r>
      <w:r w:rsidR="00AD09CD" w:rsidRPr="00EF3DAA">
        <w:rPr>
          <w:rFonts w:asciiTheme="minorHAnsi" w:hAnsiTheme="minorHAnsi" w:cs="Times New Roman"/>
          <w:vertAlign w:val="superscript"/>
        </w:rPr>
        <w:t>9</w:t>
      </w:r>
      <w:r w:rsidR="00AD09CD" w:rsidRPr="00EF3DAA">
        <w:rPr>
          <w:rFonts w:asciiTheme="minorHAnsi" w:hAnsiTheme="minorHAnsi" w:cs="Times New Roman"/>
        </w:rPr>
        <w:t>, Eugene McCloskey</w:t>
      </w:r>
      <w:r w:rsidR="00AD09CD" w:rsidRPr="00EF3DAA">
        <w:rPr>
          <w:rFonts w:asciiTheme="minorHAnsi" w:hAnsiTheme="minorHAnsi" w:cs="Times New Roman"/>
          <w:vertAlign w:val="superscript"/>
        </w:rPr>
        <w:t>10,11</w:t>
      </w:r>
      <w:r w:rsidR="00AD09CD" w:rsidRPr="00006966">
        <w:rPr>
          <w:rFonts w:asciiTheme="minorHAnsi" w:hAnsiTheme="minorHAnsi"/>
        </w:rPr>
        <w:t xml:space="preserve"> </w:t>
      </w:r>
      <w:r w:rsidRPr="0AE61028">
        <w:rPr>
          <w:rFonts w:asciiTheme="minorHAnsi" w:hAnsiTheme="minorHAnsi" w:cs="Times New Roman"/>
          <w:lang w:val="uz-Cyrl-UZ"/>
        </w:rPr>
        <w:t>J</w:t>
      </w:r>
      <w:r w:rsidR="00AD09CD" w:rsidRPr="00EF3DAA">
        <w:rPr>
          <w:rFonts w:asciiTheme="minorHAnsi" w:hAnsiTheme="minorHAnsi" w:cs="Times New Roman"/>
          <w:lang w:val="uz-Cyrl-UZ"/>
        </w:rPr>
        <w:t xml:space="preserve">ohn </w:t>
      </w:r>
      <w:r w:rsidR="00AD09CD" w:rsidRPr="00EF3DAA">
        <w:rPr>
          <w:rFonts w:asciiTheme="minorHAnsi" w:hAnsiTheme="minorHAnsi" w:cs="Times New Roman"/>
        </w:rPr>
        <w:t>A Kanis</w:t>
      </w:r>
      <w:r w:rsidR="00AD09CD" w:rsidRPr="6B975584">
        <w:rPr>
          <w:rFonts w:asciiTheme="minorHAnsi" w:hAnsiTheme="minorHAnsi" w:cs="Times New Roman"/>
          <w:vertAlign w:val="superscript"/>
        </w:rPr>
        <w:t>5,</w:t>
      </w:r>
      <w:r w:rsidR="6B975584" w:rsidRPr="00EF3DAA">
        <w:rPr>
          <w:rFonts w:asciiTheme="minorHAnsi" w:hAnsiTheme="minorHAnsi" w:cs="Times New Roman"/>
          <w:vertAlign w:val="superscript"/>
        </w:rPr>
        <w:t xml:space="preserve"> 10*</w:t>
      </w:r>
    </w:p>
    <w:p w14:paraId="0A37501D" w14:textId="77777777" w:rsidR="00AD09CD" w:rsidRPr="00A177E2" w:rsidRDefault="00AD09CD" w:rsidP="00AD09CD">
      <w:pPr>
        <w:spacing w:after="120" w:line="240" w:lineRule="auto"/>
        <w:ind w:firstLine="120"/>
        <w:jc w:val="center"/>
        <w:rPr>
          <w:rFonts w:asciiTheme="minorHAnsi" w:eastAsia="MS Mincho" w:hAnsiTheme="minorHAnsi" w:cs="Times New Roman"/>
          <w:color w:val="000000"/>
          <w:lang w:val="en-GB" w:eastAsia="ja-JP"/>
        </w:rPr>
      </w:pPr>
    </w:p>
    <w:p w14:paraId="5DAB6C7B" w14:textId="77777777" w:rsidR="00AD09CD" w:rsidRPr="00A177E2" w:rsidRDefault="00AD09CD" w:rsidP="00AD09CD">
      <w:pPr>
        <w:spacing w:after="120" w:line="240" w:lineRule="auto"/>
        <w:ind w:firstLine="120"/>
        <w:jc w:val="center"/>
        <w:rPr>
          <w:rFonts w:asciiTheme="minorHAnsi" w:eastAsia="MS Mincho" w:hAnsiTheme="minorHAnsi" w:cs="Times New Roman"/>
          <w:color w:val="000000"/>
          <w:lang w:val="en-GB" w:eastAsia="ja-JP"/>
        </w:rPr>
      </w:pPr>
    </w:p>
    <w:p w14:paraId="02EB378F" w14:textId="77777777" w:rsidR="00AD09CD" w:rsidRPr="00A177E2" w:rsidRDefault="00AD09CD" w:rsidP="00AD09CD">
      <w:pPr>
        <w:spacing w:after="120" w:line="240" w:lineRule="auto"/>
        <w:ind w:firstLine="120"/>
        <w:jc w:val="center"/>
        <w:rPr>
          <w:rFonts w:asciiTheme="minorHAnsi" w:eastAsia="MS Mincho" w:hAnsiTheme="minorHAnsi" w:cs="Times New Roman"/>
          <w:color w:val="000000"/>
          <w:lang w:val="en-GB" w:eastAsia="ja-JP"/>
        </w:rPr>
      </w:pPr>
    </w:p>
    <w:p w14:paraId="04E4B910" w14:textId="0640F933" w:rsidR="00AD09CD" w:rsidRPr="00EF3DAA" w:rsidRDefault="00AD09CD" w:rsidP="00EF3DAA">
      <w:pPr>
        <w:rPr>
          <w:rFonts w:ascii="Times New Roman" w:eastAsia="Times New Roman" w:hAnsi="Times New Roman" w:cs="Times New Roman"/>
          <w:color w:val="auto"/>
          <w:sz w:val="20"/>
          <w:szCs w:val="20"/>
        </w:rPr>
      </w:pPr>
      <w:r w:rsidRPr="00A177E2">
        <w:rPr>
          <w:rFonts w:asciiTheme="minorHAnsi" w:hAnsiTheme="minorHAnsi" w:cs="Times New Roman"/>
          <w:vertAlign w:val="superscript"/>
        </w:rPr>
        <w:t>1</w:t>
      </w:r>
      <w:r w:rsidR="00006966">
        <w:rPr>
          <w:rFonts w:asciiTheme="minorHAnsi" w:hAnsiTheme="minorHAnsi" w:cs="Times New Roman"/>
        </w:rPr>
        <w:t xml:space="preserve"> </w:t>
      </w:r>
      <w:r w:rsidR="00006966" w:rsidRPr="00EF3DAA">
        <w:rPr>
          <w:rFonts w:ascii="Verdana" w:eastAsia="Times New Roman" w:hAnsi="Verdana" w:cs="Times New Roman"/>
          <w:bCs/>
          <w:i/>
          <w:iCs/>
          <w:color w:val="222222"/>
          <w:sz w:val="20"/>
          <w:szCs w:val="20"/>
        </w:rPr>
        <w:t>Osteoporosis Research Center, Endocrinology and Metabolism Clinical Sciences Institute, Tehran University of Medical Sciences, Tehran, Iran</w:t>
      </w:r>
    </w:p>
    <w:p w14:paraId="1C8BF0A3" w14:textId="77777777" w:rsidR="00AD09CD" w:rsidRPr="00A177E2" w:rsidRDefault="00AD09CD" w:rsidP="00AD09CD">
      <w:pPr>
        <w:spacing w:line="240" w:lineRule="auto"/>
        <w:ind w:left="142" w:hanging="142"/>
        <w:rPr>
          <w:rFonts w:asciiTheme="minorHAnsi" w:hAnsiTheme="minorHAnsi" w:cs="Times New Roman"/>
        </w:rPr>
      </w:pPr>
      <w:r w:rsidRPr="00A177E2">
        <w:rPr>
          <w:rFonts w:asciiTheme="minorHAnsi" w:hAnsiTheme="minorHAnsi" w:cs="Times New Roman"/>
          <w:vertAlign w:val="superscript"/>
        </w:rPr>
        <w:t>2</w:t>
      </w:r>
      <w:r w:rsidRPr="00A177E2">
        <w:rPr>
          <w:rFonts w:asciiTheme="minorHAnsi" w:hAnsiTheme="minorHAnsi" w:cs="Times New Roman"/>
          <w:vertAlign w:val="superscript"/>
          <w:lang w:val="uz-Cyrl-UZ"/>
        </w:rPr>
        <w:t xml:space="preserve"> </w:t>
      </w:r>
      <w:r w:rsidRPr="00A177E2">
        <w:rPr>
          <w:rFonts w:asciiTheme="minorHAnsi" w:hAnsiTheme="minorHAnsi" w:cs="Times New Roman"/>
        </w:rPr>
        <w:t>Center for Microsystems Technology, Imec and Ghent University, Gent-Zwijnaarde 9052, Belgium</w:t>
      </w:r>
    </w:p>
    <w:p w14:paraId="2878704B" w14:textId="77777777" w:rsidR="00AD09CD" w:rsidRPr="00A177E2" w:rsidRDefault="00AD09CD" w:rsidP="00AD09CD">
      <w:pPr>
        <w:spacing w:line="240" w:lineRule="auto"/>
        <w:ind w:left="142" w:hanging="142"/>
        <w:rPr>
          <w:rFonts w:asciiTheme="minorHAnsi" w:hAnsiTheme="minorHAnsi" w:cs="Times New Roman"/>
          <w:lang w:val="uz-Cyrl-UZ"/>
        </w:rPr>
      </w:pPr>
      <w:r w:rsidRPr="00A177E2">
        <w:rPr>
          <w:rFonts w:asciiTheme="minorHAnsi" w:hAnsiTheme="minorHAnsi" w:cs="Times New Roman"/>
          <w:lang w:val="uz-Cyrl-UZ"/>
        </w:rPr>
        <w:t>3</w:t>
      </w:r>
      <w:r w:rsidRPr="00A177E2">
        <w:t xml:space="preserve"> </w:t>
      </w:r>
      <w:r w:rsidRPr="00A177E2">
        <w:rPr>
          <w:rFonts w:asciiTheme="minorHAnsi" w:hAnsiTheme="minorHAnsi" w:cs="Times New Roman"/>
          <w:lang w:val="uz-Cyrl-UZ"/>
        </w:rPr>
        <w:t>Department of Health Sciences Education Development, School of Public Health, Tehran University of Medical Sciences, Tehran, Iran.</w:t>
      </w:r>
    </w:p>
    <w:p w14:paraId="194A76ED" w14:textId="77777777" w:rsidR="00AD09CD" w:rsidRDefault="00AD09CD" w:rsidP="00AD09CD">
      <w:pPr>
        <w:spacing w:line="240" w:lineRule="auto"/>
        <w:ind w:left="142" w:hanging="142"/>
        <w:rPr>
          <w:rFonts w:asciiTheme="minorHAnsi" w:hAnsiTheme="minorHAnsi" w:cs="Times New Roman"/>
          <w:vertAlign w:val="superscript"/>
        </w:rPr>
      </w:pPr>
      <w:r w:rsidRPr="00A177E2">
        <w:rPr>
          <w:rFonts w:asciiTheme="minorHAnsi" w:hAnsiTheme="minorHAnsi" w:cs="Times New Roman"/>
          <w:lang w:val="uz-Cyrl-UZ"/>
        </w:rPr>
        <w:t>4 Endocrinology and Metabolism Research Center, Endocrinology and Metabolism Clinical Sciences Institute, Tehran University of Medical Sciences, Tehran, Iran</w:t>
      </w:r>
    </w:p>
    <w:p w14:paraId="03D99B2A" w14:textId="77777777" w:rsidR="00AD09CD" w:rsidRPr="00952E91" w:rsidRDefault="00AD09CD" w:rsidP="00AD09CD">
      <w:pPr>
        <w:spacing w:line="240" w:lineRule="auto"/>
        <w:ind w:left="142" w:hanging="142"/>
        <w:rPr>
          <w:rFonts w:asciiTheme="minorHAnsi" w:hAnsiTheme="minorHAnsi" w:cs="Times New Roman"/>
        </w:rPr>
      </w:pPr>
      <w:r>
        <w:rPr>
          <w:rFonts w:asciiTheme="minorHAnsi" w:hAnsiTheme="minorHAnsi" w:cs="Times New Roman"/>
          <w:vertAlign w:val="superscript"/>
        </w:rPr>
        <w:t>5</w:t>
      </w:r>
      <w:r w:rsidRPr="00952E91">
        <w:rPr>
          <w:rFonts w:asciiTheme="minorHAnsi" w:hAnsiTheme="minorHAnsi" w:cs="Times New Roman"/>
        </w:rPr>
        <w:t xml:space="preserve"> Mary McKillop Health Institute, Australian Catholic University, Melbourne, Australia </w:t>
      </w:r>
    </w:p>
    <w:p w14:paraId="39C18084" w14:textId="77777777" w:rsidR="00AD09CD" w:rsidRPr="00952E91" w:rsidRDefault="00AD09CD" w:rsidP="00AD09CD">
      <w:pPr>
        <w:spacing w:line="240" w:lineRule="auto"/>
        <w:ind w:left="142" w:hanging="142"/>
        <w:rPr>
          <w:rFonts w:asciiTheme="minorHAnsi" w:hAnsiTheme="minorHAnsi" w:cs="Times New Roman"/>
        </w:rPr>
      </w:pPr>
      <w:r>
        <w:rPr>
          <w:rFonts w:asciiTheme="minorHAnsi" w:hAnsiTheme="minorHAnsi" w:cs="Times New Roman"/>
          <w:vertAlign w:val="superscript"/>
        </w:rPr>
        <w:t>6</w:t>
      </w:r>
      <w:r w:rsidRPr="00952E91">
        <w:rPr>
          <w:rFonts w:asciiTheme="minorHAnsi" w:hAnsiTheme="minorHAnsi" w:cs="Times New Roman"/>
        </w:rPr>
        <w:t xml:space="preserve"> Centre for Metabolic Bone Diseases, University of Sheffield, UK</w:t>
      </w:r>
    </w:p>
    <w:p w14:paraId="73842F8A" w14:textId="77777777" w:rsidR="00AD09CD" w:rsidRPr="00952E91" w:rsidRDefault="00AD09CD" w:rsidP="00AD09CD">
      <w:pPr>
        <w:spacing w:line="240" w:lineRule="auto"/>
        <w:ind w:left="142" w:hanging="142"/>
        <w:rPr>
          <w:rFonts w:asciiTheme="minorHAnsi" w:hAnsiTheme="minorHAnsi" w:cs="Times New Roman"/>
        </w:rPr>
      </w:pPr>
      <w:r>
        <w:rPr>
          <w:rFonts w:asciiTheme="minorHAnsi" w:hAnsiTheme="minorHAnsi" w:cs="Times New Roman"/>
          <w:vertAlign w:val="superscript"/>
        </w:rPr>
        <w:lastRenderedPageBreak/>
        <w:t>7</w:t>
      </w:r>
      <w:r w:rsidRPr="00952E91">
        <w:rPr>
          <w:rFonts w:asciiTheme="minorHAnsi" w:hAnsiTheme="minorHAnsi" w:cs="Times New Roman"/>
          <w:vertAlign w:val="superscript"/>
        </w:rPr>
        <w:t xml:space="preserve"> </w:t>
      </w:r>
      <w:r w:rsidRPr="00952E91">
        <w:rPr>
          <w:rFonts w:asciiTheme="minorHAnsi" w:hAnsiTheme="minorHAnsi" w:cs="Times New Roman"/>
        </w:rPr>
        <w:t>MRC Lifecourse Epidemiology Unit, University of Southampton, Southampton, UK</w:t>
      </w:r>
    </w:p>
    <w:p w14:paraId="20FEC81A" w14:textId="77777777" w:rsidR="00AD09CD" w:rsidRPr="00952E91" w:rsidRDefault="00AD09CD" w:rsidP="00AD09CD">
      <w:pPr>
        <w:spacing w:line="240" w:lineRule="auto"/>
        <w:ind w:left="142" w:hanging="142"/>
        <w:rPr>
          <w:rFonts w:asciiTheme="minorHAnsi" w:hAnsiTheme="minorHAnsi" w:cs="Times New Roman"/>
        </w:rPr>
      </w:pPr>
      <w:r>
        <w:rPr>
          <w:rFonts w:asciiTheme="minorHAnsi" w:hAnsiTheme="minorHAnsi" w:cs="Times New Roman"/>
          <w:vertAlign w:val="superscript"/>
        </w:rPr>
        <w:t>8</w:t>
      </w:r>
      <w:r w:rsidRPr="00952E91">
        <w:rPr>
          <w:rFonts w:asciiTheme="minorHAnsi" w:hAnsiTheme="minorHAnsi" w:cs="Times New Roman"/>
          <w:vertAlign w:val="superscript"/>
        </w:rPr>
        <w:t xml:space="preserve"> </w:t>
      </w:r>
      <w:r w:rsidRPr="00952E91">
        <w:rPr>
          <w:rFonts w:asciiTheme="minorHAnsi" w:hAnsiTheme="minorHAnsi" w:cs="Times New Roman"/>
        </w:rPr>
        <w:t xml:space="preserve">NIHR Southampton Biomedical Research Centre, University of Southampton and University Hospital Southampton NHS Foundation Trust, </w:t>
      </w:r>
      <w:proofErr w:type="spellStart"/>
      <w:r w:rsidRPr="00952E91">
        <w:rPr>
          <w:rFonts w:asciiTheme="minorHAnsi" w:hAnsiTheme="minorHAnsi" w:cs="Times New Roman"/>
        </w:rPr>
        <w:t>Tremona</w:t>
      </w:r>
      <w:proofErr w:type="spellEnd"/>
      <w:r w:rsidRPr="00952E91">
        <w:rPr>
          <w:rFonts w:asciiTheme="minorHAnsi" w:hAnsiTheme="minorHAnsi" w:cs="Times New Roman"/>
        </w:rPr>
        <w:t xml:space="preserve"> Road, Southampton, UK;</w:t>
      </w:r>
    </w:p>
    <w:p w14:paraId="24746286" w14:textId="29C2261F" w:rsidR="0AE61028" w:rsidRPr="00EF3DAA" w:rsidRDefault="00AD09CD" w:rsidP="00EF3DAA">
      <w:pPr>
        <w:spacing w:line="240" w:lineRule="auto"/>
        <w:ind w:left="142" w:hanging="142"/>
        <w:rPr>
          <w:rFonts w:asciiTheme="minorHAnsi" w:hAnsiTheme="minorHAnsi" w:cs="Times New Roman"/>
        </w:rPr>
      </w:pPr>
      <w:r w:rsidRPr="6BA15375">
        <w:rPr>
          <w:rFonts w:asciiTheme="minorHAnsi" w:hAnsiTheme="minorHAnsi" w:cs="Times New Roman"/>
          <w:vertAlign w:val="superscript"/>
        </w:rPr>
        <w:t>9</w:t>
      </w:r>
      <w:r w:rsidR="00F25958" w:rsidRPr="6BA15375">
        <w:rPr>
          <w:rFonts w:asciiTheme="minorHAnsi" w:hAnsiTheme="minorHAnsi" w:cs="Times New Roman"/>
        </w:rPr>
        <w:t xml:space="preserve"> </w:t>
      </w:r>
      <w:r w:rsidR="0AE61028" w:rsidRPr="00EF3DAA">
        <w:rPr>
          <w:rFonts w:asciiTheme="minorHAnsi" w:hAnsiTheme="minorHAnsi" w:cs="Times New Roman"/>
        </w:rPr>
        <w:t>Mary McKillop Health Institute, Australian Catholic University, Melbourne, Australia</w:t>
      </w:r>
    </w:p>
    <w:p w14:paraId="10AAC8F6" w14:textId="77777777" w:rsidR="00AD09CD" w:rsidRPr="00952E91" w:rsidRDefault="00AD09CD" w:rsidP="00AD09CD">
      <w:pPr>
        <w:spacing w:line="240" w:lineRule="auto"/>
        <w:ind w:left="142" w:hanging="142"/>
        <w:rPr>
          <w:rFonts w:asciiTheme="minorHAnsi" w:hAnsiTheme="minorHAnsi" w:cs="Times New Roman"/>
        </w:rPr>
      </w:pPr>
      <w:r>
        <w:rPr>
          <w:rFonts w:asciiTheme="minorHAnsi" w:hAnsiTheme="minorHAnsi" w:cs="Times New Roman"/>
          <w:vertAlign w:val="superscript"/>
        </w:rPr>
        <w:t>10</w:t>
      </w:r>
      <w:r w:rsidRPr="00952E91">
        <w:rPr>
          <w:rFonts w:asciiTheme="minorHAnsi" w:hAnsiTheme="minorHAnsi" w:cs="Times New Roman"/>
          <w:vertAlign w:val="superscript"/>
        </w:rPr>
        <w:t xml:space="preserve"> </w:t>
      </w:r>
      <w:r w:rsidRPr="00952E91">
        <w:rPr>
          <w:rFonts w:asciiTheme="minorHAnsi" w:hAnsiTheme="minorHAnsi" w:cs="Times New Roman"/>
        </w:rPr>
        <w:t>Centre for Metabolic Bone Diseases, University of Sheffield, Sheffield, UK</w:t>
      </w:r>
    </w:p>
    <w:p w14:paraId="12335C72" w14:textId="77777777" w:rsidR="00AD09CD" w:rsidRPr="00952E91" w:rsidRDefault="00AD09CD" w:rsidP="00AD09CD">
      <w:pPr>
        <w:spacing w:line="240" w:lineRule="auto"/>
        <w:ind w:left="142" w:hanging="142"/>
        <w:rPr>
          <w:rFonts w:asciiTheme="minorHAnsi" w:hAnsiTheme="minorHAnsi" w:cs="Times New Roman"/>
        </w:rPr>
      </w:pPr>
      <w:r>
        <w:rPr>
          <w:rFonts w:asciiTheme="minorHAnsi" w:hAnsiTheme="minorHAnsi" w:cs="Times New Roman"/>
          <w:vertAlign w:val="superscript"/>
        </w:rPr>
        <w:t>11</w:t>
      </w:r>
      <w:r w:rsidRPr="00952E91">
        <w:rPr>
          <w:rFonts w:asciiTheme="minorHAnsi" w:hAnsiTheme="minorHAnsi" w:cs="Times New Roman"/>
          <w:vertAlign w:val="superscript"/>
        </w:rPr>
        <w:t xml:space="preserve"> </w:t>
      </w:r>
      <w:r w:rsidRPr="00952E91">
        <w:rPr>
          <w:rFonts w:asciiTheme="minorHAnsi" w:hAnsiTheme="minorHAnsi" w:cs="Times New Roman"/>
        </w:rPr>
        <w:t xml:space="preserve">Centre for Integrated research in Musculoskeletal Ageing (CIMA), </w:t>
      </w:r>
      <w:proofErr w:type="spellStart"/>
      <w:r w:rsidRPr="00952E91">
        <w:rPr>
          <w:rFonts w:asciiTheme="minorHAnsi" w:hAnsiTheme="minorHAnsi" w:cs="Times New Roman"/>
        </w:rPr>
        <w:t>Mellanby</w:t>
      </w:r>
      <w:proofErr w:type="spellEnd"/>
      <w:r w:rsidRPr="00952E91">
        <w:rPr>
          <w:rFonts w:asciiTheme="minorHAnsi" w:hAnsiTheme="minorHAnsi" w:cs="Times New Roman"/>
        </w:rPr>
        <w:t xml:space="preserve"> Centre for Bone Research, University of Sheffield, Sheffield, UK;</w:t>
      </w:r>
    </w:p>
    <w:p w14:paraId="6A05A809" w14:textId="77777777" w:rsidR="00AD09CD" w:rsidRDefault="00AD09CD" w:rsidP="00AD09CD">
      <w:pPr>
        <w:spacing w:line="240" w:lineRule="auto"/>
        <w:rPr>
          <w:rFonts w:asciiTheme="minorHAnsi" w:hAnsiTheme="minorHAnsi" w:cs="Times New Roman"/>
          <w:color w:val="auto"/>
          <w:highlight w:val="cyan"/>
        </w:rPr>
      </w:pPr>
    </w:p>
    <w:p w14:paraId="27EEF953" w14:textId="77777777" w:rsidR="00AD09CD" w:rsidRPr="00952E91" w:rsidRDefault="00AD09CD" w:rsidP="00AD09CD">
      <w:pPr>
        <w:spacing w:line="240" w:lineRule="auto"/>
        <w:rPr>
          <w:rFonts w:asciiTheme="minorHAnsi" w:hAnsiTheme="minorHAnsi" w:cs="Times New Roman"/>
          <w:color w:val="auto"/>
        </w:rPr>
      </w:pPr>
      <w:r w:rsidRPr="00A177E2">
        <w:rPr>
          <w:rFonts w:asciiTheme="minorHAnsi" w:hAnsiTheme="minorHAnsi" w:cs="Times New Roman"/>
          <w:color w:val="auto"/>
        </w:rPr>
        <w:t xml:space="preserve">Corresponding author:  JA Kanis and B </w:t>
      </w:r>
      <w:proofErr w:type="spellStart"/>
      <w:r w:rsidRPr="00A177E2">
        <w:rPr>
          <w:rFonts w:asciiTheme="minorHAnsi" w:hAnsiTheme="minorHAnsi" w:cs="Times New Roman"/>
          <w:color w:val="auto"/>
        </w:rPr>
        <w:t>Larijani</w:t>
      </w:r>
      <w:proofErr w:type="spellEnd"/>
    </w:p>
    <w:p w14:paraId="5A39BBE3" w14:textId="77777777" w:rsidR="00AD09CD" w:rsidRDefault="00AD09CD" w:rsidP="00AD09CD">
      <w:pPr>
        <w:autoSpaceDE/>
        <w:autoSpaceDN/>
        <w:adjustRightInd/>
        <w:spacing w:after="0" w:line="240" w:lineRule="auto"/>
        <w:jc w:val="left"/>
        <w:rPr>
          <w:rFonts w:ascii="Times New Roman" w:hAnsi="Times New Roman" w:cs="Times New Roman"/>
          <w:b/>
          <w:highlight w:val="yellow"/>
        </w:rPr>
      </w:pPr>
      <w:r>
        <w:rPr>
          <w:rFonts w:ascii="Times New Roman" w:hAnsi="Times New Roman" w:cs="Times New Roman"/>
          <w:b/>
          <w:highlight w:val="yellow"/>
        </w:rPr>
        <w:br w:type="page"/>
      </w:r>
    </w:p>
    <w:p w14:paraId="41C8F396" w14:textId="77777777" w:rsidR="00AD09CD" w:rsidRPr="007D5E00" w:rsidRDefault="00AD09CD" w:rsidP="00AD09CD">
      <w:pPr>
        <w:spacing w:after="120" w:line="240" w:lineRule="auto"/>
        <w:rPr>
          <w:rFonts w:ascii="Times New Roman" w:hAnsi="Times New Roman" w:cs="Times New Roman"/>
          <w:b/>
          <w:highlight w:val="yellow"/>
        </w:rPr>
      </w:pPr>
    </w:p>
    <w:p w14:paraId="65832316" w14:textId="77777777" w:rsidR="00AD09CD" w:rsidRPr="009925FE" w:rsidRDefault="00AD09CD" w:rsidP="00AD09CD">
      <w:pPr>
        <w:spacing w:after="120" w:line="240" w:lineRule="auto"/>
        <w:rPr>
          <w:rFonts w:asciiTheme="minorHAnsi" w:hAnsiTheme="minorHAnsi" w:cs="Times New Roman"/>
          <w:bCs/>
        </w:rPr>
      </w:pPr>
      <w:proofErr w:type="spellStart"/>
      <w:r w:rsidRPr="009925FE">
        <w:rPr>
          <w:rFonts w:asciiTheme="minorHAnsi" w:hAnsiTheme="minorHAnsi" w:cs="Times New Roman"/>
          <w:b/>
        </w:rPr>
        <w:t>Miniabstract</w:t>
      </w:r>
      <w:proofErr w:type="spellEnd"/>
      <w:r w:rsidRPr="009925FE">
        <w:rPr>
          <w:rFonts w:asciiTheme="minorHAnsi" w:hAnsiTheme="minorHAnsi" w:cs="Times New Roman"/>
          <w:bCs/>
        </w:rPr>
        <w:t xml:space="preserve"> </w:t>
      </w:r>
    </w:p>
    <w:p w14:paraId="05988FDA" w14:textId="77777777" w:rsidR="00AD09CD" w:rsidRPr="009925FE" w:rsidRDefault="00AD09CD" w:rsidP="00AD09CD">
      <w:pPr>
        <w:spacing w:after="120" w:line="240" w:lineRule="auto"/>
        <w:rPr>
          <w:rFonts w:asciiTheme="minorHAnsi" w:hAnsiTheme="minorHAnsi" w:cs="Times New Roman"/>
          <w:b/>
        </w:rPr>
      </w:pPr>
      <w:r w:rsidRPr="009925FE">
        <w:rPr>
          <w:rFonts w:asciiTheme="minorHAnsi" w:hAnsiTheme="minorHAnsi" w:cs="Times New Roman"/>
          <w:bCs/>
        </w:rPr>
        <w:t>We compared the utility of the current Iranian guidelines that recommend treatment in women with a T-score</w:t>
      </w:r>
      <w:r w:rsidRPr="009925FE">
        <w:rPr>
          <w:rFonts w:asciiTheme="minorHAnsi" w:hAnsiTheme="minorHAnsi" w:cs="Times New Roman"/>
          <w:b/>
        </w:rPr>
        <w:t xml:space="preserve"> </w:t>
      </w:r>
      <w:r w:rsidRPr="009925FE">
        <w:rPr>
          <w:rFonts w:asciiTheme="minorHAnsi" w:eastAsia="AdvTT3713a231+22" w:hAnsiTheme="minorHAnsi" w:cs="Times New Roman"/>
        </w:rPr>
        <w:t>≤−</w:t>
      </w:r>
      <w:r w:rsidRPr="009925FE">
        <w:rPr>
          <w:rFonts w:asciiTheme="minorHAnsi" w:hAnsiTheme="minorHAnsi" w:cs="Times New Roman"/>
        </w:rPr>
        <w:t xml:space="preserve">2.5 SD with a FRAX-based intervention threshold equivalent to women </w:t>
      </w:r>
      <w:r w:rsidRPr="00F112BE">
        <w:rPr>
          <w:rFonts w:asciiTheme="minorHAnsi" w:hAnsiTheme="minorHAnsi" w:cs="Times New Roman"/>
        </w:rPr>
        <w:t xml:space="preserve">of average BMI </w:t>
      </w:r>
      <w:r w:rsidRPr="009925FE">
        <w:rPr>
          <w:rFonts w:asciiTheme="minorHAnsi" w:hAnsiTheme="minorHAnsi" w:cs="Times New Roman"/>
        </w:rPr>
        <w:t xml:space="preserve">with a prior fragility fracture.  Whereas the FRAX-based intervention threshold identified women at high fracture probability, the T-score threshold was less sensitive, and </w:t>
      </w:r>
      <w:r w:rsidRPr="003C4C26">
        <w:rPr>
          <w:rFonts w:asciiTheme="minorHAnsi" w:hAnsiTheme="minorHAnsi" w:cs="Times New Roman"/>
        </w:rPr>
        <w:t xml:space="preserve">the associated fracture risk </w:t>
      </w:r>
      <w:r w:rsidRPr="009925FE">
        <w:rPr>
          <w:rFonts w:asciiTheme="minorHAnsi" w:hAnsiTheme="minorHAnsi" w:cs="Times New Roman"/>
        </w:rPr>
        <w:t xml:space="preserve">decreased markedly with age. </w:t>
      </w:r>
    </w:p>
    <w:p w14:paraId="7CBFD60A" w14:textId="77777777" w:rsidR="00AD09CD" w:rsidRPr="009925FE" w:rsidRDefault="00AD09CD" w:rsidP="00AD09CD">
      <w:pPr>
        <w:spacing w:after="120" w:line="240" w:lineRule="auto"/>
        <w:rPr>
          <w:rFonts w:asciiTheme="minorHAnsi" w:hAnsiTheme="minorHAnsi" w:cs="Times New Roman"/>
          <w:b/>
        </w:rPr>
      </w:pPr>
      <w:r w:rsidRPr="009925FE">
        <w:rPr>
          <w:rFonts w:asciiTheme="minorHAnsi" w:hAnsiTheme="minorHAnsi" w:cs="Times New Roman"/>
          <w:b/>
        </w:rPr>
        <w:t>Abstract</w:t>
      </w:r>
    </w:p>
    <w:p w14:paraId="602486D1" w14:textId="77777777" w:rsidR="00AD09CD" w:rsidRPr="009925FE" w:rsidRDefault="00AD09CD" w:rsidP="00AD09CD">
      <w:pPr>
        <w:spacing w:after="120" w:line="240" w:lineRule="auto"/>
        <w:rPr>
          <w:rFonts w:asciiTheme="minorHAnsi" w:hAnsiTheme="minorHAnsi" w:cs="Times New Roman"/>
          <w:b/>
        </w:rPr>
      </w:pPr>
      <w:r w:rsidRPr="009925FE">
        <w:rPr>
          <w:rFonts w:asciiTheme="minorHAnsi" w:hAnsiTheme="minorHAnsi" w:cs="Times New Roman"/>
          <w:i/>
        </w:rPr>
        <w:t xml:space="preserve">Purpose </w:t>
      </w:r>
      <w:r w:rsidRPr="009925FE">
        <w:rPr>
          <w:rFonts w:asciiTheme="minorHAnsi" w:hAnsiTheme="minorHAnsi" w:cs="Times New Roman"/>
        </w:rPr>
        <w:t xml:space="preserve">The fracture risk assessment algorithm FRAX® has been recently calibrated for Iran, but guidance is needed on how to apply fracture probabilities to clinical practice.  </w:t>
      </w:r>
    </w:p>
    <w:p w14:paraId="20129E0E" w14:textId="77777777" w:rsidR="00AD09CD" w:rsidRPr="009925FE" w:rsidRDefault="00AD09CD" w:rsidP="00AD09CD">
      <w:pPr>
        <w:spacing w:after="120" w:line="240" w:lineRule="auto"/>
        <w:rPr>
          <w:rFonts w:asciiTheme="minorHAnsi" w:hAnsiTheme="minorHAnsi" w:cs="Times New Roman"/>
        </w:rPr>
      </w:pPr>
      <w:r w:rsidRPr="009925FE">
        <w:rPr>
          <w:rFonts w:asciiTheme="minorHAnsi" w:hAnsiTheme="minorHAnsi" w:cs="Times New Roman"/>
          <w:i/>
        </w:rPr>
        <w:t>Methods</w:t>
      </w:r>
      <w:r w:rsidRPr="009925FE">
        <w:rPr>
          <w:rFonts w:asciiTheme="minorHAnsi" w:hAnsiTheme="minorHAnsi" w:cs="Times New Roman"/>
        </w:rPr>
        <w:t xml:space="preserve"> The age-specific ten-year probabilities of a major osteoporotic fracture were calculated in women </w:t>
      </w:r>
      <w:r w:rsidRPr="00F112BE">
        <w:rPr>
          <w:rFonts w:asciiTheme="minorHAnsi" w:hAnsiTheme="minorHAnsi" w:cs="Times New Roman"/>
        </w:rPr>
        <w:t xml:space="preserve">with average BMI </w:t>
      </w:r>
      <w:r w:rsidRPr="009925FE">
        <w:rPr>
          <w:rFonts w:asciiTheme="minorHAnsi" w:hAnsiTheme="minorHAnsi" w:cs="Times New Roman"/>
        </w:rPr>
        <w:t>to determine fracture probabilities at two potential intervention thresholds. The first comprised the age-specific fracture probabilities associated with a femoral neck T-score of -2.5 SD, in line with current guidelines in Iran. The second approach determined age-specific fracture probabilities that were equivalent to a woman with a prior fragility fracture, without BMD. The parsimonious use of BMD was additionally explored by the computation of upper and lower assessment thresholds for BMD testing</w:t>
      </w:r>
      <w:r w:rsidRPr="009925FE">
        <w:rPr>
          <w:rFonts w:asciiTheme="minorHAnsi" w:eastAsia="MS Mincho" w:hAnsiTheme="minorHAnsi" w:cs="Times New Roman"/>
          <w:lang w:eastAsia="ja-JP"/>
        </w:rPr>
        <w:t>.</w:t>
      </w:r>
    </w:p>
    <w:p w14:paraId="1552E49A" w14:textId="77777777" w:rsidR="00AD09CD" w:rsidRPr="009925FE" w:rsidRDefault="00AD09CD" w:rsidP="00AD09CD">
      <w:pPr>
        <w:spacing w:after="120" w:line="240" w:lineRule="auto"/>
        <w:rPr>
          <w:rFonts w:asciiTheme="minorHAnsi" w:hAnsiTheme="minorHAnsi" w:cs="Times New Roman"/>
        </w:rPr>
      </w:pPr>
      <w:r w:rsidRPr="009925FE">
        <w:rPr>
          <w:rFonts w:asciiTheme="minorHAnsi" w:hAnsiTheme="minorHAnsi" w:cs="Times New Roman"/>
          <w:i/>
          <w:lang w:val="en-GB"/>
        </w:rPr>
        <w:t xml:space="preserve">Results </w:t>
      </w:r>
      <w:r w:rsidRPr="009925FE">
        <w:rPr>
          <w:rFonts w:asciiTheme="minorHAnsi" w:hAnsiTheme="minorHAnsi" w:cs="Times New Roman"/>
        </w:rPr>
        <w:t xml:space="preserve">When a BMD T-score </w:t>
      </w:r>
      <w:r w:rsidRPr="009925FE">
        <w:rPr>
          <w:rFonts w:asciiTheme="minorHAnsi" w:eastAsia="AdvTT3713a231+22" w:hAnsiTheme="minorHAnsi" w:cs="Times New Roman"/>
        </w:rPr>
        <w:t>≤−</w:t>
      </w:r>
      <w:r w:rsidRPr="009925FE">
        <w:rPr>
          <w:rFonts w:asciiTheme="minorHAnsi" w:hAnsiTheme="minorHAnsi" w:cs="Times New Roman"/>
        </w:rPr>
        <w:t>2.5 SD was used as an intervention threshold, FRAX probabilities i</w:t>
      </w:r>
      <w:r w:rsidRPr="009925FE">
        <w:rPr>
          <w:rFonts w:asciiTheme="minorHAnsi" w:hAnsiTheme="minorHAnsi" w:cs="Times New Roman"/>
          <w:lang w:val="en-GB"/>
        </w:rPr>
        <w:t>n women aged 50 years was approximately two-fold higher than in women of the same age but with an average BMD</w:t>
      </w:r>
      <w:r w:rsidRPr="003E66C7">
        <w:rPr>
          <w:rFonts w:asciiTheme="minorHAnsi" w:hAnsiTheme="minorHAnsi" w:cs="Times New Roman"/>
          <w:lang w:val="en-GB"/>
        </w:rPr>
        <w:t xml:space="preserve"> and no risk factors</w:t>
      </w:r>
      <w:r w:rsidRPr="009925FE">
        <w:rPr>
          <w:rFonts w:asciiTheme="minorHAnsi" w:hAnsiTheme="minorHAnsi" w:cs="Times New Roman"/>
          <w:lang w:val="en-GB"/>
        </w:rPr>
        <w:t xml:space="preserve">. The </w:t>
      </w:r>
      <w:r>
        <w:rPr>
          <w:rFonts w:asciiTheme="minorHAnsi" w:hAnsiTheme="minorHAnsi" w:cs="Times New Roman"/>
          <w:lang w:val="en-GB"/>
        </w:rPr>
        <w:t xml:space="preserve">relative </w:t>
      </w:r>
      <w:r w:rsidRPr="009925FE">
        <w:rPr>
          <w:rFonts w:asciiTheme="minorHAnsi" w:hAnsiTheme="minorHAnsi" w:cs="Times New Roman"/>
          <w:lang w:val="en-GB"/>
        </w:rPr>
        <w:t xml:space="preserve">increase in risk associated with the BMD threshold decreased progressively with age such that, at the age of 80 years or more, a T-score of -2.5 SD was </w:t>
      </w:r>
      <w:r>
        <w:rPr>
          <w:rFonts w:asciiTheme="minorHAnsi" w:hAnsiTheme="minorHAnsi" w:cs="Times New Roman"/>
          <w:lang w:val="en-GB"/>
        </w:rPr>
        <w:t xml:space="preserve">actually </w:t>
      </w:r>
      <w:r w:rsidRPr="009925FE">
        <w:rPr>
          <w:rFonts w:asciiTheme="minorHAnsi" w:hAnsiTheme="minorHAnsi" w:cs="Times New Roman"/>
          <w:lang w:val="en-GB"/>
        </w:rPr>
        <w:t xml:space="preserve">protective. </w:t>
      </w:r>
      <w:r w:rsidRPr="009925FE">
        <w:rPr>
          <w:rFonts w:asciiTheme="minorHAnsi" w:hAnsiTheme="minorHAnsi" w:cs="Times New Roman"/>
          <w:lang w:eastAsia="ja-JP"/>
        </w:rPr>
        <w:t xml:space="preserve">The 10-year probability of a major osteoporotic fracture by age, equivalent to women </w:t>
      </w:r>
      <w:r w:rsidRPr="009925FE">
        <w:rPr>
          <w:rFonts w:asciiTheme="minorHAnsi" w:hAnsiTheme="minorHAnsi" w:cs="Times New Roman"/>
          <w:lang w:eastAsia="ja-JP"/>
        </w:rPr>
        <w:lastRenderedPageBreak/>
        <w:t>with a previous fracture</w:t>
      </w:r>
      <w:r w:rsidRPr="009925FE">
        <w:rPr>
          <w:rFonts w:asciiTheme="minorHAnsi" w:hAnsiTheme="minorHAnsi" w:cs="Times New Roman"/>
        </w:rPr>
        <w:t xml:space="preserve"> rose with age</w:t>
      </w:r>
      <w:r>
        <w:rPr>
          <w:rFonts w:asciiTheme="minorHAnsi" w:hAnsiTheme="minorHAnsi" w:cs="Times New Roman"/>
        </w:rPr>
        <w:t xml:space="preserve"> from </w:t>
      </w:r>
      <w:r w:rsidRPr="003E66C7">
        <w:rPr>
          <w:rFonts w:asciiTheme="minorHAnsi" w:hAnsiTheme="minorHAnsi" w:cs="Times New Roman"/>
        </w:rPr>
        <w:t>4.9% at the age of 50 years to 17%, at the age of 80 years</w:t>
      </w:r>
      <w:r w:rsidRPr="009925FE">
        <w:rPr>
          <w:rFonts w:asciiTheme="minorHAnsi" w:hAnsiTheme="minorHAnsi" w:cs="Times New Roman"/>
        </w:rPr>
        <w:t xml:space="preserve">, and identified women at increased risk at all ages. </w:t>
      </w:r>
    </w:p>
    <w:p w14:paraId="49B98544" w14:textId="77777777" w:rsidR="00AD09CD" w:rsidRPr="009925FE" w:rsidRDefault="00AD09CD" w:rsidP="00AD09CD">
      <w:pPr>
        <w:spacing w:after="120" w:line="240" w:lineRule="auto"/>
        <w:rPr>
          <w:rFonts w:asciiTheme="minorHAnsi" w:hAnsiTheme="minorHAnsi" w:cs="Times New Roman"/>
        </w:rPr>
      </w:pPr>
      <w:r w:rsidRPr="009925FE">
        <w:rPr>
          <w:rFonts w:asciiTheme="minorHAnsi" w:hAnsiTheme="minorHAnsi" w:cs="Times New Roman"/>
          <w:bCs/>
          <w:i/>
          <w:iCs/>
        </w:rPr>
        <w:t>Conclusion</w:t>
      </w:r>
      <w:r w:rsidRPr="009925FE">
        <w:rPr>
          <w:rFonts w:asciiTheme="minorHAnsi" w:hAnsiTheme="minorHAnsi" w:cs="Times New Roman"/>
          <w:bCs/>
        </w:rPr>
        <w:t xml:space="preserve"> Intervention thresholds based on BMD alone do not effectively target women at high fracture risk, particularly in the elderly. In contrast, intervention thresholds based on fracture probabilities equivalent to a ‘fracture threshold’ target women at high fracture risk. </w:t>
      </w:r>
    </w:p>
    <w:p w14:paraId="72A3D3EC" w14:textId="77777777" w:rsidR="00AD09CD" w:rsidRPr="009925FE" w:rsidRDefault="00AD09CD" w:rsidP="00AD09CD">
      <w:pPr>
        <w:spacing w:after="120" w:line="240" w:lineRule="auto"/>
        <w:rPr>
          <w:rFonts w:asciiTheme="minorHAnsi" w:hAnsiTheme="minorHAnsi" w:cs="Times New Roman"/>
          <w:b/>
        </w:rPr>
      </w:pPr>
    </w:p>
    <w:p w14:paraId="0D0B940D" w14:textId="77777777" w:rsidR="00AD09CD" w:rsidRPr="007D5E00" w:rsidRDefault="00AD09CD" w:rsidP="00AD09CD">
      <w:pPr>
        <w:spacing w:after="120" w:line="240" w:lineRule="auto"/>
        <w:rPr>
          <w:rFonts w:ascii="Times New Roman" w:hAnsi="Times New Roman" w:cs="Times New Roman"/>
          <w:b/>
          <w:bCs/>
          <w:highlight w:val="yellow"/>
        </w:rPr>
      </w:pPr>
    </w:p>
    <w:p w14:paraId="7CD9A70D" w14:textId="77777777" w:rsidR="00AD09CD" w:rsidRPr="00C31429" w:rsidRDefault="00AD09CD" w:rsidP="00AD09CD">
      <w:pPr>
        <w:spacing w:after="120" w:line="240" w:lineRule="auto"/>
        <w:rPr>
          <w:rFonts w:asciiTheme="minorHAnsi" w:hAnsiTheme="minorHAnsi" w:cs="Times New Roman"/>
          <w:b/>
          <w:bCs/>
        </w:rPr>
      </w:pPr>
      <w:r w:rsidRPr="00C31429">
        <w:rPr>
          <w:rFonts w:asciiTheme="minorHAnsi" w:hAnsiTheme="minorHAnsi" w:cs="Times New Roman"/>
          <w:b/>
          <w:bCs/>
        </w:rPr>
        <w:t xml:space="preserve">Keywords: </w:t>
      </w:r>
      <w:r w:rsidRPr="00C31429">
        <w:rPr>
          <w:rFonts w:asciiTheme="minorHAnsi" w:hAnsiTheme="minorHAnsi" w:cs="Times New Roman"/>
          <w:bCs/>
        </w:rPr>
        <w:t>FRAX</w:t>
      </w:r>
      <w:bookmarkStart w:id="1" w:name="_Hlk516046222"/>
      <w:r w:rsidRPr="00C31429">
        <w:rPr>
          <w:rFonts w:asciiTheme="minorHAnsi" w:hAnsiTheme="minorHAnsi" w:cs="Times New Roman"/>
          <w:bCs/>
        </w:rPr>
        <w:t xml:space="preserve"> · </w:t>
      </w:r>
      <w:bookmarkEnd w:id="1"/>
      <w:r w:rsidRPr="00C31429">
        <w:rPr>
          <w:rFonts w:asciiTheme="minorHAnsi" w:hAnsiTheme="minorHAnsi" w:cs="Times New Roman"/>
          <w:bCs/>
        </w:rPr>
        <w:t>Fracture probability · Guidelines · Intervention threshold · Iran · Osteoporosis</w:t>
      </w:r>
    </w:p>
    <w:p w14:paraId="0E27B00A" w14:textId="77777777" w:rsidR="00AD09CD" w:rsidRDefault="00AD09CD" w:rsidP="00AD09CD">
      <w:pPr>
        <w:spacing w:after="120" w:line="240" w:lineRule="auto"/>
        <w:rPr>
          <w:rFonts w:ascii="Times New Roman" w:hAnsi="Times New Roman" w:cs="Times New Roman"/>
          <w:b/>
          <w:highlight w:val="yellow"/>
        </w:rPr>
      </w:pPr>
    </w:p>
    <w:p w14:paraId="60061E4C" w14:textId="77777777" w:rsidR="00AD09CD" w:rsidRDefault="00AD09CD" w:rsidP="00AD09CD">
      <w:pPr>
        <w:spacing w:after="120" w:line="240" w:lineRule="auto"/>
        <w:rPr>
          <w:rFonts w:ascii="Times New Roman" w:hAnsi="Times New Roman" w:cs="Times New Roman"/>
          <w:b/>
          <w:highlight w:val="yellow"/>
        </w:rPr>
      </w:pPr>
    </w:p>
    <w:p w14:paraId="44EAFD9C" w14:textId="77777777" w:rsidR="00AD09CD" w:rsidRDefault="00AD09CD" w:rsidP="00AD09CD">
      <w:pPr>
        <w:spacing w:after="120" w:line="240" w:lineRule="auto"/>
        <w:rPr>
          <w:rFonts w:ascii="Times New Roman" w:hAnsi="Times New Roman" w:cs="Times New Roman"/>
          <w:b/>
          <w:highlight w:val="yellow"/>
        </w:rPr>
      </w:pPr>
    </w:p>
    <w:p w14:paraId="4B94D5A5" w14:textId="77777777" w:rsidR="00AD09CD" w:rsidRDefault="00AD09CD" w:rsidP="00AD09CD">
      <w:pPr>
        <w:autoSpaceDE/>
        <w:autoSpaceDN/>
        <w:adjustRightInd/>
        <w:spacing w:after="0" w:line="240" w:lineRule="auto"/>
        <w:jc w:val="left"/>
        <w:rPr>
          <w:rFonts w:ascii="Times New Roman" w:hAnsi="Times New Roman" w:cs="Times New Roman"/>
          <w:b/>
          <w:highlight w:val="yellow"/>
        </w:rPr>
      </w:pPr>
      <w:r>
        <w:rPr>
          <w:rFonts w:ascii="Times New Roman" w:hAnsi="Times New Roman" w:cs="Times New Roman"/>
          <w:b/>
          <w:highlight w:val="yellow"/>
        </w:rPr>
        <w:br w:type="page"/>
      </w:r>
    </w:p>
    <w:p w14:paraId="3DEEC669" w14:textId="77777777" w:rsidR="00AD09CD" w:rsidRPr="007D5E00" w:rsidRDefault="00AD09CD" w:rsidP="00AD09CD">
      <w:pPr>
        <w:spacing w:after="120" w:line="240" w:lineRule="auto"/>
        <w:rPr>
          <w:rFonts w:ascii="Times New Roman" w:hAnsi="Times New Roman" w:cs="Times New Roman"/>
          <w:b/>
          <w:highlight w:val="yellow"/>
        </w:rPr>
      </w:pPr>
    </w:p>
    <w:p w14:paraId="3E7A9F1C" w14:textId="77777777" w:rsidR="00AD09CD" w:rsidRPr="00327E44" w:rsidRDefault="00AD09CD" w:rsidP="00AD09CD">
      <w:pPr>
        <w:spacing w:after="120" w:line="240" w:lineRule="auto"/>
        <w:rPr>
          <w:rFonts w:asciiTheme="minorHAnsi" w:hAnsiTheme="minorHAnsi" w:cs="Times New Roman"/>
          <w:b/>
        </w:rPr>
      </w:pPr>
      <w:r w:rsidRPr="00327E44">
        <w:rPr>
          <w:rFonts w:asciiTheme="minorHAnsi" w:hAnsiTheme="minorHAnsi" w:cs="Times New Roman"/>
          <w:b/>
        </w:rPr>
        <w:t>Introduction</w:t>
      </w:r>
    </w:p>
    <w:p w14:paraId="4121C242" w14:textId="447D3B92" w:rsidR="00AD09CD" w:rsidRPr="00204065" w:rsidRDefault="00AD09CD" w:rsidP="00B444C9">
      <w:pPr>
        <w:spacing w:after="120" w:line="240" w:lineRule="auto"/>
        <w:rPr>
          <w:rFonts w:asciiTheme="minorHAnsi" w:hAnsiTheme="minorHAnsi" w:cs="Times New Roman"/>
        </w:rPr>
      </w:pPr>
      <w:r w:rsidRPr="00F07DCD">
        <w:rPr>
          <w:rFonts w:asciiTheme="minorHAnsi" w:hAnsiTheme="minorHAnsi" w:cs="Times New Roman"/>
        </w:rPr>
        <w:t xml:space="preserve">Bone mineral density (BMD) measured by dual </w:t>
      </w:r>
      <w:r>
        <w:rPr>
          <w:rFonts w:asciiTheme="minorHAnsi" w:hAnsiTheme="minorHAnsi" w:cs="Times New Roman"/>
        </w:rPr>
        <w:t xml:space="preserve">energy </w:t>
      </w:r>
      <w:r w:rsidRPr="00F07DCD">
        <w:rPr>
          <w:rFonts w:asciiTheme="minorHAnsi" w:hAnsiTheme="minorHAnsi" w:cs="Times New Roman"/>
        </w:rPr>
        <w:t xml:space="preserve">X-ray absorptiometry (DXA) is the current reference standard for the diagnosis of osteoporosis. </w:t>
      </w:r>
      <w:r w:rsidR="00B444C9" w:rsidRPr="00B444C9">
        <w:rPr>
          <w:rFonts w:asciiTheme="minorHAnsi" w:hAnsiTheme="minorHAnsi" w:cs="Times New Roman"/>
        </w:rPr>
        <w:t xml:space="preserve">A femoral neck BMD that lies 2.5 standard deviations </w:t>
      </w:r>
      <w:r w:rsidR="00B444C9">
        <w:rPr>
          <w:rFonts w:asciiTheme="minorHAnsi" w:hAnsiTheme="minorHAnsi" w:cs="Times New Roman"/>
          <w:lang w:val="uz-Cyrl-UZ"/>
        </w:rPr>
        <w:t xml:space="preserve">(SD) </w:t>
      </w:r>
      <w:r w:rsidR="00B444C9" w:rsidRPr="00B444C9">
        <w:rPr>
          <w:rFonts w:asciiTheme="minorHAnsi" w:hAnsiTheme="minorHAnsi" w:cs="Times New Roman"/>
        </w:rPr>
        <w:t xml:space="preserve">or more below the average value for young healthy women (a T-score of &lt;-2.5 SD) </w:t>
      </w:r>
      <w:r w:rsidRPr="00F07DCD">
        <w:rPr>
          <w:rFonts w:asciiTheme="minorHAnsi" w:hAnsiTheme="minorHAnsi" w:cs="Times New Roman"/>
        </w:rPr>
        <w:t xml:space="preserve">was proposed by the </w:t>
      </w:r>
      <w:r w:rsidRPr="00204065">
        <w:rPr>
          <w:rFonts w:asciiTheme="minorHAnsi" w:hAnsiTheme="minorHAnsi" w:cs="Times New Roman"/>
        </w:rPr>
        <w:t xml:space="preserve">World Health Organization (WHO) as an operational definition of osteoporosis </w:t>
      </w:r>
      <w:r>
        <w:rPr>
          <w:rFonts w:asciiTheme="minorHAnsi" w:hAnsiTheme="minorHAnsi" w:cs="Times New Roman"/>
        </w:rPr>
        <w:fldChar w:fldCharType="begin" w:fldLock="1"/>
      </w:r>
      <w:r>
        <w:rPr>
          <w:rFonts w:asciiTheme="minorHAnsi" w:hAnsiTheme="minorHAnsi" w:cs="Times New Roman"/>
        </w:rPr>
        <w:instrText>ADDIN CSL_CITATION {"citationItems":[{"id":"ITEM-1","itemData":{"author":[{"dropping-particle":"","family":"World Health Organization","given":"","non-dropping-particle":"","parse-names":false,"suffix":""}],"id":"ITEM-1","issued":{"date-parts":[["1994"]]},"number-of-pages":"Technical Support Series, No. 843","publisher-place":"Geneva","title":"Assessment of fracture risk and its application to screening for postmenopausal osteoporosis.","type":"report"},"uris":["http://www.mendeley.com/documents/?uuid=e3b0d6de-bf00-3cd9-867c-29767ae7fbba"]},{"id":"ITEM-2","itemData":{"DOI":"10.1002/jbmr.5650090802","ISSN":"0884-0431 (Print); 0884-0431 (Linking)","PMID":"7976495","author":[{"dropping-particle":"","family":"Kanis","given":"J A","non-dropping-particle":"","parse-names":false,"suffix":""},{"dropping-particle":"","family":"Melton","given":"L J 3rd","non-dropping-particle":"","parse-names":false,"suffix":""},{"dropping-particle":"","family":"Christiansen","given":"C","non-dropping-particle":"","parse-names":false,"suffix":""},{"dropping-particle":"","family":"Johnston","given":"C C","non-dropping-particle":"","parse-names":false,"suffix":""},{"dropping-particle":"","family":"Khaltaev","given":"N","non-dropping-particle":"","parse-names":false,"suffix":""}],"container-title":"J Bone Miner Res","id":"ITEM-2","issue":"8","issued":{"date-parts":[["1994"]]},"page":"1137-1141","publisher-place":"WHO Collaborating Centre for Metabolic Bone Diseases, University of Sheffield Medical School, England.","title":"The diagnosis of osteoporosis","type":"article-journal","volume":"9"},"uris":["http://www.mendeley.com/documents/?uuid=4d518c3f-d2e4-42ab-b3a1-e10ff8cdf33e"]},{"id":"ITEM-3","itemData":{"DOI":"10.1016/j.bone.2007.11.001","ISSN":"87563282","PMID":"18180210","abstract":"In 1994, the World Health Organization published diagnostic criteria for osteoporosis. Since then, many new technologies have been developed for the measurement of bone mineral at multiple skeletal sites. The information provided by each assessment will describe the clinical characteristics, fracture risk and epidemiology of osteoporosis differently. Against this background, there is a need for a reference standard for describing osteoporosis. In the absence of a true gold standard, this paper proposes that the reference standard should be based on bone mineral density (BMD) measurement made at the femoral neck with dual-energy X-ray absorptiometry (DXA). This site has been the most extensively validated, and provides a gradient of fracture risk as high as or higher than that of many other techniques. The recommended reference range is the NHANES III reference database for femoral neck measurements in women aged 20-29 years. A similar cut-off value for femoral neck BMD that is used to define osteoporosis in women can be used for the diagnosis of osteoporosis in men - namely, a value for BMD 2.5 SD or more below the average for young adult women. The adoption of DXA as a reference standard provides a platform on which the performance characteristics of less well established and new methodologies can be compared.","author":[{"dropping-particle":"","family":"Kanis","given":"John A.","non-dropping-particle":"","parse-names":false,"suffix":""},{"dropping-particle":"V.","family":"McCloskey","given":"Eugene","non-dropping-particle":"","parse-names":false,"suffix":""},{"dropping-particle":"","family":"Johansson","given":"Helena","non-dropping-particle":"","parse-names":false,"suffix":""},{"dropping-particle":"","family":"Oden","given":"Anders","non-dropping-particle":"","parse-names":false,"suffix":""},{"dropping-particle":"","family":"Melton","given":"L. Joseph","non-dropping-particle":"","parse-names":false,"suffix":""},{"dropping-particle":"","family":"Khaltaev","given":"Nikolai","non-dropping-particle":"","parse-names":false,"suffix":""}],"container-title":"Bone","id":"ITEM-3","issue":"3","issued":{"date-parts":[["2008","3"]]},"page":"467-475","title":"A reference standard for the description of osteoporosis","type":"article-journal","volume":"42"},"uris":["http://www.mendeley.com/documents/?uuid=6fe307e7-f528-3c70-9c7a-a9c9df930a5e"]}],"mendeley":{"formattedCitation":"(1–3)","plainTextFormattedCitation":"(1–3)","previouslyFormattedCitation":"(1–3)"},"properties":{"noteIndex":0},"schema":"https://github.com/citation-style-language/schema/raw/master/csl-citation.json"}</w:instrText>
      </w:r>
      <w:r>
        <w:rPr>
          <w:rFonts w:asciiTheme="minorHAnsi" w:hAnsiTheme="minorHAnsi" w:cs="Times New Roman"/>
        </w:rPr>
        <w:fldChar w:fldCharType="separate"/>
      </w:r>
      <w:r w:rsidRPr="00AD09CD">
        <w:rPr>
          <w:rFonts w:asciiTheme="minorHAnsi" w:hAnsiTheme="minorHAnsi" w:cs="Times New Roman"/>
          <w:noProof/>
        </w:rPr>
        <w:t>(1–3)</w:t>
      </w:r>
      <w:r>
        <w:rPr>
          <w:rFonts w:asciiTheme="minorHAnsi" w:hAnsiTheme="minorHAnsi" w:cs="Times New Roman"/>
        </w:rPr>
        <w:fldChar w:fldCharType="end"/>
      </w:r>
      <w:r w:rsidRPr="00204065">
        <w:rPr>
          <w:rFonts w:asciiTheme="minorHAnsi" w:hAnsiTheme="minorHAnsi" w:cs="Times New Roman"/>
        </w:rPr>
        <w:t xml:space="preserve">. The operational definition was established primarily for descriptive epidemiology. However, since BMD is one of the strongest predictors of fracture risk </w:t>
      </w:r>
      <w:r>
        <w:rPr>
          <w:rFonts w:asciiTheme="minorHAnsi" w:hAnsiTheme="minorHAnsi" w:cs="Times New Roman"/>
        </w:rPr>
        <w:fldChar w:fldCharType="begin" w:fldLock="1"/>
      </w:r>
      <w:r>
        <w:rPr>
          <w:rFonts w:asciiTheme="minorHAnsi" w:hAnsiTheme="minorHAnsi" w:cs="Times New Roman"/>
        </w:rPr>
        <w:instrText>ADDIN CSL_CITATION {"citationItems":[{"id":"ITEM-1","itemData":{"ISSN":"0959-8138","PMID":"8634613","abstract":"OBJECTIVE To determine the ability of measurements of bone density in women to predict later fractures. DESIGN Meta-analysis of prospective cohort studies published between 1985 and end of 1994 with a baseline measurement of bone density in women and subsequent follow up for fractures. For comparative purposes, we also reviewed case control studies of hip fractures published between 1990 and 1994. SUBJECTS Eleven separate study populations with about 90,000 person years of observation time and over 2000 fractures. MAIN OUTCOME MEASURES Relative risk of fracture for a decrease in bone mineral density of one standard deviation below age adjusted mean. RESULTS All measuring sites had similar predictive abilities (relative risk 1.5 (95% confidence interval 1.4 to 1.6)) for decrease in bone mineral density except for measurement at spine for predicting vertebral fractures (relative risk 2.3 (1.9 to 2.8)) and measurement at hip for hip fractures (2.6 (2.0 to 3.5)). These results are in accordance with results of case-control studies. Predictive ability of decrease in bone mass was roughly similar to (or, for hip or spine measurements, better than) that of a 1 SD increase in blood pressure for stroke and better than a 1 SD increase in serum cholesterol concentration for cardiovascular disease. CONCLUSIONS Measurements of bone mineral density can predict fracture risk but cannot identify individuals who will have a fracture. We do not recommend a programme of screening menopausal women for osteoporosis by measuring bone density.","author":[{"dropping-particle":"","family":"Marshall","given":"D","non-dropping-particle":"","parse-names":false,"suffix":""},{"dropping-particle":"","family":"Johnell","given":"O","non-dropping-particle":"","parse-names":false,"suffix":""},{"dropping-particle":"","family":"Wedel","given":"H","non-dropping-particle":"","parse-names":false,"suffix":""}],"container-title":"BMJ (Clinical research ed.)","id":"ITEM-1","issue":"7041","issued":{"date-parts":[["1996","5","18"]]},"page":"1254-9","title":"Meta-analysis of how well measures of bone mineral density predict occurrence of osteoporotic fractures.","type":"article-journal","volume":"312"},"uris":["http://www.mendeley.com/documents/?uuid=f54b23f0-b7d8-3eed-98e1-72745e747db2"]},{"id":"ITEM-2","itemData":{"DOI":"10.1359/JBMR.050304","ISSN":"08840431","author":[{"dropping-particle":"","family":"Johnell","given":"Olof","non-dropping-particle":"","parse-names":false,"suffix":""},{"dropping-particle":"","family":"Kanis","given":"John A","non-dropping-particle":"","parse-names":false,"suffix":""},{"dropping-particle":"","family":"Oden","given":"Anders","non-dropping-particle":"","parse-names":false,"suffix":""},{"dropping-particle":"","family":"Johansson","given":"Helena","non-dropping-particle":"","parse-names":false,"suffix":""},{"dropping-particle":"","family":"Laet","given":"Chris","non-dropping-particle":"De","parse-names":false,"suffix":""},{"dropping-particle":"","family":"Delmas","given":"Pierre","non-dropping-particle":"","parse-names":false,"suffix":""},{"dropping-particle":"","family":"Eisman","given":"John A","non-dropping-particle":"","parse-names":false,"suffix":""},{"dropping-particle":"","family":"Fujiwara","given":"Seiko","non-dropping-particle":"","parse-names":false,"suffix":""},{"dropping-particle":"","family":"Kroger","given":"Heikki","non-dropping-particle":"","parse-names":false,"suffix":""},{"dropping-particle":"","family":"Mellstrom","given":"Dan","non-dropping-particle":"","parse-names":false,"suffix":""},{"dropping-particle":"","family":"Meunier","given":"Pierre J","non-dropping-particle":"","parse-names":false,"suffix":""},{"dropping-particle":"","family":"Melton","given":"L Joseph","non-dropping-particle":"","parse-names":false,"suffix":""},{"dropping-particle":"","family":"O'Neill","given":"Terry","non-dropping-particle":"","parse-names":false,"suffix":""},{"dropping-particle":"","family":"Pols","given":"Huibert","non-dropping-particle":"","parse-names":false,"suffix":""},{"dropping-particle":"","family":"Reeve","given":"Jonathan","non-dropping-particle":"","parse-names":false,"suffix":""},{"dropping-particle":"","family":"Silman","given":"Alan","non-dropping-particle":"","parse-names":false,"suffix":""},{"dropping-particle":"","family":"Tenenhouse","given":"Alan","non-dropping-particle":"","parse-names":false,"suffix":""}],"container-title":"Journal of Bone and Mineral Research","id":"ITEM-2","issue":"7","issued":{"date-parts":[["2005","3","7"]]},"page":"1185-1194","title":"Predictive Value of BMD for Hip and Other Fractures","type":"article-journal","volume":"20"},"uris":["http://www.mendeley.com/documents/?uuid=8be0e788-f8e0-3a4d-b2d6-062f41b053cb"]}],"mendeley":{"formattedCitation":"(4,5)","plainTextFormattedCitation":"(4,5)","previouslyFormattedCitation":"(4,5)"},"properties":{"noteIndex":0},"schema":"https://github.com/citation-style-language/schema/raw/master/csl-citation.json"}</w:instrText>
      </w:r>
      <w:r>
        <w:rPr>
          <w:rFonts w:asciiTheme="minorHAnsi" w:hAnsiTheme="minorHAnsi" w:cs="Times New Roman"/>
        </w:rPr>
        <w:fldChar w:fldCharType="separate"/>
      </w:r>
      <w:r w:rsidRPr="00AD09CD">
        <w:rPr>
          <w:rFonts w:asciiTheme="minorHAnsi" w:hAnsiTheme="minorHAnsi" w:cs="Times New Roman"/>
          <w:noProof/>
        </w:rPr>
        <w:t>(4,5)</w:t>
      </w:r>
      <w:r>
        <w:rPr>
          <w:rFonts w:asciiTheme="minorHAnsi" w:hAnsiTheme="minorHAnsi" w:cs="Times New Roman"/>
        </w:rPr>
        <w:fldChar w:fldCharType="end"/>
      </w:r>
      <w:r w:rsidRPr="00204065">
        <w:rPr>
          <w:rFonts w:asciiTheme="minorHAnsi" w:hAnsiTheme="minorHAnsi" w:cs="Times New Roman"/>
        </w:rPr>
        <w:t>, many agencies</w:t>
      </w:r>
      <w:r w:rsidRPr="00F07DCD">
        <w:rPr>
          <w:rFonts w:asciiTheme="minorHAnsi" w:hAnsiTheme="minorHAnsi" w:cs="Times New Roman"/>
        </w:rPr>
        <w:t xml:space="preserve"> worldwide adopted BMD-based criteria for reimbursement and as intervention thresholds. One of the currently accepted criteri</w:t>
      </w:r>
      <w:r>
        <w:rPr>
          <w:rFonts w:asciiTheme="minorHAnsi" w:hAnsiTheme="minorHAnsi" w:cs="Times New Roman"/>
        </w:rPr>
        <w:t>a</w:t>
      </w:r>
      <w:r w:rsidRPr="00F07DCD">
        <w:rPr>
          <w:rFonts w:asciiTheme="minorHAnsi" w:hAnsiTheme="minorHAnsi" w:cs="Times New Roman"/>
        </w:rPr>
        <w:t xml:space="preserve"> for treatment of osteoporosis </w:t>
      </w:r>
      <w:r w:rsidRPr="00204065">
        <w:rPr>
          <w:rFonts w:asciiTheme="minorHAnsi" w:hAnsiTheme="minorHAnsi" w:cs="Times New Roman"/>
        </w:rPr>
        <w:t xml:space="preserve">in Iran is a BMD T-score </w:t>
      </w:r>
      <w:r w:rsidRPr="00204065">
        <w:rPr>
          <w:rFonts w:asciiTheme="minorHAnsi" w:eastAsia="AdvTT3713a231+22" w:hAnsiTheme="minorHAnsi" w:cs="Times New Roman"/>
        </w:rPr>
        <w:t>≤−</w:t>
      </w:r>
      <w:r w:rsidRPr="00204065">
        <w:rPr>
          <w:rFonts w:asciiTheme="minorHAnsi" w:hAnsiTheme="minorHAnsi" w:cs="Times New Roman"/>
        </w:rPr>
        <w:t xml:space="preserve">2.5 SD, which is also the reimbursement threshold for medical intervention </w:t>
      </w:r>
      <w:r>
        <w:rPr>
          <w:rFonts w:asciiTheme="minorHAnsi" w:hAnsiTheme="minorHAnsi" w:cs="Times New Roman"/>
        </w:rPr>
        <w:fldChar w:fldCharType="begin" w:fldLock="1"/>
      </w:r>
      <w:r w:rsidR="00596CBE">
        <w:rPr>
          <w:rFonts w:asciiTheme="minorHAnsi" w:hAnsiTheme="minorHAnsi" w:cs="Times New Roman"/>
        </w:rPr>
        <w:instrText>ADDIN CSL_CITATION {"citationItems":[{"id":"ITEM-1","itemData":{"author":[{"dropping-particle":"","family":"Osteoporosis Research Center","given":"Endocrinology and Metabolism Research Institute","non-dropping-particle":"","parse-names":false,"suffix":""}],"id":"ITEM-1","issued":{"date-parts":[["2014"]]},"publisher":"Endocrinology and Metabolism Research Institute","publisher-place":"Tehran","title":"Osteoporosis guideline","type":"book"},"uris":["http://www.mendeley.com/documents/?uuid=24e84b39-9530-33a1-bb20-db4b67c18f3a"]}],"mendeley":{"formattedCitation":"(6)","plainTextFormattedCitation":"(6)","previouslyFormattedCitation":"(6)"},"properties":{"noteIndex":0},"schema":"https://github.com/citation-style-language/schema/raw/master/csl-citation.json"}</w:instrText>
      </w:r>
      <w:r>
        <w:rPr>
          <w:rFonts w:asciiTheme="minorHAnsi" w:hAnsiTheme="minorHAnsi" w:cs="Times New Roman"/>
        </w:rPr>
        <w:fldChar w:fldCharType="separate"/>
      </w:r>
      <w:r w:rsidRPr="00AD09CD">
        <w:rPr>
          <w:rFonts w:asciiTheme="minorHAnsi" w:hAnsiTheme="minorHAnsi" w:cs="Times New Roman"/>
          <w:noProof/>
        </w:rPr>
        <w:t>(6)</w:t>
      </w:r>
      <w:r>
        <w:rPr>
          <w:rFonts w:asciiTheme="minorHAnsi" w:hAnsiTheme="minorHAnsi" w:cs="Times New Roman"/>
        </w:rPr>
        <w:fldChar w:fldCharType="end"/>
      </w:r>
      <w:r w:rsidRPr="00204065">
        <w:rPr>
          <w:rFonts w:asciiTheme="minorHAnsi" w:hAnsiTheme="minorHAnsi" w:cs="Times New Roman"/>
        </w:rPr>
        <w:t xml:space="preserve">. </w:t>
      </w:r>
    </w:p>
    <w:p w14:paraId="75E40B09" w14:textId="77777777" w:rsidR="00AD09CD" w:rsidRPr="00CF46F6" w:rsidRDefault="00AD09CD" w:rsidP="00596CBE">
      <w:pPr>
        <w:spacing w:after="120" w:line="240" w:lineRule="auto"/>
        <w:rPr>
          <w:rFonts w:asciiTheme="minorHAnsi" w:hAnsiTheme="minorHAnsi" w:cs="Times New Roman"/>
          <w:lang w:val="uz-Cyrl-UZ"/>
        </w:rPr>
      </w:pPr>
      <w:r w:rsidRPr="00204065">
        <w:rPr>
          <w:rFonts w:asciiTheme="minorHAnsi" w:hAnsiTheme="minorHAnsi" w:cs="Times New Roman"/>
        </w:rPr>
        <w:t xml:space="preserve">Although low BMD is a strong risk factor for fracture, many studies have shown that half or more of all patients presenting with a fragility fracture have BMD T-scores at the lumbar spine or the hip greater than </w:t>
      </w:r>
      <w:r w:rsidRPr="00204065">
        <w:rPr>
          <w:rFonts w:asciiTheme="minorHAnsi" w:eastAsia="AdvTT3713a231+22" w:hAnsiTheme="minorHAnsi" w:cs="Times New Roman"/>
        </w:rPr>
        <w:t>−</w:t>
      </w:r>
      <w:r w:rsidRPr="00204065">
        <w:rPr>
          <w:rFonts w:asciiTheme="minorHAnsi" w:hAnsiTheme="minorHAnsi" w:cs="Times New Roman"/>
        </w:rPr>
        <w:t xml:space="preserve">2.5 SD, i.e., are not osteoporotic </w:t>
      </w:r>
      <w:hyperlink w:anchor="_ENREF_5" w:tooltip=", 2007 #39" w:history="1">
        <w:r w:rsidRPr="00204065">
          <w:rPr>
            <w:rFonts w:asciiTheme="minorHAnsi" w:hAnsiTheme="minorHAnsi" w:cs="Times New Roman"/>
          </w:rPr>
          <w:t>[WHO 1994]</w:t>
        </w:r>
      </w:hyperlink>
      <w:r w:rsidRPr="00204065">
        <w:rPr>
          <w:rFonts w:asciiTheme="minorHAnsi" w:hAnsiTheme="minorHAnsi" w:cs="Times New Roman"/>
        </w:rPr>
        <w:t xml:space="preserve">. Thus, the current policy can only capture a minority of the population at high risk of fracture. The policy is also problematic in that it assumes that all prospective patients should have a BMD test and the availability of BMD equipment is limited. In a recent survey there were less than 2 DXA machines per million of the general Iranian population </w:t>
      </w:r>
      <w:r w:rsidR="00596CBE">
        <w:rPr>
          <w:rFonts w:asciiTheme="minorHAnsi" w:hAnsiTheme="minorHAnsi" w:cs="Times New Roman"/>
        </w:rPr>
        <w:fldChar w:fldCharType="begin" w:fldLock="1"/>
      </w:r>
      <w:r w:rsidR="00596CBE">
        <w:rPr>
          <w:rFonts w:asciiTheme="minorHAnsi" w:hAnsiTheme="minorHAnsi" w:cs="Times New Roman"/>
        </w:rPr>
        <w:instrText>ADDIN CSL_CITATION {"citationItems":[{"id":"ITEM-1","itemData":{"abstract":"What is osteoporosis? Osteoporosis is a disease in which the density and quality of bone are reduced, leading to weakness of the skeleton and increased risk of fracture, particularly of the spine, wrist, hip, pelvis and upper arm. Osteoporosis and associated fractures are an important cause of mortality and morbidity. In women over 45, osteoporosis accounts for more days spent in hospital than many other diseases, including diabetes, myocardial infarction and breast cancer 1 . It may be asymptomatic until it presents with a fracture and even then it is estimated that only one out of three vertebral fractures come to clinical attention 2 . 1. Kanis JA, Delmas P, Burckhardt P, et al. (1997) Guidelines for diagnosis and management of osteoporosis. The European Foundation for Osteoporosis and Bone Disease. Osteoporos Int 7:390-406. 2. Cooper C, Atkinson EJ, O'Fallon WM, et al. (1992) Incidence of clinically diagnosed vertebral fractures: a population-based study in Rochester, Minnesota, 1985-1989. J Bone Miner Res 7:221-227.","author":[{"dropping-particle":"","family":"El-Hajj Fuleihan","given":"G","non-dropping-particle":"","parse-names":false,"suffix":""},{"dropping-particle":"","family":"Adib","given":"G","non-dropping-particle":"","parse-names":false,"suffix":""},{"dropping-particle":"","family":"Nauroy","given":"L","non-dropping-particle":"","parse-names":false,"suffix":""}],"id":"ITEM-1","issued":{"date-parts":[["2011"]]},"title":"Epidemiology, costs &amp;amp; burden of osteoporosis in 2011. The Middle East &amp;amp; Africa regional audit.","type":"report"},"uris":["http://www.mendeley.com/documents/?uuid=d59a3d68-8576-3bec-853a-db662926e6d0"]}],"mendeley":{"formattedCitation":"(7)","plainTextFormattedCitation":"(7)","previouslyFormattedCitation":"(7)"},"properties":{"noteIndex":0},"schema":"https://github.com/citation-style-language/schema/raw/master/csl-citation.json"}</w:instrText>
      </w:r>
      <w:r w:rsidR="00596CBE">
        <w:rPr>
          <w:rFonts w:asciiTheme="minorHAnsi" w:hAnsiTheme="minorHAnsi" w:cs="Times New Roman"/>
        </w:rPr>
        <w:fldChar w:fldCharType="separate"/>
      </w:r>
      <w:r w:rsidR="00596CBE" w:rsidRPr="00596CBE">
        <w:rPr>
          <w:rFonts w:asciiTheme="minorHAnsi" w:hAnsiTheme="minorHAnsi" w:cs="Times New Roman"/>
          <w:noProof/>
        </w:rPr>
        <w:t>(7)</w:t>
      </w:r>
      <w:r w:rsidR="00596CBE">
        <w:rPr>
          <w:rFonts w:asciiTheme="minorHAnsi" w:hAnsiTheme="minorHAnsi" w:cs="Times New Roman"/>
        </w:rPr>
        <w:fldChar w:fldCharType="end"/>
      </w:r>
      <w:r w:rsidRPr="00204065">
        <w:rPr>
          <w:rFonts w:asciiTheme="minorHAnsi" w:hAnsiTheme="minorHAnsi" w:cs="Times New Roman"/>
        </w:rPr>
        <w:t xml:space="preserve">, whereas 11 or more is considered appropriate to service the needs of a case-finding strategy </w:t>
      </w:r>
      <w:r w:rsidR="00596CBE">
        <w:rPr>
          <w:rFonts w:asciiTheme="minorHAnsi" w:hAnsiTheme="minorHAnsi" w:cs="Times New Roman"/>
        </w:rPr>
        <w:fldChar w:fldCharType="begin" w:fldLock="1"/>
      </w:r>
      <w:r w:rsidR="00596CBE">
        <w:rPr>
          <w:rFonts w:asciiTheme="minorHAnsi" w:hAnsiTheme="minorHAnsi" w:cs="Times New Roman"/>
        </w:rPr>
        <w:instrText>ADDIN CSL_CITATION {"citationItems":[{"id":"ITEM-1","itemData":{"DOI":"10.1007/s00198-004-1811-2","ISSN":"0937-941X","PMID":"15618996","abstract":"The availability of dual energy X-ray absorptiometry (DXA) varies markedly in different countries. There is, however, little information to indicate the optimal requirements for this technology. The principal aim of this study was to estimate the requirements for DXA in Europe for the assessment and treatment of osteoporosis. Three assessment scenarios were chosen. The first envisaged screening of all women with DXA at the age of 65 years. A second scenario comprised a screening programme based on the identification of clinical risk factors with the selective addition of BMD tests in those close to an intervention threshold. The third scenario envisaged a case finding strategy where women aged 65 years were identified on the basis of risk factors and referred for DXA. Requirements for women aged more than 65 years were amortised over a 10-year period. A secondary aim was to estimate the number and cost of osteoporotic fractures in Europe. The requirements for DXA in assessment ranged from 4.21 to 11.21 units/million of the population. The most efficient assessment scenario was the use of clinical risk factors with the selective use of BMD. With this scenario, an additional 6.39 units/million would be required to monitor treatment giving a total requirement of 10.6 units/million. In 2000, the number of osteoporotic fractures was estimated at 3.79 million, of which 0.89 million were hip fractures (179,000 hip fractures in men and 711,000 in women). The total direct costs were estimated at 31.7 billion Euros (21.165 billion UK pounds), which were expected to increase to 76.7 billion Euros (51.1 billion UK pounds) in 2050 based on the expected changes in the demography of Europe.","author":[{"dropping-particle":"","family":"Kanis","given":"J. A.","non-dropping-particle":"","parse-names":false,"suffix":""},{"dropping-particle":"","family":"Johnell","given":"O.","non-dropping-particle":"","parse-names":false,"suffix":""}],"container-title":"Osteoporosis International","id":"ITEM-1","issue":"3","issued":{"date-parts":[["2005","3","24"]]},"page":"229-238","title":"Requirements for DXA for the management of osteoporosis in Europe","type":"article-journal","volume":"16"},"uris":["http://www.mendeley.com/documents/?uuid=fd07ac05-b8b0-3f7b-8292-cf93d5ff1dae"]}],"mendeley":{"formattedCitation":"(8)","plainTextFormattedCitation":"(8)","previouslyFormattedCitation":"(8)"},"properties":{"noteIndex":0},"schema":"https://github.com/citation-style-language/schema/raw/master/csl-citation.json"}</w:instrText>
      </w:r>
      <w:r w:rsidR="00596CBE">
        <w:rPr>
          <w:rFonts w:asciiTheme="minorHAnsi" w:hAnsiTheme="minorHAnsi" w:cs="Times New Roman"/>
        </w:rPr>
        <w:fldChar w:fldCharType="separate"/>
      </w:r>
      <w:r w:rsidR="00596CBE" w:rsidRPr="00596CBE">
        <w:rPr>
          <w:rFonts w:asciiTheme="minorHAnsi" w:hAnsiTheme="minorHAnsi" w:cs="Times New Roman"/>
          <w:noProof/>
        </w:rPr>
        <w:t>(8)</w:t>
      </w:r>
      <w:r w:rsidR="00596CBE">
        <w:rPr>
          <w:rFonts w:asciiTheme="minorHAnsi" w:hAnsiTheme="minorHAnsi" w:cs="Times New Roman"/>
        </w:rPr>
        <w:fldChar w:fldCharType="end"/>
      </w:r>
      <w:r w:rsidRPr="00204065">
        <w:rPr>
          <w:rFonts w:asciiTheme="minorHAnsi" w:hAnsiTheme="minorHAnsi" w:cs="Times New Roman"/>
        </w:rPr>
        <w:t>.</w:t>
      </w:r>
      <w:r>
        <w:rPr>
          <w:rFonts w:asciiTheme="minorHAnsi" w:hAnsiTheme="minorHAnsi" w:cs="Times New Roman"/>
          <w:lang w:val="uz-Cyrl-UZ"/>
        </w:rPr>
        <w:t xml:space="preserve"> This is while national studies show that about 41% of Iranians suffer from some degrees of bone loss and osteoporotic fractures are experienced in 359.1 cases in every 10,000 person years, which indicates the immediate need for identifying individuals at risk of osteoporosis and its complications </w:t>
      </w:r>
      <w:r w:rsidR="00596CBE">
        <w:rPr>
          <w:rFonts w:asciiTheme="minorHAnsi" w:hAnsiTheme="minorHAnsi" w:cs="Times New Roman"/>
          <w:lang w:val="uz-Cyrl-UZ"/>
        </w:rPr>
        <w:fldChar w:fldCharType="begin" w:fldLock="1"/>
      </w:r>
      <w:r w:rsidR="00DD0EE2">
        <w:rPr>
          <w:rFonts w:asciiTheme="minorHAnsi" w:hAnsiTheme="minorHAnsi" w:cs="Times New Roman"/>
          <w:lang w:val="uz-Cyrl-UZ"/>
        </w:rPr>
        <w:instrText>ADDIN CSL_CITATION {"citationItems":[{"id":"ITEM-1","itemData":{"DOI":"10.1016/j.jocd.2010.01.022","ISSN":"10946950","author":[{"dropping-particle":"","family":"Khashayar","given":"Patricia","non-dropping-particle":"","parse-names":false,"suffix":""},{"dropping-particle":"","family":"Aghaei Meybodi","given":"Hamid Reza","non-dropping-particle":"","parse-names":false,"suffix":""},{"dropping-particle":"","family":"Homami","given":"Mohsen Rezai","non-dropping-particle":"","parse-names":false,"suffix":""},{"dropping-particle":"","family":"Heshmat","given":"Ramin","non-dropping-particle":"","parse-names":false,"suffix":""},{"dropping-particle":"","family":"Larijani","given":"Bagher","non-dropping-particle":"","parse-names":false,"suffix":""}],"container-title":"Journal of Clinical Densitometry","id":"ITEM-1","issue":"1","issued":{"date-parts":[["2010","1"]]},"page":"112","publisher":"Elsevier","title":"The Prevalence of Osteoporosis in an Iranian Population","type":"article-journal","volume":"13"},"uris":["http://www.mendeley.com/documents/?uuid=78be4cd4-8d09-368a-9666-f43e51c26a90"]},{"id":"ITEM-2","itemData":{"DOI":"10.1186/s40200-014-0093-2","ISSN":"22516581","abstract":"© 2014 Ghafoori et al. Background: The present study is designed to assess the incidence rate of osteoporotic fracture and its risk factors, particularly those used to predict the 10-year risk of osteoporotic fracture in FRAX based on the data gathered through a follow up cohort initiated in 2000. Methods: The present retrospective cohort was conducted on men and women from 40 to 90 years of age enrolled in the IROSTEOPs study. A phone survey was conducted during 2013 and beginning of 2014 to assess the fractures (traumatic/osteoporotic) occurring at the time of inclusion until the date of the telephone survey, its type and mechanism, and the patient's age at the time of accident. Survival analysis using Kaplan-Meier product-limit method was performed with the time of fracture as the study outcome. Results: Final study population consisted of 1233 individuals, translated in to 9133 person years. The incidence rate of osteoporotic fracture was reported to be 359.1 cases in every 10,000 person years. The 10-year Kaplan-Meier estimate of any kind of major osteoporotic fractures for all the subcohort population was 10.75%. Osteoporosis (HR = 0.75), Discordance between femoral neck and spine (HR = 1.45), Diabetes (HR = 1.81), IBD (HR = 1.84), immobility more than 90 days (HR = 2.19), and personal history of fracture (HR = 7.75) had a considerable effect on the 10-year risk of major osteoporotic fractures. Conclusions: Adding new clinical risk factors to FRAX® may help improve fracture prediction in the Iranian population.","author":[{"dropping-particle":"","family":"Ghafoori","given":"S.","non-dropping-particle":"","parse-names":false,"suffix":""},{"dropping-particle":"","family":"Keshtkar","given":"A.","non-dropping-particle":"","parse-names":false,"suffix":""},{"dropping-particle":"","family":"Khashayar","given":"P.","non-dropping-particle":"","parse-names":false,"suffix":""},{"dropping-particle":"","family":"Ebrahimi","given":"M.","non-dropping-particle":"","parse-names":false,"suffix":""},{"dropping-particle":"","family":"Ramezani","given":"M.","non-dropping-particle":"","parse-names":false,"suffix":""},{"dropping-particle":"","family":"Mohammadi","given":"Z.","non-dropping-particle":"","parse-names":false,"suffix":""},{"dropping-particle":"","family":"Saeidifard","given":"F.","non-dropping-particle":"","parse-names":false,"suffix":""},{"dropping-particle":"","family":"Nemati","given":"N.","non-dropping-particle":"","parse-names":false,"suffix":""},{"dropping-particle":"","family":"Khoshbin","given":"M.","non-dropping-particle":"","parse-names":false,"suffix":""},{"dropping-particle":"","family":"Azizian","given":"S.","non-dropping-particle":"","parse-names":false,"suffix":""},{"dropping-particle":"","family":"Zare","given":"F.","non-dropping-particle":"","parse-names":false,"suffix":""},{"dropping-particle":"","family":"Shirazi","given":"S.","non-dropping-particle":"","parse-names":false,"suffix":""},{"dropping-particle":"","family":"Larijani","given":"B.","non-dropping-particle":"","parse-names":false,"suffix":""}],"container-title":"Journal of Diabetes and Metabolic Disorders","id":"ITEM-2","issue":"1","issued":{"date-parts":[["2014"]]},"title":"The risk of osteoporotic fractures and its associating risk factors according to the FRAX model in the Iranian patients: A follow-up cohort","type":"article-journal","volume":"13"},"uris":["http://www.mendeley.com/documents/?uuid=46303dee-2ffd-32e6-8dc2-eb05720c89db"]}],"mendeley":{"formattedCitation":"(9,10)","plainTextFormattedCitation":"(9,10)","previouslyFormattedCitation":"(9,10)"},"properties":{"noteIndex":0},"schema":"https://github.com/citation-style-language/schema/raw/master/csl-citation.json"}</w:instrText>
      </w:r>
      <w:r w:rsidR="00596CBE">
        <w:rPr>
          <w:rFonts w:asciiTheme="minorHAnsi" w:hAnsiTheme="minorHAnsi" w:cs="Times New Roman"/>
          <w:lang w:val="uz-Cyrl-UZ"/>
        </w:rPr>
        <w:fldChar w:fldCharType="separate"/>
      </w:r>
      <w:r w:rsidR="00596CBE" w:rsidRPr="00596CBE">
        <w:rPr>
          <w:rFonts w:asciiTheme="minorHAnsi" w:hAnsiTheme="minorHAnsi" w:cs="Times New Roman"/>
          <w:noProof/>
          <w:lang w:val="uz-Cyrl-UZ"/>
        </w:rPr>
        <w:t>(9,10)</w:t>
      </w:r>
      <w:r w:rsidR="00596CBE">
        <w:rPr>
          <w:rFonts w:asciiTheme="minorHAnsi" w:hAnsiTheme="minorHAnsi" w:cs="Times New Roman"/>
          <w:lang w:val="uz-Cyrl-UZ"/>
        </w:rPr>
        <w:fldChar w:fldCharType="end"/>
      </w:r>
      <w:r>
        <w:rPr>
          <w:rFonts w:asciiTheme="minorHAnsi" w:hAnsiTheme="minorHAnsi" w:cs="Times New Roman"/>
          <w:lang w:val="uz-Cyrl-UZ"/>
        </w:rPr>
        <w:t>.</w:t>
      </w:r>
    </w:p>
    <w:p w14:paraId="13BD5F08" w14:textId="77777777" w:rsidR="00AD09CD" w:rsidRPr="00C14AD9" w:rsidRDefault="00AD09CD" w:rsidP="00A40EBC">
      <w:pPr>
        <w:spacing w:after="120" w:line="240" w:lineRule="auto"/>
        <w:rPr>
          <w:rFonts w:asciiTheme="minorHAnsi" w:hAnsiTheme="minorHAnsi" w:cs="Times New Roman"/>
          <w:lang w:val="en-GB"/>
        </w:rPr>
      </w:pPr>
      <w:r w:rsidRPr="00204065">
        <w:rPr>
          <w:rFonts w:asciiTheme="minorHAnsi" w:hAnsiTheme="minorHAnsi" w:cs="Times New Roman"/>
        </w:rPr>
        <w:lastRenderedPageBreak/>
        <w:t xml:space="preserve">The advent of </w:t>
      </w:r>
      <w:r w:rsidRPr="00204065">
        <w:rPr>
          <w:rFonts w:asciiTheme="minorHAnsi" w:hAnsiTheme="minorHAnsi" w:cs="Times New Roman"/>
          <w:lang w:val="en-GB"/>
        </w:rPr>
        <w:t>FRAX</w:t>
      </w:r>
      <w:r w:rsidRPr="00204065">
        <w:rPr>
          <w:rFonts w:asciiTheme="minorHAnsi" w:hAnsiTheme="minorHAnsi" w:cs="Times New Roman"/>
          <w:vertAlign w:val="superscript"/>
          <w:lang w:val="en-GB"/>
        </w:rPr>
        <w:t>®</w:t>
      </w:r>
      <w:r w:rsidRPr="00204065">
        <w:rPr>
          <w:rFonts w:asciiTheme="minorHAnsi" w:hAnsiTheme="minorHAnsi" w:cs="Times New Roman"/>
        </w:rPr>
        <w:t xml:space="preserve"> provided a means of assessing fracture probability that is not wholly dependent on BMD. </w:t>
      </w:r>
      <w:r w:rsidRPr="00204065">
        <w:rPr>
          <w:rFonts w:asciiTheme="minorHAnsi" w:hAnsiTheme="minorHAnsi" w:cs="Times New Roman"/>
          <w:lang w:val="en-GB"/>
        </w:rPr>
        <w:t>FRAX is a computer-based algorithm (</w:t>
      </w:r>
      <w:hyperlink r:id="rId5" w:history="1">
        <w:r w:rsidRPr="00204065">
          <w:rPr>
            <w:rStyle w:val="Hyperlink"/>
            <w:rFonts w:asciiTheme="minorHAnsi" w:hAnsiTheme="minorHAnsi"/>
            <w:lang w:val="en-GB"/>
          </w:rPr>
          <w:t>http://www.shef.ac.uk/FRAX</w:t>
        </w:r>
      </w:hyperlink>
      <w:r w:rsidRPr="00204065">
        <w:rPr>
          <w:rFonts w:asciiTheme="minorHAnsi" w:hAnsiTheme="minorHAnsi" w:cs="Times New Roman"/>
          <w:lang w:val="en-GB"/>
        </w:rPr>
        <w:t xml:space="preserve">) developed by the World Health Organization Collaborating Centre for Metabolic Bone Diseases. The algorithm, intended for primary care, calculates fracture probability from easily obtained clinical risk factors (CRFs) in men and women </w:t>
      </w:r>
      <w:r w:rsidR="00DD0EE2">
        <w:rPr>
          <w:rFonts w:asciiTheme="minorHAnsi" w:hAnsiTheme="minorHAnsi" w:cs="Times New Roman"/>
          <w:lang w:val="en-GB"/>
        </w:rPr>
        <w:fldChar w:fldCharType="begin" w:fldLock="1"/>
      </w:r>
      <w:r w:rsidR="00A40EBC">
        <w:rPr>
          <w:rFonts w:asciiTheme="minorHAnsi" w:hAnsiTheme="minorHAnsi" w:cs="Times New Roman"/>
          <w:lang w:val="en-GB"/>
        </w:rPr>
        <w:instrText>ADDIN CSL_CITATION {"citationItems":[{"id":"ITEM-1","itemData":{"author":[{"dropping-particle":"","family":"Kanis JA on behalf of the World Health Organization Scientific Group","given":"","non-dropping-particle":"","parse-names":false,"suffix":""}],"id":"ITEM-1","issued":{"date-parts":[["2007"]]},"title":"Assessment of osteoporosis at the primary health care level","type":"report"},"uris":["http://www.mendeley.com/documents/?uuid=ee563bda-8889-306b-826d-472f6fcdb2e2"]},{"id":"ITEM-2","itemData":{"DOI":"10.1007/s00198-008-0712-1","ISSN":"0937-941X","PMID":"18751937","abstract":"UNLABELLED Assessment and intervention thresholds are developed and proposed in men aged over 50 years and postmenopausal women for the UK based on fracture probability from the WHO fracture risk assessment tool (FRAX). INTRODUCTION The FRAX tool has recently become available to compute the 10-year probability of fractures in men and women from clinical risk factors (CRFs) with or without the measurement of femoral neck bone mineral density (BMD). The aim of this study was to develop a case-finding strategy for men and women from the UK at high risk of osteoporotic fracture by delineating the fracture probabilities at which BMD testing or intervention should be recommended. METHODS Fracture probabilities were computed using the FRAX tool calibrated to the epidemiology of fracture and death in the UK. The relationship between cost effectiveness and fracture probability used the source data from a prior publication that examined the cost effectiveness of generic alendronate in the UK. An intervention threshold was set by age in men and women, based on the fracture probability equivalent to that of women with a history of a prior osteoporosis related fracture. In addition, assessment thresholds for the use of BMD testing were explored. Assessment thresholds for the measurement of BMD followed current practice guidelines where individuals were considered to be eligible for assessment in the presence of one or more CRF. An upper assessment threshold (i.e. a fracture probability above which patients could be treated without recourse to BMD) was based on optimisation of the positive predictive value of the assessment tool. The consequences of assessment and intervention thresholds on the requirement for BMD test and interventions were assessed using the distribution of clinical risk factors and femoral neck BMD for women in the source cohorts used for the development of the FRAX models RESULTS Treatment was cost effective at all ages when the 10-year probability of a major fracture exceeded 7%. The intervention threshold at the age of 50 years corresponded to a 10-year probability of a major osteoporotic fracture of 7.5%. This rose progressively with age to 30% at the age of 80 years, so that intervention was cost effective at all ages. Assessment thresholds for testing with BMD (6-9% at the age of 50 years) also rose with age (18-36% at the age of 80 years). The use of these thresholds in a case-finding strategy would identify 6-20% of women as eligible for B…","author":[{"dropping-particle":"","family":"Kanis","given":"J. A.","non-dropping-particle":"","parse-names":false,"suffix":""},{"dropping-particle":"V.","family":"McCloskey","given":"E.","non-dropping-particle":"","parse-names":false,"suffix":""},{"dropping-particle":"","family":"Johansson","given":"H.","non-dropping-particle":"","parse-names":false,"suffix":""},{"dropping-particle":"","family":"Strom","given":"O.","non-dropping-particle":"","parse-names":false,"suffix":""},{"dropping-particle":"","family":"Borgstrom","given":"F.","non-dropping-particle":"","parse-names":false,"suffix":""},{"dropping-particle":"","family":"Oden","given":"A.","non-dropping-particle":"","parse-names":false,"suffix":""},{"dropping-particle":"","family":"National Osteoporosis Guideline Group","given":"","non-dropping-particle":"","parse-names":false,"suffix":""}],"container-title":"Osteoporosis International","id":"ITEM-2","issue":"10","issued":{"date-parts":[["2008","10","28"]]},"page":"1395-1408","title":"Case finding for the management of osteoporosis with FRAX®—assessment and intervention thresholds for the UK","type":"article-journal","volume":"19"},"uris":["http://www.mendeley.com/documents/?uuid=da73f181-3532-354c-8c6d-e51ed0e86f29"]}],"mendeley":{"formattedCitation":"(11,12)","plainTextFormattedCitation":"(11,12)","previouslyFormattedCitation":"(11,12)"},"properties":{"noteIndex":0},"schema":"https://github.com/citation-style-language/schema/raw/master/csl-citation.json"}</w:instrText>
      </w:r>
      <w:r w:rsidR="00DD0EE2">
        <w:rPr>
          <w:rFonts w:asciiTheme="minorHAnsi" w:hAnsiTheme="minorHAnsi" w:cs="Times New Roman"/>
          <w:lang w:val="en-GB"/>
        </w:rPr>
        <w:fldChar w:fldCharType="separate"/>
      </w:r>
      <w:r w:rsidR="00A40EBC" w:rsidRPr="00A40EBC">
        <w:rPr>
          <w:rFonts w:asciiTheme="minorHAnsi" w:hAnsiTheme="minorHAnsi" w:cs="Times New Roman"/>
          <w:noProof/>
          <w:lang w:val="en-GB"/>
        </w:rPr>
        <w:t>(11,12)</w:t>
      </w:r>
      <w:r w:rsidR="00DD0EE2">
        <w:rPr>
          <w:rFonts w:asciiTheme="minorHAnsi" w:hAnsiTheme="minorHAnsi" w:cs="Times New Roman"/>
          <w:lang w:val="en-GB"/>
        </w:rPr>
        <w:fldChar w:fldCharType="end"/>
      </w:r>
      <w:r w:rsidRPr="00204065">
        <w:rPr>
          <w:rFonts w:asciiTheme="minorHAnsi" w:hAnsiTheme="minorHAnsi" w:cs="Times New Roman"/>
          <w:lang w:val="en-GB"/>
        </w:rPr>
        <w:t xml:space="preserve">. The output of FRAX is the 10-year probability of a major fracture (hip, clinical spine, </w:t>
      </w:r>
      <w:proofErr w:type="spellStart"/>
      <w:r w:rsidRPr="00204065">
        <w:rPr>
          <w:rFonts w:asciiTheme="minorHAnsi" w:hAnsiTheme="minorHAnsi" w:cs="Times New Roman"/>
          <w:lang w:val="en-GB"/>
        </w:rPr>
        <w:t>humerus</w:t>
      </w:r>
      <w:proofErr w:type="spellEnd"/>
      <w:r w:rsidRPr="00204065">
        <w:rPr>
          <w:rFonts w:asciiTheme="minorHAnsi" w:hAnsiTheme="minorHAnsi" w:cs="Times New Roman"/>
          <w:lang w:val="en-GB"/>
        </w:rPr>
        <w:t xml:space="preserve"> or wrist fracture</w:t>
      </w:r>
      <w:r w:rsidRPr="00327E44">
        <w:rPr>
          <w:rFonts w:asciiTheme="minorHAnsi" w:hAnsiTheme="minorHAnsi" w:cs="Times New Roman"/>
          <w:lang w:val="en-GB"/>
        </w:rPr>
        <w:t xml:space="preserve">) and the 10-year probability of hip fracture. A FRAX model for Iran calibrated to the Iranian population was released in </w:t>
      </w:r>
      <w:r w:rsidRPr="00C14AD9">
        <w:rPr>
          <w:rFonts w:asciiTheme="minorHAnsi" w:hAnsiTheme="minorHAnsi" w:cs="Times New Roman"/>
          <w:lang w:val="en-GB"/>
        </w:rPr>
        <w:t>2016.</w:t>
      </w:r>
    </w:p>
    <w:p w14:paraId="4DF3FC2F" w14:textId="77777777" w:rsidR="00AD09CD" w:rsidRPr="00DF1029" w:rsidRDefault="00AD09CD" w:rsidP="00A40EBC">
      <w:pPr>
        <w:spacing w:after="120" w:line="240" w:lineRule="auto"/>
        <w:rPr>
          <w:rFonts w:asciiTheme="minorHAnsi" w:hAnsiTheme="minorHAnsi" w:cs="Times New Roman"/>
          <w:highlight w:val="yellow"/>
        </w:rPr>
      </w:pPr>
      <w:r w:rsidRPr="00DF1029">
        <w:rPr>
          <w:rFonts w:asciiTheme="minorHAnsi" w:hAnsiTheme="minorHAnsi" w:cs="Times New Roman"/>
        </w:rPr>
        <w:t xml:space="preserve">FRAX is now incorporated </w:t>
      </w:r>
      <w:r w:rsidRPr="00204065">
        <w:rPr>
          <w:rFonts w:asciiTheme="minorHAnsi" w:hAnsiTheme="minorHAnsi" w:cs="Times New Roman"/>
        </w:rPr>
        <w:t xml:space="preserve">into many clinical guidelines but the manner in which FRAX is used to identify cases for treatment varies widely </w:t>
      </w:r>
      <w:r w:rsidR="00A40EBC">
        <w:rPr>
          <w:rFonts w:asciiTheme="minorHAnsi" w:hAnsiTheme="minorHAnsi" w:cs="Times New Roman"/>
        </w:rPr>
        <w:fldChar w:fldCharType="begin" w:fldLock="1"/>
      </w:r>
      <w:r w:rsidR="00A40EBC">
        <w:rPr>
          <w:rFonts w:asciiTheme="minorHAnsi" w:hAnsiTheme="minorHAnsi" w:cs="Times New Roman"/>
        </w:rPr>
        <w:instrText>ADDIN CSL_CITATION {"citationItems":[{"id":"ITEM-1","itemData":{"DOI":"10.1007/s11657-016-0278-z","ISSN":"1862-3522","PMID":"27465509","abstract":"UNLABELLED This systematic review identified assessment guidelines for osteoporosis that incorporate FRAX. The rationale for intervention thresholds is given in a minority of papers. Intervention thresholds (fixed or age-dependent) need to be country-specific. INTRODUCTION In most assessment guidelines, treatment for osteoporosis is recommended in individuals with prior fragility fractures, especially fractures at spine and hip. However, for those without prior fractures, the intervention thresholds can be derived using different methods. The aim of this report was to undertake a systematic review of the available information on the use of FRAX® in assessment guidelines, in particular the setting of thresholds and their validation. METHODS We identified 120 guidelines or academic papers that incorporated FRAX of which 38 provided no clear statement on how the fracture probabilities derived are to be used in decision-making in clinical practice. The remainder recommended a fixed intervention threshold (n = 58), most commonly as a component of more complex guidance (e.g. bone mineral density (BMD) thresholds) or an age-dependent threshold (n = 22). Two guidelines have adopted both age-dependent and fixed thresholds. RESULTS Fixed probability thresholds have ranged from 4 to 20 % for a major fracture and 1.3-5 % for hip fracture. More than one half (39) of the 58 publications identified utilised a threshold probability of 20 % for a major osteoporotic fracture, many of which also mention a hip fracture probability of 3 % as an alternative intervention threshold. In nearly all instances, no rationale is provided other than that this was the threshold used by the National Osteoporosis Foundation of the USA. Where undertaken, fixed probability thresholds have been determined from tests of discrimination (Hong Kong), health economic assessment (USA, Switzerland), to match the prevalence of osteoporosis (China) or to align with pre-existing guidelines or reimbursement criteria (Japan, Poland). Age-dependent intervention thresholds, first developed by the National Osteoporosis Guideline Group (NOGG), are based on the rationale that if a woman with a prior fragility fracture is eligible for treatment, then, at any given age, a man or woman with the same fracture probability but in the absence of a previous fracture (i.e. at the 'fracture threshold') should also be eligible. Under current NOGG guidelines, based on age-dependent probability thresholds, inequalities…","author":[{"dropping-particle":"","family":"Kanis","given":"John A.","non-dropping-particle":"","parse-names":false,"suffix":""},{"dropping-particle":"","family":"Harvey","given":"Nicholas C.","non-dropping-particle":"","parse-names":false,"suffix":""},{"dropping-particle":"","family":"Cooper","given":"Cyrus","non-dropping-particle":"","parse-names":false,"suffix":""},{"dropping-particle":"","family":"Johansson","given":"Helena","non-dropping-particle":"","parse-names":false,"suffix":""},{"dropping-particle":"","family":"Odén","given":"Anders","non-dropping-particle":"","parse-names":false,"suffix":""},{"dropping-particle":"V.","family":"McCloskey","given":"Eugene","non-dropping-particle":"","parse-names":false,"suffix":""},{"dropping-particle":"","family":"Advisory Board of the National Osteoporosis Guideline Group","given":"","non-dropping-particle":"","parse-names":false,"suffix":""}],"container-title":"Archives of Osteoporosis","id":"ITEM-1","issue":"1","issued":{"date-parts":[["2016","12","27"]]},"page":"25","title":"A systematic review of intervention thresholds based on FRAX","type":"article-journal","volume":"11"},"uris":["http://www.mendeley.com/documents/?uuid=31af3833-48dc-3109-9b79-94aefc59473d"]}],"mendeley":{"formattedCitation":"(13)","plainTextFormattedCitation":"(13)","previouslyFormattedCitation":"(13)"},"properties":{"noteIndex":0},"schema":"https://github.com/citation-style-language/schema/raw/master/csl-citation.json"}</w:instrText>
      </w:r>
      <w:r w:rsidR="00A40EBC">
        <w:rPr>
          <w:rFonts w:asciiTheme="minorHAnsi" w:hAnsiTheme="minorHAnsi" w:cs="Times New Roman"/>
        </w:rPr>
        <w:fldChar w:fldCharType="separate"/>
      </w:r>
      <w:r w:rsidR="00A40EBC" w:rsidRPr="00A40EBC">
        <w:rPr>
          <w:rFonts w:asciiTheme="minorHAnsi" w:hAnsiTheme="minorHAnsi" w:cs="Times New Roman"/>
          <w:noProof/>
        </w:rPr>
        <w:t>(13)</w:t>
      </w:r>
      <w:r w:rsidR="00A40EBC">
        <w:rPr>
          <w:rFonts w:asciiTheme="minorHAnsi" w:hAnsiTheme="minorHAnsi" w:cs="Times New Roman"/>
        </w:rPr>
        <w:fldChar w:fldCharType="end"/>
      </w:r>
      <w:r w:rsidRPr="00204065">
        <w:rPr>
          <w:rFonts w:asciiTheme="minorHAnsi" w:hAnsiTheme="minorHAnsi" w:cs="Times New Roman"/>
        </w:rPr>
        <w:t>.</w:t>
      </w:r>
      <w:r w:rsidRPr="00204065">
        <w:rPr>
          <w:rFonts w:asciiTheme="minorHAnsi" w:eastAsia="MS Mincho" w:hAnsiTheme="minorHAnsi" w:cs="Times New Roman"/>
          <w:color w:val="141314"/>
          <w:lang w:eastAsia="ja-JP"/>
        </w:rPr>
        <w:t xml:space="preserve"> Many recent guidance documents have recommended the use of intervention thresholds that are based on age-specific fracture probabilities equivalent to a woman with a prior fragility fracture </w:t>
      </w:r>
      <w:r w:rsidR="00A40EBC">
        <w:rPr>
          <w:rFonts w:asciiTheme="minorHAnsi" w:eastAsia="MS Mincho" w:hAnsiTheme="minorHAnsi" w:cs="Times New Roman"/>
          <w:color w:val="141314"/>
          <w:lang w:eastAsia="ja-JP"/>
        </w:rPr>
        <w:fldChar w:fldCharType="begin" w:fldLock="1"/>
      </w:r>
      <w:r w:rsidR="00A40EBC">
        <w:rPr>
          <w:rFonts w:asciiTheme="minorHAnsi" w:eastAsia="MS Mincho" w:hAnsiTheme="minorHAnsi" w:cs="Times New Roman"/>
          <w:color w:val="141314"/>
          <w:lang w:eastAsia="ja-JP"/>
        </w:rPr>
        <w:instrText>ADDIN CSL_CITATION {"citationItems":[{"id":"ITEM-1","itemData":{"DOI":"10.1007/s11657-016-0278-z","ISSN":"1862-3522","PMID":"27465509","abstract":"UNLABELLED This systematic review identified assessment guidelines for osteoporosis that incorporate FRAX. The rationale for intervention thresholds is given in a minority of papers. Intervention thresholds (fixed or age-dependent) need to be country-specific. INTRODUCTION In most assessment guidelines, treatment for osteoporosis is recommended in individuals with prior fragility fractures, especially fractures at spine and hip. However, for those without prior fractures, the intervention thresholds can be derived using different methods. The aim of this report was to undertake a systematic review of the available information on the use of FRAX® in assessment guidelines, in particular the setting of thresholds and their validation. METHODS We identified 120 guidelines or academic papers that incorporated FRAX of which 38 provided no clear statement on how the fracture probabilities derived are to be used in decision-making in clinical practice. The remainder recommended a fixed intervention threshold (n = 58), most commonly as a component of more complex guidance (e.g. bone mineral density (BMD) thresholds) or an age-dependent threshold (n = 22). Two guidelines have adopted both age-dependent and fixed thresholds. RESULTS Fixed probability thresholds have ranged from 4 to 20 % for a major fracture and 1.3-5 % for hip fracture. More than one half (39) of the 58 publications identified utilised a threshold probability of 20 % for a major osteoporotic fracture, many of which also mention a hip fracture probability of 3 % as an alternative intervention threshold. In nearly all instances, no rationale is provided other than that this was the threshold used by the National Osteoporosis Foundation of the USA. Where undertaken, fixed probability thresholds have been determined from tests of discrimination (Hong Kong), health economic assessment (USA, Switzerland), to match the prevalence of osteoporosis (China) or to align with pre-existing guidelines or reimbursement criteria (Japan, Poland). Age-dependent intervention thresholds, first developed by the National Osteoporosis Guideline Group (NOGG), are based on the rationale that if a woman with a prior fragility fracture is eligible for treatment, then, at any given age, a man or woman with the same fracture probability but in the absence of a previous fracture (i.e. at the 'fracture threshold') should also be eligible. Under current NOGG guidelines, based on age-dependent probability thresholds, inequalities…","author":[{"dropping-particle":"","family":"Kanis","given":"John A.","non-dropping-particle":"","parse-names":false,"suffix":""},{"dropping-particle":"","family":"Harvey","given":"Nicholas C.","non-dropping-particle":"","parse-names":false,"suffix":""},{"dropping-particle":"","family":"Cooper","given":"Cyrus","non-dropping-particle":"","parse-names":false,"suffix":""},{"dropping-particle":"","family":"Johansson","given":"Helena","non-dropping-particle":"","parse-names":false,"suffix":""},{"dropping-particle":"","family":"Odén","given":"Anders","non-dropping-particle":"","parse-names":false,"suffix":""},{"dropping-particle":"V.","family":"McCloskey","given":"Eugene","non-dropping-particle":"","parse-names":false,"suffix":""},{"dropping-particle":"","family":"Advisory Board of the National Osteoporosis Guideline Group","given":"","non-dropping-particle":"","parse-names":false,"suffix":""}],"container-title":"Archives of Osteoporosis","id":"ITEM-1","issue":"1","issued":{"date-parts":[["2016","12","27"]]},"page":"25","title":"A systematic review of intervention thresholds based on FRAX","type":"article-journal","volume":"11"},"uris":["http://www.mendeley.com/documents/?uuid=31af3833-48dc-3109-9b79-94aefc59473d"]}],"mendeley":{"formattedCitation":"(13)","plainTextFormattedCitation":"(13)","previouslyFormattedCitation":"(13)"},"properties":{"noteIndex":0},"schema":"https://github.com/citation-style-language/schema/raw/master/csl-citation.json"}</w:instrText>
      </w:r>
      <w:r w:rsidR="00A40EBC">
        <w:rPr>
          <w:rFonts w:asciiTheme="minorHAnsi" w:eastAsia="MS Mincho" w:hAnsiTheme="minorHAnsi" w:cs="Times New Roman"/>
          <w:color w:val="141314"/>
          <w:lang w:eastAsia="ja-JP"/>
        </w:rPr>
        <w:fldChar w:fldCharType="separate"/>
      </w:r>
      <w:r w:rsidR="00A40EBC" w:rsidRPr="00A40EBC">
        <w:rPr>
          <w:rFonts w:asciiTheme="minorHAnsi" w:eastAsia="MS Mincho" w:hAnsiTheme="minorHAnsi" w:cs="Times New Roman"/>
          <w:noProof/>
          <w:color w:val="141314"/>
          <w:lang w:eastAsia="ja-JP"/>
        </w:rPr>
        <w:t>(13)</w:t>
      </w:r>
      <w:r w:rsidR="00A40EBC">
        <w:rPr>
          <w:rFonts w:asciiTheme="minorHAnsi" w:eastAsia="MS Mincho" w:hAnsiTheme="minorHAnsi" w:cs="Times New Roman"/>
          <w:color w:val="141314"/>
          <w:lang w:eastAsia="ja-JP"/>
        </w:rPr>
        <w:fldChar w:fldCharType="end"/>
      </w:r>
      <w:r w:rsidRPr="00204065">
        <w:rPr>
          <w:rFonts w:asciiTheme="minorHAnsi" w:eastAsia="MS Mincho" w:hAnsiTheme="minorHAnsi" w:cs="Times New Roman"/>
          <w:color w:val="141314"/>
          <w:lang w:eastAsia="ja-JP"/>
        </w:rPr>
        <w:t xml:space="preserve">. </w:t>
      </w:r>
      <w:r w:rsidRPr="00204065">
        <w:rPr>
          <w:rFonts w:asciiTheme="minorHAnsi" w:hAnsiTheme="minorHAnsi" w:cs="Times New Roman"/>
        </w:rPr>
        <w:t>The aim of the present analysis was to explore FRAX-based intervention thresholds that might be</w:t>
      </w:r>
      <w:r w:rsidRPr="00DF1029">
        <w:rPr>
          <w:rFonts w:asciiTheme="minorHAnsi" w:hAnsiTheme="minorHAnsi" w:cs="Times New Roman"/>
        </w:rPr>
        <w:t xml:space="preserve"> used to identify </w:t>
      </w:r>
      <w:r>
        <w:rPr>
          <w:rFonts w:asciiTheme="minorHAnsi" w:hAnsiTheme="minorHAnsi" w:cs="Times New Roman"/>
        </w:rPr>
        <w:t>Ir</w:t>
      </w:r>
      <w:r w:rsidRPr="00DF1029">
        <w:rPr>
          <w:rFonts w:asciiTheme="minorHAnsi" w:hAnsiTheme="minorHAnsi" w:cs="Times New Roman"/>
        </w:rPr>
        <w:t>anian women at high fracture risk.</w:t>
      </w:r>
      <w:r w:rsidRPr="00DF1029">
        <w:rPr>
          <w:rFonts w:asciiTheme="minorHAnsi" w:hAnsiTheme="minorHAnsi" w:cs="Times New Roman"/>
          <w:highlight w:val="yellow"/>
        </w:rPr>
        <w:t xml:space="preserve"> </w:t>
      </w:r>
    </w:p>
    <w:p w14:paraId="3656B9AB" w14:textId="77777777" w:rsidR="00AD09CD" w:rsidRPr="007D5E00" w:rsidRDefault="00AD09CD" w:rsidP="00AD09CD">
      <w:pPr>
        <w:spacing w:after="120" w:line="240" w:lineRule="auto"/>
        <w:rPr>
          <w:rFonts w:ascii="Times New Roman" w:hAnsi="Times New Roman" w:cs="Times New Roman"/>
          <w:highlight w:val="yellow"/>
        </w:rPr>
      </w:pPr>
    </w:p>
    <w:p w14:paraId="24924C10" w14:textId="77777777" w:rsidR="00AD09CD" w:rsidRPr="00F720D9" w:rsidRDefault="00AD09CD" w:rsidP="00AD09CD">
      <w:pPr>
        <w:spacing w:after="120" w:line="240" w:lineRule="auto"/>
        <w:rPr>
          <w:rFonts w:asciiTheme="minorHAnsi" w:hAnsiTheme="minorHAnsi" w:cs="Times New Roman"/>
          <w:b/>
        </w:rPr>
      </w:pPr>
      <w:r w:rsidRPr="00F720D9">
        <w:rPr>
          <w:rFonts w:asciiTheme="minorHAnsi" w:hAnsiTheme="minorHAnsi" w:cs="Times New Roman"/>
          <w:b/>
        </w:rPr>
        <w:t>Methods</w:t>
      </w:r>
    </w:p>
    <w:p w14:paraId="69294E08" w14:textId="77777777" w:rsidR="00AD09CD" w:rsidRPr="00F720D9" w:rsidRDefault="00AD09CD" w:rsidP="00AD09CD">
      <w:pPr>
        <w:spacing w:after="120" w:line="240" w:lineRule="auto"/>
        <w:rPr>
          <w:rFonts w:asciiTheme="minorHAnsi" w:hAnsiTheme="minorHAnsi" w:cs="Times New Roman"/>
          <w:b/>
        </w:rPr>
      </w:pPr>
      <w:r w:rsidRPr="00F720D9">
        <w:rPr>
          <w:rFonts w:asciiTheme="minorHAnsi" w:hAnsiTheme="minorHAnsi" w:cs="Times New Roman"/>
          <w:i/>
        </w:rPr>
        <w:t>Intervention thresholds</w:t>
      </w:r>
    </w:p>
    <w:p w14:paraId="2A7C49BE" w14:textId="77777777" w:rsidR="00AD09CD" w:rsidRPr="00F720D9" w:rsidRDefault="00AD09CD" w:rsidP="00A40EBC">
      <w:pPr>
        <w:spacing w:after="120" w:line="240" w:lineRule="auto"/>
        <w:rPr>
          <w:rFonts w:asciiTheme="minorHAnsi" w:eastAsia="MS Mincho" w:hAnsiTheme="minorHAnsi" w:cs="Times New Roman"/>
          <w:lang w:eastAsia="ja-JP"/>
        </w:rPr>
      </w:pPr>
      <w:r w:rsidRPr="00F720D9">
        <w:rPr>
          <w:rFonts w:asciiTheme="minorHAnsi" w:hAnsiTheme="minorHAnsi" w:cs="Times New Roman"/>
          <w:lang w:val="en-GB"/>
        </w:rPr>
        <w:t xml:space="preserve">In Iran, the current threshold for treatments is based on BMD measurements </w:t>
      </w:r>
      <w:r>
        <w:rPr>
          <w:rFonts w:asciiTheme="minorHAnsi" w:hAnsiTheme="minorHAnsi" w:cs="Times New Roman"/>
          <w:lang w:val="en-GB"/>
        </w:rPr>
        <w:t>using</w:t>
      </w:r>
      <w:r w:rsidRPr="00F720D9">
        <w:rPr>
          <w:rFonts w:asciiTheme="minorHAnsi" w:hAnsiTheme="minorHAnsi" w:cs="Times New Roman"/>
          <w:lang w:val="en-GB"/>
        </w:rPr>
        <w:t xml:space="preserve"> DXA with a threshold for reimbursement set at </w:t>
      </w:r>
      <w:r>
        <w:rPr>
          <w:rFonts w:asciiTheme="minorHAnsi" w:hAnsiTheme="minorHAnsi" w:cs="Times New Roman"/>
          <w:lang w:val="en-GB"/>
        </w:rPr>
        <w:t xml:space="preserve">a T-score of </w:t>
      </w:r>
      <w:r w:rsidRPr="00F720D9">
        <w:rPr>
          <w:rFonts w:asciiTheme="minorHAnsi" w:hAnsiTheme="minorHAnsi" w:cs="Times New Roman"/>
          <w:lang w:val="en-GB"/>
        </w:rPr>
        <w:t xml:space="preserve">-2.5 SD. </w:t>
      </w:r>
      <w:r>
        <w:rPr>
          <w:rFonts w:asciiTheme="minorHAnsi" w:hAnsiTheme="minorHAnsi" w:cs="Times New Roman"/>
          <w:lang w:val="en-GB"/>
        </w:rPr>
        <w:t xml:space="preserve">The Iranian FRAX model was used to calculate </w:t>
      </w:r>
      <w:r>
        <w:rPr>
          <w:rFonts w:asciiTheme="minorHAnsi" w:hAnsiTheme="minorHAnsi" w:cs="Times New Roman"/>
        </w:rPr>
        <w:t>t</w:t>
      </w:r>
      <w:r w:rsidRPr="00F720D9">
        <w:rPr>
          <w:rFonts w:asciiTheme="minorHAnsi" w:hAnsiTheme="minorHAnsi" w:cs="Times New Roman"/>
        </w:rPr>
        <w:t xml:space="preserve">he ten-year probabilities of a major osteoporotic fracture by age (in 5-year increments from the age of 40 to 90 years) in women at the threshold of osteoporosis (T-score = -2.5 SD). </w:t>
      </w:r>
      <w:r>
        <w:rPr>
          <w:rFonts w:asciiTheme="minorHAnsi" w:hAnsiTheme="minorHAnsi" w:cs="Times New Roman"/>
        </w:rPr>
        <w:t>The T-score was based on</w:t>
      </w:r>
      <w:r w:rsidRPr="00CA00B8">
        <w:rPr>
          <w:rFonts w:asciiTheme="minorHAnsi" w:hAnsiTheme="minorHAnsi" w:cs="Times New Roman"/>
        </w:rPr>
        <w:t xml:space="preserve"> the NHANES III as a reference for BMD at the femoral neck in Caucasian women aged 20–29 </w:t>
      </w:r>
      <w:r w:rsidRPr="00204065">
        <w:rPr>
          <w:rFonts w:asciiTheme="minorHAnsi" w:hAnsiTheme="minorHAnsi" w:cs="Times New Roman"/>
        </w:rPr>
        <w:t xml:space="preserve">years </w:t>
      </w:r>
      <w:r w:rsidR="00A40EBC">
        <w:rPr>
          <w:rFonts w:asciiTheme="minorHAnsi" w:hAnsiTheme="minorHAnsi" w:cs="Times New Roman"/>
        </w:rPr>
        <w:fldChar w:fldCharType="begin" w:fldLock="1"/>
      </w:r>
      <w:r w:rsidR="00A40EBC">
        <w:rPr>
          <w:rFonts w:asciiTheme="minorHAnsi" w:hAnsiTheme="minorHAnsi" w:cs="Times New Roman"/>
        </w:rPr>
        <w:instrText>ADDIN CSL_CITATION {"citationItems":[{"id":"ITEM-1","itemData":{"ISSN":"0937-941X","PMID":"9850356","abstract":"This paper describes data on bone mineral levels in the proximal femur of US adults based on the nationally representative sample examined during both phases of the third National Health and Nutrition Examination Survey (NHANES III, 1988-94), and updates data previously presented from phase 1 only. The data were collected from 14,646 men and women aged 20 years and older using dual-energy X-ray absorptiometry, and included bone mineral density (BMD), bone mineral content (BMC) and area of bone scanned in four selected regions of interest (ROI) in the proximal femur: femur neck, trochanter, intertrochanter and total. These variables are provided separately by age and sex for non-Hispanic whites (NHW), non-Hispanic blacks (NHB) and Mexican Americans (MA). NHW in the southern United States had slightly lower BMD levels than NHW in other US regions, but these differences were not sufficiently large to prevent pooling of the data. The updated data provide valuable reference data on femur bone mineral levels of noninstitutionalized adults. The updated data on BMD for the total femur ROI of NHW have been selected as the reference database for femur standardization efforts by the International Committee on Standards in Bone Measurements.","author":[{"dropping-particle":"","family":"Looker","given":"A C","non-dropping-particle":"","parse-names":false,"suffix":""},{"dropping-particle":"","family":"Wahner","given":"H W","non-dropping-particle":"","parse-names":false,"suffix":""},{"dropping-particle":"","family":"Dunn","given":"W L","non-dropping-particle":"","parse-names":false,"suffix":""},{"dropping-particle":"","family":"Calvo","given":"M S","non-dropping-particle":"","parse-names":false,"suffix":""},{"dropping-particle":"","family":"Harris","given":"T B","non-dropping-particle":"","parse-names":false,"suffix":""},{"dropping-particle":"","family":"Heyse","given":"S P","non-dropping-particle":"","parse-names":false,"suffix":""},{"dropping-particle":"","family":"Johnston","given":"C C","non-dropping-particle":"","parse-names":false,"suffix":""},{"dropping-particle":"","family":"Lindsay","given":"R","non-dropping-particle":"","parse-names":false,"suffix":""}],"container-title":"Osteoporosis international : a journal established as result of cooperation between the European Foundation for Osteoporosis and the National Osteoporosis Foundation of the USA","id":"ITEM-1","issue":"5","issued":{"date-parts":[["1998"]]},"page":"468-89","title":"Updated data on proximal femur bone mineral levels of US adults.","type":"article-journal","volume":"8"},"uris":["http://www.mendeley.com/documents/?uuid=802ee76d-a0be-3305-b454-aeec8229e094"]}],"mendeley":{"formattedCitation":"(14)","plainTextFormattedCitation":"(14)","previouslyFormattedCitation":"(14)"},"properties":{"noteIndex":0},"schema":"https://github.com/citation-style-language/schema/raw/master/csl-citation.json"}</w:instrText>
      </w:r>
      <w:r w:rsidR="00A40EBC">
        <w:rPr>
          <w:rFonts w:asciiTheme="minorHAnsi" w:hAnsiTheme="minorHAnsi" w:cs="Times New Roman"/>
        </w:rPr>
        <w:fldChar w:fldCharType="separate"/>
      </w:r>
      <w:r w:rsidR="00A40EBC" w:rsidRPr="00A40EBC">
        <w:rPr>
          <w:rFonts w:asciiTheme="minorHAnsi" w:hAnsiTheme="minorHAnsi" w:cs="Times New Roman"/>
          <w:noProof/>
        </w:rPr>
        <w:t>(14)</w:t>
      </w:r>
      <w:r w:rsidR="00A40EBC">
        <w:rPr>
          <w:rFonts w:asciiTheme="minorHAnsi" w:hAnsiTheme="minorHAnsi" w:cs="Times New Roman"/>
        </w:rPr>
        <w:fldChar w:fldCharType="end"/>
      </w:r>
      <w:r w:rsidRPr="00204065">
        <w:rPr>
          <w:rFonts w:asciiTheme="minorHAnsi" w:hAnsiTheme="minorHAnsi" w:cs="Times New Roman"/>
        </w:rPr>
        <w:t xml:space="preserve">. Women were assumed to have no other clinical risk factors that </w:t>
      </w:r>
      <w:r w:rsidRPr="00204065">
        <w:rPr>
          <w:rFonts w:asciiTheme="minorHAnsi" w:hAnsiTheme="minorHAnsi" w:cs="Times New Roman"/>
        </w:rPr>
        <w:lastRenderedPageBreak/>
        <w:t>might contribute to fracture probability.</w:t>
      </w:r>
      <w:r w:rsidRPr="00204065">
        <w:rPr>
          <w:rFonts w:asciiTheme="minorHAnsi" w:eastAsia="MS Mincho" w:hAnsiTheme="minorHAnsi" w:cs="Times New Roman"/>
          <w:lang w:val="en-GB" w:eastAsia="ja-JP"/>
        </w:rPr>
        <w:t xml:space="preserve"> The calculation of fracture probability was made at a body mass index (BMI) of 2</w:t>
      </w:r>
      <w:r>
        <w:rPr>
          <w:rFonts w:asciiTheme="minorHAnsi" w:eastAsia="MS Mincho" w:hAnsiTheme="minorHAnsi" w:cs="Times New Roman"/>
          <w:lang w:val="en-GB" w:eastAsia="ja-JP"/>
        </w:rPr>
        <w:t>4</w:t>
      </w:r>
      <w:r w:rsidRPr="00204065">
        <w:rPr>
          <w:rFonts w:asciiTheme="minorHAnsi" w:eastAsia="MS Mincho" w:hAnsiTheme="minorHAnsi" w:cs="Times New Roman"/>
          <w:lang w:val="en-GB" w:eastAsia="ja-JP"/>
        </w:rPr>
        <w:t xml:space="preserve"> kg/m</w:t>
      </w:r>
      <w:r w:rsidRPr="00204065">
        <w:rPr>
          <w:rFonts w:asciiTheme="minorHAnsi" w:eastAsia="MS Mincho" w:hAnsiTheme="minorHAnsi" w:cs="Times New Roman"/>
          <w:vertAlign w:val="superscript"/>
          <w:lang w:val="en-GB" w:eastAsia="ja-JP"/>
        </w:rPr>
        <w:t>2</w:t>
      </w:r>
      <w:r w:rsidRPr="00204065">
        <w:rPr>
          <w:rFonts w:asciiTheme="minorHAnsi" w:eastAsia="MS Mincho" w:hAnsiTheme="minorHAnsi" w:cs="Times New Roman"/>
          <w:lang w:val="en-GB" w:eastAsia="ja-JP"/>
        </w:rPr>
        <w:t xml:space="preserve">. Changes in BMI have little effect on predictive value for fracture risk assessment in the presence of BMD </w:t>
      </w:r>
      <w:r w:rsidR="00A40EBC">
        <w:rPr>
          <w:rFonts w:asciiTheme="minorHAnsi" w:eastAsia="MS Mincho" w:hAnsiTheme="minorHAnsi" w:cs="Times New Roman"/>
          <w:lang w:val="en-GB" w:eastAsia="ja-JP"/>
        </w:rPr>
        <w:fldChar w:fldCharType="begin" w:fldLock="1"/>
      </w:r>
      <w:r w:rsidR="00A40EBC">
        <w:rPr>
          <w:rFonts w:asciiTheme="minorHAnsi" w:eastAsia="MS Mincho" w:hAnsiTheme="minorHAnsi" w:cs="Times New Roman"/>
          <w:lang w:val="en-GB" w:eastAsia="ja-JP"/>
        </w:rPr>
        <w:instrText>ADDIN CSL_CITATION {"citationItems":[{"id":"ITEM-1","itemData":{"DOI":"10.1007/s00198-005-1863-y","ISSN":"0937-941X","author":[{"dropping-particle":"","family":"Laet","given":"C.","non-dropping-particle":"De","parse-names":false,"suffix":""},{"dropping-particle":"","family":"Kanis","given":"J. A.","non-dropping-particle":"","parse-names":false,"suffix":""},{"dropping-particle":"","family":"Odén","given":"A.","non-dropping-particle":"","parse-names":false,"suffix":""},{"dropping-particle":"","family":"Johanson","given":"H.","non-dropping-particle":"","parse-names":false,"suffix":""},{"dropping-particle":"","family":"Johnell","given":"O.","non-dropping-particle":"","parse-names":false,"suffix":""},{"dropping-particle":"","family":"Delmas","given":"P.","non-dropping-particle":"","parse-names":false,"suffix":""},{"dropping-particle":"","family":"Eisman","given":"J. A.","non-dropping-particle":"","parse-names":false,"suffix":""},{"dropping-particle":"","family":"Kroger","given":"H.","non-dropping-particle":"","parse-names":false,"suffix":""},{"dropping-particle":"","family":"Fujiwara","given":"S.","non-dropping-particle":"","parse-names":false,"suffix":""},{"dropping-particle":"","family":"Garnero","given":"P.","non-dropping-particle":"","parse-names":false,"suffix":""},{"dropping-particle":"V.","family":"McCloskey","given":"E.","non-dropping-particle":"","parse-names":false,"suffix":""},{"dropping-particle":"","family":"Mellstrom","given":"D.","non-dropping-particle":"","parse-names":false,"suffix":""},{"dropping-particle":"","family":"Melton","given":"L. J.","non-dropping-particle":"","parse-names":false,"suffix":""},{"dropping-particle":"","family":"Meunier","given":"P. J.","non-dropping-particle":"","parse-names":false,"suffix":""},{"dropping-particle":"","family":"Pols","given":"H. A. P.","non-dropping-particle":"","parse-names":false,"suffix":""},{"dropping-particle":"","family":"Reeve","given":"J.","non-dropping-particle":"","parse-names":false,"suffix":""},{"dropping-particle":"","family":"Silman","given":"A.","non-dropping-particle":"","parse-names":false,"suffix":""},{"dropping-particle":"","family":"Tenenhouse","given":"A.","non-dropping-particle":"","parse-names":false,"suffix":""}],"container-title":"Osteoporosis International","id":"ITEM-1","issue":"11","issued":{"date-parts":[["2005","11","1"]]},"page":"1330-1338","title":"Body mass index as a predictor of fracture risk: A meta-analysis","type":"article-journal","volume":"16"},"uris":["http://www.mendeley.com/documents/?uuid=e1299650-8de4-3273-8de6-caabf0389394"]}],"mendeley":{"formattedCitation":"(15)","plainTextFormattedCitation":"(15)","previouslyFormattedCitation":"(15)"},"properties":{"noteIndex":0},"schema":"https://github.com/citation-style-language/schema/raw/master/csl-citation.json"}</w:instrText>
      </w:r>
      <w:r w:rsidR="00A40EBC">
        <w:rPr>
          <w:rFonts w:asciiTheme="minorHAnsi" w:eastAsia="MS Mincho" w:hAnsiTheme="minorHAnsi" w:cs="Times New Roman"/>
          <w:lang w:val="en-GB" w:eastAsia="ja-JP"/>
        </w:rPr>
        <w:fldChar w:fldCharType="separate"/>
      </w:r>
      <w:r w:rsidR="00A40EBC" w:rsidRPr="00A40EBC">
        <w:rPr>
          <w:rFonts w:asciiTheme="minorHAnsi" w:eastAsia="MS Mincho" w:hAnsiTheme="minorHAnsi" w:cs="Times New Roman"/>
          <w:noProof/>
          <w:lang w:val="en-GB" w:eastAsia="ja-JP"/>
        </w:rPr>
        <w:t>(15)</w:t>
      </w:r>
      <w:r w:rsidR="00A40EBC">
        <w:rPr>
          <w:rFonts w:asciiTheme="minorHAnsi" w:eastAsia="MS Mincho" w:hAnsiTheme="minorHAnsi" w:cs="Times New Roman"/>
          <w:lang w:val="en-GB" w:eastAsia="ja-JP"/>
        </w:rPr>
        <w:fldChar w:fldCharType="end"/>
      </w:r>
      <w:r w:rsidRPr="00204065">
        <w:rPr>
          <w:rFonts w:asciiTheme="minorHAnsi" w:eastAsia="MS Mincho" w:hAnsiTheme="minorHAnsi" w:cs="Times New Roman"/>
          <w:lang w:val="en-GB" w:eastAsia="ja-JP"/>
        </w:rPr>
        <w:t>.</w:t>
      </w:r>
    </w:p>
    <w:p w14:paraId="30407AAA" w14:textId="77777777" w:rsidR="00AD09CD" w:rsidRPr="00F720D9" w:rsidRDefault="00AD09CD" w:rsidP="00AD09CD">
      <w:pPr>
        <w:spacing w:after="120" w:line="240" w:lineRule="auto"/>
        <w:rPr>
          <w:rFonts w:asciiTheme="minorHAnsi" w:hAnsiTheme="minorHAnsi" w:cs="Times New Roman"/>
        </w:rPr>
      </w:pPr>
      <w:r w:rsidRPr="00F720D9">
        <w:rPr>
          <w:rFonts w:asciiTheme="minorHAnsi" w:hAnsiTheme="minorHAnsi" w:cs="Times New Roman"/>
        </w:rPr>
        <w:t xml:space="preserve">Since treatment is commonly recommended in women with a previous fragility fracture, a second intervention threshold was calculated over the same </w:t>
      </w:r>
      <w:bookmarkStart w:id="2" w:name="_Hlk516493764"/>
      <w:r w:rsidRPr="00F720D9">
        <w:rPr>
          <w:rFonts w:asciiTheme="minorHAnsi" w:hAnsiTheme="minorHAnsi" w:cs="Times New Roman"/>
        </w:rPr>
        <w:t xml:space="preserve">age </w:t>
      </w:r>
      <w:r>
        <w:rPr>
          <w:rFonts w:asciiTheme="minorHAnsi" w:hAnsiTheme="minorHAnsi" w:cs="Times New Roman"/>
        </w:rPr>
        <w:t>increments</w:t>
      </w:r>
      <w:r w:rsidRPr="00F720D9">
        <w:rPr>
          <w:rFonts w:asciiTheme="minorHAnsi" w:hAnsiTheme="minorHAnsi" w:cs="Times New Roman"/>
        </w:rPr>
        <w:t xml:space="preserve"> in women with a prior fracture but no other clinical risk factors using the Iranian-specific FRAX tool, without BMD </w:t>
      </w:r>
      <w:bookmarkEnd w:id="2"/>
      <w:r w:rsidRPr="00F720D9">
        <w:rPr>
          <w:rFonts w:asciiTheme="minorHAnsi" w:hAnsiTheme="minorHAnsi" w:cs="Times New Roman"/>
        </w:rPr>
        <w:t>and a BMI set at 2</w:t>
      </w:r>
      <w:r>
        <w:rPr>
          <w:rFonts w:asciiTheme="minorHAnsi" w:hAnsiTheme="minorHAnsi" w:cs="Times New Roman"/>
        </w:rPr>
        <w:t>4</w:t>
      </w:r>
      <w:r w:rsidRPr="00F720D9">
        <w:rPr>
          <w:rFonts w:asciiTheme="minorHAnsi" w:hAnsiTheme="minorHAnsi" w:cs="Times New Roman"/>
        </w:rPr>
        <w:t xml:space="preserve"> kg/m</w:t>
      </w:r>
      <w:r w:rsidRPr="00F720D9">
        <w:rPr>
          <w:rFonts w:asciiTheme="minorHAnsi" w:hAnsiTheme="minorHAnsi" w:cs="Times New Roman"/>
          <w:vertAlign w:val="superscript"/>
        </w:rPr>
        <w:t>2</w:t>
      </w:r>
      <w:r w:rsidRPr="00F720D9">
        <w:rPr>
          <w:rFonts w:asciiTheme="minorHAnsi" w:hAnsiTheme="minorHAnsi" w:cs="Times New Roman"/>
        </w:rPr>
        <w:t xml:space="preserve">. </w:t>
      </w:r>
    </w:p>
    <w:p w14:paraId="298C226F" w14:textId="77777777" w:rsidR="00AD09CD" w:rsidRPr="00204065" w:rsidRDefault="00AD09CD" w:rsidP="00AD09CD">
      <w:pPr>
        <w:spacing w:after="120" w:line="240" w:lineRule="auto"/>
        <w:rPr>
          <w:rFonts w:asciiTheme="minorHAnsi" w:hAnsiTheme="minorHAnsi" w:cs="Times New Roman"/>
          <w:i/>
          <w:iCs/>
        </w:rPr>
      </w:pPr>
      <w:r w:rsidRPr="00204065">
        <w:rPr>
          <w:rFonts w:asciiTheme="minorHAnsi" w:hAnsiTheme="minorHAnsi" w:cs="Times New Roman"/>
          <w:i/>
          <w:iCs/>
        </w:rPr>
        <w:t xml:space="preserve">Assessment thresholds for BMD testing </w:t>
      </w:r>
    </w:p>
    <w:p w14:paraId="1EBD32CE" w14:textId="77777777" w:rsidR="00AD09CD" w:rsidRPr="00F23023" w:rsidRDefault="00AD09CD" w:rsidP="00A40EBC">
      <w:pPr>
        <w:spacing w:after="120" w:line="240" w:lineRule="auto"/>
        <w:rPr>
          <w:rFonts w:asciiTheme="minorHAnsi" w:hAnsiTheme="minorHAnsi" w:cs="Times New Roman"/>
        </w:rPr>
      </w:pPr>
      <w:r w:rsidRPr="00204065">
        <w:rPr>
          <w:rFonts w:asciiTheme="minorHAnsi" w:eastAsia="MS Mincho" w:hAnsiTheme="minorHAnsi" w:cs="Times New Roman"/>
          <w:lang w:eastAsia="ja-JP"/>
        </w:rPr>
        <w:t>T</w:t>
      </w:r>
      <w:r w:rsidRPr="00204065">
        <w:rPr>
          <w:rFonts w:asciiTheme="minorHAnsi" w:hAnsiTheme="minorHAnsi" w:cs="Times New Roman"/>
        </w:rPr>
        <w:t xml:space="preserve">he inclusion of BMD in the calculation of probability improves the accuracy of the assessment </w:t>
      </w:r>
      <w:r w:rsidR="00A40EBC">
        <w:rPr>
          <w:rFonts w:asciiTheme="minorHAnsi" w:hAnsiTheme="minorHAnsi" w:cs="Times New Roman"/>
        </w:rPr>
        <w:fldChar w:fldCharType="begin" w:fldLock="1"/>
      </w:r>
      <w:r w:rsidR="00A40EBC">
        <w:rPr>
          <w:rFonts w:asciiTheme="minorHAnsi" w:hAnsiTheme="minorHAnsi" w:cs="Times New Roman"/>
        </w:rPr>
        <w:instrText>ADDIN CSL_CITATION {"citationItems":[{"id":"ITEM-1","itemData":{"DOI":"10.1007/s00198-007-0343-y","ISSN":"0937-941X","PMID":"17323110","abstract":"UNLABELLED BMD and clinical risk factors predict hip and other osteoporotic fractures. The combination of clinical risk factors and BMD provide higher specificity and sensitivity than either alone. INTRODUCTION AND HYPOTHESES: To develop a risk assessment tool based on clinical risk factors (CRFs) with and without BMD. METHODS Nine population-based studies were studied in which BMD and CRFs were documented at baseline. Poisson regression models were developed for hip fracture and other osteoporotic fractures, with and without hip BMD. Fracture risk was expressed as gradient of risk (GR, risk ratio/SD change in risk score). RESULTS CRFs alone predicted hip fracture with a GR of 2.1/SD at the age of 50 years and decreased with age. The use of BMD alone provided a higher GR (3.7/SD), and was improved further with the combined use of CRFs and BMD (4.2/SD). For other osteoporotic fractures, the GRs were lower than for hip fracture. The GR with CRFs alone was 1.4/SD at the age of 50 years, similar to that provided by BMD (GR = 1.4/SD) and was not markedly increased by the combination (GR = 1.4/SD). The performance characteristics of clinical risk factors with and without BMD were validated in eleven independent population-based cohorts. CONCLUSIONS The models developed provide the basis for the integrated use of validated clinical risk factors in men and women to aid in fracture risk prediction.","author":[{"dropping-particle":"","family":"Kanis","given":"J. A.","non-dropping-particle":"","parse-names":false,"suffix":""},{"dropping-particle":"","family":"Oden","given":"A.","non-dropping-particle":"","parse-names":false,"suffix":""},{"dropping-particle":"","family":"Johnell","given":"O.","non-dropping-particle":"","parse-names":false,"suffix":""},{"dropping-particle":"","family":"Johansson","given":"H.","non-dropping-particle":"","parse-names":false,"suffix":""},{"dropping-particle":"","family":"Laet","given":"C.","non-dropping-particle":"De","parse-names":false,"suffix":""},{"dropping-particle":"","family":"Brown","given":"J.","non-dropping-particle":"","parse-names":false,"suffix":""},{"dropping-particle":"","family":"Burckhardt","given":"P.","non-dropping-particle":"","parse-names":false,"suffix":""},{"dropping-particle":"","family":"Cooper","given":"C.","non-dropping-particle":"","parse-names":false,"suffix":""},{"dropping-particle":"","family":"Christiansen","given":"C.","non-dropping-particle":"","parse-names":false,"suffix":""},{"dropping-particle":"","family":"Cummings","given":"S.","non-dropping-particle":"","parse-names":false,"suffix":""},{"dropping-particle":"","family":"Eisman","given":"J. A.","non-dropping-particle":"","parse-names":false,"suffix":""},{"dropping-particle":"","family":"Fujiwara","given":"S.","non-dropping-particle":"","parse-names":false,"suffix":""},{"dropping-particle":"","family":"Glüer","given":"C.","non-dropping-particle":"","parse-names":false,"suffix":""},{"dropping-particle":"","family":"Goltzman","given":"D.","non-dropping-particle":"","parse-names":false,"suffix":""},{"dropping-particle":"","family":"Hans","given":"D.","non-dropping-particle":"","parse-names":false,"suffix":""},{"dropping-particle":"","family":"Krieg","given":"M.-A.","non-dropping-particle":"","parse-names":false,"suffix":""},{"dropping-particle":"","family":"Croix","given":"A.","non-dropping-particle":"La","parse-names":false,"suffix":""},{"dropping-particle":"","family":"McCloskey","given":"E.","non-dropping-particle":"","parse-names":false,"suffix":""},{"dropping-particle":"","family":"Mellstrom","given":"D.","non-dropping-particle":"","parse-names":false,"suffix":""},{"dropping-particle":"","family":"Melton","given":"L. J.","non-dropping-particle":"","parse-names":false,"suffix":""},{"dropping-particle":"","family":"Pols","given":"H.","non-dropping-particle":"","parse-names":false,"suffix":""},{"dropping-particle":"","family":"Reeve","given":"J.","non-dropping-particle":"","parse-names":false,"suffix":""},{"dropping-particle":"","family":"Sanders","given":"K.","non-dropping-particle":"","parse-names":false,"suffix":""},{"dropping-particle":"","family":"Schott","given":"A-M.","non-dropping-particle":"","parse-names":false,"suffix":""},{"dropping-particle":"","family":"Silman","given":"A.","non-dropping-particle":"","parse-names":false,"suffix":""},{"dropping-particle":"","family":"Torgerson","given":"D.","non-dropping-particle":"","parse-names":false,"suffix":""},{"dropping-particle":"","family":"Staa","given":"T.","non-dropping-particle":"van","parse-names":false,"suffix":""},{"dropping-particle":"","family":"Watts","given":"N. B.","non-dropping-particle":"","parse-names":false,"suffix":""},{"dropping-particle":"","family":"Yoshimura","given":"N.","non-dropping-particle":"","parse-names":false,"suffix":""}],"container-title":"Osteoporosis International","id":"ITEM-1","issue":"8","issued":{"date-parts":[["2007","8","24"]]},"page":"1033-1046","title":"The use of clinical risk factors enhances the performance of BMD in the prediction of hip and osteoporotic fractures in men and women","type":"article-journal","volume":"18"},"uris":["http://www.mendeley.com/documents/?uuid=d65ec21c-be68-3d90-971f-8d77596a3383"]}],"mendeley":{"formattedCitation":"(16)","plainTextFormattedCitation":"(16)","previouslyFormattedCitation":"(16)"},"properties":{"noteIndex":0},"schema":"https://github.com/citation-style-language/schema/raw/master/csl-citation.json"}</w:instrText>
      </w:r>
      <w:r w:rsidR="00A40EBC">
        <w:rPr>
          <w:rFonts w:asciiTheme="minorHAnsi" w:hAnsiTheme="minorHAnsi" w:cs="Times New Roman"/>
        </w:rPr>
        <w:fldChar w:fldCharType="separate"/>
      </w:r>
      <w:r w:rsidR="00A40EBC" w:rsidRPr="00A40EBC">
        <w:rPr>
          <w:rFonts w:asciiTheme="minorHAnsi" w:hAnsiTheme="minorHAnsi" w:cs="Times New Roman"/>
          <w:noProof/>
        </w:rPr>
        <w:t>(16)</w:t>
      </w:r>
      <w:r w:rsidR="00A40EBC">
        <w:rPr>
          <w:rFonts w:asciiTheme="minorHAnsi" w:hAnsiTheme="minorHAnsi" w:cs="Times New Roman"/>
        </w:rPr>
        <w:fldChar w:fldCharType="end"/>
      </w:r>
      <w:r w:rsidRPr="00204065">
        <w:rPr>
          <w:rFonts w:asciiTheme="minorHAnsi" w:hAnsiTheme="minorHAnsi" w:cs="Times New Roman"/>
        </w:rPr>
        <w:t xml:space="preserve"> but the value of BMD in a clinical context is greatest in individuals in whom fracture probabilities lie close to an intervention </w:t>
      </w:r>
      <w:r w:rsidRPr="00204065">
        <w:rPr>
          <w:rFonts w:asciiTheme="minorHAnsi" w:hAnsiTheme="minorHAnsi" w:cs="Times New Roman"/>
          <w:lang w:val="en-GB"/>
        </w:rPr>
        <w:t>threshold</w:t>
      </w:r>
      <w:r>
        <w:rPr>
          <w:rFonts w:asciiTheme="minorHAnsi" w:hAnsiTheme="minorHAnsi" w:cs="Times New Roman"/>
          <w:lang w:val="en-GB"/>
        </w:rPr>
        <w:t xml:space="preserve"> </w:t>
      </w:r>
      <w:r w:rsidR="00A40EBC">
        <w:rPr>
          <w:rFonts w:asciiTheme="minorHAnsi" w:hAnsiTheme="minorHAnsi" w:cs="Times New Roman"/>
          <w:lang w:val="en-GB"/>
        </w:rPr>
        <w:fldChar w:fldCharType="begin" w:fldLock="1"/>
      </w:r>
      <w:r w:rsidR="00C9790D">
        <w:rPr>
          <w:rFonts w:asciiTheme="minorHAnsi" w:hAnsiTheme="minorHAnsi" w:cs="Times New Roman"/>
          <w:lang w:val="en-GB"/>
        </w:rPr>
        <w:instrText>ADDIN CSL_CITATION {"citationItems":[{"id":"ITEM-1","itemData":{"DOI":"10.1007/s00198-008-0712-1","ISSN":"0937-941X","PMID":"18751937","abstract":"UNLABELLED Assessment and intervention thresholds are developed and proposed in men aged over 50 years and postmenopausal women for the UK based on fracture probability from the WHO fracture risk assessment tool (FRAX). INTRODUCTION The FRAX tool has recently become available to compute the 10-year probability of fractures in men and women from clinical risk factors (CRFs) with or without the measurement of femoral neck bone mineral density (BMD). The aim of this study was to develop a case-finding strategy for men and women from the UK at high risk of osteoporotic fracture by delineating the fracture probabilities at which BMD testing or intervention should be recommended. METHODS Fracture probabilities were computed using the FRAX tool calibrated to the epidemiology of fracture and death in the UK. The relationship between cost effectiveness and fracture probability used the source data from a prior publication that examined the cost effectiveness of generic alendronate in the UK. An intervention threshold was set by age in men and women, based on the fracture probability equivalent to that of women with a history of a prior osteoporosis related fracture. In addition, assessment thresholds for the use of BMD testing were explored. Assessment thresholds for the measurement of BMD followed current practice guidelines where individuals were considered to be eligible for assessment in the presence of one or more CRF. An upper assessment threshold (i.e. a fracture probability above which patients could be treated without recourse to BMD) was based on optimisation of the positive predictive value of the assessment tool. The consequences of assessment and intervention thresholds on the requirement for BMD test and interventions were assessed using the distribution of clinical risk factors and femoral neck BMD for women in the source cohorts used for the development of the FRAX models RESULTS Treatment was cost effective at all ages when the 10-year probability of a major fracture exceeded 7%. The intervention threshold at the age of 50 years corresponded to a 10-year probability of a major osteoporotic fracture of 7.5%. This rose progressively with age to 30% at the age of 80 years, so that intervention was cost effective at all ages. Assessment thresholds for testing with BMD (6-9% at the age of 50 years) also rose with age (18-36% at the age of 80 years). The use of these thresholds in a case-finding strategy would identify 6-20% of women as eligible for B…","author":[{"dropping-particle":"","family":"Kanis","given":"J. A.","non-dropping-particle":"","parse-names":false,"suffix":""},{"dropping-particle":"V.","family":"McCloskey","given":"E.","non-dropping-particle":"","parse-names":false,"suffix":""},{"dropping-particle":"","family":"Johansson","given":"H.","non-dropping-particle":"","parse-names":false,"suffix":""},{"dropping-particle":"","family":"Strom","given":"O.","non-dropping-particle":"","parse-names":false,"suffix":""},{"dropping-particle":"","family":"Borgstrom","given":"F.","non-dropping-particle":"","parse-names":false,"suffix":""},{"dropping-particle":"","family":"Oden","given":"A.","non-dropping-particle":"","parse-names":false,"suffix":""},{"dropping-particle":"","family":"National Osteoporosis Guideline Group","given":"","non-dropping-particle":"","parse-names":false,"suffix":""}],"container-title":"Osteoporosis International","id":"ITEM-1","issue":"10","issued":{"date-parts":[["2008","10","28"]]},"page":"1395-1408","title":"Case finding for the management of osteoporosis with FRAX®—assessment and intervention thresholds for the UK","type":"article-journal","volume":"19"},"uris":["http://www.mendeley.com/documents/?uuid=da73f181-3532-354c-8c6d-e51ed0e86f29"]},{"id":"ITEM-2","itemData":{"DOI":"10.1359/jbmr.2004.19.6.906","ISSN":"08840431","author":[{"dropping-particle":"","family":"Johansson","given":"Helena","non-dropping-particle":"","parse-names":false,"suffix":""},{"dropping-particle":"","family":"Oden","given":"Anders","non-dropping-particle":"","parse-names":false,"suffix":""},{"dropping-particle":"","family":"Johnell","given":"Olof","non-dropping-particle":"","parse-names":false,"suffix":""},{"dropping-particle":"","family":"Jonsson","given":"Bengt","non-dropping-particle":"","parse-names":false,"suffix":""},{"dropping-particle":"","family":"Laet","given":"Chris","non-dropping-particle":"de","parse-names":false,"suffix":""},{"dropping-particle":"","family":"Oglesby","given":"Alan","non-dropping-particle":"","parse-names":false,"suffix":""},{"dropping-particle":"V","family":"McCloskey","given":"Eugene","non-dropping-particle":"","parse-names":false,"suffix":""},{"dropping-particle":"","family":"Kayan","given":"Karthik","non-dropping-particle":"","parse-names":false,"suffix":""},{"dropping-particle":"","family":"Jalava","given":"Tarja","non-dropping-particle":"","parse-names":false,"suffix":""},{"dropping-particle":"","family":"Kanis","given":"John A","non-dropping-particle":"","parse-names":false,"suffix":""}],"container-title":"Journal of Bone and Mineral Research","id":"ITEM-2","issue":"6","issued":{"date-parts":[["2004","6","1"]]},"page":"906-913","title":"Optimization of BMD Measurements to Identify High Risk Groups for Treatment-A Test Analysis","type":"article-journal","volume":"19"},"uris":["http://www.mendeley.com/documents/?uuid=0b238f63-3b90-33d9-9c16-d65631cfd002"]},{"id":"ITEM-3","itemData":{"DOI":"10.1007/s00198-011-1592-3","ISSN":"0937-941X","PMID":"21365460","abstract":"UNLABELLED Most patients designated as high risk of fracture using fracture risk assessment tool (FRAX) with femoral neck bone mineral density (BMD) (i.e., 10-year major osteoporotic fracture probability exceeding 20% or hip fracture exceeding 3%) have one or more T-scores in the osteoporotic range; conversely, almost no high risk patients have normal T-scores at all bone mineral density measurement sites. INTRODUCTION We determined the agreement between a FRAX designation of high risk of fracture [defined as 10-year major osteoporotic fracture probability (≥ 20%) or hip fracture probability (≥ 3%)] and the WHO categorizations of bone mineral density according to T-score. METHODS Ten-year FRAX probabilities calculated with femoral neck BMD were derived using both Canadian and US white tools for a large clinical cohort of 36,730 women and 2,873 men age 50 years and older from Manitoba, Canada. Individuals were classified according to FRAX fracture probability and BMD T-scores alone. RESULTS Most individuals designated by FRAX as high risk of major osteoporotic fracture had a T-score in the osteoporotic range at one or more BMD measurement sites (85% with Canadian tool and 83% with US white tool). The majority of individuals deemed at high risk of hip fracture had one or more T-scores in the osteoporotic range (66% with Canadian tool and 64% with US white tool). Conversely, there were extremely few individuals (&lt;1%) who were at high risk of major osteoporotic or hip fracture with normal T-scores at all BMD measurement sites. CONCLUSIONS A FRAX designation of high risk of fracture is usually associated with a densitometric diagnosis of osteoporosis.","author":[{"dropping-particle":"","family":"Leslie","given":"W. D.","non-dropping-particle":"","parse-names":false,"suffix":""},{"dropping-particle":"","family":"Majumdar","given":"S. R.","non-dropping-particle":"","parse-names":false,"suffix":""},{"dropping-particle":"","family":"Lix","given":"L. M.","non-dropping-particle":"","parse-names":false,"suffix":""},{"dropping-particle":"","family":"Johansson","given":"H.","non-dropping-particle":"","parse-names":false,"suffix":""},{"dropping-particle":"","family":"Oden","given":"A.","non-dropping-particle":"","parse-names":false,"suffix":""},{"dropping-particle":"","family":"McCloskey","given":"E.","non-dropping-particle":"","parse-names":false,"suffix":""},{"dropping-particle":"","family":"Kanis","given":"J. A.","non-dropping-particle":"","parse-names":false,"suffix":""},{"dropping-particle":"","family":"Manitoba Bone Density Program","given":"","non-dropping-particle":"","parse-names":false,"suffix":""}],"container-title":"Osteoporosis International","id":"ITEM-3","issue":"1","issued":{"date-parts":[["2012","1","2"]]},"page":"391-397","title":"High fracture probability with FRAX® usually indicates densitometric osteoporosis: implications for clinical practice","type":"article-journal","volume":"23"},"uris":["http://www.mendeley.com/documents/?uuid=f4effb6f-7b53-3479-82ed-f0b0ed86136a"]}],"mendeley":{"formattedCitation":"(12,17,18)","plainTextFormattedCitation":"(12,17,18)","previouslyFormattedCitation":"(12,17,18)"},"properties":{"noteIndex":0},"schema":"https://github.com/citation-style-language/schema/raw/master/csl-citation.json"}</w:instrText>
      </w:r>
      <w:r w:rsidR="00A40EBC">
        <w:rPr>
          <w:rFonts w:asciiTheme="minorHAnsi" w:hAnsiTheme="minorHAnsi" w:cs="Times New Roman"/>
          <w:lang w:val="en-GB"/>
        </w:rPr>
        <w:fldChar w:fldCharType="separate"/>
      </w:r>
      <w:r w:rsidR="00A40EBC" w:rsidRPr="00A40EBC">
        <w:rPr>
          <w:rFonts w:asciiTheme="minorHAnsi" w:hAnsiTheme="minorHAnsi" w:cs="Times New Roman"/>
          <w:noProof/>
          <w:lang w:val="en-GB"/>
        </w:rPr>
        <w:t>(12,17,18)</w:t>
      </w:r>
      <w:r w:rsidR="00A40EBC">
        <w:rPr>
          <w:rFonts w:asciiTheme="minorHAnsi" w:hAnsiTheme="minorHAnsi" w:cs="Times New Roman"/>
          <w:lang w:val="en-GB"/>
        </w:rPr>
        <w:fldChar w:fldCharType="end"/>
      </w:r>
      <w:r w:rsidRPr="00204065">
        <w:rPr>
          <w:rFonts w:asciiTheme="minorHAnsi" w:hAnsiTheme="minorHAnsi" w:cs="Times New Roman"/>
        </w:rPr>
        <w:t>.  In other words, testing is confined to those in whom there is a reasonable likelihood that individuals at high (or low) risk would be reclassified at low (or high) risk, respectively</w:t>
      </w:r>
      <w:r>
        <w:rPr>
          <w:rFonts w:asciiTheme="minorHAnsi" w:hAnsiTheme="minorHAnsi" w:cs="Times New Roman"/>
        </w:rPr>
        <w:t xml:space="preserve">, </w:t>
      </w:r>
      <w:r w:rsidRPr="00204065">
        <w:rPr>
          <w:rFonts w:asciiTheme="minorHAnsi" w:hAnsiTheme="minorHAnsi" w:cs="Times New Roman"/>
        </w:rPr>
        <w:t>on the</w:t>
      </w:r>
      <w:r w:rsidRPr="00F23023">
        <w:rPr>
          <w:rFonts w:asciiTheme="minorHAnsi" w:hAnsiTheme="minorHAnsi" w:cs="Times New Roman"/>
        </w:rPr>
        <w:t xml:space="preserve"> basis of the BMD test.  On this basis, we calculated two assessment </w:t>
      </w:r>
      <w:r w:rsidR="00A40EBC" w:rsidRPr="00F23023">
        <w:rPr>
          <w:rFonts w:asciiTheme="minorHAnsi" w:hAnsiTheme="minorHAnsi" w:cs="Times New Roman"/>
        </w:rPr>
        <w:t>thresholds, which</w:t>
      </w:r>
      <w:r w:rsidRPr="00F23023">
        <w:rPr>
          <w:rFonts w:asciiTheme="minorHAnsi" w:hAnsiTheme="minorHAnsi" w:cs="Times New Roman"/>
        </w:rPr>
        <w:t xml:space="preserve"> were applied to the second intervention threshold described above:</w:t>
      </w:r>
    </w:p>
    <w:p w14:paraId="6B7A4DFC" w14:textId="77777777" w:rsidR="00AD09CD" w:rsidRPr="00F23023" w:rsidRDefault="00AD09CD" w:rsidP="00AD09CD">
      <w:pPr>
        <w:spacing w:after="120" w:line="240" w:lineRule="auto"/>
        <w:ind w:left="720"/>
        <w:rPr>
          <w:rFonts w:asciiTheme="minorHAnsi" w:eastAsia="MS Mincho" w:hAnsiTheme="minorHAnsi" w:cs="Times New Roman"/>
          <w:lang w:eastAsia="ja-JP"/>
        </w:rPr>
      </w:pPr>
      <w:r w:rsidRPr="00F23023">
        <w:rPr>
          <w:rFonts w:asciiTheme="minorHAnsi" w:hAnsiTheme="minorHAnsi" w:cs="Times New Roman"/>
        </w:rPr>
        <w:t>The</w:t>
      </w:r>
      <w:r w:rsidRPr="00F23023">
        <w:rPr>
          <w:rFonts w:asciiTheme="minorHAnsi" w:eastAsia="MS Mincho" w:hAnsiTheme="minorHAnsi" w:cs="Times New Roman"/>
          <w:lang w:eastAsia="ja-JP"/>
        </w:rPr>
        <w:t xml:space="preserve"> threshold probability below which neither treatment nor a BMD test should be considered (lower assessment threshold). </w:t>
      </w:r>
    </w:p>
    <w:p w14:paraId="66A476E2" w14:textId="77777777" w:rsidR="00AD09CD" w:rsidRPr="00F23023" w:rsidRDefault="00AD09CD" w:rsidP="00AD09CD">
      <w:pPr>
        <w:spacing w:after="120" w:line="240" w:lineRule="auto"/>
        <w:ind w:left="720"/>
        <w:rPr>
          <w:rFonts w:asciiTheme="minorHAnsi" w:eastAsia="MS Mincho" w:hAnsiTheme="minorHAnsi" w:cs="Times New Roman"/>
          <w:lang w:eastAsia="ja-JP"/>
        </w:rPr>
      </w:pPr>
      <w:r w:rsidRPr="00F23023">
        <w:rPr>
          <w:rFonts w:asciiTheme="minorHAnsi" w:eastAsia="MS Mincho" w:hAnsiTheme="minorHAnsi" w:cs="Times New Roman"/>
          <w:lang w:eastAsia="ja-JP"/>
        </w:rPr>
        <w:t>The threshold probability above which treatment may be recommended without the need for BMD (upper assessment threshold).</w:t>
      </w:r>
    </w:p>
    <w:p w14:paraId="371AD397" w14:textId="77777777" w:rsidR="00AD09CD" w:rsidRPr="00204065" w:rsidRDefault="00AD09CD" w:rsidP="00C9790D">
      <w:pPr>
        <w:spacing w:after="120" w:line="240" w:lineRule="auto"/>
        <w:rPr>
          <w:rFonts w:asciiTheme="minorHAnsi" w:eastAsia="MS Mincho" w:hAnsiTheme="minorHAnsi" w:cs="Times New Roman"/>
          <w:lang w:eastAsia="ja-JP"/>
        </w:rPr>
      </w:pPr>
      <w:r w:rsidRPr="00F23023">
        <w:rPr>
          <w:rFonts w:asciiTheme="minorHAnsi" w:eastAsia="MS Mincho" w:hAnsiTheme="minorHAnsi" w:cs="Times New Roman"/>
          <w:lang w:eastAsia="ja-JP"/>
        </w:rPr>
        <w:t>The lower assessment threshold was based on the 10-year probability of a major osteoporosis fracture equivalent to women without clinical risk factors (and a body mass index of 2</w:t>
      </w:r>
      <w:r>
        <w:rPr>
          <w:rFonts w:asciiTheme="minorHAnsi" w:eastAsia="MS Mincho" w:hAnsiTheme="minorHAnsi" w:cs="Times New Roman"/>
          <w:lang w:eastAsia="ja-JP"/>
        </w:rPr>
        <w:t>4</w:t>
      </w:r>
      <w:r w:rsidRPr="00F23023">
        <w:rPr>
          <w:rFonts w:asciiTheme="minorHAnsi" w:eastAsia="MS Mincho" w:hAnsiTheme="minorHAnsi" w:cs="Times New Roman"/>
          <w:lang w:eastAsia="ja-JP"/>
        </w:rPr>
        <w:t xml:space="preserve"> kg/m</w:t>
      </w:r>
      <w:r w:rsidRPr="00F23023">
        <w:rPr>
          <w:rFonts w:asciiTheme="minorHAnsi" w:eastAsia="MS Mincho" w:hAnsiTheme="minorHAnsi" w:cs="Times New Roman"/>
          <w:vertAlign w:val="superscript"/>
          <w:lang w:eastAsia="ja-JP"/>
        </w:rPr>
        <w:t>2</w:t>
      </w:r>
      <w:r w:rsidRPr="00F23023">
        <w:rPr>
          <w:rFonts w:asciiTheme="minorHAnsi" w:eastAsia="MS Mincho" w:hAnsiTheme="minorHAnsi" w:cs="Times New Roman"/>
          <w:lang w:eastAsia="ja-JP"/>
        </w:rPr>
        <w:t xml:space="preserve"> </w:t>
      </w:r>
      <w:r w:rsidRPr="00F23023">
        <w:rPr>
          <w:rFonts w:asciiTheme="minorHAnsi" w:eastAsia="MS Mincho" w:hAnsiTheme="minorHAnsi" w:cs="Times New Roman"/>
          <w:lang w:eastAsia="ja-JP"/>
        </w:rPr>
        <w:lastRenderedPageBreak/>
        <w:t xml:space="preserve">and without BMD). This is consistent with a view in most practice guidelines that individuals without clinical risk factors should not be </w:t>
      </w:r>
      <w:r w:rsidRPr="00204065">
        <w:rPr>
          <w:rFonts w:asciiTheme="minorHAnsi" w:eastAsia="MS Mincho" w:hAnsiTheme="minorHAnsi" w:cs="Times New Roman"/>
          <w:lang w:eastAsia="ja-JP"/>
        </w:rPr>
        <w:t>considered eligible for assessment</w:t>
      </w:r>
      <w:r w:rsidRPr="00204065">
        <w:rPr>
          <w:rFonts w:asciiTheme="minorHAnsi" w:hAnsiTheme="minorHAnsi"/>
        </w:rPr>
        <w:t xml:space="preserve"> </w:t>
      </w:r>
      <w:r w:rsidR="00C9790D">
        <w:rPr>
          <w:rFonts w:asciiTheme="minorHAnsi" w:hAnsiTheme="minorHAnsi"/>
        </w:rPr>
        <w:fldChar w:fldCharType="begin" w:fldLock="1"/>
      </w:r>
      <w:r w:rsidR="00C9790D">
        <w:rPr>
          <w:rFonts w:asciiTheme="minorHAnsi" w:hAnsiTheme="minorHAnsi"/>
        </w:rPr>
        <w:instrText>ADDIN CSL_CITATION {"citationItems":[{"id":"ITEM-1","itemData":{"DOI":"10.1007/s00198-018-4704-5","ISSN":"0937-941X","author":[{"dropping-particle":"","family":"Kanis","given":"J.A.","non-dropping-particle":"","parse-names":false,"suffix":""},{"dropping-particle":"","family":"Cooper","given":"C.","non-dropping-particle":"","parse-names":false,"suffix":""},{"dropping-particle":"","family":"Rizzoli","given":"R.","non-dropping-particle":"","parse-names":false,"suffix":""},{"dropping-particle":"","family":"Reginster","given":"J.-Y.","non-dropping-particle":"","parse-names":false,"suffix":""}],"container-title":"Osteoporosis International","id":"ITEM-1","issue":"1","issued":{"date-parts":[["2019","1","15"]]},"page":"3-44","title":"European guidance for the diagnosis and management of osteoporosis in postmenopausal women","type":"article-journal","volume":"30"},"uris":["http://www.mendeley.com/documents/?uuid=085b3262-52a2-3611-884f-82ae16516286"]}],"mendeley":{"formattedCitation":"(19)","plainTextFormattedCitation":"(19)","previouslyFormattedCitation":"(19)"},"properties":{"noteIndex":0},"schema":"https://github.com/citation-style-language/schema/raw/master/csl-citation.json"}</w:instrText>
      </w:r>
      <w:r w:rsidR="00C9790D">
        <w:rPr>
          <w:rFonts w:asciiTheme="minorHAnsi" w:hAnsiTheme="minorHAnsi"/>
        </w:rPr>
        <w:fldChar w:fldCharType="separate"/>
      </w:r>
      <w:r w:rsidR="00C9790D" w:rsidRPr="00C9790D">
        <w:rPr>
          <w:rFonts w:asciiTheme="minorHAnsi" w:hAnsiTheme="minorHAnsi"/>
          <w:noProof/>
        </w:rPr>
        <w:t>(19)</w:t>
      </w:r>
      <w:r w:rsidR="00C9790D">
        <w:rPr>
          <w:rFonts w:asciiTheme="minorHAnsi" w:hAnsiTheme="minorHAnsi"/>
        </w:rPr>
        <w:fldChar w:fldCharType="end"/>
      </w:r>
      <w:r w:rsidRPr="00204065">
        <w:rPr>
          <w:rFonts w:asciiTheme="minorHAnsi" w:hAnsiTheme="minorHAnsi" w:cs="Times New Roman"/>
        </w:rPr>
        <w:t>.</w:t>
      </w:r>
    </w:p>
    <w:p w14:paraId="30EF0971" w14:textId="77777777" w:rsidR="00AD09CD" w:rsidRPr="00F23023" w:rsidRDefault="00AD09CD" w:rsidP="000A6479">
      <w:pPr>
        <w:spacing w:after="120" w:line="240" w:lineRule="auto"/>
        <w:rPr>
          <w:rFonts w:asciiTheme="minorHAnsi" w:eastAsia="MS Mincho" w:hAnsiTheme="minorHAnsi" w:cs="Times New Roman"/>
          <w:lang w:eastAsia="ja-JP"/>
        </w:rPr>
      </w:pPr>
      <w:r w:rsidRPr="00204065">
        <w:rPr>
          <w:rFonts w:asciiTheme="minorHAnsi" w:eastAsia="MS Mincho" w:hAnsiTheme="minorHAnsi" w:cs="Times New Roman"/>
          <w:lang w:eastAsia="ja-JP"/>
        </w:rPr>
        <w:t xml:space="preserve">The upper assessment threshold was set to optimize the limited access to BMD testing in Iran.  As noted above, the risk of changing category from high risk to low risk or vice versa when adding BMD to the estimation of fracture probability is highest close to the threshold. When patients have a fracture </w:t>
      </w:r>
      <w:r w:rsidR="00CA5BD7" w:rsidRPr="00204065">
        <w:rPr>
          <w:rFonts w:asciiTheme="minorHAnsi" w:eastAsia="MS Mincho" w:hAnsiTheme="minorHAnsi" w:cs="Times New Roman"/>
          <w:lang w:eastAsia="ja-JP"/>
        </w:rPr>
        <w:t>probability,</w:t>
      </w:r>
      <w:r w:rsidRPr="00204065">
        <w:rPr>
          <w:rFonts w:asciiTheme="minorHAnsi" w:eastAsia="MS Mincho" w:hAnsiTheme="minorHAnsi" w:cs="Times New Roman"/>
          <w:lang w:eastAsia="ja-JP"/>
        </w:rPr>
        <w:t xml:space="preserve"> that is 20% or more than the intervention threshold, almost no individuals are reclassified when probabilities are recomputed with the addition of BMD to FRAX </w:t>
      </w:r>
      <w:r w:rsidR="000A6479">
        <w:rPr>
          <w:rFonts w:asciiTheme="minorHAnsi" w:eastAsia="MS Mincho" w:hAnsiTheme="minorHAnsi" w:cs="Times New Roman"/>
          <w:lang w:eastAsia="ja-JP"/>
        </w:rPr>
        <w:fldChar w:fldCharType="begin" w:fldLock="1"/>
      </w:r>
      <w:r w:rsidR="000A6479">
        <w:rPr>
          <w:rFonts w:asciiTheme="minorHAnsi" w:eastAsia="MS Mincho" w:hAnsiTheme="minorHAnsi" w:cs="Times New Roman"/>
          <w:lang w:eastAsia="ja-JP"/>
        </w:rPr>
        <w:instrText>ADDIN CSL_CITATION {"citationItems":[{"id":"ITEM-1","itemData":{"DOI":"10.1359/jbmr.2004.19.6.906","ISSN":"08840431","author":[{"dropping-particle":"","family":"Johansson","given":"Helena","non-dropping-particle":"","parse-names":false,"suffix":""},{"dropping-particle":"","family":"Oden","given":"Anders","non-dropping-particle":"","parse-names":false,"suffix":""},{"dropping-particle":"","family":"Johnell","given":"Olof","non-dropping-particle":"","parse-names":false,"suffix":""},{"dropping-particle":"","family":"Jonsson","given":"Bengt","non-dropping-particle":"","parse-names":false,"suffix":""},{"dropping-particle":"","family":"Laet","given":"Chris","non-dropping-particle":"de","parse-names":false,"suffix":""},{"dropping-particle":"","family":"Oglesby","given":"Alan","non-dropping-particle":"","parse-names":false,"suffix":""},{"dropping-particle":"V","family":"McCloskey","given":"Eugene","non-dropping-particle":"","parse-names":false,"suffix":""},{"dropping-particle":"","family":"Kayan","given":"Karthik","non-dropping-particle":"","parse-names":false,"suffix":""},{"dropping-particle":"","family":"Jalava","given":"Tarja","non-dropping-particle":"","parse-names":false,"suffix":""},{"dropping-particle":"","family":"Kanis","given":"John A","non-dropping-particle":"","parse-names":false,"suffix":""}],"container-title":"Journal of Bone and Mineral Research","id":"ITEM-1","issue":"6","issued":{"date-parts":[["2004","6","1"]]},"page":"906-913","title":"Optimization of BMD Measurements to Identify High Risk Groups for Treatment-A Test Analysis","type":"article-journal","volume":"19"},"uris":["http://www.mendeley.com/documents/?uuid=0b238f63-3b90-33d9-9c16-d65631cfd002"]}],"mendeley":{"formattedCitation":"(17)","plainTextFormattedCitation":"(17)","previouslyFormattedCitation":"(17)"},"properties":{"noteIndex":0},"schema":"https://github.com/citation-style-language/schema/raw/master/csl-citation.json"}</w:instrText>
      </w:r>
      <w:r w:rsidR="000A6479">
        <w:rPr>
          <w:rFonts w:asciiTheme="minorHAnsi" w:eastAsia="MS Mincho" w:hAnsiTheme="minorHAnsi" w:cs="Times New Roman"/>
          <w:lang w:eastAsia="ja-JP"/>
        </w:rPr>
        <w:fldChar w:fldCharType="separate"/>
      </w:r>
      <w:r w:rsidR="000A6479" w:rsidRPr="000A6479">
        <w:rPr>
          <w:rFonts w:asciiTheme="minorHAnsi" w:eastAsia="MS Mincho" w:hAnsiTheme="minorHAnsi" w:cs="Times New Roman"/>
          <w:noProof/>
          <w:lang w:eastAsia="ja-JP"/>
        </w:rPr>
        <w:t>(17)</w:t>
      </w:r>
      <w:r w:rsidR="000A6479">
        <w:rPr>
          <w:rFonts w:asciiTheme="minorHAnsi" w:eastAsia="MS Mincho" w:hAnsiTheme="minorHAnsi" w:cs="Times New Roman"/>
          <w:lang w:eastAsia="ja-JP"/>
        </w:rPr>
        <w:fldChar w:fldCharType="end"/>
      </w:r>
      <w:r w:rsidRPr="00204065">
        <w:rPr>
          <w:rFonts w:asciiTheme="minorHAnsi" w:eastAsia="MS Mincho" w:hAnsiTheme="minorHAnsi" w:cs="Times New Roman"/>
          <w:lang w:eastAsia="ja-JP"/>
        </w:rPr>
        <w:t>. For this reason, the upper assessment</w:t>
      </w:r>
      <w:r w:rsidRPr="00F23023">
        <w:rPr>
          <w:rFonts w:asciiTheme="minorHAnsi" w:eastAsia="MS Mincho" w:hAnsiTheme="minorHAnsi" w:cs="Times New Roman"/>
          <w:lang w:eastAsia="ja-JP"/>
        </w:rPr>
        <w:t xml:space="preserve"> threshold was set at 1.2 times the intervention threshold.</w:t>
      </w:r>
    </w:p>
    <w:p w14:paraId="45FB0818" w14:textId="77777777" w:rsidR="00AD09CD" w:rsidRPr="00F23023" w:rsidRDefault="00AD09CD" w:rsidP="00AD09CD">
      <w:pPr>
        <w:spacing w:after="120" w:line="240" w:lineRule="auto"/>
        <w:rPr>
          <w:rFonts w:asciiTheme="minorHAnsi" w:eastAsia="MS Mincho" w:hAnsiTheme="minorHAnsi" w:cs="Times New Roman"/>
          <w:highlight w:val="yellow"/>
          <w:lang w:eastAsia="ja-JP"/>
        </w:rPr>
      </w:pPr>
    </w:p>
    <w:p w14:paraId="36704A0D" w14:textId="77777777" w:rsidR="00AD09CD" w:rsidRPr="0040132B" w:rsidRDefault="00AD09CD" w:rsidP="00AD09CD">
      <w:pPr>
        <w:spacing w:after="120" w:line="240" w:lineRule="auto"/>
        <w:rPr>
          <w:rFonts w:asciiTheme="minorHAnsi" w:hAnsiTheme="minorHAnsi" w:cs="Times New Roman"/>
          <w:b/>
        </w:rPr>
      </w:pPr>
      <w:r w:rsidRPr="0040132B">
        <w:rPr>
          <w:rFonts w:asciiTheme="minorHAnsi" w:hAnsiTheme="minorHAnsi" w:cs="Times New Roman"/>
          <w:b/>
        </w:rPr>
        <w:t>Results</w:t>
      </w:r>
    </w:p>
    <w:p w14:paraId="5C948E96" w14:textId="77777777" w:rsidR="00AD09CD" w:rsidRPr="0040132B" w:rsidRDefault="00AD09CD" w:rsidP="00AD09CD">
      <w:pPr>
        <w:spacing w:after="120" w:line="240" w:lineRule="auto"/>
        <w:rPr>
          <w:rFonts w:asciiTheme="minorHAnsi" w:hAnsiTheme="minorHAnsi" w:cs="Times New Roman"/>
          <w:lang w:val="en-GB"/>
        </w:rPr>
      </w:pPr>
      <w:bookmarkStart w:id="3" w:name="OLE_LINK1"/>
      <w:bookmarkStart w:id="4" w:name="OLE_LINK2"/>
      <w:r w:rsidRPr="0040132B">
        <w:rPr>
          <w:rFonts w:asciiTheme="minorHAnsi" w:hAnsiTheme="minorHAnsi" w:cs="Times New Roman"/>
          <w:lang w:val="en-GB"/>
        </w:rPr>
        <w:t xml:space="preserve">In women with no clinical risk factors, fracture probability rose with age from 2.2% at the age of 50 years to 10% at the age of 85 years </w:t>
      </w:r>
      <w:bookmarkEnd w:id="3"/>
      <w:bookmarkEnd w:id="4"/>
      <w:r w:rsidRPr="0040132B">
        <w:rPr>
          <w:rFonts w:asciiTheme="minorHAnsi" w:hAnsiTheme="minorHAnsi" w:cs="Times New Roman"/>
          <w:lang w:val="en-GB"/>
        </w:rPr>
        <w:t>(Fig 1).  At the age of 90 years, the fracture probability was lower than at age 85 years because of the competing effect of mortality on the fracture hazard.</w:t>
      </w:r>
    </w:p>
    <w:p w14:paraId="0010E06C" w14:textId="77777777" w:rsidR="00AD09CD" w:rsidRPr="0040132B" w:rsidRDefault="00AD09CD" w:rsidP="00AD09CD">
      <w:pPr>
        <w:spacing w:after="120" w:line="240" w:lineRule="auto"/>
        <w:rPr>
          <w:rFonts w:asciiTheme="minorHAnsi" w:hAnsiTheme="minorHAnsi" w:cs="Times New Roman"/>
          <w:i/>
          <w:iCs/>
          <w:lang w:val="en-GB"/>
        </w:rPr>
      </w:pPr>
      <w:r w:rsidRPr="0040132B">
        <w:rPr>
          <w:rFonts w:asciiTheme="minorHAnsi" w:hAnsiTheme="minorHAnsi" w:cs="Times New Roman"/>
          <w:i/>
          <w:iCs/>
          <w:lang w:val="en-GB"/>
        </w:rPr>
        <w:t xml:space="preserve">T-score threshold   </w:t>
      </w:r>
    </w:p>
    <w:p w14:paraId="74DE5DE1" w14:textId="77777777" w:rsidR="00AD09CD" w:rsidRPr="0040132B" w:rsidRDefault="00AD09CD" w:rsidP="000A6479">
      <w:pPr>
        <w:spacing w:after="120" w:line="240" w:lineRule="auto"/>
        <w:rPr>
          <w:rFonts w:asciiTheme="minorHAnsi" w:eastAsia="MS Mincho" w:hAnsiTheme="minorHAnsi" w:cs="Times New Roman"/>
          <w:color w:val="000000"/>
          <w:lang w:val="en-GB" w:eastAsia="ja-JP"/>
        </w:rPr>
      </w:pPr>
      <w:r w:rsidRPr="00E23AC9">
        <w:rPr>
          <w:rFonts w:ascii="Times New Roman" w:eastAsia="MS Mincho" w:hAnsi="Times New Roman" w:cs="Times New Roman"/>
          <w:b/>
          <w:bCs/>
          <w:noProof/>
          <w:color w:val="000000"/>
          <w:lang w:val="en-GB" w:eastAsia="en-GB"/>
        </w:rPr>
        <w:drawing>
          <wp:anchor distT="0" distB="0" distL="114300" distR="114300" simplePos="0" relativeHeight="251659264" behindDoc="0" locked="0" layoutInCell="1" allowOverlap="1" wp14:anchorId="6048B30D" wp14:editId="6009F4FA">
            <wp:simplePos x="0" y="0"/>
            <wp:positionH relativeFrom="margin">
              <wp:align>center</wp:align>
            </wp:positionH>
            <wp:positionV relativeFrom="paragraph">
              <wp:posOffset>1683385</wp:posOffset>
            </wp:positionV>
            <wp:extent cx="4572000" cy="32080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6444"/>
                    <a:stretch/>
                  </pic:blipFill>
                  <pic:spPr bwMode="auto">
                    <a:xfrm>
                      <a:off x="0" y="0"/>
                      <a:ext cx="4572000" cy="320802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Pr="0040132B">
        <w:rPr>
          <w:rFonts w:asciiTheme="minorHAnsi" w:hAnsiTheme="minorHAnsi" w:cs="Times New Roman"/>
          <w:lang w:val="en-GB"/>
        </w:rPr>
        <w:t xml:space="preserve">In women aged 50 years at the threshold of osteoporosis (a BMD T-score of -2.5 SD), fracture probability was approximately two-fold higher than in women of the same age but with an average </w:t>
      </w:r>
      <w:r w:rsidRPr="0040132B">
        <w:rPr>
          <w:rFonts w:asciiTheme="minorHAnsi" w:hAnsiTheme="minorHAnsi" w:cs="Times New Roman"/>
          <w:lang w:val="en-GB"/>
        </w:rPr>
        <w:lastRenderedPageBreak/>
        <w:t>BMD</w:t>
      </w:r>
      <w:r w:rsidRPr="003E66C7">
        <w:t xml:space="preserve"> </w:t>
      </w:r>
      <w:r w:rsidRPr="003E66C7">
        <w:rPr>
          <w:rFonts w:asciiTheme="minorHAnsi" w:hAnsiTheme="minorHAnsi" w:cs="Times New Roman"/>
          <w:lang w:val="en-GB"/>
        </w:rPr>
        <w:t>and no risk factors</w:t>
      </w:r>
      <w:r w:rsidRPr="0040132B">
        <w:rPr>
          <w:rFonts w:asciiTheme="minorHAnsi" w:hAnsiTheme="minorHAnsi" w:cs="Times New Roman"/>
          <w:lang w:val="en-GB"/>
        </w:rPr>
        <w:t xml:space="preserve">. </w:t>
      </w:r>
      <w:r w:rsidRPr="0040132B">
        <w:rPr>
          <w:rFonts w:asciiTheme="minorHAnsi" w:eastAsia="MS Mincho" w:hAnsiTheme="minorHAnsi" w:cs="Times New Roman"/>
          <w:color w:val="000000"/>
          <w:lang w:val="en-GB" w:eastAsia="ja-JP"/>
        </w:rPr>
        <w:t>The 10-year fracture probability rose progressively with age from 4.</w:t>
      </w:r>
      <w:r>
        <w:rPr>
          <w:rFonts w:asciiTheme="minorHAnsi" w:eastAsia="MS Mincho" w:hAnsiTheme="minorHAnsi" w:cs="Times New Roman"/>
          <w:color w:val="000000"/>
          <w:lang w:val="en-GB" w:eastAsia="ja-JP"/>
        </w:rPr>
        <w:t>3</w:t>
      </w:r>
      <w:r w:rsidRPr="0040132B">
        <w:rPr>
          <w:rFonts w:asciiTheme="minorHAnsi" w:eastAsia="MS Mincho" w:hAnsiTheme="minorHAnsi" w:cs="Times New Roman"/>
          <w:color w:val="000000"/>
          <w:lang w:val="en-GB" w:eastAsia="ja-JP"/>
        </w:rPr>
        <w:t xml:space="preserve">% at the age of 50 years to </w:t>
      </w:r>
      <w:r>
        <w:rPr>
          <w:rFonts w:asciiTheme="minorHAnsi" w:eastAsia="MS Mincho" w:hAnsiTheme="minorHAnsi" w:cs="Times New Roman"/>
          <w:color w:val="000000"/>
          <w:lang w:val="en-GB" w:eastAsia="ja-JP"/>
        </w:rPr>
        <w:t>9.8</w:t>
      </w:r>
      <w:r w:rsidRPr="0040132B">
        <w:rPr>
          <w:rFonts w:asciiTheme="minorHAnsi" w:eastAsia="MS Mincho" w:hAnsiTheme="minorHAnsi" w:cs="Times New Roman"/>
          <w:color w:val="000000"/>
          <w:lang w:val="en-GB" w:eastAsia="ja-JP"/>
        </w:rPr>
        <w:t>% at the age of 80 years</w:t>
      </w:r>
      <w:r>
        <w:rPr>
          <w:rFonts w:asciiTheme="minorHAnsi" w:eastAsia="MS Mincho" w:hAnsiTheme="minorHAnsi" w:cs="Times New Roman"/>
          <w:color w:val="000000"/>
          <w:lang w:val="en-GB" w:eastAsia="ja-JP"/>
        </w:rPr>
        <w:t xml:space="preserve"> (see Fig 1)</w:t>
      </w:r>
      <w:r w:rsidRPr="0040132B">
        <w:rPr>
          <w:rFonts w:asciiTheme="minorHAnsi" w:eastAsia="MS Mincho" w:hAnsiTheme="minorHAnsi" w:cs="Times New Roman"/>
          <w:color w:val="000000"/>
          <w:lang w:val="en-GB" w:eastAsia="ja-JP"/>
        </w:rPr>
        <w:t>.  Thereafter, fracture probability decreased with age and, at the age of 90 years, was comparable to the risk at 60 years.  Indeed, at the age of 90 years, the fracture probability for women with a T-score of -2.5 was lower than in women of the same age but with no risk factors (6.</w:t>
      </w:r>
      <w:r>
        <w:rPr>
          <w:rFonts w:asciiTheme="minorHAnsi" w:eastAsia="MS Mincho" w:hAnsiTheme="minorHAnsi" w:cs="Times New Roman"/>
          <w:color w:val="000000"/>
          <w:lang w:val="en-GB" w:eastAsia="ja-JP"/>
        </w:rPr>
        <w:t>1</w:t>
      </w:r>
      <w:r w:rsidRPr="0040132B">
        <w:rPr>
          <w:rFonts w:asciiTheme="minorHAnsi" w:eastAsia="MS Mincho" w:hAnsiTheme="minorHAnsi" w:cs="Times New Roman"/>
          <w:color w:val="000000"/>
          <w:lang w:val="en-GB" w:eastAsia="ja-JP"/>
        </w:rPr>
        <w:t xml:space="preserve"> vs. 8.6%, respectively)</w:t>
      </w:r>
      <w:r w:rsidRPr="00745523">
        <w:rPr>
          <w:rFonts w:asciiTheme="minorHAnsi" w:eastAsia="MS Mincho" w:hAnsiTheme="minorHAnsi" w:cs="Times New Roman"/>
          <w:color w:val="000000"/>
          <w:lang w:val="en-GB" w:eastAsia="ja-JP"/>
        </w:rPr>
        <w:t>, an effect that commenced at the age of 77 years</w:t>
      </w:r>
      <w:r w:rsidRPr="0040132B">
        <w:rPr>
          <w:rFonts w:asciiTheme="minorHAnsi" w:eastAsia="MS Mincho" w:hAnsiTheme="minorHAnsi" w:cs="Times New Roman"/>
          <w:color w:val="000000"/>
          <w:lang w:val="en-GB" w:eastAsia="ja-JP"/>
        </w:rPr>
        <w:t>.</w:t>
      </w:r>
      <w:r w:rsidRPr="0040132B">
        <w:rPr>
          <w:rFonts w:asciiTheme="minorHAnsi" w:hAnsiTheme="minorHAnsi" w:cs="Times New Roman"/>
          <w:lang w:val="en-GB"/>
        </w:rPr>
        <w:t xml:space="preserve"> </w:t>
      </w:r>
    </w:p>
    <w:p w14:paraId="79B233FC" w14:textId="77777777" w:rsidR="00AD09CD" w:rsidRDefault="00AD09CD" w:rsidP="00AD09CD">
      <w:pPr>
        <w:spacing w:after="120" w:line="240" w:lineRule="auto"/>
        <w:ind w:left="1276" w:right="996"/>
        <w:rPr>
          <w:rFonts w:asciiTheme="minorHAnsi" w:hAnsiTheme="minorHAnsi" w:cs="Times New Roman"/>
          <w:lang w:val="en-GB"/>
        </w:rPr>
      </w:pPr>
      <w:r w:rsidRPr="00377944">
        <w:rPr>
          <w:rFonts w:asciiTheme="minorHAnsi" w:hAnsiTheme="minorHAnsi" w:cs="Times New Roman"/>
          <w:b/>
          <w:lang w:val="en-GB"/>
        </w:rPr>
        <w:t>Fig. 1</w:t>
      </w:r>
      <w:r w:rsidRPr="00377944">
        <w:rPr>
          <w:rFonts w:asciiTheme="minorHAnsi" w:hAnsiTheme="minorHAnsi" w:cs="Times New Roman"/>
          <w:lang w:val="en-GB"/>
        </w:rPr>
        <w:t xml:space="preserve"> 10-year probabilities of a major osteoporotic fracture (MOF; hip, clinical spine, </w:t>
      </w:r>
      <w:proofErr w:type="spellStart"/>
      <w:r w:rsidRPr="00377944">
        <w:rPr>
          <w:rFonts w:asciiTheme="minorHAnsi" w:hAnsiTheme="minorHAnsi" w:cs="Times New Roman"/>
          <w:lang w:val="en-GB"/>
        </w:rPr>
        <w:t>humerus</w:t>
      </w:r>
      <w:proofErr w:type="spellEnd"/>
      <w:r w:rsidRPr="00377944">
        <w:rPr>
          <w:rFonts w:asciiTheme="minorHAnsi" w:hAnsiTheme="minorHAnsi" w:cs="Times New Roman"/>
          <w:lang w:val="en-GB"/>
        </w:rPr>
        <w:t xml:space="preserve"> and forearm) calculated with the Iranian FRAX model for women.</w:t>
      </w:r>
    </w:p>
    <w:p w14:paraId="049F31CB" w14:textId="77777777" w:rsidR="00AD09CD" w:rsidRPr="00377944" w:rsidRDefault="00AD09CD" w:rsidP="00AD09CD">
      <w:pPr>
        <w:spacing w:after="120" w:line="240" w:lineRule="auto"/>
        <w:ind w:left="1276" w:right="996"/>
        <w:rPr>
          <w:rFonts w:asciiTheme="minorHAnsi" w:hAnsiTheme="minorHAnsi" w:cs="Times New Roman"/>
          <w:highlight w:val="yellow"/>
          <w:lang w:val="en-GB"/>
        </w:rPr>
      </w:pPr>
    </w:p>
    <w:p w14:paraId="514B1F3B" w14:textId="77777777" w:rsidR="00AD09CD" w:rsidRPr="00377944" w:rsidRDefault="00AD09CD" w:rsidP="00AD09CD">
      <w:pPr>
        <w:spacing w:after="120" w:line="240" w:lineRule="auto"/>
        <w:rPr>
          <w:rFonts w:asciiTheme="minorHAnsi" w:hAnsiTheme="minorHAnsi" w:cs="Times New Roman"/>
          <w:i/>
          <w:iCs/>
          <w:lang w:val="en-GB"/>
        </w:rPr>
      </w:pPr>
      <w:r w:rsidRPr="00377944">
        <w:rPr>
          <w:rFonts w:asciiTheme="minorHAnsi" w:hAnsiTheme="minorHAnsi" w:cs="Times New Roman"/>
          <w:i/>
          <w:iCs/>
          <w:lang w:val="en-GB"/>
        </w:rPr>
        <w:t>Prior fracture threshold</w:t>
      </w:r>
    </w:p>
    <w:p w14:paraId="47730709" w14:textId="77777777" w:rsidR="00AD09CD" w:rsidRPr="00377944" w:rsidRDefault="00AD09CD" w:rsidP="00AD09CD">
      <w:pPr>
        <w:spacing w:after="120" w:line="240" w:lineRule="auto"/>
        <w:rPr>
          <w:rFonts w:asciiTheme="minorHAnsi" w:hAnsiTheme="minorHAnsi" w:cs="Times New Roman"/>
        </w:rPr>
      </w:pPr>
      <w:r w:rsidRPr="00377944">
        <w:rPr>
          <w:rFonts w:asciiTheme="minorHAnsi" w:hAnsiTheme="minorHAnsi" w:cs="Times New Roman"/>
          <w:lang w:val="en-GB"/>
        </w:rPr>
        <w:t>The fracture probabilities equivalent to women with a previous fragility fracture are shown</w:t>
      </w:r>
      <w:r w:rsidRPr="00377944">
        <w:rPr>
          <w:rFonts w:asciiTheme="minorHAnsi" w:eastAsia="MS Mincho" w:hAnsiTheme="minorHAnsi" w:cs="Times New Roman"/>
          <w:lang w:eastAsia="ja-JP"/>
        </w:rPr>
        <w:t xml:space="preserve"> in Figure 1. </w:t>
      </w:r>
      <w:r w:rsidRPr="00377944">
        <w:rPr>
          <w:rFonts w:asciiTheme="minorHAnsi" w:hAnsiTheme="minorHAnsi" w:cs="Times New Roman"/>
        </w:rPr>
        <w:t>The probability rose with age, from 4.</w:t>
      </w:r>
      <w:r>
        <w:rPr>
          <w:rFonts w:asciiTheme="minorHAnsi" w:hAnsiTheme="minorHAnsi" w:cs="Times New Roman"/>
        </w:rPr>
        <w:t>9</w:t>
      </w:r>
      <w:r w:rsidRPr="00377944">
        <w:rPr>
          <w:rFonts w:asciiTheme="minorHAnsi" w:hAnsiTheme="minorHAnsi" w:cs="Times New Roman"/>
        </w:rPr>
        <w:t xml:space="preserve">% at the age of 50 years to 17% at the age of 80 years and decreased thereafter. Fracture probabilities </w:t>
      </w:r>
      <w:r>
        <w:rPr>
          <w:rFonts w:asciiTheme="minorHAnsi" w:hAnsiTheme="minorHAnsi" w:cs="Times New Roman"/>
        </w:rPr>
        <w:t>using</w:t>
      </w:r>
      <w:r w:rsidRPr="00377944">
        <w:rPr>
          <w:rFonts w:asciiTheme="minorHAnsi" w:hAnsiTheme="minorHAnsi" w:cs="Times New Roman"/>
        </w:rPr>
        <w:t xml:space="preserve"> this threshold were consistently higher than in women with no clinical risk factors.</w:t>
      </w:r>
    </w:p>
    <w:p w14:paraId="636DA180" w14:textId="77777777" w:rsidR="00AD09CD" w:rsidRPr="0069483E" w:rsidRDefault="00AD09CD" w:rsidP="00AD09CD">
      <w:pPr>
        <w:spacing w:after="120" w:line="240" w:lineRule="auto"/>
        <w:rPr>
          <w:rFonts w:asciiTheme="minorHAnsi" w:hAnsiTheme="minorHAnsi" w:cs="Times New Roman"/>
          <w:i/>
          <w:iCs/>
        </w:rPr>
      </w:pPr>
      <w:r w:rsidRPr="0069483E">
        <w:rPr>
          <w:rFonts w:asciiTheme="minorHAnsi" w:hAnsiTheme="minorHAnsi" w:cs="Times New Roman"/>
          <w:i/>
          <w:iCs/>
        </w:rPr>
        <w:t>BMD assessment thresholds</w:t>
      </w:r>
    </w:p>
    <w:p w14:paraId="3C9C04C7" w14:textId="77777777" w:rsidR="00AD09CD" w:rsidRPr="0069483E" w:rsidRDefault="00AD09CD" w:rsidP="00AD09CD">
      <w:pPr>
        <w:spacing w:after="120" w:line="240" w:lineRule="auto"/>
        <w:rPr>
          <w:rFonts w:asciiTheme="minorHAnsi" w:hAnsiTheme="minorHAnsi" w:cs="Times New Roman"/>
        </w:rPr>
      </w:pPr>
      <w:r w:rsidRPr="0069483E">
        <w:rPr>
          <w:rFonts w:asciiTheme="minorHAnsi" w:hAnsiTheme="minorHAnsi" w:cs="Times New Roman"/>
        </w:rPr>
        <w:t>The lower assessment threshold, below which BMD tests are of limited value, is shown in Table 1, representing the age-specific probabilities in women with no clinical risk factors.  The upper assessment was set at 1.2 times the intervention threshold.  The intervention threshold together with the two assessment thresholds is shown in Table 1.</w:t>
      </w:r>
    </w:p>
    <w:p w14:paraId="53128261" w14:textId="77777777" w:rsidR="00AD09CD" w:rsidRPr="007D5E00" w:rsidRDefault="00AD09CD" w:rsidP="00AD09CD">
      <w:pPr>
        <w:spacing w:line="240" w:lineRule="auto"/>
        <w:jc w:val="center"/>
        <w:rPr>
          <w:rFonts w:ascii="Times New Roman" w:hAnsi="Times New Roman" w:cs="Times New Roman"/>
          <w:b/>
          <w:highlight w:val="yellow"/>
        </w:rPr>
      </w:pPr>
    </w:p>
    <w:p w14:paraId="4DC06023" w14:textId="77777777" w:rsidR="00AD09CD" w:rsidRPr="000729BE" w:rsidRDefault="00AD09CD" w:rsidP="00AD09CD">
      <w:pPr>
        <w:spacing w:line="240" w:lineRule="auto"/>
        <w:ind w:left="567" w:right="713"/>
        <w:rPr>
          <w:rFonts w:asciiTheme="minorHAnsi" w:hAnsiTheme="minorHAnsi" w:cs="Times New Roman"/>
          <w:b/>
          <w:highlight w:val="yellow"/>
        </w:rPr>
      </w:pPr>
      <w:r w:rsidRPr="000729BE">
        <w:rPr>
          <w:rFonts w:asciiTheme="minorHAnsi" w:hAnsiTheme="minorHAnsi" w:cs="Times New Roman"/>
          <w:b/>
        </w:rPr>
        <w:lastRenderedPageBreak/>
        <w:t xml:space="preserve">Table 1 </w:t>
      </w:r>
      <w:r w:rsidRPr="000729BE">
        <w:rPr>
          <w:rFonts w:asciiTheme="minorHAnsi" w:hAnsiTheme="minorHAnsi" w:cs="Times New Roman"/>
        </w:rPr>
        <w:t xml:space="preserve">Ten-year fracture probabilities </w:t>
      </w:r>
      <w:r>
        <w:rPr>
          <w:rFonts w:asciiTheme="minorHAnsi" w:hAnsiTheme="minorHAnsi" w:cs="Times New Roman"/>
        </w:rPr>
        <w:t xml:space="preserve">for a major osteoporotic fracture </w:t>
      </w:r>
      <w:r w:rsidRPr="000729BE">
        <w:rPr>
          <w:rFonts w:asciiTheme="minorHAnsi" w:hAnsiTheme="minorHAnsi" w:cs="Times New Roman"/>
        </w:rPr>
        <w:t>(%) in women by age at the intervention threshold and the upper and lower assessment thresholds.</w:t>
      </w:r>
      <w:r w:rsidRPr="000729BE">
        <w:rPr>
          <w:rFonts w:asciiTheme="minorHAnsi" w:hAnsiTheme="minorHAnsi" w:cs="Times New Roman"/>
          <w:b/>
        </w:rPr>
        <w:t xml:space="preserve">  </w:t>
      </w:r>
    </w:p>
    <w:tbl>
      <w:tblPr>
        <w:tblStyle w:val="TableGrid"/>
        <w:tblW w:w="0" w:type="auto"/>
        <w:tblInd w:w="8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
        <w:gridCol w:w="2053"/>
        <w:gridCol w:w="1842"/>
        <w:gridCol w:w="2410"/>
      </w:tblGrid>
      <w:tr w:rsidR="00AD09CD" w:rsidRPr="00AE43B9" w14:paraId="41A52637" w14:textId="77777777" w:rsidTr="004D2437">
        <w:tc>
          <w:tcPr>
            <w:tcW w:w="1491" w:type="dxa"/>
            <w:tcBorders>
              <w:top w:val="single" w:sz="4" w:space="0" w:color="auto"/>
              <w:bottom w:val="single" w:sz="4" w:space="0" w:color="auto"/>
            </w:tcBorders>
          </w:tcPr>
          <w:p w14:paraId="69D26147" w14:textId="77777777" w:rsidR="00AD09CD" w:rsidRPr="00AE43B9" w:rsidRDefault="00AD09CD" w:rsidP="004D2437">
            <w:pPr>
              <w:spacing w:after="0"/>
              <w:rPr>
                <w:rFonts w:asciiTheme="minorHAnsi" w:hAnsiTheme="minorHAnsi" w:cs="Times New Roman"/>
              </w:rPr>
            </w:pPr>
            <w:r w:rsidRPr="00AE43B9">
              <w:rPr>
                <w:rFonts w:asciiTheme="minorHAnsi" w:hAnsiTheme="minorHAnsi" w:cs="Times New Roman"/>
              </w:rPr>
              <w:t>Age (years)</w:t>
            </w:r>
          </w:p>
        </w:tc>
        <w:tc>
          <w:tcPr>
            <w:tcW w:w="2053" w:type="dxa"/>
            <w:tcBorders>
              <w:top w:val="single" w:sz="4" w:space="0" w:color="auto"/>
              <w:bottom w:val="single" w:sz="4" w:space="0" w:color="auto"/>
            </w:tcBorders>
          </w:tcPr>
          <w:p w14:paraId="1E0D06C6"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imes New Roman"/>
              </w:rPr>
              <w:t>Lower assessment threshold</w:t>
            </w:r>
          </w:p>
        </w:tc>
        <w:tc>
          <w:tcPr>
            <w:tcW w:w="1842" w:type="dxa"/>
            <w:tcBorders>
              <w:top w:val="single" w:sz="4" w:space="0" w:color="auto"/>
              <w:bottom w:val="single" w:sz="4" w:space="0" w:color="auto"/>
            </w:tcBorders>
          </w:tcPr>
          <w:p w14:paraId="70D05BB1"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imes New Roman"/>
              </w:rPr>
              <w:t>Intervention threshold</w:t>
            </w:r>
          </w:p>
        </w:tc>
        <w:tc>
          <w:tcPr>
            <w:tcW w:w="2410" w:type="dxa"/>
            <w:tcBorders>
              <w:top w:val="single" w:sz="4" w:space="0" w:color="auto"/>
              <w:bottom w:val="single" w:sz="4" w:space="0" w:color="auto"/>
            </w:tcBorders>
          </w:tcPr>
          <w:p w14:paraId="4B9E782B"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imes New Roman"/>
              </w:rPr>
              <w:t>Upper assessment threshold</w:t>
            </w:r>
          </w:p>
        </w:tc>
      </w:tr>
      <w:tr w:rsidR="00AD09CD" w:rsidRPr="00AE43B9" w14:paraId="397754ED" w14:textId="77777777" w:rsidTr="004D2437">
        <w:tc>
          <w:tcPr>
            <w:tcW w:w="1491" w:type="dxa"/>
            <w:tcBorders>
              <w:top w:val="single" w:sz="4" w:space="0" w:color="auto"/>
            </w:tcBorders>
          </w:tcPr>
          <w:p w14:paraId="704A35C2" w14:textId="77777777" w:rsidR="00AD09CD" w:rsidRPr="00AE43B9" w:rsidRDefault="00AD09CD" w:rsidP="004D2437">
            <w:pPr>
              <w:spacing w:after="0"/>
              <w:rPr>
                <w:rFonts w:asciiTheme="minorHAnsi" w:hAnsiTheme="minorHAnsi" w:cs="Times New Roman"/>
              </w:rPr>
            </w:pPr>
            <w:r w:rsidRPr="00AE43B9">
              <w:rPr>
                <w:rFonts w:asciiTheme="minorHAnsi" w:hAnsiTheme="minorHAnsi" w:cs="Times New Roman"/>
              </w:rPr>
              <w:t>40</w:t>
            </w:r>
          </w:p>
        </w:tc>
        <w:tc>
          <w:tcPr>
            <w:tcW w:w="2053" w:type="dxa"/>
          </w:tcPr>
          <w:p w14:paraId="3E3ADDE6"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1.19</w:t>
            </w:r>
          </w:p>
        </w:tc>
        <w:tc>
          <w:tcPr>
            <w:tcW w:w="1842" w:type="dxa"/>
          </w:tcPr>
          <w:p w14:paraId="3401C448"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2.75</w:t>
            </w:r>
          </w:p>
        </w:tc>
        <w:tc>
          <w:tcPr>
            <w:tcW w:w="2410" w:type="dxa"/>
            <w:vAlign w:val="bottom"/>
          </w:tcPr>
          <w:p w14:paraId="42A63200"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color w:val="000000"/>
              </w:rPr>
              <w:t>3.30</w:t>
            </w:r>
          </w:p>
        </w:tc>
      </w:tr>
      <w:tr w:rsidR="00AD09CD" w:rsidRPr="00AE43B9" w14:paraId="5C45A75F" w14:textId="77777777" w:rsidTr="004D2437">
        <w:tc>
          <w:tcPr>
            <w:tcW w:w="1491" w:type="dxa"/>
          </w:tcPr>
          <w:p w14:paraId="43FBD11F" w14:textId="77777777" w:rsidR="00AD09CD" w:rsidRPr="00AE43B9" w:rsidRDefault="00AD09CD" w:rsidP="004D2437">
            <w:pPr>
              <w:spacing w:after="0"/>
              <w:rPr>
                <w:rFonts w:asciiTheme="minorHAnsi" w:hAnsiTheme="minorHAnsi" w:cs="Times New Roman"/>
              </w:rPr>
            </w:pPr>
            <w:r w:rsidRPr="00AE43B9">
              <w:rPr>
                <w:rFonts w:asciiTheme="minorHAnsi" w:hAnsiTheme="minorHAnsi" w:cs="Times New Roman"/>
              </w:rPr>
              <w:t>45</w:t>
            </w:r>
          </w:p>
        </w:tc>
        <w:tc>
          <w:tcPr>
            <w:tcW w:w="2053" w:type="dxa"/>
          </w:tcPr>
          <w:p w14:paraId="0B8BE7A5"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1.64</w:t>
            </w:r>
          </w:p>
        </w:tc>
        <w:tc>
          <w:tcPr>
            <w:tcW w:w="1842" w:type="dxa"/>
          </w:tcPr>
          <w:p w14:paraId="1FEA9042"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3.68</w:t>
            </w:r>
          </w:p>
        </w:tc>
        <w:tc>
          <w:tcPr>
            <w:tcW w:w="2410" w:type="dxa"/>
            <w:vAlign w:val="bottom"/>
          </w:tcPr>
          <w:p w14:paraId="6F2149BD"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color w:val="000000"/>
              </w:rPr>
              <w:t>4.42</w:t>
            </w:r>
          </w:p>
        </w:tc>
      </w:tr>
      <w:tr w:rsidR="00AD09CD" w:rsidRPr="00AE43B9" w14:paraId="7DBFB335" w14:textId="77777777" w:rsidTr="004D2437">
        <w:tc>
          <w:tcPr>
            <w:tcW w:w="1491" w:type="dxa"/>
          </w:tcPr>
          <w:p w14:paraId="68861898" w14:textId="77777777" w:rsidR="00AD09CD" w:rsidRPr="00AE43B9" w:rsidRDefault="00AD09CD" w:rsidP="004D2437">
            <w:pPr>
              <w:spacing w:after="0"/>
              <w:rPr>
                <w:rFonts w:asciiTheme="minorHAnsi" w:hAnsiTheme="minorHAnsi" w:cs="Times New Roman"/>
              </w:rPr>
            </w:pPr>
            <w:r w:rsidRPr="00AE43B9">
              <w:rPr>
                <w:rFonts w:asciiTheme="minorHAnsi" w:hAnsiTheme="minorHAnsi" w:cs="Times New Roman"/>
              </w:rPr>
              <w:t>50</w:t>
            </w:r>
          </w:p>
        </w:tc>
        <w:tc>
          <w:tcPr>
            <w:tcW w:w="2053" w:type="dxa"/>
          </w:tcPr>
          <w:p w14:paraId="2C38A341"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2.23</w:t>
            </w:r>
          </w:p>
        </w:tc>
        <w:tc>
          <w:tcPr>
            <w:tcW w:w="1842" w:type="dxa"/>
          </w:tcPr>
          <w:p w14:paraId="4D528CD5"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4.9</w:t>
            </w:r>
            <w:r>
              <w:rPr>
                <w:rFonts w:asciiTheme="minorHAnsi" w:hAnsiTheme="minorHAnsi" w:cstheme="minorHAnsi"/>
              </w:rPr>
              <w:t>0</w:t>
            </w:r>
          </w:p>
        </w:tc>
        <w:tc>
          <w:tcPr>
            <w:tcW w:w="2410" w:type="dxa"/>
            <w:vAlign w:val="bottom"/>
          </w:tcPr>
          <w:p w14:paraId="16028476"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color w:val="000000"/>
              </w:rPr>
              <w:t>5.88</w:t>
            </w:r>
          </w:p>
        </w:tc>
      </w:tr>
      <w:tr w:rsidR="00AD09CD" w:rsidRPr="00AE43B9" w14:paraId="2EFA6D77" w14:textId="77777777" w:rsidTr="004D2437">
        <w:tc>
          <w:tcPr>
            <w:tcW w:w="1491" w:type="dxa"/>
          </w:tcPr>
          <w:p w14:paraId="5FE3165D" w14:textId="77777777" w:rsidR="00AD09CD" w:rsidRPr="00AE43B9" w:rsidRDefault="00AD09CD" w:rsidP="004D2437">
            <w:pPr>
              <w:spacing w:after="0"/>
              <w:rPr>
                <w:rFonts w:asciiTheme="minorHAnsi" w:hAnsiTheme="minorHAnsi" w:cs="Times New Roman"/>
              </w:rPr>
            </w:pPr>
            <w:r w:rsidRPr="00AE43B9">
              <w:rPr>
                <w:rFonts w:asciiTheme="minorHAnsi" w:hAnsiTheme="minorHAnsi" w:cs="Times New Roman"/>
              </w:rPr>
              <w:t>55</w:t>
            </w:r>
          </w:p>
        </w:tc>
        <w:tc>
          <w:tcPr>
            <w:tcW w:w="2053" w:type="dxa"/>
          </w:tcPr>
          <w:p w14:paraId="3A62DDA3"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3.07</w:t>
            </w:r>
          </w:p>
        </w:tc>
        <w:tc>
          <w:tcPr>
            <w:tcW w:w="1842" w:type="dxa"/>
          </w:tcPr>
          <w:p w14:paraId="2DAF2A59"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6.58</w:t>
            </w:r>
          </w:p>
        </w:tc>
        <w:tc>
          <w:tcPr>
            <w:tcW w:w="2410" w:type="dxa"/>
            <w:vAlign w:val="bottom"/>
          </w:tcPr>
          <w:p w14:paraId="3747D0FF"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color w:val="000000"/>
              </w:rPr>
              <w:t>7.90</w:t>
            </w:r>
          </w:p>
        </w:tc>
      </w:tr>
      <w:tr w:rsidR="00AD09CD" w:rsidRPr="00AE43B9" w14:paraId="3FF3EEE7" w14:textId="77777777" w:rsidTr="004D2437">
        <w:tc>
          <w:tcPr>
            <w:tcW w:w="1491" w:type="dxa"/>
          </w:tcPr>
          <w:p w14:paraId="174B1212" w14:textId="77777777" w:rsidR="00AD09CD" w:rsidRPr="00AE43B9" w:rsidRDefault="00AD09CD" w:rsidP="004D2437">
            <w:pPr>
              <w:spacing w:after="0"/>
              <w:rPr>
                <w:rFonts w:asciiTheme="minorHAnsi" w:hAnsiTheme="minorHAnsi" w:cs="Times New Roman"/>
              </w:rPr>
            </w:pPr>
            <w:r w:rsidRPr="00AE43B9">
              <w:rPr>
                <w:rFonts w:asciiTheme="minorHAnsi" w:hAnsiTheme="minorHAnsi" w:cs="Times New Roman"/>
              </w:rPr>
              <w:t>60</w:t>
            </w:r>
          </w:p>
        </w:tc>
        <w:tc>
          <w:tcPr>
            <w:tcW w:w="2053" w:type="dxa"/>
          </w:tcPr>
          <w:p w14:paraId="785BD491"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4.29</w:t>
            </w:r>
          </w:p>
        </w:tc>
        <w:tc>
          <w:tcPr>
            <w:tcW w:w="1842" w:type="dxa"/>
          </w:tcPr>
          <w:p w14:paraId="0DEC068F"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8.97</w:t>
            </w:r>
          </w:p>
        </w:tc>
        <w:tc>
          <w:tcPr>
            <w:tcW w:w="2410" w:type="dxa"/>
            <w:vAlign w:val="bottom"/>
          </w:tcPr>
          <w:p w14:paraId="7E3332B7"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color w:val="000000"/>
              </w:rPr>
              <w:t>10.76</w:t>
            </w:r>
          </w:p>
        </w:tc>
      </w:tr>
      <w:tr w:rsidR="00AD09CD" w:rsidRPr="00AE43B9" w14:paraId="49E706EC" w14:textId="77777777" w:rsidTr="004D2437">
        <w:tc>
          <w:tcPr>
            <w:tcW w:w="1491" w:type="dxa"/>
          </w:tcPr>
          <w:p w14:paraId="46DE38F6" w14:textId="77777777" w:rsidR="00AD09CD" w:rsidRPr="00AE43B9" w:rsidRDefault="00AD09CD" w:rsidP="004D2437">
            <w:pPr>
              <w:spacing w:after="0"/>
              <w:rPr>
                <w:rFonts w:asciiTheme="minorHAnsi" w:hAnsiTheme="minorHAnsi" w:cs="Times New Roman"/>
              </w:rPr>
            </w:pPr>
            <w:r w:rsidRPr="00AE43B9">
              <w:rPr>
                <w:rFonts w:asciiTheme="minorHAnsi" w:hAnsiTheme="minorHAnsi" w:cs="Times New Roman"/>
              </w:rPr>
              <w:t>65</w:t>
            </w:r>
          </w:p>
        </w:tc>
        <w:tc>
          <w:tcPr>
            <w:tcW w:w="2053" w:type="dxa"/>
          </w:tcPr>
          <w:p w14:paraId="6D5F7C41"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5.67</w:t>
            </w:r>
          </w:p>
        </w:tc>
        <w:tc>
          <w:tcPr>
            <w:tcW w:w="1842" w:type="dxa"/>
          </w:tcPr>
          <w:p w14:paraId="4F9476E6"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11.49</w:t>
            </w:r>
          </w:p>
        </w:tc>
        <w:tc>
          <w:tcPr>
            <w:tcW w:w="2410" w:type="dxa"/>
            <w:vAlign w:val="bottom"/>
          </w:tcPr>
          <w:p w14:paraId="02080F55"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color w:val="000000"/>
              </w:rPr>
              <w:t>13.79</w:t>
            </w:r>
          </w:p>
        </w:tc>
      </w:tr>
      <w:tr w:rsidR="00AD09CD" w:rsidRPr="00AE43B9" w14:paraId="42DD887C" w14:textId="77777777" w:rsidTr="004D2437">
        <w:tc>
          <w:tcPr>
            <w:tcW w:w="1491" w:type="dxa"/>
          </w:tcPr>
          <w:p w14:paraId="67F82D0C" w14:textId="77777777" w:rsidR="00AD09CD" w:rsidRPr="00AE43B9" w:rsidRDefault="00AD09CD" w:rsidP="004D2437">
            <w:pPr>
              <w:spacing w:after="0"/>
              <w:rPr>
                <w:rFonts w:asciiTheme="minorHAnsi" w:hAnsiTheme="minorHAnsi" w:cs="Times New Roman"/>
              </w:rPr>
            </w:pPr>
            <w:r w:rsidRPr="00AE43B9">
              <w:rPr>
                <w:rFonts w:asciiTheme="minorHAnsi" w:hAnsiTheme="minorHAnsi" w:cs="Times New Roman"/>
              </w:rPr>
              <w:t>70</w:t>
            </w:r>
          </w:p>
        </w:tc>
        <w:tc>
          <w:tcPr>
            <w:tcW w:w="2053" w:type="dxa"/>
          </w:tcPr>
          <w:p w14:paraId="23D3F460"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7.32</w:t>
            </w:r>
          </w:p>
        </w:tc>
        <w:tc>
          <w:tcPr>
            <w:tcW w:w="1842" w:type="dxa"/>
          </w:tcPr>
          <w:p w14:paraId="6513C19D"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13.96</w:t>
            </w:r>
          </w:p>
        </w:tc>
        <w:tc>
          <w:tcPr>
            <w:tcW w:w="2410" w:type="dxa"/>
            <w:vAlign w:val="bottom"/>
          </w:tcPr>
          <w:p w14:paraId="597FA790"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color w:val="000000"/>
              </w:rPr>
              <w:t>16.75</w:t>
            </w:r>
          </w:p>
        </w:tc>
      </w:tr>
      <w:tr w:rsidR="00AD09CD" w:rsidRPr="00AE43B9" w14:paraId="01677FC4" w14:textId="77777777" w:rsidTr="004D2437">
        <w:tc>
          <w:tcPr>
            <w:tcW w:w="1491" w:type="dxa"/>
          </w:tcPr>
          <w:p w14:paraId="58A771A2" w14:textId="77777777" w:rsidR="00AD09CD" w:rsidRPr="00AE43B9" w:rsidRDefault="00AD09CD" w:rsidP="004D2437">
            <w:pPr>
              <w:spacing w:after="0"/>
              <w:rPr>
                <w:rFonts w:asciiTheme="minorHAnsi" w:hAnsiTheme="minorHAnsi" w:cs="Times New Roman"/>
              </w:rPr>
            </w:pPr>
            <w:r w:rsidRPr="00AE43B9">
              <w:rPr>
                <w:rFonts w:asciiTheme="minorHAnsi" w:hAnsiTheme="minorHAnsi" w:cs="Times New Roman"/>
              </w:rPr>
              <w:t>75</w:t>
            </w:r>
          </w:p>
        </w:tc>
        <w:tc>
          <w:tcPr>
            <w:tcW w:w="2053" w:type="dxa"/>
          </w:tcPr>
          <w:p w14:paraId="3A597CBA"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9.4</w:t>
            </w:r>
            <w:r>
              <w:rPr>
                <w:rFonts w:asciiTheme="minorHAnsi" w:hAnsiTheme="minorHAnsi" w:cstheme="minorHAnsi"/>
              </w:rPr>
              <w:t>0</w:t>
            </w:r>
          </w:p>
        </w:tc>
        <w:tc>
          <w:tcPr>
            <w:tcW w:w="1842" w:type="dxa"/>
          </w:tcPr>
          <w:p w14:paraId="7BD4CB63"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16.48</w:t>
            </w:r>
          </w:p>
        </w:tc>
        <w:tc>
          <w:tcPr>
            <w:tcW w:w="2410" w:type="dxa"/>
            <w:vAlign w:val="bottom"/>
          </w:tcPr>
          <w:p w14:paraId="4702864B"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color w:val="000000"/>
              </w:rPr>
              <w:t>19.78</w:t>
            </w:r>
          </w:p>
        </w:tc>
      </w:tr>
      <w:tr w:rsidR="00AD09CD" w:rsidRPr="00AE43B9" w14:paraId="08E54324" w14:textId="77777777" w:rsidTr="004D2437">
        <w:tc>
          <w:tcPr>
            <w:tcW w:w="1491" w:type="dxa"/>
          </w:tcPr>
          <w:p w14:paraId="0F8EA849" w14:textId="77777777" w:rsidR="00AD09CD" w:rsidRPr="00AE43B9" w:rsidRDefault="00AD09CD" w:rsidP="004D2437">
            <w:pPr>
              <w:spacing w:after="0"/>
              <w:rPr>
                <w:rFonts w:asciiTheme="minorHAnsi" w:hAnsiTheme="minorHAnsi" w:cs="Times New Roman"/>
              </w:rPr>
            </w:pPr>
            <w:r w:rsidRPr="00AE43B9">
              <w:rPr>
                <w:rFonts w:asciiTheme="minorHAnsi" w:hAnsiTheme="minorHAnsi" w:cs="Times New Roman"/>
              </w:rPr>
              <w:t>80</w:t>
            </w:r>
          </w:p>
        </w:tc>
        <w:tc>
          <w:tcPr>
            <w:tcW w:w="2053" w:type="dxa"/>
          </w:tcPr>
          <w:p w14:paraId="0DE40BD1"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10.65</w:t>
            </w:r>
          </w:p>
        </w:tc>
        <w:tc>
          <w:tcPr>
            <w:tcW w:w="1842" w:type="dxa"/>
          </w:tcPr>
          <w:p w14:paraId="3664162D"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17.34</w:t>
            </w:r>
          </w:p>
        </w:tc>
        <w:tc>
          <w:tcPr>
            <w:tcW w:w="2410" w:type="dxa"/>
            <w:vAlign w:val="bottom"/>
          </w:tcPr>
          <w:p w14:paraId="3B6A2A3C"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color w:val="000000"/>
              </w:rPr>
              <w:t>20.81</w:t>
            </w:r>
          </w:p>
        </w:tc>
      </w:tr>
      <w:tr w:rsidR="00AD09CD" w:rsidRPr="00AE43B9" w14:paraId="4C8F2EE3" w14:textId="77777777" w:rsidTr="004D2437">
        <w:tc>
          <w:tcPr>
            <w:tcW w:w="1491" w:type="dxa"/>
          </w:tcPr>
          <w:p w14:paraId="3D2650BD" w14:textId="77777777" w:rsidR="00AD09CD" w:rsidRPr="00AE43B9" w:rsidRDefault="00AD09CD" w:rsidP="004D2437">
            <w:pPr>
              <w:spacing w:after="0"/>
              <w:rPr>
                <w:rFonts w:asciiTheme="minorHAnsi" w:hAnsiTheme="minorHAnsi" w:cs="Times New Roman"/>
              </w:rPr>
            </w:pPr>
            <w:r w:rsidRPr="00AE43B9">
              <w:rPr>
                <w:rFonts w:asciiTheme="minorHAnsi" w:hAnsiTheme="minorHAnsi" w:cs="Times New Roman"/>
              </w:rPr>
              <w:t>85</w:t>
            </w:r>
          </w:p>
        </w:tc>
        <w:tc>
          <w:tcPr>
            <w:tcW w:w="2053" w:type="dxa"/>
          </w:tcPr>
          <w:p w14:paraId="56C85180"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10.06</w:t>
            </w:r>
          </w:p>
        </w:tc>
        <w:tc>
          <w:tcPr>
            <w:tcW w:w="1842" w:type="dxa"/>
          </w:tcPr>
          <w:p w14:paraId="1C5BF2B5"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16.28</w:t>
            </w:r>
          </w:p>
        </w:tc>
        <w:tc>
          <w:tcPr>
            <w:tcW w:w="2410" w:type="dxa"/>
            <w:vAlign w:val="bottom"/>
          </w:tcPr>
          <w:p w14:paraId="7E150CCA"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color w:val="000000"/>
              </w:rPr>
              <w:t>19.54</w:t>
            </w:r>
          </w:p>
        </w:tc>
      </w:tr>
      <w:tr w:rsidR="00AD09CD" w:rsidRPr="00AE43B9" w14:paraId="32018D86" w14:textId="77777777" w:rsidTr="004D2437">
        <w:tc>
          <w:tcPr>
            <w:tcW w:w="1491" w:type="dxa"/>
          </w:tcPr>
          <w:p w14:paraId="5AA05B6E" w14:textId="77777777" w:rsidR="00AD09CD" w:rsidRPr="00AE43B9" w:rsidRDefault="00AD09CD" w:rsidP="004D2437">
            <w:pPr>
              <w:spacing w:after="0"/>
              <w:rPr>
                <w:rFonts w:asciiTheme="minorHAnsi" w:hAnsiTheme="minorHAnsi" w:cs="Times New Roman"/>
              </w:rPr>
            </w:pPr>
            <w:r w:rsidRPr="00AE43B9">
              <w:rPr>
                <w:rFonts w:asciiTheme="minorHAnsi" w:hAnsiTheme="minorHAnsi" w:cs="Times New Roman"/>
              </w:rPr>
              <w:t>90</w:t>
            </w:r>
          </w:p>
        </w:tc>
        <w:tc>
          <w:tcPr>
            <w:tcW w:w="2053" w:type="dxa"/>
          </w:tcPr>
          <w:p w14:paraId="52700617"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8.55</w:t>
            </w:r>
          </w:p>
        </w:tc>
        <w:tc>
          <w:tcPr>
            <w:tcW w:w="1842" w:type="dxa"/>
          </w:tcPr>
          <w:p w14:paraId="45A99EC9"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rPr>
              <w:t>13.84</w:t>
            </w:r>
          </w:p>
        </w:tc>
        <w:tc>
          <w:tcPr>
            <w:tcW w:w="2410" w:type="dxa"/>
            <w:vAlign w:val="bottom"/>
          </w:tcPr>
          <w:p w14:paraId="2FE3F707" w14:textId="77777777" w:rsidR="00AD09CD" w:rsidRPr="00AE43B9" w:rsidRDefault="00AD09CD" w:rsidP="004D2437">
            <w:pPr>
              <w:spacing w:after="0"/>
              <w:jc w:val="center"/>
              <w:rPr>
                <w:rFonts w:asciiTheme="minorHAnsi" w:hAnsiTheme="minorHAnsi" w:cs="Times New Roman"/>
              </w:rPr>
            </w:pPr>
            <w:r w:rsidRPr="00AE43B9">
              <w:rPr>
                <w:rFonts w:asciiTheme="minorHAnsi" w:hAnsiTheme="minorHAnsi" w:cstheme="minorHAnsi"/>
                <w:color w:val="000000"/>
              </w:rPr>
              <w:t>16.61</w:t>
            </w:r>
          </w:p>
        </w:tc>
      </w:tr>
    </w:tbl>
    <w:p w14:paraId="62486C05" w14:textId="77777777" w:rsidR="00AD09CD" w:rsidRDefault="00AD09CD" w:rsidP="00AD09CD">
      <w:pPr>
        <w:spacing w:after="120" w:line="240" w:lineRule="auto"/>
        <w:rPr>
          <w:rFonts w:ascii="Times New Roman" w:hAnsi="Times New Roman" w:cs="Times New Roman"/>
          <w:b/>
          <w:highlight w:val="yellow"/>
        </w:rPr>
      </w:pPr>
    </w:p>
    <w:p w14:paraId="4AFE23A4" w14:textId="77777777" w:rsidR="00AD09CD" w:rsidRPr="00204065" w:rsidRDefault="00AD09CD" w:rsidP="00AD09CD">
      <w:pPr>
        <w:spacing w:after="120" w:line="240" w:lineRule="auto"/>
        <w:rPr>
          <w:rFonts w:asciiTheme="minorHAnsi" w:hAnsiTheme="minorHAnsi" w:cs="Times New Roman"/>
          <w:b/>
        </w:rPr>
      </w:pPr>
      <w:r w:rsidRPr="00204065">
        <w:rPr>
          <w:rFonts w:asciiTheme="minorHAnsi" w:hAnsiTheme="minorHAnsi" w:cs="Times New Roman"/>
          <w:b/>
        </w:rPr>
        <w:t>Discussion</w:t>
      </w:r>
    </w:p>
    <w:p w14:paraId="4401F89D" w14:textId="77777777" w:rsidR="00AD09CD" w:rsidRDefault="00AD09CD" w:rsidP="00AD09CD">
      <w:pPr>
        <w:spacing w:after="120" w:line="240" w:lineRule="auto"/>
        <w:rPr>
          <w:rFonts w:ascii="Calibri" w:hAnsi="Calibri" w:cs="Times New Roman"/>
        </w:rPr>
      </w:pPr>
      <w:r w:rsidRPr="00204065">
        <w:rPr>
          <w:rFonts w:asciiTheme="minorHAnsi" w:hAnsiTheme="minorHAnsi" w:cs="Times New Roman"/>
          <w:color w:val="auto"/>
          <w:lang w:eastAsia="en-GB"/>
        </w:rPr>
        <w:t xml:space="preserve">In this study, we have examined two scenarios for the assessment and treatment of women at high fracture risk based on the Iranian FRAX tool.  The first examined the current Iranian guidelines – namely that intervention and reimbursement can be recommended with a BMD T-score of -2.5 SD or less. </w:t>
      </w:r>
      <w:r w:rsidRPr="00204065">
        <w:rPr>
          <w:rFonts w:asciiTheme="minorHAnsi" w:hAnsiTheme="minorHAnsi" w:cs="Times New Roman"/>
        </w:rPr>
        <w:t xml:space="preserve">A fixed threshold based on the T-score of -2.5 SD has the advantage of simplicity and universality, but it also has important limitations.  The present study showed that fracture risk is approximately doubled in women age 40-50 years with a T-score of -2.5 compared to women of the same age with no clinical risk </w:t>
      </w:r>
      <w:r w:rsidRPr="00204065">
        <w:rPr>
          <w:rFonts w:ascii="Calibri" w:hAnsi="Calibri" w:cs="Times New Roman"/>
        </w:rPr>
        <w:t xml:space="preserve">factors (see Fig. 1) but, with advancing age, the difference is attenuated.  Indeed, from the age of 80 years, a T-score of -2.5 SD is protective, in the sense that the fracture probability is lower than that of the general population at that age. </w:t>
      </w:r>
      <w:r w:rsidRPr="00745523">
        <w:rPr>
          <w:rFonts w:ascii="Calibri" w:hAnsi="Calibri" w:cs="Times New Roman"/>
        </w:rPr>
        <w:t>Thus, the BMD criterion for intervention using a fixed T-score became less and less appropriate with advancing age.</w:t>
      </w:r>
    </w:p>
    <w:p w14:paraId="70054D29" w14:textId="77777777" w:rsidR="00AD09CD" w:rsidRPr="00204065" w:rsidRDefault="00AD09CD" w:rsidP="008B7E6F">
      <w:pPr>
        <w:spacing w:after="120" w:line="240" w:lineRule="auto"/>
        <w:rPr>
          <w:rFonts w:ascii="Calibri" w:hAnsi="Calibri" w:cs="Times New Roman"/>
        </w:rPr>
      </w:pPr>
      <w:r w:rsidRPr="00204065">
        <w:rPr>
          <w:rFonts w:ascii="Calibri" w:hAnsi="Calibri" w:cs="Times New Roman"/>
        </w:rPr>
        <w:t xml:space="preserve"> A similar phenomenon is reported in the use of FRAX models elsewhere </w:t>
      </w:r>
      <w:r w:rsidR="00CF3B63">
        <w:rPr>
          <w:rFonts w:ascii="Calibri" w:hAnsi="Calibri" w:cs="Times New Roman"/>
        </w:rPr>
        <w:fldChar w:fldCharType="begin" w:fldLock="1"/>
      </w:r>
      <w:r w:rsidR="008B7E6F">
        <w:rPr>
          <w:rFonts w:ascii="Calibri" w:hAnsi="Calibri" w:cs="Times New Roman"/>
        </w:rPr>
        <w:instrText>ADDIN CSL_CITATION {"citationItems":[{"id":"ITEM-1","itemData":{"DOI":"10.1007/s00198-017-4160-7","ISSN":"0937-941X","PMID":"28782072","abstract":"Many current guidelines for the assessment of osteoporosis, including those in Kuwait, initiate fracture risk assessment in men and women using BMD T-score thresholds. We compared the Kuwaiti guidelines with FRAX-based age-dependent intervention thresholds equivalent to that in women with a prior fragility fracture. FRAX-based intervention thresholds identified women at higher fracture probability than fixed T-score thresholds, particularly in the elderly. PURPOSE A FRAX® model been recently calibrated for Kuwait, but guidance is needed on how to utilise fracture probabilities in the assessment and treatment of patients. METHODS We compared age-specific fracture probabilities, equivalent to women with no clinical risk factors and a prior fragility fracture (without BMD), with the age-specific fracture probabilities associated with femoral neck T-scores of -2.5 and -1.5 SD, in line with current guidelines in Kuwait. Upper and lower assessment thresholds for BMD testing were additionally explored using FRAX. RESULTS When a BMD T-score of -2.5 SD was used as an intervention threshold, FRAX probabilities of a major osteoporotic fracture in women aged 50 years were approximately twofold higher than those in women of the same age but with an average BMD. The increase in risk associated with the BMD threshold decreased progressively with age such that, at the age of 83 years or more, a T-score of -2.5 SD was associated with a lower probability of fracture than that of the age-matched general population with no clinical risk factors. The same phenomenon was observed from the age of 66 years at a T-score of -1.5 SD. A FRAX-based intervention threshold, defined as the 10-year probability of a major osteoporotic fracture in a woman of average BMI with a previous fracture, rose with age from 4.3% at the age of 50 years to 23%, at the age of 90 years, and identified women at increased risk at all ages. Qualitatively comparable findings were observed in the case of hip fracture probability and in men. CONCLUSION Intervention thresholds based on BMD alone do not optimally target women at higher fracture risk than those on age-matched individuals without clinical risk factors, particularly in the elderly. In contrast, intervention thresholds based on fracture probabilities equivalent to a 'fracture threshold' consistently target women at higher fracture risk, irrespective of age.","author":[{"dropping-particle":"","family":"Johansson","given":"H.","non-dropping-particle":"","parse-names":false,"suffix":""},{"dropping-particle":"","family":"Azizieh","given":"F.","non-dropping-particle":"","parse-names":false,"suffix":""},{"dropping-particle":"","family":"Ali","given":"N.","non-dropping-particle":"al","parse-names":false,"suffix":""},{"dropping-particle":"","family":"Alessa","given":"T.","non-dropping-particle":"","parse-names":false,"suffix":""},{"dropping-particle":"","family":"Harvey","given":"N. C.","non-dropping-particle":"","parse-names":false,"suffix":""},{"dropping-particle":"","family":"McCloskey","given":"E.","non-dropping-particle":"","parse-names":false,"suffix":""},{"dropping-particle":"","family":"Kanis","given":"J. A.","non-dropping-particle":"","parse-names":false,"suffix":""}],"container-title":"Osteoporosis International","id":"ITEM-1","issue":"11","issued":{"date-parts":[["2017","11","7"]]},"page":"3099-3105","title":"FRAX- vs. T-score-based intervention thresholds for osteoporosis","type":"article-journal","volume":"28"},"uris":["http://www.mendeley.com/documents/?uuid=0afb7f94-1cf6-373a-abea-0f6f3503196f"]},{"id":"ITEM-2","itemData":{"DOI":"10.1007/s00223-013-9697-7","ISSN":"0171-967X","author":[{"dropping-particle":"","family":"Grigorie","given":"Daniel","non-dropping-particle":"","parse-names":false,"suffix":""},{"dropping-particle":"","family":"Sucaliuc","given":"Alina","non-dropping-particle":"","parse-names":false,"suffix":""},{"dropping-particle":"","family":"Johansson","given":"Helena","non-dropping-particle":"","parse-names":false,"suffix":""},{"dropping-particle":"","family":"Kanis","given":"John A.","non-dropping-particle":"","parse-names":false,"suffix":""},{"dropping-particle":"","family":"McCloskey","given":"Eugene","non-dropping-particle":"","parse-names":false,"suffix":""}],"container-title":"Calcified Tissue International","id":"ITEM-2","issue":"5","issued":{"date-parts":[["2013","5","19"]]},"page":"429-436","title":"Incidence of Hip Fracture in Romania and the Development of a Romanian FRAX Model","type":"article-journal","volume":"92"},"uris":["http://www.mendeley.com/documents/?uuid=9085d3e6-c63b-3a4e-b26d-8c15d86b6abc"]},{"id":"ITEM-3","itemData":{"DOI":"10.1002/jbmr.2531","ISSN":"08840431","PMID":"26390977","abstract":"A position paper of the National Bone Health Alliance recently recommended that diagnostic criteria for osteoporosis be redefined. We review the merits and demerits of this proposal and argue that the operational bone mineral density (BMD)-based definition be retained while clarity is brought to bear on the distinction between diagnostic and intervention thresholds.","author":[{"dropping-particle":"","family":"Kanis","given":"John A","non-dropping-particle":"","parse-names":false,"suffix":""},{"dropping-particle":"V","family":"McCloskey","given":"Eugene","non-dropping-particle":"","parse-names":false,"suffix":""},{"dropping-particle":"","family":"Harvey","given":"Nicholas C","non-dropping-particle":"","parse-names":false,"suffix":""},{"dropping-particle":"","family":"Johansson","given":"Helena","non-dropping-particle":"","parse-names":false,"suffix":""},{"dropping-particle":"","family":"Leslie","given":"William D","non-dropping-particle":"","parse-names":false,"suffix":""}],"container-title":"Journal of Bone and Mineral Research","id":"ITEM-3","issue":"10","issued":{"date-parts":[["2015","10"]]},"page":"1747-1753","title":"Intervention Thresholds and the Diagnosis of Osteoporosis","type":"article-journal","volume":"30"},"uris":["http://www.mendeley.com/documents/?uuid=486a20e7-216b-3c66-b850-3b724fcca275"]}],"mendeley":{"formattedCitation":"(20–22)","plainTextFormattedCitation":"(20–22)","previouslyFormattedCitation":"(20–22)"},"properties":{"noteIndex":0},"schema":"https://github.com/citation-style-language/schema/raw/master/csl-citation.json"}</w:instrText>
      </w:r>
      <w:r w:rsidR="00CF3B63">
        <w:rPr>
          <w:rFonts w:ascii="Calibri" w:hAnsi="Calibri" w:cs="Times New Roman"/>
        </w:rPr>
        <w:fldChar w:fldCharType="separate"/>
      </w:r>
      <w:r w:rsidR="00CF3B63" w:rsidRPr="00CF3B63">
        <w:rPr>
          <w:rFonts w:ascii="Calibri" w:hAnsi="Calibri" w:cs="Times New Roman"/>
          <w:noProof/>
        </w:rPr>
        <w:t>(20–22)</w:t>
      </w:r>
      <w:r w:rsidR="00CF3B63">
        <w:rPr>
          <w:rFonts w:ascii="Calibri" w:hAnsi="Calibri" w:cs="Times New Roman"/>
        </w:rPr>
        <w:fldChar w:fldCharType="end"/>
      </w:r>
      <w:r w:rsidRPr="00204065">
        <w:rPr>
          <w:rFonts w:ascii="Calibri" w:hAnsi="Calibri" w:cs="Times New Roman"/>
        </w:rPr>
        <w:t xml:space="preserve">. </w:t>
      </w:r>
      <w:r w:rsidRPr="00204065">
        <w:rPr>
          <w:rFonts w:ascii="Calibri" w:hAnsi="Calibri" w:cs="Times New Roman"/>
          <w:lang w:val="en-GB"/>
        </w:rPr>
        <w:t xml:space="preserve">The explanation is that </w:t>
      </w:r>
      <w:r>
        <w:rPr>
          <w:rFonts w:ascii="Calibri" w:hAnsi="Calibri" w:cs="Times New Roman"/>
          <w:lang w:val="en-GB"/>
        </w:rPr>
        <w:t xml:space="preserve">the average T-score </w:t>
      </w:r>
      <w:r>
        <w:rPr>
          <w:rFonts w:ascii="Calibri" w:hAnsi="Calibri" w:cs="Times New Roman"/>
          <w:lang w:val="en-GB"/>
        </w:rPr>
        <w:lastRenderedPageBreak/>
        <w:t>in the elderly is less than -2.5 since</w:t>
      </w:r>
      <w:r w:rsidRPr="00204065">
        <w:rPr>
          <w:rFonts w:ascii="Calibri" w:hAnsi="Calibri" w:cs="Times New Roman"/>
          <w:lang w:val="en-GB"/>
        </w:rPr>
        <w:t xml:space="preserve"> the T-score of the general population decreases with age</w:t>
      </w:r>
      <w:r>
        <w:rPr>
          <w:rFonts w:ascii="Calibri" w:hAnsi="Calibri" w:cs="Times New Roman"/>
          <w:lang w:val="en-GB"/>
        </w:rPr>
        <w:t xml:space="preserve">.  </w:t>
      </w:r>
      <w:r w:rsidRPr="00204065">
        <w:rPr>
          <w:rFonts w:ascii="Calibri" w:hAnsi="Calibri" w:cs="Times New Roman"/>
          <w:lang w:val="en-GB"/>
        </w:rPr>
        <w:t xml:space="preserve"> </w:t>
      </w:r>
      <w:r>
        <w:rPr>
          <w:rFonts w:ascii="Calibri" w:hAnsi="Calibri" w:cs="Times New Roman"/>
          <w:lang w:val="en-GB"/>
        </w:rPr>
        <w:t>Thus,</w:t>
      </w:r>
      <w:r w:rsidRPr="00204065">
        <w:rPr>
          <w:rFonts w:ascii="Calibri" w:hAnsi="Calibri" w:cs="Times New Roman"/>
          <w:lang w:val="en-GB"/>
        </w:rPr>
        <w:t xml:space="preserve"> at the age of 50 years the relative risk (RR) of hip fracture in a woman at the threshold value for osteoporosis (T score = -2.5 SD) = 2.9.  At the age of 75 years the RR is &lt; 1.0 </w:t>
      </w:r>
      <w:r w:rsidR="008B7E6F">
        <w:rPr>
          <w:rFonts w:ascii="Calibri" w:hAnsi="Calibri" w:cs="Times New Roman"/>
          <w:lang w:val="en-GB"/>
        </w:rPr>
        <w:fldChar w:fldCharType="begin" w:fldLock="1"/>
      </w:r>
      <w:r w:rsidR="008B7E6F">
        <w:rPr>
          <w:rFonts w:ascii="Calibri" w:hAnsi="Calibri" w:cs="Times New Roman"/>
          <w:lang w:val="en-GB"/>
        </w:rPr>
        <w:instrText>ADDIN CSL_CITATION {"citationItems":[{"id":"ITEM-1","itemData":{"ISSN":"8756-3282","PMID":"11062343","abstract":"The risk of hip fracture is commonly expressed as a relative risk. The aim of this study was to examine the utility of relative risks of hip fracture in men and women using World Health Organization (WHO) diagnostic criteria for low bone mass and osteoporosis. Reference data for bone mineral density (BMD) at the femoral neck, from the third National Health and Nutrition Examination Survey (NHANES III), were applied to the population of Sweden. Relative risks (RRs) were calculated from the known relationship between BMD at the femoral neck and hip fracture risk. The apparent prevalence of low bone mass and osteoporosis depended on the segment of the young population chosen for reference ranges. Using a reference derived from women aged 20-29 years, the prevalence of osteoporosis was 21.2% in women between the ages of 50 and 84 years and 6.3% in men. The RRs associated with osteoporosis depended markedly on the risk comparison. For example, in men or women aged 50 years, the RR of hip fracture in those with osteoporosis compared to those without osteoporosis was 7.4 and 6.1, respectively. The RR of those at the threshold value for osteoporosis compared to those with an average value for BMD at that age was 6.6 and 4.6 in men and women, respectively. RRs were lower comparing those at the threshold value compared to the risk of the general population at that age (4.2 and 2.9, respectively). When RR was expressed in relation to the population risk rather than to the risk at the average value for BMD, RR decreased at all ages by 37%. Such adjustments are required for risk assessment in individuals and for the combined use of different risk factors. Because the average T score at each age decreased with age, the RR of hip fracture at any age decreased with advancing age in the presence of osteoporosis. The decrease in relative risk with age is, however, associated with an increase in absolute risk. Thus, for clinical use, the expression of absolute risks may be preferred to relative risks.","author":[{"dropping-particle":"","family":"Kanis","given":"J A","non-dropping-particle":"","parse-names":false,"suffix":""},{"dropping-particle":"","family":"Johnell","given":"O","non-dropping-particle":"","parse-names":false,"suffix":""},{"dropping-particle":"","family":"Oden","given":"A","non-dropping-particle":"","parse-names":false,"suffix":""},{"dropping-particle":"","family":"Jonsson","given":"B","non-dropping-particle":"","parse-names":false,"suffix":""},{"dropping-particle":"","family":"Laet","given":"C","non-dropping-particle":"De","parse-names":false,"suffix":""},{"dropping-particle":"","family":"Dawson","given":"A","non-dropping-particle":"","parse-names":false,"suffix":""}],"container-title":"Bone","id":"ITEM-1","issue":"5","issued":{"date-parts":[["2000","11"]]},"page":"585-90","title":"Risk of hip fracture according to the World Health Organization criteria for osteopenia and osteoporosis.","type":"article-journal","volume":"27"},"uris":["http://www.mendeley.com/documents/?uuid=7f86899d-9981-3c74-90b4-199b233ecf5c"]}],"mendeley":{"formattedCitation":"(23)","plainTextFormattedCitation":"(23)","previouslyFormattedCitation":"(23)"},"properties":{"noteIndex":0},"schema":"https://github.com/citation-style-language/schema/raw/master/csl-citation.json"}</w:instrText>
      </w:r>
      <w:r w:rsidR="008B7E6F">
        <w:rPr>
          <w:rFonts w:ascii="Calibri" w:hAnsi="Calibri" w:cs="Times New Roman"/>
          <w:lang w:val="en-GB"/>
        </w:rPr>
        <w:fldChar w:fldCharType="separate"/>
      </w:r>
      <w:r w:rsidR="008B7E6F" w:rsidRPr="008B7E6F">
        <w:rPr>
          <w:rFonts w:ascii="Calibri" w:hAnsi="Calibri" w:cs="Times New Roman"/>
          <w:noProof/>
          <w:lang w:val="en-GB"/>
        </w:rPr>
        <w:t>(23)</w:t>
      </w:r>
      <w:r w:rsidR="008B7E6F">
        <w:rPr>
          <w:rFonts w:ascii="Calibri" w:hAnsi="Calibri" w:cs="Times New Roman"/>
          <w:lang w:val="en-GB"/>
        </w:rPr>
        <w:fldChar w:fldCharType="end"/>
      </w:r>
      <w:r w:rsidRPr="00204065">
        <w:rPr>
          <w:rFonts w:ascii="Calibri" w:hAnsi="Calibri" w:cs="Times New Roman"/>
          <w:lang w:val="en-GB"/>
        </w:rPr>
        <w:t xml:space="preserve">.  </w:t>
      </w:r>
      <w:r w:rsidRPr="00A73187">
        <w:rPr>
          <w:rFonts w:ascii="Calibri" w:hAnsi="Calibri" w:cs="Times New Roman"/>
          <w:lang w:val="en-GB"/>
        </w:rPr>
        <w:t xml:space="preserve">Also, a low BMD is associated with an increased mortality which decreases fracture probability.  </w:t>
      </w:r>
      <w:r w:rsidRPr="00204065">
        <w:rPr>
          <w:rFonts w:ascii="Calibri" w:hAnsi="Calibri" w:cs="Times New Roman"/>
          <w:lang w:val="en-GB"/>
        </w:rPr>
        <w:t xml:space="preserve">A further impediment to the use of BMD alone as an intervention threshold is that access to BMD testing is limited in Iran </w:t>
      </w:r>
      <w:r w:rsidR="00CA5BD7">
        <w:rPr>
          <w:rFonts w:ascii="Calibri" w:hAnsi="Calibri" w:cs="Times New Roman"/>
          <w:lang w:val="en-GB"/>
        </w:rPr>
        <w:fldChar w:fldCharType="begin" w:fldLock="1"/>
      </w:r>
      <w:r w:rsidR="000A6479">
        <w:rPr>
          <w:rFonts w:ascii="Calibri" w:hAnsi="Calibri" w:cs="Times New Roman"/>
          <w:lang w:val="en-GB"/>
        </w:rPr>
        <w:instrText>ADDIN CSL_CITATION {"citationItems":[{"id":"ITEM-1","itemData":{"abstract":"What is osteoporosis? Osteoporosis is a disease in which the density and quality of bone are reduced, leading to weakness of the skeleton and increased risk of fracture, particularly of the spine, wrist, hip, pelvis and upper arm. Osteoporosis and associated fractures are an important cause of mortality and morbidity. In women over 45, osteoporosis accounts for more days spent in hospital than many other diseases, including diabetes, myocardial infarction and breast cancer 1 . It may be asymptomatic until it presents with a fracture and even then it is estimated that only one out of three vertebral fractures come to clinical attention 2 . 1. Kanis JA, Delmas P, Burckhardt P, et al. (1997) Guidelines for diagnosis and management of osteoporosis. The European Foundation for Osteoporosis and Bone Disease. Osteoporos Int 7:390-406. 2. Cooper C, Atkinson EJ, O'Fallon WM, et al. (1992) Incidence of clinically diagnosed vertebral fractures: a population-based study in Rochester, Minnesota, 1985-1989. J Bone Miner Res 7:221-227.","author":[{"dropping-particle":"","family":"El-Hajj Fuleihan","given":"G","non-dropping-particle":"","parse-names":false,"suffix":""},{"dropping-particle":"","family":"Adib","given":"G","non-dropping-particle":"","parse-names":false,"suffix":""},{"dropping-particle":"","family":"Nauroy","given":"L","non-dropping-particle":"","parse-names":false,"suffix":""}],"id":"ITEM-1","issued":{"date-parts":[["2011"]]},"title":"Epidemiology, costs &amp;amp; burden of osteoporosis in 2011. The Middle East &amp;amp; Africa regional audit.","type":"report"},"uris":["http://www.mendeley.com/documents/?uuid=d59a3d68-8576-3bec-853a-db662926e6d0"]}],"mendeley":{"formattedCitation":"(7)","plainTextFormattedCitation":"(7)","previouslyFormattedCitation":"(7)"},"properties":{"noteIndex":0},"schema":"https://github.com/citation-style-language/schema/raw/master/csl-citation.json"}</w:instrText>
      </w:r>
      <w:r w:rsidR="00CA5BD7">
        <w:rPr>
          <w:rFonts w:ascii="Calibri" w:hAnsi="Calibri" w:cs="Times New Roman"/>
          <w:lang w:val="en-GB"/>
        </w:rPr>
        <w:fldChar w:fldCharType="separate"/>
      </w:r>
      <w:r w:rsidR="00CA5BD7" w:rsidRPr="00CA5BD7">
        <w:rPr>
          <w:rFonts w:ascii="Calibri" w:hAnsi="Calibri" w:cs="Times New Roman"/>
          <w:noProof/>
          <w:lang w:val="en-GB"/>
        </w:rPr>
        <w:t>(7)</w:t>
      </w:r>
      <w:r w:rsidR="00CA5BD7">
        <w:rPr>
          <w:rFonts w:ascii="Calibri" w:hAnsi="Calibri" w:cs="Times New Roman"/>
          <w:lang w:val="en-GB"/>
        </w:rPr>
        <w:fldChar w:fldCharType="end"/>
      </w:r>
      <w:r w:rsidRPr="00204065">
        <w:rPr>
          <w:rFonts w:ascii="Calibri" w:hAnsi="Calibri" w:cs="Times New Roman"/>
          <w:lang w:val="en-GB"/>
        </w:rPr>
        <w:t>.</w:t>
      </w:r>
      <w:r w:rsidRPr="00204065">
        <w:rPr>
          <w:rFonts w:ascii="Calibri" w:hAnsi="Calibri" w:cs="Times New Roman"/>
        </w:rPr>
        <w:t xml:space="preserve"> These considerations suggest that reimbursement criteria based on the T-score alone do not effectively target treatment.</w:t>
      </w:r>
    </w:p>
    <w:p w14:paraId="7243BA71" w14:textId="77777777" w:rsidR="00AD09CD" w:rsidRPr="00204065" w:rsidRDefault="00AD09CD" w:rsidP="008B7E6F">
      <w:pPr>
        <w:spacing w:after="120" w:line="240" w:lineRule="auto"/>
        <w:rPr>
          <w:rFonts w:ascii="Calibri" w:hAnsi="Calibri" w:cs="Times New Roman"/>
        </w:rPr>
      </w:pPr>
      <w:r w:rsidRPr="00204065">
        <w:rPr>
          <w:rFonts w:ascii="Calibri" w:hAnsi="Calibri" w:cs="Times New Roman"/>
        </w:rPr>
        <w:t xml:space="preserve">Many practice guidelines recommend that women with a prior fragility fracture should be considered for treatment </w:t>
      </w:r>
      <w:r w:rsidR="008B7E6F">
        <w:rPr>
          <w:rFonts w:ascii="Calibri" w:hAnsi="Calibri" w:cs="Times New Roman"/>
        </w:rPr>
        <w:fldChar w:fldCharType="begin" w:fldLock="1"/>
      </w:r>
      <w:r w:rsidR="008B7E6F">
        <w:rPr>
          <w:rFonts w:ascii="Calibri" w:hAnsi="Calibri" w:cs="Times New Roman"/>
        </w:rPr>
        <w:instrText>ADDIN CSL_CITATION {"citationItems":[{"id":"ITEM-1","itemData":{"DOI":"10.1007/s11657-016-0278-z","ISSN":"1862-3522","PMID":"27465509","abstract":"UNLABELLED This systematic review identified assessment guidelines for osteoporosis that incorporate FRAX. The rationale for intervention thresholds is given in a minority of papers. Intervention thresholds (fixed or age-dependent) need to be country-specific. INTRODUCTION In most assessment guidelines, treatment for osteoporosis is recommended in individuals with prior fragility fractures, especially fractures at spine and hip. However, for those without prior fractures, the intervention thresholds can be derived using different methods. The aim of this report was to undertake a systematic review of the available information on the use of FRAX® in assessment guidelines, in particular the setting of thresholds and their validation. METHODS We identified 120 guidelines or academic papers that incorporated FRAX of which 38 provided no clear statement on how the fracture probabilities derived are to be used in decision-making in clinical practice. The remainder recommended a fixed intervention threshold (n = 58), most commonly as a component of more complex guidance (e.g. bone mineral density (BMD) thresholds) or an age-dependent threshold (n = 22). Two guidelines have adopted both age-dependent and fixed thresholds. RESULTS Fixed probability thresholds have ranged from 4 to 20 % for a major fracture and 1.3-5 % for hip fracture. More than one half (39) of the 58 publications identified utilised a threshold probability of 20 % for a major osteoporotic fracture, many of which also mention a hip fracture probability of 3 % as an alternative intervention threshold. In nearly all instances, no rationale is provided other than that this was the threshold used by the National Osteoporosis Foundation of the USA. Where undertaken, fixed probability thresholds have been determined from tests of discrimination (Hong Kong), health economic assessment (USA, Switzerland), to match the prevalence of osteoporosis (China) or to align with pre-existing guidelines or reimbursement criteria (Japan, Poland). Age-dependent intervention thresholds, first developed by the National Osteoporosis Guideline Group (NOGG), are based on the rationale that if a woman with a prior fragility fracture is eligible for treatment, then, at any given age, a man or woman with the same fracture probability but in the absence of a previous fracture (i.e. at the 'fracture threshold') should also be eligible. Under current NOGG guidelines, based on age-dependent probability thresholds, inequalities…","author":[{"dropping-particle":"","family":"Kanis","given":"John A.","non-dropping-particle":"","parse-names":false,"suffix":""},{"dropping-particle":"","family":"Harvey","given":"Nicholas C.","non-dropping-particle":"","parse-names":false,"suffix":""},{"dropping-particle":"","family":"Cooper","given":"Cyrus","non-dropping-particle":"","parse-names":false,"suffix":""},{"dropping-particle":"","family":"Johansson","given":"Helena","non-dropping-particle":"","parse-names":false,"suffix":""},{"dropping-particle":"","family":"Odén","given":"Anders","non-dropping-particle":"","parse-names":false,"suffix":""},{"dropping-particle":"V.","family":"McCloskey","given":"Eugene","non-dropping-particle":"","parse-names":false,"suffix":""},{"dropping-particle":"","family":"Advisory Board of the National Osteoporosis Guideline Group","given":"","non-dropping-particle":"","parse-names":false,"suffix":""}],"container-title":"Archives of Osteoporosis","id":"ITEM-1","issue":"1","issued":{"date-parts":[["2016","12","27"]]},"page":"25","title":"A systematic review of intervention thresholds based on FRAX","type":"article-journal","volume":"11"},"uris":["http://www.mendeley.com/documents/?uuid=31af3833-48dc-3109-9b79-94aefc59473d"]}],"mendeley":{"formattedCitation":"(13)","plainTextFormattedCitation":"(13)","previouslyFormattedCitation":"(13)"},"properties":{"noteIndex":0},"schema":"https://github.com/citation-style-language/schema/raw/master/csl-citation.json"}</w:instrText>
      </w:r>
      <w:r w:rsidR="008B7E6F">
        <w:rPr>
          <w:rFonts w:ascii="Calibri" w:hAnsi="Calibri" w:cs="Times New Roman"/>
        </w:rPr>
        <w:fldChar w:fldCharType="separate"/>
      </w:r>
      <w:r w:rsidR="008B7E6F" w:rsidRPr="008B7E6F">
        <w:rPr>
          <w:rFonts w:ascii="Calibri" w:hAnsi="Calibri" w:cs="Times New Roman"/>
          <w:noProof/>
        </w:rPr>
        <w:t>(13)</w:t>
      </w:r>
      <w:r w:rsidR="008B7E6F">
        <w:rPr>
          <w:rFonts w:ascii="Calibri" w:hAnsi="Calibri" w:cs="Times New Roman"/>
        </w:rPr>
        <w:fldChar w:fldCharType="end"/>
      </w:r>
      <w:r w:rsidRPr="00204065">
        <w:rPr>
          <w:rFonts w:ascii="Calibri" w:hAnsi="Calibri" w:cs="Times New Roman"/>
        </w:rPr>
        <w:t xml:space="preserve">.  In Iran, as in the US, this eligibility clause is confined to individuals with a recent fracture of hip or vertebra (clinical or morphometric).  If women with a prior fragility fracture merit intervention, then </w:t>
      </w:r>
      <w:bookmarkStart w:id="5" w:name="_Hlk516408178"/>
      <w:r w:rsidRPr="00204065">
        <w:rPr>
          <w:rFonts w:ascii="Calibri" w:hAnsi="Calibri" w:cs="Times New Roman"/>
        </w:rPr>
        <w:t xml:space="preserve">women with a fracture </w:t>
      </w:r>
      <w:bookmarkEnd w:id="5"/>
      <w:r w:rsidRPr="00204065">
        <w:rPr>
          <w:rFonts w:ascii="Calibri" w:hAnsi="Calibri" w:cs="Times New Roman"/>
        </w:rPr>
        <w:t>probability that equals or exceeds that of</w:t>
      </w:r>
      <w:r w:rsidRPr="00204065">
        <w:t xml:space="preserve"> </w:t>
      </w:r>
      <w:r w:rsidRPr="00204065">
        <w:rPr>
          <w:rFonts w:ascii="Calibri" w:hAnsi="Calibri" w:cs="Times New Roman"/>
        </w:rPr>
        <w:t>women with a prior fracture should also be eligible for treatment.</w:t>
      </w:r>
    </w:p>
    <w:p w14:paraId="3F424B72" w14:textId="77777777" w:rsidR="00AD09CD" w:rsidRPr="00204065" w:rsidRDefault="00AD09CD" w:rsidP="00AD09CD">
      <w:pPr>
        <w:spacing w:after="120" w:line="240" w:lineRule="auto"/>
        <w:rPr>
          <w:rFonts w:asciiTheme="minorHAnsi" w:hAnsiTheme="minorHAnsi" w:cs="Times New Roman"/>
          <w:color w:val="auto"/>
          <w:lang w:eastAsia="en-GB"/>
        </w:rPr>
      </w:pPr>
      <w:r w:rsidRPr="00204065">
        <w:rPr>
          <w:rFonts w:asciiTheme="minorHAnsi" w:hAnsiTheme="minorHAnsi" w:cs="Times New Roman"/>
        </w:rPr>
        <w:t>In line with guidelines for the UK and Europe, we examined an intervention threshold based</w:t>
      </w:r>
      <w:r w:rsidRPr="00204065">
        <w:rPr>
          <w:rFonts w:asciiTheme="minorHAnsi" w:hAnsiTheme="minorHAnsi" w:cs="Times New Roman"/>
          <w:color w:val="auto"/>
          <w:lang w:eastAsia="en-GB"/>
        </w:rPr>
        <w:t xml:space="preserve"> on the ten-year probability of a major osteoporotic fracture for a woman with a previous fracture. The intervention threshold is age-specific and ranged from 2.</w:t>
      </w:r>
      <w:r>
        <w:rPr>
          <w:rFonts w:asciiTheme="minorHAnsi" w:hAnsiTheme="minorHAnsi" w:cs="Times New Roman"/>
          <w:color w:val="auto"/>
          <w:lang w:eastAsia="en-GB"/>
        </w:rPr>
        <w:t>8</w:t>
      </w:r>
      <w:r w:rsidRPr="00204065">
        <w:rPr>
          <w:rFonts w:asciiTheme="minorHAnsi" w:hAnsiTheme="minorHAnsi" w:cs="Times New Roman"/>
          <w:color w:val="auto"/>
          <w:lang w:eastAsia="en-GB"/>
        </w:rPr>
        <w:t>% at the age of 40 years up to 17% at the age of 80 years.  At all ages studied, a prior fracture was associated with a marked increase in fracture probability compared with women with no CRFs (see Figure 1).  This increase in risk over all relevant ages contrasts markedly with</w:t>
      </w:r>
      <w:r w:rsidRPr="00204065">
        <w:t xml:space="preserve"> </w:t>
      </w:r>
      <w:r w:rsidRPr="00204065">
        <w:rPr>
          <w:rFonts w:asciiTheme="minorHAnsi" w:hAnsiTheme="minorHAnsi" w:cs="Times New Roman"/>
          <w:color w:val="auto"/>
          <w:lang w:eastAsia="en-GB"/>
        </w:rPr>
        <w:t>intervention thresholds based on BMD alone.</w:t>
      </w:r>
    </w:p>
    <w:p w14:paraId="2654800F" w14:textId="77777777" w:rsidR="00AD09CD" w:rsidRPr="00204065" w:rsidRDefault="00AD09CD" w:rsidP="00AD09CD">
      <w:pPr>
        <w:spacing w:after="120" w:line="240" w:lineRule="auto"/>
        <w:rPr>
          <w:rFonts w:asciiTheme="minorHAnsi" w:hAnsiTheme="minorHAnsi" w:cs="Times New Roman"/>
          <w:color w:val="auto"/>
          <w:lang w:eastAsia="en-GB"/>
        </w:rPr>
      </w:pPr>
      <w:r w:rsidRPr="00204065">
        <w:rPr>
          <w:rFonts w:asciiTheme="minorHAnsi" w:hAnsiTheme="minorHAnsi" w:cs="Times New Roman"/>
          <w:color w:val="auto"/>
          <w:lang w:eastAsia="en-GB"/>
        </w:rPr>
        <w:t>The use of an intervention thresholds based on such a ‘fracture threshold’ permits</w:t>
      </w:r>
      <w:r w:rsidRPr="00204065">
        <w:t xml:space="preserve"> </w:t>
      </w:r>
      <w:r w:rsidRPr="00204065">
        <w:rPr>
          <w:rFonts w:asciiTheme="minorHAnsi" w:hAnsiTheme="minorHAnsi" w:cs="Times New Roman"/>
          <w:color w:val="auto"/>
          <w:lang w:eastAsia="en-GB"/>
        </w:rPr>
        <w:t xml:space="preserve">more women at high risk to be considered for treatment and avoids treatment in women at low risk, </w:t>
      </w:r>
      <w:r w:rsidRPr="00204065">
        <w:rPr>
          <w:rFonts w:asciiTheme="minorHAnsi" w:hAnsiTheme="minorHAnsi" w:cs="Times New Roman"/>
          <w:color w:val="auto"/>
          <w:lang w:eastAsia="en-GB"/>
        </w:rPr>
        <w:lastRenderedPageBreak/>
        <w:t xml:space="preserve">thereby targeting interventions more appropriately than </w:t>
      </w:r>
      <w:bookmarkStart w:id="6" w:name="_Hlk516409587"/>
      <w:r w:rsidRPr="00204065">
        <w:rPr>
          <w:rFonts w:asciiTheme="minorHAnsi" w:hAnsiTheme="minorHAnsi" w:cs="Times New Roman"/>
          <w:color w:val="auto"/>
          <w:lang w:eastAsia="en-GB"/>
        </w:rPr>
        <w:t>intervention thresholds based on BMD alone</w:t>
      </w:r>
      <w:bookmarkEnd w:id="6"/>
      <w:r w:rsidRPr="00204065">
        <w:rPr>
          <w:rFonts w:asciiTheme="minorHAnsi" w:hAnsiTheme="minorHAnsi" w:cs="Times New Roman"/>
          <w:color w:val="auto"/>
          <w:lang w:eastAsia="en-GB"/>
        </w:rPr>
        <w:t>. By way of an example, a woman aged 65 years from Iran whose mother had a hip fracture and has a T-score of -2.0 SD has a fracture probability of 12% which exceeds the risk in a woman of the same age with a prior fracture and no other clinical risk factors (10%; BMI set at 25 kg/m</w:t>
      </w:r>
      <w:r w:rsidRPr="00204065">
        <w:rPr>
          <w:rFonts w:asciiTheme="minorHAnsi" w:hAnsiTheme="minorHAnsi" w:cs="Times New Roman"/>
          <w:color w:val="auto"/>
          <w:vertAlign w:val="superscript"/>
          <w:lang w:eastAsia="en-GB"/>
        </w:rPr>
        <w:t>2</w:t>
      </w:r>
      <w:r w:rsidRPr="00204065">
        <w:rPr>
          <w:rFonts w:asciiTheme="minorHAnsi" w:hAnsiTheme="minorHAnsi" w:cs="Times New Roman"/>
          <w:color w:val="auto"/>
          <w:lang w:eastAsia="en-GB"/>
        </w:rPr>
        <w:t xml:space="preserve">).  Thus, this woman would be eligible for treatment even in the absence of a fracture history and a BMD test.  Conversely, a woman aged 80 years with a T-score of -2.5 SD has a fracture probability (10%) that is well below the intervention threshold for that age (17%).  She would not be eligible for treatment despite the presence of </w:t>
      </w:r>
      <w:proofErr w:type="spellStart"/>
      <w:r w:rsidRPr="00204065">
        <w:rPr>
          <w:rFonts w:asciiTheme="minorHAnsi" w:hAnsiTheme="minorHAnsi" w:cs="Times New Roman"/>
          <w:color w:val="auto"/>
          <w:lang w:eastAsia="en-GB"/>
        </w:rPr>
        <w:t>densitometric</w:t>
      </w:r>
      <w:proofErr w:type="spellEnd"/>
      <w:r w:rsidRPr="00204065">
        <w:rPr>
          <w:rFonts w:asciiTheme="minorHAnsi" w:hAnsiTheme="minorHAnsi" w:cs="Times New Roman"/>
          <w:color w:val="auto"/>
          <w:lang w:eastAsia="en-GB"/>
        </w:rPr>
        <w:t xml:space="preserve"> osteoporosis.</w:t>
      </w:r>
    </w:p>
    <w:p w14:paraId="7C986E4A" w14:textId="77777777" w:rsidR="00AD09CD" w:rsidRPr="00204065" w:rsidRDefault="00AD09CD" w:rsidP="008B7E6F">
      <w:pPr>
        <w:spacing w:after="120" w:line="240" w:lineRule="auto"/>
        <w:jc w:val="left"/>
        <w:rPr>
          <w:rFonts w:asciiTheme="minorHAnsi" w:eastAsia="MS Mincho" w:hAnsiTheme="minorHAnsi" w:cs="Times New Roman"/>
          <w:lang w:val="en-GB" w:eastAsia="ja-JP"/>
        </w:rPr>
      </w:pPr>
      <w:r w:rsidRPr="00204065">
        <w:rPr>
          <w:rFonts w:asciiTheme="minorHAnsi" w:hAnsiTheme="minorHAnsi" w:cs="Times New Roman"/>
          <w:color w:val="auto"/>
          <w:lang w:val="en-GB" w:eastAsia="en-GB"/>
        </w:rPr>
        <w:t>Although the use of BMD tests poses some problems as a gateway to intervention, the categorisation of patients at high</w:t>
      </w:r>
      <w:r w:rsidRPr="00204065">
        <w:rPr>
          <w:rFonts w:asciiTheme="minorHAnsi" w:hAnsiTheme="minorHAnsi" w:cs="Times New Roman"/>
          <w:color w:val="auto"/>
          <w:lang w:eastAsia="en-GB"/>
        </w:rPr>
        <w:t xml:space="preserve"> or low risk is improved by the use of BMD. For this reason, </w:t>
      </w:r>
      <w:r w:rsidRPr="00204065">
        <w:rPr>
          <w:rFonts w:asciiTheme="minorHAnsi" w:eastAsia="MS Mincho" w:hAnsiTheme="minorHAnsi" w:cs="Times New Roman"/>
          <w:lang w:val="en-GB" w:eastAsia="ja-JP"/>
        </w:rPr>
        <w:t xml:space="preserve">the present study provided assessment thresholds for the use of BMD tests. Assessment thresholds for the measurement of BMD followed current practice where individuals were considered to be eligible for assessment in the presence of one or more CRF. An upper assessment threshold (i.e. a fracture probability above which patients could be treated without recourse to BMD) was based on optimisation of the positive predictive value of the assessment tool </w:t>
      </w:r>
      <w:r w:rsidR="008B7E6F">
        <w:rPr>
          <w:rFonts w:asciiTheme="minorHAnsi" w:eastAsia="MS Mincho" w:hAnsiTheme="minorHAnsi" w:cs="Times New Roman"/>
          <w:lang w:val="en-GB" w:eastAsia="ja-JP"/>
        </w:rPr>
        <w:fldChar w:fldCharType="begin" w:fldLock="1"/>
      </w:r>
      <w:r w:rsidR="008B7E6F">
        <w:rPr>
          <w:rFonts w:asciiTheme="minorHAnsi" w:eastAsia="MS Mincho" w:hAnsiTheme="minorHAnsi" w:cs="Times New Roman"/>
          <w:lang w:val="en-GB" w:eastAsia="ja-JP"/>
        </w:rPr>
        <w:instrText>ADDIN CSL_CITATION {"citationItems":[{"id":"ITEM-1","itemData":{"DOI":"10.1007/s00198-009-0845-x","ISSN":"0937-941X","PMID":"19291344","abstract":"SUMMARY This study examined the effects of the use of clinical risk factors (CRFs) alone, BMD alone or the combination using the FRAX tool for the detection of women at risk of hip fracture. BMD tests alone selected women at higher risk and a greater number of hip fracture cases were identified compared to the use of CRFs alone. The combined use of CRFs and BMD identified fewer women above a threshold risk than the use of BMD alone, but with a higher hip fracture risk and thus had the more favourable positive predictive value (PPV) and number needed to treat (NNT). INTRODUCTION Algorithms have recently become available for the calculation of hip fracture probability from CRFs with and without information on femoral neck BMD. The aim of this study was to examine the effects of the use of CRFs alone, BMD alone or their combination using the FRAX tool for the detection of women at risk of hip fracture. METHODS Data from 10 prospective population based cohorts, in which BMD and CRFs were documented, were used to compute the 10-year probabilities of hip fracture calibrated to the fracture and death hazards of the UK. The effects of the use of BMD tests were examined in simulations where BMD tests were used alone, CRFs alone or their combined use. The base case examined the effects in women at the age of 65 years. The principal outcome measures were the number of women identified above an intervention threshold, the number of hip fracture cases that would be identified, the positive predicted value and the NNT to prevent a hip fracture during a hypothetical treatment with an effectiveness of 35% targeted to those above the threshold fracture risk. We also examined BMD values in women selected for treatment. Sensitivity analysis examined the effect of age and limited use of BMD resources. RESULTS BMD tests alone selected women at higher risk of hip fracture than the use of CRFs alone (6.1% versus 5.3%). BMD tests alone also identified a greater number of hip fracture cases (219/1,000) compared to the use of CRFs alone (140/1,000). The combined use of CRFs and BMD identified fewer women above a threshold risk than the use of BMD alone (168/1,000 versus 219/1,000, respectively), but with a higher hip fracture risk (PPV, 8.6% versus 6.1%), and consequently a lower number needed to treat (NNT) (33 versus 47). In sensitivity analyses, the PPV and NNT were always better for the combination than either BMD or CRFs alone across all ages studied (50-70 years). CONCLUSI…","author":[{"dropping-particle":"","family":"Johansson","given":"H.","non-dropping-particle":"","parse-names":false,"suffix":""},{"dropping-particle":"","family":"Kanis","given":"J. A.","non-dropping-particle":"","parse-names":false,"suffix":""},{"dropping-particle":"","family":"Oden","given":"A.","non-dropping-particle":"","parse-names":false,"suffix":""},{"dropping-particle":"","family":"Johnell","given":"O.","non-dropping-particle":"","parse-names":false,"suffix":""},{"dropping-particle":"","family":"McCloskey","given":"E.","non-dropping-particle":"","parse-names":false,"suffix":""}],"container-title":"Osteoporosis International","id":"ITEM-1","issue":"10","issued":{"date-parts":[["2009","10","17"]]},"page":"1675-1682","title":"BMD, clinical risk factors and their combination for hip fracture prevention","type":"article-journal","volume":"20"},"uris":["http://www.mendeley.com/documents/?uuid=7a68d953-0b75-3e76-99ab-48668c0f3de0"]}],"mendeley":{"formattedCitation":"(24)","plainTextFormattedCitation":"(24)","previouslyFormattedCitation":"(24)"},"properties":{"noteIndex":0},"schema":"https://github.com/citation-style-language/schema/raw/master/csl-citation.json"}</w:instrText>
      </w:r>
      <w:r w:rsidR="008B7E6F">
        <w:rPr>
          <w:rFonts w:asciiTheme="minorHAnsi" w:eastAsia="MS Mincho" w:hAnsiTheme="minorHAnsi" w:cs="Times New Roman"/>
          <w:lang w:val="en-GB" w:eastAsia="ja-JP"/>
        </w:rPr>
        <w:fldChar w:fldCharType="separate"/>
      </w:r>
      <w:r w:rsidR="008B7E6F" w:rsidRPr="008B7E6F">
        <w:rPr>
          <w:rFonts w:asciiTheme="minorHAnsi" w:eastAsia="MS Mincho" w:hAnsiTheme="minorHAnsi" w:cs="Times New Roman"/>
          <w:noProof/>
          <w:lang w:val="en-GB" w:eastAsia="ja-JP"/>
        </w:rPr>
        <w:t>(24)</w:t>
      </w:r>
      <w:r w:rsidR="008B7E6F">
        <w:rPr>
          <w:rFonts w:asciiTheme="minorHAnsi" w:eastAsia="MS Mincho" w:hAnsiTheme="minorHAnsi" w:cs="Times New Roman"/>
          <w:lang w:val="en-GB" w:eastAsia="ja-JP"/>
        </w:rPr>
        <w:fldChar w:fldCharType="end"/>
      </w:r>
      <w:r w:rsidRPr="00204065">
        <w:rPr>
          <w:rFonts w:asciiTheme="minorHAnsi" w:eastAsia="MS Mincho" w:hAnsiTheme="minorHAnsi" w:cs="Times New Roman"/>
          <w:lang w:val="en-GB" w:eastAsia="ja-JP"/>
        </w:rPr>
        <w:t xml:space="preserve">. </w:t>
      </w:r>
    </w:p>
    <w:p w14:paraId="118CCAE9" w14:textId="77777777" w:rsidR="00AD09CD" w:rsidRPr="00204065" w:rsidRDefault="00AD09CD" w:rsidP="00AD09CD">
      <w:pPr>
        <w:spacing w:after="120" w:line="240" w:lineRule="auto"/>
        <w:jc w:val="left"/>
        <w:rPr>
          <w:rFonts w:asciiTheme="minorHAnsi" w:eastAsia="MS Mincho" w:hAnsiTheme="minorHAnsi" w:cs="Times New Roman"/>
          <w:lang w:val="en-GB" w:eastAsia="ja-JP"/>
        </w:rPr>
      </w:pPr>
      <w:r w:rsidRPr="00204065">
        <w:rPr>
          <w:rFonts w:asciiTheme="minorHAnsi" w:eastAsia="MS Mincho" w:hAnsiTheme="minorHAnsi" w:cs="Times New Roman"/>
          <w:lang w:val="en-GB" w:eastAsia="ja-JP"/>
        </w:rPr>
        <w:t>The concept of assessment thresholds can be illustrated in terms of a management pathway</w:t>
      </w:r>
      <w:r w:rsidRPr="00204065">
        <w:rPr>
          <w:rFonts w:asciiTheme="minorHAnsi" w:eastAsia="MS Mincho" w:hAnsiTheme="minorHAnsi" w:cs="Times New Roman"/>
          <w:color w:val="3A2A98"/>
          <w:lang w:val="en-GB" w:eastAsia="ja-JP"/>
        </w:rPr>
        <w:t xml:space="preserve">. </w:t>
      </w:r>
      <w:r w:rsidRPr="00204065">
        <w:rPr>
          <w:rFonts w:asciiTheme="minorHAnsi" w:eastAsia="MS Mincho" w:hAnsiTheme="minorHAnsi" w:cs="Times New Roman"/>
          <w:lang w:val="en-GB" w:eastAsia="ja-JP"/>
        </w:rPr>
        <w:t xml:space="preserve">The management process begins with the assessment of fracture probability and the categorisation of fracture risk on the basis of age, sex, BMI and the clinical risk factors. On this information alone, some patients at high risk may be offered treatment without recourse to BMD testing. For example, as noted above, most guidelines in Europe and North America recommend treatment in the absence of BMD in women with a previous fragility fracture. </w:t>
      </w:r>
      <w:r w:rsidRPr="00204065">
        <w:rPr>
          <w:rFonts w:asciiTheme="minorHAnsi" w:eastAsia="MS Mincho" w:hAnsiTheme="minorHAnsi" w:cs="Times New Roman"/>
          <w:lang w:val="en-GB" w:eastAsia="ja-JP"/>
        </w:rPr>
        <w:lastRenderedPageBreak/>
        <w:t>Many would perform a BMD test, but frequently this is for reasons other than to decide on intervention (e.g. as a baseline for monitoring treatment). There will be other instances where the probability will be so low that a decision not to treat can be made without BMD. An example might be the well woman at menopause with no clinical risk factors. Thus, not all individuals require a BMD test.</w:t>
      </w:r>
    </w:p>
    <w:p w14:paraId="334A223C" w14:textId="77777777" w:rsidR="00AD09CD" w:rsidRPr="00204065" w:rsidRDefault="00AD09CD" w:rsidP="00AD09CD">
      <w:pPr>
        <w:spacing w:after="120" w:line="240" w:lineRule="auto"/>
        <w:jc w:val="left"/>
        <w:rPr>
          <w:rFonts w:asciiTheme="minorHAnsi" w:eastAsia="MS Mincho" w:hAnsiTheme="minorHAnsi" w:cs="Times New Roman"/>
          <w:color w:val="auto"/>
          <w:lang w:val="en-GB" w:eastAsia="ja-JP"/>
        </w:rPr>
      </w:pPr>
      <w:r w:rsidRPr="00204065">
        <w:rPr>
          <w:rFonts w:asciiTheme="minorHAnsi" w:eastAsia="MS Mincho" w:hAnsiTheme="minorHAnsi" w:cs="Times New Roman"/>
          <w:lang w:val="en-GB" w:eastAsia="ja-JP"/>
        </w:rPr>
        <w:t xml:space="preserve">The use of assessment thresholds </w:t>
      </w:r>
      <w:r w:rsidRPr="003C4C26">
        <w:rPr>
          <w:rFonts w:asciiTheme="minorHAnsi" w:eastAsia="MS Mincho" w:hAnsiTheme="minorHAnsi" w:cs="Times New Roman"/>
          <w:lang w:val="en-GB" w:eastAsia="ja-JP"/>
        </w:rPr>
        <w:t xml:space="preserve">in the context of the Iranian population </w:t>
      </w:r>
      <w:r w:rsidRPr="00204065">
        <w:rPr>
          <w:rFonts w:asciiTheme="minorHAnsi" w:eastAsia="MS Mincho" w:hAnsiTheme="minorHAnsi" w:cs="Times New Roman"/>
          <w:lang w:val="en-GB" w:eastAsia="ja-JP"/>
        </w:rPr>
        <w:t xml:space="preserve">is illustrated in the management algorithm </w:t>
      </w:r>
      <w:r w:rsidRPr="00204065">
        <w:rPr>
          <w:rFonts w:asciiTheme="minorHAnsi" w:eastAsia="MS Mincho" w:hAnsiTheme="minorHAnsi" w:cs="Times New Roman"/>
          <w:color w:val="auto"/>
          <w:lang w:val="en-GB" w:eastAsia="ja-JP"/>
        </w:rPr>
        <w:t>outlined below in conjunction with Figure 2.</w:t>
      </w:r>
    </w:p>
    <w:p w14:paraId="7029C1CA" w14:textId="77777777" w:rsidR="00AD09CD" w:rsidRPr="00204065" w:rsidRDefault="00AD09CD" w:rsidP="00AD09CD">
      <w:pPr>
        <w:spacing w:after="120" w:line="240" w:lineRule="auto"/>
        <w:ind w:left="540" w:hanging="540"/>
        <w:rPr>
          <w:rFonts w:asciiTheme="minorHAnsi" w:eastAsia="MS Mincho" w:hAnsiTheme="minorHAnsi" w:cs="Times New Roman"/>
          <w:lang w:val="en-GB" w:eastAsia="ja-JP"/>
        </w:rPr>
      </w:pPr>
      <w:r w:rsidRPr="00204065">
        <w:rPr>
          <w:rFonts w:asciiTheme="minorHAnsi" w:eastAsia="MS Mincho" w:hAnsiTheme="minorHAnsi" w:cs="Times New Roman"/>
          <w:lang w:val="en-GB" w:eastAsia="ja-JP"/>
        </w:rPr>
        <w:t xml:space="preserve">1. </w:t>
      </w:r>
      <w:r w:rsidRPr="00204065">
        <w:rPr>
          <w:rFonts w:asciiTheme="minorHAnsi" w:eastAsia="MS Mincho" w:hAnsiTheme="minorHAnsi" w:cs="Times New Roman"/>
          <w:lang w:val="en-GB" w:eastAsia="ja-JP"/>
        </w:rPr>
        <w:tab/>
        <w:t xml:space="preserve">Women with a prior fragility fracture should be considered for treatment. </w:t>
      </w:r>
    </w:p>
    <w:p w14:paraId="49A0F7B4" w14:textId="77777777" w:rsidR="00AD09CD" w:rsidRPr="00204065" w:rsidRDefault="00AD09CD" w:rsidP="00AD09CD">
      <w:pPr>
        <w:spacing w:after="120" w:line="240" w:lineRule="auto"/>
        <w:ind w:left="540" w:hanging="540"/>
        <w:jc w:val="left"/>
        <w:rPr>
          <w:rFonts w:asciiTheme="minorHAnsi" w:eastAsia="MS Mincho" w:hAnsiTheme="minorHAnsi" w:cs="Times New Roman"/>
          <w:lang w:val="en-GB" w:eastAsia="ja-JP"/>
        </w:rPr>
      </w:pPr>
      <w:r w:rsidRPr="00204065">
        <w:rPr>
          <w:rFonts w:asciiTheme="minorHAnsi" w:eastAsia="MS Mincho" w:hAnsiTheme="minorHAnsi" w:cs="Times New Roman"/>
          <w:lang w:val="en-GB" w:eastAsia="ja-JP"/>
        </w:rPr>
        <w:t xml:space="preserve">2. </w:t>
      </w:r>
      <w:r w:rsidRPr="00204065">
        <w:rPr>
          <w:rFonts w:asciiTheme="minorHAnsi" w:eastAsia="MS Mincho" w:hAnsiTheme="minorHAnsi" w:cs="Times New Roman"/>
          <w:lang w:val="en-GB" w:eastAsia="ja-JP"/>
        </w:rPr>
        <w:tab/>
        <w:t>Postmenopausal women with a clinical risk factor should have fracture probability assessed using the FRAX tool without measurement of BMD.</w:t>
      </w:r>
    </w:p>
    <w:p w14:paraId="6380CFC0" w14:textId="77777777" w:rsidR="00AD09CD" w:rsidRPr="00204065" w:rsidRDefault="00AD09CD" w:rsidP="00AD09CD">
      <w:pPr>
        <w:spacing w:after="120" w:line="240" w:lineRule="auto"/>
        <w:ind w:left="540" w:hanging="540"/>
        <w:jc w:val="left"/>
        <w:rPr>
          <w:rFonts w:asciiTheme="minorHAnsi" w:eastAsia="MS Mincho" w:hAnsiTheme="minorHAnsi" w:cs="Times New Roman"/>
          <w:lang w:val="en-GB" w:eastAsia="ja-JP"/>
        </w:rPr>
      </w:pPr>
      <w:r w:rsidRPr="00204065">
        <w:rPr>
          <w:rFonts w:asciiTheme="minorHAnsi" w:eastAsia="MS Mincho" w:hAnsiTheme="minorHAnsi" w:cs="Times New Roman"/>
          <w:lang w:val="en-GB" w:eastAsia="ja-JP"/>
        </w:rPr>
        <w:t xml:space="preserve">3. </w:t>
      </w:r>
      <w:r w:rsidRPr="00204065">
        <w:rPr>
          <w:rFonts w:asciiTheme="minorHAnsi" w:eastAsia="MS Mincho" w:hAnsiTheme="minorHAnsi" w:cs="Times New Roman"/>
          <w:lang w:val="en-GB" w:eastAsia="ja-JP"/>
        </w:rPr>
        <w:tab/>
        <w:t>Individuals with probabilities of a major osteoporotic fracture below the lower assessment threshold given in Figure 2 can be reassured. A further assessment may be recommended in 5 years or less depending on the clinical context.</w:t>
      </w:r>
    </w:p>
    <w:p w14:paraId="7F2B863B" w14:textId="77777777" w:rsidR="00AD09CD" w:rsidRPr="00204065" w:rsidRDefault="00AD09CD" w:rsidP="00AD09CD">
      <w:pPr>
        <w:spacing w:after="120" w:line="240" w:lineRule="auto"/>
        <w:ind w:left="540" w:hanging="540"/>
        <w:jc w:val="left"/>
        <w:rPr>
          <w:rFonts w:asciiTheme="minorHAnsi" w:eastAsia="MS Mincho" w:hAnsiTheme="minorHAnsi" w:cs="Times New Roman"/>
          <w:lang w:val="en-GB" w:eastAsia="ja-JP"/>
        </w:rPr>
      </w:pPr>
      <w:r w:rsidRPr="00204065">
        <w:rPr>
          <w:rFonts w:asciiTheme="minorHAnsi" w:eastAsia="MS Mincho" w:hAnsiTheme="minorHAnsi" w:cs="Times New Roman"/>
          <w:lang w:val="en-GB" w:eastAsia="ja-JP"/>
        </w:rPr>
        <w:t xml:space="preserve">4. </w:t>
      </w:r>
      <w:r w:rsidRPr="00204065">
        <w:rPr>
          <w:rFonts w:asciiTheme="minorHAnsi" w:eastAsia="MS Mincho" w:hAnsiTheme="minorHAnsi" w:cs="Times New Roman"/>
          <w:lang w:val="en-GB" w:eastAsia="ja-JP"/>
        </w:rPr>
        <w:tab/>
        <w:t>Women with probabilities of a major osteoporotic fracture above the upper assessment threshold or with probabilities of a hip fracture above the upper limit given in Figure 2 can be considered for treatment without BMD testing.</w:t>
      </w:r>
    </w:p>
    <w:p w14:paraId="095B5D78" w14:textId="77777777" w:rsidR="00AD09CD" w:rsidRDefault="00AD09CD" w:rsidP="00AD09CD">
      <w:pPr>
        <w:spacing w:after="120" w:line="240" w:lineRule="auto"/>
        <w:ind w:left="540" w:hanging="540"/>
        <w:jc w:val="left"/>
        <w:rPr>
          <w:rFonts w:asciiTheme="minorHAnsi" w:eastAsia="MS Mincho" w:hAnsiTheme="minorHAnsi" w:cs="Times New Roman"/>
          <w:lang w:val="en-GB" w:eastAsia="ja-JP"/>
        </w:rPr>
      </w:pPr>
      <w:r w:rsidRPr="00204065">
        <w:rPr>
          <w:rFonts w:asciiTheme="minorHAnsi" w:eastAsia="MS Mincho" w:hAnsiTheme="minorHAnsi" w:cs="Times New Roman"/>
          <w:lang w:val="en-GB" w:eastAsia="ja-JP"/>
        </w:rPr>
        <w:t xml:space="preserve">5. </w:t>
      </w:r>
      <w:r w:rsidRPr="00204065">
        <w:rPr>
          <w:rFonts w:asciiTheme="minorHAnsi" w:eastAsia="MS Mincho" w:hAnsiTheme="minorHAnsi" w:cs="Times New Roman"/>
          <w:lang w:val="en-GB" w:eastAsia="ja-JP"/>
        </w:rPr>
        <w:tab/>
        <w:t>Individuals with probabilities of a major osteoporotic fracture within the limits of the assessment thresholds given in Figure 2 should have a BMD test and probabilities recomputed. If probabilities exceed the treatment threshold, intervention should be considered.</w:t>
      </w:r>
      <w:r w:rsidRPr="00881A20">
        <w:rPr>
          <w:rFonts w:asciiTheme="minorHAnsi" w:eastAsia="MS Mincho" w:hAnsiTheme="minorHAnsi" w:cs="Times New Roman"/>
          <w:lang w:val="en-GB" w:eastAsia="ja-JP"/>
        </w:rPr>
        <w:t xml:space="preserve"> </w:t>
      </w:r>
    </w:p>
    <w:p w14:paraId="4101652C" w14:textId="77777777" w:rsidR="00AD09CD" w:rsidRPr="00881A20" w:rsidRDefault="00AD09CD" w:rsidP="00AD09CD">
      <w:pPr>
        <w:spacing w:after="120" w:line="240" w:lineRule="auto"/>
        <w:ind w:left="540" w:hanging="540"/>
        <w:jc w:val="center"/>
        <w:rPr>
          <w:rFonts w:asciiTheme="minorHAnsi" w:eastAsia="MS Mincho" w:hAnsiTheme="minorHAnsi" w:cs="Times New Roman"/>
          <w:lang w:val="en-GB" w:eastAsia="ja-JP"/>
        </w:rPr>
      </w:pPr>
      <w:r w:rsidRPr="00767D8C">
        <w:rPr>
          <w:rFonts w:asciiTheme="minorHAnsi" w:eastAsia="MS Mincho" w:hAnsiTheme="minorHAnsi" w:cs="Times New Roman"/>
          <w:noProof/>
          <w:lang w:val="en-GB" w:eastAsia="en-GB"/>
        </w:rPr>
        <w:lastRenderedPageBreak/>
        <w:drawing>
          <wp:inline distT="0" distB="0" distL="0" distR="0" wp14:anchorId="7908134D" wp14:editId="45D9742C">
            <wp:extent cx="4572000" cy="30035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2407"/>
                    <a:stretch/>
                  </pic:blipFill>
                  <pic:spPr bwMode="auto">
                    <a:xfrm>
                      <a:off x="0" y="0"/>
                      <a:ext cx="4572396" cy="300381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672FAD4" w14:textId="77777777" w:rsidR="00AD09CD" w:rsidRPr="00204065" w:rsidRDefault="00AD09CD" w:rsidP="00AD09CD">
      <w:pPr>
        <w:spacing w:after="0" w:line="240" w:lineRule="auto"/>
        <w:ind w:left="1701" w:right="1563"/>
        <w:jc w:val="left"/>
        <w:rPr>
          <w:rFonts w:asciiTheme="minorHAnsi" w:hAnsiTheme="minorHAnsi" w:cs="Times New Roman"/>
          <w:color w:val="auto"/>
          <w:sz w:val="22"/>
          <w:szCs w:val="22"/>
          <w:highlight w:val="yellow"/>
          <w:lang w:eastAsia="en-GB"/>
        </w:rPr>
      </w:pPr>
      <w:r w:rsidRPr="00204065">
        <w:rPr>
          <w:rFonts w:asciiTheme="minorHAnsi" w:hAnsiTheme="minorHAnsi" w:cs="Times New Roman"/>
          <w:b/>
          <w:bCs/>
          <w:color w:val="auto"/>
          <w:sz w:val="22"/>
          <w:szCs w:val="22"/>
          <w:lang w:eastAsia="en-GB"/>
        </w:rPr>
        <w:t xml:space="preserve">Fig. </w:t>
      </w:r>
      <w:proofErr w:type="gramStart"/>
      <w:r w:rsidRPr="00204065">
        <w:rPr>
          <w:rFonts w:asciiTheme="minorHAnsi" w:hAnsiTheme="minorHAnsi" w:cs="Times New Roman"/>
          <w:b/>
          <w:bCs/>
          <w:color w:val="auto"/>
          <w:sz w:val="22"/>
          <w:szCs w:val="22"/>
          <w:lang w:eastAsia="en-GB"/>
        </w:rPr>
        <w:t xml:space="preserve">2 </w:t>
      </w:r>
      <w:r w:rsidRPr="00204065">
        <w:rPr>
          <w:rFonts w:asciiTheme="minorHAnsi" w:hAnsiTheme="minorHAnsi" w:cs="Times New Roman"/>
          <w:color w:val="auto"/>
          <w:sz w:val="22"/>
          <w:szCs w:val="22"/>
          <w:lang w:eastAsia="en-GB"/>
        </w:rPr>
        <w:t xml:space="preserve"> Intervention</w:t>
      </w:r>
      <w:proofErr w:type="gramEnd"/>
      <w:r w:rsidRPr="00204065">
        <w:rPr>
          <w:rFonts w:asciiTheme="minorHAnsi" w:hAnsiTheme="minorHAnsi" w:cs="Times New Roman"/>
          <w:color w:val="auto"/>
          <w:sz w:val="22"/>
          <w:szCs w:val="22"/>
          <w:lang w:eastAsia="en-GB"/>
        </w:rPr>
        <w:t xml:space="preserve"> thresholds for Iran as set by FRAX-based 10-year probabilities (%) of a major osteoporotic fracture. The red area is where treatment could be recommended, the green area is where treatment would not be recommended, and the orange area is where BMD could be measured (where available) to enhance the estimation of fracture risk. The dashed line designates the intervention threshold</w:t>
      </w:r>
    </w:p>
    <w:p w14:paraId="4B99056E" w14:textId="77777777" w:rsidR="00AD09CD" w:rsidRPr="007D5E00" w:rsidRDefault="00AD09CD" w:rsidP="00AD09CD">
      <w:pPr>
        <w:spacing w:after="0" w:line="240" w:lineRule="auto"/>
        <w:rPr>
          <w:rFonts w:ascii="Times New Roman" w:hAnsi="Times New Roman" w:cs="Times New Roman"/>
          <w:highlight w:val="yellow"/>
        </w:rPr>
      </w:pPr>
    </w:p>
    <w:p w14:paraId="447C2B4C" w14:textId="77777777" w:rsidR="00AD09CD" w:rsidRPr="00BB2D85" w:rsidRDefault="00AD09CD" w:rsidP="00AD09CD">
      <w:pPr>
        <w:spacing w:after="0" w:line="240" w:lineRule="auto"/>
        <w:jc w:val="left"/>
        <w:rPr>
          <w:rFonts w:asciiTheme="minorHAnsi" w:hAnsiTheme="minorHAnsi" w:cs="Times New Roman"/>
        </w:rPr>
      </w:pPr>
      <w:r w:rsidRPr="00BB2D85">
        <w:rPr>
          <w:rFonts w:asciiTheme="minorHAnsi" w:hAnsiTheme="minorHAnsi" w:cs="Times New Roman"/>
        </w:rPr>
        <w:t xml:space="preserve">The intervention thresholds proposed above are not without limitations. </w:t>
      </w:r>
      <w:r w:rsidRPr="00BB2D85">
        <w:rPr>
          <w:rFonts w:asciiTheme="minorHAnsi" w:eastAsia="MS Mincho" w:hAnsiTheme="minorHAnsi" w:cs="Times New Roman"/>
          <w:lang w:val="en-GB" w:eastAsia="ja-JP"/>
        </w:rPr>
        <w:t xml:space="preserve">The consequences of assessment and intervention thresholds on the requirements for BMD testing have not been explored in Iran. It will also be important to explore the cost-effectiveness of intervention and the budget impact of any </w:t>
      </w:r>
      <w:r w:rsidRPr="00BB2D85">
        <w:rPr>
          <w:rFonts w:asciiTheme="minorHAnsi" w:eastAsia="MS Mincho" w:hAnsiTheme="minorHAnsi" w:cs="Times New Roman"/>
          <w:lang w:val="en-GB" w:eastAsia="ja-JP"/>
        </w:rPr>
        <w:lastRenderedPageBreak/>
        <w:t xml:space="preserve">changes in reimbursement policy. Despite these gaps, intervention strategies based on fracture probabilities are more effective than strategies reliant on the use of BMD alone in identifying high-risk individuals for treatment and avoiding intervention in those at low risk. An added advantage is that BMD testing is not a prerequisite for assessment or treatment. </w:t>
      </w:r>
      <w:r w:rsidRPr="00BB2D85">
        <w:rPr>
          <w:rFonts w:asciiTheme="minorHAnsi" w:hAnsiTheme="minorHAnsi" w:cs="Times New Roman"/>
        </w:rPr>
        <w:t>This feature would be particularly useful in some provinces of Iran with limited access to DXA. Moreover, the reimbursement for DXA is less than the cost of DXA, which imposes its own financial constraints on individuals.</w:t>
      </w:r>
    </w:p>
    <w:p w14:paraId="1299C43A" w14:textId="77777777" w:rsidR="00AD09CD" w:rsidRPr="00BB2D85" w:rsidRDefault="00AD09CD" w:rsidP="00AD09CD">
      <w:pPr>
        <w:spacing w:after="0" w:line="240" w:lineRule="auto"/>
        <w:jc w:val="left"/>
        <w:rPr>
          <w:rFonts w:asciiTheme="minorHAnsi" w:hAnsiTheme="minorHAnsi" w:cs="Times New Roman"/>
          <w:highlight w:val="yellow"/>
        </w:rPr>
      </w:pPr>
    </w:p>
    <w:p w14:paraId="70ABC736" w14:textId="77777777" w:rsidR="00AD09CD" w:rsidRPr="00204065" w:rsidRDefault="00AD09CD" w:rsidP="00C9790D">
      <w:pPr>
        <w:autoSpaceDE/>
        <w:autoSpaceDN/>
        <w:adjustRightInd/>
        <w:spacing w:after="0" w:line="240" w:lineRule="auto"/>
        <w:jc w:val="left"/>
        <w:rPr>
          <w:rFonts w:asciiTheme="minorHAnsi" w:hAnsiTheme="minorHAnsi" w:cs="Times New Roman"/>
          <w:color w:val="auto"/>
        </w:rPr>
      </w:pPr>
      <w:r w:rsidRPr="00204065">
        <w:rPr>
          <w:rFonts w:asciiTheme="minorHAnsi" w:hAnsiTheme="minorHAnsi" w:cs="Times New Roman"/>
          <w:color w:val="auto"/>
        </w:rPr>
        <w:t>In summary, there is almost universal agreement that individuals with a prior fragility fracture should be considered as candidates for osteoporosis-specific treatments, though the fractures that qualify for this criterion differ somewhat between countries. In individuals without a prior fracture (however defined), there is a case to be made for assessment of fracture risk in individuals with risk factors for osteoporosis.   The use of BMD as a gateway to fracture risk assessment presents difficulties, particularly in the elderly in whom fracture risk is high.  Some of these difficulties are overcome</w:t>
      </w:r>
      <w:r>
        <w:rPr>
          <w:rFonts w:asciiTheme="minorHAnsi" w:hAnsiTheme="minorHAnsi" w:cs="Times New Roman"/>
          <w:color w:val="auto"/>
          <w:lang w:val="uz-Cyrl-UZ"/>
        </w:rPr>
        <w:t>d</w:t>
      </w:r>
      <w:r w:rsidRPr="00204065">
        <w:rPr>
          <w:rFonts w:asciiTheme="minorHAnsi" w:hAnsiTheme="minorHAnsi" w:cs="Times New Roman"/>
          <w:color w:val="auto"/>
        </w:rPr>
        <w:t xml:space="preserve"> by the use FRAX since the tool is designed for the assessment of fracture risk rather than for the detection of osteoporosis.  Moreover, the tool is widely available at no or little cost and can be used with or without the inclusion of BMD.  The intervention threshold explored in the present study was the age-specific fracture probability in women equivalent to those with a prior fracture but no other clinical risk factors using the Iranian-specific FRAX tool without BMD. The same approach, first adopted in the UK</w:t>
      </w:r>
      <w:r>
        <w:rPr>
          <w:rFonts w:asciiTheme="minorHAnsi" w:hAnsiTheme="minorHAnsi" w:cs="Times New Roman"/>
          <w:color w:val="auto"/>
          <w:lang w:val="uz-Cyrl-UZ"/>
        </w:rPr>
        <w:t xml:space="preserve"> </w:t>
      </w:r>
      <w:r w:rsidRPr="00204065">
        <w:rPr>
          <w:rFonts w:asciiTheme="minorHAnsi" w:hAnsiTheme="minorHAnsi" w:cs="Times New Roman"/>
          <w:color w:val="auto"/>
        </w:rPr>
        <w:t xml:space="preserve"> </w:t>
      </w:r>
      <w:r>
        <w:rPr>
          <w:rFonts w:asciiTheme="minorHAnsi" w:hAnsiTheme="minorHAnsi" w:cs="Times New Roman"/>
          <w:color w:val="auto"/>
        </w:rPr>
        <w:fldChar w:fldCharType="begin" w:fldLock="1"/>
      </w:r>
      <w:r w:rsidR="008B7E6F">
        <w:rPr>
          <w:rFonts w:asciiTheme="minorHAnsi" w:hAnsiTheme="minorHAnsi" w:cs="Times New Roman"/>
          <w:color w:val="auto"/>
        </w:rPr>
        <w:instrText>ADDIN CSL_CITATION {"citationItems":[{"id":"ITEM-1","itemData":{"DOI":"10.1007/s11657-017-0324-5","ISSN":"1862-3522","PMID":"28425085","abstract":"INTRODUCTION In 2008, the UK National Osteoporosis Guideline Group (NOGG) produced a guideline on the prevention and treatment of osteoporosis, with an update in 2013. This paper presents a major update of the guideline, the scope of which is to review the assessment and management of osteoporosis and the prevention of fragility fractures in postmenopausal women and men age 50 years or over. METHODS Where available, systematic reviews, meta-analyses and randomised controlled trials were used to provide the evidence base. Conclusions and recommendations were systematically graded according to the strength of the available evidence. RESULTS Review of the evidence and recommendations are provided for the diagnosis of osteoporosis, fracture-risk assessment, lifestyle measures and pharmacological interventions, duration and monitoring of bisphosphonate therapy, glucocorticoid-induced osteoporosis, osteoporosis in men, postfracture care and intervention thresholds. CONCLUSION The guideline, which has received accreditation from the National Institute of Health and Care Excellence (NICE), provides a comprehensive overview of the assessment and management of osteoporosis for all healthcare professionals who are involved in its management.","author":[{"dropping-particle":"","family":"Compston","given":"J.","non-dropping-particle":"","parse-names":false,"suffix":""},{"dropping-particle":"","family":"Cooper","given":"A.","non-dropping-particle":"","parse-names":false,"suffix":""},{"dropping-particle":"","family":"Cooper","given":"C.","non-dropping-particle":"","parse-names":false,"suffix":""},{"dropping-particle":"","family":"Gittoes","given":"N.","non-dropping-particle":"","parse-names":false,"suffix":""},{"dropping-particle":"","family":"Gregson","given":"C.","non-dropping-particle":"","parse-names":false,"suffix":""},{"dropping-particle":"","family":"Harvey","given":"N.","non-dropping-particle":"","parse-names":false,"suffix":""},{"dropping-particle":"","family":"Hope","given":"S.","non-dropping-particle":"","parse-names":false,"suffix":""},{"dropping-particle":"","family":"Kanis","given":"J. A.","non-dropping-particle":"","parse-names":false,"suffix":""},{"dropping-particle":"V.","family":"McCloskey","given":"E.","non-dropping-particle":"","parse-names":false,"suffix":""},{"dropping-particle":"","family":"Poole","given":"K. E. S.","non-dropping-particle":"","parse-names":false,"suffix":""},{"dropping-particle":"","family":"Reid","given":"D. M.","non-dropping-particle":"","parse-names":false,"suffix":""},{"dropping-particle":"","family":"Selby","given":"P.","non-dropping-particle":"","parse-names":false,"suffix":""},{"dropping-particle":"","family":"Thompson","given":"F.","non-dropping-particle":"","parse-names":false,"suffix":""},{"dropping-particle":"","family":"Thurston","given":"A.","non-dropping-particle":"","parse-names":false,"suffix":""},{"dropping-particle":"","family":"Vine","given":"N.","non-dropping-particle":"","parse-names":false,"suffix":""},{"dropping-particle":"","family":"National Osteoporosis Guideline Group (NOGG)","given":"","non-dropping-particle":"","parse-names":false,"suffix":""}],"container-title":"Archives of Osteoporosis","id":"ITEM-1","issue":"1","issued":{"date-parts":[["2017","12","19"]]},"page":"43","title":"UK clinical guideline for the prevention and treatment of osteoporosis","type":"article-journal","volume":"12"},"uris":["http://www.mendeley.com/documents/?uuid=19b9d129-5adb-34d3-a189-e28b70b72ceb"]}],"mendeley":{"formattedCitation":"(25)","plainTextFormattedCitation":"(25)","previouslyFormattedCitation":"(25)"},"properties":{"noteIndex":0},"schema":"https://github.com/citation-style-language/schema/raw/master/csl-citation.json"}</w:instrText>
      </w:r>
      <w:r>
        <w:rPr>
          <w:rFonts w:asciiTheme="minorHAnsi" w:hAnsiTheme="minorHAnsi" w:cs="Times New Roman"/>
          <w:color w:val="auto"/>
        </w:rPr>
        <w:fldChar w:fldCharType="separate"/>
      </w:r>
      <w:r w:rsidR="008B7E6F" w:rsidRPr="008B7E6F">
        <w:rPr>
          <w:rFonts w:asciiTheme="minorHAnsi" w:hAnsiTheme="minorHAnsi" w:cs="Times New Roman"/>
          <w:noProof/>
          <w:color w:val="auto"/>
        </w:rPr>
        <w:t>(25)</w:t>
      </w:r>
      <w:r>
        <w:rPr>
          <w:rFonts w:asciiTheme="minorHAnsi" w:hAnsiTheme="minorHAnsi" w:cs="Times New Roman"/>
          <w:color w:val="auto"/>
        </w:rPr>
        <w:fldChar w:fldCharType="end"/>
      </w:r>
      <w:r w:rsidRPr="00204065">
        <w:rPr>
          <w:rFonts w:asciiTheme="minorHAnsi" w:hAnsiTheme="minorHAnsi" w:cs="Times New Roman"/>
          <w:color w:val="auto"/>
        </w:rPr>
        <w:t xml:space="preserve">, is now incorporated in many national and European guidelines </w:t>
      </w:r>
      <w:r w:rsidR="00C9790D">
        <w:rPr>
          <w:rFonts w:asciiTheme="minorHAnsi" w:hAnsiTheme="minorHAnsi" w:cs="Times New Roman"/>
          <w:color w:val="auto"/>
        </w:rPr>
        <w:fldChar w:fldCharType="begin" w:fldLock="1"/>
      </w:r>
      <w:r w:rsidR="00CA5BD7">
        <w:rPr>
          <w:rFonts w:asciiTheme="minorHAnsi" w:hAnsiTheme="minorHAnsi" w:cs="Times New Roman"/>
          <w:color w:val="auto"/>
        </w:rPr>
        <w:instrText>ADDIN CSL_CITATION {"citationItems":[{"id":"ITEM-1","itemData":{"DOI":"10.1007/s00198-018-4704-5","ISSN":"0937-941X","author":[{"dropping-particle":"","family":"Kanis","given":"J.A.","non-dropping-particle":"","parse-names":false,"suffix":""},{"dropping-particle":"","family":"Cooper","given":"C.","non-dropping-particle":"","parse-names":false,"suffix":""},{"dropping-particle":"","family":"Rizzoli","given":"R.","non-dropping-particle":"","parse-names":false,"suffix":""},{"dropping-particle":"","family":"Reginster","given":"J.-Y.","non-dropping-particle":"","parse-names":false,"suffix":""}],"container-title":"Osteoporosis International","id":"ITEM-1","issue":"1","issued":{"date-parts":[["2019","1","15"]]},"page":"3-44","title":"European guidance for the diagnosis and management of osteoporosis in postmenopausal women","type":"article-journal","volume":"30"},"uris":["http://www.mendeley.com/documents/?uuid=085b3262-52a2-3611-884f-82ae16516286"]}],"mendeley":{"formattedCitation":"(19)","plainTextFormattedCitation":"(19)","previouslyFormattedCitation":"(19)"},"properties":{"noteIndex":0},"schema":"https://github.com/citation-style-language/schema/raw/master/csl-citation.json"}</w:instrText>
      </w:r>
      <w:r w:rsidR="00C9790D">
        <w:rPr>
          <w:rFonts w:asciiTheme="minorHAnsi" w:hAnsiTheme="minorHAnsi" w:cs="Times New Roman"/>
          <w:color w:val="auto"/>
        </w:rPr>
        <w:fldChar w:fldCharType="separate"/>
      </w:r>
      <w:r w:rsidR="00C9790D" w:rsidRPr="00C9790D">
        <w:rPr>
          <w:rFonts w:asciiTheme="minorHAnsi" w:hAnsiTheme="minorHAnsi" w:cs="Times New Roman"/>
          <w:noProof/>
          <w:color w:val="auto"/>
        </w:rPr>
        <w:t>(19)</w:t>
      </w:r>
      <w:r w:rsidR="00C9790D">
        <w:rPr>
          <w:rFonts w:asciiTheme="minorHAnsi" w:hAnsiTheme="minorHAnsi" w:cs="Times New Roman"/>
          <w:color w:val="auto"/>
        </w:rPr>
        <w:fldChar w:fldCharType="end"/>
      </w:r>
      <w:r w:rsidRPr="00204065">
        <w:rPr>
          <w:rFonts w:asciiTheme="minorHAnsi" w:hAnsiTheme="minorHAnsi" w:cs="Times New Roman"/>
          <w:color w:val="auto"/>
        </w:rPr>
        <w:t xml:space="preserve">. </w:t>
      </w:r>
    </w:p>
    <w:p w14:paraId="4DDBEF00" w14:textId="77777777" w:rsidR="00AD09CD" w:rsidRPr="00204065" w:rsidRDefault="00AD09CD" w:rsidP="00AD09CD">
      <w:pPr>
        <w:autoSpaceDE/>
        <w:autoSpaceDN/>
        <w:adjustRightInd/>
        <w:spacing w:after="0" w:line="240" w:lineRule="auto"/>
        <w:jc w:val="left"/>
        <w:rPr>
          <w:rFonts w:ascii="Times New Roman" w:hAnsi="Times New Roman" w:cs="Times New Roman"/>
          <w:b/>
          <w:sz w:val="21"/>
          <w:szCs w:val="21"/>
        </w:rPr>
      </w:pPr>
    </w:p>
    <w:p w14:paraId="3461D779" w14:textId="77777777" w:rsidR="00AD09CD" w:rsidRPr="00204065" w:rsidRDefault="00AD09CD" w:rsidP="00AD09CD">
      <w:pPr>
        <w:autoSpaceDE/>
        <w:autoSpaceDN/>
        <w:adjustRightInd/>
        <w:spacing w:after="0" w:line="240" w:lineRule="auto"/>
        <w:jc w:val="left"/>
        <w:rPr>
          <w:rFonts w:asciiTheme="minorHAnsi" w:hAnsiTheme="minorHAnsi" w:cs="Times New Roman"/>
          <w:b/>
          <w:sz w:val="21"/>
          <w:szCs w:val="21"/>
        </w:rPr>
      </w:pPr>
    </w:p>
    <w:p w14:paraId="79CCAD17" w14:textId="77777777" w:rsidR="00AD09CD" w:rsidRPr="00204065" w:rsidRDefault="00AD09CD" w:rsidP="00AD09CD">
      <w:pPr>
        <w:autoSpaceDE/>
        <w:autoSpaceDN/>
        <w:adjustRightInd/>
        <w:spacing w:after="0" w:line="240" w:lineRule="auto"/>
        <w:jc w:val="left"/>
        <w:rPr>
          <w:rFonts w:asciiTheme="minorHAnsi" w:hAnsiTheme="minorHAnsi" w:cs="Times New Roman"/>
          <w:b/>
        </w:rPr>
      </w:pPr>
      <w:r w:rsidRPr="00204065">
        <w:rPr>
          <w:rFonts w:asciiTheme="minorHAnsi" w:hAnsiTheme="minorHAnsi" w:cs="Times New Roman"/>
          <w:b/>
        </w:rPr>
        <w:t>Acknowledgements</w:t>
      </w:r>
    </w:p>
    <w:p w14:paraId="1D84A27B" w14:textId="77777777" w:rsidR="00AD09CD" w:rsidRPr="00B723C2" w:rsidRDefault="00AD09CD" w:rsidP="008B7E6F">
      <w:pPr>
        <w:autoSpaceDE/>
        <w:autoSpaceDN/>
        <w:adjustRightInd/>
        <w:spacing w:after="0" w:line="240" w:lineRule="auto"/>
        <w:jc w:val="left"/>
        <w:rPr>
          <w:rFonts w:asciiTheme="minorHAnsi" w:hAnsiTheme="minorHAnsi" w:cs="Times New Roman"/>
        </w:rPr>
      </w:pPr>
      <w:r w:rsidRPr="00204065">
        <w:rPr>
          <w:rFonts w:asciiTheme="minorHAnsi" w:hAnsiTheme="minorHAnsi" w:cs="Times New Roman"/>
        </w:rPr>
        <w:lastRenderedPageBreak/>
        <w:t xml:space="preserve">This paper is based on a similar paper prepared for Romania </w:t>
      </w:r>
      <w:r w:rsidR="008B7E6F">
        <w:rPr>
          <w:rFonts w:asciiTheme="minorHAnsi" w:hAnsiTheme="minorHAnsi" w:cs="Times New Roman"/>
        </w:rPr>
        <w:fldChar w:fldCharType="begin" w:fldLock="1"/>
      </w:r>
      <w:r w:rsidR="008B7E6F">
        <w:rPr>
          <w:rFonts w:asciiTheme="minorHAnsi" w:hAnsiTheme="minorHAnsi" w:cs="Times New Roman"/>
        </w:rPr>
        <w:instrText>ADDIN CSL_CITATION {"citationItems":[{"id":"ITEM-1","itemData":{"DOI":"10.1007/s00223-013-9697-7","ISSN":"0171-967X","author":[{"dropping-particle":"","family":"Grigorie","given":"Daniel","non-dropping-particle":"","parse-names":false,"suffix":""},{"dropping-particle":"","family":"Sucaliuc","given":"Alina","non-dropping-particle":"","parse-names":false,"suffix":""},{"dropping-particle":"","family":"Johansson","given":"Helena","non-dropping-particle":"","parse-names":false,"suffix":""},{"dropping-particle":"","family":"Kanis","given":"John A.","non-dropping-particle":"","parse-names":false,"suffix":""},{"dropping-particle":"","family":"McCloskey","given":"Eugene","non-dropping-particle":"","parse-names":false,"suffix":""}],"container-title":"Calcified Tissue International","id":"ITEM-1","issue":"5","issued":{"date-parts":[["2013","5","19"]]},"page":"429-436","title":"Incidence of Hip Fracture in Romania and the Development of a Romanian FRAX Model","type":"article-journal","volume":"92"},"uris":["http://www.mendeley.com/documents/?uuid=9085d3e6-c63b-3a4e-b26d-8c15d86b6abc"]}],"mendeley":{"formattedCitation":"(21)","plainTextFormattedCitation":"(21)","previouslyFormattedCitation":"(21)"},"properties":{"noteIndex":0},"schema":"https://github.com/citation-style-language/schema/raw/master/csl-citation.json"}</w:instrText>
      </w:r>
      <w:r w:rsidR="008B7E6F">
        <w:rPr>
          <w:rFonts w:asciiTheme="minorHAnsi" w:hAnsiTheme="minorHAnsi" w:cs="Times New Roman"/>
        </w:rPr>
        <w:fldChar w:fldCharType="separate"/>
      </w:r>
      <w:r w:rsidR="008B7E6F" w:rsidRPr="008B7E6F">
        <w:rPr>
          <w:rFonts w:asciiTheme="minorHAnsi" w:hAnsiTheme="minorHAnsi" w:cs="Times New Roman"/>
          <w:noProof/>
        </w:rPr>
        <w:t>(21)</w:t>
      </w:r>
      <w:r w:rsidR="008B7E6F">
        <w:rPr>
          <w:rFonts w:asciiTheme="minorHAnsi" w:hAnsiTheme="minorHAnsi" w:cs="Times New Roman"/>
        </w:rPr>
        <w:fldChar w:fldCharType="end"/>
      </w:r>
      <w:r w:rsidRPr="00204065">
        <w:rPr>
          <w:rFonts w:asciiTheme="minorHAnsi" w:hAnsiTheme="minorHAnsi" w:cs="Times New Roman"/>
        </w:rPr>
        <w:t xml:space="preserve"> but uses the Iranian rather than Romanian FRAX model</w:t>
      </w:r>
      <w:r w:rsidRPr="00B723C2">
        <w:rPr>
          <w:rFonts w:asciiTheme="minorHAnsi" w:hAnsiTheme="minorHAnsi" w:cs="Times New Roman"/>
        </w:rPr>
        <w:t xml:space="preserve"> </w:t>
      </w:r>
    </w:p>
    <w:p w14:paraId="3CF2D8B6" w14:textId="77777777" w:rsidR="00AD09CD" w:rsidRDefault="00AD09CD" w:rsidP="00AD09CD">
      <w:pPr>
        <w:autoSpaceDE/>
        <w:autoSpaceDN/>
        <w:adjustRightInd/>
        <w:spacing w:after="0" w:line="240" w:lineRule="auto"/>
        <w:jc w:val="left"/>
        <w:rPr>
          <w:rFonts w:asciiTheme="minorHAnsi" w:hAnsiTheme="minorHAnsi" w:cs="Times New Roman"/>
          <w:b/>
        </w:rPr>
      </w:pPr>
    </w:p>
    <w:p w14:paraId="05E69CC0" w14:textId="77777777" w:rsidR="00AD09CD" w:rsidRDefault="00AD09CD" w:rsidP="00AD09CD">
      <w:pPr>
        <w:autoSpaceDE/>
        <w:autoSpaceDN/>
        <w:adjustRightInd/>
        <w:spacing w:after="0" w:line="240" w:lineRule="auto"/>
        <w:jc w:val="left"/>
        <w:rPr>
          <w:rFonts w:asciiTheme="minorHAnsi" w:hAnsiTheme="minorHAnsi" w:cs="Times New Roman"/>
          <w:b/>
        </w:rPr>
      </w:pPr>
      <w:r w:rsidRPr="00BB2D85">
        <w:rPr>
          <w:rFonts w:asciiTheme="minorHAnsi" w:hAnsiTheme="minorHAnsi" w:cs="Times New Roman"/>
          <w:b/>
        </w:rPr>
        <w:t>Competing interests</w:t>
      </w:r>
    </w:p>
    <w:p w14:paraId="0FB78278" w14:textId="77777777" w:rsidR="00AD09CD" w:rsidRPr="00BB2D85" w:rsidRDefault="00AD09CD" w:rsidP="00AD09CD">
      <w:pPr>
        <w:autoSpaceDE/>
        <w:autoSpaceDN/>
        <w:adjustRightInd/>
        <w:spacing w:after="0" w:line="240" w:lineRule="auto"/>
        <w:jc w:val="left"/>
        <w:rPr>
          <w:rFonts w:asciiTheme="minorHAnsi" w:hAnsiTheme="minorHAnsi" w:cs="Times New Roman"/>
          <w:b/>
        </w:rPr>
      </w:pPr>
    </w:p>
    <w:p w14:paraId="2A930373" w14:textId="77777777" w:rsidR="00AD09CD" w:rsidRDefault="00AD09CD" w:rsidP="00AD09CD">
      <w:pPr>
        <w:autoSpaceDE/>
        <w:autoSpaceDN/>
        <w:adjustRightInd/>
        <w:spacing w:after="0" w:line="240" w:lineRule="auto"/>
        <w:jc w:val="left"/>
        <w:rPr>
          <w:rFonts w:asciiTheme="minorHAnsi" w:hAnsiTheme="minorHAnsi" w:cs="Times New Roman"/>
        </w:rPr>
      </w:pPr>
      <w:r w:rsidRPr="00BB2D85">
        <w:rPr>
          <w:rFonts w:asciiTheme="minorHAnsi" w:hAnsiTheme="minorHAnsi" w:cs="Times New Roman"/>
        </w:rPr>
        <w:t>The authors declare that they have no conflict of interest.</w:t>
      </w:r>
      <w:r>
        <w:rPr>
          <w:rFonts w:asciiTheme="minorHAnsi" w:hAnsiTheme="minorHAnsi" w:cs="Times New Roman"/>
        </w:rPr>
        <w:t xml:space="preserve"> HJ, NCH, ML, EM and JAK are involved in the maintenance and development of FRAX but have no financial interest. </w:t>
      </w:r>
    </w:p>
    <w:p w14:paraId="1FC39945" w14:textId="77777777" w:rsidR="008B7E6F" w:rsidRDefault="008B7E6F">
      <w:pPr>
        <w:autoSpaceDE/>
        <w:autoSpaceDN/>
        <w:adjustRightInd/>
        <w:spacing w:after="160" w:line="259" w:lineRule="auto"/>
        <w:jc w:val="left"/>
        <w:rPr>
          <w:rFonts w:asciiTheme="minorHAnsi" w:hAnsiTheme="minorHAnsi" w:cs="Times New Roman"/>
        </w:rPr>
      </w:pPr>
      <w:r>
        <w:rPr>
          <w:rFonts w:asciiTheme="minorHAnsi" w:hAnsiTheme="minorHAnsi" w:cs="Times New Roman"/>
        </w:rPr>
        <w:br w:type="page"/>
      </w:r>
    </w:p>
    <w:p w14:paraId="0DB98BC2" w14:textId="136337F8" w:rsidR="008B7E6F" w:rsidRPr="00D108DB" w:rsidRDefault="008B7E6F" w:rsidP="00B444C9">
      <w:pPr>
        <w:spacing w:after="120" w:line="240" w:lineRule="auto"/>
        <w:rPr>
          <w:rFonts w:asciiTheme="minorHAnsi" w:hAnsiTheme="minorHAnsi" w:cs="Times New Roman"/>
          <w:lang w:val="en-GB"/>
        </w:rPr>
      </w:pPr>
      <w:r w:rsidRPr="00D108DB">
        <w:rPr>
          <w:rFonts w:asciiTheme="minorHAnsi" w:eastAsia="MS Mincho" w:hAnsiTheme="minorHAnsi" w:cs="Times New Roman"/>
          <w:b/>
          <w:bCs/>
          <w:color w:val="000000"/>
          <w:lang w:val="en-GB" w:eastAsia="ja-JP"/>
        </w:rPr>
        <w:lastRenderedPageBreak/>
        <w:t>Table for figure 1.</w:t>
      </w:r>
      <w:r w:rsidRPr="00D108DB">
        <w:rPr>
          <w:rFonts w:asciiTheme="minorHAnsi" w:eastAsia="MS Mincho" w:hAnsiTheme="minorHAnsi" w:cs="Times New Roman"/>
          <w:color w:val="000000"/>
          <w:lang w:val="en-GB" w:eastAsia="ja-JP"/>
        </w:rPr>
        <w:t xml:space="preserve"> 10-year probabilities of a major osteoporotic fracture (hip, clinical spine, </w:t>
      </w:r>
      <w:proofErr w:type="spellStart"/>
      <w:r w:rsidRPr="00D108DB">
        <w:rPr>
          <w:rFonts w:asciiTheme="minorHAnsi" w:eastAsia="MS Mincho" w:hAnsiTheme="minorHAnsi" w:cs="Times New Roman"/>
          <w:color w:val="000000"/>
          <w:lang w:val="en-GB" w:eastAsia="ja-JP"/>
        </w:rPr>
        <w:t>humerus</w:t>
      </w:r>
      <w:proofErr w:type="spellEnd"/>
      <w:r w:rsidRPr="00D108DB">
        <w:rPr>
          <w:rFonts w:asciiTheme="minorHAnsi" w:eastAsia="MS Mincho" w:hAnsiTheme="minorHAnsi" w:cs="Times New Roman"/>
          <w:color w:val="000000"/>
          <w:lang w:val="en-GB" w:eastAsia="ja-JP"/>
        </w:rPr>
        <w:t xml:space="preserve"> and forearm) calculated with the Iranian FRAX model for women. </w:t>
      </w:r>
    </w:p>
    <w:tbl>
      <w:tblPr>
        <w:tblW w:w="9483" w:type="dxa"/>
        <w:tblInd w:w="93" w:type="dxa"/>
        <w:tblLayout w:type="fixed"/>
        <w:tblLook w:val="0000" w:firstRow="0" w:lastRow="0" w:firstColumn="0" w:lastColumn="0" w:noHBand="0" w:noVBand="0"/>
      </w:tblPr>
      <w:tblGrid>
        <w:gridCol w:w="2895"/>
        <w:gridCol w:w="598"/>
        <w:gridCol w:w="599"/>
        <w:gridCol w:w="599"/>
        <w:gridCol w:w="599"/>
        <w:gridCol w:w="599"/>
        <w:gridCol w:w="599"/>
        <w:gridCol w:w="599"/>
        <w:gridCol w:w="599"/>
        <w:gridCol w:w="599"/>
        <w:gridCol w:w="599"/>
        <w:gridCol w:w="599"/>
      </w:tblGrid>
      <w:tr w:rsidR="008B7E6F" w:rsidRPr="00D108DB" w14:paraId="1FA2D976" w14:textId="77777777" w:rsidTr="004D2437">
        <w:trPr>
          <w:trHeight w:val="300"/>
        </w:trPr>
        <w:tc>
          <w:tcPr>
            <w:tcW w:w="2895" w:type="dxa"/>
            <w:tcBorders>
              <w:top w:val="single" w:sz="12" w:space="0" w:color="auto"/>
            </w:tcBorders>
            <w:noWrap/>
            <w:vAlign w:val="bottom"/>
          </w:tcPr>
          <w:p w14:paraId="6E7BEAA2"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 </w:t>
            </w:r>
          </w:p>
        </w:tc>
        <w:tc>
          <w:tcPr>
            <w:tcW w:w="6588" w:type="dxa"/>
            <w:gridSpan w:val="11"/>
            <w:tcBorders>
              <w:top w:val="single" w:sz="12" w:space="0" w:color="auto"/>
              <w:bottom w:val="single" w:sz="12" w:space="0" w:color="auto"/>
            </w:tcBorders>
          </w:tcPr>
          <w:p w14:paraId="13BEB238"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Age (years)</w:t>
            </w:r>
          </w:p>
        </w:tc>
      </w:tr>
      <w:tr w:rsidR="008B7E6F" w:rsidRPr="00D108DB" w14:paraId="102541AE" w14:textId="77777777" w:rsidTr="004D2437">
        <w:trPr>
          <w:trHeight w:val="315"/>
        </w:trPr>
        <w:tc>
          <w:tcPr>
            <w:tcW w:w="2895" w:type="dxa"/>
            <w:tcBorders>
              <w:bottom w:val="single" w:sz="12" w:space="0" w:color="auto"/>
            </w:tcBorders>
            <w:noWrap/>
            <w:vAlign w:val="bottom"/>
          </w:tcPr>
          <w:p w14:paraId="63E4A9CD"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 </w:t>
            </w:r>
          </w:p>
        </w:tc>
        <w:tc>
          <w:tcPr>
            <w:tcW w:w="598" w:type="dxa"/>
            <w:tcBorders>
              <w:top w:val="single" w:sz="12" w:space="0" w:color="auto"/>
              <w:bottom w:val="single" w:sz="12" w:space="0" w:color="auto"/>
            </w:tcBorders>
          </w:tcPr>
          <w:p w14:paraId="0E96C845"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40</w:t>
            </w:r>
          </w:p>
        </w:tc>
        <w:tc>
          <w:tcPr>
            <w:tcW w:w="599" w:type="dxa"/>
            <w:tcBorders>
              <w:top w:val="single" w:sz="12" w:space="0" w:color="auto"/>
              <w:bottom w:val="single" w:sz="12" w:space="0" w:color="auto"/>
            </w:tcBorders>
          </w:tcPr>
          <w:p w14:paraId="7DED4AF3"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45</w:t>
            </w:r>
          </w:p>
        </w:tc>
        <w:tc>
          <w:tcPr>
            <w:tcW w:w="599" w:type="dxa"/>
            <w:tcBorders>
              <w:top w:val="single" w:sz="12" w:space="0" w:color="auto"/>
              <w:bottom w:val="single" w:sz="12" w:space="0" w:color="auto"/>
            </w:tcBorders>
            <w:noWrap/>
            <w:vAlign w:val="center"/>
          </w:tcPr>
          <w:p w14:paraId="2EC8893D"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50</w:t>
            </w:r>
          </w:p>
        </w:tc>
        <w:tc>
          <w:tcPr>
            <w:tcW w:w="599" w:type="dxa"/>
            <w:tcBorders>
              <w:top w:val="single" w:sz="12" w:space="0" w:color="auto"/>
              <w:bottom w:val="single" w:sz="12" w:space="0" w:color="auto"/>
            </w:tcBorders>
            <w:noWrap/>
            <w:vAlign w:val="center"/>
          </w:tcPr>
          <w:p w14:paraId="658417D4"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55</w:t>
            </w:r>
          </w:p>
        </w:tc>
        <w:tc>
          <w:tcPr>
            <w:tcW w:w="599" w:type="dxa"/>
            <w:tcBorders>
              <w:top w:val="single" w:sz="12" w:space="0" w:color="auto"/>
              <w:bottom w:val="single" w:sz="12" w:space="0" w:color="auto"/>
            </w:tcBorders>
            <w:noWrap/>
            <w:vAlign w:val="center"/>
          </w:tcPr>
          <w:p w14:paraId="3F48C20F"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60</w:t>
            </w:r>
          </w:p>
        </w:tc>
        <w:tc>
          <w:tcPr>
            <w:tcW w:w="599" w:type="dxa"/>
            <w:tcBorders>
              <w:top w:val="single" w:sz="12" w:space="0" w:color="auto"/>
              <w:bottom w:val="single" w:sz="12" w:space="0" w:color="auto"/>
            </w:tcBorders>
            <w:noWrap/>
            <w:vAlign w:val="center"/>
          </w:tcPr>
          <w:p w14:paraId="3FC84AF2"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65</w:t>
            </w:r>
          </w:p>
        </w:tc>
        <w:tc>
          <w:tcPr>
            <w:tcW w:w="599" w:type="dxa"/>
            <w:tcBorders>
              <w:top w:val="single" w:sz="12" w:space="0" w:color="auto"/>
              <w:bottom w:val="single" w:sz="12" w:space="0" w:color="auto"/>
            </w:tcBorders>
            <w:noWrap/>
            <w:vAlign w:val="center"/>
          </w:tcPr>
          <w:p w14:paraId="743D8313"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70</w:t>
            </w:r>
          </w:p>
        </w:tc>
        <w:tc>
          <w:tcPr>
            <w:tcW w:w="599" w:type="dxa"/>
            <w:tcBorders>
              <w:top w:val="single" w:sz="12" w:space="0" w:color="auto"/>
              <w:bottom w:val="single" w:sz="12" w:space="0" w:color="auto"/>
            </w:tcBorders>
            <w:noWrap/>
            <w:vAlign w:val="center"/>
          </w:tcPr>
          <w:p w14:paraId="481C4B99"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75</w:t>
            </w:r>
          </w:p>
        </w:tc>
        <w:tc>
          <w:tcPr>
            <w:tcW w:w="599" w:type="dxa"/>
            <w:tcBorders>
              <w:top w:val="single" w:sz="12" w:space="0" w:color="auto"/>
              <w:bottom w:val="single" w:sz="12" w:space="0" w:color="auto"/>
            </w:tcBorders>
            <w:noWrap/>
            <w:vAlign w:val="center"/>
          </w:tcPr>
          <w:p w14:paraId="0AAF667E"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80</w:t>
            </w:r>
          </w:p>
        </w:tc>
        <w:tc>
          <w:tcPr>
            <w:tcW w:w="599" w:type="dxa"/>
            <w:tcBorders>
              <w:top w:val="single" w:sz="12" w:space="0" w:color="auto"/>
              <w:bottom w:val="single" w:sz="12" w:space="0" w:color="auto"/>
            </w:tcBorders>
            <w:noWrap/>
            <w:vAlign w:val="center"/>
          </w:tcPr>
          <w:p w14:paraId="663C344E"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85</w:t>
            </w:r>
          </w:p>
        </w:tc>
        <w:tc>
          <w:tcPr>
            <w:tcW w:w="599" w:type="dxa"/>
            <w:tcBorders>
              <w:top w:val="single" w:sz="12" w:space="0" w:color="auto"/>
              <w:bottom w:val="single" w:sz="12" w:space="0" w:color="auto"/>
            </w:tcBorders>
            <w:noWrap/>
            <w:vAlign w:val="center"/>
          </w:tcPr>
          <w:p w14:paraId="2850DD93"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90</w:t>
            </w:r>
          </w:p>
        </w:tc>
      </w:tr>
      <w:tr w:rsidR="008B7E6F" w:rsidRPr="00D108DB" w14:paraId="61EF5AE1" w14:textId="77777777" w:rsidTr="004D2437">
        <w:trPr>
          <w:trHeight w:val="300"/>
        </w:trPr>
        <w:tc>
          <w:tcPr>
            <w:tcW w:w="2895" w:type="dxa"/>
            <w:tcBorders>
              <w:top w:val="single" w:sz="12" w:space="0" w:color="auto"/>
            </w:tcBorders>
            <w:noWrap/>
            <w:vAlign w:val="center"/>
          </w:tcPr>
          <w:p w14:paraId="3B0EADF0" w14:textId="77777777" w:rsidR="008B7E6F" w:rsidRPr="00D108DB" w:rsidRDefault="008B7E6F" w:rsidP="004D2437">
            <w:pPr>
              <w:spacing w:before="60" w:after="60" w:line="240" w:lineRule="auto"/>
              <w:rPr>
                <w:rFonts w:asciiTheme="minorHAnsi" w:eastAsia="MS Mincho" w:hAnsiTheme="minorHAnsi" w:cs="Times New Roman"/>
                <w:i/>
                <w:iCs/>
                <w:color w:val="000000"/>
                <w:sz w:val="20"/>
                <w:szCs w:val="20"/>
                <w:lang w:val="en-GB" w:eastAsia="ja-JP"/>
              </w:rPr>
            </w:pPr>
            <w:r w:rsidRPr="00D108DB">
              <w:rPr>
                <w:rFonts w:asciiTheme="minorHAnsi" w:eastAsia="MS Mincho" w:hAnsiTheme="minorHAnsi" w:cs="Times New Roman"/>
                <w:i/>
                <w:iCs/>
                <w:color w:val="000000"/>
                <w:sz w:val="20"/>
                <w:szCs w:val="20"/>
                <w:lang w:val="en-GB" w:eastAsia="ja-JP"/>
              </w:rPr>
              <w:t>Major fracture</w:t>
            </w:r>
          </w:p>
        </w:tc>
        <w:tc>
          <w:tcPr>
            <w:tcW w:w="598" w:type="dxa"/>
            <w:tcBorders>
              <w:top w:val="single" w:sz="12" w:space="0" w:color="auto"/>
            </w:tcBorders>
          </w:tcPr>
          <w:p w14:paraId="0562CB0E"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p>
        </w:tc>
        <w:tc>
          <w:tcPr>
            <w:tcW w:w="599" w:type="dxa"/>
            <w:tcBorders>
              <w:top w:val="single" w:sz="12" w:space="0" w:color="auto"/>
            </w:tcBorders>
          </w:tcPr>
          <w:p w14:paraId="34CE0A41"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p>
        </w:tc>
        <w:tc>
          <w:tcPr>
            <w:tcW w:w="599" w:type="dxa"/>
            <w:tcBorders>
              <w:top w:val="single" w:sz="12" w:space="0" w:color="auto"/>
            </w:tcBorders>
            <w:noWrap/>
            <w:vAlign w:val="bottom"/>
          </w:tcPr>
          <w:p w14:paraId="62EBF3C5"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p>
        </w:tc>
        <w:tc>
          <w:tcPr>
            <w:tcW w:w="599" w:type="dxa"/>
            <w:tcBorders>
              <w:top w:val="single" w:sz="12" w:space="0" w:color="auto"/>
            </w:tcBorders>
            <w:noWrap/>
            <w:vAlign w:val="bottom"/>
          </w:tcPr>
          <w:p w14:paraId="6D98A12B"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p>
        </w:tc>
        <w:tc>
          <w:tcPr>
            <w:tcW w:w="599" w:type="dxa"/>
            <w:tcBorders>
              <w:top w:val="single" w:sz="12" w:space="0" w:color="auto"/>
            </w:tcBorders>
            <w:noWrap/>
            <w:vAlign w:val="bottom"/>
          </w:tcPr>
          <w:p w14:paraId="2946DB82"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p>
        </w:tc>
        <w:tc>
          <w:tcPr>
            <w:tcW w:w="599" w:type="dxa"/>
            <w:tcBorders>
              <w:top w:val="single" w:sz="12" w:space="0" w:color="auto"/>
            </w:tcBorders>
            <w:noWrap/>
            <w:vAlign w:val="bottom"/>
          </w:tcPr>
          <w:p w14:paraId="5997CC1D"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p>
        </w:tc>
        <w:tc>
          <w:tcPr>
            <w:tcW w:w="599" w:type="dxa"/>
            <w:tcBorders>
              <w:top w:val="single" w:sz="12" w:space="0" w:color="auto"/>
            </w:tcBorders>
            <w:noWrap/>
            <w:vAlign w:val="bottom"/>
          </w:tcPr>
          <w:p w14:paraId="110FFD37"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p>
        </w:tc>
        <w:tc>
          <w:tcPr>
            <w:tcW w:w="599" w:type="dxa"/>
            <w:tcBorders>
              <w:top w:val="single" w:sz="12" w:space="0" w:color="auto"/>
            </w:tcBorders>
            <w:noWrap/>
            <w:vAlign w:val="bottom"/>
          </w:tcPr>
          <w:p w14:paraId="6B699379"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p>
        </w:tc>
        <w:tc>
          <w:tcPr>
            <w:tcW w:w="599" w:type="dxa"/>
            <w:tcBorders>
              <w:top w:val="single" w:sz="12" w:space="0" w:color="auto"/>
            </w:tcBorders>
            <w:noWrap/>
            <w:vAlign w:val="bottom"/>
          </w:tcPr>
          <w:p w14:paraId="3FE9F23F"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p>
        </w:tc>
        <w:tc>
          <w:tcPr>
            <w:tcW w:w="599" w:type="dxa"/>
            <w:tcBorders>
              <w:top w:val="single" w:sz="12" w:space="0" w:color="auto"/>
            </w:tcBorders>
            <w:noWrap/>
            <w:vAlign w:val="bottom"/>
          </w:tcPr>
          <w:p w14:paraId="1F72F646"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p>
        </w:tc>
        <w:tc>
          <w:tcPr>
            <w:tcW w:w="599" w:type="dxa"/>
            <w:tcBorders>
              <w:top w:val="single" w:sz="12" w:space="0" w:color="auto"/>
            </w:tcBorders>
            <w:noWrap/>
            <w:vAlign w:val="bottom"/>
          </w:tcPr>
          <w:p w14:paraId="08CE6F91"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p>
        </w:tc>
      </w:tr>
      <w:tr w:rsidR="008B7E6F" w:rsidRPr="00D108DB" w14:paraId="4AFE7B2E" w14:textId="77777777" w:rsidTr="004D2437">
        <w:trPr>
          <w:trHeight w:val="300"/>
        </w:trPr>
        <w:tc>
          <w:tcPr>
            <w:tcW w:w="2895" w:type="dxa"/>
            <w:noWrap/>
            <w:vAlign w:val="center"/>
          </w:tcPr>
          <w:p w14:paraId="740D62D7"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 xml:space="preserve"> No clinical risk factors</w:t>
            </w:r>
          </w:p>
        </w:tc>
        <w:tc>
          <w:tcPr>
            <w:tcW w:w="598" w:type="dxa"/>
          </w:tcPr>
          <w:p w14:paraId="39D7D509"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1.2</w:t>
            </w:r>
          </w:p>
        </w:tc>
        <w:tc>
          <w:tcPr>
            <w:tcW w:w="599" w:type="dxa"/>
          </w:tcPr>
          <w:p w14:paraId="46D6F5A1"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1.6</w:t>
            </w:r>
          </w:p>
        </w:tc>
        <w:tc>
          <w:tcPr>
            <w:tcW w:w="599" w:type="dxa"/>
            <w:noWrap/>
            <w:vAlign w:val="center"/>
          </w:tcPr>
          <w:p w14:paraId="24672A24"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2.2</w:t>
            </w:r>
          </w:p>
        </w:tc>
        <w:tc>
          <w:tcPr>
            <w:tcW w:w="599" w:type="dxa"/>
            <w:noWrap/>
            <w:vAlign w:val="center"/>
          </w:tcPr>
          <w:p w14:paraId="2F7BA2E8"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3.</w:t>
            </w:r>
            <w:r>
              <w:rPr>
                <w:rFonts w:asciiTheme="minorHAnsi" w:eastAsia="MS Mincho" w:hAnsiTheme="minorHAnsi" w:cs="Times New Roman"/>
                <w:color w:val="000000"/>
                <w:sz w:val="20"/>
                <w:szCs w:val="20"/>
                <w:lang w:val="en-GB" w:eastAsia="ja-JP"/>
              </w:rPr>
              <w:t>1</w:t>
            </w:r>
          </w:p>
        </w:tc>
        <w:tc>
          <w:tcPr>
            <w:tcW w:w="599" w:type="dxa"/>
            <w:noWrap/>
            <w:vAlign w:val="center"/>
          </w:tcPr>
          <w:p w14:paraId="530F788C"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4.</w:t>
            </w:r>
            <w:r>
              <w:rPr>
                <w:rFonts w:asciiTheme="minorHAnsi" w:eastAsia="MS Mincho" w:hAnsiTheme="minorHAnsi" w:cs="Times New Roman"/>
                <w:color w:val="000000"/>
                <w:sz w:val="20"/>
                <w:szCs w:val="20"/>
                <w:lang w:val="en-GB" w:eastAsia="ja-JP"/>
              </w:rPr>
              <w:t>3</w:t>
            </w:r>
          </w:p>
        </w:tc>
        <w:tc>
          <w:tcPr>
            <w:tcW w:w="599" w:type="dxa"/>
            <w:noWrap/>
            <w:vAlign w:val="center"/>
          </w:tcPr>
          <w:p w14:paraId="1A3917EF"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5.</w:t>
            </w:r>
            <w:r>
              <w:rPr>
                <w:rFonts w:asciiTheme="minorHAnsi" w:eastAsia="MS Mincho" w:hAnsiTheme="minorHAnsi" w:cs="Times New Roman"/>
                <w:color w:val="000000"/>
                <w:sz w:val="20"/>
                <w:szCs w:val="20"/>
                <w:lang w:val="en-GB" w:eastAsia="ja-JP"/>
              </w:rPr>
              <w:t>7</w:t>
            </w:r>
          </w:p>
        </w:tc>
        <w:tc>
          <w:tcPr>
            <w:tcW w:w="599" w:type="dxa"/>
            <w:noWrap/>
            <w:vAlign w:val="center"/>
          </w:tcPr>
          <w:p w14:paraId="52CA237E"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7.</w:t>
            </w:r>
            <w:r>
              <w:rPr>
                <w:rFonts w:asciiTheme="minorHAnsi" w:eastAsia="MS Mincho" w:hAnsiTheme="minorHAnsi" w:cs="Times New Roman"/>
                <w:color w:val="000000"/>
                <w:sz w:val="20"/>
                <w:szCs w:val="20"/>
                <w:lang w:val="en-GB" w:eastAsia="ja-JP"/>
              </w:rPr>
              <w:t>3</w:t>
            </w:r>
          </w:p>
        </w:tc>
        <w:tc>
          <w:tcPr>
            <w:tcW w:w="599" w:type="dxa"/>
            <w:noWrap/>
            <w:vAlign w:val="center"/>
          </w:tcPr>
          <w:p w14:paraId="559A3CAD"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9.</w:t>
            </w:r>
            <w:r>
              <w:rPr>
                <w:rFonts w:asciiTheme="minorHAnsi" w:eastAsia="MS Mincho" w:hAnsiTheme="minorHAnsi" w:cs="Times New Roman"/>
                <w:color w:val="000000"/>
                <w:sz w:val="20"/>
                <w:szCs w:val="20"/>
                <w:lang w:val="en-GB" w:eastAsia="ja-JP"/>
              </w:rPr>
              <w:t>4</w:t>
            </w:r>
          </w:p>
        </w:tc>
        <w:tc>
          <w:tcPr>
            <w:tcW w:w="599" w:type="dxa"/>
            <w:noWrap/>
            <w:vAlign w:val="center"/>
          </w:tcPr>
          <w:p w14:paraId="4737E36C"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w:t>
            </w:r>
            <w:r>
              <w:rPr>
                <w:rFonts w:asciiTheme="minorHAnsi" w:eastAsia="MS Mincho" w:hAnsiTheme="minorHAnsi" w:cs="Times New Roman"/>
                <w:color w:val="000000"/>
                <w:sz w:val="20"/>
                <w:szCs w:val="20"/>
                <w:lang w:val="en-GB" w:eastAsia="ja-JP"/>
              </w:rPr>
              <w:t>1</w:t>
            </w:r>
          </w:p>
        </w:tc>
        <w:tc>
          <w:tcPr>
            <w:tcW w:w="599" w:type="dxa"/>
            <w:noWrap/>
            <w:vAlign w:val="center"/>
          </w:tcPr>
          <w:p w14:paraId="5D369756"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10</w:t>
            </w:r>
          </w:p>
        </w:tc>
        <w:tc>
          <w:tcPr>
            <w:tcW w:w="599" w:type="dxa"/>
            <w:noWrap/>
            <w:vAlign w:val="center"/>
          </w:tcPr>
          <w:p w14:paraId="3A57B893"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8.6</w:t>
            </w:r>
          </w:p>
        </w:tc>
      </w:tr>
      <w:tr w:rsidR="008B7E6F" w:rsidRPr="00D108DB" w14:paraId="6F3D792C" w14:textId="77777777" w:rsidTr="004D2437">
        <w:trPr>
          <w:trHeight w:val="345"/>
        </w:trPr>
        <w:tc>
          <w:tcPr>
            <w:tcW w:w="2895" w:type="dxa"/>
            <w:noWrap/>
            <w:vAlign w:val="center"/>
          </w:tcPr>
          <w:p w14:paraId="1A5E9D0C"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 xml:space="preserve"> BMD T-Score -2.5 </w:t>
            </w:r>
            <w:proofErr w:type="spellStart"/>
            <w:r w:rsidRPr="00D108DB">
              <w:rPr>
                <w:rFonts w:asciiTheme="minorHAnsi" w:eastAsia="MS Mincho" w:hAnsiTheme="minorHAnsi" w:cs="Times New Roman"/>
                <w:color w:val="000000"/>
                <w:sz w:val="20"/>
                <w:szCs w:val="20"/>
                <w:lang w:val="en-GB" w:eastAsia="ja-JP"/>
              </w:rPr>
              <w:t>SD</w:t>
            </w:r>
            <w:r w:rsidRPr="00D108DB">
              <w:rPr>
                <w:rFonts w:asciiTheme="minorHAnsi" w:eastAsia="MS Mincho" w:hAnsiTheme="minorHAnsi" w:cs="Times New Roman"/>
                <w:color w:val="000000"/>
                <w:sz w:val="20"/>
                <w:szCs w:val="20"/>
                <w:vertAlign w:val="superscript"/>
                <w:lang w:val="en-GB" w:eastAsia="ja-JP"/>
              </w:rPr>
              <w:t>a</w:t>
            </w:r>
            <w:proofErr w:type="spellEnd"/>
          </w:p>
        </w:tc>
        <w:tc>
          <w:tcPr>
            <w:tcW w:w="598" w:type="dxa"/>
          </w:tcPr>
          <w:p w14:paraId="5147D317"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2.8</w:t>
            </w:r>
          </w:p>
        </w:tc>
        <w:tc>
          <w:tcPr>
            <w:tcW w:w="599" w:type="dxa"/>
          </w:tcPr>
          <w:p w14:paraId="269EBE80"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3.</w:t>
            </w:r>
            <w:r>
              <w:rPr>
                <w:rFonts w:asciiTheme="minorHAnsi" w:eastAsia="MS Mincho" w:hAnsiTheme="minorHAnsi" w:cs="Times New Roman"/>
                <w:color w:val="000000"/>
                <w:sz w:val="20"/>
                <w:szCs w:val="20"/>
                <w:lang w:val="en-GB" w:eastAsia="ja-JP"/>
              </w:rPr>
              <w:t>4</w:t>
            </w:r>
          </w:p>
        </w:tc>
        <w:tc>
          <w:tcPr>
            <w:tcW w:w="599" w:type="dxa"/>
            <w:noWrap/>
            <w:vAlign w:val="center"/>
          </w:tcPr>
          <w:p w14:paraId="69B4C3DD"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4.</w:t>
            </w:r>
            <w:r>
              <w:rPr>
                <w:rFonts w:asciiTheme="minorHAnsi" w:eastAsia="MS Mincho" w:hAnsiTheme="minorHAnsi" w:cs="Times New Roman"/>
                <w:color w:val="000000"/>
                <w:sz w:val="20"/>
                <w:szCs w:val="20"/>
                <w:lang w:val="en-GB" w:eastAsia="ja-JP"/>
              </w:rPr>
              <w:t>3</w:t>
            </w:r>
          </w:p>
        </w:tc>
        <w:tc>
          <w:tcPr>
            <w:tcW w:w="599" w:type="dxa"/>
            <w:noWrap/>
            <w:vAlign w:val="center"/>
          </w:tcPr>
          <w:p w14:paraId="6913425C"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5.</w:t>
            </w:r>
            <w:r>
              <w:rPr>
                <w:rFonts w:asciiTheme="minorHAnsi" w:eastAsia="MS Mincho" w:hAnsiTheme="minorHAnsi" w:cs="Times New Roman"/>
                <w:color w:val="000000"/>
                <w:sz w:val="20"/>
                <w:szCs w:val="20"/>
                <w:lang w:val="en-GB" w:eastAsia="ja-JP"/>
              </w:rPr>
              <w:t>5</w:t>
            </w:r>
          </w:p>
        </w:tc>
        <w:tc>
          <w:tcPr>
            <w:tcW w:w="599" w:type="dxa"/>
            <w:noWrap/>
            <w:vAlign w:val="center"/>
          </w:tcPr>
          <w:p w14:paraId="4566F55D"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7.</w:t>
            </w:r>
            <w:r>
              <w:rPr>
                <w:rFonts w:asciiTheme="minorHAnsi" w:eastAsia="MS Mincho" w:hAnsiTheme="minorHAnsi" w:cs="Times New Roman"/>
                <w:color w:val="000000"/>
                <w:sz w:val="20"/>
                <w:szCs w:val="20"/>
                <w:lang w:val="en-GB" w:eastAsia="ja-JP"/>
              </w:rPr>
              <w:t>1</w:t>
            </w:r>
          </w:p>
        </w:tc>
        <w:tc>
          <w:tcPr>
            <w:tcW w:w="599" w:type="dxa"/>
            <w:noWrap/>
            <w:vAlign w:val="center"/>
          </w:tcPr>
          <w:p w14:paraId="18203F73"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8.</w:t>
            </w:r>
            <w:r>
              <w:rPr>
                <w:rFonts w:asciiTheme="minorHAnsi" w:eastAsia="MS Mincho" w:hAnsiTheme="minorHAnsi" w:cs="Times New Roman"/>
                <w:color w:val="000000"/>
                <w:sz w:val="20"/>
                <w:szCs w:val="20"/>
                <w:lang w:val="en-GB" w:eastAsia="ja-JP"/>
              </w:rPr>
              <w:t>4</w:t>
            </w:r>
          </w:p>
        </w:tc>
        <w:tc>
          <w:tcPr>
            <w:tcW w:w="599" w:type="dxa"/>
            <w:noWrap/>
            <w:vAlign w:val="center"/>
          </w:tcPr>
          <w:p w14:paraId="2CB70498"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9.</w:t>
            </w:r>
            <w:r>
              <w:rPr>
                <w:rFonts w:asciiTheme="minorHAnsi" w:eastAsia="MS Mincho" w:hAnsiTheme="minorHAnsi" w:cs="Times New Roman"/>
                <w:color w:val="000000"/>
                <w:sz w:val="20"/>
                <w:szCs w:val="20"/>
                <w:lang w:val="en-GB" w:eastAsia="ja-JP"/>
              </w:rPr>
              <w:t>3</w:t>
            </w:r>
          </w:p>
        </w:tc>
        <w:tc>
          <w:tcPr>
            <w:tcW w:w="599" w:type="dxa"/>
            <w:noWrap/>
            <w:vAlign w:val="center"/>
          </w:tcPr>
          <w:p w14:paraId="446DE71A"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10</w:t>
            </w:r>
          </w:p>
        </w:tc>
        <w:tc>
          <w:tcPr>
            <w:tcW w:w="599" w:type="dxa"/>
            <w:noWrap/>
            <w:vAlign w:val="center"/>
          </w:tcPr>
          <w:p w14:paraId="48BB8933"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Pr>
                <w:rFonts w:asciiTheme="minorHAnsi" w:eastAsia="MS Mincho" w:hAnsiTheme="minorHAnsi" w:cs="Times New Roman"/>
                <w:color w:val="000000"/>
                <w:sz w:val="20"/>
                <w:szCs w:val="20"/>
                <w:lang w:val="en-GB" w:eastAsia="ja-JP"/>
              </w:rPr>
              <w:t>9.8</w:t>
            </w:r>
          </w:p>
        </w:tc>
        <w:tc>
          <w:tcPr>
            <w:tcW w:w="599" w:type="dxa"/>
            <w:noWrap/>
            <w:vAlign w:val="center"/>
          </w:tcPr>
          <w:p w14:paraId="11B5FBE1"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8.</w:t>
            </w:r>
            <w:r>
              <w:rPr>
                <w:rFonts w:asciiTheme="minorHAnsi" w:eastAsia="MS Mincho" w:hAnsiTheme="minorHAnsi" w:cs="Times New Roman"/>
                <w:color w:val="000000"/>
                <w:sz w:val="20"/>
                <w:szCs w:val="20"/>
                <w:lang w:val="en-GB" w:eastAsia="ja-JP"/>
              </w:rPr>
              <w:t>0</w:t>
            </w:r>
          </w:p>
        </w:tc>
        <w:tc>
          <w:tcPr>
            <w:tcW w:w="599" w:type="dxa"/>
            <w:noWrap/>
            <w:vAlign w:val="center"/>
          </w:tcPr>
          <w:p w14:paraId="351B6B56"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6.</w:t>
            </w:r>
            <w:r>
              <w:rPr>
                <w:rFonts w:asciiTheme="minorHAnsi" w:eastAsia="MS Mincho" w:hAnsiTheme="minorHAnsi" w:cs="Times New Roman"/>
                <w:color w:val="000000"/>
                <w:sz w:val="20"/>
                <w:szCs w:val="20"/>
                <w:lang w:val="en-GB" w:eastAsia="ja-JP"/>
              </w:rPr>
              <w:t>1</w:t>
            </w:r>
          </w:p>
        </w:tc>
      </w:tr>
      <w:tr w:rsidR="008B7E6F" w:rsidRPr="00D108DB" w14:paraId="5EDF703F" w14:textId="77777777" w:rsidTr="004D2437">
        <w:trPr>
          <w:trHeight w:val="345"/>
        </w:trPr>
        <w:tc>
          <w:tcPr>
            <w:tcW w:w="2895" w:type="dxa"/>
            <w:noWrap/>
            <w:vAlign w:val="center"/>
          </w:tcPr>
          <w:p w14:paraId="4A35BD56"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 xml:space="preserve"> Previous </w:t>
            </w:r>
            <w:proofErr w:type="spellStart"/>
            <w:r w:rsidRPr="00D108DB">
              <w:rPr>
                <w:rFonts w:asciiTheme="minorHAnsi" w:eastAsia="MS Mincho" w:hAnsiTheme="minorHAnsi" w:cs="Times New Roman"/>
                <w:color w:val="000000"/>
                <w:sz w:val="20"/>
                <w:szCs w:val="20"/>
                <w:lang w:val="en-GB" w:eastAsia="ja-JP"/>
              </w:rPr>
              <w:t>fracture</w:t>
            </w:r>
            <w:r w:rsidRPr="00D108DB">
              <w:rPr>
                <w:rFonts w:asciiTheme="minorHAnsi" w:eastAsia="MS Mincho" w:hAnsiTheme="minorHAnsi" w:cs="Times New Roman"/>
                <w:color w:val="000000"/>
                <w:sz w:val="20"/>
                <w:szCs w:val="20"/>
                <w:vertAlign w:val="superscript"/>
                <w:lang w:val="en-GB" w:eastAsia="ja-JP"/>
              </w:rPr>
              <w:t>a</w:t>
            </w:r>
            <w:proofErr w:type="spellEnd"/>
          </w:p>
        </w:tc>
        <w:tc>
          <w:tcPr>
            <w:tcW w:w="598" w:type="dxa"/>
          </w:tcPr>
          <w:p w14:paraId="07D9F92E"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2.</w:t>
            </w:r>
            <w:r>
              <w:rPr>
                <w:rFonts w:asciiTheme="minorHAnsi" w:eastAsia="MS Mincho" w:hAnsiTheme="minorHAnsi" w:cs="Times New Roman"/>
                <w:color w:val="000000"/>
                <w:sz w:val="20"/>
                <w:szCs w:val="20"/>
                <w:lang w:val="en-GB" w:eastAsia="ja-JP"/>
              </w:rPr>
              <w:t>8</w:t>
            </w:r>
          </w:p>
        </w:tc>
        <w:tc>
          <w:tcPr>
            <w:tcW w:w="599" w:type="dxa"/>
          </w:tcPr>
          <w:p w14:paraId="10238FD9"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3.</w:t>
            </w:r>
            <w:r>
              <w:rPr>
                <w:rFonts w:asciiTheme="minorHAnsi" w:eastAsia="MS Mincho" w:hAnsiTheme="minorHAnsi" w:cs="Times New Roman"/>
                <w:color w:val="000000"/>
                <w:sz w:val="20"/>
                <w:szCs w:val="20"/>
                <w:lang w:val="en-GB" w:eastAsia="ja-JP"/>
              </w:rPr>
              <w:t>7</w:t>
            </w:r>
          </w:p>
        </w:tc>
        <w:tc>
          <w:tcPr>
            <w:tcW w:w="599" w:type="dxa"/>
            <w:noWrap/>
            <w:vAlign w:val="center"/>
          </w:tcPr>
          <w:p w14:paraId="0AC87A71"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4.</w:t>
            </w:r>
            <w:r>
              <w:rPr>
                <w:rFonts w:asciiTheme="minorHAnsi" w:eastAsia="MS Mincho" w:hAnsiTheme="minorHAnsi" w:cs="Times New Roman"/>
                <w:color w:val="000000"/>
                <w:sz w:val="20"/>
                <w:szCs w:val="20"/>
                <w:lang w:val="en-GB" w:eastAsia="ja-JP"/>
              </w:rPr>
              <w:t>9</w:t>
            </w:r>
          </w:p>
        </w:tc>
        <w:tc>
          <w:tcPr>
            <w:tcW w:w="599" w:type="dxa"/>
            <w:noWrap/>
            <w:vAlign w:val="center"/>
          </w:tcPr>
          <w:p w14:paraId="42B9B9D7"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6.</w:t>
            </w:r>
            <w:r>
              <w:rPr>
                <w:rFonts w:asciiTheme="minorHAnsi" w:eastAsia="MS Mincho" w:hAnsiTheme="minorHAnsi" w:cs="Times New Roman"/>
                <w:color w:val="000000"/>
                <w:sz w:val="20"/>
                <w:szCs w:val="20"/>
                <w:lang w:val="en-GB" w:eastAsia="ja-JP"/>
              </w:rPr>
              <w:t>6</w:t>
            </w:r>
          </w:p>
        </w:tc>
        <w:tc>
          <w:tcPr>
            <w:tcW w:w="599" w:type="dxa"/>
            <w:noWrap/>
            <w:vAlign w:val="center"/>
          </w:tcPr>
          <w:p w14:paraId="422DA8D4"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Pr>
                <w:rFonts w:asciiTheme="minorHAnsi" w:eastAsia="MS Mincho" w:hAnsiTheme="minorHAnsi" w:cs="Times New Roman"/>
                <w:color w:val="000000"/>
                <w:sz w:val="20"/>
                <w:szCs w:val="20"/>
                <w:lang w:val="en-GB" w:eastAsia="ja-JP"/>
              </w:rPr>
              <w:t>9.0</w:t>
            </w:r>
          </w:p>
        </w:tc>
        <w:tc>
          <w:tcPr>
            <w:tcW w:w="599" w:type="dxa"/>
            <w:noWrap/>
            <w:vAlign w:val="center"/>
          </w:tcPr>
          <w:p w14:paraId="735DA4F4"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11</w:t>
            </w:r>
          </w:p>
        </w:tc>
        <w:tc>
          <w:tcPr>
            <w:tcW w:w="599" w:type="dxa"/>
            <w:noWrap/>
            <w:vAlign w:val="center"/>
          </w:tcPr>
          <w:p w14:paraId="4E1E336A"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14</w:t>
            </w:r>
          </w:p>
        </w:tc>
        <w:tc>
          <w:tcPr>
            <w:tcW w:w="599" w:type="dxa"/>
            <w:noWrap/>
            <w:vAlign w:val="center"/>
          </w:tcPr>
          <w:p w14:paraId="0EB5E791"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16</w:t>
            </w:r>
          </w:p>
        </w:tc>
        <w:tc>
          <w:tcPr>
            <w:tcW w:w="599" w:type="dxa"/>
            <w:noWrap/>
            <w:vAlign w:val="center"/>
          </w:tcPr>
          <w:p w14:paraId="111B77A1"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17</w:t>
            </w:r>
          </w:p>
        </w:tc>
        <w:tc>
          <w:tcPr>
            <w:tcW w:w="599" w:type="dxa"/>
            <w:noWrap/>
            <w:vAlign w:val="center"/>
          </w:tcPr>
          <w:p w14:paraId="632BF140"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16</w:t>
            </w:r>
          </w:p>
        </w:tc>
        <w:tc>
          <w:tcPr>
            <w:tcW w:w="599" w:type="dxa"/>
            <w:noWrap/>
            <w:vAlign w:val="center"/>
          </w:tcPr>
          <w:p w14:paraId="0F953182"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14</w:t>
            </w:r>
          </w:p>
        </w:tc>
      </w:tr>
      <w:tr w:rsidR="008B7E6F" w:rsidRPr="00D108DB" w14:paraId="0E5D59CD" w14:textId="77777777" w:rsidTr="004D2437">
        <w:trPr>
          <w:trHeight w:val="345"/>
        </w:trPr>
        <w:tc>
          <w:tcPr>
            <w:tcW w:w="2895" w:type="dxa"/>
            <w:noWrap/>
            <w:vAlign w:val="center"/>
          </w:tcPr>
          <w:p w14:paraId="3FF610FB" w14:textId="77777777" w:rsidR="008B7E6F" w:rsidRPr="00D108DB" w:rsidRDefault="008B7E6F" w:rsidP="004D2437">
            <w:pPr>
              <w:spacing w:before="60" w:after="60" w:line="240" w:lineRule="auto"/>
              <w:rPr>
                <w:rFonts w:asciiTheme="minorHAnsi" w:eastAsia="MS Mincho" w:hAnsiTheme="minorHAnsi" w:cs="Times New Roman"/>
                <w:i/>
                <w:color w:val="000000"/>
                <w:sz w:val="20"/>
                <w:szCs w:val="20"/>
                <w:lang w:val="en-GB" w:eastAsia="ja-JP"/>
              </w:rPr>
            </w:pPr>
            <w:r w:rsidRPr="00D108DB">
              <w:rPr>
                <w:rFonts w:asciiTheme="minorHAnsi" w:eastAsia="MS Mincho" w:hAnsiTheme="minorHAnsi" w:cs="Times New Roman"/>
                <w:i/>
                <w:color w:val="000000"/>
                <w:sz w:val="20"/>
                <w:szCs w:val="20"/>
                <w:lang w:val="en-GB" w:eastAsia="ja-JP"/>
              </w:rPr>
              <w:t>Ratios between probabilities</w:t>
            </w:r>
          </w:p>
        </w:tc>
        <w:tc>
          <w:tcPr>
            <w:tcW w:w="598" w:type="dxa"/>
          </w:tcPr>
          <w:p w14:paraId="61CDCEAD"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p>
        </w:tc>
        <w:tc>
          <w:tcPr>
            <w:tcW w:w="599" w:type="dxa"/>
          </w:tcPr>
          <w:p w14:paraId="6BB9E253"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p>
        </w:tc>
        <w:tc>
          <w:tcPr>
            <w:tcW w:w="599" w:type="dxa"/>
            <w:noWrap/>
            <w:vAlign w:val="center"/>
          </w:tcPr>
          <w:p w14:paraId="23DE523C"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p>
        </w:tc>
        <w:tc>
          <w:tcPr>
            <w:tcW w:w="599" w:type="dxa"/>
            <w:noWrap/>
            <w:vAlign w:val="center"/>
          </w:tcPr>
          <w:p w14:paraId="52E56223"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p>
        </w:tc>
        <w:tc>
          <w:tcPr>
            <w:tcW w:w="599" w:type="dxa"/>
            <w:noWrap/>
            <w:vAlign w:val="center"/>
          </w:tcPr>
          <w:p w14:paraId="07547A01"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p>
        </w:tc>
        <w:tc>
          <w:tcPr>
            <w:tcW w:w="599" w:type="dxa"/>
            <w:noWrap/>
            <w:vAlign w:val="center"/>
          </w:tcPr>
          <w:p w14:paraId="5043CB0F"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p>
        </w:tc>
        <w:tc>
          <w:tcPr>
            <w:tcW w:w="599" w:type="dxa"/>
            <w:noWrap/>
            <w:vAlign w:val="center"/>
          </w:tcPr>
          <w:p w14:paraId="07459315"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p>
        </w:tc>
        <w:tc>
          <w:tcPr>
            <w:tcW w:w="599" w:type="dxa"/>
            <w:noWrap/>
            <w:vAlign w:val="center"/>
          </w:tcPr>
          <w:p w14:paraId="6537F28F"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p>
        </w:tc>
        <w:tc>
          <w:tcPr>
            <w:tcW w:w="599" w:type="dxa"/>
            <w:noWrap/>
            <w:vAlign w:val="center"/>
          </w:tcPr>
          <w:p w14:paraId="6DFB9E20"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p>
        </w:tc>
        <w:tc>
          <w:tcPr>
            <w:tcW w:w="599" w:type="dxa"/>
            <w:noWrap/>
            <w:vAlign w:val="center"/>
          </w:tcPr>
          <w:p w14:paraId="70DF9E56"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p>
        </w:tc>
        <w:tc>
          <w:tcPr>
            <w:tcW w:w="599" w:type="dxa"/>
            <w:noWrap/>
            <w:vAlign w:val="center"/>
          </w:tcPr>
          <w:p w14:paraId="44E871BC"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p>
        </w:tc>
      </w:tr>
      <w:tr w:rsidR="008B7E6F" w:rsidRPr="00D108DB" w14:paraId="4371012B" w14:textId="77777777" w:rsidTr="004D2437">
        <w:trPr>
          <w:trHeight w:val="345"/>
        </w:trPr>
        <w:tc>
          <w:tcPr>
            <w:tcW w:w="2895" w:type="dxa"/>
            <w:noWrap/>
            <w:vAlign w:val="center"/>
          </w:tcPr>
          <w:p w14:paraId="60974466"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No CRF: T-score -2.5 vs. No BMD</w:t>
            </w:r>
          </w:p>
        </w:tc>
        <w:tc>
          <w:tcPr>
            <w:tcW w:w="598" w:type="dxa"/>
          </w:tcPr>
          <w:p w14:paraId="1C93486C"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2.3</w:t>
            </w:r>
          </w:p>
        </w:tc>
        <w:tc>
          <w:tcPr>
            <w:tcW w:w="599" w:type="dxa"/>
          </w:tcPr>
          <w:p w14:paraId="4E6CBBE6"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2.</w:t>
            </w:r>
            <w:r>
              <w:rPr>
                <w:rFonts w:asciiTheme="minorHAnsi" w:eastAsia="MS Mincho" w:hAnsiTheme="minorHAnsi" w:cs="Times New Roman"/>
                <w:color w:val="000000"/>
                <w:sz w:val="20"/>
                <w:szCs w:val="20"/>
                <w:lang w:val="en-GB" w:eastAsia="ja-JP"/>
              </w:rPr>
              <w:t>1</w:t>
            </w:r>
          </w:p>
        </w:tc>
        <w:tc>
          <w:tcPr>
            <w:tcW w:w="599" w:type="dxa"/>
            <w:noWrap/>
            <w:vAlign w:val="center"/>
          </w:tcPr>
          <w:p w14:paraId="699E2A8F"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2.0</w:t>
            </w:r>
          </w:p>
        </w:tc>
        <w:tc>
          <w:tcPr>
            <w:tcW w:w="599" w:type="dxa"/>
            <w:noWrap/>
            <w:vAlign w:val="center"/>
          </w:tcPr>
          <w:p w14:paraId="451AB481"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w:t>
            </w:r>
            <w:r>
              <w:rPr>
                <w:rFonts w:asciiTheme="minorHAnsi" w:eastAsia="MS Mincho" w:hAnsiTheme="minorHAnsi" w:cs="Times New Roman"/>
                <w:color w:val="000000"/>
                <w:sz w:val="20"/>
                <w:szCs w:val="20"/>
                <w:lang w:val="en-GB" w:eastAsia="ja-JP"/>
              </w:rPr>
              <w:t>8</w:t>
            </w:r>
          </w:p>
        </w:tc>
        <w:tc>
          <w:tcPr>
            <w:tcW w:w="599" w:type="dxa"/>
            <w:noWrap/>
            <w:vAlign w:val="center"/>
          </w:tcPr>
          <w:p w14:paraId="58BDF8A7"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1.7</w:t>
            </w:r>
          </w:p>
        </w:tc>
        <w:tc>
          <w:tcPr>
            <w:tcW w:w="599" w:type="dxa"/>
            <w:noWrap/>
            <w:vAlign w:val="center"/>
          </w:tcPr>
          <w:p w14:paraId="6C964F70"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w:t>
            </w:r>
            <w:r>
              <w:rPr>
                <w:rFonts w:asciiTheme="minorHAnsi" w:eastAsia="MS Mincho" w:hAnsiTheme="minorHAnsi" w:cs="Times New Roman"/>
                <w:color w:val="000000"/>
                <w:sz w:val="20"/>
                <w:szCs w:val="20"/>
                <w:lang w:val="en-GB" w:eastAsia="ja-JP"/>
              </w:rPr>
              <w:t>5</w:t>
            </w:r>
          </w:p>
        </w:tc>
        <w:tc>
          <w:tcPr>
            <w:tcW w:w="599" w:type="dxa"/>
            <w:noWrap/>
            <w:vAlign w:val="center"/>
          </w:tcPr>
          <w:p w14:paraId="52860A0C"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w:t>
            </w:r>
            <w:r>
              <w:rPr>
                <w:rFonts w:asciiTheme="minorHAnsi" w:eastAsia="MS Mincho" w:hAnsiTheme="minorHAnsi" w:cs="Times New Roman"/>
                <w:color w:val="000000"/>
                <w:sz w:val="20"/>
                <w:szCs w:val="20"/>
                <w:lang w:val="en-GB" w:eastAsia="ja-JP"/>
              </w:rPr>
              <w:t>3</w:t>
            </w:r>
          </w:p>
        </w:tc>
        <w:tc>
          <w:tcPr>
            <w:tcW w:w="599" w:type="dxa"/>
            <w:noWrap/>
            <w:vAlign w:val="center"/>
          </w:tcPr>
          <w:p w14:paraId="55D8B3B0"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1.1</w:t>
            </w:r>
          </w:p>
        </w:tc>
        <w:tc>
          <w:tcPr>
            <w:tcW w:w="599" w:type="dxa"/>
            <w:noWrap/>
            <w:vAlign w:val="center"/>
          </w:tcPr>
          <w:p w14:paraId="11F9B574"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Pr>
                <w:rFonts w:asciiTheme="minorHAnsi" w:eastAsia="MS Mincho" w:hAnsiTheme="minorHAnsi" w:cs="Times New Roman"/>
                <w:color w:val="000000"/>
                <w:sz w:val="20"/>
                <w:szCs w:val="20"/>
                <w:lang w:val="en-GB" w:eastAsia="ja-JP"/>
              </w:rPr>
              <w:t>0.9</w:t>
            </w:r>
          </w:p>
        </w:tc>
        <w:tc>
          <w:tcPr>
            <w:tcW w:w="599" w:type="dxa"/>
            <w:noWrap/>
            <w:vAlign w:val="center"/>
          </w:tcPr>
          <w:p w14:paraId="4F7F8EC2"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0.</w:t>
            </w:r>
            <w:r>
              <w:rPr>
                <w:rFonts w:asciiTheme="minorHAnsi" w:eastAsia="MS Mincho" w:hAnsiTheme="minorHAnsi" w:cs="Times New Roman"/>
                <w:color w:val="000000"/>
                <w:sz w:val="20"/>
                <w:szCs w:val="20"/>
                <w:lang w:val="en-GB" w:eastAsia="ja-JP"/>
              </w:rPr>
              <w:t>8</w:t>
            </w:r>
          </w:p>
        </w:tc>
        <w:tc>
          <w:tcPr>
            <w:tcW w:w="599" w:type="dxa"/>
            <w:noWrap/>
            <w:vAlign w:val="center"/>
          </w:tcPr>
          <w:p w14:paraId="420168B5"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0.</w:t>
            </w:r>
            <w:r>
              <w:rPr>
                <w:rFonts w:asciiTheme="minorHAnsi" w:eastAsia="MS Mincho" w:hAnsiTheme="minorHAnsi" w:cs="Times New Roman"/>
                <w:color w:val="000000"/>
                <w:sz w:val="20"/>
                <w:szCs w:val="20"/>
                <w:lang w:val="en-GB" w:eastAsia="ja-JP"/>
              </w:rPr>
              <w:t>7</w:t>
            </w:r>
          </w:p>
        </w:tc>
      </w:tr>
      <w:tr w:rsidR="008B7E6F" w:rsidRPr="00D108DB" w14:paraId="3C3DBEDE" w14:textId="77777777" w:rsidTr="004D2437">
        <w:trPr>
          <w:trHeight w:val="345"/>
        </w:trPr>
        <w:tc>
          <w:tcPr>
            <w:tcW w:w="2895" w:type="dxa"/>
            <w:tcBorders>
              <w:bottom w:val="single" w:sz="12" w:space="0" w:color="auto"/>
            </w:tcBorders>
            <w:noWrap/>
            <w:vAlign w:val="center"/>
          </w:tcPr>
          <w:p w14:paraId="03727AE8"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Previous fracture vs. No CRF</w:t>
            </w:r>
          </w:p>
        </w:tc>
        <w:tc>
          <w:tcPr>
            <w:tcW w:w="598" w:type="dxa"/>
            <w:tcBorders>
              <w:bottom w:val="single" w:sz="12" w:space="0" w:color="auto"/>
            </w:tcBorders>
          </w:tcPr>
          <w:p w14:paraId="47781526"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2.</w:t>
            </w:r>
            <w:r>
              <w:rPr>
                <w:rFonts w:asciiTheme="minorHAnsi" w:eastAsia="MS Mincho" w:hAnsiTheme="minorHAnsi" w:cs="Times New Roman"/>
                <w:color w:val="000000"/>
                <w:sz w:val="20"/>
                <w:szCs w:val="20"/>
                <w:lang w:val="en-GB" w:eastAsia="ja-JP"/>
              </w:rPr>
              <w:t>3</w:t>
            </w:r>
          </w:p>
        </w:tc>
        <w:tc>
          <w:tcPr>
            <w:tcW w:w="599" w:type="dxa"/>
            <w:tcBorders>
              <w:bottom w:val="single" w:sz="12" w:space="0" w:color="auto"/>
            </w:tcBorders>
          </w:tcPr>
          <w:p w14:paraId="6A541BE7"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2.3</w:t>
            </w:r>
          </w:p>
        </w:tc>
        <w:tc>
          <w:tcPr>
            <w:tcW w:w="599" w:type="dxa"/>
            <w:tcBorders>
              <w:bottom w:val="single" w:sz="12" w:space="0" w:color="auto"/>
            </w:tcBorders>
            <w:noWrap/>
            <w:vAlign w:val="center"/>
          </w:tcPr>
          <w:p w14:paraId="6A3C6CB2"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2.2</w:t>
            </w:r>
          </w:p>
        </w:tc>
        <w:tc>
          <w:tcPr>
            <w:tcW w:w="599" w:type="dxa"/>
            <w:tcBorders>
              <w:bottom w:val="single" w:sz="12" w:space="0" w:color="auto"/>
            </w:tcBorders>
            <w:noWrap/>
            <w:vAlign w:val="center"/>
          </w:tcPr>
          <w:p w14:paraId="215EDBCB"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2.</w:t>
            </w:r>
            <w:r>
              <w:rPr>
                <w:rFonts w:asciiTheme="minorHAnsi" w:eastAsia="MS Mincho" w:hAnsiTheme="minorHAnsi" w:cs="Times New Roman"/>
                <w:color w:val="000000"/>
                <w:sz w:val="20"/>
                <w:szCs w:val="20"/>
                <w:lang w:val="en-GB" w:eastAsia="ja-JP"/>
              </w:rPr>
              <w:t>1</w:t>
            </w:r>
          </w:p>
        </w:tc>
        <w:tc>
          <w:tcPr>
            <w:tcW w:w="599" w:type="dxa"/>
            <w:tcBorders>
              <w:bottom w:val="single" w:sz="12" w:space="0" w:color="auto"/>
            </w:tcBorders>
            <w:noWrap/>
            <w:vAlign w:val="center"/>
          </w:tcPr>
          <w:p w14:paraId="7CD261FF"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2.1</w:t>
            </w:r>
          </w:p>
        </w:tc>
        <w:tc>
          <w:tcPr>
            <w:tcW w:w="599" w:type="dxa"/>
            <w:tcBorders>
              <w:bottom w:val="single" w:sz="12" w:space="0" w:color="auto"/>
            </w:tcBorders>
            <w:noWrap/>
            <w:vAlign w:val="center"/>
          </w:tcPr>
          <w:p w14:paraId="658371F6"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Pr>
                <w:rFonts w:asciiTheme="minorHAnsi" w:eastAsia="MS Mincho" w:hAnsiTheme="minorHAnsi" w:cs="Times New Roman"/>
                <w:color w:val="000000"/>
                <w:sz w:val="20"/>
                <w:szCs w:val="20"/>
                <w:lang w:val="en-GB" w:eastAsia="ja-JP"/>
              </w:rPr>
              <w:t>1.9</w:t>
            </w:r>
          </w:p>
        </w:tc>
        <w:tc>
          <w:tcPr>
            <w:tcW w:w="599" w:type="dxa"/>
            <w:tcBorders>
              <w:bottom w:val="single" w:sz="12" w:space="0" w:color="auto"/>
            </w:tcBorders>
            <w:noWrap/>
            <w:vAlign w:val="center"/>
          </w:tcPr>
          <w:p w14:paraId="415FAE80"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Pr>
                <w:rFonts w:asciiTheme="minorHAnsi" w:eastAsia="MS Mincho" w:hAnsiTheme="minorHAnsi" w:cs="Times New Roman"/>
                <w:color w:val="000000"/>
                <w:sz w:val="20"/>
                <w:szCs w:val="20"/>
                <w:lang w:val="en-GB" w:eastAsia="ja-JP"/>
              </w:rPr>
              <w:t>1.9</w:t>
            </w:r>
          </w:p>
        </w:tc>
        <w:tc>
          <w:tcPr>
            <w:tcW w:w="599" w:type="dxa"/>
            <w:tcBorders>
              <w:bottom w:val="single" w:sz="12" w:space="0" w:color="auto"/>
            </w:tcBorders>
            <w:noWrap/>
            <w:vAlign w:val="center"/>
          </w:tcPr>
          <w:p w14:paraId="150043ED"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1.7</w:t>
            </w:r>
          </w:p>
        </w:tc>
        <w:tc>
          <w:tcPr>
            <w:tcW w:w="599" w:type="dxa"/>
            <w:tcBorders>
              <w:bottom w:val="single" w:sz="12" w:space="0" w:color="auto"/>
            </w:tcBorders>
            <w:noWrap/>
            <w:vAlign w:val="center"/>
          </w:tcPr>
          <w:p w14:paraId="7E3A48B2"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w:t>
            </w:r>
            <w:r>
              <w:rPr>
                <w:rFonts w:asciiTheme="minorHAnsi" w:eastAsia="MS Mincho" w:hAnsiTheme="minorHAnsi" w:cs="Times New Roman"/>
                <w:color w:val="000000"/>
                <w:sz w:val="20"/>
                <w:szCs w:val="20"/>
                <w:lang w:val="en-GB" w:eastAsia="ja-JP"/>
              </w:rPr>
              <w:t>5</w:t>
            </w:r>
          </w:p>
        </w:tc>
        <w:tc>
          <w:tcPr>
            <w:tcW w:w="599" w:type="dxa"/>
            <w:tcBorders>
              <w:bottom w:val="single" w:sz="12" w:space="0" w:color="auto"/>
            </w:tcBorders>
            <w:noWrap/>
            <w:vAlign w:val="center"/>
          </w:tcPr>
          <w:p w14:paraId="34404C5A"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1.6</w:t>
            </w:r>
          </w:p>
        </w:tc>
        <w:tc>
          <w:tcPr>
            <w:tcW w:w="599" w:type="dxa"/>
            <w:tcBorders>
              <w:bottom w:val="single" w:sz="12" w:space="0" w:color="auto"/>
            </w:tcBorders>
            <w:noWrap/>
            <w:vAlign w:val="center"/>
          </w:tcPr>
          <w:p w14:paraId="686E0034" w14:textId="77777777" w:rsidR="008B7E6F" w:rsidRPr="00D108DB" w:rsidRDefault="008B7E6F" w:rsidP="004D2437">
            <w:pPr>
              <w:spacing w:before="60" w:after="60" w:line="240" w:lineRule="auto"/>
              <w:jc w:val="center"/>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000000"/>
                <w:sz w:val="20"/>
                <w:szCs w:val="20"/>
                <w:lang w:val="en-GB" w:eastAsia="ja-JP"/>
              </w:rPr>
              <w:t>1.6</w:t>
            </w:r>
          </w:p>
        </w:tc>
      </w:tr>
      <w:tr w:rsidR="008B7E6F" w:rsidRPr="00D108DB" w14:paraId="62BA4B78" w14:textId="77777777" w:rsidTr="004D2437">
        <w:trPr>
          <w:trHeight w:val="345"/>
        </w:trPr>
        <w:tc>
          <w:tcPr>
            <w:tcW w:w="9483" w:type="dxa"/>
            <w:gridSpan w:val="12"/>
            <w:tcBorders>
              <w:top w:val="single" w:sz="12" w:space="0" w:color="auto"/>
            </w:tcBorders>
          </w:tcPr>
          <w:p w14:paraId="28C8532C" w14:textId="77777777" w:rsidR="008B7E6F" w:rsidRPr="00D108DB" w:rsidRDefault="008B7E6F" w:rsidP="004D2437">
            <w:pPr>
              <w:spacing w:before="60" w:after="60" w:line="240" w:lineRule="auto"/>
              <w:rPr>
                <w:rFonts w:asciiTheme="minorHAnsi" w:eastAsia="MS Mincho" w:hAnsiTheme="minorHAnsi" w:cs="Times New Roman"/>
                <w:color w:val="000000"/>
                <w:sz w:val="20"/>
                <w:szCs w:val="20"/>
                <w:lang w:val="en-GB" w:eastAsia="ja-JP"/>
              </w:rPr>
            </w:pPr>
            <w:r w:rsidRPr="00D108DB">
              <w:rPr>
                <w:rFonts w:asciiTheme="minorHAnsi" w:eastAsia="MS Mincho" w:hAnsiTheme="minorHAnsi" w:cs="Times New Roman"/>
                <w:color w:val="auto"/>
                <w:sz w:val="20"/>
                <w:szCs w:val="20"/>
                <w:vertAlign w:val="superscript"/>
                <w:lang w:val="en-GB" w:eastAsia="ja-JP"/>
              </w:rPr>
              <w:t>a</w:t>
            </w:r>
            <w:r w:rsidRPr="00D108DB">
              <w:rPr>
                <w:rFonts w:asciiTheme="minorHAnsi" w:eastAsia="MS Mincho" w:hAnsiTheme="minorHAnsi" w:cs="Times New Roman"/>
                <w:color w:val="auto"/>
                <w:sz w:val="20"/>
                <w:szCs w:val="20"/>
                <w:lang w:val="en-GB" w:eastAsia="ja-JP"/>
              </w:rPr>
              <w:t xml:space="preserve"> No other clinical risk factors</w:t>
            </w:r>
          </w:p>
        </w:tc>
      </w:tr>
    </w:tbl>
    <w:p w14:paraId="144A5D23" w14:textId="77777777" w:rsidR="008B7E6F" w:rsidRDefault="008B7E6F" w:rsidP="008B7E6F">
      <w:pPr>
        <w:spacing w:after="120" w:line="240" w:lineRule="auto"/>
        <w:rPr>
          <w:rFonts w:ascii="Times New Roman" w:hAnsi="Times New Roman" w:cs="Times New Roman"/>
          <w:sz w:val="21"/>
          <w:szCs w:val="21"/>
        </w:rPr>
      </w:pPr>
    </w:p>
    <w:p w14:paraId="738610EB" w14:textId="77777777" w:rsidR="008B7E6F" w:rsidRDefault="008B7E6F" w:rsidP="008B7E6F">
      <w:pPr>
        <w:spacing w:after="120" w:line="240" w:lineRule="auto"/>
        <w:rPr>
          <w:rFonts w:ascii="Times New Roman" w:hAnsi="Times New Roman" w:cs="Times New Roman"/>
          <w:sz w:val="21"/>
          <w:szCs w:val="21"/>
        </w:rPr>
      </w:pPr>
    </w:p>
    <w:p w14:paraId="637805D2" w14:textId="77777777" w:rsidR="008B7E6F" w:rsidRDefault="008B7E6F" w:rsidP="008B7E6F">
      <w:pPr>
        <w:spacing w:after="120" w:line="240" w:lineRule="auto"/>
        <w:rPr>
          <w:rFonts w:ascii="Times New Roman" w:hAnsi="Times New Roman" w:cs="Times New Roman"/>
          <w:sz w:val="21"/>
          <w:szCs w:val="21"/>
        </w:rPr>
      </w:pPr>
    </w:p>
    <w:p w14:paraId="463F29E8" w14:textId="77777777" w:rsidR="008B7E6F" w:rsidRDefault="008B7E6F">
      <w:pPr>
        <w:autoSpaceDE/>
        <w:autoSpaceDN/>
        <w:adjustRightInd/>
        <w:spacing w:after="160" w:line="259" w:lineRule="auto"/>
        <w:jc w:val="left"/>
        <w:rPr>
          <w:rFonts w:asciiTheme="minorHAnsi" w:hAnsiTheme="minorHAnsi" w:cs="Times New Roman"/>
        </w:rPr>
      </w:pPr>
      <w:r>
        <w:rPr>
          <w:rFonts w:asciiTheme="minorHAnsi" w:hAnsiTheme="minorHAnsi" w:cs="Times New Roman"/>
        </w:rPr>
        <w:br w:type="page"/>
      </w:r>
    </w:p>
    <w:p w14:paraId="071E4E01" w14:textId="77777777" w:rsidR="008B7E6F" w:rsidRDefault="008B7E6F" w:rsidP="00AD09CD">
      <w:pPr>
        <w:autoSpaceDE/>
        <w:autoSpaceDN/>
        <w:adjustRightInd/>
        <w:spacing w:after="0" w:line="240" w:lineRule="auto"/>
        <w:jc w:val="left"/>
        <w:rPr>
          <w:rFonts w:asciiTheme="minorHAnsi" w:hAnsiTheme="minorHAnsi" w:cs="Times New Roman"/>
          <w:b/>
          <w:bCs/>
          <w:lang w:val="uz-Cyrl-UZ"/>
        </w:rPr>
      </w:pPr>
      <w:r w:rsidRPr="008B7E6F">
        <w:rPr>
          <w:rFonts w:asciiTheme="minorHAnsi" w:hAnsiTheme="minorHAnsi" w:cs="Times New Roman"/>
          <w:b/>
          <w:bCs/>
          <w:lang w:val="uz-Cyrl-UZ"/>
        </w:rPr>
        <w:lastRenderedPageBreak/>
        <w:t>References</w:t>
      </w:r>
    </w:p>
    <w:p w14:paraId="5A167108" w14:textId="77777777" w:rsidR="008B7E6F" w:rsidRPr="008B7E6F" w:rsidRDefault="008B7E6F" w:rsidP="008B7E6F">
      <w:pPr>
        <w:widowControl w:val="0"/>
        <w:spacing w:after="0" w:line="240" w:lineRule="auto"/>
        <w:ind w:left="640" w:hanging="640"/>
        <w:rPr>
          <w:rFonts w:ascii="Calibri" w:hAnsi="Calibri" w:cs="Calibri"/>
          <w:noProof/>
        </w:rPr>
      </w:pPr>
      <w:r>
        <w:rPr>
          <w:rFonts w:asciiTheme="minorHAnsi" w:hAnsiTheme="minorHAnsi" w:cs="Times New Roman"/>
          <w:b/>
          <w:bCs/>
          <w:lang w:val="uz-Cyrl-UZ"/>
        </w:rPr>
        <w:fldChar w:fldCharType="begin" w:fldLock="1"/>
      </w:r>
      <w:r>
        <w:rPr>
          <w:rFonts w:asciiTheme="minorHAnsi" w:hAnsiTheme="minorHAnsi" w:cs="Times New Roman"/>
          <w:b/>
          <w:bCs/>
          <w:lang w:val="uz-Cyrl-UZ"/>
        </w:rPr>
        <w:instrText xml:space="preserve">ADDIN Mendeley Bibliography CSL_BIBLIOGRAPHY </w:instrText>
      </w:r>
      <w:r>
        <w:rPr>
          <w:rFonts w:asciiTheme="minorHAnsi" w:hAnsiTheme="minorHAnsi" w:cs="Times New Roman"/>
          <w:b/>
          <w:bCs/>
          <w:lang w:val="uz-Cyrl-UZ"/>
        </w:rPr>
        <w:fldChar w:fldCharType="separate"/>
      </w:r>
      <w:r w:rsidRPr="008B7E6F">
        <w:rPr>
          <w:rFonts w:ascii="Calibri" w:hAnsi="Calibri" w:cs="Calibri"/>
          <w:noProof/>
        </w:rPr>
        <w:t xml:space="preserve">1. </w:t>
      </w:r>
      <w:r w:rsidRPr="008B7E6F">
        <w:rPr>
          <w:rFonts w:ascii="Calibri" w:hAnsi="Calibri" w:cs="Calibri"/>
          <w:noProof/>
        </w:rPr>
        <w:tab/>
        <w:t xml:space="preserve">World Health Organization. Assessment of fracture risk and its application to screening for postmenopausal osteoporosis. Geneva; 1994. </w:t>
      </w:r>
    </w:p>
    <w:p w14:paraId="657D4B03"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2. </w:t>
      </w:r>
      <w:r w:rsidRPr="008B7E6F">
        <w:rPr>
          <w:rFonts w:ascii="Calibri" w:hAnsi="Calibri" w:cs="Calibri"/>
          <w:noProof/>
        </w:rPr>
        <w:tab/>
        <w:t xml:space="preserve">Kanis JA, Melton LJ 3rd, Christiansen C, Johnston CC, Khaltaev N. The diagnosis of osteoporosis. J Bone Min Res. 1994;9(8):1137–41. </w:t>
      </w:r>
    </w:p>
    <w:p w14:paraId="12AF145A"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3. </w:t>
      </w:r>
      <w:r w:rsidRPr="008B7E6F">
        <w:rPr>
          <w:rFonts w:ascii="Calibri" w:hAnsi="Calibri" w:cs="Calibri"/>
          <w:noProof/>
        </w:rPr>
        <w:tab/>
        <w:t>Kanis JA, McCloskey E V., Johansson H, Oden A, Melton LJ, Khaltaev N. A reference standard for the description of osteoporosis. Bone [Internet]. 2008 Mar [cited 2017 Jun 6];42(3):467–75. Available from: http://www.ncbi.nlm.nih.gov/pubmed/18180210</w:t>
      </w:r>
    </w:p>
    <w:p w14:paraId="288D247E"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4. </w:t>
      </w:r>
      <w:r w:rsidRPr="008B7E6F">
        <w:rPr>
          <w:rFonts w:ascii="Calibri" w:hAnsi="Calibri" w:cs="Calibri"/>
          <w:noProof/>
        </w:rPr>
        <w:tab/>
        <w:t>Marshall D, Johnell O, Wedel H. Meta-analysis of how well measures of bone mineral density predict occurrence of osteoporotic fractures. BMJ [Internet]. 1996 May 18 [cited 2019 Feb 18];312(7041):1254–9. Available from: http://www.ncbi.nlm.nih.gov/pubmed/8634613</w:t>
      </w:r>
    </w:p>
    <w:p w14:paraId="5C77BEDD"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5. </w:t>
      </w:r>
      <w:r w:rsidRPr="008B7E6F">
        <w:rPr>
          <w:rFonts w:ascii="Calibri" w:hAnsi="Calibri" w:cs="Calibri"/>
          <w:noProof/>
        </w:rPr>
        <w:tab/>
        <w:t>Johnell O, Kanis JA, Oden A, Johansson H, De Laet C, Delmas P, et al. Predictive Value of BMD for Hip and Other Fractures. J Bone Miner Res [Internet]. 2005 Mar 7 [cited 2019 Apr 9];20(7):1185–94. Available from: http://doi.wiley.com/10.1359/JBMR.050304</w:t>
      </w:r>
    </w:p>
    <w:p w14:paraId="084DFB73"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6. </w:t>
      </w:r>
      <w:r w:rsidRPr="008B7E6F">
        <w:rPr>
          <w:rFonts w:ascii="Calibri" w:hAnsi="Calibri" w:cs="Calibri"/>
          <w:noProof/>
        </w:rPr>
        <w:tab/>
        <w:t xml:space="preserve">Osteoporosis Research Center E and MRI. Osteoporosis guideline. Tehran: Endocrinology and Metabolism Research Institute; 2014. </w:t>
      </w:r>
    </w:p>
    <w:p w14:paraId="66549066"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7. </w:t>
      </w:r>
      <w:r w:rsidRPr="008B7E6F">
        <w:rPr>
          <w:rFonts w:ascii="Calibri" w:hAnsi="Calibri" w:cs="Calibri"/>
          <w:noProof/>
        </w:rPr>
        <w:tab/>
        <w:t>El-Hajj Fuleihan G, Adib G, Nauroy L. Epidemiology, costs &amp;amp; burden of osteoporosis in 2011. The Middle East &amp;amp; Africa regional audit. [Internet]. 2011. Available from: https://www.iofbonehealth.org/data-publications/regional-audits/middle-east-africa-audit</w:t>
      </w:r>
    </w:p>
    <w:p w14:paraId="18868613"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8. </w:t>
      </w:r>
      <w:r w:rsidRPr="008B7E6F">
        <w:rPr>
          <w:rFonts w:ascii="Calibri" w:hAnsi="Calibri" w:cs="Calibri"/>
          <w:noProof/>
        </w:rPr>
        <w:tab/>
        <w:t xml:space="preserve">Kanis JA, Johnell O. Requirements for DXA for the management of osteoporosis in Europe. Osteoporos Int [Internet]. 2005 Mar 24 [cited 2019 Apr 9];16(3):229–38. Available from: </w:t>
      </w:r>
      <w:r w:rsidRPr="008B7E6F">
        <w:rPr>
          <w:rFonts w:ascii="Calibri" w:hAnsi="Calibri" w:cs="Calibri"/>
          <w:noProof/>
        </w:rPr>
        <w:lastRenderedPageBreak/>
        <w:t>http://www.ncbi.nlm.nih.gov/pubmed/15618996</w:t>
      </w:r>
    </w:p>
    <w:p w14:paraId="09A834AF"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9. </w:t>
      </w:r>
      <w:r w:rsidRPr="008B7E6F">
        <w:rPr>
          <w:rFonts w:ascii="Calibri" w:hAnsi="Calibri" w:cs="Calibri"/>
          <w:noProof/>
        </w:rPr>
        <w:tab/>
        <w:t>Khashayar P, Aghaei Meybodi HR, Homami MR, Heshmat R, Larijani B. The Prevalence of Osteoporosis in an Iranian Population. J Clin Densitom [Internet]. 2010 Jan [cited 2016 Nov 4];13(1):112. Available from: http://linkinghub.elsevier.com/retrieve/pii/S1094695010000235</w:t>
      </w:r>
    </w:p>
    <w:p w14:paraId="36497645"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10. </w:t>
      </w:r>
      <w:r w:rsidRPr="008B7E6F">
        <w:rPr>
          <w:rFonts w:ascii="Calibri" w:hAnsi="Calibri" w:cs="Calibri"/>
          <w:noProof/>
        </w:rPr>
        <w:tab/>
        <w:t xml:space="preserve">Ghafoori S, Keshtkar A, Khashayar P, Ebrahimi M, Ramezani M, Mohammadi Z, et al. The risk of osteoporotic fractures and its associating risk factors according to the FRAX model in the Iranian patients: A follow-up cohort. J Diabetes Metab Disord. 2014;13(1). </w:t>
      </w:r>
    </w:p>
    <w:p w14:paraId="49A92158"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11. </w:t>
      </w:r>
      <w:r w:rsidRPr="008B7E6F">
        <w:rPr>
          <w:rFonts w:ascii="Calibri" w:hAnsi="Calibri" w:cs="Calibri"/>
          <w:noProof/>
        </w:rPr>
        <w:tab/>
        <w:t>Kanis JA on behalf of the World Health Organization Scientific Group. Assessment of osteoporosis at the primary health care level [Internet]. 2007 [cited 2017 Jun 6]. Available from: https://www.sheffield.ac.uk/FRAX/pdfs/WHO_Technical_Report.pdf</w:t>
      </w:r>
    </w:p>
    <w:p w14:paraId="12BEFB8F"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12. </w:t>
      </w:r>
      <w:r w:rsidRPr="008B7E6F">
        <w:rPr>
          <w:rFonts w:ascii="Calibri" w:hAnsi="Calibri" w:cs="Calibri"/>
          <w:noProof/>
        </w:rPr>
        <w:tab/>
        <w:t>Kanis JA, McCloskey E V., Johansson H, Strom O, Borgstrom F, Oden A, et al. Case finding for the management of osteoporosis with FRAX®—assessment and intervention thresholds for the UK. Osteoporos Int [Internet]. 2008 Oct 28 [cited 2019 Apr 9];19(10):1395–408. Available from: http://www.ncbi.nlm.nih.gov/pubmed/18751937</w:t>
      </w:r>
    </w:p>
    <w:p w14:paraId="79CF0246"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13. </w:t>
      </w:r>
      <w:r w:rsidRPr="008B7E6F">
        <w:rPr>
          <w:rFonts w:ascii="Calibri" w:hAnsi="Calibri" w:cs="Calibri"/>
          <w:noProof/>
        </w:rPr>
        <w:tab/>
        <w:t>Kanis JA, Harvey NC, Cooper C, Johansson H, Odén A, McCloskey E V., et al. A systematic review of intervention thresholds based on FRAX. Arch Osteoporos [Internet]. 2016 Dec 27 [cited 2019 Apr 9];11(1):25. Available from: http://www.ncbi.nlm.nih.gov/pubmed/27465509</w:t>
      </w:r>
    </w:p>
    <w:p w14:paraId="6AFE04A8"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14. </w:t>
      </w:r>
      <w:r w:rsidRPr="008B7E6F">
        <w:rPr>
          <w:rFonts w:ascii="Calibri" w:hAnsi="Calibri" w:cs="Calibri"/>
          <w:noProof/>
        </w:rPr>
        <w:tab/>
        <w:t xml:space="preserve">Looker AC, Wahner HW, Dunn WL, Calvo MS, Harris TB, Heyse SP, et al. Updated data on proximal femur bone mineral levels of US adults. Osteoporos Int [Internet]. 1998 [cited 2019 Apr 9];8(5):468–89. Available from: </w:t>
      </w:r>
      <w:r w:rsidRPr="008B7E6F">
        <w:rPr>
          <w:rFonts w:ascii="Calibri" w:hAnsi="Calibri" w:cs="Calibri"/>
          <w:noProof/>
        </w:rPr>
        <w:lastRenderedPageBreak/>
        <w:t>http://www.ncbi.nlm.nih.gov/pubmed/9850356</w:t>
      </w:r>
    </w:p>
    <w:p w14:paraId="29F84968"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15. </w:t>
      </w:r>
      <w:r w:rsidRPr="008B7E6F">
        <w:rPr>
          <w:rFonts w:ascii="Calibri" w:hAnsi="Calibri" w:cs="Calibri"/>
          <w:noProof/>
        </w:rPr>
        <w:tab/>
        <w:t>De Laet C, Kanis JA, Odén A, Johanson H, Johnell O, Delmas P, et al. Body mass index as a predictor of fracture risk: A meta-analysis. Osteoporos Int [Internet]. 2005 Nov 1 [cited 2019 Apr 9];16(11):1330–8. Available from: http://link.springer.com/10.1007/s00198-005-1863-y</w:t>
      </w:r>
    </w:p>
    <w:p w14:paraId="67D042E6"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16. </w:t>
      </w:r>
      <w:r w:rsidRPr="008B7E6F">
        <w:rPr>
          <w:rFonts w:ascii="Calibri" w:hAnsi="Calibri" w:cs="Calibri"/>
          <w:noProof/>
        </w:rPr>
        <w:tab/>
        <w:t>Kanis JA, Oden A, Johnell O, Johansson H, De Laet C, Brown J, et al. The use of clinical risk factors enhances the performance of BMD in the prediction of hip and osteoporotic fractures in men and women. Osteoporos Int [Internet]. 2007 Aug 24 [cited 2019 Apr 9];18(8):1033–46. Available from: http://www.ncbi.nlm.nih.gov/pubmed/17323110</w:t>
      </w:r>
    </w:p>
    <w:p w14:paraId="4E5A6995"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17. </w:t>
      </w:r>
      <w:r w:rsidRPr="008B7E6F">
        <w:rPr>
          <w:rFonts w:ascii="Calibri" w:hAnsi="Calibri" w:cs="Calibri"/>
          <w:noProof/>
        </w:rPr>
        <w:tab/>
        <w:t>Johansson H, Oden A, Johnell O, Jonsson B, de Laet C, Oglesby A, et al. Optimization of BMD Measurements to Identify High Risk Groups for Treatment-A Test Analysis. J Bone Miner Res [Internet]. 2004 Jun 1 [cited 2019 Apr 9];19(6):906–13. Available from: http://doi.wiley.com/10.1359/jbmr.2004.19.6.906</w:t>
      </w:r>
    </w:p>
    <w:p w14:paraId="6BF69C96"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18. </w:t>
      </w:r>
      <w:r w:rsidRPr="008B7E6F">
        <w:rPr>
          <w:rFonts w:ascii="Calibri" w:hAnsi="Calibri" w:cs="Calibri"/>
          <w:noProof/>
        </w:rPr>
        <w:tab/>
        <w:t>Leslie WD, Majumdar SR, Lix LM, Johansson H, Oden A, McCloskey E, et al. High fracture probability with FRAX® usually indicates densitometric osteoporosis: implications for clinical practice. Osteoporos Int [Internet]. 2012 Jan 2 [cited 2019 Apr 9];23(1):391–7. Available from: http://www.ncbi.nlm.nih.gov/pubmed/21365460</w:t>
      </w:r>
    </w:p>
    <w:p w14:paraId="26D2FA59"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19. </w:t>
      </w:r>
      <w:r w:rsidRPr="008B7E6F">
        <w:rPr>
          <w:rFonts w:ascii="Calibri" w:hAnsi="Calibri" w:cs="Calibri"/>
          <w:noProof/>
        </w:rPr>
        <w:tab/>
        <w:t>Kanis JA, Cooper C, Rizzoli R, Reginster J-Y. European guidance for the diagnosis and management of osteoporosis in postmenopausal women. Osteoporos Int [Internet]. 2019 Jan 15 [cited 2019 Apr 9];30(1):3–44. Available from: http://link.springer.com/10.1007/s00198-018-4704-5</w:t>
      </w:r>
    </w:p>
    <w:p w14:paraId="6AAE3BA4"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20. </w:t>
      </w:r>
      <w:r w:rsidRPr="008B7E6F">
        <w:rPr>
          <w:rFonts w:ascii="Calibri" w:hAnsi="Calibri" w:cs="Calibri"/>
          <w:noProof/>
        </w:rPr>
        <w:tab/>
        <w:t xml:space="preserve">Johansson H, Azizieh F, al Ali N, Alessa T, Harvey NC, McCloskey E, et al. FRAX- vs. T-score-based intervention </w:t>
      </w:r>
      <w:r w:rsidRPr="008B7E6F">
        <w:rPr>
          <w:rFonts w:ascii="Calibri" w:hAnsi="Calibri" w:cs="Calibri"/>
          <w:noProof/>
        </w:rPr>
        <w:lastRenderedPageBreak/>
        <w:t>thresholds for osteoporosis. Osteoporos Int [Internet]. 2017 Nov 7 [cited 2019 Apr 9];28(11):3099–105. Available from: http://www.ncbi.nlm.nih.gov/pubmed/28782072</w:t>
      </w:r>
    </w:p>
    <w:p w14:paraId="146EC0F4"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21. </w:t>
      </w:r>
      <w:r w:rsidRPr="008B7E6F">
        <w:rPr>
          <w:rFonts w:ascii="Calibri" w:hAnsi="Calibri" w:cs="Calibri"/>
          <w:noProof/>
        </w:rPr>
        <w:tab/>
        <w:t>Grigorie D, Sucaliuc A, Johansson H, Kanis JA, McCloskey E. Incidence of Hip Fracture in Romania and the Development of a Romanian FRAX Model. Calcif Tissue Int [Internet]. 2013 May 19 [cited 2019 Apr 9];92(5):429–36. Available from: http://link.springer.com/10.1007/s00223-013-9697-7</w:t>
      </w:r>
    </w:p>
    <w:p w14:paraId="5D9E597F"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22. </w:t>
      </w:r>
      <w:r w:rsidRPr="008B7E6F">
        <w:rPr>
          <w:rFonts w:ascii="Calibri" w:hAnsi="Calibri" w:cs="Calibri"/>
          <w:noProof/>
        </w:rPr>
        <w:tab/>
        <w:t>Kanis JA, McCloskey E V, Harvey NC, Johansson H, Leslie WD. Intervention Thresholds and the Diagnosis of Osteoporosis. J Bone Miner Res [Internet]. 2015 Oct [cited 2019 Apr 9];30(10):1747–53. Available from: http://www.ncbi.nlm.nih.gov/pubmed/26390977</w:t>
      </w:r>
    </w:p>
    <w:p w14:paraId="53FAACB6"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23. </w:t>
      </w:r>
      <w:r w:rsidRPr="008B7E6F">
        <w:rPr>
          <w:rFonts w:ascii="Calibri" w:hAnsi="Calibri" w:cs="Calibri"/>
          <w:noProof/>
        </w:rPr>
        <w:tab/>
        <w:t>Kanis JA, Johnell O, Oden A, Jonsson B, De Laet C, Dawson A. Risk of hip fracture according to the World Health Organization criteria for osteopenia and osteoporosis. Bone [Internet]. 2000 Nov [cited 2019 Apr 9];27(5):585–90. Available from: http://www.ncbi.nlm.nih.gov/pubmed/11062343</w:t>
      </w:r>
    </w:p>
    <w:p w14:paraId="25C0C172"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24. </w:t>
      </w:r>
      <w:r w:rsidRPr="008B7E6F">
        <w:rPr>
          <w:rFonts w:ascii="Calibri" w:hAnsi="Calibri" w:cs="Calibri"/>
          <w:noProof/>
        </w:rPr>
        <w:tab/>
        <w:t>Johansson H, Kanis JA, Oden A, Johnell O, McCloskey E. BMD, clinical risk factors and their combination for hip fracture prevention. Osteoporos Int [Internet]. 2009 Oct 17 [cited 2019 Apr 9];20(10):1675–82. Available from: http://www.ncbi.nlm.nih.gov/pubmed/19291344</w:t>
      </w:r>
    </w:p>
    <w:p w14:paraId="7693F862" w14:textId="77777777" w:rsidR="008B7E6F" w:rsidRPr="008B7E6F" w:rsidRDefault="008B7E6F" w:rsidP="008B7E6F">
      <w:pPr>
        <w:widowControl w:val="0"/>
        <w:spacing w:after="0" w:line="240" w:lineRule="auto"/>
        <w:ind w:left="640" w:hanging="640"/>
        <w:rPr>
          <w:rFonts w:ascii="Calibri" w:hAnsi="Calibri" w:cs="Calibri"/>
          <w:noProof/>
        </w:rPr>
      </w:pPr>
      <w:r w:rsidRPr="008B7E6F">
        <w:rPr>
          <w:rFonts w:ascii="Calibri" w:hAnsi="Calibri" w:cs="Calibri"/>
          <w:noProof/>
        </w:rPr>
        <w:t xml:space="preserve">25. </w:t>
      </w:r>
      <w:r w:rsidRPr="008B7E6F">
        <w:rPr>
          <w:rFonts w:ascii="Calibri" w:hAnsi="Calibri" w:cs="Calibri"/>
          <w:noProof/>
        </w:rPr>
        <w:tab/>
        <w:t>Compston J, Cooper A, Cooper C, Gittoes N, Gregson C, Harvey N, et al. UK clinical guideline for the prevention and treatment of osteoporosis. Arch Osteoporos [Internet]. 2017 Dec 19 [cited 2019 Apr 9];12(1):43. Available from: http://www.ncbi.nlm.nih.gov/pubmed/28425085</w:t>
      </w:r>
    </w:p>
    <w:p w14:paraId="3B7B4B86" w14:textId="77777777" w:rsidR="008B7E6F" w:rsidRPr="008B7E6F" w:rsidRDefault="008B7E6F" w:rsidP="008B7E6F">
      <w:pPr>
        <w:autoSpaceDE/>
        <w:autoSpaceDN/>
        <w:adjustRightInd/>
        <w:spacing w:after="0" w:line="240" w:lineRule="auto"/>
        <w:jc w:val="left"/>
        <w:rPr>
          <w:rFonts w:asciiTheme="minorHAnsi" w:hAnsiTheme="minorHAnsi" w:cs="Times New Roman"/>
          <w:b/>
          <w:bCs/>
          <w:lang w:val="uz-Cyrl-UZ"/>
        </w:rPr>
      </w:pPr>
      <w:r>
        <w:rPr>
          <w:rFonts w:asciiTheme="minorHAnsi" w:hAnsiTheme="minorHAnsi" w:cs="Times New Roman"/>
          <w:b/>
          <w:bCs/>
          <w:lang w:val="uz-Cyrl-UZ"/>
        </w:rPr>
        <w:fldChar w:fldCharType="end"/>
      </w:r>
    </w:p>
    <w:p w14:paraId="3A0FF5F2" w14:textId="77777777" w:rsidR="000A0AAA" w:rsidRDefault="000A0AAA"/>
    <w:sectPr w:rsidR="000A0AAA" w:rsidSect="000069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vTT50a2f13e.I">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egoe UI">
    <w:altName w:val="Neiriz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dvTT3713a231+22">
    <w:altName w:val="MS Mincho"/>
    <w:panose1 w:val="00000000000000000000"/>
    <w:charset w:val="80"/>
    <w:family w:val="auto"/>
    <w:notTrueType/>
    <w:pitch w:val="default"/>
    <w:sig w:usb0="00000001" w:usb1="08070000" w:usb2="00000010" w:usb3="00000000" w:csb0="00020000"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CD"/>
    <w:rsid w:val="00006966"/>
    <w:rsid w:val="000A0AAA"/>
    <w:rsid w:val="000A6479"/>
    <w:rsid w:val="00596CBE"/>
    <w:rsid w:val="008B7E6F"/>
    <w:rsid w:val="009F0B67"/>
    <w:rsid w:val="00A40EBC"/>
    <w:rsid w:val="00AD09CD"/>
    <w:rsid w:val="00B444C9"/>
    <w:rsid w:val="00C9790D"/>
    <w:rsid w:val="00CA5BD7"/>
    <w:rsid w:val="00CD1EBE"/>
    <w:rsid w:val="00CF3B63"/>
    <w:rsid w:val="00DD0EE2"/>
    <w:rsid w:val="00EF3DAA"/>
    <w:rsid w:val="00F25958"/>
    <w:rsid w:val="00F87B5B"/>
    <w:rsid w:val="0AE61028"/>
    <w:rsid w:val="57898B59"/>
    <w:rsid w:val="6B975584"/>
    <w:rsid w:val="6BA153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8B1D72"/>
  <w15:docId w15:val="{F0C9285E-ED83-4500-B4FB-CA4C7FDF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CD"/>
    <w:pPr>
      <w:autoSpaceDE w:val="0"/>
      <w:autoSpaceDN w:val="0"/>
      <w:adjustRightInd w:val="0"/>
      <w:spacing w:after="240" w:line="276" w:lineRule="auto"/>
      <w:jc w:val="both"/>
    </w:pPr>
    <w:rPr>
      <w:rFonts w:ascii="AdvTT50a2f13e.I" w:eastAsia="Calibri" w:hAnsi="AdvTT50a2f13e.I" w:cs="AdvTT50a2f13e.I"/>
      <w:color w:val="13141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D09CD"/>
    <w:rPr>
      <w:rFonts w:cs="Times New Roman"/>
      <w:color w:val="0000FF"/>
      <w:u w:val="single"/>
    </w:rPr>
  </w:style>
  <w:style w:type="table" w:styleId="TableGrid">
    <w:name w:val="Table Grid"/>
    <w:basedOn w:val="TableNormal"/>
    <w:rsid w:val="00AD09C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4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4C9"/>
    <w:rPr>
      <w:rFonts w:ascii="Segoe UI" w:eastAsia="Calibri" w:hAnsi="Segoe UI" w:cs="Segoe UI"/>
      <w:color w:val="13141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667480">
      <w:bodyDiv w:val="1"/>
      <w:marLeft w:val="0"/>
      <w:marRight w:val="0"/>
      <w:marTop w:val="0"/>
      <w:marBottom w:val="0"/>
      <w:divBdr>
        <w:top w:val="none" w:sz="0" w:space="0" w:color="auto"/>
        <w:left w:val="none" w:sz="0" w:space="0" w:color="auto"/>
        <w:bottom w:val="none" w:sz="0" w:space="0" w:color="auto"/>
        <w:right w:val="none" w:sz="0" w:space="0" w:color="auto"/>
      </w:divBdr>
    </w:div>
    <w:div w:id="1890417093">
      <w:bodyDiv w:val="1"/>
      <w:marLeft w:val="0"/>
      <w:marRight w:val="0"/>
      <w:marTop w:val="0"/>
      <w:marBottom w:val="0"/>
      <w:divBdr>
        <w:top w:val="none" w:sz="0" w:space="0" w:color="auto"/>
        <w:left w:val="none" w:sz="0" w:space="0" w:color="auto"/>
        <w:bottom w:val="none" w:sz="0" w:space="0" w:color="auto"/>
        <w:right w:val="none" w:sz="0" w:space="0" w:color="auto"/>
      </w:divBdr>
    </w:div>
    <w:div w:id="193987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www.shef.ac.uk/FRAX/index.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775C9-957C-4831-A9D5-B7A4F28D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16580</Words>
  <Characters>94512</Characters>
  <Application>Microsoft Office Word</Application>
  <DocSecurity>4</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110871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Khashayar</dc:creator>
  <cp:keywords/>
  <dc:description/>
  <cp:lastModifiedBy>Karen Drake</cp:lastModifiedBy>
  <cp:revision>2</cp:revision>
  <dcterms:created xsi:type="dcterms:W3CDTF">2019-08-21T12:35:00Z</dcterms:created>
  <dcterms:modified xsi:type="dcterms:W3CDTF">2019-08-21T12:35:00Z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d8f3b15c-4359-32ae-a6cc-219b95f1856d</vt:lpwstr>
  </property>
  <property fmtid="{D5CDD505-2E9C-101B-9397-08002B2CF9AE}" pid="4" name="Mendeley Citation Style_1">
    <vt:lpwstr>http://www.zotero.org/styles/vancouver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http://www.zotero.org/styles/perspectives-on-medical-education</vt:lpwstr>
  </property>
  <property fmtid="{D5CDD505-2E9C-101B-9397-08002B2CF9AE}" pid="22" name="Mendeley Recent Style Name 8_1">
    <vt:lpwstr>Perspectives on Medical Education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