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37715" w14:textId="599DB703" w:rsidR="00633A79" w:rsidRPr="008C3753" w:rsidRDefault="00633A79" w:rsidP="00475602">
      <w:pPr>
        <w:pStyle w:val="CommentText"/>
        <w:spacing w:after="0" w:line="480" w:lineRule="auto"/>
        <w:jc w:val="both"/>
        <w:rPr>
          <w:rFonts w:cstheme="minorHAnsi"/>
          <w:b/>
          <w:lang w:val="en-GB"/>
        </w:rPr>
      </w:pPr>
      <w:r w:rsidRPr="008C3753">
        <w:rPr>
          <w:rFonts w:cstheme="minorHAnsi"/>
          <w:b/>
          <w:lang w:val="en-GB"/>
        </w:rPr>
        <w:t>Adaptation and implementation of the ARK (Antibiotic Review Kit</w:t>
      </w:r>
      <w:r w:rsidR="000E4314" w:rsidRPr="008C3753">
        <w:rPr>
          <w:rFonts w:cstheme="minorHAnsi"/>
          <w:b/>
          <w:lang w:val="en-GB"/>
        </w:rPr>
        <w:t xml:space="preserve">) Intervention </w:t>
      </w:r>
      <w:r w:rsidRPr="008C3753">
        <w:rPr>
          <w:rFonts w:cstheme="minorHAnsi"/>
          <w:b/>
          <w:lang w:val="en-GB"/>
        </w:rPr>
        <w:t xml:space="preserve">to safely and substantially reduce antibiotic use in hospitals: A feasibility </w:t>
      </w:r>
      <w:r w:rsidR="001C51E2" w:rsidRPr="008C3753">
        <w:rPr>
          <w:rFonts w:cstheme="minorHAnsi"/>
          <w:b/>
          <w:lang w:val="en-GB"/>
        </w:rPr>
        <w:t>study</w:t>
      </w:r>
    </w:p>
    <w:p w14:paraId="20E9D63F" w14:textId="380BC18D" w:rsidR="007A5488" w:rsidRPr="008C3753" w:rsidRDefault="009E2577" w:rsidP="00475602">
      <w:pPr>
        <w:spacing w:after="0" w:line="480" w:lineRule="auto"/>
        <w:jc w:val="both"/>
        <w:rPr>
          <w:rFonts w:eastAsia="Times New Roman" w:cstheme="minorHAnsi"/>
          <w:vertAlign w:val="superscript"/>
          <w:lang w:val="en-GB"/>
        </w:rPr>
      </w:pPr>
      <w:r w:rsidRPr="008C3753">
        <w:rPr>
          <w:rFonts w:cstheme="minorHAnsi"/>
          <w:lang w:val="en-GB"/>
        </w:rPr>
        <w:t>Cross E.L.A</w:t>
      </w:r>
      <w:r w:rsidR="00E9319C" w:rsidRPr="008C3753">
        <w:rPr>
          <w:rFonts w:cstheme="minorHAnsi"/>
          <w:lang w:val="en-GB"/>
        </w:rPr>
        <w:t>.</w:t>
      </w:r>
      <w:r w:rsidR="009C517A" w:rsidRPr="008C3753">
        <w:rPr>
          <w:rFonts w:cstheme="minorHAnsi"/>
          <w:lang w:val="en-GB"/>
        </w:rPr>
        <w:t xml:space="preserve"> </w:t>
      </w:r>
      <w:r w:rsidR="00E9319C" w:rsidRPr="008C3753">
        <w:rPr>
          <w:rFonts w:cstheme="minorHAnsi"/>
          <w:lang w:val="en-GB"/>
        </w:rPr>
        <w:t>*</w:t>
      </w:r>
      <w:r w:rsidR="00E9319C" w:rsidRPr="008C3753">
        <w:rPr>
          <w:rFonts w:cstheme="minorHAnsi"/>
          <w:vertAlign w:val="superscript"/>
          <w:lang w:val="en-GB"/>
        </w:rPr>
        <w:t>1</w:t>
      </w:r>
      <w:r w:rsidR="00E9319C" w:rsidRPr="008C3753">
        <w:rPr>
          <w:rFonts w:cstheme="minorHAnsi"/>
          <w:lang w:val="en-GB"/>
        </w:rPr>
        <w:t xml:space="preserve">, </w:t>
      </w:r>
      <w:proofErr w:type="spellStart"/>
      <w:r w:rsidR="00E9319C" w:rsidRPr="008C3753">
        <w:rPr>
          <w:rFonts w:cstheme="minorHAnsi"/>
          <w:lang w:val="en-GB"/>
        </w:rPr>
        <w:t>Sivyer</w:t>
      </w:r>
      <w:proofErr w:type="spellEnd"/>
      <w:r w:rsidR="00E9319C" w:rsidRPr="008C3753">
        <w:rPr>
          <w:rFonts w:cstheme="minorHAnsi"/>
          <w:lang w:val="en-GB"/>
        </w:rPr>
        <w:t>, K.</w:t>
      </w:r>
      <w:r w:rsidR="009C517A" w:rsidRPr="008C3753">
        <w:rPr>
          <w:rFonts w:cstheme="minorHAnsi"/>
          <w:lang w:val="en-GB"/>
        </w:rPr>
        <w:t xml:space="preserve"> </w:t>
      </w:r>
      <w:r w:rsidR="00E9319C" w:rsidRPr="008C3753">
        <w:rPr>
          <w:rFonts w:cstheme="minorHAnsi"/>
          <w:lang w:val="en-GB"/>
        </w:rPr>
        <w:t>*</w:t>
      </w:r>
      <w:r w:rsidR="00E9319C" w:rsidRPr="008C3753">
        <w:rPr>
          <w:rFonts w:cstheme="minorHAnsi"/>
          <w:vertAlign w:val="superscript"/>
          <w:lang w:val="en-GB"/>
        </w:rPr>
        <w:t>2</w:t>
      </w:r>
      <w:r w:rsidR="007A5488" w:rsidRPr="008C3753">
        <w:rPr>
          <w:rFonts w:cstheme="minorHAnsi"/>
          <w:lang w:val="en-GB"/>
        </w:rPr>
        <w:t xml:space="preserve">, </w:t>
      </w:r>
      <w:r w:rsidR="000B3687" w:rsidRPr="008C3753">
        <w:rPr>
          <w:rFonts w:cstheme="minorHAnsi"/>
          <w:lang w:val="en-GB"/>
        </w:rPr>
        <w:t>Islam, J.</w:t>
      </w:r>
      <w:r w:rsidR="000B3687" w:rsidRPr="008C3753">
        <w:rPr>
          <w:rFonts w:cstheme="minorHAnsi"/>
          <w:vertAlign w:val="superscript"/>
          <w:lang w:val="en-GB"/>
        </w:rPr>
        <w:t xml:space="preserve"> 1</w:t>
      </w:r>
      <w:r w:rsidR="000B3687" w:rsidRPr="008C3753">
        <w:rPr>
          <w:rFonts w:cstheme="minorHAnsi"/>
          <w:lang w:val="en-GB"/>
        </w:rPr>
        <w:t xml:space="preserve">, </w:t>
      </w:r>
      <w:proofErr w:type="spellStart"/>
      <w:r w:rsidR="007A5488" w:rsidRPr="008C3753">
        <w:rPr>
          <w:rFonts w:cstheme="minorHAnsi"/>
          <w:lang w:val="en-GB"/>
        </w:rPr>
        <w:t>Santillo</w:t>
      </w:r>
      <w:proofErr w:type="spellEnd"/>
      <w:r w:rsidR="007A5488" w:rsidRPr="008C3753">
        <w:rPr>
          <w:rFonts w:cstheme="minorHAnsi"/>
          <w:lang w:val="en-GB"/>
        </w:rPr>
        <w:t>, M.</w:t>
      </w:r>
      <w:r w:rsidR="007A5488" w:rsidRPr="008C3753">
        <w:rPr>
          <w:rFonts w:eastAsia="Times New Roman" w:cstheme="minorHAnsi"/>
          <w:vertAlign w:val="superscript"/>
          <w:lang w:val="en-GB"/>
        </w:rPr>
        <w:t xml:space="preserve"> </w:t>
      </w:r>
      <w:r w:rsidR="009C517A" w:rsidRPr="008C3753">
        <w:rPr>
          <w:rFonts w:eastAsia="Times New Roman" w:cstheme="minorHAnsi"/>
          <w:vertAlign w:val="superscript"/>
          <w:lang w:val="en-GB"/>
        </w:rPr>
        <w:t>2</w:t>
      </w:r>
      <w:r w:rsidR="007A5488" w:rsidRPr="008C3753">
        <w:rPr>
          <w:rFonts w:cstheme="minorHAnsi"/>
          <w:lang w:val="en-GB"/>
        </w:rPr>
        <w:t>, Mowbray, F.</w:t>
      </w:r>
      <w:r w:rsidR="009C517A" w:rsidRPr="008C3753">
        <w:rPr>
          <w:rFonts w:cstheme="minorHAnsi"/>
          <w:lang w:val="en-GB"/>
        </w:rPr>
        <w:t xml:space="preserve"> </w:t>
      </w:r>
      <w:r w:rsidR="009C517A" w:rsidRPr="008C3753">
        <w:rPr>
          <w:rFonts w:eastAsia="Times New Roman" w:cstheme="minorHAnsi"/>
          <w:vertAlign w:val="superscript"/>
          <w:lang w:val="en-GB"/>
        </w:rPr>
        <w:t>2</w:t>
      </w:r>
      <w:r w:rsidR="000B3687" w:rsidRPr="008C3753">
        <w:rPr>
          <w:rFonts w:cstheme="minorHAnsi"/>
          <w:lang w:val="en-GB"/>
        </w:rPr>
        <w:t>,</w:t>
      </w:r>
      <w:r w:rsidR="007A5488" w:rsidRPr="008C3753">
        <w:rPr>
          <w:rFonts w:cstheme="minorHAnsi"/>
          <w:lang w:val="en-GB"/>
        </w:rPr>
        <w:t xml:space="preserve"> </w:t>
      </w:r>
      <w:proofErr w:type="spellStart"/>
      <w:r w:rsidR="007A5488" w:rsidRPr="008C3753">
        <w:rPr>
          <w:rFonts w:cstheme="minorHAnsi"/>
          <w:lang w:val="en-GB"/>
        </w:rPr>
        <w:t>Peto</w:t>
      </w:r>
      <w:proofErr w:type="spellEnd"/>
      <w:r w:rsidR="007A5488" w:rsidRPr="008C3753">
        <w:rPr>
          <w:rFonts w:cstheme="minorHAnsi"/>
          <w:lang w:val="en-GB"/>
        </w:rPr>
        <w:t xml:space="preserve">, T. E. A. </w:t>
      </w:r>
      <w:r w:rsidR="009C517A" w:rsidRPr="008C3753">
        <w:rPr>
          <w:rFonts w:eastAsia="Times New Roman" w:cstheme="minorHAnsi"/>
          <w:vertAlign w:val="superscript"/>
          <w:lang w:val="en-GB"/>
        </w:rPr>
        <w:t>3,4,5</w:t>
      </w:r>
      <w:r w:rsidR="007A5488" w:rsidRPr="008C3753">
        <w:rPr>
          <w:rFonts w:cstheme="minorHAnsi"/>
          <w:lang w:val="en-GB"/>
        </w:rPr>
        <w:t xml:space="preserve">, Walker, A. S. </w:t>
      </w:r>
      <w:r w:rsidR="009C517A" w:rsidRPr="008C3753">
        <w:rPr>
          <w:rFonts w:eastAsia="Times New Roman" w:cstheme="minorHAnsi"/>
          <w:vertAlign w:val="superscript"/>
          <w:lang w:val="en-GB"/>
        </w:rPr>
        <w:t>4,5</w:t>
      </w:r>
      <w:r w:rsidR="007A5488" w:rsidRPr="008C3753">
        <w:rPr>
          <w:rFonts w:cstheme="minorHAnsi"/>
          <w:lang w:val="en-GB"/>
        </w:rPr>
        <w:t>, Yardley, L.</w:t>
      </w:r>
      <w:r w:rsidR="007A5488" w:rsidRPr="008C3753">
        <w:rPr>
          <w:rFonts w:eastAsia="Times New Roman" w:cstheme="minorHAnsi"/>
          <w:vertAlign w:val="superscript"/>
          <w:lang w:val="en-GB"/>
        </w:rPr>
        <w:t xml:space="preserve"> 6</w:t>
      </w:r>
      <w:r w:rsidR="007A5488" w:rsidRPr="008C3753">
        <w:rPr>
          <w:rFonts w:cstheme="minorHAnsi"/>
          <w:lang w:val="en-GB"/>
        </w:rPr>
        <w:t>, Llewelyn, M.J.</w:t>
      </w:r>
      <w:r w:rsidR="007A5488" w:rsidRPr="008C3753">
        <w:rPr>
          <w:rFonts w:eastAsia="Times New Roman" w:cstheme="minorHAnsi"/>
          <w:vertAlign w:val="superscript"/>
          <w:lang w:val="en-GB"/>
        </w:rPr>
        <w:t xml:space="preserve"> </w:t>
      </w:r>
      <w:r w:rsidR="009C517A" w:rsidRPr="008C3753">
        <w:rPr>
          <w:rFonts w:eastAsia="Times New Roman" w:cstheme="minorHAnsi"/>
          <w:vertAlign w:val="superscript"/>
          <w:lang w:val="en-GB"/>
        </w:rPr>
        <w:t>1</w:t>
      </w:r>
      <w:r w:rsidR="000B3687" w:rsidRPr="008C3753">
        <w:rPr>
          <w:rFonts w:eastAsia="Times New Roman" w:cstheme="minorHAnsi"/>
          <w:vertAlign w:val="superscript"/>
          <w:lang w:val="en-GB"/>
        </w:rPr>
        <w:t xml:space="preserve"> </w:t>
      </w:r>
    </w:p>
    <w:p w14:paraId="52687BCE" w14:textId="77777777" w:rsidR="007A5488" w:rsidRPr="008C3753" w:rsidRDefault="007A5488" w:rsidP="00475602">
      <w:pPr>
        <w:spacing w:after="0" w:line="480" w:lineRule="auto"/>
        <w:jc w:val="both"/>
        <w:rPr>
          <w:rFonts w:cstheme="minorHAnsi"/>
          <w:lang w:val="en-GB"/>
        </w:rPr>
      </w:pPr>
      <w:r w:rsidRPr="008C3753">
        <w:rPr>
          <w:rFonts w:cstheme="minorHAnsi"/>
          <w:lang w:val="en-GB"/>
        </w:rPr>
        <w:t>* These authors contributed equally.</w:t>
      </w:r>
    </w:p>
    <w:p w14:paraId="77DFB801" w14:textId="2C08FCD8" w:rsidR="009C517A" w:rsidRPr="008C3753" w:rsidRDefault="009C517A" w:rsidP="00475602">
      <w:pPr>
        <w:spacing w:after="0" w:line="480" w:lineRule="auto"/>
        <w:jc w:val="both"/>
        <w:rPr>
          <w:rFonts w:cstheme="minorHAnsi"/>
          <w:lang w:val="en-GB"/>
        </w:rPr>
      </w:pPr>
      <w:r w:rsidRPr="008C3753">
        <w:rPr>
          <w:rFonts w:cstheme="minorHAnsi"/>
          <w:b/>
          <w:vertAlign w:val="superscript"/>
          <w:lang w:val="en-GB"/>
        </w:rPr>
        <w:t xml:space="preserve">1 </w:t>
      </w:r>
      <w:r w:rsidRPr="008C3753">
        <w:rPr>
          <w:rFonts w:cstheme="minorHAnsi"/>
          <w:lang w:val="en-GB"/>
        </w:rPr>
        <w:t>Brighton and Sussex Medical School, University of Sussex, Falmer, UK</w:t>
      </w:r>
    </w:p>
    <w:p w14:paraId="14F369E6" w14:textId="13E8213F" w:rsidR="007A5488" w:rsidRPr="008C3753" w:rsidRDefault="007A5488" w:rsidP="00475602">
      <w:pPr>
        <w:spacing w:after="0" w:line="480" w:lineRule="auto"/>
        <w:jc w:val="both"/>
        <w:rPr>
          <w:rFonts w:cstheme="minorHAnsi"/>
          <w:lang w:val="en-GB"/>
        </w:rPr>
      </w:pPr>
      <w:r w:rsidRPr="008C3753">
        <w:rPr>
          <w:rFonts w:cstheme="minorHAnsi"/>
          <w:vertAlign w:val="superscript"/>
          <w:lang w:val="en-GB"/>
        </w:rPr>
        <w:t xml:space="preserve">2 </w:t>
      </w:r>
      <w:r w:rsidRPr="008C3753">
        <w:rPr>
          <w:rFonts w:cstheme="minorHAnsi"/>
          <w:lang w:val="en-GB"/>
        </w:rPr>
        <w:t>Centre for Clinical and Community Applications of Health Psychology, University of Southampton, Southampton, UK</w:t>
      </w:r>
    </w:p>
    <w:p w14:paraId="59325559" w14:textId="2B4B9517" w:rsidR="007A5488" w:rsidRPr="008C3753" w:rsidRDefault="009C517A" w:rsidP="00475602">
      <w:pPr>
        <w:spacing w:after="0" w:line="480" w:lineRule="auto"/>
        <w:jc w:val="both"/>
        <w:rPr>
          <w:rFonts w:cstheme="minorHAnsi"/>
          <w:lang w:val="en-GB"/>
        </w:rPr>
      </w:pPr>
      <w:r w:rsidRPr="008C3753">
        <w:rPr>
          <w:rFonts w:cstheme="minorHAnsi"/>
          <w:vertAlign w:val="superscript"/>
          <w:lang w:val="en-GB"/>
        </w:rPr>
        <w:t xml:space="preserve">3 </w:t>
      </w:r>
      <w:r w:rsidR="007A5488" w:rsidRPr="008C3753">
        <w:rPr>
          <w:rFonts w:cstheme="minorHAnsi"/>
          <w:lang w:val="en-GB"/>
        </w:rPr>
        <w:t>Oxford University Hospitals NHS Foundation Trust, Oxford, UK</w:t>
      </w:r>
    </w:p>
    <w:p w14:paraId="7B012B65" w14:textId="1A6D86C1" w:rsidR="007A5488" w:rsidRPr="008C3753" w:rsidRDefault="009C517A" w:rsidP="00475602">
      <w:pPr>
        <w:spacing w:after="0" w:line="480" w:lineRule="auto"/>
        <w:jc w:val="both"/>
        <w:rPr>
          <w:rFonts w:cstheme="minorHAnsi"/>
          <w:lang w:val="en-GB"/>
        </w:rPr>
      </w:pPr>
      <w:r w:rsidRPr="008C3753">
        <w:rPr>
          <w:rFonts w:cstheme="minorHAnsi"/>
          <w:vertAlign w:val="superscript"/>
          <w:lang w:val="en-GB"/>
        </w:rPr>
        <w:t>4</w:t>
      </w:r>
      <w:r w:rsidR="007A5488" w:rsidRPr="008C3753">
        <w:rPr>
          <w:rFonts w:cstheme="minorHAnsi"/>
          <w:vertAlign w:val="superscript"/>
          <w:lang w:val="en-GB"/>
        </w:rPr>
        <w:t xml:space="preserve"> </w:t>
      </w:r>
      <w:r w:rsidR="007A5488" w:rsidRPr="008C3753">
        <w:rPr>
          <w:rFonts w:cstheme="minorHAnsi"/>
          <w:lang w:val="en-GB"/>
        </w:rPr>
        <w:t>Nuffield Department of Medicine, University of Oxford, Oxford, UK</w:t>
      </w:r>
    </w:p>
    <w:p w14:paraId="76EAA964" w14:textId="221AA130" w:rsidR="007A5488" w:rsidRPr="008C3753" w:rsidRDefault="009C517A" w:rsidP="00475602">
      <w:pPr>
        <w:spacing w:after="0" w:line="480" w:lineRule="auto"/>
        <w:jc w:val="both"/>
        <w:rPr>
          <w:rFonts w:cstheme="minorHAnsi"/>
          <w:lang w:val="en-GB"/>
        </w:rPr>
      </w:pPr>
      <w:r w:rsidRPr="008C3753">
        <w:rPr>
          <w:rFonts w:cstheme="minorHAnsi"/>
          <w:vertAlign w:val="superscript"/>
          <w:lang w:val="en-GB"/>
        </w:rPr>
        <w:t>5</w:t>
      </w:r>
      <w:r w:rsidR="007A5488" w:rsidRPr="008C3753">
        <w:rPr>
          <w:rFonts w:cstheme="minorHAnsi"/>
          <w:vertAlign w:val="superscript"/>
          <w:lang w:val="en-GB"/>
        </w:rPr>
        <w:t xml:space="preserve"> </w:t>
      </w:r>
      <w:r w:rsidR="007A5488" w:rsidRPr="008C3753">
        <w:rPr>
          <w:rFonts w:cstheme="minorHAnsi"/>
          <w:lang w:val="en-GB"/>
        </w:rPr>
        <w:t>NIHR Biomedical Centre, Oxford, UK</w:t>
      </w:r>
    </w:p>
    <w:p w14:paraId="4C369881" w14:textId="77777777" w:rsidR="007A5488" w:rsidRPr="008C3753" w:rsidRDefault="007A5488" w:rsidP="00475602">
      <w:pPr>
        <w:spacing w:after="0" w:line="480" w:lineRule="auto"/>
        <w:jc w:val="both"/>
        <w:rPr>
          <w:rFonts w:cstheme="minorHAnsi"/>
          <w:lang w:val="en-GB"/>
        </w:rPr>
      </w:pPr>
      <w:r w:rsidRPr="008C3753">
        <w:rPr>
          <w:rFonts w:cstheme="minorHAnsi"/>
          <w:vertAlign w:val="superscript"/>
          <w:lang w:val="en-GB"/>
        </w:rPr>
        <w:t>6</w:t>
      </w:r>
      <w:r w:rsidRPr="008C3753">
        <w:rPr>
          <w:rFonts w:cstheme="minorHAnsi"/>
          <w:b/>
          <w:vertAlign w:val="superscript"/>
          <w:lang w:val="en-GB"/>
        </w:rPr>
        <w:t xml:space="preserve"> </w:t>
      </w:r>
      <w:r w:rsidRPr="008C3753">
        <w:rPr>
          <w:rFonts w:cstheme="minorHAnsi"/>
          <w:lang w:val="en-GB"/>
        </w:rPr>
        <w:t>School of Psychological Science, University of Bristol, Bristol, UK</w:t>
      </w:r>
    </w:p>
    <w:p w14:paraId="49D9BDC7" w14:textId="67542FEC" w:rsidR="00E9319C" w:rsidRPr="008C3753" w:rsidRDefault="00E9319C" w:rsidP="00475602">
      <w:pPr>
        <w:spacing w:after="0" w:line="480" w:lineRule="auto"/>
        <w:jc w:val="both"/>
        <w:rPr>
          <w:rFonts w:cstheme="minorHAnsi"/>
          <w:lang w:val="en-GB"/>
        </w:rPr>
      </w:pPr>
      <w:r w:rsidRPr="008C3753">
        <w:rPr>
          <w:rFonts w:eastAsia="Times New Roman" w:cstheme="minorHAnsi"/>
          <w:b/>
          <w:lang w:val="en-GB"/>
        </w:rPr>
        <w:t>Corresponding author:</w:t>
      </w:r>
      <w:r w:rsidR="000B06FA" w:rsidRPr="008C3753">
        <w:rPr>
          <w:rFonts w:eastAsia="Times New Roman" w:cstheme="minorHAnsi"/>
          <w:lang w:val="en-GB"/>
        </w:rPr>
        <w:t xml:space="preserve"> Prof Martin Llewelyn, </w:t>
      </w:r>
      <w:r w:rsidR="000B06FA" w:rsidRPr="008C3753">
        <w:rPr>
          <w:rFonts w:cstheme="minorHAnsi"/>
          <w:lang w:val="en-GB"/>
        </w:rPr>
        <w:t>Brighton and Sussex Medical School, University of Sussex, Falmer, East Sussex BN1 9PS UK</w:t>
      </w:r>
      <w:r w:rsidR="00C54261" w:rsidRPr="008C3753">
        <w:rPr>
          <w:rFonts w:cstheme="minorHAnsi"/>
          <w:lang w:val="en-GB"/>
        </w:rPr>
        <w:t>,</w:t>
      </w:r>
      <w:r w:rsidR="000B06FA" w:rsidRPr="008C3753">
        <w:rPr>
          <w:rFonts w:cstheme="minorHAnsi"/>
          <w:lang w:val="en-GB"/>
        </w:rPr>
        <w:t xml:space="preserve"> </w:t>
      </w:r>
      <w:hyperlink r:id="rId8" w:history="1">
        <w:r w:rsidR="00C54261" w:rsidRPr="008C3753">
          <w:rPr>
            <w:rStyle w:val="Hyperlink"/>
            <w:rFonts w:cstheme="minorHAnsi"/>
            <w:lang w:val="en-GB"/>
          </w:rPr>
          <w:t>m.j.llewelyn@bsms.ac.uk</w:t>
        </w:r>
      </w:hyperlink>
      <w:r w:rsidR="00C54261" w:rsidRPr="008C3753">
        <w:rPr>
          <w:rFonts w:cstheme="minorHAnsi"/>
          <w:lang w:val="en-GB"/>
        </w:rPr>
        <w:t xml:space="preserve">, </w:t>
      </w:r>
      <w:r w:rsidR="00E07CA4" w:rsidRPr="008C3753">
        <w:rPr>
          <w:rFonts w:cstheme="minorHAnsi"/>
          <w:lang w:val="en-GB"/>
        </w:rPr>
        <w:t>+44 (0)1273 876671</w:t>
      </w:r>
    </w:p>
    <w:p w14:paraId="23BF6C38" w14:textId="4D871F8C" w:rsidR="00561933" w:rsidRPr="008C3753" w:rsidRDefault="00561933" w:rsidP="00475602">
      <w:pPr>
        <w:spacing w:after="0" w:line="480" w:lineRule="auto"/>
        <w:jc w:val="both"/>
        <w:rPr>
          <w:rFonts w:eastAsia="Times New Roman" w:cstheme="minorHAnsi"/>
          <w:lang w:val="en-GB"/>
        </w:rPr>
      </w:pPr>
      <w:r w:rsidRPr="008C3753">
        <w:rPr>
          <w:rFonts w:eastAsia="Times New Roman" w:cstheme="minorHAnsi"/>
          <w:b/>
          <w:bCs/>
          <w:lang w:val="en-GB"/>
        </w:rPr>
        <w:t>Declarations of interest</w:t>
      </w:r>
      <w:r w:rsidRPr="008C3753">
        <w:rPr>
          <w:rFonts w:eastAsia="Times New Roman" w:cstheme="minorHAnsi"/>
          <w:lang w:val="en-GB"/>
        </w:rPr>
        <w:t>: none</w:t>
      </w:r>
    </w:p>
    <w:p w14:paraId="669A3C08" w14:textId="4E6D236E" w:rsidR="00570569" w:rsidRPr="008C3753" w:rsidRDefault="000B5FD3" w:rsidP="00475602">
      <w:pPr>
        <w:spacing w:after="0" w:line="480" w:lineRule="auto"/>
        <w:jc w:val="both"/>
        <w:rPr>
          <w:rFonts w:cstheme="minorHAnsi"/>
          <w:lang w:val="en-GB"/>
        </w:rPr>
        <w:sectPr w:rsidR="00570569" w:rsidRPr="008C3753" w:rsidSect="00F51D2F">
          <w:footerReference w:type="even" r:id="rId9"/>
          <w:footerReference w:type="default" r:id="rId10"/>
          <w:pgSz w:w="11900" w:h="16840"/>
          <w:pgMar w:top="1440" w:right="1440" w:bottom="1440" w:left="1440" w:header="708" w:footer="708" w:gutter="0"/>
          <w:cols w:space="708"/>
          <w:docGrid w:linePitch="360"/>
        </w:sectPr>
      </w:pPr>
      <w:r w:rsidRPr="008C3753">
        <w:rPr>
          <w:rFonts w:eastAsia="Times New Roman" w:cstheme="minorHAnsi"/>
          <w:b/>
          <w:lang w:val="en-GB"/>
        </w:rPr>
        <w:t>SHORT RUNNING TITLE</w:t>
      </w:r>
      <w:r w:rsidRPr="008C3753">
        <w:rPr>
          <w:rFonts w:eastAsia="Times New Roman" w:cstheme="minorHAnsi"/>
          <w:lang w:val="en-GB"/>
        </w:rPr>
        <w:t>:</w:t>
      </w:r>
      <w:r w:rsidR="007930BA" w:rsidRPr="008C3753">
        <w:rPr>
          <w:rFonts w:cstheme="minorHAnsi"/>
          <w:lang w:val="en-GB"/>
        </w:rPr>
        <w:t xml:space="preserve"> Antibiotic Review Kit Feasibility </w:t>
      </w:r>
      <w:r w:rsidR="001C51E2" w:rsidRPr="008C3753">
        <w:rPr>
          <w:rFonts w:cstheme="minorHAnsi"/>
          <w:lang w:val="en-GB"/>
        </w:rPr>
        <w:t>Study</w:t>
      </w:r>
    </w:p>
    <w:p w14:paraId="47A47ADE" w14:textId="136F1222" w:rsidR="00356B31" w:rsidRPr="008C3753" w:rsidRDefault="004C7B3F" w:rsidP="00475602">
      <w:pPr>
        <w:pStyle w:val="Heading1"/>
        <w:spacing w:before="0" w:after="0" w:line="480" w:lineRule="auto"/>
        <w:jc w:val="both"/>
        <w:rPr>
          <w:rFonts w:asciiTheme="minorHAnsi" w:hAnsiTheme="minorHAnsi" w:cstheme="minorHAnsi"/>
          <w:sz w:val="24"/>
          <w:szCs w:val="24"/>
        </w:rPr>
      </w:pPr>
      <w:r w:rsidRPr="008C3753">
        <w:rPr>
          <w:rFonts w:asciiTheme="minorHAnsi" w:hAnsiTheme="minorHAnsi" w:cstheme="minorHAnsi"/>
          <w:sz w:val="24"/>
          <w:szCs w:val="24"/>
        </w:rPr>
        <w:lastRenderedPageBreak/>
        <w:t>Structured summary</w:t>
      </w:r>
    </w:p>
    <w:p w14:paraId="44DCFE90" w14:textId="6E1DAAB0" w:rsidR="00337353" w:rsidRPr="008C3753" w:rsidRDefault="00337353" w:rsidP="00475602">
      <w:pPr>
        <w:spacing w:after="0" w:line="480" w:lineRule="auto"/>
        <w:jc w:val="both"/>
        <w:rPr>
          <w:rFonts w:cstheme="minorHAnsi"/>
          <w:b/>
          <w:lang w:val="en-GB"/>
        </w:rPr>
      </w:pPr>
      <w:r w:rsidRPr="008C3753">
        <w:rPr>
          <w:rFonts w:cstheme="minorHAnsi"/>
          <w:b/>
          <w:lang w:val="en-GB"/>
        </w:rPr>
        <w:t>Background</w:t>
      </w:r>
    </w:p>
    <w:p w14:paraId="032A236B" w14:textId="6C9972C5" w:rsidR="00ED2EAE" w:rsidRPr="008C3753" w:rsidRDefault="00D53CBC" w:rsidP="00475602">
      <w:pPr>
        <w:spacing w:after="0" w:line="480" w:lineRule="auto"/>
        <w:jc w:val="both"/>
        <w:rPr>
          <w:rFonts w:cstheme="minorHAnsi"/>
          <w:lang w:val="en-GB"/>
        </w:rPr>
      </w:pPr>
      <w:r w:rsidRPr="008C3753">
        <w:rPr>
          <w:rFonts w:cstheme="minorHAnsi"/>
          <w:lang w:val="en-GB"/>
        </w:rPr>
        <w:t>Antimicrobial stewardship i</w:t>
      </w:r>
      <w:r w:rsidR="00ED2EAE" w:rsidRPr="008C3753">
        <w:rPr>
          <w:rFonts w:cstheme="minorHAnsi"/>
          <w:lang w:val="en-GB"/>
        </w:rPr>
        <w:t>nitiative</w:t>
      </w:r>
      <w:r w:rsidRPr="008C3753">
        <w:rPr>
          <w:rFonts w:cstheme="minorHAnsi"/>
          <w:lang w:val="en-GB"/>
        </w:rPr>
        <w:t xml:space="preserve">s in secondary care depend on clinicians undertaking antibiotic prescription reviews but decisions to limit antibiotic treatment at review </w:t>
      </w:r>
      <w:r w:rsidR="00180DC4" w:rsidRPr="008C3753">
        <w:rPr>
          <w:rFonts w:cstheme="minorHAnsi"/>
          <w:lang w:val="en-GB"/>
        </w:rPr>
        <w:t>are complex</w:t>
      </w:r>
      <w:r w:rsidRPr="008C3753">
        <w:rPr>
          <w:rFonts w:cstheme="minorHAnsi"/>
          <w:lang w:val="en-GB"/>
        </w:rPr>
        <w:t xml:space="preserve">. </w:t>
      </w:r>
    </w:p>
    <w:p w14:paraId="55D4EA99" w14:textId="77777777" w:rsidR="0086243D" w:rsidRPr="008C3753" w:rsidRDefault="0086243D" w:rsidP="00475602">
      <w:pPr>
        <w:spacing w:after="0" w:line="480" w:lineRule="auto"/>
        <w:jc w:val="both"/>
        <w:rPr>
          <w:rFonts w:cstheme="minorHAnsi"/>
          <w:lang w:val="en-GB"/>
        </w:rPr>
      </w:pPr>
    </w:p>
    <w:p w14:paraId="296981C8" w14:textId="222E8E50" w:rsidR="00D53CBC" w:rsidRPr="008C3753" w:rsidRDefault="00180535" w:rsidP="00475602">
      <w:pPr>
        <w:spacing w:after="0" w:line="480" w:lineRule="auto"/>
        <w:jc w:val="both"/>
        <w:rPr>
          <w:rFonts w:eastAsia="Calibri" w:cstheme="minorHAnsi"/>
          <w:lang w:val="en-GB"/>
        </w:rPr>
      </w:pPr>
      <w:r w:rsidRPr="008C3753">
        <w:rPr>
          <w:rFonts w:cstheme="minorHAnsi"/>
          <w:b/>
          <w:lang w:val="en-GB"/>
        </w:rPr>
        <w:t>Aim</w:t>
      </w:r>
    </w:p>
    <w:p w14:paraId="13FCF5E5" w14:textId="7418C2C1" w:rsidR="00337353" w:rsidRPr="008C3753" w:rsidRDefault="00D53CBC" w:rsidP="00475602">
      <w:pPr>
        <w:spacing w:after="0" w:line="480" w:lineRule="auto"/>
        <w:jc w:val="both"/>
        <w:rPr>
          <w:rFonts w:eastAsia="Calibri" w:cstheme="minorHAnsi"/>
          <w:lang w:val="en-GB"/>
        </w:rPr>
      </w:pPr>
      <w:r w:rsidRPr="008C3753">
        <w:rPr>
          <w:rFonts w:eastAsia="Calibri" w:cstheme="minorHAnsi"/>
          <w:lang w:val="en-GB"/>
        </w:rPr>
        <w:t xml:space="preserve">To assess the feasibility and acceptability of </w:t>
      </w:r>
      <w:r w:rsidR="00300E53" w:rsidRPr="008C3753">
        <w:rPr>
          <w:rFonts w:eastAsia="Calibri" w:cstheme="minorHAnsi"/>
          <w:lang w:val="en-GB"/>
        </w:rPr>
        <w:t xml:space="preserve">implementing </w:t>
      </w:r>
      <w:r w:rsidR="00111CD1" w:rsidRPr="008C3753">
        <w:rPr>
          <w:rFonts w:cstheme="minorHAnsi"/>
          <w:lang w:val="en-GB"/>
        </w:rPr>
        <w:t>ARK (Antibiotic Review Kit</w:t>
      </w:r>
      <w:r w:rsidR="00111CD1" w:rsidRPr="008C3753">
        <w:rPr>
          <w:rFonts w:eastAsia="Calibri" w:cstheme="minorHAnsi"/>
          <w:lang w:val="en-GB"/>
        </w:rPr>
        <w:t>)</w:t>
      </w:r>
      <w:r w:rsidR="00162BD0" w:rsidRPr="008C3753">
        <w:rPr>
          <w:rFonts w:eastAsia="Calibri" w:cstheme="minorHAnsi"/>
          <w:lang w:val="en-GB"/>
        </w:rPr>
        <w:t>,</w:t>
      </w:r>
      <w:r w:rsidR="00111CD1" w:rsidRPr="008C3753">
        <w:rPr>
          <w:rFonts w:cstheme="minorHAnsi"/>
          <w:lang w:val="en-GB"/>
        </w:rPr>
        <w:t xml:space="preserve"> </w:t>
      </w:r>
      <w:r w:rsidR="00125610" w:rsidRPr="008C3753">
        <w:rPr>
          <w:rFonts w:cstheme="minorHAnsi"/>
          <w:lang w:val="en-GB"/>
        </w:rPr>
        <w:t xml:space="preserve">a </w:t>
      </w:r>
      <w:r w:rsidR="00125610" w:rsidRPr="008C3753">
        <w:rPr>
          <w:rFonts w:eastAsia="Calibri" w:cstheme="minorHAnsi"/>
          <w:lang w:val="en-GB"/>
        </w:rPr>
        <w:t>behaviour change intervention</w:t>
      </w:r>
      <w:r w:rsidR="00125610" w:rsidRPr="008C3753">
        <w:rPr>
          <w:rFonts w:cstheme="minorHAnsi"/>
          <w:lang w:val="en-GB"/>
        </w:rPr>
        <w:t xml:space="preserve"> made up </w:t>
      </w:r>
      <w:r w:rsidR="00111CD1" w:rsidRPr="008C3753">
        <w:rPr>
          <w:rFonts w:cstheme="minorHAnsi"/>
          <w:lang w:val="en-GB"/>
        </w:rPr>
        <w:t>of four components</w:t>
      </w:r>
      <w:r w:rsidR="00125610" w:rsidRPr="008C3753">
        <w:rPr>
          <w:rFonts w:cstheme="minorHAnsi"/>
          <w:lang w:val="en-GB"/>
        </w:rPr>
        <w:t xml:space="preserve"> (</w:t>
      </w:r>
      <w:r w:rsidR="00D237F2" w:rsidRPr="008C3753">
        <w:rPr>
          <w:rFonts w:cstheme="minorHAnsi"/>
          <w:lang w:val="en-GB"/>
        </w:rPr>
        <w:t>brief</w:t>
      </w:r>
      <w:r w:rsidR="00180DC4" w:rsidRPr="008C3753">
        <w:rPr>
          <w:rFonts w:cstheme="minorHAnsi"/>
          <w:lang w:val="en-GB"/>
        </w:rPr>
        <w:t xml:space="preserve"> online tool,</w:t>
      </w:r>
      <w:r w:rsidR="00111CD1" w:rsidRPr="008C3753">
        <w:rPr>
          <w:rFonts w:cstheme="minorHAnsi"/>
          <w:lang w:val="en-GB"/>
        </w:rPr>
        <w:t xml:space="preserve"> </w:t>
      </w:r>
      <w:r w:rsidR="00180DC4" w:rsidRPr="008C3753">
        <w:rPr>
          <w:rFonts w:cstheme="minorHAnsi"/>
          <w:lang w:val="en-GB"/>
        </w:rPr>
        <w:t>prescribing decision aid,</w:t>
      </w:r>
      <w:r w:rsidR="009B2549" w:rsidRPr="008C3753">
        <w:rPr>
          <w:rFonts w:cstheme="minorHAnsi"/>
          <w:lang w:val="en-GB"/>
        </w:rPr>
        <w:t xml:space="preserve"> regular</w:t>
      </w:r>
      <w:r w:rsidR="00A966C3" w:rsidRPr="008C3753">
        <w:rPr>
          <w:rFonts w:cstheme="minorHAnsi"/>
          <w:lang w:val="en-GB"/>
        </w:rPr>
        <w:t xml:space="preserve"> </w:t>
      </w:r>
      <w:r w:rsidR="00C0459C" w:rsidRPr="008C3753">
        <w:rPr>
          <w:rFonts w:cstheme="minorHAnsi"/>
          <w:lang w:val="en-GB"/>
        </w:rPr>
        <w:t>data collection</w:t>
      </w:r>
      <w:r w:rsidR="009B2549" w:rsidRPr="008C3753">
        <w:rPr>
          <w:rFonts w:cstheme="minorHAnsi"/>
          <w:lang w:val="en-GB"/>
        </w:rPr>
        <w:t xml:space="preserve"> and feedback</w:t>
      </w:r>
      <w:r w:rsidR="00A966C3" w:rsidRPr="008C3753">
        <w:rPr>
          <w:rFonts w:cstheme="minorHAnsi"/>
          <w:lang w:val="en-GB"/>
        </w:rPr>
        <w:t xml:space="preserve"> process</w:t>
      </w:r>
      <w:r w:rsidR="009B2549" w:rsidRPr="008C3753">
        <w:rPr>
          <w:rFonts w:cstheme="minorHAnsi"/>
          <w:lang w:val="en-GB"/>
        </w:rPr>
        <w:t xml:space="preserve">, and </w:t>
      </w:r>
      <w:r w:rsidR="00180DC4" w:rsidRPr="008C3753">
        <w:rPr>
          <w:rFonts w:cstheme="minorHAnsi"/>
          <w:lang w:val="en-GB"/>
        </w:rPr>
        <w:t>patient leaflet</w:t>
      </w:r>
      <w:r w:rsidR="00125610" w:rsidRPr="008C3753">
        <w:rPr>
          <w:rFonts w:cstheme="minorHAnsi"/>
          <w:lang w:val="en-GB"/>
        </w:rPr>
        <w:t>)</w:t>
      </w:r>
      <w:r w:rsidR="00180DC4" w:rsidRPr="008C3753">
        <w:rPr>
          <w:rFonts w:cstheme="minorHAnsi"/>
          <w:lang w:val="en-GB"/>
        </w:rPr>
        <w:t xml:space="preserve"> to support </w:t>
      </w:r>
      <w:r w:rsidR="00125610" w:rsidRPr="008C3753">
        <w:rPr>
          <w:rFonts w:eastAsia="Calibri" w:cstheme="minorHAnsi"/>
          <w:lang w:val="en-GB"/>
        </w:rPr>
        <w:t>stopping antibiotic treatment when it is safe to do so</w:t>
      </w:r>
      <w:r w:rsidR="00125610" w:rsidRPr="008C3753" w:rsidDel="00125610">
        <w:rPr>
          <w:rFonts w:cstheme="minorHAnsi"/>
          <w:lang w:val="en-GB"/>
        </w:rPr>
        <w:t xml:space="preserve"> </w:t>
      </w:r>
      <w:r w:rsidR="00180DC4" w:rsidRPr="008C3753">
        <w:rPr>
          <w:rFonts w:cstheme="minorHAnsi"/>
          <w:lang w:val="en-GB"/>
        </w:rPr>
        <w:t>among hospitali</w:t>
      </w:r>
      <w:r w:rsidR="00D237F2" w:rsidRPr="008C3753">
        <w:rPr>
          <w:rFonts w:cstheme="minorHAnsi"/>
          <w:lang w:val="en-GB"/>
        </w:rPr>
        <w:t>s</w:t>
      </w:r>
      <w:r w:rsidR="00180DC4" w:rsidRPr="008C3753">
        <w:rPr>
          <w:rFonts w:cstheme="minorHAnsi"/>
          <w:lang w:val="en-GB"/>
        </w:rPr>
        <w:t>ed patients</w:t>
      </w:r>
      <w:r w:rsidR="00180DC4" w:rsidRPr="008C3753">
        <w:rPr>
          <w:rFonts w:eastAsia="Calibri" w:cstheme="minorHAnsi"/>
          <w:lang w:val="en-GB"/>
        </w:rPr>
        <w:t>; before</w:t>
      </w:r>
      <w:r w:rsidRPr="008C3753">
        <w:rPr>
          <w:rFonts w:eastAsia="Calibri" w:cstheme="minorHAnsi"/>
          <w:lang w:val="en-GB"/>
        </w:rPr>
        <w:t xml:space="preserve"> definitive </w:t>
      </w:r>
      <w:r w:rsidR="00300E53" w:rsidRPr="008C3753">
        <w:rPr>
          <w:rFonts w:eastAsia="Calibri" w:cstheme="minorHAnsi"/>
          <w:lang w:val="en-GB"/>
        </w:rPr>
        <w:t>evaluation through a stepped-wedge cluster randomised controlled trial.</w:t>
      </w:r>
    </w:p>
    <w:p w14:paraId="730F74D5" w14:textId="77777777" w:rsidR="0086243D" w:rsidRPr="008C3753" w:rsidRDefault="0086243D" w:rsidP="00475602">
      <w:pPr>
        <w:spacing w:after="0" w:line="480" w:lineRule="auto"/>
        <w:jc w:val="both"/>
        <w:rPr>
          <w:rFonts w:cstheme="minorHAnsi"/>
          <w:b/>
          <w:lang w:val="en-GB"/>
        </w:rPr>
      </w:pPr>
    </w:p>
    <w:p w14:paraId="6A720ECE" w14:textId="1FC99819" w:rsidR="00337353" w:rsidRPr="008C3753" w:rsidRDefault="00337353" w:rsidP="00475602">
      <w:pPr>
        <w:spacing w:after="0" w:line="480" w:lineRule="auto"/>
        <w:jc w:val="both"/>
        <w:rPr>
          <w:rFonts w:cstheme="minorHAnsi"/>
          <w:b/>
          <w:lang w:val="en-GB"/>
        </w:rPr>
      </w:pPr>
      <w:r w:rsidRPr="008C3753">
        <w:rPr>
          <w:rFonts w:cstheme="minorHAnsi"/>
          <w:b/>
          <w:lang w:val="en-GB"/>
        </w:rPr>
        <w:t>Methods</w:t>
      </w:r>
    </w:p>
    <w:p w14:paraId="29981870" w14:textId="6A8A192F" w:rsidR="0066630E" w:rsidRPr="008C3753" w:rsidRDefault="008D2CA9" w:rsidP="00475602">
      <w:pPr>
        <w:spacing w:after="0" w:line="480" w:lineRule="auto"/>
        <w:jc w:val="both"/>
        <w:rPr>
          <w:rFonts w:cstheme="minorHAnsi"/>
          <w:lang w:val="en-GB"/>
        </w:rPr>
      </w:pPr>
      <w:r w:rsidRPr="008C3753">
        <w:rPr>
          <w:rFonts w:cstheme="minorHAnsi"/>
          <w:lang w:val="en-GB"/>
        </w:rPr>
        <w:t>A</w:t>
      </w:r>
      <w:r w:rsidR="008C2278" w:rsidRPr="008C3753">
        <w:rPr>
          <w:rFonts w:cstheme="minorHAnsi"/>
          <w:lang w:val="en-GB"/>
        </w:rPr>
        <w:t xml:space="preserve">cceptability of the </w:t>
      </w:r>
      <w:r w:rsidR="008155C8" w:rsidRPr="008C3753">
        <w:rPr>
          <w:rFonts w:cstheme="minorHAnsi"/>
          <w:lang w:val="en-GB"/>
        </w:rPr>
        <w:t>different</w:t>
      </w:r>
      <w:r w:rsidR="008C2278" w:rsidRPr="008C3753">
        <w:rPr>
          <w:rFonts w:cstheme="minorHAnsi"/>
          <w:lang w:val="en-GB"/>
        </w:rPr>
        <w:t xml:space="preserve"> intervention</w:t>
      </w:r>
      <w:r w:rsidR="008155C8" w:rsidRPr="008C3753">
        <w:rPr>
          <w:rFonts w:cstheme="minorHAnsi"/>
          <w:lang w:val="en-GB"/>
        </w:rPr>
        <w:t xml:space="preserve"> elements</w:t>
      </w:r>
      <w:r w:rsidRPr="008C3753">
        <w:rPr>
          <w:rFonts w:cstheme="minorHAnsi"/>
          <w:lang w:val="en-GB"/>
        </w:rPr>
        <w:t xml:space="preserve"> was assessed over 12</w:t>
      </w:r>
      <w:r w:rsidR="00A800DC" w:rsidRPr="008C3753">
        <w:rPr>
          <w:rFonts w:cstheme="minorHAnsi"/>
          <w:lang w:val="en-GB"/>
        </w:rPr>
        <w:t>-</w:t>
      </w:r>
      <w:r w:rsidRPr="008C3753">
        <w:rPr>
          <w:rFonts w:cstheme="minorHAnsi"/>
          <w:lang w:val="en-GB"/>
        </w:rPr>
        <w:t xml:space="preserve">weeks by </w:t>
      </w:r>
      <w:r w:rsidR="0066630E" w:rsidRPr="008C3753">
        <w:rPr>
          <w:rFonts w:cstheme="minorHAnsi"/>
          <w:lang w:val="en-GB"/>
        </w:rPr>
        <w:t xml:space="preserve">uptake of </w:t>
      </w:r>
      <w:r w:rsidR="008C2278" w:rsidRPr="008C3753">
        <w:rPr>
          <w:rFonts w:cstheme="minorHAnsi"/>
          <w:lang w:val="en-GB"/>
        </w:rPr>
        <w:t xml:space="preserve">the </w:t>
      </w:r>
      <w:r w:rsidR="0066630E" w:rsidRPr="008C3753">
        <w:rPr>
          <w:rFonts w:cstheme="minorHAnsi"/>
          <w:lang w:val="en-GB"/>
        </w:rPr>
        <w:t xml:space="preserve">online tool, adoption of </w:t>
      </w:r>
      <w:r w:rsidR="008C2278" w:rsidRPr="008C3753">
        <w:rPr>
          <w:rFonts w:cstheme="minorHAnsi"/>
          <w:lang w:val="en-GB"/>
        </w:rPr>
        <w:t>the</w:t>
      </w:r>
      <w:r w:rsidR="0066630E" w:rsidRPr="008C3753">
        <w:rPr>
          <w:rFonts w:cstheme="minorHAnsi"/>
          <w:lang w:val="en-GB"/>
        </w:rPr>
        <w:t xml:space="preserve"> decision aid into prescribing practice, </w:t>
      </w:r>
      <w:r w:rsidRPr="008C3753">
        <w:rPr>
          <w:rFonts w:cstheme="minorHAnsi"/>
          <w:lang w:val="en-GB"/>
        </w:rPr>
        <w:t xml:space="preserve">and </w:t>
      </w:r>
      <w:r w:rsidR="0066630E" w:rsidRPr="008C3753">
        <w:rPr>
          <w:rFonts w:cstheme="minorHAnsi"/>
          <w:lang w:val="en-GB"/>
        </w:rPr>
        <w:t xml:space="preserve">rates of decisions to </w:t>
      </w:r>
      <w:r w:rsidR="00125610" w:rsidRPr="008C3753">
        <w:rPr>
          <w:rFonts w:cstheme="minorHAnsi"/>
          <w:lang w:val="en-GB"/>
        </w:rPr>
        <w:t xml:space="preserve">stop </w:t>
      </w:r>
      <w:r w:rsidR="0066630E" w:rsidRPr="008C3753">
        <w:rPr>
          <w:rFonts w:cstheme="minorHAnsi"/>
          <w:lang w:val="en-GB"/>
        </w:rPr>
        <w:t>antibiotics at review</w:t>
      </w:r>
      <w:r w:rsidRPr="008C3753">
        <w:rPr>
          <w:rFonts w:cstheme="minorHAnsi"/>
          <w:lang w:val="en-GB"/>
        </w:rPr>
        <w:t xml:space="preserve"> (assessed through repeated point-prevalence </w:t>
      </w:r>
      <w:r w:rsidR="0067323F" w:rsidRPr="008C3753">
        <w:rPr>
          <w:rFonts w:cstheme="minorHAnsi"/>
          <w:lang w:val="en-GB"/>
        </w:rPr>
        <w:t>surveys</w:t>
      </w:r>
      <w:r w:rsidRPr="008C3753">
        <w:rPr>
          <w:rFonts w:cstheme="minorHAnsi"/>
          <w:lang w:val="en-GB"/>
        </w:rPr>
        <w:t>)</w:t>
      </w:r>
      <w:r w:rsidR="0066630E" w:rsidRPr="008C3753">
        <w:rPr>
          <w:rFonts w:cstheme="minorHAnsi"/>
          <w:lang w:val="en-GB"/>
        </w:rPr>
        <w:t>.</w:t>
      </w:r>
      <w:r w:rsidR="008C2278" w:rsidRPr="008C3753">
        <w:rPr>
          <w:rFonts w:cstheme="minorHAnsi"/>
          <w:lang w:val="en-GB"/>
        </w:rPr>
        <w:t xml:space="preserve"> </w:t>
      </w:r>
      <w:r w:rsidR="008155C8" w:rsidRPr="008C3753">
        <w:rPr>
          <w:rFonts w:cstheme="minorHAnsi"/>
          <w:lang w:val="en-GB"/>
        </w:rPr>
        <w:t xml:space="preserve">Patient perceptions of </w:t>
      </w:r>
      <w:r w:rsidR="00286414" w:rsidRPr="008C3753">
        <w:rPr>
          <w:rFonts w:cstheme="minorHAnsi"/>
          <w:lang w:val="en-GB"/>
        </w:rPr>
        <w:t xml:space="preserve">the </w:t>
      </w:r>
      <w:r w:rsidR="008155C8" w:rsidRPr="008C3753">
        <w:rPr>
          <w:rFonts w:cstheme="minorHAnsi"/>
          <w:lang w:val="en-GB"/>
        </w:rPr>
        <w:t xml:space="preserve">information leaflet were </w:t>
      </w:r>
      <w:r w:rsidR="00286414" w:rsidRPr="008C3753">
        <w:rPr>
          <w:rFonts w:cstheme="minorHAnsi"/>
          <w:lang w:val="en-GB"/>
        </w:rPr>
        <w:t xml:space="preserve">assessed </w:t>
      </w:r>
      <w:r w:rsidR="008155C8" w:rsidRPr="008C3753">
        <w:rPr>
          <w:rFonts w:cstheme="minorHAnsi"/>
          <w:lang w:val="en-GB"/>
        </w:rPr>
        <w:t>through a brief questionnaire.</w:t>
      </w:r>
    </w:p>
    <w:p w14:paraId="7002E58C" w14:textId="77777777" w:rsidR="0086243D" w:rsidRPr="008C3753" w:rsidRDefault="0086243D" w:rsidP="00475602">
      <w:pPr>
        <w:spacing w:after="0" w:line="480" w:lineRule="auto"/>
        <w:jc w:val="both"/>
        <w:rPr>
          <w:rFonts w:cstheme="minorHAnsi"/>
          <w:b/>
          <w:lang w:val="en-GB"/>
        </w:rPr>
      </w:pPr>
    </w:p>
    <w:p w14:paraId="5E90BAA6" w14:textId="4EF5163C" w:rsidR="007F3553" w:rsidRPr="008C3753" w:rsidRDefault="00180535" w:rsidP="00475602">
      <w:pPr>
        <w:spacing w:after="0" w:line="480" w:lineRule="auto"/>
        <w:jc w:val="both"/>
        <w:rPr>
          <w:rFonts w:cstheme="minorHAnsi"/>
          <w:lang w:val="en-GB"/>
        </w:rPr>
      </w:pPr>
      <w:r w:rsidRPr="008C3753">
        <w:rPr>
          <w:rFonts w:cstheme="minorHAnsi"/>
          <w:b/>
          <w:lang w:val="en-GB"/>
        </w:rPr>
        <w:t>Findings</w:t>
      </w:r>
    </w:p>
    <w:p w14:paraId="36ADB5CC" w14:textId="6C1C811B" w:rsidR="00337353" w:rsidRPr="008C3753" w:rsidRDefault="00DF5707" w:rsidP="00475602">
      <w:pPr>
        <w:spacing w:after="0" w:line="480" w:lineRule="auto"/>
        <w:jc w:val="both"/>
        <w:rPr>
          <w:rFonts w:cstheme="minorHAnsi"/>
          <w:lang w:val="en-GB"/>
        </w:rPr>
      </w:pPr>
      <w:r w:rsidRPr="008C3753">
        <w:rPr>
          <w:rFonts w:cstheme="minorHAnsi"/>
          <w:lang w:val="en-GB"/>
        </w:rPr>
        <w:t xml:space="preserve">All elements of the intervention were successfully introduced into practice. </w:t>
      </w:r>
      <w:r w:rsidR="007F3553" w:rsidRPr="008C3753">
        <w:rPr>
          <w:rFonts w:cstheme="minorHAnsi"/>
          <w:lang w:val="en-GB"/>
        </w:rPr>
        <w:t xml:space="preserve">A total of </w:t>
      </w:r>
      <w:r w:rsidR="00C8349F" w:rsidRPr="008C3753">
        <w:rPr>
          <w:rFonts w:cstheme="minorHAnsi"/>
          <w:lang w:val="en-GB"/>
        </w:rPr>
        <w:t xml:space="preserve">132 </w:t>
      </w:r>
      <w:r w:rsidR="007F3553" w:rsidRPr="008C3753">
        <w:rPr>
          <w:rFonts w:cstheme="minorHAnsi"/>
          <w:lang w:val="en-GB"/>
        </w:rPr>
        <w:t xml:space="preserve">staff encompassing a broad range of </w:t>
      </w:r>
      <w:r w:rsidR="00286414" w:rsidRPr="008C3753">
        <w:rPr>
          <w:rFonts w:cstheme="minorHAnsi"/>
          <w:lang w:val="en-GB"/>
        </w:rPr>
        <w:t xml:space="preserve">prescribers </w:t>
      </w:r>
      <w:r w:rsidR="007F3553" w:rsidRPr="008C3753">
        <w:rPr>
          <w:rFonts w:cstheme="minorHAnsi"/>
          <w:lang w:val="en-GB"/>
        </w:rPr>
        <w:t>and non-prescrib</w:t>
      </w:r>
      <w:r w:rsidR="00286414" w:rsidRPr="008C3753">
        <w:rPr>
          <w:rFonts w:cstheme="minorHAnsi"/>
          <w:lang w:val="en-GB"/>
        </w:rPr>
        <w:t>ers</w:t>
      </w:r>
      <w:r w:rsidR="007F3553" w:rsidRPr="008C3753">
        <w:rPr>
          <w:rFonts w:cstheme="minorHAnsi"/>
          <w:lang w:val="en-GB"/>
        </w:rPr>
        <w:t xml:space="preserve"> </w:t>
      </w:r>
      <w:r w:rsidR="00286414" w:rsidRPr="008C3753">
        <w:rPr>
          <w:rFonts w:cstheme="minorHAnsi"/>
          <w:lang w:val="en-GB"/>
        </w:rPr>
        <w:t>completed</w:t>
      </w:r>
      <w:r w:rsidR="007F3553" w:rsidRPr="008C3753">
        <w:rPr>
          <w:rFonts w:cstheme="minorHAnsi"/>
          <w:lang w:val="en-GB"/>
        </w:rPr>
        <w:t xml:space="preserve"> the online tool</w:t>
      </w:r>
      <w:r w:rsidR="00C8349F" w:rsidRPr="008C3753">
        <w:rPr>
          <w:rFonts w:cstheme="minorHAnsi"/>
          <w:lang w:val="en-GB"/>
        </w:rPr>
        <w:t xml:space="preserve"> (1</w:t>
      </w:r>
      <w:r w:rsidR="003129F6" w:rsidRPr="008C3753">
        <w:rPr>
          <w:rFonts w:cstheme="minorHAnsi"/>
          <w:lang w:val="en-GB"/>
        </w:rPr>
        <w:t>9.4</w:t>
      </w:r>
      <w:r w:rsidR="00286414" w:rsidRPr="008C3753">
        <w:rPr>
          <w:rFonts w:cstheme="minorHAnsi"/>
          <w:lang w:val="en-GB"/>
        </w:rPr>
        <w:t xml:space="preserve"> per 100 acute beds), including</w:t>
      </w:r>
      <w:r w:rsidR="007F3553" w:rsidRPr="008C3753">
        <w:rPr>
          <w:rFonts w:cstheme="minorHAnsi"/>
          <w:lang w:val="en-GB"/>
        </w:rPr>
        <w:t xml:space="preserve"> 97% (32/33) </w:t>
      </w:r>
      <w:r w:rsidR="00286414" w:rsidRPr="008C3753">
        <w:rPr>
          <w:rFonts w:cstheme="minorHAnsi"/>
          <w:lang w:val="en-GB"/>
        </w:rPr>
        <w:t xml:space="preserve">of the </w:t>
      </w:r>
      <w:r w:rsidR="00D6509C" w:rsidRPr="008C3753">
        <w:rPr>
          <w:rFonts w:cstheme="minorHAnsi"/>
          <w:lang w:val="en-GB"/>
        </w:rPr>
        <w:t xml:space="preserve">pre-specified </w:t>
      </w:r>
      <w:r w:rsidR="00286414" w:rsidRPr="008C3753">
        <w:rPr>
          <w:rFonts w:cstheme="minorHAnsi"/>
          <w:lang w:val="en-GB"/>
        </w:rPr>
        <w:t>essential clinical staff</w:t>
      </w:r>
      <w:r w:rsidR="007F3553" w:rsidRPr="008C3753">
        <w:rPr>
          <w:rFonts w:cstheme="minorHAnsi"/>
          <w:lang w:val="en-GB"/>
        </w:rPr>
        <w:t xml:space="preserve">. Among 588 prescription charts evaluated in </w:t>
      </w:r>
      <w:r w:rsidR="005C0130" w:rsidRPr="008C3753">
        <w:rPr>
          <w:rFonts w:cstheme="minorHAnsi"/>
          <w:lang w:val="en-GB"/>
        </w:rPr>
        <w:t>seven</w:t>
      </w:r>
      <w:r w:rsidR="005C114A" w:rsidRPr="008C3753">
        <w:rPr>
          <w:rFonts w:cstheme="minorHAnsi"/>
          <w:lang w:val="en-GB"/>
        </w:rPr>
        <w:t xml:space="preserve"> </w:t>
      </w:r>
      <w:r w:rsidR="007F3553" w:rsidRPr="008C3753">
        <w:rPr>
          <w:rFonts w:cstheme="minorHAnsi"/>
          <w:lang w:val="en-GB"/>
        </w:rPr>
        <w:t xml:space="preserve">point prevalence surveys over the </w:t>
      </w:r>
      <w:r w:rsidR="00265008" w:rsidRPr="008C3753">
        <w:rPr>
          <w:rFonts w:cstheme="minorHAnsi"/>
          <w:lang w:val="en-GB"/>
        </w:rPr>
        <w:t>12</w:t>
      </w:r>
      <w:r w:rsidR="00317CEA" w:rsidRPr="008C3753">
        <w:rPr>
          <w:rFonts w:cstheme="minorHAnsi"/>
          <w:lang w:val="en-GB"/>
        </w:rPr>
        <w:t>-</w:t>
      </w:r>
      <w:r w:rsidR="007F3553" w:rsidRPr="008C3753">
        <w:rPr>
          <w:rFonts w:cstheme="minorHAnsi"/>
          <w:lang w:val="en-GB"/>
        </w:rPr>
        <w:t xml:space="preserve">week </w:t>
      </w:r>
      <w:r w:rsidR="007F3553" w:rsidRPr="008C3753">
        <w:rPr>
          <w:rFonts w:cstheme="minorHAnsi"/>
          <w:lang w:val="en-GB"/>
        </w:rPr>
        <w:lastRenderedPageBreak/>
        <w:t>implementation period</w:t>
      </w:r>
      <w:r w:rsidR="00286414" w:rsidRPr="008C3753">
        <w:rPr>
          <w:rFonts w:cstheme="minorHAnsi"/>
          <w:lang w:val="en-GB"/>
        </w:rPr>
        <w:t>,</w:t>
      </w:r>
      <w:r w:rsidR="007F3553" w:rsidRPr="008C3753">
        <w:rPr>
          <w:rFonts w:cstheme="minorHAnsi"/>
          <w:lang w:val="en-GB"/>
        </w:rPr>
        <w:t xml:space="preserve"> </w:t>
      </w:r>
      <w:r w:rsidR="005C0130" w:rsidRPr="008C3753">
        <w:rPr>
          <w:rFonts w:cstheme="minorHAnsi"/>
          <w:lang w:val="en-GB"/>
        </w:rPr>
        <w:t>82% overall (76-90% at each survey) used the decision aid.</w:t>
      </w:r>
      <w:r w:rsidR="003968A8" w:rsidRPr="008C3753">
        <w:rPr>
          <w:rFonts w:cstheme="minorHAnsi"/>
          <w:lang w:val="en-GB"/>
        </w:rPr>
        <w:t xml:space="preserve"> The median antibiotic stop rate post implementation was 36% (range 29-40% at each survey) compared with 9% pre implementation (</w:t>
      </w:r>
      <w:r w:rsidR="003968A8" w:rsidRPr="008C3753">
        <w:rPr>
          <w:rFonts w:cstheme="minorHAnsi"/>
          <w:i/>
          <w:lang w:val="en-GB"/>
        </w:rPr>
        <w:t>p</w:t>
      </w:r>
      <w:r w:rsidR="003968A8" w:rsidRPr="008C3753">
        <w:rPr>
          <w:rFonts w:cstheme="minorHAnsi"/>
          <w:lang w:val="en-GB"/>
        </w:rPr>
        <w:t>&lt;</w:t>
      </w:r>
      <w:r w:rsidR="00AE124D" w:rsidRPr="008C3753">
        <w:rPr>
          <w:rFonts w:cstheme="minorHAnsi"/>
          <w:lang w:val="en-GB"/>
        </w:rPr>
        <w:t>0</w:t>
      </w:r>
      <w:r w:rsidR="003968A8" w:rsidRPr="008C3753">
        <w:rPr>
          <w:rFonts w:cstheme="minorHAnsi"/>
          <w:lang w:val="en-GB"/>
        </w:rPr>
        <w:t>.001).</w:t>
      </w:r>
    </w:p>
    <w:p w14:paraId="398BA039" w14:textId="77777777" w:rsidR="0086243D" w:rsidRPr="008C3753" w:rsidRDefault="0086243D" w:rsidP="00475602">
      <w:pPr>
        <w:spacing w:after="0" w:line="480" w:lineRule="auto"/>
        <w:jc w:val="both"/>
        <w:rPr>
          <w:rFonts w:cstheme="minorHAnsi"/>
          <w:lang w:val="en-GB"/>
        </w:rPr>
      </w:pPr>
    </w:p>
    <w:p w14:paraId="23395F53" w14:textId="03AB4272" w:rsidR="00337353" w:rsidRPr="008C3753" w:rsidRDefault="00337353" w:rsidP="00475602">
      <w:pPr>
        <w:spacing w:after="0" w:line="480" w:lineRule="auto"/>
        <w:jc w:val="both"/>
        <w:rPr>
          <w:rFonts w:cstheme="minorHAnsi"/>
          <w:b/>
          <w:lang w:val="en-GB"/>
        </w:rPr>
      </w:pPr>
      <w:r w:rsidRPr="008C3753">
        <w:rPr>
          <w:rFonts w:cstheme="minorHAnsi"/>
          <w:b/>
          <w:lang w:val="en-GB"/>
        </w:rPr>
        <w:t>Conclusion</w:t>
      </w:r>
    </w:p>
    <w:p w14:paraId="747C4655" w14:textId="660CA3ED" w:rsidR="00337353" w:rsidRPr="008C3753" w:rsidRDefault="00286414" w:rsidP="00475602">
      <w:pPr>
        <w:spacing w:after="0" w:line="480" w:lineRule="auto"/>
        <w:jc w:val="both"/>
        <w:rPr>
          <w:rFonts w:cstheme="minorHAnsi"/>
          <w:lang w:val="en-GB"/>
        </w:rPr>
      </w:pPr>
      <w:r w:rsidRPr="008C3753">
        <w:rPr>
          <w:rFonts w:cstheme="minorHAnsi"/>
          <w:lang w:val="en-GB"/>
        </w:rPr>
        <w:t>ARK provides a feasible and acceptable mechanism to support stopping antibiotics safely at post-prescription reviews</w:t>
      </w:r>
      <w:r w:rsidR="00B743B9" w:rsidRPr="008C3753">
        <w:rPr>
          <w:rFonts w:cstheme="minorHAnsi"/>
          <w:lang w:val="en-GB"/>
        </w:rPr>
        <w:t xml:space="preserve"> in an acute hospital setting</w:t>
      </w:r>
      <w:r w:rsidRPr="008C3753">
        <w:rPr>
          <w:rFonts w:cstheme="minorHAnsi"/>
          <w:lang w:val="en-GB"/>
        </w:rPr>
        <w:t>.</w:t>
      </w:r>
    </w:p>
    <w:p w14:paraId="15CB57A3" w14:textId="77777777" w:rsidR="002660E3" w:rsidRPr="008C3753" w:rsidRDefault="002660E3" w:rsidP="00475602">
      <w:pPr>
        <w:spacing w:after="0" w:line="480" w:lineRule="auto"/>
        <w:jc w:val="both"/>
        <w:rPr>
          <w:rFonts w:cstheme="minorHAnsi"/>
          <w:lang w:val="en-GB"/>
        </w:rPr>
      </w:pPr>
    </w:p>
    <w:p w14:paraId="02FF5C4B" w14:textId="6E508E34" w:rsidR="005A0D0D" w:rsidRPr="008C3753" w:rsidRDefault="007329D7" w:rsidP="005A0D0D">
      <w:pPr>
        <w:spacing w:after="0"/>
        <w:rPr>
          <w:rFonts w:ascii="Times New Roman" w:eastAsia="Times New Roman" w:hAnsi="Times New Roman" w:cs="Times New Roman"/>
          <w:lang w:val="en-GB"/>
        </w:rPr>
      </w:pPr>
      <w:r w:rsidRPr="008C3753">
        <w:rPr>
          <w:rFonts w:cstheme="minorHAnsi"/>
          <w:b/>
          <w:bCs/>
          <w:lang w:val="en-GB"/>
        </w:rPr>
        <w:t>Keywords</w:t>
      </w:r>
      <w:r w:rsidRPr="008C3753">
        <w:rPr>
          <w:rFonts w:cstheme="minorHAnsi"/>
          <w:lang w:val="en-GB"/>
        </w:rPr>
        <w:t xml:space="preserve">: </w:t>
      </w:r>
      <w:r w:rsidR="005A0D0D" w:rsidRPr="008C3753">
        <w:rPr>
          <w:rFonts w:ascii="Calibri" w:eastAsia="Times New Roman" w:hAnsi="Calibri" w:cs="Calibri"/>
          <w:color w:val="000000"/>
          <w:sz w:val="22"/>
          <w:szCs w:val="22"/>
          <w:lang w:val="en-GB"/>
        </w:rPr>
        <w:t>Antimicrobial stewardship, prescribing practice</w:t>
      </w:r>
      <w:r w:rsidR="000826BB" w:rsidRPr="008C3753">
        <w:rPr>
          <w:rFonts w:ascii="Calibri" w:eastAsia="Times New Roman" w:hAnsi="Calibri" w:cs="Calibri"/>
          <w:color w:val="000000"/>
          <w:sz w:val="22"/>
          <w:szCs w:val="22"/>
          <w:lang w:val="en-GB"/>
        </w:rPr>
        <w:t>, antibiotic usage</w:t>
      </w:r>
    </w:p>
    <w:p w14:paraId="5EA3254F" w14:textId="224A3763" w:rsidR="00337353" w:rsidRPr="008C3753" w:rsidRDefault="00337353" w:rsidP="00475602">
      <w:pPr>
        <w:spacing w:after="0" w:line="480" w:lineRule="auto"/>
        <w:jc w:val="both"/>
        <w:rPr>
          <w:rFonts w:cstheme="minorHAnsi"/>
          <w:lang w:val="en-GB"/>
        </w:rPr>
      </w:pPr>
    </w:p>
    <w:p w14:paraId="33DB4069" w14:textId="77777777" w:rsidR="00337353" w:rsidRPr="008C3753" w:rsidRDefault="00337353" w:rsidP="00475602">
      <w:pPr>
        <w:spacing w:after="0" w:line="480" w:lineRule="auto"/>
        <w:jc w:val="both"/>
        <w:rPr>
          <w:rFonts w:cstheme="minorHAnsi"/>
          <w:lang w:val="en-GB"/>
        </w:rPr>
      </w:pPr>
    </w:p>
    <w:p w14:paraId="7D42C785" w14:textId="77777777" w:rsidR="00337353" w:rsidRPr="008C3753" w:rsidRDefault="00337353" w:rsidP="00475602">
      <w:pPr>
        <w:spacing w:after="0" w:line="480" w:lineRule="auto"/>
        <w:jc w:val="both"/>
        <w:rPr>
          <w:rFonts w:cstheme="minorHAnsi"/>
          <w:lang w:val="en-GB"/>
        </w:rPr>
        <w:sectPr w:rsidR="00337353" w:rsidRPr="008C3753" w:rsidSect="00F51D2F">
          <w:pgSz w:w="11900" w:h="16840"/>
          <w:pgMar w:top="1440" w:right="1440" w:bottom="1440" w:left="1440" w:header="708" w:footer="708" w:gutter="0"/>
          <w:cols w:space="708"/>
          <w:docGrid w:linePitch="360"/>
        </w:sectPr>
      </w:pPr>
    </w:p>
    <w:p w14:paraId="7ABD367E" w14:textId="6CA7A8BD" w:rsidR="009E2577" w:rsidRPr="008C3753" w:rsidRDefault="009E2577" w:rsidP="00475602">
      <w:pPr>
        <w:pStyle w:val="Heading1"/>
        <w:spacing w:before="0" w:after="0" w:line="480" w:lineRule="auto"/>
        <w:jc w:val="both"/>
        <w:rPr>
          <w:rFonts w:asciiTheme="minorHAnsi" w:hAnsiTheme="minorHAnsi" w:cstheme="minorHAnsi"/>
          <w:sz w:val="24"/>
          <w:szCs w:val="24"/>
        </w:rPr>
      </w:pPr>
      <w:r w:rsidRPr="008C3753">
        <w:rPr>
          <w:rFonts w:asciiTheme="minorHAnsi" w:hAnsiTheme="minorHAnsi" w:cstheme="minorHAnsi"/>
          <w:sz w:val="24"/>
          <w:szCs w:val="24"/>
        </w:rPr>
        <w:lastRenderedPageBreak/>
        <w:t>Introductio</w:t>
      </w:r>
      <w:r w:rsidR="000E13A8" w:rsidRPr="008C3753">
        <w:rPr>
          <w:rFonts w:asciiTheme="minorHAnsi" w:hAnsiTheme="minorHAnsi" w:cstheme="minorHAnsi"/>
          <w:sz w:val="24"/>
          <w:szCs w:val="24"/>
        </w:rPr>
        <w:t>n</w:t>
      </w:r>
    </w:p>
    <w:p w14:paraId="52F0112A" w14:textId="2A0E5FE8" w:rsidR="00984FFB" w:rsidRPr="008C3753" w:rsidRDefault="000E13A8" w:rsidP="00475602">
      <w:pPr>
        <w:spacing w:after="0" w:line="480" w:lineRule="auto"/>
        <w:jc w:val="both"/>
        <w:rPr>
          <w:rFonts w:eastAsia="Calibri" w:cstheme="minorHAnsi"/>
          <w:vertAlign w:val="superscript"/>
          <w:lang w:val="en-GB"/>
        </w:rPr>
      </w:pPr>
      <w:r w:rsidRPr="008C3753">
        <w:rPr>
          <w:rFonts w:cstheme="minorHAnsi"/>
          <w:lang w:val="en-GB"/>
        </w:rPr>
        <w:t xml:space="preserve">Hospital </w:t>
      </w:r>
      <w:r w:rsidR="00690AEB" w:rsidRPr="008C3753">
        <w:rPr>
          <w:rFonts w:cstheme="minorHAnsi"/>
          <w:shd w:val="clear" w:color="auto" w:fill="FFFFFF"/>
          <w:lang w:val="en-GB"/>
        </w:rPr>
        <w:t xml:space="preserve">prescribing accounts for a minority of human antibiotic consumption </w:t>
      </w:r>
      <w:r w:rsidR="005E135F" w:rsidRPr="008C3753">
        <w:rPr>
          <w:rFonts w:cstheme="minorHAnsi"/>
          <w:shd w:val="clear" w:color="auto" w:fill="FFFFFF"/>
          <w:lang w:val="en-GB"/>
        </w:rPr>
        <w:t xml:space="preserve">but </w:t>
      </w:r>
      <w:r w:rsidR="00690AEB" w:rsidRPr="008C3753">
        <w:rPr>
          <w:rFonts w:cstheme="minorHAnsi"/>
          <w:shd w:val="clear" w:color="auto" w:fill="FFFFFF"/>
          <w:lang w:val="en-GB"/>
        </w:rPr>
        <w:t>is where the great majority of broad-spectrum antibiotics are prescribed</w:t>
      </w:r>
      <w:r w:rsidR="00F17EC0" w:rsidRPr="008C3753">
        <w:rPr>
          <w:rFonts w:cstheme="minorHAnsi"/>
          <w:shd w:val="clear" w:color="auto" w:fill="FFFFFF"/>
          <w:lang w:val="en-GB"/>
        </w:rPr>
        <w:t>.</w:t>
      </w:r>
      <w:r w:rsidR="004F268F" w:rsidRPr="008C3753">
        <w:rPr>
          <w:rFonts w:cstheme="minorHAnsi"/>
          <w:shd w:val="clear" w:color="auto" w:fill="FFFFFF"/>
          <w:lang w:val="en-GB"/>
        </w:rPr>
        <w:t xml:space="preserve"> </w:t>
      </w:r>
      <w:r w:rsidR="004F268F" w:rsidRPr="008C3753">
        <w:rPr>
          <w:rFonts w:cstheme="minorHAnsi"/>
          <w:shd w:val="clear" w:color="auto" w:fill="FFFFFF"/>
          <w:vertAlign w:val="superscript"/>
          <w:lang w:val="en-GB"/>
        </w:rPr>
        <w:t>1</w:t>
      </w:r>
      <w:r w:rsidR="005E135F" w:rsidRPr="008C3753">
        <w:rPr>
          <w:rFonts w:cstheme="minorHAnsi"/>
          <w:lang w:val="en-GB"/>
        </w:rPr>
        <w:t xml:space="preserve"> </w:t>
      </w:r>
      <w:r w:rsidR="00F11A3F" w:rsidRPr="008C3753">
        <w:rPr>
          <w:rFonts w:cstheme="minorHAnsi"/>
          <w:lang w:val="en-GB"/>
        </w:rPr>
        <w:t>Reducing antibiotic overuse in hospitals is challenging because</w:t>
      </w:r>
      <w:r w:rsidR="008A3FAA" w:rsidRPr="008C3753">
        <w:rPr>
          <w:rFonts w:cstheme="minorHAnsi"/>
          <w:lang w:val="en-GB"/>
        </w:rPr>
        <w:t xml:space="preserve"> </w:t>
      </w:r>
      <w:r w:rsidR="00F11A3F" w:rsidRPr="008C3753">
        <w:rPr>
          <w:rFonts w:cstheme="minorHAnsi"/>
          <w:lang w:val="en-GB"/>
        </w:rPr>
        <w:t xml:space="preserve">patients </w:t>
      </w:r>
      <w:r w:rsidR="008A3817" w:rsidRPr="008C3753">
        <w:rPr>
          <w:rFonts w:cstheme="minorHAnsi"/>
          <w:lang w:val="en-GB"/>
        </w:rPr>
        <w:t xml:space="preserve">who </w:t>
      </w:r>
      <w:r w:rsidR="0043340D" w:rsidRPr="008C3753">
        <w:rPr>
          <w:rFonts w:cstheme="minorHAnsi"/>
          <w:lang w:val="en-GB"/>
        </w:rPr>
        <w:t xml:space="preserve">present </w:t>
      </w:r>
      <w:r w:rsidR="00F11A3F" w:rsidRPr="008C3753">
        <w:rPr>
          <w:rFonts w:eastAsia="Calibri" w:cstheme="minorHAnsi"/>
          <w:lang w:val="en-GB"/>
        </w:rPr>
        <w:t xml:space="preserve">acutely </w:t>
      </w:r>
      <w:r w:rsidR="008A3FAA" w:rsidRPr="008C3753">
        <w:rPr>
          <w:rFonts w:eastAsia="Calibri" w:cstheme="minorHAnsi"/>
          <w:lang w:val="en-GB"/>
        </w:rPr>
        <w:t xml:space="preserve">unwell or </w:t>
      </w:r>
      <w:r w:rsidR="0043340D" w:rsidRPr="008C3753">
        <w:rPr>
          <w:rFonts w:eastAsia="Calibri" w:cstheme="minorHAnsi"/>
          <w:lang w:val="en-GB"/>
        </w:rPr>
        <w:t xml:space="preserve">are </w:t>
      </w:r>
      <w:r w:rsidR="008A3FAA" w:rsidRPr="008C3753">
        <w:rPr>
          <w:rFonts w:cstheme="minorHAnsi"/>
          <w:lang w:val="en-GB"/>
        </w:rPr>
        <w:t>critically ill</w:t>
      </w:r>
      <w:r w:rsidR="00F11A3F" w:rsidRPr="008C3753">
        <w:rPr>
          <w:rFonts w:eastAsia="Calibri" w:cstheme="minorHAnsi"/>
          <w:lang w:val="en-GB"/>
        </w:rPr>
        <w:t xml:space="preserve"> </w:t>
      </w:r>
      <w:r w:rsidR="008A3817" w:rsidRPr="008C3753">
        <w:rPr>
          <w:rFonts w:eastAsia="Calibri" w:cstheme="minorHAnsi"/>
          <w:lang w:val="en-GB"/>
        </w:rPr>
        <w:t xml:space="preserve">require </w:t>
      </w:r>
      <w:r w:rsidR="00F11A3F" w:rsidRPr="008C3753">
        <w:rPr>
          <w:rFonts w:eastAsia="Calibri" w:cstheme="minorHAnsi"/>
          <w:lang w:val="en-GB"/>
        </w:rPr>
        <w:t xml:space="preserve">prompt </w:t>
      </w:r>
      <w:r w:rsidR="0043340D" w:rsidRPr="008C3753">
        <w:rPr>
          <w:rFonts w:eastAsia="Calibri" w:cstheme="minorHAnsi"/>
          <w:lang w:val="en-GB"/>
        </w:rPr>
        <w:t xml:space="preserve">and adequate </w:t>
      </w:r>
      <w:r w:rsidR="00F11A3F" w:rsidRPr="008C3753">
        <w:rPr>
          <w:rFonts w:eastAsia="Calibri" w:cstheme="minorHAnsi"/>
          <w:lang w:val="en-GB"/>
        </w:rPr>
        <w:t>initial antibiotic therapy</w:t>
      </w:r>
      <w:r w:rsidR="00D22769" w:rsidRPr="008C3753">
        <w:rPr>
          <w:rFonts w:eastAsia="Calibri" w:cstheme="minorHAnsi"/>
          <w:lang w:val="en-GB"/>
        </w:rPr>
        <w:t xml:space="preserve">. </w:t>
      </w:r>
      <w:r w:rsidR="00D22769" w:rsidRPr="008C3753">
        <w:rPr>
          <w:rFonts w:eastAsia="Calibri" w:cstheme="minorHAnsi"/>
          <w:vertAlign w:val="superscript"/>
          <w:lang w:val="en-GB"/>
        </w:rPr>
        <w:t>2, 3</w:t>
      </w:r>
      <w:r w:rsidR="00F11A3F" w:rsidRPr="008C3753">
        <w:rPr>
          <w:rFonts w:eastAsia="Calibri" w:cstheme="minorHAnsi"/>
          <w:lang w:val="en-GB"/>
        </w:rPr>
        <w:t xml:space="preserve"> Control</w:t>
      </w:r>
      <w:r w:rsidR="005E135F" w:rsidRPr="008C3753">
        <w:rPr>
          <w:rFonts w:eastAsia="Calibri" w:cstheme="minorHAnsi"/>
          <w:lang w:val="en-GB"/>
        </w:rPr>
        <w:t>ling</w:t>
      </w:r>
      <w:r w:rsidR="00F11A3F" w:rsidRPr="008C3753">
        <w:rPr>
          <w:rFonts w:eastAsia="Calibri" w:cstheme="minorHAnsi"/>
          <w:lang w:val="en-GB"/>
        </w:rPr>
        <w:t xml:space="preserve"> antibiotic overuse relies on regular review and revision of antibiotic prescribing decision</w:t>
      </w:r>
      <w:r w:rsidR="008A3817" w:rsidRPr="008C3753">
        <w:rPr>
          <w:rFonts w:eastAsia="Calibri" w:cstheme="minorHAnsi"/>
          <w:lang w:val="en-GB"/>
        </w:rPr>
        <w:t xml:space="preserve">s; in the UK National Health Service (NHS) </w:t>
      </w:r>
      <w:r w:rsidR="00F11A3F" w:rsidRPr="008C3753">
        <w:rPr>
          <w:rFonts w:eastAsia="Calibri" w:cstheme="minorHAnsi"/>
          <w:lang w:val="en-GB"/>
        </w:rPr>
        <w:t>‘Start Smart then Focus’</w:t>
      </w:r>
      <w:r w:rsidR="008A3817" w:rsidRPr="008C3753">
        <w:rPr>
          <w:rFonts w:eastAsia="Calibri" w:cstheme="minorHAnsi"/>
          <w:lang w:val="en-GB"/>
        </w:rPr>
        <w:t xml:space="preserve"> guides that</w:t>
      </w:r>
      <w:r w:rsidR="008A3817" w:rsidRPr="008C3753">
        <w:rPr>
          <w:rFonts w:ascii="Calibri" w:eastAsia="Calibri" w:hAnsi="Calibri" w:cs="Times New Roman"/>
          <w:lang w:val="en-GB"/>
        </w:rPr>
        <w:t xml:space="preserve"> the continued need for antibiotics is assessed at 24-72 hours when more diagnostic information is available and treatment response can be assessed.</w:t>
      </w:r>
      <w:r w:rsidR="00D22769" w:rsidRPr="008C3753">
        <w:rPr>
          <w:rFonts w:eastAsia="Calibri" w:cstheme="minorHAnsi"/>
          <w:vertAlign w:val="superscript"/>
          <w:lang w:val="en-GB"/>
        </w:rPr>
        <w:t>4</w:t>
      </w:r>
      <w:r w:rsidR="00F11A3F" w:rsidRPr="008C3753">
        <w:rPr>
          <w:rFonts w:eastAsia="Calibri" w:cstheme="minorHAnsi"/>
          <w:lang w:val="en-GB"/>
        </w:rPr>
        <w:t xml:space="preserve"> </w:t>
      </w:r>
      <w:r w:rsidR="005E135F" w:rsidRPr="008C3753">
        <w:rPr>
          <w:rFonts w:eastAsia="Calibri" w:cstheme="minorHAnsi"/>
          <w:lang w:val="en-GB"/>
        </w:rPr>
        <w:t>Similarly, r</w:t>
      </w:r>
      <w:r w:rsidR="00F11A3F" w:rsidRPr="008C3753">
        <w:rPr>
          <w:rFonts w:eastAsia="Calibri" w:cstheme="minorHAnsi"/>
          <w:lang w:val="en-GB"/>
        </w:rPr>
        <w:t xml:space="preserve">ecommendations from the USA </w:t>
      </w:r>
      <w:proofErr w:type="spellStart"/>
      <w:r w:rsidR="00F11A3F" w:rsidRPr="008C3753">
        <w:rPr>
          <w:rFonts w:eastAsia="Calibri" w:cstheme="minorHAnsi"/>
          <w:lang w:val="en-GB"/>
        </w:rPr>
        <w:t>Centers</w:t>
      </w:r>
      <w:proofErr w:type="spellEnd"/>
      <w:r w:rsidR="00F11A3F" w:rsidRPr="008C3753">
        <w:rPr>
          <w:rFonts w:eastAsia="Calibri" w:cstheme="minorHAnsi"/>
          <w:lang w:val="en-GB"/>
        </w:rPr>
        <w:t xml:space="preserve"> for Disease Control and Prevention</w:t>
      </w:r>
      <w:r w:rsidR="001A2FCA" w:rsidRPr="008C3753">
        <w:rPr>
          <w:rFonts w:eastAsia="Calibri" w:cstheme="minorHAnsi"/>
          <w:lang w:val="en-GB"/>
        </w:rPr>
        <w:t xml:space="preserve"> (CDC)</w:t>
      </w:r>
      <w:r w:rsidR="00F11A3F" w:rsidRPr="008C3753">
        <w:rPr>
          <w:rFonts w:eastAsia="Calibri" w:cstheme="minorHAnsi"/>
          <w:lang w:val="en-GB"/>
        </w:rPr>
        <w:t xml:space="preserve"> include antibiotic “time</w:t>
      </w:r>
      <w:r w:rsidR="004013F5" w:rsidRPr="008C3753">
        <w:rPr>
          <w:rFonts w:eastAsia="Calibri" w:cstheme="minorHAnsi"/>
          <w:lang w:val="en-GB"/>
        </w:rPr>
        <w:t>-</w:t>
      </w:r>
      <w:r w:rsidR="00F11A3F" w:rsidRPr="008C3753">
        <w:rPr>
          <w:rFonts w:eastAsia="Calibri" w:cstheme="minorHAnsi"/>
          <w:lang w:val="en-GB"/>
        </w:rPr>
        <w:t>outs” to prompt reassessment of the continu</w:t>
      </w:r>
      <w:r w:rsidR="008A3817" w:rsidRPr="008C3753">
        <w:rPr>
          <w:rFonts w:eastAsia="Calibri" w:cstheme="minorHAnsi"/>
          <w:lang w:val="en-GB"/>
        </w:rPr>
        <w:t>ed</w:t>
      </w:r>
      <w:r w:rsidR="00F11A3F" w:rsidRPr="008C3753">
        <w:rPr>
          <w:rFonts w:eastAsia="Calibri" w:cstheme="minorHAnsi"/>
          <w:lang w:val="en-GB"/>
        </w:rPr>
        <w:t xml:space="preserve"> need for and choice of antibiotic treatment</w:t>
      </w:r>
      <w:r w:rsidR="00D22769" w:rsidRPr="008C3753">
        <w:rPr>
          <w:rFonts w:eastAsia="Calibri" w:cstheme="minorHAnsi"/>
          <w:lang w:val="en-GB"/>
        </w:rPr>
        <w:t xml:space="preserve">. </w:t>
      </w:r>
      <w:r w:rsidR="00D22769" w:rsidRPr="008C3753">
        <w:rPr>
          <w:rFonts w:eastAsia="Calibri" w:cstheme="minorHAnsi"/>
          <w:vertAlign w:val="superscript"/>
          <w:lang w:val="en-GB"/>
        </w:rPr>
        <w:t>5</w:t>
      </w:r>
    </w:p>
    <w:p w14:paraId="04820540" w14:textId="77777777" w:rsidR="0086243D" w:rsidRPr="008C3753" w:rsidRDefault="0086243D" w:rsidP="00475602">
      <w:pPr>
        <w:spacing w:after="0" w:line="480" w:lineRule="auto"/>
        <w:jc w:val="both"/>
        <w:rPr>
          <w:rFonts w:eastAsia="Calibri" w:cstheme="minorHAnsi"/>
          <w:lang w:val="en-GB"/>
        </w:rPr>
      </w:pPr>
    </w:p>
    <w:p w14:paraId="5C270F05" w14:textId="6EF5264C" w:rsidR="001B4523" w:rsidRPr="008C3753" w:rsidRDefault="00F11A3F" w:rsidP="00475602">
      <w:pPr>
        <w:spacing w:after="0" w:line="480" w:lineRule="auto"/>
        <w:jc w:val="both"/>
        <w:rPr>
          <w:rFonts w:eastAsia="Calibri" w:cstheme="minorHAnsi"/>
          <w:lang w:val="en-GB"/>
        </w:rPr>
      </w:pPr>
      <w:r w:rsidRPr="008C3753">
        <w:rPr>
          <w:rFonts w:eastAsia="Calibri" w:cstheme="minorHAnsi"/>
          <w:lang w:val="en-GB"/>
        </w:rPr>
        <w:t xml:space="preserve">Wide-ranging educational and practice </w:t>
      </w:r>
      <w:r w:rsidR="00ED2EAE" w:rsidRPr="008C3753">
        <w:rPr>
          <w:rFonts w:eastAsia="Calibri" w:cstheme="minorHAnsi"/>
          <w:lang w:val="en-GB"/>
        </w:rPr>
        <w:t>resources</w:t>
      </w:r>
      <w:r w:rsidRPr="008C3753">
        <w:rPr>
          <w:rFonts w:eastAsia="Calibri" w:cstheme="minorHAnsi"/>
          <w:lang w:val="en-GB"/>
        </w:rPr>
        <w:t xml:space="preserve"> exist to support hospital antibiotic stewardship</w:t>
      </w:r>
      <w:r w:rsidR="00D22769" w:rsidRPr="008C3753">
        <w:rPr>
          <w:rFonts w:eastAsia="Calibri" w:cstheme="minorHAnsi"/>
          <w:lang w:val="en-GB"/>
        </w:rPr>
        <w:t xml:space="preserve"> </w:t>
      </w:r>
      <w:r w:rsidR="00D22769" w:rsidRPr="008C3753">
        <w:rPr>
          <w:rFonts w:eastAsia="Calibri" w:cstheme="minorHAnsi"/>
          <w:vertAlign w:val="superscript"/>
          <w:lang w:val="en-GB"/>
        </w:rPr>
        <w:t>6</w:t>
      </w:r>
      <w:r w:rsidRPr="008C3753">
        <w:rPr>
          <w:rFonts w:eastAsia="Calibri" w:cstheme="minorHAnsi"/>
          <w:lang w:val="en-GB"/>
        </w:rPr>
        <w:t xml:space="preserve"> but significant improvements in hospital antibiotic overprescribing have not been achieved</w:t>
      </w:r>
      <w:r w:rsidR="00D22769" w:rsidRPr="008C3753">
        <w:rPr>
          <w:rFonts w:eastAsia="Calibri" w:cstheme="minorHAnsi"/>
          <w:lang w:val="en-GB"/>
        </w:rPr>
        <w:t xml:space="preserve">. </w:t>
      </w:r>
      <w:r w:rsidR="00D22769" w:rsidRPr="008C3753">
        <w:rPr>
          <w:rFonts w:eastAsia="Calibri" w:cstheme="minorHAnsi"/>
          <w:vertAlign w:val="superscript"/>
          <w:lang w:val="en-GB"/>
        </w:rPr>
        <w:t>1, 7</w:t>
      </w:r>
      <w:r w:rsidR="008155C8" w:rsidRPr="008C3753">
        <w:rPr>
          <w:rFonts w:cstheme="minorHAnsi"/>
          <w:shd w:val="clear" w:color="auto" w:fill="FFFFFF"/>
          <w:lang w:val="en-GB"/>
        </w:rPr>
        <w:t xml:space="preserve"> </w:t>
      </w:r>
      <w:r w:rsidR="008155C8" w:rsidRPr="008C3753">
        <w:rPr>
          <w:rFonts w:cstheme="minorHAnsi"/>
          <w:lang w:val="en-GB"/>
        </w:rPr>
        <w:t>Knowledge</w:t>
      </w:r>
      <w:r w:rsidRPr="008C3753">
        <w:rPr>
          <w:rFonts w:cstheme="minorHAnsi"/>
          <w:lang w:val="en-GB"/>
        </w:rPr>
        <w:t xml:space="preserve">, system and </w:t>
      </w:r>
      <w:proofErr w:type="spellStart"/>
      <w:r w:rsidR="008155C8" w:rsidRPr="008C3753">
        <w:rPr>
          <w:rFonts w:cstheme="minorHAnsi"/>
          <w:lang w:val="en-GB"/>
        </w:rPr>
        <w:t>behavioral</w:t>
      </w:r>
      <w:proofErr w:type="spellEnd"/>
      <w:r w:rsidRPr="008C3753">
        <w:rPr>
          <w:rFonts w:cstheme="minorHAnsi"/>
          <w:lang w:val="en-GB"/>
        </w:rPr>
        <w:t xml:space="preserve"> factors combine to make it very hard for doctors to take active decisions to stop antibiotics</w:t>
      </w:r>
      <w:r w:rsidR="00EB7943" w:rsidRPr="008C3753">
        <w:rPr>
          <w:rFonts w:cstheme="minorHAnsi"/>
          <w:lang w:val="en-GB"/>
        </w:rPr>
        <w:t xml:space="preserve"> </w:t>
      </w:r>
      <w:r w:rsidR="00EB7943" w:rsidRPr="008C3753">
        <w:rPr>
          <w:rFonts w:cstheme="minorHAnsi"/>
          <w:vertAlign w:val="superscript"/>
          <w:lang w:val="en-GB"/>
        </w:rPr>
        <w:t>8</w:t>
      </w:r>
      <w:r w:rsidRPr="008C3753">
        <w:rPr>
          <w:rFonts w:cstheme="minorHAnsi"/>
          <w:lang w:val="en-GB"/>
        </w:rPr>
        <w:t xml:space="preserve"> and </w:t>
      </w:r>
      <w:r w:rsidR="005E135F" w:rsidRPr="008C3753">
        <w:rPr>
          <w:rFonts w:cstheme="minorHAnsi"/>
          <w:lang w:val="en-GB"/>
        </w:rPr>
        <w:t>under</w:t>
      </w:r>
      <w:r w:rsidRPr="008C3753">
        <w:rPr>
          <w:rFonts w:cstheme="minorHAnsi"/>
          <w:lang w:val="en-GB"/>
        </w:rPr>
        <w:t xml:space="preserve"> 10% of antibiotic prescriptions are discontinued at review in the NHS</w:t>
      </w:r>
      <w:r w:rsidR="00EB7943" w:rsidRPr="008C3753">
        <w:rPr>
          <w:rFonts w:cstheme="minorHAnsi"/>
          <w:lang w:val="en-GB"/>
        </w:rPr>
        <w:t xml:space="preserve">. </w:t>
      </w:r>
      <w:r w:rsidR="00EB7943" w:rsidRPr="008C3753">
        <w:rPr>
          <w:rFonts w:cstheme="minorHAnsi"/>
          <w:vertAlign w:val="superscript"/>
          <w:lang w:val="en-GB"/>
        </w:rPr>
        <w:t>9</w:t>
      </w:r>
      <w:r w:rsidRPr="008C3753">
        <w:rPr>
          <w:rFonts w:eastAsia="Calibri" w:cstheme="minorHAnsi"/>
          <w:lang w:val="en-GB"/>
        </w:rPr>
        <w:t xml:space="preserve"> </w:t>
      </w:r>
      <w:r w:rsidR="00A72BD0" w:rsidRPr="008C3753">
        <w:rPr>
          <w:rFonts w:cstheme="minorHAnsi"/>
          <w:shd w:val="clear" w:color="auto" w:fill="FFFFFF"/>
          <w:lang w:val="en-GB"/>
        </w:rPr>
        <w:t xml:space="preserve">For these reasons, the Antibiotic Review Kit </w:t>
      </w:r>
      <w:r w:rsidR="005E135F" w:rsidRPr="008C3753">
        <w:rPr>
          <w:rFonts w:cstheme="minorHAnsi"/>
          <w:shd w:val="clear" w:color="auto" w:fill="FFFFFF"/>
          <w:lang w:val="en-GB"/>
        </w:rPr>
        <w:t xml:space="preserve">(ARK) </w:t>
      </w:r>
      <w:r w:rsidR="00A72BD0" w:rsidRPr="008C3753">
        <w:rPr>
          <w:rFonts w:cstheme="minorHAnsi"/>
          <w:shd w:val="clear" w:color="auto" w:fill="FFFFFF"/>
          <w:lang w:val="en-GB"/>
        </w:rPr>
        <w:t xml:space="preserve">intervention was designed and </w:t>
      </w:r>
      <w:r w:rsidR="008A3817" w:rsidRPr="008C3753">
        <w:rPr>
          <w:rFonts w:cstheme="minorHAnsi"/>
          <w:shd w:val="clear" w:color="auto" w:fill="FFFFFF"/>
          <w:lang w:val="en-GB"/>
        </w:rPr>
        <w:t xml:space="preserve">carefully </w:t>
      </w:r>
      <w:r w:rsidR="00A72BD0" w:rsidRPr="008C3753">
        <w:rPr>
          <w:rFonts w:cstheme="minorHAnsi"/>
          <w:shd w:val="clear" w:color="auto" w:fill="FFFFFF"/>
          <w:lang w:val="en-GB"/>
        </w:rPr>
        <w:t>optimi</w:t>
      </w:r>
      <w:r w:rsidR="008A3817" w:rsidRPr="008C3753">
        <w:rPr>
          <w:rFonts w:cstheme="minorHAnsi"/>
          <w:shd w:val="clear" w:color="auto" w:fill="FFFFFF"/>
          <w:lang w:val="en-GB"/>
        </w:rPr>
        <w:t>s</w:t>
      </w:r>
      <w:r w:rsidR="00A72BD0" w:rsidRPr="008C3753">
        <w:rPr>
          <w:rFonts w:cstheme="minorHAnsi"/>
          <w:shd w:val="clear" w:color="auto" w:fill="FFFFFF"/>
          <w:lang w:val="en-GB"/>
        </w:rPr>
        <w:t xml:space="preserve">ed </w:t>
      </w:r>
      <w:r w:rsidR="00A72BD0" w:rsidRPr="008C3753">
        <w:rPr>
          <w:rFonts w:cstheme="minorHAnsi"/>
          <w:lang w:val="en-GB"/>
        </w:rPr>
        <w:t xml:space="preserve">using an integrated person-based approach </w:t>
      </w:r>
      <w:r w:rsidR="00A72BD0" w:rsidRPr="008C3753">
        <w:rPr>
          <w:rFonts w:cstheme="minorHAnsi"/>
          <w:shd w:val="clear" w:color="auto" w:fill="FFFFFF"/>
          <w:lang w:val="en-GB"/>
        </w:rPr>
        <w:t xml:space="preserve">to address the barriers to behaviour change </w:t>
      </w:r>
      <w:r w:rsidR="00EB2421" w:rsidRPr="008C3753">
        <w:rPr>
          <w:rFonts w:cstheme="minorHAnsi"/>
          <w:iCs/>
          <w:lang w:val="en-GB"/>
        </w:rPr>
        <w:t>(</w:t>
      </w:r>
      <w:proofErr w:type="spellStart"/>
      <w:r w:rsidR="00EB2421" w:rsidRPr="008C3753">
        <w:rPr>
          <w:rFonts w:cstheme="minorHAnsi"/>
          <w:iCs/>
          <w:lang w:val="en-GB"/>
        </w:rPr>
        <w:t>Santillo</w:t>
      </w:r>
      <w:proofErr w:type="spellEnd"/>
      <w:r w:rsidR="005E135F" w:rsidRPr="008C3753">
        <w:rPr>
          <w:rFonts w:cstheme="minorHAnsi"/>
          <w:iCs/>
          <w:lang w:val="en-GB"/>
        </w:rPr>
        <w:t xml:space="preserve"> </w:t>
      </w:r>
      <w:r w:rsidR="005E135F" w:rsidRPr="008C3753">
        <w:rPr>
          <w:rFonts w:cstheme="minorHAnsi"/>
          <w:i/>
          <w:lang w:val="en-GB"/>
        </w:rPr>
        <w:t>et al</w:t>
      </w:r>
      <w:r w:rsidR="002A0B3C" w:rsidRPr="008C3753">
        <w:rPr>
          <w:rFonts w:cstheme="minorHAnsi"/>
          <w:iCs/>
          <w:lang w:val="en-GB"/>
        </w:rPr>
        <w:t>.</w:t>
      </w:r>
      <w:r w:rsidR="00EB2421" w:rsidRPr="008C3753">
        <w:rPr>
          <w:rFonts w:cstheme="minorHAnsi"/>
          <w:iCs/>
          <w:lang w:val="en-GB"/>
        </w:rPr>
        <w:t xml:space="preserve">, </w:t>
      </w:r>
      <w:r w:rsidR="002252A2" w:rsidRPr="008C3753">
        <w:rPr>
          <w:rFonts w:cstheme="minorHAnsi"/>
          <w:iCs/>
          <w:lang w:val="en-GB"/>
        </w:rPr>
        <w:t xml:space="preserve">Journal of Antimicrobial Chemotherapy </w:t>
      </w:r>
      <w:r w:rsidR="002252A2" w:rsidRPr="008C3753">
        <w:rPr>
          <w:rFonts w:cstheme="minorHAnsi"/>
          <w:i/>
          <w:lang w:val="en-GB"/>
        </w:rPr>
        <w:t>in press</w:t>
      </w:r>
      <w:r w:rsidR="00EB2421" w:rsidRPr="008C3753">
        <w:rPr>
          <w:rFonts w:cstheme="minorHAnsi"/>
          <w:iCs/>
          <w:lang w:val="en-GB"/>
        </w:rPr>
        <w:t>)</w:t>
      </w:r>
      <w:r w:rsidR="001B4523" w:rsidRPr="008C3753">
        <w:rPr>
          <w:rFonts w:cstheme="minorHAnsi"/>
          <w:iCs/>
          <w:lang w:val="en-GB"/>
        </w:rPr>
        <w:t>.</w:t>
      </w:r>
      <w:r w:rsidR="001B4523" w:rsidRPr="008C3753">
        <w:rPr>
          <w:rFonts w:cstheme="minorHAnsi"/>
          <w:lang w:val="en-GB"/>
        </w:rPr>
        <w:t xml:space="preserve"> </w:t>
      </w:r>
      <w:r w:rsidR="00A72BD0" w:rsidRPr="008C3753">
        <w:rPr>
          <w:rFonts w:cstheme="minorHAnsi"/>
          <w:lang w:val="en-GB"/>
        </w:rPr>
        <w:t>ARK aims to su</w:t>
      </w:r>
      <w:r w:rsidR="001B4523" w:rsidRPr="008C3753">
        <w:rPr>
          <w:rFonts w:eastAsia="Calibri" w:cstheme="minorHAnsi"/>
          <w:lang w:val="en-GB"/>
        </w:rPr>
        <w:t>pport</w:t>
      </w:r>
      <w:r w:rsidR="00A72BD0" w:rsidRPr="008C3753">
        <w:rPr>
          <w:rFonts w:eastAsia="Calibri" w:cstheme="minorHAnsi"/>
          <w:lang w:val="en-GB"/>
        </w:rPr>
        <w:t xml:space="preserve"> </w:t>
      </w:r>
      <w:r w:rsidR="00965073" w:rsidRPr="008C3753">
        <w:rPr>
          <w:rFonts w:eastAsia="Calibri" w:cstheme="minorHAnsi"/>
          <w:lang w:val="en-GB"/>
        </w:rPr>
        <w:t xml:space="preserve">prescribing and non-prescribing </w:t>
      </w:r>
      <w:r w:rsidR="001B4523" w:rsidRPr="008C3753">
        <w:rPr>
          <w:rFonts w:eastAsia="Calibri" w:cstheme="minorHAnsi"/>
          <w:lang w:val="en-GB"/>
        </w:rPr>
        <w:t xml:space="preserve">healthcare professionals </w:t>
      </w:r>
      <w:r w:rsidR="00633A79" w:rsidRPr="008C3753">
        <w:rPr>
          <w:rFonts w:eastAsia="Calibri" w:cstheme="minorHAnsi"/>
          <w:lang w:val="en-GB"/>
        </w:rPr>
        <w:t xml:space="preserve">apply the </w:t>
      </w:r>
      <w:r w:rsidR="00460414" w:rsidRPr="008C3753">
        <w:rPr>
          <w:rFonts w:eastAsia="Calibri" w:cstheme="minorHAnsi"/>
          <w:lang w:val="en-GB"/>
        </w:rPr>
        <w:t>“</w:t>
      </w:r>
      <w:r w:rsidR="00633A79" w:rsidRPr="008C3753">
        <w:rPr>
          <w:rFonts w:eastAsia="Calibri" w:cstheme="minorHAnsi"/>
          <w:lang w:val="en-GB"/>
        </w:rPr>
        <w:t>review and revise</w:t>
      </w:r>
      <w:r w:rsidR="00460414" w:rsidRPr="008C3753">
        <w:rPr>
          <w:rFonts w:eastAsia="Calibri" w:cstheme="minorHAnsi"/>
          <w:lang w:val="en-GB"/>
        </w:rPr>
        <w:t>”</w:t>
      </w:r>
      <w:r w:rsidR="00633A79" w:rsidRPr="008C3753">
        <w:rPr>
          <w:rFonts w:eastAsia="Calibri" w:cstheme="minorHAnsi"/>
          <w:lang w:val="en-GB"/>
        </w:rPr>
        <w:t xml:space="preserve"> approach to</w:t>
      </w:r>
      <w:r w:rsidR="001B4523" w:rsidRPr="008C3753">
        <w:rPr>
          <w:rFonts w:eastAsia="Calibri" w:cstheme="minorHAnsi"/>
          <w:lang w:val="en-GB"/>
        </w:rPr>
        <w:t xml:space="preserve"> antibiotic prescriptions </w:t>
      </w:r>
      <w:r w:rsidR="001B06D3" w:rsidRPr="008C3753">
        <w:rPr>
          <w:rFonts w:eastAsia="Calibri" w:cstheme="minorHAnsi"/>
          <w:lang w:val="en-GB"/>
        </w:rPr>
        <w:t xml:space="preserve">for acute and </w:t>
      </w:r>
      <w:r w:rsidR="001B4523" w:rsidRPr="008C3753">
        <w:rPr>
          <w:rFonts w:eastAsia="Calibri" w:cstheme="minorHAnsi"/>
          <w:lang w:val="en-GB"/>
        </w:rPr>
        <w:t>general medical inpatients</w:t>
      </w:r>
      <w:r w:rsidR="00965073" w:rsidRPr="008C3753">
        <w:rPr>
          <w:rFonts w:eastAsia="Calibri" w:cstheme="minorHAnsi"/>
          <w:lang w:val="en-GB"/>
        </w:rPr>
        <w:t xml:space="preserve">, and specifically </w:t>
      </w:r>
      <w:r w:rsidR="001B4523" w:rsidRPr="008C3753">
        <w:rPr>
          <w:rFonts w:eastAsia="Calibri" w:cstheme="minorHAnsi"/>
          <w:lang w:val="en-GB"/>
        </w:rPr>
        <w:t xml:space="preserve">to stop antibiotic treatment more often when it is safe to do so. </w:t>
      </w:r>
    </w:p>
    <w:p w14:paraId="6D5980EF" w14:textId="77777777" w:rsidR="0086243D" w:rsidRPr="008C3753" w:rsidRDefault="0086243D" w:rsidP="00475602">
      <w:pPr>
        <w:spacing w:after="0" w:line="480" w:lineRule="auto"/>
        <w:jc w:val="both"/>
        <w:rPr>
          <w:rFonts w:cstheme="minorHAnsi"/>
          <w:lang w:val="en-GB"/>
        </w:rPr>
      </w:pPr>
    </w:p>
    <w:p w14:paraId="578A55DD" w14:textId="34EB4C01" w:rsidR="007930BA" w:rsidRPr="008C3753" w:rsidRDefault="00C071C4" w:rsidP="00475602">
      <w:pPr>
        <w:spacing w:after="0" w:line="480" w:lineRule="auto"/>
        <w:jc w:val="both"/>
        <w:rPr>
          <w:rFonts w:eastAsiaTheme="majorEastAsia" w:cstheme="minorHAnsi"/>
          <w:b/>
          <w:lang w:val="en-GB"/>
        </w:rPr>
      </w:pPr>
      <w:r w:rsidRPr="008C3753">
        <w:rPr>
          <w:rFonts w:eastAsia="Calibri" w:cstheme="minorHAnsi"/>
          <w:lang w:val="en-GB"/>
        </w:rPr>
        <w:lastRenderedPageBreak/>
        <w:t>The clinical impact of many research programmes evaluating novel antimicrobial prescribing interventions is hampered by design and reporting limitations.</w:t>
      </w:r>
      <w:r w:rsidR="00A8745F" w:rsidRPr="008C3753">
        <w:rPr>
          <w:rFonts w:eastAsia="Calibri" w:cstheme="minorHAnsi"/>
          <w:lang w:val="en-GB"/>
        </w:rPr>
        <w:t xml:space="preserve"> </w:t>
      </w:r>
      <w:r w:rsidR="00A8745F" w:rsidRPr="008C3753">
        <w:rPr>
          <w:rFonts w:eastAsia="Calibri" w:cstheme="minorHAnsi"/>
          <w:vertAlign w:val="superscript"/>
          <w:lang w:val="en-GB"/>
        </w:rPr>
        <w:t>10</w:t>
      </w:r>
      <w:r w:rsidRPr="008C3753">
        <w:rPr>
          <w:rFonts w:eastAsia="Calibri" w:cstheme="minorHAnsi"/>
          <w:lang w:val="en-GB"/>
        </w:rPr>
        <w:t xml:space="preserve"> In particular </w:t>
      </w:r>
      <w:r w:rsidRPr="008C3753">
        <w:rPr>
          <w:rFonts w:cstheme="minorHAnsi"/>
          <w:shd w:val="clear" w:color="auto" w:fill="FFFFFF"/>
          <w:lang w:val="en-GB"/>
        </w:rPr>
        <w:t xml:space="preserve">all stages of evaluation should be reported allowing clinicians to understand how potential barriers and facilitators have been considered. </w:t>
      </w:r>
      <w:r w:rsidRPr="008C3753">
        <w:rPr>
          <w:rFonts w:eastAsia="Calibri" w:cstheme="minorHAnsi"/>
          <w:lang w:val="en-GB"/>
        </w:rPr>
        <w:t xml:space="preserve">Ahead of the definitive evaluation of ARK in a multi-centre in </w:t>
      </w:r>
      <w:r w:rsidRPr="008C3753">
        <w:rPr>
          <w:rFonts w:cstheme="minorHAnsi"/>
          <w:shd w:val="clear" w:color="auto" w:fill="FFFFFF"/>
          <w:lang w:val="en-GB"/>
        </w:rPr>
        <w:t xml:space="preserve">a stepped-wedge cluster randomised trial we </w:t>
      </w:r>
      <w:r w:rsidRPr="008C3753">
        <w:rPr>
          <w:rFonts w:eastAsia="Calibri" w:cstheme="minorHAnsi"/>
          <w:lang w:val="en-GB"/>
        </w:rPr>
        <w:t>u</w:t>
      </w:r>
      <w:r w:rsidRPr="008C3753">
        <w:rPr>
          <w:rFonts w:cstheme="minorHAnsi"/>
          <w:shd w:val="clear" w:color="auto" w:fill="FFFFFF"/>
          <w:lang w:val="en-GB"/>
        </w:rPr>
        <w:t>ndertook a single-site feasibility study</w:t>
      </w:r>
      <w:r w:rsidRPr="008C3753">
        <w:rPr>
          <w:rFonts w:eastAsia="Calibri" w:cstheme="minorHAnsi"/>
          <w:lang w:val="en-GB"/>
        </w:rPr>
        <w:t xml:space="preserve">. </w:t>
      </w:r>
      <w:r w:rsidRPr="008C3753">
        <w:rPr>
          <w:rFonts w:cstheme="minorHAnsi"/>
          <w:shd w:val="clear" w:color="auto" w:fill="FFFFFF"/>
          <w:lang w:val="en-GB"/>
        </w:rPr>
        <w:t xml:space="preserve">Here we report the practicalities of implementing the ARK-hospital intervention in a single acute hospital. We provide evidence for both the feasibility of </w:t>
      </w:r>
      <w:r w:rsidRPr="008C3753">
        <w:rPr>
          <w:rFonts w:eastAsia="Calibri" w:cstheme="minorHAnsi"/>
          <w:lang w:val="en-GB"/>
        </w:rPr>
        <w:t>adapting the intervention according to local needs whilst maintaining fidelity to the core elements</w:t>
      </w:r>
      <w:r w:rsidRPr="008C3753">
        <w:rPr>
          <w:rFonts w:cstheme="minorHAnsi"/>
          <w:shd w:val="clear" w:color="auto" w:fill="FFFFFF"/>
          <w:lang w:val="en-GB"/>
        </w:rPr>
        <w:t xml:space="preserve"> and acceptability of the intervention to front-line staff. </w:t>
      </w:r>
    </w:p>
    <w:p w14:paraId="69977848" w14:textId="77777777" w:rsidR="00281AEC" w:rsidRPr="008C3753" w:rsidRDefault="00281AEC" w:rsidP="00475602">
      <w:pPr>
        <w:pStyle w:val="Heading1"/>
        <w:spacing w:before="0" w:after="0" w:line="480" w:lineRule="auto"/>
        <w:jc w:val="both"/>
        <w:rPr>
          <w:rFonts w:asciiTheme="minorHAnsi" w:hAnsiTheme="minorHAnsi" w:cstheme="minorHAnsi"/>
          <w:sz w:val="24"/>
          <w:szCs w:val="24"/>
        </w:rPr>
      </w:pPr>
    </w:p>
    <w:p w14:paraId="3BC928B7" w14:textId="0DD2C335" w:rsidR="000B216F" w:rsidRPr="008C3753" w:rsidRDefault="000B216F" w:rsidP="00475602">
      <w:pPr>
        <w:pStyle w:val="Heading1"/>
        <w:spacing w:before="0" w:after="0" w:line="480" w:lineRule="auto"/>
        <w:jc w:val="both"/>
        <w:rPr>
          <w:rFonts w:asciiTheme="minorHAnsi" w:hAnsiTheme="minorHAnsi" w:cstheme="minorHAnsi"/>
          <w:sz w:val="24"/>
          <w:szCs w:val="24"/>
        </w:rPr>
      </w:pPr>
      <w:r w:rsidRPr="008C3753">
        <w:rPr>
          <w:rFonts w:asciiTheme="minorHAnsi" w:hAnsiTheme="minorHAnsi" w:cstheme="minorHAnsi"/>
          <w:sz w:val="24"/>
          <w:szCs w:val="24"/>
        </w:rPr>
        <w:t>Methods</w:t>
      </w:r>
    </w:p>
    <w:p w14:paraId="59A4BC90" w14:textId="364DA624" w:rsidR="000B5B8E" w:rsidRPr="008C3753" w:rsidRDefault="00A96E1F" w:rsidP="00475602">
      <w:pPr>
        <w:pStyle w:val="Heading2"/>
        <w:spacing w:before="0" w:after="0" w:line="480" w:lineRule="auto"/>
        <w:jc w:val="both"/>
        <w:rPr>
          <w:rFonts w:asciiTheme="minorHAnsi" w:hAnsiTheme="minorHAnsi" w:cstheme="minorHAnsi"/>
          <w:lang w:val="en-GB"/>
        </w:rPr>
      </w:pPr>
      <w:r w:rsidRPr="008C3753">
        <w:rPr>
          <w:rFonts w:asciiTheme="minorHAnsi" w:hAnsiTheme="minorHAnsi" w:cstheme="minorHAnsi"/>
          <w:lang w:val="en-GB"/>
        </w:rPr>
        <w:t>Ethics</w:t>
      </w:r>
    </w:p>
    <w:p w14:paraId="3F25E71D" w14:textId="7BB0C1F0" w:rsidR="000A66E4" w:rsidRPr="008C3753" w:rsidRDefault="009A7D05" w:rsidP="00475602">
      <w:pPr>
        <w:spacing w:after="0" w:line="480" w:lineRule="auto"/>
        <w:jc w:val="both"/>
        <w:rPr>
          <w:rFonts w:cstheme="minorHAnsi"/>
          <w:vertAlign w:val="superscript"/>
          <w:lang w:val="en-GB"/>
        </w:rPr>
      </w:pPr>
      <w:r w:rsidRPr="008C3753">
        <w:rPr>
          <w:rFonts w:cstheme="minorHAnsi"/>
          <w:lang w:val="en-GB"/>
        </w:rPr>
        <w:t>A</w:t>
      </w:r>
      <w:r w:rsidR="007930BA" w:rsidRPr="008C3753">
        <w:rPr>
          <w:rFonts w:cstheme="minorHAnsi"/>
          <w:lang w:val="en-GB"/>
        </w:rPr>
        <w:t xml:space="preserve">pprovals were obtained </w:t>
      </w:r>
      <w:r w:rsidR="0061322E" w:rsidRPr="008C3753">
        <w:rPr>
          <w:rFonts w:cstheme="minorHAnsi"/>
          <w:lang w:val="en-GB"/>
        </w:rPr>
        <w:t xml:space="preserve">from the </w:t>
      </w:r>
      <w:r w:rsidR="00A96E1F" w:rsidRPr="008C3753">
        <w:rPr>
          <w:rFonts w:cstheme="minorHAnsi"/>
          <w:lang w:val="en-GB"/>
        </w:rPr>
        <w:t>South Central – Oxford C</w:t>
      </w:r>
      <w:r w:rsidR="000B5B8E" w:rsidRPr="008C3753">
        <w:rPr>
          <w:rFonts w:cstheme="minorHAnsi"/>
          <w:lang w:val="en-GB"/>
        </w:rPr>
        <w:t xml:space="preserve"> Research Ethics Committee (</w:t>
      </w:r>
      <w:r w:rsidR="00A96E1F" w:rsidRPr="008C3753">
        <w:rPr>
          <w:rFonts w:cstheme="minorHAnsi"/>
          <w:lang w:val="en-GB"/>
        </w:rPr>
        <w:t>17/SC/0034</w:t>
      </w:r>
      <w:r w:rsidR="007930BA" w:rsidRPr="008C3753">
        <w:rPr>
          <w:rFonts w:cstheme="minorHAnsi"/>
          <w:lang w:val="en-GB"/>
        </w:rPr>
        <w:t>) and Confidentiality Advisory Group (17/CAG/0015)</w:t>
      </w:r>
      <w:r w:rsidR="000B5B8E" w:rsidRPr="008C3753">
        <w:rPr>
          <w:rFonts w:cstheme="minorHAnsi"/>
          <w:lang w:val="en-GB"/>
        </w:rPr>
        <w:t xml:space="preserve">. </w:t>
      </w:r>
      <w:r w:rsidR="00EE0BBF" w:rsidRPr="008C3753">
        <w:rPr>
          <w:rFonts w:cstheme="minorHAnsi"/>
          <w:lang w:val="en-GB"/>
        </w:rPr>
        <w:t xml:space="preserve">The trial </w:t>
      </w:r>
      <w:r w:rsidR="0061322E" w:rsidRPr="008C3753">
        <w:rPr>
          <w:rFonts w:cstheme="minorHAnsi"/>
          <w:lang w:val="en-GB"/>
        </w:rPr>
        <w:t>i</w:t>
      </w:r>
      <w:r w:rsidR="00EE0BBF" w:rsidRPr="008C3753">
        <w:rPr>
          <w:rFonts w:cstheme="minorHAnsi"/>
          <w:lang w:val="en-GB"/>
        </w:rPr>
        <w:t>s registered with Current Controlled Trials (ISRCTN:12674243).</w:t>
      </w:r>
      <w:r w:rsidR="00C76FB9" w:rsidRPr="008C3753">
        <w:rPr>
          <w:lang w:val="en-GB"/>
        </w:rPr>
        <w:t xml:space="preserve"> </w:t>
      </w:r>
      <w:r w:rsidR="000A66E4" w:rsidRPr="008C3753">
        <w:rPr>
          <w:lang w:val="en-GB"/>
        </w:rPr>
        <w:t>Th</w:t>
      </w:r>
      <w:r w:rsidR="002C241D" w:rsidRPr="008C3753">
        <w:rPr>
          <w:lang w:val="en-GB"/>
        </w:rPr>
        <w:t>is study has been reported in line with the</w:t>
      </w:r>
      <w:r w:rsidR="000A66E4" w:rsidRPr="008C3753">
        <w:rPr>
          <w:lang w:val="en-GB"/>
        </w:rPr>
        <w:t xml:space="preserve"> Strengthening the Reporting of Observational Studies in Epidemiology (STROBE)-AMS tool</w:t>
      </w:r>
      <w:r w:rsidR="000A66E4" w:rsidRPr="008C3753">
        <w:rPr>
          <w:rFonts w:cstheme="minorHAnsi"/>
          <w:lang w:val="en-GB"/>
        </w:rPr>
        <w:t>.</w:t>
      </w:r>
      <w:r w:rsidR="007764C2" w:rsidRPr="008C3753">
        <w:rPr>
          <w:rFonts w:cstheme="minorHAnsi"/>
          <w:lang w:val="en-GB"/>
        </w:rPr>
        <w:t xml:space="preserve"> </w:t>
      </w:r>
      <w:r w:rsidR="007764C2" w:rsidRPr="008C3753">
        <w:rPr>
          <w:rFonts w:cstheme="minorHAnsi"/>
          <w:vertAlign w:val="superscript"/>
          <w:lang w:val="en-GB"/>
        </w:rPr>
        <w:t>11</w:t>
      </w:r>
    </w:p>
    <w:p w14:paraId="4F4AC54A" w14:textId="77777777" w:rsidR="0086243D" w:rsidRPr="008C3753" w:rsidRDefault="0086243D" w:rsidP="00475602">
      <w:pPr>
        <w:spacing w:after="0" w:line="480" w:lineRule="auto"/>
        <w:jc w:val="both"/>
        <w:rPr>
          <w:rFonts w:cstheme="minorHAnsi"/>
          <w:lang w:val="en-GB"/>
        </w:rPr>
      </w:pPr>
    </w:p>
    <w:p w14:paraId="0038F0AD" w14:textId="72EE4C8D" w:rsidR="00F91F64" w:rsidRPr="008C3753" w:rsidRDefault="00694B6F" w:rsidP="00F91F64">
      <w:pPr>
        <w:pStyle w:val="Heading2"/>
        <w:spacing w:before="0" w:after="0" w:line="480" w:lineRule="auto"/>
        <w:jc w:val="both"/>
        <w:rPr>
          <w:rFonts w:asciiTheme="minorHAnsi" w:hAnsiTheme="minorHAnsi" w:cstheme="minorHAnsi"/>
          <w:lang w:val="en-GB"/>
        </w:rPr>
      </w:pPr>
      <w:r w:rsidRPr="008C3753">
        <w:rPr>
          <w:rFonts w:asciiTheme="minorHAnsi" w:hAnsiTheme="minorHAnsi" w:cstheme="minorHAnsi"/>
          <w:lang w:val="en-GB"/>
        </w:rPr>
        <w:t>Intervention description</w:t>
      </w:r>
    </w:p>
    <w:p w14:paraId="5A458108" w14:textId="078AA7C5" w:rsidR="00E6267D" w:rsidRPr="008C3753" w:rsidRDefault="00694B6F" w:rsidP="00F91F64">
      <w:pPr>
        <w:pStyle w:val="Heading2"/>
        <w:spacing w:before="0" w:after="0" w:line="480" w:lineRule="auto"/>
        <w:jc w:val="both"/>
        <w:rPr>
          <w:rFonts w:asciiTheme="minorHAnsi" w:hAnsiTheme="minorHAnsi" w:cstheme="minorHAnsi"/>
          <w:lang w:val="en-GB"/>
        </w:rPr>
      </w:pPr>
      <w:r w:rsidRPr="008C3753">
        <w:rPr>
          <w:rFonts w:asciiTheme="minorHAnsi" w:hAnsiTheme="minorHAnsi" w:cstheme="minorHAnsi"/>
          <w:b w:val="0"/>
          <w:lang w:val="en-GB"/>
        </w:rPr>
        <w:t>ARK has four components</w:t>
      </w:r>
      <w:r w:rsidR="00111CD1" w:rsidRPr="008C3753">
        <w:rPr>
          <w:rFonts w:asciiTheme="minorHAnsi" w:hAnsiTheme="minorHAnsi" w:cstheme="minorHAnsi"/>
          <w:b w:val="0"/>
          <w:lang w:val="en-GB"/>
        </w:rPr>
        <w:t xml:space="preserve">: </w:t>
      </w:r>
      <w:r w:rsidR="00BA5561" w:rsidRPr="008C3753">
        <w:rPr>
          <w:rFonts w:asciiTheme="minorHAnsi" w:hAnsiTheme="minorHAnsi" w:cstheme="minorHAnsi"/>
          <w:b w:val="0"/>
          <w:lang w:val="en-GB"/>
        </w:rPr>
        <w:t>a</w:t>
      </w:r>
      <w:r w:rsidR="00C76FB9" w:rsidRPr="008C3753">
        <w:rPr>
          <w:rFonts w:asciiTheme="minorHAnsi" w:hAnsiTheme="minorHAnsi" w:cstheme="minorHAnsi"/>
          <w:b w:val="0"/>
          <w:iCs/>
          <w:lang w:val="en-GB"/>
        </w:rPr>
        <w:t>n</w:t>
      </w:r>
      <w:r w:rsidR="00C76FB9" w:rsidRPr="008C3753">
        <w:rPr>
          <w:rFonts w:asciiTheme="minorHAnsi" w:hAnsiTheme="minorHAnsi" w:cstheme="minorHAnsi"/>
          <w:b w:val="0"/>
          <w:i/>
          <w:lang w:val="en-GB"/>
        </w:rPr>
        <w:t xml:space="preserve"> </w:t>
      </w:r>
      <w:r w:rsidR="00BA5561" w:rsidRPr="008C3753">
        <w:rPr>
          <w:rFonts w:asciiTheme="minorHAnsi" w:hAnsiTheme="minorHAnsi" w:cstheme="minorHAnsi"/>
          <w:b w:val="0"/>
          <w:lang w:val="en-GB"/>
        </w:rPr>
        <w:t>online tool,</w:t>
      </w:r>
      <w:r w:rsidR="00A966C3" w:rsidRPr="008C3753">
        <w:rPr>
          <w:rFonts w:asciiTheme="minorHAnsi" w:hAnsiTheme="minorHAnsi" w:cstheme="minorHAnsi"/>
          <w:b w:val="0"/>
          <w:lang w:val="en-GB"/>
        </w:rPr>
        <w:t xml:space="preserve"> </w:t>
      </w:r>
      <w:r w:rsidR="00791245" w:rsidRPr="008C3753">
        <w:rPr>
          <w:rFonts w:asciiTheme="minorHAnsi" w:hAnsiTheme="minorHAnsi" w:cstheme="minorHAnsi"/>
          <w:b w:val="0"/>
          <w:lang w:val="en-GB"/>
        </w:rPr>
        <w:t xml:space="preserve">prescribing </w:t>
      </w:r>
      <w:r w:rsidR="00F40F38" w:rsidRPr="008C3753">
        <w:rPr>
          <w:rFonts w:asciiTheme="minorHAnsi" w:hAnsiTheme="minorHAnsi" w:cstheme="minorHAnsi"/>
          <w:b w:val="0"/>
          <w:lang w:val="en-GB"/>
        </w:rPr>
        <w:t>d</w:t>
      </w:r>
      <w:r w:rsidR="00BA5561" w:rsidRPr="008C3753">
        <w:rPr>
          <w:rFonts w:asciiTheme="minorHAnsi" w:hAnsiTheme="minorHAnsi" w:cstheme="minorHAnsi"/>
          <w:b w:val="0"/>
          <w:lang w:val="en-GB"/>
        </w:rPr>
        <w:t xml:space="preserve">ecision </w:t>
      </w:r>
      <w:r w:rsidR="00F40F38" w:rsidRPr="008C3753">
        <w:rPr>
          <w:rFonts w:asciiTheme="minorHAnsi" w:hAnsiTheme="minorHAnsi" w:cstheme="minorHAnsi"/>
          <w:b w:val="0"/>
          <w:lang w:val="en-GB"/>
        </w:rPr>
        <w:t>a</w:t>
      </w:r>
      <w:r w:rsidR="00BA5561" w:rsidRPr="008C3753">
        <w:rPr>
          <w:rFonts w:asciiTheme="minorHAnsi" w:hAnsiTheme="minorHAnsi" w:cstheme="minorHAnsi"/>
          <w:b w:val="0"/>
          <w:lang w:val="en-GB"/>
        </w:rPr>
        <w:t>id</w:t>
      </w:r>
      <w:r w:rsidR="005F5EE5" w:rsidRPr="008C3753">
        <w:rPr>
          <w:rFonts w:asciiTheme="minorHAnsi" w:hAnsiTheme="minorHAnsi" w:cstheme="minorHAnsi"/>
          <w:b w:val="0"/>
          <w:lang w:val="en-GB"/>
        </w:rPr>
        <w:t xml:space="preserve"> (supplementary figure 1)</w:t>
      </w:r>
      <w:r w:rsidR="00BA5561" w:rsidRPr="008C3753">
        <w:rPr>
          <w:rFonts w:asciiTheme="minorHAnsi" w:hAnsiTheme="minorHAnsi" w:cstheme="minorHAnsi"/>
          <w:b w:val="0"/>
          <w:lang w:val="en-GB"/>
        </w:rPr>
        <w:t>,</w:t>
      </w:r>
      <w:r w:rsidR="00C0459C" w:rsidRPr="008C3753">
        <w:rPr>
          <w:rFonts w:asciiTheme="minorHAnsi" w:hAnsiTheme="minorHAnsi" w:cstheme="minorHAnsi"/>
          <w:b w:val="0"/>
          <w:lang w:val="en-GB"/>
        </w:rPr>
        <w:t xml:space="preserve"> data collection </w:t>
      </w:r>
      <w:r w:rsidR="00BA5561" w:rsidRPr="008C3753">
        <w:rPr>
          <w:rFonts w:asciiTheme="minorHAnsi" w:hAnsiTheme="minorHAnsi" w:cstheme="minorHAnsi"/>
          <w:b w:val="0"/>
          <w:lang w:val="en-GB"/>
        </w:rPr>
        <w:t>and feedback process</w:t>
      </w:r>
      <w:r w:rsidR="00C76FB9" w:rsidRPr="008C3753">
        <w:rPr>
          <w:rFonts w:asciiTheme="minorHAnsi" w:hAnsiTheme="minorHAnsi" w:cstheme="minorHAnsi"/>
          <w:b w:val="0"/>
          <w:i/>
          <w:lang w:val="en-GB"/>
        </w:rPr>
        <w:t>,</w:t>
      </w:r>
      <w:r w:rsidR="00BA5561" w:rsidRPr="008C3753">
        <w:rPr>
          <w:rFonts w:asciiTheme="minorHAnsi" w:hAnsiTheme="minorHAnsi" w:cstheme="minorHAnsi"/>
          <w:b w:val="0"/>
          <w:lang w:val="en-GB"/>
        </w:rPr>
        <w:t xml:space="preserve"> and</w:t>
      </w:r>
      <w:r w:rsidR="00C76FB9" w:rsidRPr="008C3753">
        <w:rPr>
          <w:rFonts w:asciiTheme="minorHAnsi" w:hAnsiTheme="minorHAnsi" w:cstheme="minorHAnsi"/>
          <w:b w:val="0"/>
          <w:i/>
          <w:lang w:val="en-GB"/>
        </w:rPr>
        <w:t xml:space="preserve"> </w:t>
      </w:r>
      <w:r w:rsidR="00C76FB9" w:rsidRPr="008C3753">
        <w:rPr>
          <w:rFonts w:asciiTheme="minorHAnsi" w:hAnsiTheme="minorHAnsi" w:cstheme="minorHAnsi"/>
          <w:b w:val="0"/>
          <w:iCs/>
          <w:lang w:val="en-GB"/>
        </w:rPr>
        <w:t>a</w:t>
      </w:r>
      <w:r w:rsidR="00BA5561" w:rsidRPr="008C3753">
        <w:rPr>
          <w:rFonts w:asciiTheme="minorHAnsi" w:hAnsiTheme="minorHAnsi" w:cstheme="minorHAnsi"/>
          <w:b w:val="0"/>
          <w:lang w:val="en-GB"/>
        </w:rPr>
        <w:t xml:space="preserve"> patient leaflet </w:t>
      </w:r>
      <w:r w:rsidR="00A245A3" w:rsidRPr="008C3753">
        <w:rPr>
          <w:rFonts w:asciiTheme="minorHAnsi" w:hAnsiTheme="minorHAnsi" w:cstheme="minorHAnsi"/>
          <w:b w:val="0"/>
          <w:lang w:val="en-GB"/>
        </w:rPr>
        <w:t>that are summari</w:t>
      </w:r>
      <w:r w:rsidR="00791245" w:rsidRPr="008C3753">
        <w:rPr>
          <w:rFonts w:asciiTheme="minorHAnsi" w:hAnsiTheme="minorHAnsi" w:cstheme="minorHAnsi"/>
          <w:b w:val="0"/>
          <w:lang w:val="en-GB"/>
        </w:rPr>
        <w:t>s</w:t>
      </w:r>
      <w:r w:rsidR="00A245A3" w:rsidRPr="008C3753">
        <w:rPr>
          <w:rFonts w:asciiTheme="minorHAnsi" w:hAnsiTheme="minorHAnsi" w:cstheme="minorHAnsi"/>
          <w:b w:val="0"/>
          <w:lang w:val="en-GB"/>
        </w:rPr>
        <w:t xml:space="preserve">ed in </w:t>
      </w:r>
      <w:r w:rsidR="00C331CA" w:rsidRPr="008C3753">
        <w:rPr>
          <w:rFonts w:asciiTheme="minorHAnsi" w:hAnsiTheme="minorHAnsi" w:cstheme="minorHAnsi"/>
          <w:b w:val="0"/>
          <w:lang w:val="en-GB"/>
        </w:rPr>
        <w:t>table</w:t>
      </w:r>
      <w:r w:rsidR="00BA5561" w:rsidRPr="008C3753">
        <w:rPr>
          <w:rFonts w:asciiTheme="minorHAnsi" w:hAnsiTheme="minorHAnsi" w:cstheme="minorHAnsi"/>
          <w:b w:val="0"/>
          <w:lang w:val="en-GB"/>
        </w:rPr>
        <w:t xml:space="preserve"> </w:t>
      </w:r>
      <w:r w:rsidR="00FF3E67" w:rsidRPr="008C3753">
        <w:rPr>
          <w:rFonts w:asciiTheme="minorHAnsi" w:hAnsiTheme="minorHAnsi" w:cstheme="minorHAnsi"/>
          <w:b w:val="0"/>
          <w:lang w:val="en-GB"/>
        </w:rPr>
        <w:t>I</w:t>
      </w:r>
      <w:r w:rsidR="00BA5561" w:rsidRPr="008C3753">
        <w:rPr>
          <w:rFonts w:asciiTheme="minorHAnsi" w:hAnsiTheme="minorHAnsi" w:cstheme="minorHAnsi"/>
          <w:b w:val="0"/>
          <w:lang w:val="en-GB"/>
        </w:rPr>
        <w:t xml:space="preserve">. </w:t>
      </w:r>
      <w:r w:rsidR="00E6267D" w:rsidRPr="008C3753">
        <w:rPr>
          <w:rFonts w:asciiTheme="minorHAnsi" w:hAnsiTheme="minorHAnsi" w:cstheme="minorHAnsi"/>
          <w:b w:val="0"/>
          <w:bCs/>
          <w:iCs/>
          <w:lang w:val="en-GB"/>
        </w:rPr>
        <w:t xml:space="preserve">ARK implementation is led by an ARK Champion and </w:t>
      </w:r>
      <w:r w:rsidR="00CE7B5F" w:rsidRPr="008C3753">
        <w:rPr>
          <w:rFonts w:asciiTheme="minorHAnsi" w:hAnsiTheme="minorHAnsi" w:cstheme="minorHAnsi"/>
          <w:b w:val="0"/>
          <w:bCs/>
          <w:iCs/>
          <w:lang w:val="en-GB"/>
        </w:rPr>
        <w:t>Core Team</w:t>
      </w:r>
      <w:r w:rsidR="00B35322" w:rsidRPr="008C3753">
        <w:rPr>
          <w:rFonts w:asciiTheme="minorHAnsi" w:hAnsiTheme="minorHAnsi" w:cstheme="minorHAnsi"/>
          <w:b w:val="0"/>
          <w:bCs/>
          <w:iCs/>
          <w:lang w:val="en-GB"/>
        </w:rPr>
        <w:t xml:space="preserve">, </w:t>
      </w:r>
      <w:r w:rsidR="00E6267D" w:rsidRPr="008C3753">
        <w:rPr>
          <w:rFonts w:asciiTheme="minorHAnsi" w:hAnsiTheme="minorHAnsi" w:cstheme="minorHAnsi"/>
          <w:b w:val="0"/>
          <w:bCs/>
          <w:iCs/>
          <w:lang w:val="en-GB"/>
        </w:rPr>
        <w:t xml:space="preserve">involving an </w:t>
      </w:r>
      <w:r w:rsidR="00E04345" w:rsidRPr="008C3753">
        <w:rPr>
          <w:rFonts w:asciiTheme="minorHAnsi" w:hAnsiTheme="minorHAnsi" w:cstheme="minorHAnsi"/>
          <w:b w:val="0"/>
          <w:bCs/>
          <w:iCs/>
          <w:lang w:val="en-GB"/>
        </w:rPr>
        <w:t>AMS</w:t>
      </w:r>
      <w:r w:rsidR="00E6267D" w:rsidRPr="008C3753">
        <w:rPr>
          <w:rFonts w:asciiTheme="minorHAnsi" w:hAnsiTheme="minorHAnsi" w:cstheme="minorHAnsi"/>
          <w:b w:val="0"/>
          <w:bCs/>
          <w:iCs/>
          <w:lang w:val="en-GB"/>
        </w:rPr>
        <w:t xml:space="preserve"> team member</w:t>
      </w:r>
      <w:r w:rsidR="00B35322" w:rsidRPr="008C3753">
        <w:rPr>
          <w:rFonts w:asciiTheme="minorHAnsi" w:hAnsiTheme="minorHAnsi" w:cstheme="minorHAnsi"/>
          <w:b w:val="0"/>
          <w:bCs/>
          <w:iCs/>
          <w:lang w:val="en-GB"/>
        </w:rPr>
        <w:t>,</w:t>
      </w:r>
      <w:r w:rsidR="007E2649" w:rsidRPr="008C3753">
        <w:rPr>
          <w:rFonts w:asciiTheme="minorHAnsi" w:hAnsiTheme="minorHAnsi" w:cstheme="minorHAnsi"/>
          <w:b w:val="0"/>
          <w:bCs/>
          <w:iCs/>
          <w:lang w:val="en-GB"/>
        </w:rPr>
        <w:t xml:space="preserve"> and clinical staff considered essential to the </w:t>
      </w:r>
      <w:r w:rsidR="002B1592" w:rsidRPr="008C3753">
        <w:rPr>
          <w:rFonts w:asciiTheme="minorHAnsi" w:hAnsiTheme="minorHAnsi" w:cstheme="minorHAnsi"/>
          <w:b w:val="0"/>
          <w:bCs/>
          <w:iCs/>
          <w:lang w:val="en-GB"/>
        </w:rPr>
        <w:t xml:space="preserve">local </w:t>
      </w:r>
      <w:r w:rsidR="007E2649" w:rsidRPr="008C3753">
        <w:rPr>
          <w:rFonts w:asciiTheme="minorHAnsi" w:hAnsiTheme="minorHAnsi" w:cstheme="minorHAnsi"/>
          <w:b w:val="0"/>
          <w:bCs/>
          <w:iCs/>
          <w:lang w:val="en-GB"/>
        </w:rPr>
        <w:t>implementation of ARK</w:t>
      </w:r>
      <w:r w:rsidR="00E6267D" w:rsidRPr="008C3753">
        <w:rPr>
          <w:rFonts w:asciiTheme="minorHAnsi" w:hAnsiTheme="minorHAnsi" w:cstheme="minorHAnsi"/>
          <w:b w:val="0"/>
          <w:bCs/>
          <w:iCs/>
          <w:lang w:val="en-GB"/>
        </w:rPr>
        <w:t xml:space="preserve">. The implementation guidance sets out the main activities needed to establish ARK in seven </w:t>
      </w:r>
      <w:r w:rsidR="00E6267D" w:rsidRPr="008C3753">
        <w:rPr>
          <w:rFonts w:asciiTheme="minorHAnsi" w:hAnsiTheme="minorHAnsi" w:cstheme="minorHAnsi"/>
          <w:b w:val="0"/>
          <w:bCs/>
          <w:iCs/>
          <w:lang w:val="en-GB"/>
        </w:rPr>
        <w:lastRenderedPageBreak/>
        <w:t>phases, beginning three months before kick-off, covering three months of implementation and then addressing sustainability (</w:t>
      </w:r>
      <w:r w:rsidR="00BF14B5" w:rsidRPr="008C3753">
        <w:rPr>
          <w:rFonts w:asciiTheme="minorHAnsi" w:hAnsiTheme="minorHAnsi" w:cstheme="minorHAnsi"/>
          <w:b w:val="0"/>
          <w:bCs/>
          <w:iCs/>
          <w:lang w:val="en-GB"/>
        </w:rPr>
        <w:t>s</w:t>
      </w:r>
      <w:r w:rsidR="00E6267D" w:rsidRPr="008C3753">
        <w:rPr>
          <w:rFonts w:asciiTheme="minorHAnsi" w:hAnsiTheme="minorHAnsi" w:cstheme="minorHAnsi"/>
          <w:b w:val="0"/>
          <w:bCs/>
          <w:iCs/>
          <w:lang w:val="en-GB"/>
        </w:rPr>
        <w:t xml:space="preserve">upplementary </w:t>
      </w:r>
      <w:r w:rsidR="00BF14B5" w:rsidRPr="008C3753">
        <w:rPr>
          <w:rFonts w:asciiTheme="minorHAnsi" w:hAnsiTheme="minorHAnsi" w:cstheme="minorHAnsi"/>
          <w:b w:val="0"/>
          <w:bCs/>
          <w:iCs/>
          <w:lang w:val="en-GB"/>
        </w:rPr>
        <w:t>f</w:t>
      </w:r>
      <w:r w:rsidR="00E6267D" w:rsidRPr="008C3753">
        <w:rPr>
          <w:rFonts w:asciiTheme="minorHAnsi" w:hAnsiTheme="minorHAnsi" w:cstheme="minorHAnsi"/>
          <w:b w:val="0"/>
          <w:bCs/>
          <w:iCs/>
          <w:lang w:val="en-GB"/>
        </w:rPr>
        <w:t xml:space="preserve">igure 2). </w:t>
      </w:r>
    </w:p>
    <w:p w14:paraId="7AC9C903" w14:textId="77777777" w:rsidR="0086243D" w:rsidRPr="008C3753" w:rsidRDefault="0086243D" w:rsidP="0003040C">
      <w:pPr>
        <w:rPr>
          <w:lang w:val="en-GB"/>
        </w:rPr>
      </w:pPr>
    </w:p>
    <w:p w14:paraId="0B6E12A5" w14:textId="77777777" w:rsidR="009A7D05" w:rsidRPr="008C3753" w:rsidRDefault="009A7D05" w:rsidP="00475602">
      <w:pPr>
        <w:pStyle w:val="Heading2"/>
        <w:spacing w:before="0" w:after="0" w:line="480" w:lineRule="auto"/>
        <w:jc w:val="both"/>
        <w:rPr>
          <w:rFonts w:asciiTheme="minorHAnsi" w:hAnsiTheme="minorHAnsi" w:cstheme="minorHAnsi"/>
          <w:lang w:val="en-GB"/>
        </w:rPr>
      </w:pPr>
      <w:r w:rsidRPr="008C3753">
        <w:rPr>
          <w:rFonts w:asciiTheme="minorHAnsi" w:hAnsiTheme="minorHAnsi" w:cstheme="minorHAnsi"/>
          <w:lang w:val="en-GB"/>
        </w:rPr>
        <w:t>Design</w:t>
      </w:r>
    </w:p>
    <w:p w14:paraId="65CC1407" w14:textId="5AFBEDA8" w:rsidR="008F0E4D" w:rsidRPr="008C3753" w:rsidRDefault="009A7D05" w:rsidP="00475602">
      <w:pPr>
        <w:keepNext/>
        <w:spacing w:after="0" w:line="480" w:lineRule="auto"/>
        <w:jc w:val="both"/>
        <w:rPr>
          <w:rFonts w:cstheme="minorHAnsi"/>
          <w:i/>
          <w:lang w:val="en-GB"/>
        </w:rPr>
      </w:pPr>
      <w:r w:rsidRPr="008C3753">
        <w:rPr>
          <w:rFonts w:cstheme="minorHAnsi"/>
          <w:lang w:val="en-GB"/>
        </w:rPr>
        <w:t>Th</w:t>
      </w:r>
      <w:r w:rsidR="0061322E" w:rsidRPr="008C3753">
        <w:rPr>
          <w:rFonts w:cstheme="minorHAnsi"/>
          <w:lang w:val="en-GB"/>
        </w:rPr>
        <w:t>is</w:t>
      </w:r>
      <w:r w:rsidRPr="008C3753">
        <w:rPr>
          <w:rFonts w:cstheme="minorHAnsi"/>
          <w:lang w:val="en-GB"/>
        </w:rPr>
        <w:t xml:space="preserve"> </w:t>
      </w:r>
      <w:r w:rsidR="00202F8F" w:rsidRPr="008C3753">
        <w:rPr>
          <w:rFonts w:cstheme="minorHAnsi"/>
          <w:lang w:val="en-GB"/>
        </w:rPr>
        <w:t xml:space="preserve">single site </w:t>
      </w:r>
      <w:r w:rsidR="0061322E" w:rsidRPr="008C3753">
        <w:rPr>
          <w:rFonts w:cstheme="minorHAnsi"/>
          <w:lang w:val="en-GB"/>
        </w:rPr>
        <w:t>study</w:t>
      </w:r>
      <w:r w:rsidRPr="008C3753">
        <w:rPr>
          <w:rFonts w:cstheme="minorHAnsi"/>
          <w:lang w:val="en-GB"/>
        </w:rPr>
        <w:t xml:space="preserve"> focused on three key aspects; a) feasibility of adapting ARK to local needs, b) feasibility of key intervention components, and c) acceptability of ARK to the implementation team and the wider clinical team.</w:t>
      </w:r>
      <w:r w:rsidR="00E6267D" w:rsidRPr="008C3753">
        <w:rPr>
          <w:rFonts w:cstheme="minorHAnsi"/>
          <w:lang w:val="en-GB"/>
        </w:rPr>
        <w:t xml:space="preserve"> </w:t>
      </w:r>
      <w:r w:rsidR="00403B4E" w:rsidRPr="008C3753">
        <w:rPr>
          <w:rFonts w:cstheme="minorHAnsi"/>
          <w:lang w:val="en-GB"/>
        </w:rPr>
        <w:t xml:space="preserve">The feasibility site was </w:t>
      </w:r>
      <w:r w:rsidR="00786EBC" w:rsidRPr="008C3753">
        <w:rPr>
          <w:rFonts w:cstheme="minorHAnsi"/>
          <w:lang w:val="en-GB"/>
        </w:rPr>
        <w:t xml:space="preserve">a </w:t>
      </w:r>
      <w:r w:rsidR="00634218" w:rsidRPr="008C3753">
        <w:rPr>
          <w:rFonts w:cstheme="minorHAnsi"/>
          <w:lang w:val="en-GB"/>
        </w:rPr>
        <w:t>selected</w:t>
      </w:r>
      <w:r w:rsidR="00403B4E" w:rsidRPr="008C3753">
        <w:rPr>
          <w:rFonts w:cstheme="minorHAnsi"/>
          <w:lang w:val="en-GB"/>
        </w:rPr>
        <w:t xml:space="preserve"> </w:t>
      </w:r>
      <w:r w:rsidR="00E6267D" w:rsidRPr="008C3753">
        <w:rPr>
          <w:rFonts w:cstheme="minorHAnsi"/>
          <w:lang w:val="en-GB"/>
        </w:rPr>
        <w:t>Trust</w:t>
      </w:r>
      <w:r w:rsidR="00786EBC" w:rsidRPr="008C3753">
        <w:rPr>
          <w:rFonts w:cstheme="minorHAnsi"/>
          <w:lang w:val="en-GB"/>
        </w:rPr>
        <w:t xml:space="preserve"> from </w:t>
      </w:r>
      <w:r w:rsidR="00AB0D6A" w:rsidRPr="008C3753">
        <w:rPr>
          <w:rFonts w:cstheme="minorHAnsi"/>
          <w:lang w:val="en-GB"/>
        </w:rPr>
        <w:t>of a network of</w:t>
      </w:r>
      <w:r w:rsidR="00403B4E" w:rsidRPr="008C3753">
        <w:rPr>
          <w:rFonts w:cstheme="minorHAnsi"/>
          <w:lang w:val="en-GB"/>
        </w:rPr>
        <w:t xml:space="preserve"> healthcare professionals </w:t>
      </w:r>
      <w:r w:rsidR="00E6267D" w:rsidRPr="008C3753">
        <w:rPr>
          <w:rFonts w:cstheme="minorHAnsi"/>
          <w:lang w:val="en-GB"/>
        </w:rPr>
        <w:t>involved</w:t>
      </w:r>
      <w:r w:rsidR="00403B4E" w:rsidRPr="008C3753">
        <w:rPr>
          <w:rFonts w:cstheme="minorHAnsi"/>
          <w:lang w:val="en-GB"/>
        </w:rPr>
        <w:t xml:space="preserve"> in stakeholder consultations during the intervention development </w:t>
      </w:r>
      <w:r w:rsidR="00FC112A" w:rsidRPr="008C3753">
        <w:rPr>
          <w:rFonts w:cstheme="minorHAnsi"/>
          <w:lang w:val="en-GB"/>
        </w:rPr>
        <w:t>(</w:t>
      </w:r>
      <w:proofErr w:type="spellStart"/>
      <w:r w:rsidR="00FC112A" w:rsidRPr="008C3753">
        <w:rPr>
          <w:rFonts w:cstheme="minorHAnsi"/>
          <w:lang w:val="en-GB"/>
        </w:rPr>
        <w:t>Santillo</w:t>
      </w:r>
      <w:proofErr w:type="spellEnd"/>
      <w:r w:rsidR="00FC112A" w:rsidRPr="008C3753">
        <w:rPr>
          <w:rFonts w:cstheme="minorHAnsi"/>
          <w:lang w:val="en-GB"/>
        </w:rPr>
        <w:t xml:space="preserve"> </w:t>
      </w:r>
      <w:r w:rsidR="00FC112A" w:rsidRPr="008C3753">
        <w:rPr>
          <w:rFonts w:cstheme="minorHAnsi"/>
          <w:i/>
          <w:lang w:val="en-GB"/>
        </w:rPr>
        <w:t>et al.,</w:t>
      </w:r>
      <w:r w:rsidR="00FC112A" w:rsidRPr="008C3753">
        <w:rPr>
          <w:rFonts w:cstheme="minorHAnsi"/>
          <w:lang w:val="en-GB"/>
        </w:rPr>
        <w:t xml:space="preserve"> </w:t>
      </w:r>
      <w:r w:rsidR="002252A2" w:rsidRPr="008C3753">
        <w:rPr>
          <w:rFonts w:cstheme="minorHAnsi"/>
          <w:lang w:val="en-GB"/>
        </w:rPr>
        <w:t xml:space="preserve">Journal of Antimicrobial Chemotherapy </w:t>
      </w:r>
      <w:r w:rsidR="002252A2" w:rsidRPr="008C3753">
        <w:rPr>
          <w:rFonts w:cstheme="minorHAnsi"/>
          <w:i/>
          <w:iCs/>
          <w:lang w:val="en-GB"/>
        </w:rPr>
        <w:t>in press</w:t>
      </w:r>
      <w:r w:rsidR="00FC112A" w:rsidRPr="008C3753">
        <w:rPr>
          <w:rFonts w:cstheme="minorHAnsi"/>
          <w:lang w:val="en-GB"/>
        </w:rPr>
        <w:t xml:space="preserve">). </w:t>
      </w:r>
    </w:p>
    <w:p w14:paraId="3134775E" w14:textId="77777777" w:rsidR="0086243D" w:rsidRPr="008C3753" w:rsidRDefault="0086243D" w:rsidP="00475602">
      <w:pPr>
        <w:keepNext/>
        <w:spacing w:after="0" w:line="480" w:lineRule="auto"/>
        <w:jc w:val="both"/>
        <w:rPr>
          <w:rFonts w:cstheme="minorHAnsi"/>
          <w:i/>
          <w:lang w:val="en-GB"/>
        </w:rPr>
      </w:pPr>
    </w:p>
    <w:p w14:paraId="35210CFA" w14:textId="7A4D082B" w:rsidR="00E37F9B" w:rsidRPr="008C3753" w:rsidRDefault="00E37F9B" w:rsidP="00475602">
      <w:pPr>
        <w:keepNext/>
        <w:spacing w:after="0" w:line="480" w:lineRule="auto"/>
        <w:jc w:val="both"/>
        <w:rPr>
          <w:rFonts w:cstheme="minorHAnsi"/>
          <w:b/>
          <w:bCs/>
          <w:iCs/>
          <w:lang w:val="en-GB"/>
        </w:rPr>
      </w:pPr>
      <w:r w:rsidRPr="008C3753">
        <w:rPr>
          <w:rFonts w:cstheme="minorHAnsi"/>
          <w:b/>
          <w:bCs/>
          <w:iCs/>
          <w:lang w:val="en-GB"/>
        </w:rPr>
        <w:t>Setting</w:t>
      </w:r>
    </w:p>
    <w:p w14:paraId="58FBDC59" w14:textId="07CD5D3F" w:rsidR="00DA436B" w:rsidRPr="008C3753" w:rsidRDefault="007E4AD6" w:rsidP="00475602">
      <w:pPr>
        <w:spacing w:after="0" w:line="480" w:lineRule="auto"/>
        <w:jc w:val="both"/>
        <w:rPr>
          <w:rFonts w:cstheme="minorHAnsi"/>
          <w:lang w:val="en-GB"/>
        </w:rPr>
      </w:pPr>
      <w:r w:rsidRPr="008C3753">
        <w:rPr>
          <w:rFonts w:cstheme="minorHAnsi"/>
          <w:lang w:val="en-GB"/>
        </w:rPr>
        <w:t>Brighton and Sussex University Hospitals NHS Trust (BSUH</w:t>
      </w:r>
      <w:r w:rsidR="005425E0" w:rsidRPr="008C3753">
        <w:rPr>
          <w:rFonts w:cstheme="minorHAnsi"/>
          <w:lang w:val="en-GB"/>
        </w:rPr>
        <w:t>T</w:t>
      </w:r>
      <w:r w:rsidRPr="008C3753">
        <w:rPr>
          <w:rFonts w:cstheme="minorHAnsi"/>
          <w:lang w:val="en-GB"/>
        </w:rPr>
        <w:t xml:space="preserve">) </w:t>
      </w:r>
      <w:r w:rsidR="00AD051F" w:rsidRPr="008C3753">
        <w:rPr>
          <w:rFonts w:cstheme="minorHAnsi"/>
          <w:lang w:val="en-GB"/>
        </w:rPr>
        <w:t xml:space="preserve">is </w:t>
      </w:r>
      <w:r w:rsidR="008530CB" w:rsidRPr="008C3753">
        <w:rPr>
          <w:rFonts w:cstheme="minorHAnsi"/>
          <w:lang w:val="en-GB"/>
        </w:rPr>
        <w:t xml:space="preserve">an </w:t>
      </w:r>
      <w:r w:rsidR="0078708F" w:rsidRPr="008C3753">
        <w:rPr>
          <w:rFonts w:cstheme="minorHAnsi"/>
          <w:lang w:val="en-GB"/>
        </w:rPr>
        <w:t>acute</w:t>
      </w:r>
      <w:r w:rsidR="008530CB" w:rsidRPr="008C3753">
        <w:rPr>
          <w:rFonts w:cstheme="minorHAnsi"/>
          <w:lang w:val="en-GB"/>
        </w:rPr>
        <w:t>, medium</w:t>
      </w:r>
      <w:r w:rsidR="00E6267D" w:rsidRPr="008C3753">
        <w:rPr>
          <w:rFonts w:cstheme="minorHAnsi"/>
          <w:lang w:val="en-GB"/>
        </w:rPr>
        <w:t>-</w:t>
      </w:r>
      <w:r w:rsidR="0078708F" w:rsidRPr="008C3753">
        <w:rPr>
          <w:rFonts w:cstheme="minorHAnsi"/>
          <w:lang w:val="en-GB"/>
        </w:rPr>
        <w:t>size</w:t>
      </w:r>
      <w:r w:rsidR="008530CB" w:rsidRPr="008C3753">
        <w:rPr>
          <w:rFonts w:cstheme="minorHAnsi"/>
          <w:lang w:val="en-GB"/>
        </w:rPr>
        <w:t xml:space="preserve">d </w:t>
      </w:r>
      <w:r w:rsidR="00F9444D" w:rsidRPr="008C3753">
        <w:rPr>
          <w:rFonts w:cstheme="minorHAnsi"/>
          <w:lang w:val="en-GB"/>
        </w:rPr>
        <w:t>teaching hospital</w:t>
      </w:r>
      <w:r w:rsidR="00166F32" w:rsidRPr="008C3753">
        <w:rPr>
          <w:rFonts w:cstheme="minorHAnsi"/>
          <w:lang w:val="en-GB"/>
        </w:rPr>
        <w:t xml:space="preserve"> delivering </w:t>
      </w:r>
      <w:r w:rsidR="009B6EAB" w:rsidRPr="008C3753">
        <w:rPr>
          <w:rFonts w:cstheme="minorHAnsi"/>
          <w:lang w:val="en-GB"/>
        </w:rPr>
        <w:t>secondary</w:t>
      </w:r>
      <w:r w:rsidR="00D6133E" w:rsidRPr="008C3753">
        <w:rPr>
          <w:rFonts w:cstheme="minorHAnsi"/>
          <w:lang w:val="en-GB"/>
        </w:rPr>
        <w:t xml:space="preserve"> and tertiary </w:t>
      </w:r>
      <w:r w:rsidR="0055359B" w:rsidRPr="008C3753">
        <w:rPr>
          <w:rFonts w:cstheme="minorHAnsi"/>
          <w:lang w:val="en-GB"/>
        </w:rPr>
        <w:t>services across two main sites</w:t>
      </w:r>
      <w:r w:rsidR="00D6133E" w:rsidRPr="008C3753">
        <w:rPr>
          <w:rFonts w:cstheme="minorHAnsi"/>
          <w:lang w:val="en-GB"/>
        </w:rPr>
        <w:t xml:space="preserve">. </w:t>
      </w:r>
      <w:r w:rsidR="0078708F" w:rsidRPr="008C3753">
        <w:rPr>
          <w:rFonts w:cstheme="minorHAnsi"/>
          <w:lang w:val="en-GB"/>
        </w:rPr>
        <w:t xml:space="preserve">ARK </w:t>
      </w:r>
      <w:r w:rsidR="00FC0153" w:rsidRPr="008C3753">
        <w:rPr>
          <w:rFonts w:cstheme="minorHAnsi"/>
          <w:lang w:val="en-GB"/>
        </w:rPr>
        <w:t>wa</w:t>
      </w:r>
      <w:r w:rsidR="00D6133E" w:rsidRPr="008C3753">
        <w:rPr>
          <w:rFonts w:cstheme="minorHAnsi"/>
          <w:lang w:val="en-GB"/>
        </w:rPr>
        <w:t xml:space="preserve">s </w:t>
      </w:r>
      <w:r w:rsidRPr="008C3753">
        <w:rPr>
          <w:rFonts w:cstheme="minorHAnsi"/>
          <w:lang w:val="en-GB"/>
        </w:rPr>
        <w:t>implemented on the larger</w:t>
      </w:r>
      <w:r w:rsidR="0055359B" w:rsidRPr="008C3753">
        <w:rPr>
          <w:rFonts w:cstheme="minorHAnsi"/>
          <w:lang w:val="en-GB"/>
        </w:rPr>
        <w:t xml:space="preserve"> </w:t>
      </w:r>
      <w:r w:rsidR="00F759AD" w:rsidRPr="008C3753">
        <w:rPr>
          <w:rFonts w:cstheme="minorHAnsi"/>
          <w:lang w:val="en-GB"/>
        </w:rPr>
        <w:t>680-bed</w:t>
      </w:r>
      <w:r w:rsidR="0055359B" w:rsidRPr="008C3753">
        <w:rPr>
          <w:rFonts w:cstheme="minorHAnsi"/>
          <w:lang w:val="en-GB"/>
        </w:rPr>
        <w:t xml:space="preserve"> </w:t>
      </w:r>
      <w:r w:rsidR="0078708F" w:rsidRPr="008C3753">
        <w:rPr>
          <w:rFonts w:cstheme="minorHAnsi"/>
          <w:lang w:val="en-GB"/>
        </w:rPr>
        <w:t>site</w:t>
      </w:r>
      <w:r w:rsidR="0055359B" w:rsidRPr="008C3753">
        <w:rPr>
          <w:rFonts w:cstheme="minorHAnsi"/>
          <w:lang w:val="en-GB"/>
        </w:rPr>
        <w:t>, where</w:t>
      </w:r>
      <w:r w:rsidR="0078708F" w:rsidRPr="008C3753">
        <w:rPr>
          <w:rFonts w:cstheme="minorHAnsi"/>
          <w:lang w:val="en-GB"/>
        </w:rPr>
        <w:t xml:space="preserve"> </w:t>
      </w:r>
      <w:r w:rsidR="0055359B" w:rsidRPr="008C3753">
        <w:rPr>
          <w:rFonts w:cstheme="minorHAnsi"/>
          <w:lang w:val="en-GB"/>
        </w:rPr>
        <w:t>a</w:t>
      </w:r>
      <w:r w:rsidRPr="008C3753">
        <w:rPr>
          <w:rFonts w:cstheme="minorHAnsi"/>
          <w:lang w:val="en-GB"/>
        </w:rPr>
        <w:t>pproximately 75% of medical admissions come through a 32-bed acute medical unit</w:t>
      </w:r>
      <w:r w:rsidR="00632EBF" w:rsidRPr="008C3753">
        <w:rPr>
          <w:rFonts w:cstheme="minorHAnsi"/>
          <w:lang w:val="en-GB"/>
        </w:rPr>
        <w:t xml:space="preserve"> (AMU)</w:t>
      </w:r>
      <w:r w:rsidRPr="008C3753">
        <w:rPr>
          <w:rFonts w:cstheme="minorHAnsi"/>
          <w:lang w:val="en-GB"/>
        </w:rPr>
        <w:t>.</w:t>
      </w:r>
      <w:r w:rsidR="000334BB" w:rsidRPr="008C3753">
        <w:rPr>
          <w:rFonts w:cstheme="minorHAnsi"/>
          <w:lang w:val="en-GB"/>
        </w:rPr>
        <w:t xml:space="preserve"> </w:t>
      </w:r>
      <w:r w:rsidR="00614850" w:rsidRPr="008C3753">
        <w:rPr>
          <w:rFonts w:cstheme="minorHAnsi"/>
          <w:lang w:val="en-GB"/>
        </w:rPr>
        <w:t>Medical p</w:t>
      </w:r>
      <w:r w:rsidR="00632EBF" w:rsidRPr="008C3753">
        <w:rPr>
          <w:rFonts w:cstheme="minorHAnsi"/>
          <w:lang w:val="en-GB"/>
        </w:rPr>
        <w:t xml:space="preserve">atients </w:t>
      </w:r>
      <w:r w:rsidR="007868C5" w:rsidRPr="008C3753">
        <w:rPr>
          <w:rFonts w:cstheme="minorHAnsi"/>
          <w:lang w:val="en-GB"/>
        </w:rPr>
        <w:t xml:space="preserve">are referred </w:t>
      </w:r>
      <w:r w:rsidR="004F0456" w:rsidRPr="008C3753">
        <w:rPr>
          <w:rFonts w:cstheme="minorHAnsi"/>
          <w:lang w:val="en-GB"/>
        </w:rPr>
        <w:t>from</w:t>
      </w:r>
      <w:r w:rsidR="007868C5" w:rsidRPr="008C3753">
        <w:rPr>
          <w:rFonts w:cstheme="minorHAnsi"/>
          <w:lang w:val="en-GB"/>
        </w:rPr>
        <w:t xml:space="preserve"> primary care or </w:t>
      </w:r>
      <w:r w:rsidR="004F0456" w:rsidRPr="008C3753">
        <w:rPr>
          <w:rFonts w:cstheme="minorHAnsi"/>
          <w:lang w:val="en-GB"/>
        </w:rPr>
        <w:t>the</w:t>
      </w:r>
      <w:r w:rsidR="007868C5" w:rsidRPr="008C3753">
        <w:rPr>
          <w:rFonts w:cstheme="minorHAnsi"/>
          <w:lang w:val="en-GB"/>
        </w:rPr>
        <w:t xml:space="preserve"> emergency department </w:t>
      </w:r>
      <w:r w:rsidR="006A1BF3" w:rsidRPr="008C3753">
        <w:rPr>
          <w:rFonts w:cstheme="minorHAnsi"/>
          <w:lang w:val="en-GB"/>
        </w:rPr>
        <w:t>(ED)</w:t>
      </w:r>
      <w:r w:rsidR="004F0456" w:rsidRPr="008C3753">
        <w:rPr>
          <w:rFonts w:cstheme="minorHAnsi"/>
          <w:lang w:val="en-GB"/>
        </w:rPr>
        <w:t xml:space="preserve">. Patients who have an anticipated length of stay </w:t>
      </w:r>
      <w:r w:rsidR="009E1146" w:rsidRPr="008C3753">
        <w:rPr>
          <w:rFonts w:cstheme="minorHAnsi"/>
          <w:lang w:val="en-GB"/>
        </w:rPr>
        <w:t>of</w:t>
      </w:r>
      <w:r w:rsidR="004F0456" w:rsidRPr="008C3753">
        <w:rPr>
          <w:rFonts w:cstheme="minorHAnsi"/>
          <w:lang w:val="en-GB"/>
        </w:rPr>
        <w:t xml:space="preserve"> &gt;72 hours are transferred to an inpatient ward managed by an appropriate general or specialist team </w:t>
      </w:r>
      <w:r w:rsidR="00582E9A" w:rsidRPr="008C3753">
        <w:rPr>
          <w:rFonts w:cstheme="minorHAnsi"/>
          <w:lang w:val="en-GB"/>
        </w:rPr>
        <w:t>e.g.</w:t>
      </w:r>
      <w:r w:rsidR="004F0456" w:rsidRPr="008C3753">
        <w:rPr>
          <w:rFonts w:cstheme="minorHAnsi"/>
          <w:lang w:val="en-GB"/>
        </w:rPr>
        <w:t xml:space="preserve"> </w:t>
      </w:r>
      <w:r w:rsidR="00632EBF" w:rsidRPr="008C3753">
        <w:rPr>
          <w:rFonts w:cstheme="minorHAnsi"/>
          <w:lang w:val="en-GB"/>
        </w:rPr>
        <w:t xml:space="preserve">respiratory, elderly care, endocrine </w:t>
      </w:r>
      <w:r w:rsidR="003C4D6D" w:rsidRPr="008C3753">
        <w:rPr>
          <w:rFonts w:cstheme="minorHAnsi"/>
          <w:lang w:val="en-GB"/>
        </w:rPr>
        <w:t>or</w:t>
      </w:r>
      <w:r w:rsidR="00632EBF" w:rsidRPr="008C3753">
        <w:rPr>
          <w:rFonts w:cstheme="minorHAnsi"/>
          <w:lang w:val="en-GB"/>
        </w:rPr>
        <w:t xml:space="preserve"> gastroenterology.</w:t>
      </w:r>
      <w:r w:rsidR="00702065" w:rsidRPr="008C3753">
        <w:rPr>
          <w:rFonts w:cstheme="minorHAnsi"/>
          <w:lang w:val="en-GB"/>
        </w:rPr>
        <w:t xml:space="preserve"> </w:t>
      </w:r>
    </w:p>
    <w:p w14:paraId="69EF6ED6" w14:textId="77777777" w:rsidR="009E1146" w:rsidRPr="008C3753" w:rsidRDefault="009E1146" w:rsidP="00475602">
      <w:pPr>
        <w:spacing w:after="0" w:line="480" w:lineRule="auto"/>
        <w:jc w:val="both"/>
        <w:rPr>
          <w:rFonts w:cstheme="minorHAnsi"/>
          <w:lang w:val="en-GB"/>
        </w:rPr>
      </w:pPr>
    </w:p>
    <w:p w14:paraId="1FDC1054" w14:textId="3D385701" w:rsidR="00C3093F" w:rsidRPr="008C3753" w:rsidRDefault="00E6267D" w:rsidP="00C3093F">
      <w:pPr>
        <w:spacing w:after="0" w:line="480" w:lineRule="auto"/>
        <w:jc w:val="both"/>
        <w:rPr>
          <w:rFonts w:cstheme="minorHAnsi"/>
          <w:lang w:val="en-GB"/>
        </w:rPr>
      </w:pPr>
      <w:r w:rsidRPr="008C3753">
        <w:rPr>
          <w:rFonts w:cstheme="minorHAnsi"/>
          <w:lang w:val="en-GB"/>
        </w:rPr>
        <w:t>Before implementation, t</w:t>
      </w:r>
      <w:r w:rsidR="00A935D9" w:rsidRPr="008C3753">
        <w:rPr>
          <w:rFonts w:cstheme="minorHAnsi"/>
          <w:lang w:val="en-GB"/>
        </w:rPr>
        <w:t xml:space="preserve">he </w:t>
      </w:r>
      <w:r w:rsidR="004F0456" w:rsidRPr="008C3753">
        <w:rPr>
          <w:rFonts w:cstheme="minorHAnsi"/>
          <w:lang w:val="en-GB"/>
        </w:rPr>
        <w:t>T</w:t>
      </w:r>
      <w:r w:rsidR="00A935D9" w:rsidRPr="008C3753">
        <w:rPr>
          <w:rFonts w:cstheme="minorHAnsi"/>
          <w:lang w:val="en-GB"/>
        </w:rPr>
        <w:t>rust’s t</w:t>
      </w:r>
      <w:r w:rsidR="00552A6D" w:rsidRPr="008C3753">
        <w:rPr>
          <w:rFonts w:cstheme="minorHAnsi"/>
          <w:lang w:val="en-GB"/>
        </w:rPr>
        <w:t xml:space="preserve">otal antibiotic prescribing </w:t>
      </w:r>
      <w:r w:rsidRPr="008C3753">
        <w:rPr>
          <w:rFonts w:cstheme="minorHAnsi"/>
          <w:lang w:val="en-GB"/>
        </w:rPr>
        <w:t>(</w:t>
      </w:r>
      <w:r w:rsidR="003F7D3C" w:rsidRPr="008C3753">
        <w:rPr>
          <w:rFonts w:cstheme="minorHAnsi"/>
          <w:lang w:val="en-GB"/>
        </w:rPr>
        <w:t>4,711 defined daily doses per 1000 admissions</w:t>
      </w:r>
      <w:r w:rsidRPr="008C3753">
        <w:rPr>
          <w:rFonts w:cstheme="minorHAnsi"/>
          <w:lang w:val="en-GB"/>
        </w:rPr>
        <w:t>)</w:t>
      </w:r>
      <w:r w:rsidR="003F7D3C" w:rsidRPr="008C3753">
        <w:rPr>
          <w:rFonts w:cstheme="minorHAnsi"/>
          <w:lang w:val="en-GB"/>
        </w:rPr>
        <w:t xml:space="preserve"> </w:t>
      </w:r>
      <w:r w:rsidRPr="008C3753">
        <w:rPr>
          <w:rFonts w:cstheme="minorHAnsi"/>
          <w:lang w:val="en-GB"/>
        </w:rPr>
        <w:t xml:space="preserve">reflected national figures </w:t>
      </w:r>
      <w:r w:rsidR="003F7D3C" w:rsidRPr="008C3753">
        <w:rPr>
          <w:rFonts w:cstheme="minorHAnsi"/>
          <w:lang w:val="en-GB"/>
        </w:rPr>
        <w:t xml:space="preserve">(median </w:t>
      </w:r>
      <w:r w:rsidRPr="008C3753">
        <w:rPr>
          <w:rFonts w:cstheme="minorHAnsi"/>
          <w:lang w:val="en-GB"/>
        </w:rPr>
        <w:t xml:space="preserve">in England </w:t>
      </w:r>
      <w:r w:rsidR="00765518" w:rsidRPr="008C3753">
        <w:rPr>
          <w:rFonts w:cstheme="minorHAnsi"/>
          <w:lang w:val="en-GB"/>
        </w:rPr>
        <w:t xml:space="preserve">4,868 </w:t>
      </w:r>
      <w:r w:rsidR="003F7D3C" w:rsidRPr="008C3753">
        <w:rPr>
          <w:rFonts w:cstheme="minorHAnsi"/>
          <w:lang w:val="en-GB"/>
        </w:rPr>
        <w:t xml:space="preserve">(range </w:t>
      </w:r>
      <w:r w:rsidR="00C01F23" w:rsidRPr="008C3753">
        <w:rPr>
          <w:rFonts w:cstheme="minorHAnsi"/>
          <w:lang w:val="en-GB"/>
        </w:rPr>
        <w:t>1619 to 10475</w:t>
      </w:r>
      <w:r w:rsidR="003F7D3C" w:rsidRPr="008C3753">
        <w:rPr>
          <w:rFonts w:cstheme="minorHAnsi"/>
          <w:lang w:val="en-GB"/>
        </w:rPr>
        <w:t xml:space="preserve">) in </w:t>
      </w:r>
      <w:r w:rsidR="00A326F7" w:rsidRPr="008C3753">
        <w:rPr>
          <w:rFonts w:cstheme="minorHAnsi"/>
          <w:lang w:val="en-GB"/>
        </w:rPr>
        <w:t>Q4 2016/1</w:t>
      </w:r>
      <w:r w:rsidRPr="008C3753">
        <w:rPr>
          <w:rFonts w:cstheme="minorHAnsi"/>
          <w:lang w:val="en-GB"/>
        </w:rPr>
        <w:t>7)</w:t>
      </w:r>
      <w:r w:rsidR="00765518" w:rsidRPr="008C3753">
        <w:rPr>
          <w:rFonts w:cstheme="minorHAnsi"/>
          <w:lang w:val="en-GB"/>
        </w:rPr>
        <w:t>.</w:t>
      </w:r>
      <w:r w:rsidR="006F66DC" w:rsidRPr="008C3753">
        <w:rPr>
          <w:rFonts w:cstheme="minorHAnsi"/>
          <w:lang w:val="en-GB"/>
        </w:rPr>
        <w:t xml:space="preserve"> </w:t>
      </w:r>
      <w:r w:rsidR="00793BE2" w:rsidRPr="008C3753">
        <w:rPr>
          <w:rFonts w:cstheme="minorHAnsi"/>
          <w:lang w:val="en-GB"/>
        </w:rPr>
        <w:t>The Trust used paper-drug charts including an antibiotic prescription page on which treatment duration was limited to five calendar days.</w:t>
      </w:r>
      <w:r w:rsidRPr="008C3753">
        <w:rPr>
          <w:rFonts w:cstheme="minorHAnsi"/>
          <w:lang w:val="en-GB"/>
        </w:rPr>
        <w:t xml:space="preserve"> T</w:t>
      </w:r>
      <w:r w:rsidR="0055359B" w:rsidRPr="008C3753">
        <w:rPr>
          <w:rFonts w:cstheme="minorHAnsi"/>
          <w:lang w:val="en-GB"/>
        </w:rPr>
        <w:t xml:space="preserve">he </w:t>
      </w:r>
      <w:r w:rsidR="002A5425" w:rsidRPr="008C3753">
        <w:rPr>
          <w:rFonts w:cstheme="minorHAnsi"/>
          <w:lang w:val="en-GB"/>
        </w:rPr>
        <w:t>T</w:t>
      </w:r>
      <w:r w:rsidR="0055359B" w:rsidRPr="008C3753">
        <w:rPr>
          <w:rFonts w:cstheme="minorHAnsi"/>
          <w:lang w:val="en-GB"/>
        </w:rPr>
        <w:t>rust</w:t>
      </w:r>
      <w:r w:rsidR="0016225A" w:rsidRPr="008C3753">
        <w:rPr>
          <w:rFonts w:cstheme="minorHAnsi"/>
          <w:lang w:val="en-GB"/>
        </w:rPr>
        <w:t xml:space="preserve"> </w:t>
      </w:r>
      <w:r w:rsidRPr="008C3753">
        <w:rPr>
          <w:rFonts w:cstheme="minorHAnsi"/>
          <w:lang w:val="en-GB"/>
        </w:rPr>
        <w:t>had</w:t>
      </w:r>
      <w:r w:rsidR="002A5425" w:rsidRPr="008C3753">
        <w:rPr>
          <w:rFonts w:cstheme="minorHAnsi"/>
          <w:lang w:val="en-GB"/>
        </w:rPr>
        <w:t xml:space="preserve"> an AMS lead </w:t>
      </w:r>
      <w:r w:rsidR="004F0456" w:rsidRPr="008C3753">
        <w:rPr>
          <w:rFonts w:cstheme="minorHAnsi"/>
          <w:lang w:val="en-GB"/>
        </w:rPr>
        <w:t xml:space="preserve">(0.2 </w:t>
      </w:r>
      <w:r w:rsidR="004F0456" w:rsidRPr="008C3753">
        <w:rPr>
          <w:rFonts w:cstheme="minorHAnsi"/>
          <w:lang w:val="en-GB"/>
        </w:rPr>
        <w:lastRenderedPageBreak/>
        <w:t>whole time equivalent</w:t>
      </w:r>
      <w:r w:rsidR="00D92318" w:rsidRPr="008C3753">
        <w:rPr>
          <w:rFonts w:cstheme="minorHAnsi"/>
          <w:lang w:val="en-GB"/>
        </w:rPr>
        <w:t xml:space="preserve"> </w:t>
      </w:r>
      <w:r w:rsidR="009E1146" w:rsidRPr="008C3753">
        <w:rPr>
          <w:rFonts w:cstheme="minorHAnsi"/>
          <w:lang w:val="en-GB"/>
        </w:rPr>
        <w:t>C</w:t>
      </w:r>
      <w:r w:rsidR="002A5425" w:rsidRPr="008C3753">
        <w:rPr>
          <w:rFonts w:cstheme="minorHAnsi"/>
          <w:lang w:val="en-GB"/>
        </w:rPr>
        <w:t xml:space="preserve">onsultant </w:t>
      </w:r>
      <w:r w:rsidR="009E1146" w:rsidRPr="008C3753">
        <w:rPr>
          <w:rFonts w:cstheme="minorHAnsi"/>
          <w:lang w:val="en-GB"/>
        </w:rPr>
        <w:t>M</w:t>
      </w:r>
      <w:r w:rsidR="002A5425" w:rsidRPr="008C3753">
        <w:rPr>
          <w:rFonts w:cstheme="minorHAnsi"/>
          <w:lang w:val="en-GB"/>
        </w:rPr>
        <w:t>icrobiologist</w:t>
      </w:r>
      <w:r w:rsidR="00D92318" w:rsidRPr="008C3753">
        <w:rPr>
          <w:rFonts w:cstheme="minorHAnsi"/>
          <w:lang w:val="en-GB"/>
        </w:rPr>
        <w:t>)</w:t>
      </w:r>
      <w:r w:rsidR="002A5425" w:rsidRPr="008C3753">
        <w:rPr>
          <w:rFonts w:cstheme="minorHAnsi"/>
          <w:lang w:val="en-GB"/>
        </w:rPr>
        <w:t xml:space="preserve"> and two </w:t>
      </w:r>
      <w:r w:rsidR="004F0456" w:rsidRPr="008C3753">
        <w:rPr>
          <w:rFonts w:cstheme="minorHAnsi"/>
          <w:lang w:val="en-GB"/>
        </w:rPr>
        <w:t>full</w:t>
      </w:r>
      <w:r w:rsidRPr="008C3753">
        <w:rPr>
          <w:rFonts w:cstheme="minorHAnsi"/>
          <w:lang w:val="en-GB"/>
        </w:rPr>
        <w:t>-</w:t>
      </w:r>
      <w:r w:rsidR="004F0456" w:rsidRPr="008C3753">
        <w:rPr>
          <w:rFonts w:cstheme="minorHAnsi"/>
          <w:lang w:val="en-GB"/>
        </w:rPr>
        <w:t>time a</w:t>
      </w:r>
      <w:r w:rsidR="002A5425" w:rsidRPr="008C3753">
        <w:rPr>
          <w:rFonts w:cstheme="minorHAnsi"/>
          <w:lang w:val="en-GB"/>
        </w:rPr>
        <w:t xml:space="preserve">ntimicrobial </w:t>
      </w:r>
      <w:r w:rsidR="004F0456" w:rsidRPr="008C3753">
        <w:rPr>
          <w:rFonts w:cstheme="minorHAnsi"/>
          <w:lang w:val="en-GB"/>
        </w:rPr>
        <w:t>p</w:t>
      </w:r>
      <w:r w:rsidR="002A5425" w:rsidRPr="008C3753">
        <w:rPr>
          <w:rFonts w:cstheme="minorHAnsi"/>
          <w:lang w:val="en-GB"/>
        </w:rPr>
        <w:t>harmacists working through an AMS committee</w:t>
      </w:r>
      <w:r w:rsidR="00E04345" w:rsidRPr="008C3753">
        <w:rPr>
          <w:rFonts w:cstheme="minorHAnsi"/>
          <w:lang w:val="en-GB"/>
        </w:rPr>
        <w:t xml:space="preserve">, who met </w:t>
      </w:r>
      <w:r w:rsidR="002A5425" w:rsidRPr="008C3753">
        <w:rPr>
          <w:rFonts w:cstheme="minorHAnsi"/>
          <w:lang w:val="en-GB"/>
        </w:rPr>
        <w:t xml:space="preserve">monthly with representation from infection control, service commissioners and trainees in infection medicine. </w:t>
      </w:r>
      <w:r w:rsidR="004F0456" w:rsidRPr="008C3753">
        <w:rPr>
          <w:rFonts w:cstheme="minorHAnsi"/>
          <w:lang w:val="en-GB"/>
        </w:rPr>
        <w:t xml:space="preserve">The AMS committee reported upwards to the Trust’s Drugs and Therapeutics Committee </w:t>
      </w:r>
      <w:r w:rsidR="009170A6" w:rsidRPr="008C3753">
        <w:rPr>
          <w:rFonts w:cstheme="minorHAnsi"/>
          <w:lang w:val="en-GB"/>
        </w:rPr>
        <w:t xml:space="preserve">(DTC) </w:t>
      </w:r>
      <w:r w:rsidR="004F0456" w:rsidRPr="008C3753">
        <w:rPr>
          <w:rFonts w:cstheme="minorHAnsi"/>
          <w:lang w:val="en-GB"/>
        </w:rPr>
        <w:t xml:space="preserve">and the Infection Control </w:t>
      </w:r>
      <w:r w:rsidR="00D92318" w:rsidRPr="008C3753">
        <w:rPr>
          <w:rFonts w:cstheme="minorHAnsi"/>
          <w:lang w:val="en-GB"/>
        </w:rPr>
        <w:t>Committee.</w:t>
      </w:r>
      <w:r w:rsidR="002A5425" w:rsidRPr="008C3753">
        <w:rPr>
          <w:rFonts w:cstheme="minorHAnsi"/>
          <w:lang w:val="en-GB"/>
        </w:rPr>
        <w:t xml:space="preserve"> </w:t>
      </w:r>
      <w:r w:rsidR="00291D93" w:rsidRPr="008C3753">
        <w:rPr>
          <w:rFonts w:cstheme="minorHAnsi"/>
          <w:lang w:val="en-GB"/>
        </w:rPr>
        <w:t xml:space="preserve">In </w:t>
      </w:r>
      <w:r w:rsidR="00C51F8C" w:rsidRPr="008C3753">
        <w:rPr>
          <w:rFonts w:cstheme="minorHAnsi"/>
          <w:lang w:val="en-GB"/>
        </w:rPr>
        <w:t>terms of education and training</w:t>
      </w:r>
      <w:r w:rsidR="00291D93" w:rsidRPr="008C3753">
        <w:rPr>
          <w:rFonts w:cstheme="minorHAnsi"/>
          <w:lang w:val="en-GB"/>
        </w:rPr>
        <w:t xml:space="preserve">, </w:t>
      </w:r>
      <w:r w:rsidR="00D92318" w:rsidRPr="008C3753">
        <w:rPr>
          <w:rFonts w:cstheme="minorHAnsi"/>
          <w:lang w:val="en-GB"/>
        </w:rPr>
        <w:t>the Trust use</w:t>
      </w:r>
      <w:r w:rsidR="005425E0" w:rsidRPr="008C3753">
        <w:rPr>
          <w:rFonts w:cstheme="minorHAnsi"/>
          <w:lang w:val="en-GB"/>
        </w:rPr>
        <w:t>d</w:t>
      </w:r>
      <w:r w:rsidR="00D92318" w:rsidRPr="008C3753">
        <w:rPr>
          <w:rFonts w:cstheme="minorHAnsi"/>
          <w:lang w:val="en-GB"/>
        </w:rPr>
        <w:t xml:space="preserve"> the </w:t>
      </w:r>
      <w:proofErr w:type="spellStart"/>
      <w:r w:rsidR="00AD051F" w:rsidRPr="008C3753">
        <w:rPr>
          <w:rFonts w:cstheme="minorHAnsi"/>
          <w:lang w:val="en-GB"/>
        </w:rPr>
        <w:t>MicroGuide</w:t>
      </w:r>
      <w:r w:rsidR="00AD051F" w:rsidRPr="008C3753">
        <w:rPr>
          <w:rFonts w:cstheme="minorHAnsi"/>
          <w:vertAlign w:val="superscript"/>
          <w:lang w:val="en-GB"/>
        </w:rPr>
        <w:t>TM</w:t>
      </w:r>
      <w:proofErr w:type="spellEnd"/>
      <w:r w:rsidR="00AD051F" w:rsidRPr="008C3753">
        <w:rPr>
          <w:rFonts w:cstheme="minorHAnsi"/>
          <w:lang w:val="en-GB"/>
        </w:rPr>
        <w:t xml:space="preserve"> </w:t>
      </w:r>
      <w:r w:rsidR="00D92318" w:rsidRPr="008C3753">
        <w:rPr>
          <w:rFonts w:cstheme="minorHAnsi"/>
          <w:lang w:val="en-GB"/>
        </w:rPr>
        <w:t xml:space="preserve">platform as </w:t>
      </w:r>
      <w:r w:rsidR="00F01C06" w:rsidRPr="008C3753">
        <w:rPr>
          <w:rFonts w:cstheme="minorHAnsi"/>
          <w:lang w:val="en-GB"/>
        </w:rPr>
        <w:t xml:space="preserve">a mobile resource </w:t>
      </w:r>
      <w:r w:rsidR="0060365F" w:rsidRPr="008C3753">
        <w:rPr>
          <w:rFonts w:cstheme="minorHAnsi"/>
          <w:lang w:val="en-GB"/>
        </w:rPr>
        <w:t>contain</w:t>
      </w:r>
      <w:r w:rsidR="00C51F8C" w:rsidRPr="008C3753">
        <w:rPr>
          <w:rFonts w:cstheme="minorHAnsi"/>
          <w:lang w:val="en-GB"/>
        </w:rPr>
        <w:t>ing</w:t>
      </w:r>
      <w:r w:rsidR="0060365F" w:rsidRPr="008C3753">
        <w:rPr>
          <w:rFonts w:cstheme="minorHAnsi"/>
          <w:lang w:val="en-GB"/>
        </w:rPr>
        <w:t xml:space="preserve"> </w:t>
      </w:r>
      <w:r w:rsidR="00F33F36" w:rsidRPr="008C3753">
        <w:rPr>
          <w:rFonts w:cstheme="minorHAnsi"/>
          <w:lang w:val="en-GB"/>
        </w:rPr>
        <w:t>antibiotic prescribing guidelines</w:t>
      </w:r>
      <w:r w:rsidR="00F01C06" w:rsidRPr="008C3753">
        <w:rPr>
          <w:rFonts w:cstheme="minorHAnsi"/>
          <w:lang w:val="en-GB"/>
        </w:rPr>
        <w:t xml:space="preserve"> </w:t>
      </w:r>
      <w:r w:rsidR="00291D93" w:rsidRPr="008C3753">
        <w:rPr>
          <w:rFonts w:cstheme="minorHAnsi"/>
          <w:lang w:val="en-GB"/>
        </w:rPr>
        <w:t>and</w:t>
      </w:r>
      <w:r w:rsidR="00AD051F" w:rsidRPr="008C3753">
        <w:rPr>
          <w:rFonts w:cstheme="minorHAnsi"/>
          <w:lang w:val="en-GB"/>
        </w:rPr>
        <w:t xml:space="preserve"> </w:t>
      </w:r>
      <w:r w:rsidR="00DC5719" w:rsidRPr="008C3753">
        <w:rPr>
          <w:rFonts w:cstheme="minorHAnsi"/>
          <w:lang w:val="en-GB"/>
        </w:rPr>
        <w:t xml:space="preserve">other </w:t>
      </w:r>
      <w:r w:rsidR="005B1AF5" w:rsidRPr="008C3753">
        <w:rPr>
          <w:rFonts w:cstheme="minorHAnsi"/>
          <w:lang w:val="en-GB"/>
        </w:rPr>
        <w:t xml:space="preserve">AMS-related </w:t>
      </w:r>
      <w:r w:rsidR="00DC5719" w:rsidRPr="008C3753">
        <w:rPr>
          <w:rFonts w:cstheme="minorHAnsi"/>
          <w:lang w:val="en-GB"/>
        </w:rPr>
        <w:t xml:space="preserve">educational </w:t>
      </w:r>
      <w:r w:rsidR="00AD051F" w:rsidRPr="008C3753">
        <w:rPr>
          <w:rFonts w:cstheme="minorHAnsi"/>
          <w:lang w:val="en-GB"/>
        </w:rPr>
        <w:t>content</w:t>
      </w:r>
      <w:r w:rsidR="00436A75" w:rsidRPr="008C3753">
        <w:rPr>
          <w:rFonts w:cstheme="minorHAnsi"/>
          <w:lang w:val="en-GB"/>
        </w:rPr>
        <w:t>.</w:t>
      </w:r>
      <w:r w:rsidR="00915E4D" w:rsidRPr="008C3753">
        <w:rPr>
          <w:rFonts w:cstheme="minorHAnsi"/>
          <w:lang w:val="en-GB"/>
        </w:rPr>
        <w:t xml:space="preserve"> Prescribing practice </w:t>
      </w:r>
      <w:r w:rsidR="005425E0" w:rsidRPr="008C3753">
        <w:rPr>
          <w:rFonts w:cstheme="minorHAnsi"/>
          <w:lang w:val="en-GB"/>
        </w:rPr>
        <w:t xml:space="preserve">was </w:t>
      </w:r>
      <w:r w:rsidR="00915E4D" w:rsidRPr="008C3753">
        <w:rPr>
          <w:rFonts w:cstheme="minorHAnsi"/>
          <w:lang w:val="en-GB"/>
        </w:rPr>
        <w:t>monitored through trust-wide audits, based on the NHS Safety Thermometer (NHS</w:t>
      </w:r>
      <w:r w:rsidR="00BF689B" w:rsidRPr="008C3753">
        <w:rPr>
          <w:rFonts w:cstheme="minorHAnsi"/>
          <w:lang w:val="en-GB"/>
        </w:rPr>
        <w:t>-</w:t>
      </w:r>
      <w:r w:rsidR="00915E4D" w:rsidRPr="008C3753">
        <w:rPr>
          <w:rFonts w:cstheme="minorHAnsi"/>
          <w:lang w:val="en-GB"/>
        </w:rPr>
        <w:t xml:space="preserve">ST) tool, whereby ward pharmacists collect data on antibiotic prescriptions for up to five patients per ward </w:t>
      </w:r>
      <w:r w:rsidR="00BF689B" w:rsidRPr="008C3753">
        <w:rPr>
          <w:rFonts w:cstheme="minorHAnsi"/>
          <w:lang w:val="en-GB"/>
        </w:rPr>
        <w:t>on a monthly basis</w:t>
      </w:r>
      <w:r w:rsidR="00915E4D" w:rsidRPr="008C3753">
        <w:rPr>
          <w:rFonts w:cstheme="minorHAnsi"/>
          <w:lang w:val="en-GB"/>
        </w:rPr>
        <w:t>.</w:t>
      </w:r>
      <w:r w:rsidR="007C48F5" w:rsidRPr="008C3753">
        <w:rPr>
          <w:rFonts w:cstheme="minorHAnsi"/>
          <w:lang w:val="en-GB"/>
        </w:rPr>
        <w:t xml:space="preserve"> </w:t>
      </w:r>
      <w:r w:rsidR="007C48F5" w:rsidRPr="008C3753">
        <w:rPr>
          <w:rFonts w:cstheme="minorHAnsi"/>
          <w:vertAlign w:val="superscript"/>
          <w:lang w:val="en-GB"/>
        </w:rPr>
        <w:t>12</w:t>
      </w:r>
      <w:r w:rsidR="00F33F36" w:rsidRPr="008C3753">
        <w:rPr>
          <w:rFonts w:cstheme="minorHAnsi"/>
          <w:lang w:val="en-GB"/>
        </w:rPr>
        <w:t xml:space="preserve"> </w:t>
      </w:r>
      <w:r w:rsidR="005B1AF5" w:rsidRPr="008C3753">
        <w:rPr>
          <w:rFonts w:cstheme="minorHAnsi"/>
          <w:lang w:val="en-GB"/>
        </w:rPr>
        <w:t>A</w:t>
      </w:r>
      <w:r w:rsidR="00E7596B" w:rsidRPr="008C3753">
        <w:rPr>
          <w:rFonts w:cstheme="minorHAnsi"/>
          <w:lang w:val="en-GB"/>
        </w:rPr>
        <w:t>ntimicrobial consumption</w:t>
      </w:r>
      <w:r w:rsidR="00D92318" w:rsidRPr="008C3753">
        <w:rPr>
          <w:rFonts w:cstheme="minorHAnsi"/>
          <w:lang w:val="en-GB"/>
        </w:rPr>
        <w:t xml:space="preserve"> </w:t>
      </w:r>
      <w:r w:rsidR="005425E0" w:rsidRPr="008C3753">
        <w:rPr>
          <w:rFonts w:cstheme="minorHAnsi"/>
          <w:lang w:val="en-GB"/>
        </w:rPr>
        <w:t>was</w:t>
      </w:r>
      <w:r w:rsidR="005B1AF5" w:rsidRPr="008C3753">
        <w:rPr>
          <w:rFonts w:cstheme="minorHAnsi"/>
          <w:lang w:val="en-GB"/>
        </w:rPr>
        <w:t xml:space="preserve"> monitored regularly and </w:t>
      </w:r>
      <w:r w:rsidR="00D92318" w:rsidRPr="008C3753">
        <w:rPr>
          <w:rFonts w:cstheme="minorHAnsi"/>
          <w:lang w:val="en-GB"/>
        </w:rPr>
        <w:t>reported externally to Public Health England</w:t>
      </w:r>
      <w:r w:rsidR="005425E0" w:rsidRPr="008C3753">
        <w:rPr>
          <w:rFonts w:cstheme="minorHAnsi"/>
          <w:lang w:val="en-GB"/>
        </w:rPr>
        <w:t>.</w:t>
      </w:r>
    </w:p>
    <w:p w14:paraId="7EBF6FE5" w14:textId="77777777" w:rsidR="0086243D" w:rsidRPr="008C3753" w:rsidRDefault="0086243D" w:rsidP="00C3093F">
      <w:pPr>
        <w:spacing w:after="0" w:line="480" w:lineRule="auto"/>
        <w:jc w:val="both"/>
        <w:rPr>
          <w:rFonts w:cstheme="minorHAnsi"/>
          <w:lang w:val="en-GB"/>
        </w:rPr>
      </w:pPr>
    </w:p>
    <w:p w14:paraId="477BF9A1" w14:textId="77777777" w:rsidR="00694B6F" w:rsidRPr="008C3753" w:rsidRDefault="00694B6F" w:rsidP="00475602">
      <w:pPr>
        <w:spacing w:after="0" w:line="480" w:lineRule="auto"/>
        <w:jc w:val="both"/>
        <w:rPr>
          <w:rFonts w:cstheme="minorHAnsi"/>
          <w:b/>
          <w:lang w:val="en-GB"/>
        </w:rPr>
      </w:pPr>
      <w:r w:rsidRPr="008C3753">
        <w:rPr>
          <w:rFonts w:cstheme="minorHAnsi"/>
          <w:b/>
          <w:lang w:val="en-GB"/>
        </w:rPr>
        <w:t>Data collection</w:t>
      </w:r>
    </w:p>
    <w:p w14:paraId="017F9382" w14:textId="57CE9E71" w:rsidR="008C2278" w:rsidRPr="008C3753" w:rsidRDefault="00B434B4" w:rsidP="00475602">
      <w:pPr>
        <w:spacing w:after="0" w:line="480" w:lineRule="auto"/>
        <w:jc w:val="both"/>
        <w:rPr>
          <w:lang w:val="en-GB"/>
        </w:rPr>
      </w:pPr>
      <w:r w:rsidRPr="008C3753">
        <w:rPr>
          <w:rFonts w:cstheme="minorHAnsi"/>
          <w:lang w:val="en-GB"/>
        </w:rPr>
        <w:t>Quantitative data on u</w:t>
      </w:r>
      <w:r w:rsidR="00E80EF7" w:rsidRPr="008C3753">
        <w:rPr>
          <w:rFonts w:cstheme="minorHAnsi"/>
          <w:lang w:val="en-GB"/>
        </w:rPr>
        <w:t xml:space="preserve">se of the online training module was collected automatically </w:t>
      </w:r>
      <w:r w:rsidR="00D92318" w:rsidRPr="008C3753">
        <w:rPr>
          <w:rFonts w:cstheme="minorHAnsi"/>
          <w:lang w:val="en-GB"/>
        </w:rPr>
        <w:t>through</w:t>
      </w:r>
      <w:r w:rsidR="003148BD" w:rsidRPr="008C3753">
        <w:rPr>
          <w:rFonts w:cstheme="minorHAnsi"/>
          <w:lang w:val="en-GB"/>
        </w:rPr>
        <w:t xml:space="preserve"> </w:t>
      </w:r>
      <w:proofErr w:type="spellStart"/>
      <w:r w:rsidR="00E80EF7" w:rsidRPr="008C3753">
        <w:rPr>
          <w:rFonts w:cstheme="minorHAnsi"/>
          <w:lang w:val="en-GB"/>
        </w:rPr>
        <w:t>LifeGuide</w:t>
      </w:r>
      <w:proofErr w:type="spellEnd"/>
      <w:r w:rsidR="00E80EF7" w:rsidRPr="008C3753">
        <w:rPr>
          <w:rFonts w:cstheme="minorHAnsi"/>
          <w:lang w:val="en-GB"/>
        </w:rPr>
        <w:t>.</w:t>
      </w:r>
      <w:r w:rsidR="005B1AF5" w:rsidRPr="008C3753">
        <w:rPr>
          <w:rFonts w:cstheme="minorHAnsi"/>
          <w:lang w:val="en-GB"/>
        </w:rPr>
        <w:t xml:space="preserve"> </w:t>
      </w:r>
      <w:r w:rsidR="0007507F" w:rsidRPr="008C3753">
        <w:rPr>
          <w:rFonts w:cstheme="minorHAnsi"/>
          <w:lang w:val="en-GB"/>
        </w:rPr>
        <w:t>Point-prevalence d</w:t>
      </w:r>
      <w:r w:rsidR="00694B6F" w:rsidRPr="008C3753">
        <w:rPr>
          <w:rFonts w:cstheme="minorHAnsi"/>
          <w:lang w:val="en-GB"/>
        </w:rPr>
        <w:t xml:space="preserve">ata on use of the Decision Aid categories </w:t>
      </w:r>
      <w:r w:rsidR="00A50BAD" w:rsidRPr="008C3753">
        <w:rPr>
          <w:rFonts w:cstheme="minorHAnsi"/>
          <w:lang w:val="en-GB"/>
        </w:rPr>
        <w:t xml:space="preserve">and antibiotic prescribing </w:t>
      </w:r>
      <w:r w:rsidR="0007507F" w:rsidRPr="008C3753">
        <w:rPr>
          <w:rFonts w:cstheme="minorHAnsi"/>
          <w:lang w:val="en-GB"/>
        </w:rPr>
        <w:t>were</w:t>
      </w:r>
      <w:r w:rsidR="00694B6F" w:rsidRPr="008C3753">
        <w:rPr>
          <w:rFonts w:cstheme="minorHAnsi"/>
          <w:lang w:val="en-GB"/>
        </w:rPr>
        <w:t xml:space="preserve"> collected </w:t>
      </w:r>
      <w:r w:rsidR="00376086" w:rsidRPr="008C3753">
        <w:rPr>
          <w:rFonts w:cstheme="minorHAnsi"/>
          <w:lang w:val="en-GB"/>
        </w:rPr>
        <w:t xml:space="preserve">from paper drug charts </w:t>
      </w:r>
      <w:r w:rsidR="00694B6F" w:rsidRPr="008C3753">
        <w:rPr>
          <w:rFonts w:cstheme="minorHAnsi"/>
          <w:lang w:val="en-GB"/>
        </w:rPr>
        <w:t xml:space="preserve">using the ARK </w:t>
      </w:r>
      <w:r w:rsidR="005B1AF5" w:rsidRPr="008C3753">
        <w:rPr>
          <w:rFonts w:cstheme="minorHAnsi"/>
          <w:lang w:val="en-GB"/>
        </w:rPr>
        <w:t>d</w:t>
      </w:r>
      <w:r w:rsidR="0014240C" w:rsidRPr="008C3753">
        <w:rPr>
          <w:rFonts w:cstheme="minorHAnsi"/>
          <w:lang w:val="en-GB"/>
        </w:rPr>
        <w:t>ata</w:t>
      </w:r>
      <w:r w:rsidR="005B1AF5" w:rsidRPr="008C3753">
        <w:rPr>
          <w:rFonts w:cstheme="minorHAnsi"/>
          <w:lang w:val="en-GB"/>
        </w:rPr>
        <w:t xml:space="preserve"> </w:t>
      </w:r>
      <w:r w:rsidR="0014240C" w:rsidRPr="008C3753">
        <w:rPr>
          <w:rFonts w:cstheme="minorHAnsi"/>
          <w:lang w:val="en-GB"/>
        </w:rPr>
        <w:t>collection</w:t>
      </w:r>
      <w:r w:rsidR="00694B6F" w:rsidRPr="008C3753">
        <w:rPr>
          <w:rFonts w:cstheme="minorHAnsi"/>
          <w:lang w:val="en-GB"/>
        </w:rPr>
        <w:t xml:space="preserve"> </w:t>
      </w:r>
      <w:r w:rsidR="005B1AF5" w:rsidRPr="008C3753">
        <w:rPr>
          <w:rFonts w:cstheme="minorHAnsi"/>
          <w:lang w:val="en-GB"/>
        </w:rPr>
        <w:t>workbook</w:t>
      </w:r>
      <w:r w:rsidR="004E259A" w:rsidRPr="008C3753">
        <w:rPr>
          <w:rFonts w:cstheme="minorHAnsi"/>
          <w:lang w:val="en-GB"/>
        </w:rPr>
        <w:t>,</w:t>
      </w:r>
      <w:r w:rsidR="0007507F" w:rsidRPr="008C3753">
        <w:rPr>
          <w:rFonts w:cstheme="minorHAnsi"/>
          <w:lang w:val="en-GB"/>
        </w:rPr>
        <w:t xml:space="preserve"> prior to implementation and at weeks </w:t>
      </w:r>
      <w:r w:rsidR="00694B6F" w:rsidRPr="008C3753">
        <w:rPr>
          <w:rFonts w:cstheme="minorHAnsi"/>
          <w:lang w:val="en-GB"/>
        </w:rPr>
        <w:t>1, 2, 3, 4, 6, 8 and 12</w:t>
      </w:r>
      <w:r w:rsidR="00265008" w:rsidRPr="008C3753">
        <w:rPr>
          <w:rFonts w:cstheme="minorHAnsi"/>
          <w:lang w:val="en-GB"/>
        </w:rPr>
        <w:t>. Data was collected</w:t>
      </w:r>
      <w:r w:rsidR="00694B6F" w:rsidRPr="008C3753">
        <w:rPr>
          <w:rFonts w:cstheme="minorHAnsi"/>
          <w:lang w:val="en-GB"/>
        </w:rPr>
        <w:t xml:space="preserve"> </w:t>
      </w:r>
      <w:r w:rsidR="008F79AD" w:rsidRPr="008C3753">
        <w:rPr>
          <w:rFonts w:cstheme="minorHAnsi"/>
          <w:lang w:val="en-GB"/>
        </w:rPr>
        <w:t>from a</w:t>
      </w:r>
      <w:r w:rsidR="003E5FC3" w:rsidRPr="008C3753">
        <w:rPr>
          <w:rFonts w:cstheme="minorHAnsi"/>
          <w:lang w:val="en-GB"/>
        </w:rPr>
        <w:t>ll patients on the AMU, respiratory, elderly care, endocrine and gastroenterology wards who had received antibiotics during their current inpatient stay.</w:t>
      </w:r>
      <w:r w:rsidR="00C72D89" w:rsidRPr="008C3753">
        <w:rPr>
          <w:rFonts w:cstheme="minorHAnsi"/>
          <w:lang w:val="en-GB"/>
        </w:rPr>
        <w:t xml:space="preserve"> </w:t>
      </w:r>
      <w:r w:rsidR="0007507F" w:rsidRPr="008C3753">
        <w:rPr>
          <w:rFonts w:cstheme="minorHAnsi"/>
          <w:lang w:val="en-GB"/>
        </w:rPr>
        <w:t>D</w:t>
      </w:r>
      <w:r w:rsidR="00AF2706" w:rsidRPr="008C3753">
        <w:rPr>
          <w:rFonts w:cstheme="minorHAnsi"/>
          <w:lang w:val="en-GB"/>
        </w:rPr>
        <w:t>ata were gathered for each</w:t>
      </w:r>
      <w:r w:rsidR="00547C76" w:rsidRPr="008C3753">
        <w:rPr>
          <w:rFonts w:cstheme="minorHAnsi"/>
          <w:lang w:val="en-GB"/>
        </w:rPr>
        <w:t xml:space="preserve"> </w:t>
      </w:r>
      <w:r w:rsidR="00BC62DE" w:rsidRPr="008C3753">
        <w:rPr>
          <w:rFonts w:cstheme="minorHAnsi"/>
          <w:lang w:val="en-GB"/>
        </w:rPr>
        <w:t xml:space="preserve">antibiotic indication </w:t>
      </w:r>
      <w:r w:rsidR="00AF2706" w:rsidRPr="008C3753">
        <w:rPr>
          <w:rFonts w:cstheme="minorHAnsi"/>
          <w:lang w:val="en-GB"/>
        </w:rPr>
        <w:t>rather than individual agent</w:t>
      </w:r>
      <w:r w:rsidR="009B501D" w:rsidRPr="008C3753">
        <w:rPr>
          <w:rFonts w:cstheme="minorHAnsi"/>
          <w:lang w:val="en-GB"/>
        </w:rPr>
        <w:t xml:space="preserve">. </w:t>
      </w:r>
      <w:r w:rsidR="00A50BAD" w:rsidRPr="008C3753">
        <w:rPr>
          <w:rFonts w:cstheme="minorHAnsi"/>
          <w:lang w:val="en-GB"/>
        </w:rPr>
        <w:t>Indications were assumed to reflect infection</w:t>
      </w:r>
      <w:r w:rsidR="00E433C8" w:rsidRPr="008C3753">
        <w:rPr>
          <w:rFonts w:cstheme="minorHAnsi"/>
          <w:lang w:val="en-GB"/>
        </w:rPr>
        <w:t xml:space="preserve"> as diagnosed by the prescriber and not defined further.</w:t>
      </w:r>
      <w:r w:rsidR="00DD48C5" w:rsidRPr="008C3753">
        <w:rPr>
          <w:rFonts w:cstheme="minorHAnsi"/>
          <w:lang w:val="en-GB"/>
        </w:rPr>
        <w:t xml:space="preserve"> Patient views on </w:t>
      </w:r>
      <w:r w:rsidR="008C2278" w:rsidRPr="008C3753">
        <w:rPr>
          <w:rFonts w:cstheme="minorHAnsi"/>
          <w:lang w:val="en-GB"/>
        </w:rPr>
        <w:t xml:space="preserve">the patient leaflet were </w:t>
      </w:r>
      <w:r w:rsidR="00DD48C5" w:rsidRPr="008C3753">
        <w:rPr>
          <w:rFonts w:cstheme="minorHAnsi"/>
          <w:lang w:val="en-GB"/>
        </w:rPr>
        <w:t xml:space="preserve">elicited through </w:t>
      </w:r>
      <w:r w:rsidR="008C2278" w:rsidRPr="008C3753">
        <w:rPr>
          <w:rFonts w:cstheme="minorHAnsi"/>
          <w:lang w:val="en-GB"/>
        </w:rPr>
        <w:t>a brief questionnaire (supplementary materials)</w:t>
      </w:r>
      <w:r w:rsidR="00BB0663" w:rsidRPr="008C3753">
        <w:rPr>
          <w:rFonts w:cstheme="minorHAnsi"/>
          <w:lang w:val="en-GB"/>
        </w:rPr>
        <w:t xml:space="preserve"> </w:t>
      </w:r>
      <w:r w:rsidR="008C2278" w:rsidRPr="008C3753">
        <w:rPr>
          <w:rFonts w:cstheme="minorHAnsi"/>
          <w:lang w:val="en-GB"/>
        </w:rPr>
        <w:t>scored on a 1 to 7 Likert scale</w:t>
      </w:r>
      <w:r w:rsidR="007C6897" w:rsidRPr="008C3753">
        <w:rPr>
          <w:rFonts w:cstheme="minorHAnsi"/>
          <w:lang w:val="en-GB"/>
        </w:rPr>
        <w:t xml:space="preserve"> in a small sample of </w:t>
      </w:r>
      <w:r w:rsidR="00AF1C75" w:rsidRPr="008C3753">
        <w:rPr>
          <w:rFonts w:cstheme="minorHAnsi"/>
          <w:lang w:val="en-GB"/>
        </w:rPr>
        <w:t xml:space="preserve">AMU </w:t>
      </w:r>
      <w:r w:rsidR="007C6897" w:rsidRPr="008C3753">
        <w:rPr>
          <w:rFonts w:cstheme="minorHAnsi"/>
          <w:lang w:val="en-GB"/>
        </w:rPr>
        <w:t>patients who</w:t>
      </w:r>
      <w:r w:rsidR="00AF1C75" w:rsidRPr="008C3753">
        <w:rPr>
          <w:rFonts w:cstheme="minorHAnsi"/>
          <w:lang w:val="en-GB"/>
        </w:rPr>
        <w:t xml:space="preserve"> had been prescribed antibiotics and agreed to take part in a phone interview</w:t>
      </w:r>
      <w:r w:rsidR="007C6897" w:rsidRPr="008C3753">
        <w:rPr>
          <w:rFonts w:cstheme="minorHAnsi"/>
          <w:lang w:val="en-GB"/>
        </w:rPr>
        <w:t xml:space="preserve"> </w:t>
      </w:r>
      <w:r w:rsidR="00D9671D" w:rsidRPr="008C3753">
        <w:rPr>
          <w:rFonts w:cstheme="minorHAnsi"/>
          <w:lang w:val="en-GB"/>
        </w:rPr>
        <w:t>(</w:t>
      </w:r>
      <w:r w:rsidR="00D9671D" w:rsidRPr="008C3753">
        <w:rPr>
          <w:rFonts w:cs="Times New Roman"/>
          <w:lang w:val="en-GB"/>
        </w:rPr>
        <w:t xml:space="preserve">Mowbray, </w:t>
      </w:r>
      <w:r w:rsidR="007D7FF1" w:rsidRPr="008C3753">
        <w:rPr>
          <w:rFonts w:cs="Times New Roman"/>
          <w:i/>
          <w:iCs/>
          <w:lang w:val="en-GB"/>
        </w:rPr>
        <w:t>et al.</w:t>
      </w:r>
      <w:r w:rsidR="007D7FF1" w:rsidRPr="008C3753">
        <w:rPr>
          <w:rFonts w:cs="Times New Roman"/>
          <w:lang w:val="en-GB"/>
        </w:rPr>
        <w:t xml:space="preserve"> </w:t>
      </w:r>
      <w:r w:rsidR="007F012E" w:rsidRPr="008C3753">
        <w:rPr>
          <w:rFonts w:cs="Times New Roman"/>
          <w:lang w:val="en-GB"/>
        </w:rPr>
        <w:t>unpublished results</w:t>
      </w:r>
      <w:r w:rsidR="00434A4D" w:rsidRPr="008C3753">
        <w:rPr>
          <w:rFonts w:cstheme="minorHAnsi"/>
          <w:lang w:val="en-GB"/>
        </w:rPr>
        <w:t>)</w:t>
      </w:r>
      <w:r w:rsidR="008C2278" w:rsidRPr="008C3753">
        <w:rPr>
          <w:rFonts w:cstheme="minorHAnsi"/>
          <w:lang w:val="en-GB"/>
        </w:rPr>
        <w:t>.</w:t>
      </w:r>
      <w:r w:rsidR="0066236F" w:rsidRPr="008C3753">
        <w:rPr>
          <w:lang w:val="en-GB"/>
        </w:rPr>
        <w:t xml:space="preserve"> </w:t>
      </w:r>
    </w:p>
    <w:p w14:paraId="4D3149B9" w14:textId="77777777" w:rsidR="0086243D" w:rsidRPr="008C3753" w:rsidRDefault="0086243D" w:rsidP="00475602">
      <w:pPr>
        <w:spacing w:after="0" w:line="480" w:lineRule="auto"/>
        <w:jc w:val="both"/>
        <w:rPr>
          <w:lang w:val="en-GB"/>
        </w:rPr>
      </w:pPr>
    </w:p>
    <w:p w14:paraId="68F4DD3C" w14:textId="77777777" w:rsidR="00840EE3" w:rsidRPr="008C3753" w:rsidRDefault="00840EE3" w:rsidP="00475602">
      <w:pPr>
        <w:spacing w:after="0" w:line="480" w:lineRule="auto"/>
        <w:jc w:val="both"/>
        <w:rPr>
          <w:rFonts w:cstheme="minorHAnsi"/>
          <w:b/>
          <w:bCs/>
          <w:lang w:val="en-GB"/>
        </w:rPr>
      </w:pPr>
      <w:r w:rsidRPr="008C3753">
        <w:rPr>
          <w:rFonts w:cstheme="minorHAnsi"/>
          <w:b/>
          <w:bCs/>
          <w:lang w:val="en-GB"/>
        </w:rPr>
        <w:t>Outcomes</w:t>
      </w:r>
    </w:p>
    <w:p w14:paraId="47576ECD" w14:textId="4EE1755C" w:rsidR="006E5FBF" w:rsidRPr="008C3753" w:rsidRDefault="00795280" w:rsidP="00475602">
      <w:pPr>
        <w:spacing w:after="0" w:line="480" w:lineRule="auto"/>
        <w:jc w:val="both"/>
        <w:rPr>
          <w:rFonts w:cstheme="minorHAnsi"/>
          <w:lang w:val="en-GB"/>
        </w:rPr>
      </w:pPr>
      <w:r w:rsidRPr="008C3753">
        <w:rPr>
          <w:rFonts w:cstheme="minorHAnsi"/>
          <w:lang w:val="en-GB"/>
        </w:rPr>
        <w:t>D</w:t>
      </w:r>
      <w:r w:rsidR="008B75CB" w:rsidRPr="008C3753">
        <w:rPr>
          <w:rFonts w:cstheme="minorHAnsi"/>
          <w:lang w:val="en-GB"/>
        </w:rPr>
        <w:t>etails of how the Core Team</w:t>
      </w:r>
      <w:r w:rsidR="00C331CA" w:rsidRPr="008C3753">
        <w:rPr>
          <w:rFonts w:cstheme="minorHAnsi"/>
          <w:lang w:val="en-GB"/>
        </w:rPr>
        <w:t xml:space="preserve"> locally</w:t>
      </w:r>
      <w:r w:rsidR="00EF2409" w:rsidRPr="008C3753">
        <w:rPr>
          <w:rFonts w:cstheme="minorHAnsi"/>
          <w:lang w:val="en-GB"/>
        </w:rPr>
        <w:t xml:space="preserve"> adapted and</w:t>
      </w:r>
      <w:r w:rsidR="008B75CB" w:rsidRPr="008C3753">
        <w:rPr>
          <w:rFonts w:cstheme="minorHAnsi"/>
          <w:lang w:val="en-GB"/>
        </w:rPr>
        <w:t xml:space="preserve"> implemented each of the four </w:t>
      </w:r>
      <w:r w:rsidR="00C331CA" w:rsidRPr="008C3753">
        <w:rPr>
          <w:rFonts w:cstheme="minorHAnsi"/>
          <w:lang w:val="en-GB"/>
        </w:rPr>
        <w:t xml:space="preserve">ARK </w:t>
      </w:r>
      <w:r w:rsidR="008B75CB" w:rsidRPr="008C3753">
        <w:rPr>
          <w:rFonts w:cstheme="minorHAnsi"/>
          <w:lang w:val="en-GB"/>
        </w:rPr>
        <w:t xml:space="preserve">intervention components </w:t>
      </w:r>
      <w:r w:rsidRPr="008C3753">
        <w:rPr>
          <w:rFonts w:cstheme="minorHAnsi"/>
          <w:lang w:val="en-GB"/>
        </w:rPr>
        <w:t>are</w:t>
      </w:r>
      <w:r w:rsidR="008B75CB" w:rsidRPr="008C3753">
        <w:rPr>
          <w:rFonts w:cstheme="minorHAnsi"/>
          <w:lang w:val="en-GB"/>
        </w:rPr>
        <w:t xml:space="preserve"> reported alongside </w:t>
      </w:r>
      <w:r w:rsidR="00F6097D" w:rsidRPr="008C3753">
        <w:rPr>
          <w:rFonts w:cstheme="minorHAnsi"/>
          <w:lang w:val="en-GB"/>
        </w:rPr>
        <w:t xml:space="preserve">the </w:t>
      </w:r>
      <w:r w:rsidR="008B75CB" w:rsidRPr="008C3753">
        <w:rPr>
          <w:rFonts w:cstheme="minorHAnsi"/>
          <w:lang w:val="en-GB"/>
        </w:rPr>
        <w:t xml:space="preserve">relevant outcome measures. </w:t>
      </w:r>
      <w:r w:rsidR="00537F8E" w:rsidRPr="008C3753">
        <w:rPr>
          <w:rFonts w:cstheme="minorHAnsi"/>
          <w:lang w:val="en-GB"/>
        </w:rPr>
        <w:t xml:space="preserve">The champion identified key essential staff members who they felt would  facilitate their clinical colleagues’ engagement with ARK. These included consultants and training-grade doctors from each relevant medical specialty, senior nurses and pharmacists working in the clinical areas where ARK was implemented and infection specialist doctors. </w:t>
      </w:r>
      <w:r w:rsidR="004D19E4" w:rsidRPr="008C3753">
        <w:rPr>
          <w:rFonts w:cstheme="minorHAnsi"/>
          <w:lang w:val="en-GB"/>
        </w:rPr>
        <w:t xml:space="preserve">The primary outcome was the proportion of </w:t>
      </w:r>
      <w:r w:rsidR="002B1592" w:rsidRPr="008C3753">
        <w:rPr>
          <w:rFonts w:cstheme="minorHAnsi"/>
          <w:lang w:val="en-GB"/>
        </w:rPr>
        <w:t xml:space="preserve">preidentified </w:t>
      </w:r>
      <w:r w:rsidR="00D675D4" w:rsidRPr="008C3753">
        <w:rPr>
          <w:rFonts w:cstheme="minorHAnsi"/>
          <w:lang w:val="en-GB"/>
        </w:rPr>
        <w:t xml:space="preserve">key </w:t>
      </w:r>
      <w:r w:rsidR="004D19E4" w:rsidRPr="008C3753">
        <w:rPr>
          <w:rFonts w:cstheme="minorHAnsi"/>
          <w:lang w:val="en-GB"/>
        </w:rPr>
        <w:t>essential staff who completed the online training</w:t>
      </w:r>
      <w:r w:rsidR="00964684" w:rsidRPr="008C3753">
        <w:rPr>
          <w:rFonts w:cstheme="minorHAnsi"/>
          <w:lang w:val="en-GB"/>
        </w:rPr>
        <w:t>.</w:t>
      </w:r>
      <w:r w:rsidR="004D19E4" w:rsidRPr="008C3753">
        <w:rPr>
          <w:rFonts w:cstheme="minorHAnsi"/>
          <w:lang w:val="en-GB"/>
        </w:rPr>
        <w:t xml:space="preserve"> </w:t>
      </w:r>
    </w:p>
    <w:p w14:paraId="2243910A" w14:textId="67803461" w:rsidR="0066236F" w:rsidRPr="008C3753" w:rsidRDefault="00840EE3" w:rsidP="00475602">
      <w:pPr>
        <w:spacing w:after="0" w:line="480" w:lineRule="auto"/>
        <w:jc w:val="both"/>
        <w:rPr>
          <w:rFonts w:cstheme="minorHAnsi"/>
          <w:lang w:val="en-GB"/>
        </w:rPr>
      </w:pPr>
      <w:r w:rsidRPr="008C3753">
        <w:rPr>
          <w:rFonts w:cstheme="minorHAnsi"/>
          <w:lang w:val="en-GB"/>
        </w:rPr>
        <w:t>Other usage data for the online tool inclu</w:t>
      </w:r>
      <w:r w:rsidR="00795280" w:rsidRPr="008C3753">
        <w:rPr>
          <w:rFonts w:cstheme="minorHAnsi"/>
          <w:lang w:val="en-GB"/>
        </w:rPr>
        <w:t>ded</w:t>
      </w:r>
      <w:r w:rsidRPr="008C3753">
        <w:rPr>
          <w:rFonts w:cstheme="minorHAnsi"/>
          <w:lang w:val="en-GB"/>
        </w:rPr>
        <w:t xml:space="preserve"> the overall </w:t>
      </w:r>
      <w:r w:rsidR="00D25F70" w:rsidRPr="008C3753">
        <w:rPr>
          <w:rFonts w:cstheme="minorHAnsi"/>
          <w:lang w:val="en-GB"/>
        </w:rPr>
        <w:t xml:space="preserve">number of staff </w:t>
      </w:r>
      <w:r w:rsidRPr="008C3753">
        <w:rPr>
          <w:rFonts w:cstheme="minorHAnsi"/>
          <w:lang w:val="en-GB"/>
        </w:rPr>
        <w:t xml:space="preserve">who </w:t>
      </w:r>
      <w:r w:rsidR="00D25F70" w:rsidRPr="008C3753">
        <w:rPr>
          <w:rFonts w:cstheme="minorHAnsi"/>
          <w:lang w:val="en-GB"/>
        </w:rPr>
        <w:t>complet</w:t>
      </w:r>
      <w:r w:rsidRPr="008C3753">
        <w:rPr>
          <w:rFonts w:cstheme="minorHAnsi"/>
          <w:lang w:val="en-GB"/>
        </w:rPr>
        <w:t>ed</w:t>
      </w:r>
      <w:r w:rsidR="00D25F70" w:rsidRPr="008C3753">
        <w:rPr>
          <w:rFonts w:cstheme="minorHAnsi"/>
          <w:lang w:val="en-GB"/>
        </w:rPr>
        <w:t xml:space="preserve"> </w:t>
      </w:r>
      <w:r w:rsidRPr="008C3753">
        <w:rPr>
          <w:rFonts w:cstheme="minorHAnsi"/>
          <w:lang w:val="en-GB"/>
        </w:rPr>
        <w:t>it</w:t>
      </w:r>
      <w:r w:rsidR="00D25F70" w:rsidRPr="008C3753">
        <w:rPr>
          <w:rFonts w:cstheme="minorHAnsi"/>
          <w:lang w:val="en-GB"/>
        </w:rPr>
        <w:t xml:space="preserve"> per 100 acute-beds</w:t>
      </w:r>
      <w:r w:rsidRPr="008C3753">
        <w:rPr>
          <w:rFonts w:cstheme="minorHAnsi"/>
          <w:lang w:val="en-GB"/>
        </w:rPr>
        <w:t xml:space="preserve">, </w:t>
      </w:r>
      <w:r w:rsidR="00D25F70" w:rsidRPr="008C3753">
        <w:rPr>
          <w:rFonts w:cstheme="minorHAnsi"/>
          <w:lang w:val="en-GB"/>
        </w:rPr>
        <w:t xml:space="preserve">to </w:t>
      </w:r>
      <w:r w:rsidR="00964684" w:rsidRPr="008C3753">
        <w:rPr>
          <w:rFonts w:cstheme="minorHAnsi"/>
          <w:lang w:val="en-GB"/>
        </w:rPr>
        <w:t xml:space="preserve">reflect </w:t>
      </w:r>
      <w:r w:rsidR="00AE1544" w:rsidRPr="008C3753">
        <w:rPr>
          <w:rFonts w:cstheme="minorHAnsi"/>
          <w:lang w:val="en-GB"/>
        </w:rPr>
        <w:t xml:space="preserve">levels </w:t>
      </w:r>
      <w:r w:rsidR="00982E20" w:rsidRPr="008C3753">
        <w:rPr>
          <w:rFonts w:cstheme="minorHAnsi"/>
          <w:lang w:val="en-GB"/>
        </w:rPr>
        <w:t xml:space="preserve">of </w:t>
      </w:r>
      <w:r w:rsidR="00964684" w:rsidRPr="008C3753">
        <w:rPr>
          <w:rFonts w:cstheme="minorHAnsi"/>
          <w:lang w:val="en-GB"/>
        </w:rPr>
        <w:t>staff engagement</w:t>
      </w:r>
      <w:r w:rsidR="00487C9D" w:rsidRPr="008C3753">
        <w:rPr>
          <w:rFonts w:cstheme="minorHAnsi"/>
          <w:lang w:val="en-GB"/>
        </w:rPr>
        <w:t xml:space="preserve">. </w:t>
      </w:r>
      <w:r w:rsidR="004D19E4" w:rsidRPr="008C3753">
        <w:rPr>
          <w:rFonts w:cstheme="minorHAnsi"/>
          <w:lang w:val="en-GB"/>
        </w:rPr>
        <w:t>Other outcomes reflected the process of implementation, specifically the p</w:t>
      </w:r>
      <w:r w:rsidR="00975394" w:rsidRPr="008C3753">
        <w:rPr>
          <w:rFonts w:cstheme="minorHAnsi"/>
          <w:lang w:val="en-GB"/>
        </w:rPr>
        <w:t xml:space="preserve">roportion of initial prescriptions </w:t>
      </w:r>
      <w:r w:rsidR="009170A6" w:rsidRPr="008C3753">
        <w:rPr>
          <w:rFonts w:cstheme="minorHAnsi"/>
          <w:lang w:val="en-GB"/>
        </w:rPr>
        <w:t>that</w:t>
      </w:r>
      <w:r w:rsidR="009E51DA" w:rsidRPr="008C3753">
        <w:rPr>
          <w:rFonts w:cstheme="minorHAnsi"/>
          <w:lang w:val="en-GB"/>
        </w:rPr>
        <w:t xml:space="preserve">: </w:t>
      </w:r>
      <w:r w:rsidR="004D19E4" w:rsidRPr="008C3753">
        <w:rPr>
          <w:rFonts w:cstheme="minorHAnsi"/>
          <w:lang w:val="en-GB"/>
        </w:rPr>
        <w:t xml:space="preserve">used </w:t>
      </w:r>
      <w:r w:rsidR="00A90866" w:rsidRPr="008C3753">
        <w:rPr>
          <w:rFonts w:cstheme="minorHAnsi"/>
          <w:lang w:val="en-GB"/>
        </w:rPr>
        <w:t xml:space="preserve">the </w:t>
      </w:r>
      <w:r w:rsidR="00975394" w:rsidRPr="008C3753">
        <w:rPr>
          <w:rFonts w:cstheme="minorHAnsi"/>
          <w:lang w:val="en-GB"/>
        </w:rPr>
        <w:t>Decision Aid categories</w:t>
      </w:r>
      <w:r w:rsidR="00D6374A" w:rsidRPr="008C3753">
        <w:rPr>
          <w:rFonts w:cstheme="minorHAnsi"/>
          <w:lang w:val="en-GB"/>
        </w:rPr>
        <w:t xml:space="preserve">, </w:t>
      </w:r>
      <w:r w:rsidR="00487C9D" w:rsidRPr="008C3753">
        <w:rPr>
          <w:rFonts w:cstheme="minorHAnsi"/>
          <w:lang w:val="en-GB"/>
        </w:rPr>
        <w:t>were</w:t>
      </w:r>
      <w:r w:rsidR="00D6374A" w:rsidRPr="008C3753">
        <w:rPr>
          <w:rFonts w:cstheme="minorHAnsi"/>
          <w:lang w:val="en-GB"/>
        </w:rPr>
        <w:t xml:space="preserve"> reviewed within 72</w:t>
      </w:r>
      <w:r w:rsidR="00F87E35" w:rsidRPr="008C3753">
        <w:rPr>
          <w:rFonts w:cstheme="minorHAnsi"/>
          <w:lang w:val="en-GB"/>
        </w:rPr>
        <w:t xml:space="preserve"> hours</w:t>
      </w:r>
      <w:r w:rsidR="004D19E4" w:rsidRPr="008C3753">
        <w:rPr>
          <w:rFonts w:cstheme="minorHAnsi"/>
          <w:lang w:val="en-GB"/>
        </w:rPr>
        <w:t xml:space="preserve"> and</w:t>
      </w:r>
      <w:r w:rsidR="004D19E4" w:rsidRPr="008C3753">
        <w:rPr>
          <w:rFonts w:cstheme="minorHAnsi"/>
          <w:i/>
          <w:lang w:val="en-GB"/>
        </w:rPr>
        <w:t xml:space="preserve"> </w:t>
      </w:r>
      <w:r w:rsidR="004D19E4" w:rsidRPr="008C3753">
        <w:rPr>
          <w:rFonts w:cstheme="minorHAnsi"/>
          <w:lang w:val="en-GB"/>
        </w:rPr>
        <w:t>had been stopped at review</w:t>
      </w:r>
      <w:r w:rsidR="00DD6F4A" w:rsidRPr="008C3753">
        <w:rPr>
          <w:rFonts w:cstheme="minorHAnsi"/>
          <w:lang w:val="en-GB"/>
        </w:rPr>
        <w:t xml:space="preserve">. </w:t>
      </w:r>
      <w:r w:rsidR="00AC3836" w:rsidRPr="008C3753">
        <w:rPr>
          <w:rFonts w:cstheme="minorHAnsi"/>
          <w:lang w:val="en-GB"/>
        </w:rPr>
        <w:t>Thes</w:t>
      </w:r>
      <w:r w:rsidR="007E6A93" w:rsidRPr="008C3753">
        <w:rPr>
          <w:rFonts w:cstheme="minorHAnsi"/>
          <w:lang w:val="en-GB"/>
        </w:rPr>
        <w:t xml:space="preserve">e were all pre-specified in the protocol as secondary outcomes for the main trial. </w:t>
      </w:r>
      <w:r w:rsidR="00181C8F" w:rsidRPr="008C3753">
        <w:rPr>
          <w:rFonts w:cstheme="minorHAnsi"/>
          <w:lang w:val="en-GB"/>
        </w:rPr>
        <w:t>Other actions taken at review, i.e. switch</w:t>
      </w:r>
      <w:r w:rsidR="00A90866" w:rsidRPr="008C3753">
        <w:rPr>
          <w:rFonts w:cstheme="minorHAnsi"/>
          <w:lang w:val="en-GB"/>
        </w:rPr>
        <w:t xml:space="preserve"> agent</w:t>
      </w:r>
      <w:r w:rsidR="00181C8F" w:rsidRPr="008C3753">
        <w:rPr>
          <w:rFonts w:cstheme="minorHAnsi"/>
          <w:lang w:val="en-GB"/>
        </w:rPr>
        <w:t xml:space="preserve"> (narrow/broaden), move from intravenous to oral </w:t>
      </w:r>
      <w:r w:rsidR="00A90866" w:rsidRPr="008C3753">
        <w:rPr>
          <w:rFonts w:cstheme="minorHAnsi"/>
          <w:lang w:val="en-GB"/>
        </w:rPr>
        <w:t>route</w:t>
      </w:r>
      <w:r w:rsidR="00181C8F" w:rsidRPr="008C3753">
        <w:rPr>
          <w:rFonts w:cstheme="minorHAnsi"/>
          <w:lang w:val="en-GB"/>
        </w:rPr>
        <w:t xml:space="preserve">, or outpatient parenteral antimicrobial therapy (OPAT), were also </w:t>
      </w:r>
      <w:r w:rsidR="004D19E4" w:rsidRPr="008C3753">
        <w:rPr>
          <w:rFonts w:cstheme="minorHAnsi"/>
          <w:lang w:val="en-GB"/>
        </w:rPr>
        <w:t>considered in secondary analyses</w:t>
      </w:r>
      <w:r w:rsidR="00181C8F" w:rsidRPr="008C3753">
        <w:rPr>
          <w:rFonts w:cstheme="minorHAnsi"/>
          <w:lang w:val="en-GB"/>
        </w:rPr>
        <w:t>.</w:t>
      </w:r>
      <w:r w:rsidR="00795280" w:rsidRPr="008C3753">
        <w:rPr>
          <w:rFonts w:cstheme="minorHAnsi"/>
          <w:lang w:val="en-GB"/>
        </w:rPr>
        <w:t xml:space="preserve"> </w:t>
      </w:r>
      <w:r w:rsidR="0066236F" w:rsidRPr="008C3753">
        <w:rPr>
          <w:lang w:val="en-GB"/>
        </w:rPr>
        <w:t xml:space="preserve">Targets </w:t>
      </w:r>
      <w:r w:rsidR="0066236F" w:rsidRPr="008C3753">
        <w:rPr>
          <w:rFonts w:cstheme="minorHAnsi"/>
          <w:lang w:val="en-GB"/>
        </w:rPr>
        <w:t xml:space="preserve">for ARK to be considered feasible and progress to the main trial were that &gt;70% of staff identified by the champion as essential for ARK to be implemented should complete the online tool, and that &gt;50% of prescriptions audited should have </w:t>
      </w:r>
      <w:r w:rsidR="00487C9D" w:rsidRPr="008C3753">
        <w:rPr>
          <w:rFonts w:cstheme="minorHAnsi"/>
          <w:lang w:val="en-GB"/>
        </w:rPr>
        <w:t>used</w:t>
      </w:r>
      <w:r w:rsidR="0066236F" w:rsidRPr="008C3753">
        <w:rPr>
          <w:rFonts w:cstheme="minorHAnsi"/>
          <w:lang w:val="en-GB"/>
        </w:rPr>
        <w:t xml:space="preserve"> the Decision Aid</w:t>
      </w:r>
      <w:r w:rsidR="006556C6" w:rsidRPr="008C3753">
        <w:rPr>
          <w:rFonts w:cstheme="minorHAnsi"/>
          <w:lang w:val="en-GB"/>
        </w:rPr>
        <w:t>.</w:t>
      </w:r>
      <w:r w:rsidR="00537F8E" w:rsidRPr="008C3753">
        <w:rPr>
          <w:rFonts w:cstheme="minorHAnsi"/>
          <w:lang w:val="en-GB"/>
        </w:rPr>
        <w:t xml:space="preserve"> These thresholds were chosen </w:t>
      </w:r>
      <w:r w:rsidR="001E46C8" w:rsidRPr="008C3753">
        <w:rPr>
          <w:rFonts w:cstheme="minorHAnsi"/>
          <w:lang w:val="en-GB"/>
        </w:rPr>
        <w:t>because with no</w:t>
      </w:r>
      <w:r w:rsidR="00537F8E" w:rsidRPr="008C3753">
        <w:rPr>
          <w:rFonts w:cstheme="minorHAnsi"/>
          <w:lang w:val="en-GB"/>
        </w:rPr>
        <w:t xml:space="preserve"> evidence base for estimating the level of engagement necessary to achieve changes in prescribing behaviour, </w:t>
      </w:r>
      <w:r w:rsidR="001E46C8" w:rsidRPr="008C3753">
        <w:rPr>
          <w:rFonts w:cstheme="minorHAnsi"/>
          <w:lang w:val="en-GB"/>
        </w:rPr>
        <w:t>&gt;</w:t>
      </w:r>
      <w:r w:rsidR="00537F8E" w:rsidRPr="008C3753">
        <w:rPr>
          <w:rFonts w:cstheme="minorHAnsi"/>
          <w:lang w:val="en-GB"/>
        </w:rPr>
        <w:t xml:space="preserve">70% </w:t>
      </w:r>
      <w:r w:rsidR="001E46C8" w:rsidRPr="008C3753">
        <w:rPr>
          <w:rFonts w:cstheme="minorHAnsi"/>
          <w:lang w:val="en-GB"/>
        </w:rPr>
        <w:t>engagement of key opinion leaders in the hospital and &gt;50% use of the decision aid were felt to. be required  to</w:t>
      </w:r>
      <w:r w:rsidR="00537F8E" w:rsidRPr="008C3753">
        <w:rPr>
          <w:rFonts w:cstheme="minorHAnsi"/>
          <w:lang w:val="en-GB"/>
        </w:rPr>
        <w:t xml:space="preserve"> impact intervention outcomes</w:t>
      </w:r>
      <w:r w:rsidR="001E46C8" w:rsidRPr="008C3753">
        <w:rPr>
          <w:rFonts w:cstheme="minorHAnsi"/>
          <w:lang w:val="en-GB"/>
        </w:rPr>
        <w:t>.</w:t>
      </w:r>
    </w:p>
    <w:p w14:paraId="0BE51F81" w14:textId="77777777" w:rsidR="0086243D" w:rsidRPr="008C3753" w:rsidRDefault="0086243D" w:rsidP="00475602">
      <w:pPr>
        <w:spacing w:after="0" w:line="480" w:lineRule="auto"/>
        <w:jc w:val="both"/>
        <w:rPr>
          <w:rFonts w:cstheme="minorHAnsi"/>
          <w:lang w:val="en-GB"/>
        </w:rPr>
      </w:pPr>
    </w:p>
    <w:p w14:paraId="3D06C7CA" w14:textId="78FA437D" w:rsidR="00840EE3" w:rsidRPr="008C3753" w:rsidRDefault="00840EE3" w:rsidP="00840EE3">
      <w:pPr>
        <w:pStyle w:val="Heading2"/>
        <w:spacing w:before="0" w:after="0" w:line="480" w:lineRule="auto"/>
        <w:jc w:val="both"/>
        <w:rPr>
          <w:lang w:val="en-GB"/>
        </w:rPr>
      </w:pPr>
      <w:r w:rsidRPr="008C3753">
        <w:rPr>
          <w:rFonts w:asciiTheme="minorHAnsi" w:hAnsiTheme="minorHAnsi" w:cstheme="minorHAnsi"/>
          <w:lang w:val="en-GB"/>
        </w:rPr>
        <w:lastRenderedPageBreak/>
        <w:t>Analysis</w:t>
      </w:r>
    </w:p>
    <w:p w14:paraId="535CDD6D" w14:textId="0AD1AC2D" w:rsidR="00B72691" w:rsidRPr="008C3753" w:rsidRDefault="00AA0F82" w:rsidP="00B72691">
      <w:pPr>
        <w:spacing w:after="0" w:line="480" w:lineRule="auto"/>
        <w:jc w:val="both"/>
        <w:rPr>
          <w:rFonts w:cstheme="minorHAnsi"/>
          <w:lang w:val="en-GB"/>
        </w:rPr>
      </w:pPr>
      <w:r w:rsidRPr="008C3753">
        <w:rPr>
          <w:rFonts w:cstheme="minorHAnsi"/>
          <w:lang w:val="en-GB"/>
        </w:rPr>
        <w:t xml:space="preserve">Binary outcomes </w:t>
      </w:r>
      <w:r w:rsidR="007F3027" w:rsidRPr="008C3753">
        <w:rPr>
          <w:rFonts w:cstheme="minorHAnsi"/>
          <w:lang w:val="en-GB"/>
        </w:rPr>
        <w:t xml:space="preserve">were </w:t>
      </w:r>
      <w:r w:rsidR="00DD48C5" w:rsidRPr="008C3753">
        <w:rPr>
          <w:rFonts w:cstheme="minorHAnsi"/>
          <w:lang w:val="en-GB"/>
        </w:rPr>
        <w:t xml:space="preserve">assessed </w:t>
      </w:r>
      <w:r w:rsidR="007F3027" w:rsidRPr="008C3753">
        <w:rPr>
          <w:rFonts w:cstheme="minorHAnsi"/>
          <w:lang w:val="en-GB"/>
        </w:rPr>
        <w:t xml:space="preserve">using univariable </w:t>
      </w:r>
      <w:r w:rsidR="007E6A93" w:rsidRPr="008C3753">
        <w:rPr>
          <w:rFonts w:cstheme="minorHAnsi"/>
          <w:lang w:val="en-GB"/>
        </w:rPr>
        <w:t xml:space="preserve">and multivariable </w:t>
      </w:r>
      <w:r w:rsidR="007F3027" w:rsidRPr="008C3753">
        <w:rPr>
          <w:rFonts w:cstheme="minorHAnsi"/>
          <w:lang w:val="en-GB" w:eastAsia="en-GB"/>
        </w:rPr>
        <w:t xml:space="preserve">logistic regression </w:t>
      </w:r>
      <w:r w:rsidR="007E6A93" w:rsidRPr="008C3753">
        <w:rPr>
          <w:rFonts w:cstheme="minorHAnsi"/>
          <w:lang w:val="en-GB" w:eastAsia="en-GB"/>
        </w:rPr>
        <w:t xml:space="preserve">(or Fisher’s exact test if </w:t>
      </w:r>
      <w:r w:rsidR="00E151B3" w:rsidRPr="008C3753">
        <w:rPr>
          <w:rFonts w:cstheme="minorHAnsi"/>
          <w:lang w:val="en-GB" w:eastAsia="en-GB"/>
        </w:rPr>
        <w:t xml:space="preserve">the </w:t>
      </w:r>
      <w:r w:rsidR="007F3027" w:rsidRPr="008C3753">
        <w:rPr>
          <w:rFonts w:cstheme="minorHAnsi"/>
          <w:lang w:val="en-GB" w:eastAsia="en-GB"/>
        </w:rPr>
        <w:t>out</w:t>
      </w:r>
      <w:r w:rsidR="00E151B3" w:rsidRPr="008C3753">
        <w:rPr>
          <w:rFonts w:cstheme="minorHAnsi"/>
          <w:lang w:val="en-GB" w:eastAsia="en-GB"/>
        </w:rPr>
        <w:t>come was identical for all prescriptions</w:t>
      </w:r>
      <w:r w:rsidR="00DD48C5" w:rsidRPr="008C3753">
        <w:rPr>
          <w:rFonts w:cstheme="minorHAnsi"/>
          <w:lang w:val="en-GB" w:eastAsia="en-GB"/>
        </w:rPr>
        <w:t xml:space="preserve"> in one group</w:t>
      </w:r>
      <w:r w:rsidR="007E6A93" w:rsidRPr="008C3753">
        <w:rPr>
          <w:rFonts w:cstheme="minorHAnsi"/>
          <w:lang w:val="en-GB" w:eastAsia="en-GB"/>
        </w:rPr>
        <w:t>)</w:t>
      </w:r>
      <w:r w:rsidR="00DD48C5" w:rsidRPr="008C3753">
        <w:rPr>
          <w:rFonts w:cstheme="minorHAnsi"/>
          <w:lang w:val="en-GB" w:eastAsia="en-GB"/>
        </w:rPr>
        <w:t>, and o</w:t>
      </w:r>
      <w:r w:rsidR="00FC0B96" w:rsidRPr="008C3753">
        <w:rPr>
          <w:rFonts w:cstheme="minorHAnsi"/>
          <w:lang w:val="en-GB" w:eastAsia="en-GB"/>
        </w:rPr>
        <w:t>ther</w:t>
      </w:r>
      <w:r w:rsidR="00DD6F4A" w:rsidRPr="008C3753">
        <w:rPr>
          <w:rFonts w:cstheme="minorHAnsi"/>
          <w:lang w:val="en-GB" w:eastAsia="en-GB"/>
        </w:rPr>
        <w:t xml:space="preserve"> actions </w:t>
      </w:r>
      <w:r w:rsidR="00FC0B96" w:rsidRPr="008C3753">
        <w:rPr>
          <w:rFonts w:cstheme="minorHAnsi"/>
          <w:lang w:val="en-GB" w:eastAsia="en-GB"/>
        </w:rPr>
        <w:t xml:space="preserve">at review </w:t>
      </w:r>
      <w:r w:rsidR="00AC3836" w:rsidRPr="008C3753">
        <w:rPr>
          <w:rFonts w:cstheme="minorHAnsi"/>
          <w:lang w:val="en-GB" w:eastAsia="en-GB"/>
        </w:rPr>
        <w:t>using multinomial regression</w:t>
      </w:r>
      <w:r w:rsidR="00DD6F4A" w:rsidRPr="008C3753">
        <w:rPr>
          <w:rFonts w:cstheme="minorHAnsi"/>
          <w:lang w:val="en-GB" w:eastAsia="en-GB"/>
        </w:rPr>
        <w:t xml:space="preserve">. </w:t>
      </w:r>
      <w:r w:rsidR="00AC3836" w:rsidRPr="008C3753">
        <w:rPr>
          <w:rFonts w:cstheme="minorHAnsi"/>
          <w:lang w:val="en-GB" w:eastAsia="en-GB"/>
        </w:rPr>
        <w:t xml:space="preserve">Evidence for </w:t>
      </w:r>
      <w:r w:rsidR="00AC3836" w:rsidRPr="008C3753">
        <w:rPr>
          <w:rFonts w:cstheme="minorHAnsi"/>
          <w:lang w:val="en-GB"/>
        </w:rPr>
        <w:t>v</w:t>
      </w:r>
      <w:r w:rsidR="00673AE5" w:rsidRPr="008C3753">
        <w:rPr>
          <w:rFonts w:cstheme="minorHAnsi"/>
          <w:lang w:val="en-GB"/>
        </w:rPr>
        <w:t xml:space="preserve">ariation </w:t>
      </w:r>
      <w:r w:rsidR="00AC3836" w:rsidRPr="008C3753">
        <w:rPr>
          <w:rFonts w:cstheme="minorHAnsi"/>
          <w:lang w:val="en-GB"/>
        </w:rPr>
        <w:t>across</w:t>
      </w:r>
      <w:r w:rsidR="00673AE5" w:rsidRPr="008C3753">
        <w:rPr>
          <w:rFonts w:cstheme="minorHAnsi"/>
          <w:lang w:val="en-GB"/>
        </w:rPr>
        <w:t xml:space="preserve"> the </w:t>
      </w:r>
      <w:r w:rsidR="00AC3836" w:rsidRPr="008C3753">
        <w:rPr>
          <w:rFonts w:cstheme="minorHAnsi"/>
          <w:lang w:val="en-GB"/>
        </w:rPr>
        <w:t>implementation</w:t>
      </w:r>
      <w:r w:rsidR="00673AE5" w:rsidRPr="008C3753">
        <w:rPr>
          <w:rFonts w:cstheme="minorHAnsi"/>
          <w:lang w:val="en-GB"/>
        </w:rPr>
        <w:t xml:space="preserve"> period </w:t>
      </w:r>
      <w:r w:rsidR="00AC3836" w:rsidRPr="008C3753">
        <w:rPr>
          <w:rFonts w:cstheme="minorHAnsi"/>
          <w:lang w:val="en-GB"/>
        </w:rPr>
        <w:t xml:space="preserve">(weeks 1-12) </w:t>
      </w:r>
      <w:r w:rsidR="00673AE5" w:rsidRPr="008C3753">
        <w:rPr>
          <w:rFonts w:cstheme="minorHAnsi"/>
          <w:lang w:val="en-GB"/>
        </w:rPr>
        <w:t xml:space="preserve">was assessed using Wald tests, and </w:t>
      </w:r>
      <w:r w:rsidR="00227B09" w:rsidRPr="008C3753">
        <w:rPr>
          <w:rFonts w:cstheme="minorHAnsi"/>
          <w:lang w:val="en-GB"/>
        </w:rPr>
        <w:t xml:space="preserve">combined </w:t>
      </w:r>
      <w:r w:rsidR="00AC3836" w:rsidRPr="008C3753">
        <w:rPr>
          <w:rFonts w:cstheme="minorHAnsi"/>
          <w:lang w:val="en-GB"/>
        </w:rPr>
        <w:t xml:space="preserve">models </w:t>
      </w:r>
      <w:r w:rsidR="00FD60E4" w:rsidRPr="008C3753">
        <w:rPr>
          <w:rFonts w:cstheme="minorHAnsi"/>
          <w:lang w:val="en-GB"/>
        </w:rPr>
        <w:t>compar</w:t>
      </w:r>
      <w:r w:rsidR="00AC3836" w:rsidRPr="008C3753">
        <w:rPr>
          <w:rFonts w:cstheme="minorHAnsi"/>
          <w:lang w:val="en-GB"/>
        </w:rPr>
        <w:t>ing</w:t>
      </w:r>
      <w:r w:rsidR="00FD60E4" w:rsidRPr="008C3753">
        <w:rPr>
          <w:rFonts w:cstheme="minorHAnsi"/>
          <w:lang w:val="en-GB"/>
        </w:rPr>
        <w:t xml:space="preserve"> baseline</w:t>
      </w:r>
      <w:r w:rsidR="00DD6F4A" w:rsidRPr="008C3753">
        <w:rPr>
          <w:rFonts w:cstheme="minorHAnsi"/>
          <w:lang w:val="en-GB"/>
        </w:rPr>
        <w:t xml:space="preserve"> </w:t>
      </w:r>
      <w:r w:rsidR="00AC3836" w:rsidRPr="008C3753">
        <w:rPr>
          <w:rFonts w:cstheme="minorHAnsi"/>
          <w:lang w:val="en-GB"/>
        </w:rPr>
        <w:t xml:space="preserve">versus </w:t>
      </w:r>
      <w:r w:rsidR="00DD6F4A" w:rsidRPr="008C3753">
        <w:rPr>
          <w:rFonts w:cstheme="minorHAnsi"/>
          <w:lang w:val="en-GB"/>
        </w:rPr>
        <w:t>post-</w:t>
      </w:r>
      <w:r w:rsidR="00673AE5" w:rsidRPr="008C3753">
        <w:rPr>
          <w:rFonts w:cstheme="minorHAnsi"/>
          <w:lang w:val="en-GB"/>
        </w:rPr>
        <w:t>implementation</w:t>
      </w:r>
      <w:r w:rsidR="009170A6" w:rsidRPr="008C3753">
        <w:rPr>
          <w:rFonts w:cstheme="minorHAnsi"/>
          <w:lang w:val="en-GB"/>
        </w:rPr>
        <w:t xml:space="preserve"> were</w:t>
      </w:r>
      <w:r w:rsidR="00AC3836" w:rsidRPr="008C3753">
        <w:rPr>
          <w:rFonts w:cstheme="minorHAnsi"/>
          <w:lang w:val="en-GB"/>
        </w:rPr>
        <w:t xml:space="preserve"> used where there was no evidence of variation over time</w:t>
      </w:r>
      <w:r w:rsidR="00DD6F4A" w:rsidRPr="008C3753">
        <w:rPr>
          <w:rFonts w:cstheme="minorHAnsi"/>
          <w:lang w:val="en-GB"/>
        </w:rPr>
        <w:t>.</w:t>
      </w:r>
      <w:r w:rsidR="007441B3" w:rsidRPr="008C3753">
        <w:rPr>
          <w:rFonts w:cstheme="minorHAnsi"/>
          <w:lang w:val="en-GB"/>
        </w:rPr>
        <w:t xml:space="preserve"> </w:t>
      </w:r>
      <w:r w:rsidR="00B72691" w:rsidRPr="008C3753">
        <w:rPr>
          <w:rFonts w:cstheme="minorHAnsi"/>
          <w:lang w:val="en-GB"/>
        </w:rPr>
        <w:t>Statistical analysis was performed using Stata version 14 (</w:t>
      </w:r>
      <w:proofErr w:type="spellStart"/>
      <w:r w:rsidR="00B72691" w:rsidRPr="008C3753">
        <w:rPr>
          <w:rFonts w:cstheme="minorHAnsi"/>
          <w:lang w:val="en-GB"/>
        </w:rPr>
        <w:t>StataCorp</w:t>
      </w:r>
      <w:proofErr w:type="spellEnd"/>
      <w:r w:rsidR="00B72691" w:rsidRPr="008C3753">
        <w:rPr>
          <w:rFonts w:cstheme="minorHAnsi"/>
          <w:lang w:val="en-GB"/>
        </w:rPr>
        <w:t>,</w:t>
      </w:r>
    </w:p>
    <w:p w14:paraId="3F829A2C" w14:textId="0EDFC2E1" w:rsidR="00AB6139" w:rsidRPr="008C3753" w:rsidRDefault="00B72691" w:rsidP="00B72691">
      <w:pPr>
        <w:spacing w:after="0" w:line="480" w:lineRule="auto"/>
        <w:jc w:val="both"/>
        <w:rPr>
          <w:rFonts w:cstheme="minorHAnsi"/>
          <w:lang w:val="en-GB"/>
        </w:rPr>
      </w:pPr>
      <w:r w:rsidRPr="008C3753">
        <w:rPr>
          <w:rFonts w:cstheme="minorHAnsi"/>
          <w:lang w:val="en-GB"/>
        </w:rPr>
        <w:t>TX, USA).</w:t>
      </w:r>
    </w:p>
    <w:p w14:paraId="3943FA58" w14:textId="77777777" w:rsidR="0086243D" w:rsidRPr="008C3753" w:rsidRDefault="0086243D" w:rsidP="00B72691">
      <w:pPr>
        <w:spacing w:after="0" w:line="480" w:lineRule="auto"/>
        <w:jc w:val="both"/>
        <w:rPr>
          <w:rFonts w:cstheme="minorHAnsi"/>
          <w:lang w:val="en-GB" w:eastAsia="en-GB"/>
        </w:rPr>
      </w:pPr>
    </w:p>
    <w:p w14:paraId="4124E38F" w14:textId="53DDB6FF" w:rsidR="001E1835" w:rsidRPr="008C3753" w:rsidRDefault="001E1835" w:rsidP="00475602">
      <w:pPr>
        <w:pStyle w:val="Heading1"/>
        <w:spacing w:before="0" w:after="0" w:line="480" w:lineRule="auto"/>
        <w:jc w:val="both"/>
        <w:rPr>
          <w:rFonts w:asciiTheme="minorHAnsi" w:hAnsiTheme="minorHAnsi" w:cstheme="minorHAnsi"/>
          <w:b w:val="0"/>
          <w:sz w:val="24"/>
          <w:szCs w:val="24"/>
        </w:rPr>
      </w:pPr>
      <w:r w:rsidRPr="008C3753">
        <w:rPr>
          <w:rStyle w:val="Heading1Char"/>
          <w:rFonts w:asciiTheme="minorHAnsi" w:hAnsiTheme="minorHAnsi" w:cstheme="minorHAnsi"/>
          <w:b/>
          <w:sz w:val="24"/>
          <w:szCs w:val="24"/>
        </w:rPr>
        <w:t>Results</w:t>
      </w:r>
    </w:p>
    <w:p w14:paraId="5CDA1D3C" w14:textId="4DBD211A" w:rsidR="00BE54D5" w:rsidRPr="008C3753" w:rsidRDefault="00EC54B4" w:rsidP="00475602">
      <w:pPr>
        <w:pStyle w:val="Heading2"/>
        <w:spacing w:before="0" w:after="0" w:line="480" w:lineRule="auto"/>
        <w:jc w:val="both"/>
        <w:rPr>
          <w:rFonts w:asciiTheme="minorHAnsi" w:hAnsiTheme="minorHAnsi" w:cstheme="minorHAnsi"/>
          <w:lang w:val="en-GB"/>
        </w:rPr>
      </w:pPr>
      <w:r w:rsidRPr="008C3753">
        <w:rPr>
          <w:rFonts w:asciiTheme="minorHAnsi" w:hAnsiTheme="minorHAnsi" w:cstheme="minorHAnsi"/>
          <w:lang w:val="en-GB"/>
        </w:rPr>
        <w:t>Core Team and essential clinical staff</w:t>
      </w:r>
    </w:p>
    <w:p w14:paraId="2704F2C1" w14:textId="4887A6B9" w:rsidR="0084021F" w:rsidRPr="008C3753" w:rsidRDefault="002927EA" w:rsidP="005100C1">
      <w:pPr>
        <w:spacing w:after="0" w:line="480" w:lineRule="auto"/>
        <w:jc w:val="both"/>
        <w:rPr>
          <w:rFonts w:cstheme="minorHAnsi"/>
          <w:lang w:val="en-GB"/>
        </w:rPr>
      </w:pPr>
      <w:r w:rsidRPr="008C3753">
        <w:rPr>
          <w:rFonts w:cstheme="minorHAnsi"/>
          <w:lang w:val="en-GB"/>
        </w:rPr>
        <w:t>A</w:t>
      </w:r>
      <w:r w:rsidR="002A64D7" w:rsidRPr="008C3753">
        <w:rPr>
          <w:rFonts w:cstheme="minorHAnsi"/>
          <w:lang w:val="en-GB"/>
        </w:rPr>
        <w:t>t</w:t>
      </w:r>
      <w:r w:rsidRPr="008C3753">
        <w:rPr>
          <w:rFonts w:cstheme="minorHAnsi"/>
          <w:lang w:val="en-GB"/>
        </w:rPr>
        <w:t xml:space="preserve"> the feasibility site the </w:t>
      </w:r>
      <w:r w:rsidR="00715740" w:rsidRPr="008C3753">
        <w:rPr>
          <w:rFonts w:cstheme="minorHAnsi"/>
          <w:lang w:val="en-GB"/>
        </w:rPr>
        <w:t>Core team included</w:t>
      </w:r>
      <w:r w:rsidR="00A90866" w:rsidRPr="008C3753">
        <w:rPr>
          <w:rFonts w:cstheme="minorHAnsi"/>
          <w:lang w:val="en-GB"/>
        </w:rPr>
        <w:t>:</w:t>
      </w:r>
      <w:r w:rsidR="00715740" w:rsidRPr="008C3753">
        <w:rPr>
          <w:rFonts w:cstheme="minorHAnsi"/>
          <w:lang w:val="en-GB"/>
        </w:rPr>
        <w:t xml:space="preserve"> </w:t>
      </w:r>
      <w:r w:rsidR="00582E9A" w:rsidRPr="008C3753">
        <w:rPr>
          <w:rFonts w:cstheme="minorHAnsi"/>
          <w:lang w:val="en-GB"/>
        </w:rPr>
        <w:t>The</w:t>
      </w:r>
      <w:r w:rsidR="00715740" w:rsidRPr="008C3753">
        <w:rPr>
          <w:rFonts w:cstheme="minorHAnsi"/>
          <w:lang w:val="en-GB"/>
        </w:rPr>
        <w:t xml:space="preserve"> Champion (Consultant in Infectious Diseases), </w:t>
      </w:r>
      <w:r w:rsidR="001E09D0" w:rsidRPr="008C3753">
        <w:rPr>
          <w:rFonts w:cstheme="minorHAnsi"/>
          <w:lang w:val="en-GB"/>
        </w:rPr>
        <w:t xml:space="preserve">the Trust’s </w:t>
      </w:r>
      <w:r w:rsidR="009170A6" w:rsidRPr="008C3753">
        <w:rPr>
          <w:rFonts w:cstheme="minorHAnsi"/>
          <w:lang w:val="en-GB"/>
        </w:rPr>
        <w:t>AMS</w:t>
      </w:r>
      <w:r w:rsidR="001E09D0" w:rsidRPr="008C3753">
        <w:rPr>
          <w:rFonts w:cstheme="minorHAnsi"/>
          <w:lang w:val="en-GB"/>
        </w:rPr>
        <w:t xml:space="preserve"> lead, two Acute Medicine</w:t>
      </w:r>
      <w:r w:rsidR="00E37F9B" w:rsidRPr="008C3753">
        <w:rPr>
          <w:rFonts w:cstheme="minorHAnsi"/>
          <w:lang w:val="en-GB"/>
        </w:rPr>
        <w:t xml:space="preserve"> Consultants</w:t>
      </w:r>
      <w:r w:rsidR="001E09D0" w:rsidRPr="008C3753">
        <w:rPr>
          <w:rFonts w:cstheme="minorHAnsi"/>
          <w:lang w:val="en-GB"/>
        </w:rPr>
        <w:t xml:space="preserve">, </w:t>
      </w:r>
      <w:r w:rsidR="0058718B" w:rsidRPr="008C3753">
        <w:rPr>
          <w:rFonts w:cstheme="minorHAnsi"/>
          <w:lang w:val="en-GB"/>
        </w:rPr>
        <w:t xml:space="preserve">two </w:t>
      </w:r>
      <w:r w:rsidR="001E09D0" w:rsidRPr="008C3753">
        <w:rPr>
          <w:rFonts w:cstheme="minorHAnsi"/>
          <w:lang w:val="en-GB"/>
        </w:rPr>
        <w:t>A</w:t>
      </w:r>
      <w:r w:rsidR="00715740" w:rsidRPr="008C3753">
        <w:rPr>
          <w:rFonts w:cstheme="minorHAnsi"/>
          <w:lang w:val="en-GB"/>
        </w:rPr>
        <w:t xml:space="preserve">ntimicrobial </w:t>
      </w:r>
      <w:r w:rsidR="001E09D0" w:rsidRPr="008C3753">
        <w:rPr>
          <w:rFonts w:cstheme="minorHAnsi"/>
          <w:lang w:val="en-GB"/>
        </w:rPr>
        <w:t>P</w:t>
      </w:r>
      <w:r w:rsidR="00715740" w:rsidRPr="008C3753">
        <w:rPr>
          <w:rFonts w:cstheme="minorHAnsi"/>
          <w:lang w:val="en-GB"/>
        </w:rPr>
        <w:t xml:space="preserve">harmacists, </w:t>
      </w:r>
      <w:r w:rsidR="00E60263" w:rsidRPr="008C3753">
        <w:rPr>
          <w:rFonts w:cstheme="minorHAnsi"/>
          <w:lang w:val="en-GB"/>
        </w:rPr>
        <w:t>two</w:t>
      </w:r>
      <w:r w:rsidR="0058718B" w:rsidRPr="008C3753">
        <w:rPr>
          <w:rFonts w:cstheme="minorHAnsi"/>
          <w:lang w:val="en-GB"/>
        </w:rPr>
        <w:t xml:space="preserve"> </w:t>
      </w:r>
      <w:r w:rsidR="001E09D0" w:rsidRPr="008C3753">
        <w:rPr>
          <w:rFonts w:cstheme="minorHAnsi"/>
          <w:lang w:val="en-GB"/>
        </w:rPr>
        <w:t>Acute Medicine Charge Nurse</w:t>
      </w:r>
      <w:r w:rsidR="00E60263" w:rsidRPr="008C3753">
        <w:rPr>
          <w:rFonts w:cstheme="minorHAnsi"/>
          <w:lang w:val="en-GB"/>
        </w:rPr>
        <w:t>s</w:t>
      </w:r>
      <w:r w:rsidR="00715740" w:rsidRPr="008C3753">
        <w:rPr>
          <w:rFonts w:cstheme="minorHAnsi"/>
          <w:lang w:val="en-GB"/>
        </w:rPr>
        <w:t xml:space="preserve"> and </w:t>
      </w:r>
      <w:r w:rsidR="0058718B" w:rsidRPr="008C3753">
        <w:rPr>
          <w:rFonts w:cstheme="minorHAnsi"/>
          <w:lang w:val="en-GB"/>
        </w:rPr>
        <w:t xml:space="preserve">three </w:t>
      </w:r>
      <w:r w:rsidR="00AE715A" w:rsidRPr="008C3753">
        <w:rPr>
          <w:rFonts w:cstheme="minorHAnsi"/>
          <w:lang w:val="en-GB"/>
        </w:rPr>
        <w:t xml:space="preserve">training-grade </w:t>
      </w:r>
      <w:r w:rsidR="00715740" w:rsidRPr="008C3753">
        <w:rPr>
          <w:rFonts w:cstheme="minorHAnsi"/>
          <w:lang w:val="en-GB"/>
        </w:rPr>
        <w:t>doctors.</w:t>
      </w:r>
      <w:r w:rsidR="00835F05" w:rsidRPr="008C3753">
        <w:rPr>
          <w:rFonts w:cstheme="minorHAnsi"/>
          <w:lang w:val="en-GB"/>
        </w:rPr>
        <w:t xml:space="preserve"> </w:t>
      </w:r>
      <w:r w:rsidR="00B00712" w:rsidRPr="008C3753">
        <w:rPr>
          <w:rFonts w:cstheme="minorHAnsi"/>
          <w:lang w:val="en-GB"/>
        </w:rPr>
        <w:t>The Core team received a</w:t>
      </w:r>
      <w:r w:rsidR="00396F3A" w:rsidRPr="008C3753">
        <w:rPr>
          <w:rFonts w:cstheme="minorHAnsi"/>
          <w:lang w:val="en-GB"/>
        </w:rPr>
        <w:t xml:space="preserve">ccess to the intervention materials in February 2017 </w:t>
      </w:r>
      <w:r w:rsidR="00AE715A" w:rsidRPr="008C3753">
        <w:rPr>
          <w:rFonts w:cstheme="minorHAnsi"/>
          <w:lang w:val="en-GB"/>
        </w:rPr>
        <w:t xml:space="preserve">to begin planning towards implementation on </w:t>
      </w:r>
      <w:r w:rsidR="00396F3A" w:rsidRPr="008C3753">
        <w:rPr>
          <w:rFonts w:cstheme="minorHAnsi"/>
          <w:lang w:val="en-GB"/>
        </w:rPr>
        <w:t>18</w:t>
      </w:r>
      <w:r w:rsidR="00396F3A" w:rsidRPr="008C3753">
        <w:rPr>
          <w:rFonts w:cstheme="minorHAnsi"/>
          <w:vertAlign w:val="superscript"/>
          <w:lang w:val="en-GB"/>
        </w:rPr>
        <w:t>th</w:t>
      </w:r>
      <w:r w:rsidR="00396F3A" w:rsidRPr="008C3753">
        <w:rPr>
          <w:rFonts w:cstheme="minorHAnsi"/>
          <w:lang w:val="en-GB"/>
        </w:rPr>
        <w:t xml:space="preserve"> April 2017</w:t>
      </w:r>
      <w:r w:rsidR="00AE715A" w:rsidRPr="008C3753">
        <w:rPr>
          <w:rFonts w:cstheme="minorHAnsi"/>
          <w:lang w:val="en-GB"/>
        </w:rPr>
        <w:t>.</w:t>
      </w:r>
      <w:r w:rsidR="00B00712" w:rsidRPr="008C3753">
        <w:rPr>
          <w:rFonts w:cstheme="minorHAnsi"/>
          <w:lang w:val="en-GB"/>
        </w:rPr>
        <w:t xml:space="preserve"> </w:t>
      </w:r>
      <w:r w:rsidR="00AE715A" w:rsidRPr="008C3753">
        <w:rPr>
          <w:rFonts w:cstheme="minorHAnsi"/>
          <w:lang w:val="en-GB"/>
        </w:rPr>
        <w:t>The team met four times over the 10 weeks to work through the guidance, assign and deliver key tasks</w:t>
      </w:r>
      <w:r w:rsidR="002676D0" w:rsidRPr="008C3753">
        <w:rPr>
          <w:rFonts w:cstheme="minorHAnsi"/>
          <w:lang w:val="en-GB"/>
        </w:rPr>
        <w:t>.</w:t>
      </w:r>
      <w:r w:rsidRPr="008C3753">
        <w:rPr>
          <w:rFonts w:cstheme="minorHAnsi"/>
          <w:lang w:val="en-GB"/>
        </w:rPr>
        <w:t xml:space="preserve"> The Champion identified 33 </w:t>
      </w:r>
      <w:r w:rsidR="00D675D4" w:rsidRPr="008C3753">
        <w:rPr>
          <w:rFonts w:cstheme="minorHAnsi"/>
          <w:lang w:val="en-GB"/>
        </w:rPr>
        <w:t>key</w:t>
      </w:r>
      <w:r w:rsidRPr="008C3753">
        <w:rPr>
          <w:rFonts w:cstheme="minorHAnsi"/>
          <w:lang w:val="en-GB"/>
        </w:rPr>
        <w:t xml:space="preserve"> essential </w:t>
      </w:r>
      <w:r w:rsidR="00D675D4" w:rsidRPr="008C3753">
        <w:rPr>
          <w:rFonts w:cstheme="minorHAnsi"/>
          <w:lang w:val="en-GB"/>
        </w:rPr>
        <w:t xml:space="preserve">staff </w:t>
      </w:r>
      <w:r w:rsidRPr="008C3753">
        <w:rPr>
          <w:rFonts w:cstheme="minorHAnsi"/>
          <w:lang w:val="en-GB"/>
        </w:rPr>
        <w:t xml:space="preserve">to promote the wider clinical teams’ involvement with ARK. These included 21 </w:t>
      </w:r>
      <w:r w:rsidR="00501ECA" w:rsidRPr="008C3753">
        <w:rPr>
          <w:rFonts w:cstheme="minorHAnsi"/>
          <w:lang w:val="en-GB"/>
        </w:rPr>
        <w:t>c</w:t>
      </w:r>
      <w:r w:rsidRPr="008C3753">
        <w:rPr>
          <w:rFonts w:cstheme="minorHAnsi"/>
          <w:lang w:val="en-GB"/>
        </w:rPr>
        <w:t>onsultants (9 acute medicine, 4 microbiology and infection, 2 elderly care, 2 endocrine, 2 critical care, 1 each in respiratory and gastroenterology), 4 training-grade doctors in acute and general medicine including the ‘chief’ medical registrar, 4 pharmacists working in acute and infection medicine, and 2 acute medicine and 2 infection control nurses.</w:t>
      </w:r>
      <w:r w:rsidR="00E315F2" w:rsidRPr="008C3753">
        <w:rPr>
          <w:rFonts w:cstheme="minorHAnsi"/>
          <w:lang w:val="en-GB"/>
        </w:rPr>
        <w:t xml:space="preserve"> </w:t>
      </w:r>
      <w:r w:rsidR="00EC54B4" w:rsidRPr="008C3753">
        <w:rPr>
          <w:rFonts w:cstheme="minorHAnsi"/>
          <w:lang w:val="en-GB"/>
        </w:rPr>
        <w:t xml:space="preserve">All clinical staff were invited to a Grand Round, covering the background and practicalities, 4 weeks before implementation. Twelve separate ‘kick-off’ meetings were also held with individual clinical </w:t>
      </w:r>
      <w:r w:rsidR="00EC54B4" w:rsidRPr="008C3753">
        <w:rPr>
          <w:rFonts w:cstheme="minorHAnsi"/>
          <w:lang w:val="en-GB"/>
        </w:rPr>
        <w:lastRenderedPageBreak/>
        <w:t xml:space="preserve">teams, nursing staff, pharmacy staff and junior doctors. </w:t>
      </w:r>
      <w:r w:rsidR="0084021F" w:rsidRPr="008C3753">
        <w:rPr>
          <w:rFonts w:cstheme="minorHAnsi"/>
          <w:lang w:val="en-GB"/>
        </w:rPr>
        <w:t xml:space="preserve">The details of how the Core Team locally adapted and implemented each of the four ARK intervention components can be found in table </w:t>
      </w:r>
      <w:r w:rsidR="00FF3E67" w:rsidRPr="008C3753">
        <w:rPr>
          <w:rFonts w:cstheme="minorHAnsi"/>
          <w:lang w:val="en-GB"/>
        </w:rPr>
        <w:t>II</w:t>
      </w:r>
      <w:r w:rsidR="00AB0CB6" w:rsidRPr="008C3753">
        <w:rPr>
          <w:rFonts w:cstheme="minorHAnsi"/>
          <w:lang w:val="en-GB"/>
        </w:rPr>
        <w:t>.</w:t>
      </w:r>
    </w:p>
    <w:p w14:paraId="409433D2" w14:textId="77777777" w:rsidR="00417C16" w:rsidRPr="008C3753" w:rsidRDefault="00417C16" w:rsidP="00475602">
      <w:pPr>
        <w:spacing w:after="0" w:line="480" w:lineRule="auto"/>
        <w:jc w:val="both"/>
        <w:rPr>
          <w:rFonts w:cstheme="minorHAnsi"/>
          <w:b/>
          <w:lang w:val="en-GB"/>
        </w:rPr>
      </w:pPr>
    </w:p>
    <w:p w14:paraId="1AE1C587" w14:textId="21675C5B" w:rsidR="00AB564C" w:rsidRPr="008C3753" w:rsidRDefault="00716713" w:rsidP="00475602">
      <w:pPr>
        <w:spacing w:after="0" w:line="480" w:lineRule="auto"/>
        <w:jc w:val="both"/>
        <w:rPr>
          <w:rFonts w:cstheme="minorHAnsi"/>
          <w:lang w:val="en-GB"/>
        </w:rPr>
      </w:pPr>
      <w:r w:rsidRPr="008C3753">
        <w:rPr>
          <w:rFonts w:cstheme="minorHAnsi"/>
          <w:b/>
          <w:lang w:val="en-GB"/>
        </w:rPr>
        <w:t>O</w:t>
      </w:r>
      <w:r w:rsidR="004A16CA" w:rsidRPr="008C3753">
        <w:rPr>
          <w:rFonts w:cstheme="minorHAnsi"/>
          <w:b/>
          <w:lang w:val="en-GB"/>
        </w:rPr>
        <w:t xml:space="preserve">nline </w:t>
      </w:r>
      <w:r w:rsidR="00BB67C0" w:rsidRPr="008C3753">
        <w:rPr>
          <w:rFonts w:cstheme="minorHAnsi"/>
          <w:b/>
          <w:lang w:val="en-GB"/>
        </w:rPr>
        <w:t>t</w:t>
      </w:r>
      <w:r w:rsidR="00AC6A70" w:rsidRPr="008C3753">
        <w:rPr>
          <w:rFonts w:cstheme="minorHAnsi"/>
          <w:b/>
          <w:lang w:val="en-GB"/>
        </w:rPr>
        <w:t>ool</w:t>
      </w:r>
      <w:r w:rsidR="0014240C" w:rsidRPr="008C3753">
        <w:rPr>
          <w:rFonts w:cstheme="minorHAnsi"/>
          <w:b/>
          <w:lang w:val="en-GB"/>
        </w:rPr>
        <w:t>.</w:t>
      </w:r>
      <w:r w:rsidR="004A16CA" w:rsidRPr="008C3753">
        <w:rPr>
          <w:rFonts w:cstheme="minorHAnsi"/>
          <w:lang w:val="en-GB"/>
        </w:rPr>
        <w:t xml:space="preserve"> </w:t>
      </w:r>
      <w:r w:rsidR="003265EF" w:rsidRPr="008C3753">
        <w:rPr>
          <w:rFonts w:cstheme="minorHAnsi"/>
          <w:lang w:val="en-GB"/>
        </w:rPr>
        <w:t xml:space="preserve">In terms of the primary outcome, the proportion of </w:t>
      </w:r>
      <w:r w:rsidR="00D675D4" w:rsidRPr="008C3753">
        <w:rPr>
          <w:rFonts w:cstheme="minorHAnsi"/>
          <w:lang w:val="en-GB"/>
        </w:rPr>
        <w:t xml:space="preserve">key </w:t>
      </w:r>
      <w:r w:rsidR="003265EF" w:rsidRPr="008C3753">
        <w:rPr>
          <w:rFonts w:cstheme="minorHAnsi"/>
          <w:lang w:val="en-GB"/>
        </w:rPr>
        <w:t xml:space="preserve">essential staff who completed the online </w:t>
      </w:r>
      <w:r w:rsidR="00FB045E" w:rsidRPr="008C3753">
        <w:rPr>
          <w:rFonts w:cstheme="minorHAnsi"/>
          <w:lang w:val="en-GB"/>
        </w:rPr>
        <w:t xml:space="preserve">tool </w:t>
      </w:r>
      <w:r w:rsidR="003265EF" w:rsidRPr="008C3753">
        <w:rPr>
          <w:rFonts w:cstheme="minorHAnsi"/>
          <w:lang w:val="en-GB"/>
        </w:rPr>
        <w:t>was</w:t>
      </w:r>
      <w:r w:rsidR="00D75909" w:rsidRPr="008C3753">
        <w:rPr>
          <w:rFonts w:cstheme="minorHAnsi"/>
          <w:lang w:val="en-GB"/>
        </w:rPr>
        <w:t xml:space="preserve"> 97% (32/33)</w:t>
      </w:r>
      <w:r w:rsidR="00FB045E" w:rsidRPr="008C3753">
        <w:rPr>
          <w:rFonts w:cstheme="minorHAnsi"/>
          <w:lang w:val="en-GB"/>
        </w:rPr>
        <w:t xml:space="preserve">, </w:t>
      </w:r>
      <w:r w:rsidR="00D75909" w:rsidRPr="008C3753">
        <w:rPr>
          <w:rFonts w:cstheme="minorHAnsi"/>
          <w:lang w:val="en-GB"/>
        </w:rPr>
        <w:t>exceeding the target of &gt;70%</w:t>
      </w:r>
      <w:r w:rsidR="003265EF" w:rsidRPr="008C3753">
        <w:rPr>
          <w:rFonts w:cstheme="minorHAnsi"/>
          <w:lang w:val="en-GB"/>
        </w:rPr>
        <w:t xml:space="preserve">. </w:t>
      </w:r>
      <w:r w:rsidR="00FB045E" w:rsidRPr="008C3753">
        <w:rPr>
          <w:rFonts w:cstheme="minorHAnsi"/>
          <w:lang w:val="en-GB"/>
        </w:rPr>
        <w:t xml:space="preserve">Including essential clinical staff, a total of </w:t>
      </w:r>
      <w:r w:rsidR="003265EF" w:rsidRPr="008C3753">
        <w:rPr>
          <w:rFonts w:cstheme="minorHAnsi"/>
          <w:lang w:val="en-GB"/>
        </w:rPr>
        <w:t>1</w:t>
      </w:r>
      <w:r w:rsidR="00FB045E" w:rsidRPr="008C3753">
        <w:rPr>
          <w:rFonts w:cstheme="minorHAnsi"/>
          <w:lang w:val="en-GB"/>
        </w:rPr>
        <w:t>75</w:t>
      </w:r>
      <w:r w:rsidR="003265EF" w:rsidRPr="008C3753">
        <w:rPr>
          <w:rFonts w:cstheme="minorHAnsi"/>
          <w:lang w:val="en-GB"/>
        </w:rPr>
        <w:t xml:space="preserve"> healthcare professionals </w:t>
      </w:r>
      <w:r w:rsidR="00AB564C" w:rsidRPr="008C3753">
        <w:rPr>
          <w:rFonts w:cstheme="minorHAnsi"/>
          <w:lang w:val="en-GB"/>
        </w:rPr>
        <w:t>registered to use the online too</w:t>
      </w:r>
      <w:r w:rsidR="003265EF" w:rsidRPr="008C3753">
        <w:rPr>
          <w:rFonts w:cstheme="minorHAnsi"/>
          <w:lang w:val="en-GB"/>
        </w:rPr>
        <w:t>l</w:t>
      </w:r>
      <w:r w:rsidR="00FB045E" w:rsidRPr="008C3753">
        <w:rPr>
          <w:rFonts w:cstheme="minorHAnsi"/>
          <w:lang w:val="en-GB"/>
        </w:rPr>
        <w:t xml:space="preserve"> and 132 completed it (1</w:t>
      </w:r>
      <w:r w:rsidR="003129F6" w:rsidRPr="008C3753">
        <w:rPr>
          <w:rFonts w:cstheme="minorHAnsi"/>
          <w:lang w:val="en-GB"/>
        </w:rPr>
        <w:t>9.4</w:t>
      </w:r>
      <w:r w:rsidR="00FB045E" w:rsidRPr="008C3753">
        <w:rPr>
          <w:rFonts w:cstheme="minorHAnsi"/>
          <w:lang w:val="en-GB"/>
        </w:rPr>
        <w:t xml:space="preserve"> per 100 acute beds). </w:t>
      </w:r>
      <w:r w:rsidR="003265EF" w:rsidRPr="008C3753">
        <w:rPr>
          <w:rFonts w:cstheme="minorHAnsi"/>
          <w:lang w:val="en-GB"/>
        </w:rPr>
        <w:t>Of those completing the tool</w:t>
      </w:r>
      <w:r w:rsidR="00AB564C" w:rsidRPr="008C3753">
        <w:rPr>
          <w:rFonts w:cstheme="minorHAnsi"/>
          <w:lang w:val="en-GB"/>
        </w:rPr>
        <w:t xml:space="preserve">, 34% (45/132) were </w:t>
      </w:r>
      <w:r w:rsidR="00E37F9B" w:rsidRPr="008C3753">
        <w:rPr>
          <w:rFonts w:cstheme="minorHAnsi"/>
          <w:lang w:val="en-GB"/>
        </w:rPr>
        <w:t>Consultant</w:t>
      </w:r>
      <w:r w:rsidR="009F0709" w:rsidRPr="008C3753">
        <w:rPr>
          <w:rFonts w:cstheme="minorHAnsi"/>
          <w:lang w:val="en-GB"/>
        </w:rPr>
        <w:t>s</w:t>
      </w:r>
      <w:r w:rsidR="00AB564C" w:rsidRPr="008C3753">
        <w:rPr>
          <w:rFonts w:cstheme="minorHAnsi"/>
          <w:lang w:val="en-GB"/>
        </w:rPr>
        <w:t>, 26% (34/132) were training-grade doctors, 19% (25/132) were nurses, 11% (14/132) were pharmacists or pharmacy technicians, 4% (5/132) were other healthcare professionals, and 7% (9/132) did not disclose their profession.</w:t>
      </w:r>
      <w:r w:rsidR="00C8349F" w:rsidRPr="008C3753">
        <w:rPr>
          <w:rFonts w:cstheme="minorHAnsi"/>
          <w:lang w:val="en-GB"/>
        </w:rPr>
        <w:t xml:space="preserve"> S</w:t>
      </w:r>
      <w:r w:rsidR="00AB564C" w:rsidRPr="008C3753">
        <w:rPr>
          <w:rFonts w:cstheme="minorHAnsi"/>
          <w:lang w:val="en-GB"/>
        </w:rPr>
        <w:t xml:space="preserve">taff who completed the online tool logged into the website version </w:t>
      </w:r>
      <w:r w:rsidR="00C8349F" w:rsidRPr="008C3753">
        <w:rPr>
          <w:rFonts w:cstheme="minorHAnsi"/>
          <w:lang w:val="en-GB"/>
        </w:rPr>
        <w:t xml:space="preserve">a mean of </w:t>
      </w:r>
      <w:r w:rsidR="00AB564C" w:rsidRPr="008C3753">
        <w:rPr>
          <w:rFonts w:cstheme="minorHAnsi"/>
          <w:lang w:val="en-GB"/>
        </w:rPr>
        <w:t>1.65 times (SD: 1.4</w:t>
      </w:r>
      <w:r w:rsidR="004C1CB3" w:rsidRPr="008C3753">
        <w:rPr>
          <w:rFonts w:cstheme="minorHAnsi"/>
          <w:lang w:val="en-GB"/>
        </w:rPr>
        <w:t>; median 1, IQR 1-2, maximum 12</w:t>
      </w:r>
      <w:r w:rsidR="00AB564C" w:rsidRPr="008C3753">
        <w:rPr>
          <w:rFonts w:cstheme="minorHAnsi"/>
          <w:lang w:val="en-GB"/>
        </w:rPr>
        <w:t xml:space="preserve">) and spent a </w:t>
      </w:r>
      <w:r w:rsidR="004C1CB3" w:rsidRPr="008C3753">
        <w:rPr>
          <w:rFonts w:cstheme="minorHAnsi"/>
          <w:lang w:val="en-GB"/>
        </w:rPr>
        <w:t xml:space="preserve">median </w:t>
      </w:r>
      <w:r w:rsidR="00AB564C" w:rsidRPr="008C3753">
        <w:rPr>
          <w:rFonts w:cstheme="minorHAnsi"/>
          <w:lang w:val="en-GB"/>
        </w:rPr>
        <w:t xml:space="preserve">of </w:t>
      </w:r>
      <w:r w:rsidR="004C1CB3" w:rsidRPr="008C3753">
        <w:rPr>
          <w:rFonts w:cstheme="minorHAnsi"/>
          <w:lang w:val="en-GB"/>
        </w:rPr>
        <w:t xml:space="preserve">14.3 </w:t>
      </w:r>
      <w:r w:rsidR="00C8349F" w:rsidRPr="008C3753">
        <w:rPr>
          <w:rFonts w:cstheme="minorHAnsi"/>
          <w:lang w:val="en-GB"/>
        </w:rPr>
        <w:t>minutes</w:t>
      </w:r>
      <w:r w:rsidR="00AB564C" w:rsidRPr="008C3753">
        <w:rPr>
          <w:rFonts w:cstheme="minorHAnsi"/>
          <w:lang w:val="en-GB"/>
        </w:rPr>
        <w:t xml:space="preserve"> (</w:t>
      </w:r>
      <w:r w:rsidR="004C1CB3" w:rsidRPr="008C3753">
        <w:rPr>
          <w:rFonts w:cstheme="minorHAnsi"/>
          <w:lang w:val="en-GB"/>
        </w:rPr>
        <w:t>IQR</w:t>
      </w:r>
      <w:r w:rsidR="00AB564C" w:rsidRPr="008C3753">
        <w:rPr>
          <w:rFonts w:cstheme="minorHAnsi"/>
          <w:lang w:val="en-GB"/>
        </w:rPr>
        <w:t xml:space="preserve"> </w:t>
      </w:r>
      <w:r w:rsidR="004C1CB3" w:rsidRPr="008C3753">
        <w:rPr>
          <w:rFonts w:cstheme="minorHAnsi"/>
          <w:lang w:val="en-GB"/>
        </w:rPr>
        <w:t>10.1,28.2</w:t>
      </w:r>
      <w:r w:rsidR="00AB564C" w:rsidRPr="008C3753">
        <w:rPr>
          <w:rFonts w:cstheme="minorHAnsi"/>
          <w:lang w:val="en-GB"/>
        </w:rPr>
        <w:t>)</w:t>
      </w:r>
      <w:r w:rsidR="00C8349F" w:rsidRPr="008C3753">
        <w:rPr>
          <w:rFonts w:cstheme="minorHAnsi"/>
          <w:lang w:val="en-GB"/>
        </w:rPr>
        <w:t xml:space="preserve"> on it</w:t>
      </w:r>
      <w:r w:rsidR="00AB564C" w:rsidRPr="008C3753">
        <w:rPr>
          <w:rFonts w:cstheme="minorHAnsi"/>
          <w:lang w:val="en-GB"/>
        </w:rPr>
        <w:t xml:space="preserve">. Although </w:t>
      </w:r>
      <w:r w:rsidR="00C8349F" w:rsidRPr="008C3753">
        <w:rPr>
          <w:rFonts w:cstheme="minorHAnsi"/>
          <w:lang w:val="en-GB"/>
        </w:rPr>
        <w:t>most</w:t>
      </w:r>
      <w:r w:rsidR="00AB564C" w:rsidRPr="008C3753">
        <w:rPr>
          <w:rFonts w:cstheme="minorHAnsi"/>
          <w:lang w:val="en-GB"/>
        </w:rPr>
        <w:t xml:space="preserve"> users logged in only once (61%, 80/132), just under a third logged in twice (30%; 40/175), and 9% (12/132) logged in three times or more.</w:t>
      </w:r>
    </w:p>
    <w:p w14:paraId="43CB09C1" w14:textId="77777777" w:rsidR="0086243D" w:rsidRPr="008C3753" w:rsidRDefault="0086243D" w:rsidP="00475602">
      <w:pPr>
        <w:spacing w:after="0" w:line="480" w:lineRule="auto"/>
        <w:jc w:val="both"/>
        <w:rPr>
          <w:rFonts w:cstheme="minorHAnsi"/>
          <w:lang w:val="en-GB"/>
        </w:rPr>
      </w:pPr>
    </w:p>
    <w:p w14:paraId="1F0810AA" w14:textId="74999281" w:rsidR="00C7118D" w:rsidRPr="008C3753" w:rsidRDefault="00D23334" w:rsidP="00475602">
      <w:pPr>
        <w:widowControl w:val="0"/>
        <w:spacing w:after="0" w:line="480" w:lineRule="auto"/>
        <w:jc w:val="both"/>
        <w:rPr>
          <w:rFonts w:cstheme="minorHAnsi"/>
          <w:lang w:val="en-GB"/>
        </w:rPr>
      </w:pPr>
      <w:r w:rsidRPr="008C3753">
        <w:rPr>
          <w:rFonts w:cstheme="minorHAnsi"/>
          <w:b/>
          <w:lang w:val="en-GB"/>
        </w:rPr>
        <w:t>Decision Aid</w:t>
      </w:r>
      <w:r w:rsidR="0014240C" w:rsidRPr="008C3753">
        <w:rPr>
          <w:rFonts w:cstheme="minorHAnsi"/>
          <w:lang w:val="en-GB"/>
        </w:rPr>
        <w:t>.</w:t>
      </w:r>
      <w:r w:rsidR="00497401" w:rsidRPr="008C3753">
        <w:rPr>
          <w:rFonts w:cstheme="minorHAnsi"/>
          <w:lang w:val="en-GB"/>
        </w:rPr>
        <w:t xml:space="preserve"> </w:t>
      </w:r>
      <w:r w:rsidR="00C8349F" w:rsidRPr="008C3753">
        <w:rPr>
          <w:rFonts w:cstheme="minorHAnsi"/>
          <w:lang w:val="en-GB"/>
        </w:rPr>
        <w:t>T</w:t>
      </w:r>
      <w:r w:rsidR="0066236F" w:rsidRPr="008C3753">
        <w:rPr>
          <w:rFonts w:cstheme="minorHAnsi"/>
          <w:lang w:val="en-GB"/>
        </w:rPr>
        <w:t>hroughout the 12-</w:t>
      </w:r>
      <w:r w:rsidR="00C8349F" w:rsidRPr="008C3753">
        <w:rPr>
          <w:rFonts w:cstheme="minorHAnsi"/>
          <w:lang w:val="en-GB"/>
        </w:rPr>
        <w:t xml:space="preserve">week implementation, &gt;75% </w:t>
      </w:r>
      <w:r w:rsidR="00E74BE9" w:rsidRPr="008C3753">
        <w:rPr>
          <w:rFonts w:cstheme="minorHAnsi"/>
          <w:lang w:val="en-GB"/>
        </w:rPr>
        <w:t xml:space="preserve">of </w:t>
      </w:r>
      <w:r w:rsidR="00C8349F" w:rsidRPr="008C3753">
        <w:rPr>
          <w:rFonts w:cstheme="minorHAnsi"/>
          <w:lang w:val="en-GB"/>
        </w:rPr>
        <w:t>audit</w:t>
      </w:r>
      <w:r w:rsidR="00E50AF7" w:rsidRPr="008C3753">
        <w:rPr>
          <w:rFonts w:cstheme="minorHAnsi"/>
          <w:lang w:val="en-GB"/>
        </w:rPr>
        <w:t>ed</w:t>
      </w:r>
      <w:r w:rsidR="00C8349F" w:rsidRPr="008C3753">
        <w:rPr>
          <w:rFonts w:cstheme="minorHAnsi"/>
          <w:lang w:val="en-GB"/>
        </w:rPr>
        <w:t xml:space="preserve"> </w:t>
      </w:r>
      <w:r w:rsidR="00E74BE9" w:rsidRPr="008C3753">
        <w:rPr>
          <w:rFonts w:cstheme="minorHAnsi"/>
          <w:lang w:val="en-GB"/>
        </w:rPr>
        <w:t xml:space="preserve">antibiotic prescriptions </w:t>
      </w:r>
      <w:r w:rsidR="00C8349F" w:rsidRPr="008C3753">
        <w:rPr>
          <w:rFonts w:cstheme="minorHAnsi"/>
          <w:lang w:val="en-GB"/>
        </w:rPr>
        <w:t xml:space="preserve">had applied </w:t>
      </w:r>
      <w:r w:rsidR="0014240C" w:rsidRPr="008C3753">
        <w:rPr>
          <w:rFonts w:cstheme="minorHAnsi"/>
          <w:lang w:val="en-GB"/>
        </w:rPr>
        <w:t>the</w:t>
      </w:r>
      <w:r w:rsidR="00E74BE9" w:rsidRPr="008C3753">
        <w:rPr>
          <w:rFonts w:cstheme="minorHAnsi"/>
          <w:lang w:val="en-GB"/>
        </w:rPr>
        <w:t xml:space="preserve"> Decision Aid </w:t>
      </w:r>
      <w:r w:rsidR="0014240C" w:rsidRPr="008C3753">
        <w:rPr>
          <w:rFonts w:cstheme="minorHAnsi"/>
          <w:lang w:val="en-GB"/>
        </w:rPr>
        <w:t xml:space="preserve">categories </w:t>
      </w:r>
      <w:r w:rsidR="00E74BE9" w:rsidRPr="008C3753">
        <w:rPr>
          <w:rFonts w:cstheme="minorHAnsi"/>
          <w:lang w:val="en-GB"/>
        </w:rPr>
        <w:t>(</w:t>
      </w:r>
      <w:r w:rsidR="00A800DC" w:rsidRPr="008C3753">
        <w:rPr>
          <w:rFonts w:cstheme="minorHAnsi"/>
          <w:lang w:val="en-GB"/>
        </w:rPr>
        <w:t>f</w:t>
      </w:r>
      <w:r w:rsidR="00F038C8" w:rsidRPr="008C3753">
        <w:rPr>
          <w:rFonts w:cstheme="minorHAnsi"/>
          <w:lang w:val="en-GB"/>
        </w:rPr>
        <w:t xml:space="preserve">igure </w:t>
      </w:r>
      <w:r w:rsidR="00F861AF" w:rsidRPr="008C3753">
        <w:rPr>
          <w:rFonts w:cstheme="minorHAnsi"/>
          <w:lang w:val="en-GB"/>
        </w:rPr>
        <w:t>1</w:t>
      </w:r>
      <w:r w:rsidR="00E74BE9" w:rsidRPr="008C3753">
        <w:rPr>
          <w:rFonts w:cstheme="minorHAnsi"/>
          <w:lang w:val="en-GB"/>
        </w:rPr>
        <w:t>)</w:t>
      </w:r>
      <w:r w:rsidR="00E740C1" w:rsidRPr="008C3753">
        <w:rPr>
          <w:rFonts w:cstheme="minorHAnsi"/>
          <w:lang w:val="en-GB"/>
        </w:rPr>
        <w:t>, exceeding the 50% target</w:t>
      </w:r>
      <w:r w:rsidR="00E74BE9" w:rsidRPr="008C3753">
        <w:rPr>
          <w:rFonts w:cstheme="minorHAnsi"/>
          <w:lang w:val="en-GB"/>
        </w:rPr>
        <w:t xml:space="preserve">, with no evidence of variation over </w:t>
      </w:r>
      <w:r w:rsidR="00C8349F" w:rsidRPr="008C3753">
        <w:rPr>
          <w:rFonts w:cstheme="minorHAnsi"/>
          <w:lang w:val="en-GB"/>
        </w:rPr>
        <w:t>time post-implementation</w:t>
      </w:r>
      <w:r w:rsidR="00E74BE9" w:rsidRPr="008C3753">
        <w:rPr>
          <w:rFonts w:cstheme="minorHAnsi"/>
          <w:lang w:val="en-GB"/>
        </w:rPr>
        <w:t xml:space="preserve"> (heterogeneity </w:t>
      </w:r>
      <w:r w:rsidR="00E74BE9" w:rsidRPr="008C3753">
        <w:rPr>
          <w:rFonts w:cstheme="minorHAnsi"/>
          <w:i/>
          <w:lang w:val="en-GB"/>
        </w:rPr>
        <w:t>p</w:t>
      </w:r>
      <w:r w:rsidR="00E74BE9" w:rsidRPr="008C3753">
        <w:rPr>
          <w:rFonts w:cstheme="minorHAnsi"/>
          <w:lang w:val="en-GB"/>
        </w:rPr>
        <w:t>=</w:t>
      </w:r>
      <w:r w:rsidR="00A800DC" w:rsidRPr="008C3753">
        <w:rPr>
          <w:rFonts w:cstheme="minorHAnsi"/>
          <w:lang w:val="en-GB"/>
        </w:rPr>
        <w:t>0</w:t>
      </w:r>
      <w:r w:rsidR="00E74BE9" w:rsidRPr="008C3753">
        <w:rPr>
          <w:rFonts w:cstheme="minorHAnsi"/>
          <w:lang w:val="en-GB"/>
        </w:rPr>
        <w:t xml:space="preserve">.61). </w:t>
      </w:r>
      <w:r w:rsidR="00C8349F" w:rsidRPr="008C3753">
        <w:rPr>
          <w:rFonts w:cstheme="minorHAnsi"/>
          <w:lang w:val="en-GB"/>
        </w:rPr>
        <w:t xml:space="preserve">More </w:t>
      </w:r>
      <w:r w:rsidR="00E74BE9" w:rsidRPr="008C3753">
        <w:rPr>
          <w:rFonts w:cstheme="minorHAnsi"/>
          <w:lang w:val="en-GB"/>
        </w:rPr>
        <w:t>prescriptions us</w:t>
      </w:r>
      <w:r w:rsidR="00C8349F" w:rsidRPr="008C3753">
        <w:rPr>
          <w:rFonts w:cstheme="minorHAnsi"/>
          <w:lang w:val="en-GB"/>
        </w:rPr>
        <w:t>ing</w:t>
      </w:r>
      <w:r w:rsidR="00E74BE9" w:rsidRPr="008C3753">
        <w:rPr>
          <w:rFonts w:cstheme="minorHAnsi"/>
          <w:lang w:val="en-GB"/>
        </w:rPr>
        <w:t xml:space="preserve"> the Decision Aid</w:t>
      </w:r>
      <w:r w:rsidR="00C8349F" w:rsidRPr="008C3753">
        <w:rPr>
          <w:rFonts w:cstheme="minorHAnsi"/>
          <w:lang w:val="en-GB"/>
        </w:rPr>
        <w:t xml:space="preserve"> were</w:t>
      </w:r>
      <w:r w:rsidR="00E74BE9" w:rsidRPr="008C3753">
        <w:rPr>
          <w:rFonts w:cstheme="minorHAnsi"/>
          <w:lang w:val="en-GB"/>
        </w:rPr>
        <w:t xml:space="preserve"> categorised as </w:t>
      </w:r>
      <w:r w:rsidR="0004425A" w:rsidRPr="008C3753">
        <w:rPr>
          <w:rFonts w:cstheme="minorHAnsi"/>
          <w:lang w:val="en-GB"/>
        </w:rPr>
        <w:t>“</w:t>
      </w:r>
      <w:r w:rsidR="00E74BE9" w:rsidRPr="008C3753">
        <w:rPr>
          <w:rFonts w:cstheme="minorHAnsi"/>
          <w:lang w:val="en-GB"/>
        </w:rPr>
        <w:t>probable</w:t>
      </w:r>
      <w:r w:rsidR="0004425A" w:rsidRPr="008C3753">
        <w:rPr>
          <w:rFonts w:cstheme="minorHAnsi"/>
          <w:lang w:val="en-GB"/>
        </w:rPr>
        <w:t>”</w:t>
      </w:r>
      <w:r w:rsidR="00EB0FEF" w:rsidRPr="008C3753">
        <w:rPr>
          <w:rFonts w:cstheme="minorHAnsi"/>
          <w:lang w:val="en-GB"/>
        </w:rPr>
        <w:t xml:space="preserve"> rather</w:t>
      </w:r>
      <w:r w:rsidR="00E74BE9" w:rsidRPr="008C3753">
        <w:rPr>
          <w:rFonts w:cstheme="minorHAnsi"/>
          <w:lang w:val="en-GB"/>
        </w:rPr>
        <w:t xml:space="preserve"> than </w:t>
      </w:r>
      <w:r w:rsidR="0004425A" w:rsidRPr="008C3753">
        <w:rPr>
          <w:rFonts w:cstheme="minorHAnsi"/>
          <w:lang w:val="en-GB"/>
        </w:rPr>
        <w:t>“</w:t>
      </w:r>
      <w:r w:rsidR="00E74BE9" w:rsidRPr="008C3753">
        <w:rPr>
          <w:rFonts w:cstheme="minorHAnsi"/>
          <w:lang w:val="en-GB"/>
        </w:rPr>
        <w:t>possible</w:t>
      </w:r>
      <w:r w:rsidR="0004425A" w:rsidRPr="008C3753">
        <w:rPr>
          <w:rFonts w:cstheme="minorHAnsi"/>
          <w:lang w:val="en-GB"/>
        </w:rPr>
        <w:t>”</w:t>
      </w:r>
      <w:r w:rsidR="00E74BE9" w:rsidRPr="008C3753">
        <w:rPr>
          <w:rFonts w:cstheme="minorHAnsi"/>
          <w:lang w:val="en-GB"/>
        </w:rPr>
        <w:t xml:space="preserve">, </w:t>
      </w:r>
      <w:r w:rsidR="00D12A3A" w:rsidRPr="008C3753">
        <w:rPr>
          <w:rFonts w:cstheme="minorHAnsi"/>
          <w:lang w:val="en-GB"/>
        </w:rPr>
        <w:t>but</w:t>
      </w:r>
      <w:r w:rsidR="00C8349F" w:rsidRPr="008C3753">
        <w:rPr>
          <w:rFonts w:cstheme="minorHAnsi"/>
          <w:lang w:val="en-GB"/>
        </w:rPr>
        <w:t xml:space="preserve"> the proportion categorised as ‘</w:t>
      </w:r>
      <w:r w:rsidR="00D12A3A" w:rsidRPr="008C3753">
        <w:rPr>
          <w:rFonts w:cstheme="minorHAnsi"/>
          <w:lang w:val="en-GB"/>
        </w:rPr>
        <w:t>possible</w:t>
      </w:r>
      <w:r w:rsidR="00C8349F" w:rsidRPr="008C3753">
        <w:rPr>
          <w:rFonts w:cstheme="minorHAnsi"/>
          <w:lang w:val="en-GB"/>
        </w:rPr>
        <w:t xml:space="preserve">’ </w:t>
      </w:r>
      <w:r w:rsidR="00E74BE9" w:rsidRPr="008C3753">
        <w:rPr>
          <w:rFonts w:cstheme="minorHAnsi"/>
          <w:lang w:val="en-GB"/>
        </w:rPr>
        <w:t>increas</w:t>
      </w:r>
      <w:r w:rsidR="00D12A3A" w:rsidRPr="008C3753">
        <w:rPr>
          <w:rFonts w:cstheme="minorHAnsi"/>
          <w:lang w:val="en-GB"/>
        </w:rPr>
        <w:t>ed</w:t>
      </w:r>
      <w:r w:rsidR="00E74BE9" w:rsidRPr="008C3753">
        <w:rPr>
          <w:rFonts w:cstheme="minorHAnsi"/>
          <w:lang w:val="en-GB"/>
        </w:rPr>
        <w:t xml:space="preserve"> over the 12</w:t>
      </w:r>
      <w:r w:rsidR="0066236F" w:rsidRPr="008C3753">
        <w:rPr>
          <w:rFonts w:cstheme="minorHAnsi"/>
          <w:lang w:val="en-GB"/>
        </w:rPr>
        <w:t>-</w:t>
      </w:r>
      <w:r w:rsidR="00E74BE9" w:rsidRPr="008C3753">
        <w:rPr>
          <w:rFonts w:cstheme="minorHAnsi"/>
          <w:lang w:val="en-GB"/>
        </w:rPr>
        <w:t xml:space="preserve">week implementation period (heterogeneity </w:t>
      </w:r>
      <w:r w:rsidR="00E74BE9" w:rsidRPr="008C3753">
        <w:rPr>
          <w:rFonts w:cstheme="minorHAnsi"/>
          <w:i/>
          <w:lang w:val="en-GB"/>
        </w:rPr>
        <w:t>p</w:t>
      </w:r>
      <w:r w:rsidR="00E74BE9" w:rsidRPr="008C3753">
        <w:rPr>
          <w:rFonts w:cstheme="minorHAnsi"/>
          <w:lang w:val="en-GB"/>
        </w:rPr>
        <w:t>=</w:t>
      </w:r>
      <w:r w:rsidR="00A800DC" w:rsidRPr="008C3753">
        <w:rPr>
          <w:rFonts w:cstheme="minorHAnsi"/>
          <w:lang w:val="en-GB"/>
        </w:rPr>
        <w:t>0</w:t>
      </w:r>
      <w:r w:rsidR="00E74BE9" w:rsidRPr="008C3753">
        <w:rPr>
          <w:rFonts w:cstheme="minorHAnsi"/>
          <w:lang w:val="en-GB"/>
        </w:rPr>
        <w:t>.008) (</w:t>
      </w:r>
      <w:r w:rsidR="00A800DC" w:rsidRPr="008C3753">
        <w:rPr>
          <w:rFonts w:cstheme="minorHAnsi"/>
          <w:lang w:val="en-GB"/>
        </w:rPr>
        <w:t>f</w:t>
      </w:r>
      <w:r w:rsidR="00645D42" w:rsidRPr="008C3753">
        <w:rPr>
          <w:rFonts w:cstheme="minorHAnsi"/>
          <w:lang w:val="en-GB"/>
        </w:rPr>
        <w:t xml:space="preserve">igure </w:t>
      </w:r>
      <w:r w:rsidR="00F861AF" w:rsidRPr="008C3753">
        <w:rPr>
          <w:rFonts w:cstheme="minorHAnsi"/>
          <w:lang w:val="en-GB"/>
        </w:rPr>
        <w:t>1</w:t>
      </w:r>
      <w:r w:rsidR="00E74BE9" w:rsidRPr="008C3753">
        <w:rPr>
          <w:rFonts w:cstheme="minorHAnsi"/>
          <w:lang w:val="en-GB"/>
        </w:rPr>
        <w:t>).</w:t>
      </w:r>
    </w:p>
    <w:p w14:paraId="1FF5DCB5" w14:textId="77777777" w:rsidR="0086243D" w:rsidRPr="008C3753" w:rsidRDefault="0086243D" w:rsidP="00475602">
      <w:pPr>
        <w:widowControl w:val="0"/>
        <w:spacing w:after="0" w:line="480" w:lineRule="auto"/>
        <w:jc w:val="both"/>
        <w:rPr>
          <w:rFonts w:cstheme="minorHAnsi"/>
          <w:lang w:val="en-GB"/>
        </w:rPr>
      </w:pPr>
    </w:p>
    <w:p w14:paraId="7D9F09C0" w14:textId="360AC2D3" w:rsidR="0086243D" w:rsidRPr="008C3753" w:rsidRDefault="00473955" w:rsidP="00475602">
      <w:pPr>
        <w:widowControl w:val="0"/>
        <w:spacing w:after="0" w:line="480" w:lineRule="auto"/>
        <w:jc w:val="both"/>
        <w:rPr>
          <w:rFonts w:cstheme="minorHAnsi"/>
          <w:b/>
          <w:lang w:val="en-GB"/>
        </w:rPr>
      </w:pPr>
      <w:r w:rsidRPr="008C3753">
        <w:rPr>
          <w:rFonts w:cstheme="minorHAnsi"/>
          <w:b/>
          <w:lang w:val="en-GB"/>
        </w:rPr>
        <w:t xml:space="preserve">Data-collection and feedback. </w:t>
      </w:r>
      <w:r w:rsidR="0014240C" w:rsidRPr="008C3753">
        <w:rPr>
          <w:rFonts w:cstheme="minorHAnsi"/>
          <w:lang w:val="en-GB"/>
        </w:rPr>
        <w:t xml:space="preserve">During the </w:t>
      </w:r>
      <w:r w:rsidR="00D12A3A" w:rsidRPr="008C3753">
        <w:rPr>
          <w:rFonts w:cstheme="minorHAnsi"/>
          <w:lang w:val="en-GB"/>
        </w:rPr>
        <w:t xml:space="preserve">12-week </w:t>
      </w:r>
      <w:r w:rsidR="0014240C" w:rsidRPr="008C3753">
        <w:rPr>
          <w:rFonts w:cstheme="minorHAnsi"/>
          <w:lang w:val="en-GB"/>
        </w:rPr>
        <w:t>implementation</w:t>
      </w:r>
      <w:r w:rsidR="00D12A3A" w:rsidRPr="008C3753">
        <w:rPr>
          <w:rFonts w:cstheme="minorHAnsi"/>
          <w:lang w:val="en-GB"/>
        </w:rPr>
        <w:t>,</w:t>
      </w:r>
      <w:r w:rsidR="0014240C" w:rsidRPr="008C3753">
        <w:rPr>
          <w:rFonts w:cstheme="minorHAnsi"/>
          <w:lang w:val="en-GB"/>
        </w:rPr>
        <w:t xml:space="preserve"> the Core Team</w:t>
      </w:r>
      <w:r w:rsidR="00393325" w:rsidRPr="008C3753">
        <w:rPr>
          <w:rFonts w:cstheme="minorHAnsi"/>
          <w:lang w:val="en-GB"/>
        </w:rPr>
        <w:t xml:space="preserve"> </w:t>
      </w:r>
      <w:r w:rsidR="00D85293" w:rsidRPr="008C3753">
        <w:rPr>
          <w:rFonts w:cstheme="minorHAnsi"/>
          <w:lang w:val="en-GB"/>
        </w:rPr>
        <w:lastRenderedPageBreak/>
        <w:t xml:space="preserve">undertook 32 point prevalence </w:t>
      </w:r>
      <w:r w:rsidR="00D12A3A" w:rsidRPr="008C3753">
        <w:rPr>
          <w:rFonts w:cstheme="minorHAnsi"/>
          <w:lang w:val="en-GB"/>
        </w:rPr>
        <w:t xml:space="preserve">audits </w:t>
      </w:r>
      <w:r w:rsidR="00D85293" w:rsidRPr="008C3753">
        <w:rPr>
          <w:rFonts w:cstheme="minorHAnsi"/>
          <w:lang w:val="en-GB"/>
        </w:rPr>
        <w:t xml:space="preserve">of </w:t>
      </w:r>
      <w:r w:rsidR="00393325" w:rsidRPr="008C3753">
        <w:rPr>
          <w:rFonts w:cstheme="minorHAnsi"/>
          <w:lang w:val="en-GB"/>
        </w:rPr>
        <w:t>antibiotic prescri</w:t>
      </w:r>
      <w:r w:rsidR="008E5F8D" w:rsidRPr="008C3753">
        <w:rPr>
          <w:rFonts w:cstheme="minorHAnsi"/>
          <w:lang w:val="en-GB"/>
        </w:rPr>
        <w:t>ptions</w:t>
      </w:r>
      <w:r w:rsidR="00393325" w:rsidRPr="008C3753">
        <w:rPr>
          <w:rFonts w:cstheme="minorHAnsi"/>
          <w:lang w:val="en-GB"/>
        </w:rPr>
        <w:t xml:space="preserve"> </w:t>
      </w:r>
      <w:r w:rsidR="008E5F8D" w:rsidRPr="008C3753">
        <w:rPr>
          <w:rFonts w:cstheme="minorHAnsi"/>
          <w:lang w:val="en-GB"/>
        </w:rPr>
        <w:t>using</w:t>
      </w:r>
      <w:r w:rsidR="00393325" w:rsidRPr="008C3753">
        <w:rPr>
          <w:rFonts w:cstheme="minorHAnsi"/>
          <w:lang w:val="en-GB"/>
        </w:rPr>
        <w:t xml:space="preserve"> the ARK data collection tool</w:t>
      </w:r>
      <w:r w:rsidR="00D12A3A" w:rsidRPr="008C3753">
        <w:rPr>
          <w:rFonts w:cstheme="minorHAnsi"/>
          <w:lang w:val="en-GB"/>
        </w:rPr>
        <w:t xml:space="preserve">, covering </w:t>
      </w:r>
      <w:r w:rsidR="00393325" w:rsidRPr="008C3753">
        <w:rPr>
          <w:rFonts w:cstheme="minorHAnsi"/>
          <w:lang w:val="en-GB"/>
        </w:rPr>
        <w:t>107 prescriptions pre-</w:t>
      </w:r>
      <w:r w:rsidR="00CE3906" w:rsidRPr="008C3753">
        <w:rPr>
          <w:rFonts w:cstheme="minorHAnsi"/>
          <w:lang w:val="en-GB"/>
        </w:rPr>
        <w:t xml:space="preserve">implementation </w:t>
      </w:r>
      <w:r w:rsidR="008E5F8D" w:rsidRPr="008C3753">
        <w:rPr>
          <w:rFonts w:cstheme="minorHAnsi"/>
          <w:lang w:val="en-GB"/>
        </w:rPr>
        <w:t>(</w:t>
      </w:r>
      <w:r w:rsidR="00CE3906" w:rsidRPr="008C3753">
        <w:rPr>
          <w:rFonts w:cstheme="minorHAnsi"/>
          <w:lang w:val="en-GB"/>
        </w:rPr>
        <w:t>baseline</w:t>
      </w:r>
      <w:r w:rsidR="008E5F8D" w:rsidRPr="008C3753">
        <w:rPr>
          <w:rFonts w:cstheme="minorHAnsi"/>
          <w:lang w:val="en-GB"/>
        </w:rPr>
        <w:t>)</w:t>
      </w:r>
      <w:r w:rsidR="00E54767" w:rsidRPr="008C3753">
        <w:rPr>
          <w:rFonts w:cstheme="minorHAnsi"/>
          <w:lang w:val="en-GB"/>
        </w:rPr>
        <w:t xml:space="preserve"> and 588 </w:t>
      </w:r>
      <w:r w:rsidR="0014240C" w:rsidRPr="008C3753">
        <w:rPr>
          <w:rFonts w:cstheme="minorHAnsi"/>
          <w:lang w:val="en-GB"/>
        </w:rPr>
        <w:t>post-implementation</w:t>
      </w:r>
      <w:r w:rsidR="00E54767" w:rsidRPr="008C3753">
        <w:rPr>
          <w:rFonts w:cstheme="minorHAnsi"/>
          <w:lang w:val="en-GB"/>
        </w:rPr>
        <w:t xml:space="preserve">. </w:t>
      </w:r>
      <w:r w:rsidR="0016641E" w:rsidRPr="008C3753">
        <w:rPr>
          <w:rFonts w:cstheme="minorHAnsi"/>
          <w:lang w:val="en-GB"/>
        </w:rPr>
        <w:t>Pre-implementation</w:t>
      </w:r>
      <w:r w:rsidR="00E54767" w:rsidRPr="008C3753">
        <w:rPr>
          <w:rFonts w:cstheme="minorHAnsi"/>
          <w:lang w:val="en-GB"/>
        </w:rPr>
        <w:t xml:space="preserve"> wards </w:t>
      </w:r>
      <w:r w:rsidR="00D12A3A" w:rsidRPr="008C3753">
        <w:rPr>
          <w:rFonts w:cstheme="minorHAnsi"/>
          <w:lang w:val="en-GB"/>
        </w:rPr>
        <w:t>audited</w:t>
      </w:r>
      <w:r w:rsidR="00E54767" w:rsidRPr="008C3753">
        <w:rPr>
          <w:rFonts w:cstheme="minorHAnsi"/>
          <w:lang w:val="en-GB"/>
        </w:rPr>
        <w:t xml:space="preserve"> included </w:t>
      </w:r>
      <w:r w:rsidR="00A45519" w:rsidRPr="008C3753">
        <w:rPr>
          <w:rFonts w:cstheme="minorHAnsi"/>
          <w:lang w:val="en-GB"/>
        </w:rPr>
        <w:t>acute medicine (</w:t>
      </w:r>
      <w:r w:rsidR="00AA5CEA" w:rsidRPr="008C3753">
        <w:rPr>
          <w:rFonts w:cstheme="minorHAnsi"/>
          <w:lang w:val="en-GB"/>
        </w:rPr>
        <w:t>27%</w:t>
      </w:r>
      <w:r w:rsidR="00A45519" w:rsidRPr="008C3753">
        <w:rPr>
          <w:rFonts w:cstheme="minorHAnsi"/>
          <w:lang w:val="en-GB"/>
        </w:rPr>
        <w:t xml:space="preserve">; </w:t>
      </w:r>
      <w:r w:rsidR="009D1D4F" w:rsidRPr="008C3753">
        <w:rPr>
          <w:rFonts w:cstheme="minorHAnsi"/>
          <w:lang w:val="en-GB"/>
        </w:rPr>
        <w:t>29/107)</w:t>
      </w:r>
      <w:r w:rsidR="00A45519" w:rsidRPr="008C3753">
        <w:rPr>
          <w:rFonts w:cstheme="minorHAnsi"/>
          <w:lang w:val="en-GB"/>
        </w:rPr>
        <w:t>, respiratory (</w:t>
      </w:r>
      <w:r w:rsidR="009D1D4F" w:rsidRPr="008C3753">
        <w:rPr>
          <w:rFonts w:cstheme="minorHAnsi"/>
          <w:lang w:val="en-GB"/>
        </w:rPr>
        <w:t>26</w:t>
      </w:r>
      <w:r w:rsidR="00A45519" w:rsidRPr="008C3753">
        <w:rPr>
          <w:rFonts w:cstheme="minorHAnsi"/>
          <w:lang w:val="en-GB"/>
        </w:rPr>
        <w:t xml:space="preserve">%; </w:t>
      </w:r>
      <w:r w:rsidR="009D1D4F" w:rsidRPr="008C3753">
        <w:rPr>
          <w:rFonts w:cstheme="minorHAnsi"/>
          <w:lang w:val="en-GB"/>
        </w:rPr>
        <w:t>28/107),</w:t>
      </w:r>
      <w:r w:rsidR="00A45519" w:rsidRPr="008C3753">
        <w:rPr>
          <w:rFonts w:cstheme="minorHAnsi"/>
          <w:lang w:val="en-GB"/>
        </w:rPr>
        <w:t xml:space="preserve"> elderly</w:t>
      </w:r>
      <w:r w:rsidR="0051162E" w:rsidRPr="008C3753">
        <w:rPr>
          <w:rFonts w:cstheme="minorHAnsi"/>
          <w:b/>
          <w:lang w:val="en-GB"/>
        </w:rPr>
        <w:t xml:space="preserve"> </w:t>
      </w:r>
      <w:r w:rsidR="00B03E5B" w:rsidRPr="008C3753">
        <w:rPr>
          <w:rFonts w:cstheme="minorHAnsi"/>
          <w:lang w:val="en-GB"/>
        </w:rPr>
        <w:t>care</w:t>
      </w:r>
      <w:r w:rsidR="00A45519" w:rsidRPr="008C3753">
        <w:rPr>
          <w:rFonts w:cstheme="minorHAnsi"/>
          <w:lang w:val="en-GB"/>
        </w:rPr>
        <w:t xml:space="preserve"> (</w:t>
      </w:r>
      <w:r w:rsidR="009D1D4F" w:rsidRPr="008C3753">
        <w:rPr>
          <w:rFonts w:cstheme="minorHAnsi"/>
          <w:lang w:val="en-GB"/>
        </w:rPr>
        <w:t>32%</w:t>
      </w:r>
      <w:r w:rsidR="00A45519" w:rsidRPr="008C3753">
        <w:rPr>
          <w:rFonts w:cstheme="minorHAnsi"/>
          <w:lang w:val="en-GB"/>
        </w:rPr>
        <w:t xml:space="preserve">; </w:t>
      </w:r>
      <w:r w:rsidR="009D1D4F" w:rsidRPr="008C3753">
        <w:rPr>
          <w:rFonts w:cstheme="minorHAnsi"/>
          <w:lang w:val="en-GB"/>
        </w:rPr>
        <w:t>34/107)</w:t>
      </w:r>
      <w:r w:rsidR="00317BE2" w:rsidRPr="008C3753">
        <w:rPr>
          <w:rFonts w:cstheme="minorHAnsi"/>
          <w:lang w:val="en-GB"/>
        </w:rPr>
        <w:t xml:space="preserve">, </w:t>
      </w:r>
      <w:r w:rsidR="00A45519" w:rsidRPr="008C3753">
        <w:rPr>
          <w:rFonts w:cstheme="minorHAnsi"/>
          <w:lang w:val="en-GB"/>
        </w:rPr>
        <w:t xml:space="preserve">endocrine (10%; </w:t>
      </w:r>
      <w:r w:rsidR="00317BE2" w:rsidRPr="008C3753">
        <w:rPr>
          <w:rFonts w:cstheme="minorHAnsi"/>
          <w:lang w:val="en-GB"/>
        </w:rPr>
        <w:t>11/107)</w:t>
      </w:r>
      <w:r w:rsidR="00A45519" w:rsidRPr="008C3753">
        <w:rPr>
          <w:rFonts w:cstheme="minorHAnsi"/>
          <w:lang w:val="en-GB"/>
        </w:rPr>
        <w:t>, and haematology (</w:t>
      </w:r>
      <w:r w:rsidR="00317BE2" w:rsidRPr="008C3753">
        <w:rPr>
          <w:rFonts w:cstheme="minorHAnsi"/>
          <w:lang w:val="en-GB"/>
        </w:rPr>
        <w:t>5%</w:t>
      </w:r>
      <w:r w:rsidR="00A45519" w:rsidRPr="008C3753">
        <w:rPr>
          <w:rFonts w:cstheme="minorHAnsi"/>
          <w:lang w:val="en-GB"/>
        </w:rPr>
        <w:t xml:space="preserve">; </w:t>
      </w:r>
      <w:r w:rsidR="00317BE2" w:rsidRPr="008C3753">
        <w:rPr>
          <w:rFonts w:cstheme="minorHAnsi"/>
          <w:lang w:val="en-GB"/>
        </w:rPr>
        <w:t>5/107).</w:t>
      </w:r>
      <w:r w:rsidR="009D1D4F" w:rsidRPr="008C3753">
        <w:rPr>
          <w:rFonts w:cstheme="minorHAnsi"/>
          <w:lang w:val="en-GB"/>
        </w:rPr>
        <w:t xml:space="preserve"> </w:t>
      </w:r>
      <w:r w:rsidR="0014240C" w:rsidRPr="008C3753">
        <w:rPr>
          <w:rFonts w:cstheme="minorHAnsi"/>
          <w:lang w:val="en-GB"/>
        </w:rPr>
        <w:t xml:space="preserve">Post-implementation </w:t>
      </w:r>
      <w:r w:rsidR="0016641E" w:rsidRPr="008C3753">
        <w:rPr>
          <w:rFonts w:cstheme="minorHAnsi"/>
          <w:lang w:val="en-GB"/>
        </w:rPr>
        <w:t>p</w:t>
      </w:r>
      <w:r w:rsidR="00317BE2" w:rsidRPr="008C3753">
        <w:rPr>
          <w:rFonts w:cstheme="minorHAnsi"/>
          <w:lang w:val="en-GB"/>
        </w:rPr>
        <w:t xml:space="preserve">rescriptions were </w:t>
      </w:r>
      <w:r w:rsidR="00D12A3A" w:rsidRPr="008C3753">
        <w:rPr>
          <w:rFonts w:cstheme="minorHAnsi"/>
          <w:lang w:val="en-GB"/>
        </w:rPr>
        <w:t>audited o</w:t>
      </w:r>
      <w:r w:rsidR="00A45519" w:rsidRPr="008C3753">
        <w:rPr>
          <w:rFonts w:cstheme="minorHAnsi"/>
          <w:lang w:val="en-GB"/>
        </w:rPr>
        <w:t xml:space="preserve">n wards </w:t>
      </w:r>
      <w:r w:rsidR="0016641E" w:rsidRPr="008C3753">
        <w:rPr>
          <w:rFonts w:cstheme="minorHAnsi"/>
          <w:lang w:val="en-GB"/>
        </w:rPr>
        <w:t>implementing</w:t>
      </w:r>
      <w:r w:rsidR="00A45519" w:rsidRPr="008C3753">
        <w:rPr>
          <w:rFonts w:cstheme="minorHAnsi"/>
          <w:lang w:val="en-GB"/>
        </w:rPr>
        <w:t xml:space="preserve"> ARK</w:t>
      </w:r>
      <w:r w:rsidR="00D12A3A" w:rsidRPr="008C3753">
        <w:rPr>
          <w:rFonts w:cstheme="minorHAnsi"/>
          <w:lang w:val="en-GB"/>
        </w:rPr>
        <w:t>, namely</w:t>
      </w:r>
      <w:r w:rsidR="00A45519" w:rsidRPr="008C3753">
        <w:rPr>
          <w:rFonts w:cstheme="minorHAnsi"/>
          <w:lang w:val="en-GB"/>
        </w:rPr>
        <w:t xml:space="preserve"> </w:t>
      </w:r>
      <w:r w:rsidR="0016641E" w:rsidRPr="008C3753">
        <w:rPr>
          <w:rFonts w:cstheme="minorHAnsi"/>
          <w:lang w:val="en-GB"/>
        </w:rPr>
        <w:t>elderly care (4</w:t>
      </w:r>
      <w:r w:rsidR="00E54767" w:rsidRPr="008C3753">
        <w:rPr>
          <w:rFonts w:cstheme="minorHAnsi"/>
          <w:lang w:val="en-GB"/>
        </w:rPr>
        <w:t>2%</w:t>
      </w:r>
      <w:r w:rsidR="0016641E" w:rsidRPr="008C3753">
        <w:rPr>
          <w:rFonts w:cstheme="minorHAnsi"/>
          <w:lang w:val="en-GB"/>
        </w:rPr>
        <w:t>;</w:t>
      </w:r>
      <w:r w:rsidR="00E54767" w:rsidRPr="008C3753">
        <w:rPr>
          <w:rFonts w:cstheme="minorHAnsi"/>
          <w:lang w:val="en-GB"/>
        </w:rPr>
        <w:t xml:space="preserve"> 246/588)</w:t>
      </w:r>
      <w:r w:rsidR="00393325" w:rsidRPr="008C3753">
        <w:rPr>
          <w:rFonts w:cstheme="minorHAnsi"/>
          <w:lang w:val="en-GB"/>
        </w:rPr>
        <w:t>,</w:t>
      </w:r>
      <w:r w:rsidR="0016641E" w:rsidRPr="008C3753">
        <w:rPr>
          <w:rFonts w:cstheme="minorHAnsi"/>
          <w:lang w:val="en-GB"/>
        </w:rPr>
        <w:t xml:space="preserve"> acute medicine (</w:t>
      </w:r>
      <w:r w:rsidR="00E54767" w:rsidRPr="008C3753">
        <w:rPr>
          <w:rFonts w:cstheme="minorHAnsi"/>
          <w:lang w:val="en-GB"/>
        </w:rPr>
        <w:t>2</w:t>
      </w:r>
      <w:r w:rsidR="0016641E" w:rsidRPr="008C3753">
        <w:rPr>
          <w:rFonts w:cstheme="minorHAnsi"/>
          <w:lang w:val="en-GB"/>
        </w:rPr>
        <w:t xml:space="preserve">5%; </w:t>
      </w:r>
      <w:r w:rsidR="00E54767" w:rsidRPr="008C3753">
        <w:rPr>
          <w:rFonts w:cstheme="minorHAnsi"/>
          <w:lang w:val="en-GB"/>
        </w:rPr>
        <w:t>146/588)</w:t>
      </w:r>
      <w:r w:rsidR="00393325" w:rsidRPr="008C3753">
        <w:rPr>
          <w:rFonts w:cstheme="minorHAnsi"/>
          <w:lang w:val="en-GB"/>
        </w:rPr>
        <w:t>,</w:t>
      </w:r>
      <w:r w:rsidR="0016641E" w:rsidRPr="008C3753">
        <w:rPr>
          <w:rFonts w:cstheme="minorHAnsi"/>
          <w:lang w:val="en-GB"/>
        </w:rPr>
        <w:t xml:space="preserve"> respiratory (</w:t>
      </w:r>
      <w:r w:rsidR="00E54767" w:rsidRPr="008C3753">
        <w:rPr>
          <w:rFonts w:cstheme="minorHAnsi"/>
          <w:lang w:val="en-GB"/>
        </w:rPr>
        <w:t>16%</w:t>
      </w:r>
      <w:r w:rsidR="0016641E" w:rsidRPr="008C3753">
        <w:rPr>
          <w:rFonts w:cstheme="minorHAnsi"/>
          <w:lang w:val="en-GB"/>
        </w:rPr>
        <w:t xml:space="preserve">; </w:t>
      </w:r>
      <w:r w:rsidR="00E54767" w:rsidRPr="008C3753">
        <w:rPr>
          <w:rFonts w:cstheme="minorHAnsi"/>
          <w:lang w:val="en-GB"/>
        </w:rPr>
        <w:t>92/588)</w:t>
      </w:r>
      <w:r w:rsidR="00393325" w:rsidRPr="008C3753">
        <w:rPr>
          <w:rFonts w:cstheme="minorHAnsi"/>
          <w:lang w:val="en-GB"/>
        </w:rPr>
        <w:t>,</w:t>
      </w:r>
      <w:r w:rsidR="0016641E" w:rsidRPr="008C3753">
        <w:rPr>
          <w:rFonts w:cstheme="minorHAnsi"/>
          <w:lang w:val="en-GB"/>
        </w:rPr>
        <w:t xml:space="preserve"> endocrine (</w:t>
      </w:r>
      <w:r w:rsidR="00E54767" w:rsidRPr="008C3753">
        <w:rPr>
          <w:rFonts w:cstheme="minorHAnsi"/>
          <w:lang w:val="en-GB"/>
        </w:rPr>
        <w:t>12%</w:t>
      </w:r>
      <w:r w:rsidR="0016641E" w:rsidRPr="008C3753">
        <w:rPr>
          <w:rFonts w:cstheme="minorHAnsi"/>
          <w:lang w:val="en-GB"/>
        </w:rPr>
        <w:t xml:space="preserve">; </w:t>
      </w:r>
      <w:r w:rsidR="00E54767" w:rsidRPr="008C3753">
        <w:rPr>
          <w:rFonts w:cstheme="minorHAnsi"/>
          <w:lang w:val="en-GB"/>
        </w:rPr>
        <w:t xml:space="preserve">70/588) </w:t>
      </w:r>
      <w:r w:rsidR="00393325" w:rsidRPr="008C3753">
        <w:rPr>
          <w:rFonts w:cstheme="minorHAnsi"/>
          <w:lang w:val="en-GB"/>
        </w:rPr>
        <w:t>and</w:t>
      </w:r>
      <w:r w:rsidR="00E54767" w:rsidRPr="008C3753">
        <w:rPr>
          <w:rFonts w:cstheme="minorHAnsi"/>
          <w:lang w:val="en-GB"/>
        </w:rPr>
        <w:t xml:space="preserve"> </w:t>
      </w:r>
      <w:r w:rsidR="0016641E" w:rsidRPr="008C3753">
        <w:rPr>
          <w:rFonts w:cstheme="minorHAnsi"/>
          <w:lang w:val="en-GB"/>
        </w:rPr>
        <w:t>gastroenterology (</w:t>
      </w:r>
      <w:r w:rsidR="00E54767" w:rsidRPr="008C3753">
        <w:rPr>
          <w:rFonts w:cstheme="minorHAnsi"/>
          <w:lang w:val="en-GB"/>
        </w:rPr>
        <w:t>6%</w:t>
      </w:r>
      <w:r w:rsidR="0016641E" w:rsidRPr="008C3753">
        <w:rPr>
          <w:rFonts w:cstheme="minorHAnsi"/>
          <w:lang w:val="en-GB"/>
        </w:rPr>
        <w:t xml:space="preserve">; 34/588). </w:t>
      </w:r>
      <w:r w:rsidR="0014240C" w:rsidRPr="008C3753">
        <w:rPr>
          <w:rFonts w:cstheme="minorHAnsi"/>
          <w:lang w:val="en-GB"/>
        </w:rPr>
        <w:t>T</w:t>
      </w:r>
      <w:r w:rsidR="001D1112" w:rsidRPr="008C3753">
        <w:rPr>
          <w:rFonts w:cstheme="minorHAnsi"/>
          <w:lang w:val="en-GB"/>
        </w:rPr>
        <w:t>he Core Team delivered</w:t>
      </w:r>
      <w:r w:rsidR="00830776" w:rsidRPr="008C3753">
        <w:rPr>
          <w:rFonts w:cstheme="minorHAnsi"/>
          <w:lang w:val="en-GB"/>
        </w:rPr>
        <w:t xml:space="preserve"> a total of</w:t>
      </w:r>
      <w:r w:rsidR="001D1112" w:rsidRPr="008C3753">
        <w:rPr>
          <w:rFonts w:cstheme="minorHAnsi"/>
          <w:lang w:val="en-GB"/>
        </w:rPr>
        <w:t xml:space="preserve"> </w:t>
      </w:r>
      <w:r w:rsidR="00EB7B6F" w:rsidRPr="008C3753">
        <w:rPr>
          <w:rFonts w:cstheme="minorHAnsi"/>
          <w:lang w:val="en-GB"/>
        </w:rPr>
        <w:t>20 s</w:t>
      </w:r>
      <w:r w:rsidR="001D1112" w:rsidRPr="008C3753">
        <w:rPr>
          <w:rFonts w:cstheme="minorHAnsi"/>
          <w:lang w:val="en-GB"/>
        </w:rPr>
        <w:t>essions</w:t>
      </w:r>
      <w:r w:rsidR="00472B22" w:rsidRPr="008C3753">
        <w:rPr>
          <w:rFonts w:cstheme="minorHAnsi"/>
          <w:lang w:val="en-GB"/>
        </w:rPr>
        <w:t xml:space="preserve"> to feedback </w:t>
      </w:r>
      <w:r w:rsidR="00F64DE9" w:rsidRPr="008C3753">
        <w:rPr>
          <w:rFonts w:cstheme="minorHAnsi"/>
          <w:lang w:val="en-GB"/>
        </w:rPr>
        <w:t xml:space="preserve">antibiotic </w:t>
      </w:r>
      <w:r w:rsidR="00D45153" w:rsidRPr="008C3753">
        <w:rPr>
          <w:rFonts w:cstheme="minorHAnsi"/>
          <w:lang w:val="en-GB"/>
        </w:rPr>
        <w:t>prescribing data</w:t>
      </w:r>
      <w:r w:rsidR="0016641E" w:rsidRPr="008C3753">
        <w:rPr>
          <w:rFonts w:cstheme="minorHAnsi"/>
          <w:lang w:val="en-GB"/>
        </w:rPr>
        <w:t xml:space="preserve"> across </w:t>
      </w:r>
      <w:r w:rsidRPr="008C3753">
        <w:rPr>
          <w:rFonts w:cstheme="minorHAnsi"/>
          <w:lang w:val="en-GB"/>
        </w:rPr>
        <w:t xml:space="preserve">these </w:t>
      </w:r>
      <w:r w:rsidR="009A0F98" w:rsidRPr="008C3753">
        <w:rPr>
          <w:rFonts w:cstheme="minorHAnsi"/>
          <w:lang w:val="en-GB"/>
        </w:rPr>
        <w:t xml:space="preserve">four </w:t>
      </w:r>
      <w:r w:rsidR="00640878" w:rsidRPr="008C3753">
        <w:rPr>
          <w:rFonts w:cstheme="minorHAnsi"/>
          <w:lang w:val="en-GB"/>
        </w:rPr>
        <w:t xml:space="preserve">clinical </w:t>
      </w:r>
      <w:r w:rsidR="009A0F98" w:rsidRPr="008C3753">
        <w:rPr>
          <w:rFonts w:cstheme="minorHAnsi"/>
          <w:lang w:val="en-GB"/>
        </w:rPr>
        <w:t>teams</w:t>
      </w:r>
      <w:r w:rsidR="00D45153" w:rsidRPr="008C3753">
        <w:rPr>
          <w:rFonts w:cstheme="minorHAnsi"/>
          <w:lang w:val="en-GB"/>
        </w:rPr>
        <w:t>.</w:t>
      </w:r>
    </w:p>
    <w:p w14:paraId="47D20A6B" w14:textId="77777777" w:rsidR="0086243D" w:rsidRPr="008C3753" w:rsidRDefault="0086243D" w:rsidP="00475602">
      <w:pPr>
        <w:widowControl w:val="0"/>
        <w:spacing w:after="0" w:line="480" w:lineRule="auto"/>
        <w:jc w:val="both"/>
        <w:rPr>
          <w:rFonts w:cstheme="minorHAnsi"/>
          <w:lang w:val="en-GB"/>
        </w:rPr>
      </w:pPr>
    </w:p>
    <w:p w14:paraId="575EF07C" w14:textId="7343C91B" w:rsidR="00D06D60" w:rsidRPr="008C3753" w:rsidRDefault="0016641E" w:rsidP="00E56949">
      <w:pPr>
        <w:widowControl w:val="0"/>
        <w:spacing w:after="0" w:line="480" w:lineRule="auto"/>
        <w:jc w:val="both"/>
        <w:rPr>
          <w:rFonts w:cstheme="minorHAnsi"/>
          <w:lang w:val="en-GB"/>
        </w:rPr>
      </w:pPr>
      <w:r w:rsidRPr="008C3753">
        <w:rPr>
          <w:rFonts w:cstheme="minorHAnsi"/>
          <w:b/>
          <w:lang w:val="en-GB"/>
        </w:rPr>
        <w:t>Patient leaflet</w:t>
      </w:r>
      <w:r w:rsidR="0014240C" w:rsidRPr="008C3753">
        <w:rPr>
          <w:rFonts w:cstheme="minorHAnsi"/>
          <w:b/>
          <w:lang w:val="en-GB"/>
        </w:rPr>
        <w:t>.</w:t>
      </w:r>
      <w:r w:rsidR="002E5D23" w:rsidRPr="008C3753">
        <w:rPr>
          <w:rFonts w:cstheme="minorHAnsi"/>
          <w:lang w:val="en-GB"/>
        </w:rPr>
        <w:t xml:space="preserve"> </w:t>
      </w:r>
      <w:r w:rsidR="00D06D60" w:rsidRPr="008C3753">
        <w:rPr>
          <w:rFonts w:cstheme="minorHAnsi"/>
          <w:lang w:val="en-GB"/>
        </w:rPr>
        <w:t>All patients</w:t>
      </w:r>
      <w:r w:rsidR="007335AE" w:rsidRPr="008C3753">
        <w:rPr>
          <w:rFonts w:cstheme="minorHAnsi"/>
          <w:lang w:val="en-GB"/>
        </w:rPr>
        <w:t xml:space="preserve"> (N=15) </w:t>
      </w:r>
      <w:r w:rsidR="00D06D60" w:rsidRPr="008C3753">
        <w:rPr>
          <w:rFonts w:cstheme="minorHAnsi"/>
          <w:lang w:val="en-GB"/>
        </w:rPr>
        <w:t>rated the leaflet highly on providing all the information they needed (</w:t>
      </w:r>
      <w:r w:rsidR="00BB0663" w:rsidRPr="008C3753">
        <w:rPr>
          <w:rFonts w:cstheme="minorHAnsi"/>
          <w:lang w:val="en-GB"/>
        </w:rPr>
        <w:t>mean score (maximum 7)</w:t>
      </w:r>
      <w:r w:rsidR="00D06D60" w:rsidRPr="008C3753">
        <w:rPr>
          <w:rFonts w:cstheme="minorHAnsi"/>
          <w:lang w:val="en-GB"/>
        </w:rPr>
        <w:t>=6.</w:t>
      </w:r>
      <w:r w:rsidR="00BB0663" w:rsidRPr="008C3753">
        <w:rPr>
          <w:rFonts w:cstheme="minorHAnsi"/>
          <w:lang w:val="en-GB"/>
        </w:rPr>
        <w:t>5</w:t>
      </w:r>
      <w:r w:rsidR="00D06D60" w:rsidRPr="008C3753">
        <w:rPr>
          <w:rFonts w:cstheme="minorHAnsi"/>
          <w:lang w:val="en-GB"/>
        </w:rPr>
        <w:t>, SD=0.52), being helpful (6.4, SD=0.63), trustworthy (6.</w:t>
      </w:r>
      <w:r w:rsidR="00BB0663" w:rsidRPr="008C3753">
        <w:rPr>
          <w:rFonts w:cstheme="minorHAnsi"/>
          <w:lang w:val="en-GB"/>
        </w:rPr>
        <w:t>5</w:t>
      </w:r>
      <w:r w:rsidR="00D06D60" w:rsidRPr="008C3753">
        <w:rPr>
          <w:rFonts w:cstheme="minorHAnsi"/>
          <w:lang w:val="en-GB"/>
        </w:rPr>
        <w:t xml:space="preserve">, SD=0.64), and something they would recommend to others (6.2, SD=0.86), with </w:t>
      </w:r>
      <w:r w:rsidR="00BB0663" w:rsidRPr="008C3753">
        <w:rPr>
          <w:rFonts w:cstheme="minorHAnsi"/>
          <w:lang w:val="en-GB"/>
        </w:rPr>
        <w:t>13/15 (</w:t>
      </w:r>
      <w:r w:rsidR="00D06D60" w:rsidRPr="008C3753">
        <w:rPr>
          <w:rFonts w:cstheme="minorHAnsi"/>
          <w:lang w:val="en-GB"/>
        </w:rPr>
        <w:t>8</w:t>
      </w:r>
      <w:r w:rsidR="00BB0663" w:rsidRPr="008C3753">
        <w:rPr>
          <w:rFonts w:cstheme="minorHAnsi"/>
          <w:lang w:val="en-GB"/>
        </w:rPr>
        <w:t>7</w:t>
      </w:r>
      <w:r w:rsidR="00D06D60" w:rsidRPr="008C3753">
        <w:rPr>
          <w:rFonts w:cstheme="minorHAnsi"/>
          <w:lang w:val="en-GB"/>
        </w:rPr>
        <w:t>%</w:t>
      </w:r>
      <w:r w:rsidR="00BB0663" w:rsidRPr="008C3753">
        <w:rPr>
          <w:rFonts w:cstheme="minorHAnsi"/>
          <w:lang w:val="en-GB"/>
        </w:rPr>
        <w:t>)</w:t>
      </w:r>
      <w:r w:rsidR="00D06D60" w:rsidRPr="008C3753">
        <w:rPr>
          <w:rFonts w:cstheme="minorHAnsi"/>
          <w:lang w:val="en-GB"/>
        </w:rPr>
        <w:t xml:space="preserve"> stating that they would be likely or extremely likely to recommend the leaflet to friends and family taking antibiotics in hospital.</w:t>
      </w:r>
      <w:r w:rsidR="005432FC" w:rsidRPr="008C3753">
        <w:rPr>
          <w:rFonts w:cstheme="minorHAnsi"/>
          <w:lang w:val="en-GB"/>
        </w:rPr>
        <w:t xml:space="preserve"> The commonest method of distribution was in discharge medication bags, meaning that most patients only received the leaflet on discharge</w:t>
      </w:r>
    </w:p>
    <w:p w14:paraId="61CE14CA" w14:textId="77777777" w:rsidR="0086243D" w:rsidRPr="008C3753" w:rsidRDefault="0086243D" w:rsidP="00475602">
      <w:pPr>
        <w:spacing w:after="0" w:line="480" w:lineRule="auto"/>
        <w:jc w:val="both"/>
        <w:rPr>
          <w:rFonts w:cstheme="minorHAnsi"/>
          <w:lang w:val="en-GB"/>
        </w:rPr>
      </w:pPr>
    </w:p>
    <w:p w14:paraId="08A5486B" w14:textId="3C592B73" w:rsidR="00E74BE9" w:rsidRPr="008C3753" w:rsidRDefault="0095614F" w:rsidP="00475602">
      <w:pPr>
        <w:pStyle w:val="Heading2"/>
        <w:spacing w:before="0" w:after="0" w:line="480" w:lineRule="auto"/>
        <w:jc w:val="both"/>
        <w:rPr>
          <w:rFonts w:asciiTheme="minorHAnsi" w:hAnsiTheme="minorHAnsi" w:cstheme="minorHAnsi"/>
          <w:lang w:val="en-GB"/>
        </w:rPr>
      </w:pPr>
      <w:r w:rsidRPr="008C3753">
        <w:rPr>
          <w:rFonts w:asciiTheme="minorHAnsi" w:hAnsiTheme="minorHAnsi" w:cstheme="minorHAnsi"/>
          <w:lang w:val="en-GB"/>
        </w:rPr>
        <w:t xml:space="preserve">Impact on antibiotic </w:t>
      </w:r>
      <w:r w:rsidR="002676D0" w:rsidRPr="008C3753">
        <w:rPr>
          <w:rFonts w:asciiTheme="minorHAnsi" w:hAnsiTheme="minorHAnsi" w:cstheme="minorHAnsi"/>
          <w:lang w:val="en-GB"/>
        </w:rPr>
        <w:t>review and decision making</w:t>
      </w:r>
    </w:p>
    <w:p w14:paraId="2C827404" w14:textId="3CCFBC26" w:rsidR="006F34D0" w:rsidRPr="008C3753" w:rsidRDefault="00BB0663" w:rsidP="00475602">
      <w:pPr>
        <w:pStyle w:val="Heading2"/>
        <w:spacing w:before="0" w:after="0" w:line="480" w:lineRule="auto"/>
        <w:jc w:val="both"/>
        <w:rPr>
          <w:rFonts w:asciiTheme="minorHAnsi" w:hAnsiTheme="minorHAnsi" w:cstheme="minorHAnsi"/>
          <w:i/>
          <w:lang w:val="en-GB"/>
        </w:rPr>
      </w:pPr>
      <w:r w:rsidRPr="008C3753">
        <w:rPr>
          <w:rFonts w:asciiTheme="minorHAnsi" w:hAnsiTheme="minorHAnsi" w:cstheme="minorHAnsi"/>
          <w:i/>
          <w:lang w:val="en-GB"/>
        </w:rPr>
        <w:t>R</w:t>
      </w:r>
      <w:r w:rsidR="006F34D0" w:rsidRPr="008C3753">
        <w:rPr>
          <w:rFonts w:asciiTheme="minorHAnsi" w:hAnsiTheme="minorHAnsi" w:cstheme="minorHAnsi"/>
          <w:i/>
          <w:lang w:val="en-GB"/>
        </w:rPr>
        <w:t>eview within 72 hours of initial prescription</w:t>
      </w:r>
    </w:p>
    <w:p w14:paraId="1D7576C9" w14:textId="32883772" w:rsidR="00337D18" w:rsidRPr="008C3753" w:rsidRDefault="00BB0663" w:rsidP="00475602">
      <w:pPr>
        <w:spacing w:after="0" w:line="480" w:lineRule="auto"/>
        <w:jc w:val="both"/>
        <w:rPr>
          <w:rFonts w:cstheme="minorHAnsi"/>
          <w:lang w:val="en-GB"/>
        </w:rPr>
      </w:pPr>
      <w:r w:rsidRPr="008C3753">
        <w:rPr>
          <w:rFonts w:cstheme="minorHAnsi"/>
          <w:lang w:val="en-GB"/>
        </w:rPr>
        <w:t xml:space="preserve">Throughout the 12-week implementation, &gt;96% </w:t>
      </w:r>
      <w:r w:rsidR="00346222" w:rsidRPr="008C3753">
        <w:rPr>
          <w:rFonts w:cstheme="minorHAnsi"/>
          <w:lang w:val="en-GB"/>
        </w:rPr>
        <w:t xml:space="preserve">of prescriptions </w:t>
      </w:r>
      <w:r w:rsidRPr="008C3753">
        <w:rPr>
          <w:rFonts w:cstheme="minorHAnsi"/>
          <w:lang w:val="en-GB"/>
        </w:rPr>
        <w:t xml:space="preserve">were </w:t>
      </w:r>
      <w:r w:rsidR="00346222" w:rsidRPr="008C3753">
        <w:rPr>
          <w:rFonts w:cstheme="minorHAnsi"/>
          <w:lang w:val="en-GB"/>
        </w:rPr>
        <w:t xml:space="preserve">reviewed </w:t>
      </w:r>
      <w:r w:rsidRPr="008C3753">
        <w:rPr>
          <w:rFonts w:cstheme="minorHAnsi"/>
          <w:lang w:val="en-GB"/>
        </w:rPr>
        <w:t xml:space="preserve">within 72 hours </w:t>
      </w:r>
      <w:r w:rsidR="00F95FF3" w:rsidRPr="008C3753">
        <w:rPr>
          <w:rFonts w:cstheme="minorHAnsi"/>
          <w:lang w:val="en-GB"/>
        </w:rPr>
        <w:t>(</w:t>
      </w:r>
      <w:r w:rsidR="001E3C19" w:rsidRPr="008C3753">
        <w:rPr>
          <w:rFonts w:cstheme="minorHAnsi"/>
          <w:lang w:val="en-GB"/>
        </w:rPr>
        <w:t>f</w:t>
      </w:r>
      <w:r w:rsidR="0019038B" w:rsidRPr="008C3753">
        <w:rPr>
          <w:rFonts w:cstheme="minorHAnsi"/>
          <w:lang w:val="en-GB"/>
        </w:rPr>
        <w:t>igure</w:t>
      </w:r>
      <w:r w:rsidR="002B1EA7" w:rsidRPr="008C3753">
        <w:rPr>
          <w:rFonts w:cstheme="minorHAnsi"/>
          <w:lang w:val="en-GB"/>
        </w:rPr>
        <w:t xml:space="preserve"> </w:t>
      </w:r>
      <w:r w:rsidR="00F861AF" w:rsidRPr="008C3753">
        <w:rPr>
          <w:rFonts w:cstheme="minorHAnsi"/>
          <w:lang w:val="en-GB"/>
        </w:rPr>
        <w:t>2</w:t>
      </w:r>
      <w:r w:rsidR="00F95FF3" w:rsidRPr="008C3753">
        <w:rPr>
          <w:rFonts w:cstheme="minorHAnsi"/>
          <w:lang w:val="en-GB"/>
        </w:rPr>
        <w:t>)</w:t>
      </w:r>
      <w:r w:rsidRPr="008C3753">
        <w:rPr>
          <w:rFonts w:cstheme="minorHAnsi"/>
          <w:lang w:val="en-GB"/>
        </w:rPr>
        <w:t>,</w:t>
      </w:r>
      <w:r w:rsidR="006053DD" w:rsidRPr="008C3753">
        <w:rPr>
          <w:rFonts w:cstheme="minorHAnsi"/>
          <w:lang w:val="en-GB"/>
        </w:rPr>
        <w:t xml:space="preserve"> remain</w:t>
      </w:r>
      <w:r w:rsidRPr="008C3753">
        <w:rPr>
          <w:rFonts w:cstheme="minorHAnsi"/>
          <w:lang w:val="en-GB"/>
        </w:rPr>
        <w:t>ing</w:t>
      </w:r>
      <w:r w:rsidR="006053DD" w:rsidRPr="008C3753">
        <w:rPr>
          <w:rFonts w:cstheme="minorHAnsi"/>
          <w:lang w:val="en-GB"/>
        </w:rPr>
        <w:t xml:space="preserve"> </w:t>
      </w:r>
      <w:r w:rsidR="00D6374A" w:rsidRPr="008C3753">
        <w:rPr>
          <w:rFonts w:cstheme="minorHAnsi"/>
          <w:lang w:val="en-GB"/>
        </w:rPr>
        <w:t>approximately</w:t>
      </w:r>
      <w:r w:rsidR="00D52222" w:rsidRPr="008C3753">
        <w:rPr>
          <w:rFonts w:cstheme="minorHAnsi"/>
          <w:lang w:val="en-GB"/>
        </w:rPr>
        <w:t xml:space="preserve"> </w:t>
      </w:r>
      <w:r w:rsidR="006053DD" w:rsidRPr="008C3753">
        <w:rPr>
          <w:rFonts w:cstheme="minorHAnsi"/>
          <w:lang w:val="en-GB"/>
        </w:rPr>
        <w:t xml:space="preserve">stable </w:t>
      </w:r>
      <w:r w:rsidR="00D6374A" w:rsidRPr="008C3753">
        <w:rPr>
          <w:rFonts w:cstheme="minorHAnsi"/>
          <w:lang w:val="en-GB"/>
        </w:rPr>
        <w:t>over time</w:t>
      </w:r>
      <w:r w:rsidR="006053DD" w:rsidRPr="008C3753">
        <w:rPr>
          <w:rFonts w:cstheme="minorHAnsi"/>
          <w:lang w:val="en-GB"/>
        </w:rPr>
        <w:t xml:space="preserve"> (Fisher’s exact </w:t>
      </w:r>
      <w:r w:rsidR="006053DD" w:rsidRPr="008C3753">
        <w:rPr>
          <w:rFonts w:cstheme="minorHAnsi"/>
          <w:i/>
          <w:lang w:val="en-GB"/>
        </w:rPr>
        <w:t>p</w:t>
      </w:r>
      <w:r w:rsidR="006053DD" w:rsidRPr="008C3753">
        <w:rPr>
          <w:rFonts w:cstheme="minorHAnsi"/>
          <w:lang w:val="en-GB"/>
        </w:rPr>
        <w:t>=</w:t>
      </w:r>
      <w:r w:rsidR="001E3C19" w:rsidRPr="008C3753">
        <w:rPr>
          <w:rFonts w:cstheme="minorHAnsi"/>
          <w:lang w:val="en-GB"/>
        </w:rPr>
        <w:t>0</w:t>
      </w:r>
      <w:r w:rsidR="006053DD" w:rsidRPr="008C3753">
        <w:rPr>
          <w:rFonts w:cstheme="minorHAnsi"/>
          <w:lang w:val="en-GB"/>
        </w:rPr>
        <w:t>.</w:t>
      </w:r>
      <w:r w:rsidR="00D6374A" w:rsidRPr="008C3753">
        <w:rPr>
          <w:rFonts w:cstheme="minorHAnsi"/>
          <w:lang w:val="en-GB"/>
        </w:rPr>
        <w:t>80</w:t>
      </w:r>
      <w:r w:rsidR="006F7775" w:rsidRPr="008C3753">
        <w:rPr>
          <w:rFonts w:cstheme="minorHAnsi"/>
          <w:lang w:val="en-GB"/>
        </w:rPr>
        <w:t>)</w:t>
      </w:r>
      <w:r w:rsidR="005B0F36" w:rsidRPr="008C3753">
        <w:rPr>
          <w:rFonts w:cstheme="minorHAnsi"/>
          <w:lang w:val="en-GB"/>
        </w:rPr>
        <w:t>.</w:t>
      </w:r>
      <w:r w:rsidRPr="008C3753">
        <w:rPr>
          <w:rFonts w:cstheme="minorHAnsi"/>
          <w:lang w:val="en-GB"/>
        </w:rPr>
        <w:t xml:space="preserve"> </w:t>
      </w:r>
      <w:r w:rsidR="005B0F36" w:rsidRPr="008C3753">
        <w:rPr>
          <w:rFonts w:cstheme="minorHAnsi"/>
          <w:lang w:val="en-GB"/>
        </w:rPr>
        <w:t>Overall review rates increased from</w:t>
      </w:r>
      <w:r w:rsidR="009D76BE" w:rsidRPr="008C3753">
        <w:rPr>
          <w:rFonts w:cstheme="minorHAnsi"/>
          <w:lang w:val="en-GB"/>
        </w:rPr>
        <w:t xml:space="preserve"> </w:t>
      </w:r>
      <w:r w:rsidRPr="008C3753">
        <w:rPr>
          <w:rFonts w:cstheme="minorHAnsi"/>
          <w:lang w:val="en-GB"/>
        </w:rPr>
        <w:t xml:space="preserve">91% </w:t>
      </w:r>
      <w:r w:rsidR="005B0F36" w:rsidRPr="008C3753">
        <w:rPr>
          <w:rFonts w:cstheme="minorHAnsi"/>
          <w:lang w:val="en-GB"/>
        </w:rPr>
        <w:t xml:space="preserve">(69/76) </w:t>
      </w:r>
      <w:r w:rsidRPr="008C3753">
        <w:rPr>
          <w:rFonts w:cstheme="minorHAnsi"/>
          <w:lang w:val="en-GB"/>
        </w:rPr>
        <w:t xml:space="preserve">at baseline </w:t>
      </w:r>
      <w:r w:rsidR="009D76BE" w:rsidRPr="008C3753">
        <w:rPr>
          <w:rFonts w:cstheme="minorHAnsi"/>
          <w:lang w:val="en-GB"/>
        </w:rPr>
        <w:t xml:space="preserve">to 99% </w:t>
      </w:r>
      <w:r w:rsidR="005B0F36" w:rsidRPr="008C3753">
        <w:rPr>
          <w:rFonts w:cstheme="minorHAnsi"/>
          <w:lang w:val="en-GB"/>
        </w:rPr>
        <w:t xml:space="preserve">(450/457) </w:t>
      </w:r>
      <w:r w:rsidRPr="008C3753">
        <w:rPr>
          <w:rFonts w:cstheme="minorHAnsi"/>
          <w:lang w:val="en-GB"/>
        </w:rPr>
        <w:t xml:space="preserve">post-implementation </w:t>
      </w:r>
      <w:r w:rsidR="009D76BE" w:rsidRPr="008C3753">
        <w:rPr>
          <w:rFonts w:cstheme="minorHAnsi"/>
          <w:lang w:val="en-GB"/>
        </w:rPr>
        <w:t>(odds ratio (OR)</w:t>
      </w:r>
      <w:r w:rsidR="004C1CB3" w:rsidRPr="008C3753">
        <w:rPr>
          <w:rFonts w:cstheme="minorHAnsi"/>
          <w:lang w:val="en-GB"/>
        </w:rPr>
        <w:t xml:space="preserve"> post vs pre-implementation</w:t>
      </w:r>
      <w:r w:rsidR="005B0F36" w:rsidRPr="008C3753">
        <w:rPr>
          <w:rFonts w:cstheme="minorHAnsi"/>
          <w:lang w:val="en-GB"/>
        </w:rPr>
        <w:t>=</w:t>
      </w:r>
      <w:r w:rsidR="003310BD" w:rsidRPr="008C3753">
        <w:rPr>
          <w:rFonts w:cstheme="minorHAnsi"/>
          <w:lang w:val="en-GB"/>
        </w:rPr>
        <w:t>6.52 [</w:t>
      </w:r>
      <w:r w:rsidR="00D6374A" w:rsidRPr="008C3753">
        <w:rPr>
          <w:rFonts w:cstheme="minorHAnsi"/>
          <w:lang w:val="en-GB"/>
        </w:rPr>
        <w:t xml:space="preserve">95% CI </w:t>
      </w:r>
      <w:r w:rsidR="003310BD" w:rsidRPr="008C3753">
        <w:rPr>
          <w:rFonts w:cstheme="minorHAnsi"/>
          <w:lang w:val="en-GB"/>
        </w:rPr>
        <w:t xml:space="preserve">2.22,19.16], </w:t>
      </w:r>
      <w:r w:rsidR="003310BD" w:rsidRPr="008C3753">
        <w:rPr>
          <w:rFonts w:cstheme="minorHAnsi"/>
          <w:i/>
          <w:lang w:val="en-GB"/>
        </w:rPr>
        <w:t>p</w:t>
      </w:r>
      <w:r w:rsidR="003310BD" w:rsidRPr="008C3753">
        <w:rPr>
          <w:rFonts w:cstheme="minorHAnsi"/>
          <w:lang w:val="en-GB"/>
        </w:rPr>
        <w:t>=</w:t>
      </w:r>
      <w:r w:rsidR="001E3C19" w:rsidRPr="008C3753">
        <w:rPr>
          <w:rFonts w:cstheme="minorHAnsi"/>
          <w:lang w:val="en-GB"/>
        </w:rPr>
        <w:t>0</w:t>
      </w:r>
      <w:r w:rsidR="003310BD" w:rsidRPr="008C3753">
        <w:rPr>
          <w:rFonts w:cstheme="minorHAnsi"/>
          <w:lang w:val="en-GB"/>
        </w:rPr>
        <w:t>.001</w:t>
      </w:r>
      <w:r w:rsidRPr="008C3753">
        <w:rPr>
          <w:rFonts w:cstheme="minorHAnsi"/>
          <w:lang w:val="en-GB"/>
        </w:rPr>
        <w:t>)</w:t>
      </w:r>
      <w:r w:rsidR="003310BD" w:rsidRPr="008C3753">
        <w:rPr>
          <w:rFonts w:cstheme="minorHAnsi"/>
          <w:lang w:val="en-GB"/>
        </w:rPr>
        <w:t>.</w:t>
      </w:r>
    </w:p>
    <w:p w14:paraId="7D2A1BBD" w14:textId="77777777" w:rsidR="0086243D" w:rsidRPr="008C3753" w:rsidRDefault="0086243D" w:rsidP="00475602">
      <w:pPr>
        <w:spacing w:after="0" w:line="480" w:lineRule="auto"/>
        <w:jc w:val="both"/>
        <w:rPr>
          <w:rFonts w:cstheme="minorHAnsi"/>
          <w:lang w:val="en-GB"/>
        </w:rPr>
      </w:pPr>
    </w:p>
    <w:p w14:paraId="6FC4EBAD" w14:textId="33FFBB78" w:rsidR="006F34D0" w:rsidRPr="008C3753" w:rsidRDefault="00BB0663" w:rsidP="00475602">
      <w:pPr>
        <w:pStyle w:val="Heading2"/>
        <w:spacing w:before="0" w:after="0" w:line="480" w:lineRule="auto"/>
        <w:jc w:val="both"/>
        <w:rPr>
          <w:rFonts w:asciiTheme="minorHAnsi" w:hAnsiTheme="minorHAnsi" w:cstheme="minorHAnsi"/>
          <w:b w:val="0"/>
          <w:lang w:val="en-GB"/>
        </w:rPr>
      </w:pPr>
      <w:r w:rsidRPr="008C3753">
        <w:rPr>
          <w:rFonts w:asciiTheme="minorHAnsi" w:hAnsiTheme="minorHAnsi"/>
          <w:i/>
          <w:lang w:val="en-GB"/>
        </w:rPr>
        <w:t>S</w:t>
      </w:r>
      <w:r w:rsidR="006F34D0" w:rsidRPr="008C3753">
        <w:rPr>
          <w:rFonts w:asciiTheme="minorHAnsi" w:hAnsiTheme="minorHAnsi"/>
          <w:i/>
          <w:lang w:val="en-GB"/>
        </w:rPr>
        <w:t>topping antibiotics</w:t>
      </w:r>
    </w:p>
    <w:p w14:paraId="0654859A" w14:textId="0ABFA6E2" w:rsidR="000B2F11" w:rsidRPr="008C3753" w:rsidRDefault="0014240C" w:rsidP="00475602">
      <w:pPr>
        <w:spacing w:after="0" w:line="480" w:lineRule="auto"/>
        <w:jc w:val="both"/>
        <w:rPr>
          <w:rFonts w:cstheme="minorHAnsi"/>
          <w:lang w:val="en-GB"/>
        </w:rPr>
      </w:pPr>
      <w:r w:rsidRPr="008C3753">
        <w:rPr>
          <w:rFonts w:cstheme="minorHAnsi"/>
          <w:lang w:val="en-GB"/>
        </w:rPr>
        <w:t>The m</w:t>
      </w:r>
      <w:r w:rsidR="002676D0" w:rsidRPr="008C3753">
        <w:rPr>
          <w:rFonts w:cstheme="minorHAnsi"/>
          <w:lang w:val="en-GB"/>
        </w:rPr>
        <w:t>edian a</w:t>
      </w:r>
      <w:r w:rsidR="00D96F47" w:rsidRPr="008C3753">
        <w:rPr>
          <w:rFonts w:cstheme="minorHAnsi"/>
          <w:lang w:val="en-GB"/>
        </w:rPr>
        <w:t>ntibiotic stop rate</w:t>
      </w:r>
      <w:r w:rsidR="002676D0" w:rsidRPr="008C3753">
        <w:rPr>
          <w:rFonts w:cstheme="minorHAnsi"/>
          <w:lang w:val="en-GB"/>
        </w:rPr>
        <w:t xml:space="preserve"> </w:t>
      </w:r>
      <w:r w:rsidR="00BB0663" w:rsidRPr="008C3753">
        <w:rPr>
          <w:rFonts w:cstheme="minorHAnsi"/>
          <w:lang w:val="en-GB"/>
        </w:rPr>
        <w:t xml:space="preserve">across audits </w:t>
      </w:r>
      <w:r w:rsidR="002676D0" w:rsidRPr="008C3753">
        <w:rPr>
          <w:rFonts w:cstheme="minorHAnsi"/>
          <w:lang w:val="en-GB"/>
        </w:rPr>
        <w:t>post</w:t>
      </w:r>
      <w:r w:rsidR="00BB0663" w:rsidRPr="008C3753">
        <w:rPr>
          <w:rFonts w:cstheme="minorHAnsi"/>
          <w:lang w:val="en-GB"/>
        </w:rPr>
        <w:t>-</w:t>
      </w:r>
      <w:r w:rsidR="002676D0" w:rsidRPr="008C3753">
        <w:rPr>
          <w:rFonts w:cstheme="minorHAnsi"/>
          <w:lang w:val="en-GB"/>
        </w:rPr>
        <w:t xml:space="preserve">implementation was </w:t>
      </w:r>
      <w:r w:rsidR="009B6EAB" w:rsidRPr="008C3753">
        <w:rPr>
          <w:rFonts w:cstheme="minorHAnsi"/>
          <w:lang w:val="en-GB"/>
        </w:rPr>
        <w:t>36% (range 29-40%)</w:t>
      </w:r>
      <w:r w:rsidR="00D96F47" w:rsidRPr="008C3753">
        <w:rPr>
          <w:rFonts w:cstheme="minorHAnsi"/>
          <w:lang w:val="en-GB"/>
        </w:rPr>
        <w:t xml:space="preserve"> </w:t>
      </w:r>
      <w:r w:rsidR="00DC19AC" w:rsidRPr="008C3753">
        <w:rPr>
          <w:rFonts w:cstheme="minorHAnsi"/>
          <w:lang w:val="en-GB"/>
        </w:rPr>
        <w:t>(</w:t>
      </w:r>
      <w:r w:rsidR="001E3C19" w:rsidRPr="008C3753">
        <w:rPr>
          <w:rFonts w:cstheme="minorHAnsi"/>
          <w:lang w:val="en-GB"/>
        </w:rPr>
        <w:t>f</w:t>
      </w:r>
      <w:r w:rsidR="00DC19AC" w:rsidRPr="008C3753">
        <w:rPr>
          <w:rFonts w:cstheme="minorHAnsi"/>
          <w:lang w:val="en-GB"/>
        </w:rPr>
        <w:t xml:space="preserve">igure </w:t>
      </w:r>
      <w:r w:rsidR="00F861AF" w:rsidRPr="008C3753">
        <w:rPr>
          <w:rFonts w:cstheme="minorHAnsi"/>
          <w:lang w:val="en-GB"/>
        </w:rPr>
        <w:t>2</w:t>
      </w:r>
      <w:r w:rsidR="00DC19AC" w:rsidRPr="008C3753">
        <w:rPr>
          <w:rFonts w:cstheme="minorHAnsi"/>
          <w:lang w:val="en-GB"/>
        </w:rPr>
        <w:t>)</w:t>
      </w:r>
      <w:r w:rsidR="006053DD" w:rsidRPr="008C3753">
        <w:rPr>
          <w:rFonts w:cstheme="minorHAnsi"/>
          <w:lang w:val="en-GB"/>
        </w:rPr>
        <w:t xml:space="preserve"> remain</w:t>
      </w:r>
      <w:r w:rsidR="00BB0663" w:rsidRPr="008C3753">
        <w:rPr>
          <w:rFonts w:cstheme="minorHAnsi"/>
          <w:lang w:val="en-GB"/>
        </w:rPr>
        <w:t>ing</w:t>
      </w:r>
      <w:r w:rsidR="006053DD" w:rsidRPr="008C3753">
        <w:rPr>
          <w:rFonts w:cstheme="minorHAnsi"/>
          <w:lang w:val="en-GB"/>
        </w:rPr>
        <w:t xml:space="preserve"> relatively stable </w:t>
      </w:r>
      <w:r w:rsidR="00BB0663" w:rsidRPr="008C3753">
        <w:rPr>
          <w:rFonts w:cstheme="minorHAnsi"/>
          <w:lang w:val="en-GB"/>
        </w:rPr>
        <w:t xml:space="preserve">over time </w:t>
      </w:r>
      <w:r w:rsidR="00D6374A" w:rsidRPr="008C3753">
        <w:rPr>
          <w:rFonts w:cstheme="minorHAnsi"/>
          <w:lang w:val="en-GB"/>
        </w:rPr>
        <w:t>(heterogeneity</w:t>
      </w:r>
      <w:r w:rsidR="006053DD" w:rsidRPr="008C3753">
        <w:rPr>
          <w:rFonts w:cstheme="minorHAnsi"/>
          <w:lang w:val="en-GB"/>
        </w:rPr>
        <w:t xml:space="preserve"> </w:t>
      </w:r>
      <w:r w:rsidR="006053DD" w:rsidRPr="008C3753">
        <w:rPr>
          <w:rFonts w:cstheme="minorHAnsi"/>
          <w:i/>
          <w:lang w:val="en-GB"/>
        </w:rPr>
        <w:t>p</w:t>
      </w:r>
      <w:r w:rsidR="006053DD" w:rsidRPr="008C3753">
        <w:rPr>
          <w:rFonts w:cstheme="minorHAnsi"/>
          <w:lang w:val="en-GB"/>
        </w:rPr>
        <w:t>=</w:t>
      </w:r>
      <w:r w:rsidR="00881419" w:rsidRPr="008C3753">
        <w:rPr>
          <w:rFonts w:cstheme="minorHAnsi"/>
          <w:lang w:val="en-GB"/>
        </w:rPr>
        <w:t>0</w:t>
      </w:r>
      <w:r w:rsidR="006053DD" w:rsidRPr="008C3753">
        <w:rPr>
          <w:rFonts w:cstheme="minorHAnsi"/>
          <w:lang w:val="en-GB"/>
        </w:rPr>
        <w:t>.87</w:t>
      </w:r>
      <w:r w:rsidR="00D6374A" w:rsidRPr="008C3753">
        <w:rPr>
          <w:rFonts w:cstheme="minorHAnsi"/>
          <w:lang w:val="en-GB"/>
        </w:rPr>
        <w:t>)</w:t>
      </w:r>
      <w:r w:rsidR="00D96F47" w:rsidRPr="008C3753">
        <w:rPr>
          <w:rFonts w:cstheme="minorHAnsi"/>
          <w:lang w:val="en-GB"/>
        </w:rPr>
        <w:t>.</w:t>
      </w:r>
      <w:r w:rsidR="009D163D" w:rsidRPr="008C3753">
        <w:rPr>
          <w:rFonts w:cstheme="minorHAnsi"/>
          <w:lang w:val="en-GB"/>
        </w:rPr>
        <w:t xml:space="preserve"> </w:t>
      </w:r>
      <w:r w:rsidR="00D6374A" w:rsidRPr="008C3753">
        <w:rPr>
          <w:rFonts w:cstheme="minorHAnsi"/>
          <w:lang w:val="en-GB"/>
        </w:rPr>
        <w:t>Overall</w:t>
      </w:r>
      <w:r w:rsidR="0067625E" w:rsidRPr="008C3753">
        <w:rPr>
          <w:rFonts w:cstheme="minorHAnsi"/>
          <w:lang w:val="en-GB"/>
        </w:rPr>
        <w:t xml:space="preserve">, </w:t>
      </w:r>
      <w:r w:rsidR="009D76BE" w:rsidRPr="008C3753">
        <w:rPr>
          <w:rFonts w:cstheme="minorHAnsi"/>
          <w:lang w:val="en-GB"/>
        </w:rPr>
        <w:t xml:space="preserve">the </w:t>
      </w:r>
      <w:r w:rsidR="005C65B4" w:rsidRPr="008C3753">
        <w:rPr>
          <w:rFonts w:cstheme="minorHAnsi"/>
          <w:lang w:val="en-GB"/>
        </w:rPr>
        <w:t>percentage</w:t>
      </w:r>
      <w:r w:rsidR="009D76BE" w:rsidRPr="008C3753">
        <w:rPr>
          <w:rFonts w:cstheme="minorHAnsi"/>
          <w:lang w:val="en-GB"/>
        </w:rPr>
        <w:t xml:space="preserve"> </w:t>
      </w:r>
      <w:r w:rsidR="0067625E" w:rsidRPr="008C3753">
        <w:rPr>
          <w:rFonts w:cstheme="minorHAnsi"/>
          <w:lang w:val="en-GB"/>
        </w:rPr>
        <w:t xml:space="preserve">stopping antibiotics </w:t>
      </w:r>
      <w:r w:rsidR="009B6EAB" w:rsidRPr="008C3753">
        <w:rPr>
          <w:rFonts w:cstheme="minorHAnsi"/>
          <w:lang w:val="en-GB"/>
        </w:rPr>
        <w:t>by</w:t>
      </w:r>
      <w:r w:rsidR="003310BD" w:rsidRPr="008C3753">
        <w:rPr>
          <w:rFonts w:cstheme="minorHAnsi"/>
          <w:lang w:val="en-GB"/>
        </w:rPr>
        <w:t xml:space="preserve"> 72 hours </w:t>
      </w:r>
      <w:r w:rsidR="0067625E" w:rsidRPr="008C3753">
        <w:rPr>
          <w:rFonts w:cstheme="minorHAnsi"/>
          <w:lang w:val="en-GB"/>
        </w:rPr>
        <w:t xml:space="preserve">increased </w:t>
      </w:r>
      <w:r w:rsidR="003310BD" w:rsidRPr="008C3753">
        <w:rPr>
          <w:rFonts w:cstheme="minorHAnsi"/>
          <w:lang w:val="en-GB"/>
        </w:rPr>
        <w:t xml:space="preserve">from 9% (6/69) </w:t>
      </w:r>
      <w:r w:rsidR="00BB0663" w:rsidRPr="008C3753">
        <w:rPr>
          <w:rFonts w:cstheme="minorHAnsi"/>
          <w:lang w:val="en-GB"/>
        </w:rPr>
        <w:t xml:space="preserve">at baseline </w:t>
      </w:r>
      <w:r w:rsidR="003310BD" w:rsidRPr="008C3753">
        <w:rPr>
          <w:rFonts w:cstheme="minorHAnsi"/>
          <w:lang w:val="en-GB"/>
        </w:rPr>
        <w:t xml:space="preserve">to 35% (156/450) </w:t>
      </w:r>
      <w:r w:rsidR="00BB0663" w:rsidRPr="008C3753">
        <w:rPr>
          <w:rFonts w:cstheme="minorHAnsi"/>
          <w:lang w:val="en-GB"/>
        </w:rPr>
        <w:t xml:space="preserve">post-implementation </w:t>
      </w:r>
      <w:r w:rsidR="00D6374A" w:rsidRPr="008C3753">
        <w:rPr>
          <w:rFonts w:cstheme="minorHAnsi"/>
          <w:lang w:val="en-GB"/>
        </w:rPr>
        <w:t>(</w:t>
      </w:r>
      <w:r w:rsidR="003310BD" w:rsidRPr="008C3753">
        <w:rPr>
          <w:rFonts w:cstheme="minorHAnsi"/>
          <w:lang w:val="en-GB"/>
        </w:rPr>
        <w:t>OR</w:t>
      </w:r>
      <w:r w:rsidR="00D6374A" w:rsidRPr="008C3753">
        <w:rPr>
          <w:rFonts w:cstheme="minorHAnsi"/>
          <w:lang w:val="en-GB"/>
        </w:rPr>
        <w:t>=</w:t>
      </w:r>
      <w:r w:rsidR="003310BD" w:rsidRPr="008C3753">
        <w:rPr>
          <w:rFonts w:cstheme="minorHAnsi"/>
          <w:lang w:val="en-GB"/>
        </w:rPr>
        <w:t>5.57 [</w:t>
      </w:r>
      <w:r w:rsidR="00D6374A" w:rsidRPr="008C3753">
        <w:rPr>
          <w:rFonts w:cstheme="minorHAnsi"/>
          <w:lang w:val="en-GB"/>
        </w:rPr>
        <w:t xml:space="preserve">95% CI </w:t>
      </w:r>
      <w:r w:rsidR="003310BD" w:rsidRPr="008C3753">
        <w:rPr>
          <w:rFonts w:cstheme="minorHAnsi"/>
          <w:lang w:val="en-GB"/>
        </w:rPr>
        <w:t xml:space="preserve">2.36,13.16], </w:t>
      </w:r>
      <w:r w:rsidR="003310BD" w:rsidRPr="008C3753">
        <w:rPr>
          <w:rFonts w:cstheme="minorHAnsi"/>
          <w:i/>
          <w:lang w:val="en-GB"/>
        </w:rPr>
        <w:t>p</w:t>
      </w:r>
      <w:r w:rsidR="003310BD" w:rsidRPr="008C3753">
        <w:rPr>
          <w:rFonts w:cstheme="minorHAnsi"/>
          <w:lang w:val="en-GB"/>
        </w:rPr>
        <w:t>&lt;</w:t>
      </w:r>
      <w:r w:rsidR="001E3C19" w:rsidRPr="008C3753">
        <w:rPr>
          <w:rFonts w:cstheme="minorHAnsi"/>
          <w:lang w:val="en-GB"/>
        </w:rPr>
        <w:t>0</w:t>
      </w:r>
      <w:r w:rsidR="003310BD" w:rsidRPr="008C3753">
        <w:rPr>
          <w:rFonts w:cstheme="minorHAnsi"/>
          <w:lang w:val="en-GB"/>
        </w:rPr>
        <w:t>.001</w:t>
      </w:r>
      <w:r w:rsidR="00D6374A" w:rsidRPr="008C3753">
        <w:rPr>
          <w:rFonts w:cstheme="minorHAnsi"/>
          <w:lang w:val="en-GB"/>
        </w:rPr>
        <w:t>)</w:t>
      </w:r>
      <w:r w:rsidR="003310BD" w:rsidRPr="008C3753">
        <w:rPr>
          <w:rFonts w:cstheme="minorHAnsi"/>
          <w:lang w:val="en-GB"/>
        </w:rPr>
        <w:t>.</w:t>
      </w:r>
      <w:r w:rsidR="0086243D" w:rsidRPr="008C3753">
        <w:rPr>
          <w:rFonts w:cstheme="minorHAnsi"/>
          <w:lang w:val="en-GB"/>
        </w:rPr>
        <w:t xml:space="preserve"> </w:t>
      </w:r>
      <w:r w:rsidR="00BB0663" w:rsidRPr="008C3753">
        <w:rPr>
          <w:rFonts w:cstheme="minorHAnsi"/>
          <w:lang w:val="en-GB"/>
        </w:rPr>
        <w:t>Post-implementation, a</w:t>
      </w:r>
      <w:r w:rsidR="00337D18" w:rsidRPr="008C3753">
        <w:rPr>
          <w:rFonts w:cstheme="minorHAnsi"/>
          <w:lang w:val="en-GB"/>
        </w:rPr>
        <w:t>ntibiotic stop rates varied significantly according to the Decision Aid category</w:t>
      </w:r>
      <w:r w:rsidR="00D6374A" w:rsidRPr="008C3753">
        <w:rPr>
          <w:rFonts w:cstheme="minorHAnsi"/>
          <w:lang w:val="en-GB"/>
        </w:rPr>
        <w:t xml:space="preserve">, with </w:t>
      </w:r>
      <w:r w:rsidR="000B2F11" w:rsidRPr="008C3753">
        <w:rPr>
          <w:rFonts w:cstheme="minorHAnsi"/>
          <w:lang w:val="en-GB"/>
        </w:rPr>
        <w:t xml:space="preserve">48% (51/106) of prescriptions categorised as </w:t>
      </w:r>
      <w:r w:rsidR="0004425A" w:rsidRPr="008C3753">
        <w:rPr>
          <w:rFonts w:cstheme="minorHAnsi"/>
          <w:lang w:val="en-GB"/>
        </w:rPr>
        <w:t>“</w:t>
      </w:r>
      <w:r w:rsidR="000B2F11" w:rsidRPr="008C3753">
        <w:rPr>
          <w:rFonts w:cstheme="minorHAnsi"/>
          <w:b/>
          <w:bCs/>
          <w:lang w:val="en-GB"/>
        </w:rPr>
        <w:t>possible</w:t>
      </w:r>
      <w:r w:rsidR="0004425A" w:rsidRPr="008C3753">
        <w:rPr>
          <w:rFonts w:cstheme="minorHAnsi"/>
          <w:lang w:val="en-GB"/>
        </w:rPr>
        <w:t>”</w:t>
      </w:r>
      <w:r w:rsidR="000B2F11" w:rsidRPr="008C3753">
        <w:rPr>
          <w:rFonts w:cstheme="minorHAnsi"/>
          <w:lang w:val="en-GB"/>
        </w:rPr>
        <w:t xml:space="preserve"> stopped </w:t>
      </w:r>
      <w:r w:rsidR="009B6EAB" w:rsidRPr="008C3753">
        <w:rPr>
          <w:rFonts w:cstheme="minorHAnsi"/>
          <w:lang w:val="en-GB"/>
        </w:rPr>
        <w:t>by</w:t>
      </w:r>
      <w:r w:rsidR="000B2F11" w:rsidRPr="008C3753">
        <w:rPr>
          <w:rFonts w:cstheme="minorHAnsi"/>
          <w:lang w:val="en-GB"/>
        </w:rPr>
        <w:t xml:space="preserve"> 72 hours </w:t>
      </w:r>
      <w:r w:rsidR="00BB0663" w:rsidRPr="008C3753">
        <w:rPr>
          <w:rFonts w:cstheme="minorHAnsi"/>
          <w:lang w:val="en-GB"/>
        </w:rPr>
        <w:t>versus</w:t>
      </w:r>
      <w:r w:rsidR="000B2F11" w:rsidRPr="008C3753">
        <w:rPr>
          <w:rFonts w:cstheme="minorHAnsi"/>
          <w:lang w:val="en-GB"/>
        </w:rPr>
        <w:t xml:space="preserve"> 29% (75/260) </w:t>
      </w:r>
      <w:r w:rsidR="0004425A" w:rsidRPr="008C3753">
        <w:rPr>
          <w:rFonts w:cstheme="minorHAnsi"/>
          <w:lang w:val="en-GB"/>
        </w:rPr>
        <w:t>“</w:t>
      </w:r>
      <w:r w:rsidR="000B2F11" w:rsidRPr="008C3753">
        <w:rPr>
          <w:rFonts w:cstheme="minorHAnsi"/>
          <w:b/>
          <w:bCs/>
          <w:lang w:val="en-GB"/>
        </w:rPr>
        <w:t>probable</w:t>
      </w:r>
      <w:r w:rsidR="0004425A" w:rsidRPr="008C3753">
        <w:rPr>
          <w:rFonts w:cstheme="minorHAnsi"/>
          <w:lang w:val="en-GB"/>
        </w:rPr>
        <w:t>”</w:t>
      </w:r>
      <w:r w:rsidR="00B052C0" w:rsidRPr="008C3753">
        <w:rPr>
          <w:rFonts w:cstheme="minorHAnsi"/>
          <w:lang w:val="en-GB"/>
        </w:rPr>
        <w:t xml:space="preserve"> </w:t>
      </w:r>
      <w:r w:rsidR="00D6374A" w:rsidRPr="008C3753">
        <w:rPr>
          <w:rFonts w:cstheme="minorHAnsi"/>
          <w:lang w:val="en-GB"/>
        </w:rPr>
        <w:t>(</w:t>
      </w:r>
      <w:r w:rsidR="00B052C0" w:rsidRPr="008C3753">
        <w:rPr>
          <w:rFonts w:cstheme="minorHAnsi"/>
          <w:lang w:val="en-GB"/>
        </w:rPr>
        <w:t>O</w:t>
      </w:r>
      <w:r w:rsidR="009B6EAB" w:rsidRPr="008C3753">
        <w:rPr>
          <w:rFonts w:cstheme="minorHAnsi"/>
          <w:lang w:val="en-GB"/>
        </w:rPr>
        <w:t>R</w:t>
      </w:r>
      <w:r w:rsidR="001E3C19" w:rsidRPr="008C3753">
        <w:rPr>
          <w:rFonts w:cstheme="minorHAnsi"/>
          <w:lang w:val="en-GB"/>
        </w:rPr>
        <w:t xml:space="preserve"> </w:t>
      </w:r>
      <w:r w:rsidR="00BB0663" w:rsidRPr="008C3753">
        <w:rPr>
          <w:rFonts w:cstheme="minorHAnsi"/>
          <w:lang w:val="en-GB"/>
        </w:rPr>
        <w:t>(</w:t>
      </w:r>
      <w:proofErr w:type="spellStart"/>
      <w:r w:rsidR="00BB0663" w:rsidRPr="008C3753">
        <w:rPr>
          <w:rFonts w:cstheme="minorHAnsi"/>
          <w:lang w:val="en-GB"/>
        </w:rPr>
        <w:t>possible:probable</w:t>
      </w:r>
      <w:proofErr w:type="spellEnd"/>
      <w:r w:rsidR="00BB0663" w:rsidRPr="008C3753">
        <w:rPr>
          <w:rFonts w:cstheme="minorHAnsi"/>
          <w:lang w:val="en-GB"/>
        </w:rPr>
        <w:t>)=</w:t>
      </w:r>
      <w:r w:rsidR="00B052C0" w:rsidRPr="008C3753">
        <w:rPr>
          <w:rFonts w:cstheme="minorHAnsi"/>
          <w:lang w:val="en-GB"/>
        </w:rPr>
        <w:t>2.29 [</w:t>
      </w:r>
      <w:r w:rsidR="00D6374A" w:rsidRPr="008C3753">
        <w:rPr>
          <w:rFonts w:cstheme="minorHAnsi"/>
          <w:lang w:val="en-GB"/>
        </w:rPr>
        <w:t xml:space="preserve">95% CI </w:t>
      </w:r>
      <w:r w:rsidR="00B052C0" w:rsidRPr="008C3753">
        <w:rPr>
          <w:rFonts w:cstheme="minorHAnsi"/>
          <w:lang w:val="en-GB"/>
        </w:rPr>
        <w:t xml:space="preserve">1.44,3.64], </w:t>
      </w:r>
      <w:r w:rsidR="00B052C0" w:rsidRPr="008C3753">
        <w:rPr>
          <w:rFonts w:cstheme="minorHAnsi"/>
          <w:i/>
          <w:lang w:val="en-GB"/>
        </w:rPr>
        <w:t>p</w:t>
      </w:r>
      <w:r w:rsidR="00B052C0" w:rsidRPr="008C3753">
        <w:rPr>
          <w:rFonts w:cstheme="minorHAnsi"/>
          <w:lang w:val="en-GB"/>
        </w:rPr>
        <w:t>=</w:t>
      </w:r>
      <w:r w:rsidR="001E3C19" w:rsidRPr="008C3753">
        <w:rPr>
          <w:rFonts w:cstheme="minorHAnsi"/>
          <w:lang w:val="en-GB"/>
        </w:rPr>
        <w:t>0</w:t>
      </w:r>
      <w:r w:rsidR="00B052C0" w:rsidRPr="008C3753">
        <w:rPr>
          <w:rFonts w:cstheme="minorHAnsi"/>
          <w:lang w:val="en-GB"/>
        </w:rPr>
        <w:t>.001</w:t>
      </w:r>
      <w:r w:rsidR="00D6374A" w:rsidRPr="008C3753">
        <w:rPr>
          <w:rFonts w:cstheme="minorHAnsi"/>
          <w:lang w:val="en-GB"/>
        </w:rPr>
        <w:t>)</w:t>
      </w:r>
      <w:r w:rsidR="00793010" w:rsidRPr="008C3753">
        <w:rPr>
          <w:rFonts w:cstheme="minorHAnsi"/>
          <w:lang w:val="en-GB"/>
        </w:rPr>
        <w:t>,</w:t>
      </w:r>
      <w:r w:rsidR="00D6374A" w:rsidRPr="008C3753">
        <w:rPr>
          <w:rFonts w:cstheme="minorHAnsi"/>
          <w:lang w:val="en-GB"/>
        </w:rPr>
        <w:t xml:space="preserve"> </w:t>
      </w:r>
      <w:r w:rsidR="00BB0663" w:rsidRPr="008C3753">
        <w:rPr>
          <w:rFonts w:cstheme="minorHAnsi"/>
          <w:lang w:val="en-GB"/>
        </w:rPr>
        <w:t xml:space="preserve">compared with </w:t>
      </w:r>
      <w:r w:rsidR="00D6374A" w:rsidRPr="008C3753">
        <w:rPr>
          <w:rFonts w:cstheme="minorHAnsi"/>
          <w:lang w:val="en-GB"/>
        </w:rPr>
        <w:t xml:space="preserve">36% (30/84) of prescriptions </w:t>
      </w:r>
      <w:r w:rsidR="009B6EAB" w:rsidRPr="008C3753">
        <w:rPr>
          <w:rFonts w:cstheme="minorHAnsi"/>
          <w:lang w:val="en-GB"/>
        </w:rPr>
        <w:t xml:space="preserve">where the </w:t>
      </w:r>
      <w:r w:rsidR="00090206" w:rsidRPr="008C3753">
        <w:rPr>
          <w:rFonts w:cstheme="minorHAnsi"/>
          <w:lang w:val="en-GB"/>
        </w:rPr>
        <w:t>D</w:t>
      </w:r>
      <w:r w:rsidR="009B6EAB" w:rsidRPr="008C3753">
        <w:rPr>
          <w:rFonts w:cstheme="minorHAnsi"/>
          <w:lang w:val="en-GB"/>
        </w:rPr>
        <w:t xml:space="preserve">ecision </w:t>
      </w:r>
      <w:r w:rsidR="00090206" w:rsidRPr="008C3753">
        <w:rPr>
          <w:rFonts w:cstheme="minorHAnsi"/>
          <w:lang w:val="en-GB"/>
        </w:rPr>
        <w:t>A</w:t>
      </w:r>
      <w:r w:rsidR="009B6EAB" w:rsidRPr="008C3753">
        <w:rPr>
          <w:rFonts w:cstheme="minorHAnsi"/>
          <w:lang w:val="en-GB"/>
        </w:rPr>
        <w:t>id was not used.</w:t>
      </w:r>
    </w:p>
    <w:p w14:paraId="1E70DC02" w14:textId="77777777" w:rsidR="0086243D" w:rsidRPr="008C3753" w:rsidRDefault="0086243D" w:rsidP="00475602">
      <w:pPr>
        <w:spacing w:after="0" w:line="480" w:lineRule="auto"/>
        <w:jc w:val="both"/>
        <w:rPr>
          <w:rFonts w:cstheme="minorHAnsi"/>
          <w:lang w:val="en-GB"/>
        </w:rPr>
      </w:pPr>
    </w:p>
    <w:p w14:paraId="5A1EE714" w14:textId="6E93C00E" w:rsidR="002146D0" w:rsidRPr="008C3753" w:rsidRDefault="002146D0" w:rsidP="00475602">
      <w:pPr>
        <w:pStyle w:val="Heading2"/>
        <w:spacing w:before="0" w:after="0" w:line="480" w:lineRule="auto"/>
        <w:jc w:val="both"/>
        <w:rPr>
          <w:rFonts w:asciiTheme="minorHAnsi" w:hAnsiTheme="minorHAnsi" w:cstheme="minorHAnsi"/>
          <w:i/>
          <w:lang w:val="en-GB"/>
        </w:rPr>
      </w:pPr>
      <w:r w:rsidRPr="008C3753">
        <w:rPr>
          <w:rFonts w:asciiTheme="minorHAnsi" w:hAnsiTheme="minorHAnsi" w:cstheme="minorHAnsi"/>
          <w:i/>
          <w:lang w:val="en-GB"/>
        </w:rPr>
        <w:t>Other actions taken at review</w:t>
      </w:r>
    </w:p>
    <w:p w14:paraId="7B93B681" w14:textId="795EB2B8" w:rsidR="00AE715A" w:rsidRPr="008C3753" w:rsidRDefault="009B6EAB" w:rsidP="00475602">
      <w:pPr>
        <w:spacing w:after="0" w:line="480" w:lineRule="auto"/>
        <w:jc w:val="both"/>
        <w:rPr>
          <w:rFonts w:cstheme="minorHAnsi"/>
          <w:lang w:val="en-GB"/>
        </w:rPr>
      </w:pPr>
      <w:r w:rsidRPr="008C3753">
        <w:rPr>
          <w:rFonts w:cstheme="minorHAnsi"/>
          <w:lang w:val="en-GB"/>
        </w:rPr>
        <w:t>Over</w:t>
      </w:r>
      <w:r w:rsidR="00984B2D" w:rsidRPr="008C3753">
        <w:rPr>
          <w:rFonts w:cstheme="minorHAnsi"/>
          <w:lang w:val="en-GB"/>
        </w:rPr>
        <w:t xml:space="preserve"> the </w:t>
      </w:r>
      <w:r w:rsidR="00BB0663" w:rsidRPr="008C3753">
        <w:rPr>
          <w:rFonts w:cstheme="minorHAnsi"/>
          <w:lang w:val="en-GB"/>
        </w:rPr>
        <w:t xml:space="preserve">12-week </w:t>
      </w:r>
      <w:r w:rsidR="00984B2D" w:rsidRPr="008C3753">
        <w:rPr>
          <w:rFonts w:cstheme="minorHAnsi"/>
          <w:lang w:val="en-GB"/>
        </w:rPr>
        <w:t>implementation</w:t>
      </w:r>
      <w:r w:rsidR="00BB0663" w:rsidRPr="008C3753">
        <w:rPr>
          <w:rFonts w:cstheme="minorHAnsi"/>
          <w:lang w:val="en-GB"/>
        </w:rPr>
        <w:t>,</w:t>
      </w:r>
      <w:r w:rsidR="00984B2D" w:rsidRPr="008C3753">
        <w:rPr>
          <w:rFonts w:cstheme="minorHAnsi"/>
          <w:lang w:val="en-GB"/>
        </w:rPr>
        <w:t xml:space="preserve"> the proportion of antibiotic prescriptions where no change was made </w:t>
      </w:r>
      <w:r w:rsidR="00BB0663" w:rsidRPr="008C3753">
        <w:rPr>
          <w:rFonts w:cstheme="minorHAnsi"/>
          <w:lang w:val="en-GB"/>
        </w:rPr>
        <w:t xml:space="preserve">declined </w:t>
      </w:r>
      <w:r w:rsidR="00984B2D" w:rsidRPr="008C3753">
        <w:rPr>
          <w:rFonts w:cstheme="minorHAnsi"/>
          <w:lang w:val="en-GB"/>
        </w:rPr>
        <w:t>(150</w:t>
      </w:r>
      <w:r w:rsidR="00D614ED" w:rsidRPr="008C3753">
        <w:rPr>
          <w:rFonts w:cstheme="minorHAnsi"/>
          <w:lang w:val="en-GB"/>
        </w:rPr>
        <w:t>/450</w:t>
      </w:r>
      <w:r w:rsidR="00984B2D" w:rsidRPr="008C3753">
        <w:rPr>
          <w:rFonts w:cstheme="minorHAnsi"/>
          <w:lang w:val="en-GB"/>
        </w:rPr>
        <w:t xml:space="preserve"> (33%) vs 37</w:t>
      </w:r>
      <w:r w:rsidR="00230126" w:rsidRPr="008C3753">
        <w:rPr>
          <w:rFonts w:cstheme="minorHAnsi"/>
          <w:lang w:val="en-GB"/>
        </w:rPr>
        <w:t>/69</w:t>
      </w:r>
      <w:r w:rsidR="00984B2D" w:rsidRPr="008C3753">
        <w:rPr>
          <w:rFonts w:cstheme="minorHAnsi"/>
          <w:lang w:val="en-GB"/>
        </w:rPr>
        <w:t xml:space="preserve"> (54%) baseline)</w:t>
      </w:r>
      <w:r w:rsidR="00BB0663" w:rsidRPr="008C3753">
        <w:rPr>
          <w:rFonts w:cstheme="minorHAnsi"/>
          <w:lang w:val="en-GB"/>
        </w:rPr>
        <w:t>,</w:t>
      </w:r>
      <w:r w:rsidR="00984B2D" w:rsidRPr="008C3753">
        <w:rPr>
          <w:rFonts w:cstheme="minorHAnsi"/>
          <w:lang w:val="en-GB"/>
        </w:rPr>
        <w:t xml:space="preserve"> </w:t>
      </w:r>
      <w:r w:rsidR="00BB0663" w:rsidRPr="008C3753">
        <w:rPr>
          <w:rFonts w:cstheme="minorHAnsi"/>
          <w:lang w:val="en-GB"/>
        </w:rPr>
        <w:t xml:space="preserve">as did the proportion </w:t>
      </w:r>
      <w:r w:rsidR="00984B2D" w:rsidRPr="008C3753">
        <w:rPr>
          <w:rFonts w:cstheme="minorHAnsi"/>
          <w:lang w:val="en-GB"/>
        </w:rPr>
        <w:t xml:space="preserve">switched </w:t>
      </w:r>
      <w:r w:rsidR="00BB0663" w:rsidRPr="008C3753">
        <w:rPr>
          <w:rFonts w:cstheme="minorHAnsi"/>
          <w:lang w:val="en-GB"/>
        </w:rPr>
        <w:t xml:space="preserve">to other agents </w:t>
      </w:r>
      <w:r w:rsidR="00984B2D" w:rsidRPr="008C3753">
        <w:rPr>
          <w:rFonts w:cstheme="minorHAnsi"/>
          <w:lang w:val="en-GB"/>
        </w:rPr>
        <w:t>(69</w:t>
      </w:r>
      <w:r w:rsidR="00230126" w:rsidRPr="008C3753">
        <w:rPr>
          <w:rFonts w:cstheme="minorHAnsi"/>
          <w:lang w:val="en-GB"/>
        </w:rPr>
        <w:t>/450</w:t>
      </w:r>
      <w:r w:rsidR="00984B2D" w:rsidRPr="008C3753">
        <w:rPr>
          <w:rFonts w:cstheme="minorHAnsi"/>
          <w:lang w:val="en-GB"/>
        </w:rPr>
        <w:t xml:space="preserve"> (15%) vs 15</w:t>
      </w:r>
      <w:r w:rsidR="00230126" w:rsidRPr="008C3753">
        <w:rPr>
          <w:rFonts w:cstheme="minorHAnsi"/>
          <w:lang w:val="en-GB"/>
        </w:rPr>
        <w:t>/69</w:t>
      </w:r>
      <w:r w:rsidR="00984B2D" w:rsidRPr="008C3753">
        <w:rPr>
          <w:rFonts w:cstheme="minorHAnsi"/>
          <w:lang w:val="en-GB"/>
        </w:rPr>
        <w:t xml:space="preserve"> (22%) baseline, p=0.71 vs ‘no change’)</w:t>
      </w:r>
      <w:r w:rsidR="002B610C" w:rsidRPr="008C3753">
        <w:rPr>
          <w:rFonts w:cstheme="minorHAnsi"/>
          <w:lang w:val="en-GB"/>
        </w:rPr>
        <w:t xml:space="preserve"> (</w:t>
      </w:r>
      <w:r w:rsidR="001B75FF" w:rsidRPr="008C3753">
        <w:rPr>
          <w:rFonts w:cstheme="minorHAnsi"/>
          <w:lang w:val="en-GB"/>
        </w:rPr>
        <w:t>f</w:t>
      </w:r>
      <w:r w:rsidR="0019038B" w:rsidRPr="008C3753">
        <w:rPr>
          <w:rFonts w:cstheme="minorHAnsi"/>
          <w:lang w:val="en-GB"/>
        </w:rPr>
        <w:t xml:space="preserve">igure </w:t>
      </w:r>
      <w:r w:rsidR="00F861AF" w:rsidRPr="008C3753">
        <w:rPr>
          <w:rFonts w:cstheme="minorHAnsi"/>
          <w:lang w:val="en-GB"/>
        </w:rPr>
        <w:t>3</w:t>
      </w:r>
      <w:r w:rsidR="002B610C" w:rsidRPr="008C3753">
        <w:rPr>
          <w:rFonts w:cstheme="minorHAnsi"/>
          <w:lang w:val="en-GB"/>
        </w:rPr>
        <w:t>)</w:t>
      </w:r>
      <w:r w:rsidR="00984B2D" w:rsidRPr="008C3753">
        <w:rPr>
          <w:rFonts w:cstheme="minorHAnsi"/>
          <w:lang w:val="en-GB"/>
        </w:rPr>
        <w:t xml:space="preserve">. The proportion of antibiotics changed from intravenous to oral remained stable (75/450 (17%) vs 11/69 (15%) baseline; p=0.16 vs ‘no change’). </w:t>
      </w:r>
      <w:r w:rsidR="00BB0663" w:rsidRPr="008C3753">
        <w:rPr>
          <w:rFonts w:cstheme="minorHAnsi"/>
          <w:lang w:val="en-GB"/>
        </w:rPr>
        <w:t>T</w:t>
      </w:r>
      <w:r w:rsidR="00984B2D" w:rsidRPr="008C3753">
        <w:rPr>
          <w:rFonts w:cstheme="minorHAnsi"/>
          <w:lang w:val="en-GB"/>
        </w:rPr>
        <w:t>here was no evidence that other actions</w:t>
      </w:r>
      <w:r w:rsidR="00793010" w:rsidRPr="008C3753">
        <w:rPr>
          <w:rFonts w:cstheme="minorHAnsi"/>
          <w:lang w:val="en-GB"/>
        </w:rPr>
        <w:t xml:space="preserve"> depend</w:t>
      </w:r>
      <w:r w:rsidR="00984B2D" w:rsidRPr="008C3753">
        <w:rPr>
          <w:rFonts w:cstheme="minorHAnsi"/>
          <w:lang w:val="en-GB"/>
        </w:rPr>
        <w:t>ed</w:t>
      </w:r>
      <w:r w:rsidR="00793010" w:rsidRPr="008C3753">
        <w:rPr>
          <w:rFonts w:cstheme="minorHAnsi"/>
          <w:lang w:val="en-GB"/>
        </w:rPr>
        <w:t xml:space="preserve"> on the Decision Aid category used (p</w:t>
      </w:r>
      <w:r w:rsidR="00984B2D" w:rsidRPr="008C3753">
        <w:rPr>
          <w:rFonts w:cstheme="minorHAnsi"/>
          <w:lang w:val="en-GB"/>
        </w:rPr>
        <w:t>&gt;0.15</w:t>
      </w:r>
      <w:r w:rsidR="00793010" w:rsidRPr="008C3753">
        <w:rPr>
          <w:rFonts w:cstheme="minorHAnsi"/>
          <w:lang w:val="en-GB"/>
        </w:rPr>
        <w:t>)</w:t>
      </w:r>
      <w:r w:rsidR="00D52222" w:rsidRPr="008C3753">
        <w:rPr>
          <w:rFonts w:cstheme="minorHAnsi"/>
          <w:lang w:val="en-GB"/>
        </w:rPr>
        <w:t xml:space="preserve">. </w:t>
      </w:r>
      <w:r w:rsidR="00793010" w:rsidRPr="008C3753">
        <w:rPr>
          <w:rFonts w:cstheme="minorHAnsi"/>
          <w:lang w:val="en-GB"/>
        </w:rPr>
        <w:t xml:space="preserve">No patient started </w:t>
      </w:r>
      <w:r w:rsidR="00D52222" w:rsidRPr="008C3753">
        <w:rPr>
          <w:rFonts w:cstheme="minorHAnsi"/>
          <w:lang w:val="en-GB"/>
        </w:rPr>
        <w:t>OPAT during the study.</w:t>
      </w:r>
      <w:r w:rsidR="003310BD" w:rsidRPr="008C3753">
        <w:rPr>
          <w:rFonts w:cstheme="minorHAnsi"/>
          <w:lang w:val="en-GB"/>
        </w:rPr>
        <w:t xml:space="preserve"> </w:t>
      </w:r>
    </w:p>
    <w:p w14:paraId="1B205C41" w14:textId="77777777" w:rsidR="0086243D" w:rsidRPr="008C3753" w:rsidRDefault="0086243D" w:rsidP="00475602">
      <w:pPr>
        <w:spacing w:after="0" w:line="480" w:lineRule="auto"/>
        <w:jc w:val="both"/>
        <w:rPr>
          <w:rFonts w:cstheme="minorHAnsi"/>
          <w:i/>
          <w:lang w:val="en-GB"/>
        </w:rPr>
      </w:pPr>
    </w:p>
    <w:p w14:paraId="11AA4420" w14:textId="167B8FF1" w:rsidR="00767E8E" w:rsidRPr="008C3753" w:rsidRDefault="00767E8E" w:rsidP="00475602">
      <w:pPr>
        <w:pStyle w:val="Heading1"/>
        <w:spacing w:before="0" w:after="0" w:line="480" w:lineRule="auto"/>
        <w:jc w:val="both"/>
        <w:rPr>
          <w:rFonts w:asciiTheme="minorHAnsi" w:hAnsiTheme="minorHAnsi" w:cstheme="minorHAnsi"/>
          <w:sz w:val="24"/>
          <w:szCs w:val="24"/>
        </w:rPr>
      </w:pPr>
      <w:r w:rsidRPr="008C3753">
        <w:rPr>
          <w:rFonts w:asciiTheme="minorHAnsi" w:hAnsiTheme="minorHAnsi" w:cstheme="minorHAnsi"/>
          <w:sz w:val="24"/>
          <w:szCs w:val="24"/>
        </w:rPr>
        <w:t>Discussion</w:t>
      </w:r>
    </w:p>
    <w:p w14:paraId="16381862" w14:textId="139C807F" w:rsidR="00F23C51" w:rsidRPr="008C3753" w:rsidRDefault="007335AE" w:rsidP="003C1450">
      <w:pPr>
        <w:widowControl w:val="0"/>
        <w:spacing w:after="0" w:line="480" w:lineRule="auto"/>
        <w:jc w:val="both"/>
        <w:rPr>
          <w:rFonts w:cstheme="minorHAnsi"/>
          <w:lang w:val="en-GB"/>
        </w:rPr>
      </w:pPr>
      <w:r w:rsidRPr="008C3753">
        <w:rPr>
          <w:rFonts w:cstheme="minorHAnsi"/>
          <w:lang w:val="en-GB"/>
        </w:rPr>
        <w:t xml:space="preserve">This </w:t>
      </w:r>
      <w:r w:rsidR="004A7978" w:rsidRPr="008C3753">
        <w:rPr>
          <w:rFonts w:cstheme="minorHAnsi"/>
          <w:lang w:val="en-GB"/>
        </w:rPr>
        <w:t>study</w:t>
      </w:r>
      <w:r w:rsidR="00357972" w:rsidRPr="008C3753">
        <w:rPr>
          <w:rFonts w:cstheme="minorHAnsi"/>
          <w:lang w:val="en-GB"/>
        </w:rPr>
        <w:t xml:space="preserve"> assessed the</w:t>
      </w:r>
      <w:r w:rsidR="00E15AF1" w:rsidRPr="008C3753">
        <w:rPr>
          <w:rFonts w:cstheme="minorHAnsi"/>
          <w:lang w:val="en-GB"/>
        </w:rPr>
        <w:t xml:space="preserve"> feasibility </w:t>
      </w:r>
      <w:r w:rsidR="00357972" w:rsidRPr="008C3753">
        <w:rPr>
          <w:rFonts w:cstheme="minorHAnsi"/>
          <w:lang w:val="en-GB"/>
        </w:rPr>
        <w:t>of implementing the</w:t>
      </w:r>
      <w:r w:rsidR="00E15AF1" w:rsidRPr="008C3753">
        <w:rPr>
          <w:rFonts w:cstheme="minorHAnsi"/>
          <w:lang w:val="en-GB"/>
        </w:rPr>
        <w:t xml:space="preserve"> novel, multifaceted </w:t>
      </w:r>
      <w:r w:rsidR="0062147E" w:rsidRPr="008C3753">
        <w:rPr>
          <w:rFonts w:cstheme="minorHAnsi"/>
          <w:lang w:val="en-GB"/>
        </w:rPr>
        <w:t>ARK</w:t>
      </w:r>
      <w:r w:rsidR="00E15AF1" w:rsidRPr="008C3753">
        <w:rPr>
          <w:rFonts w:cstheme="minorHAnsi"/>
          <w:lang w:val="en-GB"/>
        </w:rPr>
        <w:t xml:space="preserve"> intervention which has been developed to address overprescribing of antibiotics to hospital</w:t>
      </w:r>
      <w:r w:rsidR="007F3553" w:rsidRPr="008C3753">
        <w:rPr>
          <w:rFonts w:cstheme="minorHAnsi"/>
          <w:lang w:val="en-GB"/>
        </w:rPr>
        <w:t>ised patients.</w:t>
      </w:r>
      <w:r w:rsidR="00E15AF1" w:rsidRPr="008C3753">
        <w:rPr>
          <w:rFonts w:cstheme="minorHAnsi"/>
          <w:lang w:val="en-GB"/>
        </w:rPr>
        <w:t xml:space="preserve"> </w:t>
      </w:r>
      <w:r w:rsidR="00357972" w:rsidRPr="008C3753">
        <w:rPr>
          <w:rFonts w:cstheme="minorHAnsi"/>
          <w:lang w:val="en-GB"/>
        </w:rPr>
        <w:t xml:space="preserve">The four elements of the intervention were </w:t>
      </w:r>
      <w:r w:rsidR="008138A1" w:rsidRPr="008C3753">
        <w:rPr>
          <w:rFonts w:cstheme="minorHAnsi"/>
          <w:lang w:val="en-GB"/>
        </w:rPr>
        <w:t xml:space="preserve">successfully </w:t>
      </w:r>
      <w:r w:rsidR="00357972" w:rsidRPr="008C3753">
        <w:rPr>
          <w:rFonts w:cstheme="minorHAnsi"/>
          <w:lang w:val="en-GB"/>
        </w:rPr>
        <w:t xml:space="preserve">introduced into </w:t>
      </w:r>
      <w:r w:rsidR="00A03987" w:rsidRPr="008C3753">
        <w:rPr>
          <w:rFonts w:cstheme="minorHAnsi"/>
          <w:lang w:val="en-GB"/>
        </w:rPr>
        <w:t xml:space="preserve">AMS </w:t>
      </w:r>
      <w:r w:rsidR="00357972" w:rsidRPr="008C3753">
        <w:rPr>
          <w:rFonts w:cstheme="minorHAnsi"/>
          <w:lang w:val="en-GB"/>
        </w:rPr>
        <w:t xml:space="preserve">practice at a </w:t>
      </w:r>
      <w:r w:rsidR="00357972" w:rsidRPr="008C3753">
        <w:rPr>
          <w:rFonts w:cstheme="minorHAnsi"/>
          <w:lang w:val="en-GB"/>
        </w:rPr>
        <w:lastRenderedPageBreak/>
        <w:t>medium-sized acute NHS hospital</w:t>
      </w:r>
      <w:r w:rsidR="008138A1" w:rsidRPr="008C3753">
        <w:rPr>
          <w:rFonts w:cstheme="minorHAnsi"/>
          <w:lang w:val="en-GB"/>
        </w:rPr>
        <w:t>, facing typical pressures of under-staffing and patient burden</w:t>
      </w:r>
      <w:r w:rsidR="00357972" w:rsidRPr="008C3753">
        <w:rPr>
          <w:rFonts w:cstheme="minorHAnsi"/>
          <w:lang w:val="en-GB"/>
        </w:rPr>
        <w:t>.</w:t>
      </w:r>
      <w:r w:rsidR="00BB14A9" w:rsidRPr="008C3753">
        <w:rPr>
          <w:rFonts w:cstheme="minorHAnsi"/>
          <w:lang w:val="en-GB"/>
        </w:rPr>
        <w:t xml:space="preserve"> </w:t>
      </w:r>
      <w:r w:rsidR="00BB14A9" w:rsidRPr="008C3753">
        <w:rPr>
          <w:rFonts w:cstheme="minorHAnsi"/>
          <w:vertAlign w:val="superscript"/>
          <w:lang w:val="en-GB"/>
        </w:rPr>
        <w:t>13</w:t>
      </w:r>
      <w:r w:rsidR="00044BB6" w:rsidRPr="008C3753">
        <w:rPr>
          <w:rFonts w:cstheme="minorHAnsi"/>
          <w:lang w:val="en-GB"/>
        </w:rPr>
        <w:t xml:space="preserve"> </w:t>
      </w:r>
      <w:r w:rsidR="00E15AF1" w:rsidRPr="008C3753">
        <w:rPr>
          <w:rFonts w:cstheme="minorHAnsi"/>
          <w:lang w:val="en-GB"/>
        </w:rPr>
        <w:t xml:space="preserve">The percentage of pre-specified essential staff who </w:t>
      </w:r>
      <w:r w:rsidR="00DA5FA2" w:rsidRPr="008C3753">
        <w:rPr>
          <w:rFonts w:cstheme="minorHAnsi"/>
          <w:lang w:val="en-GB"/>
        </w:rPr>
        <w:t>completed</w:t>
      </w:r>
      <w:r w:rsidR="00E15AF1" w:rsidRPr="008C3753">
        <w:rPr>
          <w:rFonts w:cstheme="minorHAnsi"/>
          <w:lang w:val="en-GB"/>
        </w:rPr>
        <w:t xml:space="preserve"> the online </w:t>
      </w:r>
      <w:r w:rsidR="00DA5FA2" w:rsidRPr="008C3753">
        <w:rPr>
          <w:rFonts w:cstheme="minorHAnsi"/>
          <w:lang w:val="en-GB"/>
        </w:rPr>
        <w:t>tool</w:t>
      </w:r>
      <w:r w:rsidR="00E15AF1" w:rsidRPr="008C3753">
        <w:rPr>
          <w:rFonts w:cstheme="minorHAnsi"/>
          <w:lang w:val="en-GB"/>
        </w:rPr>
        <w:t xml:space="preserve"> greatly </w:t>
      </w:r>
      <w:r w:rsidR="00F23C51" w:rsidRPr="008C3753">
        <w:rPr>
          <w:rFonts w:cstheme="minorHAnsi"/>
          <w:lang w:val="en-GB"/>
        </w:rPr>
        <w:t>exceeded</w:t>
      </w:r>
      <w:r w:rsidR="00E15AF1" w:rsidRPr="008C3753">
        <w:rPr>
          <w:rFonts w:cstheme="minorHAnsi"/>
          <w:lang w:val="en-GB"/>
        </w:rPr>
        <w:t xml:space="preserve"> the </w:t>
      </w:r>
      <w:r w:rsidR="008138A1" w:rsidRPr="008C3753">
        <w:rPr>
          <w:rFonts w:cstheme="minorHAnsi"/>
          <w:lang w:val="en-GB"/>
        </w:rPr>
        <w:t xml:space="preserve">target </w:t>
      </w:r>
      <w:r w:rsidR="00F23C51" w:rsidRPr="008C3753">
        <w:rPr>
          <w:rFonts w:cstheme="minorHAnsi"/>
          <w:lang w:val="en-GB"/>
        </w:rPr>
        <w:t xml:space="preserve">level for progression to full trial evaluation. The </w:t>
      </w:r>
      <w:r w:rsidR="00DA5FA2" w:rsidRPr="008C3753">
        <w:rPr>
          <w:rFonts w:cstheme="minorHAnsi"/>
          <w:lang w:val="en-GB"/>
        </w:rPr>
        <w:t>tool</w:t>
      </w:r>
      <w:r w:rsidR="00F23C51" w:rsidRPr="008C3753">
        <w:rPr>
          <w:rFonts w:cstheme="minorHAnsi"/>
          <w:lang w:val="en-GB"/>
        </w:rPr>
        <w:t xml:space="preserve"> was also </w:t>
      </w:r>
      <w:r w:rsidR="00DA5FA2" w:rsidRPr="008C3753">
        <w:rPr>
          <w:rFonts w:cstheme="minorHAnsi"/>
          <w:lang w:val="en-GB"/>
        </w:rPr>
        <w:t>completed</w:t>
      </w:r>
      <w:r w:rsidR="00F23C51" w:rsidRPr="008C3753">
        <w:rPr>
          <w:rFonts w:cstheme="minorHAnsi"/>
          <w:lang w:val="en-GB"/>
        </w:rPr>
        <w:t xml:space="preserve"> by a </w:t>
      </w:r>
      <w:r w:rsidR="00E15AF1" w:rsidRPr="008C3753">
        <w:rPr>
          <w:rFonts w:cstheme="minorHAnsi"/>
          <w:lang w:val="en-GB"/>
        </w:rPr>
        <w:t>substantial number of front</w:t>
      </w:r>
      <w:r w:rsidR="008138A1" w:rsidRPr="008C3753">
        <w:rPr>
          <w:rFonts w:cstheme="minorHAnsi"/>
          <w:lang w:val="en-GB"/>
        </w:rPr>
        <w:t>-</w:t>
      </w:r>
      <w:r w:rsidR="00E15AF1" w:rsidRPr="008C3753">
        <w:rPr>
          <w:rFonts w:cstheme="minorHAnsi"/>
          <w:lang w:val="en-GB"/>
        </w:rPr>
        <w:t xml:space="preserve">line </w:t>
      </w:r>
      <w:r w:rsidR="007241DC" w:rsidRPr="008C3753">
        <w:rPr>
          <w:rFonts w:cstheme="minorHAnsi"/>
          <w:lang w:val="en-GB"/>
        </w:rPr>
        <w:t>healthcare workers encompassing the main professional groups involved in antimicrobial treatment</w:t>
      </w:r>
      <w:r w:rsidR="00F23C51" w:rsidRPr="008C3753">
        <w:rPr>
          <w:rFonts w:cstheme="minorHAnsi"/>
          <w:lang w:val="en-GB"/>
        </w:rPr>
        <w:t>.</w:t>
      </w:r>
      <w:r w:rsidR="00E15AF1" w:rsidRPr="008C3753">
        <w:rPr>
          <w:rFonts w:cstheme="minorHAnsi"/>
          <w:lang w:val="en-GB"/>
        </w:rPr>
        <w:t xml:space="preserve"> </w:t>
      </w:r>
      <w:r w:rsidR="00F23C51" w:rsidRPr="008C3753">
        <w:rPr>
          <w:rFonts w:cstheme="minorHAnsi"/>
          <w:lang w:val="en-GB"/>
        </w:rPr>
        <w:t>The proportion of initial prescriptions u</w:t>
      </w:r>
      <w:r w:rsidR="00B03E5B" w:rsidRPr="008C3753">
        <w:rPr>
          <w:rFonts w:cstheme="minorHAnsi"/>
          <w:lang w:val="en-GB"/>
        </w:rPr>
        <w:t>sing</w:t>
      </w:r>
      <w:r w:rsidR="00F23C51" w:rsidRPr="008C3753">
        <w:rPr>
          <w:rFonts w:cstheme="minorHAnsi"/>
          <w:lang w:val="en-GB"/>
        </w:rPr>
        <w:t xml:space="preserve"> the </w:t>
      </w:r>
      <w:r w:rsidR="0051162E" w:rsidRPr="008C3753">
        <w:rPr>
          <w:rFonts w:cstheme="minorHAnsi"/>
          <w:lang w:val="en-GB"/>
        </w:rPr>
        <w:t>D</w:t>
      </w:r>
      <w:r w:rsidR="00F23C51" w:rsidRPr="008C3753">
        <w:rPr>
          <w:rFonts w:cstheme="minorHAnsi"/>
          <w:lang w:val="en-GB"/>
        </w:rPr>
        <w:t xml:space="preserve">ecision </w:t>
      </w:r>
      <w:r w:rsidR="0051162E" w:rsidRPr="008C3753">
        <w:rPr>
          <w:rFonts w:cstheme="minorHAnsi"/>
          <w:lang w:val="en-GB"/>
        </w:rPr>
        <w:t>A</w:t>
      </w:r>
      <w:r w:rsidR="00F23C51" w:rsidRPr="008C3753">
        <w:rPr>
          <w:rFonts w:cstheme="minorHAnsi"/>
          <w:lang w:val="en-GB"/>
        </w:rPr>
        <w:t xml:space="preserve">id also </w:t>
      </w:r>
      <w:r w:rsidR="008138A1" w:rsidRPr="008C3753">
        <w:rPr>
          <w:rFonts w:cstheme="minorHAnsi"/>
          <w:lang w:val="en-GB"/>
        </w:rPr>
        <w:t xml:space="preserve">substantially </w:t>
      </w:r>
      <w:r w:rsidR="00F23C51" w:rsidRPr="008C3753">
        <w:rPr>
          <w:rFonts w:cstheme="minorHAnsi"/>
          <w:lang w:val="en-GB"/>
        </w:rPr>
        <w:t xml:space="preserve">exceeded the </w:t>
      </w:r>
      <w:r w:rsidR="008138A1" w:rsidRPr="008C3753">
        <w:rPr>
          <w:rFonts w:cstheme="minorHAnsi"/>
          <w:lang w:val="en-GB"/>
        </w:rPr>
        <w:t>target threshold</w:t>
      </w:r>
      <w:r w:rsidR="00F23C51" w:rsidRPr="008C3753">
        <w:rPr>
          <w:rFonts w:cstheme="minorHAnsi"/>
          <w:lang w:val="en-GB"/>
        </w:rPr>
        <w:t xml:space="preserve"> at all time points</w:t>
      </w:r>
      <w:r w:rsidR="00DB5D4C" w:rsidRPr="008C3753">
        <w:rPr>
          <w:rFonts w:cstheme="minorHAnsi"/>
          <w:lang w:val="en-GB"/>
        </w:rPr>
        <w:t xml:space="preserve">. </w:t>
      </w:r>
      <w:r w:rsidR="007E41AF" w:rsidRPr="008C3753">
        <w:rPr>
          <w:rFonts w:cstheme="minorHAnsi"/>
          <w:lang w:val="en-GB"/>
        </w:rPr>
        <w:t>Implementation of ARK was associated with a substantial and sustained increase in antibiotic stop rates over the 12-week study period.</w:t>
      </w:r>
      <w:r w:rsidR="00484DBA" w:rsidRPr="008C3753">
        <w:rPr>
          <w:rFonts w:cstheme="minorHAnsi"/>
          <w:lang w:val="en-GB"/>
        </w:rPr>
        <w:t xml:space="preserve"> </w:t>
      </w:r>
      <w:r w:rsidR="002C12C7" w:rsidRPr="008C3753">
        <w:rPr>
          <w:rFonts w:cstheme="minorHAnsi"/>
          <w:lang w:val="en-GB"/>
        </w:rPr>
        <w:t>The sustained use of the Decision Aid and the Trust’s decision to adopt it into the antibiotic prescribing process, both long-term and Trust-wide, attest to the acceptability of the intervention. The increase in the proportion of prescriptions categorised as “</w:t>
      </w:r>
      <w:r w:rsidR="002C12C7" w:rsidRPr="008C3753">
        <w:rPr>
          <w:rFonts w:cstheme="minorHAnsi"/>
          <w:b/>
          <w:bCs/>
          <w:lang w:val="en-GB"/>
        </w:rPr>
        <w:t>possible</w:t>
      </w:r>
      <w:r w:rsidR="002C12C7" w:rsidRPr="008C3753">
        <w:rPr>
          <w:rFonts w:cstheme="minorHAnsi"/>
          <w:lang w:val="en-GB"/>
        </w:rPr>
        <w:t xml:space="preserve">” over time may be related to an improved understanding </w:t>
      </w:r>
      <w:r w:rsidR="00557DAF" w:rsidRPr="008C3753">
        <w:rPr>
          <w:rFonts w:cstheme="minorHAnsi"/>
          <w:lang w:val="en-GB"/>
        </w:rPr>
        <w:t xml:space="preserve">of the Decision Aid categories </w:t>
      </w:r>
      <w:r w:rsidR="002C12C7" w:rsidRPr="008C3753">
        <w:rPr>
          <w:rFonts w:cstheme="minorHAnsi"/>
          <w:lang w:val="en-GB"/>
        </w:rPr>
        <w:t>over the course of the intervention</w:t>
      </w:r>
      <w:r w:rsidR="00557DAF" w:rsidRPr="008C3753">
        <w:rPr>
          <w:rFonts w:cstheme="minorHAnsi"/>
          <w:lang w:val="en-GB"/>
        </w:rPr>
        <w:t xml:space="preserve">; the </w:t>
      </w:r>
      <w:r w:rsidR="002C12C7" w:rsidRPr="008C3753">
        <w:rPr>
          <w:rFonts w:cstheme="minorHAnsi"/>
          <w:lang w:val="en-GB"/>
        </w:rPr>
        <w:t xml:space="preserve">importance of </w:t>
      </w:r>
      <w:r w:rsidR="00557DAF" w:rsidRPr="008C3753">
        <w:rPr>
          <w:rFonts w:cstheme="minorHAnsi"/>
          <w:lang w:val="en-GB"/>
        </w:rPr>
        <w:t>the “</w:t>
      </w:r>
      <w:r w:rsidR="002C12C7" w:rsidRPr="008C3753">
        <w:rPr>
          <w:rFonts w:cstheme="minorHAnsi"/>
          <w:b/>
          <w:bCs/>
          <w:lang w:val="en-GB"/>
        </w:rPr>
        <w:t>possible</w:t>
      </w:r>
      <w:r w:rsidR="00557DAF" w:rsidRPr="008C3753">
        <w:rPr>
          <w:rFonts w:cstheme="minorHAnsi"/>
          <w:lang w:val="en-GB"/>
        </w:rPr>
        <w:t>"</w:t>
      </w:r>
      <w:r w:rsidR="002C12C7" w:rsidRPr="008C3753">
        <w:rPr>
          <w:rFonts w:cstheme="minorHAnsi"/>
          <w:lang w:val="en-GB"/>
        </w:rPr>
        <w:t xml:space="preserve"> category </w:t>
      </w:r>
      <w:r w:rsidR="00557DAF" w:rsidRPr="008C3753">
        <w:rPr>
          <w:rFonts w:cstheme="minorHAnsi"/>
          <w:lang w:val="en-GB"/>
        </w:rPr>
        <w:t>in enabling</w:t>
      </w:r>
      <w:r w:rsidR="002C12C7" w:rsidRPr="008C3753">
        <w:rPr>
          <w:rFonts w:cstheme="minorHAnsi"/>
          <w:lang w:val="en-GB"/>
        </w:rPr>
        <w:t xml:space="preserve"> </w:t>
      </w:r>
      <w:r w:rsidR="00557DAF" w:rsidRPr="008C3753">
        <w:rPr>
          <w:rFonts w:cstheme="minorHAnsi"/>
          <w:lang w:val="en-GB"/>
        </w:rPr>
        <w:t xml:space="preserve">prescribers </w:t>
      </w:r>
      <w:r w:rsidR="002C12C7" w:rsidRPr="008C3753">
        <w:rPr>
          <w:rFonts w:cstheme="minorHAnsi"/>
          <w:lang w:val="en-GB"/>
        </w:rPr>
        <w:t xml:space="preserve">to change </w:t>
      </w:r>
      <w:r w:rsidR="00557DAF" w:rsidRPr="008C3753">
        <w:rPr>
          <w:rFonts w:cstheme="minorHAnsi"/>
          <w:lang w:val="en-GB"/>
        </w:rPr>
        <w:t>antibiotic</w:t>
      </w:r>
      <w:r w:rsidR="002C12C7" w:rsidRPr="008C3753">
        <w:rPr>
          <w:rFonts w:cstheme="minorHAnsi"/>
          <w:lang w:val="en-GB"/>
        </w:rPr>
        <w:t xml:space="preserve"> prescription</w:t>
      </w:r>
      <w:r w:rsidR="00557DAF" w:rsidRPr="008C3753">
        <w:rPr>
          <w:rFonts w:cstheme="minorHAnsi"/>
          <w:lang w:val="en-GB"/>
        </w:rPr>
        <w:t xml:space="preserve">s at review was repeatedly </w:t>
      </w:r>
      <w:r w:rsidR="0079534A" w:rsidRPr="008C3753">
        <w:rPr>
          <w:rFonts w:cstheme="minorHAnsi"/>
          <w:lang w:val="en-GB"/>
        </w:rPr>
        <w:t>emphasised</w:t>
      </w:r>
      <w:r w:rsidR="00557DAF" w:rsidRPr="008C3753">
        <w:rPr>
          <w:rFonts w:cstheme="minorHAnsi"/>
          <w:lang w:val="en-GB"/>
        </w:rPr>
        <w:t xml:space="preserve"> during feedback sessions</w:t>
      </w:r>
      <w:r w:rsidR="002C12C7" w:rsidRPr="008C3753">
        <w:rPr>
          <w:rFonts w:cstheme="minorHAnsi"/>
          <w:lang w:val="en-GB"/>
        </w:rPr>
        <w:t xml:space="preserve">. </w:t>
      </w:r>
      <w:r w:rsidR="0074474B" w:rsidRPr="008C3753">
        <w:rPr>
          <w:rFonts w:cstheme="minorHAnsi"/>
          <w:lang w:val="en-GB"/>
        </w:rPr>
        <w:t xml:space="preserve">Patient questionnaire responses indicated that patients received the leaflet very positively; this was also confirmed by qualitative interviews with patients (reported elsewhere; </w:t>
      </w:r>
      <w:r w:rsidR="0074474B" w:rsidRPr="008C3753">
        <w:rPr>
          <w:rFonts w:cstheme="minorHAnsi"/>
          <w:iCs/>
          <w:lang w:val="en-GB"/>
        </w:rPr>
        <w:t>Mowbray</w:t>
      </w:r>
      <w:r w:rsidR="0074474B" w:rsidRPr="008C3753">
        <w:rPr>
          <w:rFonts w:cstheme="minorHAnsi"/>
          <w:i/>
          <w:lang w:val="en-GB"/>
        </w:rPr>
        <w:t xml:space="preserve"> et al., </w:t>
      </w:r>
      <w:r w:rsidR="0074474B" w:rsidRPr="008C3753">
        <w:rPr>
          <w:rFonts w:cstheme="minorHAnsi"/>
          <w:iCs/>
          <w:lang w:val="en-GB"/>
        </w:rPr>
        <w:t>unpublished results).</w:t>
      </w:r>
      <w:r w:rsidR="0074474B" w:rsidRPr="008C3753">
        <w:rPr>
          <w:rFonts w:cstheme="minorHAnsi"/>
          <w:lang w:val="en-GB"/>
        </w:rPr>
        <w:t xml:space="preserve"> </w:t>
      </w:r>
      <w:r w:rsidR="00F23C51" w:rsidRPr="008C3753">
        <w:rPr>
          <w:rFonts w:cstheme="minorHAnsi"/>
          <w:lang w:val="en-GB"/>
        </w:rPr>
        <w:t xml:space="preserve">The </w:t>
      </w:r>
      <w:r w:rsidR="008138A1" w:rsidRPr="008C3753">
        <w:rPr>
          <w:rFonts w:cstheme="minorHAnsi"/>
          <w:lang w:val="en-GB"/>
        </w:rPr>
        <w:t xml:space="preserve">AMS </w:t>
      </w:r>
      <w:r w:rsidR="00F23C51" w:rsidRPr="008C3753">
        <w:rPr>
          <w:rFonts w:cstheme="minorHAnsi"/>
          <w:lang w:val="en-GB"/>
        </w:rPr>
        <w:t xml:space="preserve">structures and processes </w:t>
      </w:r>
      <w:r w:rsidR="00357972" w:rsidRPr="008C3753">
        <w:rPr>
          <w:rFonts w:cstheme="minorHAnsi"/>
          <w:lang w:val="en-GB"/>
        </w:rPr>
        <w:t>were</w:t>
      </w:r>
      <w:r w:rsidR="00265008" w:rsidRPr="008C3753">
        <w:rPr>
          <w:rFonts w:cstheme="minorHAnsi"/>
          <w:lang w:val="en-GB"/>
        </w:rPr>
        <w:t xml:space="preserve"> </w:t>
      </w:r>
      <w:r w:rsidR="00F23C51" w:rsidRPr="008C3753">
        <w:rPr>
          <w:rFonts w:cstheme="minorHAnsi"/>
          <w:lang w:val="en-GB"/>
        </w:rPr>
        <w:t>typical of acute NHS Trusts</w:t>
      </w:r>
      <w:r w:rsidR="00265008" w:rsidRPr="008C3753">
        <w:rPr>
          <w:rFonts w:cstheme="minorHAnsi"/>
          <w:lang w:val="en-GB"/>
        </w:rPr>
        <w:t xml:space="preserve"> and remained so after the implementation of </w:t>
      </w:r>
      <w:r w:rsidR="0036118B" w:rsidRPr="008C3753">
        <w:rPr>
          <w:rFonts w:cstheme="minorHAnsi"/>
          <w:lang w:val="en-GB"/>
        </w:rPr>
        <w:t>ARK, incorporating</w:t>
      </w:r>
      <w:r w:rsidR="00694776" w:rsidRPr="008C3753">
        <w:rPr>
          <w:rFonts w:cstheme="minorHAnsi"/>
          <w:lang w:val="en-GB"/>
        </w:rPr>
        <w:t xml:space="preserve"> most core recommended elements</w:t>
      </w:r>
      <w:r w:rsidR="00A378A1" w:rsidRPr="008C3753">
        <w:rPr>
          <w:rFonts w:cstheme="minorHAnsi"/>
          <w:lang w:val="en-GB"/>
        </w:rPr>
        <w:t xml:space="preserve">. </w:t>
      </w:r>
      <w:r w:rsidR="00EF3E59" w:rsidRPr="008C3753">
        <w:rPr>
          <w:rFonts w:cstheme="minorHAnsi"/>
          <w:vertAlign w:val="superscript"/>
          <w:lang w:val="en-GB"/>
        </w:rPr>
        <w:t>1</w:t>
      </w:r>
      <w:r w:rsidR="008403E5" w:rsidRPr="008C3753">
        <w:rPr>
          <w:rFonts w:cstheme="minorHAnsi"/>
          <w:vertAlign w:val="superscript"/>
          <w:lang w:val="en-GB"/>
        </w:rPr>
        <w:t>4</w:t>
      </w:r>
    </w:p>
    <w:p w14:paraId="6845610B" w14:textId="158A8A11" w:rsidR="0086243D" w:rsidRPr="008C3753" w:rsidRDefault="003F7D3C" w:rsidP="00475602">
      <w:pPr>
        <w:spacing w:after="0" w:line="480" w:lineRule="auto"/>
        <w:jc w:val="both"/>
        <w:rPr>
          <w:rFonts w:cstheme="minorHAnsi"/>
          <w:lang w:val="en-GB"/>
        </w:rPr>
      </w:pPr>
      <w:r w:rsidRPr="008C3753">
        <w:rPr>
          <w:rFonts w:cstheme="minorHAnsi"/>
          <w:lang w:val="en-GB"/>
        </w:rPr>
        <w:t>Our study has important limitations. Most notably</w:t>
      </w:r>
      <w:r w:rsidR="008138A1" w:rsidRPr="008C3753">
        <w:rPr>
          <w:rFonts w:cstheme="minorHAnsi"/>
          <w:lang w:val="en-GB"/>
        </w:rPr>
        <w:t>, as a feasibility study</w:t>
      </w:r>
      <w:r w:rsidRPr="008C3753">
        <w:rPr>
          <w:rFonts w:cstheme="minorHAnsi"/>
          <w:lang w:val="en-GB"/>
        </w:rPr>
        <w:t xml:space="preserve"> we were not seeking to establish whether the ARK intervention is effective in reducing antibiotic consumption itself. Antibiotic consumption across acute medical patients at a hospital varies markedly month by month and over time, with strong seasonality. Assess</w:t>
      </w:r>
      <w:r w:rsidR="00A03987" w:rsidRPr="008C3753">
        <w:rPr>
          <w:rFonts w:cstheme="minorHAnsi"/>
          <w:lang w:val="en-GB"/>
        </w:rPr>
        <w:t>ment of</w:t>
      </w:r>
      <w:r w:rsidRPr="008C3753">
        <w:rPr>
          <w:rFonts w:cstheme="minorHAnsi"/>
          <w:lang w:val="en-GB"/>
        </w:rPr>
        <w:t xml:space="preserve"> ARK</w:t>
      </w:r>
      <w:r w:rsidR="008138A1" w:rsidRPr="008C3753">
        <w:rPr>
          <w:rFonts w:cstheme="minorHAnsi"/>
          <w:lang w:val="en-GB"/>
        </w:rPr>
        <w:t>’s</w:t>
      </w:r>
      <w:r w:rsidRPr="008C3753">
        <w:rPr>
          <w:rFonts w:cstheme="minorHAnsi"/>
          <w:lang w:val="en-GB"/>
        </w:rPr>
        <w:t xml:space="preserve"> impact on consumption requires thorough experimental evaluation</w:t>
      </w:r>
      <w:r w:rsidR="00A03987" w:rsidRPr="008C3753">
        <w:rPr>
          <w:rFonts w:cstheme="minorHAnsi"/>
          <w:lang w:val="en-GB"/>
        </w:rPr>
        <w:t>, which</w:t>
      </w:r>
      <w:r w:rsidRPr="008C3753">
        <w:rPr>
          <w:rFonts w:cstheme="minorHAnsi"/>
          <w:lang w:val="en-GB"/>
        </w:rPr>
        <w:t xml:space="preserve"> will be achieved through a </w:t>
      </w:r>
      <w:r w:rsidRPr="008C3753">
        <w:rPr>
          <w:rFonts w:cstheme="minorHAnsi"/>
          <w:lang w:val="en-GB"/>
        </w:rPr>
        <w:lastRenderedPageBreak/>
        <w:t xml:space="preserve">nationwide </w:t>
      </w:r>
      <w:r w:rsidR="008138A1" w:rsidRPr="008C3753">
        <w:rPr>
          <w:rFonts w:cstheme="minorHAnsi"/>
          <w:lang w:val="en-GB"/>
        </w:rPr>
        <w:t xml:space="preserve">stepped wedge </w:t>
      </w:r>
      <w:r w:rsidRPr="008C3753">
        <w:rPr>
          <w:rFonts w:cstheme="minorHAnsi"/>
          <w:lang w:val="en-GB"/>
        </w:rPr>
        <w:t xml:space="preserve">cluster-randomised trial with prolonged follow-up to account for secular trends and </w:t>
      </w:r>
      <w:r w:rsidR="00C677A7" w:rsidRPr="008C3753">
        <w:rPr>
          <w:rFonts w:cstheme="minorHAnsi"/>
          <w:lang w:val="en-GB"/>
        </w:rPr>
        <w:t xml:space="preserve">to </w:t>
      </w:r>
      <w:r w:rsidR="008138A1" w:rsidRPr="008C3753">
        <w:rPr>
          <w:rFonts w:cstheme="minorHAnsi"/>
          <w:lang w:val="en-GB"/>
        </w:rPr>
        <w:t xml:space="preserve">assess </w:t>
      </w:r>
      <w:r w:rsidRPr="008C3753">
        <w:rPr>
          <w:rFonts w:cstheme="minorHAnsi"/>
          <w:lang w:val="en-GB"/>
        </w:rPr>
        <w:t>sustainability. For the</w:t>
      </w:r>
      <w:r w:rsidR="003963EE" w:rsidRPr="008C3753">
        <w:rPr>
          <w:rFonts w:cstheme="minorHAnsi"/>
          <w:lang w:val="en-GB"/>
        </w:rPr>
        <w:t>se</w:t>
      </w:r>
      <w:r w:rsidRPr="008C3753">
        <w:rPr>
          <w:rFonts w:cstheme="minorHAnsi"/>
          <w:lang w:val="en-GB"/>
        </w:rPr>
        <w:t xml:space="preserve"> reasons</w:t>
      </w:r>
      <w:r w:rsidR="00A03987" w:rsidRPr="008C3753">
        <w:rPr>
          <w:rFonts w:cstheme="minorHAnsi"/>
          <w:lang w:val="en-GB"/>
        </w:rPr>
        <w:t>,</w:t>
      </w:r>
      <w:r w:rsidRPr="008C3753">
        <w:rPr>
          <w:rFonts w:cstheme="minorHAnsi"/>
          <w:lang w:val="en-GB"/>
        </w:rPr>
        <w:t xml:space="preserve"> we have not </w:t>
      </w:r>
      <w:r w:rsidR="008138A1" w:rsidRPr="008C3753">
        <w:rPr>
          <w:rFonts w:cstheme="minorHAnsi"/>
          <w:lang w:val="en-GB"/>
        </w:rPr>
        <w:t xml:space="preserve">investigated </w:t>
      </w:r>
      <w:r w:rsidRPr="008C3753">
        <w:rPr>
          <w:rFonts w:cstheme="minorHAnsi"/>
          <w:lang w:val="en-GB"/>
        </w:rPr>
        <w:t>patient-level outcomes. Robust assessment of safety in terms of preserving good clinical treatment outcome</w:t>
      </w:r>
      <w:r w:rsidR="008138A1" w:rsidRPr="008C3753">
        <w:rPr>
          <w:rFonts w:cstheme="minorHAnsi"/>
          <w:lang w:val="en-GB"/>
        </w:rPr>
        <w:t>s</w:t>
      </w:r>
      <w:r w:rsidRPr="008C3753">
        <w:rPr>
          <w:rFonts w:cstheme="minorHAnsi"/>
          <w:lang w:val="en-GB"/>
        </w:rPr>
        <w:t xml:space="preserve"> while reducing antibiotic exposure is a key part of assessing a </w:t>
      </w:r>
      <w:r w:rsidR="00AB564C" w:rsidRPr="008C3753">
        <w:rPr>
          <w:rFonts w:cstheme="minorHAnsi"/>
          <w:lang w:val="en-GB"/>
        </w:rPr>
        <w:t>stewardship</w:t>
      </w:r>
      <w:r w:rsidRPr="008C3753">
        <w:rPr>
          <w:rFonts w:cstheme="minorHAnsi"/>
          <w:lang w:val="en-GB"/>
        </w:rPr>
        <w:t xml:space="preserve"> intervention and this will also be </w:t>
      </w:r>
      <w:r w:rsidR="008138A1" w:rsidRPr="008C3753">
        <w:rPr>
          <w:rFonts w:cstheme="minorHAnsi"/>
          <w:lang w:val="en-GB"/>
        </w:rPr>
        <w:t xml:space="preserve">assessed </w:t>
      </w:r>
      <w:r w:rsidRPr="008C3753">
        <w:rPr>
          <w:rFonts w:cstheme="minorHAnsi"/>
          <w:lang w:val="en-GB"/>
        </w:rPr>
        <w:t>in the full trial. Of note</w:t>
      </w:r>
      <w:r w:rsidR="003963EE" w:rsidRPr="008C3753">
        <w:rPr>
          <w:rFonts w:cstheme="minorHAnsi"/>
          <w:lang w:val="en-GB"/>
        </w:rPr>
        <w:t>,</w:t>
      </w:r>
      <w:r w:rsidRPr="008C3753">
        <w:rPr>
          <w:rFonts w:cstheme="minorHAnsi"/>
          <w:lang w:val="en-GB"/>
        </w:rPr>
        <w:t xml:space="preserve"> the </w:t>
      </w:r>
      <w:r w:rsidR="008138A1" w:rsidRPr="008C3753">
        <w:rPr>
          <w:rFonts w:cstheme="minorHAnsi"/>
          <w:lang w:val="en-GB"/>
        </w:rPr>
        <w:t xml:space="preserve">ARK </w:t>
      </w:r>
      <w:r w:rsidRPr="008C3753">
        <w:rPr>
          <w:rFonts w:cstheme="minorHAnsi"/>
          <w:lang w:val="en-GB"/>
        </w:rPr>
        <w:t xml:space="preserve">intervention </w:t>
      </w:r>
      <w:r w:rsidR="008138A1" w:rsidRPr="008C3753">
        <w:rPr>
          <w:rFonts w:cstheme="minorHAnsi"/>
          <w:lang w:val="en-GB"/>
        </w:rPr>
        <w:t>aims</w:t>
      </w:r>
      <w:r w:rsidRPr="008C3753">
        <w:rPr>
          <w:rFonts w:cstheme="minorHAnsi"/>
          <w:lang w:val="en-GB"/>
        </w:rPr>
        <w:t xml:space="preserve"> to support clinicians</w:t>
      </w:r>
      <w:r w:rsidR="00B03E5B" w:rsidRPr="008C3753">
        <w:rPr>
          <w:rFonts w:cstheme="minorHAnsi"/>
          <w:lang w:val="en-GB"/>
        </w:rPr>
        <w:t>’</w:t>
      </w:r>
      <w:r w:rsidRPr="008C3753">
        <w:rPr>
          <w:rFonts w:cstheme="minorHAnsi"/>
          <w:lang w:val="en-GB"/>
        </w:rPr>
        <w:t xml:space="preserve"> </w:t>
      </w:r>
      <w:r w:rsidR="00C677A7" w:rsidRPr="008C3753">
        <w:rPr>
          <w:rFonts w:cstheme="minorHAnsi"/>
          <w:lang w:val="en-GB"/>
        </w:rPr>
        <w:t>“</w:t>
      </w:r>
      <w:r w:rsidRPr="008C3753">
        <w:rPr>
          <w:rFonts w:cstheme="minorHAnsi"/>
          <w:lang w:val="en-GB"/>
        </w:rPr>
        <w:t>review and revise</w:t>
      </w:r>
      <w:r w:rsidR="00C677A7" w:rsidRPr="008C3753">
        <w:rPr>
          <w:rFonts w:cstheme="minorHAnsi"/>
          <w:lang w:val="en-GB"/>
        </w:rPr>
        <w:t>”</w:t>
      </w:r>
      <w:r w:rsidRPr="008C3753">
        <w:rPr>
          <w:rFonts w:cstheme="minorHAnsi"/>
          <w:lang w:val="en-GB"/>
        </w:rPr>
        <w:t xml:space="preserve"> antibiotic decision making in line with </w:t>
      </w:r>
      <w:r w:rsidR="00B03E5B" w:rsidRPr="008C3753">
        <w:rPr>
          <w:rFonts w:cstheme="minorHAnsi"/>
          <w:lang w:val="en-GB"/>
        </w:rPr>
        <w:t>‘</w:t>
      </w:r>
      <w:r w:rsidRPr="008C3753">
        <w:rPr>
          <w:rFonts w:cstheme="minorHAnsi"/>
          <w:lang w:val="en-GB"/>
        </w:rPr>
        <w:t>Start Smart then Focus</w:t>
      </w:r>
      <w:r w:rsidR="00B03E5B" w:rsidRPr="008C3753">
        <w:rPr>
          <w:rFonts w:cstheme="minorHAnsi"/>
          <w:lang w:val="en-GB"/>
        </w:rPr>
        <w:t>’</w:t>
      </w:r>
      <w:r w:rsidRPr="008C3753">
        <w:rPr>
          <w:rFonts w:cstheme="minorHAnsi"/>
          <w:lang w:val="en-GB"/>
        </w:rPr>
        <w:t xml:space="preserve"> </w:t>
      </w:r>
      <w:r w:rsidR="008B0DBD" w:rsidRPr="008C3753">
        <w:rPr>
          <w:rFonts w:cstheme="minorHAnsi"/>
          <w:lang w:val="en-GB"/>
        </w:rPr>
        <w:t>recommendations</w:t>
      </w:r>
      <w:r w:rsidR="00EF3E59" w:rsidRPr="008C3753">
        <w:rPr>
          <w:rFonts w:cstheme="minorHAnsi"/>
          <w:lang w:val="en-GB"/>
        </w:rPr>
        <w:t xml:space="preserve">, </w:t>
      </w:r>
      <w:r w:rsidR="00EF3E59" w:rsidRPr="008C3753">
        <w:rPr>
          <w:rFonts w:cstheme="minorHAnsi"/>
          <w:vertAlign w:val="superscript"/>
          <w:lang w:val="en-GB"/>
        </w:rPr>
        <w:t>4</w:t>
      </w:r>
      <w:r w:rsidR="008B0DBD" w:rsidRPr="008C3753">
        <w:rPr>
          <w:rFonts w:eastAsia="Calibri" w:cstheme="minorHAnsi"/>
          <w:lang w:val="en-GB"/>
        </w:rPr>
        <w:t xml:space="preserve"> </w:t>
      </w:r>
      <w:r w:rsidRPr="008C3753">
        <w:rPr>
          <w:rFonts w:cstheme="minorHAnsi"/>
          <w:lang w:val="en-GB"/>
        </w:rPr>
        <w:t xml:space="preserve">rather than demonstrate whether this is of itself </w:t>
      </w:r>
      <w:r w:rsidR="00AB564C" w:rsidRPr="008C3753">
        <w:rPr>
          <w:rFonts w:cstheme="minorHAnsi"/>
          <w:lang w:val="en-GB"/>
        </w:rPr>
        <w:t xml:space="preserve">a safe and effective strategy to mitigate risks of antimicrobial overuse. This approach closely follows recommendations </w:t>
      </w:r>
      <w:r w:rsidR="008B0DBD" w:rsidRPr="008C3753">
        <w:rPr>
          <w:rFonts w:cstheme="minorHAnsi"/>
          <w:lang w:val="en-GB"/>
        </w:rPr>
        <w:t>followed</w:t>
      </w:r>
      <w:r w:rsidR="00AB564C" w:rsidRPr="008C3753">
        <w:rPr>
          <w:rFonts w:cstheme="minorHAnsi"/>
          <w:lang w:val="en-GB"/>
        </w:rPr>
        <w:t xml:space="preserve"> in other healthcare systems</w:t>
      </w:r>
      <w:r w:rsidR="008B0DBD" w:rsidRPr="008C3753">
        <w:rPr>
          <w:rFonts w:cstheme="minorHAnsi"/>
          <w:lang w:val="en-GB"/>
        </w:rPr>
        <w:t>,</w:t>
      </w:r>
      <w:r w:rsidR="00AB564C" w:rsidRPr="008C3753">
        <w:rPr>
          <w:rFonts w:cstheme="minorHAnsi"/>
          <w:lang w:val="en-GB"/>
        </w:rPr>
        <w:t xml:space="preserve"> for example the </w:t>
      </w:r>
      <w:r w:rsidR="00852B78" w:rsidRPr="008C3753">
        <w:rPr>
          <w:rFonts w:cstheme="minorHAnsi"/>
          <w:lang w:val="en-GB"/>
        </w:rPr>
        <w:t xml:space="preserve">CDC’s </w:t>
      </w:r>
      <w:r w:rsidR="00AB564C" w:rsidRPr="008C3753">
        <w:rPr>
          <w:rFonts w:cstheme="minorHAnsi"/>
          <w:lang w:val="en-GB"/>
        </w:rPr>
        <w:t xml:space="preserve">Core Elements of Hospital </w:t>
      </w:r>
      <w:r w:rsidR="00A03987" w:rsidRPr="008C3753">
        <w:rPr>
          <w:rFonts w:cstheme="minorHAnsi"/>
          <w:lang w:val="en-GB"/>
        </w:rPr>
        <w:t>AMS</w:t>
      </w:r>
      <w:r w:rsidR="00AB564C" w:rsidRPr="008C3753">
        <w:rPr>
          <w:rFonts w:cstheme="minorHAnsi"/>
          <w:lang w:val="en-GB"/>
        </w:rPr>
        <w:t xml:space="preserve"> Programmes which includes ‘antibiotic time outs’ to review prescribing decisions. </w:t>
      </w:r>
      <w:r w:rsidR="00F00A1E" w:rsidRPr="008C3753">
        <w:rPr>
          <w:rFonts w:cstheme="minorHAnsi"/>
          <w:lang w:val="en-GB"/>
        </w:rPr>
        <w:t>T</w:t>
      </w:r>
      <w:r w:rsidR="00AB564C" w:rsidRPr="008C3753">
        <w:rPr>
          <w:rFonts w:cstheme="minorHAnsi"/>
          <w:lang w:val="en-GB"/>
        </w:rPr>
        <w:t>ime-limit</w:t>
      </w:r>
      <w:r w:rsidR="00F00A1E" w:rsidRPr="008C3753">
        <w:rPr>
          <w:rFonts w:cstheme="minorHAnsi"/>
          <w:lang w:val="en-GB"/>
        </w:rPr>
        <w:t>ing</w:t>
      </w:r>
      <w:r w:rsidR="00AB564C" w:rsidRPr="008C3753">
        <w:rPr>
          <w:rFonts w:cstheme="minorHAnsi"/>
          <w:lang w:val="en-GB"/>
        </w:rPr>
        <w:t xml:space="preserve"> initial antibiotic prescription</w:t>
      </w:r>
      <w:r w:rsidR="00F00A1E" w:rsidRPr="008C3753">
        <w:rPr>
          <w:rFonts w:cstheme="minorHAnsi"/>
          <w:lang w:val="en-GB"/>
        </w:rPr>
        <w:t>s</w:t>
      </w:r>
      <w:r w:rsidR="00AB564C" w:rsidRPr="008C3753">
        <w:rPr>
          <w:rFonts w:cstheme="minorHAnsi"/>
          <w:lang w:val="en-GB"/>
        </w:rPr>
        <w:t xml:space="preserve"> has not</w:t>
      </w:r>
      <w:r w:rsidR="001A2FCA" w:rsidRPr="008C3753">
        <w:rPr>
          <w:rFonts w:cstheme="minorHAnsi"/>
          <w:lang w:val="en-GB"/>
        </w:rPr>
        <w:t>,</w:t>
      </w:r>
      <w:r w:rsidR="00AB564C" w:rsidRPr="008C3753">
        <w:rPr>
          <w:rFonts w:cstheme="minorHAnsi"/>
          <w:lang w:val="en-GB"/>
        </w:rPr>
        <w:t xml:space="preserve"> as far as we know</w:t>
      </w:r>
      <w:r w:rsidR="001A2FCA" w:rsidRPr="008C3753">
        <w:rPr>
          <w:rFonts w:cstheme="minorHAnsi"/>
          <w:lang w:val="en-GB"/>
        </w:rPr>
        <w:t>,</w:t>
      </w:r>
      <w:r w:rsidR="00AB564C" w:rsidRPr="008C3753">
        <w:rPr>
          <w:rFonts w:cstheme="minorHAnsi"/>
          <w:lang w:val="en-GB"/>
        </w:rPr>
        <w:t xml:space="preserve"> been evaluated in the </w:t>
      </w:r>
      <w:r w:rsidR="00852B78" w:rsidRPr="008C3753">
        <w:rPr>
          <w:rFonts w:cstheme="minorHAnsi"/>
          <w:lang w:val="en-GB"/>
        </w:rPr>
        <w:t>NHS</w:t>
      </w:r>
      <w:r w:rsidR="00F00A1E" w:rsidRPr="008C3753">
        <w:rPr>
          <w:rFonts w:cstheme="minorHAnsi"/>
          <w:lang w:val="en-GB"/>
        </w:rPr>
        <w:t xml:space="preserve"> previously</w:t>
      </w:r>
      <w:r w:rsidR="00AB564C" w:rsidRPr="008C3753">
        <w:rPr>
          <w:rFonts w:cstheme="minorHAnsi"/>
          <w:lang w:val="en-GB"/>
        </w:rPr>
        <w:t xml:space="preserve"> but has been found </w:t>
      </w:r>
      <w:r w:rsidR="00581DB2" w:rsidRPr="008C3753">
        <w:rPr>
          <w:rFonts w:cstheme="minorHAnsi"/>
          <w:lang w:val="en-GB"/>
        </w:rPr>
        <w:t xml:space="preserve">in the United States </w:t>
      </w:r>
      <w:r w:rsidR="00AB564C" w:rsidRPr="008C3753">
        <w:rPr>
          <w:rFonts w:cstheme="minorHAnsi"/>
          <w:lang w:val="en-GB"/>
        </w:rPr>
        <w:t xml:space="preserve">to </w:t>
      </w:r>
      <w:r w:rsidR="00581DB2" w:rsidRPr="008C3753">
        <w:rPr>
          <w:rFonts w:cstheme="minorHAnsi"/>
          <w:lang w:val="en-GB"/>
        </w:rPr>
        <w:t>reduce the total consumption of antibiotics and the use of inappropriate agents without negatively impacting mortality</w:t>
      </w:r>
      <w:r w:rsidR="00EF3E59" w:rsidRPr="008C3753">
        <w:rPr>
          <w:rFonts w:cstheme="minorHAnsi"/>
          <w:lang w:val="en-GB"/>
        </w:rPr>
        <w:t xml:space="preserve">. </w:t>
      </w:r>
      <w:r w:rsidR="008403E5" w:rsidRPr="008C3753">
        <w:rPr>
          <w:rFonts w:cstheme="minorHAnsi"/>
          <w:vertAlign w:val="superscript"/>
          <w:lang w:val="en-GB"/>
        </w:rPr>
        <w:t>15</w:t>
      </w:r>
      <w:r w:rsidR="00EF3E59" w:rsidRPr="008C3753">
        <w:rPr>
          <w:rFonts w:cstheme="minorHAnsi"/>
          <w:vertAlign w:val="superscript"/>
          <w:lang w:val="en-GB"/>
        </w:rPr>
        <w:t>, 1</w:t>
      </w:r>
      <w:r w:rsidR="008403E5" w:rsidRPr="008C3753">
        <w:rPr>
          <w:rFonts w:cstheme="minorHAnsi"/>
          <w:vertAlign w:val="superscript"/>
          <w:lang w:val="en-GB"/>
        </w:rPr>
        <w:t>6</w:t>
      </w:r>
      <w:r w:rsidR="001C0565" w:rsidRPr="008C3753">
        <w:rPr>
          <w:rFonts w:cstheme="minorHAnsi"/>
          <w:vertAlign w:val="superscript"/>
          <w:lang w:val="en-GB"/>
        </w:rPr>
        <w:t xml:space="preserve"> </w:t>
      </w:r>
      <w:r w:rsidR="003C5EB2" w:rsidRPr="008C3753">
        <w:rPr>
          <w:rFonts w:cstheme="minorHAnsi"/>
          <w:lang w:val="en-GB"/>
        </w:rPr>
        <w:t xml:space="preserve">As a measure of acceptability of the online learning, we could have reported the proportion of staff who completed it using either the number of staff who work in the areas where ARK was implemented or of staff invited to do the on line learning. However, the way the learning was made available to healthcare workers involved in acute medicine and general medicine meant neither of these denominators could be obtained. Using the proportion of key essential staff gives a reliable but restricted measure. </w:t>
      </w:r>
      <w:r w:rsidR="00517E9F" w:rsidRPr="008C3753">
        <w:rPr>
          <w:rFonts w:cstheme="minorHAnsi"/>
          <w:lang w:val="en-GB"/>
        </w:rPr>
        <w:t xml:space="preserve">We </w:t>
      </w:r>
      <w:proofErr w:type="spellStart"/>
      <w:r w:rsidR="00517E9F" w:rsidRPr="008C3753">
        <w:rPr>
          <w:rFonts w:cstheme="minorHAnsi"/>
          <w:lang w:val="en-GB"/>
        </w:rPr>
        <w:t>can not</w:t>
      </w:r>
      <w:proofErr w:type="spellEnd"/>
      <w:r w:rsidR="00517E9F" w:rsidRPr="008C3753">
        <w:rPr>
          <w:rFonts w:cstheme="minorHAnsi"/>
          <w:lang w:val="en-GB"/>
        </w:rPr>
        <w:t xml:space="preserve"> discount the possibility that other staff members who could have been key influencers were not identified by the ARK Champion. However, this did not appear to have a negative impact on other study outcomes. T</w:t>
      </w:r>
      <w:r w:rsidR="003C5EB2" w:rsidRPr="008C3753">
        <w:rPr>
          <w:rFonts w:cstheme="minorHAnsi"/>
          <w:lang w:val="en-GB"/>
        </w:rPr>
        <w:t xml:space="preserve">he number </w:t>
      </w:r>
      <w:r w:rsidR="00517E9F" w:rsidRPr="008C3753">
        <w:rPr>
          <w:rFonts w:cstheme="minorHAnsi"/>
          <w:lang w:val="en-GB"/>
        </w:rPr>
        <w:t>of 19.4 staff trained per 100 acute beds is hard to interpret but the fact that 132 staff found time to do the online learning in a busy trust indicates it is not overly burdensome.</w:t>
      </w:r>
      <w:r w:rsidR="00631F08" w:rsidRPr="008C3753">
        <w:rPr>
          <w:rFonts w:cstheme="minorHAnsi"/>
          <w:lang w:val="en-GB"/>
        </w:rPr>
        <w:t xml:space="preserve"> </w:t>
      </w:r>
      <w:r w:rsidR="005D48D5" w:rsidRPr="008C3753">
        <w:rPr>
          <w:rFonts w:cstheme="minorHAnsi"/>
          <w:lang w:val="en-GB"/>
        </w:rPr>
        <w:t>As</w:t>
      </w:r>
      <w:r w:rsidR="009E085C" w:rsidRPr="008C3753">
        <w:rPr>
          <w:rFonts w:cstheme="minorHAnsi"/>
          <w:lang w:val="en-GB"/>
        </w:rPr>
        <w:t xml:space="preserve"> this study was conducted at a single acute hospital </w:t>
      </w:r>
      <w:r w:rsidR="009E085C" w:rsidRPr="008C3753">
        <w:rPr>
          <w:rFonts w:cstheme="minorHAnsi"/>
          <w:lang w:val="en-GB"/>
        </w:rPr>
        <w:lastRenderedPageBreak/>
        <w:t xml:space="preserve">site, the results cannot be generalised to non-hospital settings and may be less applicable </w:t>
      </w:r>
      <w:r w:rsidR="005D48D5" w:rsidRPr="008C3753">
        <w:rPr>
          <w:rFonts w:cstheme="minorHAnsi"/>
          <w:lang w:val="en-GB"/>
        </w:rPr>
        <w:t>to</w:t>
      </w:r>
      <w:r w:rsidR="009E085C" w:rsidRPr="008C3753">
        <w:rPr>
          <w:rFonts w:cstheme="minorHAnsi"/>
          <w:lang w:val="en-GB"/>
        </w:rPr>
        <w:t xml:space="preserve"> hospitals with different infrastructures, which may be the case in other countries.</w:t>
      </w:r>
    </w:p>
    <w:p w14:paraId="728E2CF6" w14:textId="726C1C26" w:rsidR="00581DB2" w:rsidRPr="008C3753" w:rsidRDefault="00834E7F" w:rsidP="003E3ADC">
      <w:pPr>
        <w:widowControl w:val="0"/>
        <w:spacing w:after="0" w:line="480" w:lineRule="auto"/>
        <w:jc w:val="both"/>
        <w:rPr>
          <w:rFonts w:cstheme="minorHAnsi"/>
          <w:lang w:val="en-GB"/>
        </w:rPr>
      </w:pPr>
      <w:r w:rsidRPr="008C3753">
        <w:rPr>
          <w:rFonts w:cstheme="minorHAnsi"/>
          <w:lang w:val="en-GB"/>
        </w:rPr>
        <w:t>Nonetheless,</w:t>
      </w:r>
      <w:r w:rsidR="00172D91" w:rsidRPr="008C3753">
        <w:rPr>
          <w:rFonts w:cstheme="minorHAnsi"/>
          <w:lang w:val="en-GB"/>
        </w:rPr>
        <w:t xml:space="preserve"> an</w:t>
      </w:r>
      <w:r w:rsidR="00581DB2" w:rsidRPr="008C3753">
        <w:rPr>
          <w:rFonts w:cstheme="minorHAnsi"/>
          <w:lang w:val="en-GB"/>
        </w:rPr>
        <w:t xml:space="preserve"> important strength</w:t>
      </w:r>
      <w:r w:rsidR="00A83E18" w:rsidRPr="008C3753">
        <w:rPr>
          <w:rFonts w:cstheme="minorHAnsi"/>
          <w:lang w:val="en-GB"/>
        </w:rPr>
        <w:t xml:space="preserve"> of our study is that we</w:t>
      </w:r>
      <w:r w:rsidR="00581DB2" w:rsidRPr="008C3753">
        <w:rPr>
          <w:rFonts w:cstheme="minorHAnsi"/>
          <w:lang w:val="en-GB"/>
        </w:rPr>
        <w:t xml:space="preserve"> have been able to characterise the delivery and uptake of a novel multi</w:t>
      </w:r>
      <w:r w:rsidR="001A2FCA" w:rsidRPr="008C3753">
        <w:rPr>
          <w:rFonts w:cstheme="minorHAnsi"/>
          <w:lang w:val="en-GB"/>
        </w:rPr>
        <w:t>-</w:t>
      </w:r>
      <w:r w:rsidR="00581DB2" w:rsidRPr="008C3753">
        <w:rPr>
          <w:rFonts w:cstheme="minorHAnsi"/>
          <w:lang w:val="en-GB"/>
        </w:rPr>
        <w:t>faceted intervention in a setting</w:t>
      </w:r>
      <w:r w:rsidR="004665EB" w:rsidRPr="008C3753">
        <w:rPr>
          <w:rFonts w:cstheme="minorHAnsi"/>
          <w:lang w:val="en-GB"/>
        </w:rPr>
        <w:t xml:space="preserve"> </w:t>
      </w:r>
      <w:r w:rsidR="00581DB2" w:rsidRPr="008C3753">
        <w:rPr>
          <w:rFonts w:cstheme="minorHAnsi"/>
          <w:lang w:val="en-GB"/>
        </w:rPr>
        <w:t xml:space="preserve">typical of the wider </w:t>
      </w:r>
      <w:r w:rsidR="004665EB" w:rsidRPr="008C3753">
        <w:rPr>
          <w:rFonts w:cstheme="minorHAnsi"/>
          <w:lang w:val="en-GB"/>
        </w:rPr>
        <w:t xml:space="preserve">NHS </w:t>
      </w:r>
      <w:r w:rsidR="00581DB2" w:rsidRPr="008C3753">
        <w:rPr>
          <w:rFonts w:cstheme="minorHAnsi"/>
          <w:lang w:val="en-GB"/>
        </w:rPr>
        <w:t>environment in which its definitive evaluation will be undertaken.</w:t>
      </w:r>
      <w:r w:rsidR="00172D91" w:rsidRPr="008C3753">
        <w:rPr>
          <w:rFonts w:cstheme="minorHAnsi"/>
          <w:lang w:val="en-GB"/>
        </w:rPr>
        <w:t xml:space="preserve"> </w:t>
      </w:r>
      <w:r w:rsidR="00CC0DEC" w:rsidRPr="008C3753">
        <w:rPr>
          <w:rFonts w:cstheme="minorHAnsi"/>
          <w:lang w:val="en-GB"/>
        </w:rPr>
        <w:t xml:space="preserve">This study shows that the ARK intervention is adaptable and can be applied to other acute hospitals within the UK. It has </w:t>
      </w:r>
      <w:r w:rsidR="00581DB2" w:rsidRPr="008C3753">
        <w:rPr>
          <w:rFonts w:cstheme="minorHAnsi"/>
          <w:lang w:val="en-GB"/>
        </w:rPr>
        <w:t>inform</w:t>
      </w:r>
      <w:r w:rsidR="001A2FCA" w:rsidRPr="008C3753">
        <w:rPr>
          <w:rFonts w:cstheme="minorHAnsi"/>
          <w:lang w:val="en-GB"/>
        </w:rPr>
        <w:t>ed</w:t>
      </w:r>
      <w:r w:rsidR="00581DB2" w:rsidRPr="008C3753">
        <w:rPr>
          <w:rFonts w:cstheme="minorHAnsi"/>
          <w:lang w:val="en-GB"/>
        </w:rPr>
        <w:t xml:space="preserve"> how </w:t>
      </w:r>
      <w:r w:rsidR="00172D91" w:rsidRPr="008C3753">
        <w:rPr>
          <w:rFonts w:cstheme="minorHAnsi"/>
          <w:lang w:val="en-GB"/>
        </w:rPr>
        <w:t xml:space="preserve">these sites </w:t>
      </w:r>
      <w:r w:rsidR="00A52688" w:rsidRPr="008C3753">
        <w:rPr>
          <w:rFonts w:cstheme="minorHAnsi"/>
          <w:lang w:val="en-GB"/>
        </w:rPr>
        <w:t>can</w:t>
      </w:r>
      <w:r w:rsidR="00E31024" w:rsidRPr="008C3753">
        <w:rPr>
          <w:rFonts w:cstheme="minorHAnsi"/>
          <w:lang w:val="en-GB"/>
        </w:rPr>
        <w:t xml:space="preserve"> prepare for</w:t>
      </w:r>
      <w:r w:rsidR="00A52688" w:rsidRPr="008C3753">
        <w:rPr>
          <w:rFonts w:cstheme="minorHAnsi"/>
          <w:lang w:val="en-GB"/>
        </w:rPr>
        <w:t xml:space="preserve"> </w:t>
      </w:r>
      <w:r w:rsidR="00581DB2" w:rsidRPr="008C3753">
        <w:rPr>
          <w:rFonts w:cstheme="minorHAnsi"/>
          <w:lang w:val="en-GB"/>
        </w:rPr>
        <w:t>implement</w:t>
      </w:r>
      <w:r w:rsidR="00E31024" w:rsidRPr="008C3753">
        <w:rPr>
          <w:rFonts w:cstheme="minorHAnsi"/>
          <w:lang w:val="en-GB"/>
        </w:rPr>
        <w:t>ing</w:t>
      </w:r>
      <w:r w:rsidR="00581DB2" w:rsidRPr="008C3753">
        <w:rPr>
          <w:rFonts w:cstheme="minorHAnsi"/>
          <w:lang w:val="en-GB"/>
        </w:rPr>
        <w:t xml:space="preserve"> ARK</w:t>
      </w:r>
      <w:r w:rsidR="001A385D" w:rsidRPr="008C3753">
        <w:rPr>
          <w:rFonts w:cstheme="minorHAnsi"/>
          <w:lang w:val="en-GB"/>
        </w:rPr>
        <w:t xml:space="preserve"> </w:t>
      </w:r>
      <w:r w:rsidR="00CC0DEC" w:rsidRPr="008C3753">
        <w:rPr>
          <w:rFonts w:cstheme="minorHAnsi"/>
          <w:lang w:val="en-GB"/>
        </w:rPr>
        <w:t>and has led to multiple additions to the implementation guidance e.g. more emphasis on how to incorporate the patient leaflet component.  All materials developed in this feasibility study (such as slide sets, email and letter templates, poster and drug chart templates) form the basis of a resources set that is available to sites implementing ARK during the full trial. Another product</w:t>
      </w:r>
      <w:r w:rsidR="00901915" w:rsidRPr="008C3753">
        <w:rPr>
          <w:rFonts w:cstheme="minorHAnsi"/>
          <w:lang w:val="en-GB"/>
        </w:rPr>
        <w:t xml:space="preserve"> </w:t>
      </w:r>
      <w:r w:rsidR="00852B78" w:rsidRPr="008C3753">
        <w:rPr>
          <w:rFonts w:cstheme="minorHAnsi"/>
          <w:lang w:val="en-GB"/>
        </w:rPr>
        <w:t xml:space="preserve">has been </w:t>
      </w:r>
      <w:r w:rsidR="001A2FCA" w:rsidRPr="008C3753">
        <w:rPr>
          <w:rFonts w:cstheme="minorHAnsi"/>
          <w:lang w:val="en-GB"/>
        </w:rPr>
        <w:t xml:space="preserve">the </w:t>
      </w:r>
      <w:r w:rsidR="00852B78" w:rsidRPr="008C3753">
        <w:rPr>
          <w:rFonts w:cstheme="minorHAnsi"/>
          <w:lang w:val="en-GB"/>
        </w:rPr>
        <w:t xml:space="preserve">establishment of a national </w:t>
      </w:r>
      <w:r w:rsidR="001A2FCA" w:rsidRPr="008C3753">
        <w:rPr>
          <w:rFonts w:cstheme="minorHAnsi"/>
          <w:lang w:val="en-GB"/>
        </w:rPr>
        <w:t>n</w:t>
      </w:r>
      <w:r w:rsidR="00852B78" w:rsidRPr="008C3753">
        <w:rPr>
          <w:rFonts w:cstheme="minorHAnsi"/>
          <w:lang w:val="en-GB"/>
        </w:rPr>
        <w:t xml:space="preserve">etwork involving Champions and their colleagues at sites involved in the full trial evaluation, a forum where they can communicate and </w:t>
      </w:r>
      <w:r w:rsidR="00233985" w:rsidRPr="008C3753">
        <w:rPr>
          <w:rFonts w:cstheme="minorHAnsi"/>
          <w:lang w:val="en-GB"/>
        </w:rPr>
        <w:t xml:space="preserve">a repository where they can </w:t>
      </w:r>
      <w:r w:rsidR="006963D7" w:rsidRPr="008C3753">
        <w:rPr>
          <w:rFonts w:cstheme="minorHAnsi"/>
          <w:lang w:val="en-GB"/>
        </w:rPr>
        <w:t>share resources</w:t>
      </w:r>
      <w:r w:rsidR="00852B78" w:rsidRPr="008C3753">
        <w:rPr>
          <w:rFonts w:cstheme="minorHAnsi"/>
          <w:lang w:val="en-GB"/>
        </w:rPr>
        <w:t xml:space="preserve">. </w:t>
      </w:r>
    </w:p>
    <w:p w14:paraId="5DF447C0" w14:textId="77777777" w:rsidR="0086243D" w:rsidRPr="008C3753" w:rsidRDefault="0086243D" w:rsidP="00475602">
      <w:pPr>
        <w:spacing w:after="0" w:line="480" w:lineRule="auto"/>
        <w:jc w:val="both"/>
        <w:rPr>
          <w:rFonts w:cstheme="minorHAnsi"/>
          <w:bCs/>
          <w:iCs/>
          <w:lang w:val="en-GB"/>
        </w:rPr>
      </w:pPr>
    </w:p>
    <w:p w14:paraId="3180AF5C" w14:textId="055721DF" w:rsidR="004C7B3F" w:rsidRPr="008C3753" w:rsidRDefault="004C7B3F" w:rsidP="00475602">
      <w:pPr>
        <w:spacing w:after="0" w:line="480" w:lineRule="auto"/>
        <w:jc w:val="both"/>
        <w:rPr>
          <w:rFonts w:cstheme="minorHAnsi"/>
          <w:b/>
          <w:lang w:val="en-GB"/>
        </w:rPr>
      </w:pPr>
      <w:r w:rsidRPr="008C3753">
        <w:rPr>
          <w:rFonts w:cstheme="minorHAnsi"/>
          <w:b/>
          <w:iCs/>
          <w:lang w:val="en-GB"/>
        </w:rPr>
        <w:t>Conclusions</w:t>
      </w:r>
    </w:p>
    <w:p w14:paraId="20F91738" w14:textId="3902A1C2" w:rsidR="00ED245E" w:rsidRPr="008C3753" w:rsidRDefault="00581DB2" w:rsidP="00475602">
      <w:pPr>
        <w:spacing w:after="0" w:line="480" w:lineRule="auto"/>
        <w:jc w:val="both"/>
        <w:rPr>
          <w:rFonts w:cstheme="minorHAnsi"/>
          <w:lang w:val="en-GB"/>
        </w:rPr>
      </w:pPr>
      <w:r w:rsidRPr="008C3753">
        <w:rPr>
          <w:rFonts w:cstheme="minorHAnsi"/>
          <w:lang w:val="en-GB"/>
        </w:rPr>
        <w:t>In conclusion</w:t>
      </w:r>
      <w:r w:rsidR="008E7531" w:rsidRPr="008C3753">
        <w:rPr>
          <w:rFonts w:cstheme="minorHAnsi"/>
          <w:lang w:val="en-GB"/>
        </w:rPr>
        <w:t>,</w:t>
      </w:r>
      <w:r w:rsidRPr="008C3753">
        <w:rPr>
          <w:rFonts w:cstheme="minorHAnsi"/>
          <w:lang w:val="en-GB"/>
        </w:rPr>
        <w:t xml:space="preserve"> we have established the </w:t>
      </w:r>
      <w:r w:rsidR="00852B78" w:rsidRPr="008C3753">
        <w:rPr>
          <w:rFonts w:cstheme="minorHAnsi"/>
          <w:lang w:val="en-GB"/>
        </w:rPr>
        <w:t>feasibility and acceptability of a complex behaviour change intervention aimed a</w:t>
      </w:r>
      <w:r w:rsidR="00182A76" w:rsidRPr="008C3753">
        <w:rPr>
          <w:rFonts w:cstheme="minorHAnsi"/>
          <w:lang w:val="en-GB"/>
        </w:rPr>
        <w:t>t</w:t>
      </w:r>
      <w:r w:rsidR="00852B78" w:rsidRPr="008C3753">
        <w:rPr>
          <w:rFonts w:cstheme="minorHAnsi"/>
          <w:lang w:val="en-GB"/>
        </w:rPr>
        <w:t xml:space="preserve"> increasing the </w:t>
      </w:r>
      <w:r w:rsidR="00306E1E" w:rsidRPr="008C3753">
        <w:rPr>
          <w:rFonts w:cstheme="minorHAnsi"/>
          <w:lang w:val="en-GB"/>
        </w:rPr>
        <w:t xml:space="preserve">rate of </w:t>
      </w:r>
      <w:r w:rsidR="00A52688" w:rsidRPr="008C3753">
        <w:rPr>
          <w:rFonts w:cstheme="minorHAnsi"/>
          <w:lang w:val="en-GB"/>
        </w:rPr>
        <w:t xml:space="preserve">antibiotic </w:t>
      </w:r>
      <w:r w:rsidR="00306E1E" w:rsidRPr="008C3753">
        <w:rPr>
          <w:rFonts w:cstheme="minorHAnsi"/>
          <w:lang w:val="en-GB"/>
        </w:rPr>
        <w:t xml:space="preserve">stop decisions among acute medical admissions at a single acute NHS Trust. </w:t>
      </w:r>
      <w:r w:rsidR="0013169F" w:rsidRPr="008C3753">
        <w:rPr>
          <w:rFonts w:cstheme="minorHAnsi"/>
          <w:lang w:val="en-GB"/>
        </w:rPr>
        <w:t>T</w:t>
      </w:r>
      <w:r w:rsidR="00DA5FA2" w:rsidRPr="008C3753">
        <w:rPr>
          <w:rFonts w:cstheme="minorHAnsi"/>
          <w:lang w:val="en-GB"/>
        </w:rPr>
        <w:t>here is promising evidence that the ARK intervention</w:t>
      </w:r>
      <w:r w:rsidR="0097644F" w:rsidRPr="008C3753">
        <w:rPr>
          <w:rFonts w:cstheme="minorHAnsi"/>
          <w:lang w:val="en-GB"/>
        </w:rPr>
        <w:t xml:space="preserve"> </w:t>
      </w:r>
      <w:r w:rsidR="00DA5FA2" w:rsidRPr="008C3753">
        <w:rPr>
          <w:rFonts w:cstheme="minorHAnsi"/>
          <w:lang w:val="en-GB"/>
        </w:rPr>
        <w:t xml:space="preserve">may be able to motivate and support better adherence to </w:t>
      </w:r>
      <w:r w:rsidR="0097644F" w:rsidRPr="008C3753">
        <w:rPr>
          <w:rFonts w:cstheme="minorHAnsi"/>
          <w:lang w:val="en-GB"/>
        </w:rPr>
        <w:t>existing guidance to stop antibiotics at review</w:t>
      </w:r>
      <w:r w:rsidR="00DA5FA2" w:rsidRPr="008C3753">
        <w:rPr>
          <w:rFonts w:cstheme="minorHAnsi"/>
          <w:lang w:val="en-GB"/>
        </w:rPr>
        <w:t xml:space="preserve">. </w:t>
      </w:r>
      <w:r w:rsidR="00306E1E" w:rsidRPr="008C3753">
        <w:rPr>
          <w:rFonts w:cstheme="minorHAnsi"/>
          <w:lang w:val="en-GB"/>
        </w:rPr>
        <w:t>A nationwide stepped-wedge randomised controlled trial is currently underway to establish the impact of this intervention on antibiotic consumption and patient outcome.</w:t>
      </w:r>
    </w:p>
    <w:p w14:paraId="2636B8D5" w14:textId="77777777" w:rsidR="00B85C04" w:rsidRPr="008C3753" w:rsidRDefault="00B85C04">
      <w:pPr>
        <w:spacing w:after="0"/>
        <w:rPr>
          <w:rFonts w:ascii="Calibri" w:eastAsia="Calibri" w:hAnsi="Calibri" w:cs="Times New Roman"/>
          <w:b/>
          <w:bCs/>
          <w:lang w:val="en-GB"/>
        </w:rPr>
      </w:pPr>
      <w:r w:rsidRPr="008C3753">
        <w:rPr>
          <w:lang w:val="en-GB"/>
        </w:rPr>
        <w:br w:type="page"/>
      </w:r>
    </w:p>
    <w:p w14:paraId="1A4EB35D" w14:textId="0A6029F8" w:rsidR="005C2A7D" w:rsidRPr="008C3753" w:rsidRDefault="0070640D" w:rsidP="0070640D">
      <w:pPr>
        <w:pStyle w:val="Caption"/>
        <w:spacing w:before="0" w:after="0" w:line="480" w:lineRule="auto"/>
        <w:jc w:val="both"/>
        <w:rPr>
          <w:sz w:val="24"/>
          <w:szCs w:val="24"/>
        </w:rPr>
      </w:pPr>
      <w:r w:rsidRPr="008C3753">
        <w:rPr>
          <w:sz w:val="24"/>
          <w:szCs w:val="24"/>
        </w:rPr>
        <w:lastRenderedPageBreak/>
        <w:t>References</w:t>
      </w:r>
    </w:p>
    <w:p w14:paraId="7002292D" w14:textId="2142D68D" w:rsidR="0070640D" w:rsidRPr="008C3753" w:rsidRDefault="0070640D" w:rsidP="00DE1CDE">
      <w:pPr>
        <w:pStyle w:val="ListParagraph"/>
        <w:numPr>
          <w:ilvl w:val="0"/>
          <w:numId w:val="2"/>
        </w:numPr>
        <w:spacing w:after="0" w:line="480" w:lineRule="auto"/>
        <w:rPr>
          <w:lang w:val="en-GB"/>
        </w:rPr>
      </w:pPr>
      <w:r w:rsidRPr="008C3753">
        <w:rPr>
          <w:lang w:val="en-GB"/>
        </w:rPr>
        <w:t>Public Health England. English Surveillance Programme for Antimicrobial Utilisation and Resistance (ESPAUR) Report</w:t>
      </w:r>
      <w:r w:rsidR="007561B6" w:rsidRPr="008C3753">
        <w:rPr>
          <w:lang w:val="en-GB"/>
        </w:rPr>
        <w:t xml:space="preserve">. London: PHE; </w:t>
      </w:r>
      <w:r w:rsidRPr="008C3753">
        <w:rPr>
          <w:lang w:val="en-GB"/>
        </w:rPr>
        <w:t>2018</w:t>
      </w:r>
      <w:r w:rsidR="00A54CF7" w:rsidRPr="008C3753">
        <w:rPr>
          <w:lang w:val="en-GB"/>
        </w:rPr>
        <w:t>.</w:t>
      </w:r>
    </w:p>
    <w:p w14:paraId="1DF28D86" w14:textId="5970FD2A" w:rsidR="0070640D" w:rsidRPr="008C3753" w:rsidRDefault="00BE48EE" w:rsidP="00DE1CDE">
      <w:pPr>
        <w:pStyle w:val="ListParagraph"/>
        <w:numPr>
          <w:ilvl w:val="0"/>
          <w:numId w:val="2"/>
        </w:numPr>
        <w:spacing w:after="0" w:line="480" w:lineRule="auto"/>
        <w:rPr>
          <w:lang w:val="en-GB"/>
        </w:rPr>
      </w:pPr>
      <w:r w:rsidRPr="008C3753">
        <w:rPr>
          <w:lang w:val="en-GB"/>
        </w:rPr>
        <w:t xml:space="preserve">Kumar A, Roberts D, Wood KE, Light B, </w:t>
      </w:r>
      <w:proofErr w:type="spellStart"/>
      <w:r w:rsidRPr="008C3753">
        <w:rPr>
          <w:lang w:val="en-GB"/>
        </w:rPr>
        <w:t>Parrillo</w:t>
      </w:r>
      <w:proofErr w:type="spellEnd"/>
      <w:r w:rsidRPr="008C3753">
        <w:rPr>
          <w:lang w:val="en-GB"/>
        </w:rPr>
        <w:t xml:space="preserve"> JE, Sharma S, et al. Duration of hypotension before initiation of effective antimicrobial therapy is the critical determinant of survival in human septic shock. </w:t>
      </w:r>
      <w:proofErr w:type="spellStart"/>
      <w:r w:rsidRPr="008C3753">
        <w:rPr>
          <w:i/>
          <w:iCs/>
          <w:lang w:val="en-GB"/>
        </w:rPr>
        <w:t>Crit</w:t>
      </w:r>
      <w:proofErr w:type="spellEnd"/>
      <w:r w:rsidRPr="008C3753">
        <w:rPr>
          <w:i/>
          <w:iCs/>
          <w:lang w:val="en-GB"/>
        </w:rPr>
        <w:t xml:space="preserve"> Care Med</w:t>
      </w:r>
      <w:r w:rsidRPr="008C3753">
        <w:rPr>
          <w:lang w:val="en-GB"/>
        </w:rPr>
        <w:t>. 2006;</w:t>
      </w:r>
      <w:r w:rsidRPr="008C3753">
        <w:rPr>
          <w:b/>
          <w:bCs/>
          <w:lang w:val="en-GB"/>
        </w:rPr>
        <w:t>34</w:t>
      </w:r>
      <w:r w:rsidRPr="008C3753">
        <w:rPr>
          <w:lang w:val="en-GB"/>
        </w:rPr>
        <w:t>(6):1589-96. https://doi.org/ 10.1097/01.CCM.0000217961.75225.E9</w:t>
      </w:r>
      <w:r w:rsidR="00A54CF7" w:rsidRPr="008C3753">
        <w:rPr>
          <w:lang w:val="en-GB"/>
        </w:rPr>
        <w:t>.</w:t>
      </w:r>
    </w:p>
    <w:p w14:paraId="7D2C0FFD" w14:textId="19818F04" w:rsidR="0070640D" w:rsidRPr="008C3753" w:rsidRDefault="00440293" w:rsidP="00DE1CDE">
      <w:pPr>
        <w:pStyle w:val="ListParagraph"/>
        <w:numPr>
          <w:ilvl w:val="0"/>
          <w:numId w:val="2"/>
        </w:numPr>
        <w:spacing w:after="0" w:line="480" w:lineRule="auto"/>
        <w:rPr>
          <w:lang w:val="en-GB"/>
        </w:rPr>
      </w:pPr>
      <w:r w:rsidRPr="008C3753">
        <w:rPr>
          <w:lang w:val="en-GB"/>
        </w:rPr>
        <w:t xml:space="preserve">Rhodes A, Evans LE, </w:t>
      </w:r>
      <w:proofErr w:type="spellStart"/>
      <w:r w:rsidRPr="008C3753">
        <w:rPr>
          <w:lang w:val="en-GB"/>
        </w:rPr>
        <w:t>Alhazzani</w:t>
      </w:r>
      <w:proofErr w:type="spellEnd"/>
      <w:r w:rsidRPr="008C3753">
        <w:rPr>
          <w:lang w:val="en-GB"/>
        </w:rPr>
        <w:t xml:space="preserve"> W, Levy MM, Antonelli M, Ferrer R, et al. Surviving Sepsis Campaign: International Guidelines for Management of Sepsis and Septic Shock: 2016. </w:t>
      </w:r>
      <w:r w:rsidRPr="008C3753">
        <w:rPr>
          <w:i/>
          <w:iCs/>
          <w:lang w:val="en-GB"/>
        </w:rPr>
        <w:t>Intensive Care Med.</w:t>
      </w:r>
      <w:r w:rsidRPr="008C3753">
        <w:rPr>
          <w:lang w:val="en-GB"/>
        </w:rPr>
        <w:t xml:space="preserve"> 2017;</w:t>
      </w:r>
      <w:r w:rsidRPr="008C3753">
        <w:rPr>
          <w:b/>
          <w:bCs/>
          <w:lang w:val="en-GB"/>
        </w:rPr>
        <w:t>43</w:t>
      </w:r>
      <w:r w:rsidRPr="008C3753">
        <w:rPr>
          <w:lang w:val="en-GB"/>
        </w:rPr>
        <w:t>(3):304-77. https://doi.org/10.1007/s00134-017-4683-6</w:t>
      </w:r>
      <w:r w:rsidR="00A54CF7" w:rsidRPr="008C3753">
        <w:rPr>
          <w:lang w:val="en-GB"/>
        </w:rPr>
        <w:t>.</w:t>
      </w:r>
    </w:p>
    <w:p w14:paraId="1E6E5399" w14:textId="1F3962C1" w:rsidR="0070640D" w:rsidRPr="008C3753" w:rsidRDefault="00AA276B" w:rsidP="00DE1CDE">
      <w:pPr>
        <w:pStyle w:val="ListParagraph"/>
        <w:numPr>
          <w:ilvl w:val="0"/>
          <w:numId w:val="2"/>
        </w:numPr>
        <w:spacing w:after="0" w:line="480" w:lineRule="auto"/>
        <w:rPr>
          <w:lang w:val="en-GB"/>
        </w:rPr>
      </w:pPr>
      <w:proofErr w:type="spellStart"/>
      <w:r w:rsidRPr="008C3753">
        <w:rPr>
          <w:lang w:val="en-GB"/>
        </w:rPr>
        <w:t>Ashiru-Oredope</w:t>
      </w:r>
      <w:proofErr w:type="spellEnd"/>
      <w:r w:rsidRPr="008C3753">
        <w:rPr>
          <w:lang w:val="en-GB"/>
        </w:rPr>
        <w:t xml:space="preserve"> D, </w:t>
      </w:r>
      <w:proofErr w:type="spellStart"/>
      <w:r w:rsidRPr="008C3753">
        <w:rPr>
          <w:lang w:val="en-GB"/>
        </w:rPr>
        <w:t>Sharland</w:t>
      </w:r>
      <w:proofErr w:type="spellEnd"/>
      <w:r w:rsidRPr="008C3753">
        <w:rPr>
          <w:lang w:val="en-GB"/>
        </w:rPr>
        <w:t xml:space="preserve"> M, </w:t>
      </w:r>
      <w:proofErr w:type="spellStart"/>
      <w:r w:rsidRPr="008C3753">
        <w:rPr>
          <w:lang w:val="en-GB"/>
        </w:rPr>
        <w:t>Charani</w:t>
      </w:r>
      <w:proofErr w:type="spellEnd"/>
      <w:r w:rsidRPr="008C3753">
        <w:rPr>
          <w:lang w:val="en-GB"/>
        </w:rPr>
        <w:t xml:space="preserve"> E, McNulty C, Cooke J, </w:t>
      </w:r>
      <w:proofErr w:type="spellStart"/>
      <w:r w:rsidR="00546DF1" w:rsidRPr="008C3753">
        <w:rPr>
          <w:lang w:val="en-GB"/>
        </w:rPr>
        <w:t>Arhai</w:t>
      </w:r>
      <w:proofErr w:type="spellEnd"/>
      <w:r w:rsidR="00546DF1" w:rsidRPr="008C3753">
        <w:rPr>
          <w:lang w:val="en-GB"/>
        </w:rPr>
        <w:t xml:space="preserve"> Antimicrobial Stewardship Group</w:t>
      </w:r>
      <w:r w:rsidRPr="008C3753">
        <w:rPr>
          <w:lang w:val="en-GB"/>
        </w:rPr>
        <w:t xml:space="preserve">. Improving the quality of antibiotic prescribing in the NHS by developing a new Antimicrobial Stewardship Programme: Start Smart--Then Focus. J </w:t>
      </w:r>
      <w:proofErr w:type="spellStart"/>
      <w:r w:rsidRPr="008C3753">
        <w:rPr>
          <w:lang w:val="en-GB"/>
        </w:rPr>
        <w:t>Antimicrob</w:t>
      </w:r>
      <w:proofErr w:type="spellEnd"/>
      <w:r w:rsidRPr="008C3753">
        <w:rPr>
          <w:lang w:val="en-GB"/>
        </w:rPr>
        <w:t xml:space="preserve"> Chemother. 2012;67 </w:t>
      </w:r>
      <w:proofErr w:type="spellStart"/>
      <w:r w:rsidRPr="008C3753">
        <w:rPr>
          <w:lang w:val="en-GB"/>
        </w:rPr>
        <w:t>Suppl</w:t>
      </w:r>
      <w:proofErr w:type="spellEnd"/>
      <w:r w:rsidRPr="008C3753">
        <w:rPr>
          <w:lang w:val="en-GB"/>
        </w:rPr>
        <w:t xml:space="preserve"> 1:i51-63.</w:t>
      </w:r>
      <w:r w:rsidR="00F40175" w:rsidRPr="008C3753">
        <w:rPr>
          <w:lang w:val="en-GB"/>
        </w:rPr>
        <w:t xml:space="preserve"> https://doi.org/10.1093/jac/dks202</w:t>
      </w:r>
      <w:r w:rsidR="00A54CF7" w:rsidRPr="008C3753">
        <w:rPr>
          <w:lang w:val="en-GB"/>
        </w:rPr>
        <w:t>.</w:t>
      </w:r>
    </w:p>
    <w:p w14:paraId="0989E3A3" w14:textId="17228AEC" w:rsidR="0070640D" w:rsidRPr="008C3753" w:rsidRDefault="0070640D" w:rsidP="00DE1CDE">
      <w:pPr>
        <w:pStyle w:val="ListParagraph"/>
        <w:numPr>
          <w:ilvl w:val="0"/>
          <w:numId w:val="2"/>
        </w:numPr>
        <w:spacing w:after="0" w:line="480" w:lineRule="auto"/>
        <w:rPr>
          <w:lang w:val="en-GB"/>
        </w:rPr>
      </w:pPr>
      <w:proofErr w:type="spellStart"/>
      <w:r w:rsidRPr="008C3753">
        <w:rPr>
          <w:lang w:val="en-GB"/>
        </w:rPr>
        <w:t>Centers</w:t>
      </w:r>
      <w:proofErr w:type="spellEnd"/>
      <w:r w:rsidRPr="008C3753">
        <w:rPr>
          <w:lang w:val="en-GB"/>
        </w:rPr>
        <w:t xml:space="preserve"> for Communicable Disease Control. Core Elements of Hospital Antibiotic Stewardship Programs</w:t>
      </w:r>
      <w:r w:rsidR="00BB1189" w:rsidRPr="008C3753">
        <w:rPr>
          <w:lang w:val="en-GB"/>
        </w:rPr>
        <w:t xml:space="preserve">. Atlanta: CDC; </w:t>
      </w:r>
      <w:r w:rsidRPr="008C3753">
        <w:rPr>
          <w:lang w:val="en-GB"/>
        </w:rPr>
        <w:t>2014</w:t>
      </w:r>
      <w:r w:rsidR="00A54CF7" w:rsidRPr="008C3753">
        <w:rPr>
          <w:lang w:val="en-GB"/>
        </w:rPr>
        <w:t>.</w:t>
      </w:r>
    </w:p>
    <w:p w14:paraId="09EE8988" w14:textId="542ECD3C" w:rsidR="0070640D" w:rsidRPr="008C3753" w:rsidRDefault="0070640D" w:rsidP="00DE1CDE">
      <w:pPr>
        <w:pStyle w:val="ListParagraph"/>
        <w:numPr>
          <w:ilvl w:val="0"/>
          <w:numId w:val="2"/>
        </w:numPr>
        <w:spacing w:after="0" w:line="480" w:lineRule="auto"/>
        <w:rPr>
          <w:lang w:val="en-GB"/>
        </w:rPr>
      </w:pPr>
      <w:r w:rsidRPr="008C3753">
        <w:rPr>
          <w:lang w:val="en-GB"/>
        </w:rPr>
        <w:t>Health Education England. Antimicrobial resistance: A training resources guide</w:t>
      </w:r>
      <w:r w:rsidR="00BB1189" w:rsidRPr="008C3753">
        <w:rPr>
          <w:lang w:val="en-GB"/>
        </w:rPr>
        <w:t xml:space="preserve">. Leeds: HEE; </w:t>
      </w:r>
      <w:r w:rsidRPr="008C3753">
        <w:rPr>
          <w:lang w:val="en-GB"/>
        </w:rPr>
        <w:t>2016</w:t>
      </w:r>
      <w:r w:rsidR="00A54CF7" w:rsidRPr="008C3753">
        <w:rPr>
          <w:lang w:val="en-GB"/>
        </w:rPr>
        <w:t>.</w:t>
      </w:r>
    </w:p>
    <w:p w14:paraId="1F1EEB6B" w14:textId="6F484A35" w:rsidR="0070640D" w:rsidRPr="008C3753" w:rsidRDefault="007959DC" w:rsidP="00DE1CDE">
      <w:pPr>
        <w:pStyle w:val="ListParagraph"/>
        <w:numPr>
          <w:ilvl w:val="0"/>
          <w:numId w:val="2"/>
        </w:numPr>
        <w:spacing w:after="0" w:line="480" w:lineRule="auto"/>
        <w:rPr>
          <w:lang w:val="en-GB"/>
        </w:rPr>
      </w:pPr>
      <w:proofErr w:type="spellStart"/>
      <w:r w:rsidRPr="008C3753">
        <w:rPr>
          <w:lang w:val="en-GB"/>
        </w:rPr>
        <w:t>Baggs</w:t>
      </w:r>
      <w:proofErr w:type="spellEnd"/>
      <w:r w:rsidRPr="008C3753">
        <w:rPr>
          <w:lang w:val="en-GB"/>
        </w:rPr>
        <w:t xml:space="preserve"> J, </w:t>
      </w:r>
      <w:proofErr w:type="spellStart"/>
      <w:r w:rsidRPr="008C3753">
        <w:rPr>
          <w:lang w:val="en-GB"/>
        </w:rPr>
        <w:t>Fridkin</w:t>
      </w:r>
      <w:proofErr w:type="spellEnd"/>
      <w:r w:rsidRPr="008C3753">
        <w:rPr>
          <w:lang w:val="en-GB"/>
        </w:rPr>
        <w:t xml:space="preserve"> SK, Pollack LA, Srinivasan A, Jernigan JA. Estimating National Trends in Inpatient Antibiotic Use Among US Hospitals From 2006 to 2012. </w:t>
      </w:r>
      <w:r w:rsidRPr="008C3753">
        <w:rPr>
          <w:i/>
          <w:iCs/>
          <w:lang w:val="en-GB"/>
        </w:rPr>
        <w:t>JAMA Intern Med</w:t>
      </w:r>
      <w:r w:rsidRPr="008C3753">
        <w:rPr>
          <w:lang w:val="en-GB"/>
        </w:rPr>
        <w:t>. 2016;</w:t>
      </w:r>
      <w:r w:rsidRPr="008C3753">
        <w:rPr>
          <w:b/>
          <w:bCs/>
          <w:lang w:val="en-GB"/>
        </w:rPr>
        <w:t>176</w:t>
      </w:r>
      <w:r w:rsidRPr="008C3753">
        <w:rPr>
          <w:lang w:val="en-GB"/>
        </w:rPr>
        <w:t>(11):1639-48. https://doi.org/10.1001/jamainternmed.2016.5651.</w:t>
      </w:r>
    </w:p>
    <w:p w14:paraId="003A2684" w14:textId="28F577C5" w:rsidR="0070640D" w:rsidRPr="008C3753" w:rsidRDefault="00621CC7" w:rsidP="00DE1CDE">
      <w:pPr>
        <w:pStyle w:val="ListParagraph"/>
        <w:numPr>
          <w:ilvl w:val="0"/>
          <w:numId w:val="2"/>
        </w:numPr>
        <w:spacing w:after="0" w:line="480" w:lineRule="auto"/>
        <w:rPr>
          <w:lang w:val="en-GB"/>
        </w:rPr>
      </w:pPr>
      <w:proofErr w:type="spellStart"/>
      <w:r w:rsidRPr="008C3753">
        <w:rPr>
          <w:lang w:val="en-GB"/>
        </w:rPr>
        <w:t>Charani</w:t>
      </w:r>
      <w:proofErr w:type="spellEnd"/>
      <w:r w:rsidRPr="008C3753">
        <w:rPr>
          <w:lang w:val="en-GB"/>
        </w:rPr>
        <w:t xml:space="preserve"> E, Castro-Sanchez E, </w:t>
      </w:r>
      <w:proofErr w:type="spellStart"/>
      <w:r w:rsidRPr="008C3753">
        <w:rPr>
          <w:lang w:val="en-GB"/>
        </w:rPr>
        <w:t>Sevdalis</w:t>
      </w:r>
      <w:proofErr w:type="spellEnd"/>
      <w:r w:rsidRPr="008C3753">
        <w:rPr>
          <w:lang w:val="en-GB"/>
        </w:rPr>
        <w:t xml:space="preserve"> N, </w:t>
      </w:r>
      <w:proofErr w:type="spellStart"/>
      <w:r w:rsidRPr="008C3753">
        <w:rPr>
          <w:lang w:val="en-GB"/>
        </w:rPr>
        <w:t>Kyratsis</w:t>
      </w:r>
      <w:proofErr w:type="spellEnd"/>
      <w:r w:rsidRPr="008C3753">
        <w:rPr>
          <w:lang w:val="en-GB"/>
        </w:rPr>
        <w:t xml:space="preserve"> Y, Drumright L, Shah N, et al. Understanding the determinants of antimicrobial prescribing within hospitals: the </w:t>
      </w:r>
      <w:r w:rsidRPr="008C3753">
        <w:rPr>
          <w:lang w:val="en-GB"/>
        </w:rPr>
        <w:lastRenderedPageBreak/>
        <w:t xml:space="preserve">role of "prescribing etiquette". </w:t>
      </w:r>
      <w:r w:rsidRPr="008C3753">
        <w:rPr>
          <w:i/>
          <w:iCs/>
          <w:lang w:val="en-GB"/>
        </w:rPr>
        <w:t>Clin Infect Dis</w:t>
      </w:r>
      <w:r w:rsidRPr="008C3753">
        <w:rPr>
          <w:lang w:val="en-GB"/>
        </w:rPr>
        <w:t>. 2013;</w:t>
      </w:r>
      <w:r w:rsidRPr="008C3753">
        <w:rPr>
          <w:b/>
          <w:bCs/>
          <w:lang w:val="en-GB"/>
        </w:rPr>
        <w:t>57</w:t>
      </w:r>
      <w:r w:rsidRPr="008C3753">
        <w:rPr>
          <w:lang w:val="en-GB"/>
        </w:rPr>
        <w:t>(2):188-96. https://doi.org/10.1093/cid/cit212</w:t>
      </w:r>
      <w:r w:rsidR="00A54CF7" w:rsidRPr="008C3753">
        <w:rPr>
          <w:lang w:val="en-GB"/>
        </w:rPr>
        <w:t>.</w:t>
      </w:r>
    </w:p>
    <w:p w14:paraId="51E443BC" w14:textId="138B0628" w:rsidR="0070640D" w:rsidRPr="008C3753" w:rsidRDefault="00E831D2" w:rsidP="00DE1CDE">
      <w:pPr>
        <w:pStyle w:val="ListParagraph"/>
        <w:numPr>
          <w:ilvl w:val="0"/>
          <w:numId w:val="2"/>
        </w:numPr>
        <w:spacing w:after="0" w:line="480" w:lineRule="auto"/>
        <w:rPr>
          <w:lang w:val="en-GB"/>
        </w:rPr>
      </w:pPr>
      <w:r w:rsidRPr="008C3753">
        <w:rPr>
          <w:lang w:val="en-GB"/>
        </w:rPr>
        <w:t xml:space="preserve">Islam J, </w:t>
      </w:r>
      <w:proofErr w:type="spellStart"/>
      <w:r w:rsidRPr="008C3753">
        <w:rPr>
          <w:lang w:val="en-GB"/>
        </w:rPr>
        <w:t>Ashiru-Oredope</w:t>
      </w:r>
      <w:proofErr w:type="spellEnd"/>
      <w:r w:rsidRPr="008C3753">
        <w:rPr>
          <w:lang w:val="en-GB"/>
        </w:rPr>
        <w:t xml:space="preserve"> D, Budd E, Howard P, Walker AS, Hopkins S, et al. A national quality incentive scheme to reduce antibiotic overuse in hospitals: evaluation of perceptions and impact. </w:t>
      </w:r>
      <w:r w:rsidRPr="008C3753">
        <w:rPr>
          <w:i/>
          <w:iCs/>
          <w:lang w:val="en-GB"/>
        </w:rPr>
        <w:t xml:space="preserve">J </w:t>
      </w:r>
      <w:proofErr w:type="spellStart"/>
      <w:r w:rsidRPr="008C3753">
        <w:rPr>
          <w:i/>
          <w:iCs/>
          <w:lang w:val="en-GB"/>
        </w:rPr>
        <w:t>Antimicrob</w:t>
      </w:r>
      <w:proofErr w:type="spellEnd"/>
      <w:r w:rsidRPr="008C3753">
        <w:rPr>
          <w:i/>
          <w:iCs/>
          <w:lang w:val="en-GB"/>
        </w:rPr>
        <w:t xml:space="preserve"> Chemother</w:t>
      </w:r>
      <w:r w:rsidRPr="008C3753">
        <w:rPr>
          <w:lang w:val="en-GB"/>
        </w:rPr>
        <w:t>. 2018;</w:t>
      </w:r>
      <w:r w:rsidRPr="008C3753">
        <w:rPr>
          <w:b/>
          <w:bCs/>
          <w:lang w:val="en-GB"/>
        </w:rPr>
        <w:t>73</w:t>
      </w:r>
      <w:r w:rsidRPr="008C3753">
        <w:rPr>
          <w:lang w:val="en-GB"/>
        </w:rPr>
        <w:t>(6):1708-13.</w:t>
      </w:r>
      <w:r w:rsidR="00D83C24" w:rsidRPr="008C3753">
        <w:rPr>
          <w:lang w:val="en-GB"/>
        </w:rPr>
        <w:t xml:space="preserve"> https://doi.org/10.1093/jac/dky041</w:t>
      </w:r>
      <w:r w:rsidR="00A54CF7" w:rsidRPr="008C3753">
        <w:rPr>
          <w:lang w:val="en-GB"/>
        </w:rPr>
        <w:t>.</w:t>
      </w:r>
    </w:p>
    <w:p w14:paraId="5EA41790" w14:textId="6B0C5FD6" w:rsidR="008A7979" w:rsidRPr="008C3753" w:rsidRDefault="008A7979" w:rsidP="00DE1CDE">
      <w:pPr>
        <w:pStyle w:val="ListParagraph"/>
        <w:numPr>
          <w:ilvl w:val="0"/>
          <w:numId w:val="2"/>
        </w:numPr>
        <w:spacing w:after="0" w:line="480" w:lineRule="auto"/>
        <w:rPr>
          <w:lang w:val="en-GB"/>
        </w:rPr>
      </w:pPr>
      <w:r w:rsidRPr="008C3753">
        <w:rPr>
          <w:lang w:val="en-GB"/>
        </w:rPr>
        <w:t xml:space="preserve">Schweitzer VA, van </w:t>
      </w:r>
      <w:proofErr w:type="spellStart"/>
      <w:r w:rsidRPr="008C3753">
        <w:rPr>
          <w:lang w:val="en-GB"/>
        </w:rPr>
        <w:t>Heijl</w:t>
      </w:r>
      <w:proofErr w:type="spellEnd"/>
      <w:r w:rsidRPr="008C3753">
        <w:rPr>
          <w:lang w:val="en-GB"/>
        </w:rPr>
        <w:t xml:space="preserve"> I, van </w:t>
      </w:r>
      <w:proofErr w:type="spellStart"/>
      <w:r w:rsidRPr="008C3753">
        <w:rPr>
          <w:lang w:val="en-GB"/>
        </w:rPr>
        <w:t>Werkhoven</w:t>
      </w:r>
      <w:proofErr w:type="spellEnd"/>
      <w:r w:rsidRPr="008C3753">
        <w:rPr>
          <w:lang w:val="en-GB"/>
        </w:rPr>
        <w:t xml:space="preserve"> CH, Islam J, Hendriks-Spoor KD, </w:t>
      </w:r>
      <w:proofErr w:type="spellStart"/>
      <w:r w:rsidRPr="008C3753">
        <w:rPr>
          <w:lang w:val="en-GB"/>
        </w:rPr>
        <w:t>Bielicki</w:t>
      </w:r>
      <w:proofErr w:type="spellEnd"/>
      <w:r w:rsidRPr="008C3753">
        <w:rPr>
          <w:lang w:val="en-GB"/>
        </w:rPr>
        <w:t xml:space="preserve"> J, et al. The quality of studies evaluating antimicrobial stewardship interventions: a systematic review. </w:t>
      </w:r>
      <w:r w:rsidRPr="008C3753">
        <w:rPr>
          <w:i/>
          <w:iCs/>
          <w:lang w:val="en-GB"/>
        </w:rPr>
        <w:t xml:space="preserve">Clin </w:t>
      </w:r>
      <w:proofErr w:type="spellStart"/>
      <w:r w:rsidRPr="008C3753">
        <w:rPr>
          <w:i/>
          <w:iCs/>
          <w:lang w:val="en-GB"/>
        </w:rPr>
        <w:t>Microbiol</w:t>
      </w:r>
      <w:proofErr w:type="spellEnd"/>
      <w:r w:rsidRPr="008C3753">
        <w:rPr>
          <w:i/>
          <w:iCs/>
          <w:lang w:val="en-GB"/>
        </w:rPr>
        <w:t xml:space="preserve"> Infect</w:t>
      </w:r>
      <w:r w:rsidRPr="008C3753">
        <w:rPr>
          <w:lang w:val="en-GB"/>
        </w:rPr>
        <w:t>. 2019;</w:t>
      </w:r>
      <w:r w:rsidRPr="008C3753">
        <w:rPr>
          <w:b/>
          <w:bCs/>
          <w:lang w:val="en-GB"/>
        </w:rPr>
        <w:t>25</w:t>
      </w:r>
      <w:r w:rsidRPr="008C3753">
        <w:rPr>
          <w:lang w:val="en-GB"/>
        </w:rPr>
        <w:t>(5):555-61.</w:t>
      </w:r>
      <w:r w:rsidR="00DA62A5" w:rsidRPr="008C3753">
        <w:rPr>
          <w:lang w:val="en-GB"/>
        </w:rPr>
        <w:t xml:space="preserve"> https://doi.org/10.1016/j.cmi.2018.11.002</w:t>
      </w:r>
      <w:r w:rsidR="00A54CF7" w:rsidRPr="008C3753">
        <w:rPr>
          <w:lang w:val="en-GB"/>
        </w:rPr>
        <w:t>.</w:t>
      </w:r>
    </w:p>
    <w:p w14:paraId="254BFE0A" w14:textId="784BFCB8" w:rsidR="00CD6060" w:rsidRPr="008C3753" w:rsidRDefault="00CD6060" w:rsidP="00DE1CDE">
      <w:pPr>
        <w:pStyle w:val="ListParagraph"/>
        <w:numPr>
          <w:ilvl w:val="0"/>
          <w:numId w:val="2"/>
        </w:numPr>
        <w:spacing w:after="0" w:line="480" w:lineRule="auto"/>
        <w:rPr>
          <w:lang w:val="en-GB"/>
        </w:rPr>
      </w:pPr>
      <w:proofErr w:type="spellStart"/>
      <w:r w:rsidRPr="008C3753">
        <w:rPr>
          <w:lang w:val="en-GB"/>
        </w:rPr>
        <w:t>Tacconelli</w:t>
      </w:r>
      <w:proofErr w:type="spellEnd"/>
      <w:r w:rsidRPr="008C3753">
        <w:rPr>
          <w:lang w:val="en-GB"/>
        </w:rPr>
        <w:t xml:space="preserve"> E, </w:t>
      </w:r>
      <w:proofErr w:type="spellStart"/>
      <w:r w:rsidRPr="008C3753">
        <w:rPr>
          <w:lang w:val="en-GB"/>
        </w:rPr>
        <w:t>Cataldo</w:t>
      </w:r>
      <w:proofErr w:type="spellEnd"/>
      <w:r w:rsidRPr="008C3753">
        <w:rPr>
          <w:lang w:val="en-GB"/>
        </w:rPr>
        <w:t xml:space="preserve"> MA, Paul M, </w:t>
      </w:r>
      <w:proofErr w:type="spellStart"/>
      <w:r w:rsidRPr="008C3753">
        <w:rPr>
          <w:lang w:val="en-GB"/>
        </w:rPr>
        <w:t>Leibovici</w:t>
      </w:r>
      <w:proofErr w:type="spellEnd"/>
      <w:r w:rsidRPr="008C3753">
        <w:rPr>
          <w:lang w:val="en-GB"/>
        </w:rPr>
        <w:t xml:space="preserve"> L, </w:t>
      </w:r>
      <w:proofErr w:type="spellStart"/>
      <w:r w:rsidRPr="008C3753">
        <w:rPr>
          <w:lang w:val="en-GB"/>
        </w:rPr>
        <w:t>Kluytmans</w:t>
      </w:r>
      <w:proofErr w:type="spellEnd"/>
      <w:r w:rsidRPr="008C3753">
        <w:rPr>
          <w:lang w:val="en-GB"/>
        </w:rPr>
        <w:t xml:space="preserve"> J, Schroder W, et al. STROBE-AMS: recommendations to optimise reporting of epidemiological studies on antimicrobial resistance and informing improvement in antimicrobial stewardship. </w:t>
      </w:r>
      <w:r w:rsidRPr="008C3753">
        <w:rPr>
          <w:i/>
          <w:iCs/>
          <w:lang w:val="en-GB"/>
        </w:rPr>
        <w:t>BMJ Open</w:t>
      </w:r>
      <w:r w:rsidRPr="008C3753">
        <w:rPr>
          <w:lang w:val="en-GB"/>
        </w:rPr>
        <w:t>. 2016;</w:t>
      </w:r>
      <w:r w:rsidRPr="008C3753">
        <w:rPr>
          <w:b/>
          <w:bCs/>
          <w:lang w:val="en-GB"/>
        </w:rPr>
        <w:t>6</w:t>
      </w:r>
      <w:r w:rsidRPr="008C3753">
        <w:rPr>
          <w:lang w:val="en-GB"/>
        </w:rPr>
        <w:t>(2):e010134. https://doi.org/10.1136/bmjopen-2015-010134</w:t>
      </w:r>
      <w:r w:rsidR="00A54CF7" w:rsidRPr="008C3753">
        <w:rPr>
          <w:lang w:val="en-GB"/>
        </w:rPr>
        <w:t>.</w:t>
      </w:r>
    </w:p>
    <w:p w14:paraId="24332607" w14:textId="0BCA1096" w:rsidR="007C48F5" w:rsidRPr="008C3753" w:rsidRDefault="007C48F5" w:rsidP="00DE1CDE">
      <w:pPr>
        <w:pStyle w:val="ListParagraph"/>
        <w:numPr>
          <w:ilvl w:val="0"/>
          <w:numId w:val="2"/>
        </w:numPr>
        <w:spacing w:after="0" w:line="480" w:lineRule="auto"/>
        <w:rPr>
          <w:lang w:val="en-GB"/>
        </w:rPr>
      </w:pPr>
      <w:r w:rsidRPr="008C3753">
        <w:rPr>
          <w:lang w:val="en-GB"/>
        </w:rPr>
        <w:t xml:space="preserve"> NHS Improvement. NHS Safety Thermometer. Medication</w:t>
      </w:r>
      <w:r w:rsidR="00F34D99" w:rsidRPr="008C3753">
        <w:rPr>
          <w:lang w:val="en-GB"/>
        </w:rPr>
        <w:t xml:space="preserve">. </w:t>
      </w:r>
      <w:r w:rsidR="00C44A1A" w:rsidRPr="008C3753">
        <w:rPr>
          <w:lang w:val="en-GB"/>
        </w:rPr>
        <w:t>London: NHS improvement</w:t>
      </w:r>
      <w:r w:rsidR="00F34D99" w:rsidRPr="008C3753">
        <w:rPr>
          <w:lang w:val="en-GB"/>
        </w:rPr>
        <w:t xml:space="preserve">; </w:t>
      </w:r>
      <w:r w:rsidRPr="008C3753">
        <w:rPr>
          <w:lang w:val="en-GB"/>
        </w:rPr>
        <w:t>2013</w:t>
      </w:r>
      <w:r w:rsidR="00A54CF7" w:rsidRPr="008C3753">
        <w:rPr>
          <w:lang w:val="en-GB"/>
        </w:rPr>
        <w:t>.</w:t>
      </w:r>
    </w:p>
    <w:p w14:paraId="397AB88C" w14:textId="08EE28C0" w:rsidR="00BB14A9" w:rsidRPr="008C3753" w:rsidRDefault="00BB14A9" w:rsidP="00DE1CDE">
      <w:pPr>
        <w:pStyle w:val="ListParagraph"/>
        <w:numPr>
          <w:ilvl w:val="0"/>
          <w:numId w:val="2"/>
        </w:numPr>
        <w:spacing w:after="0" w:line="480" w:lineRule="auto"/>
        <w:rPr>
          <w:lang w:val="en-GB"/>
        </w:rPr>
      </w:pPr>
      <w:r w:rsidRPr="008C3753">
        <w:rPr>
          <w:lang w:val="en-GB"/>
        </w:rPr>
        <w:t>Maguire D, Dunn P, McKenna H. How hospital activity in the NHS in England has changed over time. London: The King’s Fund</w:t>
      </w:r>
      <w:r w:rsidR="007561B6" w:rsidRPr="008C3753">
        <w:rPr>
          <w:lang w:val="en-GB"/>
        </w:rPr>
        <w:t>;</w:t>
      </w:r>
      <w:r w:rsidRPr="008C3753">
        <w:rPr>
          <w:lang w:val="en-GB"/>
        </w:rPr>
        <w:t xml:space="preserve"> 2016.</w:t>
      </w:r>
    </w:p>
    <w:p w14:paraId="5E7308EF" w14:textId="08A8FCBC" w:rsidR="0070640D" w:rsidRPr="008C3753" w:rsidRDefault="0070640D" w:rsidP="00DE1CDE">
      <w:pPr>
        <w:pStyle w:val="ListParagraph"/>
        <w:numPr>
          <w:ilvl w:val="0"/>
          <w:numId w:val="2"/>
        </w:numPr>
        <w:spacing w:after="0" w:line="480" w:lineRule="auto"/>
        <w:rPr>
          <w:lang w:val="en-GB"/>
        </w:rPr>
      </w:pPr>
      <w:r w:rsidRPr="008C3753">
        <w:rPr>
          <w:lang w:val="en-GB"/>
        </w:rPr>
        <w:t>National Institute for Health and Care Excellence. Antimicrobial stewardship: systems and processes for effective antimicrobial medicine use</w:t>
      </w:r>
      <w:r w:rsidR="00F34D99" w:rsidRPr="008C3753">
        <w:rPr>
          <w:lang w:val="en-GB"/>
        </w:rPr>
        <w:t>.</w:t>
      </w:r>
      <w:r w:rsidR="00A54CF7" w:rsidRPr="008C3753">
        <w:rPr>
          <w:lang w:val="en-GB"/>
        </w:rPr>
        <w:t xml:space="preserve"> London: NICE</w:t>
      </w:r>
      <w:r w:rsidR="00324F9C" w:rsidRPr="008C3753">
        <w:rPr>
          <w:lang w:val="en-GB"/>
        </w:rPr>
        <w:t>; 2015</w:t>
      </w:r>
      <w:r w:rsidR="00A54CF7" w:rsidRPr="008C3753">
        <w:rPr>
          <w:lang w:val="en-GB"/>
        </w:rPr>
        <w:t>.</w:t>
      </w:r>
    </w:p>
    <w:p w14:paraId="7E2AB281" w14:textId="740BEDA6" w:rsidR="0070640D" w:rsidRPr="008C3753" w:rsidRDefault="00A04A45" w:rsidP="00DE1CDE">
      <w:pPr>
        <w:pStyle w:val="ListParagraph"/>
        <w:numPr>
          <w:ilvl w:val="0"/>
          <w:numId w:val="2"/>
        </w:numPr>
        <w:spacing w:after="0" w:line="480" w:lineRule="auto"/>
        <w:rPr>
          <w:lang w:val="en-GB"/>
        </w:rPr>
      </w:pPr>
      <w:r w:rsidRPr="008C3753">
        <w:rPr>
          <w:lang w:val="en-GB"/>
        </w:rPr>
        <w:t xml:space="preserve">Thom KA, </w:t>
      </w:r>
      <w:proofErr w:type="spellStart"/>
      <w:r w:rsidRPr="008C3753">
        <w:rPr>
          <w:lang w:val="en-GB"/>
        </w:rPr>
        <w:t>Tamma</w:t>
      </w:r>
      <w:proofErr w:type="spellEnd"/>
      <w:r w:rsidRPr="008C3753">
        <w:rPr>
          <w:lang w:val="en-GB"/>
        </w:rPr>
        <w:t xml:space="preserve"> PD, Harris AD, </w:t>
      </w:r>
      <w:proofErr w:type="spellStart"/>
      <w:r w:rsidRPr="008C3753">
        <w:rPr>
          <w:lang w:val="en-GB"/>
        </w:rPr>
        <w:t>Dzintars</w:t>
      </w:r>
      <w:proofErr w:type="spellEnd"/>
      <w:r w:rsidRPr="008C3753">
        <w:rPr>
          <w:lang w:val="en-GB"/>
        </w:rPr>
        <w:t xml:space="preserve"> K, Morgan DJ, Li S, et al. Impact of a Prescriber-driven Antibiotic Time-out on Antibiotic Use in Hospitalized Patients. </w:t>
      </w:r>
      <w:r w:rsidRPr="008C3753">
        <w:rPr>
          <w:i/>
          <w:iCs/>
          <w:lang w:val="en-GB"/>
        </w:rPr>
        <w:t>Clin Infect Dis</w:t>
      </w:r>
      <w:r w:rsidRPr="008C3753">
        <w:rPr>
          <w:lang w:val="en-GB"/>
        </w:rPr>
        <w:t xml:space="preserve">. </w:t>
      </w:r>
      <w:r w:rsidR="00C13B3D" w:rsidRPr="008C3753">
        <w:rPr>
          <w:lang w:val="en-GB"/>
        </w:rPr>
        <w:t>2018;</w:t>
      </w:r>
      <w:r w:rsidR="00C13B3D" w:rsidRPr="008C3753">
        <w:rPr>
          <w:b/>
          <w:bCs/>
          <w:lang w:val="en-GB"/>
        </w:rPr>
        <w:t>68</w:t>
      </w:r>
      <w:r w:rsidR="00C13B3D" w:rsidRPr="008C3753">
        <w:rPr>
          <w:lang w:val="en-GB"/>
        </w:rPr>
        <w:t xml:space="preserve">(9);1581-84. </w:t>
      </w:r>
      <w:r w:rsidR="002E1EE4" w:rsidRPr="008C3753">
        <w:rPr>
          <w:lang w:val="en-GB"/>
        </w:rPr>
        <w:t xml:space="preserve"> </w:t>
      </w:r>
      <w:r w:rsidRPr="008C3753">
        <w:rPr>
          <w:lang w:val="en-GB"/>
        </w:rPr>
        <w:t>https://doi.org/10.1093/cid/ciy852.</w:t>
      </w:r>
    </w:p>
    <w:p w14:paraId="1B6AEC91" w14:textId="73881D1A" w:rsidR="0070640D" w:rsidRPr="008C3753" w:rsidRDefault="00BC21A1" w:rsidP="00DE1CDE">
      <w:pPr>
        <w:pStyle w:val="ListParagraph"/>
        <w:numPr>
          <w:ilvl w:val="0"/>
          <w:numId w:val="2"/>
        </w:numPr>
        <w:spacing w:after="0" w:line="480" w:lineRule="auto"/>
        <w:rPr>
          <w:lang w:val="en-GB"/>
        </w:rPr>
      </w:pPr>
      <w:proofErr w:type="spellStart"/>
      <w:r w:rsidRPr="008C3753">
        <w:rPr>
          <w:lang w:val="en-GB"/>
        </w:rPr>
        <w:lastRenderedPageBreak/>
        <w:t>Eljaaly</w:t>
      </w:r>
      <w:proofErr w:type="spellEnd"/>
      <w:r w:rsidRPr="008C3753">
        <w:rPr>
          <w:lang w:val="en-GB"/>
        </w:rPr>
        <w:t xml:space="preserve"> K, </w:t>
      </w:r>
      <w:proofErr w:type="spellStart"/>
      <w:r w:rsidRPr="008C3753">
        <w:rPr>
          <w:lang w:val="en-GB"/>
        </w:rPr>
        <w:t>Elarabi</w:t>
      </w:r>
      <w:proofErr w:type="spellEnd"/>
      <w:r w:rsidRPr="008C3753">
        <w:rPr>
          <w:lang w:val="en-GB"/>
        </w:rPr>
        <w:t xml:space="preserve"> S, </w:t>
      </w:r>
      <w:proofErr w:type="spellStart"/>
      <w:r w:rsidRPr="008C3753">
        <w:rPr>
          <w:lang w:val="en-GB"/>
        </w:rPr>
        <w:t>Alshehri</w:t>
      </w:r>
      <w:proofErr w:type="spellEnd"/>
      <w:r w:rsidRPr="008C3753">
        <w:rPr>
          <w:lang w:val="en-GB"/>
        </w:rPr>
        <w:t xml:space="preserve"> S, Nix DE. Impact of requiring re-authorization of restricted antibiotics on day 3 of therapy. </w:t>
      </w:r>
      <w:r w:rsidRPr="008C3753">
        <w:rPr>
          <w:i/>
          <w:iCs/>
          <w:lang w:val="en-GB"/>
        </w:rPr>
        <w:t xml:space="preserve">J </w:t>
      </w:r>
      <w:proofErr w:type="spellStart"/>
      <w:r w:rsidRPr="008C3753">
        <w:rPr>
          <w:i/>
          <w:iCs/>
          <w:lang w:val="en-GB"/>
        </w:rPr>
        <w:t>Antimicrob</w:t>
      </w:r>
      <w:proofErr w:type="spellEnd"/>
      <w:r w:rsidRPr="008C3753">
        <w:rPr>
          <w:i/>
          <w:iCs/>
          <w:lang w:val="en-GB"/>
        </w:rPr>
        <w:t xml:space="preserve"> Chemother</w:t>
      </w:r>
      <w:r w:rsidRPr="008C3753">
        <w:rPr>
          <w:lang w:val="en-GB"/>
        </w:rPr>
        <w:t>. 2018;</w:t>
      </w:r>
      <w:r w:rsidRPr="008C3753">
        <w:rPr>
          <w:b/>
          <w:bCs/>
          <w:lang w:val="en-GB"/>
        </w:rPr>
        <w:t>73</w:t>
      </w:r>
      <w:r w:rsidRPr="008C3753">
        <w:rPr>
          <w:lang w:val="en-GB"/>
        </w:rPr>
        <w:t>(2):527-</w:t>
      </w:r>
      <w:r w:rsidR="00C13B3D" w:rsidRPr="008C3753">
        <w:rPr>
          <w:lang w:val="en-GB"/>
        </w:rPr>
        <w:t>30.</w:t>
      </w:r>
      <w:r w:rsidRPr="008C3753">
        <w:rPr>
          <w:lang w:val="en-GB"/>
        </w:rPr>
        <w:t xml:space="preserve"> </w:t>
      </w:r>
      <w:r w:rsidR="00E56949" w:rsidRPr="008C3753">
        <w:rPr>
          <w:lang w:val="en-GB"/>
        </w:rPr>
        <w:t>https://doi.org/10.1093/jac/dkx384</w:t>
      </w:r>
      <w:r w:rsidR="00A54CF7" w:rsidRPr="008C3753">
        <w:rPr>
          <w:lang w:val="en-GB"/>
        </w:rPr>
        <w:t>.</w:t>
      </w:r>
    </w:p>
    <w:p w14:paraId="1AFC20D3" w14:textId="77777777" w:rsidR="00F0429C" w:rsidRPr="008C3753" w:rsidRDefault="00F0429C">
      <w:pPr>
        <w:spacing w:after="0"/>
        <w:rPr>
          <w:b/>
          <w:bCs/>
          <w:sz w:val="20"/>
          <w:szCs w:val="20"/>
          <w:lang w:val="en-GB"/>
        </w:rPr>
      </w:pPr>
      <w:r w:rsidRPr="008C3753">
        <w:rPr>
          <w:b/>
          <w:bCs/>
          <w:sz w:val="20"/>
          <w:szCs w:val="20"/>
          <w:lang w:val="en-GB"/>
        </w:rPr>
        <w:br w:type="page"/>
      </w:r>
    </w:p>
    <w:p w14:paraId="7A7A429A" w14:textId="329BB85A" w:rsidR="005C4ACD" w:rsidRPr="008C3753" w:rsidRDefault="005C4ACD" w:rsidP="008565A3">
      <w:pPr>
        <w:spacing w:after="0"/>
        <w:rPr>
          <w:b/>
          <w:bCs/>
          <w:sz w:val="20"/>
          <w:szCs w:val="20"/>
          <w:lang w:val="en-GB"/>
        </w:rPr>
      </w:pPr>
      <w:r w:rsidRPr="008C3753">
        <w:rPr>
          <w:b/>
          <w:bCs/>
          <w:sz w:val="20"/>
          <w:szCs w:val="20"/>
          <w:lang w:val="en-GB"/>
        </w:rPr>
        <w:lastRenderedPageBreak/>
        <w:t xml:space="preserve">Table I. </w:t>
      </w:r>
      <w:r w:rsidR="00F404FE" w:rsidRPr="008C3753">
        <w:rPr>
          <w:b/>
          <w:bCs/>
          <w:sz w:val="20"/>
          <w:szCs w:val="20"/>
          <w:lang w:val="en-GB"/>
        </w:rPr>
        <w:t>T</w:t>
      </w:r>
      <w:r w:rsidRPr="008C3753">
        <w:rPr>
          <w:b/>
          <w:bCs/>
          <w:sz w:val="20"/>
          <w:szCs w:val="20"/>
          <w:lang w:val="en-GB"/>
        </w:rPr>
        <w:t xml:space="preserve">he four components of the ARK intervention </w:t>
      </w:r>
    </w:p>
    <w:tbl>
      <w:tblPr>
        <w:tblW w:w="0" w:type="auto"/>
        <w:tblCellMar>
          <w:left w:w="0" w:type="dxa"/>
          <w:right w:w="0" w:type="dxa"/>
        </w:tblCellMar>
        <w:tblLook w:val="0420" w:firstRow="1" w:lastRow="0" w:firstColumn="0" w:lastColumn="0" w:noHBand="0" w:noVBand="1"/>
      </w:tblPr>
      <w:tblGrid>
        <w:gridCol w:w="1560"/>
        <w:gridCol w:w="7460"/>
      </w:tblGrid>
      <w:tr w:rsidR="005C4ACD" w:rsidRPr="008C3753" w14:paraId="7896878A" w14:textId="77777777" w:rsidTr="001C1D53">
        <w:trPr>
          <w:trHeight w:val="212"/>
        </w:trPr>
        <w:tc>
          <w:tcPr>
            <w:tcW w:w="1560" w:type="dxa"/>
            <w:tcBorders>
              <w:top w:val="single" w:sz="18" w:space="0" w:color="000000"/>
              <w:left w:val="nil"/>
              <w:bottom w:val="single" w:sz="18" w:space="0" w:color="000000"/>
              <w:right w:val="nil"/>
            </w:tcBorders>
            <w:shd w:val="clear" w:color="auto" w:fill="005292"/>
            <w:tcMar>
              <w:top w:w="72" w:type="dxa"/>
              <w:left w:w="144" w:type="dxa"/>
              <w:bottom w:w="72" w:type="dxa"/>
              <w:right w:w="144" w:type="dxa"/>
            </w:tcMar>
            <w:vAlign w:val="center"/>
            <w:hideMark/>
          </w:tcPr>
          <w:p w14:paraId="0B3F6176" w14:textId="77777777" w:rsidR="005C4ACD" w:rsidRPr="008C3753" w:rsidRDefault="005C4ACD" w:rsidP="005C4ACD">
            <w:pPr>
              <w:spacing w:after="0"/>
              <w:rPr>
                <w:rFonts w:ascii="Arial" w:eastAsia="Times New Roman" w:hAnsi="Arial" w:cs="Arial"/>
                <w:sz w:val="20"/>
                <w:szCs w:val="20"/>
                <w:lang w:val="en-GB"/>
              </w:rPr>
            </w:pPr>
            <w:r w:rsidRPr="008C3753">
              <w:rPr>
                <w:rFonts w:ascii="Calibri" w:eastAsia="Times New Roman" w:hAnsi="Calibri" w:cs="Calibri"/>
                <w:b/>
                <w:bCs/>
                <w:color w:val="FFFFFF"/>
                <w:kern w:val="24"/>
                <w:sz w:val="20"/>
                <w:szCs w:val="20"/>
                <w:lang w:val="en-GB"/>
              </w:rPr>
              <w:t>Component</w:t>
            </w:r>
          </w:p>
        </w:tc>
        <w:tc>
          <w:tcPr>
            <w:tcW w:w="7460" w:type="dxa"/>
            <w:tcBorders>
              <w:top w:val="single" w:sz="18" w:space="0" w:color="000000"/>
              <w:left w:val="nil"/>
              <w:bottom w:val="single" w:sz="18" w:space="0" w:color="000000"/>
              <w:right w:val="nil"/>
            </w:tcBorders>
            <w:shd w:val="clear" w:color="auto" w:fill="005292"/>
            <w:tcMar>
              <w:top w:w="72" w:type="dxa"/>
              <w:left w:w="144" w:type="dxa"/>
              <w:bottom w:w="72" w:type="dxa"/>
              <w:right w:w="144" w:type="dxa"/>
            </w:tcMar>
            <w:vAlign w:val="center"/>
            <w:hideMark/>
          </w:tcPr>
          <w:p w14:paraId="198AB034" w14:textId="77777777" w:rsidR="005C4ACD" w:rsidRPr="008C3753" w:rsidRDefault="005C4ACD" w:rsidP="005C4ACD">
            <w:pPr>
              <w:spacing w:after="0"/>
              <w:rPr>
                <w:rFonts w:ascii="Arial" w:eastAsia="Times New Roman" w:hAnsi="Arial" w:cs="Arial"/>
                <w:sz w:val="20"/>
                <w:szCs w:val="20"/>
                <w:lang w:val="en-GB"/>
              </w:rPr>
            </w:pPr>
            <w:r w:rsidRPr="008C3753">
              <w:rPr>
                <w:rFonts w:ascii="Calibri" w:eastAsia="Times New Roman" w:hAnsi="Calibri" w:cs="Calibri"/>
                <w:b/>
                <w:bCs/>
                <w:color w:val="FFFFFF"/>
                <w:kern w:val="24"/>
                <w:sz w:val="20"/>
                <w:szCs w:val="20"/>
                <w:lang w:val="en-GB"/>
              </w:rPr>
              <w:t>Description</w:t>
            </w:r>
          </w:p>
        </w:tc>
      </w:tr>
      <w:tr w:rsidR="005C4ACD" w:rsidRPr="008C3753" w14:paraId="6AFFD74E" w14:textId="77777777" w:rsidTr="008565A3">
        <w:trPr>
          <w:trHeight w:val="584"/>
        </w:trPr>
        <w:tc>
          <w:tcPr>
            <w:tcW w:w="1560" w:type="dxa"/>
            <w:tcBorders>
              <w:top w:val="single" w:sz="18" w:space="0" w:color="000000"/>
              <w:left w:val="nil"/>
              <w:bottom w:val="nil"/>
              <w:right w:val="nil"/>
            </w:tcBorders>
            <w:shd w:val="clear" w:color="auto" w:fill="F2F2F2"/>
            <w:tcMar>
              <w:top w:w="72" w:type="dxa"/>
              <w:left w:w="144" w:type="dxa"/>
              <w:bottom w:w="72" w:type="dxa"/>
              <w:right w:w="144" w:type="dxa"/>
            </w:tcMar>
            <w:hideMark/>
          </w:tcPr>
          <w:p w14:paraId="41DAB25E" w14:textId="77777777" w:rsidR="005C4ACD" w:rsidRPr="008C3753" w:rsidRDefault="005C4ACD" w:rsidP="005C4ACD">
            <w:pPr>
              <w:spacing w:after="0"/>
              <w:rPr>
                <w:rFonts w:ascii="Arial" w:eastAsia="Times New Roman" w:hAnsi="Arial" w:cs="Arial"/>
                <w:b/>
                <w:bCs/>
                <w:sz w:val="20"/>
                <w:szCs w:val="20"/>
                <w:lang w:val="en-GB"/>
              </w:rPr>
            </w:pPr>
            <w:r w:rsidRPr="008C3753">
              <w:rPr>
                <w:rFonts w:ascii="Calibri" w:eastAsia="Times New Roman" w:hAnsi="Calibri" w:cs="Calibri"/>
                <w:b/>
                <w:bCs/>
                <w:color w:val="000000"/>
                <w:kern w:val="24"/>
                <w:sz w:val="20"/>
                <w:szCs w:val="20"/>
                <w:lang w:val="en-GB"/>
              </w:rPr>
              <w:t>Online tool</w:t>
            </w:r>
          </w:p>
        </w:tc>
        <w:tc>
          <w:tcPr>
            <w:tcW w:w="7460" w:type="dxa"/>
            <w:tcBorders>
              <w:top w:val="single" w:sz="18" w:space="0" w:color="000000"/>
              <w:left w:val="nil"/>
              <w:bottom w:val="nil"/>
              <w:right w:val="nil"/>
            </w:tcBorders>
            <w:shd w:val="clear" w:color="auto" w:fill="F2F2F2"/>
            <w:tcMar>
              <w:top w:w="72" w:type="dxa"/>
              <w:left w:w="144" w:type="dxa"/>
              <w:bottom w:w="72" w:type="dxa"/>
              <w:right w:w="144" w:type="dxa"/>
            </w:tcMar>
            <w:hideMark/>
          </w:tcPr>
          <w:p w14:paraId="7DF99616" w14:textId="38599DEB" w:rsidR="00E7582E" w:rsidRPr="008C3753" w:rsidRDefault="00E7582E" w:rsidP="005C4ACD">
            <w:pPr>
              <w:spacing w:after="0"/>
              <w:rPr>
                <w:rFonts w:ascii="Calibri" w:eastAsia="Times New Roman" w:hAnsi="Calibri" w:cs="Calibri"/>
                <w:color w:val="000000"/>
                <w:kern w:val="24"/>
                <w:sz w:val="20"/>
                <w:szCs w:val="20"/>
                <w:lang w:val="en-GB"/>
              </w:rPr>
            </w:pPr>
            <w:r w:rsidRPr="008C3753">
              <w:rPr>
                <w:rFonts w:ascii="Calibri" w:eastAsia="Times New Roman" w:hAnsi="Calibri" w:cs="Calibri"/>
                <w:color w:val="000000"/>
                <w:kern w:val="24"/>
                <w:sz w:val="20"/>
                <w:szCs w:val="20"/>
                <w:lang w:val="en-GB"/>
              </w:rPr>
              <w:t xml:space="preserve">A brief (7-10 minute) online tool on the University of Southampton </w:t>
            </w:r>
            <w:proofErr w:type="spellStart"/>
            <w:r w:rsidRPr="008C3753">
              <w:rPr>
                <w:rFonts w:ascii="Calibri" w:eastAsia="Times New Roman" w:hAnsi="Calibri" w:cs="Calibri"/>
                <w:color w:val="000000"/>
                <w:kern w:val="24"/>
                <w:sz w:val="20"/>
                <w:szCs w:val="20"/>
                <w:lang w:val="en-GB"/>
              </w:rPr>
              <w:t>LifeGuide</w:t>
            </w:r>
            <w:proofErr w:type="spellEnd"/>
            <w:r w:rsidRPr="008C3753">
              <w:rPr>
                <w:rFonts w:ascii="Calibri" w:eastAsia="Times New Roman" w:hAnsi="Calibri" w:cs="Calibri"/>
                <w:color w:val="000000"/>
                <w:kern w:val="24"/>
                <w:sz w:val="20"/>
                <w:szCs w:val="20"/>
                <w:lang w:val="en-GB"/>
              </w:rPr>
              <w:t xml:space="preserve"> platform (https://www.lifeguideonline.org) that promotes motivation and confidence to implement “review and revise”, by discussing the risks and benefits associated with antibiotic treatment duration decisions and introducing the Decision Aid</w:t>
            </w:r>
          </w:p>
        </w:tc>
      </w:tr>
      <w:tr w:rsidR="005C4ACD" w:rsidRPr="008C3753" w14:paraId="403BE181" w14:textId="77777777" w:rsidTr="008565A3">
        <w:trPr>
          <w:trHeight w:val="584"/>
        </w:trPr>
        <w:tc>
          <w:tcPr>
            <w:tcW w:w="1560" w:type="dxa"/>
            <w:tcBorders>
              <w:top w:val="nil"/>
              <w:left w:val="nil"/>
              <w:bottom w:val="nil"/>
              <w:right w:val="nil"/>
            </w:tcBorders>
            <w:shd w:val="clear" w:color="auto" w:fill="FFFFFF"/>
            <w:tcMar>
              <w:top w:w="72" w:type="dxa"/>
              <w:left w:w="144" w:type="dxa"/>
              <w:bottom w:w="72" w:type="dxa"/>
              <w:right w:w="144" w:type="dxa"/>
            </w:tcMar>
            <w:hideMark/>
          </w:tcPr>
          <w:p w14:paraId="73F3BB5A" w14:textId="77777777" w:rsidR="005C4ACD" w:rsidRPr="008C3753" w:rsidRDefault="005C4ACD" w:rsidP="005C4ACD">
            <w:pPr>
              <w:spacing w:after="0"/>
              <w:rPr>
                <w:rFonts w:ascii="Arial" w:eastAsia="Times New Roman" w:hAnsi="Arial" w:cs="Arial"/>
                <w:b/>
                <w:bCs/>
                <w:sz w:val="20"/>
                <w:szCs w:val="20"/>
                <w:lang w:val="en-GB"/>
              </w:rPr>
            </w:pPr>
            <w:r w:rsidRPr="008C3753">
              <w:rPr>
                <w:rFonts w:ascii="Calibri" w:eastAsia="Times New Roman" w:hAnsi="Calibri" w:cs="Calibri"/>
                <w:b/>
                <w:bCs/>
                <w:color w:val="000000"/>
                <w:kern w:val="24"/>
                <w:sz w:val="20"/>
                <w:szCs w:val="20"/>
                <w:lang w:val="en-GB"/>
              </w:rPr>
              <w:t>Decision Aid*</w:t>
            </w:r>
          </w:p>
        </w:tc>
        <w:tc>
          <w:tcPr>
            <w:tcW w:w="7460" w:type="dxa"/>
            <w:tcBorders>
              <w:top w:val="nil"/>
              <w:left w:val="nil"/>
              <w:bottom w:val="nil"/>
              <w:right w:val="nil"/>
            </w:tcBorders>
            <w:shd w:val="clear" w:color="auto" w:fill="FFFFFF"/>
            <w:tcMar>
              <w:top w:w="72" w:type="dxa"/>
              <w:left w:w="144" w:type="dxa"/>
              <w:bottom w:w="72" w:type="dxa"/>
              <w:right w:w="144" w:type="dxa"/>
            </w:tcMar>
            <w:hideMark/>
          </w:tcPr>
          <w:p w14:paraId="41059604" w14:textId="42D926F0" w:rsidR="008565A3" w:rsidRPr="008C3753" w:rsidRDefault="005C4ACD" w:rsidP="008565A3">
            <w:pPr>
              <w:spacing w:after="0"/>
              <w:rPr>
                <w:rFonts w:ascii="Calibri" w:eastAsia="Times New Roman" w:hAnsi="Calibri" w:cs="Calibri"/>
                <w:color w:val="000000"/>
                <w:kern w:val="24"/>
                <w:sz w:val="20"/>
                <w:szCs w:val="20"/>
                <w:lang w:val="en-GB"/>
              </w:rPr>
            </w:pPr>
            <w:r w:rsidRPr="008C3753">
              <w:rPr>
                <w:rFonts w:ascii="Calibri" w:eastAsia="Times New Roman" w:hAnsi="Calibri" w:cs="Calibri"/>
                <w:color w:val="000000"/>
                <w:kern w:val="24"/>
                <w:sz w:val="20"/>
                <w:szCs w:val="20"/>
                <w:lang w:val="en-GB"/>
              </w:rPr>
              <w:t xml:space="preserve">Allows prescriber to acknowledge and record the degree of certainty around </w:t>
            </w:r>
            <w:r w:rsidR="008565A3" w:rsidRPr="008C3753">
              <w:rPr>
                <w:rFonts w:ascii="Calibri" w:eastAsia="Times New Roman" w:hAnsi="Calibri" w:cs="Calibri"/>
                <w:color w:val="000000"/>
                <w:kern w:val="24"/>
                <w:sz w:val="20"/>
                <w:szCs w:val="20"/>
                <w:lang w:val="en-GB"/>
              </w:rPr>
              <w:t>an</w:t>
            </w:r>
            <w:r w:rsidRPr="008C3753">
              <w:rPr>
                <w:rFonts w:ascii="Calibri" w:eastAsia="Times New Roman" w:hAnsi="Calibri" w:cs="Calibri"/>
                <w:color w:val="000000"/>
                <w:kern w:val="24"/>
                <w:sz w:val="20"/>
                <w:szCs w:val="20"/>
                <w:lang w:val="en-GB"/>
              </w:rPr>
              <w:t xml:space="preserve"> initial antibiotic</w:t>
            </w:r>
            <w:r w:rsidR="008565A3" w:rsidRPr="008C3753">
              <w:rPr>
                <w:rFonts w:ascii="Calibri" w:eastAsia="Times New Roman" w:hAnsi="Calibri" w:cs="Calibri"/>
                <w:color w:val="000000"/>
                <w:kern w:val="24"/>
                <w:sz w:val="20"/>
                <w:szCs w:val="20"/>
                <w:lang w:val="en-GB"/>
              </w:rPr>
              <w:t xml:space="preserve"> prescription</w:t>
            </w:r>
            <w:r w:rsidRPr="008C3753">
              <w:rPr>
                <w:rFonts w:ascii="Calibri" w:eastAsia="Times New Roman" w:hAnsi="Calibri" w:cs="Calibri"/>
                <w:color w:val="000000"/>
                <w:kern w:val="24"/>
                <w:sz w:val="20"/>
                <w:szCs w:val="20"/>
                <w:lang w:val="en-GB"/>
              </w:rPr>
              <w:t xml:space="preserve"> and link this to the review decision</w:t>
            </w:r>
            <w:r w:rsidR="006C2767" w:rsidRPr="008C3753">
              <w:rPr>
                <w:rFonts w:ascii="Calibri" w:eastAsia="Times New Roman" w:hAnsi="Calibri" w:cs="Calibri"/>
                <w:color w:val="000000"/>
                <w:kern w:val="24"/>
                <w:sz w:val="20"/>
                <w:szCs w:val="20"/>
                <w:lang w:val="en-GB"/>
              </w:rPr>
              <w:t>, using two key antibiotic prescribing moments.</w:t>
            </w:r>
          </w:p>
          <w:p w14:paraId="63BC6662" w14:textId="77777777" w:rsidR="008565A3" w:rsidRPr="008C3753" w:rsidRDefault="008565A3" w:rsidP="008565A3">
            <w:pPr>
              <w:spacing w:after="0"/>
              <w:rPr>
                <w:rFonts w:ascii="Arial" w:eastAsia="Times New Roman" w:hAnsi="Arial" w:cs="Arial"/>
                <w:sz w:val="20"/>
                <w:szCs w:val="20"/>
                <w:lang w:val="en-GB"/>
              </w:rPr>
            </w:pPr>
          </w:p>
          <w:p w14:paraId="6013C5C9" w14:textId="6E6CDC10" w:rsidR="005C4ACD" w:rsidRPr="008C3753" w:rsidRDefault="008565A3" w:rsidP="008565A3">
            <w:pPr>
              <w:spacing w:after="0"/>
              <w:rPr>
                <w:rFonts w:ascii="Arial" w:eastAsia="Times New Roman" w:hAnsi="Arial" w:cs="Arial"/>
                <w:sz w:val="20"/>
                <w:szCs w:val="20"/>
                <w:lang w:val="en-GB"/>
              </w:rPr>
            </w:pPr>
            <w:r w:rsidRPr="008C3753">
              <w:rPr>
                <w:rFonts w:ascii="Calibri" w:eastAsia="Times New Roman" w:hAnsi="Calibri" w:cs="Calibri"/>
                <w:color w:val="000000"/>
                <w:kern w:val="24"/>
                <w:sz w:val="20"/>
                <w:szCs w:val="20"/>
                <w:lang w:val="en-GB"/>
              </w:rPr>
              <w:t xml:space="preserve">1. </w:t>
            </w:r>
            <w:r w:rsidR="005C4ACD" w:rsidRPr="008C3753">
              <w:rPr>
                <w:rFonts w:ascii="Calibri" w:eastAsia="Times New Roman" w:hAnsi="Calibri" w:cs="Calibri"/>
                <w:color w:val="000000"/>
                <w:kern w:val="24"/>
                <w:sz w:val="20"/>
                <w:szCs w:val="20"/>
                <w:lang w:val="en-GB"/>
              </w:rPr>
              <w:t>Initial prescription,</w:t>
            </w:r>
            <w:r w:rsidR="006C2767" w:rsidRPr="008C3753">
              <w:rPr>
                <w:rFonts w:ascii="Calibri" w:eastAsia="Times New Roman" w:hAnsi="Calibri" w:cs="Calibri"/>
                <w:color w:val="000000"/>
                <w:kern w:val="24"/>
                <w:sz w:val="20"/>
                <w:szCs w:val="20"/>
                <w:lang w:val="en-GB"/>
              </w:rPr>
              <w:t xml:space="preserve"> at which point</w:t>
            </w:r>
            <w:r w:rsidR="005C4ACD" w:rsidRPr="008C3753">
              <w:rPr>
                <w:rFonts w:ascii="Calibri" w:eastAsia="Times New Roman" w:hAnsi="Calibri" w:cs="Calibri"/>
                <w:color w:val="000000"/>
                <w:kern w:val="24"/>
                <w:sz w:val="20"/>
                <w:szCs w:val="20"/>
                <w:lang w:val="en-GB"/>
              </w:rPr>
              <w:t xml:space="preserve"> prescriptions </w:t>
            </w:r>
            <w:r w:rsidRPr="008C3753">
              <w:rPr>
                <w:rFonts w:ascii="Calibri" w:eastAsia="Times New Roman" w:hAnsi="Calibri" w:cs="Calibri"/>
                <w:color w:val="000000"/>
                <w:kern w:val="24"/>
                <w:sz w:val="20"/>
                <w:szCs w:val="20"/>
                <w:lang w:val="en-GB"/>
              </w:rPr>
              <w:t>are</w:t>
            </w:r>
            <w:r w:rsidR="005C4ACD" w:rsidRPr="008C3753">
              <w:rPr>
                <w:rFonts w:ascii="Calibri" w:eastAsia="Times New Roman" w:hAnsi="Calibri" w:cs="Calibri"/>
                <w:color w:val="000000"/>
                <w:kern w:val="24"/>
                <w:sz w:val="20"/>
                <w:szCs w:val="20"/>
                <w:lang w:val="en-GB"/>
              </w:rPr>
              <w:t xml:space="preserve"> categorised as based on either</w:t>
            </w:r>
            <w:r w:rsidRPr="008C3753">
              <w:rPr>
                <w:rFonts w:ascii="Calibri" w:eastAsia="Times New Roman" w:hAnsi="Calibri" w:cs="Calibri"/>
                <w:color w:val="000000"/>
                <w:kern w:val="24"/>
                <w:sz w:val="20"/>
                <w:szCs w:val="20"/>
                <w:lang w:val="en-GB"/>
              </w:rPr>
              <w:t>:</w:t>
            </w:r>
          </w:p>
          <w:p w14:paraId="79C5979E" w14:textId="77777777" w:rsidR="008565A3" w:rsidRPr="008C3753" w:rsidRDefault="005C4ACD" w:rsidP="00DE1CDE">
            <w:pPr>
              <w:pStyle w:val="ListParagraph"/>
              <w:numPr>
                <w:ilvl w:val="0"/>
                <w:numId w:val="3"/>
              </w:numPr>
              <w:spacing w:after="0"/>
              <w:rPr>
                <w:rFonts w:ascii="Arial" w:eastAsia="Times New Roman" w:hAnsi="Arial" w:cs="Arial"/>
                <w:sz w:val="20"/>
                <w:szCs w:val="20"/>
                <w:lang w:val="en-GB"/>
              </w:rPr>
            </w:pPr>
            <w:r w:rsidRPr="008C3753">
              <w:rPr>
                <w:rFonts w:ascii="Calibri" w:eastAsia="Times New Roman" w:hAnsi="Calibri" w:cs="Calibri"/>
                <w:color w:val="000000"/>
                <w:kern w:val="24"/>
                <w:sz w:val="20"/>
                <w:szCs w:val="20"/>
                <w:lang w:val="en-GB"/>
              </w:rPr>
              <w:t>“</w:t>
            </w:r>
            <w:r w:rsidRPr="008C3753">
              <w:rPr>
                <w:rFonts w:ascii="Calibri" w:eastAsia="Times New Roman" w:hAnsi="Calibri" w:cs="Calibri"/>
                <w:b/>
                <w:bCs/>
                <w:color w:val="000000"/>
                <w:kern w:val="24"/>
                <w:sz w:val="20"/>
                <w:szCs w:val="20"/>
                <w:lang w:val="en-GB"/>
              </w:rPr>
              <w:t>possible</w:t>
            </w:r>
            <w:r w:rsidRPr="008C3753">
              <w:rPr>
                <w:rFonts w:ascii="Calibri" w:eastAsia="Times New Roman" w:hAnsi="Calibri" w:cs="Calibri"/>
                <w:color w:val="000000"/>
                <w:kern w:val="24"/>
                <w:sz w:val="20"/>
                <w:szCs w:val="20"/>
                <w:lang w:val="en-GB"/>
              </w:rPr>
              <w:t>” risk from infection (infection less likely but antibiotics are being prescribed until serious infection can be excluded) or</w:t>
            </w:r>
          </w:p>
          <w:p w14:paraId="615F02C0" w14:textId="397FE01D" w:rsidR="005C4ACD" w:rsidRPr="008C3753" w:rsidRDefault="005C4ACD" w:rsidP="00DE1CDE">
            <w:pPr>
              <w:pStyle w:val="ListParagraph"/>
              <w:numPr>
                <w:ilvl w:val="0"/>
                <w:numId w:val="3"/>
              </w:numPr>
              <w:spacing w:after="0"/>
              <w:rPr>
                <w:rFonts w:ascii="Arial" w:eastAsia="Times New Roman" w:hAnsi="Arial" w:cs="Arial"/>
                <w:sz w:val="20"/>
                <w:szCs w:val="20"/>
                <w:lang w:val="en-GB"/>
              </w:rPr>
            </w:pPr>
            <w:r w:rsidRPr="008C3753">
              <w:rPr>
                <w:rFonts w:ascii="Calibri" w:eastAsia="Times New Roman" w:hAnsi="Calibri" w:cs="Calibri"/>
                <w:color w:val="000000"/>
                <w:kern w:val="24"/>
                <w:sz w:val="20"/>
                <w:szCs w:val="20"/>
                <w:lang w:val="en-GB"/>
              </w:rPr>
              <w:t>“</w:t>
            </w:r>
            <w:r w:rsidRPr="008C3753">
              <w:rPr>
                <w:rFonts w:ascii="Calibri" w:eastAsia="Times New Roman" w:hAnsi="Calibri" w:cs="Calibri"/>
                <w:b/>
                <w:bCs/>
                <w:color w:val="000000"/>
                <w:kern w:val="24"/>
                <w:sz w:val="20"/>
                <w:szCs w:val="20"/>
                <w:lang w:val="en-GB"/>
              </w:rPr>
              <w:t>probable</w:t>
            </w:r>
            <w:r w:rsidRPr="008C3753">
              <w:rPr>
                <w:rFonts w:ascii="Calibri" w:eastAsia="Times New Roman" w:hAnsi="Calibri" w:cs="Calibri"/>
                <w:color w:val="000000"/>
                <w:kern w:val="24"/>
                <w:sz w:val="20"/>
                <w:szCs w:val="20"/>
                <w:lang w:val="en-GB"/>
              </w:rPr>
              <w:t>” risk of infection (infection is likely but more information is required before finalising the diagnosis/treatment)</w:t>
            </w:r>
          </w:p>
          <w:p w14:paraId="76A39ACA" w14:textId="77777777" w:rsidR="008565A3" w:rsidRPr="008C3753" w:rsidRDefault="008565A3" w:rsidP="008565A3">
            <w:pPr>
              <w:spacing w:after="0"/>
              <w:contextualSpacing/>
              <w:rPr>
                <w:rFonts w:ascii="Calibri" w:eastAsia="Times New Roman" w:hAnsi="Calibri" w:cs="Calibri"/>
                <w:color w:val="000000"/>
                <w:kern w:val="24"/>
                <w:sz w:val="20"/>
                <w:szCs w:val="20"/>
                <w:lang w:val="en-GB"/>
              </w:rPr>
            </w:pPr>
          </w:p>
          <w:p w14:paraId="14F96F9F" w14:textId="06496B37" w:rsidR="005C4ACD" w:rsidRPr="008C3753" w:rsidRDefault="008565A3" w:rsidP="008565A3">
            <w:pPr>
              <w:spacing w:after="0"/>
              <w:rPr>
                <w:rFonts w:ascii="Arial" w:eastAsia="Times New Roman" w:hAnsi="Arial" w:cs="Arial"/>
                <w:sz w:val="20"/>
                <w:szCs w:val="20"/>
                <w:lang w:val="en-GB"/>
              </w:rPr>
            </w:pPr>
            <w:r w:rsidRPr="008C3753">
              <w:rPr>
                <w:rFonts w:ascii="Calibri" w:eastAsia="Times New Roman" w:hAnsi="Calibri" w:cs="Calibri"/>
                <w:color w:val="000000"/>
                <w:kern w:val="24"/>
                <w:sz w:val="20"/>
                <w:szCs w:val="20"/>
                <w:lang w:val="en-GB"/>
              </w:rPr>
              <w:t xml:space="preserve">2. </w:t>
            </w:r>
            <w:r w:rsidR="005C4ACD" w:rsidRPr="008C3753">
              <w:rPr>
                <w:rFonts w:ascii="Calibri" w:eastAsia="Times New Roman" w:hAnsi="Calibri" w:cs="Calibri"/>
                <w:color w:val="000000"/>
                <w:kern w:val="24"/>
                <w:sz w:val="20"/>
                <w:szCs w:val="20"/>
                <w:lang w:val="en-GB"/>
              </w:rPr>
              <w:t xml:space="preserve">Review, at which point prescriptions can either be </w:t>
            </w:r>
            <w:r w:rsidR="005C4ACD" w:rsidRPr="008C3753">
              <w:rPr>
                <w:rFonts w:ascii="Calibri" w:eastAsia="Times New Roman" w:hAnsi="Calibri" w:cs="Calibri"/>
                <w:b/>
                <w:bCs/>
                <w:color w:val="000000"/>
                <w:kern w:val="24"/>
                <w:sz w:val="20"/>
                <w:szCs w:val="20"/>
                <w:lang w:val="en-GB"/>
              </w:rPr>
              <w:t>stopped</w:t>
            </w:r>
            <w:r w:rsidR="005C4ACD" w:rsidRPr="008C3753">
              <w:rPr>
                <w:rFonts w:ascii="Calibri" w:eastAsia="Times New Roman" w:hAnsi="Calibri" w:cs="Calibri"/>
                <w:color w:val="000000"/>
                <w:kern w:val="24"/>
                <w:sz w:val="20"/>
                <w:szCs w:val="20"/>
                <w:lang w:val="en-GB"/>
              </w:rPr>
              <w:t xml:space="preserve"> (where there is not a clear justification for continued treatment) or </w:t>
            </w:r>
            <w:r w:rsidR="005C4ACD" w:rsidRPr="008C3753">
              <w:rPr>
                <w:rFonts w:ascii="Calibri" w:eastAsia="Times New Roman" w:hAnsi="Calibri" w:cs="Calibri"/>
                <w:b/>
                <w:bCs/>
                <w:color w:val="000000"/>
                <w:kern w:val="24"/>
                <w:sz w:val="20"/>
                <w:szCs w:val="20"/>
                <w:lang w:val="en-GB"/>
              </w:rPr>
              <w:t xml:space="preserve">finalised </w:t>
            </w:r>
            <w:r w:rsidR="005C4ACD" w:rsidRPr="008C3753">
              <w:rPr>
                <w:rFonts w:ascii="Calibri" w:eastAsia="Times New Roman" w:hAnsi="Calibri" w:cs="Calibri"/>
                <w:color w:val="000000"/>
                <w:kern w:val="24"/>
                <w:sz w:val="20"/>
                <w:szCs w:val="20"/>
                <w:lang w:val="en-GB"/>
              </w:rPr>
              <w:t>(where a senior/specialist decides on agent, route and duration)</w:t>
            </w:r>
          </w:p>
        </w:tc>
      </w:tr>
      <w:tr w:rsidR="005C4ACD" w:rsidRPr="008C3753" w14:paraId="56098A75" w14:textId="77777777" w:rsidTr="008565A3">
        <w:trPr>
          <w:trHeight w:val="584"/>
        </w:trPr>
        <w:tc>
          <w:tcPr>
            <w:tcW w:w="1560" w:type="dxa"/>
            <w:tcBorders>
              <w:top w:val="nil"/>
              <w:left w:val="nil"/>
              <w:bottom w:val="nil"/>
              <w:right w:val="nil"/>
            </w:tcBorders>
            <w:shd w:val="clear" w:color="auto" w:fill="F2F2F2"/>
            <w:tcMar>
              <w:top w:w="72" w:type="dxa"/>
              <w:left w:w="144" w:type="dxa"/>
              <w:bottom w:w="72" w:type="dxa"/>
              <w:right w:w="144" w:type="dxa"/>
            </w:tcMar>
            <w:hideMark/>
          </w:tcPr>
          <w:p w14:paraId="5446FB49" w14:textId="73EE4262" w:rsidR="005C4ACD" w:rsidRPr="008C3753" w:rsidRDefault="005C4ACD" w:rsidP="005C4ACD">
            <w:pPr>
              <w:spacing w:after="0"/>
              <w:rPr>
                <w:rFonts w:ascii="Arial" w:eastAsia="Times New Roman" w:hAnsi="Arial" w:cs="Arial"/>
                <w:b/>
                <w:bCs/>
                <w:sz w:val="20"/>
                <w:szCs w:val="20"/>
                <w:lang w:val="en-GB"/>
              </w:rPr>
            </w:pPr>
            <w:r w:rsidRPr="008C3753">
              <w:rPr>
                <w:rFonts w:ascii="Calibri" w:eastAsia="Times New Roman" w:hAnsi="Calibri" w:cs="Calibri"/>
                <w:b/>
                <w:bCs/>
                <w:color w:val="000000"/>
                <w:kern w:val="24"/>
                <w:sz w:val="20"/>
                <w:szCs w:val="20"/>
                <w:lang w:val="en-GB"/>
              </w:rPr>
              <w:t>Data</w:t>
            </w:r>
            <w:r w:rsidR="008565A3" w:rsidRPr="008C3753">
              <w:rPr>
                <w:rFonts w:ascii="Calibri" w:eastAsia="Times New Roman" w:hAnsi="Calibri" w:cs="Calibri"/>
                <w:b/>
                <w:bCs/>
                <w:color w:val="000000"/>
                <w:kern w:val="24"/>
                <w:sz w:val="20"/>
                <w:szCs w:val="20"/>
                <w:lang w:val="en-GB"/>
              </w:rPr>
              <w:t xml:space="preserve"> </w:t>
            </w:r>
            <w:r w:rsidRPr="008C3753">
              <w:rPr>
                <w:rFonts w:ascii="Calibri" w:eastAsia="Times New Roman" w:hAnsi="Calibri" w:cs="Calibri"/>
                <w:b/>
                <w:bCs/>
                <w:color w:val="000000"/>
                <w:kern w:val="24"/>
                <w:sz w:val="20"/>
                <w:szCs w:val="20"/>
                <w:lang w:val="en-GB"/>
              </w:rPr>
              <w:t>collection and feedback process</w:t>
            </w:r>
          </w:p>
        </w:tc>
        <w:tc>
          <w:tcPr>
            <w:tcW w:w="7460" w:type="dxa"/>
            <w:tcBorders>
              <w:top w:val="nil"/>
              <w:left w:val="nil"/>
              <w:bottom w:val="nil"/>
              <w:right w:val="nil"/>
            </w:tcBorders>
            <w:shd w:val="clear" w:color="auto" w:fill="F2F2F2"/>
            <w:tcMar>
              <w:top w:w="72" w:type="dxa"/>
              <w:left w:w="144" w:type="dxa"/>
              <w:bottom w:w="72" w:type="dxa"/>
              <w:right w:w="144" w:type="dxa"/>
            </w:tcMar>
            <w:hideMark/>
          </w:tcPr>
          <w:p w14:paraId="42230F2A" w14:textId="79A219E8" w:rsidR="005C4ACD" w:rsidRPr="008C3753" w:rsidRDefault="005C4ACD" w:rsidP="005C4ACD">
            <w:pPr>
              <w:spacing w:after="0"/>
              <w:rPr>
                <w:rFonts w:ascii="Arial" w:eastAsia="Times New Roman" w:hAnsi="Arial" w:cs="Arial"/>
                <w:sz w:val="20"/>
                <w:szCs w:val="20"/>
                <w:lang w:val="en-GB"/>
              </w:rPr>
            </w:pPr>
            <w:r w:rsidRPr="008C3753">
              <w:rPr>
                <w:rFonts w:ascii="Calibri" w:eastAsia="Times New Roman" w:hAnsi="Calibri" w:cs="Calibri"/>
                <w:color w:val="000000"/>
                <w:kern w:val="24"/>
                <w:sz w:val="20"/>
                <w:szCs w:val="20"/>
                <w:lang w:val="en-GB"/>
              </w:rPr>
              <w:t xml:space="preserve">Uses point-prevalence data gathered </w:t>
            </w:r>
            <w:r w:rsidR="008565A3" w:rsidRPr="008C3753">
              <w:rPr>
                <w:rFonts w:ascii="Calibri" w:eastAsia="Times New Roman" w:hAnsi="Calibri" w:cs="Calibri"/>
                <w:color w:val="000000"/>
                <w:kern w:val="24"/>
                <w:sz w:val="20"/>
                <w:szCs w:val="20"/>
                <w:lang w:val="en-GB"/>
              </w:rPr>
              <w:t>with</w:t>
            </w:r>
            <w:r w:rsidRPr="008C3753">
              <w:rPr>
                <w:rFonts w:ascii="Calibri" w:eastAsia="Times New Roman" w:hAnsi="Calibri" w:cs="Calibri"/>
                <w:color w:val="000000"/>
                <w:kern w:val="24"/>
                <w:sz w:val="20"/>
                <w:szCs w:val="20"/>
                <w:lang w:val="en-GB"/>
              </w:rPr>
              <w:t xml:space="preserve"> a Microsoft Excel workbook (Microsoft Corporation, Redmond, USA) to inform brief, frequent and supportive discussions with clinical teams about Decision Aid use a</w:t>
            </w:r>
            <w:r w:rsidR="008565A3" w:rsidRPr="008C3753">
              <w:rPr>
                <w:rFonts w:ascii="Calibri" w:eastAsia="Times New Roman" w:hAnsi="Calibri" w:cs="Calibri"/>
                <w:color w:val="000000"/>
                <w:kern w:val="24"/>
                <w:sz w:val="20"/>
                <w:szCs w:val="20"/>
                <w:lang w:val="en-GB"/>
              </w:rPr>
              <w:t>nd</w:t>
            </w:r>
            <w:r w:rsidRPr="008C3753">
              <w:rPr>
                <w:rFonts w:ascii="Calibri" w:eastAsia="Times New Roman" w:hAnsi="Calibri" w:cs="Calibri"/>
                <w:color w:val="000000"/>
                <w:kern w:val="24"/>
                <w:sz w:val="20"/>
                <w:szCs w:val="20"/>
                <w:lang w:val="en-GB"/>
              </w:rPr>
              <w:t xml:space="preserve"> rates of stopping antibiotics</w:t>
            </w:r>
            <w:r w:rsidR="00817242" w:rsidRPr="008C3753">
              <w:rPr>
                <w:rFonts w:ascii="Calibri" w:eastAsia="Times New Roman" w:hAnsi="Calibri" w:cs="Calibri"/>
                <w:color w:val="000000"/>
                <w:kern w:val="24"/>
                <w:sz w:val="20"/>
                <w:szCs w:val="20"/>
                <w:lang w:val="en-GB"/>
              </w:rPr>
              <w:t>, reinforcing learning about antibiotic prescribing decisions</w:t>
            </w:r>
          </w:p>
        </w:tc>
      </w:tr>
      <w:tr w:rsidR="005C4ACD" w:rsidRPr="008C3753" w14:paraId="338AB730" w14:textId="77777777" w:rsidTr="008565A3">
        <w:trPr>
          <w:trHeight w:val="584"/>
        </w:trPr>
        <w:tc>
          <w:tcPr>
            <w:tcW w:w="1560" w:type="dxa"/>
            <w:tcBorders>
              <w:top w:val="nil"/>
              <w:left w:val="nil"/>
              <w:bottom w:val="single" w:sz="18" w:space="0" w:color="000000"/>
              <w:right w:val="nil"/>
            </w:tcBorders>
            <w:shd w:val="clear" w:color="auto" w:fill="FFFFFF"/>
            <w:tcMar>
              <w:top w:w="72" w:type="dxa"/>
              <w:left w:w="144" w:type="dxa"/>
              <w:bottom w:w="72" w:type="dxa"/>
              <w:right w:w="144" w:type="dxa"/>
            </w:tcMar>
            <w:hideMark/>
          </w:tcPr>
          <w:p w14:paraId="4711A04B" w14:textId="77777777" w:rsidR="005C4ACD" w:rsidRPr="008C3753" w:rsidRDefault="005C4ACD" w:rsidP="005C4ACD">
            <w:pPr>
              <w:spacing w:after="0"/>
              <w:rPr>
                <w:rFonts w:ascii="Arial" w:eastAsia="Times New Roman" w:hAnsi="Arial" w:cs="Arial"/>
                <w:b/>
                <w:bCs/>
                <w:sz w:val="20"/>
                <w:szCs w:val="20"/>
                <w:lang w:val="en-GB"/>
              </w:rPr>
            </w:pPr>
            <w:r w:rsidRPr="008C3753">
              <w:rPr>
                <w:rFonts w:ascii="Calibri" w:eastAsia="Times New Roman" w:hAnsi="Calibri" w:cs="Calibri"/>
                <w:b/>
                <w:bCs/>
                <w:color w:val="000000"/>
                <w:kern w:val="24"/>
                <w:sz w:val="20"/>
                <w:szCs w:val="20"/>
                <w:lang w:val="en-GB"/>
              </w:rPr>
              <w:t>Patient leaflet</w:t>
            </w:r>
          </w:p>
        </w:tc>
        <w:tc>
          <w:tcPr>
            <w:tcW w:w="7460" w:type="dxa"/>
            <w:tcBorders>
              <w:top w:val="nil"/>
              <w:left w:val="nil"/>
              <w:bottom w:val="single" w:sz="18" w:space="0" w:color="000000"/>
              <w:right w:val="nil"/>
            </w:tcBorders>
            <w:shd w:val="clear" w:color="auto" w:fill="FFFFFF"/>
            <w:tcMar>
              <w:top w:w="72" w:type="dxa"/>
              <w:left w:w="144" w:type="dxa"/>
              <w:bottom w:w="72" w:type="dxa"/>
              <w:right w:w="144" w:type="dxa"/>
            </w:tcMar>
            <w:hideMark/>
          </w:tcPr>
          <w:p w14:paraId="0A3F2568" w14:textId="2500DCE8" w:rsidR="005C4ACD" w:rsidRPr="008C3753" w:rsidRDefault="005C4ACD" w:rsidP="005C4ACD">
            <w:pPr>
              <w:spacing w:after="0"/>
              <w:rPr>
                <w:rFonts w:ascii="Arial" w:eastAsia="Times New Roman" w:hAnsi="Arial" w:cs="Arial"/>
                <w:sz w:val="20"/>
                <w:szCs w:val="20"/>
                <w:lang w:val="en-GB"/>
              </w:rPr>
            </w:pPr>
            <w:r w:rsidRPr="008C3753">
              <w:rPr>
                <w:rFonts w:ascii="Calibri" w:eastAsia="Times New Roman" w:hAnsi="Calibri" w:cs="Calibri"/>
                <w:color w:val="000000"/>
                <w:kern w:val="24"/>
                <w:sz w:val="20"/>
                <w:szCs w:val="20"/>
                <w:lang w:val="en-GB"/>
              </w:rPr>
              <w:t>Explains the "review and revise” process, why antibiotics may be stopped, then potentially restarted, and gives safety-netting advice</w:t>
            </w:r>
          </w:p>
        </w:tc>
      </w:tr>
    </w:tbl>
    <w:p w14:paraId="41E74826" w14:textId="61AAEF53" w:rsidR="005C4ACD" w:rsidRPr="008C3753" w:rsidRDefault="008565A3" w:rsidP="005C4ACD">
      <w:pPr>
        <w:spacing w:line="480" w:lineRule="auto"/>
        <w:rPr>
          <w:sz w:val="20"/>
          <w:szCs w:val="20"/>
          <w:lang w:val="en-GB"/>
        </w:rPr>
      </w:pPr>
      <w:r w:rsidRPr="008C3753">
        <w:rPr>
          <w:sz w:val="20"/>
          <w:szCs w:val="20"/>
          <w:lang w:val="en-GB"/>
        </w:rPr>
        <w:t>*See supplementary figure 1 for further explanation</w:t>
      </w:r>
    </w:p>
    <w:p w14:paraId="41D5654B" w14:textId="77777777" w:rsidR="00F0429C" w:rsidRPr="008C3753" w:rsidRDefault="00F0429C">
      <w:pPr>
        <w:spacing w:after="0"/>
        <w:rPr>
          <w:sz w:val="20"/>
          <w:szCs w:val="20"/>
          <w:lang w:val="en-GB"/>
        </w:rPr>
      </w:pPr>
      <w:r w:rsidRPr="008C3753">
        <w:rPr>
          <w:sz w:val="20"/>
          <w:szCs w:val="20"/>
          <w:lang w:val="en-GB"/>
        </w:rPr>
        <w:br w:type="page"/>
      </w:r>
    </w:p>
    <w:p w14:paraId="6F36AE21" w14:textId="0BB88BBC" w:rsidR="00F404FE" w:rsidRPr="008C3753" w:rsidRDefault="00F404FE" w:rsidP="00F404FE">
      <w:pPr>
        <w:spacing w:after="0"/>
        <w:rPr>
          <w:b/>
          <w:bCs/>
          <w:sz w:val="20"/>
          <w:szCs w:val="20"/>
          <w:lang w:val="en-GB"/>
        </w:rPr>
      </w:pPr>
      <w:r w:rsidRPr="008C3753">
        <w:rPr>
          <w:b/>
          <w:bCs/>
          <w:sz w:val="20"/>
          <w:szCs w:val="20"/>
          <w:lang w:val="en-GB"/>
        </w:rPr>
        <w:lastRenderedPageBreak/>
        <w:t>Table II. Description of the local adaptation and implementation of the ARK intervention components</w:t>
      </w:r>
    </w:p>
    <w:tbl>
      <w:tblPr>
        <w:tblW w:w="9072" w:type="dxa"/>
        <w:tblCellMar>
          <w:left w:w="0" w:type="dxa"/>
          <w:right w:w="0" w:type="dxa"/>
        </w:tblCellMar>
        <w:tblLook w:val="0420" w:firstRow="1" w:lastRow="0" w:firstColumn="0" w:lastColumn="0" w:noHBand="0" w:noVBand="1"/>
      </w:tblPr>
      <w:tblGrid>
        <w:gridCol w:w="1560"/>
        <w:gridCol w:w="7512"/>
      </w:tblGrid>
      <w:tr w:rsidR="00F51D2F" w:rsidRPr="008C3753" w14:paraId="65EBD7D0" w14:textId="77777777" w:rsidTr="005432FC">
        <w:trPr>
          <w:trHeight w:val="274"/>
        </w:trPr>
        <w:tc>
          <w:tcPr>
            <w:tcW w:w="1560" w:type="dxa"/>
            <w:tcBorders>
              <w:top w:val="single" w:sz="18" w:space="0" w:color="000000"/>
              <w:left w:val="nil"/>
              <w:bottom w:val="single" w:sz="18" w:space="0" w:color="000000"/>
              <w:right w:val="nil"/>
            </w:tcBorders>
            <w:shd w:val="clear" w:color="auto" w:fill="005292"/>
            <w:tcMar>
              <w:top w:w="72" w:type="dxa"/>
              <w:left w:w="144" w:type="dxa"/>
              <w:bottom w:w="72" w:type="dxa"/>
              <w:right w:w="144" w:type="dxa"/>
            </w:tcMar>
            <w:vAlign w:val="center"/>
            <w:hideMark/>
          </w:tcPr>
          <w:p w14:paraId="41F71BBB" w14:textId="77777777" w:rsidR="00A85172" w:rsidRPr="008C3753" w:rsidRDefault="00A85172" w:rsidP="0044140C">
            <w:pPr>
              <w:spacing w:after="0"/>
              <w:rPr>
                <w:color w:val="FFFFFF" w:themeColor="background1"/>
                <w:sz w:val="20"/>
                <w:szCs w:val="20"/>
                <w:lang w:val="en-GB"/>
              </w:rPr>
            </w:pPr>
            <w:r w:rsidRPr="008C3753">
              <w:rPr>
                <w:b/>
                <w:bCs/>
                <w:color w:val="FFFFFF" w:themeColor="background1"/>
                <w:sz w:val="20"/>
                <w:szCs w:val="20"/>
                <w:lang w:val="en-GB"/>
              </w:rPr>
              <w:t>Component</w:t>
            </w:r>
          </w:p>
        </w:tc>
        <w:tc>
          <w:tcPr>
            <w:tcW w:w="7512" w:type="dxa"/>
            <w:tcBorders>
              <w:top w:val="single" w:sz="18" w:space="0" w:color="000000"/>
              <w:left w:val="nil"/>
              <w:bottom w:val="single" w:sz="18" w:space="0" w:color="000000"/>
              <w:right w:val="nil"/>
            </w:tcBorders>
            <w:shd w:val="clear" w:color="auto" w:fill="005292"/>
            <w:tcMar>
              <w:top w:w="72" w:type="dxa"/>
              <w:left w:w="144" w:type="dxa"/>
              <w:bottom w:w="72" w:type="dxa"/>
              <w:right w:w="144" w:type="dxa"/>
            </w:tcMar>
            <w:vAlign w:val="center"/>
            <w:hideMark/>
          </w:tcPr>
          <w:p w14:paraId="3FEF99CB" w14:textId="77777777" w:rsidR="00A85172" w:rsidRPr="008C3753" w:rsidRDefault="00A85172" w:rsidP="0044140C">
            <w:pPr>
              <w:spacing w:after="0"/>
              <w:rPr>
                <w:color w:val="FFFFFF" w:themeColor="background1"/>
                <w:sz w:val="20"/>
                <w:szCs w:val="20"/>
                <w:lang w:val="en-GB"/>
              </w:rPr>
            </w:pPr>
            <w:r w:rsidRPr="008C3753">
              <w:rPr>
                <w:b/>
                <w:bCs/>
                <w:color w:val="FFFFFF" w:themeColor="background1"/>
                <w:sz w:val="20"/>
                <w:szCs w:val="20"/>
                <w:lang w:val="en-GB"/>
              </w:rPr>
              <w:t>Local adaptation and implementation</w:t>
            </w:r>
          </w:p>
        </w:tc>
      </w:tr>
      <w:tr w:rsidR="00F51D2F" w:rsidRPr="008C3753" w14:paraId="0B8AE29C" w14:textId="77777777" w:rsidTr="003E2397">
        <w:trPr>
          <w:trHeight w:val="450"/>
        </w:trPr>
        <w:tc>
          <w:tcPr>
            <w:tcW w:w="1560" w:type="dxa"/>
            <w:tcBorders>
              <w:top w:val="single" w:sz="18" w:space="0" w:color="000000"/>
              <w:left w:val="nil"/>
              <w:bottom w:val="nil"/>
              <w:right w:val="nil"/>
            </w:tcBorders>
            <w:shd w:val="clear" w:color="auto" w:fill="F2F2F2"/>
            <w:tcMar>
              <w:top w:w="72" w:type="dxa"/>
              <w:left w:w="144" w:type="dxa"/>
              <w:bottom w:w="72" w:type="dxa"/>
              <w:right w:w="144" w:type="dxa"/>
            </w:tcMar>
            <w:hideMark/>
          </w:tcPr>
          <w:p w14:paraId="23C322F3" w14:textId="77777777" w:rsidR="00A85172" w:rsidRPr="008C3753" w:rsidRDefault="00A85172" w:rsidP="0044140C">
            <w:pPr>
              <w:spacing w:after="0"/>
              <w:rPr>
                <w:b/>
                <w:bCs/>
                <w:sz w:val="20"/>
                <w:szCs w:val="20"/>
                <w:lang w:val="en-GB"/>
              </w:rPr>
            </w:pPr>
            <w:r w:rsidRPr="008C3753">
              <w:rPr>
                <w:b/>
                <w:bCs/>
                <w:sz w:val="20"/>
                <w:szCs w:val="20"/>
                <w:lang w:val="en-GB"/>
              </w:rPr>
              <w:t>Online tool</w:t>
            </w:r>
          </w:p>
        </w:tc>
        <w:tc>
          <w:tcPr>
            <w:tcW w:w="7512" w:type="dxa"/>
            <w:tcBorders>
              <w:top w:val="single" w:sz="18" w:space="0" w:color="000000"/>
              <w:left w:val="nil"/>
              <w:bottom w:val="nil"/>
              <w:right w:val="nil"/>
            </w:tcBorders>
            <w:shd w:val="clear" w:color="auto" w:fill="F2F2F2"/>
            <w:tcMar>
              <w:top w:w="72" w:type="dxa"/>
              <w:left w:w="144" w:type="dxa"/>
              <w:bottom w:w="72" w:type="dxa"/>
              <w:right w:w="144" w:type="dxa"/>
            </w:tcMar>
            <w:hideMark/>
          </w:tcPr>
          <w:p w14:paraId="743A2433" w14:textId="2C8BC548" w:rsidR="001B466D" w:rsidRPr="008C3753" w:rsidRDefault="00872E1F" w:rsidP="00DE1CDE">
            <w:pPr>
              <w:pStyle w:val="ListParagraph"/>
              <w:numPr>
                <w:ilvl w:val="0"/>
                <w:numId w:val="6"/>
              </w:numPr>
              <w:spacing w:after="0"/>
              <w:rPr>
                <w:sz w:val="20"/>
                <w:szCs w:val="20"/>
                <w:lang w:val="en-GB"/>
              </w:rPr>
            </w:pPr>
            <w:r w:rsidRPr="008C3753">
              <w:rPr>
                <w:sz w:val="20"/>
                <w:szCs w:val="20"/>
                <w:lang w:val="en-GB"/>
              </w:rPr>
              <w:t>A</w:t>
            </w:r>
            <w:r w:rsidR="00A85172" w:rsidRPr="008C3753">
              <w:rPr>
                <w:sz w:val="20"/>
                <w:szCs w:val="20"/>
                <w:lang w:val="en-GB"/>
              </w:rPr>
              <w:t>pproved by The Department of Medical Education to be available on the Trust’s e-learning platform</w:t>
            </w:r>
          </w:p>
          <w:p w14:paraId="091C1860" w14:textId="77777777" w:rsidR="001B466D" w:rsidRPr="008C3753" w:rsidRDefault="001B466D" w:rsidP="0044140C">
            <w:pPr>
              <w:spacing w:after="0"/>
              <w:rPr>
                <w:sz w:val="20"/>
                <w:szCs w:val="20"/>
                <w:lang w:val="en-GB"/>
              </w:rPr>
            </w:pPr>
          </w:p>
          <w:p w14:paraId="631034E1" w14:textId="7F44B26F" w:rsidR="001B466D" w:rsidRPr="008C3753" w:rsidRDefault="001B466D" w:rsidP="00DE1CDE">
            <w:pPr>
              <w:pStyle w:val="ListParagraph"/>
              <w:numPr>
                <w:ilvl w:val="0"/>
                <w:numId w:val="6"/>
              </w:numPr>
              <w:spacing w:after="0"/>
              <w:rPr>
                <w:sz w:val="20"/>
                <w:szCs w:val="20"/>
                <w:lang w:val="en-GB"/>
              </w:rPr>
            </w:pPr>
            <w:r w:rsidRPr="008C3753">
              <w:rPr>
                <w:sz w:val="20"/>
                <w:szCs w:val="20"/>
                <w:lang w:val="en-GB"/>
              </w:rPr>
              <w:t xml:space="preserve">Approximately </w:t>
            </w:r>
            <w:r w:rsidR="00A85172" w:rsidRPr="008C3753">
              <w:rPr>
                <w:sz w:val="20"/>
                <w:szCs w:val="20"/>
                <w:lang w:val="en-GB"/>
              </w:rPr>
              <w:t xml:space="preserve">1 month before implementation, the ARK Champion invited the 33 members of essential staff to </w:t>
            </w:r>
            <w:r w:rsidR="00685B8B" w:rsidRPr="008C3753">
              <w:rPr>
                <w:sz w:val="20"/>
                <w:szCs w:val="20"/>
                <w:lang w:val="en-GB"/>
              </w:rPr>
              <w:t>complete the</w:t>
            </w:r>
            <w:r w:rsidR="00A85172" w:rsidRPr="008C3753">
              <w:rPr>
                <w:sz w:val="20"/>
                <w:szCs w:val="20"/>
                <w:lang w:val="en-GB"/>
              </w:rPr>
              <w:t xml:space="preserve"> tool</w:t>
            </w:r>
          </w:p>
          <w:p w14:paraId="738A4891" w14:textId="77777777" w:rsidR="001B466D" w:rsidRPr="008C3753" w:rsidRDefault="001B466D" w:rsidP="0044140C">
            <w:pPr>
              <w:pStyle w:val="ListParagraph"/>
              <w:spacing w:after="0"/>
              <w:rPr>
                <w:sz w:val="20"/>
                <w:szCs w:val="20"/>
                <w:lang w:val="en-GB"/>
              </w:rPr>
            </w:pPr>
          </w:p>
          <w:p w14:paraId="468069D8" w14:textId="77777777" w:rsidR="001B466D" w:rsidRPr="008C3753" w:rsidRDefault="00A85172" w:rsidP="00DE1CDE">
            <w:pPr>
              <w:pStyle w:val="ListParagraph"/>
              <w:numPr>
                <w:ilvl w:val="0"/>
                <w:numId w:val="6"/>
              </w:numPr>
              <w:spacing w:after="0"/>
              <w:rPr>
                <w:sz w:val="20"/>
                <w:szCs w:val="20"/>
                <w:lang w:val="en-GB"/>
              </w:rPr>
            </w:pPr>
            <w:r w:rsidRPr="008C3753">
              <w:rPr>
                <w:sz w:val="20"/>
                <w:szCs w:val="20"/>
                <w:lang w:val="en-GB"/>
              </w:rPr>
              <w:t>On implementation, the Medical Director sent a trust-wide email inviting all medical staff to complete the tool</w:t>
            </w:r>
          </w:p>
          <w:p w14:paraId="1F245D10" w14:textId="77777777" w:rsidR="001B466D" w:rsidRPr="008C3753" w:rsidRDefault="001B466D" w:rsidP="0044140C">
            <w:pPr>
              <w:pStyle w:val="ListParagraph"/>
              <w:spacing w:after="0"/>
              <w:rPr>
                <w:sz w:val="20"/>
                <w:szCs w:val="20"/>
                <w:lang w:val="en-GB"/>
              </w:rPr>
            </w:pPr>
          </w:p>
          <w:p w14:paraId="18CD0022" w14:textId="1264F7BB" w:rsidR="00A85172" w:rsidRPr="008C3753" w:rsidRDefault="00A85172" w:rsidP="00DE1CDE">
            <w:pPr>
              <w:pStyle w:val="ListParagraph"/>
              <w:numPr>
                <w:ilvl w:val="0"/>
                <w:numId w:val="6"/>
              </w:numPr>
              <w:spacing w:after="0"/>
              <w:rPr>
                <w:sz w:val="20"/>
                <w:szCs w:val="20"/>
                <w:lang w:val="en-GB"/>
              </w:rPr>
            </w:pPr>
            <w:r w:rsidRPr="008C3753">
              <w:rPr>
                <w:sz w:val="20"/>
                <w:szCs w:val="20"/>
                <w:lang w:val="en-GB"/>
              </w:rPr>
              <w:t>Further email invitations and publicity within the 12-week implementation period also contained a link to the online tool</w:t>
            </w:r>
          </w:p>
        </w:tc>
      </w:tr>
      <w:tr w:rsidR="00F51D2F" w:rsidRPr="008C3753" w14:paraId="43725571" w14:textId="77777777" w:rsidTr="005432FC">
        <w:trPr>
          <w:trHeight w:val="2512"/>
        </w:trPr>
        <w:tc>
          <w:tcPr>
            <w:tcW w:w="1560" w:type="dxa"/>
            <w:tcBorders>
              <w:top w:val="nil"/>
              <w:left w:val="nil"/>
              <w:bottom w:val="nil"/>
              <w:right w:val="nil"/>
            </w:tcBorders>
            <w:shd w:val="clear" w:color="auto" w:fill="FFFFFF"/>
            <w:tcMar>
              <w:top w:w="72" w:type="dxa"/>
              <w:left w:w="144" w:type="dxa"/>
              <w:bottom w:w="72" w:type="dxa"/>
              <w:right w:w="144" w:type="dxa"/>
            </w:tcMar>
            <w:hideMark/>
          </w:tcPr>
          <w:p w14:paraId="6A242E5F" w14:textId="77777777" w:rsidR="00A85172" w:rsidRPr="008C3753" w:rsidRDefault="00A85172" w:rsidP="0044140C">
            <w:pPr>
              <w:spacing w:after="0"/>
              <w:rPr>
                <w:b/>
                <w:bCs/>
                <w:sz w:val="20"/>
                <w:szCs w:val="20"/>
                <w:lang w:val="en-GB"/>
              </w:rPr>
            </w:pPr>
            <w:r w:rsidRPr="008C3753">
              <w:rPr>
                <w:b/>
                <w:bCs/>
                <w:sz w:val="20"/>
                <w:szCs w:val="20"/>
                <w:lang w:val="en-GB"/>
              </w:rPr>
              <w:t>Decision Aid*</w:t>
            </w:r>
          </w:p>
        </w:tc>
        <w:tc>
          <w:tcPr>
            <w:tcW w:w="7512" w:type="dxa"/>
            <w:tcBorders>
              <w:top w:val="nil"/>
              <w:left w:val="nil"/>
              <w:bottom w:val="nil"/>
              <w:right w:val="nil"/>
            </w:tcBorders>
            <w:shd w:val="clear" w:color="auto" w:fill="FFFFFF"/>
            <w:tcMar>
              <w:top w:w="72" w:type="dxa"/>
              <w:left w:w="144" w:type="dxa"/>
              <w:bottom w:w="72" w:type="dxa"/>
              <w:right w:w="144" w:type="dxa"/>
            </w:tcMar>
            <w:hideMark/>
          </w:tcPr>
          <w:p w14:paraId="1E5479DE" w14:textId="7124474D" w:rsidR="00334EEE" w:rsidRPr="008C3753" w:rsidRDefault="00A85172" w:rsidP="00DE1CDE">
            <w:pPr>
              <w:pStyle w:val="ListParagraph"/>
              <w:numPr>
                <w:ilvl w:val="0"/>
                <w:numId w:val="8"/>
              </w:numPr>
              <w:spacing w:after="0"/>
              <w:rPr>
                <w:sz w:val="20"/>
                <w:szCs w:val="20"/>
                <w:lang w:val="en-GB"/>
              </w:rPr>
            </w:pPr>
            <w:r w:rsidRPr="008C3753">
              <w:rPr>
                <w:sz w:val="20"/>
                <w:szCs w:val="20"/>
                <w:lang w:val="en-GB"/>
              </w:rPr>
              <w:t xml:space="preserve">A new antibiotic prescription section of the paper drug chart was designed </w:t>
            </w:r>
            <w:r w:rsidR="00334EEE" w:rsidRPr="008C3753">
              <w:rPr>
                <w:sz w:val="20"/>
                <w:szCs w:val="20"/>
                <w:lang w:val="en-GB"/>
              </w:rPr>
              <w:t xml:space="preserve">to </w:t>
            </w:r>
            <w:r w:rsidRPr="008C3753">
              <w:rPr>
                <w:sz w:val="20"/>
                <w:szCs w:val="20"/>
                <w:lang w:val="en-GB"/>
              </w:rPr>
              <w:t>incorporat</w:t>
            </w:r>
            <w:r w:rsidR="00334EEE" w:rsidRPr="008C3753">
              <w:rPr>
                <w:sz w:val="20"/>
                <w:szCs w:val="20"/>
                <w:lang w:val="en-GB"/>
              </w:rPr>
              <w:t>e</w:t>
            </w:r>
            <w:r w:rsidRPr="008C3753">
              <w:rPr>
                <w:sz w:val="20"/>
                <w:szCs w:val="20"/>
                <w:lang w:val="en-GB"/>
              </w:rPr>
              <w:t xml:space="preserve"> the Decision Aid</w:t>
            </w:r>
            <w:r w:rsidR="00334EEE" w:rsidRPr="008C3753">
              <w:rPr>
                <w:sz w:val="20"/>
                <w:szCs w:val="20"/>
                <w:lang w:val="en-GB"/>
              </w:rPr>
              <w:t xml:space="preserve"> and </w:t>
            </w:r>
            <w:r w:rsidRPr="008C3753">
              <w:rPr>
                <w:sz w:val="20"/>
                <w:szCs w:val="20"/>
                <w:lang w:val="en-GB"/>
              </w:rPr>
              <w:t>containing an</w:t>
            </w:r>
            <w:r w:rsidR="00334EEE" w:rsidRPr="008C3753">
              <w:rPr>
                <w:sz w:val="20"/>
                <w:szCs w:val="20"/>
                <w:lang w:val="en-GB"/>
              </w:rPr>
              <w:t>:</w:t>
            </w:r>
          </w:p>
          <w:p w14:paraId="17D04BD0" w14:textId="77777777" w:rsidR="00334EEE" w:rsidRPr="008C3753" w:rsidRDefault="00334EEE" w:rsidP="0044140C">
            <w:pPr>
              <w:pStyle w:val="ListParagraph"/>
              <w:spacing w:after="0"/>
              <w:ind w:left="360"/>
              <w:rPr>
                <w:sz w:val="10"/>
                <w:szCs w:val="10"/>
                <w:lang w:val="en-GB"/>
              </w:rPr>
            </w:pPr>
          </w:p>
          <w:p w14:paraId="120C1F71" w14:textId="510086F1" w:rsidR="00334EEE" w:rsidRPr="008C3753" w:rsidRDefault="00A85172" w:rsidP="00DE1CDE">
            <w:pPr>
              <w:pStyle w:val="ListParagraph"/>
              <w:numPr>
                <w:ilvl w:val="0"/>
                <w:numId w:val="9"/>
              </w:numPr>
              <w:spacing w:after="0"/>
              <w:rPr>
                <w:sz w:val="20"/>
                <w:szCs w:val="20"/>
                <w:lang w:val="en-GB"/>
              </w:rPr>
            </w:pPr>
            <w:r w:rsidRPr="008C3753">
              <w:rPr>
                <w:sz w:val="20"/>
                <w:szCs w:val="20"/>
                <w:lang w:val="en-GB"/>
              </w:rPr>
              <w:t xml:space="preserve">Initial prescription section </w:t>
            </w:r>
            <w:r w:rsidR="00334EEE" w:rsidRPr="008C3753">
              <w:rPr>
                <w:sz w:val="20"/>
                <w:szCs w:val="20"/>
                <w:lang w:val="en-GB"/>
              </w:rPr>
              <w:t xml:space="preserve">with </w:t>
            </w:r>
            <w:r w:rsidRPr="008C3753">
              <w:rPr>
                <w:sz w:val="20"/>
                <w:szCs w:val="20"/>
                <w:lang w:val="en-GB"/>
              </w:rPr>
              <w:t>“</w:t>
            </w:r>
            <w:r w:rsidRPr="008C3753">
              <w:rPr>
                <w:b/>
                <w:bCs/>
                <w:sz w:val="20"/>
                <w:szCs w:val="20"/>
                <w:lang w:val="en-GB"/>
              </w:rPr>
              <w:t>possible</w:t>
            </w:r>
            <w:r w:rsidRPr="008C3753">
              <w:rPr>
                <w:sz w:val="20"/>
                <w:szCs w:val="20"/>
                <w:lang w:val="en-GB"/>
              </w:rPr>
              <w:t>” and “</w:t>
            </w:r>
            <w:r w:rsidRPr="008C3753">
              <w:rPr>
                <w:b/>
                <w:bCs/>
                <w:sz w:val="20"/>
                <w:szCs w:val="20"/>
                <w:lang w:val="en-GB"/>
              </w:rPr>
              <w:t>probable</w:t>
            </w:r>
            <w:r w:rsidRPr="008C3753">
              <w:rPr>
                <w:sz w:val="20"/>
                <w:szCs w:val="20"/>
                <w:lang w:val="en-GB"/>
              </w:rPr>
              <w:t>”</w:t>
            </w:r>
            <w:r w:rsidR="00334EEE" w:rsidRPr="008C3753">
              <w:rPr>
                <w:sz w:val="20"/>
                <w:szCs w:val="20"/>
                <w:lang w:val="en-GB"/>
              </w:rPr>
              <w:t xml:space="preserve"> categories</w:t>
            </w:r>
            <w:r w:rsidR="003D78A7" w:rsidRPr="008C3753">
              <w:rPr>
                <w:sz w:val="20"/>
                <w:szCs w:val="20"/>
                <w:lang w:val="en-GB"/>
              </w:rPr>
              <w:t xml:space="preserve">, </w:t>
            </w:r>
            <w:r w:rsidRPr="008C3753">
              <w:rPr>
                <w:sz w:val="20"/>
                <w:szCs w:val="20"/>
                <w:lang w:val="en-GB"/>
              </w:rPr>
              <w:t>allowing a maximum of 3 calendar days of antibiotics</w:t>
            </w:r>
          </w:p>
          <w:p w14:paraId="32512BEF" w14:textId="77777777" w:rsidR="00334EEE" w:rsidRPr="008C3753" w:rsidRDefault="00334EEE" w:rsidP="0044140C">
            <w:pPr>
              <w:pStyle w:val="ListParagraph"/>
              <w:spacing w:after="0"/>
              <w:rPr>
                <w:sz w:val="10"/>
                <w:szCs w:val="10"/>
                <w:lang w:val="en-GB"/>
              </w:rPr>
            </w:pPr>
          </w:p>
          <w:p w14:paraId="0913D918" w14:textId="185F67A5" w:rsidR="00A85172" w:rsidRPr="008C3753" w:rsidRDefault="00A85172" w:rsidP="00DE1CDE">
            <w:pPr>
              <w:pStyle w:val="ListParagraph"/>
              <w:numPr>
                <w:ilvl w:val="0"/>
                <w:numId w:val="9"/>
              </w:numPr>
              <w:spacing w:after="0"/>
              <w:rPr>
                <w:sz w:val="20"/>
                <w:szCs w:val="20"/>
                <w:lang w:val="en-GB"/>
              </w:rPr>
            </w:pPr>
            <w:r w:rsidRPr="008C3753">
              <w:rPr>
                <w:b/>
                <w:bCs/>
                <w:sz w:val="20"/>
                <w:szCs w:val="20"/>
                <w:lang w:val="en-GB"/>
              </w:rPr>
              <w:t>Finalised</w:t>
            </w:r>
            <w:r w:rsidRPr="008C3753">
              <w:rPr>
                <w:sz w:val="20"/>
                <w:szCs w:val="20"/>
                <w:lang w:val="en-GB"/>
              </w:rPr>
              <w:t xml:space="preserve"> prescription section</w:t>
            </w:r>
            <w:r w:rsidR="003D78A7" w:rsidRPr="008C3753">
              <w:rPr>
                <w:sz w:val="20"/>
                <w:szCs w:val="20"/>
                <w:lang w:val="en-GB"/>
              </w:rPr>
              <w:t>, a</w:t>
            </w:r>
            <w:r w:rsidRPr="008C3753">
              <w:rPr>
                <w:sz w:val="20"/>
                <w:szCs w:val="20"/>
                <w:lang w:val="en-GB"/>
              </w:rPr>
              <w:t>llowing 6 calendar days to be administered</w:t>
            </w:r>
          </w:p>
          <w:p w14:paraId="597C1461" w14:textId="77777777" w:rsidR="00A85172" w:rsidRPr="008C3753" w:rsidRDefault="00A85172" w:rsidP="0044140C">
            <w:pPr>
              <w:spacing w:after="0"/>
              <w:rPr>
                <w:sz w:val="20"/>
                <w:szCs w:val="20"/>
                <w:lang w:val="en-GB"/>
              </w:rPr>
            </w:pPr>
            <w:r w:rsidRPr="008C3753">
              <w:rPr>
                <w:sz w:val="20"/>
                <w:szCs w:val="20"/>
                <w:lang w:val="en-GB"/>
              </w:rPr>
              <w:t> </w:t>
            </w:r>
          </w:p>
          <w:p w14:paraId="0FC55EE8" w14:textId="026612D3" w:rsidR="00A85172" w:rsidRPr="008C3753" w:rsidRDefault="00A85172" w:rsidP="00DE1CDE">
            <w:pPr>
              <w:pStyle w:val="ListParagraph"/>
              <w:numPr>
                <w:ilvl w:val="0"/>
                <w:numId w:val="8"/>
              </w:numPr>
              <w:spacing w:after="0"/>
              <w:rPr>
                <w:sz w:val="20"/>
                <w:szCs w:val="20"/>
                <w:lang w:val="en-GB"/>
              </w:rPr>
            </w:pPr>
            <w:r w:rsidRPr="008C3753">
              <w:rPr>
                <w:sz w:val="20"/>
                <w:szCs w:val="20"/>
                <w:lang w:val="en-GB"/>
              </w:rPr>
              <w:t>In the 2 months prior to implementation it was piloted across a range of medical specialtie</w:t>
            </w:r>
            <w:r w:rsidR="00685B8B" w:rsidRPr="008C3753">
              <w:rPr>
                <w:sz w:val="20"/>
                <w:szCs w:val="20"/>
                <w:lang w:val="en-GB"/>
              </w:rPr>
              <w:t>s and a</w:t>
            </w:r>
            <w:r w:rsidRPr="008C3753">
              <w:rPr>
                <w:sz w:val="20"/>
                <w:szCs w:val="20"/>
                <w:lang w:val="en-GB"/>
              </w:rPr>
              <w:t>pproval for the final design (supplementary figure 3) was gained from the Trust’s DTC before implementation</w:t>
            </w:r>
          </w:p>
          <w:p w14:paraId="21D6AA6C" w14:textId="77777777" w:rsidR="00A85172" w:rsidRPr="008C3753" w:rsidRDefault="00A85172" w:rsidP="0044140C">
            <w:pPr>
              <w:spacing w:after="0"/>
              <w:rPr>
                <w:sz w:val="20"/>
                <w:szCs w:val="20"/>
                <w:lang w:val="en-GB"/>
              </w:rPr>
            </w:pPr>
            <w:r w:rsidRPr="008C3753">
              <w:rPr>
                <w:sz w:val="20"/>
                <w:szCs w:val="20"/>
                <w:lang w:val="en-GB"/>
              </w:rPr>
              <w:t> </w:t>
            </w:r>
          </w:p>
          <w:p w14:paraId="76E4D2A7" w14:textId="74F2D594" w:rsidR="00A85172" w:rsidRPr="008C3753" w:rsidRDefault="00A85172" w:rsidP="00DE1CDE">
            <w:pPr>
              <w:pStyle w:val="ListParagraph"/>
              <w:numPr>
                <w:ilvl w:val="0"/>
                <w:numId w:val="7"/>
              </w:numPr>
              <w:spacing w:after="0"/>
              <w:rPr>
                <w:sz w:val="20"/>
                <w:szCs w:val="20"/>
                <w:lang w:val="en-GB"/>
              </w:rPr>
            </w:pPr>
            <w:r w:rsidRPr="008C3753">
              <w:rPr>
                <w:sz w:val="20"/>
                <w:szCs w:val="20"/>
                <w:lang w:val="en-GB"/>
              </w:rPr>
              <w:t xml:space="preserve">During the study it was administered as an A4-size sticker placed over the existing antibiotic page of all </w:t>
            </w:r>
            <w:r w:rsidR="009F0FB8" w:rsidRPr="008C3753">
              <w:rPr>
                <w:sz w:val="20"/>
                <w:szCs w:val="20"/>
                <w:lang w:val="en-GB"/>
              </w:rPr>
              <w:t>drug chart</w:t>
            </w:r>
            <w:r w:rsidRPr="008C3753">
              <w:rPr>
                <w:sz w:val="20"/>
                <w:szCs w:val="20"/>
                <w:lang w:val="en-GB"/>
              </w:rPr>
              <w:t xml:space="preserve"> in ED and AMU</w:t>
            </w:r>
            <w:r w:rsidR="009F0FB8" w:rsidRPr="008C3753">
              <w:rPr>
                <w:sz w:val="20"/>
                <w:szCs w:val="20"/>
                <w:lang w:val="en-GB"/>
              </w:rPr>
              <w:t xml:space="preserve"> but p</w:t>
            </w:r>
            <w:r w:rsidRPr="008C3753">
              <w:rPr>
                <w:sz w:val="20"/>
                <w:szCs w:val="20"/>
                <w:lang w:val="en-GB"/>
              </w:rPr>
              <w:t>ost-implementation the DTC decided to incorporate the design permanently into the paper drug chart</w:t>
            </w:r>
          </w:p>
        </w:tc>
      </w:tr>
      <w:tr w:rsidR="00F51D2F" w:rsidRPr="008C3753" w14:paraId="188488C0" w14:textId="77777777" w:rsidTr="005432FC">
        <w:trPr>
          <w:trHeight w:val="876"/>
        </w:trPr>
        <w:tc>
          <w:tcPr>
            <w:tcW w:w="1560" w:type="dxa"/>
            <w:tcBorders>
              <w:top w:val="nil"/>
              <w:left w:val="nil"/>
              <w:bottom w:val="nil"/>
              <w:right w:val="nil"/>
            </w:tcBorders>
            <w:shd w:val="clear" w:color="auto" w:fill="F2F2F2"/>
            <w:tcMar>
              <w:top w:w="72" w:type="dxa"/>
              <w:left w:w="144" w:type="dxa"/>
              <w:bottom w:w="72" w:type="dxa"/>
              <w:right w:w="144" w:type="dxa"/>
            </w:tcMar>
            <w:hideMark/>
          </w:tcPr>
          <w:p w14:paraId="1444A4CC" w14:textId="383B2A1C" w:rsidR="00A85172" w:rsidRPr="008C3753" w:rsidRDefault="00A85172" w:rsidP="0044140C">
            <w:pPr>
              <w:spacing w:after="0"/>
              <w:rPr>
                <w:b/>
                <w:bCs/>
                <w:sz w:val="20"/>
                <w:szCs w:val="20"/>
                <w:lang w:val="en-GB"/>
              </w:rPr>
            </w:pPr>
            <w:r w:rsidRPr="008C3753">
              <w:rPr>
                <w:b/>
                <w:bCs/>
                <w:sz w:val="20"/>
                <w:szCs w:val="20"/>
                <w:lang w:val="en-GB"/>
              </w:rPr>
              <w:t>Data</w:t>
            </w:r>
            <w:r w:rsidR="005432FC" w:rsidRPr="008C3753">
              <w:rPr>
                <w:b/>
                <w:bCs/>
                <w:sz w:val="20"/>
                <w:szCs w:val="20"/>
                <w:lang w:val="en-GB"/>
              </w:rPr>
              <w:t xml:space="preserve"> </w:t>
            </w:r>
            <w:r w:rsidRPr="008C3753">
              <w:rPr>
                <w:b/>
                <w:bCs/>
                <w:sz w:val="20"/>
                <w:szCs w:val="20"/>
                <w:lang w:val="en-GB"/>
              </w:rPr>
              <w:t>collection and feedback process</w:t>
            </w:r>
          </w:p>
        </w:tc>
        <w:tc>
          <w:tcPr>
            <w:tcW w:w="7512" w:type="dxa"/>
            <w:tcBorders>
              <w:top w:val="nil"/>
              <w:left w:val="nil"/>
              <w:bottom w:val="nil"/>
              <w:right w:val="nil"/>
            </w:tcBorders>
            <w:shd w:val="clear" w:color="auto" w:fill="F2F2F2"/>
            <w:tcMar>
              <w:top w:w="72" w:type="dxa"/>
              <w:left w:w="144" w:type="dxa"/>
              <w:bottom w:w="72" w:type="dxa"/>
              <w:right w:w="144" w:type="dxa"/>
            </w:tcMar>
            <w:hideMark/>
          </w:tcPr>
          <w:p w14:paraId="03E70080" w14:textId="77777777" w:rsidR="0070525B" w:rsidRPr="008C3753" w:rsidRDefault="00C87CE4" w:rsidP="00DE1CDE">
            <w:pPr>
              <w:pStyle w:val="ListParagraph"/>
              <w:numPr>
                <w:ilvl w:val="0"/>
                <w:numId w:val="4"/>
              </w:numPr>
              <w:spacing w:after="0"/>
              <w:rPr>
                <w:sz w:val="20"/>
                <w:szCs w:val="20"/>
                <w:lang w:val="en-GB"/>
              </w:rPr>
            </w:pPr>
            <w:r w:rsidRPr="008C3753">
              <w:rPr>
                <w:sz w:val="20"/>
                <w:szCs w:val="20"/>
                <w:lang w:val="en-GB"/>
              </w:rPr>
              <w:t xml:space="preserve">Forums used included handover meetings, multidisciplinary team meetings, governance meetings, teaching sessions and informally on the wards </w:t>
            </w:r>
          </w:p>
          <w:p w14:paraId="571817D1" w14:textId="77777777" w:rsidR="0070525B" w:rsidRPr="008C3753" w:rsidRDefault="0070525B" w:rsidP="0044140C">
            <w:pPr>
              <w:pStyle w:val="ListParagraph"/>
              <w:spacing w:after="0"/>
              <w:rPr>
                <w:sz w:val="20"/>
                <w:szCs w:val="20"/>
                <w:lang w:val="en-GB"/>
              </w:rPr>
            </w:pPr>
          </w:p>
          <w:p w14:paraId="36E55F44" w14:textId="2ED25BCA" w:rsidR="00A85172" w:rsidRPr="008C3753" w:rsidRDefault="00A85172" w:rsidP="00DE1CDE">
            <w:pPr>
              <w:pStyle w:val="ListParagraph"/>
              <w:numPr>
                <w:ilvl w:val="0"/>
                <w:numId w:val="4"/>
              </w:numPr>
              <w:spacing w:after="0"/>
              <w:rPr>
                <w:sz w:val="20"/>
                <w:szCs w:val="20"/>
                <w:lang w:val="en-GB"/>
              </w:rPr>
            </w:pPr>
            <w:r w:rsidRPr="008C3753">
              <w:rPr>
                <w:sz w:val="20"/>
                <w:szCs w:val="20"/>
                <w:lang w:val="en-GB"/>
              </w:rPr>
              <w:t>To reinforce understanding of the Decision Aid a number of brief case vignettes based on current or recent inpatients were also discussed (supplementary figure 4)</w:t>
            </w:r>
          </w:p>
        </w:tc>
      </w:tr>
      <w:tr w:rsidR="00F51D2F" w:rsidRPr="008C3753" w14:paraId="1427DB20" w14:textId="77777777" w:rsidTr="005432FC">
        <w:trPr>
          <w:trHeight w:val="20"/>
        </w:trPr>
        <w:tc>
          <w:tcPr>
            <w:tcW w:w="1560" w:type="dxa"/>
            <w:tcBorders>
              <w:top w:val="nil"/>
              <w:left w:val="nil"/>
              <w:bottom w:val="single" w:sz="18" w:space="0" w:color="000000"/>
              <w:right w:val="nil"/>
            </w:tcBorders>
            <w:shd w:val="clear" w:color="auto" w:fill="FFFFFF"/>
            <w:tcMar>
              <w:top w:w="72" w:type="dxa"/>
              <w:left w:w="144" w:type="dxa"/>
              <w:bottom w:w="72" w:type="dxa"/>
              <w:right w:w="144" w:type="dxa"/>
            </w:tcMar>
            <w:hideMark/>
          </w:tcPr>
          <w:p w14:paraId="2F7EE772" w14:textId="77777777" w:rsidR="00A85172" w:rsidRPr="008C3753" w:rsidRDefault="00A85172" w:rsidP="0044140C">
            <w:pPr>
              <w:spacing w:after="0"/>
              <w:rPr>
                <w:b/>
                <w:bCs/>
                <w:sz w:val="20"/>
                <w:szCs w:val="20"/>
                <w:lang w:val="en-GB"/>
              </w:rPr>
            </w:pPr>
            <w:r w:rsidRPr="008C3753">
              <w:rPr>
                <w:b/>
                <w:bCs/>
                <w:sz w:val="20"/>
                <w:szCs w:val="20"/>
                <w:lang w:val="en-GB"/>
              </w:rPr>
              <w:t>Patient leaflet</w:t>
            </w:r>
          </w:p>
        </w:tc>
        <w:tc>
          <w:tcPr>
            <w:tcW w:w="7512" w:type="dxa"/>
            <w:tcBorders>
              <w:top w:val="nil"/>
              <w:left w:val="nil"/>
              <w:bottom w:val="single" w:sz="18" w:space="0" w:color="000000"/>
              <w:right w:val="nil"/>
            </w:tcBorders>
            <w:shd w:val="clear" w:color="auto" w:fill="FFFFFF"/>
            <w:tcMar>
              <w:top w:w="72" w:type="dxa"/>
              <w:left w:w="144" w:type="dxa"/>
              <w:bottom w:w="72" w:type="dxa"/>
              <w:right w:w="144" w:type="dxa"/>
            </w:tcMar>
            <w:hideMark/>
          </w:tcPr>
          <w:p w14:paraId="290A835B" w14:textId="77BC6505" w:rsidR="0070525B" w:rsidRPr="008C3753" w:rsidRDefault="00A85172" w:rsidP="00DE1CDE">
            <w:pPr>
              <w:pStyle w:val="ListParagraph"/>
              <w:numPr>
                <w:ilvl w:val="0"/>
                <w:numId w:val="5"/>
              </w:numPr>
              <w:spacing w:after="0"/>
              <w:rPr>
                <w:sz w:val="20"/>
                <w:szCs w:val="20"/>
                <w:lang w:val="en-GB"/>
              </w:rPr>
            </w:pPr>
            <w:r w:rsidRPr="008C3753">
              <w:rPr>
                <w:sz w:val="20"/>
                <w:szCs w:val="20"/>
                <w:lang w:val="en-GB"/>
              </w:rPr>
              <w:t>Approved by the Trust’s DTC</w:t>
            </w:r>
            <w:r w:rsidR="00046F71" w:rsidRPr="008C3753">
              <w:rPr>
                <w:sz w:val="20"/>
                <w:szCs w:val="20"/>
                <w:lang w:val="en-GB"/>
              </w:rPr>
              <w:t xml:space="preserve"> with </w:t>
            </w:r>
            <w:r w:rsidR="003C4871" w:rsidRPr="008C3753">
              <w:rPr>
                <w:sz w:val="20"/>
                <w:szCs w:val="20"/>
                <w:lang w:val="en-GB"/>
              </w:rPr>
              <w:t xml:space="preserve">the </w:t>
            </w:r>
            <w:r w:rsidRPr="008C3753">
              <w:rPr>
                <w:sz w:val="20"/>
                <w:szCs w:val="20"/>
                <w:lang w:val="en-GB"/>
              </w:rPr>
              <w:t>add</w:t>
            </w:r>
            <w:r w:rsidR="00046F71" w:rsidRPr="008C3753">
              <w:rPr>
                <w:sz w:val="20"/>
                <w:szCs w:val="20"/>
                <w:lang w:val="en-GB"/>
              </w:rPr>
              <w:t>ition of</w:t>
            </w:r>
            <w:r w:rsidRPr="008C3753">
              <w:rPr>
                <w:sz w:val="20"/>
                <w:szCs w:val="20"/>
                <w:lang w:val="en-GB"/>
              </w:rPr>
              <w:t xml:space="preserve"> local contact details and the Trust’s logo</w:t>
            </w:r>
          </w:p>
          <w:p w14:paraId="38916516" w14:textId="77777777" w:rsidR="0070525B" w:rsidRPr="008C3753" w:rsidRDefault="0070525B" w:rsidP="0044140C">
            <w:pPr>
              <w:spacing w:after="0"/>
              <w:rPr>
                <w:sz w:val="20"/>
                <w:szCs w:val="20"/>
                <w:lang w:val="en-GB"/>
              </w:rPr>
            </w:pPr>
          </w:p>
          <w:p w14:paraId="73D77AAA" w14:textId="77777777" w:rsidR="0070525B" w:rsidRPr="008C3753" w:rsidRDefault="00A85172" w:rsidP="00DE1CDE">
            <w:pPr>
              <w:pStyle w:val="ListParagraph"/>
              <w:numPr>
                <w:ilvl w:val="0"/>
                <w:numId w:val="5"/>
              </w:numPr>
              <w:spacing w:after="0"/>
              <w:rPr>
                <w:sz w:val="20"/>
                <w:szCs w:val="20"/>
                <w:lang w:val="en-GB"/>
              </w:rPr>
            </w:pPr>
            <w:r w:rsidRPr="008C3753">
              <w:rPr>
                <w:sz w:val="20"/>
                <w:szCs w:val="20"/>
                <w:lang w:val="en-GB"/>
              </w:rPr>
              <w:t>Printed copies available in the AMU’s doctors’ office, ward bays and clinical room</w:t>
            </w:r>
          </w:p>
          <w:p w14:paraId="37E6A1B7" w14:textId="77777777" w:rsidR="0070525B" w:rsidRPr="008C3753" w:rsidRDefault="0070525B" w:rsidP="0044140C">
            <w:pPr>
              <w:pStyle w:val="ListParagraph"/>
              <w:spacing w:after="0"/>
              <w:ind w:left="360"/>
              <w:rPr>
                <w:sz w:val="20"/>
                <w:szCs w:val="20"/>
                <w:lang w:val="en-GB"/>
              </w:rPr>
            </w:pPr>
          </w:p>
          <w:p w14:paraId="23EE9DC9" w14:textId="5E4A05D1" w:rsidR="00A85172" w:rsidRPr="008C3753" w:rsidRDefault="003C4871" w:rsidP="00DE1CDE">
            <w:pPr>
              <w:pStyle w:val="ListParagraph"/>
              <w:numPr>
                <w:ilvl w:val="0"/>
                <w:numId w:val="5"/>
              </w:numPr>
              <w:spacing w:after="0"/>
              <w:rPr>
                <w:sz w:val="20"/>
                <w:szCs w:val="20"/>
                <w:lang w:val="en-GB"/>
              </w:rPr>
            </w:pPr>
            <w:r w:rsidRPr="008C3753">
              <w:rPr>
                <w:sz w:val="20"/>
                <w:szCs w:val="20"/>
                <w:lang w:val="en-GB"/>
              </w:rPr>
              <w:t>H</w:t>
            </w:r>
            <w:r w:rsidR="00046F71" w:rsidRPr="008C3753">
              <w:rPr>
                <w:sz w:val="20"/>
                <w:szCs w:val="20"/>
                <w:lang w:val="en-GB"/>
              </w:rPr>
              <w:t>ealthcare professionals were encouraged</w:t>
            </w:r>
            <w:r w:rsidRPr="008C3753">
              <w:rPr>
                <w:sz w:val="20"/>
                <w:szCs w:val="20"/>
                <w:lang w:val="en-GB"/>
              </w:rPr>
              <w:t xml:space="preserve"> through the online tool, posters, email and feedback sessions, </w:t>
            </w:r>
            <w:r w:rsidR="00A85172" w:rsidRPr="008C3753">
              <w:rPr>
                <w:sz w:val="20"/>
                <w:szCs w:val="20"/>
                <w:lang w:val="en-GB"/>
              </w:rPr>
              <w:t>to give all patients who were prescribed antibiotics the leaflet</w:t>
            </w:r>
          </w:p>
        </w:tc>
      </w:tr>
    </w:tbl>
    <w:p w14:paraId="49A555B8" w14:textId="023F5456" w:rsidR="00B85C04" w:rsidRPr="008C3753" w:rsidRDefault="00B85C04" w:rsidP="00BB14A9">
      <w:pPr>
        <w:spacing w:after="0" w:line="480" w:lineRule="auto"/>
        <w:rPr>
          <w:lang w:val="en-GB"/>
        </w:rPr>
      </w:pPr>
    </w:p>
    <w:p w14:paraId="5293146C" w14:textId="77777777" w:rsidR="00B85C04" w:rsidRPr="008C3753" w:rsidRDefault="00B85C04">
      <w:pPr>
        <w:spacing w:after="0"/>
        <w:rPr>
          <w:lang w:val="en-GB"/>
        </w:rPr>
      </w:pPr>
      <w:r w:rsidRPr="008C3753">
        <w:rPr>
          <w:lang w:val="en-GB"/>
        </w:rPr>
        <w:br w:type="page"/>
      </w:r>
    </w:p>
    <w:p w14:paraId="1E3BB788" w14:textId="7D75ABF7" w:rsidR="00B85C04" w:rsidRPr="008C3753" w:rsidRDefault="00B85C04" w:rsidP="00B85C04">
      <w:pPr>
        <w:pStyle w:val="Heading1"/>
        <w:spacing w:before="0" w:after="0" w:line="480" w:lineRule="auto"/>
        <w:jc w:val="both"/>
        <w:rPr>
          <w:rFonts w:asciiTheme="minorHAnsi" w:hAnsiTheme="minorHAnsi" w:cstheme="minorHAnsi"/>
          <w:sz w:val="24"/>
          <w:szCs w:val="24"/>
        </w:rPr>
      </w:pPr>
      <w:r w:rsidRPr="008C3753">
        <w:rPr>
          <w:rFonts w:asciiTheme="minorHAnsi" w:hAnsiTheme="minorHAnsi" w:cstheme="minorHAnsi"/>
          <w:sz w:val="24"/>
          <w:szCs w:val="24"/>
        </w:rPr>
        <w:lastRenderedPageBreak/>
        <w:t>Acknowledgements</w:t>
      </w:r>
    </w:p>
    <w:p w14:paraId="73FCA875" w14:textId="77777777" w:rsidR="00B85C04" w:rsidRPr="008C3753" w:rsidRDefault="00B85C04" w:rsidP="00B85C04">
      <w:pPr>
        <w:spacing w:after="0" w:line="480" w:lineRule="auto"/>
        <w:jc w:val="both"/>
        <w:rPr>
          <w:rFonts w:cstheme="minorHAnsi"/>
          <w:lang w:val="en-GB"/>
        </w:rPr>
      </w:pPr>
      <w:r w:rsidRPr="008C3753">
        <w:rPr>
          <w:rFonts w:cstheme="minorHAnsi"/>
          <w:lang w:val="en-GB"/>
        </w:rPr>
        <w:t>The following presentations have been made about ARK:</w:t>
      </w:r>
    </w:p>
    <w:p w14:paraId="3ED7785B" w14:textId="77777777" w:rsidR="00B85C04" w:rsidRPr="008C3753" w:rsidRDefault="00B85C04" w:rsidP="00DE1CDE">
      <w:pPr>
        <w:pStyle w:val="ListParagraph"/>
        <w:numPr>
          <w:ilvl w:val="0"/>
          <w:numId w:val="1"/>
        </w:numPr>
        <w:spacing w:after="0" w:line="480" w:lineRule="auto"/>
        <w:jc w:val="both"/>
        <w:rPr>
          <w:rFonts w:cstheme="minorHAnsi"/>
          <w:lang w:val="en-GB"/>
        </w:rPr>
      </w:pPr>
      <w:proofErr w:type="spellStart"/>
      <w:r w:rsidRPr="008C3753">
        <w:rPr>
          <w:rFonts w:cstheme="minorHAnsi"/>
          <w:lang w:val="en-GB"/>
        </w:rPr>
        <w:t>Sivyer</w:t>
      </w:r>
      <w:proofErr w:type="spellEnd"/>
      <w:r w:rsidRPr="008C3753">
        <w:rPr>
          <w:rFonts w:cstheme="minorHAnsi"/>
          <w:lang w:val="en-GB"/>
        </w:rPr>
        <w:t xml:space="preserve">, K., </w:t>
      </w:r>
      <w:proofErr w:type="spellStart"/>
      <w:r w:rsidRPr="008C3753">
        <w:rPr>
          <w:rFonts w:cstheme="minorHAnsi"/>
          <w:lang w:val="en-GB"/>
        </w:rPr>
        <w:t>Santillo</w:t>
      </w:r>
      <w:proofErr w:type="spellEnd"/>
      <w:r w:rsidRPr="008C3753">
        <w:rPr>
          <w:rFonts w:cstheme="minorHAnsi"/>
          <w:lang w:val="en-GB"/>
        </w:rPr>
        <w:t xml:space="preserve">, M, </w:t>
      </w:r>
      <w:proofErr w:type="spellStart"/>
      <w:r w:rsidRPr="008C3753">
        <w:rPr>
          <w:rFonts w:cstheme="minorHAnsi"/>
          <w:lang w:val="en-GB"/>
        </w:rPr>
        <w:t>Krusche</w:t>
      </w:r>
      <w:proofErr w:type="spellEnd"/>
      <w:r w:rsidRPr="008C3753">
        <w:rPr>
          <w:rFonts w:cstheme="minorHAnsi"/>
          <w:lang w:val="en-GB"/>
        </w:rPr>
        <w:t xml:space="preserve">, A., Mowbray, F., Cross, E., Islam, J., </w:t>
      </w:r>
      <w:proofErr w:type="spellStart"/>
      <w:r w:rsidRPr="008C3753">
        <w:rPr>
          <w:rFonts w:cstheme="minorHAnsi"/>
          <w:lang w:val="en-GB"/>
        </w:rPr>
        <w:t>Peto</w:t>
      </w:r>
      <w:proofErr w:type="spellEnd"/>
      <w:r w:rsidRPr="008C3753">
        <w:rPr>
          <w:rFonts w:cstheme="minorHAnsi"/>
          <w:lang w:val="en-GB"/>
        </w:rPr>
        <w:t>, T.E.A., Walker, A.S., Llewelyn, M.J. &amp; Yardley, L. (2018, August). Optimising implementation of the ARK (Antibiotic Review Kit) Intervention: Addressing antibiotic overuse in hospitals. Poster presentation at the European Health Psychology Society Conference, Galway, Republic of Ireland.</w:t>
      </w:r>
    </w:p>
    <w:p w14:paraId="6B310B9B" w14:textId="77777777" w:rsidR="00B85C04" w:rsidRPr="008C3753" w:rsidRDefault="00B85C04" w:rsidP="00DE1CDE">
      <w:pPr>
        <w:pStyle w:val="ListParagraph"/>
        <w:numPr>
          <w:ilvl w:val="0"/>
          <w:numId w:val="1"/>
        </w:numPr>
        <w:spacing w:after="0" w:line="480" w:lineRule="auto"/>
        <w:jc w:val="both"/>
        <w:rPr>
          <w:rFonts w:cstheme="minorHAnsi"/>
          <w:lang w:val="en-GB"/>
        </w:rPr>
      </w:pPr>
      <w:r w:rsidRPr="008C3753">
        <w:rPr>
          <w:rFonts w:cstheme="minorHAnsi"/>
          <w:lang w:val="en-GB"/>
        </w:rPr>
        <w:t xml:space="preserve">Cross, E., Islam, J., Mowbray, F., </w:t>
      </w:r>
      <w:proofErr w:type="spellStart"/>
      <w:r w:rsidRPr="008C3753">
        <w:rPr>
          <w:rFonts w:cstheme="minorHAnsi"/>
          <w:lang w:val="en-GB"/>
        </w:rPr>
        <w:t>Peto</w:t>
      </w:r>
      <w:proofErr w:type="spellEnd"/>
      <w:r w:rsidRPr="008C3753">
        <w:rPr>
          <w:rFonts w:cstheme="minorHAnsi"/>
          <w:lang w:val="en-GB"/>
        </w:rPr>
        <w:t xml:space="preserve">, T.E.A., </w:t>
      </w:r>
      <w:proofErr w:type="spellStart"/>
      <w:r w:rsidRPr="008C3753">
        <w:rPr>
          <w:rFonts w:cstheme="minorHAnsi"/>
          <w:lang w:val="en-GB"/>
        </w:rPr>
        <w:t>Santillo</w:t>
      </w:r>
      <w:proofErr w:type="spellEnd"/>
      <w:r w:rsidRPr="008C3753">
        <w:rPr>
          <w:rFonts w:cstheme="minorHAnsi"/>
          <w:lang w:val="en-GB"/>
        </w:rPr>
        <w:t xml:space="preserve">, M, </w:t>
      </w:r>
      <w:proofErr w:type="spellStart"/>
      <w:r w:rsidRPr="008C3753">
        <w:rPr>
          <w:rFonts w:cstheme="minorHAnsi"/>
          <w:lang w:val="en-GB"/>
        </w:rPr>
        <w:t>Sivyer</w:t>
      </w:r>
      <w:proofErr w:type="spellEnd"/>
      <w:r w:rsidRPr="008C3753">
        <w:rPr>
          <w:rFonts w:cstheme="minorHAnsi"/>
          <w:lang w:val="en-GB"/>
        </w:rPr>
        <w:t>, K., Walker, A.S., Yardley, L. &amp; Llewelyn, M.J. (2018, May). Antibiotic Review Kit – Hospital (ARK-Hospital). Oral presentation at British Infection Association Spring Scientific Meeting, London.</w:t>
      </w:r>
    </w:p>
    <w:p w14:paraId="53971D43" w14:textId="77777777" w:rsidR="00B85C04" w:rsidRPr="008C3753" w:rsidRDefault="00B85C04" w:rsidP="00DE1CDE">
      <w:pPr>
        <w:pStyle w:val="ListParagraph"/>
        <w:numPr>
          <w:ilvl w:val="0"/>
          <w:numId w:val="1"/>
        </w:numPr>
        <w:spacing w:after="0" w:line="480" w:lineRule="auto"/>
        <w:jc w:val="both"/>
        <w:rPr>
          <w:rFonts w:cstheme="minorHAnsi"/>
          <w:lang w:val="en-GB"/>
        </w:rPr>
      </w:pPr>
      <w:r w:rsidRPr="008C3753">
        <w:rPr>
          <w:rFonts w:cstheme="minorHAnsi"/>
          <w:lang w:val="en-GB"/>
        </w:rPr>
        <w:t xml:space="preserve">Cross, E., Islam, J., Mowbray, F., </w:t>
      </w:r>
      <w:proofErr w:type="spellStart"/>
      <w:r w:rsidRPr="008C3753">
        <w:rPr>
          <w:rFonts w:cstheme="minorHAnsi"/>
          <w:lang w:val="en-GB"/>
        </w:rPr>
        <w:t>Peto</w:t>
      </w:r>
      <w:proofErr w:type="spellEnd"/>
      <w:r w:rsidRPr="008C3753">
        <w:rPr>
          <w:rFonts w:cstheme="minorHAnsi"/>
          <w:lang w:val="en-GB"/>
        </w:rPr>
        <w:t xml:space="preserve">, T.E.A., </w:t>
      </w:r>
      <w:proofErr w:type="spellStart"/>
      <w:r w:rsidRPr="008C3753">
        <w:rPr>
          <w:rFonts w:cstheme="minorHAnsi"/>
          <w:lang w:val="en-GB"/>
        </w:rPr>
        <w:t>Santillo</w:t>
      </w:r>
      <w:proofErr w:type="spellEnd"/>
      <w:r w:rsidRPr="008C3753">
        <w:rPr>
          <w:rFonts w:cstheme="minorHAnsi"/>
          <w:lang w:val="en-GB"/>
        </w:rPr>
        <w:t xml:space="preserve">, M, </w:t>
      </w:r>
      <w:proofErr w:type="spellStart"/>
      <w:r w:rsidRPr="008C3753">
        <w:rPr>
          <w:rFonts w:cstheme="minorHAnsi"/>
          <w:lang w:val="en-GB"/>
        </w:rPr>
        <w:t>Sivyer</w:t>
      </w:r>
      <w:proofErr w:type="spellEnd"/>
      <w:r w:rsidRPr="008C3753">
        <w:rPr>
          <w:rFonts w:cstheme="minorHAnsi"/>
          <w:lang w:val="en-GB"/>
        </w:rPr>
        <w:t>, K., Walker, A.S., Yardley, L. &amp; Llewelyn, M.J. (2017, November). Feasibility of a complex behaviour change intervention in secondary care to safely and substantially reduce antibiotic use. Oral presentation at Federation of Infection Societies Meeting, Birmingham.</w:t>
      </w:r>
    </w:p>
    <w:p w14:paraId="674A792A" w14:textId="77777777" w:rsidR="00B85C04" w:rsidRPr="008C3753" w:rsidRDefault="00B85C04" w:rsidP="00B85C04">
      <w:pPr>
        <w:pStyle w:val="ListParagraph"/>
        <w:spacing w:after="0" w:line="480" w:lineRule="auto"/>
        <w:ind w:left="360"/>
        <w:jc w:val="both"/>
        <w:rPr>
          <w:rFonts w:cstheme="minorHAnsi"/>
          <w:lang w:val="en-GB"/>
        </w:rPr>
      </w:pPr>
    </w:p>
    <w:p w14:paraId="2F173AB1" w14:textId="77777777" w:rsidR="00B85C04" w:rsidRPr="008C3753" w:rsidRDefault="00B85C04" w:rsidP="00B85C04">
      <w:pPr>
        <w:pStyle w:val="Heading1"/>
        <w:spacing w:before="0" w:after="0" w:line="480" w:lineRule="auto"/>
        <w:jc w:val="both"/>
        <w:rPr>
          <w:rFonts w:asciiTheme="minorHAnsi" w:hAnsiTheme="minorHAnsi" w:cstheme="minorHAnsi"/>
          <w:sz w:val="24"/>
          <w:szCs w:val="24"/>
        </w:rPr>
      </w:pPr>
      <w:r w:rsidRPr="008C3753">
        <w:rPr>
          <w:rFonts w:asciiTheme="minorHAnsi" w:hAnsiTheme="minorHAnsi" w:cstheme="minorHAnsi"/>
          <w:sz w:val="24"/>
          <w:szCs w:val="24"/>
        </w:rPr>
        <w:t>Conflicts of interest</w:t>
      </w:r>
    </w:p>
    <w:p w14:paraId="29336A80" w14:textId="1FB12CB8" w:rsidR="00B85C04" w:rsidRPr="008C3753" w:rsidRDefault="00B85C04" w:rsidP="00B85C04">
      <w:pPr>
        <w:spacing w:after="0" w:line="480" w:lineRule="auto"/>
        <w:jc w:val="both"/>
        <w:rPr>
          <w:rFonts w:cstheme="minorHAnsi"/>
          <w:lang w:val="en-GB"/>
        </w:rPr>
      </w:pPr>
      <w:r w:rsidRPr="008C3753">
        <w:rPr>
          <w:rFonts w:cstheme="minorHAnsi"/>
          <w:lang w:val="en-GB"/>
        </w:rPr>
        <w:t>None to declare. TP, SW, LY and ML designed the study and obtained funding. EC, KS, JI, MS, and FM were responsible for collecting and analy</w:t>
      </w:r>
      <w:r w:rsidR="00FF606B" w:rsidRPr="008C3753">
        <w:rPr>
          <w:rFonts w:cstheme="minorHAnsi"/>
          <w:lang w:val="en-GB"/>
        </w:rPr>
        <w:t>s</w:t>
      </w:r>
      <w:r w:rsidRPr="008C3753">
        <w:rPr>
          <w:rFonts w:cstheme="minorHAnsi"/>
          <w:lang w:val="en-GB"/>
        </w:rPr>
        <w:t>ing the data, under the guidance of ML and LY, working closely with the other co-authors. EC and KS were responsible for drafting the manuscript, with support from ML and input from the other co-authors. All authors critically reviewed and approved the final manuscript.</w:t>
      </w:r>
    </w:p>
    <w:p w14:paraId="34896DF1" w14:textId="77777777" w:rsidR="00B85C04" w:rsidRPr="008C3753" w:rsidRDefault="00B85C04" w:rsidP="00B85C04">
      <w:pPr>
        <w:spacing w:after="0" w:line="480" w:lineRule="auto"/>
        <w:jc w:val="both"/>
        <w:rPr>
          <w:lang w:val="en-GB"/>
        </w:rPr>
      </w:pPr>
    </w:p>
    <w:p w14:paraId="174B8E4B" w14:textId="77777777" w:rsidR="00B85C04" w:rsidRPr="008C3753" w:rsidRDefault="00B85C04" w:rsidP="00B85C04">
      <w:pPr>
        <w:pStyle w:val="Heading1"/>
        <w:spacing w:before="0" w:after="0" w:line="480" w:lineRule="auto"/>
        <w:jc w:val="both"/>
        <w:rPr>
          <w:rFonts w:asciiTheme="minorHAnsi" w:hAnsiTheme="minorHAnsi" w:cstheme="minorHAnsi"/>
          <w:sz w:val="24"/>
          <w:szCs w:val="24"/>
        </w:rPr>
      </w:pPr>
      <w:r w:rsidRPr="008C3753">
        <w:rPr>
          <w:rFonts w:asciiTheme="minorHAnsi" w:hAnsiTheme="minorHAnsi" w:cstheme="minorHAnsi"/>
          <w:sz w:val="24"/>
          <w:szCs w:val="24"/>
        </w:rPr>
        <w:lastRenderedPageBreak/>
        <w:t>Funding</w:t>
      </w:r>
    </w:p>
    <w:p w14:paraId="489EA19F" w14:textId="4973DA16" w:rsidR="00B85C04" w:rsidRPr="00C76FB9" w:rsidRDefault="00EC7C69" w:rsidP="00B85C04">
      <w:pPr>
        <w:spacing w:after="0" w:line="480" w:lineRule="auto"/>
        <w:jc w:val="both"/>
        <w:rPr>
          <w:rFonts w:cstheme="minorHAnsi"/>
          <w:iCs/>
          <w:lang w:val="en-GB"/>
        </w:rPr>
      </w:pPr>
      <w:r w:rsidRPr="008C3753">
        <w:rPr>
          <w:rFonts w:cstheme="minorHAnsi"/>
          <w:iCs/>
          <w:lang w:val="en-GB"/>
        </w:rPr>
        <w:t xml:space="preserve">This report is independent research funded by the National Institute for Health Research (Programme Grants for Applied Research, Antibiotic Reduction and Conservation in Hospitals (ARK-Hospital), RP-PG-0514-20015). The views expressed in this publication are those of the author(s) and not necessarily those of the National Health Service, the National Institute for Health Research or the Department of Health. </w:t>
      </w:r>
      <w:r w:rsidR="00B85C04" w:rsidRPr="008C3753">
        <w:rPr>
          <w:rFonts w:cstheme="minorHAnsi"/>
          <w:iCs/>
          <w:lang w:val="en-GB"/>
        </w:rPr>
        <w:t xml:space="preserve">ASW is supported by the NIHR Biomedical Research Centre, Oxford. The ARK online tool was developed using </w:t>
      </w:r>
      <w:proofErr w:type="spellStart"/>
      <w:r w:rsidR="00B85C04" w:rsidRPr="008C3753">
        <w:rPr>
          <w:rFonts w:cstheme="minorHAnsi"/>
          <w:iCs/>
          <w:lang w:val="en-GB"/>
        </w:rPr>
        <w:t>LifeGuide</w:t>
      </w:r>
      <w:proofErr w:type="spellEnd"/>
      <w:r w:rsidR="00B85C04" w:rsidRPr="008C3753">
        <w:rPr>
          <w:rFonts w:cstheme="minorHAnsi"/>
          <w:iCs/>
          <w:lang w:val="en-GB"/>
        </w:rPr>
        <w:t xml:space="preserve">, which is funded by the </w:t>
      </w:r>
      <w:r w:rsidR="00B85C04" w:rsidRPr="008C3753">
        <w:rPr>
          <w:rFonts w:cstheme="minorHAnsi"/>
          <w:lang w:val="en-GB"/>
        </w:rPr>
        <w:t>NIHR Biomedical Research Centre (BRC), Southampton.</w:t>
      </w:r>
      <w:bookmarkStart w:id="0" w:name="_GoBack"/>
      <w:bookmarkEnd w:id="0"/>
    </w:p>
    <w:p w14:paraId="48E487EC" w14:textId="77777777" w:rsidR="00B85C04" w:rsidRPr="00C76FB9" w:rsidRDefault="00B85C04" w:rsidP="00BB14A9">
      <w:pPr>
        <w:spacing w:after="0" w:line="480" w:lineRule="auto"/>
        <w:rPr>
          <w:lang w:val="en-GB"/>
        </w:rPr>
      </w:pPr>
    </w:p>
    <w:sectPr w:rsidR="00B85C04" w:rsidRPr="00C76FB9" w:rsidSect="00F51D2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06686" w14:textId="77777777" w:rsidR="00255AD9" w:rsidRDefault="00255AD9" w:rsidP="001477E4">
      <w:pPr>
        <w:spacing w:after="0"/>
      </w:pPr>
      <w:r>
        <w:separator/>
      </w:r>
    </w:p>
  </w:endnote>
  <w:endnote w:type="continuationSeparator" w:id="0">
    <w:p w14:paraId="724C936E" w14:textId="77777777" w:rsidR="00255AD9" w:rsidRDefault="00255AD9" w:rsidP="001477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6858165"/>
      <w:docPartObj>
        <w:docPartGallery w:val="Page Numbers (Bottom of Page)"/>
        <w:docPartUnique/>
      </w:docPartObj>
    </w:sdtPr>
    <w:sdtEndPr>
      <w:rPr>
        <w:rStyle w:val="PageNumber"/>
      </w:rPr>
    </w:sdtEndPr>
    <w:sdtContent>
      <w:p w14:paraId="258DEA4E" w14:textId="6AA385D3" w:rsidR="002A0B3C" w:rsidRDefault="002A0B3C" w:rsidP="008967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F2615D" w14:textId="77777777" w:rsidR="002A0B3C" w:rsidRDefault="002A0B3C" w:rsidP="000048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1231321"/>
      <w:docPartObj>
        <w:docPartGallery w:val="Page Numbers (Bottom of Page)"/>
        <w:docPartUnique/>
      </w:docPartObj>
    </w:sdtPr>
    <w:sdtEndPr>
      <w:rPr>
        <w:rStyle w:val="PageNumber"/>
      </w:rPr>
    </w:sdtEndPr>
    <w:sdtContent>
      <w:p w14:paraId="038CFF64" w14:textId="6CD57F86" w:rsidR="002A0B3C" w:rsidRDefault="002A0B3C" w:rsidP="008967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193E11" w14:textId="00CEC5A6" w:rsidR="002A0B3C" w:rsidRDefault="002A0B3C" w:rsidP="00004865">
    <w:pPr>
      <w:pStyle w:val="Footer"/>
      <w:ind w:right="360"/>
      <w:jc w:val="right"/>
    </w:pPr>
  </w:p>
  <w:p w14:paraId="4E2BC194" w14:textId="77777777" w:rsidR="002A0B3C" w:rsidRDefault="002A0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68B5C" w14:textId="77777777" w:rsidR="00255AD9" w:rsidRDefault="00255AD9" w:rsidP="001477E4">
      <w:pPr>
        <w:spacing w:after="0"/>
      </w:pPr>
      <w:r>
        <w:separator/>
      </w:r>
    </w:p>
  </w:footnote>
  <w:footnote w:type="continuationSeparator" w:id="0">
    <w:p w14:paraId="5D96042E" w14:textId="77777777" w:rsidR="00255AD9" w:rsidRDefault="00255AD9" w:rsidP="001477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2E8"/>
    <w:multiLevelType w:val="hybridMultilevel"/>
    <w:tmpl w:val="52DC5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7E4AD7"/>
    <w:multiLevelType w:val="hybridMultilevel"/>
    <w:tmpl w:val="1CC89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E37887"/>
    <w:multiLevelType w:val="hybridMultilevel"/>
    <w:tmpl w:val="518E0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5D619C"/>
    <w:multiLevelType w:val="hybridMultilevel"/>
    <w:tmpl w:val="D3087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87C2C0D"/>
    <w:multiLevelType w:val="hybridMultilevel"/>
    <w:tmpl w:val="7638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E14FE"/>
    <w:multiLevelType w:val="hybridMultilevel"/>
    <w:tmpl w:val="023C0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8A14BC"/>
    <w:multiLevelType w:val="hybridMultilevel"/>
    <w:tmpl w:val="F96652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6A885F78">
      <w:start w:val="5"/>
      <w:numFmt w:val="bullet"/>
      <w:lvlText w:val="-"/>
      <w:lvlJc w:val="left"/>
      <w:pPr>
        <w:ind w:left="1800" w:hanging="360"/>
      </w:pPr>
      <w:rPr>
        <w:rFonts w:ascii="Calibri" w:eastAsiaTheme="minorHAnsi" w:hAnsi="Calibri" w:cstheme="minorBid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7C91CB1"/>
    <w:multiLevelType w:val="hybridMultilevel"/>
    <w:tmpl w:val="0BC02E50"/>
    <w:lvl w:ilvl="0" w:tplc="649C40F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3E00DF"/>
    <w:multiLevelType w:val="hybridMultilevel"/>
    <w:tmpl w:val="F69C4A50"/>
    <w:lvl w:ilvl="0" w:tplc="683671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2"/>
  </w:num>
  <w:num w:numId="5">
    <w:abstractNumId w:val="5"/>
  </w:num>
  <w:num w:numId="6">
    <w:abstractNumId w:val="0"/>
  </w:num>
  <w:num w:numId="7">
    <w:abstractNumId w:val="3"/>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a5e5tx799e5xedvt05a0ehp292vprd225w&quot;&gt;Hard Stops&lt;record-ids&gt;&lt;item&gt;1&lt;/item&gt;&lt;item&gt;6&lt;/item&gt;&lt;item&gt;7&lt;/item&gt;&lt;item&gt;19&lt;/item&gt;&lt;item&gt;20&lt;/item&gt;&lt;item&gt;21&lt;/item&gt;&lt;item&gt;22&lt;/item&gt;&lt;item&gt;23&lt;/item&gt;&lt;item&gt;25&lt;/item&gt;&lt;/record-ids&gt;&lt;/item&gt;&lt;item db-id=&quot;z5werfpwtsatavefvr0vza23sspept5asw0v&quot;&gt;CASE&lt;record-ids&gt;&lt;item&gt;10&lt;/item&gt;&lt;item&gt;46&lt;/item&gt;&lt;item&gt;47&lt;/item&gt;&lt;item&gt;48&lt;/item&gt;&lt;/record-ids&gt;&lt;/item&gt;&lt;/Libraries&gt;"/>
  </w:docVars>
  <w:rsids>
    <w:rsidRoot w:val="009E2577"/>
    <w:rsid w:val="0000185D"/>
    <w:rsid w:val="0000444A"/>
    <w:rsid w:val="00004865"/>
    <w:rsid w:val="000049A0"/>
    <w:rsid w:val="000052F3"/>
    <w:rsid w:val="00005DA7"/>
    <w:rsid w:val="0000670B"/>
    <w:rsid w:val="00012E79"/>
    <w:rsid w:val="00016E77"/>
    <w:rsid w:val="0001712E"/>
    <w:rsid w:val="00017449"/>
    <w:rsid w:val="000205D8"/>
    <w:rsid w:val="00021383"/>
    <w:rsid w:val="00021C5B"/>
    <w:rsid w:val="00022D5C"/>
    <w:rsid w:val="000236E4"/>
    <w:rsid w:val="00024D1C"/>
    <w:rsid w:val="0002545C"/>
    <w:rsid w:val="00025C92"/>
    <w:rsid w:val="0003040C"/>
    <w:rsid w:val="0003318B"/>
    <w:rsid w:val="000334BB"/>
    <w:rsid w:val="00034880"/>
    <w:rsid w:val="000408BC"/>
    <w:rsid w:val="00042BB3"/>
    <w:rsid w:val="00043E78"/>
    <w:rsid w:val="0004425A"/>
    <w:rsid w:val="00044AA5"/>
    <w:rsid w:val="00044BB6"/>
    <w:rsid w:val="00045EF9"/>
    <w:rsid w:val="00046F71"/>
    <w:rsid w:val="00047520"/>
    <w:rsid w:val="00047BFB"/>
    <w:rsid w:val="00051CFD"/>
    <w:rsid w:val="00054238"/>
    <w:rsid w:val="000545A9"/>
    <w:rsid w:val="000608E1"/>
    <w:rsid w:val="00060A0C"/>
    <w:rsid w:val="000610E6"/>
    <w:rsid w:val="00063976"/>
    <w:rsid w:val="00067951"/>
    <w:rsid w:val="00071222"/>
    <w:rsid w:val="00071FFA"/>
    <w:rsid w:val="00072D22"/>
    <w:rsid w:val="00073289"/>
    <w:rsid w:val="0007507F"/>
    <w:rsid w:val="00075E96"/>
    <w:rsid w:val="00076429"/>
    <w:rsid w:val="000807C7"/>
    <w:rsid w:val="000809CF"/>
    <w:rsid w:val="000826BB"/>
    <w:rsid w:val="00082761"/>
    <w:rsid w:val="000854F2"/>
    <w:rsid w:val="000869CB"/>
    <w:rsid w:val="00087D86"/>
    <w:rsid w:val="00090206"/>
    <w:rsid w:val="00091AA5"/>
    <w:rsid w:val="00093EE8"/>
    <w:rsid w:val="00094C6C"/>
    <w:rsid w:val="000964E7"/>
    <w:rsid w:val="000972D8"/>
    <w:rsid w:val="00097DDC"/>
    <w:rsid w:val="00097FD0"/>
    <w:rsid w:val="000A044E"/>
    <w:rsid w:val="000A1DFE"/>
    <w:rsid w:val="000A3B2C"/>
    <w:rsid w:val="000A498B"/>
    <w:rsid w:val="000A5C9D"/>
    <w:rsid w:val="000A5CAC"/>
    <w:rsid w:val="000A5DA4"/>
    <w:rsid w:val="000A66E4"/>
    <w:rsid w:val="000A68C6"/>
    <w:rsid w:val="000A7083"/>
    <w:rsid w:val="000B06FA"/>
    <w:rsid w:val="000B0BF1"/>
    <w:rsid w:val="000B14AC"/>
    <w:rsid w:val="000B216F"/>
    <w:rsid w:val="000B2F11"/>
    <w:rsid w:val="000B3687"/>
    <w:rsid w:val="000B36F7"/>
    <w:rsid w:val="000B5B8E"/>
    <w:rsid w:val="000B5FD3"/>
    <w:rsid w:val="000C06ED"/>
    <w:rsid w:val="000C0BE5"/>
    <w:rsid w:val="000C1065"/>
    <w:rsid w:val="000C1E25"/>
    <w:rsid w:val="000C1E7F"/>
    <w:rsid w:val="000C29C8"/>
    <w:rsid w:val="000C4392"/>
    <w:rsid w:val="000C703C"/>
    <w:rsid w:val="000D1374"/>
    <w:rsid w:val="000D2634"/>
    <w:rsid w:val="000D4FFC"/>
    <w:rsid w:val="000D643D"/>
    <w:rsid w:val="000D6D6C"/>
    <w:rsid w:val="000D6EF8"/>
    <w:rsid w:val="000D7412"/>
    <w:rsid w:val="000E13A8"/>
    <w:rsid w:val="000E341C"/>
    <w:rsid w:val="000E4314"/>
    <w:rsid w:val="000E4941"/>
    <w:rsid w:val="000E7A85"/>
    <w:rsid w:val="000F0508"/>
    <w:rsid w:val="000F0C57"/>
    <w:rsid w:val="000F1FB6"/>
    <w:rsid w:val="000F219E"/>
    <w:rsid w:val="000F30FA"/>
    <w:rsid w:val="000F3D09"/>
    <w:rsid w:val="000F47F2"/>
    <w:rsid w:val="000F4C1A"/>
    <w:rsid w:val="000F4FD8"/>
    <w:rsid w:val="0010050A"/>
    <w:rsid w:val="001005ED"/>
    <w:rsid w:val="00102AE3"/>
    <w:rsid w:val="001040FC"/>
    <w:rsid w:val="001073EE"/>
    <w:rsid w:val="0011016E"/>
    <w:rsid w:val="00110661"/>
    <w:rsid w:val="001108BD"/>
    <w:rsid w:val="00111CD1"/>
    <w:rsid w:val="00113276"/>
    <w:rsid w:val="00115125"/>
    <w:rsid w:val="00115DC3"/>
    <w:rsid w:val="001163DF"/>
    <w:rsid w:val="00116B64"/>
    <w:rsid w:val="00116FCB"/>
    <w:rsid w:val="001207C5"/>
    <w:rsid w:val="00122846"/>
    <w:rsid w:val="001253E6"/>
    <w:rsid w:val="00125610"/>
    <w:rsid w:val="00125819"/>
    <w:rsid w:val="0012586D"/>
    <w:rsid w:val="0012591D"/>
    <w:rsid w:val="00125D9B"/>
    <w:rsid w:val="0013169F"/>
    <w:rsid w:val="001319FB"/>
    <w:rsid w:val="00132406"/>
    <w:rsid w:val="00133084"/>
    <w:rsid w:val="00133293"/>
    <w:rsid w:val="001345BF"/>
    <w:rsid w:val="0013583D"/>
    <w:rsid w:val="001403BF"/>
    <w:rsid w:val="00140D4F"/>
    <w:rsid w:val="001419CB"/>
    <w:rsid w:val="00141E29"/>
    <w:rsid w:val="0014240C"/>
    <w:rsid w:val="00144752"/>
    <w:rsid w:val="00144A3F"/>
    <w:rsid w:val="001452C7"/>
    <w:rsid w:val="001454AD"/>
    <w:rsid w:val="001458DD"/>
    <w:rsid w:val="00146907"/>
    <w:rsid w:val="00146B38"/>
    <w:rsid w:val="00147053"/>
    <w:rsid w:val="001474E1"/>
    <w:rsid w:val="001477E4"/>
    <w:rsid w:val="001501C9"/>
    <w:rsid w:val="001503A2"/>
    <w:rsid w:val="00153C51"/>
    <w:rsid w:val="00155C15"/>
    <w:rsid w:val="00156427"/>
    <w:rsid w:val="00157B22"/>
    <w:rsid w:val="001603BA"/>
    <w:rsid w:val="00160E15"/>
    <w:rsid w:val="00162256"/>
    <w:rsid w:val="0016225A"/>
    <w:rsid w:val="00162BD0"/>
    <w:rsid w:val="00163C0C"/>
    <w:rsid w:val="001640A3"/>
    <w:rsid w:val="001657C2"/>
    <w:rsid w:val="0016641E"/>
    <w:rsid w:val="00166F32"/>
    <w:rsid w:val="00172D91"/>
    <w:rsid w:val="00173E78"/>
    <w:rsid w:val="00180535"/>
    <w:rsid w:val="001806EB"/>
    <w:rsid w:val="00180DC4"/>
    <w:rsid w:val="0018127B"/>
    <w:rsid w:val="00181BB1"/>
    <w:rsid w:val="00181C8F"/>
    <w:rsid w:val="00181E6F"/>
    <w:rsid w:val="00182A76"/>
    <w:rsid w:val="00183D1D"/>
    <w:rsid w:val="00183ED1"/>
    <w:rsid w:val="0018430F"/>
    <w:rsid w:val="0019038B"/>
    <w:rsid w:val="00193FA0"/>
    <w:rsid w:val="00194655"/>
    <w:rsid w:val="00195B44"/>
    <w:rsid w:val="001A2FCA"/>
    <w:rsid w:val="001A385D"/>
    <w:rsid w:val="001A4739"/>
    <w:rsid w:val="001A6E7B"/>
    <w:rsid w:val="001A7D33"/>
    <w:rsid w:val="001B06D3"/>
    <w:rsid w:val="001B0876"/>
    <w:rsid w:val="001B0B65"/>
    <w:rsid w:val="001B3840"/>
    <w:rsid w:val="001B3E0C"/>
    <w:rsid w:val="001B4523"/>
    <w:rsid w:val="001B466D"/>
    <w:rsid w:val="001B4CDF"/>
    <w:rsid w:val="001B55C7"/>
    <w:rsid w:val="001B55CA"/>
    <w:rsid w:val="001B75FF"/>
    <w:rsid w:val="001C0565"/>
    <w:rsid w:val="001C0691"/>
    <w:rsid w:val="001C0AED"/>
    <w:rsid w:val="001C1A3B"/>
    <w:rsid w:val="001C1D53"/>
    <w:rsid w:val="001C2390"/>
    <w:rsid w:val="001C44D3"/>
    <w:rsid w:val="001C4564"/>
    <w:rsid w:val="001C51E2"/>
    <w:rsid w:val="001C540F"/>
    <w:rsid w:val="001D1112"/>
    <w:rsid w:val="001D39B0"/>
    <w:rsid w:val="001D45FC"/>
    <w:rsid w:val="001D5453"/>
    <w:rsid w:val="001E06AF"/>
    <w:rsid w:val="001E09D0"/>
    <w:rsid w:val="001E0CCB"/>
    <w:rsid w:val="001E1835"/>
    <w:rsid w:val="001E3C19"/>
    <w:rsid w:val="001E46C8"/>
    <w:rsid w:val="001E644C"/>
    <w:rsid w:val="001E6D91"/>
    <w:rsid w:val="001E7D93"/>
    <w:rsid w:val="001F2225"/>
    <w:rsid w:val="001F23D4"/>
    <w:rsid w:val="001F324E"/>
    <w:rsid w:val="001F6275"/>
    <w:rsid w:val="001F7EE3"/>
    <w:rsid w:val="002000FE"/>
    <w:rsid w:val="0020041B"/>
    <w:rsid w:val="00201151"/>
    <w:rsid w:val="00201BEE"/>
    <w:rsid w:val="00202F8F"/>
    <w:rsid w:val="002045CA"/>
    <w:rsid w:val="00204C4C"/>
    <w:rsid w:val="00205944"/>
    <w:rsid w:val="00206EBC"/>
    <w:rsid w:val="0021187B"/>
    <w:rsid w:val="00211A5B"/>
    <w:rsid w:val="002132D0"/>
    <w:rsid w:val="002146D0"/>
    <w:rsid w:val="00215DC4"/>
    <w:rsid w:val="00216FA9"/>
    <w:rsid w:val="00217209"/>
    <w:rsid w:val="002175C1"/>
    <w:rsid w:val="00220B55"/>
    <w:rsid w:val="00222BBC"/>
    <w:rsid w:val="0022353C"/>
    <w:rsid w:val="00223879"/>
    <w:rsid w:val="002239DC"/>
    <w:rsid w:val="002245AC"/>
    <w:rsid w:val="002252A2"/>
    <w:rsid w:val="002259B5"/>
    <w:rsid w:val="002267D3"/>
    <w:rsid w:val="00226866"/>
    <w:rsid w:val="00227B09"/>
    <w:rsid w:val="00230126"/>
    <w:rsid w:val="00230E88"/>
    <w:rsid w:val="002311EA"/>
    <w:rsid w:val="00233985"/>
    <w:rsid w:val="00233DA3"/>
    <w:rsid w:val="002358F9"/>
    <w:rsid w:val="00235F2A"/>
    <w:rsid w:val="00237493"/>
    <w:rsid w:val="00241182"/>
    <w:rsid w:val="00242C55"/>
    <w:rsid w:val="002430A5"/>
    <w:rsid w:val="00246974"/>
    <w:rsid w:val="002478A0"/>
    <w:rsid w:val="00250636"/>
    <w:rsid w:val="00252A94"/>
    <w:rsid w:val="002536CB"/>
    <w:rsid w:val="00254576"/>
    <w:rsid w:val="0025490F"/>
    <w:rsid w:val="00255AD9"/>
    <w:rsid w:val="002606FB"/>
    <w:rsid w:val="002622D0"/>
    <w:rsid w:val="00262969"/>
    <w:rsid w:val="002639DC"/>
    <w:rsid w:val="00263C62"/>
    <w:rsid w:val="00263E12"/>
    <w:rsid w:val="00265008"/>
    <w:rsid w:val="002660E3"/>
    <w:rsid w:val="002669D8"/>
    <w:rsid w:val="00266B8B"/>
    <w:rsid w:val="002676D0"/>
    <w:rsid w:val="002718F2"/>
    <w:rsid w:val="00271B3D"/>
    <w:rsid w:val="0027270C"/>
    <w:rsid w:val="0027442C"/>
    <w:rsid w:val="002755BA"/>
    <w:rsid w:val="00280F76"/>
    <w:rsid w:val="00281A5F"/>
    <w:rsid w:val="00281AEC"/>
    <w:rsid w:val="00282200"/>
    <w:rsid w:val="00286414"/>
    <w:rsid w:val="002901AC"/>
    <w:rsid w:val="00290C24"/>
    <w:rsid w:val="00291D93"/>
    <w:rsid w:val="002927EA"/>
    <w:rsid w:val="0029337A"/>
    <w:rsid w:val="00293F2C"/>
    <w:rsid w:val="00294FEC"/>
    <w:rsid w:val="0029525B"/>
    <w:rsid w:val="00296A36"/>
    <w:rsid w:val="002A0B3C"/>
    <w:rsid w:val="002A155A"/>
    <w:rsid w:val="002A1DEE"/>
    <w:rsid w:val="002A5425"/>
    <w:rsid w:val="002A5D8D"/>
    <w:rsid w:val="002A64D7"/>
    <w:rsid w:val="002A66A4"/>
    <w:rsid w:val="002A6EBC"/>
    <w:rsid w:val="002B1592"/>
    <w:rsid w:val="002B1EA7"/>
    <w:rsid w:val="002B2F16"/>
    <w:rsid w:val="002B43DB"/>
    <w:rsid w:val="002B5951"/>
    <w:rsid w:val="002B5B11"/>
    <w:rsid w:val="002B5DB4"/>
    <w:rsid w:val="002B6064"/>
    <w:rsid w:val="002B610C"/>
    <w:rsid w:val="002C12C7"/>
    <w:rsid w:val="002C241D"/>
    <w:rsid w:val="002C2BF7"/>
    <w:rsid w:val="002C3C7F"/>
    <w:rsid w:val="002C56A6"/>
    <w:rsid w:val="002D09FE"/>
    <w:rsid w:val="002D1C4D"/>
    <w:rsid w:val="002D29B0"/>
    <w:rsid w:val="002D3A7F"/>
    <w:rsid w:val="002D3F66"/>
    <w:rsid w:val="002D55CC"/>
    <w:rsid w:val="002E05EC"/>
    <w:rsid w:val="002E0E47"/>
    <w:rsid w:val="002E1EE4"/>
    <w:rsid w:val="002E21E0"/>
    <w:rsid w:val="002E2279"/>
    <w:rsid w:val="002E2E73"/>
    <w:rsid w:val="002E5D23"/>
    <w:rsid w:val="002E642B"/>
    <w:rsid w:val="002E64ED"/>
    <w:rsid w:val="002E70C4"/>
    <w:rsid w:val="002F1824"/>
    <w:rsid w:val="002F3A85"/>
    <w:rsid w:val="002F3C76"/>
    <w:rsid w:val="002F6F56"/>
    <w:rsid w:val="002F7196"/>
    <w:rsid w:val="002F7D4F"/>
    <w:rsid w:val="00300E53"/>
    <w:rsid w:val="00301A28"/>
    <w:rsid w:val="0030311D"/>
    <w:rsid w:val="00305F25"/>
    <w:rsid w:val="00306E1E"/>
    <w:rsid w:val="003119EA"/>
    <w:rsid w:val="00311FBD"/>
    <w:rsid w:val="003129F6"/>
    <w:rsid w:val="00312D24"/>
    <w:rsid w:val="00313BC3"/>
    <w:rsid w:val="003148BD"/>
    <w:rsid w:val="00314BD1"/>
    <w:rsid w:val="0031573E"/>
    <w:rsid w:val="0031649E"/>
    <w:rsid w:val="00317BE2"/>
    <w:rsid w:val="00317CEA"/>
    <w:rsid w:val="003200E0"/>
    <w:rsid w:val="003205BD"/>
    <w:rsid w:val="00320622"/>
    <w:rsid w:val="00320938"/>
    <w:rsid w:val="003243D5"/>
    <w:rsid w:val="0032473C"/>
    <w:rsid w:val="00324F9C"/>
    <w:rsid w:val="00325E3F"/>
    <w:rsid w:val="0032626A"/>
    <w:rsid w:val="003265EF"/>
    <w:rsid w:val="00327868"/>
    <w:rsid w:val="00327883"/>
    <w:rsid w:val="00330453"/>
    <w:rsid w:val="003305E6"/>
    <w:rsid w:val="003310BD"/>
    <w:rsid w:val="00331520"/>
    <w:rsid w:val="00331DFC"/>
    <w:rsid w:val="00334EEE"/>
    <w:rsid w:val="0033591F"/>
    <w:rsid w:val="00336D72"/>
    <w:rsid w:val="00337353"/>
    <w:rsid w:val="00337D18"/>
    <w:rsid w:val="003403C6"/>
    <w:rsid w:val="003420A7"/>
    <w:rsid w:val="00342FC2"/>
    <w:rsid w:val="00343FA9"/>
    <w:rsid w:val="00344AC3"/>
    <w:rsid w:val="00346222"/>
    <w:rsid w:val="00346AC0"/>
    <w:rsid w:val="00346B78"/>
    <w:rsid w:val="00346F52"/>
    <w:rsid w:val="0034749E"/>
    <w:rsid w:val="0034773D"/>
    <w:rsid w:val="00347B4D"/>
    <w:rsid w:val="003511AE"/>
    <w:rsid w:val="00354DAB"/>
    <w:rsid w:val="00356B31"/>
    <w:rsid w:val="00357972"/>
    <w:rsid w:val="0036104E"/>
    <w:rsid w:val="0036118B"/>
    <w:rsid w:val="003612C8"/>
    <w:rsid w:val="00361F37"/>
    <w:rsid w:val="00362173"/>
    <w:rsid w:val="0036465B"/>
    <w:rsid w:val="0036482D"/>
    <w:rsid w:val="00364D12"/>
    <w:rsid w:val="003652D6"/>
    <w:rsid w:val="003654BB"/>
    <w:rsid w:val="003703E9"/>
    <w:rsid w:val="003708BC"/>
    <w:rsid w:val="003719B1"/>
    <w:rsid w:val="00371E56"/>
    <w:rsid w:val="0037226E"/>
    <w:rsid w:val="00373133"/>
    <w:rsid w:val="0037514F"/>
    <w:rsid w:val="0037532E"/>
    <w:rsid w:val="003753E2"/>
    <w:rsid w:val="00376086"/>
    <w:rsid w:val="00382F1B"/>
    <w:rsid w:val="003900B2"/>
    <w:rsid w:val="00393325"/>
    <w:rsid w:val="00393DB9"/>
    <w:rsid w:val="00394C1F"/>
    <w:rsid w:val="003963EE"/>
    <w:rsid w:val="003968A8"/>
    <w:rsid w:val="00396F3A"/>
    <w:rsid w:val="003A1914"/>
    <w:rsid w:val="003A2122"/>
    <w:rsid w:val="003A2389"/>
    <w:rsid w:val="003A248F"/>
    <w:rsid w:val="003A461D"/>
    <w:rsid w:val="003B05F5"/>
    <w:rsid w:val="003B24EE"/>
    <w:rsid w:val="003B484D"/>
    <w:rsid w:val="003B59EA"/>
    <w:rsid w:val="003C13A0"/>
    <w:rsid w:val="003C1450"/>
    <w:rsid w:val="003C1A55"/>
    <w:rsid w:val="003C27CE"/>
    <w:rsid w:val="003C2ED7"/>
    <w:rsid w:val="003C3277"/>
    <w:rsid w:val="003C3CEC"/>
    <w:rsid w:val="003C4871"/>
    <w:rsid w:val="003C4D6D"/>
    <w:rsid w:val="003C530D"/>
    <w:rsid w:val="003C5EB2"/>
    <w:rsid w:val="003C6543"/>
    <w:rsid w:val="003C77F2"/>
    <w:rsid w:val="003D28C4"/>
    <w:rsid w:val="003D34EA"/>
    <w:rsid w:val="003D5E7C"/>
    <w:rsid w:val="003D78A7"/>
    <w:rsid w:val="003D7F74"/>
    <w:rsid w:val="003E1844"/>
    <w:rsid w:val="003E2397"/>
    <w:rsid w:val="003E3ADC"/>
    <w:rsid w:val="003E4639"/>
    <w:rsid w:val="003E59DB"/>
    <w:rsid w:val="003E5FC3"/>
    <w:rsid w:val="003E6402"/>
    <w:rsid w:val="003E7F32"/>
    <w:rsid w:val="003F0579"/>
    <w:rsid w:val="003F165B"/>
    <w:rsid w:val="003F4C5B"/>
    <w:rsid w:val="003F57E7"/>
    <w:rsid w:val="003F72A3"/>
    <w:rsid w:val="003F7D3C"/>
    <w:rsid w:val="00400216"/>
    <w:rsid w:val="0040034F"/>
    <w:rsid w:val="0040103B"/>
    <w:rsid w:val="004013F5"/>
    <w:rsid w:val="0040243C"/>
    <w:rsid w:val="00402618"/>
    <w:rsid w:val="004026DB"/>
    <w:rsid w:val="00403424"/>
    <w:rsid w:val="00403B4E"/>
    <w:rsid w:val="00403CBE"/>
    <w:rsid w:val="00406203"/>
    <w:rsid w:val="00406E2E"/>
    <w:rsid w:val="00407273"/>
    <w:rsid w:val="00407562"/>
    <w:rsid w:val="0040765F"/>
    <w:rsid w:val="00407CF9"/>
    <w:rsid w:val="004129D2"/>
    <w:rsid w:val="00415137"/>
    <w:rsid w:val="00415ABF"/>
    <w:rsid w:val="00415FE3"/>
    <w:rsid w:val="004170AF"/>
    <w:rsid w:val="00417C16"/>
    <w:rsid w:val="00420169"/>
    <w:rsid w:val="004202FC"/>
    <w:rsid w:val="00420DEC"/>
    <w:rsid w:val="004223E4"/>
    <w:rsid w:val="00422E97"/>
    <w:rsid w:val="00423F2A"/>
    <w:rsid w:val="004254FA"/>
    <w:rsid w:val="00425AE5"/>
    <w:rsid w:val="00425FF3"/>
    <w:rsid w:val="00430A0F"/>
    <w:rsid w:val="00431400"/>
    <w:rsid w:val="00431FC3"/>
    <w:rsid w:val="004327D8"/>
    <w:rsid w:val="004332F4"/>
    <w:rsid w:val="0043340D"/>
    <w:rsid w:val="00434A4D"/>
    <w:rsid w:val="00436A75"/>
    <w:rsid w:val="00437428"/>
    <w:rsid w:val="004375EC"/>
    <w:rsid w:val="00437B0E"/>
    <w:rsid w:val="00440293"/>
    <w:rsid w:val="0044140C"/>
    <w:rsid w:val="0044191B"/>
    <w:rsid w:val="00450AB5"/>
    <w:rsid w:val="00453000"/>
    <w:rsid w:val="00454341"/>
    <w:rsid w:val="004548D8"/>
    <w:rsid w:val="004565CC"/>
    <w:rsid w:val="00456A00"/>
    <w:rsid w:val="00457161"/>
    <w:rsid w:val="00460414"/>
    <w:rsid w:val="004609E5"/>
    <w:rsid w:val="0046126B"/>
    <w:rsid w:val="0046557B"/>
    <w:rsid w:val="004665EB"/>
    <w:rsid w:val="00467942"/>
    <w:rsid w:val="00470941"/>
    <w:rsid w:val="00472B22"/>
    <w:rsid w:val="0047300D"/>
    <w:rsid w:val="00473955"/>
    <w:rsid w:val="00474508"/>
    <w:rsid w:val="00475602"/>
    <w:rsid w:val="004771F2"/>
    <w:rsid w:val="00481B74"/>
    <w:rsid w:val="00482CA1"/>
    <w:rsid w:val="00483264"/>
    <w:rsid w:val="00484DBA"/>
    <w:rsid w:val="004853FF"/>
    <w:rsid w:val="0048799D"/>
    <w:rsid w:val="00487B44"/>
    <w:rsid w:val="00487C9D"/>
    <w:rsid w:val="00490913"/>
    <w:rsid w:val="00493C57"/>
    <w:rsid w:val="00495704"/>
    <w:rsid w:val="00495A59"/>
    <w:rsid w:val="00497401"/>
    <w:rsid w:val="004979A1"/>
    <w:rsid w:val="004A12F9"/>
    <w:rsid w:val="004A16CA"/>
    <w:rsid w:val="004A2683"/>
    <w:rsid w:val="004A364B"/>
    <w:rsid w:val="004A3885"/>
    <w:rsid w:val="004A4748"/>
    <w:rsid w:val="004A7563"/>
    <w:rsid w:val="004A7978"/>
    <w:rsid w:val="004B1511"/>
    <w:rsid w:val="004B1B18"/>
    <w:rsid w:val="004B4BC5"/>
    <w:rsid w:val="004B53F5"/>
    <w:rsid w:val="004B59CF"/>
    <w:rsid w:val="004C0F12"/>
    <w:rsid w:val="004C1CB3"/>
    <w:rsid w:val="004C2C65"/>
    <w:rsid w:val="004C3F8D"/>
    <w:rsid w:val="004C44A0"/>
    <w:rsid w:val="004C7B3F"/>
    <w:rsid w:val="004C7F3B"/>
    <w:rsid w:val="004D1602"/>
    <w:rsid w:val="004D19E4"/>
    <w:rsid w:val="004D4E74"/>
    <w:rsid w:val="004D748D"/>
    <w:rsid w:val="004D7B4B"/>
    <w:rsid w:val="004D7CB8"/>
    <w:rsid w:val="004E0A09"/>
    <w:rsid w:val="004E119A"/>
    <w:rsid w:val="004E259A"/>
    <w:rsid w:val="004E3FBC"/>
    <w:rsid w:val="004E4270"/>
    <w:rsid w:val="004E4671"/>
    <w:rsid w:val="004E4680"/>
    <w:rsid w:val="004E6F8B"/>
    <w:rsid w:val="004E7F17"/>
    <w:rsid w:val="004F0456"/>
    <w:rsid w:val="004F0717"/>
    <w:rsid w:val="004F21E8"/>
    <w:rsid w:val="004F268F"/>
    <w:rsid w:val="004F37B8"/>
    <w:rsid w:val="004F54A2"/>
    <w:rsid w:val="004F59E3"/>
    <w:rsid w:val="004F6AFE"/>
    <w:rsid w:val="004F6F32"/>
    <w:rsid w:val="00501C05"/>
    <w:rsid w:val="00501ECA"/>
    <w:rsid w:val="00502FBC"/>
    <w:rsid w:val="00503761"/>
    <w:rsid w:val="005060D0"/>
    <w:rsid w:val="0050786B"/>
    <w:rsid w:val="00507DE6"/>
    <w:rsid w:val="005100C1"/>
    <w:rsid w:val="0051127E"/>
    <w:rsid w:val="0051162E"/>
    <w:rsid w:val="00513533"/>
    <w:rsid w:val="00514EA2"/>
    <w:rsid w:val="005156A5"/>
    <w:rsid w:val="00516002"/>
    <w:rsid w:val="005163AA"/>
    <w:rsid w:val="00517E9F"/>
    <w:rsid w:val="00520FA1"/>
    <w:rsid w:val="00521009"/>
    <w:rsid w:val="00521BF2"/>
    <w:rsid w:val="005258DE"/>
    <w:rsid w:val="00530955"/>
    <w:rsid w:val="005326B5"/>
    <w:rsid w:val="00536CF2"/>
    <w:rsid w:val="00536E26"/>
    <w:rsid w:val="00537BF5"/>
    <w:rsid w:val="00537F8E"/>
    <w:rsid w:val="00541126"/>
    <w:rsid w:val="005411AE"/>
    <w:rsid w:val="005425E0"/>
    <w:rsid w:val="005432FC"/>
    <w:rsid w:val="00544A95"/>
    <w:rsid w:val="00544B07"/>
    <w:rsid w:val="0054578B"/>
    <w:rsid w:val="005460B1"/>
    <w:rsid w:val="00546798"/>
    <w:rsid w:val="00546DF1"/>
    <w:rsid w:val="00547B38"/>
    <w:rsid w:val="00547C76"/>
    <w:rsid w:val="00547FF2"/>
    <w:rsid w:val="00550420"/>
    <w:rsid w:val="005514C9"/>
    <w:rsid w:val="0055211E"/>
    <w:rsid w:val="00552A6D"/>
    <w:rsid w:val="00552EA5"/>
    <w:rsid w:val="0055359B"/>
    <w:rsid w:val="00553BAB"/>
    <w:rsid w:val="00553F57"/>
    <w:rsid w:val="005542B0"/>
    <w:rsid w:val="00557C5B"/>
    <w:rsid w:val="00557DAF"/>
    <w:rsid w:val="00560123"/>
    <w:rsid w:val="00560E58"/>
    <w:rsid w:val="005618B5"/>
    <w:rsid w:val="00561933"/>
    <w:rsid w:val="005622E5"/>
    <w:rsid w:val="00564355"/>
    <w:rsid w:val="00566BEE"/>
    <w:rsid w:val="00567775"/>
    <w:rsid w:val="00570569"/>
    <w:rsid w:val="00572788"/>
    <w:rsid w:val="00572D48"/>
    <w:rsid w:val="00573604"/>
    <w:rsid w:val="00575A02"/>
    <w:rsid w:val="005761D5"/>
    <w:rsid w:val="0057644A"/>
    <w:rsid w:val="005764A9"/>
    <w:rsid w:val="00580EEC"/>
    <w:rsid w:val="00581D2B"/>
    <w:rsid w:val="00581DB2"/>
    <w:rsid w:val="0058261F"/>
    <w:rsid w:val="00582E9A"/>
    <w:rsid w:val="0058433A"/>
    <w:rsid w:val="00584480"/>
    <w:rsid w:val="00586390"/>
    <w:rsid w:val="0058718B"/>
    <w:rsid w:val="00587E3C"/>
    <w:rsid w:val="0059108A"/>
    <w:rsid w:val="00591288"/>
    <w:rsid w:val="00591EB7"/>
    <w:rsid w:val="0059277B"/>
    <w:rsid w:val="00594045"/>
    <w:rsid w:val="00597917"/>
    <w:rsid w:val="00597D64"/>
    <w:rsid w:val="005A05BF"/>
    <w:rsid w:val="005A0D0D"/>
    <w:rsid w:val="005A2377"/>
    <w:rsid w:val="005A2E55"/>
    <w:rsid w:val="005A2FAD"/>
    <w:rsid w:val="005A3A80"/>
    <w:rsid w:val="005A5660"/>
    <w:rsid w:val="005A57D3"/>
    <w:rsid w:val="005A7099"/>
    <w:rsid w:val="005B0F36"/>
    <w:rsid w:val="005B1AF5"/>
    <w:rsid w:val="005B1F12"/>
    <w:rsid w:val="005B2425"/>
    <w:rsid w:val="005B3797"/>
    <w:rsid w:val="005B4795"/>
    <w:rsid w:val="005C0130"/>
    <w:rsid w:val="005C114A"/>
    <w:rsid w:val="005C14CF"/>
    <w:rsid w:val="005C19FF"/>
    <w:rsid w:val="005C1A7E"/>
    <w:rsid w:val="005C1E98"/>
    <w:rsid w:val="005C2A7D"/>
    <w:rsid w:val="005C2FBF"/>
    <w:rsid w:val="005C35B9"/>
    <w:rsid w:val="005C362E"/>
    <w:rsid w:val="005C3D9E"/>
    <w:rsid w:val="005C4ACD"/>
    <w:rsid w:val="005C653F"/>
    <w:rsid w:val="005C65B4"/>
    <w:rsid w:val="005C7D3B"/>
    <w:rsid w:val="005D0535"/>
    <w:rsid w:val="005D48D5"/>
    <w:rsid w:val="005D5FCF"/>
    <w:rsid w:val="005D7B96"/>
    <w:rsid w:val="005D7F5D"/>
    <w:rsid w:val="005E135F"/>
    <w:rsid w:val="005E1675"/>
    <w:rsid w:val="005E1C7D"/>
    <w:rsid w:val="005E3310"/>
    <w:rsid w:val="005E5B78"/>
    <w:rsid w:val="005F2A0B"/>
    <w:rsid w:val="005F3AD2"/>
    <w:rsid w:val="005F3C91"/>
    <w:rsid w:val="005F475A"/>
    <w:rsid w:val="005F4E50"/>
    <w:rsid w:val="005F5EE5"/>
    <w:rsid w:val="005F69AE"/>
    <w:rsid w:val="005F7BEF"/>
    <w:rsid w:val="00600BC1"/>
    <w:rsid w:val="0060123A"/>
    <w:rsid w:val="00602B8D"/>
    <w:rsid w:val="00602E1E"/>
    <w:rsid w:val="0060365F"/>
    <w:rsid w:val="006048A0"/>
    <w:rsid w:val="006053DD"/>
    <w:rsid w:val="00605BC5"/>
    <w:rsid w:val="00606263"/>
    <w:rsid w:val="00606881"/>
    <w:rsid w:val="0061183F"/>
    <w:rsid w:val="00611F1A"/>
    <w:rsid w:val="00612D0F"/>
    <w:rsid w:val="0061322E"/>
    <w:rsid w:val="00613348"/>
    <w:rsid w:val="00613DB6"/>
    <w:rsid w:val="00614850"/>
    <w:rsid w:val="00617C83"/>
    <w:rsid w:val="00620F28"/>
    <w:rsid w:val="0062147E"/>
    <w:rsid w:val="00621CC7"/>
    <w:rsid w:val="00624DA0"/>
    <w:rsid w:val="006251E7"/>
    <w:rsid w:val="00625F7D"/>
    <w:rsid w:val="00626F24"/>
    <w:rsid w:val="006273DD"/>
    <w:rsid w:val="006311FC"/>
    <w:rsid w:val="00631F08"/>
    <w:rsid w:val="0063212E"/>
    <w:rsid w:val="006323AA"/>
    <w:rsid w:val="00632EBF"/>
    <w:rsid w:val="00633A79"/>
    <w:rsid w:val="00633E18"/>
    <w:rsid w:val="00634186"/>
    <w:rsid w:val="00634218"/>
    <w:rsid w:val="0063427A"/>
    <w:rsid w:val="0063556A"/>
    <w:rsid w:val="00636B6D"/>
    <w:rsid w:val="00637C7D"/>
    <w:rsid w:val="00640878"/>
    <w:rsid w:val="006427E3"/>
    <w:rsid w:val="00643017"/>
    <w:rsid w:val="0064340C"/>
    <w:rsid w:val="006448FD"/>
    <w:rsid w:val="00645D42"/>
    <w:rsid w:val="00646C69"/>
    <w:rsid w:val="00647D70"/>
    <w:rsid w:val="006501B8"/>
    <w:rsid w:val="006508DE"/>
    <w:rsid w:val="00650906"/>
    <w:rsid w:val="00651E18"/>
    <w:rsid w:val="00652858"/>
    <w:rsid w:val="00652F47"/>
    <w:rsid w:val="00653F1A"/>
    <w:rsid w:val="00654B68"/>
    <w:rsid w:val="00655359"/>
    <w:rsid w:val="006556C6"/>
    <w:rsid w:val="00655CFE"/>
    <w:rsid w:val="006607C1"/>
    <w:rsid w:val="0066172E"/>
    <w:rsid w:val="0066236F"/>
    <w:rsid w:val="0066367E"/>
    <w:rsid w:val="0066630E"/>
    <w:rsid w:val="00667910"/>
    <w:rsid w:val="00667E8D"/>
    <w:rsid w:val="006706ED"/>
    <w:rsid w:val="00670996"/>
    <w:rsid w:val="00671EEB"/>
    <w:rsid w:val="0067323F"/>
    <w:rsid w:val="00673AE5"/>
    <w:rsid w:val="0067565A"/>
    <w:rsid w:val="0067625E"/>
    <w:rsid w:val="00676457"/>
    <w:rsid w:val="0067765C"/>
    <w:rsid w:val="00677FD9"/>
    <w:rsid w:val="006808BB"/>
    <w:rsid w:val="00680FE5"/>
    <w:rsid w:val="00681A20"/>
    <w:rsid w:val="00683FE2"/>
    <w:rsid w:val="00685B8B"/>
    <w:rsid w:val="00685F4A"/>
    <w:rsid w:val="006864C5"/>
    <w:rsid w:val="006870B6"/>
    <w:rsid w:val="006873DE"/>
    <w:rsid w:val="0069035A"/>
    <w:rsid w:val="00690AEB"/>
    <w:rsid w:val="00691F25"/>
    <w:rsid w:val="00692237"/>
    <w:rsid w:val="006924D4"/>
    <w:rsid w:val="006939E6"/>
    <w:rsid w:val="00694653"/>
    <w:rsid w:val="00694776"/>
    <w:rsid w:val="00694B6F"/>
    <w:rsid w:val="00695EF5"/>
    <w:rsid w:val="006963D7"/>
    <w:rsid w:val="00696555"/>
    <w:rsid w:val="0069751A"/>
    <w:rsid w:val="006A0184"/>
    <w:rsid w:val="006A1BF3"/>
    <w:rsid w:val="006A2F00"/>
    <w:rsid w:val="006A340D"/>
    <w:rsid w:val="006A4FDF"/>
    <w:rsid w:val="006A6088"/>
    <w:rsid w:val="006A7C3D"/>
    <w:rsid w:val="006B03A8"/>
    <w:rsid w:val="006B102B"/>
    <w:rsid w:val="006B1DF4"/>
    <w:rsid w:val="006B2A60"/>
    <w:rsid w:val="006B4F9B"/>
    <w:rsid w:val="006B7362"/>
    <w:rsid w:val="006B7971"/>
    <w:rsid w:val="006C00FA"/>
    <w:rsid w:val="006C16F4"/>
    <w:rsid w:val="006C2198"/>
    <w:rsid w:val="006C2767"/>
    <w:rsid w:val="006C2AB6"/>
    <w:rsid w:val="006C33D9"/>
    <w:rsid w:val="006C3CBA"/>
    <w:rsid w:val="006C43DA"/>
    <w:rsid w:val="006C45ED"/>
    <w:rsid w:val="006C5942"/>
    <w:rsid w:val="006C669B"/>
    <w:rsid w:val="006C6AD0"/>
    <w:rsid w:val="006C6C07"/>
    <w:rsid w:val="006D0082"/>
    <w:rsid w:val="006D0196"/>
    <w:rsid w:val="006D31C3"/>
    <w:rsid w:val="006D68D0"/>
    <w:rsid w:val="006E160C"/>
    <w:rsid w:val="006E3A04"/>
    <w:rsid w:val="006E52B7"/>
    <w:rsid w:val="006E5D2A"/>
    <w:rsid w:val="006E5FBF"/>
    <w:rsid w:val="006E615D"/>
    <w:rsid w:val="006E6782"/>
    <w:rsid w:val="006E7667"/>
    <w:rsid w:val="006F19EE"/>
    <w:rsid w:val="006F238B"/>
    <w:rsid w:val="006F34D0"/>
    <w:rsid w:val="006F4405"/>
    <w:rsid w:val="006F449E"/>
    <w:rsid w:val="006F45FE"/>
    <w:rsid w:val="006F4723"/>
    <w:rsid w:val="006F4C3D"/>
    <w:rsid w:val="006F54AD"/>
    <w:rsid w:val="006F66DC"/>
    <w:rsid w:val="006F6AA6"/>
    <w:rsid w:val="006F7775"/>
    <w:rsid w:val="006F7D74"/>
    <w:rsid w:val="00701697"/>
    <w:rsid w:val="00702065"/>
    <w:rsid w:val="00703802"/>
    <w:rsid w:val="007038DE"/>
    <w:rsid w:val="00704166"/>
    <w:rsid w:val="0070525B"/>
    <w:rsid w:val="007054F4"/>
    <w:rsid w:val="0070640D"/>
    <w:rsid w:val="0070691F"/>
    <w:rsid w:val="00706B2C"/>
    <w:rsid w:val="007078D6"/>
    <w:rsid w:val="00710CFE"/>
    <w:rsid w:val="007113C7"/>
    <w:rsid w:val="00713CBE"/>
    <w:rsid w:val="007145B8"/>
    <w:rsid w:val="00714F44"/>
    <w:rsid w:val="00715740"/>
    <w:rsid w:val="00716713"/>
    <w:rsid w:val="00723C35"/>
    <w:rsid w:val="007241DC"/>
    <w:rsid w:val="00724B17"/>
    <w:rsid w:val="00724DB8"/>
    <w:rsid w:val="0072565E"/>
    <w:rsid w:val="00727568"/>
    <w:rsid w:val="00730A92"/>
    <w:rsid w:val="00732833"/>
    <w:rsid w:val="007329D7"/>
    <w:rsid w:val="007335AE"/>
    <w:rsid w:val="00733C53"/>
    <w:rsid w:val="00737BF1"/>
    <w:rsid w:val="00740DCA"/>
    <w:rsid w:val="00740FBE"/>
    <w:rsid w:val="00741F2C"/>
    <w:rsid w:val="00741FF8"/>
    <w:rsid w:val="007421DE"/>
    <w:rsid w:val="007436DF"/>
    <w:rsid w:val="007441B3"/>
    <w:rsid w:val="0074474B"/>
    <w:rsid w:val="00744B5B"/>
    <w:rsid w:val="00745793"/>
    <w:rsid w:val="00747FAE"/>
    <w:rsid w:val="00752B5D"/>
    <w:rsid w:val="00752DE1"/>
    <w:rsid w:val="00753318"/>
    <w:rsid w:val="007553C9"/>
    <w:rsid w:val="00755F48"/>
    <w:rsid w:val="007561B6"/>
    <w:rsid w:val="007565F3"/>
    <w:rsid w:val="00756A4E"/>
    <w:rsid w:val="00756C41"/>
    <w:rsid w:val="00757506"/>
    <w:rsid w:val="00757D62"/>
    <w:rsid w:val="007601CA"/>
    <w:rsid w:val="00760AC9"/>
    <w:rsid w:val="00763468"/>
    <w:rsid w:val="007634FC"/>
    <w:rsid w:val="00765518"/>
    <w:rsid w:val="007658C4"/>
    <w:rsid w:val="00766D12"/>
    <w:rsid w:val="00767D30"/>
    <w:rsid w:val="00767E8E"/>
    <w:rsid w:val="00772B23"/>
    <w:rsid w:val="00773598"/>
    <w:rsid w:val="0077399F"/>
    <w:rsid w:val="00773A5A"/>
    <w:rsid w:val="0077436E"/>
    <w:rsid w:val="00774A15"/>
    <w:rsid w:val="00774FE1"/>
    <w:rsid w:val="007764C2"/>
    <w:rsid w:val="007809B5"/>
    <w:rsid w:val="0078198D"/>
    <w:rsid w:val="00782893"/>
    <w:rsid w:val="007868C5"/>
    <w:rsid w:val="00786934"/>
    <w:rsid w:val="00786EBC"/>
    <w:rsid w:val="0078708F"/>
    <w:rsid w:val="00790428"/>
    <w:rsid w:val="00791245"/>
    <w:rsid w:val="0079184C"/>
    <w:rsid w:val="00793010"/>
    <w:rsid w:val="007930BA"/>
    <w:rsid w:val="00793BE2"/>
    <w:rsid w:val="00794A6E"/>
    <w:rsid w:val="00794ED3"/>
    <w:rsid w:val="00795280"/>
    <w:rsid w:val="0079534A"/>
    <w:rsid w:val="00795682"/>
    <w:rsid w:val="007959DC"/>
    <w:rsid w:val="0079782F"/>
    <w:rsid w:val="00797AD5"/>
    <w:rsid w:val="007A1781"/>
    <w:rsid w:val="007A35A3"/>
    <w:rsid w:val="007A3A2F"/>
    <w:rsid w:val="007A45F3"/>
    <w:rsid w:val="007A4BCA"/>
    <w:rsid w:val="007A4EFA"/>
    <w:rsid w:val="007A5488"/>
    <w:rsid w:val="007A66C3"/>
    <w:rsid w:val="007A6B34"/>
    <w:rsid w:val="007A6B80"/>
    <w:rsid w:val="007B4B99"/>
    <w:rsid w:val="007C07CF"/>
    <w:rsid w:val="007C1F42"/>
    <w:rsid w:val="007C31FC"/>
    <w:rsid w:val="007C48F5"/>
    <w:rsid w:val="007C540B"/>
    <w:rsid w:val="007C5FBF"/>
    <w:rsid w:val="007C6731"/>
    <w:rsid w:val="007C679D"/>
    <w:rsid w:val="007C6897"/>
    <w:rsid w:val="007C7A4F"/>
    <w:rsid w:val="007C7C75"/>
    <w:rsid w:val="007D067A"/>
    <w:rsid w:val="007D1012"/>
    <w:rsid w:val="007D1719"/>
    <w:rsid w:val="007D27C0"/>
    <w:rsid w:val="007D2A2A"/>
    <w:rsid w:val="007D6C22"/>
    <w:rsid w:val="007D7FF1"/>
    <w:rsid w:val="007E053D"/>
    <w:rsid w:val="007E2649"/>
    <w:rsid w:val="007E34BE"/>
    <w:rsid w:val="007E41AF"/>
    <w:rsid w:val="007E49F4"/>
    <w:rsid w:val="007E4AD6"/>
    <w:rsid w:val="007E639F"/>
    <w:rsid w:val="007E6A93"/>
    <w:rsid w:val="007E745F"/>
    <w:rsid w:val="007E77F3"/>
    <w:rsid w:val="007E7E0F"/>
    <w:rsid w:val="007F012E"/>
    <w:rsid w:val="007F1D96"/>
    <w:rsid w:val="007F21DB"/>
    <w:rsid w:val="007F3027"/>
    <w:rsid w:val="007F3553"/>
    <w:rsid w:val="007F3D8C"/>
    <w:rsid w:val="007F3F95"/>
    <w:rsid w:val="007F49E9"/>
    <w:rsid w:val="007F5412"/>
    <w:rsid w:val="007F5CBA"/>
    <w:rsid w:val="007F7314"/>
    <w:rsid w:val="008022AA"/>
    <w:rsid w:val="00804996"/>
    <w:rsid w:val="008049E0"/>
    <w:rsid w:val="0080541A"/>
    <w:rsid w:val="008054BF"/>
    <w:rsid w:val="00806185"/>
    <w:rsid w:val="00807394"/>
    <w:rsid w:val="00807674"/>
    <w:rsid w:val="008078E7"/>
    <w:rsid w:val="00810284"/>
    <w:rsid w:val="00810CD2"/>
    <w:rsid w:val="008125FD"/>
    <w:rsid w:val="00812E34"/>
    <w:rsid w:val="00813120"/>
    <w:rsid w:val="008138A1"/>
    <w:rsid w:val="00814B81"/>
    <w:rsid w:val="008155C8"/>
    <w:rsid w:val="008157C1"/>
    <w:rsid w:val="00817242"/>
    <w:rsid w:val="008202C3"/>
    <w:rsid w:val="00823C32"/>
    <w:rsid w:val="008242A8"/>
    <w:rsid w:val="00824BB0"/>
    <w:rsid w:val="00830776"/>
    <w:rsid w:val="00831ED6"/>
    <w:rsid w:val="00832300"/>
    <w:rsid w:val="00832DF4"/>
    <w:rsid w:val="0083344A"/>
    <w:rsid w:val="008347BD"/>
    <w:rsid w:val="00834C45"/>
    <w:rsid w:val="00834E7F"/>
    <w:rsid w:val="00835415"/>
    <w:rsid w:val="00835F05"/>
    <w:rsid w:val="00836092"/>
    <w:rsid w:val="00836115"/>
    <w:rsid w:val="0083658A"/>
    <w:rsid w:val="00836735"/>
    <w:rsid w:val="0084021F"/>
    <w:rsid w:val="008403E5"/>
    <w:rsid w:val="00840AA8"/>
    <w:rsid w:val="00840EE3"/>
    <w:rsid w:val="00841D2F"/>
    <w:rsid w:val="00842DE0"/>
    <w:rsid w:val="008439AF"/>
    <w:rsid w:val="00843BA0"/>
    <w:rsid w:val="008445AE"/>
    <w:rsid w:val="008456E4"/>
    <w:rsid w:val="008459EF"/>
    <w:rsid w:val="00845B92"/>
    <w:rsid w:val="00847CA5"/>
    <w:rsid w:val="0085064E"/>
    <w:rsid w:val="008507E9"/>
    <w:rsid w:val="00850DB7"/>
    <w:rsid w:val="00850E52"/>
    <w:rsid w:val="00852B78"/>
    <w:rsid w:val="00852F81"/>
    <w:rsid w:val="008530CB"/>
    <w:rsid w:val="008541B2"/>
    <w:rsid w:val="0085512D"/>
    <w:rsid w:val="00855CE2"/>
    <w:rsid w:val="0085611E"/>
    <w:rsid w:val="008565A3"/>
    <w:rsid w:val="0086144F"/>
    <w:rsid w:val="00861F8F"/>
    <w:rsid w:val="0086243D"/>
    <w:rsid w:val="0086454E"/>
    <w:rsid w:val="00866E57"/>
    <w:rsid w:val="00867531"/>
    <w:rsid w:val="00867FD2"/>
    <w:rsid w:val="00870163"/>
    <w:rsid w:val="008709C7"/>
    <w:rsid w:val="00870B7C"/>
    <w:rsid w:val="00871597"/>
    <w:rsid w:val="0087285D"/>
    <w:rsid w:val="00872E1F"/>
    <w:rsid w:val="008736DE"/>
    <w:rsid w:val="008737E3"/>
    <w:rsid w:val="00875186"/>
    <w:rsid w:val="008759BF"/>
    <w:rsid w:val="00875E8E"/>
    <w:rsid w:val="0088026D"/>
    <w:rsid w:val="00881419"/>
    <w:rsid w:val="0088371D"/>
    <w:rsid w:val="00883A58"/>
    <w:rsid w:val="00885274"/>
    <w:rsid w:val="00885888"/>
    <w:rsid w:val="00890DC9"/>
    <w:rsid w:val="00891013"/>
    <w:rsid w:val="008944F7"/>
    <w:rsid w:val="00895A92"/>
    <w:rsid w:val="008967D3"/>
    <w:rsid w:val="008977DC"/>
    <w:rsid w:val="008978C6"/>
    <w:rsid w:val="008A0E66"/>
    <w:rsid w:val="008A0F14"/>
    <w:rsid w:val="008A2866"/>
    <w:rsid w:val="008A28DA"/>
    <w:rsid w:val="008A2BC9"/>
    <w:rsid w:val="008A2C8A"/>
    <w:rsid w:val="008A3817"/>
    <w:rsid w:val="008A3C7F"/>
    <w:rsid w:val="008A3FAA"/>
    <w:rsid w:val="008A5F07"/>
    <w:rsid w:val="008A6332"/>
    <w:rsid w:val="008A7979"/>
    <w:rsid w:val="008B05DA"/>
    <w:rsid w:val="008B06FC"/>
    <w:rsid w:val="008B0DBD"/>
    <w:rsid w:val="008B1FB3"/>
    <w:rsid w:val="008B2D28"/>
    <w:rsid w:val="008B2E36"/>
    <w:rsid w:val="008B75CB"/>
    <w:rsid w:val="008C1D9E"/>
    <w:rsid w:val="008C1DD1"/>
    <w:rsid w:val="008C21AA"/>
    <w:rsid w:val="008C2278"/>
    <w:rsid w:val="008C30C8"/>
    <w:rsid w:val="008C3753"/>
    <w:rsid w:val="008C43BF"/>
    <w:rsid w:val="008C4478"/>
    <w:rsid w:val="008C6588"/>
    <w:rsid w:val="008C76CB"/>
    <w:rsid w:val="008C7754"/>
    <w:rsid w:val="008D2CA9"/>
    <w:rsid w:val="008D32F4"/>
    <w:rsid w:val="008D45D4"/>
    <w:rsid w:val="008D5031"/>
    <w:rsid w:val="008D7C87"/>
    <w:rsid w:val="008E2A42"/>
    <w:rsid w:val="008E35DE"/>
    <w:rsid w:val="008E3E54"/>
    <w:rsid w:val="008E4301"/>
    <w:rsid w:val="008E4B83"/>
    <w:rsid w:val="008E5F8D"/>
    <w:rsid w:val="008E7531"/>
    <w:rsid w:val="008E79BD"/>
    <w:rsid w:val="008F0A9C"/>
    <w:rsid w:val="008F0E4D"/>
    <w:rsid w:val="008F1256"/>
    <w:rsid w:val="008F20E2"/>
    <w:rsid w:val="008F2BBB"/>
    <w:rsid w:val="008F4A31"/>
    <w:rsid w:val="008F6E71"/>
    <w:rsid w:val="008F79AD"/>
    <w:rsid w:val="008F7F13"/>
    <w:rsid w:val="00901261"/>
    <w:rsid w:val="00901915"/>
    <w:rsid w:val="009020E1"/>
    <w:rsid w:val="0090792C"/>
    <w:rsid w:val="00913338"/>
    <w:rsid w:val="009136E1"/>
    <w:rsid w:val="00915470"/>
    <w:rsid w:val="00915E4D"/>
    <w:rsid w:val="00916565"/>
    <w:rsid w:val="009170A6"/>
    <w:rsid w:val="009171F7"/>
    <w:rsid w:val="00917F94"/>
    <w:rsid w:val="009206B4"/>
    <w:rsid w:val="00921552"/>
    <w:rsid w:val="00921CB6"/>
    <w:rsid w:val="00921FF0"/>
    <w:rsid w:val="009220EF"/>
    <w:rsid w:val="009240F4"/>
    <w:rsid w:val="00926989"/>
    <w:rsid w:val="00926D25"/>
    <w:rsid w:val="00926F9E"/>
    <w:rsid w:val="009275DE"/>
    <w:rsid w:val="00932309"/>
    <w:rsid w:val="009329B0"/>
    <w:rsid w:val="00934F25"/>
    <w:rsid w:val="00935943"/>
    <w:rsid w:val="00940196"/>
    <w:rsid w:val="00940352"/>
    <w:rsid w:val="009404F7"/>
    <w:rsid w:val="00941D5A"/>
    <w:rsid w:val="009459E4"/>
    <w:rsid w:val="00952EC9"/>
    <w:rsid w:val="009531C9"/>
    <w:rsid w:val="009557DE"/>
    <w:rsid w:val="00955ACC"/>
    <w:rsid w:val="00955DA2"/>
    <w:rsid w:val="0095614F"/>
    <w:rsid w:val="00957149"/>
    <w:rsid w:val="009578DF"/>
    <w:rsid w:val="0095799B"/>
    <w:rsid w:val="0096081F"/>
    <w:rsid w:val="00964684"/>
    <w:rsid w:val="00964EC2"/>
    <w:rsid w:val="00965073"/>
    <w:rsid w:val="00965CC8"/>
    <w:rsid w:val="00967816"/>
    <w:rsid w:val="00970F56"/>
    <w:rsid w:val="00971478"/>
    <w:rsid w:val="0097272D"/>
    <w:rsid w:val="00974E81"/>
    <w:rsid w:val="00975394"/>
    <w:rsid w:val="0097644F"/>
    <w:rsid w:val="00977BDC"/>
    <w:rsid w:val="00980048"/>
    <w:rsid w:val="009813F5"/>
    <w:rsid w:val="00981577"/>
    <w:rsid w:val="00982A61"/>
    <w:rsid w:val="00982E20"/>
    <w:rsid w:val="00984935"/>
    <w:rsid w:val="00984B2D"/>
    <w:rsid w:val="00984FFB"/>
    <w:rsid w:val="00986125"/>
    <w:rsid w:val="0098691A"/>
    <w:rsid w:val="00987344"/>
    <w:rsid w:val="00991A97"/>
    <w:rsid w:val="00992B0C"/>
    <w:rsid w:val="009936AB"/>
    <w:rsid w:val="009941C7"/>
    <w:rsid w:val="00996844"/>
    <w:rsid w:val="009A0DD8"/>
    <w:rsid w:val="009A0F98"/>
    <w:rsid w:val="009A1D28"/>
    <w:rsid w:val="009A29E6"/>
    <w:rsid w:val="009A2A2B"/>
    <w:rsid w:val="009A2C1D"/>
    <w:rsid w:val="009A45E1"/>
    <w:rsid w:val="009A4BDD"/>
    <w:rsid w:val="009A5263"/>
    <w:rsid w:val="009A56CD"/>
    <w:rsid w:val="009A585B"/>
    <w:rsid w:val="009A6782"/>
    <w:rsid w:val="009A7D05"/>
    <w:rsid w:val="009B2549"/>
    <w:rsid w:val="009B2C14"/>
    <w:rsid w:val="009B33B9"/>
    <w:rsid w:val="009B428A"/>
    <w:rsid w:val="009B4F80"/>
    <w:rsid w:val="009B4F94"/>
    <w:rsid w:val="009B501D"/>
    <w:rsid w:val="009B6EAB"/>
    <w:rsid w:val="009C008E"/>
    <w:rsid w:val="009C16CC"/>
    <w:rsid w:val="009C517A"/>
    <w:rsid w:val="009C55F3"/>
    <w:rsid w:val="009D163D"/>
    <w:rsid w:val="009D1AD9"/>
    <w:rsid w:val="009D1D4F"/>
    <w:rsid w:val="009D2433"/>
    <w:rsid w:val="009D3BD5"/>
    <w:rsid w:val="009D3E0E"/>
    <w:rsid w:val="009D7390"/>
    <w:rsid w:val="009D76BE"/>
    <w:rsid w:val="009E085C"/>
    <w:rsid w:val="009E1146"/>
    <w:rsid w:val="009E14E3"/>
    <w:rsid w:val="009E2067"/>
    <w:rsid w:val="009E20C9"/>
    <w:rsid w:val="009E2577"/>
    <w:rsid w:val="009E3A99"/>
    <w:rsid w:val="009E3E9D"/>
    <w:rsid w:val="009E470C"/>
    <w:rsid w:val="009E50EF"/>
    <w:rsid w:val="009E51DA"/>
    <w:rsid w:val="009E57B6"/>
    <w:rsid w:val="009F0709"/>
    <w:rsid w:val="009F0E68"/>
    <w:rsid w:val="009F0FB8"/>
    <w:rsid w:val="009F1FFD"/>
    <w:rsid w:val="009F3F54"/>
    <w:rsid w:val="009F49B8"/>
    <w:rsid w:val="009F4F1C"/>
    <w:rsid w:val="009F51CF"/>
    <w:rsid w:val="009F5252"/>
    <w:rsid w:val="009F55DD"/>
    <w:rsid w:val="009F6A99"/>
    <w:rsid w:val="009F72B8"/>
    <w:rsid w:val="009F7B55"/>
    <w:rsid w:val="00A0035F"/>
    <w:rsid w:val="00A02495"/>
    <w:rsid w:val="00A02A66"/>
    <w:rsid w:val="00A03987"/>
    <w:rsid w:val="00A04A45"/>
    <w:rsid w:val="00A04D14"/>
    <w:rsid w:val="00A04F51"/>
    <w:rsid w:val="00A058A8"/>
    <w:rsid w:val="00A05CBB"/>
    <w:rsid w:val="00A10C32"/>
    <w:rsid w:val="00A17F1A"/>
    <w:rsid w:val="00A222B4"/>
    <w:rsid w:val="00A22FDE"/>
    <w:rsid w:val="00A23284"/>
    <w:rsid w:val="00A2457C"/>
    <w:rsid w:val="00A245A3"/>
    <w:rsid w:val="00A2471B"/>
    <w:rsid w:val="00A25A36"/>
    <w:rsid w:val="00A2679D"/>
    <w:rsid w:val="00A27D8F"/>
    <w:rsid w:val="00A30540"/>
    <w:rsid w:val="00A31443"/>
    <w:rsid w:val="00A326F7"/>
    <w:rsid w:val="00A32BBF"/>
    <w:rsid w:val="00A33288"/>
    <w:rsid w:val="00A334B7"/>
    <w:rsid w:val="00A341B3"/>
    <w:rsid w:val="00A35B3C"/>
    <w:rsid w:val="00A378A1"/>
    <w:rsid w:val="00A4069B"/>
    <w:rsid w:val="00A41893"/>
    <w:rsid w:val="00A418A4"/>
    <w:rsid w:val="00A42FA1"/>
    <w:rsid w:val="00A45519"/>
    <w:rsid w:val="00A45E8B"/>
    <w:rsid w:val="00A46ACD"/>
    <w:rsid w:val="00A46E9D"/>
    <w:rsid w:val="00A46ECE"/>
    <w:rsid w:val="00A46FE8"/>
    <w:rsid w:val="00A50BAD"/>
    <w:rsid w:val="00A51D8C"/>
    <w:rsid w:val="00A52596"/>
    <w:rsid w:val="00A5267E"/>
    <w:rsid w:val="00A52688"/>
    <w:rsid w:val="00A53374"/>
    <w:rsid w:val="00A5362B"/>
    <w:rsid w:val="00A54245"/>
    <w:rsid w:val="00A5464A"/>
    <w:rsid w:val="00A54CF7"/>
    <w:rsid w:val="00A604AE"/>
    <w:rsid w:val="00A61F36"/>
    <w:rsid w:val="00A625E1"/>
    <w:rsid w:val="00A62E67"/>
    <w:rsid w:val="00A67A88"/>
    <w:rsid w:val="00A67FEC"/>
    <w:rsid w:val="00A700A6"/>
    <w:rsid w:val="00A702E3"/>
    <w:rsid w:val="00A715EB"/>
    <w:rsid w:val="00A72042"/>
    <w:rsid w:val="00A72BD0"/>
    <w:rsid w:val="00A7328B"/>
    <w:rsid w:val="00A73988"/>
    <w:rsid w:val="00A800DC"/>
    <w:rsid w:val="00A80305"/>
    <w:rsid w:val="00A809EB"/>
    <w:rsid w:val="00A80AD6"/>
    <w:rsid w:val="00A80F8B"/>
    <w:rsid w:val="00A819BE"/>
    <w:rsid w:val="00A8361D"/>
    <w:rsid w:val="00A83E18"/>
    <w:rsid w:val="00A84C16"/>
    <w:rsid w:val="00A85172"/>
    <w:rsid w:val="00A86539"/>
    <w:rsid w:val="00A86A19"/>
    <w:rsid w:val="00A8745F"/>
    <w:rsid w:val="00A874D9"/>
    <w:rsid w:val="00A90866"/>
    <w:rsid w:val="00A9121B"/>
    <w:rsid w:val="00A91CDC"/>
    <w:rsid w:val="00A91D07"/>
    <w:rsid w:val="00A935D9"/>
    <w:rsid w:val="00A93F66"/>
    <w:rsid w:val="00A94594"/>
    <w:rsid w:val="00A945EE"/>
    <w:rsid w:val="00A95C90"/>
    <w:rsid w:val="00A966C3"/>
    <w:rsid w:val="00A96803"/>
    <w:rsid w:val="00A96E1F"/>
    <w:rsid w:val="00AA0E91"/>
    <w:rsid w:val="00AA0F82"/>
    <w:rsid w:val="00AA104F"/>
    <w:rsid w:val="00AA2040"/>
    <w:rsid w:val="00AA276B"/>
    <w:rsid w:val="00AA3339"/>
    <w:rsid w:val="00AA3CCF"/>
    <w:rsid w:val="00AA5CEA"/>
    <w:rsid w:val="00AA6B36"/>
    <w:rsid w:val="00AA7D1B"/>
    <w:rsid w:val="00AB0CB6"/>
    <w:rsid w:val="00AB0D6A"/>
    <w:rsid w:val="00AB0E6B"/>
    <w:rsid w:val="00AB2017"/>
    <w:rsid w:val="00AB21BD"/>
    <w:rsid w:val="00AB22DE"/>
    <w:rsid w:val="00AB3AC3"/>
    <w:rsid w:val="00AB3B29"/>
    <w:rsid w:val="00AB4E6B"/>
    <w:rsid w:val="00AB564C"/>
    <w:rsid w:val="00AB6139"/>
    <w:rsid w:val="00AB6A34"/>
    <w:rsid w:val="00AC07A4"/>
    <w:rsid w:val="00AC11CE"/>
    <w:rsid w:val="00AC2087"/>
    <w:rsid w:val="00AC26F7"/>
    <w:rsid w:val="00AC3836"/>
    <w:rsid w:val="00AC41BA"/>
    <w:rsid w:val="00AC47D8"/>
    <w:rsid w:val="00AC6647"/>
    <w:rsid w:val="00AC6A70"/>
    <w:rsid w:val="00AC752A"/>
    <w:rsid w:val="00AD051F"/>
    <w:rsid w:val="00AD0CAD"/>
    <w:rsid w:val="00AD15BF"/>
    <w:rsid w:val="00AD1CA4"/>
    <w:rsid w:val="00AD1CAA"/>
    <w:rsid w:val="00AD307C"/>
    <w:rsid w:val="00AD3BD6"/>
    <w:rsid w:val="00AD5F5E"/>
    <w:rsid w:val="00AD7A26"/>
    <w:rsid w:val="00AE1186"/>
    <w:rsid w:val="00AE124D"/>
    <w:rsid w:val="00AE1544"/>
    <w:rsid w:val="00AE1DF7"/>
    <w:rsid w:val="00AE298F"/>
    <w:rsid w:val="00AE2B80"/>
    <w:rsid w:val="00AE39BB"/>
    <w:rsid w:val="00AE5161"/>
    <w:rsid w:val="00AE57CD"/>
    <w:rsid w:val="00AE715A"/>
    <w:rsid w:val="00AF0E0A"/>
    <w:rsid w:val="00AF1C75"/>
    <w:rsid w:val="00AF2706"/>
    <w:rsid w:val="00AF559F"/>
    <w:rsid w:val="00B00712"/>
    <w:rsid w:val="00B01980"/>
    <w:rsid w:val="00B03E5B"/>
    <w:rsid w:val="00B03FB0"/>
    <w:rsid w:val="00B04F36"/>
    <w:rsid w:val="00B052C0"/>
    <w:rsid w:val="00B06282"/>
    <w:rsid w:val="00B0639A"/>
    <w:rsid w:val="00B069F5"/>
    <w:rsid w:val="00B06D1B"/>
    <w:rsid w:val="00B072F1"/>
    <w:rsid w:val="00B07C20"/>
    <w:rsid w:val="00B10C9C"/>
    <w:rsid w:val="00B110CA"/>
    <w:rsid w:val="00B129FF"/>
    <w:rsid w:val="00B13589"/>
    <w:rsid w:val="00B17247"/>
    <w:rsid w:val="00B17552"/>
    <w:rsid w:val="00B2162B"/>
    <w:rsid w:val="00B22735"/>
    <w:rsid w:val="00B25C2A"/>
    <w:rsid w:val="00B261AD"/>
    <w:rsid w:val="00B27A78"/>
    <w:rsid w:val="00B31328"/>
    <w:rsid w:val="00B317AF"/>
    <w:rsid w:val="00B32571"/>
    <w:rsid w:val="00B33F8B"/>
    <w:rsid w:val="00B34E99"/>
    <w:rsid w:val="00B35322"/>
    <w:rsid w:val="00B3730F"/>
    <w:rsid w:val="00B402D7"/>
    <w:rsid w:val="00B40D95"/>
    <w:rsid w:val="00B412B0"/>
    <w:rsid w:val="00B423CA"/>
    <w:rsid w:val="00B434B4"/>
    <w:rsid w:val="00B43D47"/>
    <w:rsid w:val="00B45198"/>
    <w:rsid w:val="00B462B2"/>
    <w:rsid w:val="00B46422"/>
    <w:rsid w:val="00B505AE"/>
    <w:rsid w:val="00B51B5A"/>
    <w:rsid w:val="00B525B7"/>
    <w:rsid w:val="00B52827"/>
    <w:rsid w:val="00B53923"/>
    <w:rsid w:val="00B53D96"/>
    <w:rsid w:val="00B54369"/>
    <w:rsid w:val="00B543A4"/>
    <w:rsid w:val="00B55593"/>
    <w:rsid w:val="00B556AD"/>
    <w:rsid w:val="00B556D8"/>
    <w:rsid w:val="00B577E4"/>
    <w:rsid w:val="00B618F7"/>
    <w:rsid w:val="00B62810"/>
    <w:rsid w:val="00B62D0A"/>
    <w:rsid w:val="00B62D75"/>
    <w:rsid w:val="00B62F3B"/>
    <w:rsid w:val="00B66E2B"/>
    <w:rsid w:val="00B671CB"/>
    <w:rsid w:val="00B67C11"/>
    <w:rsid w:val="00B7050B"/>
    <w:rsid w:val="00B7142C"/>
    <w:rsid w:val="00B7207F"/>
    <w:rsid w:val="00B72691"/>
    <w:rsid w:val="00B727BD"/>
    <w:rsid w:val="00B73322"/>
    <w:rsid w:val="00B743B9"/>
    <w:rsid w:val="00B74752"/>
    <w:rsid w:val="00B7557C"/>
    <w:rsid w:val="00B75D03"/>
    <w:rsid w:val="00B765CB"/>
    <w:rsid w:val="00B76A64"/>
    <w:rsid w:val="00B76DD6"/>
    <w:rsid w:val="00B77A02"/>
    <w:rsid w:val="00B77AD2"/>
    <w:rsid w:val="00B80E14"/>
    <w:rsid w:val="00B82161"/>
    <w:rsid w:val="00B85C04"/>
    <w:rsid w:val="00B8782C"/>
    <w:rsid w:val="00B921EA"/>
    <w:rsid w:val="00B92248"/>
    <w:rsid w:val="00B9545F"/>
    <w:rsid w:val="00B95FCF"/>
    <w:rsid w:val="00B97B42"/>
    <w:rsid w:val="00B97E16"/>
    <w:rsid w:val="00BA0412"/>
    <w:rsid w:val="00BA0527"/>
    <w:rsid w:val="00BA06B4"/>
    <w:rsid w:val="00BA216E"/>
    <w:rsid w:val="00BA3D7E"/>
    <w:rsid w:val="00BA5510"/>
    <w:rsid w:val="00BA5561"/>
    <w:rsid w:val="00BA62C4"/>
    <w:rsid w:val="00BA6D78"/>
    <w:rsid w:val="00BB0663"/>
    <w:rsid w:val="00BB1189"/>
    <w:rsid w:val="00BB14A9"/>
    <w:rsid w:val="00BB1529"/>
    <w:rsid w:val="00BB296E"/>
    <w:rsid w:val="00BB375A"/>
    <w:rsid w:val="00BB4E27"/>
    <w:rsid w:val="00BB638E"/>
    <w:rsid w:val="00BB6463"/>
    <w:rsid w:val="00BB67C0"/>
    <w:rsid w:val="00BB6F2C"/>
    <w:rsid w:val="00BC0BC9"/>
    <w:rsid w:val="00BC21A1"/>
    <w:rsid w:val="00BC2EAF"/>
    <w:rsid w:val="00BC60BA"/>
    <w:rsid w:val="00BC62DE"/>
    <w:rsid w:val="00BD0B3B"/>
    <w:rsid w:val="00BD0F1F"/>
    <w:rsid w:val="00BD2742"/>
    <w:rsid w:val="00BD36E0"/>
    <w:rsid w:val="00BD3C20"/>
    <w:rsid w:val="00BD3D32"/>
    <w:rsid w:val="00BD3F79"/>
    <w:rsid w:val="00BD4908"/>
    <w:rsid w:val="00BD64B5"/>
    <w:rsid w:val="00BE265D"/>
    <w:rsid w:val="00BE3E41"/>
    <w:rsid w:val="00BE436A"/>
    <w:rsid w:val="00BE48EE"/>
    <w:rsid w:val="00BE4D6B"/>
    <w:rsid w:val="00BE54D5"/>
    <w:rsid w:val="00BE7701"/>
    <w:rsid w:val="00BF075C"/>
    <w:rsid w:val="00BF1081"/>
    <w:rsid w:val="00BF14B5"/>
    <w:rsid w:val="00BF25FD"/>
    <w:rsid w:val="00BF30C3"/>
    <w:rsid w:val="00BF4562"/>
    <w:rsid w:val="00BF689B"/>
    <w:rsid w:val="00C01F23"/>
    <w:rsid w:val="00C03D1A"/>
    <w:rsid w:val="00C04103"/>
    <w:rsid w:val="00C0459C"/>
    <w:rsid w:val="00C06B2D"/>
    <w:rsid w:val="00C071C4"/>
    <w:rsid w:val="00C0785F"/>
    <w:rsid w:val="00C07B2D"/>
    <w:rsid w:val="00C11957"/>
    <w:rsid w:val="00C1345A"/>
    <w:rsid w:val="00C13B3D"/>
    <w:rsid w:val="00C14299"/>
    <w:rsid w:val="00C1536A"/>
    <w:rsid w:val="00C160AD"/>
    <w:rsid w:val="00C160EB"/>
    <w:rsid w:val="00C161BB"/>
    <w:rsid w:val="00C1724E"/>
    <w:rsid w:val="00C176F7"/>
    <w:rsid w:val="00C1792D"/>
    <w:rsid w:val="00C22B6A"/>
    <w:rsid w:val="00C2460F"/>
    <w:rsid w:val="00C2531D"/>
    <w:rsid w:val="00C2591A"/>
    <w:rsid w:val="00C25E7A"/>
    <w:rsid w:val="00C25F1F"/>
    <w:rsid w:val="00C266E4"/>
    <w:rsid w:val="00C27374"/>
    <w:rsid w:val="00C27AFD"/>
    <w:rsid w:val="00C3093F"/>
    <w:rsid w:val="00C3184A"/>
    <w:rsid w:val="00C31B1F"/>
    <w:rsid w:val="00C329EA"/>
    <w:rsid w:val="00C331CA"/>
    <w:rsid w:val="00C37A76"/>
    <w:rsid w:val="00C37EBE"/>
    <w:rsid w:val="00C41F74"/>
    <w:rsid w:val="00C44A1A"/>
    <w:rsid w:val="00C4519D"/>
    <w:rsid w:val="00C458F5"/>
    <w:rsid w:val="00C46B8E"/>
    <w:rsid w:val="00C46D49"/>
    <w:rsid w:val="00C51F8C"/>
    <w:rsid w:val="00C52B60"/>
    <w:rsid w:val="00C54261"/>
    <w:rsid w:val="00C5448B"/>
    <w:rsid w:val="00C549E8"/>
    <w:rsid w:val="00C56C4E"/>
    <w:rsid w:val="00C576A0"/>
    <w:rsid w:val="00C57E74"/>
    <w:rsid w:val="00C60D01"/>
    <w:rsid w:val="00C61C0E"/>
    <w:rsid w:val="00C62CBF"/>
    <w:rsid w:val="00C63A5E"/>
    <w:rsid w:val="00C645B1"/>
    <w:rsid w:val="00C6555D"/>
    <w:rsid w:val="00C6576C"/>
    <w:rsid w:val="00C66C90"/>
    <w:rsid w:val="00C676F2"/>
    <w:rsid w:val="00C677A7"/>
    <w:rsid w:val="00C7063B"/>
    <w:rsid w:val="00C7118D"/>
    <w:rsid w:val="00C717A4"/>
    <w:rsid w:val="00C72D89"/>
    <w:rsid w:val="00C73A85"/>
    <w:rsid w:val="00C73DB6"/>
    <w:rsid w:val="00C76114"/>
    <w:rsid w:val="00C76FB9"/>
    <w:rsid w:val="00C8122B"/>
    <w:rsid w:val="00C82523"/>
    <w:rsid w:val="00C8255D"/>
    <w:rsid w:val="00C82EE5"/>
    <w:rsid w:val="00C8327F"/>
    <w:rsid w:val="00C8349F"/>
    <w:rsid w:val="00C86E4C"/>
    <w:rsid w:val="00C8765E"/>
    <w:rsid w:val="00C87B44"/>
    <w:rsid w:val="00C87C07"/>
    <w:rsid w:val="00C87CE4"/>
    <w:rsid w:val="00C904B5"/>
    <w:rsid w:val="00C90FA6"/>
    <w:rsid w:val="00C91CC6"/>
    <w:rsid w:val="00C92076"/>
    <w:rsid w:val="00C924C9"/>
    <w:rsid w:val="00C94C0B"/>
    <w:rsid w:val="00C96D7C"/>
    <w:rsid w:val="00CA08C0"/>
    <w:rsid w:val="00CA0C86"/>
    <w:rsid w:val="00CA22C8"/>
    <w:rsid w:val="00CA33A3"/>
    <w:rsid w:val="00CA3669"/>
    <w:rsid w:val="00CA372F"/>
    <w:rsid w:val="00CA40A6"/>
    <w:rsid w:val="00CA47F7"/>
    <w:rsid w:val="00CA49CE"/>
    <w:rsid w:val="00CA6931"/>
    <w:rsid w:val="00CB0A80"/>
    <w:rsid w:val="00CB107E"/>
    <w:rsid w:val="00CB22DC"/>
    <w:rsid w:val="00CB2576"/>
    <w:rsid w:val="00CB42B6"/>
    <w:rsid w:val="00CB48D9"/>
    <w:rsid w:val="00CB4B64"/>
    <w:rsid w:val="00CB5ECF"/>
    <w:rsid w:val="00CB6734"/>
    <w:rsid w:val="00CB6D00"/>
    <w:rsid w:val="00CB7C8D"/>
    <w:rsid w:val="00CC0DEC"/>
    <w:rsid w:val="00CC102E"/>
    <w:rsid w:val="00CC157D"/>
    <w:rsid w:val="00CC1D96"/>
    <w:rsid w:val="00CC3B4A"/>
    <w:rsid w:val="00CC60B8"/>
    <w:rsid w:val="00CD0BE6"/>
    <w:rsid w:val="00CD1C21"/>
    <w:rsid w:val="00CD25D1"/>
    <w:rsid w:val="00CD6060"/>
    <w:rsid w:val="00CD6C2C"/>
    <w:rsid w:val="00CD707B"/>
    <w:rsid w:val="00CD71B7"/>
    <w:rsid w:val="00CD7646"/>
    <w:rsid w:val="00CE0E77"/>
    <w:rsid w:val="00CE1037"/>
    <w:rsid w:val="00CE20EC"/>
    <w:rsid w:val="00CE22AD"/>
    <w:rsid w:val="00CE3605"/>
    <w:rsid w:val="00CE3906"/>
    <w:rsid w:val="00CE59A5"/>
    <w:rsid w:val="00CE6792"/>
    <w:rsid w:val="00CE6A3F"/>
    <w:rsid w:val="00CE7B5F"/>
    <w:rsid w:val="00CF0A3A"/>
    <w:rsid w:val="00CF113A"/>
    <w:rsid w:val="00CF1A56"/>
    <w:rsid w:val="00CF2C90"/>
    <w:rsid w:val="00CF4F59"/>
    <w:rsid w:val="00CF7EC3"/>
    <w:rsid w:val="00D000DE"/>
    <w:rsid w:val="00D00E68"/>
    <w:rsid w:val="00D01C37"/>
    <w:rsid w:val="00D0419F"/>
    <w:rsid w:val="00D04351"/>
    <w:rsid w:val="00D054BF"/>
    <w:rsid w:val="00D06D60"/>
    <w:rsid w:val="00D10213"/>
    <w:rsid w:val="00D12A3A"/>
    <w:rsid w:val="00D12CA6"/>
    <w:rsid w:val="00D15D78"/>
    <w:rsid w:val="00D16589"/>
    <w:rsid w:val="00D16713"/>
    <w:rsid w:val="00D212F4"/>
    <w:rsid w:val="00D21F6C"/>
    <w:rsid w:val="00D22069"/>
    <w:rsid w:val="00D22769"/>
    <w:rsid w:val="00D23334"/>
    <w:rsid w:val="00D237F2"/>
    <w:rsid w:val="00D238E9"/>
    <w:rsid w:val="00D25F70"/>
    <w:rsid w:val="00D302ED"/>
    <w:rsid w:val="00D30C58"/>
    <w:rsid w:val="00D31206"/>
    <w:rsid w:val="00D3172C"/>
    <w:rsid w:val="00D353B9"/>
    <w:rsid w:val="00D4122D"/>
    <w:rsid w:val="00D41843"/>
    <w:rsid w:val="00D4191B"/>
    <w:rsid w:val="00D42A36"/>
    <w:rsid w:val="00D43DDE"/>
    <w:rsid w:val="00D44C42"/>
    <w:rsid w:val="00D45153"/>
    <w:rsid w:val="00D47266"/>
    <w:rsid w:val="00D50A3D"/>
    <w:rsid w:val="00D50F71"/>
    <w:rsid w:val="00D51CF3"/>
    <w:rsid w:val="00D5211F"/>
    <w:rsid w:val="00D52222"/>
    <w:rsid w:val="00D53CBC"/>
    <w:rsid w:val="00D54C85"/>
    <w:rsid w:val="00D54D02"/>
    <w:rsid w:val="00D55385"/>
    <w:rsid w:val="00D565D5"/>
    <w:rsid w:val="00D56A6D"/>
    <w:rsid w:val="00D57DB7"/>
    <w:rsid w:val="00D6133E"/>
    <w:rsid w:val="00D614ED"/>
    <w:rsid w:val="00D6374A"/>
    <w:rsid w:val="00D63E1C"/>
    <w:rsid w:val="00D64080"/>
    <w:rsid w:val="00D64F5E"/>
    <w:rsid w:val="00D6509C"/>
    <w:rsid w:val="00D65FB4"/>
    <w:rsid w:val="00D675D4"/>
    <w:rsid w:val="00D7388C"/>
    <w:rsid w:val="00D7466A"/>
    <w:rsid w:val="00D74F0C"/>
    <w:rsid w:val="00D74FBC"/>
    <w:rsid w:val="00D75909"/>
    <w:rsid w:val="00D75957"/>
    <w:rsid w:val="00D801CE"/>
    <w:rsid w:val="00D80EE3"/>
    <w:rsid w:val="00D8209D"/>
    <w:rsid w:val="00D83C24"/>
    <w:rsid w:val="00D83C65"/>
    <w:rsid w:val="00D85293"/>
    <w:rsid w:val="00D90141"/>
    <w:rsid w:val="00D9030F"/>
    <w:rsid w:val="00D908A8"/>
    <w:rsid w:val="00D9152E"/>
    <w:rsid w:val="00D91CE9"/>
    <w:rsid w:val="00D9201D"/>
    <w:rsid w:val="00D92318"/>
    <w:rsid w:val="00D9322C"/>
    <w:rsid w:val="00D93995"/>
    <w:rsid w:val="00D93EB2"/>
    <w:rsid w:val="00D94041"/>
    <w:rsid w:val="00D955B8"/>
    <w:rsid w:val="00D9671D"/>
    <w:rsid w:val="00D96F47"/>
    <w:rsid w:val="00DA19D1"/>
    <w:rsid w:val="00DA2A35"/>
    <w:rsid w:val="00DA436B"/>
    <w:rsid w:val="00DA5FA2"/>
    <w:rsid w:val="00DA62A5"/>
    <w:rsid w:val="00DA69D9"/>
    <w:rsid w:val="00DA6DFA"/>
    <w:rsid w:val="00DB1F15"/>
    <w:rsid w:val="00DB22F3"/>
    <w:rsid w:val="00DB5D4C"/>
    <w:rsid w:val="00DB6851"/>
    <w:rsid w:val="00DB7A23"/>
    <w:rsid w:val="00DC1431"/>
    <w:rsid w:val="00DC19AC"/>
    <w:rsid w:val="00DC2327"/>
    <w:rsid w:val="00DC2340"/>
    <w:rsid w:val="00DC37C7"/>
    <w:rsid w:val="00DC5719"/>
    <w:rsid w:val="00DC5EEF"/>
    <w:rsid w:val="00DC66AA"/>
    <w:rsid w:val="00DC6C4E"/>
    <w:rsid w:val="00DD1D2F"/>
    <w:rsid w:val="00DD1D3B"/>
    <w:rsid w:val="00DD2904"/>
    <w:rsid w:val="00DD355B"/>
    <w:rsid w:val="00DD48C5"/>
    <w:rsid w:val="00DD6F4A"/>
    <w:rsid w:val="00DE1CDE"/>
    <w:rsid w:val="00DE2D85"/>
    <w:rsid w:val="00DE4094"/>
    <w:rsid w:val="00DE5D19"/>
    <w:rsid w:val="00DE6F9E"/>
    <w:rsid w:val="00DE75BC"/>
    <w:rsid w:val="00DF0778"/>
    <w:rsid w:val="00DF253C"/>
    <w:rsid w:val="00DF32D1"/>
    <w:rsid w:val="00DF376F"/>
    <w:rsid w:val="00DF4AB0"/>
    <w:rsid w:val="00DF5707"/>
    <w:rsid w:val="00DF631D"/>
    <w:rsid w:val="00DF640C"/>
    <w:rsid w:val="00DF720E"/>
    <w:rsid w:val="00E00780"/>
    <w:rsid w:val="00E00DED"/>
    <w:rsid w:val="00E00FA1"/>
    <w:rsid w:val="00E01072"/>
    <w:rsid w:val="00E01157"/>
    <w:rsid w:val="00E04345"/>
    <w:rsid w:val="00E066E5"/>
    <w:rsid w:val="00E07CA4"/>
    <w:rsid w:val="00E117D0"/>
    <w:rsid w:val="00E11A97"/>
    <w:rsid w:val="00E13C39"/>
    <w:rsid w:val="00E1411B"/>
    <w:rsid w:val="00E151B3"/>
    <w:rsid w:val="00E15AF1"/>
    <w:rsid w:val="00E15C74"/>
    <w:rsid w:val="00E160E1"/>
    <w:rsid w:val="00E175B2"/>
    <w:rsid w:val="00E20E8B"/>
    <w:rsid w:val="00E20FEA"/>
    <w:rsid w:val="00E22501"/>
    <w:rsid w:val="00E24993"/>
    <w:rsid w:val="00E25480"/>
    <w:rsid w:val="00E25C62"/>
    <w:rsid w:val="00E274D0"/>
    <w:rsid w:val="00E276C4"/>
    <w:rsid w:val="00E30C44"/>
    <w:rsid w:val="00E31024"/>
    <w:rsid w:val="00E315F2"/>
    <w:rsid w:val="00E3249A"/>
    <w:rsid w:val="00E32D08"/>
    <w:rsid w:val="00E332E4"/>
    <w:rsid w:val="00E33601"/>
    <w:rsid w:val="00E33765"/>
    <w:rsid w:val="00E33C08"/>
    <w:rsid w:val="00E34E0C"/>
    <w:rsid w:val="00E35556"/>
    <w:rsid w:val="00E3557F"/>
    <w:rsid w:val="00E36746"/>
    <w:rsid w:val="00E37F9B"/>
    <w:rsid w:val="00E4058A"/>
    <w:rsid w:val="00E42317"/>
    <w:rsid w:val="00E4263A"/>
    <w:rsid w:val="00E42826"/>
    <w:rsid w:val="00E42A9B"/>
    <w:rsid w:val="00E433C8"/>
    <w:rsid w:val="00E43841"/>
    <w:rsid w:val="00E43B9F"/>
    <w:rsid w:val="00E46B59"/>
    <w:rsid w:val="00E470F9"/>
    <w:rsid w:val="00E473A5"/>
    <w:rsid w:val="00E50364"/>
    <w:rsid w:val="00E507E4"/>
    <w:rsid w:val="00E50AF7"/>
    <w:rsid w:val="00E52E8E"/>
    <w:rsid w:val="00E54696"/>
    <w:rsid w:val="00E54767"/>
    <w:rsid w:val="00E55809"/>
    <w:rsid w:val="00E562F2"/>
    <w:rsid w:val="00E56451"/>
    <w:rsid w:val="00E56725"/>
    <w:rsid w:val="00E56949"/>
    <w:rsid w:val="00E56ED7"/>
    <w:rsid w:val="00E571F6"/>
    <w:rsid w:val="00E57680"/>
    <w:rsid w:val="00E57B1D"/>
    <w:rsid w:val="00E60263"/>
    <w:rsid w:val="00E61682"/>
    <w:rsid w:val="00E61BBD"/>
    <w:rsid w:val="00E6267D"/>
    <w:rsid w:val="00E6291D"/>
    <w:rsid w:val="00E632E5"/>
    <w:rsid w:val="00E67D4D"/>
    <w:rsid w:val="00E71FC8"/>
    <w:rsid w:val="00E7329A"/>
    <w:rsid w:val="00E740BB"/>
    <w:rsid w:val="00E740C1"/>
    <w:rsid w:val="00E74717"/>
    <w:rsid w:val="00E74BE9"/>
    <w:rsid w:val="00E7582E"/>
    <w:rsid w:val="00E7596B"/>
    <w:rsid w:val="00E80EF7"/>
    <w:rsid w:val="00E82A4D"/>
    <w:rsid w:val="00E831D2"/>
    <w:rsid w:val="00E83C59"/>
    <w:rsid w:val="00E86C6C"/>
    <w:rsid w:val="00E87358"/>
    <w:rsid w:val="00E874E1"/>
    <w:rsid w:val="00E8777F"/>
    <w:rsid w:val="00E87AA9"/>
    <w:rsid w:val="00E904F3"/>
    <w:rsid w:val="00E919ED"/>
    <w:rsid w:val="00E91B76"/>
    <w:rsid w:val="00E92029"/>
    <w:rsid w:val="00E9319C"/>
    <w:rsid w:val="00E957DD"/>
    <w:rsid w:val="00E95FDE"/>
    <w:rsid w:val="00E96640"/>
    <w:rsid w:val="00E96B60"/>
    <w:rsid w:val="00E97359"/>
    <w:rsid w:val="00EA038A"/>
    <w:rsid w:val="00EA0DF0"/>
    <w:rsid w:val="00EA129A"/>
    <w:rsid w:val="00EA1B4E"/>
    <w:rsid w:val="00EA4AD8"/>
    <w:rsid w:val="00EA77D4"/>
    <w:rsid w:val="00EB0FEF"/>
    <w:rsid w:val="00EB143A"/>
    <w:rsid w:val="00EB1A02"/>
    <w:rsid w:val="00EB2421"/>
    <w:rsid w:val="00EB2498"/>
    <w:rsid w:val="00EB349C"/>
    <w:rsid w:val="00EB6497"/>
    <w:rsid w:val="00EB68AE"/>
    <w:rsid w:val="00EB70BB"/>
    <w:rsid w:val="00EB7943"/>
    <w:rsid w:val="00EB7B6F"/>
    <w:rsid w:val="00EC0C70"/>
    <w:rsid w:val="00EC1332"/>
    <w:rsid w:val="00EC1DEF"/>
    <w:rsid w:val="00EC33E4"/>
    <w:rsid w:val="00EC36A0"/>
    <w:rsid w:val="00EC4014"/>
    <w:rsid w:val="00EC4640"/>
    <w:rsid w:val="00EC54B4"/>
    <w:rsid w:val="00EC7282"/>
    <w:rsid w:val="00EC7A9A"/>
    <w:rsid w:val="00EC7C69"/>
    <w:rsid w:val="00ED0464"/>
    <w:rsid w:val="00ED1598"/>
    <w:rsid w:val="00ED1B3C"/>
    <w:rsid w:val="00ED245E"/>
    <w:rsid w:val="00ED25EF"/>
    <w:rsid w:val="00ED2EAE"/>
    <w:rsid w:val="00ED61B1"/>
    <w:rsid w:val="00ED64B3"/>
    <w:rsid w:val="00ED7759"/>
    <w:rsid w:val="00ED7DBF"/>
    <w:rsid w:val="00EE0BBF"/>
    <w:rsid w:val="00EE1A6E"/>
    <w:rsid w:val="00EE3FA2"/>
    <w:rsid w:val="00EE4C3F"/>
    <w:rsid w:val="00EE75A6"/>
    <w:rsid w:val="00EE7C2C"/>
    <w:rsid w:val="00EF02F2"/>
    <w:rsid w:val="00EF14D0"/>
    <w:rsid w:val="00EF21AF"/>
    <w:rsid w:val="00EF2409"/>
    <w:rsid w:val="00EF2BD5"/>
    <w:rsid w:val="00EF2C0D"/>
    <w:rsid w:val="00EF3E59"/>
    <w:rsid w:val="00EF3EA6"/>
    <w:rsid w:val="00EF5C2B"/>
    <w:rsid w:val="00EF5FA4"/>
    <w:rsid w:val="00EF6A81"/>
    <w:rsid w:val="00EF6D88"/>
    <w:rsid w:val="00EF6EC7"/>
    <w:rsid w:val="00EF7383"/>
    <w:rsid w:val="00F00A1E"/>
    <w:rsid w:val="00F0186D"/>
    <w:rsid w:val="00F01C06"/>
    <w:rsid w:val="00F02334"/>
    <w:rsid w:val="00F02447"/>
    <w:rsid w:val="00F038C8"/>
    <w:rsid w:val="00F0429C"/>
    <w:rsid w:val="00F04DC4"/>
    <w:rsid w:val="00F05944"/>
    <w:rsid w:val="00F070D5"/>
    <w:rsid w:val="00F07E49"/>
    <w:rsid w:val="00F10B24"/>
    <w:rsid w:val="00F11A3F"/>
    <w:rsid w:val="00F11DCA"/>
    <w:rsid w:val="00F140CE"/>
    <w:rsid w:val="00F156CA"/>
    <w:rsid w:val="00F15735"/>
    <w:rsid w:val="00F17EC0"/>
    <w:rsid w:val="00F17F8A"/>
    <w:rsid w:val="00F23C51"/>
    <w:rsid w:val="00F245C1"/>
    <w:rsid w:val="00F26809"/>
    <w:rsid w:val="00F30DB1"/>
    <w:rsid w:val="00F31C1C"/>
    <w:rsid w:val="00F31FBE"/>
    <w:rsid w:val="00F33B92"/>
    <w:rsid w:val="00F33F36"/>
    <w:rsid w:val="00F34D99"/>
    <w:rsid w:val="00F34F81"/>
    <w:rsid w:val="00F37EE4"/>
    <w:rsid w:val="00F40175"/>
    <w:rsid w:val="00F404FE"/>
    <w:rsid w:val="00F40F38"/>
    <w:rsid w:val="00F41A2D"/>
    <w:rsid w:val="00F430FD"/>
    <w:rsid w:val="00F43493"/>
    <w:rsid w:val="00F43F34"/>
    <w:rsid w:val="00F44955"/>
    <w:rsid w:val="00F45DBF"/>
    <w:rsid w:val="00F51D2F"/>
    <w:rsid w:val="00F53750"/>
    <w:rsid w:val="00F546E4"/>
    <w:rsid w:val="00F54F3A"/>
    <w:rsid w:val="00F5574D"/>
    <w:rsid w:val="00F566F5"/>
    <w:rsid w:val="00F56E27"/>
    <w:rsid w:val="00F5779A"/>
    <w:rsid w:val="00F6097D"/>
    <w:rsid w:val="00F61308"/>
    <w:rsid w:val="00F61385"/>
    <w:rsid w:val="00F61F42"/>
    <w:rsid w:val="00F6251F"/>
    <w:rsid w:val="00F62D1E"/>
    <w:rsid w:val="00F647B8"/>
    <w:rsid w:val="00F64DE9"/>
    <w:rsid w:val="00F6531A"/>
    <w:rsid w:val="00F6706A"/>
    <w:rsid w:val="00F67141"/>
    <w:rsid w:val="00F734C7"/>
    <w:rsid w:val="00F759AD"/>
    <w:rsid w:val="00F77D09"/>
    <w:rsid w:val="00F81CAB"/>
    <w:rsid w:val="00F81F3E"/>
    <w:rsid w:val="00F82B61"/>
    <w:rsid w:val="00F842EE"/>
    <w:rsid w:val="00F857CE"/>
    <w:rsid w:val="00F861AF"/>
    <w:rsid w:val="00F863A1"/>
    <w:rsid w:val="00F86F56"/>
    <w:rsid w:val="00F87B8B"/>
    <w:rsid w:val="00F87E35"/>
    <w:rsid w:val="00F9124F"/>
    <w:rsid w:val="00F91F64"/>
    <w:rsid w:val="00F93B61"/>
    <w:rsid w:val="00F9444D"/>
    <w:rsid w:val="00F94871"/>
    <w:rsid w:val="00F95322"/>
    <w:rsid w:val="00F959C3"/>
    <w:rsid w:val="00F95A80"/>
    <w:rsid w:val="00F95FF3"/>
    <w:rsid w:val="00F9600B"/>
    <w:rsid w:val="00F971E2"/>
    <w:rsid w:val="00FA02C1"/>
    <w:rsid w:val="00FA0565"/>
    <w:rsid w:val="00FA1973"/>
    <w:rsid w:val="00FA2739"/>
    <w:rsid w:val="00FA386E"/>
    <w:rsid w:val="00FA7192"/>
    <w:rsid w:val="00FA72E9"/>
    <w:rsid w:val="00FB045E"/>
    <w:rsid w:val="00FB1102"/>
    <w:rsid w:val="00FB15E5"/>
    <w:rsid w:val="00FB1F89"/>
    <w:rsid w:val="00FB29E1"/>
    <w:rsid w:val="00FB32BA"/>
    <w:rsid w:val="00FB430D"/>
    <w:rsid w:val="00FB6C10"/>
    <w:rsid w:val="00FC0069"/>
    <w:rsid w:val="00FC0153"/>
    <w:rsid w:val="00FC0B96"/>
    <w:rsid w:val="00FC112A"/>
    <w:rsid w:val="00FC2DDB"/>
    <w:rsid w:val="00FC327B"/>
    <w:rsid w:val="00FC4B1E"/>
    <w:rsid w:val="00FC5497"/>
    <w:rsid w:val="00FC7C3B"/>
    <w:rsid w:val="00FD1627"/>
    <w:rsid w:val="00FD2BFD"/>
    <w:rsid w:val="00FD3B4C"/>
    <w:rsid w:val="00FD5E7D"/>
    <w:rsid w:val="00FD60E4"/>
    <w:rsid w:val="00FD662C"/>
    <w:rsid w:val="00FD7BC6"/>
    <w:rsid w:val="00FE0850"/>
    <w:rsid w:val="00FE0D5F"/>
    <w:rsid w:val="00FE1555"/>
    <w:rsid w:val="00FE1FFD"/>
    <w:rsid w:val="00FE2A61"/>
    <w:rsid w:val="00FE3284"/>
    <w:rsid w:val="00FE5C8A"/>
    <w:rsid w:val="00FE5D69"/>
    <w:rsid w:val="00FE643E"/>
    <w:rsid w:val="00FE7F5A"/>
    <w:rsid w:val="00FE7FD1"/>
    <w:rsid w:val="00FF0281"/>
    <w:rsid w:val="00FF19C1"/>
    <w:rsid w:val="00FF25CA"/>
    <w:rsid w:val="00FF2731"/>
    <w:rsid w:val="00FF3E67"/>
    <w:rsid w:val="00FF446F"/>
    <w:rsid w:val="00FF569C"/>
    <w:rsid w:val="00FF606B"/>
    <w:rsid w:val="00FF706F"/>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0337E7"/>
  <w14:defaultImageDpi w14:val="32767"/>
  <w15:docId w15:val="{9EC4E35C-6AEF-EF47-82A2-0A02E944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ACD"/>
    <w:pPr>
      <w:spacing w:after="240"/>
    </w:pPr>
  </w:style>
  <w:style w:type="paragraph" w:styleId="Heading1">
    <w:name w:val="heading 1"/>
    <w:basedOn w:val="Normal"/>
    <w:next w:val="Normal"/>
    <w:link w:val="Heading1Char"/>
    <w:uiPriority w:val="9"/>
    <w:qFormat/>
    <w:rsid w:val="00FD3B4C"/>
    <w:pPr>
      <w:keepNext/>
      <w:keepLines/>
      <w:spacing w:before="240" w:after="120"/>
      <w:outlineLvl w:val="0"/>
    </w:pPr>
    <w:rPr>
      <w:rFonts w:asciiTheme="majorHAnsi" w:eastAsiaTheme="majorEastAsia" w:hAnsiTheme="majorHAnsi" w:cstheme="majorBidi"/>
      <w:b/>
      <w:sz w:val="28"/>
      <w:szCs w:val="28"/>
      <w:lang w:val="en-GB"/>
    </w:rPr>
  </w:style>
  <w:style w:type="paragraph" w:styleId="Heading2">
    <w:name w:val="heading 2"/>
    <w:basedOn w:val="Normal"/>
    <w:next w:val="Normal"/>
    <w:link w:val="Heading2Char"/>
    <w:uiPriority w:val="9"/>
    <w:unhideWhenUsed/>
    <w:qFormat/>
    <w:rsid w:val="00AB3B29"/>
    <w:pPr>
      <w:spacing w:before="240"/>
      <w:outlineLvl w:val="1"/>
    </w:pPr>
    <w:rPr>
      <w:rFonts w:asciiTheme="majorHAnsi" w:hAnsiTheme="majorHAnsi"/>
      <w:b/>
    </w:rPr>
  </w:style>
  <w:style w:type="paragraph" w:styleId="Heading3">
    <w:name w:val="heading 3"/>
    <w:basedOn w:val="Normal"/>
    <w:next w:val="Normal"/>
    <w:link w:val="Heading3Char"/>
    <w:uiPriority w:val="9"/>
    <w:unhideWhenUsed/>
    <w:qFormat/>
    <w:rsid w:val="00C91CC6"/>
    <w:pPr>
      <w:keepNext/>
      <w:keepLines/>
      <w:spacing w:before="40" w:after="0"/>
      <w:outlineLvl w:val="2"/>
    </w:pPr>
    <w:rPr>
      <w:rFonts w:asciiTheme="majorHAnsi" w:eastAsiaTheme="majorEastAsia" w:hAnsiTheme="majorHAnsi" w:cstheme="majorBidi"/>
      <w:b/>
      <w:i/>
    </w:rPr>
  </w:style>
  <w:style w:type="paragraph" w:styleId="Heading4">
    <w:name w:val="heading 4"/>
    <w:basedOn w:val="Normal"/>
    <w:next w:val="Normal"/>
    <w:link w:val="Heading4Char"/>
    <w:uiPriority w:val="9"/>
    <w:semiHidden/>
    <w:unhideWhenUsed/>
    <w:qFormat/>
    <w:rsid w:val="000B5B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54AD"/>
    <w:pPr>
      <w:ind w:left="720"/>
      <w:contextualSpacing/>
    </w:pPr>
  </w:style>
  <w:style w:type="character" w:styleId="CommentReference">
    <w:name w:val="annotation reference"/>
    <w:basedOn w:val="DefaultParagraphFont"/>
    <w:uiPriority w:val="99"/>
    <w:semiHidden/>
    <w:unhideWhenUsed/>
    <w:rsid w:val="00D054BF"/>
    <w:rPr>
      <w:sz w:val="18"/>
      <w:szCs w:val="18"/>
    </w:rPr>
  </w:style>
  <w:style w:type="paragraph" w:styleId="CommentText">
    <w:name w:val="annotation text"/>
    <w:basedOn w:val="Normal"/>
    <w:link w:val="CommentTextChar"/>
    <w:uiPriority w:val="99"/>
    <w:unhideWhenUsed/>
    <w:rsid w:val="00D054BF"/>
  </w:style>
  <w:style w:type="character" w:customStyle="1" w:styleId="CommentTextChar">
    <w:name w:val="Comment Text Char"/>
    <w:basedOn w:val="DefaultParagraphFont"/>
    <w:link w:val="CommentText"/>
    <w:uiPriority w:val="99"/>
    <w:rsid w:val="00D054BF"/>
  </w:style>
  <w:style w:type="paragraph" w:styleId="CommentSubject">
    <w:name w:val="annotation subject"/>
    <w:basedOn w:val="CommentText"/>
    <w:next w:val="CommentText"/>
    <w:link w:val="CommentSubjectChar"/>
    <w:uiPriority w:val="99"/>
    <w:semiHidden/>
    <w:unhideWhenUsed/>
    <w:rsid w:val="00D054BF"/>
    <w:rPr>
      <w:b/>
      <w:bCs/>
      <w:sz w:val="20"/>
      <w:szCs w:val="20"/>
    </w:rPr>
  </w:style>
  <w:style w:type="character" w:customStyle="1" w:styleId="CommentSubjectChar">
    <w:name w:val="Comment Subject Char"/>
    <w:basedOn w:val="CommentTextChar"/>
    <w:link w:val="CommentSubject"/>
    <w:uiPriority w:val="99"/>
    <w:semiHidden/>
    <w:rsid w:val="00D054BF"/>
    <w:rPr>
      <w:b/>
      <w:bCs/>
      <w:sz w:val="20"/>
      <w:szCs w:val="20"/>
    </w:rPr>
  </w:style>
  <w:style w:type="paragraph" w:styleId="BalloonText">
    <w:name w:val="Balloon Text"/>
    <w:basedOn w:val="Normal"/>
    <w:link w:val="BalloonTextChar"/>
    <w:uiPriority w:val="99"/>
    <w:semiHidden/>
    <w:unhideWhenUsed/>
    <w:rsid w:val="00D054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54BF"/>
    <w:rPr>
      <w:rFonts w:ascii="Times New Roman" w:hAnsi="Times New Roman" w:cs="Times New Roman"/>
      <w:sz w:val="18"/>
      <w:szCs w:val="18"/>
    </w:rPr>
  </w:style>
  <w:style w:type="paragraph" w:customStyle="1" w:styleId="EndNoteBibliography">
    <w:name w:val="EndNote Bibliography"/>
    <w:basedOn w:val="Normal"/>
    <w:link w:val="EndNoteBibliographyChar"/>
    <w:rsid w:val="00D054BF"/>
    <w:pPr>
      <w:spacing w:after="200"/>
    </w:pPr>
    <w:rPr>
      <w:rFonts w:ascii="Calibri" w:hAnsi="Calibri" w:cs="Calibri"/>
      <w:noProof/>
      <w:szCs w:val="22"/>
    </w:rPr>
  </w:style>
  <w:style w:type="character" w:customStyle="1" w:styleId="EndNoteBibliographyChar">
    <w:name w:val="EndNote Bibliography Char"/>
    <w:basedOn w:val="DefaultParagraphFont"/>
    <w:link w:val="EndNoteBibliography"/>
    <w:rsid w:val="00D054BF"/>
    <w:rPr>
      <w:rFonts w:ascii="Calibri" w:hAnsi="Calibri" w:cs="Calibri"/>
      <w:noProof/>
      <w:szCs w:val="22"/>
    </w:rPr>
  </w:style>
  <w:style w:type="character" w:customStyle="1" w:styleId="apple-converted-space">
    <w:name w:val="apple-converted-space"/>
    <w:basedOn w:val="DefaultParagraphFont"/>
    <w:rsid w:val="007C07CF"/>
  </w:style>
  <w:style w:type="character" w:customStyle="1" w:styleId="highlight">
    <w:name w:val="highlight"/>
    <w:basedOn w:val="DefaultParagraphFont"/>
    <w:rsid w:val="008A0E66"/>
  </w:style>
  <w:style w:type="paragraph" w:styleId="Title">
    <w:name w:val="Title"/>
    <w:basedOn w:val="Normal"/>
    <w:next w:val="Normal"/>
    <w:link w:val="TitleChar"/>
    <w:uiPriority w:val="10"/>
    <w:qFormat/>
    <w:rsid w:val="00356B3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B3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D3B4C"/>
    <w:rPr>
      <w:rFonts w:asciiTheme="majorHAnsi" w:eastAsiaTheme="majorEastAsia" w:hAnsiTheme="majorHAnsi" w:cstheme="majorBidi"/>
      <w:b/>
      <w:sz w:val="28"/>
      <w:szCs w:val="28"/>
      <w:lang w:val="en-GB"/>
    </w:rPr>
  </w:style>
  <w:style w:type="character" w:customStyle="1" w:styleId="Heading2Char">
    <w:name w:val="Heading 2 Char"/>
    <w:basedOn w:val="DefaultParagraphFont"/>
    <w:link w:val="Heading2"/>
    <w:uiPriority w:val="9"/>
    <w:rsid w:val="00AB3B29"/>
    <w:rPr>
      <w:rFonts w:asciiTheme="majorHAnsi" w:hAnsiTheme="majorHAnsi"/>
      <w:b/>
    </w:rPr>
  </w:style>
  <w:style w:type="paragraph" w:styleId="Revision">
    <w:name w:val="Revision"/>
    <w:hidden/>
    <w:uiPriority w:val="99"/>
    <w:semiHidden/>
    <w:rsid w:val="0096081F"/>
  </w:style>
  <w:style w:type="character" w:customStyle="1" w:styleId="Heading3Char">
    <w:name w:val="Heading 3 Char"/>
    <w:basedOn w:val="DefaultParagraphFont"/>
    <w:link w:val="Heading3"/>
    <w:uiPriority w:val="9"/>
    <w:rsid w:val="00C91CC6"/>
    <w:rPr>
      <w:rFonts w:asciiTheme="majorHAnsi" w:eastAsiaTheme="majorEastAsia" w:hAnsiTheme="majorHAnsi" w:cstheme="majorBidi"/>
      <w:b/>
      <w:i/>
    </w:rPr>
  </w:style>
  <w:style w:type="paragraph" w:customStyle="1" w:styleId="EndNoteBibliographyTitle">
    <w:name w:val="EndNote Bibliography Title"/>
    <w:basedOn w:val="Normal"/>
    <w:rsid w:val="00DD1D3B"/>
    <w:pPr>
      <w:spacing w:after="0"/>
      <w:jc w:val="center"/>
    </w:pPr>
    <w:rPr>
      <w:rFonts w:ascii="Calibri" w:hAnsi="Calibri" w:cs="Calibri"/>
    </w:rPr>
  </w:style>
  <w:style w:type="paragraph" w:styleId="Caption">
    <w:name w:val="caption"/>
    <w:basedOn w:val="Normal"/>
    <w:next w:val="Normal"/>
    <w:link w:val="CaptionChar"/>
    <w:autoRedefine/>
    <w:uiPriority w:val="35"/>
    <w:qFormat/>
    <w:rsid w:val="00BB0663"/>
    <w:pPr>
      <w:keepNext/>
      <w:spacing w:before="120" w:line="360" w:lineRule="auto"/>
    </w:pPr>
    <w:rPr>
      <w:rFonts w:ascii="Calibri" w:eastAsia="Calibri" w:hAnsi="Calibri" w:cs="Times New Roman"/>
      <w:b/>
      <w:bCs/>
      <w:sz w:val="20"/>
      <w:szCs w:val="18"/>
      <w:lang w:val="en-GB"/>
    </w:rPr>
  </w:style>
  <w:style w:type="character" w:customStyle="1" w:styleId="CaptionChar">
    <w:name w:val="Caption Char"/>
    <w:link w:val="Caption"/>
    <w:uiPriority w:val="35"/>
    <w:rsid w:val="00BB0663"/>
    <w:rPr>
      <w:rFonts w:ascii="Calibri" w:eastAsia="Calibri" w:hAnsi="Calibri" w:cs="Times New Roman"/>
      <w:b/>
      <w:bCs/>
      <w:sz w:val="20"/>
      <w:szCs w:val="18"/>
      <w:lang w:val="en-GB"/>
    </w:rPr>
  </w:style>
  <w:style w:type="character" w:customStyle="1" w:styleId="ListParagraphChar">
    <w:name w:val="List Paragraph Char"/>
    <w:basedOn w:val="DefaultParagraphFont"/>
    <w:link w:val="ListParagraph"/>
    <w:uiPriority w:val="34"/>
    <w:rsid w:val="005C2A7D"/>
  </w:style>
  <w:style w:type="paragraph" w:styleId="PlainText">
    <w:name w:val="Plain Text"/>
    <w:basedOn w:val="Normal"/>
    <w:link w:val="PlainTextChar"/>
    <w:uiPriority w:val="99"/>
    <w:semiHidden/>
    <w:unhideWhenUsed/>
    <w:rsid w:val="0001712E"/>
    <w:pPr>
      <w:spacing w:after="0"/>
    </w:pPr>
    <w:rPr>
      <w:rFonts w:ascii="Calibri" w:hAnsi="Calibri" w:cs="Consolas"/>
      <w:sz w:val="22"/>
      <w:szCs w:val="21"/>
      <w:lang w:val="en-GB"/>
    </w:rPr>
  </w:style>
  <w:style w:type="character" w:customStyle="1" w:styleId="PlainTextChar">
    <w:name w:val="Plain Text Char"/>
    <w:basedOn w:val="DefaultParagraphFont"/>
    <w:link w:val="PlainText"/>
    <w:uiPriority w:val="99"/>
    <w:semiHidden/>
    <w:rsid w:val="0001712E"/>
    <w:rPr>
      <w:rFonts w:ascii="Calibri" w:hAnsi="Calibri" w:cs="Consolas"/>
      <w:sz w:val="22"/>
      <w:szCs w:val="21"/>
      <w:lang w:val="en-GB"/>
    </w:rPr>
  </w:style>
  <w:style w:type="paragraph" w:styleId="Header">
    <w:name w:val="header"/>
    <w:basedOn w:val="Normal"/>
    <w:link w:val="HeaderChar"/>
    <w:uiPriority w:val="99"/>
    <w:unhideWhenUsed/>
    <w:rsid w:val="001477E4"/>
    <w:pPr>
      <w:tabs>
        <w:tab w:val="center" w:pos="4513"/>
        <w:tab w:val="right" w:pos="9026"/>
      </w:tabs>
      <w:spacing w:after="0"/>
    </w:pPr>
  </w:style>
  <w:style w:type="character" w:customStyle="1" w:styleId="HeaderChar">
    <w:name w:val="Header Char"/>
    <w:basedOn w:val="DefaultParagraphFont"/>
    <w:link w:val="Header"/>
    <w:uiPriority w:val="99"/>
    <w:rsid w:val="001477E4"/>
  </w:style>
  <w:style w:type="paragraph" w:styleId="Footer">
    <w:name w:val="footer"/>
    <w:basedOn w:val="Normal"/>
    <w:link w:val="FooterChar"/>
    <w:uiPriority w:val="99"/>
    <w:unhideWhenUsed/>
    <w:rsid w:val="001477E4"/>
    <w:pPr>
      <w:tabs>
        <w:tab w:val="center" w:pos="4513"/>
        <w:tab w:val="right" w:pos="9026"/>
      </w:tabs>
      <w:spacing w:after="0"/>
    </w:pPr>
  </w:style>
  <w:style w:type="character" w:customStyle="1" w:styleId="FooterChar">
    <w:name w:val="Footer Char"/>
    <w:basedOn w:val="DefaultParagraphFont"/>
    <w:link w:val="Footer"/>
    <w:uiPriority w:val="99"/>
    <w:rsid w:val="001477E4"/>
  </w:style>
  <w:style w:type="character" w:styleId="Emphasis">
    <w:name w:val="Emphasis"/>
    <w:basedOn w:val="DefaultParagraphFont"/>
    <w:uiPriority w:val="20"/>
    <w:qFormat/>
    <w:rsid w:val="00BC0BC9"/>
    <w:rPr>
      <w:i/>
      <w:iCs/>
    </w:rPr>
  </w:style>
  <w:style w:type="table" w:styleId="TableGrid">
    <w:name w:val="Table Grid"/>
    <w:basedOn w:val="TableNormal"/>
    <w:uiPriority w:val="39"/>
    <w:rsid w:val="00605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8782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rsid w:val="00B8782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Shading2-Accent3">
    <w:name w:val="Medium Shading 2 Accent 3"/>
    <w:basedOn w:val="TableNormal"/>
    <w:uiPriority w:val="64"/>
    <w:rsid w:val="00B878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DocumentMap">
    <w:name w:val="Document Map"/>
    <w:basedOn w:val="Normal"/>
    <w:link w:val="DocumentMapChar"/>
    <w:uiPriority w:val="99"/>
    <w:semiHidden/>
    <w:unhideWhenUsed/>
    <w:rsid w:val="007421DE"/>
    <w:pPr>
      <w:spacing w:after="0"/>
    </w:pPr>
    <w:rPr>
      <w:rFonts w:ascii="Tahoma" w:hAnsi="Tahoma" w:cs="Tahoma"/>
      <w:sz w:val="16"/>
      <w:szCs w:val="16"/>
      <w:lang w:val="en-GB"/>
    </w:rPr>
  </w:style>
  <w:style w:type="character" w:customStyle="1" w:styleId="DocumentMapChar">
    <w:name w:val="Document Map Char"/>
    <w:basedOn w:val="DefaultParagraphFont"/>
    <w:link w:val="DocumentMap"/>
    <w:uiPriority w:val="99"/>
    <w:semiHidden/>
    <w:rsid w:val="007421DE"/>
    <w:rPr>
      <w:rFonts w:ascii="Tahoma" w:hAnsi="Tahoma" w:cs="Tahoma"/>
      <w:sz w:val="16"/>
      <w:szCs w:val="16"/>
      <w:lang w:val="en-GB"/>
    </w:rPr>
  </w:style>
  <w:style w:type="paragraph" w:styleId="NormalWeb">
    <w:name w:val="Normal (Web)"/>
    <w:basedOn w:val="Normal"/>
    <w:uiPriority w:val="99"/>
    <w:unhideWhenUsed/>
    <w:rsid w:val="007421DE"/>
    <w:pPr>
      <w:spacing w:before="100" w:beforeAutospacing="1" w:after="100" w:afterAutospacing="1"/>
    </w:pPr>
    <w:rPr>
      <w:rFonts w:ascii="Times New Roman" w:hAnsi="Times New Roman" w:cs="Times New Roman"/>
      <w:lang w:val="en-GB" w:eastAsia="en-GB"/>
    </w:rPr>
  </w:style>
  <w:style w:type="paragraph" w:styleId="NoSpacing">
    <w:name w:val="No Spacing"/>
    <w:uiPriority w:val="1"/>
    <w:qFormat/>
    <w:rsid w:val="000F0C57"/>
  </w:style>
  <w:style w:type="character" w:customStyle="1" w:styleId="Heading4Char">
    <w:name w:val="Heading 4 Char"/>
    <w:basedOn w:val="DefaultParagraphFont"/>
    <w:link w:val="Heading4"/>
    <w:uiPriority w:val="9"/>
    <w:semiHidden/>
    <w:rsid w:val="000B5B8E"/>
    <w:rPr>
      <w:rFonts w:asciiTheme="majorHAnsi" w:eastAsiaTheme="majorEastAsia" w:hAnsiTheme="majorHAnsi" w:cstheme="majorBidi"/>
      <w:i/>
      <w:iCs/>
      <w:color w:val="2F5496" w:themeColor="accent1" w:themeShade="BF"/>
    </w:rPr>
  </w:style>
  <w:style w:type="paragraph" w:customStyle="1" w:styleId="Default">
    <w:name w:val="Default"/>
    <w:rsid w:val="00A96E1F"/>
    <w:pPr>
      <w:autoSpaceDE w:val="0"/>
      <w:autoSpaceDN w:val="0"/>
      <w:adjustRightInd w:val="0"/>
    </w:pPr>
    <w:rPr>
      <w:rFonts w:ascii="Arial" w:hAnsi="Arial" w:cs="Arial"/>
      <w:color w:val="000000"/>
      <w:lang w:val="en-GB"/>
    </w:rPr>
  </w:style>
  <w:style w:type="paragraph" w:customStyle="1" w:styleId="Title1">
    <w:name w:val="Title1"/>
    <w:basedOn w:val="Normal"/>
    <w:rsid w:val="006C16F4"/>
    <w:pPr>
      <w:spacing w:before="100" w:beforeAutospacing="1" w:after="100" w:afterAutospacing="1"/>
    </w:pPr>
    <w:rPr>
      <w:rFonts w:ascii="Times New Roman" w:eastAsia="Times New Roman" w:hAnsi="Times New Roman" w:cs="Times New Roman"/>
      <w:lang w:val="en-GB"/>
    </w:rPr>
  </w:style>
  <w:style w:type="character" w:styleId="Hyperlink">
    <w:name w:val="Hyperlink"/>
    <w:basedOn w:val="DefaultParagraphFont"/>
    <w:uiPriority w:val="99"/>
    <w:unhideWhenUsed/>
    <w:rsid w:val="006C16F4"/>
    <w:rPr>
      <w:color w:val="0000FF"/>
      <w:u w:val="single"/>
    </w:rPr>
  </w:style>
  <w:style w:type="paragraph" w:customStyle="1" w:styleId="desc">
    <w:name w:val="desc"/>
    <w:basedOn w:val="Normal"/>
    <w:rsid w:val="006C16F4"/>
    <w:pPr>
      <w:spacing w:before="100" w:beforeAutospacing="1" w:after="100" w:afterAutospacing="1"/>
    </w:pPr>
    <w:rPr>
      <w:rFonts w:ascii="Times New Roman" w:eastAsia="Times New Roman" w:hAnsi="Times New Roman" w:cs="Times New Roman"/>
      <w:lang w:val="en-GB"/>
    </w:rPr>
  </w:style>
  <w:style w:type="paragraph" w:customStyle="1" w:styleId="details">
    <w:name w:val="details"/>
    <w:basedOn w:val="Normal"/>
    <w:rsid w:val="006C16F4"/>
    <w:pPr>
      <w:spacing w:before="100" w:beforeAutospacing="1" w:after="100" w:afterAutospacing="1"/>
    </w:pPr>
    <w:rPr>
      <w:rFonts w:ascii="Times New Roman" w:eastAsia="Times New Roman" w:hAnsi="Times New Roman" w:cs="Times New Roman"/>
      <w:lang w:val="en-GB"/>
    </w:rPr>
  </w:style>
  <w:style w:type="character" w:customStyle="1" w:styleId="jrnl">
    <w:name w:val="jrnl"/>
    <w:basedOn w:val="DefaultParagraphFont"/>
    <w:rsid w:val="006C16F4"/>
  </w:style>
  <w:style w:type="character" w:styleId="HTMLCite">
    <w:name w:val="HTML Cite"/>
    <w:basedOn w:val="DefaultParagraphFont"/>
    <w:uiPriority w:val="99"/>
    <w:semiHidden/>
    <w:unhideWhenUsed/>
    <w:rsid w:val="00403B4E"/>
    <w:rPr>
      <w:i/>
      <w:iCs/>
    </w:rPr>
  </w:style>
  <w:style w:type="character" w:styleId="Strong">
    <w:name w:val="Strong"/>
    <w:basedOn w:val="DefaultParagraphFont"/>
    <w:uiPriority w:val="22"/>
    <w:qFormat/>
    <w:rsid w:val="00836735"/>
    <w:rPr>
      <w:b/>
      <w:bCs/>
    </w:rPr>
  </w:style>
  <w:style w:type="character" w:customStyle="1" w:styleId="UnresolvedMention1">
    <w:name w:val="Unresolved Mention1"/>
    <w:basedOn w:val="DefaultParagraphFont"/>
    <w:uiPriority w:val="99"/>
    <w:semiHidden/>
    <w:unhideWhenUsed/>
    <w:rsid w:val="000972D8"/>
    <w:rPr>
      <w:color w:val="605E5C"/>
      <w:shd w:val="clear" w:color="auto" w:fill="E1DFDD"/>
    </w:rPr>
  </w:style>
  <w:style w:type="character" w:customStyle="1" w:styleId="meta-citation-journal-name">
    <w:name w:val="meta-citation-journal-name"/>
    <w:basedOn w:val="DefaultParagraphFont"/>
    <w:rsid w:val="000236E4"/>
  </w:style>
  <w:style w:type="character" w:customStyle="1" w:styleId="meta-citation">
    <w:name w:val="meta-citation"/>
    <w:basedOn w:val="DefaultParagraphFont"/>
    <w:rsid w:val="000236E4"/>
  </w:style>
  <w:style w:type="character" w:customStyle="1" w:styleId="al-author-name-more">
    <w:name w:val="al-author-name-more"/>
    <w:basedOn w:val="DefaultParagraphFont"/>
    <w:rsid w:val="009A7D05"/>
  </w:style>
  <w:style w:type="character" w:styleId="LineNumber">
    <w:name w:val="line number"/>
    <w:basedOn w:val="DefaultParagraphFont"/>
    <w:uiPriority w:val="99"/>
    <w:semiHidden/>
    <w:unhideWhenUsed/>
    <w:rsid w:val="001C51E2"/>
  </w:style>
  <w:style w:type="paragraph" w:customStyle="1" w:styleId="LightGrid-Accent31">
    <w:name w:val="Light Grid - Accent 31"/>
    <w:basedOn w:val="Normal"/>
    <w:uiPriority w:val="34"/>
    <w:qFormat/>
    <w:rsid w:val="00557C5B"/>
    <w:pPr>
      <w:spacing w:after="160" w:line="259" w:lineRule="auto"/>
      <w:ind w:left="720"/>
      <w:contextualSpacing/>
    </w:pPr>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C54261"/>
    <w:rPr>
      <w:color w:val="605E5C"/>
      <w:shd w:val="clear" w:color="auto" w:fill="E1DFDD"/>
    </w:rPr>
  </w:style>
  <w:style w:type="character" w:styleId="PageNumber">
    <w:name w:val="page number"/>
    <w:basedOn w:val="DefaultParagraphFont"/>
    <w:uiPriority w:val="99"/>
    <w:semiHidden/>
    <w:unhideWhenUsed/>
    <w:rsid w:val="00004865"/>
  </w:style>
  <w:style w:type="table" w:styleId="ListTable3-Accent1">
    <w:name w:val="List Table 3 Accent 1"/>
    <w:basedOn w:val="TableNormal"/>
    <w:uiPriority w:val="48"/>
    <w:rsid w:val="003F57E7"/>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6573">
      <w:bodyDiv w:val="1"/>
      <w:marLeft w:val="0"/>
      <w:marRight w:val="0"/>
      <w:marTop w:val="0"/>
      <w:marBottom w:val="0"/>
      <w:divBdr>
        <w:top w:val="none" w:sz="0" w:space="0" w:color="auto"/>
        <w:left w:val="none" w:sz="0" w:space="0" w:color="auto"/>
        <w:bottom w:val="none" w:sz="0" w:space="0" w:color="auto"/>
        <w:right w:val="none" w:sz="0" w:space="0" w:color="auto"/>
      </w:divBdr>
    </w:div>
    <w:div w:id="50472425">
      <w:bodyDiv w:val="1"/>
      <w:marLeft w:val="0"/>
      <w:marRight w:val="0"/>
      <w:marTop w:val="0"/>
      <w:marBottom w:val="0"/>
      <w:divBdr>
        <w:top w:val="none" w:sz="0" w:space="0" w:color="auto"/>
        <w:left w:val="none" w:sz="0" w:space="0" w:color="auto"/>
        <w:bottom w:val="none" w:sz="0" w:space="0" w:color="auto"/>
        <w:right w:val="none" w:sz="0" w:space="0" w:color="auto"/>
      </w:divBdr>
    </w:div>
    <w:div w:id="55517639">
      <w:bodyDiv w:val="1"/>
      <w:marLeft w:val="0"/>
      <w:marRight w:val="0"/>
      <w:marTop w:val="0"/>
      <w:marBottom w:val="0"/>
      <w:divBdr>
        <w:top w:val="none" w:sz="0" w:space="0" w:color="auto"/>
        <w:left w:val="none" w:sz="0" w:space="0" w:color="auto"/>
        <w:bottom w:val="none" w:sz="0" w:space="0" w:color="auto"/>
        <w:right w:val="none" w:sz="0" w:space="0" w:color="auto"/>
      </w:divBdr>
    </w:div>
    <w:div w:id="98989539">
      <w:bodyDiv w:val="1"/>
      <w:marLeft w:val="0"/>
      <w:marRight w:val="0"/>
      <w:marTop w:val="0"/>
      <w:marBottom w:val="0"/>
      <w:divBdr>
        <w:top w:val="none" w:sz="0" w:space="0" w:color="auto"/>
        <w:left w:val="none" w:sz="0" w:space="0" w:color="auto"/>
        <w:bottom w:val="none" w:sz="0" w:space="0" w:color="auto"/>
        <w:right w:val="none" w:sz="0" w:space="0" w:color="auto"/>
      </w:divBdr>
    </w:div>
    <w:div w:id="197277604">
      <w:bodyDiv w:val="1"/>
      <w:marLeft w:val="0"/>
      <w:marRight w:val="0"/>
      <w:marTop w:val="0"/>
      <w:marBottom w:val="0"/>
      <w:divBdr>
        <w:top w:val="none" w:sz="0" w:space="0" w:color="auto"/>
        <w:left w:val="none" w:sz="0" w:space="0" w:color="auto"/>
        <w:bottom w:val="none" w:sz="0" w:space="0" w:color="auto"/>
        <w:right w:val="none" w:sz="0" w:space="0" w:color="auto"/>
      </w:divBdr>
    </w:div>
    <w:div w:id="202984716">
      <w:bodyDiv w:val="1"/>
      <w:marLeft w:val="0"/>
      <w:marRight w:val="0"/>
      <w:marTop w:val="0"/>
      <w:marBottom w:val="0"/>
      <w:divBdr>
        <w:top w:val="none" w:sz="0" w:space="0" w:color="auto"/>
        <w:left w:val="none" w:sz="0" w:space="0" w:color="auto"/>
        <w:bottom w:val="none" w:sz="0" w:space="0" w:color="auto"/>
        <w:right w:val="none" w:sz="0" w:space="0" w:color="auto"/>
      </w:divBdr>
    </w:div>
    <w:div w:id="243875769">
      <w:bodyDiv w:val="1"/>
      <w:marLeft w:val="0"/>
      <w:marRight w:val="0"/>
      <w:marTop w:val="0"/>
      <w:marBottom w:val="0"/>
      <w:divBdr>
        <w:top w:val="none" w:sz="0" w:space="0" w:color="auto"/>
        <w:left w:val="none" w:sz="0" w:space="0" w:color="auto"/>
        <w:bottom w:val="none" w:sz="0" w:space="0" w:color="auto"/>
        <w:right w:val="none" w:sz="0" w:space="0" w:color="auto"/>
      </w:divBdr>
    </w:div>
    <w:div w:id="272515595">
      <w:bodyDiv w:val="1"/>
      <w:marLeft w:val="0"/>
      <w:marRight w:val="0"/>
      <w:marTop w:val="0"/>
      <w:marBottom w:val="0"/>
      <w:divBdr>
        <w:top w:val="none" w:sz="0" w:space="0" w:color="auto"/>
        <w:left w:val="none" w:sz="0" w:space="0" w:color="auto"/>
        <w:bottom w:val="none" w:sz="0" w:space="0" w:color="auto"/>
        <w:right w:val="none" w:sz="0" w:space="0" w:color="auto"/>
      </w:divBdr>
    </w:div>
    <w:div w:id="289897276">
      <w:bodyDiv w:val="1"/>
      <w:marLeft w:val="0"/>
      <w:marRight w:val="0"/>
      <w:marTop w:val="0"/>
      <w:marBottom w:val="0"/>
      <w:divBdr>
        <w:top w:val="none" w:sz="0" w:space="0" w:color="auto"/>
        <w:left w:val="none" w:sz="0" w:space="0" w:color="auto"/>
        <w:bottom w:val="none" w:sz="0" w:space="0" w:color="auto"/>
        <w:right w:val="none" w:sz="0" w:space="0" w:color="auto"/>
      </w:divBdr>
    </w:div>
    <w:div w:id="310251025">
      <w:bodyDiv w:val="1"/>
      <w:marLeft w:val="0"/>
      <w:marRight w:val="0"/>
      <w:marTop w:val="0"/>
      <w:marBottom w:val="0"/>
      <w:divBdr>
        <w:top w:val="none" w:sz="0" w:space="0" w:color="auto"/>
        <w:left w:val="none" w:sz="0" w:space="0" w:color="auto"/>
        <w:bottom w:val="none" w:sz="0" w:space="0" w:color="auto"/>
        <w:right w:val="none" w:sz="0" w:space="0" w:color="auto"/>
      </w:divBdr>
    </w:div>
    <w:div w:id="363142244">
      <w:bodyDiv w:val="1"/>
      <w:marLeft w:val="0"/>
      <w:marRight w:val="0"/>
      <w:marTop w:val="0"/>
      <w:marBottom w:val="0"/>
      <w:divBdr>
        <w:top w:val="none" w:sz="0" w:space="0" w:color="auto"/>
        <w:left w:val="none" w:sz="0" w:space="0" w:color="auto"/>
        <w:bottom w:val="none" w:sz="0" w:space="0" w:color="auto"/>
        <w:right w:val="none" w:sz="0" w:space="0" w:color="auto"/>
      </w:divBdr>
    </w:div>
    <w:div w:id="366610931">
      <w:bodyDiv w:val="1"/>
      <w:marLeft w:val="0"/>
      <w:marRight w:val="0"/>
      <w:marTop w:val="0"/>
      <w:marBottom w:val="0"/>
      <w:divBdr>
        <w:top w:val="none" w:sz="0" w:space="0" w:color="auto"/>
        <w:left w:val="none" w:sz="0" w:space="0" w:color="auto"/>
        <w:bottom w:val="none" w:sz="0" w:space="0" w:color="auto"/>
        <w:right w:val="none" w:sz="0" w:space="0" w:color="auto"/>
      </w:divBdr>
    </w:div>
    <w:div w:id="374235791">
      <w:bodyDiv w:val="1"/>
      <w:marLeft w:val="0"/>
      <w:marRight w:val="0"/>
      <w:marTop w:val="0"/>
      <w:marBottom w:val="0"/>
      <w:divBdr>
        <w:top w:val="none" w:sz="0" w:space="0" w:color="auto"/>
        <w:left w:val="none" w:sz="0" w:space="0" w:color="auto"/>
        <w:bottom w:val="none" w:sz="0" w:space="0" w:color="auto"/>
        <w:right w:val="none" w:sz="0" w:space="0" w:color="auto"/>
      </w:divBdr>
    </w:div>
    <w:div w:id="405540206">
      <w:bodyDiv w:val="1"/>
      <w:marLeft w:val="0"/>
      <w:marRight w:val="0"/>
      <w:marTop w:val="0"/>
      <w:marBottom w:val="0"/>
      <w:divBdr>
        <w:top w:val="none" w:sz="0" w:space="0" w:color="auto"/>
        <w:left w:val="none" w:sz="0" w:space="0" w:color="auto"/>
        <w:bottom w:val="none" w:sz="0" w:space="0" w:color="auto"/>
        <w:right w:val="none" w:sz="0" w:space="0" w:color="auto"/>
      </w:divBdr>
    </w:div>
    <w:div w:id="416678893">
      <w:bodyDiv w:val="1"/>
      <w:marLeft w:val="0"/>
      <w:marRight w:val="0"/>
      <w:marTop w:val="0"/>
      <w:marBottom w:val="0"/>
      <w:divBdr>
        <w:top w:val="none" w:sz="0" w:space="0" w:color="auto"/>
        <w:left w:val="none" w:sz="0" w:space="0" w:color="auto"/>
        <w:bottom w:val="none" w:sz="0" w:space="0" w:color="auto"/>
        <w:right w:val="none" w:sz="0" w:space="0" w:color="auto"/>
      </w:divBdr>
    </w:div>
    <w:div w:id="501429740">
      <w:bodyDiv w:val="1"/>
      <w:marLeft w:val="0"/>
      <w:marRight w:val="0"/>
      <w:marTop w:val="0"/>
      <w:marBottom w:val="0"/>
      <w:divBdr>
        <w:top w:val="none" w:sz="0" w:space="0" w:color="auto"/>
        <w:left w:val="none" w:sz="0" w:space="0" w:color="auto"/>
        <w:bottom w:val="none" w:sz="0" w:space="0" w:color="auto"/>
        <w:right w:val="none" w:sz="0" w:space="0" w:color="auto"/>
      </w:divBdr>
    </w:div>
    <w:div w:id="504252336">
      <w:bodyDiv w:val="1"/>
      <w:marLeft w:val="0"/>
      <w:marRight w:val="0"/>
      <w:marTop w:val="0"/>
      <w:marBottom w:val="0"/>
      <w:divBdr>
        <w:top w:val="none" w:sz="0" w:space="0" w:color="auto"/>
        <w:left w:val="none" w:sz="0" w:space="0" w:color="auto"/>
        <w:bottom w:val="none" w:sz="0" w:space="0" w:color="auto"/>
        <w:right w:val="none" w:sz="0" w:space="0" w:color="auto"/>
      </w:divBdr>
    </w:div>
    <w:div w:id="526912854">
      <w:bodyDiv w:val="1"/>
      <w:marLeft w:val="0"/>
      <w:marRight w:val="0"/>
      <w:marTop w:val="0"/>
      <w:marBottom w:val="0"/>
      <w:divBdr>
        <w:top w:val="none" w:sz="0" w:space="0" w:color="auto"/>
        <w:left w:val="none" w:sz="0" w:space="0" w:color="auto"/>
        <w:bottom w:val="none" w:sz="0" w:space="0" w:color="auto"/>
        <w:right w:val="none" w:sz="0" w:space="0" w:color="auto"/>
      </w:divBdr>
    </w:div>
    <w:div w:id="538124736">
      <w:bodyDiv w:val="1"/>
      <w:marLeft w:val="0"/>
      <w:marRight w:val="0"/>
      <w:marTop w:val="0"/>
      <w:marBottom w:val="0"/>
      <w:divBdr>
        <w:top w:val="none" w:sz="0" w:space="0" w:color="auto"/>
        <w:left w:val="none" w:sz="0" w:space="0" w:color="auto"/>
        <w:bottom w:val="none" w:sz="0" w:space="0" w:color="auto"/>
        <w:right w:val="none" w:sz="0" w:space="0" w:color="auto"/>
      </w:divBdr>
    </w:div>
    <w:div w:id="545291790">
      <w:bodyDiv w:val="1"/>
      <w:marLeft w:val="0"/>
      <w:marRight w:val="0"/>
      <w:marTop w:val="0"/>
      <w:marBottom w:val="0"/>
      <w:divBdr>
        <w:top w:val="none" w:sz="0" w:space="0" w:color="auto"/>
        <w:left w:val="none" w:sz="0" w:space="0" w:color="auto"/>
        <w:bottom w:val="none" w:sz="0" w:space="0" w:color="auto"/>
        <w:right w:val="none" w:sz="0" w:space="0" w:color="auto"/>
      </w:divBdr>
    </w:div>
    <w:div w:id="562177802">
      <w:bodyDiv w:val="1"/>
      <w:marLeft w:val="0"/>
      <w:marRight w:val="0"/>
      <w:marTop w:val="0"/>
      <w:marBottom w:val="0"/>
      <w:divBdr>
        <w:top w:val="none" w:sz="0" w:space="0" w:color="auto"/>
        <w:left w:val="none" w:sz="0" w:space="0" w:color="auto"/>
        <w:bottom w:val="none" w:sz="0" w:space="0" w:color="auto"/>
        <w:right w:val="none" w:sz="0" w:space="0" w:color="auto"/>
      </w:divBdr>
    </w:div>
    <w:div w:id="581725209">
      <w:bodyDiv w:val="1"/>
      <w:marLeft w:val="0"/>
      <w:marRight w:val="0"/>
      <w:marTop w:val="0"/>
      <w:marBottom w:val="0"/>
      <w:divBdr>
        <w:top w:val="none" w:sz="0" w:space="0" w:color="auto"/>
        <w:left w:val="none" w:sz="0" w:space="0" w:color="auto"/>
        <w:bottom w:val="none" w:sz="0" w:space="0" w:color="auto"/>
        <w:right w:val="none" w:sz="0" w:space="0" w:color="auto"/>
      </w:divBdr>
    </w:div>
    <w:div w:id="591013379">
      <w:bodyDiv w:val="1"/>
      <w:marLeft w:val="0"/>
      <w:marRight w:val="0"/>
      <w:marTop w:val="0"/>
      <w:marBottom w:val="0"/>
      <w:divBdr>
        <w:top w:val="none" w:sz="0" w:space="0" w:color="auto"/>
        <w:left w:val="none" w:sz="0" w:space="0" w:color="auto"/>
        <w:bottom w:val="none" w:sz="0" w:space="0" w:color="auto"/>
        <w:right w:val="none" w:sz="0" w:space="0" w:color="auto"/>
      </w:divBdr>
    </w:div>
    <w:div w:id="602029135">
      <w:bodyDiv w:val="1"/>
      <w:marLeft w:val="0"/>
      <w:marRight w:val="0"/>
      <w:marTop w:val="0"/>
      <w:marBottom w:val="0"/>
      <w:divBdr>
        <w:top w:val="none" w:sz="0" w:space="0" w:color="auto"/>
        <w:left w:val="none" w:sz="0" w:space="0" w:color="auto"/>
        <w:bottom w:val="none" w:sz="0" w:space="0" w:color="auto"/>
        <w:right w:val="none" w:sz="0" w:space="0" w:color="auto"/>
      </w:divBdr>
    </w:div>
    <w:div w:id="618416179">
      <w:bodyDiv w:val="1"/>
      <w:marLeft w:val="0"/>
      <w:marRight w:val="0"/>
      <w:marTop w:val="0"/>
      <w:marBottom w:val="0"/>
      <w:divBdr>
        <w:top w:val="none" w:sz="0" w:space="0" w:color="auto"/>
        <w:left w:val="none" w:sz="0" w:space="0" w:color="auto"/>
        <w:bottom w:val="none" w:sz="0" w:space="0" w:color="auto"/>
        <w:right w:val="none" w:sz="0" w:space="0" w:color="auto"/>
      </w:divBdr>
      <w:divsChild>
        <w:div w:id="1498230041">
          <w:marLeft w:val="0"/>
          <w:marRight w:val="0"/>
          <w:marTop w:val="165"/>
          <w:marBottom w:val="165"/>
          <w:divBdr>
            <w:top w:val="none" w:sz="0" w:space="0" w:color="auto"/>
            <w:left w:val="none" w:sz="0" w:space="0" w:color="auto"/>
            <w:bottom w:val="none" w:sz="0" w:space="0" w:color="auto"/>
            <w:right w:val="none" w:sz="0" w:space="0" w:color="auto"/>
          </w:divBdr>
          <w:divsChild>
            <w:div w:id="9794881">
              <w:marLeft w:val="0"/>
              <w:marRight w:val="0"/>
              <w:marTop w:val="0"/>
              <w:marBottom w:val="0"/>
              <w:divBdr>
                <w:top w:val="none" w:sz="0" w:space="0" w:color="auto"/>
                <w:left w:val="none" w:sz="0" w:space="0" w:color="auto"/>
                <w:bottom w:val="none" w:sz="0" w:space="0" w:color="auto"/>
                <w:right w:val="none" w:sz="0" w:space="0" w:color="auto"/>
              </w:divBdr>
              <w:divsChild>
                <w:div w:id="65105854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40400011">
          <w:marLeft w:val="0"/>
          <w:marRight w:val="0"/>
          <w:marTop w:val="0"/>
          <w:marBottom w:val="0"/>
          <w:divBdr>
            <w:top w:val="none" w:sz="0" w:space="0" w:color="auto"/>
            <w:left w:val="none" w:sz="0" w:space="0" w:color="auto"/>
            <w:bottom w:val="none" w:sz="0" w:space="0" w:color="auto"/>
            <w:right w:val="none" w:sz="0" w:space="0" w:color="auto"/>
          </w:divBdr>
          <w:divsChild>
            <w:div w:id="211604779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619074899">
      <w:bodyDiv w:val="1"/>
      <w:marLeft w:val="0"/>
      <w:marRight w:val="0"/>
      <w:marTop w:val="0"/>
      <w:marBottom w:val="0"/>
      <w:divBdr>
        <w:top w:val="none" w:sz="0" w:space="0" w:color="auto"/>
        <w:left w:val="none" w:sz="0" w:space="0" w:color="auto"/>
        <w:bottom w:val="none" w:sz="0" w:space="0" w:color="auto"/>
        <w:right w:val="none" w:sz="0" w:space="0" w:color="auto"/>
      </w:divBdr>
      <w:divsChild>
        <w:div w:id="358287892">
          <w:marLeft w:val="0"/>
          <w:marRight w:val="0"/>
          <w:marTop w:val="0"/>
          <w:marBottom w:val="0"/>
          <w:divBdr>
            <w:top w:val="none" w:sz="0" w:space="0" w:color="auto"/>
            <w:left w:val="none" w:sz="0" w:space="0" w:color="auto"/>
            <w:bottom w:val="none" w:sz="0" w:space="0" w:color="auto"/>
            <w:right w:val="none" w:sz="0" w:space="0" w:color="auto"/>
          </w:divBdr>
        </w:div>
      </w:divsChild>
    </w:div>
    <w:div w:id="642005433">
      <w:bodyDiv w:val="1"/>
      <w:marLeft w:val="0"/>
      <w:marRight w:val="0"/>
      <w:marTop w:val="0"/>
      <w:marBottom w:val="0"/>
      <w:divBdr>
        <w:top w:val="none" w:sz="0" w:space="0" w:color="auto"/>
        <w:left w:val="none" w:sz="0" w:space="0" w:color="auto"/>
        <w:bottom w:val="none" w:sz="0" w:space="0" w:color="auto"/>
        <w:right w:val="none" w:sz="0" w:space="0" w:color="auto"/>
      </w:divBdr>
    </w:div>
    <w:div w:id="645672732">
      <w:bodyDiv w:val="1"/>
      <w:marLeft w:val="0"/>
      <w:marRight w:val="0"/>
      <w:marTop w:val="0"/>
      <w:marBottom w:val="0"/>
      <w:divBdr>
        <w:top w:val="none" w:sz="0" w:space="0" w:color="auto"/>
        <w:left w:val="none" w:sz="0" w:space="0" w:color="auto"/>
        <w:bottom w:val="none" w:sz="0" w:space="0" w:color="auto"/>
        <w:right w:val="none" w:sz="0" w:space="0" w:color="auto"/>
      </w:divBdr>
    </w:div>
    <w:div w:id="683440385">
      <w:bodyDiv w:val="1"/>
      <w:marLeft w:val="0"/>
      <w:marRight w:val="0"/>
      <w:marTop w:val="0"/>
      <w:marBottom w:val="0"/>
      <w:divBdr>
        <w:top w:val="none" w:sz="0" w:space="0" w:color="auto"/>
        <w:left w:val="none" w:sz="0" w:space="0" w:color="auto"/>
        <w:bottom w:val="none" w:sz="0" w:space="0" w:color="auto"/>
        <w:right w:val="none" w:sz="0" w:space="0" w:color="auto"/>
      </w:divBdr>
    </w:div>
    <w:div w:id="700201529">
      <w:bodyDiv w:val="1"/>
      <w:marLeft w:val="0"/>
      <w:marRight w:val="0"/>
      <w:marTop w:val="0"/>
      <w:marBottom w:val="0"/>
      <w:divBdr>
        <w:top w:val="none" w:sz="0" w:space="0" w:color="auto"/>
        <w:left w:val="none" w:sz="0" w:space="0" w:color="auto"/>
        <w:bottom w:val="none" w:sz="0" w:space="0" w:color="auto"/>
        <w:right w:val="none" w:sz="0" w:space="0" w:color="auto"/>
      </w:divBdr>
      <w:divsChild>
        <w:div w:id="679048435">
          <w:marLeft w:val="360"/>
          <w:marRight w:val="0"/>
          <w:marTop w:val="0"/>
          <w:marBottom w:val="0"/>
          <w:divBdr>
            <w:top w:val="none" w:sz="0" w:space="0" w:color="auto"/>
            <w:left w:val="none" w:sz="0" w:space="0" w:color="auto"/>
            <w:bottom w:val="none" w:sz="0" w:space="0" w:color="auto"/>
            <w:right w:val="none" w:sz="0" w:space="0" w:color="auto"/>
          </w:divBdr>
        </w:div>
        <w:div w:id="1451050510">
          <w:marLeft w:val="1080"/>
          <w:marRight w:val="0"/>
          <w:marTop w:val="0"/>
          <w:marBottom w:val="0"/>
          <w:divBdr>
            <w:top w:val="none" w:sz="0" w:space="0" w:color="auto"/>
            <w:left w:val="none" w:sz="0" w:space="0" w:color="auto"/>
            <w:bottom w:val="none" w:sz="0" w:space="0" w:color="auto"/>
            <w:right w:val="none" w:sz="0" w:space="0" w:color="auto"/>
          </w:divBdr>
        </w:div>
        <w:div w:id="1619919597">
          <w:marLeft w:val="1080"/>
          <w:marRight w:val="0"/>
          <w:marTop w:val="0"/>
          <w:marBottom w:val="0"/>
          <w:divBdr>
            <w:top w:val="none" w:sz="0" w:space="0" w:color="auto"/>
            <w:left w:val="none" w:sz="0" w:space="0" w:color="auto"/>
            <w:bottom w:val="none" w:sz="0" w:space="0" w:color="auto"/>
            <w:right w:val="none" w:sz="0" w:space="0" w:color="auto"/>
          </w:divBdr>
        </w:div>
        <w:div w:id="1643268106">
          <w:marLeft w:val="360"/>
          <w:marRight w:val="0"/>
          <w:marTop w:val="0"/>
          <w:marBottom w:val="0"/>
          <w:divBdr>
            <w:top w:val="none" w:sz="0" w:space="0" w:color="auto"/>
            <w:left w:val="none" w:sz="0" w:space="0" w:color="auto"/>
            <w:bottom w:val="none" w:sz="0" w:space="0" w:color="auto"/>
            <w:right w:val="none" w:sz="0" w:space="0" w:color="auto"/>
          </w:divBdr>
        </w:div>
      </w:divsChild>
    </w:div>
    <w:div w:id="703411506">
      <w:bodyDiv w:val="1"/>
      <w:marLeft w:val="0"/>
      <w:marRight w:val="0"/>
      <w:marTop w:val="0"/>
      <w:marBottom w:val="0"/>
      <w:divBdr>
        <w:top w:val="none" w:sz="0" w:space="0" w:color="auto"/>
        <w:left w:val="none" w:sz="0" w:space="0" w:color="auto"/>
        <w:bottom w:val="none" w:sz="0" w:space="0" w:color="auto"/>
        <w:right w:val="none" w:sz="0" w:space="0" w:color="auto"/>
      </w:divBdr>
    </w:div>
    <w:div w:id="730080588">
      <w:bodyDiv w:val="1"/>
      <w:marLeft w:val="0"/>
      <w:marRight w:val="0"/>
      <w:marTop w:val="0"/>
      <w:marBottom w:val="0"/>
      <w:divBdr>
        <w:top w:val="none" w:sz="0" w:space="0" w:color="auto"/>
        <w:left w:val="none" w:sz="0" w:space="0" w:color="auto"/>
        <w:bottom w:val="none" w:sz="0" w:space="0" w:color="auto"/>
        <w:right w:val="none" w:sz="0" w:space="0" w:color="auto"/>
      </w:divBdr>
    </w:div>
    <w:div w:id="746147712">
      <w:bodyDiv w:val="1"/>
      <w:marLeft w:val="0"/>
      <w:marRight w:val="0"/>
      <w:marTop w:val="0"/>
      <w:marBottom w:val="0"/>
      <w:divBdr>
        <w:top w:val="none" w:sz="0" w:space="0" w:color="auto"/>
        <w:left w:val="none" w:sz="0" w:space="0" w:color="auto"/>
        <w:bottom w:val="none" w:sz="0" w:space="0" w:color="auto"/>
        <w:right w:val="none" w:sz="0" w:space="0" w:color="auto"/>
      </w:divBdr>
    </w:div>
    <w:div w:id="757747566">
      <w:bodyDiv w:val="1"/>
      <w:marLeft w:val="0"/>
      <w:marRight w:val="0"/>
      <w:marTop w:val="0"/>
      <w:marBottom w:val="0"/>
      <w:divBdr>
        <w:top w:val="none" w:sz="0" w:space="0" w:color="auto"/>
        <w:left w:val="none" w:sz="0" w:space="0" w:color="auto"/>
        <w:bottom w:val="none" w:sz="0" w:space="0" w:color="auto"/>
        <w:right w:val="none" w:sz="0" w:space="0" w:color="auto"/>
      </w:divBdr>
    </w:div>
    <w:div w:id="760957272">
      <w:bodyDiv w:val="1"/>
      <w:marLeft w:val="0"/>
      <w:marRight w:val="0"/>
      <w:marTop w:val="0"/>
      <w:marBottom w:val="0"/>
      <w:divBdr>
        <w:top w:val="none" w:sz="0" w:space="0" w:color="auto"/>
        <w:left w:val="none" w:sz="0" w:space="0" w:color="auto"/>
        <w:bottom w:val="none" w:sz="0" w:space="0" w:color="auto"/>
        <w:right w:val="none" w:sz="0" w:space="0" w:color="auto"/>
      </w:divBdr>
    </w:div>
    <w:div w:id="835341395">
      <w:bodyDiv w:val="1"/>
      <w:marLeft w:val="0"/>
      <w:marRight w:val="0"/>
      <w:marTop w:val="0"/>
      <w:marBottom w:val="0"/>
      <w:divBdr>
        <w:top w:val="none" w:sz="0" w:space="0" w:color="auto"/>
        <w:left w:val="none" w:sz="0" w:space="0" w:color="auto"/>
        <w:bottom w:val="none" w:sz="0" w:space="0" w:color="auto"/>
        <w:right w:val="none" w:sz="0" w:space="0" w:color="auto"/>
      </w:divBdr>
    </w:div>
    <w:div w:id="869336266">
      <w:bodyDiv w:val="1"/>
      <w:marLeft w:val="0"/>
      <w:marRight w:val="0"/>
      <w:marTop w:val="0"/>
      <w:marBottom w:val="0"/>
      <w:divBdr>
        <w:top w:val="none" w:sz="0" w:space="0" w:color="auto"/>
        <w:left w:val="none" w:sz="0" w:space="0" w:color="auto"/>
        <w:bottom w:val="none" w:sz="0" w:space="0" w:color="auto"/>
        <w:right w:val="none" w:sz="0" w:space="0" w:color="auto"/>
      </w:divBdr>
    </w:div>
    <w:div w:id="875386392">
      <w:bodyDiv w:val="1"/>
      <w:marLeft w:val="0"/>
      <w:marRight w:val="0"/>
      <w:marTop w:val="0"/>
      <w:marBottom w:val="0"/>
      <w:divBdr>
        <w:top w:val="none" w:sz="0" w:space="0" w:color="auto"/>
        <w:left w:val="none" w:sz="0" w:space="0" w:color="auto"/>
        <w:bottom w:val="none" w:sz="0" w:space="0" w:color="auto"/>
        <w:right w:val="none" w:sz="0" w:space="0" w:color="auto"/>
      </w:divBdr>
    </w:div>
    <w:div w:id="888105909">
      <w:bodyDiv w:val="1"/>
      <w:marLeft w:val="0"/>
      <w:marRight w:val="0"/>
      <w:marTop w:val="0"/>
      <w:marBottom w:val="0"/>
      <w:divBdr>
        <w:top w:val="none" w:sz="0" w:space="0" w:color="auto"/>
        <w:left w:val="none" w:sz="0" w:space="0" w:color="auto"/>
        <w:bottom w:val="none" w:sz="0" w:space="0" w:color="auto"/>
        <w:right w:val="none" w:sz="0" w:space="0" w:color="auto"/>
      </w:divBdr>
    </w:div>
    <w:div w:id="891231386">
      <w:bodyDiv w:val="1"/>
      <w:marLeft w:val="0"/>
      <w:marRight w:val="0"/>
      <w:marTop w:val="0"/>
      <w:marBottom w:val="0"/>
      <w:divBdr>
        <w:top w:val="none" w:sz="0" w:space="0" w:color="auto"/>
        <w:left w:val="none" w:sz="0" w:space="0" w:color="auto"/>
        <w:bottom w:val="none" w:sz="0" w:space="0" w:color="auto"/>
        <w:right w:val="none" w:sz="0" w:space="0" w:color="auto"/>
      </w:divBdr>
    </w:div>
    <w:div w:id="904069553">
      <w:bodyDiv w:val="1"/>
      <w:marLeft w:val="0"/>
      <w:marRight w:val="0"/>
      <w:marTop w:val="0"/>
      <w:marBottom w:val="0"/>
      <w:divBdr>
        <w:top w:val="none" w:sz="0" w:space="0" w:color="auto"/>
        <w:left w:val="none" w:sz="0" w:space="0" w:color="auto"/>
        <w:bottom w:val="none" w:sz="0" w:space="0" w:color="auto"/>
        <w:right w:val="none" w:sz="0" w:space="0" w:color="auto"/>
      </w:divBdr>
    </w:div>
    <w:div w:id="951091071">
      <w:bodyDiv w:val="1"/>
      <w:marLeft w:val="0"/>
      <w:marRight w:val="0"/>
      <w:marTop w:val="0"/>
      <w:marBottom w:val="0"/>
      <w:divBdr>
        <w:top w:val="none" w:sz="0" w:space="0" w:color="auto"/>
        <w:left w:val="none" w:sz="0" w:space="0" w:color="auto"/>
        <w:bottom w:val="none" w:sz="0" w:space="0" w:color="auto"/>
        <w:right w:val="none" w:sz="0" w:space="0" w:color="auto"/>
      </w:divBdr>
    </w:div>
    <w:div w:id="960378416">
      <w:bodyDiv w:val="1"/>
      <w:marLeft w:val="0"/>
      <w:marRight w:val="0"/>
      <w:marTop w:val="0"/>
      <w:marBottom w:val="0"/>
      <w:divBdr>
        <w:top w:val="none" w:sz="0" w:space="0" w:color="auto"/>
        <w:left w:val="none" w:sz="0" w:space="0" w:color="auto"/>
        <w:bottom w:val="none" w:sz="0" w:space="0" w:color="auto"/>
        <w:right w:val="none" w:sz="0" w:space="0" w:color="auto"/>
      </w:divBdr>
    </w:div>
    <w:div w:id="965693878">
      <w:bodyDiv w:val="1"/>
      <w:marLeft w:val="0"/>
      <w:marRight w:val="0"/>
      <w:marTop w:val="0"/>
      <w:marBottom w:val="0"/>
      <w:divBdr>
        <w:top w:val="none" w:sz="0" w:space="0" w:color="auto"/>
        <w:left w:val="none" w:sz="0" w:space="0" w:color="auto"/>
        <w:bottom w:val="none" w:sz="0" w:space="0" w:color="auto"/>
        <w:right w:val="none" w:sz="0" w:space="0" w:color="auto"/>
      </w:divBdr>
    </w:div>
    <w:div w:id="1110930349">
      <w:bodyDiv w:val="1"/>
      <w:marLeft w:val="0"/>
      <w:marRight w:val="0"/>
      <w:marTop w:val="0"/>
      <w:marBottom w:val="0"/>
      <w:divBdr>
        <w:top w:val="none" w:sz="0" w:space="0" w:color="auto"/>
        <w:left w:val="none" w:sz="0" w:space="0" w:color="auto"/>
        <w:bottom w:val="none" w:sz="0" w:space="0" w:color="auto"/>
        <w:right w:val="none" w:sz="0" w:space="0" w:color="auto"/>
      </w:divBdr>
    </w:div>
    <w:div w:id="1183207580">
      <w:bodyDiv w:val="1"/>
      <w:marLeft w:val="0"/>
      <w:marRight w:val="0"/>
      <w:marTop w:val="0"/>
      <w:marBottom w:val="0"/>
      <w:divBdr>
        <w:top w:val="none" w:sz="0" w:space="0" w:color="auto"/>
        <w:left w:val="none" w:sz="0" w:space="0" w:color="auto"/>
        <w:bottom w:val="none" w:sz="0" w:space="0" w:color="auto"/>
        <w:right w:val="none" w:sz="0" w:space="0" w:color="auto"/>
      </w:divBdr>
    </w:div>
    <w:div w:id="1185829053">
      <w:bodyDiv w:val="1"/>
      <w:marLeft w:val="0"/>
      <w:marRight w:val="0"/>
      <w:marTop w:val="0"/>
      <w:marBottom w:val="0"/>
      <w:divBdr>
        <w:top w:val="none" w:sz="0" w:space="0" w:color="auto"/>
        <w:left w:val="none" w:sz="0" w:space="0" w:color="auto"/>
        <w:bottom w:val="none" w:sz="0" w:space="0" w:color="auto"/>
        <w:right w:val="none" w:sz="0" w:space="0" w:color="auto"/>
      </w:divBdr>
    </w:div>
    <w:div w:id="1209148544">
      <w:bodyDiv w:val="1"/>
      <w:marLeft w:val="0"/>
      <w:marRight w:val="0"/>
      <w:marTop w:val="0"/>
      <w:marBottom w:val="0"/>
      <w:divBdr>
        <w:top w:val="none" w:sz="0" w:space="0" w:color="auto"/>
        <w:left w:val="none" w:sz="0" w:space="0" w:color="auto"/>
        <w:bottom w:val="none" w:sz="0" w:space="0" w:color="auto"/>
        <w:right w:val="none" w:sz="0" w:space="0" w:color="auto"/>
      </w:divBdr>
    </w:div>
    <w:div w:id="1210917781">
      <w:bodyDiv w:val="1"/>
      <w:marLeft w:val="0"/>
      <w:marRight w:val="0"/>
      <w:marTop w:val="0"/>
      <w:marBottom w:val="0"/>
      <w:divBdr>
        <w:top w:val="none" w:sz="0" w:space="0" w:color="auto"/>
        <w:left w:val="none" w:sz="0" w:space="0" w:color="auto"/>
        <w:bottom w:val="none" w:sz="0" w:space="0" w:color="auto"/>
        <w:right w:val="none" w:sz="0" w:space="0" w:color="auto"/>
      </w:divBdr>
    </w:div>
    <w:div w:id="1219708456">
      <w:bodyDiv w:val="1"/>
      <w:marLeft w:val="0"/>
      <w:marRight w:val="0"/>
      <w:marTop w:val="0"/>
      <w:marBottom w:val="0"/>
      <w:divBdr>
        <w:top w:val="none" w:sz="0" w:space="0" w:color="auto"/>
        <w:left w:val="none" w:sz="0" w:space="0" w:color="auto"/>
        <w:bottom w:val="none" w:sz="0" w:space="0" w:color="auto"/>
        <w:right w:val="none" w:sz="0" w:space="0" w:color="auto"/>
      </w:divBdr>
      <w:divsChild>
        <w:div w:id="372655414">
          <w:marLeft w:val="0"/>
          <w:marRight w:val="0"/>
          <w:marTop w:val="0"/>
          <w:marBottom w:val="150"/>
          <w:divBdr>
            <w:top w:val="none" w:sz="0" w:space="0" w:color="auto"/>
            <w:left w:val="none" w:sz="0" w:space="0" w:color="auto"/>
            <w:bottom w:val="none" w:sz="0" w:space="0" w:color="auto"/>
            <w:right w:val="none" w:sz="0" w:space="0" w:color="auto"/>
          </w:divBdr>
        </w:div>
        <w:div w:id="166287369">
          <w:marLeft w:val="0"/>
          <w:marRight w:val="0"/>
          <w:marTop w:val="0"/>
          <w:marBottom w:val="225"/>
          <w:divBdr>
            <w:top w:val="none" w:sz="0" w:space="0" w:color="auto"/>
            <w:left w:val="none" w:sz="0" w:space="0" w:color="auto"/>
            <w:bottom w:val="none" w:sz="0" w:space="0" w:color="auto"/>
            <w:right w:val="none" w:sz="0" w:space="0" w:color="auto"/>
          </w:divBdr>
          <w:divsChild>
            <w:div w:id="724257681">
              <w:marLeft w:val="0"/>
              <w:marRight w:val="0"/>
              <w:marTop w:val="0"/>
              <w:marBottom w:val="0"/>
              <w:divBdr>
                <w:top w:val="none" w:sz="0" w:space="0" w:color="auto"/>
                <w:left w:val="none" w:sz="0" w:space="0" w:color="auto"/>
                <w:bottom w:val="none" w:sz="0" w:space="0" w:color="auto"/>
                <w:right w:val="none" w:sz="0" w:space="0" w:color="auto"/>
              </w:divBdr>
              <w:divsChild>
                <w:div w:id="1308973456">
                  <w:marLeft w:val="0"/>
                  <w:marRight w:val="0"/>
                  <w:marTop w:val="0"/>
                  <w:marBottom w:val="75"/>
                  <w:divBdr>
                    <w:top w:val="none" w:sz="0" w:space="0" w:color="auto"/>
                    <w:left w:val="none" w:sz="0" w:space="0" w:color="auto"/>
                    <w:bottom w:val="none" w:sz="0" w:space="0" w:color="auto"/>
                    <w:right w:val="none" w:sz="0" w:space="0" w:color="auto"/>
                  </w:divBdr>
                </w:div>
                <w:div w:id="1300531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806079">
      <w:bodyDiv w:val="1"/>
      <w:marLeft w:val="0"/>
      <w:marRight w:val="0"/>
      <w:marTop w:val="0"/>
      <w:marBottom w:val="0"/>
      <w:divBdr>
        <w:top w:val="none" w:sz="0" w:space="0" w:color="auto"/>
        <w:left w:val="none" w:sz="0" w:space="0" w:color="auto"/>
        <w:bottom w:val="none" w:sz="0" w:space="0" w:color="auto"/>
        <w:right w:val="none" w:sz="0" w:space="0" w:color="auto"/>
      </w:divBdr>
      <w:divsChild>
        <w:div w:id="2116703174">
          <w:marLeft w:val="360"/>
          <w:marRight w:val="0"/>
          <w:marTop w:val="0"/>
          <w:marBottom w:val="0"/>
          <w:divBdr>
            <w:top w:val="none" w:sz="0" w:space="0" w:color="auto"/>
            <w:left w:val="none" w:sz="0" w:space="0" w:color="auto"/>
            <w:bottom w:val="none" w:sz="0" w:space="0" w:color="auto"/>
            <w:right w:val="none" w:sz="0" w:space="0" w:color="auto"/>
          </w:divBdr>
        </w:div>
        <w:div w:id="1288468221">
          <w:marLeft w:val="1080"/>
          <w:marRight w:val="0"/>
          <w:marTop w:val="0"/>
          <w:marBottom w:val="0"/>
          <w:divBdr>
            <w:top w:val="none" w:sz="0" w:space="0" w:color="auto"/>
            <w:left w:val="none" w:sz="0" w:space="0" w:color="auto"/>
            <w:bottom w:val="none" w:sz="0" w:space="0" w:color="auto"/>
            <w:right w:val="none" w:sz="0" w:space="0" w:color="auto"/>
          </w:divBdr>
        </w:div>
        <w:div w:id="459032372">
          <w:marLeft w:val="1080"/>
          <w:marRight w:val="0"/>
          <w:marTop w:val="0"/>
          <w:marBottom w:val="0"/>
          <w:divBdr>
            <w:top w:val="none" w:sz="0" w:space="0" w:color="auto"/>
            <w:left w:val="none" w:sz="0" w:space="0" w:color="auto"/>
            <w:bottom w:val="none" w:sz="0" w:space="0" w:color="auto"/>
            <w:right w:val="none" w:sz="0" w:space="0" w:color="auto"/>
          </w:divBdr>
        </w:div>
        <w:div w:id="936207622">
          <w:marLeft w:val="360"/>
          <w:marRight w:val="0"/>
          <w:marTop w:val="0"/>
          <w:marBottom w:val="0"/>
          <w:divBdr>
            <w:top w:val="none" w:sz="0" w:space="0" w:color="auto"/>
            <w:left w:val="none" w:sz="0" w:space="0" w:color="auto"/>
            <w:bottom w:val="none" w:sz="0" w:space="0" w:color="auto"/>
            <w:right w:val="none" w:sz="0" w:space="0" w:color="auto"/>
          </w:divBdr>
        </w:div>
      </w:divsChild>
    </w:div>
    <w:div w:id="1269658104">
      <w:bodyDiv w:val="1"/>
      <w:marLeft w:val="0"/>
      <w:marRight w:val="0"/>
      <w:marTop w:val="0"/>
      <w:marBottom w:val="0"/>
      <w:divBdr>
        <w:top w:val="none" w:sz="0" w:space="0" w:color="auto"/>
        <w:left w:val="none" w:sz="0" w:space="0" w:color="auto"/>
        <w:bottom w:val="none" w:sz="0" w:space="0" w:color="auto"/>
        <w:right w:val="none" w:sz="0" w:space="0" w:color="auto"/>
      </w:divBdr>
    </w:div>
    <w:div w:id="1289511173">
      <w:bodyDiv w:val="1"/>
      <w:marLeft w:val="0"/>
      <w:marRight w:val="0"/>
      <w:marTop w:val="0"/>
      <w:marBottom w:val="0"/>
      <w:divBdr>
        <w:top w:val="none" w:sz="0" w:space="0" w:color="auto"/>
        <w:left w:val="none" w:sz="0" w:space="0" w:color="auto"/>
        <w:bottom w:val="none" w:sz="0" w:space="0" w:color="auto"/>
        <w:right w:val="none" w:sz="0" w:space="0" w:color="auto"/>
      </w:divBdr>
    </w:div>
    <w:div w:id="1307585390">
      <w:bodyDiv w:val="1"/>
      <w:marLeft w:val="0"/>
      <w:marRight w:val="0"/>
      <w:marTop w:val="0"/>
      <w:marBottom w:val="0"/>
      <w:divBdr>
        <w:top w:val="none" w:sz="0" w:space="0" w:color="auto"/>
        <w:left w:val="none" w:sz="0" w:space="0" w:color="auto"/>
        <w:bottom w:val="none" w:sz="0" w:space="0" w:color="auto"/>
        <w:right w:val="none" w:sz="0" w:space="0" w:color="auto"/>
      </w:divBdr>
    </w:div>
    <w:div w:id="1352298029">
      <w:bodyDiv w:val="1"/>
      <w:marLeft w:val="0"/>
      <w:marRight w:val="0"/>
      <w:marTop w:val="0"/>
      <w:marBottom w:val="0"/>
      <w:divBdr>
        <w:top w:val="none" w:sz="0" w:space="0" w:color="auto"/>
        <w:left w:val="none" w:sz="0" w:space="0" w:color="auto"/>
        <w:bottom w:val="none" w:sz="0" w:space="0" w:color="auto"/>
        <w:right w:val="none" w:sz="0" w:space="0" w:color="auto"/>
      </w:divBdr>
      <w:divsChild>
        <w:div w:id="491214708">
          <w:marLeft w:val="0"/>
          <w:marRight w:val="0"/>
          <w:marTop w:val="0"/>
          <w:marBottom w:val="0"/>
          <w:divBdr>
            <w:top w:val="none" w:sz="0" w:space="0" w:color="auto"/>
            <w:left w:val="none" w:sz="0" w:space="0" w:color="auto"/>
            <w:bottom w:val="none" w:sz="0" w:space="0" w:color="auto"/>
            <w:right w:val="none" w:sz="0" w:space="0" w:color="auto"/>
          </w:divBdr>
        </w:div>
        <w:div w:id="622229477">
          <w:marLeft w:val="0"/>
          <w:marRight w:val="0"/>
          <w:marTop w:val="0"/>
          <w:marBottom w:val="0"/>
          <w:divBdr>
            <w:top w:val="none" w:sz="0" w:space="0" w:color="auto"/>
            <w:left w:val="none" w:sz="0" w:space="0" w:color="auto"/>
            <w:bottom w:val="none" w:sz="0" w:space="0" w:color="auto"/>
            <w:right w:val="none" w:sz="0" w:space="0" w:color="auto"/>
          </w:divBdr>
        </w:div>
        <w:div w:id="640814520">
          <w:marLeft w:val="0"/>
          <w:marRight w:val="0"/>
          <w:marTop w:val="0"/>
          <w:marBottom w:val="0"/>
          <w:divBdr>
            <w:top w:val="none" w:sz="0" w:space="0" w:color="auto"/>
            <w:left w:val="none" w:sz="0" w:space="0" w:color="auto"/>
            <w:bottom w:val="none" w:sz="0" w:space="0" w:color="auto"/>
            <w:right w:val="none" w:sz="0" w:space="0" w:color="auto"/>
          </w:divBdr>
        </w:div>
        <w:div w:id="762381213">
          <w:marLeft w:val="0"/>
          <w:marRight w:val="0"/>
          <w:marTop w:val="0"/>
          <w:marBottom w:val="0"/>
          <w:divBdr>
            <w:top w:val="none" w:sz="0" w:space="0" w:color="auto"/>
            <w:left w:val="none" w:sz="0" w:space="0" w:color="auto"/>
            <w:bottom w:val="none" w:sz="0" w:space="0" w:color="auto"/>
            <w:right w:val="none" w:sz="0" w:space="0" w:color="auto"/>
          </w:divBdr>
        </w:div>
        <w:div w:id="806164542">
          <w:marLeft w:val="0"/>
          <w:marRight w:val="0"/>
          <w:marTop w:val="0"/>
          <w:marBottom w:val="0"/>
          <w:divBdr>
            <w:top w:val="none" w:sz="0" w:space="0" w:color="auto"/>
            <w:left w:val="none" w:sz="0" w:space="0" w:color="auto"/>
            <w:bottom w:val="none" w:sz="0" w:space="0" w:color="auto"/>
            <w:right w:val="none" w:sz="0" w:space="0" w:color="auto"/>
          </w:divBdr>
        </w:div>
        <w:div w:id="1089042488">
          <w:marLeft w:val="0"/>
          <w:marRight w:val="0"/>
          <w:marTop w:val="0"/>
          <w:marBottom w:val="0"/>
          <w:divBdr>
            <w:top w:val="none" w:sz="0" w:space="0" w:color="auto"/>
            <w:left w:val="none" w:sz="0" w:space="0" w:color="auto"/>
            <w:bottom w:val="none" w:sz="0" w:space="0" w:color="auto"/>
            <w:right w:val="none" w:sz="0" w:space="0" w:color="auto"/>
          </w:divBdr>
        </w:div>
        <w:div w:id="1293824438">
          <w:marLeft w:val="0"/>
          <w:marRight w:val="0"/>
          <w:marTop w:val="0"/>
          <w:marBottom w:val="0"/>
          <w:divBdr>
            <w:top w:val="none" w:sz="0" w:space="0" w:color="auto"/>
            <w:left w:val="none" w:sz="0" w:space="0" w:color="auto"/>
            <w:bottom w:val="none" w:sz="0" w:space="0" w:color="auto"/>
            <w:right w:val="none" w:sz="0" w:space="0" w:color="auto"/>
          </w:divBdr>
          <w:divsChild>
            <w:div w:id="1099789327">
              <w:marLeft w:val="0"/>
              <w:marRight w:val="0"/>
              <w:marTop w:val="0"/>
              <w:marBottom w:val="0"/>
              <w:divBdr>
                <w:top w:val="none" w:sz="0" w:space="0" w:color="auto"/>
                <w:left w:val="none" w:sz="0" w:space="0" w:color="auto"/>
                <w:bottom w:val="none" w:sz="0" w:space="0" w:color="auto"/>
                <w:right w:val="none" w:sz="0" w:space="0" w:color="auto"/>
              </w:divBdr>
              <w:divsChild>
                <w:div w:id="138691577">
                  <w:marLeft w:val="0"/>
                  <w:marRight w:val="0"/>
                  <w:marTop w:val="0"/>
                  <w:marBottom w:val="0"/>
                  <w:divBdr>
                    <w:top w:val="none" w:sz="0" w:space="0" w:color="auto"/>
                    <w:left w:val="none" w:sz="0" w:space="0" w:color="auto"/>
                    <w:bottom w:val="none" w:sz="0" w:space="0" w:color="auto"/>
                    <w:right w:val="none" w:sz="0" w:space="0" w:color="auto"/>
                  </w:divBdr>
                </w:div>
                <w:div w:id="1635137623">
                  <w:marLeft w:val="0"/>
                  <w:marRight w:val="0"/>
                  <w:marTop w:val="0"/>
                  <w:marBottom w:val="0"/>
                  <w:divBdr>
                    <w:top w:val="none" w:sz="0" w:space="0" w:color="auto"/>
                    <w:left w:val="none" w:sz="0" w:space="0" w:color="auto"/>
                    <w:bottom w:val="none" w:sz="0" w:space="0" w:color="auto"/>
                    <w:right w:val="none" w:sz="0" w:space="0" w:color="auto"/>
                  </w:divBdr>
                </w:div>
              </w:divsChild>
            </w:div>
            <w:div w:id="1936472074">
              <w:marLeft w:val="0"/>
              <w:marRight w:val="0"/>
              <w:marTop w:val="0"/>
              <w:marBottom w:val="0"/>
              <w:divBdr>
                <w:top w:val="none" w:sz="0" w:space="0" w:color="auto"/>
                <w:left w:val="none" w:sz="0" w:space="0" w:color="auto"/>
                <w:bottom w:val="none" w:sz="0" w:space="0" w:color="auto"/>
                <w:right w:val="none" w:sz="0" w:space="0" w:color="auto"/>
              </w:divBdr>
              <w:divsChild>
                <w:div w:id="1032417231">
                  <w:marLeft w:val="0"/>
                  <w:marRight w:val="0"/>
                  <w:marTop w:val="0"/>
                  <w:marBottom w:val="0"/>
                  <w:divBdr>
                    <w:top w:val="none" w:sz="0" w:space="0" w:color="auto"/>
                    <w:left w:val="none" w:sz="0" w:space="0" w:color="auto"/>
                    <w:bottom w:val="none" w:sz="0" w:space="0" w:color="auto"/>
                    <w:right w:val="none" w:sz="0" w:space="0" w:color="auto"/>
                  </w:divBdr>
                </w:div>
                <w:div w:id="1753425741">
                  <w:marLeft w:val="0"/>
                  <w:marRight w:val="0"/>
                  <w:marTop w:val="0"/>
                  <w:marBottom w:val="0"/>
                  <w:divBdr>
                    <w:top w:val="none" w:sz="0" w:space="0" w:color="auto"/>
                    <w:left w:val="none" w:sz="0" w:space="0" w:color="auto"/>
                    <w:bottom w:val="none" w:sz="0" w:space="0" w:color="auto"/>
                    <w:right w:val="none" w:sz="0" w:space="0" w:color="auto"/>
                  </w:divBdr>
                </w:div>
              </w:divsChild>
            </w:div>
            <w:div w:id="2080008098">
              <w:marLeft w:val="0"/>
              <w:marRight w:val="0"/>
              <w:marTop w:val="0"/>
              <w:marBottom w:val="0"/>
              <w:divBdr>
                <w:top w:val="none" w:sz="0" w:space="0" w:color="auto"/>
                <w:left w:val="none" w:sz="0" w:space="0" w:color="auto"/>
                <w:bottom w:val="none" w:sz="0" w:space="0" w:color="auto"/>
                <w:right w:val="none" w:sz="0" w:space="0" w:color="auto"/>
              </w:divBdr>
              <w:divsChild>
                <w:div w:id="474638192">
                  <w:marLeft w:val="0"/>
                  <w:marRight w:val="0"/>
                  <w:marTop w:val="0"/>
                  <w:marBottom w:val="0"/>
                  <w:divBdr>
                    <w:top w:val="none" w:sz="0" w:space="0" w:color="auto"/>
                    <w:left w:val="none" w:sz="0" w:space="0" w:color="auto"/>
                    <w:bottom w:val="none" w:sz="0" w:space="0" w:color="auto"/>
                    <w:right w:val="none" w:sz="0" w:space="0" w:color="auto"/>
                  </w:divBdr>
                </w:div>
                <w:div w:id="13179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434170">
      <w:bodyDiv w:val="1"/>
      <w:marLeft w:val="0"/>
      <w:marRight w:val="0"/>
      <w:marTop w:val="0"/>
      <w:marBottom w:val="0"/>
      <w:divBdr>
        <w:top w:val="none" w:sz="0" w:space="0" w:color="auto"/>
        <w:left w:val="none" w:sz="0" w:space="0" w:color="auto"/>
        <w:bottom w:val="none" w:sz="0" w:space="0" w:color="auto"/>
        <w:right w:val="none" w:sz="0" w:space="0" w:color="auto"/>
      </w:divBdr>
    </w:div>
    <w:div w:id="1419672524">
      <w:bodyDiv w:val="1"/>
      <w:marLeft w:val="0"/>
      <w:marRight w:val="0"/>
      <w:marTop w:val="0"/>
      <w:marBottom w:val="0"/>
      <w:divBdr>
        <w:top w:val="none" w:sz="0" w:space="0" w:color="auto"/>
        <w:left w:val="none" w:sz="0" w:space="0" w:color="auto"/>
        <w:bottom w:val="none" w:sz="0" w:space="0" w:color="auto"/>
        <w:right w:val="none" w:sz="0" w:space="0" w:color="auto"/>
      </w:divBdr>
    </w:div>
    <w:div w:id="1426919308">
      <w:bodyDiv w:val="1"/>
      <w:marLeft w:val="0"/>
      <w:marRight w:val="0"/>
      <w:marTop w:val="0"/>
      <w:marBottom w:val="0"/>
      <w:divBdr>
        <w:top w:val="none" w:sz="0" w:space="0" w:color="auto"/>
        <w:left w:val="none" w:sz="0" w:space="0" w:color="auto"/>
        <w:bottom w:val="none" w:sz="0" w:space="0" w:color="auto"/>
        <w:right w:val="none" w:sz="0" w:space="0" w:color="auto"/>
      </w:divBdr>
    </w:div>
    <w:div w:id="1499464265">
      <w:bodyDiv w:val="1"/>
      <w:marLeft w:val="0"/>
      <w:marRight w:val="0"/>
      <w:marTop w:val="0"/>
      <w:marBottom w:val="0"/>
      <w:divBdr>
        <w:top w:val="none" w:sz="0" w:space="0" w:color="auto"/>
        <w:left w:val="none" w:sz="0" w:space="0" w:color="auto"/>
        <w:bottom w:val="none" w:sz="0" w:space="0" w:color="auto"/>
        <w:right w:val="none" w:sz="0" w:space="0" w:color="auto"/>
      </w:divBdr>
    </w:div>
    <w:div w:id="1505123283">
      <w:bodyDiv w:val="1"/>
      <w:marLeft w:val="0"/>
      <w:marRight w:val="0"/>
      <w:marTop w:val="0"/>
      <w:marBottom w:val="0"/>
      <w:divBdr>
        <w:top w:val="none" w:sz="0" w:space="0" w:color="auto"/>
        <w:left w:val="none" w:sz="0" w:space="0" w:color="auto"/>
        <w:bottom w:val="none" w:sz="0" w:space="0" w:color="auto"/>
        <w:right w:val="none" w:sz="0" w:space="0" w:color="auto"/>
      </w:divBdr>
    </w:div>
    <w:div w:id="1523779563">
      <w:bodyDiv w:val="1"/>
      <w:marLeft w:val="0"/>
      <w:marRight w:val="0"/>
      <w:marTop w:val="0"/>
      <w:marBottom w:val="0"/>
      <w:divBdr>
        <w:top w:val="none" w:sz="0" w:space="0" w:color="auto"/>
        <w:left w:val="none" w:sz="0" w:space="0" w:color="auto"/>
        <w:bottom w:val="none" w:sz="0" w:space="0" w:color="auto"/>
        <w:right w:val="none" w:sz="0" w:space="0" w:color="auto"/>
      </w:divBdr>
      <w:divsChild>
        <w:div w:id="658770550">
          <w:marLeft w:val="0"/>
          <w:marRight w:val="0"/>
          <w:marTop w:val="0"/>
          <w:marBottom w:val="0"/>
          <w:divBdr>
            <w:top w:val="none" w:sz="0" w:space="0" w:color="auto"/>
            <w:left w:val="none" w:sz="0" w:space="0" w:color="auto"/>
            <w:bottom w:val="none" w:sz="0" w:space="0" w:color="auto"/>
            <w:right w:val="none" w:sz="0" w:space="0" w:color="auto"/>
          </w:divBdr>
        </w:div>
      </w:divsChild>
    </w:div>
    <w:div w:id="1530874856">
      <w:bodyDiv w:val="1"/>
      <w:marLeft w:val="0"/>
      <w:marRight w:val="0"/>
      <w:marTop w:val="0"/>
      <w:marBottom w:val="0"/>
      <w:divBdr>
        <w:top w:val="none" w:sz="0" w:space="0" w:color="auto"/>
        <w:left w:val="none" w:sz="0" w:space="0" w:color="auto"/>
        <w:bottom w:val="none" w:sz="0" w:space="0" w:color="auto"/>
        <w:right w:val="none" w:sz="0" w:space="0" w:color="auto"/>
      </w:divBdr>
    </w:div>
    <w:div w:id="1542282807">
      <w:bodyDiv w:val="1"/>
      <w:marLeft w:val="0"/>
      <w:marRight w:val="0"/>
      <w:marTop w:val="0"/>
      <w:marBottom w:val="0"/>
      <w:divBdr>
        <w:top w:val="none" w:sz="0" w:space="0" w:color="auto"/>
        <w:left w:val="none" w:sz="0" w:space="0" w:color="auto"/>
        <w:bottom w:val="none" w:sz="0" w:space="0" w:color="auto"/>
        <w:right w:val="none" w:sz="0" w:space="0" w:color="auto"/>
      </w:divBdr>
    </w:div>
    <w:div w:id="1546913695">
      <w:bodyDiv w:val="1"/>
      <w:marLeft w:val="0"/>
      <w:marRight w:val="0"/>
      <w:marTop w:val="0"/>
      <w:marBottom w:val="0"/>
      <w:divBdr>
        <w:top w:val="none" w:sz="0" w:space="0" w:color="auto"/>
        <w:left w:val="none" w:sz="0" w:space="0" w:color="auto"/>
        <w:bottom w:val="none" w:sz="0" w:space="0" w:color="auto"/>
        <w:right w:val="none" w:sz="0" w:space="0" w:color="auto"/>
      </w:divBdr>
    </w:div>
    <w:div w:id="1550454377">
      <w:bodyDiv w:val="1"/>
      <w:marLeft w:val="0"/>
      <w:marRight w:val="0"/>
      <w:marTop w:val="0"/>
      <w:marBottom w:val="0"/>
      <w:divBdr>
        <w:top w:val="none" w:sz="0" w:space="0" w:color="auto"/>
        <w:left w:val="none" w:sz="0" w:space="0" w:color="auto"/>
        <w:bottom w:val="none" w:sz="0" w:space="0" w:color="auto"/>
        <w:right w:val="none" w:sz="0" w:space="0" w:color="auto"/>
      </w:divBdr>
    </w:div>
    <w:div w:id="1628122637">
      <w:bodyDiv w:val="1"/>
      <w:marLeft w:val="0"/>
      <w:marRight w:val="0"/>
      <w:marTop w:val="0"/>
      <w:marBottom w:val="0"/>
      <w:divBdr>
        <w:top w:val="none" w:sz="0" w:space="0" w:color="auto"/>
        <w:left w:val="none" w:sz="0" w:space="0" w:color="auto"/>
        <w:bottom w:val="none" w:sz="0" w:space="0" w:color="auto"/>
        <w:right w:val="none" w:sz="0" w:space="0" w:color="auto"/>
      </w:divBdr>
    </w:div>
    <w:div w:id="1673726051">
      <w:bodyDiv w:val="1"/>
      <w:marLeft w:val="0"/>
      <w:marRight w:val="0"/>
      <w:marTop w:val="0"/>
      <w:marBottom w:val="0"/>
      <w:divBdr>
        <w:top w:val="none" w:sz="0" w:space="0" w:color="auto"/>
        <w:left w:val="none" w:sz="0" w:space="0" w:color="auto"/>
        <w:bottom w:val="none" w:sz="0" w:space="0" w:color="auto"/>
        <w:right w:val="none" w:sz="0" w:space="0" w:color="auto"/>
      </w:divBdr>
      <w:divsChild>
        <w:div w:id="74863903">
          <w:marLeft w:val="0"/>
          <w:marRight w:val="0"/>
          <w:marTop w:val="0"/>
          <w:marBottom w:val="0"/>
          <w:divBdr>
            <w:top w:val="none" w:sz="0" w:space="0" w:color="auto"/>
            <w:left w:val="none" w:sz="0" w:space="0" w:color="auto"/>
            <w:bottom w:val="none" w:sz="0" w:space="0" w:color="auto"/>
            <w:right w:val="none" w:sz="0" w:space="0" w:color="auto"/>
          </w:divBdr>
        </w:div>
        <w:div w:id="596670982">
          <w:marLeft w:val="0"/>
          <w:marRight w:val="0"/>
          <w:marTop w:val="0"/>
          <w:marBottom w:val="0"/>
          <w:divBdr>
            <w:top w:val="none" w:sz="0" w:space="0" w:color="auto"/>
            <w:left w:val="none" w:sz="0" w:space="0" w:color="auto"/>
            <w:bottom w:val="none" w:sz="0" w:space="0" w:color="auto"/>
            <w:right w:val="none" w:sz="0" w:space="0" w:color="auto"/>
          </w:divBdr>
          <w:divsChild>
            <w:div w:id="375855360">
              <w:marLeft w:val="0"/>
              <w:marRight w:val="0"/>
              <w:marTop w:val="0"/>
              <w:marBottom w:val="0"/>
              <w:divBdr>
                <w:top w:val="none" w:sz="0" w:space="0" w:color="auto"/>
                <w:left w:val="none" w:sz="0" w:space="0" w:color="auto"/>
                <w:bottom w:val="none" w:sz="0" w:space="0" w:color="auto"/>
                <w:right w:val="none" w:sz="0" w:space="0" w:color="auto"/>
              </w:divBdr>
              <w:divsChild>
                <w:div w:id="799957406">
                  <w:marLeft w:val="0"/>
                  <w:marRight w:val="0"/>
                  <w:marTop w:val="0"/>
                  <w:marBottom w:val="0"/>
                  <w:divBdr>
                    <w:top w:val="none" w:sz="0" w:space="0" w:color="auto"/>
                    <w:left w:val="none" w:sz="0" w:space="0" w:color="auto"/>
                    <w:bottom w:val="none" w:sz="0" w:space="0" w:color="auto"/>
                    <w:right w:val="none" w:sz="0" w:space="0" w:color="auto"/>
                  </w:divBdr>
                </w:div>
                <w:div w:id="1266956937">
                  <w:marLeft w:val="0"/>
                  <w:marRight w:val="0"/>
                  <w:marTop w:val="0"/>
                  <w:marBottom w:val="0"/>
                  <w:divBdr>
                    <w:top w:val="none" w:sz="0" w:space="0" w:color="auto"/>
                    <w:left w:val="none" w:sz="0" w:space="0" w:color="auto"/>
                    <w:bottom w:val="none" w:sz="0" w:space="0" w:color="auto"/>
                    <w:right w:val="none" w:sz="0" w:space="0" w:color="auto"/>
                  </w:divBdr>
                </w:div>
              </w:divsChild>
            </w:div>
            <w:div w:id="519124802">
              <w:marLeft w:val="0"/>
              <w:marRight w:val="0"/>
              <w:marTop w:val="0"/>
              <w:marBottom w:val="0"/>
              <w:divBdr>
                <w:top w:val="none" w:sz="0" w:space="0" w:color="auto"/>
                <w:left w:val="none" w:sz="0" w:space="0" w:color="auto"/>
                <w:bottom w:val="none" w:sz="0" w:space="0" w:color="auto"/>
                <w:right w:val="none" w:sz="0" w:space="0" w:color="auto"/>
              </w:divBdr>
              <w:divsChild>
                <w:div w:id="1313488914">
                  <w:marLeft w:val="0"/>
                  <w:marRight w:val="0"/>
                  <w:marTop w:val="0"/>
                  <w:marBottom w:val="0"/>
                  <w:divBdr>
                    <w:top w:val="none" w:sz="0" w:space="0" w:color="auto"/>
                    <w:left w:val="none" w:sz="0" w:space="0" w:color="auto"/>
                    <w:bottom w:val="none" w:sz="0" w:space="0" w:color="auto"/>
                    <w:right w:val="none" w:sz="0" w:space="0" w:color="auto"/>
                  </w:divBdr>
                </w:div>
                <w:div w:id="2130734499">
                  <w:marLeft w:val="0"/>
                  <w:marRight w:val="0"/>
                  <w:marTop w:val="0"/>
                  <w:marBottom w:val="0"/>
                  <w:divBdr>
                    <w:top w:val="none" w:sz="0" w:space="0" w:color="auto"/>
                    <w:left w:val="none" w:sz="0" w:space="0" w:color="auto"/>
                    <w:bottom w:val="none" w:sz="0" w:space="0" w:color="auto"/>
                    <w:right w:val="none" w:sz="0" w:space="0" w:color="auto"/>
                  </w:divBdr>
                </w:div>
              </w:divsChild>
            </w:div>
            <w:div w:id="1075199920">
              <w:marLeft w:val="0"/>
              <w:marRight w:val="0"/>
              <w:marTop w:val="0"/>
              <w:marBottom w:val="0"/>
              <w:divBdr>
                <w:top w:val="none" w:sz="0" w:space="0" w:color="auto"/>
                <w:left w:val="none" w:sz="0" w:space="0" w:color="auto"/>
                <w:bottom w:val="none" w:sz="0" w:space="0" w:color="auto"/>
                <w:right w:val="none" w:sz="0" w:space="0" w:color="auto"/>
              </w:divBdr>
              <w:divsChild>
                <w:div w:id="903442852">
                  <w:marLeft w:val="0"/>
                  <w:marRight w:val="0"/>
                  <w:marTop w:val="0"/>
                  <w:marBottom w:val="0"/>
                  <w:divBdr>
                    <w:top w:val="none" w:sz="0" w:space="0" w:color="auto"/>
                    <w:left w:val="none" w:sz="0" w:space="0" w:color="auto"/>
                    <w:bottom w:val="none" w:sz="0" w:space="0" w:color="auto"/>
                    <w:right w:val="none" w:sz="0" w:space="0" w:color="auto"/>
                  </w:divBdr>
                </w:div>
                <w:div w:id="20286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0133">
          <w:marLeft w:val="0"/>
          <w:marRight w:val="0"/>
          <w:marTop w:val="0"/>
          <w:marBottom w:val="0"/>
          <w:divBdr>
            <w:top w:val="none" w:sz="0" w:space="0" w:color="auto"/>
            <w:left w:val="none" w:sz="0" w:space="0" w:color="auto"/>
            <w:bottom w:val="none" w:sz="0" w:space="0" w:color="auto"/>
            <w:right w:val="none" w:sz="0" w:space="0" w:color="auto"/>
          </w:divBdr>
        </w:div>
        <w:div w:id="753474303">
          <w:marLeft w:val="0"/>
          <w:marRight w:val="0"/>
          <w:marTop w:val="0"/>
          <w:marBottom w:val="0"/>
          <w:divBdr>
            <w:top w:val="none" w:sz="0" w:space="0" w:color="auto"/>
            <w:left w:val="none" w:sz="0" w:space="0" w:color="auto"/>
            <w:bottom w:val="none" w:sz="0" w:space="0" w:color="auto"/>
            <w:right w:val="none" w:sz="0" w:space="0" w:color="auto"/>
          </w:divBdr>
        </w:div>
        <w:div w:id="946624616">
          <w:marLeft w:val="0"/>
          <w:marRight w:val="0"/>
          <w:marTop w:val="0"/>
          <w:marBottom w:val="0"/>
          <w:divBdr>
            <w:top w:val="none" w:sz="0" w:space="0" w:color="auto"/>
            <w:left w:val="none" w:sz="0" w:space="0" w:color="auto"/>
            <w:bottom w:val="none" w:sz="0" w:space="0" w:color="auto"/>
            <w:right w:val="none" w:sz="0" w:space="0" w:color="auto"/>
          </w:divBdr>
        </w:div>
        <w:div w:id="1005212244">
          <w:marLeft w:val="0"/>
          <w:marRight w:val="0"/>
          <w:marTop w:val="0"/>
          <w:marBottom w:val="0"/>
          <w:divBdr>
            <w:top w:val="none" w:sz="0" w:space="0" w:color="auto"/>
            <w:left w:val="none" w:sz="0" w:space="0" w:color="auto"/>
            <w:bottom w:val="none" w:sz="0" w:space="0" w:color="auto"/>
            <w:right w:val="none" w:sz="0" w:space="0" w:color="auto"/>
          </w:divBdr>
        </w:div>
        <w:div w:id="1467353810">
          <w:marLeft w:val="0"/>
          <w:marRight w:val="0"/>
          <w:marTop w:val="0"/>
          <w:marBottom w:val="0"/>
          <w:divBdr>
            <w:top w:val="none" w:sz="0" w:space="0" w:color="auto"/>
            <w:left w:val="none" w:sz="0" w:space="0" w:color="auto"/>
            <w:bottom w:val="none" w:sz="0" w:space="0" w:color="auto"/>
            <w:right w:val="none" w:sz="0" w:space="0" w:color="auto"/>
          </w:divBdr>
        </w:div>
      </w:divsChild>
    </w:div>
    <w:div w:id="1698044664">
      <w:bodyDiv w:val="1"/>
      <w:marLeft w:val="0"/>
      <w:marRight w:val="0"/>
      <w:marTop w:val="0"/>
      <w:marBottom w:val="0"/>
      <w:divBdr>
        <w:top w:val="none" w:sz="0" w:space="0" w:color="auto"/>
        <w:left w:val="none" w:sz="0" w:space="0" w:color="auto"/>
        <w:bottom w:val="none" w:sz="0" w:space="0" w:color="auto"/>
        <w:right w:val="none" w:sz="0" w:space="0" w:color="auto"/>
      </w:divBdr>
    </w:div>
    <w:div w:id="1720089756">
      <w:bodyDiv w:val="1"/>
      <w:marLeft w:val="0"/>
      <w:marRight w:val="0"/>
      <w:marTop w:val="0"/>
      <w:marBottom w:val="0"/>
      <w:divBdr>
        <w:top w:val="none" w:sz="0" w:space="0" w:color="auto"/>
        <w:left w:val="none" w:sz="0" w:space="0" w:color="auto"/>
        <w:bottom w:val="none" w:sz="0" w:space="0" w:color="auto"/>
        <w:right w:val="none" w:sz="0" w:space="0" w:color="auto"/>
      </w:divBdr>
    </w:div>
    <w:div w:id="1740012942">
      <w:bodyDiv w:val="1"/>
      <w:marLeft w:val="0"/>
      <w:marRight w:val="0"/>
      <w:marTop w:val="0"/>
      <w:marBottom w:val="0"/>
      <w:divBdr>
        <w:top w:val="none" w:sz="0" w:space="0" w:color="auto"/>
        <w:left w:val="none" w:sz="0" w:space="0" w:color="auto"/>
        <w:bottom w:val="none" w:sz="0" w:space="0" w:color="auto"/>
        <w:right w:val="none" w:sz="0" w:space="0" w:color="auto"/>
      </w:divBdr>
    </w:div>
    <w:div w:id="1743213051">
      <w:bodyDiv w:val="1"/>
      <w:marLeft w:val="0"/>
      <w:marRight w:val="0"/>
      <w:marTop w:val="0"/>
      <w:marBottom w:val="0"/>
      <w:divBdr>
        <w:top w:val="none" w:sz="0" w:space="0" w:color="auto"/>
        <w:left w:val="none" w:sz="0" w:space="0" w:color="auto"/>
        <w:bottom w:val="none" w:sz="0" w:space="0" w:color="auto"/>
        <w:right w:val="none" w:sz="0" w:space="0" w:color="auto"/>
      </w:divBdr>
    </w:div>
    <w:div w:id="1765420755">
      <w:bodyDiv w:val="1"/>
      <w:marLeft w:val="0"/>
      <w:marRight w:val="0"/>
      <w:marTop w:val="0"/>
      <w:marBottom w:val="0"/>
      <w:divBdr>
        <w:top w:val="none" w:sz="0" w:space="0" w:color="auto"/>
        <w:left w:val="none" w:sz="0" w:space="0" w:color="auto"/>
        <w:bottom w:val="none" w:sz="0" w:space="0" w:color="auto"/>
        <w:right w:val="none" w:sz="0" w:space="0" w:color="auto"/>
      </w:divBdr>
    </w:div>
    <w:div w:id="1766075296">
      <w:bodyDiv w:val="1"/>
      <w:marLeft w:val="0"/>
      <w:marRight w:val="0"/>
      <w:marTop w:val="0"/>
      <w:marBottom w:val="0"/>
      <w:divBdr>
        <w:top w:val="none" w:sz="0" w:space="0" w:color="auto"/>
        <w:left w:val="none" w:sz="0" w:space="0" w:color="auto"/>
        <w:bottom w:val="none" w:sz="0" w:space="0" w:color="auto"/>
        <w:right w:val="none" w:sz="0" w:space="0" w:color="auto"/>
      </w:divBdr>
    </w:div>
    <w:div w:id="1778481490">
      <w:bodyDiv w:val="1"/>
      <w:marLeft w:val="0"/>
      <w:marRight w:val="0"/>
      <w:marTop w:val="0"/>
      <w:marBottom w:val="0"/>
      <w:divBdr>
        <w:top w:val="none" w:sz="0" w:space="0" w:color="auto"/>
        <w:left w:val="none" w:sz="0" w:space="0" w:color="auto"/>
        <w:bottom w:val="none" w:sz="0" w:space="0" w:color="auto"/>
        <w:right w:val="none" w:sz="0" w:space="0" w:color="auto"/>
      </w:divBdr>
      <w:divsChild>
        <w:div w:id="1188445898">
          <w:marLeft w:val="0"/>
          <w:marRight w:val="0"/>
          <w:marTop w:val="34"/>
          <w:marBottom w:val="34"/>
          <w:divBdr>
            <w:top w:val="none" w:sz="0" w:space="0" w:color="auto"/>
            <w:left w:val="none" w:sz="0" w:space="0" w:color="auto"/>
            <w:bottom w:val="none" w:sz="0" w:space="0" w:color="auto"/>
            <w:right w:val="none" w:sz="0" w:space="0" w:color="auto"/>
          </w:divBdr>
        </w:div>
      </w:divsChild>
    </w:div>
    <w:div w:id="1825007062">
      <w:bodyDiv w:val="1"/>
      <w:marLeft w:val="0"/>
      <w:marRight w:val="0"/>
      <w:marTop w:val="0"/>
      <w:marBottom w:val="0"/>
      <w:divBdr>
        <w:top w:val="none" w:sz="0" w:space="0" w:color="auto"/>
        <w:left w:val="none" w:sz="0" w:space="0" w:color="auto"/>
        <w:bottom w:val="none" w:sz="0" w:space="0" w:color="auto"/>
        <w:right w:val="none" w:sz="0" w:space="0" w:color="auto"/>
      </w:divBdr>
    </w:div>
    <w:div w:id="1861629066">
      <w:bodyDiv w:val="1"/>
      <w:marLeft w:val="0"/>
      <w:marRight w:val="0"/>
      <w:marTop w:val="0"/>
      <w:marBottom w:val="0"/>
      <w:divBdr>
        <w:top w:val="none" w:sz="0" w:space="0" w:color="auto"/>
        <w:left w:val="none" w:sz="0" w:space="0" w:color="auto"/>
        <w:bottom w:val="none" w:sz="0" w:space="0" w:color="auto"/>
        <w:right w:val="none" w:sz="0" w:space="0" w:color="auto"/>
      </w:divBdr>
    </w:div>
    <w:div w:id="1862015578">
      <w:bodyDiv w:val="1"/>
      <w:marLeft w:val="0"/>
      <w:marRight w:val="0"/>
      <w:marTop w:val="0"/>
      <w:marBottom w:val="0"/>
      <w:divBdr>
        <w:top w:val="none" w:sz="0" w:space="0" w:color="auto"/>
        <w:left w:val="none" w:sz="0" w:space="0" w:color="auto"/>
        <w:bottom w:val="none" w:sz="0" w:space="0" w:color="auto"/>
        <w:right w:val="none" w:sz="0" w:space="0" w:color="auto"/>
      </w:divBdr>
    </w:div>
    <w:div w:id="1921669337">
      <w:bodyDiv w:val="1"/>
      <w:marLeft w:val="0"/>
      <w:marRight w:val="0"/>
      <w:marTop w:val="0"/>
      <w:marBottom w:val="0"/>
      <w:divBdr>
        <w:top w:val="none" w:sz="0" w:space="0" w:color="auto"/>
        <w:left w:val="none" w:sz="0" w:space="0" w:color="auto"/>
        <w:bottom w:val="none" w:sz="0" w:space="0" w:color="auto"/>
        <w:right w:val="none" w:sz="0" w:space="0" w:color="auto"/>
      </w:divBdr>
    </w:div>
    <w:div w:id="1969124660">
      <w:bodyDiv w:val="1"/>
      <w:marLeft w:val="0"/>
      <w:marRight w:val="0"/>
      <w:marTop w:val="0"/>
      <w:marBottom w:val="0"/>
      <w:divBdr>
        <w:top w:val="none" w:sz="0" w:space="0" w:color="auto"/>
        <w:left w:val="none" w:sz="0" w:space="0" w:color="auto"/>
        <w:bottom w:val="none" w:sz="0" w:space="0" w:color="auto"/>
        <w:right w:val="none" w:sz="0" w:space="0" w:color="auto"/>
      </w:divBdr>
    </w:div>
    <w:div w:id="2023360511">
      <w:bodyDiv w:val="1"/>
      <w:marLeft w:val="0"/>
      <w:marRight w:val="0"/>
      <w:marTop w:val="0"/>
      <w:marBottom w:val="0"/>
      <w:divBdr>
        <w:top w:val="none" w:sz="0" w:space="0" w:color="auto"/>
        <w:left w:val="none" w:sz="0" w:space="0" w:color="auto"/>
        <w:bottom w:val="none" w:sz="0" w:space="0" w:color="auto"/>
        <w:right w:val="none" w:sz="0" w:space="0" w:color="auto"/>
      </w:divBdr>
    </w:div>
    <w:div w:id="2053071901">
      <w:bodyDiv w:val="1"/>
      <w:marLeft w:val="0"/>
      <w:marRight w:val="0"/>
      <w:marTop w:val="0"/>
      <w:marBottom w:val="0"/>
      <w:divBdr>
        <w:top w:val="none" w:sz="0" w:space="0" w:color="auto"/>
        <w:left w:val="none" w:sz="0" w:space="0" w:color="auto"/>
        <w:bottom w:val="none" w:sz="0" w:space="0" w:color="auto"/>
        <w:right w:val="none" w:sz="0" w:space="0" w:color="auto"/>
      </w:divBdr>
    </w:div>
    <w:div w:id="2078895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llewelyn@bsms.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35B4F-47D7-414F-910C-8DA426ED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6745</Words>
  <Characters>27184</Characters>
  <Application>Microsoft Office Word</Application>
  <DocSecurity>0</DocSecurity>
  <Lines>431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Llewelyn</dc:creator>
  <cp:keywords/>
  <dc:description/>
  <cp:lastModifiedBy>Martin Llewelyn</cp:lastModifiedBy>
  <cp:revision>2</cp:revision>
  <cp:lastPrinted>2019-06-19T15:37:00Z</cp:lastPrinted>
  <dcterms:created xsi:type="dcterms:W3CDTF">2019-07-30T09:03:00Z</dcterms:created>
  <dcterms:modified xsi:type="dcterms:W3CDTF">2019-07-30T09:03:00Z</dcterms:modified>
</cp:coreProperties>
</file>