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47090" w14:textId="149064D5" w:rsidR="00E2366D" w:rsidRPr="00B54664" w:rsidRDefault="00633E74" w:rsidP="00B54664">
      <w:pPr>
        <w:pStyle w:val="BodyText"/>
      </w:pPr>
      <w:bookmarkStart w:id="0" w:name="_GoBack"/>
      <w:bookmarkEnd w:id="0"/>
      <w:r w:rsidRPr="00B54664">
        <w:t xml:space="preserve">Drivers of </w:t>
      </w:r>
      <w:r w:rsidR="004C4591">
        <w:t>mangrove distribution</w:t>
      </w:r>
      <w:r w:rsidRPr="00B54664">
        <w:t xml:space="preserve"> a</w:t>
      </w:r>
      <w:r w:rsidR="008B1975">
        <w:t>t a</w:t>
      </w:r>
      <w:r w:rsidRPr="00B54664">
        <w:t xml:space="preserve"> high-energy, wave-dominated</w:t>
      </w:r>
      <w:r w:rsidR="008B1975">
        <w:t xml:space="preserve">, southern </w:t>
      </w:r>
      <w:r w:rsidR="00F1364B">
        <w:t>range</w:t>
      </w:r>
      <w:r w:rsidR="008B1975">
        <w:t xml:space="preserve"> limit</w:t>
      </w:r>
      <w:r w:rsidRPr="00B54664">
        <w:t>.</w:t>
      </w:r>
    </w:p>
    <w:p w14:paraId="2F1D45DC" w14:textId="6D5BFC34" w:rsidR="00633E74" w:rsidRPr="00B54664" w:rsidRDefault="00633E74" w:rsidP="00B54664">
      <w:r w:rsidRPr="00B54664">
        <w:t>J</w:t>
      </w:r>
      <w:r w:rsidR="0057418D">
        <w:t xml:space="preserve">acqueline </w:t>
      </w:r>
      <w:r w:rsidRPr="00B54664">
        <w:t xml:space="preserve">L </w:t>
      </w:r>
      <w:proofErr w:type="spellStart"/>
      <w:r w:rsidRPr="00B54664">
        <w:t>Raw</w:t>
      </w:r>
      <w:r w:rsidR="0057418D">
        <w:rPr>
          <w:vertAlign w:val="superscript"/>
        </w:rPr>
        <w:t>a</w:t>
      </w:r>
      <w:proofErr w:type="spellEnd"/>
      <w:r w:rsidRPr="00B54664">
        <w:t>*, J</w:t>
      </w:r>
      <w:r w:rsidR="0057418D">
        <w:t xml:space="preserve">asmin </w:t>
      </w:r>
      <w:r w:rsidRPr="00B54664">
        <w:t xml:space="preserve">A </w:t>
      </w:r>
      <w:proofErr w:type="spellStart"/>
      <w:r w:rsidRPr="00B54664">
        <w:t>Godbold</w:t>
      </w:r>
      <w:r w:rsidR="0057418D">
        <w:rPr>
          <w:vertAlign w:val="superscript"/>
        </w:rPr>
        <w:t>b</w:t>
      </w:r>
      <w:proofErr w:type="spellEnd"/>
      <w:r w:rsidRPr="00B54664">
        <w:t>, L</w:t>
      </w:r>
      <w:r w:rsidR="0057418D">
        <w:t>ara</w:t>
      </w:r>
      <w:r w:rsidRPr="00B54664">
        <w:t xml:space="preserve"> van </w:t>
      </w:r>
      <w:proofErr w:type="spellStart"/>
      <w:r w:rsidRPr="0057418D">
        <w:t>Niekerk</w:t>
      </w:r>
      <w:r w:rsidR="0057418D">
        <w:rPr>
          <w:vertAlign w:val="superscript"/>
        </w:rPr>
        <w:t>a</w:t>
      </w:r>
      <w:r w:rsidR="0057418D" w:rsidRPr="0057418D">
        <w:rPr>
          <w:vertAlign w:val="superscript"/>
        </w:rPr>
        <w:t>,</w:t>
      </w:r>
      <w:r w:rsidR="0057418D">
        <w:rPr>
          <w:vertAlign w:val="superscript"/>
        </w:rPr>
        <w:t>c</w:t>
      </w:r>
      <w:proofErr w:type="spellEnd"/>
      <w:r w:rsidRPr="0057418D">
        <w:t>,</w:t>
      </w:r>
      <w:r w:rsidRPr="00B54664">
        <w:t xml:space="preserve"> J</w:t>
      </w:r>
      <w:r w:rsidR="0057418D">
        <w:t xml:space="preserve">anine </w:t>
      </w:r>
      <w:r w:rsidRPr="00B54664">
        <w:t xml:space="preserve">B </w:t>
      </w:r>
      <w:proofErr w:type="spellStart"/>
      <w:r w:rsidRPr="00B54664">
        <w:t>Adams</w:t>
      </w:r>
      <w:r w:rsidR="0057418D">
        <w:rPr>
          <w:vertAlign w:val="superscript"/>
        </w:rPr>
        <w:t>a</w:t>
      </w:r>
      <w:proofErr w:type="spellEnd"/>
    </w:p>
    <w:p w14:paraId="110DE4DD" w14:textId="1989FD3B" w:rsidR="00633E74" w:rsidRDefault="0057418D" w:rsidP="00C82E5E">
      <w:pPr>
        <w:spacing w:after="0" w:line="360" w:lineRule="auto"/>
      </w:pPr>
      <w:r>
        <w:rPr>
          <w:vertAlign w:val="superscript"/>
        </w:rPr>
        <w:t xml:space="preserve">a </w:t>
      </w:r>
      <w:r w:rsidR="00633E74" w:rsidRPr="00B54664">
        <w:t>DST/NRF Research Chair in Shallow Water Ecosystems, Department of Botany, Institute for Coastal and Marine Research, Nelson Mandela University, Port Elizabeth, South Africa.</w:t>
      </w:r>
    </w:p>
    <w:p w14:paraId="5D11A0E4" w14:textId="040B7CB7" w:rsidR="00633E74" w:rsidRPr="00B54664" w:rsidRDefault="0057418D" w:rsidP="00C82E5E">
      <w:pPr>
        <w:spacing w:after="0" w:line="360" w:lineRule="auto"/>
      </w:pPr>
      <w:r>
        <w:rPr>
          <w:vertAlign w:val="superscript"/>
        </w:rPr>
        <w:t xml:space="preserve">b </w:t>
      </w:r>
      <w:r w:rsidR="000E7D55">
        <w:t xml:space="preserve">School of </w:t>
      </w:r>
      <w:r w:rsidR="00633E74" w:rsidRPr="000E7D55">
        <w:t>Ocean</w:t>
      </w:r>
      <w:r w:rsidR="00633E74" w:rsidRPr="00B54664">
        <w:t xml:space="preserve"> and Earth Science, </w:t>
      </w:r>
      <w:r w:rsidR="000E7D55">
        <w:t xml:space="preserve">University of Southampton, </w:t>
      </w:r>
      <w:r w:rsidR="00633E74" w:rsidRPr="00B54664">
        <w:t>National Oceanography Centre</w:t>
      </w:r>
      <w:r w:rsidR="000E7D55">
        <w:t xml:space="preserve"> </w:t>
      </w:r>
      <w:r w:rsidR="00633E74" w:rsidRPr="00B54664">
        <w:t xml:space="preserve">Southampton, Southampton, </w:t>
      </w:r>
      <w:r w:rsidR="000E7D55">
        <w:t xml:space="preserve">SO14 3ZH, </w:t>
      </w:r>
      <w:r w:rsidR="00633E74" w:rsidRPr="00B54664">
        <w:t>United Kingdom.</w:t>
      </w:r>
    </w:p>
    <w:p w14:paraId="085623EC" w14:textId="12F00888" w:rsidR="00633E74" w:rsidRPr="00B54664" w:rsidRDefault="0057418D" w:rsidP="00C82E5E">
      <w:pPr>
        <w:spacing w:after="0" w:line="360" w:lineRule="auto"/>
      </w:pPr>
      <w:r>
        <w:rPr>
          <w:vertAlign w:val="superscript"/>
        </w:rPr>
        <w:t xml:space="preserve">c </w:t>
      </w:r>
      <w:r w:rsidR="00633E74" w:rsidRPr="00B54664">
        <w:t>Natural Resources and the Environment, Council for Scientific and Industrial Research (CSIR), Stellenbosch, South Africa.</w:t>
      </w:r>
    </w:p>
    <w:p w14:paraId="6BACC715" w14:textId="77777777" w:rsidR="00633E74" w:rsidRPr="00B54664" w:rsidRDefault="00633E74" w:rsidP="007E4181">
      <w:pPr>
        <w:pStyle w:val="Header"/>
        <w:tabs>
          <w:tab w:val="clear" w:pos="4513"/>
          <w:tab w:val="clear" w:pos="9026"/>
        </w:tabs>
        <w:spacing w:line="276" w:lineRule="auto"/>
      </w:pPr>
    </w:p>
    <w:p w14:paraId="5E5E733A" w14:textId="687768FC" w:rsidR="00633E74" w:rsidRPr="00B54664" w:rsidRDefault="00633E74" w:rsidP="00B54664">
      <w:r w:rsidRPr="00B54664">
        <w:t>* Corresponding author email: jackie.raw33@gmail.com</w:t>
      </w:r>
    </w:p>
    <w:p w14:paraId="4803817C" w14:textId="227A3E92" w:rsidR="00633E74" w:rsidRPr="00B54664" w:rsidRDefault="00633E74" w:rsidP="00B54664">
      <w:pPr>
        <w:pStyle w:val="Heading1"/>
        <w:spacing w:line="276" w:lineRule="auto"/>
      </w:pPr>
      <w:r w:rsidRPr="00B54664">
        <w:t>Abstract</w:t>
      </w:r>
    </w:p>
    <w:p w14:paraId="5889A8A1" w14:textId="7F31630F" w:rsidR="00801134" w:rsidRDefault="009B5114" w:rsidP="00D37CEF">
      <w:pPr>
        <w:spacing w:line="360" w:lineRule="auto"/>
      </w:pPr>
      <w:r>
        <w:t>Mangrove distribution patterns at regional scales are influenced by additional factors besides temperature and rainfall regimes</w:t>
      </w:r>
      <w:r w:rsidR="00282FE9">
        <w:t xml:space="preserve">. </w:t>
      </w:r>
      <w:r w:rsidR="00C82E5E">
        <w:t>This study identified abiotic drivers of mangrove area cover along the high-energy, wave-dominated coastline of South Africa</w:t>
      </w:r>
      <w:r w:rsidR="004758E4">
        <w:t xml:space="preserve">. </w:t>
      </w:r>
      <w:r w:rsidR="004C023C">
        <w:t xml:space="preserve">This is </w:t>
      </w:r>
      <w:r w:rsidR="00C82E5E">
        <w:t xml:space="preserve">one of the southernmost locations globally </w:t>
      </w:r>
      <w:r w:rsidR="004C023C">
        <w:t>for mangroves</w:t>
      </w:r>
      <w:r w:rsidR="00820690">
        <w:t>.</w:t>
      </w:r>
      <w:r w:rsidR="004C023C">
        <w:t xml:space="preserve"> </w:t>
      </w:r>
      <w:r w:rsidR="00C82E5E">
        <w:t xml:space="preserve">A structural equation model (SEM) was used to delineate relationships between multiple variables that represented climatic and geomorphological drivers of </w:t>
      </w:r>
      <w:r w:rsidR="004C023C">
        <w:t xml:space="preserve">current </w:t>
      </w:r>
      <w:r w:rsidR="00C82E5E">
        <w:t xml:space="preserve">mangrove </w:t>
      </w:r>
      <w:r w:rsidR="00282FE9">
        <w:t xml:space="preserve">distribution </w:t>
      </w:r>
      <w:r w:rsidR="00C82E5E">
        <w:t xml:space="preserve">patterns. Floodplain area, </w:t>
      </w:r>
      <w:r w:rsidR="00282FE9">
        <w:t>inlet stability</w:t>
      </w:r>
      <w:r w:rsidR="00C82E5E">
        <w:t xml:space="preserve">, and the flow </w:t>
      </w:r>
      <w:r w:rsidR="004C023C">
        <w:t xml:space="preserve">regime of the estuary were identified as significant predictors of mangrove area. </w:t>
      </w:r>
      <w:r w:rsidR="00820690">
        <w:t>T</w:t>
      </w:r>
      <w:r w:rsidR="00AA679A">
        <w:t>he results of this study confirm that for this region mangrove distribution is controlled by coastal topographical features and estuarine dynamics</w:t>
      </w:r>
      <w:r w:rsidR="00801134">
        <w:t xml:space="preserve"> rather than temperature minima</w:t>
      </w:r>
      <w:r w:rsidR="00AA679A">
        <w:t xml:space="preserve">. This is similar to other high-energy, wave-dominated coasts </w:t>
      </w:r>
      <w:r w:rsidR="00801134">
        <w:t>of</w:t>
      </w:r>
      <w:r w:rsidR="00AA679A">
        <w:t xml:space="preserve"> Australia, Brazil, and New Zealand.</w:t>
      </w:r>
      <w:r w:rsidR="00801134">
        <w:t xml:space="preserve"> Future research should</w:t>
      </w:r>
      <w:r w:rsidR="00D55ECA">
        <w:t>,</w:t>
      </w:r>
      <w:r w:rsidR="00801134">
        <w:t xml:space="preserve"> therefore</w:t>
      </w:r>
      <w:r w:rsidR="00D55ECA">
        <w:t>,</w:t>
      </w:r>
      <w:r w:rsidR="00801134">
        <w:t xml:space="preserve"> incorporate regional-scale factors</w:t>
      </w:r>
      <w:r w:rsidR="007D1282">
        <w:t xml:space="preserve"> that</w:t>
      </w:r>
      <w:r w:rsidR="00801134">
        <w:t xml:space="preserve"> </w:t>
      </w:r>
      <w:r w:rsidR="001F5E1A">
        <w:t>restrict</w:t>
      </w:r>
      <w:r w:rsidR="00801134">
        <w:t xml:space="preserve"> current distributions </w:t>
      </w:r>
      <w:r w:rsidR="007D1282">
        <w:t xml:space="preserve">as they could inform on </w:t>
      </w:r>
      <w:r w:rsidR="001F5E1A">
        <w:t>potential limitations to expansion</w:t>
      </w:r>
      <w:r w:rsidR="00C47B52">
        <w:t>, particularly for southern hemisphere range limits</w:t>
      </w:r>
      <w:r w:rsidR="001F5E1A">
        <w:t xml:space="preserve">. </w:t>
      </w:r>
    </w:p>
    <w:p w14:paraId="387CA505" w14:textId="607C1ED1" w:rsidR="00633E74" w:rsidRPr="00B54664" w:rsidRDefault="00633E74" w:rsidP="00B54664">
      <w:pPr>
        <w:rPr>
          <w:b/>
        </w:rPr>
      </w:pPr>
      <w:r w:rsidRPr="00B54664">
        <w:rPr>
          <w:b/>
        </w:rPr>
        <w:t>Additional keywords</w:t>
      </w:r>
    </w:p>
    <w:p w14:paraId="14B71B0F" w14:textId="00ABDB1E" w:rsidR="00633E74" w:rsidRPr="00B54664" w:rsidRDefault="00633E74" w:rsidP="00820690">
      <w:pPr>
        <w:spacing w:line="360" w:lineRule="auto"/>
      </w:pPr>
      <w:r w:rsidRPr="00B54664">
        <w:t>Biogeographic patterns</w:t>
      </w:r>
      <w:r w:rsidR="00E764DC">
        <w:t>;</w:t>
      </w:r>
      <w:r w:rsidRPr="00B54664">
        <w:t xml:space="preserve"> Geomorphological drivers</w:t>
      </w:r>
      <w:r w:rsidR="00E764DC">
        <w:t>;</w:t>
      </w:r>
      <w:r w:rsidRPr="00B54664">
        <w:t xml:space="preserve"> </w:t>
      </w:r>
      <w:r w:rsidR="00BB5408">
        <w:t>Climatic drivers</w:t>
      </w:r>
      <w:r w:rsidR="00E764DC">
        <w:t>;</w:t>
      </w:r>
      <w:r w:rsidR="00BB5408">
        <w:t xml:space="preserve"> </w:t>
      </w:r>
      <w:r w:rsidRPr="00B54664">
        <w:t>Structural equation modelling</w:t>
      </w:r>
      <w:r w:rsidR="00E764DC">
        <w:t>;</w:t>
      </w:r>
      <w:r w:rsidR="001C3B83" w:rsidRPr="00820690">
        <w:t xml:space="preserve"> </w:t>
      </w:r>
      <w:r w:rsidR="00820690">
        <w:t>E</w:t>
      </w:r>
      <w:r w:rsidR="001C3B83" w:rsidRPr="00820690">
        <w:t>stuaries</w:t>
      </w:r>
      <w:r w:rsidR="00E764DC">
        <w:t>;</w:t>
      </w:r>
      <w:r w:rsidR="001C3B83" w:rsidRPr="00820690">
        <w:t xml:space="preserve"> Southern Africa</w:t>
      </w:r>
    </w:p>
    <w:p w14:paraId="7905E05C" w14:textId="5ABFC966" w:rsidR="00633E74" w:rsidRPr="00B54664" w:rsidRDefault="00633E74" w:rsidP="00B54664">
      <w:pPr>
        <w:spacing w:after="160"/>
      </w:pPr>
      <w:r w:rsidRPr="00B54664">
        <w:br w:type="page"/>
      </w:r>
    </w:p>
    <w:p w14:paraId="0A9E3755" w14:textId="5A72D5A2" w:rsidR="00633E74" w:rsidRPr="00B54664" w:rsidRDefault="00820690" w:rsidP="00B54664">
      <w:pPr>
        <w:pStyle w:val="Heading1"/>
        <w:spacing w:line="276" w:lineRule="auto"/>
      </w:pPr>
      <w:r>
        <w:lastRenderedPageBreak/>
        <w:t xml:space="preserve">1 </w:t>
      </w:r>
      <w:r w:rsidR="00633E74" w:rsidRPr="00B54664">
        <w:t>Introduction</w:t>
      </w:r>
      <w:r>
        <w:t xml:space="preserve"> </w:t>
      </w:r>
    </w:p>
    <w:p w14:paraId="52BAF1AD" w14:textId="56870369" w:rsidR="00471C20" w:rsidRDefault="00633E74" w:rsidP="00327808">
      <w:pPr>
        <w:spacing w:line="360" w:lineRule="auto"/>
      </w:pPr>
      <w:r w:rsidRPr="00B54664">
        <w:t xml:space="preserve">Mangrove forests are iconic features of tropical </w:t>
      </w:r>
      <w:r w:rsidR="00DA60A6">
        <w:t>coasts</w:t>
      </w:r>
      <w:r w:rsidR="00AC5624">
        <w:t>.</w:t>
      </w:r>
      <w:r w:rsidR="00764A28">
        <w:t xml:space="preserve"> </w:t>
      </w:r>
      <w:r w:rsidR="00AC5624">
        <w:t>T</w:t>
      </w:r>
      <w:r w:rsidR="00BB597D">
        <w:t>he range limits of these ecosystems occur at subtropical</w:t>
      </w:r>
      <w:r w:rsidR="0073440F">
        <w:t>/</w:t>
      </w:r>
      <w:r w:rsidR="00BB597D">
        <w:t>warm-temperate boundaries which are characterized by the 20</w:t>
      </w:r>
      <w:r w:rsidR="00BB597D">
        <w:rPr>
          <w:rFonts w:cs="Arial"/>
        </w:rPr>
        <w:t>°</w:t>
      </w:r>
      <w:r w:rsidR="00BB597D">
        <w:t xml:space="preserve">C winter isotherm for sea-surface temperature </w:t>
      </w:r>
      <w:r w:rsidR="00BB597D" w:rsidRPr="00BB597D">
        <w:rPr>
          <w:rFonts w:cs="Arial"/>
        </w:rPr>
        <w:t>(Duke et al. 1998, Tomlinson 1999)</w:t>
      </w:r>
      <w:r w:rsidR="00BB597D">
        <w:t xml:space="preserve">. Temperature and precipitation regimes are </w:t>
      </w:r>
      <w:r w:rsidR="00AC5624">
        <w:t xml:space="preserve">therefore </w:t>
      </w:r>
      <w:r w:rsidR="00BB597D">
        <w:t xml:space="preserve">considered </w:t>
      </w:r>
      <w:r w:rsidR="00E42385">
        <w:t>as</w:t>
      </w:r>
      <w:r w:rsidR="00BB597D">
        <w:t xml:space="preserve"> the most important factors driving contemporary global distribution patterns for mangrove forests </w:t>
      </w:r>
      <w:r w:rsidR="0065403E" w:rsidRPr="0065403E">
        <w:rPr>
          <w:rFonts w:cs="Arial"/>
        </w:rPr>
        <w:t>(</w:t>
      </w:r>
      <w:proofErr w:type="spellStart"/>
      <w:r w:rsidR="0065403E" w:rsidRPr="0065403E">
        <w:rPr>
          <w:rFonts w:cs="Arial"/>
        </w:rPr>
        <w:t>Giri</w:t>
      </w:r>
      <w:proofErr w:type="spellEnd"/>
      <w:r w:rsidR="0065403E" w:rsidRPr="0065403E">
        <w:rPr>
          <w:rFonts w:cs="Arial"/>
        </w:rPr>
        <w:t xml:space="preserve"> et al. 2011, </w:t>
      </w:r>
      <w:proofErr w:type="spellStart"/>
      <w:r w:rsidR="0065403E" w:rsidRPr="0065403E">
        <w:rPr>
          <w:rFonts w:cs="Arial"/>
        </w:rPr>
        <w:t>Osland</w:t>
      </w:r>
      <w:proofErr w:type="spellEnd"/>
      <w:r w:rsidR="0065403E" w:rsidRPr="0065403E">
        <w:rPr>
          <w:rFonts w:cs="Arial"/>
        </w:rPr>
        <w:t xml:space="preserve"> et al. 2017</w:t>
      </w:r>
      <w:r w:rsidR="00B15E40">
        <w:rPr>
          <w:rFonts w:cs="Arial"/>
        </w:rPr>
        <w:t>b</w:t>
      </w:r>
      <w:r w:rsidR="0065403E" w:rsidRPr="0065403E">
        <w:rPr>
          <w:rFonts w:cs="Arial"/>
        </w:rPr>
        <w:t>)</w:t>
      </w:r>
      <w:r w:rsidR="00BB597D">
        <w:t>.</w:t>
      </w:r>
      <w:r w:rsidR="003F5FC2">
        <w:t xml:space="preserve"> </w:t>
      </w:r>
      <w:r w:rsidR="00394707">
        <w:t>At regional scales, mangrove distribution patterns have been related to particular aspects of climatic regimes</w:t>
      </w:r>
      <w:r w:rsidR="003F5FC2">
        <w:t xml:space="preserve"> </w:t>
      </w:r>
      <w:r w:rsidR="003F5FC2" w:rsidRPr="003F5FC2">
        <w:rPr>
          <w:rFonts w:cs="Arial"/>
        </w:rPr>
        <w:t>(</w:t>
      </w:r>
      <w:proofErr w:type="spellStart"/>
      <w:r w:rsidR="0069562F">
        <w:rPr>
          <w:rFonts w:cs="Arial"/>
        </w:rPr>
        <w:t>Quisthoudt</w:t>
      </w:r>
      <w:proofErr w:type="spellEnd"/>
      <w:r w:rsidR="0069562F">
        <w:rPr>
          <w:rFonts w:cs="Arial"/>
        </w:rPr>
        <w:t xml:space="preserve"> et al. 2012, </w:t>
      </w:r>
      <w:r w:rsidR="003F5FC2" w:rsidRPr="003F5FC2">
        <w:rPr>
          <w:rFonts w:cs="Arial"/>
        </w:rPr>
        <w:t>Ward et al. 2016</w:t>
      </w:r>
      <w:r w:rsidR="00B90F84">
        <w:rPr>
          <w:rFonts w:cs="Arial"/>
        </w:rPr>
        <w:t>, Cavanaugh et al.2018</w:t>
      </w:r>
      <w:r w:rsidR="003F5FC2" w:rsidRPr="003F5FC2">
        <w:rPr>
          <w:rFonts w:cs="Arial"/>
        </w:rPr>
        <w:t>)</w:t>
      </w:r>
      <w:r w:rsidR="003F5FC2">
        <w:t xml:space="preserve">. </w:t>
      </w:r>
      <w:r w:rsidR="00394707">
        <w:t>For example</w:t>
      </w:r>
      <w:r w:rsidR="00E919BD">
        <w:t>;</w:t>
      </w:r>
      <w:r w:rsidR="00394707">
        <w:t xml:space="preserve"> freeze events, precipitation</w:t>
      </w:r>
      <w:r w:rsidR="00E42385">
        <w:t>,</w:t>
      </w:r>
      <w:r w:rsidR="00394707">
        <w:t xml:space="preserve"> and ocean currents have been identified as drivers of mangrove distribution patterns respectively in the eastern United States, Australia, and Brazil </w:t>
      </w:r>
      <w:r w:rsidR="00394707" w:rsidRPr="0065403E">
        <w:rPr>
          <w:rFonts w:cs="Arial"/>
        </w:rPr>
        <w:t>(</w:t>
      </w:r>
      <w:proofErr w:type="spellStart"/>
      <w:r w:rsidR="00394707" w:rsidRPr="00B02EF6">
        <w:rPr>
          <w:rFonts w:cs="Arial"/>
        </w:rPr>
        <w:t>Saintilan</w:t>
      </w:r>
      <w:proofErr w:type="spellEnd"/>
      <w:r w:rsidR="00394707" w:rsidRPr="00B02EF6">
        <w:rPr>
          <w:rFonts w:cs="Arial"/>
        </w:rPr>
        <w:t xml:space="preserve"> &amp; Williams 1999</w:t>
      </w:r>
      <w:r w:rsidR="00394707">
        <w:rPr>
          <w:rFonts w:cs="Arial"/>
        </w:rPr>
        <w:t xml:space="preserve">, </w:t>
      </w:r>
      <w:r w:rsidR="00394707" w:rsidRPr="0065403E">
        <w:rPr>
          <w:rFonts w:cs="Arial"/>
        </w:rPr>
        <w:t xml:space="preserve">Stuart et al. 2007, </w:t>
      </w:r>
      <w:r w:rsidR="00394707" w:rsidRPr="004A7548">
        <w:rPr>
          <w:rFonts w:cs="Arial"/>
        </w:rPr>
        <w:t>Soares et al. 2012</w:t>
      </w:r>
      <w:r w:rsidR="00394707">
        <w:rPr>
          <w:rFonts w:cs="Arial"/>
        </w:rPr>
        <w:t xml:space="preserve">, </w:t>
      </w:r>
      <w:r w:rsidR="00394707" w:rsidRPr="0065403E">
        <w:rPr>
          <w:rFonts w:cs="Arial"/>
        </w:rPr>
        <w:t xml:space="preserve">Cavanaugh et al. 2014, </w:t>
      </w:r>
      <w:proofErr w:type="spellStart"/>
      <w:r w:rsidR="00394707" w:rsidRPr="0065403E">
        <w:rPr>
          <w:rFonts w:cs="Arial"/>
        </w:rPr>
        <w:t>Osland</w:t>
      </w:r>
      <w:proofErr w:type="spellEnd"/>
      <w:r w:rsidR="00394707">
        <w:rPr>
          <w:rFonts w:cs="Arial"/>
        </w:rPr>
        <w:t xml:space="preserve"> </w:t>
      </w:r>
      <w:r w:rsidR="00394707" w:rsidRPr="0065403E">
        <w:rPr>
          <w:rFonts w:cs="Arial"/>
        </w:rPr>
        <w:t>et al. 2017</w:t>
      </w:r>
      <w:r w:rsidR="00394707">
        <w:rPr>
          <w:rFonts w:cs="Arial"/>
        </w:rPr>
        <w:t>a</w:t>
      </w:r>
      <w:r w:rsidR="00394707" w:rsidRPr="0065403E">
        <w:rPr>
          <w:rFonts w:cs="Arial"/>
        </w:rPr>
        <w:t>)</w:t>
      </w:r>
      <w:r w:rsidR="00394707">
        <w:rPr>
          <w:rFonts w:cs="Arial"/>
        </w:rPr>
        <w:t xml:space="preserve">. </w:t>
      </w:r>
      <w:r w:rsidR="00AB1498">
        <w:rPr>
          <w:rFonts w:cs="Arial"/>
        </w:rPr>
        <w:t xml:space="preserve">However, </w:t>
      </w:r>
      <w:r w:rsidR="00327808">
        <w:t xml:space="preserve">local physical factors such as coastal hydrology and geomorphology can also influence mangrove distribution patterns </w:t>
      </w:r>
      <w:r w:rsidR="00327808" w:rsidRPr="00BC5B28">
        <w:rPr>
          <w:rFonts w:cs="Arial"/>
        </w:rPr>
        <w:t>(</w:t>
      </w:r>
      <w:proofErr w:type="spellStart"/>
      <w:r w:rsidR="00327808" w:rsidRPr="00BC5B28">
        <w:rPr>
          <w:rFonts w:cs="Arial"/>
        </w:rPr>
        <w:t>Semeniuk</w:t>
      </w:r>
      <w:proofErr w:type="spellEnd"/>
      <w:r w:rsidR="00327808" w:rsidRPr="00BC5B28">
        <w:rPr>
          <w:rFonts w:cs="Arial"/>
        </w:rPr>
        <w:t xml:space="preserve"> 1983, Schaeffer-</w:t>
      </w:r>
      <w:proofErr w:type="spellStart"/>
      <w:r w:rsidR="00327808" w:rsidRPr="00BC5B28">
        <w:rPr>
          <w:rFonts w:cs="Arial"/>
        </w:rPr>
        <w:t>Novelli</w:t>
      </w:r>
      <w:proofErr w:type="spellEnd"/>
      <w:r w:rsidR="00327808" w:rsidRPr="00BC5B28">
        <w:rPr>
          <w:rFonts w:cs="Arial"/>
        </w:rPr>
        <w:t xml:space="preserve"> et al. 1990, Stevens et al. 2006, Leong et al. 2018)</w:t>
      </w:r>
      <w:r w:rsidR="00327808">
        <w:t xml:space="preserve">. This mismatch between regional and global drivers could explain why studies carried out at these different scales disagree on whether or not mangroves are already expanding </w:t>
      </w:r>
      <w:proofErr w:type="spellStart"/>
      <w:r w:rsidR="00327808">
        <w:t>polewards</w:t>
      </w:r>
      <w:proofErr w:type="spellEnd"/>
      <w:r w:rsidR="00327808">
        <w:t xml:space="preserve"> in response to global climate change </w:t>
      </w:r>
      <w:r w:rsidR="00327808" w:rsidRPr="007F0879">
        <w:rPr>
          <w:rFonts w:cs="Arial"/>
        </w:rPr>
        <w:t xml:space="preserve">(Comeaux et al. 2012, </w:t>
      </w:r>
      <w:r w:rsidR="00653AD1" w:rsidRPr="007F0879">
        <w:rPr>
          <w:rFonts w:cs="Arial"/>
        </w:rPr>
        <w:t>Boon 2017</w:t>
      </w:r>
      <w:r w:rsidR="00653AD1">
        <w:rPr>
          <w:rFonts w:cs="Arial"/>
        </w:rPr>
        <w:t xml:space="preserve">, </w:t>
      </w:r>
      <w:r w:rsidR="00327808" w:rsidRPr="007F0879">
        <w:rPr>
          <w:rFonts w:cs="Arial"/>
        </w:rPr>
        <w:t>Hickey et al. 2017)</w:t>
      </w:r>
      <w:r w:rsidR="00327808">
        <w:t xml:space="preserve">. </w:t>
      </w:r>
    </w:p>
    <w:p w14:paraId="75281877" w14:textId="468E9803" w:rsidR="00D72CFB" w:rsidRPr="00924FC3" w:rsidRDefault="00D72CFB" w:rsidP="00D72CFB">
      <w:pPr>
        <w:spacing w:line="360" w:lineRule="auto"/>
        <w:rPr>
          <w:rFonts w:cs="Arial"/>
        </w:rPr>
      </w:pPr>
      <w:r>
        <w:t xml:space="preserve">At local scales, factors that </w:t>
      </w:r>
      <w:r w:rsidR="00BA4C51">
        <w:t>drive</w:t>
      </w:r>
      <w:r>
        <w:t xml:space="preserve"> mangrove establishment and distribution are well-documented and can be categorized in relation to geomorphology, abiotic </w:t>
      </w:r>
      <w:r w:rsidR="00BA4C51">
        <w:t xml:space="preserve">controls, physical barriers, and biotic interactions </w:t>
      </w:r>
      <w:r w:rsidRPr="00834833">
        <w:rPr>
          <w:rFonts w:cs="Arial"/>
        </w:rPr>
        <w:t xml:space="preserve">(Krauss et al. 2008, </w:t>
      </w:r>
      <w:proofErr w:type="spellStart"/>
      <w:r w:rsidRPr="00834833">
        <w:rPr>
          <w:rFonts w:cs="Arial"/>
        </w:rPr>
        <w:t>Arrivabene</w:t>
      </w:r>
      <w:proofErr w:type="spellEnd"/>
      <w:r w:rsidRPr="00834833">
        <w:rPr>
          <w:rFonts w:cs="Arial"/>
        </w:rPr>
        <w:t xml:space="preserve"> et al. 2014)</w:t>
      </w:r>
      <w:r>
        <w:rPr>
          <w:rFonts w:cs="Arial"/>
        </w:rPr>
        <w:t xml:space="preserve">. </w:t>
      </w:r>
      <w:r w:rsidR="000322C1">
        <w:rPr>
          <w:rFonts w:cs="Arial"/>
        </w:rPr>
        <w:t>The hydro-geomorphological settings in which mangroves occur are defined in relation to landform and sedimentation patterns (Woodroffe 1992).</w:t>
      </w:r>
      <w:r w:rsidR="002F4E86">
        <w:rPr>
          <w:rFonts w:cs="Arial"/>
        </w:rPr>
        <w:t xml:space="preserve"> </w:t>
      </w:r>
      <w:r w:rsidR="004641AF">
        <w:rPr>
          <w:rFonts w:cs="Arial"/>
        </w:rPr>
        <w:t>O</w:t>
      </w:r>
      <w:r w:rsidR="002F4E86">
        <w:rPr>
          <w:rFonts w:cs="Arial"/>
        </w:rPr>
        <w:t xml:space="preserve">n wave-dominated coasts mangroves are restricted to occurring in sheltered estuaries or lagoons (Woodroffe 1992, Cooper 2001). </w:t>
      </w:r>
      <w:r w:rsidR="005E491C">
        <w:rPr>
          <w:rFonts w:cs="Arial"/>
        </w:rPr>
        <w:t xml:space="preserve">The degree to which these coastal </w:t>
      </w:r>
      <w:proofErr w:type="spellStart"/>
      <w:r w:rsidR="005E491C">
        <w:rPr>
          <w:rFonts w:cs="Arial"/>
        </w:rPr>
        <w:t>embayments</w:t>
      </w:r>
      <w:proofErr w:type="spellEnd"/>
      <w:r w:rsidR="005E491C">
        <w:rPr>
          <w:rFonts w:cs="Arial"/>
        </w:rPr>
        <w:t xml:space="preserve"> have been infilled by fluvial sediments determines the size of the floodplain available for mangrove</w:t>
      </w:r>
      <w:r w:rsidR="00990E51">
        <w:rPr>
          <w:rFonts w:cs="Arial"/>
        </w:rPr>
        <w:t xml:space="preserve"> establishment</w:t>
      </w:r>
      <w:r w:rsidR="005E491C">
        <w:rPr>
          <w:rFonts w:cs="Arial"/>
        </w:rPr>
        <w:t xml:space="preserve"> (Roy et al. 2001). </w:t>
      </w:r>
      <w:r w:rsidR="00FA4125">
        <w:rPr>
          <w:rFonts w:cs="Arial"/>
        </w:rPr>
        <w:t xml:space="preserve">The hydro-geomorphological settings of a </w:t>
      </w:r>
      <w:r w:rsidR="00990E51">
        <w:rPr>
          <w:rFonts w:cs="Arial"/>
        </w:rPr>
        <w:t>mangrove</w:t>
      </w:r>
      <w:r w:rsidR="00FA4125">
        <w:rPr>
          <w:rFonts w:cs="Arial"/>
        </w:rPr>
        <w:t xml:space="preserve"> forest </w:t>
      </w:r>
      <w:r w:rsidR="00990E51">
        <w:rPr>
          <w:rFonts w:cs="Arial"/>
        </w:rPr>
        <w:t xml:space="preserve">also </w:t>
      </w:r>
      <w:r w:rsidR="00FA4125">
        <w:rPr>
          <w:rFonts w:cs="Arial"/>
        </w:rPr>
        <w:t>determine local scale variability in physical and abiotic factors</w:t>
      </w:r>
      <w:r w:rsidR="00C50695">
        <w:rPr>
          <w:rFonts w:cs="Arial"/>
        </w:rPr>
        <w:t>,</w:t>
      </w:r>
      <w:r w:rsidR="00FA4125">
        <w:rPr>
          <w:rFonts w:cs="Arial"/>
        </w:rPr>
        <w:t xml:space="preserve"> </w:t>
      </w:r>
      <w:r w:rsidR="00C50695">
        <w:rPr>
          <w:rFonts w:cs="Arial"/>
        </w:rPr>
        <w:t>which</w:t>
      </w:r>
      <w:r w:rsidR="00FA4125">
        <w:rPr>
          <w:rFonts w:cs="Arial"/>
        </w:rPr>
        <w:t xml:space="preserve"> </w:t>
      </w:r>
      <w:r w:rsidR="00484B3D">
        <w:rPr>
          <w:rFonts w:cs="Arial"/>
        </w:rPr>
        <w:t xml:space="preserve">in turn </w:t>
      </w:r>
      <w:r w:rsidR="00FA4125">
        <w:rPr>
          <w:rFonts w:cs="Arial"/>
        </w:rPr>
        <w:t xml:space="preserve">control vegetation </w:t>
      </w:r>
      <w:r w:rsidR="00832AB3">
        <w:rPr>
          <w:rFonts w:cs="Arial"/>
        </w:rPr>
        <w:t xml:space="preserve">distribution </w:t>
      </w:r>
      <w:r w:rsidR="00FA4125">
        <w:rPr>
          <w:rFonts w:cs="Arial"/>
        </w:rPr>
        <w:t>patterns</w:t>
      </w:r>
      <w:r w:rsidR="00484B3D">
        <w:rPr>
          <w:rFonts w:cs="Arial"/>
        </w:rPr>
        <w:t xml:space="preserve"> </w:t>
      </w:r>
      <w:r w:rsidR="00417802">
        <w:rPr>
          <w:rFonts w:cs="Arial"/>
        </w:rPr>
        <w:t xml:space="preserve">(Berger et al. 2008). </w:t>
      </w:r>
      <w:r w:rsidR="001647FB">
        <w:rPr>
          <w:rFonts w:cs="Arial"/>
        </w:rPr>
        <w:t>Physical barriers to mangrove distribution on wave-dominated coasts are related to the dynamics and stability of the inlet connection to the ocean. Higher nearshore energy promotes marine sediment deposition</w:t>
      </w:r>
      <w:r w:rsidR="00C97DDA">
        <w:rPr>
          <w:rFonts w:cs="Arial"/>
        </w:rPr>
        <w:t>, the formation of a barrier</w:t>
      </w:r>
      <w:r w:rsidR="00C50695">
        <w:rPr>
          <w:rFonts w:cs="Arial"/>
        </w:rPr>
        <w:t>,</w:t>
      </w:r>
      <w:r w:rsidR="00C97DDA">
        <w:rPr>
          <w:rFonts w:cs="Arial"/>
        </w:rPr>
        <w:t xml:space="preserve"> and closure of the inlet (Dalrymple et al. 1992, Heap et al. 2004). Prolonged closures cause inundation stress and dieback of estuarine mangroves (</w:t>
      </w:r>
      <w:proofErr w:type="spellStart"/>
      <w:r w:rsidR="00C97DDA">
        <w:rPr>
          <w:rFonts w:cs="Arial"/>
        </w:rPr>
        <w:t>Mbense</w:t>
      </w:r>
      <w:proofErr w:type="spellEnd"/>
      <w:r w:rsidR="00C97DDA">
        <w:rPr>
          <w:rFonts w:cs="Arial"/>
        </w:rPr>
        <w:t xml:space="preserve"> et al. 2016), but this can be prevented by sufficient fluvial inputs to re-instate the inlet connection (van Niekerk et al. 2013). Additionally, </w:t>
      </w:r>
      <w:r w:rsidR="00990E51">
        <w:rPr>
          <w:rFonts w:cs="Arial"/>
        </w:rPr>
        <w:t>fluvial input</w:t>
      </w:r>
      <w:r w:rsidR="00C93B48">
        <w:rPr>
          <w:rFonts w:cs="Arial"/>
        </w:rPr>
        <w:t>s regulate soil salinity and pH and</w:t>
      </w:r>
      <w:r w:rsidR="002D3DFB">
        <w:rPr>
          <w:rFonts w:cs="Arial"/>
        </w:rPr>
        <w:t>,</w:t>
      </w:r>
      <w:r w:rsidR="00C93B48">
        <w:rPr>
          <w:rFonts w:cs="Arial"/>
        </w:rPr>
        <w:t xml:space="preserve"> also transport allochthonous organic matter into mangrove habitats </w:t>
      </w:r>
      <w:r w:rsidR="00484B3D">
        <w:rPr>
          <w:rFonts w:cs="Arial"/>
        </w:rPr>
        <w:t>(</w:t>
      </w:r>
      <w:proofErr w:type="spellStart"/>
      <w:r w:rsidR="00484B3D">
        <w:rPr>
          <w:rFonts w:cs="Arial"/>
        </w:rPr>
        <w:t>Urrego</w:t>
      </w:r>
      <w:proofErr w:type="spellEnd"/>
      <w:r w:rsidR="00484B3D">
        <w:rPr>
          <w:rFonts w:cs="Arial"/>
        </w:rPr>
        <w:t xml:space="preserve"> et al. 2009, </w:t>
      </w:r>
      <w:proofErr w:type="spellStart"/>
      <w:r w:rsidR="002B035B">
        <w:rPr>
          <w:rFonts w:cs="Arial"/>
        </w:rPr>
        <w:t>Rajkaran</w:t>
      </w:r>
      <w:proofErr w:type="spellEnd"/>
      <w:r w:rsidR="002B035B">
        <w:rPr>
          <w:rFonts w:cs="Arial"/>
        </w:rPr>
        <w:t xml:space="preserve"> &amp; Adams 2012, </w:t>
      </w:r>
      <w:r w:rsidR="00484B3D">
        <w:rPr>
          <w:rFonts w:cs="Arial"/>
        </w:rPr>
        <w:t>Suárez et al. 2015)</w:t>
      </w:r>
      <w:r w:rsidR="00C93B48">
        <w:rPr>
          <w:rFonts w:cs="Arial"/>
        </w:rPr>
        <w:t xml:space="preserve">. </w:t>
      </w:r>
      <w:r w:rsidR="001636A7">
        <w:rPr>
          <w:rFonts w:cs="Arial"/>
        </w:rPr>
        <w:t xml:space="preserve">These processes help maintain suitable </w:t>
      </w:r>
      <w:proofErr w:type="spellStart"/>
      <w:r w:rsidR="001636A7">
        <w:rPr>
          <w:rFonts w:cs="Arial"/>
        </w:rPr>
        <w:t>ecophysiological</w:t>
      </w:r>
      <w:proofErr w:type="spellEnd"/>
      <w:r w:rsidR="001636A7">
        <w:rPr>
          <w:rFonts w:cs="Arial"/>
        </w:rPr>
        <w:t xml:space="preserve"> </w:t>
      </w:r>
      <w:r w:rsidR="001636A7">
        <w:rPr>
          <w:rFonts w:cs="Arial"/>
        </w:rPr>
        <w:lastRenderedPageBreak/>
        <w:t>conditions for mangroves by preventing</w:t>
      </w:r>
      <w:r w:rsidR="00C93B48">
        <w:rPr>
          <w:rFonts w:cs="Arial"/>
        </w:rPr>
        <w:t xml:space="preserve"> salinity stress and promoting </w:t>
      </w:r>
      <w:r w:rsidR="001636A7">
        <w:rPr>
          <w:rFonts w:cs="Arial"/>
        </w:rPr>
        <w:t>nutrient availability through soil microbial activity (</w:t>
      </w:r>
      <w:proofErr w:type="spellStart"/>
      <w:r w:rsidR="002B035B">
        <w:rPr>
          <w:rFonts w:cs="Arial"/>
        </w:rPr>
        <w:t>Rajkaran</w:t>
      </w:r>
      <w:proofErr w:type="spellEnd"/>
      <w:r w:rsidR="002B035B">
        <w:rPr>
          <w:rFonts w:cs="Arial"/>
        </w:rPr>
        <w:t xml:space="preserve"> et al. 2009, </w:t>
      </w:r>
      <w:r w:rsidR="001636A7">
        <w:rPr>
          <w:rFonts w:cs="Arial"/>
        </w:rPr>
        <w:t xml:space="preserve">Naidoo 2016). </w:t>
      </w:r>
      <w:r>
        <w:t xml:space="preserve">Relating </w:t>
      </w:r>
      <w:r w:rsidR="00924FC3">
        <w:t xml:space="preserve">all </w:t>
      </w:r>
      <w:r>
        <w:t xml:space="preserve">these factors to larger scale </w:t>
      </w:r>
      <w:r w:rsidR="00924FC3">
        <w:t xml:space="preserve">biogeographic </w:t>
      </w:r>
      <w:r>
        <w:t xml:space="preserve">patterns </w:t>
      </w:r>
      <w:r w:rsidR="00924FC3">
        <w:t xml:space="preserve">for mangroves </w:t>
      </w:r>
      <w:r>
        <w:t>can however be challenging, as there can be local variability as well as interactions between different factors.</w:t>
      </w:r>
    </w:p>
    <w:p w14:paraId="1E6A6022" w14:textId="723E89D2" w:rsidR="00924FC3" w:rsidRDefault="00B973F5" w:rsidP="00924FC3">
      <w:pPr>
        <w:spacing w:line="360" w:lineRule="auto"/>
      </w:pPr>
      <w:r>
        <w:t xml:space="preserve">Understanding the regional drivers of mangrove distribution is important for developing management strategies as the potential for range expansion is associated with ecological shifts at the expense of warm-temperate salt marsh habitats </w:t>
      </w:r>
      <w:r w:rsidRPr="00E828FF">
        <w:rPr>
          <w:rFonts w:cs="Arial"/>
        </w:rPr>
        <w:t>(</w:t>
      </w:r>
      <w:proofErr w:type="spellStart"/>
      <w:r w:rsidRPr="00E828FF">
        <w:rPr>
          <w:rFonts w:cs="Arial"/>
        </w:rPr>
        <w:t>Kelleway</w:t>
      </w:r>
      <w:proofErr w:type="spellEnd"/>
      <w:r w:rsidRPr="00E828FF">
        <w:rPr>
          <w:rFonts w:cs="Arial"/>
        </w:rPr>
        <w:t xml:space="preserve"> et al. 2017)</w:t>
      </w:r>
      <w:r>
        <w:t xml:space="preserve">. These shifts </w:t>
      </w:r>
      <w:r w:rsidR="001F7444">
        <w:t>can result in</w:t>
      </w:r>
      <w:r>
        <w:t xml:space="preserve"> changes </w:t>
      </w:r>
      <w:r w:rsidR="001F7444">
        <w:t>to</w:t>
      </w:r>
      <w:r>
        <w:t xml:space="preserve"> faunal community composition, sea-level rise vulnerability, and carbon storage capacity </w:t>
      </w:r>
      <w:r w:rsidRPr="00A9272E">
        <w:rPr>
          <w:rFonts w:cs="Arial"/>
        </w:rPr>
        <w:t>(</w:t>
      </w:r>
      <w:proofErr w:type="spellStart"/>
      <w:r w:rsidR="001F7444" w:rsidRPr="00EC4DD5">
        <w:rPr>
          <w:rFonts w:cs="Arial"/>
        </w:rPr>
        <w:t>Kelleway</w:t>
      </w:r>
      <w:proofErr w:type="spellEnd"/>
      <w:r w:rsidR="001F7444" w:rsidRPr="00EC4DD5">
        <w:rPr>
          <w:rFonts w:cs="Arial"/>
        </w:rPr>
        <w:t xml:space="preserve"> et al. 2016, </w:t>
      </w:r>
      <w:r w:rsidRPr="00A9272E">
        <w:rPr>
          <w:rFonts w:cs="Arial"/>
        </w:rPr>
        <w:t>Guo et al. 2017,</w:t>
      </w:r>
      <w:r w:rsidR="001F7444">
        <w:rPr>
          <w:rFonts w:cs="Arial"/>
        </w:rPr>
        <w:t xml:space="preserve"> </w:t>
      </w:r>
      <w:r w:rsidR="001F7444" w:rsidRPr="00EC4DD5">
        <w:rPr>
          <w:rFonts w:cs="Arial"/>
        </w:rPr>
        <w:t>Hayes et al. 2017</w:t>
      </w:r>
      <w:r w:rsidR="001F7444">
        <w:rPr>
          <w:rFonts w:cs="Arial"/>
        </w:rPr>
        <w:t xml:space="preserve">, </w:t>
      </w:r>
      <w:r w:rsidR="001F7444">
        <w:t xml:space="preserve">McKee &amp; </w:t>
      </w:r>
      <w:proofErr w:type="spellStart"/>
      <w:r w:rsidR="001F7444">
        <w:t>Vervaeke</w:t>
      </w:r>
      <w:proofErr w:type="spellEnd"/>
      <w:r w:rsidR="001F7444">
        <w:t xml:space="preserve"> 2017,</w:t>
      </w:r>
      <w:r w:rsidRPr="00A9272E">
        <w:rPr>
          <w:rFonts w:cs="Arial"/>
        </w:rPr>
        <w:t xml:space="preserve"> </w:t>
      </w:r>
      <w:proofErr w:type="spellStart"/>
      <w:r w:rsidRPr="00A9272E">
        <w:rPr>
          <w:rFonts w:cs="Arial"/>
        </w:rPr>
        <w:t>Smee</w:t>
      </w:r>
      <w:proofErr w:type="spellEnd"/>
      <w:r w:rsidRPr="00A9272E">
        <w:rPr>
          <w:rFonts w:cs="Arial"/>
        </w:rPr>
        <w:t xml:space="preserve"> et al. 2017)</w:t>
      </w:r>
      <w:r w:rsidR="001F7444">
        <w:rPr>
          <w:rFonts w:cs="Arial"/>
        </w:rPr>
        <w:t xml:space="preserve">. </w:t>
      </w:r>
      <w:r w:rsidR="00924FC3">
        <w:t xml:space="preserve">A holistic approach, such as that offered by structural equation modelling, is therefore required. This technique allows for the investigation of complex networks of relationships between variables and the representation of theoretical concepts </w:t>
      </w:r>
      <w:r w:rsidR="00924FC3" w:rsidRPr="00677F5A">
        <w:rPr>
          <w:rFonts w:cs="Arial"/>
        </w:rPr>
        <w:t>(Grace et al. 2010)</w:t>
      </w:r>
      <w:r w:rsidR="00924FC3">
        <w:t xml:space="preserve">. This approach has become increasingly popular in ecological research to incorporate direct and indirect effects between variables, to assess the strength of positive feedbacks, and to investigate changes across different scales </w:t>
      </w:r>
      <w:r w:rsidR="00924FC3" w:rsidRPr="000F7514">
        <w:rPr>
          <w:rFonts w:cs="Arial"/>
        </w:rPr>
        <w:t>(van der Heide et al. 2011, Austin et al. 2017</w:t>
      </w:r>
      <w:r w:rsidR="00B63B9F">
        <w:rPr>
          <w:rFonts w:cs="Arial"/>
        </w:rPr>
        <w:t>, Ouyang et al. 2017</w:t>
      </w:r>
      <w:r w:rsidR="00924FC3" w:rsidRPr="000F7514">
        <w:rPr>
          <w:rFonts w:cs="Arial"/>
        </w:rPr>
        <w:t>)</w:t>
      </w:r>
      <w:r w:rsidR="00924FC3">
        <w:t xml:space="preserve">. </w:t>
      </w:r>
    </w:p>
    <w:p w14:paraId="1DC316F5" w14:textId="20D277AF" w:rsidR="000E3DBC" w:rsidRDefault="00C12DC0" w:rsidP="00924FC3">
      <w:pPr>
        <w:spacing w:line="360" w:lineRule="auto"/>
      </w:pPr>
      <w:r>
        <w:t>This study aimed</w:t>
      </w:r>
      <w:r w:rsidR="00924FC3">
        <w:t xml:space="preserve"> to apply the structural equation modelling approach to determine the importance of different local drivers of mangrove area patterns along the South African coastline. Here mangroves reach a continental range limit</w:t>
      </w:r>
      <w:r w:rsidR="000C08C4">
        <w:t>,</w:t>
      </w:r>
      <w:r w:rsidR="00924FC3">
        <w:t xml:space="preserve"> which is one of the southernmost locations in the global distribution for this ecotype. The high energy, wave-dominated coast restricts the occurrence of mangroves to sheltered estuarine areas, resulting in a discontinuous distribution along the coast. Mangrove expansion has been documented at this range limit and generalizations on the driving factors have been made based on decades of observations </w:t>
      </w:r>
      <w:r w:rsidR="00924FC3" w:rsidRPr="00897844">
        <w:rPr>
          <w:rFonts w:cs="Arial"/>
        </w:rPr>
        <w:t>(Whitfield et al. 2016, Peer et al. 2018)</w:t>
      </w:r>
      <w:r w:rsidR="00924FC3">
        <w:t xml:space="preserve">. This study provides the first quantitative assessment of factors influencing current mangrove distribution in this region. </w:t>
      </w:r>
      <w:r w:rsidR="000E3DBC">
        <w:br w:type="page"/>
      </w:r>
    </w:p>
    <w:p w14:paraId="1D5FBB03" w14:textId="531687A3" w:rsidR="00B54664" w:rsidRDefault="000E3DBC" w:rsidP="00B54664">
      <w:pPr>
        <w:pStyle w:val="CommentText"/>
        <w:spacing w:line="276" w:lineRule="auto"/>
        <w:rPr>
          <w:b/>
          <w:sz w:val="22"/>
          <w:szCs w:val="22"/>
        </w:rPr>
      </w:pPr>
      <w:r>
        <w:rPr>
          <w:b/>
          <w:sz w:val="22"/>
          <w:szCs w:val="22"/>
        </w:rPr>
        <w:lastRenderedPageBreak/>
        <w:t xml:space="preserve">2 </w:t>
      </w:r>
      <w:r w:rsidR="00B54664" w:rsidRPr="00B54664">
        <w:rPr>
          <w:b/>
          <w:sz w:val="22"/>
          <w:szCs w:val="22"/>
        </w:rPr>
        <w:t>Methods</w:t>
      </w:r>
    </w:p>
    <w:p w14:paraId="5A758AF9" w14:textId="65E8E7FB" w:rsidR="00325EDB" w:rsidRPr="00325EDB" w:rsidRDefault="000E3DBC" w:rsidP="00B54664">
      <w:pPr>
        <w:pStyle w:val="CommentText"/>
        <w:spacing w:line="276" w:lineRule="auto"/>
        <w:rPr>
          <w:i/>
          <w:sz w:val="22"/>
          <w:szCs w:val="22"/>
        </w:rPr>
      </w:pPr>
      <w:r>
        <w:rPr>
          <w:i/>
          <w:sz w:val="22"/>
          <w:szCs w:val="22"/>
        </w:rPr>
        <w:t xml:space="preserve">2.1 </w:t>
      </w:r>
      <w:r w:rsidR="00325EDB">
        <w:rPr>
          <w:i/>
          <w:sz w:val="22"/>
          <w:szCs w:val="22"/>
        </w:rPr>
        <w:t>Conceptual Framework</w:t>
      </w:r>
    </w:p>
    <w:p w14:paraId="610DED36" w14:textId="7046958F" w:rsidR="00B54664" w:rsidRDefault="00B54664" w:rsidP="00F44AF4">
      <w:pPr>
        <w:pStyle w:val="CommentText"/>
        <w:spacing w:line="360" w:lineRule="auto"/>
        <w:rPr>
          <w:sz w:val="22"/>
          <w:szCs w:val="22"/>
        </w:rPr>
      </w:pPr>
      <w:r>
        <w:rPr>
          <w:sz w:val="22"/>
          <w:szCs w:val="22"/>
        </w:rPr>
        <w:t>A Structural Equation Model (SEM)</w:t>
      </w:r>
      <w:r w:rsidR="0028534A">
        <w:rPr>
          <w:sz w:val="22"/>
          <w:szCs w:val="22"/>
        </w:rPr>
        <w:t xml:space="preserve"> was implemented </w:t>
      </w:r>
      <w:r>
        <w:rPr>
          <w:sz w:val="22"/>
          <w:szCs w:val="22"/>
        </w:rPr>
        <w:t>following the guidelines of</w:t>
      </w:r>
      <w:r w:rsidR="0028534A">
        <w:rPr>
          <w:sz w:val="22"/>
          <w:szCs w:val="22"/>
        </w:rPr>
        <w:t xml:space="preserve"> Grace et al.</w:t>
      </w:r>
      <w:r>
        <w:rPr>
          <w:sz w:val="22"/>
          <w:szCs w:val="22"/>
        </w:rPr>
        <w:t xml:space="preserve"> </w:t>
      </w:r>
      <w:r w:rsidR="0028534A" w:rsidRPr="0028534A">
        <w:rPr>
          <w:rFonts w:cs="Arial"/>
          <w:sz w:val="22"/>
        </w:rPr>
        <w:t>(2012)</w:t>
      </w:r>
      <w:r w:rsidR="0028534A">
        <w:rPr>
          <w:sz w:val="22"/>
          <w:szCs w:val="22"/>
        </w:rPr>
        <w:t xml:space="preserve">. This is a graph-theoretic approach used to understand and delineate causative relationships between multiple variables. Climate and geomorphology are the two most important drivers of mangrove distribution </w:t>
      </w:r>
      <w:r w:rsidR="00256A95" w:rsidRPr="00256A95">
        <w:rPr>
          <w:rFonts w:cs="Arial"/>
          <w:sz w:val="22"/>
        </w:rPr>
        <w:t>(Woodroffe &amp; Grindrod 1991, Duke et al. 1998)</w:t>
      </w:r>
      <w:r w:rsidR="0028534A">
        <w:rPr>
          <w:sz w:val="22"/>
          <w:szCs w:val="22"/>
        </w:rPr>
        <w:t xml:space="preserve">. At the most general conceptual level, climate and </w:t>
      </w:r>
      <w:r w:rsidR="00AE33BE">
        <w:rPr>
          <w:sz w:val="22"/>
          <w:szCs w:val="22"/>
        </w:rPr>
        <w:t xml:space="preserve">estuarine </w:t>
      </w:r>
      <w:r w:rsidR="0028534A">
        <w:rPr>
          <w:sz w:val="22"/>
          <w:szCs w:val="22"/>
        </w:rPr>
        <w:t xml:space="preserve">geomorphology </w:t>
      </w:r>
      <w:r w:rsidR="00B4311B">
        <w:rPr>
          <w:sz w:val="22"/>
          <w:szCs w:val="22"/>
        </w:rPr>
        <w:t>determine</w:t>
      </w:r>
      <w:r w:rsidR="0028534A">
        <w:rPr>
          <w:sz w:val="22"/>
          <w:szCs w:val="22"/>
        </w:rPr>
        <w:t xml:space="preserve"> </w:t>
      </w:r>
      <w:r w:rsidR="00B4311B">
        <w:rPr>
          <w:sz w:val="22"/>
          <w:szCs w:val="22"/>
        </w:rPr>
        <w:t xml:space="preserve">abiotic </w:t>
      </w:r>
      <w:r w:rsidR="0028534A">
        <w:rPr>
          <w:sz w:val="22"/>
          <w:szCs w:val="22"/>
        </w:rPr>
        <w:t xml:space="preserve">factors </w:t>
      </w:r>
      <w:r w:rsidR="00B4311B">
        <w:rPr>
          <w:sz w:val="22"/>
          <w:szCs w:val="22"/>
        </w:rPr>
        <w:t xml:space="preserve">and physical barriers </w:t>
      </w:r>
      <w:r w:rsidR="0028534A">
        <w:rPr>
          <w:sz w:val="22"/>
          <w:szCs w:val="22"/>
        </w:rPr>
        <w:t>that directly influence mangrove biogeographic patterns (Figure 1).</w:t>
      </w:r>
      <w:r w:rsidR="0002331B">
        <w:rPr>
          <w:sz w:val="22"/>
          <w:szCs w:val="22"/>
        </w:rPr>
        <w:t xml:space="preserve"> These are the underlying theoretical constructs on which the structural model was built.</w:t>
      </w:r>
      <w:r w:rsidR="0028534A">
        <w:rPr>
          <w:sz w:val="22"/>
          <w:szCs w:val="22"/>
        </w:rPr>
        <w:t xml:space="preserve"> </w:t>
      </w:r>
    </w:p>
    <w:p w14:paraId="003147BC" w14:textId="1ECB1D30" w:rsidR="00C520B1" w:rsidRPr="005314AD" w:rsidRDefault="00D613CF" w:rsidP="00CF0A4C">
      <w:pPr>
        <w:pStyle w:val="CommentText"/>
        <w:spacing w:line="360" w:lineRule="auto"/>
        <w:rPr>
          <w:sz w:val="22"/>
          <w:szCs w:val="22"/>
        </w:rPr>
      </w:pPr>
      <w:r>
        <w:rPr>
          <w:noProof/>
          <w:sz w:val="22"/>
          <w:szCs w:val="22"/>
        </w:rPr>
        <w:drawing>
          <wp:anchor distT="0" distB="0" distL="114300" distR="114300" simplePos="0" relativeHeight="251671552" behindDoc="0" locked="0" layoutInCell="1" allowOverlap="1" wp14:anchorId="54352B59" wp14:editId="243CA9BC">
            <wp:simplePos x="0" y="0"/>
            <wp:positionH relativeFrom="margin">
              <wp:align>center</wp:align>
            </wp:positionH>
            <wp:positionV relativeFrom="paragraph">
              <wp:posOffset>-1905</wp:posOffset>
            </wp:positionV>
            <wp:extent cx="5724525" cy="3495675"/>
            <wp:effectExtent l="0" t="0" r="9525"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3495675"/>
                    </a:xfrm>
                    <a:prstGeom prst="rect">
                      <a:avLst/>
                    </a:prstGeom>
                    <a:noFill/>
                    <a:ln>
                      <a:noFill/>
                    </a:ln>
                  </pic:spPr>
                </pic:pic>
              </a:graphicData>
            </a:graphic>
          </wp:anchor>
        </w:drawing>
      </w:r>
      <w:r w:rsidR="00423D84" w:rsidRPr="005314AD">
        <w:rPr>
          <w:b/>
          <w:sz w:val="22"/>
          <w:szCs w:val="22"/>
        </w:rPr>
        <w:t xml:space="preserve">Figure 1. </w:t>
      </w:r>
      <w:r w:rsidR="00423D84" w:rsidRPr="005314AD">
        <w:rPr>
          <w:sz w:val="22"/>
          <w:szCs w:val="22"/>
        </w:rPr>
        <w:t xml:space="preserve">Conceptual diagram of hypothesized links between the theoretical constructs investigated in this study. Each theoretical construct represents a group of observable variables while the links guide the construction of the structural equations. </w:t>
      </w:r>
    </w:p>
    <w:p w14:paraId="34F262DD" w14:textId="0F1F25F3" w:rsidR="00383990" w:rsidRDefault="006B2DA9" w:rsidP="00F44AF4">
      <w:pPr>
        <w:spacing w:line="360" w:lineRule="auto"/>
      </w:pPr>
      <w:r>
        <w:t>Following this,</w:t>
      </w:r>
      <w:r w:rsidR="00383990">
        <w:t xml:space="preserve"> a ca</w:t>
      </w:r>
      <w:r w:rsidR="005B4B35">
        <w:t>usal</w:t>
      </w:r>
      <w:r w:rsidR="00383990">
        <w:t xml:space="preserve"> diagram summarizing the hypothesized connections among all potential observable variables was generated (Figure S</w:t>
      </w:r>
      <w:r w:rsidR="00B4311B">
        <w:t>1</w:t>
      </w:r>
      <w:r w:rsidR="00383990">
        <w:t>). Each link in the ca</w:t>
      </w:r>
      <w:r w:rsidR="005B4B35">
        <w:t>usal</w:t>
      </w:r>
      <w:r w:rsidR="00383990">
        <w:t xml:space="preserve"> diagram was evaluated as an assumption or hypothesis using </w:t>
      </w:r>
      <w:r w:rsidR="00383990">
        <w:rPr>
          <w:i/>
        </w:rPr>
        <w:t xml:space="preserve">a priori </w:t>
      </w:r>
      <w:r w:rsidR="00383990">
        <w:t xml:space="preserve">ecological knowledge as well as evidence from published scientific research (Table S1). This process allows for consideration of which variables are essential and which variables could be omitted </w:t>
      </w:r>
      <w:r w:rsidR="00325EDB">
        <w:t xml:space="preserve">to limit model complexity in the SEM </w:t>
      </w:r>
      <w:r w:rsidR="00383990">
        <w:t>(Grace et al. 2012).</w:t>
      </w:r>
      <w:r w:rsidR="00325EDB">
        <w:t xml:space="preserve"> A full description of the </w:t>
      </w:r>
      <w:r>
        <w:t xml:space="preserve">process to develop the links for the SEM </w:t>
      </w:r>
      <w:r w:rsidR="00325EDB">
        <w:t>is provided in the Supplementary Material.</w:t>
      </w:r>
    </w:p>
    <w:p w14:paraId="18FD85CC" w14:textId="2A6BBD64" w:rsidR="00325EDB" w:rsidRDefault="006B2DA9" w:rsidP="00F44AF4">
      <w:pPr>
        <w:pStyle w:val="Heading2"/>
        <w:spacing w:line="360" w:lineRule="auto"/>
      </w:pPr>
      <w:r>
        <w:lastRenderedPageBreak/>
        <w:t xml:space="preserve">2.2 </w:t>
      </w:r>
      <w:r w:rsidR="00325EDB">
        <w:t>Data Collation</w:t>
      </w:r>
    </w:p>
    <w:p w14:paraId="3DF8D879" w14:textId="513C6863" w:rsidR="00325EDB" w:rsidRDefault="00325EDB" w:rsidP="005361C3">
      <w:pPr>
        <w:spacing w:after="0" w:line="360" w:lineRule="auto"/>
      </w:pPr>
      <w:r>
        <w:t>Regional data for mangrove area cover (ha) in South African estuaries were collated from the most recent (</w:t>
      </w:r>
      <w:r w:rsidR="001C3B83" w:rsidRPr="00FF57FD">
        <w:t>2018</w:t>
      </w:r>
      <w:r w:rsidRPr="00FF57FD">
        <w:t>) version</w:t>
      </w:r>
      <w:r>
        <w:t xml:space="preserve"> of the </w:t>
      </w:r>
      <w:r w:rsidR="001C3B83">
        <w:t xml:space="preserve">National </w:t>
      </w:r>
      <w:r>
        <w:t>Estuary Botanical Database</w:t>
      </w:r>
      <w:r w:rsidR="005361C3">
        <w:t xml:space="preserve"> maintained by the Nelson Mandela University</w:t>
      </w:r>
      <w:r>
        <w:t xml:space="preserve"> </w:t>
      </w:r>
      <w:r w:rsidRPr="00325EDB">
        <w:rPr>
          <w:rFonts w:cs="Arial"/>
        </w:rPr>
        <w:t>(Adams et al. 2016)</w:t>
      </w:r>
      <w:r>
        <w:t>. Of the ~ 300 estuaries along the South African coastline, mangrove</w:t>
      </w:r>
      <w:r w:rsidR="00F747F4">
        <w:t>s</w:t>
      </w:r>
      <w:r>
        <w:t xml:space="preserve"> </w:t>
      </w:r>
      <w:r w:rsidR="00210279">
        <w:t xml:space="preserve">are restricted to occurring along the east coast in 31 systems that fall within the warm-temperate and subtropical to tropical biogeographic </w:t>
      </w:r>
      <w:r w:rsidR="00210279" w:rsidRPr="00F03FF7">
        <w:t xml:space="preserve">regions </w:t>
      </w:r>
      <w:r w:rsidRPr="00F03FF7">
        <w:t>(Figure 2</w:t>
      </w:r>
      <w:r>
        <w:t>)</w:t>
      </w:r>
      <w:r w:rsidR="00210279">
        <w:t xml:space="preserve">. The two dominant species are </w:t>
      </w:r>
      <w:proofErr w:type="spellStart"/>
      <w:r w:rsidR="00210279">
        <w:rPr>
          <w:i/>
        </w:rPr>
        <w:t>Avicennia</w:t>
      </w:r>
      <w:proofErr w:type="spellEnd"/>
      <w:r w:rsidR="00210279">
        <w:rPr>
          <w:i/>
        </w:rPr>
        <w:t xml:space="preserve"> marina </w:t>
      </w:r>
      <w:r w:rsidR="00210279">
        <w:t xml:space="preserve">and </w:t>
      </w:r>
      <w:proofErr w:type="spellStart"/>
      <w:r w:rsidR="00210279">
        <w:rPr>
          <w:i/>
        </w:rPr>
        <w:t>Bruguiera</w:t>
      </w:r>
      <w:proofErr w:type="spellEnd"/>
      <w:r w:rsidR="00210279">
        <w:rPr>
          <w:i/>
        </w:rPr>
        <w:t xml:space="preserve"> </w:t>
      </w:r>
      <w:proofErr w:type="spellStart"/>
      <w:r w:rsidR="00210279">
        <w:rPr>
          <w:i/>
        </w:rPr>
        <w:t>gymnorhiza</w:t>
      </w:r>
      <w:proofErr w:type="spellEnd"/>
      <w:r w:rsidR="00210279">
        <w:rPr>
          <w:i/>
        </w:rPr>
        <w:t xml:space="preserve"> </w:t>
      </w:r>
      <w:r w:rsidR="00210279">
        <w:t xml:space="preserve">that occur in 27 estuaries, although </w:t>
      </w:r>
      <w:r w:rsidR="00210279">
        <w:rPr>
          <w:i/>
        </w:rPr>
        <w:t xml:space="preserve">A. marina </w:t>
      </w:r>
      <w:r w:rsidR="00210279">
        <w:t xml:space="preserve">covers the largest area (Adams et al. 2016). </w:t>
      </w:r>
      <w:r w:rsidR="00210279">
        <w:rPr>
          <w:i/>
        </w:rPr>
        <w:t xml:space="preserve">Rhizophora </w:t>
      </w:r>
      <w:proofErr w:type="spellStart"/>
      <w:r w:rsidR="00210279">
        <w:rPr>
          <w:i/>
        </w:rPr>
        <w:t>mucronata</w:t>
      </w:r>
      <w:proofErr w:type="spellEnd"/>
      <w:r w:rsidR="00210279">
        <w:rPr>
          <w:i/>
        </w:rPr>
        <w:t xml:space="preserve"> </w:t>
      </w:r>
      <w:r w:rsidR="00210279">
        <w:t>occurs in 14 estuaries and is associated with tidal creeks and channels. An additional three species (</w:t>
      </w:r>
      <w:proofErr w:type="spellStart"/>
      <w:r w:rsidR="00210279">
        <w:rPr>
          <w:i/>
        </w:rPr>
        <w:t>Ceriops</w:t>
      </w:r>
      <w:proofErr w:type="spellEnd"/>
      <w:r w:rsidR="00210279">
        <w:rPr>
          <w:i/>
        </w:rPr>
        <w:t xml:space="preserve"> </w:t>
      </w:r>
      <w:proofErr w:type="spellStart"/>
      <w:r w:rsidR="00210279">
        <w:rPr>
          <w:i/>
        </w:rPr>
        <w:t>tagal</w:t>
      </w:r>
      <w:proofErr w:type="spellEnd"/>
      <w:r w:rsidR="00210279">
        <w:t xml:space="preserve">, </w:t>
      </w:r>
      <w:proofErr w:type="spellStart"/>
      <w:r w:rsidR="00210279">
        <w:rPr>
          <w:i/>
        </w:rPr>
        <w:t>Lumnitzera</w:t>
      </w:r>
      <w:proofErr w:type="spellEnd"/>
      <w:r w:rsidR="00210279">
        <w:rPr>
          <w:i/>
        </w:rPr>
        <w:t xml:space="preserve"> </w:t>
      </w:r>
      <w:proofErr w:type="spellStart"/>
      <w:r w:rsidR="00210279">
        <w:rPr>
          <w:i/>
        </w:rPr>
        <w:t>racemosa</w:t>
      </w:r>
      <w:proofErr w:type="spellEnd"/>
      <w:r w:rsidR="00210279">
        <w:t xml:space="preserve">, and </w:t>
      </w:r>
      <w:proofErr w:type="spellStart"/>
      <w:r w:rsidR="00210279">
        <w:rPr>
          <w:i/>
        </w:rPr>
        <w:t>Xylocarpus</w:t>
      </w:r>
      <w:proofErr w:type="spellEnd"/>
      <w:r w:rsidR="00210279">
        <w:rPr>
          <w:i/>
        </w:rPr>
        <w:t xml:space="preserve"> </w:t>
      </w:r>
      <w:proofErr w:type="spellStart"/>
      <w:r w:rsidR="00210279">
        <w:rPr>
          <w:i/>
        </w:rPr>
        <w:t>granatum</w:t>
      </w:r>
      <w:proofErr w:type="spellEnd"/>
      <w:r w:rsidR="00210279">
        <w:t xml:space="preserve">) only occur in the tropical biogeographic zone at the </w:t>
      </w:r>
      <w:proofErr w:type="spellStart"/>
      <w:r w:rsidR="00210279">
        <w:t>Kosi</w:t>
      </w:r>
      <w:proofErr w:type="spellEnd"/>
      <w:r w:rsidR="00210279">
        <w:t xml:space="preserve"> Estuary. </w:t>
      </w:r>
    </w:p>
    <w:p w14:paraId="46A7A330" w14:textId="484A5C85" w:rsidR="002A34A3" w:rsidRDefault="002A34A3" w:rsidP="005361C3">
      <w:pPr>
        <w:spacing w:after="0" w:line="360" w:lineRule="auto"/>
      </w:pPr>
      <w:r>
        <w:rPr>
          <w:noProof/>
          <w:lang w:val="en-US"/>
        </w:rPr>
        <w:drawing>
          <wp:anchor distT="0" distB="0" distL="114300" distR="114300" simplePos="0" relativeHeight="251667456" behindDoc="0" locked="0" layoutInCell="1" allowOverlap="1" wp14:anchorId="540CF792" wp14:editId="1B8C28C6">
            <wp:simplePos x="0" y="0"/>
            <wp:positionH relativeFrom="margin">
              <wp:align>right</wp:align>
            </wp:positionH>
            <wp:positionV relativeFrom="paragraph">
              <wp:posOffset>233311</wp:posOffset>
            </wp:positionV>
            <wp:extent cx="5725160" cy="4053205"/>
            <wp:effectExtent l="0" t="0" r="8890" b="444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5160" cy="4053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5F278" w14:textId="0979BDC0" w:rsidR="009402F0" w:rsidRDefault="009402F0" w:rsidP="009402F0">
      <w:pPr>
        <w:spacing w:before="240" w:line="360" w:lineRule="auto"/>
      </w:pPr>
      <w:r w:rsidRPr="002A34A3">
        <w:rPr>
          <w:b/>
        </w:rPr>
        <w:t xml:space="preserve">Figure 2. </w:t>
      </w:r>
      <w:r w:rsidRPr="002A34A3">
        <w:t>Location</w:t>
      </w:r>
      <w:r w:rsidR="005361C3" w:rsidRPr="002A34A3">
        <w:t>s</w:t>
      </w:r>
      <w:r>
        <w:t xml:space="preserve"> of estuaries that support mangrove forests along the South African coastline.</w:t>
      </w:r>
      <w:r>
        <w:br w:type="page"/>
      </w:r>
    </w:p>
    <w:p w14:paraId="3FF8FC85" w14:textId="1D4FEA9A" w:rsidR="00AA29E1" w:rsidRDefault="00487150" w:rsidP="00E31525">
      <w:pPr>
        <w:spacing w:line="360" w:lineRule="auto"/>
      </w:pPr>
      <w:r>
        <w:lastRenderedPageBreak/>
        <w:t>Estuaries that support mangrove areas greater than 0.5 ha (</w:t>
      </w:r>
      <w:r>
        <w:rPr>
          <w:i/>
        </w:rPr>
        <w:t xml:space="preserve">n </w:t>
      </w:r>
      <w:r>
        <w:t xml:space="preserve">= 29) were identified from the botanical database. </w:t>
      </w:r>
      <w:r w:rsidR="00E02916">
        <w:t xml:space="preserve">Data for suitable variables that represent climate and geomorphological drivers were then extracted for </w:t>
      </w:r>
      <w:r>
        <w:t>these estuaries</w:t>
      </w:r>
      <w:r w:rsidR="00E02916">
        <w:t xml:space="preserve"> from the most recent version of the </w:t>
      </w:r>
      <w:r w:rsidR="00E02916" w:rsidRPr="008815B8">
        <w:t xml:space="preserve">Council of Scientific and Industrial Research (CSIR) </w:t>
      </w:r>
      <w:r w:rsidR="001C3B83" w:rsidRPr="008815B8">
        <w:t>N</w:t>
      </w:r>
      <w:r w:rsidR="00E02916" w:rsidRPr="008815B8">
        <w:t xml:space="preserve">ational database for </w:t>
      </w:r>
      <w:r w:rsidR="001C3B83" w:rsidRPr="008815B8">
        <w:t xml:space="preserve">the physical characteristics of South Africa’s </w:t>
      </w:r>
      <w:r w:rsidR="00E02916" w:rsidRPr="008815B8">
        <w:t>estuaries</w:t>
      </w:r>
      <w:r w:rsidR="00D71818">
        <w:t xml:space="preserve"> </w:t>
      </w:r>
      <w:r w:rsidR="00D71818" w:rsidRPr="008815B8">
        <w:t>(van Niekerk et al. 201</w:t>
      </w:r>
      <w:r w:rsidR="008815B8" w:rsidRPr="008815B8">
        <w:t>7, 2018</w:t>
      </w:r>
      <w:r w:rsidR="00D71818" w:rsidRPr="008815B8">
        <w:t xml:space="preserve">) </w:t>
      </w:r>
      <w:r w:rsidR="00E02916" w:rsidRPr="008815B8">
        <w:t>(Table</w:t>
      </w:r>
      <w:r w:rsidR="00E02916">
        <w:t xml:space="preserve"> 1).</w:t>
      </w:r>
      <w:r w:rsidR="009C2A5F">
        <w:t xml:space="preserve"> The extracted variables were: </w:t>
      </w:r>
      <w:r w:rsidR="00E31525">
        <w:t xml:space="preserve">Average Annual Land Temperature, Catchment Erodibility, Daily Flushing Rate, Distance to Next Mangrove Estuary, Floodplain Area, </w:t>
      </w:r>
      <w:proofErr w:type="spellStart"/>
      <w:r w:rsidR="00E31525">
        <w:t>Inciseness</w:t>
      </w:r>
      <w:proofErr w:type="spellEnd"/>
      <w:r w:rsidR="00E31525">
        <w:t xml:space="preserve">, Inlet Stability, Mean Annual Runoff, </w:t>
      </w:r>
      <w:r w:rsidR="009C2A5F">
        <w:t xml:space="preserve">Seasonal Difference in Land Temperature, </w:t>
      </w:r>
      <w:r w:rsidR="00E31525">
        <w:t>and</w:t>
      </w:r>
      <w:r w:rsidR="009C2A5F">
        <w:t xml:space="preserve"> </w:t>
      </w:r>
      <w:proofErr w:type="spellStart"/>
      <w:r w:rsidR="009C2A5F">
        <w:t>Surfzone</w:t>
      </w:r>
      <w:proofErr w:type="spellEnd"/>
      <w:r w:rsidR="009C2A5F">
        <w:t xml:space="preserve"> Width.</w:t>
      </w:r>
      <w:r>
        <w:t xml:space="preserve"> Rainfall data </w:t>
      </w:r>
      <w:r w:rsidR="008815B8" w:rsidRPr="008815B8">
        <w:t xml:space="preserve">were </w:t>
      </w:r>
      <w:r w:rsidRPr="008815B8">
        <w:t>extracted</w:t>
      </w:r>
      <w:r>
        <w:t xml:space="preserve"> from the </w:t>
      </w:r>
      <w:r w:rsidRPr="008815B8">
        <w:t xml:space="preserve">WR2012 </w:t>
      </w:r>
      <w:r w:rsidR="000E1B50" w:rsidRPr="008815B8">
        <w:t>hydrology</w:t>
      </w:r>
      <w:r w:rsidR="000E1B50">
        <w:t xml:space="preserve"> </w:t>
      </w:r>
      <w:r>
        <w:t xml:space="preserve">project. </w:t>
      </w:r>
    </w:p>
    <w:p w14:paraId="21D0CBF1" w14:textId="794C10A4" w:rsidR="00487150" w:rsidRDefault="00487150" w:rsidP="00F44AF4">
      <w:pPr>
        <w:spacing w:line="360" w:lineRule="auto"/>
      </w:pPr>
      <w:r>
        <w:t xml:space="preserve">Preliminary data exploration identified two estuaries as significant outliers </w:t>
      </w:r>
      <w:r w:rsidR="008815B8">
        <w:t xml:space="preserve">with </w:t>
      </w:r>
      <w:r>
        <w:t>Cook’s distance &gt; 1</w:t>
      </w:r>
      <w:r w:rsidR="008815B8">
        <w:t xml:space="preserve"> (Cook 1979). The outliers were</w:t>
      </w:r>
      <w:r>
        <w:t xml:space="preserve"> based on the data points for mangrove area cover and floodplain size. These two estuaries (</w:t>
      </w:r>
      <w:proofErr w:type="spellStart"/>
      <w:r>
        <w:t>Mhlathuze</w:t>
      </w:r>
      <w:proofErr w:type="spellEnd"/>
      <w:r>
        <w:t xml:space="preserve"> and St Lucia) were excluded from the final analysis. The large mangrove areas supported by these estuaries are not truly representative of the conditions along the South African coastline and</w:t>
      </w:r>
      <w:r w:rsidR="00946099">
        <w:t>,</w:t>
      </w:r>
      <w:r>
        <w:t xml:space="preserve"> furthermore, both of these estuaries </w:t>
      </w:r>
      <w:r w:rsidR="001133F1">
        <w:t xml:space="preserve">have </w:t>
      </w:r>
      <w:r>
        <w:t>been transformed from their baseline ecological states</w:t>
      </w:r>
      <w:r w:rsidR="00B27A0C">
        <w:t xml:space="preserve">. </w:t>
      </w:r>
      <w:proofErr w:type="spellStart"/>
      <w:r w:rsidR="00B27A0C">
        <w:t>Mhlathuze</w:t>
      </w:r>
      <w:proofErr w:type="spellEnd"/>
      <w:r w:rsidR="00B27A0C">
        <w:t xml:space="preserve"> has been modified to develop an industrial port while the St Lucia estuary </w:t>
      </w:r>
      <w:r w:rsidR="001D45B4">
        <w:t>was</w:t>
      </w:r>
      <w:r w:rsidR="00B27A0C">
        <w:t xml:space="preserve"> artificially opened for more than 50 years </w:t>
      </w:r>
      <w:r w:rsidRPr="00AB04AC">
        <w:rPr>
          <w:rFonts w:cs="Arial"/>
        </w:rPr>
        <w:t>(Whitfield &amp; Taylor 2009, Elliott et al. 2016)</w:t>
      </w:r>
      <w:r w:rsidR="001133F1">
        <w:t>.</w:t>
      </w:r>
    </w:p>
    <w:p w14:paraId="73E5544C" w14:textId="79EBB901" w:rsidR="00487150" w:rsidRDefault="00487150" w:rsidP="00B54664">
      <w:pPr>
        <w:sectPr w:rsidR="00487150" w:rsidSect="00E62D35">
          <w:headerReference w:type="default" r:id="rId10"/>
          <w:footerReference w:type="default" r:id="rId11"/>
          <w:type w:val="continuous"/>
          <w:pgSz w:w="11906" w:h="16838"/>
          <w:pgMar w:top="1440" w:right="1440" w:bottom="1440" w:left="1440" w:header="709" w:footer="709" w:gutter="0"/>
          <w:lnNumType w:countBy="1" w:restart="continuous"/>
          <w:cols w:space="708"/>
          <w:docGrid w:linePitch="360"/>
        </w:sectPr>
      </w:pPr>
    </w:p>
    <w:p w14:paraId="5405B888" w14:textId="649E957C" w:rsidR="00E02916" w:rsidRDefault="00AA76DE" w:rsidP="00B54664">
      <w:r>
        <w:rPr>
          <w:b/>
        </w:rPr>
        <w:lastRenderedPageBreak/>
        <w:t xml:space="preserve">Table 1. </w:t>
      </w:r>
      <w:r>
        <w:t xml:space="preserve">Observed variables that were considered for </w:t>
      </w:r>
      <w:r w:rsidR="00E31525">
        <w:t xml:space="preserve">modelling South African mangrove distribution based on the SEM conceptual model. </w:t>
      </w:r>
    </w:p>
    <w:tbl>
      <w:tblPr>
        <w:tblStyle w:val="TableGrid"/>
        <w:tblpPr w:leftFromText="180" w:rightFromText="180" w:horzAnchor="margin" w:tblpY="497"/>
        <w:tblW w:w="0" w:type="auto"/>
        <w:tblLook w:val="04A0" w:firstRow="1" w:lastRow="0" w:firstColumn="1" w:lastColumn="0" w:noHBand="0" w:noVBand="1"/>
      </w:tblPr>
      <w:tblGrid>
        <w:gridCol w:w="2547"/>
        <w:gridCol w:w="5670"/>
        <w:gridCol w:w="5731"/>
      </w:tblGrid>
      <w:tr w:rsidR="00B50083" w14:paraId="01BF8068" w14:textId="77777777" w:rsidTr="00B50083">
        <w:tc>
          <w:tcPr>
            <w:tcW w:w="2547" w:type="dxa"/>
            <w:tcBorders>
              <w:left w:val="nil"/>
              <w:right w:val="nil"/>
            </w:tcBorders>
          </w:tcPr>
          <w:p w14:paraId="330FA77E" w14:textId="77777777" w:rsidR="00B50083" w:rsidRPr="00827216" w:rsidRDefault="00B50083" w:rsidP="00B50083">
            <w:pPr>
              <w:pStyle w:val="Heading1"/>
              <w:spacing w:after="0" w:line="276" w:lineRule="auto"/>
              <w:outlineLvl w:val="0"/>
            </w:pPr>
            <w:r>
              <w:t>Theoretical construct</w:t>
            </w:r>
          </w:p>
        </w:tc>
        <w:tc>
          <w:tcPr>
            <w:tcW w:w="5670" w:type="dxa"/>
            <w:tcBorders>
              <w:left w:val="nil"/>
              <w:right w:val="nil"/>
            </w:tcBorders>
          </w:tcPr>
          <w:p w14:paraId="7A994A70" w14:textId="77777777" w:rsidR="00B50083" w:rsidRPr="00827216" w:rsidRDefault="00B50083" w:rsidP="00B50083">
            <w:pPr>
              <w:pStyle w:val="Heading1"/>
              <w:spacing w:after="0" w:line="276" w:lineRule="auto"/>
              <w:outlineLvl w:val="0"/>
            </w:pPr>
            <w:r>
              <w:t>Observed variables</w:t>
            </w:r>
          </w:p>
        </w:tc>
        <w:tc>
          <w:tcPr>
            <w:tcW w:w="5731" w:type="dxa"/>
            <w:tcBorders>
              <w:left w:val="nil"/>
              <w:right w:val="nil"/>
            </w:tcBorders>
          </w:tcPr>
          <w:p w14:paraId="65C99755" w14:textId="77777777" w:rsidR="00B50083" w:rsidRPr="00827216" w:rsidRDefault="00B50083" w:rsidP="00B50083">
            <w:pPr>
              <w:pStyle w:val="Heading1"/>
              <w:spacing w:after="0" w:line="276" w:lineRule="auto"/>
              <w:outlineLvl w:val="0"/>
            </w:pPr>
            <w:r>
              <w:t>Properties of data</w:t>
            </w:r>
          </w:p>
        </w:tc>
      </w:tr>
      <w:tr w:rsidR="00B50083" w14:paraId="48651FAF" w14:textId="77777777" w:rsidTr="00B50083">
        <w:tc>
          <w:tcPr>
            <w:tcW w:w="2547" w:type="dxa"/>
            <w:tcBorders>
              <w:left w:val="nil"/>
              <w:bottom w:val="nil"/>
              <w:right w:val="nil"/>
            </w:tcBorders>
          </w:tcPr>
          <w:p w14:paraId="2AADD82B" w14:textId="77777777" w:rsidR="00B50083" w:rsidRPr="00827216" w:rsidRDefault="00B50083" w:rsidP="00B50083">
            <w:pPr>
              <w:pStyle w:val="Heading1"/>
              <w:spacing w:after="0" w:line="276" w:lineRule="auto"/>
              <w:outlineLvl w:val="0"/>
              <w:rPr>
                <w:b w:val="0"/>
              </w:rPr>
            </w:pPr>
            <w:r>
              <w:rPr>
                <w:b w:val="0"/>
              </w:rPr>
              <w:t>Climatic Variables</w:t>
            </w:r>
          </w:p>
        </w:tc>
        <w:tc>
          <w:tcPr>
            <w:tcW w:w="5670" w:type="dxa"/>
            <w:tcBorders>
              <w:left w:val="nil"/>
              <w:bottom w:val="nil"/>
              <w:right w:val="nil"/>
            </w:tcBorders>
          </w:tcPr>
          <w:p w14:paraId="6A4AC0EA" w14:textId="77777777" w:rsidR="00B50083" w:rsidRDefault="00B50083" w:rsidP="00B50083">
            <w:pPr>
              <w:pStyle w:val="Heading1"/>
              <w:spacing w:after="0" w:line="276" w:lineRule="auto"/>
              <w:outlineLvl w:val="0"/>
              <w:rPr>
                <w:b w:val="0"/>
              </w:rPr>
            </w:pPr>
            <w:r>
              <w:rPr>
                <w:b w:val="0"/>
              </w:rPr>
              <w:t>Temperature (</w:t>
            </w:r>
            <w:r>
              <w:rPr>
                <w:rFonts w:cs="Arial"/>
                <w:b w:val="0"/>
              </w:rPr>
              <w:t>°</w:t>
            </w:r>
            <w:r>
              <w:rPr>
                <w:b w:val="0"/>
              </w:rPr>
              <w:t xml:space="preserve">C) </w:t>
            </w:r>
          </w:p>
          <w:p w14:paraId="50D7B2F0" w14:textId="77777777" w:rsidR="00B50083" w:rsidRDefault="00B50083" w:rsidP="00B50083">
            <w:pPr>
              <w:pStyle w:val="Heading1"/>
              <w:numPr>
                <w:ilvl w:val="0"/>
                <w:numId w:val="2"/>
              </w:numPr>
              <w:spacing w:after="0" w:line="276" w:lineRule="auto"/>
              <w:outlineLvl w:val="0"/>
              <w:rPr>
                <w:b w:val="0"/>
              </w:rPr>
            </w:pPr>
            <w:r>
              <w:rPr>
                <w:b w:val="0"/>
              </w:rPr>
              <w:t>Average Annual Land Temperature</w:t>
            </w:r>
          </w:p>
          <w:p w14:paraId="7DF88A89" w14:textId="77777777" w:rsidR="00B50083" w:rsidRPr="00827216" w:rsidRDefault="00B50083" w:rsidP="00B50083">
            <w:pPr>
              <w:pStyle w:val="ListParagraph"/>
              <w:numPr>
                <w:ilvl w:val="0"/>
                <w:numId w:val="2"/>
              </w:numPr>
              <w:spacing w:after="0"/>
            </w:pPr>
            <w:r>
              <w:t>Seasonal Difference in Land Temperature</w:t>
            </w:r>
          </w:p>
        </w:tc>
        <w:tc>
          <w:tcPr>
            <w:tcW w:w="5731" w:type="dxa"/>
            <w:tcBorders>
              <w:left w:val="nil"/>
              <w:bottom w:val="nil"/>
              <w:right w:val="nil"/>
            </w:tcBorders>
          </w:tcPr>
          <w:p w14:paraId="42E79272" w14:textId="77777777" w:rsidR="00B50083" w:rsidRDefault="00B50083" w:rsidP="00B50083">
            <w:pPr>
              <w:spacing w:after="0"/>
            </w:pPr>
          </w:p>
          <w:p w14:paraId="48E9EFD0" w14:textId="77777777" w:rsidR="00B50083" w:rsidRDefault="00B50083" w:rsidP="00B50083">
            <w:pPr>
              <w:spacing w:after="0"/>
            </w:pPr>
            <w:r>
              <w:t>Continuous</w:t>
            </w:r>
          </w:p>
          <w:p w14:paraId="51A1D494" w14:textId="77777777" w:rsidR="00B50083" w:rsidRPr="00105815" w:rsidRDefault="00B50083" w:rsidP="00B50083">
            <w:pPr>
              <w:pStyle w:val="Header"/>
              <w:tabs>
                <w:tab w:val="clear" w:pos="4513"/>
                <w:tab w:val="clear" w:pos="9026"/>
              </w:tabs>
              <w:spacing w:line="276" w:lineRule="auto"/>
            </w:pPr>
            <w:r>
              <w:t>Continuous</w:t>
            </w:r>
          </w:p>
        </w:tc>
      </w:tr>
      <w:tr w:rsidR="00B50083" w14:paraId="20D59281" w14:textId="77777777" w:rsidTr="00B50083">
        <w:tc>
          <w:tcPr>
            <w:tcW w:w="2547" w:type="dxa"/>
            <w:tcBorders>
              <w:top w:val="nil"/>
              <w:left w:val="nil"/>
              <w:right w:val="nil"/>
            </w:tcBorders>
          </w:tcPr>
          <w:p w14:paraId="6A7D6852" w14:textId="77777777" w:rsidR="00B50083" w:rsidRDefault="00B50083" w:rsidP="00B50083">
            <w:pPr>
              <w:pStyle w:val="Heading1"/>
              <w:spacing w:after="0" w:line="276" w:lineRule="auto"/>
              <w:outlineLvl w:val="0"/>
              <w:rPr>
                <w:b w:val="0"/>
              </w:rPr>
            </w:pPr>
          </w:p>
        </w:tc>
        <w:tc>
          <w:tcPr>
            <w:tcW w:w="5670" w:type="dxa"/>
            <w:tcBorders>
              <w:top w:val="nil"/>
              <w:left w:val="nil"/>
              <w:right w:val="nil"/>
            </w:tcBorders>
          </w:tcPr>
          <w:p w14:paraId="6817F345" w14:textId="77777777" w:rsidR="00B50083" w:rsidRPr="00021059" w:rsidRDefault="00B50083" w:rsidP="00B50083">
            <w:pPr>
              <w:spacing w:after="0"/>
            </w:pPr>
            <w:r w:rsidRPr="00021059">
              <w:t>Rainfall</w:t>
            </w:r>
          </w:p>
          <w:p w14:paraId="79DC83F7" w14:textId="77777777" w:rsidR="00B50083" w:rsidRPr="00021059" w:rsidRDefault="00B50083" w:rsidP="00B50083">
            <w:pPr>
              <w:pStyle w:val="Heading1"/>
              <w:numPr>
                <w:ilvl w:val="0"/>
                <w:numId w:val="6"/>
              </w:numPr>
              <w:spacing w:after="0" w:line="276" w:lineRule="auto"/>
              <w:outlineLvl w:val="0"/>
              <w:rPr>
                <w:b w:val="0"/>
              </w:rPr>
            </w:pPr>
            <w:r w:rsidRPr="00021059">
              <w:rPr>
                <w:b w:val="0"/>
              </w:rPr>
              <w:t>Mean Annual Precipitation (mm)</w:t>
            </w:r>
          </w:p>
        </w:tc>
        <w:tc>
          <w:tcPr>
            <w:tcW w:w="5731" w:type="dxa"/>
            <w:tcBorders>
              <w:top w:val="nil"/>
              <w:left w:val="nil"/>
              <w:right w:val="nil"/>
            </w:tcBorders>
          </w:tcPr>
          <w:p w14:paraId="1BBF9C22" w14:textId="77777777" w:rsidR="00B50083" w:rsidRDefault="00B50083" w:rsidP="00B50083">
            <w:pPr>
              <w:spacing w:after="0"/>
            </w:pPr>
            <w:r>
              <w:t>0 to +</w:t>
            </w:r>
            <w:r>
              <w:rPr>
                <w:rFonts w:cs="Arial"/>
              </w:rPr>
              <w:t>∞</w:t>
            </w:r>
            <w:r>
              <w:t>; Continuous</w:t>
            </w:r>
          </w:p>
        </w:tc>
      </w:tr>
      <w:tr w:rsidR="00B50083" w14:paraId="2C0732F0" w14:textId="77777777" w:rsidTr="00B50083">
        <w:tc>
          <w:tcPr>
            <w:tcW w:w="2547" w:type="dxa"/>
            <w:tcBorders>
              <w:left w:val="nil"/>
              <w:bottom w:val="nil"/>
              <w:right w:val="nil"/>
            </w:tcBorders>
          </w:tcPr>
          <w:p w14:paraId="3C6223A6" w14:textId="77777777" w:rsidR="00B50083" w:rsidRPr="00827216" w:rsidRDefault="00B50083" w:rsidP="00B50083">
            <w:pPr>
              <w:pStyle w:val="Heading1"/>
              <w:spacing w:after="0" w:line="276" w:lineRule="auto"/>
              <w:outlineLvl w:val="0"/>
              <w:rPr>
                <w:b w:val="0"/>
              </w:rPr>
            </w:pPr>
            <w:r>
              <w:rPr>
                <w:b w:val="0"/>
              </w:rPr>
              <w:t>Geomorphological Variables</w:t>
            </w:r>
          </w:p>
        </w:tc>
        <w:tc>
          <w:tcPr>
            <w:tcW w:w="5670" w:type="dxa"/>
            <w:tcBorders>
              <w:left w:val="nil"/>
              <w:bottom w:val="nil"/>
              <w:right w:val="nil"/>
            </w:tcBorders>
          </w:tcPr>
          <w:p w14:paraId="1BFE6768" w14:textId="77777777" w:rsidR="00B50083" w:rsidRDefault="00B50083" w:rsidP="00B50083">
            <w:pPr>
              <w:pStyle w:val="Heading1"/>
              <w:spacing w:after="0" w:line="276" w:lineRule="auto"/>
              <w:outlineLvl w:val="0"/>
              <w:rPr>
                <w:b w:val="0"/>
              </w:rPr>
            </w:pPr>
            <w:r>
              <w:rPr>
                <w:b w:val="0"/>
              </w:rPr>
              <w:t>Floodplain Area (ha)</w:t>
            </w:r>
          </w:p>
          <w:p w14:paraId="09D1BAEE" w14:textId="77777777" w:rsidR="00B50083" w:rsidRPr="00105815" w:rsidRDefault="00B50083" w:rsidP="00B50083">
            <w:pPr>
              <w:pStyle w:val="ListParagraph"/>
              <w:numPr>
                <w:ilvl w:val="0"/>
                <w:numId w:val="3"/>
              </w:numPr>
              <w:spacing w:after="0"/>
            </w:pPr>
            <w:r>
              <w:t>the area between the 0 and 5 m contour, minus all open water area, it reflects the estuarine functional zone</w:t>
            </w:r>
          </w:p>
        </w:tc>
        <w:tc>
          <w:tcPr>
            <w:tcW w:w="5731" w:type="dxa"/>
            <w:tcBorders>
              <w:left w:val="nil"/>
              <w:bottom w:val="nil"/>
              <w:right w:val="nil"/>
            </w:tcBorders>
          </w:tcPr>
          <w:p w14:paraId="4DFCEE23" w14:textId="77777777" w:rsidR="00B50083" w:rsidRPr="00021059" w:rsidRDefault="00B50083" w:rsidP="00B50083">
            <w:pPr>
              <w:pStyle w:val="Heading1"/>
              <w:spacing w:after="0" w:line="276" w:lineRule="auto"/>
              <w:outlineLvl w:val="0"/>
              <w:rPr>
                <w:b w:val="0"/>
              </w:rPr>
            </w:pPr>
            <w:r w:rsidRPr="00105815">
              <w:rPr>
                <w:b w:val="0"/>
              </w:rPr>
              <w:t>0 to +</w:t>
            </w:r>
            <w:r w:rsidRPr="00105815">
              <w:rPr>
                <w:rFonts w:cs="Arial"/>
                <w:b w:val="0"/>
              </w:rPr>
              <w:t>∞</w:t>
            </w:r>
            <w:r w:rsidRPr="00105815">
              <w:rPr>
                <w:b w:val="0"/>
              </w:rPr>
              <w:t xml:space="preserve">; </w:t>
            </w:r>
            <w:r>
              <w:rPr>
                <w:b w:val="0"/>
              </w:rPr>
              <w:t>C</w:t>
            </w:r>
            <w:r w:rsidRPr="00105815">
              <w:rPr>
                <w:b w:val="0"/>
              </w:rPr>
              <w:t>ontinuous</w:t>
            </w:r>
          </w:p>
          <w:p w14:paraId="7B489EF6" w14:textId="77777777" w:rsidR="00B50083" w:rsidRPr="00105815" w:rsidRDefault="00B50083" w:rsidP="00B50083">
            <w:pPr>
              <w:pStyle w:val="Header"/>
              <w:tabs>
                <w:tab w:val="clear" w:pos="4513"/>
                <w:tab w:val="clear" w:pos="9026"/>
              </w:tabs>
              <w:spacing w:line="276" w:lineRule="auto"/>
            </w:pPr>
          </w:p>
        </w:tc>
      </w:tr>
      <w:tr w:rsidR="00B50083" w14:paraId="32E38D75" w14:textId="77777777" w:rsidTr="00B50083">
        <w:tc>
          <w:tcPr>
            <w:tcW w:w="2547" w:type="dxa"/>
            <w:tcBorders>
              <w:top w:val="nil"/>
              <w:left w:val="nil"/>
              <w:bottom w:val="nil"/>
              <w:right w:val="nil"/>
            </w:tcBorders>
          </w:tcPr>
          <w:p w14:paraId="2B39E67F" w14:textId="77777777" w:rsidR="00B50083" w:rsidRDefault="00B50083" w:rsidP="00B50083">
            <w:pPr>
              <w:pStyle w:val="Heading1"/>
              <w:spacing w:after="0" w:line="276" w:lineRule="auto"/>
              <w:outlineLvl w:val="0"/>
              <w:rPr>
                <w:b w:val="0"/>
              </w:rPr>
            </w:pPr>
          </w:p>
        </w:tc>
        <w:tc>
          <w:tcPr>
            <w:tcW w:w="5670" w:type="dxa"/>
            <w:tcBorders>
              <w:top w:val="nil"/>
              <w:left w:val="nil"/>
              <w:bottom w:val="nil"/>
              <w:right w:val="nil"/>
            </w:tcBorders>
          </w:tcPr>
          <w:p w14:paraId="674C70A6" w14:textId="77777777" w:rsidR="00B50083" w:rsidRDefault="00B50083" w:rsidP="00B50083">
            <w:pPr>
              <w:spacing w:after="0"/>
            </w:pPr>
            <w:proofErr w:type="spellStart"/>
            <w:r>
              <w:t>Inciseness</w:t>
            </w:r>
            <w:proofErr w:type="spellEnd"/>
          </w:p>
          <w:p w14:paraId="7A8A7A53" w14:textId="77777777" w:rsidR="00B50083" w:rsidRPr="00021059" w:rsidRDefault="00B50083" w:rsidP="00B50083">
            <w:pPr>
              <w:pStyle w:val="ListParagraph"/>
              <w:numPr>
                <w:ilvl w:val="0"/>
                <w:numId w:val="3"/>
              </w:numPr>
              <w:spacing w:after="0"/>
            </w:pPr>
            <w:r>
              <w:t>ratio of open water area to floodplain area</w:t>
            </w:r>
          </w:p>
        </w:tc>
        <w:tc>
          <w:tcPr>
            <w:tcW w:w="5731" w:type="dxa"/>
            <w:tcBorders>
              <w:top w:val="nil"/>
              <w:left w:val="nil"/>
              <w:bottom w:val="nil"/>
              <w:right w:val="nil"/>
            </w:tcBorders>
          </w:tcPr>
          <w:p w14:paraId="2D83C32E" w14:textId="77777777" w:rsidR="00B50083" w:rsidRPr="00021059" w:rsidRDefault="00B50083" w:rsidP="00B50083">
            <w:pPr>
              <w:spacing w:before="240" w:after="0"/>
            </w:pPr>
            <w:r>
              <w:t>0-1 ratio data, Continuous</w:t>
            </w:r>
          </w:p>
        </w:tc>
      </w:tr>
      <w:tr w:rsidR="00B50083" w14:paraId="219245F6" w14:textId="77777777" w:rsidTr="00B50083">
        <w:tc>
          <w:tcPr>
            <w:tcW w:w="2547" w:type="dxa"/>
            <w:tcBorders>
              <w:top w:val="nil"/>
              <w:left w:val="nil"/>
              <w:bottom w:val="single" w:sz="4" w:space="0" w:color="auto"/>
              <w:right w:val="nil"/>
            </w:tcBorders>
          </w:tcPr>
          <w:p w14:paraId="5EB6A1DC" w14:textId="77777777" w:rsidR="00B50083" w:rsidRDefault="00B50083" w:rsidP="00B50083">
            <w:pPr>
              <w:pStyle w:val="Heading1"/>
              <w:spacing w:after="0" w:line="276" w:lineRule="auto"/>
              <w:outlineLvl w:val="0"/>
              <w:rPr>
                <w:b w:val="0"/>
              </w:rPr>
            </w:pPr>
          </w:p>
        </w:tc>
        <w:tc>
          <w:tcPr>
            <w:tcW w:w="5670" w:type="dxa"/>
            <w:tcBorders>
              <w:top w:val="nil"/>
              <w:left w:val="nil"/>
              <w:right w:val="nil"/>
            </w:tcBorders>
            <w:vAlign w:val="center"/>
          </w:tcPr>
          <w:p w14:paraId="1F6C6564" w14:textId="77777777" w:rsidR="00B50083" w:rsidRDefault="00B50083" w:rsidP="00B50083">
            <w:pPr>
              <w:spacing w:after="0"/>
            </w:pPr>
            <w:r>
              <w:t>Catchment Erodibility Index</w:t>
            </w:r>
          </w:p>
        </w:tc>
        <w:tc>
          <w:tcPr>
            <w:tcW w:w="5731" w:type="dxa"/>
            <w:tcBorders>
              <w:top w:val="nil"/>
              <w:left w:val="nil"/>
              <w:right w:val="nil"/>
            </w:tcBorders>
            <w:vAlign w:val="center"/>
          </w:tcPr>
          <w:p w14:paraId="1C7A7975" w14:textId="77777777" w:rsidR="00B50083" w:rsidRDefault="00B50083" w:rsidP="00382AE6">
            <w:pPr>
              <w:spacing w:after="0"/>
            </w:pPr>
            <w:r>
              <w:t>Categorical (1 (low) to 5 (high))</w:t>
            </w:r>
          </w:p>
        </w:tc>
      </w:tr>
      <w:tr w:rsidR="00B50083" w14:paraId="031ECF42" w14:textId="77777777" w:rsidTr="00B50083">
        <w:tc>
          <w:tcPr>
            <w:tcW w:w="2547" w:type="dxa"/>
            <w:tcBorders>
              <w:top w:val="single" w:sz="4" w:space="0" w:color="auto"/>
              <w:left w:val="nil"/>
              <w:bottom w:val="nil"/>
              <w:right w:val="nil"/>
            </w:tcBorders>
          </w:tcPr>
          <w:p w14:paraId="0392BAA6" w14:textId="77777777" w:rsidR="00B50083" w:rsidRPr="00827216" w:rsidRDefault="00B50083" w:rsidP="00B50083">
            <w:pPr>
              <w:pStyle w:val="Heading1"/>
              <w:spacing w:after="0" w:line="276" w:lineRule="auto"/>
              <w:outlineLvl w:val="0"/>
              <w:rPr>
                <w:b w:val="0"/>
              </w:rPr>
            </w:pPr>
            <w:r>
              <w:rPr>
                <w:b w:val="0"/>
              </w:rPr>
              <w:t>Abiotic Variables</w:t>
            </w:r>
          </w:p>
        </w:tc>
        <w:tc>
          <w:tcPr>
            <w:tcW w:w="5670" w:type="dxa"/>
            <w:tcBorders>
              <w:left w:val="nil"/>
              <w:bottom w:val="nil"/>
              <w:right w:val="nil"/>
            </w:tcBorders>
          </w:tcPr>
          <w:p w14:paraId="2F0F2256" w14:textId="77777777" w:rsidR="00B50083" w:rsidRDefault="00B50083" w:rsidP="00B50083">
            <w:pPr>
              <w:pStyle w:val="Heading1"/>
              <w:spacing w:after="0" w:line="276" w:lineRule="auto"/>
              <w:outlineLvl w:val="0"/>
              <w:rPr>
                <w:b w:val="0"/>
              </w:rPr>
            </w:pPr>
            <w:r>
              <w:rPr>
                <w:b w:val="0"/>
              </w:rPr>
              <w:t>Salinity Category</w:t>
            </w:r>
          </w:p>
          <w:p w14:paraId="72A50146" w14:textId="77777777" w:rsidR="00B50083" w:rsidRPr="00357FA8" w:rsidRDefault="00B50083" w:rsidP="00B50083">
            <w:pPr>
              <w:pStyle w:val="ListParagraph"/>
              <w:numPr>
                <w:ilvl w:val="0"/>
                <w:numId w:val="3"/>
              </w:numPr>
              <w:spacing w:after="0"/>
            </w:pPr>
            <w:r>
              <w:t>the dominant salinity regime of the estuary which reflects the degree of fluvial input as ranging from freshwater-dominated to marine</w:t>
            </w:r>
          </w:p>
        </w:tc>
        <w:tc>
          <w:tcPr>
            <w:tcW w:w="5731" w:type="dxa"/>
            <w:tcBorders>
              <w:left w:val="nil"/>
              <w:bottom w:val="nil"/>
              <w:right w:val="nil"/>
            </w:tcBorders>
          </w:tcPr>
          <w:p w14:paraId="3F2ED7EF" w14:textId="77777777" w:rsidR="00B50083" w:rsidRPr="00357FA8" w:rsidRDefault="00B50083" w:rsidP="00B50083">
            <w:pPr>
              <w:pStyle w:val="Heading1"/>
              <w:spacing w:after="0" w:line="276" w:lineRule="auto"/>
              <w:outlineLvl w:val="0"/>
              <w:rPr>
                <w:b w:val="0"/>
              </w:rPr>
            </w:pPr>
            <w:r>
              <w:rPr>
                <w:b w:val="0"/>
              </w:rPr>
              <w:t>Categorical (fresh, mixed, marine)</w:t>
            </w:r>
          </w:p>
        </w:tc>
      </w:tr>
      <w:tr w:rsidR="00B50083" w14:paraId="5C193C17" w14:textId="77777777" w:rsidTr="00B50083">
        <w:tc>
          <w:tcPr>
            <w:tcW w:w="2547" w:type="dxa"/>
            <w:tcBorders>
              <w:top w:val="nil"/>
              <w:left w:val="nil"/>
              <w:right w:val="nil"/>
            </w:tcBorders>
          </w:tcPr>
          <w:p w14:paraId="5001CBE0" w14:textId="77777777" w:rsidR="00B50083" w:rsidRDefault="00B50083" w:rsidP="00B50083">
            <w:pPr>
              <w:pStyle w:val="Heading1"/>
              <w:spacing w:after="0" w:line="276" w:lineRule="auto"/>
              <w:outlineLvl w:val="0"/>
              <w:rPr>
                <w:b w:val="0"/>
              </w:rPr>
            </w:pPr>
          </w:p>
        </w:tc>
        <w:tc>
          <w:tcPr>
            <w:tcW w:w="5670" w:type="dxa"/>
            <w:tcBorders>
              <w:top w:val="nil"/>
              <w:left w:val="nil"/>
              <w:right w:val="nil"/>
            </w:tcBorders>
          </w:tcPr>
          <w:p w14:paraId="6FF7335B" w14:textId="77777777" w:rsidR="00B50083" w:rsidRPr="00B50083" w:rsidRDefault="00B50083" w:rsidP="00B50083">
            <w:pPr>
              <w:pStyle w:val="Heading1"/>
              <w:spacing w:after="0" w:line="276" w:lineRule="auto"/>
              <w:outlineLvl w:val="0"/>
              <w:rPr>
                <w:b w:val="0"/>
                <w:bCs/>
              </w:rPr>
            </w:pPr>
            <w:r w:rsidRPr="00B50083">
              <w:rPr>
                <w:b w:val="0"/>
                <w:bCs/>
              </w:rPr>
              <w:t>Mean Annual Runoff (m</w:t>
            </w:r>
            <w:r w:rsidRPr="00B50083">
              <w:rPr>
                <w:b w:val="0"/>
                <w:bCs/>
                <w:vertAlign w:val="superscript"/>
              </w:rPr>
              <w:t>3</w:t>
            </w:r>
            <w:r w:rsidRPr="00B50083">
              <w:rPr>
                <w:b w:val="0"/>
                <w:bCs/>
              </w:rPr>
              <w:t xml:space="preserve"> x 10</w:t>
            </w:r>
            <w:r w:rsidRPr="00B50083">
              <w:rPr>
                <w:b w:val="0"/>
                <w:bCs/>
                <w:vertAlign w:val="superscript"/>
              </w:rPr>
              <w:t>6</w:t>
            </w:r>
            <w:r w:rsidRPr="00B50083">
              <w:rPr>
                <w:b w:val="0"/>
                <w:bCs/>
              </w:rPr>
              <w:t>)</w:t>
            </w:r>
          </w:p>
        </w:tc>
        <w:tc>
          <w:tcPr>
            <w:tcW w:w="5731" w:type="dxa"/>
            <w:tcBorders>
              <w:top w:val="nil"/>
              <w:left w:val="nil"/>
              <w:right w:val="nil"/>
            </w:tcBorders>
          </w:tcPr>
          <w:p w14:paraId="797A18E0" w14:textId="77777777" w:rsidR="00B50083" w:rsidRDefault="00B50083" w:rsidP="00B50083">
            <w:pPr>
              <w:pStyle w:val="Heading1"/>
              <w:spacing w:after="0" w:line="276" w:lineRule="auto"/>
              <w:outlineLvl w:val="0"/>
              <w:rPr>
                <w:b w:val="0"/>
              </w:rPr>
            </w:pPr>
            <w:r w:rsidRPr="00105815">
              <w:rPr>
                <w:b w:val="0"/>
              </w:rPr>
              <w:t>0 to +</w:t>
            </w:r>
            <w:r w:rsidRPr="00105815">
              <w:rPr>
                <w:rFonts w:cs="Arial"/>
                <w:b w:val="0"/>
              </w:rPr>
              <w:t>∞</w:t>
            </w:r>
            <w:r w:rsidRPr="00105815">
              <w:rPr>
                <w:b w:val="0"/>
              </w:rPr>
              <w:t xml:space="preserve">; </w:t>
            </w:r>
            <w:r>
              <w:rPr>
                <w:b w:val="0"/>
              </w:rPr>
              <w:t>C</w:t>
            </w:r>
            <w:r w:rsidRPr="00105815">
              <w:rPr>
                <w:b w:val="0"/>
              </w:rPr>
              <w:t>ontinuous</w:t>
            </w:r>
          </w:p>
        </w:tc>
      </w:tr>
      <w:tr w:rsidR="00B50083" w14:paraId="1DC69ECE" w14:textId="77777777" w:rsidTr="00B50083">
        <w:tc>
          <w:tcPr>
            <w:tcW w:w="2547" w:type="dxa"/>
            <w:tcBorders>
              <w:left w:val="nil"/>
              <w:bottom w:val="nil"/>
              <w:right w:val="nil"/>
            </w:tcBorders>
          </w:tcPr>
          <w:p w14:paraId="4F231BCA" w14:textId="77777777" w:rsidR="00B50083" w:rsidRPr="00827216" w:rsidRDefault="00B50083" w:rsidP="00B50083">
            <w:pPr>
              <w:pStyle w:val="Heading1"/>
              <w:spacing w:after="0" w:line="276" w:lineRule="auto"/>
              <w:outlineLvl w:val="0"/>
              <w:rPr>
                <w:b w:val="0"/>
              </w:rPr>
            </w:pPr>
            <w:r>
              <w:rPr>
                <w:b w:val="0"/>
              </w:rPr>
              <w:t>Physical Variables</w:t>
            </w:r>
          </w:p>
        </w:tc>
        <w:tc>
          <w:tcPr>
            <w:tcW w:w="5670" w:type="dxa"/>
            <w:tcBorders>
              <w:left w:val="nil"/>
              <w:bottom w:val="nil"/>
              <w:right w:val="nil"/>
            </w:tcBorders>
          </w:tcPr>
          <w:p w14:paraId="10EE01A2" w14:textId="1D6BBD34" w:rsidR="00B50083" w:rsidRDefault="00B50083" w:rsidP="00B50083">
            <w:pPr>
              <w:pStyle w:val="Heading1"/>
              <w:spacing w:after="0" w:line="276" w:lineRule="auto"/>
              <w:outlineLvl w:val="0"/>
              <w:rPr>
                <w:b w:val="0"/>
              </w:rPr>
            </w:pPr>
            <w:r>
              <w:rPr>
                <w:b w:val="0"/>
              </w:rPr>
              <w:t>Inlet Stability</w:t>
            </w:r>
          </w:p>
          <w:p w14:paraId="15C150E3" w14:textId="49462964" w:rsidR="00B50083" w:rsidRPr="00357FA8" w:rsidRDefault="00B50083" w:rsidP="00B50083">
            <w:pPr>
              <w:pStyle w:val="ListParagraph"/>
              <w:numPr>
                <w:ilvl w:val="0"/>
                <w:numId w:val="3"/>
              </w:numPr>
              <w:spacing w:after="0"/>
            </w:pPr>
            <w:r>
              <w:t>condition of the estuary inlet that reflects periods of altered or low marine connectivity</w:t>
            </w:r>
          </w:p>
        </w:tc>
        <w:tc>
          <w:tcPr>
            <w:tcW w:w="5731" w:type="dxa"/>
            <w:tcBorders>
              <w:left w:val="nil"/>
              <w:bottom w:val="nil"/>
              <w:right w:val="nil"/>
            </w:tcBorders>
          </w:tcPr>
          <w:p w14:paraId="3448CE4F" w14:textId="77777777" w:rsidR="00B50083" w:rsidRDefault="00B50083" w:rsidP="00B50083">
            <w:pPr>
              <w:pStyle w:val="Heading1"/>
              <w:spacing w:after="0" w:line="276" w:lineRule="auto"/>
              <w:outlineLvl w:val="0"/>
              <w:rPr>
                <w:b w:val="0"/>
              </w:rPr>
            </w:pPr>
          </w:p>
          <w:p w14:paraId="681F8F3A" w14:textId="365048C8" w:rsidR="00B50083" w:rsidRPr="00B50083" w:rsidRDefault="00B50083" w:rsidP="00B50083">
            <w:pPr>
              <w:pStyle w:val="Heading1"/>
              <w:spacing w:after="0" w:line="276" w:lineRule="auto"/>
              <w:outlineLvl w:val="0"/>
              <w:rPr>
                <w:b w:val="0"/>
              </w:rPr>
            </w:pPr>
            <w:r>
              <w:rPr>
                <w:b w:val="0"/>
              </w:rPr>
              <w:t>Binary (1 = open 100% of the time; 0 = experiences closure up to 25% of the time)</w:t>
            </w:r>
          </w:p>
        </w:tc>
      </w:tr>
      <w:tr w:rsidR="00B50083" w14:paraId="337B2BE9" w14:textId="77777777" w:rsidTr="00B50083">
        <w:tc>
          <w:tcPr>
            <w:tcW w:w="2547" w:type="dxa"/>
            <w:tcBorders>
              <w:top w:val="nil"/>
              <w:left w:val="nil"/>
              <w:bottom w:val="nil"/>
              <w:right w:val="nil"/>
            </w:tcBorders>
          </w:tcPr>
          <w:p w14:paraId="67C70C8A" w14:textId="77777777" w:rsidR="00B50083" w:rsidRDefault="00B50083" w:rsidP="00B50083">
            <w:pPr>
              <w:pStyle w:val="Heading1"/>
              <w:spacing w:after="0" w:line="276" w:lineRule="auto"/>
              <w:outlineLvl w:val="0"/>
              <w:rPr>
                <w:b w:val="0"/>
              </w:rPr>
            </w:pPr>
          </w:p>
        </w:tc>
        <w:tc>
          <w:tcPr>
            <w:tcW w:w="5670" w:type="dxa"/>
            <w:tcBorders>
              <w:top w:val="nil"/>
              <w:left w:val="nil"/>
              <w:bottom w:val="nil"/>
              <w:right w:val="nil"/>
            </w:tcBorders>
          </w:tcPr>
          <w:p w14:paraId="5A3903D1" w14:textId="77777777" w:rsidR="00B50083" w:rsidRPr="00B50083" w:rsidDel="00FE3292" w:rsidRDefault="00B50083" w:rsidP="00B50083">
            <w:pPr>
              <w:spacing w:after="0"/>
            </w:pPr>
            <w:r>
              <w:t>Daily Flushing Rate (m</w:t>
            </w:r>
            <w:r w:rsidRPr="00357FA8">
              <w:rPr>
                <w:vertAlign w:val="superscript"/>
              </w:rPr>
              <w:t>3</w:t>
            </w:r>
            <w:r>
              <w:t xml:space="preserve"> x 10</w:t>
            </w:r>
            <w:r w:rsidRPr="00357FA8">
              <w:rPr>
                <w:vertAlign w:val="superscript"/>
              </w:rPr>
              <w:t>6</w:t>
            </w:r>
            <w:r>
              <w:t>.d)</w:t>
            </w:r>
          </w:p>
        </w:tc>
        <w:tc>
          <w:tcPr>
            <w:tcW w:w="5731" w:type="dxa"/>
            <w:tcBorders>
              <w:top w:val="nil"/>
              <w:left w:val="nil"/>
              <w:bottom w:val="nil"/>
              <w:right w:val="nil"/>
            </w:tcBorders>
          </w:tcPr>
          <w:p w14:paraId="5854422A" w14:textId="77777777" w:rsidR="00B50083" w:rsidRDefault="00B50083" w:rsidP="00B50083">
            <w:pPr>
              <w:pStyle w:val="Heading1"/>
              <w:spacing w:after="0" w:line="276" w:lineRule="auto"/>
              <w:outlineLvl w:val="0"/>
              <w:rPr>
                <w:b w:val="0"/>
              </w:rPr>
            </w:pPr>
            <w:r w:rsidRPr="00105815">
              <w:rPr>
                <w:b w:val="0"/>
              </w:rPr>
              <w:t>0 to +</w:t>
            </w:r>
            <w:r w:rsidRPr="00105815">
              <w:rPr>
                <w:rFonts w:cs="Arial"/>
                <w:b w:val="0"/>
              </w:rPr>
              <w:t>∞</w:t>
            </w:r>
            <w:r w:rsidRPr="00105815">
              <w:rPr>
                <w:b w:val="0"/>
              </w:rPr>
              <w:t xml:space="preserve">; </w:t>
            </w:r>
            <w:r>
              <w:rPr>
                <w:b w:val="0"/>
              </w:rPr>
              <w:t>C</w:t>
            </w:r>
            <w:r w:rsidRPr="00105815">
              <w:rPr>
                <w:b w:val="0"/>
              </w:rPr>
              <w:t>ontinuous</w:t>
            </w:r>
          </w:p>
        </w:tc>
      </w:tr>
      <w:tr w:rsidR="00B50083" w14:paraId="666B9D35" w14:textId="77777777" w:rsidTr="00B50083">
        <w:tc>
          <w:tcPr>
            <w:tcW w:w="2547" w:type="dxa"/>
            <w:tcBorders>
              <w:top w:val="nil"/>
              <w:left w:val="nil"/>
              <w:bottom w:val="nil"/>
              <w:right w:val="nil"/>
            </w:tcBorders>
          </w:tcPr>
          <w:p w14:paraId="17505DA4" w14:textId="77777777" w:rsidR="00B50083" w:rsidRDefault="00B50083" w:rsidP="00B50083">
            <w:pPr>
              <w:pStyle w:val="Heading1"/>
              <w:spacing w:after="0" w:line="276" w:lineRule="auto"/>
              <w:outlineLvl w:val="0"/>
              <w:rPr>
                <w:b w:val="0"/>
              </w:rPr>
            </w:pPr>
          </w:p>
        </w:tc>
        <w:tc>
          <w:tcPr>
            <w:tcW w:w="5670" w:type="dxa"/>
            <w:tcBorders>
              <w:top w:val="nil"/>
              <w:left w:val="nil"/>
              <w:bottom w:val="nil"/>
              <w:right w:val="nil"/>
            </w:tcBorders>
          </w:tcPr>
          <w:p w14:paraId="012527CF" w14:textId="77777777" w:rsidR="00B50083" w:rsidRDefault="00B50083" w:rsidP="00B50083">
            <w:pPr>
              <w:spacing w:after="0"/>
            </w:pPr>
            <w:r>
              <w:t>Distance along the coast to next mangrove estuary (km)</w:t>
            </w:r>
          </w:p>
        </w:tc>
        <w:tc>
          <w:tcPr>
            <w:tcW w:w="5731" w:type="dxa"/>
            <w:tcBorders>
              <w:top w:val="nil"/>
              <w:left w:val="nil"/>
              <w:bottom w:val="nil"/>
              <w:right w:val="nil"/>
            </w:tcBorders>
          </w:tcPr>
          <w:p w14:paraId="0974F1C4" w14:textId="77777777" w:rsidR="00B50083" w:rsidRPr="00105815" w:rsidRDefault="00B50083" w:rsidP="00B50083">
            <w:pPr>
              <w:pStyle w:val="Heading1"/>
              <w:spacing w:after="0" w:line="276" w:lineRule="auto"/>
              <w:outlineLvl w:val="0"/>
              <w:rPr>
                <w:b w:val="0"/>
              </w:rPr>
            </w:pPr>
            <w:r w:rsidRPr="00105815">
              <w:rPr>
                <w:b w:val="0"/>
              </w:rPr>
              <w:t>0 to +</w:t>
            </w:r>
            <w:r w:rsidRPr="00105815">
              <w:rPr>
                <w:rFonts w:cs="Arial"/>
                <w:b w:val="0"/>
              </w:rPr>
              <w:t>∞</w:t>
            </w:r>
            <w:r w:rsidRPr="00105815">
              <w:rPr>
                <w:b w:val="0"/>
              </w:rPr>
              <w:t xml:space="preserve">; </w:t>
            </w:r>
            <w:r>
              <w:rPr>
                <w:b w:val="0"/>
              </w:rPr>
              <w:t>C</w:t>
            </w:r>
            <w:r w:rsidRPr="00105815">
              <w:rPr>
                <w:b w:val="0"/>
              </w:rPr>
              <w:t>ontinuous</w:t>
            </w:r>
          </w:p>
        </w:tc>
      </w:tr>
      <w:tr w:rsidR="00B50083" w14:paraId="546F3C6B" w14:textId="77777777" w:rsidTr="00B50083">
        <w:tc>
          <w:tcPr>
            <w:tcW w:w="2547" w:type="dxa"/>
            <w:tcBorders>
              <w:top w:val="nil"/>
              <w:left w:val="nil"/>
              <w:right w:val="nil"/>
            </w:tcBorders>
          </w:tcPr>
          <w:p w14:paraId="497AD7A7" w14:textId="77777777" w:rsidR="00B50083" w:rsidRDefault="00B50083" w:rsidP="00B50083">
            <w:pPr>
              <w:pStyle w:val="Heading1"/>
              <w:spacing w:after="0" w:line="276" w:lineRule="auto"/>
              <w:outlineLvl w:val="0"/>
              <w:rPr>
                <w:b w:val="0"/>
              </w:rPr>
            </w:pPr>
          </w:p>
        </w:tc>
        <w:tc>
          <w:tcPr>
            <w:tcW w:w="5670" w:type="dxa"/>
            <w:tcBorders>
              <w:top w:val="nil"/>
              <w:left w:val="nil"/>
              <w:right w:val="nil"/>
            </w:tcBorders>
          </w:tcPr>
          <w:p w14:paraId="08AFF84A" w14:textId="77777777" w:rsidR="00B50083" w:rsidRDefault="00B50083" w:rsidP="00B50083">
            <w:pPr>
              <w:spacing w:after="0"/>
            </w:pPr>
            <w:r>
              <w:t>Nearshore Energy</w:t>
            </w:r>
          </w:p>
          <w:p w14:paraId="61D4E175" w14:textId="77777777" w:rsidR="00B50083" w:rsidRDefault="00B50083" w:rsidP="00B50083">
            <w:pPr>
              <w:pStyle w:val="ListParagraph"/>
              <w:numPr>
                <w:ilvl w:val="0"/>
                <w:numId w:val="7"/>
              </w:numPr>
              <w:spacing w:after="0"/>
            </w:pPr>
            <w:proofErr w:type="spellStart"/>
            <w:r>
              <w:t>Surfzone</w:t>
            </w:r>
            <w:proofErr w:type="spellEnd"/>
            <w:r>
              <w:t xml:space="preserve"> Width (m)</w:t>
            </w:r>
          </w:p>
        </w:tc>
        <w:tc>
          <w:tcPr>
            <w:tcW w:w="5731" w:type="dxa"/>
            <w:tcBorders>
              <w:top w:val="nil"/>
              <w:left w:val="nil"/>
              <w:right w:val="nil"/>
            </w:tcBorders>
          </w:tcPr>
          <w:p w14:paraId="3EDA36A5" w14:textId="77777777" w:rsidR="00B50083" w:rsidRPr="00105815" w:rsidRDefault="00B50083" w:rsidP="00B50083">
            <w:pPr>
              <w:pStyle w:val="Heading1"/>
              <w:spacing w:after="0" w:line="276" w:lineRule="auto"/>
              <w:outlineLvl w:val="0"/>
              <w:rPr>
                <w:b w:val="0"/>
              </w:rPr>
            </w:pPr>
            <w:r w:rsidRPr="00105815">
              <w:rPr>
                <w:b w:val="0"/>
              </w:rPr>
              <w:t>0 to +</w:t>
            </w:r>
            <w:r w:rsidRPr="00105815">
              <w:rPr>
                <w:rFonts w:cs="Arial"/>
                <w:b w:val="0"/>
              </w:rPr>
              <w:t>∞</w:t>
            </w:r>
            <w:r w:rsidRPr="00105815">
              <w:rPr>
                <w:b w:val="0"/>
              </w:rPr>
              <w:t xml:space="preserve">; </w:t>
            </w:r>
            <w:r>
              <w:rPr>
                <w:b w:val="0"/>
              </w:rPr>
              <w:t>C</w:t>
            </w:r>
            <w:r w:rsidRPr="00105815">
              <w:rPr>
                <w:b w:val="0"/>
              </w:rPr>
              <w:t>ontinuous</w:t>
            </w:r>
          </w:p>
        </w:tc>
      </w:tr>
      <w:tr w:rsidR="00B50083" w14:paraId="565AE186" w14:textId="77777777" w:rsidTr="00B50083">
        <w:tc>
          <w:tcPr>
            <w:tcW w:w="2547" w:type="dxa"/>
            <w:tcBorders>
              <w:left w:val="nil"/>
              <w:right w:val="nil"/>
            </w:tcBorders>
          </w:tcPr>
          <w:p w14:paraId="4A6DC4F7" w14:textId="77777777" w:rsidR="00B50083" w:rsidRPr="00827216" w:rsidRDefault="00B50083" w:rsidP="00B50083">
            <w:pPr>
              <w:pStyle w:val="Heading1"/>
              <w:spacing w:after="0" w:line="276" w:lineRule="auto"/>
              <w:outlineLvl w:val="0"/>
              <w:rPr>
                <w:b w:val="0"/>
              </w:rPr>
            </w:pPr>
            <w:r>
              <w:rPr>
                <w:b w:val="0"/>
              </w:rPr>
              <w:t>Response Variables</w:t>
            </w:r>
          </w:p>
        </w:tc>
        <w:tc>
          <w:tcPr>
            <w:tcW w:w="5670" w:type="dxa"/>
            <w:tcBorders>
              <w:left w:val="nil"/>
              <w:right w:val="nil"/>
            </w:tcBorders>
          </w:tcPr>
          <w:p w14:paraId="702A0760" w14:textId="4E03C688" w:rsidR="00B50083" w:rsidRPr="00B50083" w:rsidRDefault="00B50083" w:rsidP="00B50083">
            <w:pPr>
              <w:pStyle w:val="Heading1"/>
              <w:spacing w:after="0" w:line="276" w:lineRule="auto"/>
              <w:outlineLvl w:val="0"/>
              <w:rPr>
                <w:b w:val="0"/>
              </w:rPr>
            </w:pPr>
            <w:r>
              <w:rPr>
                <w:b w:val="0"/>
              </w:rPr>
              <w:t>Mangrove Area (ha)</w:t>
            </w:r>
          </w:p>
        </w:tc>
        <w:tc>
          <w:tcPr>
            <w:tcW w:w="5731" w:type="dxa"/>
            <w:tcBorders>
              <w:left w:val="nil"/>
              <w:right w:val="nil"/>
            </w:tcBorders>
          </w:tcPr>
          <w:p w14:paraId="1769F14D" w14:textId="09D54C14" w:rsidR="00B50083" w:rsidRPr="00827216" w:rsidRDefault="00B50083" w:rsidP="00B50083">
            <w:pPr>
              <w:pStyle w:val="Heading1"/>
              <w:spacing w:after="0" w:line="276" w:lineRule="auto"/>
              <w:outlineLvl w:val="0"/>
              <w:rPr>
                <w:b w:val="0"/>
              </w:rPr>
            </w:pPr>
            <w:r w:rsidRPr="00105815">
              <w:rPr>
                <w:b w:val="0"/>
              </w:rPr>
              <w:t>0 to +</w:t>
            </w:r>
            <w:r w:rsidRPr="00105815">
              <w:rPr>
                <w:rFonts w:cs="Arial"/>
                <w:b w:val="0"/>
              </w:rPr>
              <w:t>∞</w:t>
            </w:r>
            <w:r w:rsidRPr="00105815">
              <w:rPr>
                <w:b w:val="0"/>
              </w:rPr>
              <w:t xml:space="preserve">; </w:t>
            </w:r>
            <w:r>
              <w:rPr>
                <w:b w:val="0"/>
              </w:rPr>
              <w:t>C</w:t>
            </w:r>
            <w:r w:rsidRPr="00105815">
              <w:rPr>
                <w:b w:val="0"/>
              </w:rPr>
              <w:t>ontinuous</w:t>
            </w:r>
          </w:p>
        </w:tc>
      </w:tr>
    </w:tbl>
    <w:p w14:paraId="2681B37A" w14:textId="77777777" w:rsidR="00267416" w:rsidRPr="00B54664" w:rsidRDefault="00267416" w:rsidP="00B54664"/>
    <w:p w14:paraId="0B400EBA" w14:textId="77777777" w:rsidR="00827216" w:rsidRDefault="00827216" w:rsidP="00B54664">
      <w:pPr>
        <w:pStyle w:val="Heading1"/>
        <w:spacing w:line="276" w:lineRule="auto"/>
        <w:sectPr w:rsidR="00827216" w:rsidSect="00E62D35">
          <w:pgSz w:w="16838" w:h="11906" w:orient="landscape"/>
          <w:pgMar w:top="1440" w:right="1440" w:bottom="1440" w:left="1440" w:header="708" w:footer="708" w:gutter="0"/>
          <w:lnNumType w:countBy="1" w:restart="continuous"/>
          <w:cols w:space="708"/>
          <w:docGrid w:linePitch="360"/>
        </w:sectPr>
      </w:pPr>
    </w:p>
    <w:p w14:paraId="333BBF7C" w14:textId="59715770" w:rsidR="00961DDA" w:rsidRDefault="002A34A3" w:rsidP="00F44AF4">
      <w:pPr>
        <w:pStyle w:val="Heading2"/>
        <w:spacing w:line="360" w:lineRule="auto"/>
      </w:pPr>
      <w:r>
        <w:lastRenderedPageBreak/>
        <w:t xml:space="preserve">2.3 </w:t>
      </w:r>
      <w:r w:rsidR="00961DDA">
        <w:t>Data Analysis</w:t>
      </w:r>
    </w:p>
    <w:p w14:paraId="31ED2ADF" w14:textId="61734E88" w:rsidR="005B7A80" w:rsidRDefault="00961DDA" w:rsidP="00F44AF4">
      <w:pPr>
        <w:spacing w:line="360" w:lineRule="auto"/>
      </w:pPr>
      <w:r>
        <w:t xml:space="preserve">To specify the initial SEM, a series of equations describing the relationships between predictor and response variables were defined. These relationships were determined </w:t>
      </w:r>
      <w:r w:rsidR="00D94EB5">
        <w:t>using</w:t>
      </w:r>
      <w:r>
        <w:t xml:space="preserve"> correlations between the variables and the hypothesized links in the causal diagram. The properties of the available data, such as the type and distribution (Table 1), were </w:t>
      </w:r>
      <w:r w:rsidR="00A06E1F">
        <w:t>considered</w:t>
      </w:r>
      <w:r>
        <w:t xml:space="preserve"> to mathematically specify each relationship as a statistical model. </w:t>
      </w:r>
      <w:r w:rsidR="001A0B25">
        <w:t xml:space="preserve">Five </w:t>
      </w:r>
      <w:r>
        <w:t xml:space="preserve">models were initially specified for the </w:t>
      </w:r>
      <w:r w:rsidR="00D94EB5">
        <w:t>response</w:t>
      </w:r>
      <w:r>
        <w:t xml:space="preserve"> variables: </w:t>
      </w:r>
      <w:proofErr w:type="spellStart"/>
      <w:r>
        <w:t>Inciseness</w:t>
      </w:r>
      <w:proofErr w:type="spellEnd"/>
      <w:r w:rsidR="000E1B50">
        <w:t xml:space="preserve"> (topography slope)</w:t>
      </w:r>
      <w:r>
        <w:t xml:space="preserve">, Mean Annual Runoff, Daily Flushing Rate, </w:t>
      </w:r>
      <w:r w:rsidR="008D39D8">
        <w:t>Inlet Stability</w:t>
      </w:r>
      <w:r>
        <w:t>, Mangrove Species Richness, and Mangrove Area</w:t>
      </w:r>
      <w:r w:rsidR="001A0B25">
        <w:t xml:space="preserve"> (Table 2)</w:t>
      </w:r>
      <w:r>
        <w:t xml:space="preserve">. </w:t>
      </w:r>
    </w:p>
    <w:p w14:paraId="470E0381" w14:textId="0E389E90" w:rsidR="001A0B25" w:rsidRDefault="001A0B25" w:rsidP="00F44AF4">
      <w:pPr>
        <w:spacing w:line="360" w:lineRule="auto"/>
      </w:pPr>
      <w:r>
        <w:rPr>
          <w:b/>
          <w:bCs/>
        </w:rPr>
        <w:t xml:space="preserve">Table 2. </w:t>
      </w:r>
      <w:r>
        <w:t xml:space="preserve">Initial models that were specified based on the </w:t>
      </w:r>
      <w:r>
        <w:rPr>
          <w:i/>
          <w:iCs/>
        </w:rPr>
        <w:t xml:space="preserve">a priori </w:t>
      </w:r>
      <w:r>
        <w:t xml:space="preserve">hypothesized links </w:t>
      </w:r>
      <w:r w:rsidR="00D2614F">
        <w:t>describing the causative relationships between observed variables.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2262"/>
        <w:gridCol w:w="3265"/>
        <w:gridCol w:w="2637"/>
      </w:tblGrid>
      <w:tr w:rsidR="00087F5D" w14:paraId="1EC72433" w14:textId="77777777" w:rsidTr="00087F5D">
        <w:tc>
          <w:tcPr>
            <w:tcW w:w="852" w:type="dxa"/>
            <w:tcBorders>
              <w:top w:val="single" w:sz="4" w:space="0" w:color="auto"/>
              <w:bottom w:val="single" w:sz="4" w:space="0" w:color="auto"/>
            </w:tcBorders>
          </w:tcPr>
          <w:p w14:paraId="7CE48077" w14:textId="5CC3D4EB" w:rsidR="00087F5D" w:rsidRPr="00087F5D" w:rsidRDefault="00087F5D" w:rsidP="00087F5D">
            <w:pPr>
              <w:pStyle w:val="Heading1"/>
              <w:spacing w:after="0"/>
              <w:outlineLvl w:val="0"/>
              <w:rPr>
                <w:bCs/>
              </w:rPr>
            </w:pPr>
            <w:r w:rsidRPr="00087F5D">
              <w:rPr>
                <w:bCs/>
              </w:rPr>
              <w:t xml:space="preserve">Model </w:t>
            </w:r>
          </w:p>
        </w:tc>
        <w:tc>
          <w:tcPr>
            <w:tcW w:w="2262" w:type="dxa"/>
            <w:tcBorders>
              <w:top w:val="single" w:sz="4" w:space="0" w:color="auto"/>
              <w:bottom w:val="single" w:sz="4" w:space="0" w:color="auto"/>
            </w:tcBorders>
          </w:tcPr>
          <w:p w14:paraId="652153C8" w14:textId="248836C5" w:rsidR="00087F5D" w:rsidRPr="00087F5D" w:rsidRDefault="00087F5D" w:rsidP="00087F5D">
            <w:pPr>
              <w:pStyle w:val="Heading1"/>
              <w:spacing w:after="0"/>
              <w:outlineLvl w:val="0"/>
              <w:rPr>
                <w:bCs/>
              </w:rPr>
            </w:pPr>
            <w:r w:rsidRPr="00087F5D">
              <w:rPr>
                <w:bCs/>
              </w:rPr>
              <w:t>Response variable</w:t>
            </w:r>
          </w:p>
        </w:tc>
        <w:tc>
          <w:tcPr>
            <w:tcW w:w="3265" w:type="dxa"/>
            <w:tcBorders>
              <w:top w:val="single" w:sz="4" w:space="0" w:color="auto"/>
              <w:bottom w:val="single" w:sz="4" w:space="0" w:color="auto"/>
            </w:tcBorders>
          </w:tcPr>
          <w:p w14:paraId="4A9817EA" w14:textId="17559645" w:rsidR="00087F5D" w:rsidRPr="00087F5D" w:rsidRDefault="00087F5D" w:rsidP="00087F5D">
            <w:pPr>
              <w:pStyle w:val="Heading1"/>
              <w:spacing w:after="0"/>
              <w:outlineLvl w:val="0"/>
              <w:rPr>
                <w:bCs/>
              </w:rPr>
            </w:pPr>
            <w:r w:rsidRPr="00087F5D">
              <w:rPr>
                <w:bCs/>
              </w:rPr>
              <w:t>Predictor variables</w:t>
            </w:r>
          </w:p>
        </w:tc>
        <w:tc>
          <w:tcPr>
            <w:tcW w:w="2637" w:type="dxa"/>
            <w:tcBorders>
              <w:top w:val="single" w:sz="4" w:space="0" w:color="auto"/>
              <w:bottom w:val="single" w:sz="4" w:space="0" w:color="auto"/>
            </w:tcBorders>
          </w:tcPr>
          <w:p w14:paraId="47DA5A4D" w14:textId="3CA41B99" w:rsidR="00087F5D" w:rsidRPr="00087F5D" w:rsidRDefault="00087F5D" w:rsidP="00087F5D">
            <w:pPr>
              <w:spacing w:after="0" w:line="360" w:lineRule="auto"/>
              <w:rPr>
                <w:b/>
                <w:bCs/>
              </w:rPr>
            </w:pPr>
            <w:r>
              <w:rPr>
                <w:b/>
                <w:bCs/>
              </w:rPr>
              <w:t>Statistical model form</w:t>
            </w:r>
          </w:p>
        </w:tc>
      </w:tr>
      <w:tr w:rsidR="00087F5D" w14:paraId="7FC2149A" w14:textId="77777777" w:rsidTr="00087F5D">
        <w:tc>
          <w:tcPr>
            <w:tcW w:w="852" w:type="dxa"/>
            <w:tcBorders>
              <w:top w:val="single" w:sz="4" w:space="0" w:color="auto"/>
            </w:tcBorders>
          </w:tcPr>
          <w:p w14:paraId="58C48567" w14:textId="21159510" w:rsidR="00087F5D" w:rsidRDefault="00087F5D" w:rsidP="00087F5D">
            <w:pPr>
              <w:spacing w:after="0" w:line="360" w:lineRule="auto"/>
            </w:pPr>
            <w:r>
              <w:t>(1)</w:t>
            </w:r>
          </w:p>
        </w:tc>
        <w:tc>
          <w:tcPr>
            <w:tcW w:w="2262" w:type="dxa"/>
            <w:tcBorders>
              <w:top w:val="single" w:sz="4" w:space="0" w:color="auto"/>
            </w:tcBorders>
          </w:tcPr>
          <w:p w14:paraId="063EA833" w14:textId="77FB9D7E" w:rsidR="00087F5D" w:rsidRDefault="00087F5D" w:rsidP="00087F5D">
            <w:pPr>
              <w:spacing w:after="0" w:line="360" w:lineRule="auto"/>
            </w:pPr>
            <w:proofErr w:type="spellStart"/>
            <w:r>
              <w:t>Inciseness</w:t>
            </w:r>
            <w:proofErr w:type="spellEnd"/>
          </w:p>
        </w:tc>
        <w:tc>
          <w:tcPr>
            <w:tcW w:w="3265" w:type="dxa"/>
            <w:tcBorders>
              <w:top w:val="single" w:sz="4" w:space="0" w:color="auto"/>
            </w:tcBorders>
          </w:tcPr>
          <w:p w14:paraId="2CC74F98" w14:textId="19205809" w:rsidR="00087F5D" w:rsidRDefault="00087F5D" w:rsidP="00087F5D">
            <w:pPr>
              <w:pStyle w:val="Heading3"/>
              <w:outlineLvl w:val="2"/>
            </w:pPr>
            <w:r>
              <w:t>Floodplain Area</w:t>
            </w:r>
          </w:p>
        </w:tc>
        <w:tc>
          <w:tcPr>
            <w:tcW w:w="2637" w:type="dxa"/>
            <w:tcBorders>
              <w:top w:val="single" w:sz="4" w:space="0" w:color="auto"/>
            </w:tcBorders>
          </w:tcPr>
          <w:p w14:paraId="7545545B" w14:textId="0D00E2CE" w:rsidR="00087F5D" w:rsidRDefault="00087F5D" w:rsidP="00087F5D">
            <w:pPr>
              <w:spacing w:after="0" w:line="360" w:lineRule="auto"/>
            </w:pPr>
            <w:r>
              <w:t>Linear regression</w:t>
            </w:r>
          </w:p>
        </w:tc>
      </w:tr>
      <w:tr w:rsidR="00087F5D" w14:paraId="10906D46" w14:textId="77777777" w:rsidTr="00087F5D">
        <w:tc>
          <w:tcPr>
            <w:tcW w:w="852" w:type="dxa"/>
          </w:tcPr>
          <w:p w14:paraId="539D475D" w14:textId="65068466" w:rsidR="00087F5D" w:rsidRDefault="00087F5D" w:rsidP="00087F5D">
            <w:pPr>
              <w:spacing w:after="0" w:line="360" w:lineRule="auto"/>
            </w:pPr>
            <w:r>
              <w:t>(2)</w:t>
            </w:r>
          </w:p>
        </w:tc>
        <w:tc>
          <w:tcPr>
            <w:tcW w:w="2262" w:type="dxa"/>
          </w:tcPr>
          <w:p w14:paraId="53C79885" w14:textId="0C990D56" w:rsidR="00087F5D" w:rsidRDefault="00087F5D" w:rsidP="00087F5D">
            <w:pPr>
              <w:spacing w:after="0" w:line="360" w:lineRule="auto"/>
            </w:pPr>
            <w:r>
              <w:t>Mean Annual Runoff</w:t>
            </w:r>
          </w:p>
        </w:tc>
        <w:tc>
          <w:tcPr>
            <w:tcW w:w="3265" w:type="dxa"/>
          </w:tcPr>
          <w:p w14:paraId="2B330913" w14:textId="49014C10" w:rsidR="00087F5D" w:rsidRDefault="00087F5D" w:rsidP="00087F5D">
            <w:pPr>
              <w:spacing w:after="0" w:line="360" w:lineRule="auto"/>
            </w:pPr>
            <w:r>
              <w:t>Mean Annual Precipitation</w:t>
            </w:r>
          </w:p>
        </w:tc>
        <w:tc>
          <w:tcPr>
            <w:tcW w:w="2637" w:type="dxa"/>
          </w:tcPr>
          <w:p w14:paraId="5FEFE0D0" w14:textId="44274823" w:rsidR="00087F5D" w:rsidRDefault="00087F5D" w:rsidP="00087F5D">
            <w:pPr>
              <w:spacing w:after="0" w:line="360" w:lineRule="auto"/>
            </w:pPr>
            <w:r>
              <w:t>Generalized least squares</w:t>
            </w:r>
          </w:p>
        </w:tc>
      </w:tr>
      <w:tr w:rsidR="00087F5D" w14:paraId="0274EA8A" w14:textId="77777777" w:rsidTr="00087F5D">
        <w:tc>
          <w:tcPr>
            <w:tcW w:w="852" w:type="dxa"/>
          </w:tcPr>
          <w:p w14:paraId="0FBCC484" w14:textId="2E5051C1" w:rsidR="00087F5D" w:rsidRDefault="00087F5D" w:rsidP="00087F5D">
            <w:pPr>
              <w:spacing w:after="0" w:line="360" w:lineRule="auto"/>
            </w:pPr>
            <w:r>
              <w:t>(3)</w:t>
            </w:r>
          </w:p>
        </w:tc>
        <w:tc>
          <w:tcPr>
            <w:tcW w:w="2262" w:type="dxa"/>
          </w:tcPr>
          <w:p w14:paraId="57CBA443" w14:textId="2FF6EEDD" w:rsidR="00087F5D" w:rsidRDefault="00087F5D" w:rsidP="00087F5D">
            <w:pPr>
              <w:spacing w:after="0" w:line="360" w:lineRule="auto"/>
            </w:pPr>
            <w:r>
              <w:t>Daily Flushing Rate</w:t>
            </w:r>
          </w:p>
        </w:tc>
        <w:tc>
          <w:tcPr>
            <w:tcW w:w="3265" w:type="dxa"/>
          </w:tcPr>
          <w:p w14:paraId="3A6993E7" w14:textId="52FCBEC3" w:rsidR="00087F5D" w:rsidRDefault="00087F5D" w:rsidP="00087F5D">
            <w:pPr>
              <w:spacing w:after="0" w:line="360" w:lineRule="auto"/>
            </w:pPr>
            <w:r>
              <w:t>Floodplain Area, Mean Annual Runoff</w:t>
            </w:r>
          </w:p>
        </w:tc>
        <w:tc>
          <w:tcPr>
            <w:tcW w:w="2637" w:type="dxa"/>
          </w:tcPr>
          <w:p w14:paraId="7F5BDE87" w14:textId="5B867648" w:rsidR="00087F5D" w:rsidRDefault="00087F5D" w:rsidP="00087F5D">
            <w:pPr>
              <w:spacing w:after="0" w:line="360" w:lineRule="auto"/>
            </w:pPr>
            <w:r>
              <w:t>Generalized least squares</w:t>
            </w:r>
          </w:p>
        </w:tc>
      </w:tr>
      <w:tr w:rsidR="00087F5D" w14:paraId="6766FC87" w14:textId="77777777" w:rsidTr="00087F5D">
        <w:tc>
          <w:tcPr>
            <w:tcW w:w="852" w:type="dxa"/>
          </w:tcPr>
          <w:p w14:paraId="5A566F99" w14:textId="015717B8" w:rsidR="00087F5D" w:rsidRDefault="00087F5D" w:rsidP="00087F5D">
            <w:pPr>
              <w:spacing w:after="0" w:line="360" w:lineRule="auto"/>
            </w:pPr>
            <w:r>
              <w:t>(4)</w:t>
            </w:r>
          </w:p>
        </w:tc>
        <w:tc>
          <w:tcPr>
            <w:tcW w:w="2262" w:type="dxa"/>
          </w:tcPr>
          <w:p w14:paraId="410414A7" w14:textId="3CE69984" w:rsidR="00087F5D" w:rsidRDefault="00087F5D" w:rsidP="00087F5D">
            <w:pPr>
              <w:spacing w:after="0" w:line="360" w:lineRule="auto"/>
            </w:pPr>
            <w:r>
              <w:t>Inlet Stability</w:t>
            </w:r>
          </w:p>
        </w:tc>
        <w:tc>
          <w:tcPr>
            <w:tcW w:w="3265" w:type="dxa"/>
          </w:tcPr>
          <w:p w14:paraId="549933DE" w14:textId="270CD68B" w:rsidR="00087F5D" w:rsidRDefault="00087F5D" w:rsidP="00087F5D">
            <w:pPr>
              <w:spacing w:after="0" w:line="360" w:lineRule="auto"/>
            </w:pPr>
            <w:r>
              <w:t xml:space="preserve">Daily Flushing Rate, </w:t>
            </w:r>
            <w:proofErr w:type="spellStart"/>
            <w:r>
              <w:t>Inceiseness</w:t>
            </w:r>
            <w:proofErr w:type="spellEnd"/>
            <w:r>
              <w:t xml:space="preserve">, </w:t>
            </w:r>
            <w:proofErr w:type="spellStart"/>
            <w:r>
              <w:t>Surfzone</w:t>
            </w:r>
            <w:proofErr w:type="spellEnd"/>
            <w:r>
              <w:t xml:space="preserve"> Width</w:t>
            </w:r>
          </w:p>
        </w:tc>
        <w:tc>
          <w:tcPr>
            <w:tcW w:w="2637" w:type="dxa"/>
          </w:tcPr>
          <w:p w14:paraId="1467A664" w14:textId="7F8DC5A0" w:rsidR="00087F5D" w:rsidRDefault="00087F5D" w:rsidP="00087F5D">
            <w:pPr>
              <w:spacing w:after="0" w:line="360" w:lineRule="auto"/>
            </w:pPr>
            <w:r>
              <w:t>Logistic regression (binomial)</w:t>
            </w:r>
          </w:p>
        </w:tc>
      </w:tr>
      <w:tr w:rsidR="00087F5D" w14:paraId="3B51C375" w14:textId="77777777" w:rsidTr="00087F5D">
        <w:tc>
          <w:tcPr>
            <w:tcW w:w="852" w:type="dxa"/>
            <w:tcBorders>
              <w:bottom w:val="single" w:sz="4" w:space="0" w:color="auto"/>
            </w:tcBorders>
          </w:tcPr>
          <w:p w14:paraId="74F2BBB4" w14:textId="358F79B0" w:rsidR="00087F5D" w:rsidRDefault="00087F5D" w:rsidP="00087F5D">
            <w:pPr>
              <w:spacing w:after="0" w:line="360" w:lineRule="auto"/>
            </w:pPr>
            <w:r>
              <w:t>(5)</w:t>
            </w:r>
          </w:p>
        </w:tc>
        <w:tc>
          <w:tcPr>
            <w:tcW w:w="2262" w:type="dxa"/>
            <w:tcBorders>
              <w:bottom w:val="single" w:sz="4" w:space="0" w:color="auto"/>
            </w:tcBorders>
          </w:tcPr>
          <w:p w14:paraId="1F17E17A" w14:textId="0A099AD5" w:rsidR="00087F5D" w:rsidRDefault="00087F5D" w:rsidP="00087F5D">
            <w:pPr>
              <w:spacing w:after="0" w:line="360" w:lineRule="auto"/>
            </w:pPr>
            <w:r>
              <w:t>Mangrove Area</w:t>
            </w:r>
          </w:p>
        </w:tc>
        <w:tc>
          <w:tcPr>
            <w:tcW w:w="3265" w:type="dxa"/>
            <w:tcBorders>
              <w:bottom w:val="single" w:sz="4" w:space="0" w:color="auto"/>
            </w:tcBorders>
          </w:tcPr>
          <w:p w14:paraId="7231CD2C" w14:textId="45300130" w:rsidR="00087F5D" w:rsidRDefault="00087F5D" w:rsidP="00371A01">
            <w:pPr>
              <w:spacing w:after="0" w:line="360" w:lineRule="auto"/>
            </w:pPr>
            <w:r>
              <w:t>Daily Flushing Rate, Floodplain Area, Inlet Stability, Temperature,</w:t>
            </w:r>
          </w:p>
        </w:tc>
        <w:tc>
          <w:tcPr>
            <w:tcW w:w="2637" w:type="dxa"/>
            <w:tcBorders>
              <w:bottom w:val="single" w:sz="4" w:space="0" w:color="auto"/>
            </w:tcBorders>
          </w:tcPr>
          <w:p w14:paraId="7B99189A" w14:textId="7CE3967D" w:rsidR="00087F5D" w:rsidRDefault="00087F5D" w:rsidP="00087F5D">
            <w:pPr>
              <w:spacing w:after="0" w:line="360" w:lineRule="auto"/>
            </w:pPr>
            <w:r>
              <w:t>Generalized least squares</w:t>
            </w:r>
          </w:p>
        </w:tc>
      </w:tr>
    </w:tbl>
    <w:p w14:paraId="3A13B896" w14:textId="77777777" w:rsidR="001A0B25" w:rsidRPr="001A0B25" w:rsidRDefault="001A0B25" w:rsidP="00F44AF4">
      <w:pPr>
        <w:spacing w:line="360" w:lineRule="auto"/>
      </w:pPr>
    </w:p>
    <w:p w14:paraId="48C95FD3" w14:textId="4A09E108" w:rsidR="00DC1CC0" w:rsidRDefault="00961DDA" w:rsidP="00F44AF4">
      <w:pPr>
        <w:spacing w:line="360" w:lineRule="auto"/>
      </w:pPr>
      <w:r>
        <w:t>Models with continuous response variables (</w:t>
      </w:r>
      <w:proofErr w:type="spellStart"/>
      <w:r>
        <w:t>Inciseness</w:t>
      </w:r>
      <w:proofErr w:type="spellEnd"/>
      <w:r>
        <w:t>, Mean Annual Runoff, Daily Flushing Rate, Mangrove Area)</w:t>
      </w:r>
      <w:r w:rsidR="006031BC">
        <w:t xml:space="preserve"> were f</w:t>
      </w:r>
      <w:r w:rsidR="00ED3FAB">
        <w:t>irst specified as linear regression</w:t>
      </w:r>
      <w:r w:rsidR="004E0E36">
        <w:t xml:space="preserve"> models</w:t>
      </w:r>
      <w:r w:rsidR="00ED3FAB">
        <w:t xml:space="preserve"> and model assumptions </w:t>
      </w:r>
      <w:r w:rsidR="00681DFB">
        <w:t xml:space="preserve">were </w:t>
      </w:r>
      <w:r w:rsidR="004E0E36">
        <w:t xml:space="preserve">verified </w:t>
      </w:r>
      <w:r w:rsidR="00ED3FAB">
        <w:t xml:space="preserve">graphically </w:t>
      </w:r>
      <w:r w:rsidR="00837FCD">
        <w:t xml:space="preserve">following </w:t>
      </w:r>
      <w:proofErr w:type="spellStart"/>
      <w:r w:rsidR="00837FCD">
        <w:t>Zuur</w:t>
      </w:r>
      <w:proofErr w:type="spellEnd"/>
      <w:r w:rsidR="00837FCD">
        <w:t xml:space="preserve"> et al. (2009) </w:t>
      </w:r>
      <w:r w:rsidR="00ED3FAB">
        <w:t>by assessing</w:t>
      </w:r>
      <w:r w:rsidR="00837FCD">
        <w:t xml:space="preserve"> (1)</w:t>
      </w:r>
      <w:r w:rsidR="00ED3FAB">
        <w:t xml:space="preserve"> the spread in a plot of the standardized residuals and the fitted values </w:t>
      </w:r>
      <w:r w:rsidR="00837FCD">
        <w:t>(homogeneity of variance); (2) the distribution of the standardized residuals in a frequency histogram (normality); (3) the relationship between the standardized residuals and each of the explanatory variables in the model (independence).</w:t>
      </w:r>
      <w:r w:rsidR="004E0E36">
        <w:t xml:space="preserve"> When there was evidence of </w:t>
      </w:r>
      <w:r w:rsidR="00C32217">
        <w:t xml:space="preserve">a </w:t>
      </w:r>
      <w:r w:rsidR="004E0E36">
        <w:t xml:space="preserve">violation of homogeneity of variances, the data </w:t>
      </w:r>
      <w:r w:rsidR="00DC1CC0">
        <w:t>were</w:t>
      </w:r>
      <w:r w:rsidR="004E0E36">
        <w:t xml:space="preserve"> analysed by incorporating a variance covariate structure and using a generalised least-squares (GLS) estimation procedure (following </w:t>
      </w:r>
      <w:proofErr w:type="spellStart"/>
      <w:r w:rsidR="004E0E36">
        <w:t>Zuur</w:t>
      </w:r>
      <w:proofErr w:type="spellEnd"/>
      <w:r w:rsidR="004E0E36">
        <w:t xml:space="preserve"> et al. 2009, </w:t>
      </w:r>
      <w:proofErr w:type="spellStart"/>
      <w:r w:rsidR="004E0E36">
        <w:t>Godbold</w:t>
      </w:r>
      <w:proofErr w:type="spellEnd"/>
      <w:r w:rsidR="004E0E36">
        <w:t xml:space="preserve"> &amp; </w:t>
      </w:r>
      <w:proofErr w:type="spellStart"/>
      <w:r w:rsidR="004E0E36">
        <w:t>Solan</w:t>
      </w:r>
      <w:proofErr w:type="spellEnd"/>
      <w:r w:rsidR="004E0E36">
        <w:t xml:space="preserve"> 2013) to allow </w:t>
      </w:r>
      <w:r w:rsidR="00C32217">
        <w:t xml:space="preserve">the </w:t>
      </w:r>
      <w:r w:rsidR="004E0E36">
        <w:t>residual spread to vary within individ</w:t>
      </w:r>
      <w:r w:rsidR="002D4C92">
        <w:t>ual explanatory variables</w:t>
      </w:r>
      <w:r w:rsidR="00FC15F5">
        <w:t>.</w:t>
      </w:r>
      <w:r w:rsidR="002D4C92">
        <w:t xml:space="preserve"> </w:t>
      </w:r>
      <w:r w:rsidR="004E0E36">
        <w:t xml:space="preserve">The optimal variance covariate structure was determined using </w:t>
      </w:r>
      <w:r w:rsidR="004E0E36">
        <w:lastRenderedPageBreak/>
        <w:t>restricted maximum-likelihood (REML) estimation; the initial linear regression model without a variance structure was compared with the equivalent GLS model incorporating specific variance structures using AIC (</w:t>
      </w:r>
      <w:proofErr w:type="spellStart"/>
      <w:r w:rsidR="004E0E36">
        <w:t>Aikaike</w:t>
      </w:r>
      <w:proofErr w:type="spellEnd"/>
      <w:r w:rsidR="004E0E36">
        <w:t xml:space="preserve"> Information criterion) and visualisation of model residuals. </w:t>
      </w:r>
      <w:r w:rsidR="00C32217">
        <w:t>The s</w:t>
      </w:r>
      <w:r w:rsidR="002D4C92">
        <w:t xml:space="preserve">ignificance of the </w:t>
      </w:r>
      <w:r w:rsidR="004E0E36">
        <w:t xml:space="preserve">fixed-effects structure </w:t>
      </w:r>
      <w:r w:rsidR="002D4C92">
        <w:t xml:space="preserve">in the GLS models was determined using maximum likelihood (ML) estimation and was </w:t>
      </w:r>
      <w:r w:rsidR="003F3112">
        <w:t xml:space="preserve">on </w:t>
      </w:r>
      <w:r w:rsidR="002D4C92">
        <w:t>based log likelihood</w:t>
      </w:r>
      <w:r w:rsidR="003F3112">
        <w:t xml:space="preserve"> ratios</w:t>
      </w:r>
      <w:r w:rsidR="002D4C92">
        <w:t>.</w:t>
      </w:r>
      <w:r w:rsidR="00A66A50">
        <w:t xml:space="preserve"> Non-significant terms were only retained in the model if they improved the model validation graphs (</w:t>
      </w:r>
      <w:proofErr w:type="spellStart"/>
      <w:r w:rsidR="00A66A50">
        <w:t>Zuur</w:t>
      </w:r>
      <w:proofErr w:type="spellEnd"/>
      <w:r w:rsidR="00A66A50">
        <w:t xml:space="preserve"> et al. 2009). </w:t>
      </w:r>
    </w:p>
    <w:p w14:paraId="162DD81C" w14:textId="15870070" w:rsidR="00961DDA" w:rsidRDefault="00961DDA" w:rsidP="00F44AF4">
      <w:pPr>
        <w:spacing w:line="360" w:lineRule="auto"/>
      </w:pPr>
      <w:r>
        <w:t xml:space="preserve">For the model defining </w:t>
      </w:r>
      <w:r w:rsidR="008D39D8">
        <w:t>Inlet Stability</w:t>
      </w:r>
      <w:r>
        <w:t xml:space="preserve">, logistic regression with a logit link was used as this response variable had a binary distribution. </w:t>
      </w:r>
      <w:r w:rsidR="00053FC7">
        <w:t xml:space="preserve">The </w:t>
      </w:r>
      <w:proofErr w:type="spellStart"/>
      <w:r w:rsidR="00053FC7">
        <w:t>Nagelkerke</w:t>
      </w:r>
      <w:proofErr w:type="spellEnd"/>
      <w:r w:rsidR="00053FC7">
        <w:t xml:space="preserve"> </w:t>
      </w:r>
      <w:r w:rsidR="00013625" w:rsidRPr="00013625">
        <w:rPr>
          <w:rFonts w:cs="Arial"/>
        </w:rPr>
        <w:t>(1991)</w:t>
      </w:r>
      <w:r w:rsidR="00053FC7">
        <w:t xml:space="preserve"> method was used to calculate R</w:t>
      </w:r>
      <w:r w:rsidR="00053FC7" w:rsidRPr="00053FC7">
        <w:rPr>
          <w:vertAlign w:val="superscript"/>
        </w:rPr>
        <w:t>2</w:t>
      </w:r>
      <w:r w:rsidR="00053FC7">
        <w:t xml:space="preserve"> for the generalized linear model.</w:t>
      </w:r>
      <w:r w:rsidR="00EF30D4">
        <w:t xml:space="preserve"> </w:t>
      </w:r>
      <w:r w:rsidR="002D4C92">
        <w:t>Assumptions were validated graphically</w:t>
      </w:r>
      <w:r w:rsidR="00EF30D4">
        <w:t xml:space="preserve"> using the standardized and deviance residuals (</w:t>
      </w:r>
      <w:proofErr w:type="spellStart"/>
      <w:r w:rsidR="00EF30D4">
        <w:t>Zuur</w:t>
      </w:r>
      <w:proofErr w:type="spellEnd"/>
      <w:r w:rsidR="00EF30D4">
        <w:t xml:space="preserve"> et al. 2009)</w:t>
      </w:r>
      <w:r w:rsidR="00832C5E">
        <w:t>.</w:t>
      </w:r>
      <w:r>
        <w:t xml:space="preserve"> </w:t>
      </w:r>
    </w:p>
    <w:p w14:paraId="77C85866" w14:textId="3B4C4EDD" w:rsidR="00961DDA" w:rsidRDefault="009B479A" w:rsidP="00F44AF4">
      <w:pPr>
        <w:spacing w:line="360" w:lineRule="auto"/>
      </w:pPr>
      <w:r>
        <w:t>The</w:t>
      </w:r>
      <w:r w:rsidR="00480C1C">
        <w:t xml:space="preserve"> </w:t>
      </w:r>
      <w:r w:rsidR="00382AE6">
        <w:t xml:space="preserve">significant </w:t>
      </w:r>
      <w:r w:rsidR="00480C1C">
        <w:t>models</w:t>
      </w:r>
      <w:r>
        <w:t xml:space="preserve"> </w:t>
      </w:r>
      <w:r w:rsidR="00961DDA">
        <w:t xml:space="preserve">specified </w:t>
      </w:r>
      <w:r w:rsidR="00480C1C">
        <w:t xml:space="preserve">for Daily Flushing Rate, Inlet Stability, and Mangrove Area </w:t>
      </w:r>
      <w:r w:rsidR="00961DDA">
        <w:t xml:space="preserve">were fit to </w:t>
      </w:r>
      <w:r w:rsidR="009E4AEA">
        <w:t xml:space="preserve">the </w:t>
      </w:r>
      <w:r w:rsidR="00961DDA">
        <w:t xml:space="preserve">SEM using the piecewise estimation method </w:t>
      </w:r>
      <w:r w:rsidR="00382AE6">
        <w:t>as it</w:t>
      </w:r>
      <w:r>
        <w:t xml:space="preserve"> allows for the implementation of non-normal distributions, random effects and different correlation structures using local estimation</w:t>
      </w:r>
      <w:r w:rsidR="00382AE6">
        <w:t xml:space="preserve"> (</w:t>
      </w:r>
      <w:proofErr w:type="spellStart"/>
      <w:r w:rsidR="00382AE6">
        <w:t>Lefcheck</w:t>
      </w:r>
      <w:proofErr w:type="spellEnd"/>
      <w:r w:rsidR="00382AE6">
        <w:t xml:space="preserve"> 2016</w:t>
      </w:r>
      <w:r w:rsidR="00274B63">
        <w:t xml:space="preserve">, </w:t>
      </w:r>
      <w:proofErr w:type="spellStart"/>
      <w:r w:rsidR="00274B63">
        <w:t>Andriuzzi</w:t>
      </w:r>
      <w:proofErr w:type="spellEnd"/>
      <w:r w:rsidR="00274B63">
        <w:t xml:space="preserve"> et al. 2018, </w:t>
      </w:r>
      <w:proofErr w:type="spellStart"/>
      <w:r w:rsidR="00274B63">
        <w:t>Campanati</w:t>
      </w:r>
      <w:proofErr w:type="spellEnd"/>
      <w:r w:rsidR="00274B63">
        <w:t xml:space="preserve"> et al. 2018</w:t>
      </w:r>
      <w:r w:rsidR="00382AE6">
        <w:t>)</w:t>
      </w:r>
      <w:r>
        <w:t xml:space="preserve">. </w:t>
      </w:r>
      <w:r w:rsidR="00961DDA">
        <w:t xml:space="preserve">The fit of the equations within the SEM was tested using Fishers goodness of fit and D-separation </w:t>
      </w:r>
      <w:r w:rsidR="00961DDA" w:rsidRPr="00961DDA">
        <w:rPr>
          <w:rFonts w:cs="Arial"/>
        </w:rPr>
        <w:t>(Shipley 2013)</w:t>
      </w:r>
      <w:r w:rsidR="00961DDA">
        <w:t>. This allowed for missing links in the specified models to be identified and added to the models accordingly. Variables were only added as predictors if the relationship with the response variable was ecologically sound. The statistical assumptions and fit based on AIC were re-assessed for any models to which predictor variables were added. The refined models were then returned to specify the SEM and the process was repeated until the Fisher</w:t>
      </w:r>
      <w:r w:rsidR="009E4AEA">
        <w:t>’</w:t>
      </w:r>
      <w:r w:rsidR="00961DDA">
        <w:t xml:space="preserve">s goodness of fit indicated </w:t>
      </w:r>
      <w:r w:rsidR="00961DDA">
        <w:rPr>
          <w:i/>
        </w:rPr>
        <w:t xml:space="preserve">p </w:t>
      </w:r>
      <w:r w:rsidR="00961DDA">
        <w:t>&gt; 0.05. A summary of all the models making up the final SEM, the R</w:t>
      </w:r>
      <w:r w:rsidR="00961DDA" w:rsidRPr="00961DDA">
        <w:rPr>
          <w:vertAlign w:val="superscript"/>
        </w:rPr>
        <w:t>2</w:t>
      </w:r>
      <w:r w:rsidR="00961DDA">
        <w:t xml:space="preserve"> values, and the coefficients was then generated</w:t>
      </w:r>
      <w:r w:rsidR="007D045D">
        <w:t xml:space="preserve"> and presented in a graphical form.</w:t>
      </w:r>
    </w:p>
    <w:p w14:paraId="69EC0960" w14:textId="202D1A0F" w:rsidR="00BE2658" w:rsidRDefault="00BE2658" w:rsidP="00F44AF4">
      <w:pPr>
        <w:spacing w:line="360" w:lineRule="auto"/>
      </w:pPr>
      <w:r>
        <w:t xml:space="preserve">The beta coefficients allow for an interpretation of the relationships between variables in terms of standard deviation units </w:t>
      </w:r>
      <w:r w:rsidRPr="00BE6B61">
        <w:rPr>
          <w:rFonts w:cs="Arial"/>
        </w:rPr>
        <w:t xml:space="preserve">(Grace &amp; </w:t>
      </w:r>
      <w:proofErr w:type="spellStart"/>
      <w:r w:rsidRPr="00BE6B61">
        <w:rPr>
          <w:rFonts w:cs="Arial"/>
        </w:rPr>
        <w:t>Bollen</w:t>
      </w:r>
      <w:proofErr w:type="spellEnd"/>
      <w:r w:rsidRPr="00BE6B61">
        <w:rPr>
          <w:rFonts w:cs="Arial"/>
        </w:rPr>
        <w:t xml:space="preserve"> 2005)</w:t>
      </w:r>
      <w:r>
        <w:t xml:space="preserve">. In the case of multiple predictors, the standardized coefficients reflect the effect of the variable as well as the variances and covariances of the other variables in the model </w:t>
      </w:r>
      <w:r w:rsidRPr="00DC421D">
        <w:rPr>
          <w:rFonts w:cs="Arial"/>
        </w:rPr>
        <w:t>(</w:t>
      </w:r>
      <w:proofErr w:type="spellStart"/>
      <w:r w:rsidRPr="00DC421D">
        <w:rPr>
          <w:rFonts w:cs="Arial"/>
        </w:rPr>
        <w:t>Pedhazur</w:t>
      </w:r>
      <w:proofErr w:type="spellEnd"/>
      <w:r w:rsidRPr="00DC421D">
        <w:rPr>
          <w:rFonts w:cs="Arial"/>
        </w:rPr>
        <w:t xml:space="preserve"> 1997)</w:t>
      </w:r>
      <w:r>
        <w:t xml:space="preserve">. However, standardizing the coefficients permits direct comparisons between the different models, regardless of the units in which the response variables are measured </w:t>
      </w:r>
      <w:r w:rsidRPr="00D759A6">
        <w:rPr>
          <w:rFonts w:cs="Arial"/>
        </w:rPr>
        <w:t xml:space="preserve">(Grace &amp; </w:t>
      </w:r>
      <w:proofErr w:type="spellStart"/>
      <w:r w:rsidRPr="00D759A6">
        <w:rPr>
          <w:rFonts w:cs="Arial"/>
        </w:rPr>
        <w:t>Bollen</w:t>
      </w:r>
      <w:proofErr w:type="spellEnd"/>
      <w:r w:rsidRPr="00D759A6">
        <w:rPr>
          <w:rFonts w:cs="Arial"/>
        </w:rPr>
        <w:t xml:space="preserve"> 2005)</w:t>
      </w:r>
      <w:r>
        <w:t>. The estimated coefficients are therefore displayed as path coefficients</w:t>
      </w:r>
      <w:r w:rsidR="009E4AEA">
        <w:t>,</w:t>
      </w:r>
      <w:r>
        <w:t xml:space="preserve"> and these indicate the difference in the predicted value of the response variable for each unit difference in the predictor variable when all other predictor variables remain constant </w:t>
      </w:r>
      <w:r w:rsidRPr="00991B71">
        <w:rPr>
          <w:rFonts w:cs="Arial"/>
        </w:rPr>
        <w:t xml:space="preserve">(Grace &amp; </w:t>
      </w:r>
      <w:proofErr w:type="spellStart"/>
      <w:r w:rsidRPr="00991B71">
        <w:rPr>
          <w:rFonts w:cs="Arial"/>
        </w:rPr>
        <w:t>Bollen</w:t>
      </w:r>
      <w:proofErr w:type="spellEnd"/>
      <w:r w:rsidRPr="00991B71">
        <w:rPr>
          <w:rFonts w:cs="Arial"/>
        </w:rPr>
        <w:t xml:space="preserve"> 2005)</w:t>
      </w:r>
      <w:r>
        <w:t xml:space="preserve">. </w:t>
      </w:r>
    </w:p>
    <w:p w14:paraId="4E364F49" w14:textId="19337111" w:rsidR="0021084F" w:rsidRDefault="007D045D" w:rsidP="009402F0">
      <w:pPr>
        <w:spacing w:line="360" w:lineRule="auto"/>
      </w:pPr>
      <w:r>
        <w:t xml:space="preserve">All statistical analyses were performed using R version 3.5.1 </w:t>
      </w:r>
      <w:r w:rsidR="003D57DC" w:rsidRPr="003D57DC">
        <w:rPr>
          <w:rFonts w:cs="Arial"/>
        </w:rPr>
        <w:t>(R Core Team 2018</w:t>
      </w:r>
      <w:r w:rsidR="003D57DE">
        <w:rPr>
          <w:rFonts w:cs="Arial"/>
        </w:rPr>
        <w:t>)</w:t>
      </w:r>
      <w:r>
        <w:t>. The SEM was performed using the package “</w:t>
      </w:r>
      <w:proofErr w:type="spellStart"/>
      <w:r>
        <w:t>piecewiseSEM</w:t>
      </w:r>
      <w:proofErr w:type="spellEnd"/>
      <w:r>
        <w:t>” (</w:t>
      </w:r>
      <w:proofErr w:type="spellStart"/>
      <w:r>
        <w:t>Lefcheck</w:t>
      </w:r>
      <w:proofErr w:type="spellEnd"/>
      <w:r>
        <w:t xml:space="preserve"> 2016). The “faraway” package </w:t>
      </w:r>
      <w:r w:rsidR="003B2244" w:rsidRPr="003B2244">
        <w:rPr>
          <w:rFonts w:cs="Arial"/>
        </w:rPr>
        <w:lastRenderedPageBreak/>
        <w:t>(Faraway 2016)</w:t>
      </w:r>
      <w:r>
        <w:t xml:space="preserve"> was used to test for dispersion in the logistic regression model. The “</w:t>
      </w:r>
      <w:proofErr w:type="spellStart"/>
      <w:r>
        <w:t>nlme</w:t>
      </w:r>
      <w:proofErr w:type="spellEnd"/>
      <w:r>
        <w:t xml:space="preserve">” package </w:t>
      </w:r>
      <w:r w:rsidR="003B2244" w:rsidRPr="003B2244">
        <w:rPr>
          <w:rFonts w:cs="Arial"/>
        </w:rPr>
        <w:t>(Pinheiro et al. 2018)</w:t>
      </w:r>
      <w:r>
        <w:t xml:space="preserve"> was used to specify generalized least squares models.</w:t>
      </w:r>
      <w:r w:rsidR="0021084F">
        <w:t xml:space="preserve"> </w:t>
      </w:r>
    </w:p>
    <w:p w14:paraId="559AEB25" w14:textId="47945639" w:rsidR="00961DDA" w:rsidRDefault="000A77C1" w:rsidP="00F44AF4">
      <w:pPr>
        <w:pStyle w:val="Heading1"/>
      </w:pPr>
      <w:r>
        <w:t xml:space="preserve">3 </w:t>
      </w:r>
      <w:r w:rsidR="00B55DB3">
        <w:t>Results</w:t>
      </w:r>
    </w:p>
    <w:p w14:paraId="2D1D1242" w14:textId="30FE1EB9" w:rsidR="0089023E" w:rsidRDefault="00F55CB8" w:rsidP="00160884">
      <w:pPr>
        <w:spacing w:after="160" w:line="360" w:lineRule="auto"/>
      </w:pPr>
      <w:r>
        <w:t xml:space="preserve">The models defining </w:t>
      </w:r>
      <w:proofErr w:type="spellStart"/>
      <w:r>
        <w:t>Inciseness</w:t>
      </w:r>
      <w:proofErr w:type="spellEnd"/>
      <w:r>
        <w:t xml:space="preserve"> and Mean Annual Runoff were </w:t>
      </w:r>
      <w:r w:rsidR="00BE2658">
        <w:t>insignificant and</w:t>
      </w:r>
      <w:r w:rsidR="00DD47A6">
        <w:t>,</w:t>
      </w:r>
      <w:r w:rsidR="00BE2658">
        <w:t xml:space="preserve"> therefore</w:t>
      </w:r>
      <w:r w:rsidR="00DD47A6">
        <w:t>, were</w:t>
      </w:r>
      <w:r w:rsidR="00BE2658">
        <w:t xml:space="preserve"> </w:t>
      </w:r>
      <w:r>
        <w:t>not included in the SEM analysis</w:t>
      </w:r>
      <w:r w:rsidR="00BE2658">
        <w:t>.</w:t>
      </w:r>
      <w:r>
        <w:t xml:space="preserve"> </w:t>
      </w:r>
      <w:r w:rsidR="00BE2658">
        <w:t>For</w:t>
      </w:r>
      <w:r w:rsidR="00DC63D8">
        <w:t xml:space="preserve"> the remaining three models</w:t>
      </w:r>
      <w:r w:rsidR="00DD47A6">
        <w:t>,</w:t>
      </w:r>
      <w:r w:rsidR="00DC63D8">
        <w:t xml:space="preserve"> the </w:t>
      </w:r>
      <w:r w:rsidR="006D0AE7">
        <w:t xml:space="preserve">coefficients indicate the significance of the individual structural paths in the SEM (Table </w:t>
      </w:r>
      <w:r w:rsidR="00DC63D8">
        <w:t>3</w:t>
      </w:r>
      <w:r w:rsidR="006D0AE7">
        <w:t xml:space="preserve">). </w:t>
      </w:r>
    </w:p>
    <w:p w14:paraId="4F43D186" w14:textId="2CB19D51" w:rsidR="005B383C" w:rsidRDefault="00160884" w:rsidP="004342AD">
      <w:pPr>
        <w:spacing w:after="160" w:line="360" w:lineRule="auto"/>
      </w:pPr>
      <w:r>
        <w:t>Significant coefficients (</w:t>
      </w:r>
      <w:r>
        <w:rPr>
          <w:i/>
        </w:rPr>
        <w:t>p</w:t>
      </w:r>
      <w:r>
        <w:t xml:space="preserve"> &lt; 0.05) were found for the models defining Daily Flushing Rate, and Mangrove Area (Table </w:t>
      </w:r>
      <w:r w:rsidR="004342AD">
        <w:t>3</w:t>
      </w:r>
      <w:r>
        <w:t>, Figure 3)</w:t>
      </w:r>
      <w:r w:rsidR="00BA3FB3">
        <w:t xml:space="preserve">. </w:t>
      </w:r>
      <w:r w:rsidR="00BE2658">
        <w:t xml:space="preserve">The results show that </w:t>
      </w:r>
      <w:r w:rsidR="005B383C">
        <w:t>Floodplain Area and Mangrove Area are closely related</w:t>
      </w:r>
      <w:r w:rsidR="00DD47A6">
        <w:t>.</w:t>
      </w:r>
      <w:r w:rsidR="005B383C">
        <w:t xml:space="preserve"> </w:t>
      </w:r>
      <w:r w:rsidR="00DD47A6">
        <w:t>I</w:t>
      </w:r>
      <w:r w:rsidR="005B383C">
        <w:t>f there is a 1-unit standard deviation change in Floodplain Area</w:t>
      </w:r>
      <w:r w:rsidR="00DD47A6">
        <w:t>,</w:t>
      </w:r>
      <w:r w:rsidR="005B383C">
        <w:t xml:space="preserve"> it is predicted that there will be </w:t>
      </w:r>
      <w:r w:rsidR="00DD47A6">
        <w:t xml:space="preserve">a </w:t>
      </w:r>
      <w:r w:rsidR="005B383C">
        <w:t>change in</w:t>
      </w:r>
      <w:r w:rsidR="008A68B2">
        <w:t xml:space="preserve"> 0.890 standard deviation units for Mangrove Area. A similar relationship occurs for Mean Annual Runoff as a predictor of Daily Flushing Rate. The magnitude of the beta coefficients w</w:t>
      </w:r>
      <w:r w:rsidR="009237F8">
        <w:t>as</w:t>
      </w:r>
      <w:r w:rsidR="008A68B2">
        <w:t xml:space="preserve"> used to scale the links between predictor and response variables in the final SEM (Figure 3).</w:t>
      </w:r>
    </w:p>
    <w:p w14:paraId="7A2BD428" w14:textId="5E91C9A4" w:rsidR="00B13D77" w:rsidRDefault="00F44AF4" w:rsidP="004863F5">
      <w:pPr>
        <w:spacing w:after="160" w:line="360" w:lineRule="auto"/>
      </w:pPr>
      <w:r>
        <w:t xml:space="preserve">The graphical representation of the final SEM (Figure 3) shows the relationships between all variables defined in the models. </w:t>
      </w:r>
      <w:r w:rsidR="00634C32">
        <w:t>For t</w:t>
      </w:r>
      <w:r w:rsidR="005D0159">
        <w:t>he model defining Mangrove Area</w:t>
      </w:r>
      <w:r w:rsidR="00634C32">
        <w:t xml:space="preserve"> </w:t>
      </w:r>
      <w:r w:rsidR="005D0159">
        <w:t>(R</w:t>
      </w:r>
      <w:r w:rsidR="005D0159" w:rsidRPr="005D0159">
        <w:rPr>
          <w:vertAlign w:val="superscript"/>
        </w:rPr>
        <w:t>2</w:t>
      </w:r>
      <w:r w:rsidR="005D0159">
        <w:t xml:space="preserve"> = 0.5</w:t>
      </w:r>
      <w:r w:rsidR="00CB08EE">
        <w:t>7</w:t>
      </w:r>
      <w:r w:rsidR="005D0159">
        <w:t>)</w:t>
      </w:r>
      <w:r w:rsidR="00634C32">
        <w:t>,</w:t>
      </w:r>
      <w:r w:rsidR="005D0159">
        <w:t xml:space="preserve"> </w:t>
      </w:r>
      <w:r w:rsidR="006A0546">
        <w:t xml:space="preserve">Floodplain Area, </w:t>
      </w:r>
      <w:r w:rsidR="008D39D8">
        <w:t>Inlet Stability</w:t>
      </w:r>
      <w:r w:rsidR="006A0546">
        <w:t>, Daily Flushing Rate and Mean Annual Runoff were all found to be significant predictors</w:t>
      </w:r>
      <w:r w:rsidR="00A44B4B">
        <w:t xml:space="preserve"> (</w:t>
      </w:r>
      <w:r w:rsidR="00A44B4B">
        <w:rPr>
          <w:i/>
        </w:rPr>
        <w:t>p</w:t>
      </w:r>
      <w:r w:rsidR="00A44B4B">
        <w:t xml:space="preserve"> &lt; 0.05)</w:t>
      </w:r>
      <w:r w:rsidR="006A0546">
        <w:t xml:space="preserve"> </w:t>
      </w:r>
      <w:r w:rsidR="00BE6B61">
        <w:t xml:space="preserve">(Table </w:t>
      </w:r>
      <w:r w:rsidR="00160884">
        <w:t>3</w:t>
      </w:r>
      <w:r w:rsidR="00BE6B61">
        <w:t>, Figure 3</w:t>
      </w:r>
      <w:r w:rsidR="005317A4">
        <w:t>, Table S4</w:t>
      </w:r>
      <w:r w:rsidR="00BE6B61">
        <w:t xml:space="preserve">). </w:t>
      </w:r>
      <w:r w:rsidR="00CC32F5">
        <w:t xml:space="preserve">The model predicted that larger Floodplain Area and higher Mean Annual Runoff </w:t>
      </w:r>
      <w:r w:rsidR="004342AD">
        <w:t xml:space="preserve">would </w:t>
      </w:r>
      <w:r w:rsidR="00CC32F5">
        <w:t xml:space="preserve">increase Mangrove Area, while an increase in Daily Flushing Rate is associated with a decrease in Mangrove Area. </w:t>
      </w:r>
      <w:r w:rsidR="00C7405A">
        <w:t>A 1 ha increase in Floodplain Area is predicted to increase Mangrove Area by 0.0154 ha, while an increase in Mean Annual Runoff of 1 m</w:t>
      </w:r>
      <w:r w:rsidR="00C7405A" w:rsidRPr="00C7405A">
        <w:rPr>
          <w:vertAlign w:val="superscript"/>
        </w:rPr>
        <w:t>3</w:t>
      </w:r>
      <w:r w:rsidR="00C7405A">
        <w:t xml:space="preserve"> x 10</w:t>
      </w:r>
      <w:r w:rsidR="00C7405A" w:rsidRPr="00C7405A">
        <w:rPr>
          <w:vertAlign w:val="superscript"/>
        </w:rPr>
        <w:t>6</w:t>
      </w:r>
      <w:r w:rsidR="00C7405A">
        <w:t xml:space="preserve"> is predicted to only increase Mangrove Area by 0.00091 ha. In contrast, an increase of Daily Flushing Rate of 1 m</w:t>
      </w:r>
      <w:r w:rsidR="00C7405A" w:rsidRPr="00C7405A">
        <w:rPr>
          <w:vertAlign w:val="superscript"/>
        </w:rPr>
        <w:t>3</w:t>
      </w:r>
      <w:r w:rsidR="00C7405A">
        <w:t xml:space="preserve"> x 10</w:t>
      </w:r>
      <w:r w:rsidR="00C7405A" w:rsidRPr="00C7405A">
        <w:rPr>
          <w:vertAlign w:val="superscript"/>
        </w:rPr>
        <w:t>6</w:t>
      </w:r>
      <w:r w:rsidR="00C7405A">
        <w:t xml:space="preserve">/d is predicted to decrease Mangrove Area by 6.407 ha. Additionally, if </w:t>
      </w:r>
      <w:r w:rsidR="008D39D8">
        <w:t>Inlet Stability</w:t>
      </w:r>
      <w:r w:rsidR="00C7405A">
        <w:t xml:space="preserve"> changes </w:t>
      </w:r>
      <w:r w:rsidR="005D0159">
        <w:t xml:space="preserve">so that there is no longer a </w:t>
      </w:r>
      <w:r w:rsidR="00C7405A">
        <w:t>permanent</w:t>
      </w:r>
      <w:r w:rsidR="005D0159">
        <w:t xml:space="preserve"> connection to the ocean</w:t>
      </w:r>
      <w:r w:rsidR="00C7405A">
        <w:t xml:space="preserve">, Mangrove Area is predicted to decrease by </w:t>
      </w:r>
      <w:r w:rsidR="00C7405A" w:rsidRPr="00983C0E">
        <w:t>5.350 ha</w:t>
      </w:r>
      <w:r w:rsidR="00C7405A">
        <w:t xml:space="preserve">. </w:t>
      </w:r>
    </w:p>
    <w:p w14:paraId="21D551CF" w14:textId="7DF89FF9" w:rsidR="00B13D77" w:rsidRDefault="00B13D77" w:rsidP="00F44AF4">
      <w:pPr>
        <w:spacing w:line="360" w:lineRule="auto"/>
        <w:sectPr w:rsidR="00B13D77" w:rsidSect="00E62D35">
          <w:pgSz w:w="11906" w:h="16838"/>
          <w:pgMar w:top="1440" w:right="1440" w:bottom="1440" w:left="1440" w:header="708" w:footer="708" w:gutter="0"/>
          <w:lnNumType w:countBy="1" w:restart="continuous"/>
          <w:cols w:space="708"/>
          <w:docGrid w:linePitch="360"/>
        </w:sectPr>
      </w:pPr>
    </w:p>
    <w:p w14:paraId="263E5795" w14:textId="6E71DD22" w:rsidR="007F2232" w:rsidRPr="007F2232" w:rsidRDefault="007F2232" w:rsidP="00F44AF4">
      <w:pPr>
        <w:spacing w:line="360" w:lineRule="auto"/>
      </w:pPr>
      <w:r>
        <w:rPr>
          <w:b/>
        </w:rPr>
        <w:lastRenderedPageBreak/>
        <w:t xml:space="preserve">Table </w:t>
      </w:r>
      <w:r w:rsidR="00C67603">
        <w:rPr>
          <w:b/>
        </w:rPr>
        <w:t>3</w:t>
      </w:r>
      <w:r>
        <w:rPr>
          <w:b/>
        </w:rPr>
        <w:t xml:space="preserve">. </w:t>
      </w:r>
      <w:r>
        <w:t xml:space="preserve">Summary of the </w:t>
      </w:r>
      <w:r w:rsidR="00C67603">
        <w:t xml:space="preserve">coefficients derived from </w:t>
      </w:r>
      <w:r>
        <w:t xml:space="preserve">statistical models </w:t>
      </w:r>
      <w:r w:rsidR="00A034BF">
        <w:t>defined for climatic and geomorphological drivers of mangrove biogeographic patterns along the South African coastline. Significant (</w:t>
      </w:r>
      <w:r w:rsidR="00A034BF">
        <w:rPr>
          <w:i/>
        </w:rPr>
        <w:t xml:space="preserve">p </w:t>
      </w:r>
      <w:r w:rsidR="00A034BF">
        <w:t>&lt; 0.05) coefficients are indicated by asterisks. Daggers indicate range standardization of the beta coefficients for categorical predictors. Only models with suitable fit were used in the final Structural Equation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1843"/>
        <w:gridCol w:w="1843"/>
        <w:gridCol w:w="1134"/>
        <w:gridCol w:w="1275"/>
        <w:gridCol w:w="1134"/>
        <w:gridCol w:w="2051"/>
      </w:tblGrid>
      <w:tr w:rsidR="0034553E" w14:paraId="192F0530" w14:textId="77777777" w:rsidTr="00130F7F">
        <w:tc>
          <w:tcPr>
            <w:tcW w:w="13958" w:type="dxa"/>
            <w:gridSpan w:val="8"/>
            <w:tcBorders>
              <w:top w:val="single" w:sz="4" w:space="0" w:color="auto"/>
              <w:bottom w:val="single" w:sz="4" w:space="0" w:color="auto"/>
            </w:tcBorders>
            <w:vAlign w:val="bottom"/>
          </w:tcPr>
          <w:p w14:paraId="100B364E" w14:textId="658D9384" w:rsidR="0034553E" w:rsidRPr="00130F7F" w:rsidRDefault="0034553E" w:rsidP="00130F7F">
            <w:pPr>
              <w:pStyle w:val="Heading1"/>
              <w:spacing w:line="276" w:lineRule="auto"/>
              <w:outlineLvl w:val="0"/>
            </w:pPr>
            <w:bookmarkStart w:id="1" w:name="_Hlk534705107"/>
            <w:r w:rsidRPr="00130F7F">
              <w:t xml:space="preserve">Model 1: </w:t>
            </w:r>
            <w:proofErr w:type="spellStart"/>
            <w:r w:rsidRPr="00130F7F">
              <w:t>Inciseness</w:t>
            </w:r>
            <w:proofErr w:type="spellEnd"/>
            <w:r w:rsidR="005734B8">
              <w:t xml:space="preserve"> </w:t>
            </w:r>
            <w:r w:rsidR="00460D25">
              <w:t>(R</w:t>
            </w:r>
            <w:r w:rsidR="00460D25" w:rsidRPr="00230DD2">
              <w:rPr>
                <w:vertAlign w:val="superscript"/>
              </w:rPr>
              <w:t>2</w:t>
            </w:r>
            <w:r w:rsidR="00460D25">
              <w:t xml:space="preserve"> </w:t>
            </w:r>
            <w:r w:rsidR="00587A30">
              <w:t>&lt; 0.01)</w:t>
            </w:r>
          </w:p>
        </w:tc>
      </w:tr>
      <w:tr w:rsidR="00130F7F" w14:paraId="07CC8CE2" w14:textId="77777777" w:rsidTr="003E7DD9">
        <w:tc>
          <w:tcPr>
            <w:tcW w:w="2268" w:type="dxa"/>
            <w:tcBorders>
              <w:top w:val="single" w:sz="4" w:space="0" w:color="auto"/>
              <w:bottom w:val="single" w:sz="4" w:space="0" w:color="auto"/>
            </w:tcBorders>
          </w:tcPr>
          <w:p w14:paraId="3BE6B46A" w14:textId="21D68BAB" w:rsidR="0034553E" w:rsidRPr="00130F7F" w:rsidRDefault="0034553E" w:rsidP="00B55DB3">
            <w:pPr>
              <w:rPr>
                <w:b/>
              </w:rPr>
            </w:pPr>
            <w:r w:rsidRPr="00130F7F">
              <w:rPr>
                <w:b/>
              </w:rPr>
              <w:t>Predictor variable</w:t>
            </w:r>
          </w:p>
        </w:tc>
        <w:tc>
          <w:tcPr>
            <w:tcW w:w="2410" w:type="dxa"/>
            <w:tcBorders>
              <w:top w:val="single" w:sz="4" w:space="0" w:color="auto"/>
              <w:bottom w:val="single" w:sz="4" w:space="0" w:color="auto"/>
            </w:tcBorders>
          </w:tcPr>
          <w:p w14:paraId="33AB0B8F" w14:textId="7FEC285C" w:rsidR="0034553E" w:rsidRPr="00130F7F" w:rsidRDefault="0034553E" w:rsidP="00B55DB3">
            <w:pPr>
              <w:rPr>
                <w:b/>
              </w:rPr>
            </w:pPr>
            <w:r w:rsidRPr="00130F7F">
              <w:rPr>
                <w:b/>
              </w:rPr>
              <w:t>Variance structure</w:t>
            </w:r>
          </w:p>
        </w:tc>
        <w:tc>
          <w:tcPr>
            <w:tcW w:w="1843" w:type="dxa"/>
            <w:tcBorders>
              <w:top w:val="single" w:sz="4" w:space="0" w:color="auto"/>
              <w:bottom w:val="single" w:sz="4" w:space="0" w:color="auto"/>
            </w:tcBorders>
          </w:tcPr>
          <w:p w14:paraId="1CA42645" w14:textId="4B7DC994" w:rsidR="0034553E" w:rsidRPr="00130F7F" w:rsidRDefault="0034553E" w:rsidP="00B55DB3">
            <w:pPr>
              <w:rPr>
                <w:b/>
              </w:rPr>
            </w:pPr>
            <w:r w:rsidRPr="00130F7F">
              <w:rPr>
                <w:b/>
              </w:rPr>
              <w:t>Coefficient</w:t>
            </w:r>
          </w:p>
        </w:tc>
        <w:tc>
          <w:tcPr>
            <w:tcW w:w="1843" w:type="dxa"/>
            <w:tcBorders>
              <w:top w:val="single" w:sz="4" w:space="0" w:color="auto"/>
              <w:bottom w:val="single" w:sz="4" w:space="0" w:color="auto"/>
            </w:tcBorders>
          </w:tcPr>
          <w:p w14:paraId="605CDDC9" w14:textId="35A3A8FA" w:rsidR="0034553E" w:rsidRPr="00130F7F" w:rsidRDefault="0034553E" w:rsidP="00B55DB3">
            <w:pPr>
              <w:rPr>
                <w:b/>
              </w:rPr>
            </w:pPr>
            <w:r w:rsidRPr="00130F7F">
              <w:rPr>
                <w:b/>
              </w:rPr>
              <w:t>Std Error</w:t>
            </w:r>
          </w:p>
        </w:tc>
        <w:tc>
          <w:tcPr>
            <w:tcW w:w="1134" w:type="dxa"/>
            <w:tcBorders>
              <w:top w:val="single" w:sz="4" w:space="0" w:color="auto"/>
              <w:bottom w:val="single" w:sz="4" w:space="0" w:color="auto"/>
            </w:tcBorders>
          </w:tcPr>
          <w:p w14:paraId="65B5551D" w14:textId="5540A923" w:rsidR="0034553E" w:rsidRPr="00130F7F" w:rsidRDefault="0034553E" w:rsidP="00B55DB3">
            <w:pPr>
              <w:rPr>
                <w:b/>
              </w:rPr>
            </w:pPr>
            <w:r w:rsidRPr="00130F7F">
              <w:rPr>
                <w:b/>
              </w:rPr>
              <w:t>df</w:t>
            </w:r>
          </w:p>
        </w:tc>
        <w:tc>
          <w:tcPr>
            <w:tcW w:w="1275" w:type="dxa"/>
            <w:tcBorders>
              <w:top w:val="single" w:sz="4" w:space="0" w:color="auto"/>
              <w:bottom w:val="single" w:sz="4" w:space="0" w:color="auto"/>
            </w:tcBorders>
          </w:tcPr>
          <w:p w14:paraId="788F255B" w14:textId="421BC3C8" w:rsidR="0034553E" w:rsidRPr="00130F7F" w:rsidRDefault="0034553E" w:rsidP="00B55DB3">
            <w:pPr>
              <w:rPr>
                <w:b/>
                <w:i/>
              </w:rPr>
            </w:pPr>
            <w:r w:rsidRPr="00130F7F">
              <w:rPr>
                <w:b/>
                <w:i/>
              </w:rPr>
              <w:t>t</w:t>
            </w:r>
          </w:p>
        </w:tc>
        <w:tc>
          <w:tcPr>
            <w:tcW w:w="1134" w:type="dxa"/>
            <w:tcBorders>
              <w:top w:val="single" w:sz="4" w:space="0" w:color="auto"/>
              <w:bottom w:val="single" w:sz="4" w:space="0" w:color="auto"/>
            </w:tcBorders>
          </w:tcPr>
          <w:p w14:paraId="2698FC83" w14:textId="3E32B82F" w:rsidR="0034553E" w:rsidRPr="00130F7F" w:rsidRDefault="0034553E" w:rsidP="00B55DB3">
            <w:pPr>
              <w:rPr>
                <w:b/>
                <w:i/>
              </w:rPr>
            </w:pPr>
            <w:r w:rsidRPr="00130F7F">
              <w:rPr>
                <w:b/>
                <w:i/>
              </w:rPr>
              <w:t>p</w:t>
            </w:r>
          </w:p>
        </w:tc>
        <w:tc>
          <w:tcPr>
            <w:tcW w:w="2051" w:type="dxa"/>
            <w:tcBorders>
              <w:top w:val="single" w:sz="4" w:space="0" w:color="auto"/>
              <w:bottom w:val="single" w:sz="4" w:space="0" w:color="auto"/>
            </w:tcBorders>
          </w:tcPr>
          <w:p w14:paraId="561BE928" w14:textId="536D9335" w:rsidR="0034553E" w:rsidRPr="00130F7F" w:rsidRDefault="0034553E" w:rsidP="00B55DB3">
            <w:pPr>
              <w:rPr>
                <w:b/>
              </w:rPr>
            </w:pPr>
            <w:r w:rsidRPr="00130F7F">
              <w:rPr>
                <w:b/>
              </w:rPr>
              <w:t>Beta coefficient</w:t>
            </w:r>
          </w:p>
        </w:tc>
      </w:tr>
      <w:tr w:rsidR="00130F7F" w14:paraId="55644FB8" w14:textId="77777777" w:rsidTr="003E7DD9">
        <w:tc>
          <w:tcPr>
            <w:tcW w:w="2268" w:type="dxa"/>
            <w:tcBorders>
              <w:top w:val="single" w:sz="4" w:space="0" w:color="auto"/>
              <w:bottom w:val="single" w:sz="4" w:space="0" w:color="auto"/>
            </w:tcBorders>
          </w:tcPr>
          <w:p w14:paraId="0B332F59" w14:textId="74CD2761" w:rsidR="0034553E" w:rsidRDefault="0034553E" w:rsidP="00B55DB3">
            <w:r>
              <w:t>Floodplain Area</w:t>
            </w:r>
          </w:p>
        </w:tc>
        <w:tc>
          <w:tcPr>
            <w:tcW w:w="2410" w:type="dxa"/>
            <w:tcBorders>
              <w:top w:val="single" w:sz="4" w:space="0" w:color="auto"/>
              <w:bottom w:val="single" w:sz="4" w:space="0" w:color="auto"/>
            </w:tcBorders>
          </w:tcPr>
          <w:p w14:paraId="163B171B" w14:textId="44DBCD4D" w:rsidR="0034553E" w:rsidRDefault="0034553E" w:rsidP="00B55DB3">
            <w:r>
              <w:t>N/A</w:t>
            </w:r>
          </w:p>
        </w:tc>
        <w:tc>
          <w:tcPr>
            <w:tcW w:w="1843" w:type="dxa"/>
            <w:tcBorders>
              <w:top w:val="single" w:sz="4" w:space="0" w:color="auto"/>
              <w:bottom w:val="single" w:sz="4" w:space="0" w:color="auto"/>
            </w:tcBorders>
          </w:tcPr>
          <w:p w14:paraId="45AC2054" w14:textId="3AA4E013" w:rsidR="0034553E" w:rsidRDefault="0034553E" w:rsidP="00B55DB3">
            <w:r>
              <w:t>- 2.28 x 10</w:t>
            </w:r>
            <w:r w:rsidRPr="0034553E">
              <w:rPr>
                <w:vertAlign w:val="superscript"/>
              </w:rPr>
              <w:t>-6</w:t>
            </w:r>
          </w:p>
        </w:tc>
        <w:tc>
          <w:tcPr>
            <w:tcW w:w="1843" w:type="dxa"/>
            <w:tcBorders>
              <w:top w:val="single" w:sz="4" w:space="0" w:color="auto"/>
              <w:bottom w:val="single" w:sz="4" w:space="0" w:color="auto"/>
            </w:tcBorders>
          </w:tcPr>
          <w:p w14:paraId="77611CCA" w14:textId="0DD216F6" w:rsidR="0034553E" w:rsidRDefault="0034553E" w:rsidP="00B55DB3">
            <w:r>
              <w:t>1.58 x 10</w:t>
            </w:r>
            <w:r w:rsidRPr="0034553E">
              <w:rPr>
                <w:vertAlign w:val="superscript"/>
              </w:rPr>
              <w:t>-5</w:t>
            </w:r>
          </w:p>
        </w:tc>
        <w:tc>
          <w:tcPr>
            <w:tcW w:w="1134" w:type="dxa"/>
            <w:tcBorders>
              <w:top w:val="single" w:sz="4" w:space="0" w:color="auto"/>
              <w:bottom w:val="single" w:sz="4" w:space="0" w:color="auto"/>
            </w:tcBorders>
          </w:tcPr>
          <w:p w14:paraId="639A6F43" w14:textId="4D227281" w:rsidR="0034553E" w:rsidRDefault="0034553E" w:rsidP="00B55DB3">
            <w:r>
              <w:t>25</w:t>
            </w:r>
          </w:p>
        </w:tc>
        <w:tc>
          <w:tcPr>
            <w:tcW w:w="1275" w:type="dxa"/>
            <w:tcBorders>
              <w:top w:val="single" w:sz="4" w:space="0" w:color="auto"/>
              <w:bottom w:val="single" w:sz="4" w:space="0" w:color="auto"/>
            </w:tcBorders>
          </w:tcPr>
          <w:p w14:paraId="36AB3D2D" w14:textId="0F4A4DE2" w:rsidR="0034553E" w:rsidRPr="00C5524A" w:rsidRDefault="0034553E" w:rsidP="00B55DB3">
            <w:r>
              <w:t>-0.145</w:t>
            </w:r>
          </w:p>
        </w:tc>
        <w:tc>
          <w:tcPr>
            <w:tcW w:w="1134" w:type="dxa"/>
            <w:tcBorders>
              <w:top w:val="single" w:sz="4" w:space="0" w:color="auto"/>
              <w:bottom w:val="single" w:sz="4" w:space="0" w:color="auto"/>
            </w:tcBorders>
          </w:tcPr>
          <w:p w14:paraId="6256A709" w14:textId="5D5D84E1" w:rsidR="0034553E" w:rsidRPr="00C5524A" w:rsidRDefault="0034553E" w:rsidP="00B55DB3">
            <w:r>
              <w:t>0.886</w:t>
            </w:r>
          </w:p>
        </w:tc>
        <w:tc>
          <w:tcPr>
            <w:tcW w:w="2051" w:type="dxa"/>
            <w:tcBorders>
              <w:top w:val="single" w:sz="4" w:space="0" w:color="auto"/>
              <w:bottom w:val="single" w:sz="4" w:space="0" w:color="auto"/>
            </w:tcBorders>
          </w:tcPr>
          <w:p w14:paraId="3152ED3F" w14:textId="3298A69F" w:rsidR="0034553E" w:rsidRDefault="0034553E" w:rsidP="00B55DB3">
            <w:r>
              <w:t>-0.0289</w:t>
            </w:r>
          </w:p>
        </w:tc>
      </w:tr>
      <w:tr w:rsidR="0034553E" w14:paraId="1AABE288" w14:textId="77777777" w:rsidTr="00130F7F">
        <w:tc>
          <w:tcPr>
            <w:tcW w:w="13958" w:type="dxa"/>
            <w:gridSpan w:val="8"/>
            <w:tcBorders>
              <w:top w:val="single" w:sz="4" w:space="0" w:color="auto"/>
              <w:bottom w:val="single" w:sz="4" w:space="0" w:color="auto"/>
            </w:tcBorders>
          </w:tcPr>
          <w:p w14:paraId="7E7CF40F" w14:textId="433EA8A8" w:rsidR="0034553E" w:rsidRPr="00130F7F" w:rsidRDefault="0034553E" w:rsidP="00B55DB3">
            <w:pPr>
              <w:rPr>
                <w:b/>
              </w:rPr>
            </w:pPr>
            <w:r w:rsidRPr="00130F7F">
              <w:rPr>
                <w:b/>
              </w:rPr>
              <w:t>Model 2: Mean Annual Runoff</w:t>
            </w:r>
            <w:r w:rsidR="005734B8">
              <w:rPr>
                <w:b/>
              </w:rPr>
              <w:t xml:space="preserve"> </w:t>
            </w:r>
            <w:r w:rsidR="00787D10">
              <w:rPr>
                <w:b/>
              </w:rPr>
              <w:t>(R</w:t>
            </w:r>
            <w:r w:rsidR="00787D10" w:rsidRPr="00787D10">
              <w:rPr>
                <w:b/>
                <w:vertAlign w:val="superscript"/>
              </w:rPr>
              <w:t>2</w:t>
            </w:r>
            <w:r w:rsidR="00787D10">
              <w:rPr>
                <w:b/>
              </w:rPr>
              <w:t xml:space="preserve"> = 0.21)</w:t>
            </w:r>
          </w:p>
        </w:tc>
      </w:tr>
      <w:tr w:rsidR="003E7DD9" w14:paraId="51E3AEF8" w14:textId="77777777" w:rsidTr="003E7DD9">
        <w:tc>
          <w:tcPr>
            <w:tcW w:w="2268" w:type="dxa"/>
            <w:tcBorders>
              <w:top w:val="single" w:sz="4" w:space="0" w:color="auto"/>
              <w:bottom w:val="single" w:sz="4" w:space="0" w:color="auto"/>
            </w:tcBorders>
          </w:tcPr>
          <w:p w14:paraId="5DC3AA16" w14:textId="6FDC685D" w:rsidR="0034553E" w:rsidRPr="00130F7F" w:rsidRDefault="0034553E" w:rsidP="0034553E">
            <w:pPr>
              <w:rPr>
                <w:b/>
              </w:rPr>
            </w:pPr>
            <w:r w:rsidRPr="00130F7F">
              <w:rPr>
                <w:b/>
              </w:rPr>
              <w:t>Predictor variable</w:t>
            </w:r>
          </w:p>
        </w:tc>
        <w:tc>
          <w:tcPr>
            <w:tcW w:w="2410" w:type="dxa"/>
            <w:tcBorders>
              <w:top w:val="single" w:sz="4" w:space="0" w:color="auto"/>
              <w:bottom w:val="single" w:sz="4" w:space="0" w:color="auto"/>
            </w:tcBorders>
          </w:tcPr>
          <w:p w14:paraId="3660F83E" w14:textId="759CA3E7" w:rsidR="0034553E" w:rsidRPr="00130F7F" w:rsidRDefault="0034553E" w:rsidP="0034553E">
            <w:pPr>
              <w:rPr>
                <w:b/>
              </w:rPr>
            </w:pPr>
            <w:r w:rsidRPr="00130F7F">
              <w:rPr>
                <w:b/>
              </w:rPr>
              <w:t>Variance structure</w:t>
            </w:r>
          </w:p>
        </w:tc>
        <w:tc>
          <w:tcPr>
            <w:tcW w:w="1843" w:type="dxa"/>
            <w:tcBorders>
              <w:top w:val="single" w:sz="4" w:space="0" w:color="auto"/>
              <w:bottom w:val="single" w:sz="4" w:space="0" w:color="auto"/>
            </w:tcBorders>
          </w:tcPr>
          <w:p w14:paraId="41202BBB" w14:textId="1548D952" w:rsidR="0034553E" w:rsidRPr="00130F7F" w:rsidRDefault="0034553E" w:rsidP="0034553E">
            <w:pPr>
              <w:rPr>
                <w:b/>
              </w:rPr>
            </w:pPr>
            <w:r w:rsidRPr="00130F7F">
              <w:rPr>
                <w:b/>
              </w:rPr>
              <w:t>Coefficient</w:t>
            </w:r>
          </w:p>
        </w:tc>
        <w:tc>
          <w:tcPr>
            <w:tcW w:w="1843" w:type="dxa"/>
            <w:tcBorders>
              <w:top w:val="single" w:sz="4" w:space="0" w:color="auto"/>
              <w:bottom w:val="single" w:sz="4" w:space="0" w:color="auto"/>
            </w:tcBorders>
          </w:tcPr>
          <w:p w14:paraId="0A3A6A2C" w14:textId="26C5D0C5" w:rsidR="0034553E" w:rsidRPr="00130F7F" w:rsidRDefault="0034553E" w:rsidP="0034553E">
            <w:pPr>
              <w:rPr>
                <w:b/>
              </w:rPr>
            </w:pPr>
            <w:r w:rsidRPr="00130F7F">
              <w:rPr>
                <w:b/>
              </w:rPr>
              <w:t>Std Error</w:t>
            </w:r>
          </w:p>
        </w:tc>
        <w:tc>
          <w:tcPr>
            <w:tcW w:w="1134" w:type="dxa"/>
            <w:tcBorders>
              <w:top w:val="single" w:sz="4" w:space="0" w:color="auto"/>
              <w:bottom w:val="single" w:sz="4" w:space="0" w:color="auto"/>
            </w:tcBorders>
          </w:tcPr>
          <w:p w14:paraId="7E07C72A" w14:textId="0DE6CEF7" w:rsidR="0034553E" w:rsidRPr="00130F7F" w:rsidRDefault="0034553E" w:rsidP="0034553E">
            <w:pPr>
              <w:rPr>
                <w:b/>
              </w:rPr>
            </w:pPr>
            <w:r w:rsidRPr="00130F7F">
              <w:rPr>
                <w:b/>
              </w:rPr>
              <w:t>df</w:t>
            </w:r>
          </w:p>
        </w:tc>
        <w:tc>
          <w:tcPr>
            <w:tcW w:w="1275" w:type="dxa"/>
            <w:tcBorders>
              <w:top w:val="single" w:sz="4" w:space="0" w:color="auto"/>
              <w:bottom w:val="single" w:sz="4" w:space="0" w:color="auto"/>
            </w:tcBorders>
          </w:tcPr>
          <w:p w14:paraId="0B708468" w14:textId="6A9E9273" w:rsidR="0034553E" w:rsidRPr="00130F7F" w:rsidRDefault="0034553E" w:rsidP="0034553E">
            <w:pPr>
              <w:rPr>
                <w:b/>
              </w:rPr>
            </w:pPr>
            <w:r w:rsidRPr="00130F7F">
              <w:rPr>
                <w:b/>
                <w:i/>
              </w:rPr>
              <w:t>t</w:t>
            </w:r>
          </w:p>
        </w:tc>
        <w:tc>
          <w:tcPr>
            <w:tcW w:w="1134" w:type="dxa"/>
            <w:tcBorders>
              <w:top w:val="single" w:sz="4" w:space="0" w:color="auto"/>
              <w:bottom w:val="single" w:sz="4" w:space="0" w:color="auto"/>
            </w:tcBorders>
          </w:tcPr>
          <w:p w14:paraId="76943DDA" w14:textId="606532DF" w:rsidR="0034553E" w:rsidRPr="00130F7F" w:rsidRDefault="0034553E" w:rsidP="0034553E">
            <w:pPr>
              <w:rPr>
                <w:b/>
              </w:rPr>
            </w:pPr>
            <w:r w:rsidRPr="00130F7F">
              <w:rPr>
                <w:b/>
                <w:i/>
              </w:rPr>
              <w:t>p</w:t>
            </w:r>
          </w:p>
        </w:tc>
        <w:tc>
          <w:tcPr>
            <w:tcW w:w="2051" w:type="dxa"/>
            <w:tcBorders>
              <w:top w:val="single" w:sz="4" w:space="0" w:color="auto"/>
              <w:bottom w:val="single" w:sz="4" w:space="0" w:color="auto"/>
            </w:tcBorders>
          </w:tcPr>
          <w:p w14:paraId="3015DD9D" w14:textId="255D80D6" w:rsidR="0034553E" w:rsidRPr="00130F7F" w:rsidRDefault="0034553E" w:rsidP="0034553E">
            <w:pPr>
              <w:rPr>
                <w:b/>
              </w:rPr>
            </w:pPr>
            <w:r w:rsidRPr="00130F7F">
              <w:rPr>
                <w:b/>
              </w:rPr>
              <w:t>Beta coefficient</w:t>
            </w:r>
          </w:p>
        </w:tc>
      </w:tr>
      <w:tr w:rsidR="003E7DD9" w14:paraId="49E4D557" w14:textId="77777777" w:rsidTr="003E7DD9">
        <w:tc>
          <w:tcPr>
            <w:tcW w:w="2268" w:type="dxa"/>
            <w:tcBorders>
              <w:top w:val="single" w:sz="4" w:space="0" w:color="auto"/>
            </w:tcBorders>
          </w:tcPr>
          <w:p w14:paraId="757C974B" w14:textId="235D567A" w:rsidR="0034553E" w:rsidRDefault="0034553E" w:rsidP="0034553E">
            <w:r>
              <w:t>Rainfall</w:t>
            </w:r>
          </w:p>
        </w:tc>
        <w:tc>
          <w:tcPr>
            <w:tcW w:w="2410" w:type="dxa"/>
            <w:tcBorders>
              <w:top w:val="single" w:sz="4" w:space="0" w:color="auto"/>
            </w:tcBorders>
          </w:tcPr>
          <w:p w14:paraId="47C50198" w14:textId="7AA45A7C" w:rsidR="0034553E" w:rsidRDefault="0034553E" w:rsidP="0034553E">
            <w:r>
              <w:t>Power = 2.371</w:t>
            </w:r>
          </w:p>
        </w:tc>
        <w:tc>
          <w:tcPr>
            <w:tcW w:w="1843" w:type="dxa"/>
            <w:tcBorders>
              <w:top w:val="single" w:sz="4" w:space="0" w:color="auto"/>
            </w:tcBorders>
          </w:tcPr>
          <w:p w14:paraId="6BDB0D0B" w14:textId="12669708" w:rsidR="0034553E" w:rsidRDefault="0034553E" w:rsidP="0034553E">
            <w:r>
              <w:t>0.3199</w:t>
            </w:r>
          </w:p>
        </w:tc>
        <w:tc>
          <w:tcPr>
            <w:tcW w:w="1843" w:type="dxa"/>
            <w:tcBorders>
              <w:top w:val="single" w:sz="4" w:space="0" w:color="auto"/>
            </w:tcBorders>
          </w:tcPr>
          <w:p w14:paraId="4D903D41" w14:textId="1DD62B8C" w:rsidR="0034553E" w:rsidRDefault="0034553E" w:rsidP="0034553E">
            <w:r>
              <w:t>0.2055</w:t>
            </w:r>
          </w:p>
        </w:tc>
        <w:tc>
          <w:tcPr>
            <w:tcW w:w="1134" w:type="dxa"/>
            <w:tcBorders>
              <w:top w:val="single" w:sz="4" w:space="0" w:color="auto"/>
            </w:tcBorders>
          </w:tcPr>
          <w:p w14:paraId="318AD3EF" w14:textId="6BEF07A1" w:rsidR="0034553E" w:rsidRDefault="0034553E" w:rsidP="0034553E">
            <w:r>
              <w:t>27</w:t>
            </w:r>
          </w:p>
        </w:tc>
        <w:tc>
          <w:tcPr>
            <w:tcW w:w="1275" w:type="dxa"/>
            <w:tcBorders>
              <w:top w:val="single" w:sz="4" w:space="0" w:color="auto"/>
            </w:tcBorders>
          </w:tcPr>
          <w:p w14:paraId="35F15230" w14:textId="09FE3A07" w:rsidR="0034553E" w:rsidRPr="0034553E" w:rsidRDefault="0034553E" w:rsidP="0034553E">
            <w:r>
              <w:t>1.557</w:t>
            </w:r>
          </w:p>
        </w:tc>
        <w:tc>
          <w:tcPr>
            <w:tcW w:w="1134" w:type="dxa"/>
            <w:tcBorders>
              <w:top w:val="single" w:sz="4" w:space="0" w:color="auto"/>
            </w:tcBorders>
          </w:tcPr>
          <w:p w14:paraId="05EAD787" w14:textId="1A89D363" w:rsidR="0034553E" w:rsidRPr="0034553E" w:rsidRDefault="0034553E" w:rsidP="0034553E">
            <w:r>
              <w:t>0.133</w:t>
            </w:r>
          </w:p>
        </w:tc>
        <w:tc>
          <w:tcPr>
            <w:tcW w:w="2051" w:type="dxa"/>
            <w:tcBorders>
              <w:top w:val="single" w:sz="4" w:space="0" w:color="auto"/>
            </w:tcBorders>
          </w:tcPr>
          <w:p w14:paraId="1D5B1296" w14:textId="48557CC9" w:rsidR="0034553E" w:rsidRDefault="005B0E3D" w:rsidP="0034553E">
            <w:r>
              <w:t>0.192</w:t>
            </w:r>
            <w:r w:rsidR="00B656B3">
              <w:t>3</w:t>
            </w:r>
          </w:p>
        </w:tc>
      </w:tr>
      <w:tr w:rsidR="003E7DD9" w14:paraId="1087B06B" w14:textId="77777777" w:rsidTr="003E7DD9">
        <w:tc>
          <w:tcPr>
            <w:tcW w:w="2268" w:type="dxa"/>
            <w:tcBorders>
              <w:bottom w:val="single" w:sz="4" w:space="0" w:color="auto"/>
            </w:tcBorders>
          </w:tcPr>
          <w:p w14:paraId="0D55434A" w14:textId="7C15FBDE" w:rsidR="0034553E" w:rsidRDefault="0034553E" w:rsidP="0034553E">
            <w:r>
              <w:t>Floodplain Area</w:t>
            </w:r>
          </w:p>
        </w:tc>
        <w:tc>
          <w:tcPr>
            <w:tcW w:w="2410" w:type="dxa"/>
            <w:tcBorders>
              <w:bottom w:val="single" w:sz="4" w:space="0" w:color="auto"/>
            </w:tcBorders>
          </w:tcPr>
          <w:p w14:paraId="1B031EF7" w14:textId="364D28D4" w:rsidR="0034553E" w:rsidRDefault="0034553E" w:rsidP="0034553E">
            <w:r>
              <w:t>N/A</w:t>
            </w:r>
          </w:p>
        </w:tc>
        <w:tc>
          <w:tcPr>
            <w:tcW w:w="1843" w:type="dxa"/>
            <w:tcBorders>
              <w:bottom w:val="single" w:sz="4" w:space="0" w:color="auto"/>
            </w:tcBorders>
          </w:tcPr>
          <w:p w14:paraId="61C79C3B" w14:textId="5EC64218" w:rsidR="0034553E" w:rsidRDefault="0034553E" w:rsidP="0034553E">
            <w:r>
              <w:t>0.0538</w:t>
            </w:r>
          </w:p>
        </w:tc>
        <w:tc>
          <w:tcPr>
            <w:tcW w:w="1843" w:type="dxa"/>
            <w:tcBorders>
              <w:bottom w:val="single" w:sz="4" w:space="0" w:color="auto"/>
            </w:tcBorders>
          </w:tcPr>
          <w:p w14:paraId="41C16D9B" w14:textId="7DA5A660" w:rsidR="0034553E" w:rsidRDefault="0034553E" w:rsidP="0034553E">
            <w:r>
              <w:t>0.0219</w:t>
            </w:r>
          </w:p>
        </w:tc>
        <w:tc>
          <w:tcPr>
            <w:tcW w:w="1134" w:type="dxa"/>
            <w:tcBorders>
              <w:bottom w:val="single" w:sz="4" w:space="0" w:color="auto"/>
            </w:tcBorders>
          </w:tcPr>
          <w:p w14:paraId="3496BBE9" w14:textId="691C03FA" w:rsidR="0034553E" w:rsidRDefault="0034553E" w:rsidP="0034553E">
            <w:r>
              <w:t>27</w:t>
            </w:r>
          </w:p>
        </w:tc>
        <w:tc>
          <w:tcPr>
            <w:tcW w:w="1275" w:type="dxa"/>
            <w:tcBorders>
              <w:bottom w:val="single" w:sz="4" w:space="0" w:color="auto"/>
            </w:tcBorders>
          </w:tcPr>
          <w:p w14:paraId="15B3A301" w14:textId="14AA5B09" w:rsidR="0034553E" w:rsidRPr="0034553E" w:rsidRDefault="0034553E" w:rsidP="0034553E">
            <w:r>
              <w:t>2.450</w:t>
            </w:r>
          </w:p>
        </w:tc>
        <w:tc>
          <w:tcPr>
            <w:tcW w:w="1134" w:type="dxa"/>
            <w:tcBorders>
              <w:bottom w:val="single" w:sz="4" w:space="0" w:color="auto"/>
            </w:tcBorders>
          </w:tcPr>
          <w:p w14:paraId="27810A2C" w14:textId="0D9911BA" w:rsidR="0034553E" w:rsidRPr="0034553E" w:rsidRDefault="0034553E" w:rsidP="0034553E">
            <w:r>
              <w:t>0.022</w:t>
            </w:r>
          </w:p>
        </w:tc>
        <w:tc>
          <w:tcPr>
            <w:tcW w:w="2051" w:type="dxa"/>
            <w:tcBorders>
              <w:bottom w:val="single" w:sz="4" w:space="0" w:color="auto"/>
            </w:tcBorders>
          </w:tcPr>
          <w:p w14:paraId="1C70054A" w14:textId="022248E8" w:rsidR="0034553E" w:rsidRDefault="00B656B3" w:rsidP="0034553E">
            <w:r>
              <w:t>0.3910</w:t>
            </w:r>
            <w:r w:rsidR="00D9246D">
              <w:t>*</w:t>
            </w:r>
          </w:p>
        </w:tc>
      </w:tr>
      <w:tr w:rsidR="0034553E" w14:paraId="6CA282F5" w14:textId="77777777" w:rsidTr="00130F7F">
        <w:tc>
          <w:tcPr>
            <w:tcW w:w="13958" w:type="dxa"/>
            <w:gridSpan w:val="8"/>
            <w:tcBorders>
              <w:top w:val="single" w:sz="4" w:space="0" w:color="auto"/>
              <w:bottom w:val="single" w:sz="4" w:space="0" w:color="auto"/>
            </w:tcBorders>
          </w:tcPr>
          <w:p w14:paraId="74689ED7" w14:textId="753127FD" w:rsidR="0034553E" w:rsidRPr="00130F7F" w:rsidRDefault="0034553E" w:rsidP="0034553E">
            <w:pPr>
              <w:rPr>
                <w:b/>
              </w:rPr>
            </w:pPr>
            <w:r w:rsidRPr="00130F7F">
              <w:rPr>
                <w:b/>
              </w:rPr>
              <w:t>Model 3: Daily Flushing Rate</w:t>
            </w:r>
            <w:r w:rsidR="005734B8">
              <w:rPr>
                <w:b/>
              </w:rPr>
              <w:t xml:space="preserve"> </w:t>
            </w:r>
            <w:r w:rsidR="005734B8" w:rsidRPr="005734B8">
              <w:rPr>
                <w:b/>
              </w:rPr>
              <w:t>(R</w:t>
            </w:r>
            <w:r w:rsidR="005734B8" w:rsidRPr="005734B8">
              <w:rPr>
                <w:b/>
                <w:vertAlign w:val="superscript"/>
              </w:rPr>
              <w:t>2</w:t>
            </w:r>
            <w:r w:rsidR="005734B8" w:rsidRPr="005734B8">
              <w:rPr>
                <w:b/>
              </w:rPr>
              <w:t xml:space="preserve"> = 0.</w:t>
            </w:r>
            <w:r w:rsidR="005734B8">
              <w:rPr>
                <w:b/>
              </w:rPr>
              <w:t>62</w:t>
            </w:r>
            <w:r w:rsidR="005734B8" w:rsidRPr="005734B8">
              <w:rPr>
                <w:b/>
              </w:rPr>
              <w:t>)</w:t>
            </w:r>
          </w:p>
        </w:tc>
      </w:tr>
      <w:tr w:rsidR="003E7DD9" w14:paraId="1A78CCC7" w14:textId="77777777" w:rsidTr="003E7DD9">
        <w:tc>
          <w:tcPr>
            <w:tcW w:w="2268" w:type="dxa"/>
            <w:tcBorders>
              <w:top w:val="single" w:sz="4" w:space="0" w:color="auto"/>
              <w:bottom w:val="single" w:sz="4" w:space="0" w:color="auto"/>
            </w:tcBorders>
          </w:tcPr>
          <w:p w14:paraId="2A31F237" w14:textId="2754A9CA" w:rsidR="0034553E" w:rsidRPr="00130F7F" w:rsidRDefault="0034553E" w:rsidP="0034553E">
            <w:pPr>
              <w:rPr>
                <w:b/>
              </w:rPr>
            </w:pPr>
            <w:r w:rsidRPr="00130F7F">
              <w:rPr>
                <w:b/>
              </w:rPr>
              <w:t>Predictor variable</w:t>
            </w:r>
          </w:p>
        </w:tc>
        <w:tc>
          <w:tcPr>
            <w:tcW w:w="2410" w:type="dxa"/>
            <w:tcBorders>
              <w:top w:val="single" w:sz="4" w:space="0" w:color="auto"/>
              <w:bottom w:val="single" w:sz="4" w:space="0" w:color="auto"/>
            </w:tcBorders>
          </w:tcPr>
          <w:p w14:paraId="5925E57F" w14:textId="76026666" w:rsidR="0034553E" w:rsidRPr="00130F7F" w:rsidRDefault="0034553E" w:rsidP="0034553E">
            <w:pPr>
              <w:rPr>
                <w:b/>
              </w:rPr>
            </w:pPr>
            <w:r w:rsidRPr="00130F7F">
              <w:rPr>
                <w:b/>
              </w:rPr>
              <w:t>Variance structure</w:t>
            </w:r>
          </w:p>
        </w:tc>
        <w:tc>
          <w:tcPr>
            <w:tcW w:w="1843" w:type="dxa"/>
            <w:tcBorders>
              <w:top w:val="single" w:sz="4" w:space="0" w:color="auto"/>
              <w:bottom w:val="single" w:sz="4" w:space="0" w:color="auto"/>
            </w:tcBorders>
          </w:tcPr>
          <w:p w14:paraId="1DE217D9" w14:textId="551F43D9" w:rsidR="0034553E" w:rsidRPr="00130F7F" w:rsidRDefault="0034553E" w:rsidP="0034553E">
            <w:pPr>
              <w:rPr>
                <w:b/>
              </w:rPr>
            </w:pPr>
            <w:r w:rsidRPr="00130F7F">
              <w:rPr>
                <w:b/>
              </w:rPr>
              <w:t>Coefficient</w:t>
            </w:r>
          </w:p>
        </w:tc>
        <w:tc>
          <w:tcPr>
            <w:tcW w:w="1843" w:type="dxa"/>
            <w:tcBorders>
              <w:top w:val="single" w:sz="4" w:space="0" w:color="auto"/>
              <w:bottom w:val="single" w:sz="4" w:space="0" w:color="auto"/>
            </w:tcBorders>
          </w:tcPr>
          <w:p w14:paraId="05B9AA17" w14:textId="2B7AD225" w:rsidR="0034553E" w:rsidRPr="00130F7F" w:rsidRDefault="0034553E" w:rsidP="0034553E">
            <w:pPr>
              <w:rPr>
                <w:b/>
              </w:rPr>
            </w:pPr>
            <w:r w:rsidRPr="00130F7F">
              <w:rPr>
                <w:b/>
              </w:rPr>
              <w:t>Std Error</w:t>
            </w:r>
          </w:p>
        </w:tc>
        <w:tc>
          <w:tcPr>
            <w:tcW w:w="1134" w:type="dxa"/>
            <w:tcBorders>
              <w:top w:val="single" w:sz="4" w:space="0" w:color="auto"/>
              <w:bottom w:val="single" w:sz="4" w:space="0" w:color="auto"/>
            </w:tcBorders>
          </w:tcPr>
          <w:p w14:paraId="3EBEE80E" w14:textId="21DCA804" w:rsidR="0034553E" w:rsidRPr="00130F7F" w:rsidRDefault="0034553E" w:rsidP="0034553E">
            <w:pPr>
              <w:rPr>
                <w:b/>
              </w:rPr>
            </w:pPr>
            <w:r w:rsidRPr="00130F7F">
              <w:rPr>
                <w:b/>
              </w:rPr>
              <w:t>df</w:t>
            </w:r>
          </w:p>
        </w:tc>
        <w:tc>
          <w:tcPr>
            <w:tcW w:w="1275" w:type="dxa"/>
            <w:tcBorders>
              <w:top w:val="single" w:sz="4" w:space="0" w:color="auto"/>
              <w:bottom w:val="single" w:sz="4" w:space="0" w:color="auto"/>
            </w:tcBorders>
          </w:tcPr>
          <w:p w14:paraId="3CD947AA" w14:textId="29265B60" w:rsidR="0034553E" w:rsidRPr="00130F7F" w:rsidRDefault="0034553E" w:rsidP="0034553E">
            <w:pPr>
              <w:rPr>
                <w:b/>
              </w:rPr>
            </w:pPr>
            <w:r w:rsidRPr="00130F7F">
              <w:rPr>
                <w:b/>
                <w:i/>
              </w:rPr>
              <w:t>t</w:t>
            </w:r>
          </w:p>
        </w:tc>
        <w:tc>
          <w:tcPr>
            <w:tcW w:w="1134" w:type="dxa"/>
            <w:tcBorders>
              <w:top w:val="single" w:sz="4" w:space="0" w:color="auto"/>
              <w:bottom w:val="single" w:sz="4" w:space="0" w:color="auto"/>
            </w:tcBorders>
          </w:tcPr>
          <w:p w14:paraId="769F11C8" w14:textId="3F8C3503" w:rsidR="0034553E" w:rsidRPr="00130F7F" w:rsidRDefault="0034553E" w:rsidP="0034553E">
            <w:pPr>
              <w:rPr>
                <w:b/>
              </w:rPr>
            </w:pPr>
            <w:r w:rsidRPr="00130F7F">
              <w:rPr>
                <w:b/>
                <w:i/>
              </w:rPr>
              <w:t>p</w:t>
            </w:r>
          </w:p>
        </w:tc>
        <w:tc>
          <w:tcPr>
            <w:tcW w:w="2051" w:type="dxa"/>
            <w:tcBorders>
              <w:top w:val="single" w:sz="4" w:space="0" w:color="auto"/>
              <w:bottom w:val="single" w:sz="4" w:space="0" w:color="auto"/>
            </w:tcBorders>
          </w:tcPr>
          <w:p w14:paraId="4F7A1B5E" w14:textId="00DA8458" w:rsidR="0034553E" w:rsidRPr="00130F7F" w:rsidRDefault="0034553E" w:rsidP="0034553E">
            <w:pPr>
              <w:rPr>
                <w:b/>
              </w:rPr>
            </w:pPr>
            <w:r w:rsidRPr="00130F7F">
              <w:rPr>
                <w:b/>
              </w:rPr>
              <w:t>Beta coefficient</w:t>
            </w:r>
          </w:p>
        </w:tc>
      </w:tr>
      <w:tr w:rsidR="003E7DD9" w14:paraId="1FC3EB70" w14:textId="77777777" w:rsidTr="003E7DD9">
        <w:tc>
          <w:tcPr>
            <w:tcW w:w="2268" w:type="dxa"/>
            <w:tcBorders>
              <w:top w:val="single" w:sz="4" w:space="0" w:color="auto"/>
            </w:tcBorders>
          </w:tcPr>
          <w:p w14:paraId="0BA1DCDF" w14:textId="0DE74467" w:rsidR="0034553E" w:rsidRDefault="0034553E" w:rsidP="0034553E">
            <w:r>
              <w:t>Floodplain Area</w:t>
            </w:r>
          </w:p>
        </w:tc>
        <w:tc>
          <w:tcPr>
            <w:tcW w:w="2410" w:type="dxa"/>
            <w:tcBorders>
              <w:top w:val="single" w:sz="4" w:space="0" w:color="auto"/>
            </w:tcBorders>
          </w:tcPr>
          <w:p w14:paraId="5BA31B45" w14:textId="2C6A17DF" w:rsidR="0034553E" w:rsidRDefault="0034553E" w:rsidP="0034553E">
            <w:r>
              <w:t>N/A</w:t>
            </w:r>
          </w:p>
        </w:tc>
        <w:tc>
          <w:tcPr>
            <w:tcW w:w="1843" w:type="dxa"/>
            <w:tcBorders>
              <w:top w:val="single" w:sz="4" w:space="0" w:color="auto"/>
            </w:tcBorders>
          </w:tcPr>
          <w:p w14:paraId="1B5A121E" w14:textId="2BA5340F" w:rsidR="0034553E" w:rsidRDefault="00A07164" w:rsidP="0034553E">
            <w:r>
              <w:t>-1.18 x 10</w:t>
            </w:r>
            <w:r w:rsidRPr="00A07164">
              <w:rPr>
                <w:vertAlign w:val="superscript"/>
              </w:rPr>
              <w:t>-4</w:t>
            </w:r>
          </w:p>
        </w:tc>
        <w:tc>
          <w:tcPr>
            <w:tcW w:w="1843" w:type="dxa"/>
            <w:tcBorders>
              <w:top w:val="single" w:sz="4" w:space="0" w:color="auto"/>
            </w:tcBorders>
          </w:tcPr>
          <w:p w14:paraId="6975B986" w14:textId="5467BC6B" w:rsidR="0034553E" w:rsidRDefault="00A07164" w:rsidP="0034553E">
            <w:r>
              <w:t>3.97 x 10</w:t>
            </w:r>
            <w:r w:rsidRPr="00A07164">
              <w:rPr>
                <w:vertAlign w:val="superscript"/>
              </w:rPr>
              <w:t>-5</w:t>
            </w:r>
          </w:p>
        </w:tc>
        <w:tc>
          <w:tcPr>
            <w:tcW w:w="1134" w:type="dxa"/>
            <w:tcBorders>
              <w:top w:val="single" w:sz="4" w:space="0" w:color="auto"/>
            </w:tcBorders>
          </w:tcPr>
          <w:p w14:paraId="645B4576" w14:textId="0ACCD984" w:rsidR="0034553E" w:rsidRDefault="00BE14BA" w:rsidP="0034553E">
            <w:r>
              <w:t>27</w:t>
            </w:r>
          </w:p>
        </w:tc>
        <w:tc>
          <w:tcPr>
            <w:tcW w:w="1275" w:type="dxa"/>
            <w:tcBorders>
              <w:top w:val="single" w:sz="4" w:space="0" w:color="auto"/>
            </w:tcBorders>
          </w:tcPr>
          <w:p w14:paraId="1C849C68" w14:textId="3148C3C8" w:rsidR="0034553E" w:rsidRPr="00A07164" w:rsidRDefault="00A07164" w:rsidP="0034553E">
            <w:r>
              <w:t>-2.972</w:t>
            </w:r>
          </w:p>
        </w:tc>
        <w:tc>
          <w:tcPr>
            <w:tcW w:w="1134" w:type="dxa"/>
            <w:tcBorders>
              <w:top w:val="single" w:sz="4" w:space="0" w:color="auto"/>
            </w:tcBorders>
          </w:tcPr>
          <w:p w14:paraId="267101C6" w14:textId="78A39E83" w:rsidR="0034553E" w:rsidRPr="00A07164" w:rsidRDefault="00A07164" w:rsidP="0034553E">
            <w:r>
              <w:t>0.007</w:t>
            </w:r>
          </w:p>
        </w:tc>
        <w:tc>
          <w:tcPr>
            <w:tcW w:w="2051" w:type="dxa"/>
            <w:tcBorders>
              <w:top w:val="single" w:sz="4" w:space="0" w:color="auto"/>
            </w:tcBorders>
          </w:tcPr>
          <w:p w14:paraId="585DC10D" w14:textId="5BBA2672" w:rsidR="0034553E" w:rsidRDefault="00B656B3" w:rsidP="0034553E">
            <w:r>
              <w:t>-0.3914</w:t>
            </w:r>
            <w:r w:rsidR="003732E2">
              <w:t>*</w:t>
            </w:r>
          </w:p>
        </w:tc>
      </w:tr>
      <w:tr w:rsidR="003E7DD9" w14:paraId="16545EA9" w14:textId="77777777" w:rsidTr="003E7DD9">
        <w:tc>
          <w:tcPr>
            <w:tcW w:w="2268" w:type="dxa"/>
          </w:tcPr>
          <w:p w14:paraId="4E7BECAB" w14:textId="705D1AC4" w:rsidR="0034553E" w:rsidRDefault="0034553E" w:rsidP="0034553E">
            <w:r>
              <w:t>Mean Annual Runoff</w:t>
            </w:r>
          </w:p>
        </w:tc>
        <w:tc>
          <w:tcPr>
            <w:tcW w:w="2410" w:type="dxa"/>
          </w:tcPr>
          <w:p w14:paraId="51E9C68E" w14:textId="111F7BB9" w:rsidR="0034553E" w:rsidRDefault="0034553E" w:rsidP="004944E4">
            <w:pPr>
              <w:spacing w:after="0"/>
            </w:pPr>
            <w:r>
              <w:t>Constant = 1.3</w:t>
            </w:r>
            <w:r w:rsidR="00A07164">
              <w:t>5 x 10</w:t>
            </w:r>
            <w:r w:rsidR="00A07164" w:rsidRPr="00A07164">
              <w:rPr>
                <w:vertAlign w:val="superscript"/>
              </w:rPr>
              <w:t>-5</w:t>
            </w:r>
          </w:p>
          <w:p w14:paraId="03334D57" w14:textId="317254C3" w:rsidR="0034553E" w:rsidRDefault="0034553E" w:rsidP="0034553E">
            <w:r>
              <w:t xml:space="preserve">Power = </w:t>
            </w:r>
            <w:r w:rsidR="00A07164">
              <w:t>- 9.645</w:t>
            </w:r>
          </w:p>
        </w:tc>
        <w:tc>
          <w:tcPr>
            <w:tcW w:w="1843" w:type="dxa"/>
          </w:tcPr>
          <w:p w14:paraId="622AC7B0" w14:textId="2698BC2B" w:rsidR="0034553E" w:rsidRDefault="00A07164" w:rsidP="0034553E">
            <w:r>
              <w:t>2.08 x 10</w:t>
            </w:r>
            <w:r w:rsidRPr="00A07164">
              <w:rPr>
                <w:vertAlign w:val="superscript"/>
              </w:rPr>
              <w:t>-3</w:t>
            </w:r>
          </w:p>
        </w:tc>
        <w:tc>
          <w:tcPr>
            <w:tcW w:w="1843" w:type="dxa"/>
          </w:tcPr>
          <w:p w14:paraId="1E3B96EA" w14:textId="4DB02F76" w:rsidR="0034553E" w:rsidRDefault="00A07164" w:rsidP="0034553E">
            <w:r>
              <w:t>2.79 x 10</w:t>
            </w:r>
            <w:r w:rsidRPr="00A07164">
              <w:rPr>
                <w:vertAlign w:val="superscript"/>
              </w:rPr>
              <w:t>-4</w:t>
            </w:r>
          </w:p>
        </w:tc>
        <w:tc>
          <w:tcPr>
            <w:tcW w:w="1134" w:type="dxa"/>
          </w:tcPr>
          <w:p w14:paraId="6F194FAB" w14:textId="6825C763" w:rsidR="0034553E" w:rsidRDefault="00BE14BA" w:rsidP="0034553E">
            <w:r>
              <w:t>27</w:t>
            </w:r>
          </w:p>
        </w:tc>
        <w:tc>
          <w:tcPr>
            <w:tcW w:w="1275" w:type="dxa"/>
          </w:tcPr>
          <w:p w14:paraId="391249F5" w14:textId="4393CEE1" w:rsidR="0034553E" w:rsidRDefault="00A07164" w:rsidP="0034553E">
            <w:r>
              <w:t>7.446</w:t>
            </w:r>
          </w:p>
        </w:tc>
        <w:tc>
          <w:tcPr>
            <w:tcW w:w="1134" w:type="dxa"/>
          </w:tcPr>
          <w:p w14:paraId="0DAC1925" w14:textId="2E781D19" w:rsidR="0034553E" w:rsidRDefault="00A07164" w:rsidP="0034553E">
            <w:r>
              <w:t>0.0001</w:t>
            </w:r>
          </w:p>
        </w:tc>
        <w:tc>
          <w:tcPr>
            <w:tcW w:w="2051" w:type="dxa"/>
          </w:tcPr>
          <w:p w14:paraId="1E4D4B74" w14:textId="0F61C5F3" w:rsidR="0034553E" w:rsidRDefault="00B656B3" w:rsidP="0034553E">
            <w:r>
              <w:t>0.9474</w:t>
            </w:r>
            <w:r w:rsidR="003732E2">
              <w:t>*</w:t>
            </w:r>
          </w:p>
        </w:tc>
      </w:tr>
      <w:tr w:rsidR="003E7DD9" w14:paraId="792D705F" w14:textId="77777777" w:rsidTr="003E7DD9">
        <w:tc>
          <w:tcPr>
            <w:tcW w:w="2268" w:type="dxa"/>
            <w:tcBorders>
              <w:bottom w:val="single" w:sz="4" w:space="0" w:color="auto"/>
            </w:tcBorders>
          </w:tcPr>
          <w:p w14:paraId="0BBF401A" w14:textId="314B2B98" w:rsidR="0034553E" w:rsidRDefault="0034553E" w:rsidP="0034553E">
            <w:proofErr w:type="spellStart"/>
            <w:r>
              <w:t>Surfzone</w:t>
            </w:r>
            <w:proofErr w:type="spellEnd"/>
            <w:r>
              <w:t xml:space="preserve"> Width</w:t>
            </w:r>
          </w:p>
        </w:tc>
        <w:tc>
          <w:tcPr>
            <w:tcW w:w="2410" w:type="dxa"/>
            <w:tcBorders>
              <w:bottom w:val="single" w:sz="4" w:space="0" w:color="auto"/>
            </w:tcBorders>
          </w:tcPr>
          <w:p w14:paraId="430AD912" w14:textId="2A698043" w:rsidR="0034553E" w:rsidRDefault="0034553E" w:rsidP="0034553E">
            <w:r>
              <w:t>N/A</w:t>
            </w:r>
          </w:p>
        </w:tc>
        <w:tc>
          <w:tcPr>
            <w:tcW w:w="1843" w:type="dxa"/>
            <w:tcBorders>
              <w:bottom w:val="single" w:sz="4" w:space="0" w:color="auto"/>
            </w:tcBorders>
          </w:tcPr>
          <w:p w14:paraId="12366727" w14:textId="7595CE00" w:rsidR="0034553E" w:rsidRDefault="00A034BF" w:rsidP="0034553E">
            <w:r>
              <w:t>-</w:t>
            </w:r>
            <w:r w:rsidR="00A07164">
              <w:t>3.14 x 10</w:t>
            </w:r>
            <w:r w:rsidR="00A07164" w:rsidRPr="00A07164">
              <w:rPr>
                <w:vertAlign w:val="superscript"/>
              </w:rPr>
              <w:t>-3</w:t>
            </w:r>
          </w:p>
        </w:tc>
        <w:tc>
          <w:tcPr>
            <w:tcW w:w="1843" w:type="dxa"/>
            <w:tcBorders>
              <w:bottom w:val="single" w:sz="4" w:space="0" w:color="auto"/>
            </w:tcBorders>
          </w:tcPr>
          <w:p w14:paraId="4C1FEDF4" w14:textId="1EF573B4" w:rsidR="0034553E" w:rsidRDefault="00A07164" w:rsidP="0034553E">
            <w:r>
              <w:t>9.45 x 10</w:t>
            </w:r>
            <w:r w:rsidRPr="00A07164">
              <w:rPr>
                <w:vertAlign w:val="superscript"/>
              </w:rPr>
              <w:t>-4</w:t>
            </w:r>
          </w:p>
        </w:tc>
        <w:tc>
          <w:tcPr>
            <w:tcW w:w="1134" w:type="dxa"/>
            <w:tcBorders>
              <w:bottom w:val="single" w:sz="4" w:space="0" w:color="auto"/>
            </w:tcBorders>
          </w:tcPr>
          <w:p w14:paraId="7FF8789D" w14:textId="35BF605E" w:rsidR="0034553E" w:rsidRDefault="00BE14BA" w:rsidP="0034553E">
            <w:r>
              <w:t>27</w:t>
            </w:r>
          </w:p>
        </w:tc>
        <w:tc>
          <w:tcPr>
            <w:tcW w:w="1275" w:type="dxa"/>
            <w:tcBorders>
              <w:bottom w:val="single" w:sz="4" w:space="0" w:color="auto"/>
            </w:tcBorders>
          </w:tcPr>
          <w:p w14:paraId="7A380A1B" w14:textId="5C0F5E51" w:rsidR="0034553E" w:rsidRDefault="00A07164" w:rsidP="0034553E">
            <w:r>
              <w:t>-3.324</w:t>
            </w:r>
          </w:p>
        </w:tc>
        <w:tc>
          <w:tcPr>
            <w:tcW w:w="1134" w:type="dxa"/>
            <w:tcBorders>
              <w:bottom w:val="single" w:sz="4" w:space="0" w:color="auto"/>
            </w:tcBorders>
          </w:tcPr>
          <w:p w14:paraId="52E89D60" w14:textId="5589EC69" w:rsidR="0034553E" w:rsidRDefault="00A07164" w:rsidP="0034553E">
            <w:r>
              <w:t>0.003</w:t>
            </w:r>
          </w:p>
        </w:tc>
        <w:tc>
          <w:tcPr>
            <w:tcW w:w="2051" w:type="dxa"/>
            <w:tcBorders>
              <w:bottom w:val="single" w:sz="4" w:space="0" w:color="auto"/>
            </w:tcBorders>
          </w:tcPr>
          <w:p w14:paraId="40EA578C" w14:textId="34F3A949" w:rsidR="0034553E" w:rsidRDefault="00B656B3" w:rsidP="0034553E">
            <w:r>
              <w:t>-0.3992</w:t>
            </w:r>
            <w:r w:rsidR="003732E2">
              <w:t>*</w:t>
            </w:r>
          </w:p>
        </w:tc>
      </w:tr>
      <w:tr w:rsidR="00BE14BA" w14:paraId="20432EBC" w14:textId="77777777" w:rsidTr="00130F7F">
        <w:tc>
          <w:tcPr>
            <w:tcW w:w="13958" w:type="dxa"/>
            <w:gridSpan w:val="8"/>
            <w:tcBorders>
              <w:top w:val="single" w:sz="4" w:space="0" w:color="auto"/>
              <w:bottom w:val="single" w:sz="4" w:space="0" w:color="auto"/>
            </w:tcBorders>
          </w:tcPr>
          <w:p w14:paraId="0F7896F0" w14:textId="33B3B6E3" w:rsidR="00BE14BA" w:rsidRPr="00130F7F" w:rsidRDefault="00BE14BA" w:rsidP="00BE14BA">
            <w:pPr>
              <w:rPr>
                <w:b/>
              </w:rPr>
            </w:pPr>
            <w:bookmarkStart w:id="2" w:name="_Hlk528752433"/>
            <w:r w:rsidRPr="00130F7F">
              <w:rPr>
                <w:b/>
              </w:rPr>
              <w:t xml:space="preserve">Model 4: </w:t>
            </w:r>
            <w:r w:rsidR="008D39D8">
              <w:rPr>
                <w:b/>
              </w:rPr>
              <w:t>Inlet Stability</w:t>
            </w:r>
            <w:r w:rsidR="005734B8">
              <w:rPr>
                <w:b/>
              </w:rPr>
              <w:t xml:space="preserve"> </w:t>
            </w:r>
            <w:r w:rsidR="005734B8" w:rsidRPr="005734B8">
              <w:rPr>
                <w:b/>
              </w:rPr>
              <w:t>(R</w:t>
            </w:r>
            <w:r w:rsidR="005734B8" w:rsidRPr="005734B8">
              <w:rPr>
                <w:b/>
                <w:vertAlign w:val="superscript"/>
              </w:rPr>
              <w:t>2</w:t>
            </w:r>
            <w:r w:rsidR="005734B8" w:rsidRPr="005734B8">
              <w:rPr>
                <w:b/>
              </w:rPr>
              <w:t xml:space="preserve"> = 0.</w:t>
            </w:r>
            <w:r w:rsidR="005734B8">
              <w:rPr>
                <w:b/>
              </w:rPr>
              <w:t>50</w:t>
            </w:r>
            <w:r w:rsidR="005734B8" w:rsidRPr="005734B8">
              <w:rPr>
                <w:b/>
              </w:rPr>
              <w:t>)</w:t>
            </w:r>
          </w:p>
        </w:tc>
      </w:tr>
      <w:tr w:rsidR="003E7DD9" w14:paraId="39DC77C2" w14:textId="77777777" w:rsidTr="003E7DD9">
        <w:tc>
          <w:tcPr>
            <w:tcW w:w="2268" w:type="dxa"/>
            <w:tcBorders>
              <w:top w:val="single" w:sz="4" w:space="0" w:color="auto"/>
              <w:bottom w:val="single" w:sz="4" w:space="0" w:color="auto"/>
            </w:tcBorders>
          </w:tcPr>
          <w:p w14:paraId="6A71593A" w14:textId="59EB1BDA" w:rsidR="00BE14BA" w:rsidRPr="00130F7F" w:rsidRDefault="00BE14BA" w:rsidP="00BE14BA">
            <w:pPr>
              <w:rPr>
                <w:b/>
              </w:rPr>
            </w:pPr>
            <w:r w:rsidRPr="00130F7F">
              <w:rPr>
                <w:b/>
              </w:rPr>
              <w:t>Predictor variable</w:t>
            </w:r>
          </w:p>
        </w:tc>
        <w:tc>
          <w:tcPr>
            <w:tcW w:w="2410" w:type="dxa"/>
            <w:tcBorders>
              <w:top w:val="single" w:sz="4" w:space="0" w:color="auto"/>
              <w:bottom w:val="single" w:sz="4" w:space="0" w:color="auto"/>
            </w:tcBorders>
          </w:tcPr>
          <w:p w14:paraId="1978F052" w14:textId="2B9853E3" w:rsidR="00BE14BA" w:rsidRPr="00130F7F" w:rsidRDefault="00BE14BA" w:rsidP="00BE14BA">
            <w:pPr>
              <w:rPr>
                <w:b/>
              </w:rPr>
            </w:pPr>
            <w:r w:rsidRPr="00130F7F">
              <w:rPr>
                <w:b/>
              </w:rPr>
              <w:t>Variance structure</w:t>
            </w:r>
          </w:p>
        </w:tc>
        <w:tc>
          <w:tcPr>
            <w:tcW w:w="1843" w:type="dxa"/>
            <w:tcBorders>
              <w:top w:val="single" w:sz="4" w:space="0" w:color="auto"/>
              <w:bottom w:val="single" w:sz="4" w:space="0" w:color="auto"/>
            </w:tcBorders>
          </w:tcPr>
          <w:p w14:paraId="4FA842FE" w14:textId="0DD6EF34" w:rsidR="00BE14BA" w:rsidRPr="00130F7F" w:rsidRDefault="00BE14BA" w:rsidP="00BE14BA">
            <w:pPr>
              <w:rPr>
                <w:b/>
              </w:rPr>
            </w:pPr>
            <w:r w:rsidRPr="00130F7F">
              <w:rPr>
                <w:b/>
              </w:rPr>
              <w:t>Coefficient</w:t>
            </w:r>
          </w:p>
        </w:tc>
        <w:tc>
          <w:tcPr>
            <w:tcW w:w="1843" w:type="dxa"/>
            <w:tcBorders>
              <w:top w:val="single" w:sz="4" w:space="0" w:color="auto"/>
              <w:bottom w:val="single" w:sz="4" w:space="0" w:color="auto"/>
            </w:tcBorders>
          </w:tcPr>
          <w:p w14:paraId="051EF5E0" w14:textId="09A3592A" w:rsidR="00BE14BA" w:rsidRPr="00130F7F" w:rsidRDefault="00BE14BA" w:rsidP="00BE14BA">
            <w:pPr>
              <w:rPr>
                <w:b/>
              </w:rPr>
            </w:pPr>
            <w:r w:rsidRPr="00130F7F">
              <w:rPr>
                <w:b/>
              </w:rPr>
              <w:t>Std Error</w:t>
            </w:r>
          </w:p>
        </w:tc>
        <w:tc>
          <w:tcPr>
            <w:tcW w:w="1134" w:type="dxa"/>
            <w:tcBorders>
              <w:top w:val="single" w:sz="4" w:space="0" w:color="auto"/>
              <w:bottom w:val="single" w:sz="4" w:space="0" w:color="auto"/>
            </w:tcBorders>
          </w:tcPr>
          <w:p w14:paraId="0FCB3F8F" w14:textId="5AA0475E" w:rsidR="00BE14BA" w:rsidRPr="00130F7F" w:rsidRDefault="00BE14BA" w:rsidP="00BE14BA">
            <w:pPr>
              <w:rPr>
                <w:b/>
              </w:rPr>
            </w:pPr>
            <w:r w:rsidRPr="00130F7F">
              <w:rPr>
                <w:b/>
              </w:rPr>
              <w:t>df</w:t>
            </w:r>
          </w:p>
        </w:tc>
        <w:tc>
          <w:tcPr>
            <w:tcW w:w="1275" w:type="dxa"/>
            <w:tcBorders>
              <w:top w:val="single" w:sz="4" w:space="0" w:color="auto"/>
              <w:bottom w:val="single" w:sz="4" w:space="0" w:color="auto"/>
            </w:tcBorders>
          </w:tcPr>
          <w:p w14:paraId="035218BC" w14:textId="51DEDA4F" w:rsidR="00BE14BA" w:rsidRPr="00130F7F" w:rsidRDefault="00BE14BA" w:rsidP="00BE14BA">
            <w:pPr>
              <w:rPr>
                <w:b/>
              </w:rPr>
            </w:pPr>
            <w:r w:rsidRPr="00130F7F">
              <w:rPr>
                <w:b/>
                <w:i/>
              </w:rPr>
              <w:t>t</w:t>
            </w:r>
          </w:p>
        </w:tc>
        <w:tc>
          <w:tcPr>
            <w:tcW w:w="1134" w:type="dxa"/>
            <w:tcBorders>
              <w:top w:val="single" w:sz="4" w:space="0" w:color="auto"/>
              <w:bottom w:val="single" w:sz="4" w:space="0" w:color="auto"/>
            </w:tcBorders>
          </w:tcPr>
          <w:p w14:paraId="7F8B9838" w14:textId="6D69D785" w:rsidR="00BE14BA" w:rsidRPr="00130F7F" w:rsidRDefault="00BE14BA" w:rsidP="00BE14BA">
            <w:pPr>
              <w:rPr>
                <w:b/>
              </w:rPr>
            </w:pPr>
            <w:r w:rsidRPr="00130F7F">
              <w:rPr>
                <w:b/>
                <w:i/>
              </w:rPr>
              <w:t>p</w:t>
            </w:r>
          </w:p>
        </w:tc>
        <w:tc>
          <w:tcPr>
            <w:tcW w:w="2051" w:type="dxa"/>
            <w:tcBorders>
              <w:top w:val="single" w:sz="4" w:space="0" w:color="auto"/>
              <w:bottom w:val="single" w:sz="4" w:space="0" w:color="auto"/>
            </w:tcBorders>
          </w:tcPr>
          <w:p w14:paraId="295B97D4" w14:textId="107E0CD2" w:rsidR="00BE14BA" w:rsidRPr="00130F7F" w:rsidRDefault="00BE14BA" w:rsidP="00BE14BA">
            <w:pPr>
              <w:rPr>
                <w:b/>
              </w:rPr>
            </w:pPr>
            <w:r w:rsidRPr="00130F7F">
              <w:rPr>
                <w:b/>
              </w:rPr>
              <w:t>Beta coefficient</w:t>
            </w:r>
          </w:p>
        </w:tc>
      </w:tr>
      <w:tr w:rsidR="003E7DD9" w14:paraId="68EF089D" w14:textId="77777777" w:rsidTr="003E7DD9">
        <w:tc>
          <w:tcPr>
            <w:tcW w:w="2268" w:type="dxa"/>
          </w:tcPr>
          <w:p w14:paraId="5C9D611B" w14:textId="51ED15E7" w:rsidR="00BE14BA" w:rsidRDefault="00BE14BA" w:rsidP="00BE14BA">
            <w:r>
              <w:lastRenderedPageBreak/>
              <w:t>Daily Flushing Rate</w:t>
            </w:r>
          </w:p>
        </w:tc>
        <w:tc>
          <w:tcPr>
            <w:tcW w:w="2410" w:type="dxa"/>
          </w:tcPr>
          <w:p w14:paraId="1CA328A5" w14:textId="4788F18C" w:rsidR="00BE14BA" w:rsidRDefault="00BE14BA" w:rsidP="00BE14BA">
            <w:r>
              <w:t>N/A</w:t>
            </w:r>
          </w:p>
        </w:tc>
        <w:tc>
          <w:tcPr>
            <w:tcW w:w="1843" w:type="dxa"/>
          </w:tcPr>
          <w:p w14:paraId="3A5B01A2" w14:textId="0BD546AC" w:rsidR="00BE14BA" w:rsidRDefault="00BE14BA" w:rsidP="00BE14BA">
            <w:r>
              <w:t>-1.667</w:t>
            </w:r>
          </w:p>
        </w:tc>
        <w:tc>
          <w:tcPr>
            <w:tcW w:w="1843" w:type="dxa"/>
          </w:tcPr>
          <w:p w14:paraId="505A6676" w14:textId="077F7E26" w:rsidR="00BE14BA" w:rsidRDefault="00CE5751" w:rsidP="00BE14BA">
            <w:r>
              <w:t>1.067</w:t>
            </w:r>
          </w:p>
        </w:tc>
        <w:tc>
          <w:tcPr>
            <w:tcW w:w="1134" w:type="dxa"/>
          </w:tcPr>
          <w:p w14:paraId="3719A911" w14:textId="503D9CCE" w:rsidR="00BE14BA" w:rsidRDefault="00CE5751" w:rsidP="00BE14BA">
            <w:r>
              <w:t>23</w:t>
            </w:r>
          </w:p>
        </w:tc>
        <w:tc>
          <w:tcPr>
            <w:tcW w:w="1275" w:type="dxa"/>
          </w:tcPr>
          <w:p w14:paraId="6E77AFBD" w14:textId="529F112A" w:rsidR="00BE14BA" w:rsidRDefault="00CE5751" w:rsidP="00BE14BA">
            <w:r>
              <w:t>-1.562</w:t>
            </w:r>
          </w:p>
        </w:tc>
        <w:tc>
          <w:tcPr>
            <w:tcW w:w="1134" w:type="dxa"/>
          </w:tcPr>
          <w:p w14:paraId="009DD934" w14:textId="186C489A" w:rsidR="00BE14BA" w:rsidRDefault="00CE5751" w:rsidP="00BE14BA">
            <w:r>
              <w:t>0.118</w:t>
            </w:r>
          </w:p>
        </w:tc>
        <w:tc>
          <w:tcPr>
            <w:tcW w:w="2051" w:type="dxa"/>
          </w:tcPr>
          <w:p w14:paraId="42A256F7" w14:textId="333952B8" w:rsidR="00BE14BA" w:rsidRDefault="00CE5751" w:rsidP="00BE14BA">
            <w:r>
              <w:t>-0.388</w:t>
            </w:r>
          </w:p>
        </w:tc>
      </w:tr>
      <w:tr w:rsidR="003E7DD9" w14:paraId="36DD3F0F" w14:textId="77777777" w:rsidTr="003E7DD9">
        <w:tc>
          <w:tcPr>
            <w:tcW w:w="2268" w:type="dxa"/>
            <w:tcBorders>
              <w:bottom w:val="single" w:sz="4" w:space="0" w:color="auto"/>
            </w:tcBorders>
          </w:tcPr>
          <w:p w14:paraId="21D9D5BD" w14:textId="6E0A4217" w:rsidR="00BE14BA" w:rsidRDefault="00BE14BA" w:rsidP="00BE14BA">
            <w:proofErr w:type="spellStart"/>
            <w:r>
              <w:t>Surfzone</w:t>
            </w:r>
            <w:proofErr w:type="spellEnd"/>
            <w:r>
              <w:t xml:space="preserve"> Width</w:t>
            </w:r>
          </w:p>
        </w:tc>
        <w:tc>
          <w:tcPr>
            <w:tcW w:w="2410" w:type="dxa"/>
            <w:tcBorders>
              <w:bottom w:val="single" w:sz="4" w:space="0" w:color="auto"/>
            </w:tcBorders>
          </w:tcPr>
          <w:p w14:paraId="3CE98781" w14:textId="605DC30B" w:rsidR="00BE14BA" w:rsidRDefault="00BE14BA" w:rsidP="00BE14BA">
            <w:r>
              <w:t>N/A</w:t>
            </w:r>
          </w:p>
        </w:tc>
        <w:tc>
          <w:tcPr>
            <w:tcW w:w="1843" w:type="dxa"/>
            <w:tcBorders>
              <w:bottom w:val="single" w:sz="4" w:space="0" w:color="auto"/>
            </w:tcBorders>
          </w:tcPr>
          <w:p w14:paraId="66004384" w14:textId="73D459BE" w:rsidR="00BE14BA" w:rsidRDefault="00BE14BA" w:rsidP="00BE14BA">
            <w:r>
              <w:t>0.01</w:t>
            </w:r>
            <w:r w:rsidR="00CE5751">
              <w:t>3</w:t>
            </w:r>
          </w:p>
        </w:tc>
        <w:tc>
          <w:tcPr>
            <w:tcW w:w="1843" w:type="dxa"/>
            <w:tcBorders>
              <w:bottom w:val="single" w:sz="4" w:space="0" w:color="auto"/>
            </w:tcBorders>
          </w:tcPr>
          <w:p w14:paraId="332B0F1F" w14:textId="765CB566" w:rsidR="00BE14BA" w:rsidRDefault="00CE5751" w:rsidP="00BE14BA">
            <w:r>
              <w:t>0.009</w:t>
            </w:r>
          </w:p>
        </w:tc>
        <w:tc>
          <w:tcPr>
            <w:tcW w:w="1134" w:type="dxa"/>
            <w:tcBorders>
              <w:bottom w:val="single" w:sz="4" w:space="0" w:color="auto"/>
            </w:tcBorders>
          </w:tcPr>
          <w:p w14:paraId="15EFEEE2" w14:textId="59AA3E16" w:rsidR="00BE14BA" w:rsidRDefault="00CE5751" w:rsidP="00BE14BA">
            <w:r>
              <w:t>23</w:t>
            </w:r>
          </w:p>
        </w:tc>
        <w:tc>
          <w:tcPr>
            <w:tcW w:w="1275" w:type="dxa"/>
            <w:tcBorders>
              <w:bottom w:val="single" w:sz="4" w:space="0" w:color="auto"/>
            </w:tcBorders>
          </w:tcPr>
          <w:p w14:paraId="30AC06AE" w14:textId="047A794A" w:rsidR="00BE14BA" w:rsidRDefault="00CE5751" w:rsidP="00BE14BA">
            <w:r>
              <w:t>1.445</w:t>
            </w:r>
          </w:p>
        </w:tc>
        <w:tc>
          <w:tcPr>
            <w:tcW w:w="1134" w:type="dxa"/>
            <w:tcBorders>
              <w:bottom w:val="single" w:sz="4" w:space="0" w:color="auto"/>
            </w:tcBorders>
          </w:tcPr>
          <w:p w14:paraId="52890BFD" w14:textId="1437BBFE" w:rsidR="00BE14BA" w:rsidRDefault="00CE5751" w:rsidP="00BE14BA">
            <w:r>
              <w:t>0.148</w:t>
            </w:r>
          </w:p>
        </w:tc>
        <w:tc>
          <w:tcPr>
            <w:tcW w:w="2051" w:type="dxa"/>
            <w:tcBorders>
              <w:bottom w:val="single" w:sz="4" w:space="0" w:color="auto"/>
            </w:tcBorders>
          </w:tcPr>
          <w:p w14:paraId="6E9DCD63" w14:textId="1A62BCCE" w:rsidR="00BE14BA" w:rsidRDefault="00CE5751" w:rsidP="00BE14BA">
            <w:r>
              <w:t>0.370</w:t>
            </w:r>
          </w:p>
        </w:tc>
      </w:tr>
      <w:tr w:rsidR="00CE5751" w14:paraId="584DE9EB" w14:textId="77777777" w:rsidTr="00130F7F">
        <w:tc>
          <w:tcPr>
            <w:tcW w:w="13958" w:type="dxa"/>
            <w:gridSpan w:val="8"/>
            <w:tcBorders>
              <w:top w:val="single" w:sz="4" w:space="0" w:color="auto"/>
              <w:bottom w:val="single" w:sz="4" w:space="0" w:color="auto"/>
            </w:tcBorders>
          </w:tcPr>
          <w:p w14:paraId="61C18666" w14:textId="0B33B2F6" w:rsidR="00CE5751" w:rsidRPr="00130F7F" w:rsidRDefault="0013256E" w:rsidP="00CE5751">
            <w:pPr>
              <w:rPr>
                <w:b/>
              </w:rPr>
            </w:pPr>
            <w:r w:rsidRPr="00130F7F">
              <w:rPr>
                <w:b/>
              </w:rPr>
              <w:t xml:space="preserve">Model </w:t>
            </w:r>
            <w:r w:rsidR="00F63AAF">
              <w:rPr>
                <w:b/>
              </w:rPr>
              <w:t>5</w:t>
            </w:r>
            <w:r w:rsidRPr="00130F7F">
              <w:rPr>
                <w:b/>
              </w:rPr>
              <w:t>: Mangrove Area</w:t>
            </w:r>
            <w:r>
              <w:rPr>
                <w:b/>
              </w:rPr>
              <w:t xml:space="preserve"> </w:t>
            </w:r>
            <w:r w:rsidRPr="005734B8">
              <w:rPr>
                <w:b/>
              </w:rPr>
              <w:t>(R</w:t>
            </w:r>
            <w:r w:rsidRPr="005734B8">
              <w:rPr>
                <w:b/>
                <w:vertAlign w:val="superscript"/>
              </w:rPr>
              <w:t>2</w:t>
            </w:r>
            <w:r w:rsidRPr="005734B8">
              <w:rPr>
                <w:b/>
              </w:rPr>
              <w:t xml:space="preserve"> = 0.</w:t>
            </w:r>
            <w:r>
              <w:rPr>
                <w:b/>
              </w:rPr>
              <w:t>57</w:t>
            </w:r>
            <w:r w:rsidRPr="005734B8">
              <w:rPr>
                <w:b/>
              </w:rPr>
              <w:t>)</w:t>
            </w:r>
          </w:p>
        </w:tc>
      </w:tr>
      <w:tr w:rsidR="003E7DD9" w14:paraId="49E3C415" w14:textId="77777777" w:rsidTr="003E7DD9">
        <w:tc>
          <w:tcPr>
            <w:tcW w:w="2268" w:type="dxa"/>
            <w:tcBorders>
              <w:top w:val="single" w:sz="4" w:space="0" w:color="auto"/>
              <w:bottom w:val="single" w:sz="4" w:space="0" w:color="auto"/>
            </w:tcBorders>
          </w:tcPr>
          <w:p w14:paraId="45E4539F" w14:textId="41E644A0" w:rsidR="00CE5751" w:rsidRPr="00130F7F" w:rsidRDefault="00CE5751" w:rsidP="00CE5751">
            <w:pPr>
              <w:rPr>
                <w:b/>
              </w:rPr>
            </w:pPr>
            <w:r w:rsidRPr="00130F7F">
              <w:rPr>
                <w:b/>
              </w:rPr>
              <w:t>Predictor variable</w:t>
            </w:r>
          </w:p>
        </w:tc>
        <w:tc>
          <w:tcPr>
            <w:tcW w:w="2410" w:type="dxa"/>
            <w:tcBorders>
              <w:top w:val="single" w:sz="4" w:space="0" w:color="auto"/>
              <w:bottom w:val="single" w:sz="4" w:space="0" w:color="auto"/>
            </w:tcBorders>
          </w:tcPr>
          <w:p w14:paraId="6368D666" w14:textId="39E396A7" w:rsidR="00CE5751" w:rsidRPr="00130F7F" w:rsidRDefault="00CE5751" w:rsidP="00CE5751">
            <w:pPr>
              <w:rPr>
                <w:b/>
              </w:rPr>
            </w:pPr>
            <w:r w:rsidRPr="00130F7F">
              <w:rPr>
                <w:b/>
              </w:rPr>
              <w:t>Variance structure</w:t>
            </w:r>
          </w:p>
        </w:tc>
        <w:tc>
          <w:tcPr>
            <w:tcW w:w="1843" w:type="dxa"/>
            <w:tcBorders>
              <w:top w:val="single" w:sz="4" w:space="0" w:color="auto"/>
              <w:bottom w:val="single" w:sz="4" w:space="0" w:color="auto"/>
            </w:tcBorders>
          </w:tcPr>
          <w:p w14:paraId="47F5E683" w14:textId="6B17470D" w:rsidR="00CE5751" w:rsidRPr="00130F7F" w:rsidRDefault="00CE5751" w:rsidP="00CE5751">
            <w:pPr>
              <w:rPr>
                <w:b/>
              </w:rPr>
            </w:pPr>
            <w:r w:rsidRPr="00130F7F">
              <w:rPr>
                <w:b/>
              </w:rPr>
              <w:t>Coefficient</w:t>
            </w:r>
          </w:p>
        </w:tc>
        <w:tc>
          <w:tcPr>
            <w:tcW w:w="1843" w:type="dxa"/>
            <w:tcBorders>
              <w:top w:val="single" w:sz="4" w:space="0" w:color="auto"/>
              <w:bottom w:val="single" w:sz="4" w:space="0" w:color="auto"/>
            </w:tcBorders>
          </w:tcPr>
          <w:p w14:paraId="3F99192A" w14:textId="770DBB60" w:rsidR="00CE5751" w:rsidRPr="00130F7F" w:rsidRDefault="00CE5751" w:rsidP="00CE5751">
            <w:pPr>
              <w:rPr>
                <w:b/>
              </w:rPr>
            </w:pPr>
            <w:r w:rsidRPr="00130F7F">
              <w:rPr>
                <w:b/>
              </w:rPr>
              <w:t>Std Error</w:t>
            </w:r>
          </w:p>
        </w:tc>
        <w:tc>
          <w:tcPr>
            <w:tcW w:w="1134" w:type="dxa"/>
            <w:tcBorders>
              <w:top w:val="single" w:sz="4" w:space="0" w:color="auto"/>
              <w:bottom w:val="single" w:sz="4" w:space="0" w:color="auto"/>
            </w:tcBorders>
          </w:tcPr>
          <w:p w14:paraId="6F673779" w14:textId="64DA433D" w:rsidR="00CE5751" w:rsidRPr="00130F7F" w:rsidRDefault="00CE5751" w:rsidP="00CE5751">
            <w:pPr>
              <w:rPr>
                <w:b/>
              </w:rPr>
            </w:pPr>
            <w:r w:rsidRPr="00130F7F">
              <w:rPr>
                <w:b/>
              </w:rPr>
              <w:t>df</w:t>
            </w:r>
          </w:p>
        </w:tc>
        <w:tc>
          <w:tcPr>
            <w:tcW w:w="1275" w:type="dxa"/>
            <w:tcBorders>
              <w:top w:val="single" w:sz="4" w:space="0" w:color="auto"/>
              <w:bottom w:val="single" w:sz="4" w:space="0" w:color="auto"/>
            </w:tcBorders>
          </w:tcPr>
          <w:p w14:paraId="65C80747" w14:textId="2452749F" w:rsidR="00CE5751" w:rsidRPr="00130F7F" w:rsidRDefault="00CE5751" w:rsidP="00CE5751">
            <w:pPr>
              <w:rPr>
                <w:b/>
              </w:rPr>
            </w:pPr>
            <w:r w:rsidRPr="00130F7F">
              <w:rPr>
                <w:b/>
                <w:i/>
              </w:rPr>
              <w:t>t</w:t>
            </w:r>
          </w:p>
        </w:tc>
        <w:tc>
          <w:tcPr>
            <w:tcW w:w="1134" w:type="dxa"/>
            <w:tcBorders>
              <w:top w:val="single" w:sz="4" w:space="0" w:color="auto"/>
              <w:bottom w:val="single" w:sz="4" w:space="0" w:color="auto"/>
            </w:tcBorders>
          </w:tcPr>
          <w:p w14:paraId="45CC2568" w14:textId="0A50BC1A" w:rsidR="00CE5751" w:rsidRPr="00130F7F" w:rsidRDefault="00CE5751" w:rsidP="00CE5751">
            <w:pPr>
              <w:rPr>
                <w:b/>
              </w:rPr>
            </w:pPr>
            <w:r w:rsidRPr="00130F7F">
              <w:rPr>
                <w:b/>
                <w:i/>
              </w:rPr>
              <w:t>p</w:t>
            </w:r>
          </w:p>
        </w:tc>
        <w:tc>
          <w:tcPr>
            <w:tcW w:w="2051" w:type="dxa"/>
            <w:tcBorders>
              <w:top w:val="single" w:sz="4" w:space="0" w:color="auto"/>
              <w:bottom w:val="single" w:sz="4" w:space="0" w:color="auto"/>
            </w:tcBorders>
          </w:tcPr>
          <w:p w14:paraId="43C3CEDD" w14:textId="564CD7BC" w:rsidR="00CE5751" w:rsidRPr="00130F7F" w:rsidRDefault="00CE5751" w:rsidP="00CE5751">
            <w:pPr>
              <w:rPr>
                <w:b/>
              </w:rPr>
            </w:pPr>
            <w:r w:rsidRPr="00130F7F">
              <w:rPr>
                <w:b/>
              </w:rPr>
              <w:t>Beta coefficient</w:t>
            </w:r>
          </w:p>
        </w:tc>
      </w:tr>
      <w:tr w:rsidR="0013256E" w14:paraId="6E8E082F" w14:textId="77777777" w:rsidTr="003E7DD9">
        <w:tc>
          <w:tcPr>
            <w:tcW w:w="2268" w:type="dxa"/>
            <w:tcBorders>
              <w:top w:val="single" w:sz="4" w:space="0" w:color="auto"/>
            </w:tcBorders>
          </w:tcPr>
          <w:p w14:paraId="53E6F200" w14:textId="786C8FDC" w:rsidR="0013256E" w:rsidRDefault="0013256E" w:rsidP="0013256E">
            <w:r>
              <w:t>Mean Annual Runoff</w:t>
            </w:r>
          </w:p>
        </w:tc>
        <w:tc>
          <w:tcPr>
            <w:tcW w:w="2410" w:type="dxa"/>
            <w:tcBorders>
              <w:top w:val="single" w:sz="4" w:space="0" w:color="auto"/>
            </w:tcBorders>
          </w:tcPr>
          <w:p w14:paraId="5DDEBCA5" w14:textId="326F5045" w:rsidR="0013256E" w:rsidRDefault="0013256E" w:rsidP="0013256E">
            <w:r>
              <w:t>N/A</w:t>
            </w:r>
          </w:p>
        </w:tc>
        <w:tc>
          <w:tcPr>
            <w:tcW w:w="1843" w:type="dxa"/>
            <w:tcBorders>
              <w:top w:val="single" w:sz="4" w:space="0" w:color="auto"/>
            </w:tcBorders>
          </w:tcPr>
          <w:p w14:paraId="44F7ED31" w14:textId="5B31D5F4" w:rsidR="0013256E" w:rsidRDefault="0013256E" w:rsidP="0013256E">
            <w:r>
              <w:t>9.1 x 10</w:t>
            </w:r>
            <w:r w:rsidRPr="00B021FC">
              <w:rPr>
                <w:vertAlign w:val="superscript"/>
              </w:rPr>
              <w:t>-3</w:t>
            </w:r>
          </w:p>
        </w:tc>
        <w:tc>
          <w:tcPr>
            <w:tcW w:w="1843" w:type="dxa"/>
            <w:tcBorders>
              <w:top w:val="single" w:sz="4" w:space="0" w:color="auto"/>
            </w:tcBorders>
          </w:tcPr>
          <w:p w14:paraId="7653562D" w14:textId="21247FE0" w:rsidR="0013256E" w:rsidRDefault="0013256E" w:rsidP="0013256E">
            <w:r>
              <w:t>3.08 x 10</w:t>
            </w:r>
            <w:r w:rsidRPr="00B021FC">
              <w:rPr>
                <w:vertAlign w:val="superscript"/>
              </w:rPr>
              <w:t>-3</w:t>
            </w:r>
          </w:p>
        </w:tc>
        <w:tc>
          <w:tcPr>
            <w:tcW w:w="1134" w:type="dxa"/>
            <w:tcBorders>
              <w:top w:val="single" w:sz="4" w:space="0" w:color="auto"/>
            </w:tcBorders>
          </w:tcPr>
          <w:p w14:paraId="761DF355" w14:textId="13E60C32" w:rsidR="0013256E" w:rsidRDefault="0013256E" w:rsidP="0013256E">
            <w:r>
              <w:t>27</w:t>
            </w:r>
          </w:p>
        </w:tc>
        <w:tc>
          <w:tcPr>
            <w:tcW w:w="1275" w:type="dxa"/>
            <w:tcBorders>
              <w:top w:val="single" w:sz="4" w:space="0" w:color="auto"/>
            </w:tcBorders>
          </w:tcPr>
          <w:p w14:paraId="760CEECC" w14:textId="5B3C9E40" w:rsidR="0013256E" w:rsidRPr="00B021FC" w:rsidRDefault="0013256E" w:rsidP="0013256E">
            <w:r>
              <w:t>2.984</w:t>
            </w:r>
          </w:p>
        </w:tc>
        <w:tc>
          <w:tcPr>
            <w:tcW w:w="1134" w:type="dxa"/>
            <w:tcBorders>
              <w:top w:val="single" w:sz="4" w:space="0" w:color="auto"/>
            </w:tcBorders>
          </w:tcPr>
          <w:p w14:paraId="6932101A" w14:textId="0C2FDF8C" w:rsidR="0013256E" w:rsidRPr="00B021FC" w:rsidRDefault="0013256E" w:rsidP="0013256E">
            <w:r>
              <w:t>0.007</w:t>
            </w:r>
          </w:p>
        </w:tc>
        <w:tc>
          <w:tcPr>
            <w:tcW w:w="2051" w:type="dxa"/>
            <w:tcBorders>
              <w:top w:val="single" w:sz="4" w:space="0" w:color="auto"/>
            </w:tcBorders>
          </w:tcPr>
          <w:p w14:paraId="40A0A95C" w14:textId="42CA263D" w:rsidR="0013256E" w:rsidRDefault="0013256E" w:rsidP="0013256E">
            <w:r>
              <w:t>0.0736*</w:t>
            </w:r>
          </w:p>
        </w:tc>
      </w:tr>
      <w:tr w:rsidR="0013256E" w14:paraId="270BF213" w14:textId="77777777" w:rsidTr="003E7DD9">
        <w:tc>
          <w:tcPr>
            <w:tcW w:w="2268" w:type="dxa"/>
          </w:tcPr>
          <w:p w14:paraId="521CBA7B" w14:textId="3E83EDAC" w:rsidR="0013256E" w:rsidRDefault="0013256E" w:rsidP="0013256E">
            <w:r>
              <w:t>Temperature</w:t>
            </w:r>
          </w:p>
        </w:tc>
        <w:tc>
          <w:tcPr>
            <w:tcW w:w="2410" w:type="dxa"/>
          </w:tcPr>
          <w:p w14:paraId="332AF2A7" w14:textId="025E379B" w:rsidR="0013256E" w:rsidRDefault="0013256E" w:rsidP="0013256E">
            <w:r>
              <w:t>Power = 5.854</w:t>
            </w:r>
          </w:p>
        </w:tc>
        <w:tc>
          <w:tcPr>
            <w:tcW w:w="1843" w:type="dxa"/>
          </w:tcPr>
          <w:p w14:paraId="11ABAEB6" w14:textId="3DDDD102" w:rsidR="0013256E" w:rsidRDefault="0013256E" w:rsidP="0013256E">
            <w:r>
              <w:t>0.7303</w:t>
            </w:r>
          </w:p>
        </w:tc>
        <w:tc>
          <w:tcPr>
            <w:tcW w:w="1843" w:type="dxa"/>
          </w:tcPr>
          <w:p w14:paraId="025A3EE2" w14:textId="26C74193" w:rsidR="0013256E" w:rsidRDefault="0013256E" w:rsidP="0013256E">
            <w:r>
              <w:t>1.842</w:t>
            </w:r>
          </w:p>
        </w:tc>
        <w:tc>
          <w:tcPr>
            <w:tcW w:w="1134" w:type="dxa"/>
          </w:tcPr>
          <w:p w14:paraId="5B2B1182" w14:textId="2F777AA1" w:rsidR="0013256E" w:rsidRDefault="0013256E" w:rsidP="0013256E">
            <w:r>
              <w:t>27</w:t>
            </w:r>
          </w:p>
        </w:tc>
        <w:tc>
          <w:tcPr>
            <w:tcW w:w="1275" w:type="dxa"/>
          </w:tcPr>
          <w:p w14:paraId="1E4B84EB" w14:textId="7528DCD0" w:rsidR="0013256E" w:rsidRDefault="0013256E" w:rsidP="0013256E">
            <w:r>
              <w:t>0.396</w:t>
            </w:r>
          </w:p>
        </w:tc>
        <w:tc>
          <w:tcPr>
            <w:tcW w:w="1134" w:type="dxa"/>
          </w:tcPr>
          <w:p w14:paraId="5236E9EF" w14:textId="535234F3" w:rsidR="0013256E" w:rsidRDefault="0013256E" w:rsidP="0013256E">
            <w:r>
              <w:t>0.696</w:t>
            </w:r>
          </w:p>
        </w:tc>
        <w:tc>
          <w:tcPr>
            <w:tcW w:w="2051" w:type="dxa"/>
          </w:tcPr>
          <w:p w14:paraId="1FB9695E" w14:textId="32A20838" w:rsidR="0013256E" w:rsidRDefault="0013256E" w:rsidP="0013256E">
            <w:r>
              <w:t>0.0187</w:t>
            </w:r>
          </w:p>
        </w:tc>
      </w:tr>
      <w:tr w:rsidR="0013256E" w14:paraId="4C5896FC" w14:textId="77777777" w:rsidTr="0013256E">
        <w:tc>
          <w:tcPr>
            <w:tcW w:w="2268" w:type="dxa"/>
          </w:tcPr>
          <w:p w14:paraId="4DBFBD5C" w14:textId="720B8BA6" w:rsidR="0013256E" w:rsidRDefault="0013256E" w:rsidP="0013256E">
            <w:r>
              <w:t>Floodplain Area</w:t>
            </w:r>
          </w:p>
        </w:tc>
        <w:tc>
          <w:tcPr>
            <w:tcW w:w="2410" w:type="dxa"/>
          </w:tcPr>
          <w:p w14:paraId="4FD058D9" w14:textId="5B53813F" w:rsidR="0013256E" w:rsidRDefault="0013256E" w:rsidP="0013256E">
            <w:r>
              <w:t>Power = 0.570</w:t>
            </w:r>
          </w:p>
        </w:tc>
        <w:tc>
          <w:tcPr>
            <w:tcW w:w="1843" w:type="dxa"/>
          </w:tcPr>
          <w:p w14:paraId="06ED624A" w14:textId="5EB6D1F3" w:rsidR="0013256E" w:rsidRDefault="0013256E" w:rsidP="0013256E">
            <w:r>
              <w:t>0.0154</w:t>
            </w:r>
          </w:p>
        </w:tc>
        <w:tc>
          <w:tcPr>
            <w:tcW w:w="1843" w:type="dxa"/>
          </w:tcPr>
          <w:p w14:paraId="5BE0621C" w14:textId="15D9C48A" w:rsidR="0013256E" w:rsidRDefault="0013256E" w:rsidP="0013256E">
            <w:r>
              <w:t>3.79 x 10</w:t>
            </w:r>
            <w:r w:rsidRPr="00B021FC">
              <w:rPr>
                <w:vertAlign w:val="superscript"/>
              </w:rPr>
              <w:t>-3</w:t>
            </w:r>
          </w:p>
        </w:tc>
        <w:tc>
          <w:tcPr>
            <w:tcW w:w="1134" w:type="dxa"/>
          </w:tcPr>
          <w:p w14:paraId="4A20B2F9" w14:textId="17E2CA9C" w:rsidR="0013256E" w:rsidRDefault="0013256E" w:rsidP="0013256E">
            <w:r>
              <w:t>27</w:t>
            </w:r>
          </w:p>
        </w:tc>
        <w:tc>
          <w:tcPr>
            <w:tcW w:w="1275" w:type="dxa"/>
          </w:tcPr>
          <w:p w14:paraId="637EDC63" w14:textId="3935B785" w:rsidR="0013256E" w:rsidRDefault="0013256E" w:rsidP="0013256E">
            <w:r>
              <w:t>4.066</w:t>
            </w:r>
          </w:p>
        </w:tc>
        <w:tc>
          <w:tcPr>
            <w:tcW w:w="1134" w:type="dxa"/>
          </w:tcPr>
          <w:p w14:paraId="14D9AB51" w14:textId="6E5539D3" w:rsidR="0013256E" w:rsidRDefault="0013256E" w:rsidP="0013256E">
            <w:r>
              <w:t>0.0006</w:t>
            </w:r>
          </w:p>
        </w:tc>
        <w:tc>
          <w:tcPr>
            <w:tcW w:w="2051" w:type="dxa"/>
          </w:tcPr>
          <w:p w14:paraId="7D8E04BC" w14:textId="29B6AE42" w:rsidR="0013256E" w:rsidRDefault="0013256E" w:rsidP="0013256E">
            <w:r>
              <w:t>0.8970*</w:t>
            </w:r>
          </w:p>
        </w:tc>
      </w:tr>
      <w:tr w:rsidR="0013256E" w14:paraId="6F4C1FC4" w14:textId="77777777" w:rsidTr="0013256E">
        <w:tc>
          <w:tcPr>
            <w:tcW w:w="2268" w:type="dxa"/>
            <w:tcBorders>
              <w:bottom w:val="single" w:sz="4" w:space="0" w:color="auto"/>
            </w:tcBorders>
          </w:tcPr>
          <w:p w14:paraId="2451350E" w14:textId="43924866" w:rsidR="0013256E" w:rsidRDefault="0013256E" w:rsidP="0013256E">
            <w:r>
              <w:t>Marine Connectivity</w:t>
            </w:r>
          </w:p>
        </w:tc>
        <w:tc>
          <w:tcPr>
            <w:tcW w:w="2410" w:type="dxa"/>
            <w:tcBorders>
              <w:bottom w:val="single" w:sz="4" w:space="0" w:color="auto"/>
            </w:tcBorders>
          </w:tcPr>
          <w:p w14:paraId="5A6D301A" w14:textId="67649A21" w:rsidR="0013256E" w:rsidRDefault="0013256E" w:rsidP="0013256E">
            <w:r>
              <w:t>N/A</w:t>
            </w:r>
          </w:p>
        </w:tc>
        <w:tc>
          <w:tcPr>
            <w:tcW w:w="1843" w:type="dxa"/>
            <w:tcBorders>
              <w:bottom w:val="single" w:sz="4" w:space="0" w:color="auto"/>
            </w:tcBorders>
          </w:tcPr>
          <w:p w14:paraId="29DB435E" w14:textId="6EDE9AE6" w:rsidR="0013256E" w:rsidRDefault="0013256E" w:rsidP="0013256E">
            <w:r>
              <w:t>-5.350</w:t>
            </w:r>
          </w:p>
        </w:tc>
        <w:tc>
          <w:tcPr>
            <w:tcW w:w="1843" w:type="dxa"/>
            <w:tcBorders>
              <w:bottom w:val="single" w:sz="4" w:space="0" w:color="auto"/>
            </w:tcBorders>
          </w:tcPr>
          <w:p w14:paraId="5BB43288" w14:textId="519F2864" w:rsidR="0013256E" w:rsidRDefault="0013256E" w:rsidP="0013256E">
            <w:r>
              <w:t>1.5851</w:t>
            </w:r>
          </w:p>
        </w:tc>
        <w:tc>
          <w:tcPr>
            <w:tcW w:w="1134" w:type="dxa"/>
            <w:tcBorders>
              <w:bottom w:val="single" w:sz="4" w:space="0" w:color="auto"/>
            </w:tcBorders>
          </w:tcPr>
          <w:p w14:paraId="2B036CE4" w14:textId="07E7C177" w:rsidR="0013256E" w:rsidRDefault="0013256E" w:rsidP="0013256E">
            <w:r>
              <w:t>27</w:t>
            </w:r>
          </w:p>
        </w:tc>
        <w:tc>
          <w:tcPr>
            <w:tcW w:w="1275" w:type="dxa"/>
            <w:tcBorders>
              <w:bottom w:val="single" w:sz="4" w:space="0" w:color="auto"/>
            </w:tcBorders>
          </w:tcPr>
          <w:p w14:paraId="3D75265E" w14:textId="4A5328E4" w:rsidR="0013256E" w:rsidRDefault="0013256E" w:rsidP="0013256E">
            <w:r>
              <w:t>-3.375</w:t>
            </w:r>
          </w:p>
        </w:tc>
        <w:tc>
          <w:tcPr>
            <w:tcW w:w="1134" w:type="dxa"/>
            <w:tcBorders>
              <w:bottom w:val="single" w:sz="4" w:space="0" w:color="auto"/>
            </w:tcBorders>
          </w:tcPr>
          <w:p w14:paraId="524DBF2F" w14:textId="0FB63600" w:rsidR="0013256E" w:rsidRDefault="0013256E" w:rsidP="0013256E">
            <w:r>
              <w:t>0.0029</w:t>
            </w:r>
          </w:p>
        </w:tc>
        <w:tc>
          <w:tcPr>
            <w:tcW w:w="2051" w:type="dxa"/>
            <w:tcBorders>
              <w:bottom w:val="single" w:sz="4" w:space="0" w:color="auto"/>
            </w:tcBorders>
          </w:tcPr>
          <w:p w14:paraId="0BAC6284" w14:textId="7889F7FD" w:rsidR="0013256E" w:rsidRDefault="0013256E" w:rsidP="0013256E">
            <w:r>
              <w:t>-0.0412*</w:t>
            </w:r>
            <w:r w:rsidRPr="00D9246D">
              <w:rPr>
                <w:vertAlign w:val="superscript"/>
              </w:rPr>
              <w:t>†</w:t>
            </w:r>
          </w:p>
        </w:tc>
      </w:tr>
      <w:bookmarkEnd w:id="1"/>
      <w:bookmarkEnd w:id="2"/>
    </w:tbl>
    <w:p w14:paraId="5FD1749F" w14:textId="77777777" w:rsidR="00C5524A" w:rsidRDefault="00C5524A" w:rsidP="00B55DB3"/>
    <w:p w14:paraId="5A897933" w14:textId="187BC8C2" w:rsidR="00C5524A" w:rsidRDefault="00C5524A" w:rsidP="00B55DB3">
      <w:pPr>
        <w:sectPr w:rsidR="00C5524A" w:rsidSect="00E62D35">
          <w:pgSz w:w="16838" w:h="11906" w:orient="landscape"/>
          <w:pgMar w:top="1440" w:right="1440" w:bottom="1440" w:left="1440" w:header="708" w:footer="708" w:gutter="0"/>
          <w:lnNumType w:countBy="1" w:restart="continuous"/>
          <w:cols w:space="708"/>
          <w:docGrid w:linePitch="360"/>
        </w:sectPr>
      </w:pPr>
    </w:p>
    <w:p w14:paraId="5800A229" w14:textId="540A2F34" w:rsidR="000E0235" w:rsidRDefault="000E0235" w:rsidP="00F44AF4">
      <w:pPr>
        <w:spacing w:after="160" w:line="360" w:lineRule="auto"/>
        <w:rPr>
          <w:b/>
          <w:noProof/>
        </w:rPr>
      </w:pPr>
      <w:r>
        <w:rPr>
          <w:b/>
          <w:noProof/>
          <w:highlight w:val="cyan"/>
        </w:rPr>
        <w:lastRenderedPageBreak/>
        <w:drawing>
          <wp:anchor distT="0" distB="0" distL="114300" distR="114300" simplePos="0" relativeHeight="251673600" behindDoc="0" locked="0" layoutInCell="1" allowOverlap="1" wp14:anchorId="25C1C093" wp14:editId="1A0CAF30">
            <wp:simplePos x="0" y="0"/>
            <wp:positionH relativeFrom="margin">
              <wp:align>center</wp:align>
            </wp:positionH>
            <wp:positionV relativeFrom="paragraph">
              <wp:posOffset>344805</wp:posOffset>
            </wp:positionV>
            <wp:extent cx="6062345" cy="4304030"/>
            <wp:effectExtent l="0" t="0" r="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2345" cy="4304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13E160" w14:textId="29178017" w:rsidR="003732E2" w:rsidRPr="000A41A2" w:rsidRDefault="003732E2" w:rsidP="00F44AF4">
      <w:pPr>
        <w:spacing w:after="160" w:line="360" w:lineRule="auto"/>
        <w:rPr>
          <w:b/>
          <w:noProof/>
        </w:rPr>
      </w:pPr>
      <w:r>
        <w:rPr>
          <w:b/>
        </w:rPr>
        <w:t xml:space="preserve">Figure 3. </w:t>
      </w:r>
      <w:r w:rsidR="00B66C5A">
        <w:t xml:space="preserve">Final Structural Equation Model for variables representing climatic and geomorphological drivers of mangrove </w:t>
      </w:r>
      <w:r w:rsidR="00DD47A6">
        <w:t xml:space="preserve">distribution </w:t>
      </w:r>
      <w:r w:rsidR="00B66C5A">
        <w:t xml:space="preserve">patterns along the South African coastline. Path coefficients are estimated values in the units of the respective response variables. Black lines indicate positive significant effects, red lines indicate negative significant effects, </w:t>
      </w:r>
      <w:r w:rsidR="00DD47A6">
        <w:t xml:space="preserve">and </w:t>
      </w:r>
      <w:r w:rsidR="00B66C5A">
        <w:t>grey lines indicate non-significant effects (</w:t>
      </w:r>
      <w:r w:rsidR="00B66C5A">
        <w:rPr>
          <w:i/>
        </w:rPr>
        <w:t xml:space="preserve">p </w:t>
      </w:r>
      <w:r w:rsidR="00B66C5A">
        <w:t>&gt; 0.05). Arrows are scaled by the magnitude of the beta coefficients.</w:t>
      </w:r>
      <w:r w:rsidR="0036161C">
        <w:t xml:space="preserve"> </w:t>
      </w:r>
    </w:p>
    <w:p w14:paraId="565ADE2E" w14:textId="5B4EEE2B" w:rsidR="003732E2" w:rsidRDefault="003732E2" w:rsidP="00F44AF4">
      <w:pPr>
        <w:spacing w:after="160" w:line="360" w:lineRule="auto"/>
        <w:sectPr w:rsidR="003732E2" w:rsidSect="00E62D35">
          <w:pgSz w:w="16838" w:h="11906" w:orient="landscape"/>
          <w:pgMar w:top="1440" w:right="1440" w:bottom="1440" w:left="1440" w:header="708" w:footer="708" w:gutter="0"/>
          <w:lnNumType w:countBy="1" w:restart="continuous"/>
          <w:cols w:space="708"/>
          <w:docGrid w:linePitch="360"/>
        </w:sectPr>
      </w:pPr>
    </w:p>
    <w:p w14:paraId="46D0D61F" w14:textId="09CE377C" w:rsidR="00B55DB3" w:rsidRDefault="000A77C1" w:rsidP="00B55DB3">
      <w:pPr>
        <w:pStyle w:val="Heading1"/>
        <w:spacing w:line="276" w:lineRule="auto"/>
      </w:pPr>
      <w:r>
        <w:lastRenderedPageBreak/>
        <w:t xml:space="preserve">4 </w:t>
      </w:r>
      <w:r w:rsidR="00B55DB3">
        <w:t>Discussion</w:t>
      </w:r>
    </w:p>
    <w:p w14:paraId="459F7C54" w14:textId="24236DC1" w:rsidR="00D74F5A" w:rsidRDefault="00AA29E1" w:rsidP="00405CD0">
      <w:pPr>
        <w:spacing w:line="360" w:lineRule="auto"/>
      </w:pPr>
      <w:r>
        <w:t xml:space="preserve">Global </w:t>
      </w:r>
      <w:r w:rsidR="00CD075F">
        <w:t xml:space="preserve">datasets of temperature and rainfall gradients have been used to examine regional biogeographic patterns in mangrove distribution and species richness </w:t>
      </w:r>
      <w:r w:rsidR="00EC4DD5" w:rsidRPr="00EC4DD5">
        <w:rPr>
          <w:rFonts w:cs="Arial"/>
        </w:rPr>
        <w:t>(</w:t>
      </w:r>
      <w:proofErr w:type="spellStart"/>
      <w:r w:rsidR="00EC4DD5" w:rsidRPr="00EC4DD5">
        <w:rPr>
          <w:rFonts w:cs="Arial"/>
        </w:rPr>
        <w:t>Osland</w:t>
      </w:r>
      <w:proofErr w:type="spellEnd"/>
      <w:r w:rsidR="00EC4DD5" w:rsidRPr="00EC4DD5">
        <w:rPr>
          <w:rFonts w:cs="Arial"/>
        </w:rPr>
        <w:t xml:space="preserve"> et al. 2017</w:t>
      </w:r>
      <w:r w:rsidR="007913D8">
        <w:rPr>
          <w:rFonts w:cs="Arial"/>
        </w:rPr>
        <w:t>b</w:t>
      </w:r>
      <w:r w:rsidR="00EC4DD5" w:rsidRPr="00EC4DD5">
        <w:rPr>
          <w:rFonts w:cs="Arial"/>
        </w:rPr>
        <w:t>, Hickey et al. 2017)</w:t>
      </w:r>
      <w:r w:rsidR="00CD075F">
        <w:t xml:space="preserve">. However, regional scale studies have identified that </w:t>
      </w:r>
      <w:r w:rsidR="005B4B35">
        <w:t xml:space="preserve">local conditions can have strong control </w:t>
      </w:r>
      <w:r w:rsidR="00DD47A6">
        <w:t xml:space="preserve">over </w:t>
      </w:r>
      <w:r w:rsidR="005B4B35">
        <w:t>mangrove biogeographic patterns</w:t>
      </w:r>
      <w:r w:rsidR="00CD075F">
        <w:t xml:space="preserve"> </w:t>
      </w:r>
      <w:r w:rsidR="00CD075F" w:rsidRPr="00CD075F">
        <w:rPr>
          <w:rFonts w:cs="Arial"/>
        </w:rPr>
        <w:t>(Schaeffer-</w:t>
      </w:r>
      <w:proofErr w:type="spellStart"/>
      <w:r w:rsidR="00CD075F" w:rsidRPr="00CD075F">
        <w:rPr>
          <w:rFonts w:cs="Arial"/>
        </w:rPr>
        <w:t>Novelli</w:t>
      </w:r>
      <w:proofErr w:type="spellEnd"/>
      <w:r w:rsidR="00CD075F" w:rsidRPr="00CD075F">
        <w:rPr>
          <w:rFonts w:cs="Arial"/>
        </w:rPr>
        <w:t xml:space="preserve"> et al. 1990, Duke et al. 1998, Stevens et al. 2006)</w:t>
      </w:r>
      <w:r w:rsidR="00CD075F">
        <w:t xml:space="preserve">. </w:t>
      </w:r>
      <w:r w:rsidR="00412BC1">
        <w:t xml:space="preserve">Here we provide the first report on the importance of regional and local factors as drivers of mangrove </w:t>
      </w:r>
      <w:r w:rsidR="00511C67">
        <w:t xml:space="preserve">distribution </w:t>
      </w:r>
      <w:r w:rsidR="00412BC1">
        <w:t xml:space="preserve">along the coastline of South Africa. </w:t>
      </w:r>
    </w:p>
    <w:p w14:paraId="294343A2" w14:textId="23ED7859" w:rsidR="00D74F5A" w:rsidRDefault="000A77C1" w:rsidP="001A1934">
      <w:pPr>
        <w:pStyle w:val="Heading2"/>
      </w:pPr>
      <w:r>
        <w:t xml:space="preserve">4.1 </w:t>
      </w:r>
      <w:r w:rsidR="006F788E">
        <w:t>Importance of geomorphology as a control on mangrove distribution</w:t>
      </w:r>
    </w:p>
    <w:p w14:paraId="69350CAA" w14:textId="6C16CC45" w:rsidR="00511C67" w:rsidRDefault="00927DA7" w:rsidP="000B1959">
      <w:pPr>
        <w:spacing w:line="360" w:lineRule="auto"/>
      </w:pPr>
      <w:r>
        <w:t>In this study, Floodplain Area was a significant predictor of Mangrove Area</w:t>
      </w:r>
      <w:r w:rsidR="00DD47A6">
        <w:t>,</w:t>
      </w:r>
      <w:r>
        <w:t xml:space="preserve"> and these two variables </w:t>
      </w:r>
      <w:r w:rsidR="003C5105">
        <w:t>were</w:t>
      </w:r>
      <w:r>
        <w:t xml:space="preserve"> closely correlated. </w:t>
      </w:r>
      <w:r w:rsidR="00C0058B">
        <w:t>T</w:t>
      </w:r>
      <w:r w:rsidR="00617C77">
        <w:t xml:space="preserve">he gradient of the shoreline significantly influences the development of mangrove forests as different geologic settings and hydrological fluxes drive </w:t>
      </w:r>
      <w:r w:rsidR="00433AB1">
        <w:t xml:space="preserve">establishment </w:t>
      </w:r>
      <w:r w:rsidR="00617C77">
        <w:t xml:space="preserve">patterns </w:t>
      </w:r>
      <w:r w:rsidR="007466DB">
        <w:t>in relation to species tolerance ranges</w:t>
      </w:r>
      <w:r w:rsidR="00617C77">
        <w:t xml:space="preserve"> </w:t>
      </w:r>
      <w:r w:rsidR="007C0759" w:rsidRPr="007C0759">
        <w:rPr>
          <w:rFonts w:cs="Arial"/>
        </w:rPr>
        <w:t>(</w:t>
      </w:r>
      <w:proofErr w:type="spellStart"/>
      <w:r w:rsidR="007C0759" w:rsidRPr="007C0759">
        <w:rPr>
          <w:rFonts w:cs="Arial"/>
        </w:rPr>
        <w:t>Semeniuk</w:t>
      </w:r>
      <w:proofErr w:type="spellEnd"/>
      <w:r w:rsidR="007C0759" w:rsidRPr="007C0759">
        <w:rPr>
          <w:rFonts w:cs="Arial"/>
        </w:rPr>
        <w:t xml:space="preserve"> 1985, Woodroffe 1992, </w:t>
      </w:r>
      <w:proofErr w:type="spellStart"/>
      <w:r w:rsidR="007C0759" w:rsidRPr="007C0759">
        <w:rPr>
          <w:rFonts w:cs="Arial"/>
        </w:rPr>
        <w:t>Balke</w:t>
      </w:r>
      <w:proofErr w:type="spellEnd"/>
      <w:r w:rsidR="007C0759" w:rsidRPr="007C0759">
        <w:rPr>
          <w:rFonts w:cs="Arial"/>
        </w:rPr>
        <w:t xml:space="preserve"> &amp; </w:t>
      </w:r>
      <w:proofErr w:type="spellStart"/>
      <w:r w:rsidR="007C0759" w:rsidRPr="007C0759">
        <w:rPr>
          <w:rFonts w:cs="Arial"/>
        </w:rPr>
        <w:t>Friess</w:t>
      </w:r>
      <w:proofErr w:type="spellEnd"/>
      <w:r w:rsidR="007C0759" w:rsidRPr="007C0759">
        <w:rPr>
          <w:rFonts w:cs="Arial"/>
        </w:rPr>
        <w:t xml:space="preserve"> 2016)</w:t>
      </w:r>
      <w:r w:rsidR="0054025D">
        <w:t xml:space="preserve">. </w:t>
      </w:r>
      <w:r w:rsidR="00357FCA">
        <w:t>A</w:t>
      </w:r>
      <w:r w:rsidR="0054025D">
        <w:t>reas within estuaries that are most suitable for mangrove habitat have low gradients and low energy</w:t>
      </w:r>
      <w:r w:rsidR="009229C5">
        <w:t>,</w:t>
      </w:r>
      <w:r w:rsidR="0054025D">
        <w:t xml:space="preserve"> </w:t>
      </w:r>
      <w:r w:rsidR="00FD0F2C">
        <w:t xml:space="preserve">and these conditions promote sediment deposition </w:t>
      </w:r>
      <w:r w:rsidR="0054025D" w:rsidRPr="0054025D">
        <w:rPr>
          <w:rFonts w:cs="Arial"/>
        </w:rPr>
        <w:t>(Boyd et al. 1992, Dalrymple et al. 1992)</w:t>
      </w:r>
      <w:r w:rsidR="0020220B">
        <w:rPr>
          <w:rFonts w:cs="Arial"/>
        </w:rPr>
        <w:t xml:space="preserve"> </w:t>
      </w:r>
      <w:r w:rsidR="0020220B">
        <w:t xml:space="preserve">and facilitate mangrove establishment </w:t>
      </w:r>
      <w:r w:rsidR="0020220B" w:rsidRPr="000A6353">
        <w:rPr>
          <w:rFonts w:cs="Arial"/>
        </w:rPr>
        <w:t>(Woodroffe 1992, Roy et al. 2001, Krauss et al. 2008)</w:t>
      </w:r>
      <w:r w:rsidR="0020220B">
        <w:t xml:space="preserve">. </w:t>
      </w:r>
      <w:r w:rsidR="0020220B">
        <w:rPr>
          <w:rFonts w:cs="Arial"/>
        </w:rPr>
        <w:t xml:space="preserve">The </w:t>
      </w:r>
      <w:r w:rsidR="00CD49FF">
        <w:rPr>
          <w:rFonts w:cs="Arial"/>
        </w:rPr>
        <w:t>suitability</w:t>
      </w:r>
      <w:r w:rsidR="0020220B">
        <w:rPr>
          <w:rFonts w:cs="Arial"/>
        </w:rPr>
        <w:t xml:space="preserve"> of these areas to mangroves is determined by </w:t>
      </w:r>
      <w:r w:rsidR="0020220B">
        <w:t xml:space="preserve">the relationship between the surface sediment height and the upper tidal level limit </w:t>
      </w:r>
      <w:r w:rsidR="0020220B" w:rsidRPr="00463BCB">
        <w:rPr>
          <w:rFonts w:cs="Arial"/>
        </w:rPr>
        <w:t>(Woodroffe et al. 2016)</w:t>
      </w:r>
      <w:r w:rsidR="00685F98">
        <w:rPr>
          <w:rFonts w:cs="Arial"/>
        </w:rPr>
        <w:t>.</w:t>
      </w:r>
      <w:r w:rsidR="0020220B">
        <w:t xml:space="preserve"> </w:t>
      </w:r>
      <w:r w:rsidR="00685F98">
        <w:t>T</w:t>
      </w:r>
      <w:r w:rsidR="0020220B">
        <w:t xml:space="preserve">his zone is </w:t>
      </w:r>
      <w:r w:rsidR="00685F98">
        <w:t xml:space="preserve">geologically </w:t>
      </w:r>
      <w:r w:rsidR="0020220B">
        <w:t>defined in terms of ‘accommodation space’</w:t>
      </w:r>
      <w:r w:rsidR="00685F98">
        <w:t xml:space="preserve"> which is “the space available for potential sediment accumulation” </w:t>
      </w:r>
      <w:r w:rsidR="00685F98" w:rsidRPr="00960D22">
        <w:rPr>
          <w:rFonts w:cs="Arial"/>
        </w:rPr>
        <w:t>(</w:t>
      </w:r>
      <w:proofErr w:type="spellStart"/>
      <w:r w:rsidR="00685F98" w:rsidRPr="00960D22">
        <w:rPr>
          <w:rFonts w:cs="Arial"/>
        </w:rPr>
        <w:t>Jervey</w:t>
      </w:r>
      <w:proofErr w:type="spellEnd"/>
      <w:r w:rsidR="00685F98" w:rsidRPr="00960D22">
        <w:rPr>
          <w:rFonts w:cs="Arial"/>
        </w:rPr>
        <w:t xml:space="preserve"> </w:t>
      </w:r>
      <w:r w:rsidR="00685F98" w:rsidRPr="00357FCA">
        <w:t xml:space="preserve">1988). </w:t>
      </w:r>
    </w:p>
    <w:p w14:paraId="21D0810D" w14:textId="4F21224E" w:rsidR="002C4E18" w:rsidRDefault="00C45C71" w:rsidP="000B1959">
      <w:pPr>
        <w:spacing w:line="360" w:lineRule="auto"/>
      </w:pPr>
      <w:r>
        <w:t xml:space="preserve">Tidal and fluvial hydrodynamics affect accommodation space by </w:t>
      </w:r>
      <w:r w:rsidR="004E7B37">
        <w:t>driving erosion or deposition of sediment</w:t>
      </w:r>
      <w:r w:rsidR="003120E6">
        <w:t>,</w:t>
      </w:r>
      <w:r w:rsidR="004E7B37">
        <w:t xml:space="preserve"> which determines </w:t>
      </w:r>
      <w:r>
        <w:t xml:space="preserve">accretion and subsidence dynamics </w:t>
      </w:r>
      <w:r w:rsidR="000C782A" w:rsidRPr="000C782A">
        <w:rPr>
          <w:rFonts w:cs="Arial"/>
        </w:rPr>
        <w:t xml:space="preserve">(FitzGerald 1996, </w:t>
      </w:r>
      <w:proofErr w:type="spellStart"/>
      <w:r w:rsidR="000C782A" w:rsidRPr="000C782A">
        <w:rPr>
          <w:rFonts w:cs="Arial"/>
        </w:rPr>
        <w:t>Adame</w:t>
      </w:r>
      <w:proofErr w:type="spellEnd"/>
      <w:r w:rsidR="000C782A" w:rsidRPr="000C782A">
        <w:rPr>
          <w:rFonts w:cs="Arial"/>
        </w:rPr>
        <w:t xml:space="preserve"> et al. 2010)</w:t>
      </w:r>
      <w:r>
        <w:t xml:space="preserve">. </w:t>
      </w:r>
      <w:r w:rsidR="00CD49FF">
        <w:t>N</w:t>
      </w:r>
      <w:r w:rsidR="00927DA7">
        <w:t xml:space="preserve">et sediment accumulation is expected </w:t>
      </w:r>
      <w:r w:rsidR="001477D0">
        <w:t xml:space="preserve">in microtidal estuaries, </w:t>
      </w:r>
      <w:r w:rsidR="00E30D5C">
        <w:t xml:space="preserve">such as those along the South African coastline, </w:t>
      </w:r>
      <w:r w:rsidR="00927DA7">
        <w:t xml:space="preserve">as </w:t>
      </w:r>
      <w:r w:rsidR="008437BF">
        <w:t xml:space="preserve">inputs received from marine and fluvial sources </w:t>
      </w:r>
      <w:r w:rsidR="00927DA7">
        <w:t>are only periodically scoured by river floods</w:t>
      </w:r>
      <w:r w:rsidR="00E30D5C">
        <w:t xml:space="preserve"> (Cooper 2001)</w:t>
      </w:r>
      <w:r w:rsidR="00CD49FF">
        <w:t xml:space="preserve">. </w:t>
      </w:r>
      <w:bookmarkStart w:id="3" w:name="_Hlk11317290"/>
      <w:r w:rsidR="001F104B">
        <w:t>Sediment accumulation can restrict the occurrence of coastal wetlands such as mangroves when high accretion rates build elevations above the suitable intertidal zone (</w:t>
      </w:r>
      <w:proofErr w:type="spellStart"/>
      <w:r w:rsidR="001F104B">
        <w:t>Saintilan</w:t>
      </w:r>
      <w:proofErr w:type="spellEnd"/>
      <w:r w:rsidR="001F104B">
        <w:t xml:space="preserve"> et al. 2016). In this study</w:t>
      </w:r>
      <w:r w:rsidR="003120E6">
        <w:t>,</w:t>
      </w:r>
      <w:r w:rsidR="001F104B">
        <w:t xml:space="preserve"> we attempted to include an index of Catchment Erodibility as a proxy for sediment inputs, but it was not a significant predictor in the mangrove area model. </w:t>
      </w:r>
      <w:r w:rsidR="002C4E18">
        <w:t>However, t</w:t>
      </w:r>
      <w:r w:rsidR="008D00A9">
        <w:t xml:space="preserve">he restricted occurrence of mangroves in this region has been attributed to </w:t>
      </w:r>
      <w:r w:rsidR="003120E6">
        <w:t xml:space="preserve">the </w:t>
      </w:r>
      <w:r w:rsidR="008D00A9">
        <w:t>dominance of coarse-grained terrigenous sediment</w:t>
      </w:r>
      <w:r w:rsidR="002C4E18">
        <w:t xml:space="preserve"> and limited accommodation space in relation to the stage of geomorphological development of these estuaries (Cooper et al. 2018). </w:t>
      </w:r>
    </w:p>
    <w:p w14:paraId="2D823F6F" w14:textId="34188AAE" w:rsidR="002C4E18" w:rsidRDefault="002C4E18" w:rsidP="002C4E18">
      <w:pPr>
        <w:spacing w:line="360" w:lineRule="auto"/>
      </w:pPr>
      <w:bookmarkStart w:id="4" w:name="_Hlk11317304"/>
      <w:bookmarkEnd w:id="3"/>
      <w:r>
        <w:lastRenderedPageBreak/>
        <w:t xml:space="preserve">Along the South African coastline, almost all estuaries occur in incised bedrock valleys of drowned rivers following post-glacial sea-level change in the Mid-Holocene 6000-7300 years ago </w:t>
      </w:r>
      <w:r w:rsidRPr="002607A5">
        <w:rPr>
          <w:rFonts w:cs="Arial"/>
        </w:rPr>
        <w:t>(Whitfield 1992, Cooper et al. 2018)</w:t>
      </w:r>
      <w:r>
        <w:t>. The evolution of modern estuaries from drowned river valleys to mature systems infilled with sediment characterizes the development of the floodplain (</w:t>
      </w:r>
      <w:proofErr w:type="spellStart"/>
      <w:r>
        <w:t>Skilbeck</w:t>
      </w:r>
      <w:proofErr w:type="spellEnd"/>
      <w:r>
        <w:t xml:space="preserve"> et al. 2017). </w:t>
      </w:r>
      <w:r w:rsidR="006E4FFA">
        <w:t xml:space="preserve">The young geological age of South African estuaries is therefore reflected in the importance of floodplain development as a predictor of mangrove area as the largest forests occur within the few coastal plain estuaries and natural </w:t>
      </w:r>
      <w:proofErr w:type="spellStart"/>
      <w:r w:rsidR="006E4FFA">
        <w:t>embayments</w:t>
      </w:r>
      <w:proofErr w:type="spellEnd"/>
      <w:r w:rsidR="006E4FFA">
        <w:t xml:space="preserve"> along the KwaZulu-Natal coast </w:t>
      </w:r>
      <w:r w:rsidR="006E4FFA" w:rsidRPr="00057A2B">
        <w:rPr>
          <w:rFonts w:cs="Arial"/>
        </w:rPr>
        <w:t>(</w:t>
      </w:r>
      <w:proofErr w:type="spellStart"/>
      <w:r w:rsidR="006E4FFA" w:rsidRPr="00057A2B">
        <w:rPr>
          <w:rFonts w:cs="Arial"/>
        </w:rPr>
        <w:t>Rajkaran</w:t>
      </w:r>
      <w:proofErr w:type="spellEnd"/>
      <w:r w:rsidR="006E4FFA" w:rsidRPr="00057A2B">
        <w:rPr>
          <w:rFonts w:cs="Arial"/>
        </w:rPr>
        <w:t xml:space="preserve"> &amp; Adams 2011, Adams et al. 2016)</w:t>
      </w:r>
      <w:r w:rsidR="006E4FFA">
        <w:t>.</w:t>
      </w:r>
    </w:p>
    <w:bookmarkEnd w:id="4"/>
    <w:p w14:paraId="0A6D4EE8" w14:textId="574C9DB2" w:rsidR="00810157" w:rsidRDefault="00D31DDA" w:rsidP="000B1959">
      <w:pPr>
        <w:spacing w:line="360" w:lineRule="auto"/>
      </w:pPr>
      <w:r>
        <w:t>The transition of an estuary from one geomorphic state to another is determined by sea level, waves, tides</w:t>
      </w:r>
      <w:r w:rsidR="003120E6">
        <w:t>,</w:t>
      </w:r>
      <w:r>
        <w:t xml:space="preserve"> and river processes </w:t>
      </w:r>
      <w:r w:rsidRPr="00D31DDA">
        <w:rPr>
          <w:rFonts w:cs="Arial"/>
        </w:rPr>
        <w:t>(Boyd et al. 1992, Dalrymple et al. 1992)</w:t>
      </w:r>
      <w:r>
        <w:t xml:space="preserve">. </w:t>
      </w:r>
      <w:r w:rsidR="00057A2B">
        <w:t xml:space="preserve">In this study, </w:t>
      </w:r>
      <w:r w:rsidR="008D39D8">
        <w:t>Inlet Stability</w:t>
      </w:r>
      <w:r w:rsidR="00057A2B">
        <w:t xml:space="preserve"> and Daily Flushing Rate were significant predictors of Mangrove Area. </w:t>
      </w:r>
      <w:r w:rsidR="00C96192">
        <w:t xml:space="preserve">The interplay between </w:t>
      </w:r>
      <w:r w:rsidR="00057A2B">
        <w:t>nearshore energy</w:t>
      </w:r>
      <w:r w:rsidR="007A25BF">
        <w:t xml:space="preserve"> as well as </w:t>
      </w:r>
      <w:r w:rsidR="00057A2B">
        <w:t>tidal and fluvial</w:t>
      </w:r>
      <w:r w:rsidR="00C96192">
        <w:t xml:space="preserve"> mechanisms determine</w:t>
      </w:r>
      <w:r w:rsidR="00057A2B">
        <w:t>s</w:t>
      </w:r>
      <w:r w:rsidR="00C96192">
        <w:t xml:space="preserve"> whether an estuary is wave-dominated or tide-dominated </w:t>
      </w:r>
      <w:r w:rsidR="006B4CB7" w:rsidRPr="006B4CB7">
        <w:rPr>
          <w:rFonts w:cs="Arial"/>
        </w:rPr>
        <w:t>(</w:t>
      </w:r>
      <w:proofErr w:type="spellStart"/>
      <w:r w:rsidR="006B4CB7" w:rsidRPr="006B4CB7">
        <w:rPr>
          <w:rFonts w:cs="Arial"/>
        </w:rPr>
        <w:t>Daidu</w:t>
      </w:r>
      <w:proofErr w:type="spellEnd"/>
      <w:r w:rsidR="006B4CB7" w:rsidRPr="006B4CB7">
        <w:rPr>
          <w:rFonts w:cs="Arial"/>
        </w:rPr>
        <w:t xml:space="preserve"> et al. 2013, </w:t>
      </w:r>
      <w:proofErr w:type="spellStart"/>
      <w:r w:rsidR="006B4CB7" w:rsidRPr="006B4CB7">
        <w:rPr>
          <w:rFonts w:cs="Arial"/>
        </w:rPr>
        <w:t>Skilbeck</w:t>
      </w:r>
      <w:proofErr w:type="spellEnd"/>
      <w:r w:rsidR="006B4CB7" w:rsidRPr="006B4CB7">
        <w:rPr>
          <w:rFonts w:cs="Arial"/>
        </w:rPr>
        <w:t xml:space="preserve"> et al. 2017)</w:t>
      </w:r>
      <w:r w:rsidR="00C96192">
        <w:t xml:space="preserve">. </w:t>
      </w:r>
      <w:r w:rsidR="000E1B50" w:rsidRPr="00C0058B">
        <w:t>Most</w:t>
      </w:r>
      <w:r w:rsidR="000E1B50">
        <w:t xml:space="preserve"> </w:t>
      </w:r>
      <w:r w:rsidR="00AC7D32">
        <w:t>estuaries along the eastern South African coastline are wave-dominated</w:t>
      </w:r>
      <w:r w:rsidR="0055318F">
        <w:t>,</w:t>
      </w:r>
      <w:r w:rsidR="00C565CD">
        <w:t xml:space="preserve"> as high nearshore energy </w:t>
      </w:r>
      <w:r w:rsidR="0020237B">
        <w:t xml:space="preserve">promotes </w:t>
      </w:r>
      <w:r w:rsidR="00C565CD">
        <w:t>deposit</w:t>
      </w:r>
      <w:r w:rsidR="0020237B">
        <w:t>ion of</w:t>
      </w:r>
      <w:r w:rsidR="00C565CD">
        <w:t xml:space="preserve"> sediment as a barrier at the </w:t>
      </w:r>
      <w:r w:rsidR="009226DD">
        <w:t>opening</w:t>
      </w:r>
      <w:r w:rsidR="003120E6">
        <w:t>,</w:t>
      </w:r>
      <w:r w:rsidR="00C565CD">
        <w:t xml:space="preserve"> and this </w:t>
      </w:r>
      <w:r w:rsidR="000E0235">
        <w:t>reduces the stability of the inlet</w:t>
      </w:r>
      <w:r w:rsidR="00057A2B">
        <w:t>, particularly if fluvial flows are relatively weak</w:t>
      </w:r>
      <w:r w:rsidR="00C565CD">
        <w:t xml:space="preserve"> </w:t>
      </w:r>
      <w:r w:rsidR="00077F0B" w:rsidRPr="00077F0B">
        <w:rPr>
          <w:rFonts w:cs="Arial"/>
        </w:rPr>
        <w:t>(Whitfield 1992, Cooper 2001, McSweeney et al. 2017)</w:t>
      </w:r>
      <w:r w:rsidR="00C565CD">
        <w:t xml:space="preserve">. </w:t>
      </w:r>
      <w:r w:rsidR="001A3B04">
        <w:t>This can lead to p</w:t>
      </w:r>
      <w:r w:rsidR="00F22A2C">
        <w:t>rolonged closure</w:t>
      </w:r>
      <w:r w:rsidR="003120E6">
        <w:t>,</w:t>
      </w:r>
      <w:r w:rsidR="001A3B04">
        <w:t xml:space="preserve"> which </w:t>
      </w:r>
      <w:r w:rsidR="009C27FD">
        <w:t>can significantly impact mangroves as they are sensitive to changes in the inundation regime</w:t>
      </w:r>
      <w:r w:rsidR="000E0235">
        <w:t xml:space="preserve"> (Breen &amp; Hill 1969, Adams &amp; Human 2016, </w:t>
      </w:r>
      <w:proofErr w:type="spellStart"/>
      <w:r w:rsidR="000E0235">
        <w:t>Mbense</w:t>
      </w:r>
      <w:proofErr w:type="spellEnd"/>
      <w:r w:rsidR="000E0235">
        <w:t xml:space="preserve"> et al. 2016)</w:t>
      </w:r>
      <w:r w:rsidR="009C27FD">
        <w:t xml:space="preserve">. </w:t>
      </w:r>
    </w:p>
    <w:p w14:paraId="036A4736" w14:textId="77777777" w:rsidR="00810157" w:rsidRDefault="00316037" w:rsidP="000B1959">
      <w:pPr>
        <w:spacing w:line="360" w:lineRule="auto"/>
      </w:pPr>
      <w:r>
        <w:t xml:space="preserve">Although increased Daily Flushing Rate was hypothesized to maintain </w:t>
      </w:r>
      <w:r w:rsidR="008D39D8">
        <w:t>Inlet Stability</w:t>
      </w:r>
      <w:r>
        <w:t xml:space="preserve">, and therefore indirectly support mangrove habitat persistence, a significant </w:t>
      </w:r>
      <w:r w:rsidR="00CA0269">
        <w:t xml:space="preserve">negative </w:t>
      </w:r>
      <w:r>
        <w:t xml:space="preserve">direct effect on Mangrove Area was predicted by the model. </w:t>
      </w:r>
      <w:r w:rsidR="0064793D">
        <w:t xml:space="preserve">In this study, Daily Flushing Rate was defined by Mean Annual Runoff, Floodplain Area, and </w:t>
      </w:r>
      <w:proofErr w:type="spellStart"/>
      <w:r w:rsidR="0064793D">
        <w:t>Surfzone</w:t>
      </w:r>
      <w:proofErr w:type="spellEnd"/>
      <w:r w:rsidR="0064793D">
        <w:t xml:space="preserve"> Width, and this provides a proxy of the flow regime for an estuary as influenced by both fluvial and marine inputs. </w:t>
      </w:r>
      <w:r w:rsidR="00066802">
        <w:t xml:space="preserve">The importance of hydrology in maintaining mangrove forests has been highlighted </w:t>
      </w:r>
      <w:r w:rsidR="007735C5">
        <w:t>by</w:t>
      </w:r>
      <w:r w:rsidR="00066802">
        <w:t xml:space="preserve"> research on effective mangrove restoration</w:t>
      </w:r>
      <w:r w:rsidR="007735C5">
        <w:t xml:space="preserve"> </w:t>
      </w:r>
      <w:r w:rsidR="007735C5" w:rsidRPr="007735C5">
        <w:rPr>
          <w:rFonts w:cs="Arial"/>
          <w:szCs w:val="24"/>
        </w:rPr>
        <w:t>(Lewis 2005, Ferreira et al. 2015, Howard et al. 2017)</w:t>
      </w:r>
      <w:r w:rsidR="00066802">
        <w:t xml:space="preserve">. </w:t>
      </w:r>
      <w:r w:rsidR="009B7A95">
        <w:t xml:space="preserve">In </w:t>
      </w:r>
      <w:r w:rsidR="0064793D">
        <w:t xml:space="preserve">confined </w:t>
      </w:r>
      <w:r w:rsidR="009B7A95">
        <w:t>estuarine settings, the combined effects of fluvial and tidal discharges on sedimentation patterns determine mangrove establishment and persistence</w:t>
      </w:r>
      <w:r w:rsidR="0064793D">
        <w:t xml:space="preserve"> </w:t>
      </w:r>
      <w:r w:rsidR="0064793D" w:rsidRPr="0064793D">
        <w:rPr>
          <w:rFonts w:cs="Arial"/>
        </w:rPr>
        <w:t>(</w:t>
      </w:r>
      <w:proofErr w:type="spellStart"/>
      <w:r w:rsidR="0064793D" w:rsidRPr="0064793D">
        <w:rPr>
          <w:rFonts w:cs="Arial"/>
        </w:rPr>
        <w:t>Wolanski</w:t>
      </w:r>
      <w:proofErr w:type="spellEnd"/>
      <w:r w:rsidR="0064793D" w:rsidRPr="0064793D">
        <w:rPr>
          <w:rFonts w:cs="Arial"/>
        </w:rPr>
        <w:t xml:space="preserve"> 1992)</w:t>
      </w:r>
      <w:r w:rsidR="009B7A95">
        <w:t xml:space="preserve">. </w:t>
      </w:r>
      <w:r w:rsidR="00275052">
        <w:t>This results in different responses to extreme events in river</w:t>
      </w:r>
      <w:r w:rsidR="00275052" w:rsidRPr="009226DD">
        <w:t xml:space="preserve">- </w:t>
      </w:r>
      <w:r w:rsidR="000E1B50" w:rsidRPr="009226DD">
        <w:t xml:space="preserve">and </w:t>
      </w:r>
      <w:r w:rsidR="00275052" w:rsidRPr="009226DD">
        <w:t>tide</w:t>
      </w:r>
      <w:r w:rsidR="00275052">
        <w:t xml:space="preserve">-dominated estuaries </w:t>
      </w:r>
      <w:r w:rsidR="008966FE">
        <w:t>on high energy coastlines</w:t>
      </w:r>
      <w:r w:rsidR="00275052">
        <w:t xml:space="preserve"> </w:t>
      </w:r>
      <w:r w:rsidR="008966FE" w:rsidRPr="008966FE">
        <w:rPr>
          <w:rFonts w:cs="Arial"/>
        </w:rPr>
        <w:t>(Cooper 2002, Rogers &amp; Woodroffe 2016)</w:t>
      </w:r>
      <w:r w:rsidR="00275052">
        <w:t xml:space="preserve">. </w:t>
      </w:r>
      <w:r w:rsidR="00DE6B38">
        <w:t xml:space="preserve">Mangroves that occur in river-dominated estuaries are expected to be more prone to </w:t>
      </w:r>
      <w:r w:rsidR="00F0424D">
        <w:t xml:space="preserve">destabilization by </w:t>
      </w:r>
      <w:r w:rsidR="00DE6B38">
        <w:t xml:space="preserve">flood events as high energy flows erode the length of channels, while in tide-dominated estuaries the flood energy results in erosion of the barrier and tidal delta </w:t>
      </w:r>
      <w:r w:rsidR="00275052" w:rsidRPr="00275052">
        <w:rPr>
          <w:rFonts w:cs="Arial"/>
        </w:rPr>
        <w:t>(Cooper 2002)</w:t>
      </w:r>
      <w:r w:rsidR="0064793D">
        <w:t>.</w:t>
      </w:r>
      <w:r w:rsidR="00DE6B38">
        <w:t xml:space="preserve"> </w:t>
      </w:r>
    </w:p>
    <w:p w14:paraId="15E98D05" w14:textId="15AC6AFA" w:rsidR="00105DBA" w:rsidRDefault="003767B0" w:rsidP="000B1959">
      <w:pPr>
        <w:spacing w:line="360" w:lineRule="auto"/>
      </w:pPr>
      <w:r>
        <w:t xml:space="preserve">In combination, the geomorphological and physical characteristics of estuaries along the South African coastline have a strong influence on mangrove occurrence. Limited </w:t>
      </w:r>
      <w:r>
        <w:lastRenderedPageBreak/>
        <w:t xml:space="preserve">accommodation space in conjunction with </w:t>
      </w:r>
      <w:r w:rsidR="00810157">
        <w:t>the stability of the estuary inlet and connection to the marine environment</w:t>
      </w:r>
      <w:r>
        <w:t xml:space="preserve"> determine which estuaries can support persistent mangrove habitats. </w:t>
      </w:r>
    </w:p>
    <w:p w14:paraId="049F3F01" w14:textId="04339F19" w:rsidR="00D74F5A" w:rsidRDefault="000A77C1" w:rsidP="00946974">
      <w:pPr>
        <w:pStyle w:val="Heading2"/>
      </w:pPr>
      <w:r>
        <w:t xml:space="preserve">4.2 </w:t>
      </w:r>
      <w:r w:rsidR="00946974">
        <w:t>Climatic controls on mangrove biogeographic patterns</w:t>
      </w:r>
    </w:p>
    <w:p w14:paraId="7FBCF8FC" w14:textId="561B0470" w:rsidR="00E73B25" w:rsidRDefault="004908DA" w:rsidP="00504124">
      <w:pPr>
        <w:spacing w:line="360" w:lineRule="auto"/>
        <w:rPr>
          <w:rFonts w:cs="Arial"/>
        </w:rPr>
      </w:pPr>
      <w:r>
        <w:t xml:space="preserve">Mangroves occur at a southern continental limit and extend into a warm temperate biogeographic region along the South African coastline. In this study, </w:t>
      </w:r>
      <w:r w:rsidR="00C243D5">
        <w:t>temperature was</w:t>
      </w:r>
      <w:r>
        <w:t xml:space="preserve"> not </w:t>
      </w:r>
      <w:r w:rsidR="00C243D5">
        <w:t xml:space="preserve">a </w:t>
      </w:r>
      <w:r>
        <w:t xml:space="preserve">significant predictor in the model describing Mangrove Area. </w:t>
      </w:r>
      <w:r w:rsidR="000C41F3">
        <w:t xml:space="preserve">The use of average minimum temperatures as proxies for climatic thresholds at range limits has been criticized as they are not informative when there is a considerable range in extreme values </w:t>
      </w:r>
      <w:r w:rsidR="00EC4DD5" w:rsidRPr="00EC4DD5">
        <w:rPr>
          <w:rFonts w:cs="Arial"/>
        </w:rPr>
        <w:t>(</w:t>
      </w:r>
      <w:proofErr w:type="spellStart"/>
      <w:r w:rsidR="00EC4DD5" w:rsidRPr="00EC4DD5">
        <w:rPr>
          <w:rFonts w:cs="Arial"/>
        </w:rPr>
        <w:t>Osland</w:t>
      </w:r>
      <w:proofErr w:type="spellEnd"/>
      <w:r w:rsidR="00EC4DD5" w:rsidRPr="00EC4DD5">
        <w:rPr>
          <w:rFonts w:cs="Arial"/>
        </w:rPr>
        <w:t xml:space="preserve"> et al. 2017</w:t>
      </w:r>
      <w:r w:rsidR="007913D8">
        <w:rPr>
          <w:rFonts w:cs="Arial"/>
        </w:rPr>
        <w:t>b</w:t>
      </w:r>
      <w:r w:rsidR="00EC4DD5" w:rsidRPr="00EC4DD5">
        <w:rPr>
          <w:rFonts w:cs="Arial"/>
        </w:rPr>
        <w:t>)</w:t>
      </w:r>
      <w:r w:rsidR="000C41F3">
        <w:t xml:space="preserve">. For mangrove species, freeze events </w:t>
      </w:r>
      <w:r w:rsidR="00E308F3">
        <w:t>have been documented to control current distribution patterns</w:t>
      </w:r>
      <w:r w:rsidR="00B02F12">
        <w:t xml:space="preserve"> as these species are not frost</w:t>
      </w:r>
      <w:r w:rsidR="003120E6">
        <w:t>-</w:t>
      </w:r>
      <w:r w:rsidR="00B02F12">
        <w:t xml:space="preserve">tolerant </w:t>
      </w:r>
      <w:r w:rsidR="003C60B2" w:rsidRPr="003C60B2">
        <w:rPr>
          <w:rFonts w:cs="Arial"/>
        </w:rPr>
        <w:t>(Stevens et al. 2006, Stuart et al. 2007, Cavanaugh et al. 2014, Schaeffer-</w:t>
      </w:r>
      <w:proofErr w:type="spellStart"/>
      <w:r w:rsidR="003C60B2" w:rsidRPr="003C60B2">
        <w:rPr>
          <w:rFonts w:cs="Arial"/>
        </w:rPr>
        <w:t>Novelli</w:t>
      </w:r>
      <w:proofErr w:type="spellEnd"/>
      <w:r w:rsidR="003C60B2" w:rsidRPr="003C60B2">
        <w:rPr>
          <w:rFonts w:cs="Arial"/>
        </w:rPr>
        <w:t xml:space="preserve"> et al. 2016)</w:t>
      </w:r>
      <w:r w:rsidR="00B02F12">
        <w:t xml:space="preserve">. </w:t>
      </w:r>
    </w:p>
    <w:p w14:paraId="2DB6EEFF" w14:textId="77777777" w:rsidR="004B0E46" w:rsidRDefault="00B02F12" w:rsidP="00504124">
      <w:pPr>
        <w:spacing w:line="360" w:lineRule="auto"/>
      </w:pPr>
      <w:r>
        <w:t>The</w:t>
      </w:r>
      <w:r w:rsidR="00E926C7">
        <w:t xml:space="preserve"> absolute coldest air temperature that has occurred </w:t>
      </w:r>
      <w:r w:rsidR="00E60EC9">
        <w:t>is recommended</w:t>
      </w:r>
      <w:r w:rsidR="002278D8">
        <w:t xml:space="preserve"> </w:t>
      </w:r>
      <w:r w:rsidR="00E60EC9">
        <w:t>for</w:t>
      </w:r>
      <w:r>
        <w:t xml:space="preserve"> models that predict range expansion</w:t>
      </w:r>
      <w:r w:rsidR="00543BD4">
        <w:t>s for mangroves</w:t>
      </w:r>
      <w:r w:rsidR="00E926C7">
        <w:t xml:space="preserve"> </w:t>
      </w:r>
      <w:r w:rsidR="00CC52DE" w:rsidRPr="00CC52DE">
        <w:rPr>
          <w:rFonts w:cs="Arial"/>
        </w:rPr>
        <w:t>(Cavanaugh et al. 2015)</w:t>
      </w:r>
      <w:r w:rsidR="00E308F3">
        <w:t xml:space="preserve">. </w:t>
      </w:r>
      <w:r w:rsidR="004B08BA">
        <w:t>However, m</w:t>
      </w:r>
      <w:r w:rsidR="00AC6EF1">
        <w:t>any southern hemisphere range limits</w:t>
      </w:r>
      <w:r w:rsidR="00CC52DE">
        <w:t xml:space="preserve"> </w:t>
      </w:r>
      <w:r w:rsidR="00AC6EF1">
        <w:t xml:space="preserve">have small </w:t>
      </w:r>
      <w:r w:rsidR="00E926C7">
        <w:t>difference</w:t>
      </w:r>
      <w:r w:rsidR="00AC6EF1">
        <w:t>s</w:t>
      </w:r>
      <w:r w:rsidR="00E926C7">
        <w:t xml:space="preserve"> between the lowest absolute minimum </w:t>
      </w:r>
      <w:r w:rsidR="00AC6EF1">
        <w:t>temperature</w:t>
      </w:r>
      <w:r>
        <w:t xml:space="preserve"> </w:t>
      </w:r>
      <w:r w:rsidR="00E926C7">
        <w:t>and the daily winter minima</w:t>
      </w:r>
      <w:r w:rsidR="008D5908">
        <w:t>,</w:t>
      </w:r>
      <w:r w:rsidR="00E926C7">
        <w:t xml:space="preserve"> </w:t>
      </w:r>
      <w:r w:rsidR="00D9422B">
        <w:t xml:space="preserve">and the absolute minima for these range limits are relatively warmer in comparison to those in the northern hemisphere </w:t>
      </w:r>
      <w:r w:rsidR="00EC4DD5" w:rsidRPr="00EC4DD5">
        <w:rPr>
          <w:rFonts w:cs="Arial"/>
        </w:rPr>
        <w:t>(</w:t>
      </w:r>
      <w:proofErr w:type="spellStart"/>
      <w:r w:rsidR="00EC4DD5" w:rsidRPr="00EC4DD5">
        <w:rPr>
          <w:rFonts w:cs="Arial"/>
        </w:rPr>
        <w:t>Osland</w:t>
      </w:r>
      <w:proofErr w:type="spellEnd"/>
      <w:r w:rsidR="00EC4DD5" w:rsidRPr="00EC4DD5">
        <w:rPr>
          <w:rFonts w:cs="Arial"/>
        </w:rPr>
        <w:t xml:space="preserve"> et al. 2017</w:t>
      </w:r>
      <w:r w:rsidR="007913D8">
        <w:rPr>
          <w:rFonts w:cs="Arial"/>
        </w:rPr>
        <w:t>b</w:t>
      </w:r>
      <w:r w:rsidR="00EC4DD5" w:rsidRPr="00EC4DD5">
        <w:rPr>
          <w:rFonts w:cs="Arial"/>
        </w:rPr>
        <w:t>, Rogers &amp; Krauss 2018)</w:t>
      </w:r>
      <w:r w:rsidR="00CC52DE">
        <w:t xml:space="preserve">. </w:t>
      </w:r>
      <w:r w:rsidR="00504124">
        <w:t xml:space="preserve">Mangrove trees at southern hemisphere range limits are therefore not likely to be occurring at their physiological limits. </w:t>
      </w:r>
      <w:r w:rsidR="007E3851">
        <w:t xml:space="preserve">For </w:t>
      </w:r>
      <w:r w:rsidR="00F57799">
        <w:t xml:space="preserve">the </w:t>
      </w:r>
      <w:r w:rsidR="007E3851">
        <w:t>southeast Africa</w:t>
      </w:r>
      <w:r w:rsidR="00F57799">
        <w:t>n range limit</w:t>
      </w:r>
      <w:r w:rsidR="007E3851">
        <w:t>, the lowest absolute minimum temperature over the past four decades has been estimated at -0.5</w:t>
      </w:r>
      <w:r w:rsidR="007E3851">
        <w:rPr>
          <w:rFonts w:cs="Arial"/>
        </w:rPr>
        <w:t>°</w:t>
      </w:r>
      <w:r w:rsidR="007E3851">
        <w:t xml:space="preserve">C </w:t>
      </w:r>
      <w:r w:rsidR="00F87BF3">
        <w:t xml:space="preserve">using gridded daily minimum air temperature data </w:t>
      </w:r>
      <w:r w:rsidR="00EC4DD5" w:rsidRPr="00EC4DD5">
        <w:rPr>
          <w:rFonts w:cs="Arial"/>
        </w:rPr>
        <w:t>(</w:t>
      </w:r>
      <w:proofErr w:type="spellStart"/>
      <w:r w:rsidR="00EC4DD5" w:rsidRPr="00EC4DD5">
        <w:rPr>
          <w:rFonts w:cs="Arial"/>
        </w:rPr>
        <w:t>Osland</w:t>
      </w:r>
      <w:proofErr w:type="spellEnd"/>
      <w:r w:rsidR="00EC4DD5" w:rsidRPr="00EC4DD5">
        <w:rPr>
          <w:rFonts w:cs="Arial"/>
        </w:rPr>
        <w:t xml:space="preserve"> et al. 2017</w:t>
      </w:r>
      <w:r w:rsidR="007913D8">
        <w:rPr>
          <w:rFonts w:cs="Arial"/>
        </w:rPr>
        <w:t>b</w:t>
      </w:r>
      <w:r w:rsidR="00EC4DD5" w:rsidRPr="00EC4DD5">
        <w:rPr>
          <w:rFonts w:cs="Arial"/>
        </w:rPr>
        <w:t>)</w:t>
      </w:r>
      <w:r w:rsidR="00F87BF3">
        <w:t xml:space="preserve">, </w:t>
      </w:r>
      <w:r w:rsidR="004B08BA">
        <w:t xml:space="preserve">and this could explain the weak causal link between Temperature and Mangrove Area in our model. </w:t>
      </w:r>
      <w:r w:rsidR="00824F9F">
        <w:t xml:space="preserve">The reduced effect of temperature as a control on contemporary mangrove distribution in South Africa is </w:t>
      </w:r>
      <w:r w:rsidR="00E60EC9">
        <w:t xml:space="preserve">also </w:t>
      </w:r>
      <w:r w:rsidR="00824F9F">
        <w:t xml:space="preserve">evident from the success of planted mangroves beyond their natural latitudinal limit </w:t>
      </w:r>
      <w:r w:rsidR="00824F9F" w:rsidRPr="00824F9F">
        <w:rPr>
          <w:rFonts w:cs="Arial"/>
        </w:rPr>
        <w:t>(Hoppe-Speer et al. 2015)</w:t>
      </w:r>
      <w:r w:rsidR="00824F9F">
        <w:t xml:space="preserve">. </w:t>
      </w:r>
    </w:p>
    <w:p w14:paraId="49206A75" w14:textId="7A54A2E3" w:rsidR="00640684" w:rsidRDefault="004378C6" w:rsidP="00504124">
      <w:pPr>
        <w:spacing w:line="360" w:lineRule="auto"/>
      </w:pPr>
      <w:bookmarkStart w:id="5" w:name="_Hlk11317791"/>
      <w:r>
        <w:t xml:space="preserve">Although mangrove distribution is not currently limited by temperature, increases associated with global climate change could still influence mangrove expansion at the southern African distribution limit. </w:t>
      </w:r>
      <w:r w:rsidR="00AA1F1D">
        <w:t xml:space="preserve">Increasing temperature be influencing mangrove expansion at spatial scales within individual estuaries and as the SEM did not consider mangrove areas &lt; 0.5 ha, estuaries where pioneer trees have been reported were not included. </w:t>
      </w:r>
      <w:r>
        <w:t xml:space="preserve">Predictive modelling of mangrove species distribution has shown that increased temperature and rainfall will promote mangrove expansion </w:t>
      </w:r>
      <w:r w:rsidR="00AA1F1D">
        <w:t xml:space="preserve">in this region </w:t>
      </w:r>
      <w:r>
        <w:t>(</w:t>
      </w:r>
      <w:proofErr w:type="spellStart"/>
      <w:r>
        <w:t>Quisthoudt</w:t>
      </w:r>
      <w:proofErr w:type="spellEnd"/>
      <w:r>
        <w:t xml:space="preserve"> et al. 2013). </w:t>
      </w:r>
      <w:r w:rsidR="00AA1F1D">
        <w:t>Although i</w:t>
      </w:r>
      <w:r w:rsidR="00E33761">
        <w:t>ndividual pioneers have been recently recorded beyond the natural distribution (Whitfield et al. 2016), expansion into salt marsh areas has not occurred at the scales reported on at other range limits in Australia and the eastern United States (</w:t>
      </w:r>
      <w:proofErr w:type="spellStart"/>
      <w:r w:rsidR="00E33761">
        <w:t>Kelleway</w:t>
      </w:r>
      <w:proofErr w:type="spellEnd"/>
      <w:r w:rsidR="00E33761">
        <w:t xml:space="preserve"> et al. 2017, </w:t>
      </w:r>
      <w:proofErr w:type="spellStart"/>
      <w:r w:rsidR="00E33761">
        <w:t>Smee</w:t>
      </w:r>
      <w:proofErr w:type="spellEnd"/>
      <w:r w:rsidR="00E33761">
        <w:t xml:space="preserve"> et al. 2017). </w:t>
      </w:r>
      <w:r w:rsidR="00640684">
        <w:lastRenderedPageBreak/>
        <w:t>Latitudinal gradients are weakly associated with species diversity of mangrove fauna and flora for this region (Peer et al. 2018) which further indicates that expansion is likely to be limited by dispersal (Whitfield et al. 2016). Investigating the potential for expansion should account for this and also include an assessment o</w:t>
      </w:r>
      <w:r w:rsidR="00D93C46">
        <w:t>f</w:t>
      </w:r>
      <w:r w:rsidR="00640684">
        <w:t xml:space="preserve"> the suitability of estuaries beyond the current distribution in terms of geomorphology and inlet stability. </w:t>
      </w:r>
    </w:p>
    <w:bookmarkEnd w:id="5"/>
    <w:p w14:paraId="318ADBB9" w14:textId="7B800A5B" w:rsidR="00AD6051" w:rsidRDefault="000A77C1" w:rsidP="008906C8">
      <w:pPr>
        <w:pStyle w:val="Heading2"/>
      </w:pPr>
      <w:r>
        <w:t xml:space="preserve">4.3 </w:t>
      </w:r>
      <w:r w:rsidR="008906C8">
        <w:t>Structural equation modelling</w:t>
      </w:r>
      <w:r w:rsidR="00CB4618">
        <w:t xml:space="preserve"> and</w:t>
      </w:r>
      <w:r w:rsidR="008906C8">
        <w:t xml:space="preserve"> future applications</w:t>
      </w:r>
      <w:r w:rsidR="00CB4618">
        <w:t xml:space="preserve"> </w:t>
      </w:r>
    </w:p>
    <w:p w14:paraId="4997FD4A" w14:textId="0C373551" w:rsidR="008906C8" w:rsidRDefault="008906C8" w:rsidP="008906C8">
      <w:pPr>
        <w:spacing w:line="360" w:lineRule="auto"/>
      </w:pPr>
      <w:r>
        <w:t xml:space="preserve">This is the first study to use a quantitative modelling approach to describe mangrove distribution patterns for this region. </w:t>
      </w:r>
      <w:r w:rsidR="00246B7E">
        <w:t xml:space="preserve">The SEM approach is used to develop and evaluate models so that underlying causal processes can be represented as a network of relationships among the variables of interest </w:t>
      </w:r>
      <w:r w:rsidR="00246B7E" w:rsidRPr="00246B7E">
        <w:rPr>
          <w:rFonts w:cs="Arial"/>
        </w:rPr>
        <w:t>(Grace et al. 2012)</w:t>
      </w:r>
      <w:r w:rsidR="00246B7E">
        <w:t xml:space="preserve">. This is achieved by using </w:t>
      </w:r>
      <w:r w:rsidR="00246B7E">
        <w:rPr>
          <w:i/>
        </w:rPr>
        <w:t xml:space="preserve">a priori </w:t>
      </w:r>
      <w:r w:rsidR="00246B7E">
        <w:t xml:space="preserve">ecological knowledge to provide context to the causal relationships </w:t>
      </w:r>
      <w:r w:rsidR="00246B7E" w:rsidRPr="00246B7E">
        <w:rPr>
          <w:rFonts w:cs="Arial"/>
        </w:rPr>
        <w:t>(Grace 2008)</w:t>
      </w:r>
      <w:r w:rsidR="00246B7E">
        <w:t xml:space="preserve">. One of the strengths of the SEM approach is that additional paths can be added and the effect on the system can be evaluated if more data becomes available </w:t>
      </w:r>
      <w:r w:rsidR="00246B7E" w:rsidRPr="00246B7E">
        <w:rPr>
          <w:rFonts w:cs="Arial"/>
        </w:rPr>
        <w:t>(Grace et al. 2012)</w:t>
      </w:r>
      <w:r w:rsidR="00246B7E">
        <w:t xml:space="preserve">. For this study, </w:t>
      </w:r>
      <w:r w:rsidR="00C90B2E">
        <w:t xml:space="preserve">the addition of </w:t>
      </w:r>
      <w:r w:rsidR="00246B7E">
        <w:t xml:space="preserve">data on sediment characteristics (particle size, moisture content, redox </w:t>
      </w:r>
      <w:r w:rsidR="00246B7E" w:rsidRPr="00ED462B">
        <w:t>potential)</w:t>
      </w:r>
      <w:r w:rsidR="000E1B50" w:rsidRPr="00ED462B">
        <w:t>, high resolution topography data (&lt;10 cm accuracy)</w:t>
      </w:r>
      <w:r w:rsidR="00D93C46">
        <w:t>,</w:t>
      </w:r>
      <w:r w:rsidR="00246B7E" w:rsidRPr="00ED462B">
        <w:t xml:space="preserve"> and biological</w:t>
      </w:r>
      <w:r w:rsidR="00246B7E">
        <w:t xml:space="preserve"> interactions (</w:t>
      </w:r>
      <w:r w:rsidR="00C90B2E">
        <w:t>interspecific competition</w:t>
      </w:r>
      <w:r w:rsidR="00246B7E">
        <w:t>, predation by crabs)</w:t>
      </w:r>
      <w:r w:rsidR="00D93C46">
        <w:t>,</w:t>
      </w:r>
      <w:r w:rsidR="00C90B2E">
        <w:t xml:space="preserve"> could improve the strength of the models as these factors are known to influence mangrove distribution patterns </w:t>
      </w:r>
      <w:r w:rsidR="00DE0A76" w:rsidRPr="00DE0A76">
        <w:rPr>
          <w:rFonts w:cs="Arial"/>
        </w:rPr>
        <w:t>(</w:t>
      </w:r>
      <w:proofErr w:type="spellStart"/>
      <w:r w:rsidR="00DE0A76" w:rsidRPr="00DE0A76">
        <w:rPr>
          <w:rFonts w:cs="Arial"/>
        </w:rPr>
        <w:t>Dahdouh-Guebas</w:t>
      </w:r>
      <w:proofErr w:type="spellEnd"/>
      <w:r w:rsidR="00DE0A76" w:rsidRPr="00DE0A76">
        <w:rPr>
          <w:rFonts w:cs="Arial"/>
        </w:rPr>
        <w:t xml:space="preserve"> et al. 1998, Berger et al. 2006, </w:t>
      </w:r>
      <w:proofErr w:type="spellStart"/>
      <w:r w:rsidR="00DE0A76" w:rsidRPr="00DE0A76">
        <w:rPr>
          <w:rFonts w:cs="Arial"/>
        </w:rPr>
        <w:t>Rajkaran</w:t>
      </w:r>
      <w:proofErr w:type="spellEnd"/>
      <w:r w:rsidR="00DE0A76" w:rsidRPr="00DE0A76">
        <w:rPr>
          <w:rFonts w:cs="Arial"/>
        </w:rPr>
        <w:t xml:space="preserve"> &amp; Adams 2012)</w:t>
      </w:r>
      <w:r w:rsidR="00C90B2E">
        <w:t xml:space="preserve">. </w:t>
      </w:r>
      <w:r w:rsidR="00481A51">
        <w:t>The SEM can also be validated by using the models to predict mangrove area for estuaries that have lost mangrove habitat due to anthropogenic disturbances</w:t>
      </w:r>
      <w:r w:rsidR="00D93C46">
        <w:t>,</w:t>
      </w:r>
      <w:r w:rsidR="00481A51">
        <w:t xml:space="preserve"> and the predictions can be compared to historical data. </w:t>
      </w:r>
    </w:p>
    <w:p w14:paraId="1BB82795" w14:textId="28EF1628" w:rsidR="002C2959" w:rsidRPr="002C2959" w:rsidRDefault="002C2959" w:rsidP="008906C8">
      <w:pPr>
        <w:spacing w:line="360" w:lineRule="auto"/>
        <w:rPr>
          <w:b/>
          <w:bCs/>
        </w:rPr>
      </w:pPr>
      <w:r>
        <w:rPr>
          <w:b/>
          <w:bCs/>
        </w:rPr>
        <w:t>Conclusion</w:t>
      </w:r>
    </w:p>
    <w:p w14:paraId="1AFE443B" w14:textId="40BEFDB1" w:rsidR="00917DE4" w:rsidRDefault="00A54C00" w:rsidP="00634C32">
      <w:pPr>
        <w:spacing w:line="360" w:lineRule="auto"/>
      </w:pPr>
      <w:r>
        <w:t xml:space="preserve">The conclusive findings on the importance of geomorphology for controlling mangrove distribution in this region can be used as an important baseline for improving climate change predictive models. </w:t>
      </w:r>
      <w:r w:rsidR="00917DE4">
        <w:t xml:space="preserve">The results from this study indicate that including floodplain area as part of a geomorphological index for predicting mangrove expansion is essential. The topography of the coast has long been noted as a significant control on mangrove distribution under wave-dominated, high-energy conditions at southern hemisphere range limits. The interplay between geomorphology and hydrodynamic characteristics should not be overlooked when considering potentially suitable habitats for mangroves beyond their current distribution along the South African coastline. </w:t>
      </w:r>
    </w:p>
    <w:p w14:paraId="12EAF8B9" w14:textId="242B37E4" w:rsidR="00F161CB" w:rsidRDefault="00C06A85" w:rsidP="00F161CB">
      <w:pPr>
        <w:pStyle w:val="Heading1"/>
        <w:spacing w:line="276" w:lineRule="auto"/>
      </w:pPr>
      <w:r>
        <w:t xml:space="preserve">5 </w:t>
      </w:r>
      <w:r w:rsidR="00F161CB">
        <w:t>Acknowledgements</w:t>
      </w:r>
    </w:p>
    <w:p w14:paraId="5BB82CFE" w14:textId="071C15BF" w:rsidR="00D74F5A" w:rsidRDefault="00F161CB" w:rsidP="00CD49FF">
      <w:pPr>
        <w:pStyle w:val="Header"/>
        <w:tabs>
          <w:tab w:val="clear" w:pos="4513"/>
          <w:tab w:val="clear" w:pos="9026"/>
        </w:tabs>
        <w:spacing w:after="200" w:line="360" w:lineRule="auto"/>
        <w:rPr>
          <w:b/>
        </w:rPr>
      </w:pPr>
      <w:r>
        <w:t>This research was</w:t>
      </w:r>
      <w:r w:rsidR="00895B0E">
        <w:t xml:space="preserve"> partially</w:t>
      </w:r>
      <w:r>
        <w:t xml:space="preserve"> </w:t>
      </w:r>
      <w:r w:rsidR="00895B0E">
        <w:t xml:space="preserve">supported by the Water Research Commission (WRC) of South Africa and the 2017 RCUK-NRF Newton Exchange program between the </w:t>
      </w:r>
      <w:r w:rsidR="00BF6C14">
        <w:t>University of Southampton and the N</w:t>
      </w:r>
      <w:r w:rsidR="008A5C98">
        <w:t>elson Mandela University</w:t>
      </w:r>
      <w:r w:rsidR="00895B0E">
        <w:t xml:space="preserve">. JLR is supported by a National Research </w:t>
      </w:r>
      <w:r w:rsidR="00895B0E">
        <w:lastRenderedPageBreak/>
        <w:t>Foundation (NRF) Innovation Postdoctoral Fellowship (UID: 111963). The funders had no role in the design of the study, the collection or analysis of the data, writing the manuscript or decision to publish. The authors declare no competing interests.</w:t>
      </w:r>
    </w:p>
    <w:p w14:paraId="087EBF08" w14:textId="675FA7E0" w:rsidR="00C520B1" w:rsidRPr="00B54664" w:rsidRDefault="00C520B1" w:rsidP="00B54664">
      <w:pPr>
        <w:pStyle w:val="Heading1"/>
        <w:spacing w:line="276" w:lineRule="auto"/>
      </w:pPr>
      <w:r w:rsidRPr="00B54664">
        <w:t>References</w:t>
      </w:r>
    </w:p>
    <w:p w14:paraId="470F17E5" w14:textId="3B6BC8A2" w:rsidR="003D57DC" w:rsidRDefault="003D57DC" w:rsidP="003D57DC">
      <w:pPr>
        <w:pStyle w:val="Bibliography"/>
      </w:pPr>
      <w:proofErr w:type="spellStart"/>
      <w:r>
        <w:t>Adame</w:t>
      </w:r>
      <w:proofErr w:type="spellEnd"/>
      <w:r>
        <w:t xml:space="preserve"> MF, Neil D, Wright SF, Lovelock CE (2010) Sedimentation within and among mangrove forests along a gradient of geomorphological settings. Estuarine, Coastal and Shelf Science 86:21–30</w:t>
      </w:r>
    </w:p>
    <w:p w14:paraId="29149372" w14:textId="77777777" w:rsidR="003D57DC" w:rsidRDefault="003D57DC" w:rsidP="003D57DC">
      <w:pPr>
        <w:pStyle w:val="Bibliography"/>
      </w:pPr>
      <w:r>
        <w:t>Adams JB, Human LRD (2016) Investigation into the mortality of mangroves at St Lucia Estuary. South African Journal of Botany 107:121–128</w:t>
      </w:r>
    </w:p>
    <w:p w14:paraId="15693B6F" w14:textId="78CE42CF" w:rsidR="003D57DC" w:rsidRDefault="003D57DC" w:rsidP="003D57DC">
      <w:pPr>
        <w:pStyle w:val="Bibliography"/>
      </w:pPr>
      <w:r>
        <w:t xml:space="preserve">Adams JB, </w:t>
      </w:r>
      <w:proofErr w:type="spellStart"/>
      <w:r>
        <w:t>Veldkornet</w:t>
      </w:r>
      <w:proofErr w:type="spellEnd"/>
      <w:r>
        <w:t xml:space="preserve"> D, </w:t>
      </w:r>
      <w:proofErr w:type="spellStart"/>
      <w:r>
        <w:t>Tabot</w:t>
      </w:r>
      <w:proofErr w:type="spellEnd"/>
      <w:r>
        <w:t xml:space="preserve"> P (2016) Distribution of macrophyte species and habitats in South African estuaries. South African Journal of Botany 107:5–11</w:t>
      </w:r>
    </w:p>
    <w:p w14:paraId="1BE607DF" w14:textId="5E32CCFE" w:rsidR="00B90F84" w:rsidRPr="00B90F84" w:rsidRDefault="004602B0" w:rsidP="008F57B5">
      <w:pPr>
        <w:pStyle w:val="BodyTextIndent2"/>
      </w:pPr>
      <w:proofErr w:type="spellStart"/>
      <w:r>
        <w:t>Andriuzzi</w:t>
      </w:r>
      <w:proofErr w:type="spellEnd"/>
      <w:r>
        <w:t xml:space="preserve"> WS, Adams BJ, Barrett JE, Virginia RA, Wall DH (2018) Observed trends of soil fauna in the Antarctic Dry Valleys: early signs of shifts predicted under climate change. Ecology 99: 312-321</w:t>
      </w:r>
    </w:p>
    <w:p w14:paraId="13798A49" w14:textId="77777777" w:rsidR="003D57DC" w:rsidRDefault="003D57DC" w:rsidP="003D57DC">
      <w:pPr>
        <w:pStyle w:val="Bibliography"/>
      </w:pPr>
      <w:proofErr w:type="spellStart"/>
      <w:r>
        <w:t>Arrivabene</w:t>
      </w:r>
      <w:proofErr w:type="spellEnd"/>
      <w:r>
        <w:t xml:space="preserve"> HP, Souza I, </w:t>
      </w:r>
      <w:proofErr w:type="spellStart"/>
      <w:r>
        <w:t>Có</w:t>
      </w:r>
      <w:proofErr w:type="spellEnd"/>
      <w:r>
        <w:t xml:space="preserve"> WLO, Rodella RA, Wunderlin DA, </w:t>
      </w:r>
      <w:proofErr w:type="spellStart"/>
      <w:r>
        <w:t>Milanez</w:t>
      </w:r>
      <w:proofErr w:type="spellEnd"/>
      <w:r>
        <w:t xml:space="preserve"> CR (2014) Functional traits of selected mangrove species in Brazil as biological indicators of different environmental conditions. Science of The Total Environment 476–477:496–504</w:t>
      </w:r>
    </w:p>
    <w:p w14:paraId="38BABE21" w14:textId="18AC31B7" w:rsidR="003D57DC" w:rsidRDefault="003D57DC" w:rsidP="003D57DC">
      <w:pPr>
        <w:pStyle w:val="Bibliography"/>
      </w:pPr>
      <w:r>
        <w:t xml:space="preserve">Austin ÅN, Hansen JP, </w:t>
      </w:r>
      <w:proofErr w:type="spellStart"/>
      <w:r>
        <w:t>Donadi</w:t>
      </w:r>
      <w:proofErr w:type="spellEnd"/>
      <w:r>
        <w:t xml:space="preserve"> S, </w:t>
      </w:r>
      <w:proofErr w:type="spellStart"/>
      <w:r>
        <w:t>Eklöf</w:t>
      </w:r>
      <w:proofErr w:type="spellEnd"/>
      <w:r>
        <w:t xml:space="preserve"> JS (2017) Relationships between aquatic vegetation and water turbidity: A field survey across seasons and spatial scales. </w:t>
      </w:r>
      <w:proofErr w:type="spellStart"/>
      <w:r>
        <w:t>PL</w:t>
      </w:r>
      <w:r w:rsidR="00ED630C">
        <w:t>o</w:t>
      </w:r>
      <w:r>
        <w:t>S</w:t>
      </w:r>
      <w:proofErr w:type="spellEnd"/>
      <w:r>
        <w:t xml:space="preserve"> ONE 12:e0181419</w:t>
      </w:r>
    </w:p>
    <w:p w14:paraId="6F1CC6E3" w14:textId="77777777" w:rsidR="003D57DC" w:rsidRDefault="003D57DC" w:rsidP="003D57DC">
      <w:pPr>
        <w:pStyle w:val="Bibliography"/>
      </w:pPr>
      <w:proofErr w:type="spellStart"/>
      <w:r>
        <w:t>Balke</w:t>
      </w:r>
      <w:proofErr w:type="spellEnd"/>
      <w:r>
        <w:t xml:space="preserve"> T, </w:t>
      </w:r>
      <w:proofErr w:type="spellStart"/>
      <w:r>
        <w:t>Friess</w:t>
      </w:r>
      <w:proofErr w:type="spellEnd"/>
      <w:r>
        <w:t xml:space="preserve"> DA (2016) Geomorphic knowledge for mangrove restoration: a pan-tropical categorization. Earth Surface Processes and Landforms 41:231–239</w:t>
      </w:r>
    </w:p>
    <w:p w14:paraId="05E13724" w14:textId="77777777" w:rsidR="003D57DC" w:rsidRDefault="003D57DC" w:rsidP="003D57DC">
      <w:pPr>
        <w:pStyle w:val="Bibliography"/>
      </w:pPr>
      <w:r>
        <w:t xml:space="preserve">Berger U, Adams M, Grimm V, </w:t>
      </w:r>
      <w:proofErr w:type="spellStart"/>
      <w:r>
        <w:t>Hildenbrandt</w:t>
      </w:r>
      <w:proofErr w:type="spellEnd"/>
      <w:r>
        <w:t xml:space="preserve"> H (2006) Modelling secondary succession of neotropical mangroves: Causes and consequences of growth reduction in pioneer species. Perspectives in Plant Ecology, Evolution and Systematics 7:243–252</w:t>
      </w:r>
    </w:p>
    <w:p w14:paraId="2C0D14E7" w14:textId="77777777" w:rsidR="003D57DC" w:rsidRDefault="003D57DC" w:rsidP="003D57DC">
      <w:pPr>
        <w:pStyle w:val="Bibliography"/>
      </w:pPr>
      <w:r>
        <w:t xml:space="preserve">Boateng I (2018) An Assessment of Vulnerability and Adaptation of Coastal Mangroves of West Africa in the Face of Climate Change. In: Makowski C, </w:t>
      </w:r>
      <w:proofErr w:type="spellStart"/>
      <w:r>
        <w:t>Finkl</w:t>
      </w:r>
      <w:proofErr w:type="spellEnd"/>
      <w:r>
        <w:t xml:space="preserve"> CW (eds) Threats to Mangrove Forests: Hazards, Vulnerability, and Management. Springer International Publishing, Cham, p 141–154</w:t>
      </w:r>
    </w:p>
    <w:p w14:paraId="0CE7BDEF" w14:textId="77777777" w:rsidR="003D57DC" w:rsidRDefault="003D57DC" w:rsidP="003D57DC">
      <w:pPr>
        <w:pStyle w:val="Bibliography"/>
      </w:pPr>
      <w:r>
        <w:t>Boon PI (2017) Are mangroves in Victoria (south-eastern Australia) already responding to climate change? Marine and Freshwater Research 68:2366–2374</w:t>
      </w:r>
    </w:p>
    <w:p w14:paraId="316E2F66" w14:textId="77777777" w:rsidR="003D57DC" w:rsidRDefault="003D57DC" w:rsidP="003D57DC">
      <w:pPr>
        <w:pStyle w:val="Bibliography"/>
      </w:pPr>
      <w:r>
        <w:t xml:space="preserve">Boyd R, Dalrymple R, </w:t>
      </w:r>
      <w:proofErr w:type="spellStart"/>
      <w:r>
        <w:t>Zaitlin</w:t>
      </w:r>
      <w:proofErr w:type="spellEnd"/>
      <w:r>
        <w:t xml:space="preserve"> BA (1992) Classification of clastic coastal depositional environments. Sedimentary Geology 80:139–150</w:t>
      </w:r>
    </w:p>
    <w:p w14:paraId="6B1D3105" w14:textId="77777777" w:rsidR="003D57DC" w:rsidRDefault="003D57DC" w:rsidP="003D57DC">
      <w:pPr>
        <w:pStyle w:val="Bibliography"/>
      </w:pPr>
      <w:r>
        <w:t xml:space="preserve">Breen CM, Hill BJ (1969) A mass mortality of mangroves in the </w:t>
      </w:r>
      <w:proofErr w:type="spellStart"/>
      <w:r>
        <w:t>Kosi</w:t>
      </w:r>
      <w:proofErr w:type="spellEnd"/>
      <w:r>
        <w:t xml:space="preserve"> Estuary. Transactions of the Royal Society of South Africa 38:285–303</w:t>
      </w:r>
    </w:p>
    <w:p w14:paraId="3FA02255" w14:textId="34787DA0" w:rsidR="004602B0" w:rsidRPr="004602B0" w:rsidRDefault="004602B0" w:rsidP="008F57B5">
      <w:pPr>
        <w:pStyle w:val="BodyTextIndent2"/>
      </w:pPr>
      <w:proofErr w:type="spellStart"/>
      <w:r>
        <w:t>Campanati</w:t>
      </w:r>
      <w:proofErr w:type="spellEnd"/>
      <w:r>
        <w:t xml:space="preserve"> C, Dupont S, </w:t>
      </w:r>
      <w:proofErr w:type="spellStart"/>
      <w:r>
        <w:t>Willams</w:t>
      </w:r>
      <w:proofErr w:type="spellEnd"/>
      <w:r>
        <w:t xml:space="preserve"> GA, </w:t>
      </w:r>
      <w:proofErr w:type="spellStart"/>
      <w:r>
        <w:t>Thiyagarajan</w:t>
      </w:r>
      <w:proofErr w:type="spellEnd"/>
      <w:r>
        <w:t xml:space="preserve"> V (2018) Differential sensitivity of larvae to ocean acidification in two interacting mollusc species. Marine Environmental Research 141: 66-74</w:t>
      </w:r>
    </w:p>
    <w:p w14:paraId="2F880BDC" w14:textId="77777777" w:rsidR="003D57DC" w:rsidRDefault="003D57DC" w:rsidP="003D57DC">
      <w:pPr>
        <w:pStyle w:val="Bibliography"/>
      </w:pPr>
      <w:r>
        <w:lastRenderedPageBreak/>
        <w:t>Cavanaugh KC, Kellner JR, Forde AJ, Gruner DS, Parker JD, Rodriguez W, Feller IC (2014) Poleward expansion of mangroves is a threshold response to decreased frequency of extreme cold events. Proceedings of the National Academy of Sciences 111:723–727</w:t>
      </w:r>
    </w:p>
    <w:p w14:paraId="113BB3C4" w14:textId="77777777" w:rsidR="003D57DC" w:rsidRDefault="003D57DC" w:rsidP="003D57DC">
      <w:pPr>
        <w:pStyle w:val="Bibliography"/>
      </w:pPr>
      <w:r>
        <w:t xml:space="preserve">Cavanaugh KC, </w:t>
      </w:r>
      <w:proofErr w:type="spellStart"/>
      <w:r>
        <w:t>Osland</w:t>
      </w:r>
      <w:proofErr w:type="spellEnd"/>
      <w:r>
        <w:t xml:space="preserve"> MJ, </w:t>
      </w:r>
      <w:proofErr w:type="spellStart"/>
      <w:r>
        <w:t>Bardou</w:t>
      </w:r>
      <w:proofErr w:type="spellEnd"/>
      <w:r>
        <w:t xml:space="preserve"> R, Hinojosa</w:t>
      </w:r>
      <w:r>
        <w:rPr>
          <w:rFonts w:ascii="Cambria Math" w:hAnsi="Cambria Math" w:cs="Cambria Math"/>
        </w:rPr>
        <w:t>‐</w:t>
      </w:r>
      <w:r>
        <w:t>Arango G, L</w:t>
      </w:r>
      <w:r>
        <w:rPr>
          <w:rFonts w:cs="Arial"/>
        </w:rPr>
        <w:t>ó</w:t>
      </w:r>
      <w:r>
        <w:t>pez</w:t>
      </w:r>
      <w:r>
        <w:rPr>
          <w:rFonts w:ascii="Cambria Math" w:hAnsi="Cambria Math" w:cs="Cambria Math"/>
        </w:rPr>
        <w:t>‐</w:t>
      </w:r>
      <w:proofErr w:type="spellStart"/>
      <w:r>
        <w:t>Vivas</w:t>
      </w:r>
      <w:proofErr w:type="spellEnd"/>
      <w:r>
        <w:t xml:space="preserve"> JM, Parker JD, </w:t>
      </w:r>
      <w:proofErr w:type="spellStart"/>
      <w:r>
        <w:t>Rovai</w:t>
      </w:r>
      <w:proofErr w:type="spellEnd"/>
      <w:r>
        <w:t xml:space="preserve"> AS (2018) Sensitivity of mangrove range limits to climate variability. Global Ecology and Biogeography 27:925</w:t>
      </w:r>
      <w:r>
        <w:rPr>
          <w:rFonts w:cs="Arial"/>
        </w:rPr>
        <w:t>–</w:t>
      </w:r>
      <w:r>
        <w:t>935</w:t>
      </w:r>
    </w:p>
    <w:p w14:paraId="3A6C2C90" w14:textId="77777777" w:rsidR="003D57DC" w:rsidRDefault="003D57DC" w:rsidP="003D57DC">
      <w:pPr>
        <w:pStyle w:val="Bibliography"/>
      </w:pPr>
      <w:r>
        <w:t xml:space="preserve">Cavanaugh KC, Parker JD, Cook-Patton SC, Feller IC, Williams AP, Kellner JR (2015) Integrating physiological threshold experiments with climate </w:t>
      </w:r>
      <w:proofErr w:type="spellStart"/>
      <w:r>
        <w:t>modeling</w:t>
      </w:r>
      <w:proofErr w:type="spellEnd"/>
      <w:r>
        <w:t xml:space="preserve"> to project mangrove species’ range expansion. Global Change Biology 21:1928–1938</w:t>
      </w:r>
    </w:p>
    <w:p w14:paraId="1FCC68F1" w14:textId="203006FB" w:rsidR="003D57DC" w:rsidRDefault="003D57DC" w:rsidP="003D57DC">
      <w:pPr>
        <w:pStyle w:val="Bibliography"/>
      </w:pPr>
      <w:r>
        <w:t>Comeaux RS, Allison MA, Bianchi TS (2012) Mangrove expansion in the Gulf of Mexico with climate change: Implications for wetland health and resistance to rising sea levels. Estuarine, Coastal and Shelf Science 96:81–95</w:t>
      </w:r>
    </w:p>
    <w:p w14:paraId="6D889489" w14:textId="62012F31" w:rsidR="001A007A" w:rsidRPr="001A007A" w:rsidRDefault="001A007A" w:rsidP="00151BA6">
      <w:pPr>
        <w:pStyle w:val="BodyTextIndent2"/>
      </w:pPr>
      <w:r>
        <w:t>Cook RD (1979) Influential observations in linear regression. Journal of the American Statistical Association 74: 169-174</w:t>
      </w:r>
    </w:p>
    <w:p w14:paraId="7FE29F18" w14:textId="77777777" w:rsidR="003D57DC" w:rsidRDefault="003D57DC" w:rsidP="003D57DC">
      <w:pPr>
        <w:pStyle w:val="Bibliography"/>
      </w:pPr>
      <w:r>
        <w:t>Cooper JAG (2001) Geomorphological variability among microtidal estuaries from the wave-dominated South African coast. Geomorphology 40:99–122</w:t>
      </w:r>
    </w:p>
    <w:p w14:paraId="33FE48BE" w14:textId="77777777" w:rsidR="003D57DC" w:rsidRDefault="003D57DC" w:rsidP="003D57DC">
      <w:pPr>
        <w:pStyle w:val="Bibliography"/>
      </w:pPr>
      <w:r>
        <w:t>Cooper JAG (2002) The role of extreme floods in estuary-coastal behaviour: contrasts between river- and tide-dominated microtidal estuaries. Sedimentary Geology 150:123–137</w:t>
      </w:r>
    </w:p>
    <w:p w14:paraId="3D395F97" w14:textId="77777777" w:rsidR="003D57DC" w:rsidRDefault="003D57DC" w:rsidP="003D57DC">
      <w:pPr>
        <w:pStyle w:val="Bibliography"/>
      </w:pPr>
      <w:r>
        <w:t>Cooper JAG, Green AN, Compton JS (2018) Sea-level change in southern Africa since the Last Glacial Maximum. Quaternary Science Reviews 201:303–318</w:t>
      </w:r>
    </w:p>
    <w:p w14:paraId="521E4DCF" w14:textId="77777777" w:rsidR="003D57DC" w:rsidRDefault="003D57DC" w:rsidP="003D57DC">
      <w:pPr>
        <w:pStyle w:val="Bibliography"/>
      </w:pPr>
      <w:proofErr w:type="spellStart"/>
      <w:r>
        <w:t>Dahdouh-Guebas</w:t>
      </w:r>
      <w:proofErr w:type="spellEnd"/>
      <w:r>
        <w:t xml:space="preserve"> F, </w:t>
      </w:r>
      <w:proofErr w:type="spellStart"/>
      <w:r>
        <w:t>Verneirt</w:t>
      </w:r>
      <w:proofErr w:type="spellEnd"/>
      <w:r>
        <w:t xml:space="preserve"> M, Tack JF, Van </w:t>
      </w:r>
      <w:proofErr w:type="spellStart"/>
      <w:r>
        <w:t>Speybroeck</w:t>
      </w:r>
      <w:proofErr w:type="spellEnd"/>
      <w:r>
        <w:t xml:space="preserve"> D, </w:t>
      </w:r>
      <w:proofErr w:type="spellStart"/>
      <w:r>
        <w:t>Koedam</w:t>
      </w:r>
      <w:proofErr w:type="spellEnd"/>
      <w:r>
        <w:t xml:space="preserve"> N (1998) Propagule predators in Kenyan mangroves and their possible effect on regeneration. Marine and Freshwater Research 49:345–350</w:t>
      </w:r>
    </w:p>
    <w:p w14:paraId="6F9BDDA8" w14:textId="77777777" w:rsidR="003D57DC" w:rsidRDefault="003D57DC" w:rsidP="003D57DC">
      <w:pPr>
        <w:pStyle w:val="Bibliography"/>
      </w:pPr>
      <w:proofErr w:type="spellStart"/>
      <w:r>
        <w:t>Daidu</w:t>
      </w:r>
      <w:proofErr w:type="spellEnd"/>
      <w:r>
        <w:t xml:space="preserve"> F, Yuan W, Min L (2013) Classifications, sedimentary features and facies associations of tidal flats. Journal of </w:t>
      </w:r>
      <w:proofErr w:type="spellStart"/>
      <w:r>
        <w:t>Palaeogeography</w:t>
      </w:r>
      <w:proofErr w:type="spellEnd"/>
      <w:r>
        <w:t xml:space="preserve"> 2:66–80</w:t>
      </w:r>
    </w:p>
    <w:p w14:paraId="49935F9B" w14:textId="3295035B" w:rsidR="003D57DC" w:rsidRDefault="003D57DC" w:rsidP="003D57DC">
      <w:pPr>
        <w:pStyle w:val="Bibliography"/>
      </w:pPr>
      <w:r>
        <w:t xml:space="preserve">Dalrymple RW, </w:t>
      </w:r>
      <w:proofErr w:type="spellStart"/>
      <w:r>
        <w:t>Zaitlin</w:t>
      </w:r>
      <w:proofErr w:type="spellEnd"/>
      <w:r>
        <w:t xml:space="preserve"> BA, Boyd R (1992) Estuarine facies models; conceptual basis and stratigraphic implications. Journal of Sedimentary Research 62:1130–1146</w:t>
      </w:r>
    </w:p>
    <w:p w14:paraId="3D583873" w14:textId="77777777" w:rsidR="003D57DC" w:rsidRDefault="003D57DC" w:rsidP="003D57DC">
      <w:pPr>
        <w:pStyle w:val="Bibliography"/>
      </w:pPr>
      <w:r>
        <w:t>Duke N, Ball M, Ellison J (1998) Factors influencing biodiversity and distributional gradients in mangroves. Global Ecology and Biogeography Letters 7:27–47</w:t>
      </w:r>
    </w:p>
    <w:p w14:paraId="7C7A642C" w14:textId="77777777" w:rsidR="003D57DC" w:rsidRDefault="003D57DC" w:rsidP="003D57DC">
      <w:pPr>
        <w:pStyle w:val="Bibliography"/>
      </w:pPr>
      <w:r>
        <w:t xml:space="preserve">Elliott M, </w:t>
      </w:r>
      <w:proofErr w:type="spellStart"/>
      <w:r>
        <w:t>Mander</w:t>
      </w:r>
      <w:proofErr w:type="spellEnd"/>
      <w:r>
        <w:t xml:space="preserve"> L, </w:t>
      </w:r>
      <w:proofErr w:type="spellStart"/>
      <w:r>
        <w:t>Mazik</w:t>
      </w:r>
      <w:proofErr w:type="spellEnd"/>
      <w:r>
        <w:t xml:space="preserve"> K, </w:t>
      </w:r>
      <w:proofErr w:type="spellStart"/>
      <w:r>
        <w:t>Simenstad</w:t>
      </w:r>
      <w:proofErr w:type="spellEnd"/>
      <w:r>
        <w:t xml:space="preserve"> C, </w:t>
      </w:r>
      <w:proofErr w:type="spellStart"/>
      <w:r>
        <w:t>Valesini</w:t>
      </w:r>
      <w:proofErr w:type="spellEnd"/>
      <w:r>
        <w:t xml:space="preserve"> F, Whitfield A, </w:t>
      </w:r>
      <w:proofErr w:type="spellStart"/>
      <w:r>
        <w:t>Wolanski</w:t>
      </w:r>
      <w:proofErr w:type="spellEnd"/>
      <w:r>
        <w:t xml:space="preserve"> E (2016) Ecoengineering with Ecohydrology: Successes and failures in estuarine restoration. Estuarine, Coastal and Shelf Science 176:12–35</w:t>
      </w:r>
    </w:p>
    <w:p w14:paraId="0BDF5637" w14:textId="4384D0EE" w:rsidR="003D57DC" w:rsidRDefault="003D57DC" w:rsidP="003D57DC">
      <w:pPr>
        <w:pStyle w:val="Bibliography"/>
      </w:pPr>
      <w:r>
        <w:t>Faraway J (2016) faraway: Functions and Datasets for Books by Julian Faraway.</w:t>
      </w:r>
      <w:r w:rsidR="0065410C">
        <w:t xml:space="preserve"> R package version 1.0.7 </w:t>
      </w:r>
      <w:r w:rsidR="0065410C" w:rsidRPr="0065410C">
        <w:t>https://CRAN.R-project.org/package=faraway</w:t>
      </w:r>
    </w:p>
    <w:p w14:paraId="11FB3E12" w14:textId="77777777" w:rsidR="003D57DC" w:rsidRDefault="003D57DC" w:rsidP="003D57DC">
      <w:pPr>
        <w:pStyle w:val="Bibliography"/>
      </w:pPr>
      <w:r>
        <w:t xml:space="preserve">Ferreira AC, </w:t>
      </w:r>
      <w:proofErr w:type="spellStart"/>
      <w:r>
        <w:t>Ganade</w:t>
      </w:r>
      <w:proofErr w:type="spellEnd"/>
      <w:r>
        <w:t xml:space="preserve"> G, Luiz de </w:t>
      </w:r>
      <w:proofErr w:type="spellStart"/>
      <w:r>
        <w:t>Attayde</w:t>
      </w:r>
      <w:proofErr w:type="spellEnd"/>
      <w:r>
        <w:t xml:space="preserve"> J (2015) Restoration versus natural regeneration in a neotropical mangrove: Effects on plant biomass and crab communities. Ocean &amp; Coastal Management 110:38–45</w:t>
      </w:r>
    </w:p>
    <w:p w14:paraId="6E88F3F4" w14:textId="77777777" w:rsidR="003D57DC" w:rsidRDefault="003D57DC" w:rsidP="003D57DC">
      <w:pPr>
        <w:pStyle w:val="Bibliography"/>
      </w:pPr>
      <w:r>
        <w:lastRenderedPageBreak/>
        <w:t>FitzGerald DM (1996) Geomorphic Variability and Morphologic and Sedimentologic Controls on Tidal Inlets. Journal of Coastal Research:47–71</w:t>
      </w:r>
    </w:p>
    <w:p w14:paraId="162BC714" w14:textId="0CFBB765" w:rsidR="003D57DC" w:rsidRDefault="003D57DC" w:rsidP="003D57DC">
      <w:pPr>
        <w:pStyle w:val="Bibliography"/>
      </w:pPr>
      <w:proofErr w:type="spellStart"/>
      <w:r>
        <w:t>Giri</w:t>
      </w:r>
      <w:proofErr w:type="spellEnd"/>
      <w:r>
        <w:t xml:space="preserve"> C, Ochieng E, </w:t>
      </w:r>
      <w:proofErr w:type="spellStart"/>
      <w:r>
        <w:t>Tieszen</w:t>
      </w:r>
      <w:proofErr w:type="spellEnd"/>
      <w:r>
        <w:t xml:space="preserve"> LL, Zhu Z, Singh A, Loveland T, </w:t>
      </w:r>
      <w:proofErr w:type="spellStart"/>
      <w:r>
        <w:t>Masek</w:t>
      </w:r>
      <w:proofErr w:type="spellEnd"/>
      <w:r>
        <w:t xml:space="preserve"> J, Duke N (2011) Status and distribution of mangrove forests of the world using earth observation satellite data. Global Ecology and Biogeography 20:154–159</w:t>
      </w:r>
    </w:p>
    <w:p w14:paraId="2FB76074" w14:textId="5962648E" w:rsidR="0021084F" w:rsidRPr="0021084F" w:rsidRDefault="0021084F" w:rsidP="0021084F">
      <w:pPr>
        <w:pStyle w:val="BodyTextIndent2"/>
        <w:spacing w:line="240" w:lineRule="auto"/>
      </w:pPr>
      <w:proofErr w:type="spellStart"/>
      <w:r>
        <w:t>Godbold</w:t>
      </w:r>
      <w:proofErr w:type="spellEnd"/>
      <w:r>
        <w:t xml:space="preserve"> JA, </w:t>
      </w:r>
      <w:proofErr w:type="spellStart"/>
      <w:r>
        <w:t>Solan</w:t>
      </w:r>
      <w:proofErr w:type="spellEnd"/>
      <w:r>
        <w:t xml:space="preserve"> M (2013) Long-term effects of warming and ocean acidification are modified by seasonal variation in species responses and environmental conditions. Philosophical Transactions of the Royal Society B: Biological Sciences 368: 20130186</w:t>
      </w:r>
    </w:p>
    <w:p w14:paraId="288118CB" w14:textId="4BF0E8AB" w:rsidR="003D57DC" w:rsidRDefault="003D57DC" w:rsidP="003D57DC">
      <w:pPr>
        <w:pStyle w:val="Bibliography"/>
      </w:pPr>
      <w:r>
        <w:t xml:space="preserve">Grace JB (2008) Structural </w:t>
      </w:r>
      <w:r w:rsidR="00911293">
        <w:t>e</w:t>
      </w:r>
      <w:r>
        <w:t xml:space="preserve">quation </w:t>
      </w:r>
      <w:proofErr w:type="spellStart"/>
      <w:r w:rsidR="00911293">
        <w:t>m</w:t>
      </w:r>
      <w:r>
        <w:t>odeling</w:t>
      </w:r>
      <w:proofErr w:type="spellEnd"/>
      <w:r>
        <w:t xml:space="preserve"> for </w:t>
      </w:r>
      <w:r w:rsidR="00911293">
        <w:t>o</w:t>
      </w:r>
      <w:r>
        <w:t xml:space="preserve">bservational </w:t>
      </w:r>
      <w:r w:rsidR="00911293">
        <w:t>s</w:t>
      </w:r>
      <w:r>
        <w:t>tudies. Journal of Wildlife Management 72:14–22</w:t>
      </w:r>
    </w:p>
    <w:p w14:paraId="7BA0E501" w14:textId="77777777" w:rsidR="003D57DC" w:rsidRDefault="003D57DC" w:rsidP="003D57DC">
      <w:pPr>
        <w:pStyle w:val="Bibliography"/>
      </w:pPr>
      <w:r>
        <w:t xml:space="preserve">Grace JB, Anderson TM, </w:t>
      </w:r>
      <w:proofErr w:type="spellStart"/>
      <w:r>
        <w:t>Olff</w:t>
      </w:r>
      <w:proofErr w:type="spellEnd"/>
      <w:r>
        <w:t xml:space="preserve"> H, </w:t>
      </w:r>
      <w:proofErr w:type="spellStart"/>
      <w:r>
        <w:t>Scheiner</w:t>
      </w:r>
      <w:proofErr w:type="spellEnd"/>
      <w:r>
        <w:t xml:space="preserve"> SM (2010) On the specification of structural equation models for ecological systems. Ecological Monographs 80:67–87</w:t>
      </w:r>
    </w:p>
    <w:p w14:paraId="667E5F95" w14:textId="25EA0F31" w:rsidR="003D57DC" w:rsidRDefault="003D57DC" w:rsidP="003D57DC">
      <w:pPr>
        <w:pStyle w:val="Bibliography"/>
      </w:pPr>
      <w:r>
        <w:t xml:space="preserve">Grace JB, </w:t>
      </w:r>
      <w:proofErr w:type="spellStart"/>
      <w:r>
        <w:t>Bollen</w:t>
      </w:r>
      <w:proofErr w:type="spellEnd"/>
      <w:r>
        <w:t xml:space="preserve"> KA (2005) Interpreting the </w:t>
      </w:r>
      <w:r w:rsidR="00911293">
        <w:t>r</w:t>
      </w:r>
      <w:r>
        <w:t xml:space="preserve">esults from </w:t>
      </w:r>
      <w:r w:rsidR="00911293">
        <w:t>m</w:t>
      </w:r>
      <w:r>
        <w:t xml:space="preserve">ultiple </w:t>
      </w:r>
      <w:r w:rsidR="00911293">
        <w:t>r</w:t>
      </w:r>
      <w:r>
        <w:t xml:space="preserve">egression and </w:t>
      </w:r>
      <w:r w:rsidR="00911293">
        <w:t>s</w:t>
      </w:r>
      <w:r>
        <w:t xml:space="preserve">tructural </w:t>
      </w:r>
      <w:r w:rsidR="00911293">
        <w:t>e</w:t>
      </w:r>
      <w:r>
        <w:t xml:space="preserve">quation </w:t>
      </w:r>
      <w:r w:rsidR="00911293">
        <w:t>m</w:t>
      </w:r>
      <w:r>
        <w:t>odels. Bulletin of the Ecological Society of America 86:283–295</w:t>
      </w:r>
    </w:p>
    <w:p w14:paraId="1925B9AA" w14:textId="77777777" w:rsidR="003D57DC" w:rsidRDefault="003D57DC" w:rsidP="003D57DC">
      <w:pPr>
        <w:pStyle w:val="Bibliography"/>
      </w:pPr>
      <w:r>
        <w:t xml:space="preserve">Grace JB, Schoolmaster DR, </w:t>
      </w:r>
      <w:proofErr w:type="spellStart"/>
      <w:r>
        <w:t>Guntenspergen</w:t>
      </w:r>
      <w:proofErr w:type="spellEnd"/>
      <w:r>
        <w:t xml:space="preserve"> GR, Little AM, Mitchell BR, Miller KM, Schweiger EW (2012) Guidelines for a graph-theoretic implementation of structural equation </w:t>
      </w:r>
      <w:proofErr w:type="spellStart"/>
      <w:r>
        <w:t>modeling</w:t>
      </w:r>
      <w:proofErr w:type="spellEnd"/>
      <w:r>
        <w:t>. Ecosphere 3:1–44</w:t>
      </w:r>
    </w:p>
    <w:p w14:paraId="57505CC3" w14:textId="77777777" w:rsidR="003D57DC" w:rsidRDefault="003D57DC" w:rsidP="003D57DC">
      <w:pPr>
        <w:pStyle w:val="Bibliography"/>
      </w:pPr>
      <w:r>
        <w:t xml:space="preserve">Guo H, Weaver C, Charles SP, Whitt A, </w:t>
      </w:r>
      <w:proofErr w:type="spellStart"/>
      <w:r>
        <w:t>Dastidar</w:t>
      </w:r>
      <w:proofErr w:type="spellEnd"/>
      <w:r>
        <w:t xml:space="preserve"> S, </w:t>
      </w:r>
      <w:proofErr w:type="spellStart"/>
      <w:r>
        <w:t>D’Odorico</w:t>
      </w:r>
      <w:proofErr w:type="spellEnd"/>
      <w:r>
        <w:t xml:space="preserve"> P, Fuentes JD, </w:t>
      </w:r>
      <w:proofErr w:type="spellStart"/>
      <w:r>
        <w:t>Kominoski</w:t>
      </w:r>
      <w:proofErr w:type="spellEnd"/>
      <w:r>
        <w:t xml:space="preserve"> JS, Armitage AR, </w:t>
      </w:r>
      <w:proofErr w:type="spellStart"/>
      <w:r>
        <w:t>Pennings</w:t>
      </w:r>
      <w:proofErr w:type="spellEnd"/>
      <w:r>
        <w:t xml:space="preserve"> SC (2017) Coastal regime shifts: rapid responses of coastal wetlands to changes in mangrove cover. Ecology 98:762–772</w:t>
      </w:r>
    </w:p>
    <w:p w14:paraId="410392E9" w14:textId="77777777" w:rsidR="003D57DC" w:rsidRDefault="003D57DC" w:rsidP="003D57DC">
      <w:pPr>
        <w:pStyle w:val="Bibliography"/>
      </w:pPr>
      <w:r>
        <w:t xml:space="preserve">Hayes MA, Jesse A, Hawke B, Baldock J, </w:t>
      </w:r>
      <w:proofErr w:type="spellStart"/>
      <w:r>
        <w:t>Tabet</w:t>
      </w:r>
      <w:proofErr w:type="spellEnd"/>
      <w:r>
        <w:t xml:space="preserve"> B, </w:t>
      </w:r>
      <w:proofErr w:type="spellStart"/>
      <w:r>
        <w:t>Lockington</w:t>
      </w:r>
      <w:proofErr w:type="spellEnd"/>
      <w:r>
        <w:t xml:space="preserve"> D, Lovelock CE (2017) Dynamics of sediment carbon stocks across intertidal wetland habitats of Moreton Bay, Australia. Global Change Biology 23:4222–4234</w:t>
      </w:r>
    </w:p>
    <w:p w14:paraId="2E2F27F9" w14:textId="7B9E06F0" w:rsidR="003D57DC" w:rsidRDefault="003D57DC" w:rsidP="003D57DC">
      <w:pPr>
        <w:pStyle w:val="Bibliography"/>
      </w:pPr>
      <w:r>
        <w:t xml:space="preserve">Hickey SM, </w:t>
      </w:r>
      <w:proofErr w:type="spellStart"/>
      <w:r>
        <w:t>Phinn</w:t>
      </w:r>
      <w:proofErr w:type="spellEnd"/>
      <w:r>
        <w:t xml:space="preserve"> SR, Callow NJ, </w:t>
      </w:r>
      <w:proofErr w:type="spellStart"/>
      <w:r>
        <w:t>Niel</w:t>
      </w:r>
      <w:proofErr w:type="spellEnd"/>
      <w:r>
        <w:t xml:space="preserve"> KPV, Hansen JE, Duarte CM (2017) Is </w:t>
      </w:r>
      <w:r w:rsidR="00911293">
        <w:t>c</w:t>
      </w:r>
      <w:r>
        <w:t xml:space="preserve">limate </w:t>
      </w:r>
      <w:r w:rsidR="00911293">
        <w:t>c</w:t>
      </w:r>
      <w:r>
        <w:t xml:space="preserve">hange </w:t>
      </w:r>
      <w:r w:rsidR="00911293">
        <w:t>s</w:t>
      </w:r>
      <w:r>
        <w:t xml:space="preserve">hifting the </w:t>
      </w:r>
      <w:r w:rsidR="00911293">
        <w:t>p</w:t>
      </w:r>
      <w:r>
        <w:t xml:space="preserve">oleward </w:t>
      </w:r>
      <w:r w:rsidR="00911293">
        <w:t>l</w:t>
      </w:r>
      <w:r>
        <w:t xml:space="preserve">imit of </w:t>
      </w:r>
      <w:r w:rsidR="00911293">
        <w:t>m</w:t>
      </w:r>
      <w:r>
        <w:t>angroves? Estuaries and Coasts 40:1215–1226</w:t>
      </w:r>
    </w:p>
    <w:p w14:paraId="1689E262" w14:textId="77777777" w:rsidR="003D57DC" w:rsidRDefault="003D57DC" w:rsidP="003D57DC">
      <w:pPr>
        <w:pStyle w:val="Bibliography"/>
      </w:pPr>
      <w:r>
        <w:t xml:space="preserve">Hoppe-Speer SCL, Adams JB, </w:t>
      </w:r>
      <w:proofErr w:type="spellStart"/>
      <w:r>
        <w:t>Rajkaran</w:t>
      </w:r>
      <w:proofErr w:type="spellEnd"/>
      <w:r>
        <w:t xml:space="preserve"> A (2015) Mangrove expansion and population structure at a planted site, East London, South Africa. Southern Forests 77:131–139</w:t>
      </w:r>
    </w:p>
    <w:p w14:paraId="22D9A4EB" w14:textId="3E449C92" w:rsidR="003D57DC" w:rsidRDefault="003D57DC" w:rsidP="003D57DC">
      <w:pPr>
        <w:pStyle w:val="Bibliography"/>
      </w:pPr>
      <w:r>
        <w:t>Howard RJ, Day RH, Krauss KW, From AS, Allain L, Cormier N (2017) Hydrologic restoration in a dynamic subtropical mangrove-to-marsh ecotone. Restor</w:t>
      </w:r>
      <w:r w:rsidR="00911293">
        <w:t>ation</w:t>
      </w:r>
      <w:r>
        <w:t xml:space="preserve"> Ecol</w:t>
      </w:r>
      <w:r w:rsidR="00911293">
        <w:t>ogy</w:t>
      </w:r>
      <w:r>
        <w:t xml:space="preserve"> 25:471–482</w:t>
      </w:r>
    </w:p>
    <w:p w14:paraId="38B413E5" w14:textId="0AFC7CBD" w:rsidR="009C0901" w:rsidRPr="009C0901" w:rsidRDefault="003D57DC" w:rsidP="009C0901">
      <w:pPr>
        <w:pStyle w:val="Bibliography"/>
      </w:pPr>
      <w:proofErr w:type="spellStart"/>
      <w:r>
        <w:t>Jervey</w:t>
      </w:r>
      <w:proofErr w:type="spellEnd"/>
      <w:r>
        <w:t xml:space="preserve"> MT (1988) Quantitative </w:t>
      </w:r>
      <w:r w:rsidR="009C0901">
        <w:t>g</w:t>
      </w:r>
      <w:r>
        <w:t xml:space="preserve">eological </w:t>
      </w:r>
      <w:proofErr w:type="spellStart"/>
      <w:r w:rsidR="009C0901">
        <w:t>m</w:t>
      </w:r>
      <w:r>
        <w:t>odeling</w:t>
      </w:r>
      <w:proofErr w:type="spellEnd"/>
      <w:r>
        <w:t xml:space="preserve"> of </w:t>
      </w:r>
      <w:r w:rsidR="009C0901">
        <w:t>s</w:t>
      </w:r>
      <w:r>
        <w:t xml:space="preserve">iliciclastic </w:t>
      </w:r>
      <w:r w:rsidR="009C0901">
        <w:t>r</w:t>
      </w:r>
      <w:r>
        <w:t xml:space="preserve">ock </w:t>
      </w:r>
      <w:r w:rsidR="009C0901">
        <w:t>s</w:t>
      </w:r>
      <w:r>
        <w:t xml:space="preserve">equences and </w:t>
      </w:r>
      <w:r w:rsidR="009C0901">
        <w:t>t</w:t>
      </w:r>
      <w:r>
        <w:t xml:space="preserve">heir </w:t>
      </w:r>
      <w:r w:rsidR="009C0901">
        <w:t>s</w:t>
      </w:r>
      <w:r>
        <w:t xml:space="preserve">eismic </w:t>
      </w:r>
      <w:r w:rsidR="009C0901">
        <w:t>e</w:t>
      </w:r>
      <w:r>
        <w:t>xpression.</w:t>
      </w:r>
      <w:r w:rsidR="009C0901">
        <w:t xml:space="preserve"> In: </w:t>
      </w:r>
      <w:proofErr w:type="spellStart"/>
      <w:r w:rsidR="009C0901">
        <w:t>Wilgus</w:t>
      </w:r>
      <w:proofErr w:type="spellEnd"/>
      <w:r w:rsidR="009C0901">
        <w:t xml:space="preserve"> CK, Hastings BS, </w:t>
      </w:r>
      <w:proofErr w:type="spellStart"/>
      <w:r w:rsidR="009C0901">
        <w:t>Posamentier</w:t>
      </w:r>
      <w:proofErr w:type="spellEnd"/>
      <w:r w:rsidR="009C0901">
        <w:t xml:space="preserve"> H, Van Wagoner J, Ross CA, Kendall CGSC (eds) Sea-Level Changes: An Integrated Approach. Society of Economic </w:t>
      </w:r>
      <w:proofErr w:type="spellStart"/>
      <w:r w:rsidR="009C0901">
        <w:t>Paleontologists</w:t>
      </w:r>
      <w:proofErr w:type="spellEnd"/>
      <w:r w:rsidR="009C0901">
        <w:t xml:space="preserve"> and Mineralogists (SEPM) Special Publication 42, Tulsa, Oklahoma USA, p 47-69</w:t>
      </w:r>
    </w:p>
    <w:p w14:paraId="4A237029" w14:textId="77777777" w:rsidR="003D57DC" w:rsidRDefault="003D57DC" w:rsidP="003D57DC">
      <w:pPr>
        <w:pStyle w:val="Bibliography"/>
      </w:pPr>
      <w:proofErr w:type="spellStart"/>
      <w:r>
        <w:t>Kelleway</w:t>
      </w:r>
      <w:proofErr w:type="spellEnd"/>
      <w:r>
        <w:t xml:space="preserve"> JJ, Cavanaugh K, Rogers K, Feller IC, </w:t>
      </w:r>
      <w:proofErr w:type="spellStart"/>
      <w:r>
        <w:t>Ens</w:t>
      </w:r>
      <w:proofErr w:type="spellEnd"/>
      <w:r>
        <w:t xml:space="preserve"> E, Doughty C, </w:t>
      </w:r>
      <w:proofErr w:type="spellStart"/>
      <w:r>
        <w:t>Saintilan</w:t>
      </w:r>
      <w:proofErr w:type="spellEnd"/>
      <w:r>
        <w:t xml:space="preserve"> N (2017) Review of the ecosystem service implications of mangrove encroachment into salt marshes. Global Change Biology 23:3967–3983</w:t>
      </w:r>
    </w:p>
    <w:p w14:paraId="4C92BCAB" w14:textId="77777777" w:rsidR="003D57DC" w:rsidRDefault="003D57DC" w:rsidP="003D57DC">
      <w:pPr>
        <w:pStyle w:val="Bibliography"/>
      </w:pPr>
      <w:proofErr w:type="spellStart"/>
      <w:r>
        <w:lastRenderedPageBreak/>
        <w:t>Kelleway</w:t>
      </w:r>
      <w:proofErr w:type="spellEnd"/>
      <w:r>
        <w:t xml:space="preserve"> JJ, </w:t>
      </w:r>
      <w:proofErr w:type="spellStart"/>
      <w:r>
        <w:t>Saintilan</w:t>
      </w:r>
      <w:proofErr w:type="spellEnd"/>
      <w:r>
        <w:t xml:space="preserve"> N, </w:t>
      </w:r>
      <w:proofErr w:type="spellStart"/>
      <w:r>
        <w:t>Macreadie</w:t>
      </w:r>
      <w:proofErr w:type="spellEnd"/>
      <w:r>
        <w:t xml:space="preserve"> PI, </w:t>
      </w:r>
      <w:proofErr w:type="spellStart"/>
      <w:r>
        <w:t>Skilbeck</w:t>
      </w:r>
      <w:proofErr w:type="spellEnd"/>
      <w:r>
        <w:t xml:space="preserve"> CG, </w:t>
      </w:r>
      <w:proofErr w:type="spellStart"/>
      <w:r>
        <w:t>Zawadzki</w:t>
      </w:r>
      <w:proofErr w:type="spellEnd"/>
      <w:r>
        <w:t xml:space="preserve"> A, Ralph PJ (2016) Seventy years of continuous encroachment substantially increases ‘blue carbon’ capacity as mangroves replace intertidal salt marshes. Global Change Biology 22:1097–1109</w:t>
      </w:r>
    </w:p>
    <w:p w14:paraId="696D7A25" w14:textId="77777777" w:rsidR="003D57DC" w:rsidRDefault="003D57DC" w:rsidP="003D57DC">
      <w:pPr>
        <w:pStyle w:val="Bibliography"/>
      </w:pPr>
      <w:r>
        <w:t>Krauss KW, Lovelock CE, McKee KL, López-Hoffman L, Ewe SML, Sousa WP (2008) Environmental drivers in mangrove establishment and early development: A review. Aquatic Botany 89:105–127</w:t>
      </w:r>
    </w:p>
    <w:p w14:paraId="138E65A7" w14:textId="77777777" w:rsidR="003D57DC" w:rsidRDefault="003D57DC" w:rsidP="003D57DC">
      <w:pPr>
        <w:pStyle w:val="Bibliography"/>
      </w:pPr>
      <w:proofErr w:type="spellStart"/>
      <w:r>
        <w:t>Lefcheck</w:t>
      </w:r>
      <w:proofErr w:type="spellEnd"/>
      <w:r>
        <w:t xml:space="preserve"> JS (2016) </w:t>
      </w:r>
      <w:proofErr w:type="spellStart"/>
      <w:r>
        <w:t>piecewiseSEM</w:t>
      </w:r>
      <w:proofErr w:type="spellEnd"/>
      <w:r>
        <w:t>: Piecewise structural equation modelling in r for ecology, evolution, and systematics. Methods in Ecology and Evolution 7:573–579</w:t>
      </w:r>
    </w:p>
    <w:p w14:paraId="58DE7555" w14:textId="77777777" w:rsidR="003D57DC" w:rsidRDefault="003D57DC" w:rsidP="003D57DC">
      <w:pPr>
        <w:pStyle w:val="Bibliography"/>
      </w:pPr>
      <w:r>
        <w:t xml:space="preserve">Leong RC, </w:t>
      </w:r>
      <w:proofErr w:type="spellStart"/>
      <w:r>
        <w:t>Friess</w:t>
      </w:r>
      <w:proofErr w:type="spellEnd"/>
      <w:r>
        <w:t xml:space="preserve"> DA, </w:t>
      </w:r>
      <w:proofErr w:type="spellStart"/>
      <w:r>
        <w:t>Crase</w:t>
      </w:r>
      <w:proofErr w:type="spellEnd"/>
      <w:r>
        <w:t xml:space="preserve"> B, Lee WK, Webb EL (2018) High-resolution pattern of mangrove species distribution is controlled by surface elevation. Estuarine, Coastal and Shelf Science 202:185–192</w:t>
      </w:r>
    </w:p>
    <w:p w14:paraId="69482A86" w14:textId="77777777" w:rsidR="003D57DC" w:rsidRDefault="003D57DC" w:rsidP="003D57DC">
      <w:pPr>
        <w:pStyle w:val="Bibliography"/>
      </w:pPr>
      <w:r>
        <w:t>Lewis RR (2005) Ecological engineering for successful management and restoration of mangrove forests. Ecological Engineering 24:403–418</w:t>
      </w:r>
    </w:p>
    <w:p w14:paraId="2243D6E7" w14:textId="692BF253" w:rsidR="003D57DC" w:rsidRDefault="003D57DC" w:rsidP="003D57DC">
      <w:pPr>
        <w:pStyle w:val="Bibliography"/>
      </w:pPr>
      <w:proofErr w:type="spellStart"/>
      <w:r>
        <w:t>Mbense</w:t>
      </w:r>
      <w:proofErr w:type="spellEnd"/>
      <w:r>
        <w:t xml:space="preserve"> S</w:t>
      </w:r>
      <w:r w:rsidR="00A358CA">
        <w:t>P</w:t>
      </w:r>
      <w:r>
        <w:t xml:space="preserve">, </w:t>
      </w:r>
      <w:proofErr w:type="spellStart"/>
      <w:r>
        <w:t>Rajkaran</w:t>
      </w:r>
      <w:proofErr w:type="spellEnd"/>
      <w:r>
        <w:t xml:space="preserve"> A, </w:t>
      </w:r>
      <w:proofErr w:type="spellStart"/>
      <w:r>
        <w:t>Bolosha</w:t>
      </w:r>
      <w:proofErr w:type="spellEnd"/>
      <w:r>
        <w:t xml:space="preserve"> U, Adams J</w:t>
      </w:r>
      <w:r w:rsidR="00A358CA">
        <w:t>B</w:t>
      </w:r>
      <w:r>
        <w:t xml:space="preserve"> (2016) Rapid colonization of degraded mangrove habitat by succulent salt marsh. South African Journal of Botany 107:129–136</w:t>
      </w:r>
    </w:p>
    <w:p w14:paraId="286DDD89" w14:textId="77777777" w:rsidR="003D57DC" w:rsidRDefault="003D57DC" w:rsidP="003D57DC">
      <w:pPr>
        <w:pStyle w:val="Bibliography"/>
      </w:pPr>
      <w:r>
        <w:t xml:space="preserve">McKee KL, </w:t>
      </w:r>
      <w:proofErr w:type="spellStart"/>
      <w:r>
        <w:t>Vervaeke</w:t>
      </w:r>
      <w:proofErr w:type="spellEnd"/>
      <w:r>
        <w:t xml:space="preserve"> WC (2017) Will fluctuations in salt marsh–mangrove dominance alter vulnerability of a subtropical wetland to sea</w:t>
      </w:r>
      <w:r>
        <w:rPr>
          <w:rFonts w:ascii="Cambria Math" w:hAnsi="Cambria Math" w:cs="Cambria Math"/>
        </w:rPr>
        <w:t>‐</w:t>
      </w:r>
      <w:r>
        <w:t>level rise? Global Change Biology 24:1224–1238</w:t>
      </w:r>
    </w:p>
    <w:p w14:paraId="27133FFC" w14:textId="1E760577" w:rsidR="003D57DC" w:rsidRDefault="003D57DC" w:rsidP="003D57DC">
      <w:pPr>
        <w:pStyle w:val="Bibliography"/>
      </w:pPr>
      <w:r>
        <w:t xml:space="preserve">McSweeney SL, Kennedy DM, </w:t>
      </w:r>
      <w:proofErr w:type="spellStart"/>
      <w:r>
        <w:t>Rutherfurd</w:t>
      </w:r>
      <w:proofErr w:type="spellEnd"/>
      <w:r>
        <w:t xml:space="preserve"> ID, Stout JC (2017) Intermittently </w:t>
      </w:r>
      <w:r w:rsidR="00911293">
        <w:t>c</w:t>
      </w:r>
      <w:r>
        <w:t>losed/</w:t>
      </w:r>
      <w:r w:rsidR="00911293">
        <w:t>o</w:t>
      </w:r>
      <w:r>
        <w:t xml:space="preserve">pen </w:t>
      </w:r>
      <w:r w:rsidR="00911293">
        <w:t>l</w:t>
      </w:r>
      <w:r>
        <w:t xml:space="preserve">akes and </w:t>
      </w:r>
      <w:r w:rsidR="00911293">
        <w:t>l</w:t>
      </w:r>
      <w:r>
        <w:t>agoons: Their global distribution and boundary conditions. Geomorphology 292:142–152</w:t>
      </w:r>
    </w:p>
    <w:p w14:paraId="53D0A4D9" w14:textId="77777777" w:rsidR="003D57DC" w:rsidRDefault="003D57DC" w:rsidP="003D57DC">
      <w:pPr>
        <w:pStyle w:val="Bibliography"/>
      </w:pPr>
      <w:proofErr w:type="spellStart"/>
      <w:r>
        <w:t>Nagelkerke</w:t>
      </w:r>
      <w:proofErr w:type="spellEnd"/>
      <w:r>
        <w:t xml:space="preserve"> NJD (1991) A note on a general definition of the coefficient of determination. </w:t>
      </w:r>
      <w:proofErr w:type="spellStart"/>
      <w:r>
        <w:t>Biometrika</w:t>
      </w:r>
      <w:proofErr w:type="spellEnd"/>
      <w:r>
        <w:t xml:space="preserve"> 78:691–692</w:t>
      </w:r>
    </w:p>
    <w:p w14:paraId="6A5AE394" w14:textId="77777777" w:rsidR="003D57DC" w:rsidRDefault="003D57DC" w:rsidP="003D57DC">
      <w:pPr>
        <w:pStyle w:val="Bibliography"/>
      </w:pPr>
      <w:r>
        <w:t>Naidoo G (1985) Effects of waterlogging and salinity on plant-water relations and on the accumulation of solutes in three mangrove species. Aquatic Botany 22:133–143</w:t>
      </w:r>
    </w:p>
    <w:p w14:paraId="3BD98520" w14:textId="67B969D2" w:rsidR="003D57DC" w:rsidRDefault="003D57DC" w:rsidP="003D57DC">
      <w:pPr>
        <w:pStyle w:val="Bibliography"/>
      </w:pPr>
      <w:proofErr w:type="spellStart"/>
      <w:r>
        <w:t>Osland</w:t>
      </w:r>
      <w:proofErr w:type="spellEnd"/>
      <w:r>
        <w:t xml:space="preserve"> MJ, Day RH, Hall CT, Brumfield MD, Dugas JL, Jones WR (2017</w:t>
      </w:r>
      <w:r w:rsidR="00695911">
        <w:t>a</w:t>
      </w:r>
      <w:r>
        <w:t>) Mangrove expansion and contraction at a poleward range limit: climate extremes and land-ocean temperature gradients. Ecology 98:125–137</w:t>
      </w:r>
    </w:p>
    <w:p w14:paraId="22D4E6BB" w14:textId="216E761B" w:rsidR="003D57DC" w:rsidRDefault="003D57DC" w:rsidP="003D57DC">
      <w:pPr>
        <w:pStyle w:val="Bibliography"/>
      </w:pPr>
      <w:proofErr w:type="spellStart"/>
      <w:r>
        <w:t>Osland</w:t>
      </w:r>
      <w:proofErr w:type="spellEnd"/>
      <w:r>
        <w:t xml:space="preserve"> MJ, </w:t>
      </w:r>
      <w:proofErr w:type="spellStart"/>
      <w:r>
        <w:t>Feher</w:t>
      </w:r>
      <w:proofErr w:type="spellEnd"/>
      <w:r>
        <w:t xml:space="preserve"> LC, Griffith KT, Cavanaugh KC, </w:t>
      </w:r>
      <w:proofErr w:type="spellStart"/>
      <w:r>
        <w:t>Enwright</w:t>
      </w:r>
      <w:proofErr w:type="spellEnd"/>
      <w:r>
        <w:t xml:space="preserve"> NM, Day RH, Stagg CL, Krauss KW, Howard RJ, Grace JB, Rogers K (2017</w:t>
      </w:r>
      <w:r w:rsidR="00695911">
        <w:t>b</w:t>
      </w:r>
      <w:r>
        <w:t>) Climatic controls on the global distribution, abundance, and species richness of mangrove forests. Ecological Monographs 87:341–359</w:t>
      </w:r>
    </w:p>
    <w:p w14:paraId="685E3957" w14:textId="77777777" w:rsidR="003D57DC" w:rsidRDefault="003D57DC" w:rsidP="003D57DC">
      <w:pPr>
        <w:pStyle w:val="Bibliography"/>
      </w:pPr>
      <w:proofErr w:type="spellStart"/>
      <w:r>
        <w:t>Pedhazur</w:t>
      </w:r>
      <w:proofErr w:type="spellEnd"/>
      <w:r>
        <w:t xml:space="preserve"> EJ (1997) Multiple regression in </w:t>
      </w:r>
      <w:proofErr w:type="spellStart"/>
      <w:r>
        <w:t>behavioral</w:t>
      </w:r>
      <w:proofErr w:type="spellEnd"/>
      <w:r>
        <w:t xml:space="preserve"> research, Third edition. Wadsworth, Belmont, California, USA</w:t>
      </w:r>
    </w:p>
    <w:p w14:paraId="01CABB5D" w14:textId="77777777" w:rsidR="003D57DC" w:rsidRDefault="003D57DC" w:rsidP="003D57DC">
      <w:pPr>
        <w:pStyle w:val="Bibliography"/>
      </w:pPr>
      <w:r>
        <w:t xml:space="preserve">Peer N, </w:t>
      </w:r>
      <w:proofErr w:type="spellStart"/>
      <w:r>
        <w:t>Rajkaran</w:t>
      </w:r>
      <w:proofErr w:type="spellEnd"/>
      <w:r>
        <w:t xml:space="preserve"> A, Miranda NAF, Taylor RH, Newman B, </w:t>
      </w:r>
      <w:proofErr w:type="spellStart"/>
      <w:r>
        <w:t>Porri</w:t>
      </w:r>
      <w:proofErr w:type="spellEnd"/>
      <w:r>
        <w:t xml:space="preserve"> F, Raw JL, </w:t>
      </w:r>
      <w:proofErr w:type="spellStart"/>
      <w:r>
        <w:t>Mbense</w:t>
      </w:r>
      <w:proofErr w:type="spellEnd"/>
      <w:r>
        <w:t xml:space="preserve"> SP, Adams JB, </w:t>
      </w:r>
      <w:proofErr w:type="spellStart"/>
      <w:r>
        <w:t>Perissinotto</w:t>
      </w:r>
      <w:proofErr w:type="spellEnd"/>
      <w:r>
        <w:t xml:space="preserve"> R (2018) Latitudinal gradients and poleward expansion of mangrove ecosystems in South Africa: 50 years after </w:t>
      </w:r>
      <w:proofErr w:type="spellStart"/>
      <w:r>
        <w:t>Macnae’s</w:t>
      </w:r>
      <w:proofErr w:type="spellEnd"/>
      <w:r>
        <w:t xml:space="preserve"> first assessment. African Journal of Marine Science 40:101–120</w:t>
      </w:r>
    </w:p>
    <w:p w14:paraId="5982A2D2" w14:textId="3CB9AFB9" w:rsidR="003D57DC" w:rsidRDefault="003D57DC" w:rsidP="003D57DC">
      <w:pPr>
        <w:pStyle w:val="Bibliography"/>
      </w:pPr>
      <w:r>
        <w:lastRenderedPageBreak/>
        <w:t xml:space="preserve">Pinheiro J, Bates D, </w:t>
      </w:r>
      <w:proofErr w:type="spellStart"/>
      <w:r>
        <w:t>DebRoy</w:t>
      </w:r>
      <w:proofErr w:type="spellEnd"/>
      <w:r>
        <w:t xml:space="preserve"> S, Sarkar D, R Core Team (2018) {</w:t>
      </w:r>
      <w:proofErr w:type="spellStart"/>
      <w:r>
        <w:t>nlme</w:t>
      </w:r>
      <w:proofErr w:type="spellEnd"/>
      <w:r>
        <w:t>}: Linear and Nonlinear Mixed Effects Models.</w:t>
      </w:r>
      <w:r w:rsidR="0065410C">
        <w:t xml:space="preserve"> R package version 3.1-137 </w:t>
      </w:r>
      <w:r w:rsidR="0065410C" w:rsidRPr="0065410C">
        <w:t>https://CRAN.R-project.org/package=nlme</w:t>
      </w:r>
    </w:p>
    <w:p w14:paraId="03AD2970" w14:textId="77777777" w:rsidR="003D57DC" w:rsidRDefault="003D57DC" w:rsidP="003D57DC">
      <w:pPr>
        <w:pStyle w:val="Bibliography"/>
      </w:pPr>
      <w:proofErr w:type="spellStart"/>
      <w:r>
        <w:t>Quisthoudt</w:t>
      </w:r>
      <w:proofErr w:type="spellEnd"/>
      <w:r>
        <w:t xml:space="preserve"> K, Adams J, </w:t>
      </w:r>
      <w:proofErr w:type="spellStart"/>
      <w:r>
        <w:t>Rajkaran</w:t>
      </w:r>
      <w:proofErr w:type="spellEnd"/>
      <w:r>
        <w:t xml:space="preserve"> A, </w:t>
      </w:r>
      <w:proofErr w:type="spellStart"/>
      <w:r>
        <w:t>Dahdouh-Guebas</w:t>
      </w:r>
      <w:proofErr w:type="spellEnd"/>
      <w:r>
        <w:t xml:space="preserve"> F, </w:t>
      </w:r>
      <w:proofErr w:type="spellStart"/>
      <w:r>
        <w:t>Koedam</w:t>
      </w:r>
      <w:proofErr w:type="spellEnd"/>
      <w:r>
        <w:t xml:space="preserve"> N, </w:t>
      </w:r>
      <w:proofErr w:type="spellStart"/>
      <w:r>
        <w:t>Randin</w:t>
      </w:r>
      <w:proofErr w:type="spellEnd"/>
      <w:r>
        <w:t xml:space="preserve"> C (2013) Disentangling the effects of global climate and regional land-use change on the current and future distribution of mangroves in South Africa. Biodiversity and Conservation 22:1369–1390</w:t>
      </w:r>
    </w:p>
    <w:p w14:paraId="251B5B52" w14:textId="77777777" w:rsidR="003D57DC" w:rsidRDefault="003D57DC" w:rsidP="003D57DC">
      <w:pPr>
        <w:pStyle w:val="Bibliography"/>
      </w:pPr>
      <w:proofErr w:type="spellStart"/>
      <w:r>
        <w:t>Quisthoudt</w:t>
      </w:r>
      <w:proofErr w:type="spellEnd"/>
      <w:r>
        <w:t xml:space="preserve"> K, Schmitz N, </w:t>
      </w:r>
      <w:proofErr w:type="spellStart"/>
      <w:r>
        <w:t>Randin</w:t>
      </w:r>
      <w:proofErr w:type="spellEnd"/>
      <w:r>
        <w:t xml:space="preserve"> CF, </w:t>
      </w:r>
      <w:proofErr w:type="spellStart"/>
      <w:r>
        <w:t>Dahdouh-Guebas</w:t>
      </w:r>
      <w:proofErr w:type="spellEnd"/>
      <w:r>
        <w:t xml:space="preserve"> F, Robert EM, </w:t>
      </w:r>
      <w:proofErr w:type="spellStart"/>
      <w:r>
        <w:t>Koedam</w:t>
      </w:r>
      <w:proofErr w:type="spellEnd"/>
      <w:r>
        <w:t xml:space="preserve"> N (2012) Temperature variation among mangrove latitudinal range limits worldwide. Trees 26:1919–1931</w:t>
      </w:r>
    </w:p>
    <w:p w14:paraId="258B2405" w14:textId="1918AC67" w:rsidR="003D57DC" w:rsidRDefault="003D57DC" w:rsidP="003D57DC">
      <w:pPr>
        <w:pStyle w:val="Bibliography"/>
      </w:pPr>
      <w:r>
        <w:t>R Core Team (2018) R: A language and Environment for Statistical Computing. R Foundation for Statistical Computing, Vienna, Austria</w:t>
      </w:r>
      <w:r w:rsidR="005134B0">
        <w:t xml:space="preserve"> </w:t>
      </w:r>
      <w:r w:rsidR="005134B0" w:rsidRPr="005134B0">
        <w:t>https://www.R-project.org/</w:t>
      </w:r>
    </w:p>
    <w:p w14:paraId="65F19560" w14:textId="77777777" w:rsidR="003D57DC" w:rsidRDefault="003D57DC" w:rsidP="003D57DC">
      <w:pPr>
        <w:pStyle w:val="Bibliography"/>
      </w:pPr>
      <w:proofErr w:type="spellStart"/>
      <w:r>
        <w:t>Rajkaran</w:t>
      </w:r>
      <w:proofErr w:type="spellEnd"/>
      <w:r>
        <w:t xml:space="preserve"> A, Adams JB (2011) Mangrove forests of Northern Kwa-Zulu Natal: Sediment conditions and population structure of the largest mangrove forests in South Africa. West Indian Ocean Journal of Marine Science 10:25–38</w:t>
      </w:r>
    </w:p>
    <w:p w14:paraId="7FFC819A" w14:textId="0DB6B9F7" w:rsidR="003D57DC" w:rsidRDefault="003D57DC" w:rsidP="003D57DC">
      <w:pPr>
        <w:pStyle w:val="Bibliography"/>
      </w:pPr>
      <w:proofErr w:type="spellStart"/>
      <w:r>
        <w:t>Rajkaran</w:t>
      </w:r>
      <w:proofErr w:type="spellEnd"/>
      <w:r>
        <w:t xml:space="preserve"> A, Adams J</w:t>
      </w:r>
      <w:r w:rsidR="00DE235A">
        <w:t>B</w:t>
      </w:r>
      <w:r>
        <w:t xml:space="preserve"> (2012) The effects of environmental variables on mortality and growth of mangroves at </w:t>
      </w:r>
      <w:proofErr w:type="spellStart"/>
      <w:r>
        <w:t>Mngazana</w:t>
      </w:r>
      <w:proofErr w:type="spellEnd"/>
      <w:r>
        <w:t xml:space="preserve"> Estuary, Eastern Cape, South Africa. Wetlands Ecology and Management 20:297–312</w:t>
      </w:r>
    </w:p>
    <w:p w14:paraId="3608F473" w14:textId="308B37F1" w:rsidR="00A358CA" w:rsidRPr="00A358CA" w:rsidRDefault="00A358CA" w:rsidP="008F57B5">
      <w:pPr>
        <w:ind w:left="720" w:hanging="720"/>
      </w:pPr>
      <w:proofErr w:type="spellStart"/>
      <w:r>
        <w:t>Rajkaran</w:t>
      </w:r>
      <w:proofErr w:type="spellEnd"/>
      <w:r>
        <w:t xml:space="preserve"> A, Adams JB, Taylor RH (2009) Historic and recent (2006) state of mangroves in small estuaries from </w:t>
      </w:r>
      <w:proofErr w:type="spellStart"/>
      <w:r>
        <w:t>Mlalazi</w:t>
      </w:r>
      <w:proofErr w:type="spellEnd"/>
      <w:r>
        <w:t xml:space="preserve"> to </w:t>
      </w:r>
      <w:proofErr w:type="spellStart"/>
      <w:r>
        <w:t>Mtamvuna</w:t>
      </w:r>
      <w:proofErr w:type="spellEnd"/>
      <w:r>
        <w:t xml:space="preserve"> in KwaZulu-Natal, South Africa. Southern Forests 71: 287-296</w:t>
      </w:r>
    </w:p>
    <w:p w14:paraId="36AAD5BE" w14:textId="73402DDD" w:rsidR="003D57DC" w:rsidRDefault="003D57DC" w:rsidP="003D57DC">
      <w:pPr>
        <w:pStyle w:val="Bibliography"/>
      </w:pPr>
      <w:r>
        <w:t>Rogers K, Krauss KW (2018) Moving from generalisations to specificity about mangrove –saltmarsh dynamics. Wetlands</w:t>
      </w:r>
      <w:r w:rsidR="005134B0">
        <w:t xml:space="preserve"> </w:t>
      </w:r>
      <w:proofErr w:type="spellStart"/>
      <w:r w:rsidR="005134B0">
        <w:t>doi</w:t>
      </w:r>
      <w:proofErr w:type="spellEnd"/>
      <w:r w:rsidR="005134B0">
        <w:t xml:space="preserve">: </w:t>
      </w:r>
      <w:r w:rsidR="005134B0" w:rsidRPr="005134B0">
        <w:t>10.1007/s13157-018-1067-9</w:t>
      </w:r>
    </w:p>
    <w:p w14:paraId="0E109162" w14:textId="77777777" w:rsidR="003D57DC" w:rsidRDefault="003D57DC" w:rsidP="003D57DC">
      <w:pPr>
        <w:pStyle w:val="Bibliography"/>
      </w:pPr>
      <w:r>
        <w:t>Rogers K, Woodroffe CD (2016) Geomorphology as an indicator of the biophysical vulnerability of estuaries to coastal and flood hazards in a changing climate. Journal of Coastal Conservation 20:127–144</w:t>
      </w:r>
    </w:p>
    <w:p w14:paraId="7D0DDB0B" w14:textId="3552F4D1" w:rsidR="003D57DC" w:rsidRDefault="003D57DC" w:rsidP="003D57DC">
      <w:pPr>
        <w:pStyle w:val="Bibliography"/>
      </w:pPr>
      <w:r>
        <w:t xml:space="preserve">Roy PS, Williams RJ, Jones AR, </w:t>
      </w:r>
      <w:proofErr w:type="spellStart"/>
      <w:r>
        <w:t>Yassini</w:t>
      </w:r>
      <w:proofErr w:type="spellEnd"/>
      <w:r>
        <w:t xml:space="preserve"> I, Gibbs PJ, Coates B, West RJ, </w:t>
      </w:r>
      <w:proofErr w:type="spellStart"/>
      <w:r>
        <w:t>Scanes</w:t>
      </w:r>
      <w:proofErr w:type="spellEnd"/>
      <w:r>
        <w:t xml:space="preserve"> PR, Hudson JP, Nichol S (2001) Structure and </w:t>
      </w:r>
      <w:r w:rsidR="00650FA6">
        <w:t>f</w:t>
      </w:r>
      <w:r>
        <w:t xml:space="preserve">unction of </w:t>
      </w:r>
      <w:r w:rsidR="00650FA6">
        <w:t>s</w:t>
      </w:r>
      <w:r>
        <w:t xml:space="preserve">outh-east Australian </w:t>
      </w:r>
      <w:r w:rsidR="00650FA6">
        <w:t>e</w:t>
      </w:r>
      <w:r>
        <w:t>stuaries. Estuarine, Coastal and Shelf Science 53:351–384</w:t>
      </w:r>
    </w:p>
    <w:p w14:paraId="5D7CBFC7" w14:textId="6005EB15" w:rsidR="00A358CA" w:rsidRPr="00A358CA" w:rsidRDefault="00A358CA" w:rsidP="008F57B5">
      <w:pPr>
        <w:pStyle w:val="BodyTextIndent2"/>
      </w:pPr>
      <w:proofErr w:type="spellStart"/>
      <w:r>
        <w:t>Saintilan</w:t>
      </w:r>
      <w:proofErr w:type="spellEnd"/>
      <w:r>
        <w:t xml:space="preserve"> N, Rogers K, Toms C, Stein E, Jacobs D (2016) Intermittent estuaries: linking hydro-geomorphic context to climate change resilience. Journal of Coastal Research 75: 133-137</w:t>
      </w:r>
    </w:p>
    <w:p w14:paraId="6216EEE3" w14:textId="77777777" w:rsidR="003D57DC" w:rsidRDefault="003D57DC" w:rsidP="003D57DC">
      <w:pPr>
        <w:pStyle w:val="Bibliography"/>
      </w:pPr>
      <w:proofErr w:type="spellStart"/>
      <w:r>
        <w:t>Saintilan</w:t>
      </w:r>
      <w:proofErr w:type="spellEnd"/>
      <w:r>
        <w:t xml:space="preserve"> N, Williams RJ (1999) Mangrove transgression into saltmarsh environments in south-east Australia. Global Ecology and Biogeography 8:117–124</w:t>
      </w:r>
    </w:p>
    <w:p w14:paraId="49569632" w14:textId="77777777" w:rsidR="003D57DC" w:rsidRDefault="003D57DC" w:rsidP="003D57DC">
      <w:pPr>
        <w:pStyle w:val="Bibliography"/>
      </w:pPr>
      <w:r>
        <w:t>Schaeffer-</w:t>
      </w:r>
      <w:proofErr w:type="spellStart"/>
      <w:r>
        <w:t>Novelli</w:t>
      </w:r>
      <w:proofErr w:type="spellEnd"/>
      <w:r>
        <w:t xml:space="preserve"> Y, </w:t>
      </w:r>
      <w:proofErr w:type="spellStart"/>
      <w:r>
        <w:t>Cintrón-Molero</w:t>
      </w:r>
      <w:proofErr w:type="spellEnd"/>
      <w:r>
        <w:t xml:space="preserve"> G, </w:t>
      </w:r>
      <w:proofErr w:type="spellStart"/>
      <w:r>
        <w:t>Adaime</w:t>
      </w:r>
      <w:proofErr w:type="spellEnd"/>
      <w:r>
        <w:t xml:space="preserve"> RR, Camargo TM de (1990) Variability of mangrove ecosystems along the Brazilian coast. Estuaries 13:204–218</w:t>
      </w:r>
    </w:p>
    <w:p w14:paraId="19CCD76E" w14:textId="77777777" w:rsidR="003D57DC" w:rsidRDefault="003D57DC" w:rsidP="003D57DC">
      <w:pPr>
        <w:pStyle w:val="Bibliography"/>
      </w:pPr>
      <w:r>
        <w:t>Schaeffer-</w:t>
      </w:r>
      <w:proofErr w:type="spellStart"/>
      <w:r>
        <w:t>Novelli</w:t>
      </w:r>
      <w:proofErr w:type="spellEnd"/>
      <w:r>
        <w:t xml:space="preserve"> Y, Soriano-Sierra EJ, Vale CC do, Bernini E, </w:t>
      </w:r>
      <w:proofErr w:type="spellStart"/>
      <w:r>
        <w:t>Rovai</w:t>
      </w:r>
      <w:proofErr w:type="spellEnd"/>
      <w:r>
        <w:t xml:space="preserve"> AS, Pinheiro MAA, Schmidt AJ, Almeida R de, Coelho Júnior C, </w:t>
      </w:r>
      <w:proofErr w:type="spellStart"/>
      <w:r>
        <w:t>Menghini</w:t>
      </w:r>
      <w:proofErr w:type="spellEnd"/>
      <w:r>
        <w:t xml:space="preserve"> RP, Martinez DI, </w:t>
      </w:r>
      <w:proofErr w:type="spellStart"/>
      <w:r>
        <w:t>Abuchahla</w:t>
      </w:r>
      <w:proofErr w:type="spellEnd"/>
      <w:r>
        <w:t xml:space="preserve"> GM de O, Cunha-</w:t>
      </w:r>
      <w:proofErr w:type="spellStart"/>
      <w:r>
        <w:t>Lignon</w:t>
      </w:r>
      <w:proofErr w:type="spellEnd"/>
      <w:r>
        <w:t xml:space="preserve"> M, </w:t>
      </w:r>
      <w:proofErr w:type="spellStart"/>
      <w:r>
        <w:t>Charlier-Sarubo</w:t>
      </w:r>
      <w:proofErr w:type="spellEnd"/>
      <w:r>
        <w:t xml:space="preserve"> S, </w:t>
      </w:r>
      <w:proofErr w:type="spellStart"/>
      <w:r>
        <w:t>Shirazawa</w:t>
      </w:r>
      <w:proofErr w:type="spellEnd"/>
      <w:r>
        <w:t xml:space="preserve">-Freitas J, </w:t>
      </w:r>
      <w:proofErr w:type="spellStart"/>
      <w:r>
        <w:t>Cintrón-Molero</w:t>
      </w:r>
      <w:proofErr w:type="spellEnd"/>
      <w:r>
        <w:t xml:space="preserve"> G (2016) Climate changes in mangrove forests and salt marshes. Brazilian Journal of Oceanography 64:37–52</w:t>
      </w:r>
    </w:p>
    <w:p w14:paraId="62715393" w14:textId="77777777" w:rsidR="003D57DC" w:rsidRDefault="003D57DC" w:rsidP="003D57DC">
      <w:pPr>
        <w:pStyle w:val="Bibliography"/>
      </w:pPr>
      <w:proofErr w:type="spellStart"/>
      <w:r>
        <w:lastRenderedPageBreak/>
        <w:t>Semeniuk</w:t>
      </w:r>
      <w:proofErr w:type="spellEnd"/>
      <w:r>
        <w:t xml:space="preserve"> V (1983) Mangrove distribution in </w:t>
      </w:r>
      <w:proofErr w:type="spellStart"/>
      <w:r>
        <w:t>Northwestern</w:t>
      </w:r>
      <w:proofErr w:type="spellEnd"/>
      <w:r>
        <w:t xml:space="preserve"> Australia in relationship to regional and local freshwater seepage. </w:t>
      </w:r>
      <w:proofErr w:type="spellStart"/>
      <w:r>
        <w:t>Vegetatio</w:t>
      </w:r>
      <w:proofErr w:type="spellEnd"/>
      <w:r>
        <w:t xml:space="preserve"> 53:11–31</w:t>
      </w:r>
    </w:p>
    <w:p w14:paraId="30A02C95" w14:textId="77777777" w:rsidR="003D57DC" w:rsidRDefault="003D57DC" w:rsidP="003D57DC">
      <w:pPr>
        <w:pStyle w:val="Bibliography"/>
      </w:pPr>
      <w:proofErr w:type="spellStart"/>
      <w:r>
        <w:t>Semeniuk</w:t>
      </w:r>
      <w:proofErr w:type="spellEnd"/>
      <w:r>
        <w:t xml:space="preserve"> V (1985) Development of mangrove habitats along ria shorelines in north and </w:t>
      </w:r>
      <w:proofErr w:type="spellStart"/>
      <w:r>
        <w:t>northwestern</w:t>
      </w:r>
      <w:proofErr w:type="spellEnd"/>
      <w:r>
        <w:t xml:space="preserve"> tropical Australia. </w:t>
      </w:r>
      <w:proofErr w:type="spellStart"/>
      <w:r>
        <w:t>Vegetatio</w:t>
      </w:r>
      <w:proofErr w:type="spellEnd"/>
      <w:r>
        <w:t xml:space="preserve"> 60:3–23</w:t>
      </w:r>
    </w:p>
    <w:p w14:paraId="0BDB257A" w14:textId="77777777" w:rsidR="003D57DC" w:rsidRDefault="003D57DC" w:rsidP="003D57DC">
      <w:pPr>
        <w:pStyle w:val="Bibliography"/>
      </w:pPr>
      <w:r>
        <w:t>Shipley B (2013) The AIC model selection method applied to path analytic models compared using a d-separation test. Ecology 94:560–564</w:t>
      </w:r>
    </w:p>
    <w:p w14:paraId="426BC727" w14:textId="77777777" w:rsidR="003D57DC" w:rsidRDefault="003D57DC" w:rsidP="003D57DC">
      <w:pPr>
        <w:pStyle w:val="Bibliography"/>
      </w:pPr>
      <w:proofErr w:type="spellStart"/>
      <w:r>
        <w:t>Skilbeck</w:t>
      </w:r>
      <w:proofErr w:type="spellEnd"/>
      <w:r>
        <w:t xml:space="preserve"> CG, Heap AD, Woodroffe CD (2017) Geology and Sedimentary History of Modern Estuaries. In: </w:t>
      </w:r>
      <w:proofErr w:type="spellStart"/>
      <w:r>
        <w:t>Weckström</w:t>
      </w:r>
      <w:proofErr w:type="spellEnd"/>
      <w:r>
        <w:t xml:space="preserve"> K, Saunders KM, </w:t>
      </w:r>
      <w:proofErr w:type="spellStart"/>
      <w:r>
        <w:t>Gell</w:t>
      </w:r>
      <w:proofErr w:type="spellEnd"/>
      <w:r>
        <w:t xml:space="preserve"> PA, </w:t>
      </w:r>
      <w:proofErr w:type="spellStart"/>
      <w:r>
        <w:t>Skilbeck</w:t>
      </w:r>
      <w:proofErr w:type="spellEnd"/>
      <w:r>
        <w:t xml:space="preserve"> CG (eds) Applications of Paleoenvironmental Techniques in Estuarine Studies. Springer Netherlands, Dordrecht, p 45–74</w:t>
      </w:r>
    </w:p>
    <w:p w14:paraId="3BC4015A" w14:textId="77777777" w:rsidR="003D57DC" w:rsidRDefault="003D57DC" w:rsidP="003D57DC">
      <w:pPr>
        <w:pStyle w:val="Bibliography"/>
      </w:pPr>
      <w:proofErr w:type="spellStart"/>
      <w:r>
        <w:t>Smee</w:t>
      </w:r>
      <w:proofErr w:type="spellEnd"/>
      <w:r>
        <w:t xml:space="preserve"> DL, Sanchez JA, Diskin M, </w:t>
      </w:r>
      <w:proofErr w:type="spellStart"/>
      <w:r>
        <w:t>Trettin</w:t>
      </w:r>
      <w:proofErr w:type="spellEnd"/>
      <w:r>
        <w:t xml:space="preserve"> C (2017) Mangrove expansion into salt marshes alters associated faunal communities. Estuarine, Coastal and Shelf Science 187:306–313</w:t>
      </w:r>
    </w:p>
    <w:p w14:paraId="6974BFE5" w14:textId="77777777" w:rsidR="003D57DC" w:rsidRDefault="003D57DC" w:rsidP="003D57DC">
      <w:pPr>
        <w:pStyle w:val="Bibliography"/>
      </w:pPr>
      <w:r>
        <w:t xml:space="preserve">Soares MLG, Estrada GCD, Fernandez V, </w:t>
      </w:r>
      <w:proofErr w:type="spellStart"/>
      <w:r>
        <w:t>Tognella</w:t>
      </w:r>
      <w:proofErr w:type="spellEnd"/>
      <w:r>
        <w:t xml:space="preserve"> MMP (2012) Southern limit of the Western South Atlantic mangroves: Assessment of the potential effects of global warming from a biogeographical perspective. Estuarine, Coastal and Shelf Science 101:44–53</w:t>
      </w:r>
    </w:p>
    <w:p w14:paraId="17D276BC" w14:textId="77777777" w:rsidR="003D57DC" w:rsidRDefault="003D57DC" w:rsidP="003D57DC">
      <w:pPr>
        <w:pStyle w:val="Bibliography"/>
      </w:pPr>
      <w:r>
        <w:t>Stevens PW, Fox SL, Montague CL (2006) The interplay between mangroves and saltmarshes at the transition between temperate and subtropical climate in Florida. Wetlands Ecology and Management 14:435–444</w:t>
      </w:r>
    </w:p>
    <w:p w14:paraId="0021D082" w14:textId="03C1E205" w:rsidR="003D57DC" w:rsidRDefault="003D57DC" w:rsidP="003D57DC">
      <w:pPr>
        <w:pStyle w:val="Bibliography"/>
      </w:pPr>
      <w:r>
        <w:t xml:space="preserve">Stuart SA, </w:t>
      </w:r>
      <w:proofErr w:type="spellStart"/>
      <w:r>
        <w:t>Choat</w:t>
      </w:r>
      <w:proofErr w:type="spellEnd"/>
      <w:r>
        <w:t xml:space="preserve"> B, Martin KC, Holbrook NM, Ball MC (2007) The role of freezing in setting the latitudinal limits of mangrove forests. New </w:t>
      </w:r>
      <w:proofErr w:type="spellStart"/>
      <w:r>
        <w:t>Phytologist</w:t>
      </w:r>
      <w:proofErr w:type="spellEnd"/>
      <w:r>
        <w:t xml:space="preserve"> 173:576–583</w:t>
      </w:r>
    </w:p>
    <w:p w14:paraId="400896A9" w14:textId="00DFFA7A" w:rsidR="001E2A6A" w:rsidRPr="001E2A6A" w:rsidRDefault="001E2A6A" w:rsidP="008F57B5">
      <w:pPr>
        <w:ind w:left="720" w:hanging="720"/>
      </w:pPr>
      <w:r>
        <w:t>Su</w:t>
      </w:r>
      <w:r>
        <w:rPr>
          <w:rFonts w:cs="Arial"/>
        </w:rPr>
        <w:t>á</w:t>
      </w:r>
      <w:r>
        <w:t xml:space="preserve">rez JA, </w:t>
      </w:r>
      <w:proofErr w:type="spellStart"/>
      <w:r>
        <w:t>Urrego</w:t>
      </w:r>
      <w:proofErr w:type="spellEnd"/>
      <w:r>
        <w:t xml:space="preserve"> LE, Osorio A, Ruiz, HY (2015) Oceanic and climatic drivers of mangrove changes in the Gulf of </w:t>
      </w:r>
      <w:proofErr w:type="spellStart"/>
      <w:r>
        <w:t>Urab</w:t>
      </w:r>
      <w:r>
        <w:rPr>
          <w:rFonts w:cs="Arial"/>
        </w:rPr>
        <w:t>á</w:t>
      </w:r>
      <w:proofErr w:type="spellEnd"/>
      <w:r>
        <w:t>, Colombian Caribbean. Latin American Journal of Aquatic Research 43: 972-985</w:t>
      </w:r>
    </w:p>
    <w:p w14:paraId="763520E9" w14:textId="26D092FC" w:rsidR="003D57DC" w:rsidRDefault="003D57DC" w:rsidP="003D57DC">
      <w:pPr>
        <w:pStyle w:val="Bibliography"/>
      </w:pPr>
      <w:r>
        <w:t>Tomlinson PB (1999) The Botany of Mangroves. Cambridge University Press, Cambridge, United Kingdom</w:t>
      </w:r>
    </w:p>
    <w:p w14:paraId="186AEC4E" w14:textId="65C79371" w:rsidR="0092453E" w:rsidRDefault="0051183B" w:rsidP="00EB490C">
      <w:pPr>
        <w:ind w:left="720" w:hanging="720"/>
      </w:pPr>
      <w:proofErr w:type="spellStart"/>
      <w:r>
        <w:t>Urrego</w:t>
      </w:r>
      <w:proofErr w:type="spellEnd"/>
      <w:r>
        <w:t xml:space="preserve"> LE, Molina EC, Su</w:t>
      </w:r>
      <w:r>
        <w:rPr>
          <w:rFonts w:cs="Arial"/>
        </w:rPr>
        <w:t>á</w:t>
      </w:r>
      <w:r>
        <w:t xml:space="preserve">rez JA (2014) Environmental and anthropogenic influences on the distribution, structure, and floristic composition of mangrove forests of the Gulf of </w:t>
      </w:r>
      <w:proofErr w:type="spellStart"/>
      <w:r>
        <w:t>Urab</w:t>
      </w:r>
      <w:r>
        <w:rPr>
          <w:rFonts w:cs="Arial"/>
        </w:rPr>
        <w:t>á</w:t>
      </w:r>
      <w:proofErr w:type="spellEnd"/>
      <w:r>
        <w:t xml:space="preserve"> (Colombian Caribbean). Aquatic Botany 114: 42-49</w:t>
      </w:r>
    </w:p>
    <w:p w14:paraId="4933302D" w14:textId="77777777" w:rsidR="00BA353C" w:rsidRDefault="00C426F9" w:rsidP="00C426F9">
      <w:pPr>
        <w:pStyle w:val="Bibliography"/>
      </w:pPr>
      <w:r>
        <w:t xml:space="preserve">van der Heide T, van </w:t>
      </w:r>
      <w:proofErr w:type="spellStart"/>
      <w:r>
        <w:t>Nes</w:t>
      </w:r>
      <w:proofErr w:type="spellEnd"/>
      <w:r>
        <w:t xml:space="preserve"> EH, van </w:t>
      </w:r>
      <w:proofErr w:type="spellStart"/>
      <w:r>
        <w:t>Katwijk</w:t>
      </w:r>
      <w:proofErr w:type="spellEnd"/>
      <w:r>
        <w:t xml:space="preserve"> MM, </w:t>
      </w:r>
      <w:proofErr w:type="spellStart"/>
      <w:r>
        <w:t>Olff</w:t>
      </w:r>
      <w:proofErr w:type="spellEnd"/>
      <w:r>
        <w:t xml:space="preserve"> H, </w:t>
      </w:r>
      <w:proofErr w:type="spellStart"/>
      <w:r>
        <w:t>Smolders</w:t>
      </w:r>
      <w:proofErr w:type="spellEnd"/>
      <w:r>
        <w:t xml:space="preserve"> AJP (2011) Positive feedbacks in seagrass ecosystems – Evidence from large-scale empirical data. </w:t>
      </w:r>
      <w:proofErr w:type="spellStart"/>
      <w:r>
        <w:t>PLoS</w:t>
      </w:r>
      <w:proofErr w:type="spellEnd"/>
      <w:r>
        <w:t xml:space="preserve"> ONE 6:e16504</w:t>
      </w:r>
    </w:p>
    <w:p w14:paraId="7F3E0581" w14:textId="6EDA5671" w:rsidR="00C426F9" w:rsidRPr="00C426F9" w:rsidRDefault="0092453E" w:rsidP="00C426F9">
      <w:pPr>
        <w:pStyle w:val="Bibliography"/>
      </w:pPr>
      <w:r>
        <w:t xml:space="preserve">van </w:t>
      </w:r>
      <w:proofErr w:type="spellStart"/>
      <w:r>
        <w:t>Neikerk</w:t>
      </w:r>
      <w:proofErr w:type="spellEnd"/>
      <w:r>
        <w:t xml:space="preserve"> L, Adams JB, Bate GC, Forbes AT, </w:t>
      </w:r>
      <w:proofErr w:type="spellStart"/>
      <w:r>
        <w:t>Fores</w:t>
      </w:r>
      <w:proofErr w:type="spellEnd"/>
      <w:r>
        <w:t xml:space="preserve"> NT, Huizinga P, </w:t>
      </w:r>
      <w:proofErr w:type="spellStart"/>
      <w:r>
        <w:t>Lamberth</w:t>
      </w:r>
      <w:proofErr w:type="spellEnd"/>
      <w:r>
        <w:t xml:space="preserve"> SJ, </w:t>
      </w:r>
      <w:proofErr w:type="spellStart"/>
      <w:r>
        <w:t>MackayCF</w:t>
      </w:r>
      <w:proofErr w:type="spellEnd"/>
      <w:r>
        <w:t xml:space="preserve">, Petersen C, </w:t>
      </w:r>
      <w:proofErr w:type="spellStart"/>
      <w:r>
        <w:t>Taljaard</w:t>
      </w:r>
      <w:proofErr w:type="spellEnd"/>
      <w:r>
        <w:t xml:space="preserve"> S, </w:t>
      </w:r>
      <w:proofErr w:type="spellStart"/>
      <w:r>
        <w:t>Weerts</w:t>
      </w:r>
      <w:proofErr w:type="spellEnd"/>
      <w:r>
        <w:t xml:space="preserve"> SP, Whitfield AK, Wooldridge TH (2013) Country-wide assessment of estuary health: an approach for integrating pressures and ecosystem response in a data limited environment. Estuarine, Coastal and Shelf Science 130: 239-251</w:t>
      </w:r>
    </w:p>
    <w:p w14:paraId="289DB1B8" w14:textId="79ED73D9" w:rsidR="008815B8" w:rsidRPr="008815B8" w:rsidRDefault="00ED462B" w:rsidP="008815B8">
      <w:pPr>
        <w:pStyle w:val="BodyTextIndent"/>
      </w:pPr>
      <w:r>
        <w:t>v</w:t>
      </w:r>
      <w:r w:rsidR="008815B8" w:rsidRPr="008815B8">
        <w:t xml:space="preserve">an Niekerk L, Adams JB </w:t>
      </w:r>
      <w:proofErr w:type="spellStart"/>
      <w:r w:rsidR="008815B8" w:rsidRPr="008815B8">
        <w:t>Lamberth</w:t>
      </w:r>
      <w:proofErr w:type="spellEnd"/>
      <w:r w:rsidR="008815B8" w:rsidRPr="008815B8">
        <w:t xml:space="preserve"> SJ, MacKay F</w:t>
      </w:r>
      <w:r w:rsidR="003924F5">
        <w:t>C</w:t>
      </w:r>
      <w:r w:rsidR="008815B8" w:rsidRPr="008815B8">
        <w:t xml:space="preserve">, </w:t>
      </w:r>
      <w:proofErr w:type="spellStart"/>
      <w:r w:rsidR="008815B8" w:rsidRPr="008815B8">
        <w:t>Taljaard</w:t>
      </w:r>
      <w:proofErr w:type="spellEnd"/>
      <w:r w:rsidR="008815B8" w:rsidRPr="008815B8">
        <w:t xml:space="preserve"> S, </w:t>
      </w:r>
      <w:proofErr w:type="spellStart"/>
      <w:r w:rsidR="008815B8" w:rsidRPr="008815B8">
        <w:t>Turpie</w:t>
      </w:r>
      <w:proofErr w:type="spellEnd"/>
      <w:r w:rsidR="008815B8" w:rsidRPr="008815B8">
        <w:t xml:space="preserve"> JK, </w:t>
      </w:r>
      <w:proofErr w:type="spellStart"/>
      <w:r w:rsidR="008815B8" w:rsidRPr="008815B8">
        <w:t>Ramhukad</w:t>
      </w:r>
      <w:proofErr w:type="spellEnd"/>
      <w:r w:rsidR="008815B8" w:rsidRPr="008815B8">
        <w:t xml:space="preserve"> C-L, Sink K, </w:t>
      </w:r>
      <w:r w:rsidR="003924F5">
        <w:t>v</w:t>
      </w:r>
      <w:r w:rsidR="003924F5" w:rsidRPr="008815B8">
        <w:t xml:space="preserve">an </w:t>
      </w:r>
      <w:r w:rsidR="008815B8" w:rsidRPr="008815B8">
        <w:t>Deventer</w:t>
      </w:r>
      <w:r w:rsidR="003924F5">
        <w:t xml:space="preserve"> H</w:t>
      </w:r>
      <w:r w:rsidR="008815B8" w:rsidRPr="008815B8">
        <w:t xml:space="preserve"> </w:t>
      </w:r>
      <w:r>
        <w:t xml:space="preserve">(2018) </w:t>
      </w:r>
      <w:r w:rsidR="008815B8" w:rsidRPr="008815B8">
        <w:t xml:space="preserve">South African National Biodiversity Assessment 2018: </w:t>
      </w:r>
      <w:r w:rsidR="008815B8" w:rsidRPr="008815B8">
        <w:lastRenderedPageBreak/>
        <w:t>Technical Report. Volume 3: Estuarine Environment.  South African National Biodiversity Institute, Pretoria. Report Number: SANBI/NAT/NBA2018/2019/Vol4/A</w:t>
      </w:r>
    </w:p>
    <w:p w14:paraId="1F655D9F" w14:textId="38329433" w:rsidR="00D71818" w:rsidRPr="00ED462B" w:rsidRDefault="00ED462B" w:rsidP="00D71818">
      <w:pPr>
        <w:pStyle w:val="Bibliography"/>
      </w:pPr>
      <w:r>
        <w:t>v</w:t>
      </w:r>
      <w:r w:rsidR="00D71818" w:rsidRPr="00ED462B">
        <w:t xml:space="preserve">an Niekerk L, </w:t>
      </w:r>
      <w:proofErr w:type="spellStart"/>
      <w:r w:rsidR="00D71818" w:rsidRPr="00ED462B">
        <w:t>Taljaard</w:t>
      </w:r>
      <w:proofErr w:type="spellEnd"/>
      <w:r w:rsidR="00D71818" w:rsidRPr="00ED462B">
        <w:t xml:space="preserve"> S, </w:t>
      </w:r>
      <w:proofErr w:type="spellStart"/>
      <w:r w:rsidR="00D71818" w:rsidRPr="00ED462B">
        <w:t>Ramjukadh</w:t>
      </w:r>
      <w:proofErr w:type="spellEnd"/>
      <w:r w:rsidR="00D71818" w:rsidRPr="00ED462B">
        <w:t xml:space="preserve"> C-L Adams JB, </w:t>
      </w:r>
      <w:proofErr w:type="spellStart"/>
      <w:r w:rsidR="00D71818" w:rsidRPr="00ED462B">
        <w:t>Lamberth</w:t>
      </w:r>
      <w:proofErr w:type="spellEnd"/>
      <w:r w:rsidR="00D71818" w:rsidRPr="00ED462B">
        <w:t xml:space="preserve"> SJ, </w:t>
      </w:r>
      <w:proofErr w:type="spellStart"/>
      <w:r w:rsidR="00D71818" w:rsidRPr="00ED462B">
        <w:t>Weerts</w:t>
      </w:r>
      <w:proofErr w:type="spellEnd"/>
      <w:r w:rsidR="00D71818" w:rsidRPr="00ED462B">
        <w:t xml:space="preserve"> SP, Petersen C, </w:t>
      </w:r>
      <w:proofErr w:type="spellStart"/>
      <w:r w:rsidR="00D71818" w:rsidRPr="00ED462B">
        <w:t>Audouin</w:t>
      </w:r>
      <w:proofErr w:type="spellEnd"/>
      <w:r w:rsidR="00D71818" w:rsidRPr="00ED462B">
        <w:t xml:space="preserve"> M, </w:t>
      </w:r>
      <w:proofErr w:type="spellStart"/>
      <w:r w:rsidR="00D71818" w:rsidRPr="00ED462B">
        <w:t>Maherry</w:t>
      </w:r>
      <w:proofErr w:type="spellEnd"/>
      <w:r w:rsidR="00D71818" w:rsidRPr="00ED462B">
        <w:t xml:space="preserve"> A (2017). A multi-sector </w:t>
      </w:r>
      <w:r>
        <w:t>r</w:t>
      </w:r>
      <w:r w:rsidR="00D71818" w:rsidRPr="00ED462B">
        <w:t xml:space="preserve">esource </w:t>
      </w:r>
      <w:r>
        <w:t>p</w:t>
      </w:r>
      <w:r w:rsidR="00D71818" w:rsidRPr="00ED462B">
        <w:t xml:space="preserve">lanning </w:t>
      </w:r>
      <w:r>
        <w:t>p</w:t>
      </w:r>
      <w:r w:rsidR="00D71818" w:rsidRPr="00ED462B">
        <w:t>latform for South Africa's estuaries. Water Research Commission Report No K5/2464. South Africa.</w:t>
      </w:r>
    </w:p>
    <w:p w14:paraId="707427D4" w14:textId="77777777" w:rsidR="003D57DC" w:rsidRDefault="003D57DC" w:rsidP="003D57DC">
      <w:pPr>
        <w:pStyle w:val="Bibliography"/>
      </w:pPr>
      <w:r>
        <w:t xml:space="preserve">Ward RD, </w:t>
      </w:r>
      <w:proofErr w:type="spellStart"/>
      <w:r>
        <w:t>Friess</w:t>
      </w:r>
      <w:proofErr w:type="spellEnd"/>
      <w:r>
        <w:t xml:space="preserve"> DA, Day RH, </w:t>
      </w:r>
      <w:proofErr w:type="spellStart"/>
      <w:r>
        <w:t>MacKenzie</w:t>
      </w:r>
      <w:proofErr w:type="spellEnd"/>
      <w:r>
        <w:t xml:space="preserve"> RA (2016) Impacts of climate change on mangrove ecosystems: A region by region overview. Ecosystem Health and Sustainability 2:e01211</w:t>
      </w:r>
    </w:p>
    <w:p w14:paraId="45846B54" w14:textId="77777777" w:rsidR="003D57DC" w:rsidRDefault="003D57DC" w:rsidP="003D57DC">
      <w:pPr>
        <w:pStyle w:val="Bibliography"/>
      </w:pPr>
      <w:r>
        <w:t>Whitfield AK (1992) A characterization of southern African estuarine systems. South African Journal of Science 18:89–103</w:t>
      </w:r>
    </w:p>
    <w:p w14:paraId="04165A86" w14:textId="77777777" w:rsidR="003D57DC" w:rsidRDefault="003D57DC" w:rsidP="003D57DC">
      <w:pPr>
        <w:pStyle w:val="Bibliography"/>
      </w:pPr>
      <w:r>
        <w:t xml:space="preserve">Whitfield AK, James NC, </w:t>
      </w:r>
      <w:proofErr w:type="spellStart"/>
      <w:r>
        <w:t>Lamberth</w:t>
      </w:r>
      <w:proofErr w:type="spellEnd"/>
      <w:r>
        <w:t xml:space="preserve"> SJ, Adams JB, </w:t>
      </w:r>
      <w:proofErr w:type="spellStart"/>
      <w:r>
        <w:t>Perissinotto</w:t>
      </w:r>
      <w:proofErr w:type="spellEnd"/>
      <w:r>
        <w:t xml:space="preserve"> R, </w:t>
      </w:r>
      <w:proofErr w:type="spellStart"/>
      <w:r>
        <w:t>Rajkaran</w:t>
      </w:r>
      <w:proofErr w:type="spellEnd"/>
      <w:r>
        <w:t xml:space="preserve"> A, </w:t>
      </w:r>
      <w:proofErr w:type="spellStart"/>
      <w:r>
        <w:t>Bornman</w:t>
      </w:r>
      <w:proofErr w:type="spellEnd"/>
      <w:r>
        <w:t xml:space="preserve"> TG (2016) The role of pioneers as indicators of biogeographic range expansion caused by global change in southern African coastal waters. Estuarine, Coastal and Shelf Science 172:138–153</w:t>
      </w:r>
    </w:p>
    <w:p w14:paraId="689B7475" w14:textId="77777777" w:rsidR="003D57DC" w:rsidRDefault="003D57DC" w:rsidP="003D57DC">
      <w:pPr>
        <w:pStyle w:val="Bibliography"/>
      </w:pPr>
      <w:r>
        <w:t>Whitfield AK, Taylor RH (2009) A review of the importance of freshwater inflow to the future conservation of Lake St Lucia. Aquatic Conservation 19:838–848</w:t>
      </w:r>
    </w:p>
    <w:p w14:paraId="70078E96" w14:textId="77777777" w:rsidR="003D57DC" w:rsidRDefault="003D57DC" w:rsidP="003D57DC">
      <w:pPr>
        <w:pStyle w:val="Bibliography"/>
      </w:pPr>
      <w:proofErr w:type="spellStart"/>
      <w:r>
        <w:t>Wolanski</w:t>
      </w:r>
      <w:proofErr w:type="spellEnd"/>
      <w:r>
        <w:t xml:space="preserve"> E (1992) Hydrodynamics of mangrove swamps and their coastal waters. </w:t>
      </w:r>
      <w:proofErr w:type="spellStart"/>
      <w:r>
        <w:t>Hydrobiologia</w:t>
      </w:r>
      <w:proofErr w:type="spellEnd"/>
      <w:r>
        <w:t xml:space="preserve"> 247:141–161</w:t>
      </w:r>
    </w:p>
    <w:p w14:paraId="6CF60EF8" w14:textId="77777777" w:rsidR="003D57DC" w:rsidRDefault="003D57DC" w:rsidP="003D57DC">
      <w:pPr>
        <w:pStyle w:val="Bibliography"/>
      </w:pPr>
      <w:r>
        <w:t>Woodroffe C (1992) Mangrove Sediments and Geomorphology. In: Tropical Mangrove Ecosystems. American Geophysical Union (AGU), p 7–41</w:t>
      </w:r>
    </w:p>
    <w:p w14:paraId="36A93150" w14:textId="77777777" w:rsidR="003D57DC" w:rsidRDefault="003D57DC" w:rsidP="003D57DC">
      <w:pPr>
        <w:pStyle w:val="Bibliography"/>
      </w:pPr>
      <w:r>
        <w:t>Woodroffe CD, Grindrod J (1991) Mangrove biogeography: The role of Quaternary environmental and sea-level change. Journal of Biogeography 18:479–492</w:t>
      </w:r>
    </w:p>
    <w:p w14:paraId="13D58F39" w14:textId="77777777" w:rsidR="003D57DC" w:rsidRDefault="003D57DC" w:rsidP="003D57DC">
      <w:pPr>
        <w:pStyle w:val="Bibliography"/>
      </w:pPr>
      <w:r>
        <w:t xml:space="preserve">Woodroffe CD, Rogers KL, McKee K, Lovelock CE, Mendelssohn IA, </w:t>
      </w:r>
      <w:proofErr w:type="spellStart"/>
      <w:r>
        <w:t>Saintilan</w:t>
      </w:r>
      <w:proofErr w:type="spellEnd"/>
      <w:r>
        <w:t xml:space="preserve"> N (2016) Mangrove sedimentation and response to relative sea-level rise. Annual Review of Marine Science 8:243–266</w:t>
      </w:r>
    </w:p>
    <w:p w14:paraId="178DE5A3" w14:textId="24495477" w:rsidR="00B54664" w:rsidRPr="00B54664" w:rsidRDefault="003D57DC" w:rsidP="002425D1">
      <w:pPr>
        <w:pStyle w:val="Bibliography"/>
      </w:pPr>
      <w:proofErr w:type="spellStart"/>
      <w:r>
        <w:t>Zuur</w:t>
      </w:r>
      <w:proofErr w:type="spellEnd"/>
      <w:r>
        <w:t xml:space="preserve"> AF, </w:t>
      </w:r>
      <w:proofErr w:type="spellStart"/>
      <w:r>
        <w:t>Ieno</w:t>
      </w:r>
      <w:proofErr w:type="spellEnd"/>
      <w:r>
        <w:t xml:space="preserve"> EN, Walker NJ, </w:t>
      </w:r>
      <w:proofErr w:type="spellStart"/>
      <w:r>
        <w:t>Saveliev</w:t>
      </w:r>
      <w:proofErr w:type="spellEnd"/>
      <w:r>
        <w:t xml:space="preserve"> AA, Smith GM (2009) Mixed effects models and extensions in ecology with R. Statistics for biology and health. Springer</w:t>
      </w:r>
    </w:p>
    <w:sectPr w:rsidR="00B54664" w:rsidRPr="00B54664" w:rsidSect="00E62D35">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BEA93" w14:textId="77777777" w:rsidR="00BD18B8" w:rsidRDefault="00BD18B8" w:rsidP="00130560">
      <w:pPr>
        <w:spacing w:after="0" w:line="240" w:lineRule="auto"/>
      </w:pPr>
      <w:r>
        <w:separator/>
      </w:r>
    </w:p>
  </w:endnote>
  <w:endnote w:type="continuationSeparator" w:id="0">
    <w:p w14:paraId="78CD53E9" w14:textId="77777777" w:rsidR="00BD18B8" w:rsidRDefault="00BD18B8" w:rsidP="00130560">
      <w:pPr>
        <w:spacing w:after="0" w:line="240" w:lineRule="auto"/>
      </w:pPr>
      <w:r>
        <w:continuationSeparator/>
      </w:r>
    </w:p>
  </w:endnote>
  <w:endnote w:type="continuationNotice" w:id="1">
    <w:p w14:paraId="75C5B874" w14:textId="77777777" w:rsidR="00BD18B8" w:rsidRDefault="00BD18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79123"/>
      <w:docPartObj>
        <w:docPartGallery w:val="Page Numbers (Bottom of Page)"/>
        <w:docPartUnique/>
      </w:docPartObj>
    </w:sdtPr>
    <w:sdtEndPr>
      <w:rPr>
        <w:noProof/>
      </w:rPr>
    </w:sdtEndPr>
    <w:sdtContent>
      <w:p w14:paraId="06DD0CC1" w14:textId="331B00F0" w:rsidR="00BD18B8" w:rsidRDefault="00BD18B8">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00ABED78" w14:textId="77777777" w:rsidR="00BD18B8" w:rsidRDefault="00BD1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971A2" w14:textId="77777777" w:rsidR="00BD18B8" w:rsidRDefault="00BD18B8" w:rsidP="00130560">
      <w:pPr>
        <w:spacing w:after="0" w:line="240" w:lineRule="auto"/>
      </w:pPr>
      <w:r>
        <w:separator/>
      </w:r>
    </w:p>
  </w:footnote>
  <w:footnote w:type="continuationSeparator" w:id="0">
    <w:p w14:paraId="27544518" w14:textId="77777777" w:rsidR="00BD18B8" w:rsidRDefault="00BD18B8" w:rsidP="00130560">
      <w:pPr>
        <w:spacing w:after="0" w:line="240" w:lineRule="auto"/>
      </w:pPr>
      <w:r>
        <w:continuationSeparator/>
      </w:r>
    </w:p>
  </w:footnote>
  <w:footnote w:type="continuationNotice" w:id="1">
    <w:p w14:paraId="6FFE2657" w14:textId="77777777" w:rsidR="00BD18B8" w:rsidRDefault="00BD18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0FD99" w14:textId="77777777" w:rsidR="00BD18B8" w:rsidRDefault="00BD1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B2741"/>
    <w:multiLevelType w:val="hybridMultilevel"/>
    <w:tmpl w:val="02ACF5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F0DFE"/>
    <w:multiLevelType w:val="hybridMultilevel"/>
    <w:tmpl w:val="EDD82F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AB93DC9"/>
    <w:multiLevelType w:val="hybridMultilevel"/>
    <w:tmpl w:val="10B66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DBA6A38"/>
    <w:multiLevelType w:val="hybridMultilevel"/>
    <w:tmpl w:val="812A8F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0975657"/>
    <w:multiLevelType w:val="hybridMultilevel"/>
    <w:tmpl w:val="383265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39D7E8C"/>
    <w:multiLevelType w:val="hybridMultilevel"/>
    <w:tmpl w:val="458C97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A516B07"/>
    <w:multiLevelType w:val="hybridMultilevel"/>
    <w:tmpl w:val="7FD23F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AE"/>
    <w:rsid w:val="000050FA"/>
    <w:rsid w:val="00005D60"/>
    <w:rsid w:val="00006D81"/>
    <w:rsid w:val="00013625"/>
    <w:rsid w:val="00021059"/>
    <w:rsid w:val="0002139F"/>
    <w:rsid w:val="0002331B"/>
    <w:rsid w:val="00026ED8"/>
    <w:rsid w:val="000322C1"/>
    <w:rsid w:val="00036734"/>
    <w:rsid w:val="000433BC"/>
    <w:rsid w:val="00043F4D"/>
    <w:rsid w:val="0004447B"/>
    <w:rsid w:val="00047736"/>
    <w:rsid w:val="00053FC7"/>
    <w:rsid w:val="00057A2B"/>
    <w:rsid w:val="00061303"/>
    <w:rsid w:val="00062EE1"/>
    <w:rsid w:val="000644A9"/>
    <w:rsid w:val="00065EA5"/>
    <w:rsid w:val="00066802"/>
    <w:rsid w:val="00067643"/>
    <w:rsid w:val="00072396"/>
    <w:rsid w:val="00074159"/>
    <w:rsid w:val="000776E7"/>
    <w:rsid w:val="00077F0B"/>
    <w:rsid w:val="000800AE"/>
    <w:rsid w:val="00087F5D"/>
    <w:rsid w:val="000945F5"/>
    <w:rsid w:val="000A41A2"/>
    <w:rsid w:val="000A6353"/>
    <w:rsid w:val="000A77C1"/>
    <w:rsid w:val="000B1959"/>
    <w:rsid w:val="000B6404"/>
    <w:rsid w:val="000C08C4"/>
    <w:rsid w:val="000C41F3"/>
    <w:rsid w:val="000C66C9"/>
    <w:rsid w:val="000C782A"/>
    <w:rsid w:val="000D39F5"/>
    <w:rsid w:val="000D7C8E"/>
    <w:rsid w:val="000E0235"/>
    <w:rsid w:val="000E12D2"/>
    <w:rsid w:val="000E1B50"/>
    <w:rsid w:val="000E3DBC"/>
    <w:rsid w:val="000E445F"/>
    <w:rsid w:val="000E7A1D"/>
    <w:rsid w:val="000E7D55"/>
    <w:rsid w:val="000F0A1E"/>
    <w:rsid w:val="000F4233"/>
    <w:rsid w:val="000F51BD"/>
    <w:rsid w:val="000F68BD"/>
    <w:rsid w:val="000F7514"/>
    <w:rsid w:val="000F7ADF"/>
    <w:rsid w:val="00105815"/>
    <w:rsid w:val="00105DBA"/>
    <w:rsid w:val="00106726"/>
    <w:rsid w:val="001067DA"/>
    <w:rsid w:val="001133F1"/>
    <w:rsid w:val="00122C48"/>
    <w:rsid w:val="0012580E"/>
    <w:rsid w:val="001258B1"/>
    <w:rsid w:val="00127FB6"/>
    <w:rsid w:val="00130560"/>
    <w:rsid w:val="00130F7F"/>
    <w:rsid w:val="0013256E"/>
    <w:rsid w:val="00145FF6"/>
    <w:rsid w:val="001477D0"/>
    <w:rsid w:val="00147DCE"/>
    <w:rsid w:val="0015028F"/>
    <w:rsid w:val="0015034A"/>
    <w:rsid w:val="00151846"/>
    <w:rsid w:val="00151BA6"/>
    <w:rsid w:val="00154472"/>
    <w:rsid w:val="001565FE"/>
    <w:rsid w:val="00160884"/>
    <w:rsid w:val="00162825"/>
    <w:rsid w:val="001636A7"/>
    <w:rsid w:val="001647FB"/>
    <w:rsid w:val="00170C78"/>
    <w:rsid w:val="00175209"/>
    <w:rsid w:val="001760F8"/>
    <w:rsid w:val="00177B3F"/>
    <w:rsid w:val="00180FED"/>
    <w:rsid w:val="0018770A"/>
    <w:rsid w:val="00191F00"/>
    <w:rsid w:val="00193597"/>
    <w:rsid w:val="00196290"/>
    <w:rsid w:val="00196C61"/>
    <w:rsid w:val="001A007A"/>
    <w:rsid w:val="001A08E6"/>
    <w:rsid w:val="001A0B25"/>
    <w:rsid w:val="001A1934"/>
    <w:rsid w:val="001A3B04"/>
    <w:rsid w:val="001A48FD"/>
    <w:rsid w:val="001C3B83"/>
    <w:rsid w:val="001C6316"/>
    <w:rsid w:val="001D45B4"/>
    <w:rsid w:val="001D5FF3"/>
    <w:rsid w:val="001E0B76"/>
    <w:rsid w:val="001E2A6A"/>
    <w:rsid w:val="001F104B"/>
    <w:rsid w:val="001F5E1A"/>
    <w:rsid w:val="001F7444"/>
    <w:rsid w:val="001F7969"/>
    <w:rsid w:val="0020220B"/>
    <w:rsid w:val="0020237B"/>
    <w:rsid w:val="002033F4"/>
    <w:rsid w:val="00206B0D"/>
    <w:rsid w:val="00210279"/>
    <w:rsid w:val="0021084F"/>
    <w:rsid w:val="00220081"/>
    <w:rsid w:val="00224681"/>
    <w:rsid w:val="002278D8"/>
    <w:rsid w:val="00230DD2"/>
    <w:rsid w:val="002425D1"/>
    <w:rsid w:val="00246B7E"/>
    <w:rsid w:val="002476D9"/>
    <w:rsid w:val="00253C90"/>
    <w:rsid w:val="00256A95"/>
    <w:rsid w:val="002607A5"/>
    <w:rsid w:val="00264431"/>
    <w:rsid w:val="0026712F"/>
    <w:rsid w:val="00267416"/>
    <w:rsid w:val="00274A4F"/>
    <w:rsid w:val="00274B63"/>
    <w:rsid w:val="00275052"/>
    <w:rsid w:val="00282FE9"/>
    <w:rsid w:val="0028525C"/>
    <w:rsid w:val="0028534A"/>
    <w:rsid w:val="002910B1"/>
    <w:rsid w:val="00295387"/>
    <w:rsid w:val="002A0FA3"/>
    <w:rsid w:val="002A278C"/>
    <w:rsid w:val="002A34A3"/>
    <w:rsid w:val="002B0305"/>
    <w:rsid w:val="002B035B"/>
    <w:rsid w:val="002C09B3"/>
    <w:rsid w:val="002C2959"/>
    <w:rsid w:val="002C4E18"/>
    <w:rsid w:val="002D0758"/>
    <w:rsid w:val="002D3DFB"/>
    <w:rsid w:val="002D4C92"/>
    <w:rsid w:val="002D76FF"/>
    <w:rsid w:val="002F0812"/>
    <w:rsid w:val="002F4E86"/>
    <w:rsid w:val="0030082E"/>
    <w:rsid w:val="00302B6B"/>
    <w:rsid w:val="0030571D"/>
    <w:rsid w:val="003120E6"/>
    <w:rsid w:val="003126CB"/>
    <w:rsid w:val="0031313B"/>
    <w:rsid w:val="003158B0"/>
    <w:rsid w:val="00316037"/>
    <w:rsid w:val="003176B6"/>
    <w:rsid w:val="0032007F"/>
    <w:rsid w:val="00325EDB"/>
    <w:rsid w:val="00327808"/>
    <w:rsid w:val="003343B3"/>
    <w:rsid w:val="00335BF4"/>
    <w:rsid w:val="003417B5"/>
    <w:rsid w:val="0034553E"/>
    <w:rsid w:val="00347C89"/>
    <w:rsid w:val="00350FF6"/>
    <w:rsid w:val="00357FA8"/>
    <w:rsid w:val="00357FCA"/>
    <w:rsid w:val="0036161C"/>
    <w:rsid w:val="0036663C"/>
    <w:rsid w:val="00371A01"/>
    <w:rsid w:val="003732E2"/>
    <w:rsid w:val="003767B0"/>
    <w:rsid w:val="003767C1"/>
    <w:rsid w:val="00382AE6"/>
    <w:rsid w:val="00383990"/>
    <w:rsid w:val="00384CAE"/>
    <w:rsid w:val="00387882"/>
    <w:rsid w:val="003924F5"/>
    <w:rsid w:val="00394707"/>
    <w:rsid w:val="003953E5"/>
    <w:rsid w:val="003A516F"/>
    <w:rsid w:val="003A69A8"/>
    <w:rsid w:val="003B1365"/>
    <w:rsid w:val="003B2244"/>
    <w:rsid w:val="003B522D"/>
    <w:rsid w:val="003B7DAD"/>
    <w:rsid w:val="003C388D"/>
    <w:rsid w:val="003C5105"/>
    <w:rsid w:val="003C60B2"/>
    <w:rsid w:val="003D01DB"/>
    <w:rsid w:val="003D0742"/>
    <w:rsid w:val="003D1A94"/>
    <w:rsid w:val="003D57DC"/>
    <w:rsid w:val="003D57DE"/>
    <w:rsid w:val="003D79E0"/>
    <w:rsid w:val="003E7DD9"/>
    <w:rsid w:val="003F3112"/>
    <w:rsid w:val="003F5FC2"/>
    <w:rsid w:val="003F7546"/>
    <w:rsid w:val="004001B3"/>
    <w:rsid w:val="004010DF"/>
    <w:rsid w:val="004025E0"/>
    <w:rsid w:val="00405CD0"/>
    <w:rsid w:val="00406F67"/>
    <w:rsid w:val="004123BE"/>
    <w:rsid w:val="00412BC1"/>
    <w:rsid w:val="004162BF"/>
    <w:rsid w:val="00417802"/>
    <w:rsid w:val="00423543"/>
    <w:rsid w:val="00423D84"/>
    <w:rsid w:val="004256ED"/>
    <w:rsid w:val="00433AB1"/>
    <w:rsid w:val="004342AD"/>
    <w:rsid w:val="00434B48"/>
    <w:rsid w:val="00436EA0"/>
    <w:rsid w:val="004378C6"/>
    <w:rsid w:val="00443C9F"/>
    <w:rsid w:val="004538B9"/>
    <w:rsid w:val="004602B0"/>
    <w:rsid w:val="00460D25"/>
    <w:rsid w:val="00463BCB"/>
    <w:rsid w:val="004641AF"/>
    <w:rsid w:val="00464CE5"/>
    <w:rsid w:val="00470D6E"/>
    <w:rsid w:val="00471C20"/>
    <w:rsid w:val="0047329E"/>
    <w:rsid w:val="004758E4"/>
    <w:rsid w:val="00480C1C"/>
    <w:rsid w:val="004812B0"/>
    <w:rsid w:val="00481A51"/>
    <w:rsid w:val="00484B3D"/>
    <w:rsid w:val="00485571"/>
    <w:rsid w:val="004863F5"/>
    <w:rsid w:val="00487150"/>
    <w:rsid w:val="004908DA"/>
    <w:rsid w:val="00493D6E"/>
    <w:rsid w:val="004944E4"/>
    <w:rsid w:val="004A2077"/>
    <w:rsid w:val="004A5A4E"/>
    <w:rsid w:val="004A7548"/>
    <w:rsid w:val="004B08BA"/>
    <w:rsid w:val="004B0E46"/>
    <w:rsid w:val="004B1C65"/>
    <w:rsid w:val="004B2AB7"/>
    <w:rsid w:val="004C023C"/>
    <w:rsid w:val="004C1EEE"/>
    <w:rsid w:val="004C4591"/>
    <w:rsid w:val="004C6B13"/>
    <w:rsid w:val="004D067B"/>
    <w:rsid w:val="004E0543"/>
    <w:rsid w:val="004E0E36"/>
    <w:rsid w:val="004E1ABE"/>
    <w:rsid w:val="004E3E14"/>
    <w:rsid w:val="004E7B37"/>
    <w:rsid w:val="004F5A5F"/>
    <w:rsid w:val="0050357E"/>
    <w:rsid w:val="00504124"/>
    <w:rsid w:val="00510BF7"/>
    <w:rsid w:val="0051183B"/>
    <w:rsid w:val="00511C67"/>
    <w:rsid w:val="005134B0"/>
    <w:rsid w:val="005302A9"/>
    <w:rsid w:val="00530E33"/>
    <w:rsid w:val="00530FEB"/>
    <w:rsid w:val="005314AD"/>
    <w:rsid w:val="005317A4"/>
    <w:rsid w:val="00531BB0"/>
    <w:rsid w:val="00533D42"/>
    <w:rsid w:val="0053417E"/>
    <w:rsid w:val="005361C3"/>
    <w:rsid w:val="0054025D"/>
    <w:rsid w:val="005410F6"/>
    <w:rsid w:val="00543BD4"/>
    <w:rsid w:val="005525CD"/>
    <w:rsid w:val="0055318F"/>
    <w:rsid w:val="00554420"/>
    <w:rsid w:val="005665F1"/>
    <w:rsid w:val="00572411"/>
    <w:rsid w:val="005734B8"/>
    <w:rsid w:val="0057418D"/>
    <w:rsid w:val="005865C7"/>
    <w:rsid w:val="00587A30"/>
    <w:rsid w:val="00596AF3"/>
    <w:rsid w:val="005A0762"/>
    <w:rsid w:val="005B0E3D"/>
    <w:rsid w:val="005B383C"/>
    <w:rsid w:val="005B4B35"/>
    <w:rsid w:val="005B7A80"/>
    <w:rsid w:val="005C4BD3"/>
    <w:rsid w:val="005C56A5"/>
    <w:rsid w:val="005D0159"/>
    <w:rsid w:val="005D0BC1"/>
    <w:rsid w:val="005D296C"/>
    <w:rsid w:val="005D493B"/>
    <w:rsid w:val="005E2E7C"/>
    <w:rsid w:val="005E33A6"/>
    <w:rsid w:val="005E491C"/>
    <w:rsid w:val="005F1D9B"/>
    <w:rsid w:val="005F2CDC"/>
    <w:rsid w:val="005F3083"/>
    <w:rsid w:val="00601E2D"/>
    <w:rsid w:val="006031BC"/>
    <w:rsid w:val="00612EAE"/>
    <w:rsid w:val="00614A35"/>
    <w:rsid w:val="00614E4A"/>
    <w:rsid w:val="0061597A"/>
    <w:rsid w:val="00617C77"/>
    <w:rsid w:val="00630EB7"/>
    <w:rsid w:val="00633E74"/>
    <w:rsid w:val="00634C32"/>
    <w:rsid w:val="00640684"/>
    <w:rsid w:val="00642D86"/>
    <w:rsid w:val="0064793D"/>
    <w:rsid w:val="00650FA6"/>
    <w:rsid w:val="00653AD1"/>
    <w:rsid w:val="0065403E"/>
    <w:rsid w:val="0065410C"/>
    <w:rsid w:val="006562AA"/>
    <w:rsid w:val="00660855"/>
    <w:rsid w:val="00660BE9"/>
    <w:rsid w:val="00662186"/>
    <w:rsid w:val="00670483"/>
    <w:rsid w:val="00672214"/>
    <w:rsid w:val="00672522"/>
    <w:rsid w:val="00676C0F"/>
    <w:rsid w:val="00677F5A"/>
    <w:rsid w:val="00681DFB"/>
    <w:rsid w:val="00685F98"/>
    <w:rsid w:val="006871D3"/>
    <w:rsid w:val="00690C03"/>
    <w:rsid w:val="0069562F"/>
    <w:rsid w:val="006958F6"/>
    <w:rsid w:val="00695911"/>
    <w:rsid w:val="006A0546"/>
    <w:rsid w:val="006A3B81"/>
    <w:rsid w:val="006B2DA9"/>
    <w:rsid w:val="006B4CB7"/>
    <w:rsid w:val="006C22EC"/>
    <w:rsid w:val="006D0AE7"/>
    <w:rsid w:val="006E301B"/>
    <w:rsid w:val="006E4073"/>
    <w:rsid w:val="006E45EA"/>
    <w:rsid w:val="006E46C4"/>
    <w:rsid w:val="006E4FFA"/>
    <w:rsid w:val="006E5266"/>
    <w:rsid w:val="006F788E"/>
    <w:rsid w:val="007038A4"/>
    <w:rsid w:val="0071380E"/>
    <w:rsid w:val="00731450"/>
    <w:rsid w:val="0073440F"/>
    <w:rsid w:val="0073479A"/>
    <w:rsid w:val="00737602"/>
    <w:rsid w:val="007466DB"/>
    <w:rsid w:val="00746FF6"/>
    <w:rsid w:val="00751BE9"/>
    <w:rsid w:val="00756366"/>
    <w:rsid w:val="00757008"/>
    <w:rsid w:val="00760FB9"/>
    <w:rsid w:val="00764A28"/>
    <w:rsid w:val="00771127"/>
    <w:rsid w:val="007735C5"/>
    <w:rsid w:val="00776AA4"/>
    <w:rsid w:val="00780059"/>
    <w:rsid w:val="00780140"/>
    <w:rsid w:val="00787D10"/>
    <w:rsid w:val="007913D8"/>
    <w:rsid w:val="00791AA6"/>
    <w:rsid w:val="007A25BF"/>
    <w:rsid w:val="007A3239"/>
    <w:rsid w:val="007B2FEC"/>
    <w:rsid w:val="007B4E2D"/>
    <w:rsid w:val="007B7A3E"/>
    <w:rsid w:val="007C012C"/>
    <w:rsid w:val="007C0759"/>
    <w:rsid w:val="007D045D"/>
    <w:rsid w:val="007D1282"/>
    <w:rsid w:val="007D61A7"/>
    <w:rsid w:val="007D6A05"/>
    <w:rsid w:val="007E01D6"/>
    <w:rsid w:val="007E3851"/>
    <w:rsid w:val="007E4181"/>
    <w:rsid w:val="007F0879"/>
    <w:rsid w:val="007F2232"/>
    <w:rsid w:val="007F303C"/>
    <w:rsid w:val="0080039C"/>
    <w:rsid w:val="00801134"/>
    <w:rsid w:val="008066CE"/>
    <w:rsid w:val="00810157"/>
    <w:rsid w:val="00812A61"/>
    <w:rsid w:val="00820690"/>
    <w:rsid w:val="00821961"/>
    <w:rsid w:val="00824F9F"/>
    <w:rsid w:val="00827216"/>
    <w:rsid w:val="00832AB3"/>
    <w:rsid w:val="00832C5E"/>
    <w:rsid w:val="00834833"/>
    <w:rsid w:val="008355D0"/>
    <w:rsid w:val="00837FCD"/>
    <w:rsid w:val="008422B8"/>
    <w:rsid w:val="00843171"/>
    <w:rsid w:val="008437BF"/>
    <w:rsid w:val="00844C38"/>
    <w:rsid w:val="008452E8"/>
    <w:rsid w:val="00852080"/>
    <w:rsid w:val="008815B8"/>
    <w:rsid w:val="00883085"/>
    <w:rsid w:val="00885A1D"/>
    <w:rsid w:val="00885FAD"/>
    <w:rsid w:val="0089023E"/>
    <w:rsid w:val="008906C8"/>
    <w:rsid w:val="0089473D"/>
    <w:rsid w:val="00895B0E"/>
    <w:rsid w:val="008966FE"/>
    <w:rsid w:val="008968F3"/>
    <w:rsid w:val="00897844"/>
    <w:rsid w:val="008A1DD0"/>
    <w:rsid w:val="008A2D47"/>
    <w:rsid w:val="008A3A0D"/>
    <w:rsid w:val="008A5C98"/>
    <w:rsid w:val="008A68B2"/>
    <w:rsid w:val="008A7838"/>
    <w:rsid w:val="008B1975"/>
    <w:rsid w:val="008C08E9"/>
    <w:rsid w:val="008C3283"/>
    <w:rsid w:val="008D00A9"/>
    <w:rsid w:val="008D39D8"/>
    <w:rsid w:val="008D53C0"/>
    <w:rsid w:val="008D5908"/>
    <w:rsid w:val="008F04FE"/>
    <w:rsid w:val="008F52E0"/>
    <w:rsid w:val="008F57B5"/>
    <w:rsid w:val="008F6FBE"/>
    <w:rsid w:val="008F7285"/>
    <w:rsid w:val="009000A6"/>
    <w:rsid w:val="00904F53"/>
    <w:rsid w:val="009053C4"/>
    <w:rsid w:val="009057D9"/>
    <w:rsid w:val="00911293"/>
    <w:rsid w:val="00911E3E"/>
    <w:rsid w:val="00913BA7"/>
    <w:rsid w:val="00917DE4"/>
    <w:rsid w:val="009226DD"/>
    <w:rsid w:val="009229C5"/>
    <w:rsid w:val="009237F8"/>
    <w:rsid w:val="0092453E"/>
    <w:rsid w:val="00924FC3"/>
    <w:rsid w:val="009257F9"/>
    <w:rsid w:val="00927DA7"/>
    <w:rsid w:val="00933028"/>
    <w:rsid w:val="0093448C"/>
    <w:rsid w:val="009402F0"/>
    <w:rsid w:val="00942375"/>
    <w:rsid w:val="00942930"/>
    <w:rsid w:val="00946099"/>
    <w:rsid w:val="00946974"/>
    <w:rsid w:val="00951E34"/>
    <w:rsid w:val="00960D22"/>
    <w:rsid w:val="00961DDA"/>
    <w:rsid w:val="0097099F"/>
    <w:rsid w:val="00972530"/>
    <w:rsid w:val="00973DE6"/>
    <w:rsid w:val="009759C3"/>
    <w:rsid w:val="00976A06"/>
    <w:rsid w:val="0097709F"/>
    <w:rsid w:val="00983B45"/>
    <w:rsid w:val="00983C0E"/>
    <w:rsid w:val="00990E51"/>
    <w:rsid w:val="00991B71"/>
    <w:rsid w:val="0099672D"/>
    <w:rsid w:val="009B479A"/>
    <w:rsid w:val="009B4E0B"/>
    <w:rsid w:val="009B5114"/>
    <w:rsid w:val="009B6C04"/>
    <w:rsid w:val="009B7A95"/>
    <w:rsid w:val="009C0901"/>
    <w:rsid w:val="009C18BE"/>
    <w:rsid w:val="009C27FD"/>
    <w:rsid w:val="009C2A5F"/>
    <w:rsid w:val="009E2D75"/>
    <w:rsid w:val="009E4AEA"/>
    <w:rsid w:val="009E7636"/>
    <w:rsid w:val="00A034BF"/>
    <w:rsid w:val="00A06E1F"/>
    <w:rsid w:val="00A07164"/>
    <w:rsid w:val="00A10FEB"/>
    <w:rsid w:val="00A121F7"/>
    <w:rsid w:val="00A12BB7"/>
    <w:rsid w:val="00A133B5"/>
    <w:rsid w:val="00A33FA7"/>
    <w:rsid w:val="00A34571"/>
    <w:rsid w:val="00A358CA"/>
    <w:rsid w:val="00A44B4B"/>
    <w:rsid w:val="00A45B6B"/>
    <w:rsid w:val="00A47A64"/>
    <w:rsid w:val="00A54C00"/>
    <w:rsid w:val="00A57252"/>
    <w:rsid w:val="00A62B69"/>
    <w:rsid w:val="00A62FD0"/>
    <w:rsid w:val="00A66A50"/>
    <w:rsid w:val="00A809A2"/>
    <w:rsid w:val="00A87412"/>
    <w:rsid w:val="00A90CD4"/>
    <w:rsid w:val="00A9272E"/>
    <w:rsid w:val="00A93808"/>
    <w:rsid w:val="00AA1B14"/>
    <w:rsid w:val="00AA1F1D"/>
    <w:rsid w:val="00AA29E1"/>
    <w:rsid w:val="00AA4BE9"/>
    <w:rsid w:val="00AA51B9"/>
    <w:rsid w:val="00AA679A"/>
    <w:rsid w:val="00AA69FA"/>
    <w:rsid w:val="00AA76DE"/>
    <w:rsid w:val="00AB1498"/>
    <w:rsid w:val="00AC19C9"/>
    <w:rsid w:val="00AC5624"/>
    <w:rsid w:val="00AC6EF1"/>
    <w:rsid w:val="00AC7D32"/>
    <w:rsid w:val="00AD6051"/>
    <w:rsid w:val="00AE33BE"/>
    <w:rsid w:val="00AE5363"/>
    <w:rsid w:val="00AE56B7"/>
    <w:rsid w:val="00AE5AB8"/>
    <w:rsid w:val="00B01D5A"/>
    <w:rsid w:val="00B021FC"/>
    <w:rsid w:val="00B02EF6"/>
    <w:rsid w:val="00B02F12"/>
    <w:rsid w:val="00B04AA0"/>
    <w:rsid w:val="00B068BA"/>
    <w:rsid w:val="00B13D77"/>
    <w:rsid w:val="00B14997"/>
    <w:rsid w:val="00B15E40"/>
    <w:rsid w:val="00B27A0C"/>
    <w:rsid w:val="00B355A4"/>
    <w:rsid w:val="00B37E23"/>
    <w:rsid w:val="00B41AD4"/>
    <w:rsid w:val="00B4311B"/>
    <w:rsid w:val="00B50083"/>
    <w:rsid w:val="00B508E8"/>
    <w:rsid w:val="00B54664"/>
    <w:rsid w:val="00B55DB3"/>
    <w:rsid w:val="00B57443"/>
    <w:rsid w:val="00B60776"/>
    <w:rsid w:val="00B63B9F"/>
    <w:rsid w:val="00B64C1E"/>
    <w:rsid w:val="00B656B3"/>
    <w:rsid w:val="00B66C5A"/>
    <w:rsid w:val="00B70747"/>
    <w:rsid w:val="00B74C48"/>
    <w:rsid w:val="00B76AAB"/>
    <w:rsid w:val="00B811C2"/>
    <w:rsid w:val="00B90F84"/>
    <w:rsid w:val="00B92834"/>
    <w:rsid w:val="00B973F5"/>
    <w:rsid w:val="00BA353C"/>
    <w:rsid w:val="00BA3FB3"/>
    <w:rsid w:val="00BA4C51"/>
    <w:rsid w:val="00BB035C"/>
    <w:rsid w:val="00BB5408"/>
    <w:rsid w:val="00BB597D"/>
    <w:rsid w:val="00BB7E8A"/>
    <w:rsid w:val="00BC3E60"/>
    <w:rsid w:val="00BC4E06"/>
    <w:rsid w:val="00BC5B28"/>
    <w:rsid w:val="00BC7A18"/>
    <w:rsid w:val="00BC7E4D"/>
    <w:rsid w:val="00BD18B8"/>
    <w:rsid w:val="00BD6807"/>
    <w:rsid w:val="00BE14BA"/>
    <w:rsid w:val="00BE2658"/>
    <w:rsid w:val="00BE5B12"/>
    <w:rsid w:val="00BE6B61"/>
    <w:rsid w:val="00BF1CEE"/>
    <w:rsid w:val="00BF4D19"/>
    <w:rsid w:val="00BF6C14"/>
    <w:rsid w:val="00C0058B"/>
    <w:rsid w:val="00C00D22"/>
    <w:rsid w:val="00C01336"/>
    <w:rsid w:val="00C01AA8"/>
    <w:rsid w:val="00C06A85"/>
    <w:rsid w:val="00C1112E"/>
    <w:rsid w:val="00C11AFD"/>
    <w:rsid w:val="00C11EAF"/>
    <w:rsid w:val="00C12DC0"/>
    <w:rsid w:val="00C243D5"/>
    <w:rsid w:val="00C27823"/>
    <w:rsid w:val="00C32217"/>
    <w:rsid w:val="00C33EB9"/>
    <w:rsid w:val="00C36922"/>
    <w:rsid w:val="00C426F9"/>
    <w:rsid w:val="00C45C71"/>
    <w:rsid w:val="00C47B52"/>
    <w:rsid w:val="00C47E32"/>
    <w:rsid w:val="00C50695"/>
    <w:rsid w:val="00C50727"/>
    <w:rsid w:val="00C5105D"/>
    <w:rsid w:val="00C51A12"/>
    <w:rsid w:val="00C520B1"/>
    <w:rsid w:val="00C54D10"/>
    <w:rsid w:val="00C5524A"/>
    <w:rsid w:val="00C565CD"/>
    <w:rsid w:val="00C61C5E"/>
    <w:rsid w:val="00C62CAE"/>
    <w:rsid w:val="00C67603"/>
    <w:rsid w:val="00C7405A"/>
    <w:rsid w:val="00C82E5E"/>
    <w:rsid w:val="00C87D0B"/>
    <w:rsid w:val="00C90B2E"/>
    <w:rsid w:val="00C91344"/>
    <w:rsid w:val="00C921F6"/>
    <w:rsid w:val="00C93B48"/>
    <w:rsid w:val="00C96192"/>
    <w:rsid w:val="00C97DDA"/>
    <w:rsid w:val="00CA0269"/>
    <w:rsid w:val="00CA218A"/>
    <w:rsid w:val="00CB08EE"/>
    <w:rsid w:val="00CB1561"/>
    <w:rsid w:val="00CB36E5"/>
    <w:rsid w:val="00CB4618"/>
    <w:rsid w:val="00CC32F5"/>
    <w:rsid w:val="00CC52DE"/>
    <w:rsid w:val="00CC5682"/>
    <w:rsid w:val="00CC6246"/>
    <w:rsid w:val="00CC6861"/>
    <w:rsid w:val="00CC6BAD"/>
    <w:rsid w:val="00CC76E0"/>
    <w:rsid w:val="00CD0105"/>
    <w:rsid w:val="00CD075F"/>
    <w:rsid w:val="00CD23C1"/>
    <w:rsid w:val="00CD4865"/>
    <w:rsid w:val="00CD49FF"/>
    <w:rsid w:val="00CE2151"/>
    <w:rsid w:val="00CE5751"/>
    <w:rsid w:val="00CE7537"/>
    <w:rsid w:val="00CF0A4C"/>
    <w:rsid w:val="00CF3099"/>
    <w:rsid w:val="00CF75AB"/>
    <w:rsid w:val="00D11760"/>
    <w:rsid w:val="00D14CE8"/>
    <w:rsid w:val="00D21121"/>
    <w:rsid w:val="00D2614F"/>
    <w:rsid w:val="00D31DDA"/>
    <w:rsid w:val="00D37CEF"/>
    <w:rsid w:val="00D558FB"/>
    <w:rsid w:val="00D55ECA"/>
    <w:rsid w:val="00D60E63"/>
    <w:rsid w:val="00D613CF"/>
    <w:rsid w:val="00D7045D"/>
    <w:rsid w:val="00D71818"/>
    <w:rsid w:val="00D72568"/>
    <w:rsid w:val="00D72CFB"/>
    <w:rsid w:val="00D74F5A"/>
    <w:rsid w:val="00D759A6"/>
    <w:rsid w:val="00D90A19"/>
    <w:rsid w:val="00D90FC3"/>
    <w:rsid w:val="00D91E8C"/>
    <w:rsid w:val="00D9246D"/>
    <w:rsid w:val="00D93C46"/>
    <w:rsid w:val="00D9422B"/>
    <w:rsid w:val="00D94EB5"/>
    <w:rsid w:val="00DA60A6"/>
    <w:rsid w:val="00DC1CC0"/>
    <w:rsid w:val="00DC38A9"/>
    <w:rsid w:val="00DC421D"/>
    <w:rsid w:val="00DC5B9A"/>
    <w:rsid w:val="00DC63D8"/>
    <w:rsid w:val="00DD0CBE"/>
    <w:rsid w:val="00DD47A6"/>
    <w:rsid w:val="00DE0A76"/>
    <w:rsid w:val="00DE235A"/>
    <w:rsid w:val="00DE6B38"/>
    <w:rsid w:val="00DF285A"/>
    <w:rsid w:val="00DF628C"/>
    <w:rsid w:val="00E02916"/>
    <w:rsid w:val="00E07359"/>
    <w:rsid w:val="00E07A7F"/>
    <w:rsid w:val="00E12104"/>
    <w:rsid w:val="00E2366D"/>
    <w:rsid w:val="00E25383"/>
    <w:rsid w:val="00E257CE"/>
    <w:rsid w:val="00E301CD"/>
    <w:rsid w:val="00E308F3"/>
    <w:rsid w:val="00E30D5C"/>
    <w:rsid w:val="00E31525"/>
    <w:rsid w:val="00E33761"/>
    <w:rsid w:val="00E362CC"/>
    <w:rsid w:val="00E42385"/>
    <w:rsid w:val="00E46EA8"/>
    <w:rsid w:val="00E55101"/>
    <w:rsid w:val="00E60EC9"/>
    <w:rsid w:val="00E62D35"/>
    <w:rsid w:val="00E631C9"/>
    <w:rsid w:val="00E63FF7"/>
    <w:rsid w:val="00E705AE"/>
    <w:rsid w:val="00E71FF9"/>
    <w:rsid w:val="00E73B25"/>
    <w:rsid w:val="00E764DC"/>
    <w:rsid w:val="00E8273A"/>
    <w:rsid w:val="00E828FF"/>
    <w:rsid w:val="00E919BD"/>
    <w:rsid w:val="00E926C7"/>
    <w:rsid w:val="00E93329"/>
    <w:rsid w:val="00EA0726"/>
    <w:rsid w:val="00EA4B1B"/>
    <w:rsid w:val="00EB377B"/>
    <w:rsid w:val="00EB490C"/>
    <w:rsid w:val="00EC2B1A"/>
    <w:rsid w:val="00EC4DD5"/>
    <w:rsid w:val="00ED3FAB"/>
    <w:rsid w:val="00ED462B"/>
    <w:rsid w:val="00ED630C"/>
    <w:rsid w:val="00EF30D4"/>
    <w:rsid w:val="00F03FF7"/>
    <w:rsid w:val="00F0424D"/>
    <w:rsid w:val="00F0568A"/>
    <w:rsid w:val="00F1364B"/>
    <w:rsid w:val="00F1582D"/>
    <w:rsid w:val="00F161CB"/>
    <w:rsid w:val="00F22A2C"/>
    <w:rsid w:val="00F26105"/>
    <w:rsid w:val="00F31949"/>
    <w:rsid w:val="00F31ABC"/>
    <w:rsid w:val="00F41578"/>
    <w:rsid w:val="00F44018"/>
    <w:rsid w:val="00F44AF4"/>
    <w:rsid w:val="00F454CF"/>
    <w:rsid w:val="00F4726A"/>
    <w:rsid w:val="00F52B97"/>
    <w:rsid w:val="00F5453E"/>
    <w:rsid w:val="00F55CB8"/>
    <w:rsid w:val="00F57799"/>
    <w:rsid w:val="00F63AAF"/>
    <w:rsid w:val="00F747F4"/>
    <w:rsid w:val="00F750F2"/>
    <w:rsid w:val="00F75312"/>
    <w:rsid w:val="00F81D75"/>
    <w:rsid w:val="00F866C3"/>
    <w:rsid w:val="00F87BF3"/>
    <w:rsid w:val="00F956E3"/>
    <w:rsid w:val="00FA07B8"/>
    <w:rsid w:val="00FA4125"/>
    <w:rsid w:val="00FA41AC"/>
    <w:rsid w:val="00FA6C61"/>
    <w:rsid w:val="00FC15F5"/>
    <w:rsid w:val="00FC682A"/>
    <w:rsid w:val="00FD0F2C"/>
    <w:rsid w:val="00FE1DDA"/>
    <w:rsid w:val="00FE2116"/>
    <w:rsid w:val="00FE3292"/>
    <w:rsid w:val="00FF4F32"/>
    <w:rsid w:val="00FF57FD"/>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B305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2EE1"/>
    <w:pPr>
      <w:spacing w:after="200" w:line="276" w:lineRule="auto"/>
    </w:pPr>
    <w:rPr>
      <w:rFonts w:ascii="Arial" w:hAnsi="Arial" w:cs="Times New Roman"/>
    </w:rPr>
  </w:style>
  <w:style w:type="paragraph" w:styleId="Heading1">
    <w:name w:val="heading 1"/>
    <w:basedOn w:val="Normal"/>
    <w:next w:val="Normal"/>
    <w:link w:val="Heading1Char"/>
    <w:uiPriority w:val="9"/>
    <w:qFormat/>
    <w:rsid w:val="00633E74"/>
    <w:pPr>
      <w:keepNext/>
      <w:spacing w:line="360" w:lineRule="auto"/>
      <w:outlineLvl w:val="0"/>
    </w:pPr>
    <w:rPr>
      <w:b/>
    </w:rPr>
  </w:style>
  <w:style w:type="paragraph" w:styleId="Heading2">
    <w:name w:val="heading 2"/>
    <w:basedOn w:val="Normal"/>
    <w:next w:val="Normal"/>
    <w:link w:val="Heading2Char"/>
    <w:uiPriority w:val="9"/>
    <w:unhideWhenUsed/>
    <w:qFormat/>
    <w:rsid w:val="00325EDB"/>
    <w:pPr>
      <w:keepNext/>
      <w:outlineLvl w:val="1"/>
    </w:pPr>
    <w:rPr>
      <w:i/>
    </w:rPr>
  </w:style>
  <w:style w:type="paragraph" w:styleId="Heading3">
    <w:name w:val="heading 3"/>
    <w:basedOn w:val="Normal"/>
    <w:next w:val="Normal"/>
    <w:link w:val="Heading3Char"/>
    <w:uiPriority w:val="9"/>
    <w:unhideWhenUsed/>
    <w:qFormat/>
    <w:rsid w:val="00087F5D"/>
    <w:pPr>
      <w:keepNext/>
      <w:spacing w:after="0" w:line="360" w:lineRule="auto"/>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33E74"/>
    <w:rPr>
      <w:b/>
    </w:rPr>
  </w:style>
  <w:style w:type="character" w:customStyle="1" w:styleId="BodyTextChar">
    <w:name w:val="Body Text Char"/>
    <w:basedOn w:val="DefaultParagraphFont"/>
    <w:link w:val="BodyText"/>
    <w:uiPriority w:val="99"/>
    <w:rsid w:val="00633E74"/>
    <w:rPr>
      <w:rFonts w:ascii="Arial" w:hAnsi="Arial" w:cs="Times New Roman"/>
      <w:b/>
    </w:rPr>
  </w:style>
  <w:style w:type="character" w:customStyle="1" w:styleId="Heading1Char">
    <w:name w:val="Heading 1 Char"/>
    <w:basedOn w:val="DefaultParagraphFont"/>
    <w:link w:val="Heading1"/>
    <w:uiPriority w:val="9"/>
    <w:rsid w:val="00633E74"/>
    <w:rPr>
      <w:rFonts w:ascii="Arial" w:hAnsi="Arial" w:cs="Times New Roman"/>
      <w:b/>
    </w:rPr>
  </w:style>
  <w:style w:type="paragraph" w:styleId="CommentText">
    <w:name w:val="annotation text"/>
    <w:basedOn w:val="Normal"/>
    <w:link w:val="CommentTextChar"/>
    <w:uiPriority w:val="99"/>
    <w:unhideWhenUsed/>
    <w:rsid w:val="00B54664"/>
    <w:pPr>
      <w:spacing w:line="240" w:lineRule="auto"/>
    </w:pPr>
    <w:rPr>
      <w:sz w:val="20"/>
      <w:szCs w:val="20"/>
    </w:rPr>
  </w:style>
  <w:style w:type="character" w:customStyle="1" w:styleId="CommentTextChar">
    <w:name w:val="Comment Text Char"/>
    <w:basedOn w:val="DefaultParagraphFont"/>
    <w:link w:val="CommentText"/>
    <w:uiPriority w:val="99"/>
    <w:rsid w:val="00B54664"/>
    <w:rPr>
      <w:rFonts w:ascii="Arial" w:hAnsi="Arial" w:cs="Times New Roman"/>
      <w:sz w:val="20"/>
      <w:szCs w:val="20"/>
    </w:rPr>
  </w:style>
  <w:style w:type="paragraph" w:styleId="Bibliography">
    <w:name w:val="Bibliography"/>
    <w:basedOn w:val="Normal"/>
    <w:next w:val="Normal"/>
    <w:uiPriority w:val="37"/>
    <w:unhideWhenUsed/>
    <w:rsid w:val="00B54664"/>
    <w:pPr>
      <w:spacing w:after="240" w:line="240" w:lineRule="auto"/>
      <w:ind w:left="720" w:hanging="720"/>
    </w:pPr>
  </w:style>
  <w:style w:type="character" w:customStyle="1" w:styleId="Heading2Char">
    <w:name w:val="Heading 2 Char"/>
    <w:basedOn w:val="DefaultParagraphFont"/>
    <w:link w:val="Heading2"/>
    <w:uiPriority w:val="9"/>
    <w:rsid w:val="00325EDB"/>
    <w:rPr>
      <w:rFonts w:ascii="Arial" w:hAnsi="Arial" w:cs="Times New Roman"/>
      <w:i/>
    </w:rPr>
  </w:style>
  <w:style w:type="table" w:styleId="TableGrid">
    <w:name w:val="Table Grid"/>
    <w:basedOn w:val="TableNormal"/>
    <w:uiPriority w:val="39"/>
    <w:rsid w:val="00827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216"/>
    <w:pPr>
      <w:ind w:left="720"/>
      <w:contextualSpacing/>
    </w:pPr>
  </w:style>
  <w:style w:type="paragraph" w:styleId="BalloonText">
    <w:name w:val="Balloon Text"/>
    <w:basedOn w:val="Normal"/>
    <w:link w:val="BalloonTextChar"/>
    <w:uiPriority w:val="99"/>
    <w:semiHidden/>
    <w:unhideWhenUsed/>
    <w:rsid w:val="005B0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E3D"/>
    <w:rPr>
      <w:rFonts w:ascii="Segoe UI" w:hAnsi="Segoe UI" w:cs="Segoe UI"/>
      <w:sz w:val="18"/>
      <w:szCs w:val="18"/>
    </w:rPr>
  </w:style>
  <w:style w:type="paragraph" w:styleId="Header">
    <w:name w:val="header"/>
    <w:basedOn w:val="Normal"/>
    <w:link w:val="HeaderChar"/>
    <w:uiPriority w:val="99"/>
    <w:unhideWhenUsed/>
    <w:rsid w:val="00130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560"/>
    <w:rPr>
      <w:rFonts w:ascii="Arial" w:hAnsi="Arial" w:cs="Times New Roman"/>
    </w:rPr>
  </w:style>
  <w:style w:type="paragraph" w:styleId="Footer">
    <w:name w:val="footer"/>
    <w:basedOn w:val="Normal"/>
    <w:link w:val="FooterChar"/>
    <w:uiPriority w:val="99"/>
    <w:unhideWhenUsed/>
    <w:rsid w:val="00130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560"/>
    <w:rPr>
      <w:rFonts w:ascii="Arial" w:hAnsi="Arial" w:cs="Times New Roman"/>
    </w:rPr>
  </w:style>
  <w:style w:type="character" w:styleId="LineNumber">
    <w:name w:val="line number"/>
    <w:basedOn w:val="DefaultParagraphFont"/>
    <w:uiPriority w:val="99"/>
    <w:semiHidden/>
    <w:unhideWhenUsed/>
    <w:rsid w:val="00130560"/>
  </w:style>
  <w:style w:type="character" w:styleId="PlaceholderText">
    <w:name w:val="Placeholder Text"/>
    <w:basedOn w:val="DefaultParagraphFont"/>
    <w:uiPriority w:val="99"/>
    <w:semiHidden/>
    <w:rsid w:val="007E3851"/>
    <w:rPr>
      <w:color w:val="808080"/>
    </w:rPr>
  </w:style>
  <w:style w:type="character" w:styleId="CommentReference">
    <w:name w:val="annotation reference"/>
    <w:basedOn w:val="DefaultParagraphFont"/>
    <w:uiPriority w:val="99"/>
    <w:semiHidden/>
    <w:unhideWhenUsed/>
    <w:rsid w:val="0099672D"/>
    <w:rPr>
      <w:sz w:val="16"/>
      <w:szCs w:val="16"/>
    </w:rPr>
  </w:style>
  <w:style w:type="paragraph" w:styleId="CommentSubject">
    <w:name w:val="annotation subject"/>
    <w:basedOn w:val="CommentText"/>
    <w:next w:val="CommentText"/>
    <w:link w:val="CommentSubjectChar"/>
    <w:uiPriority w:val="99"/>
    <w:semiHidden/>
    <w:unhideWhenUsed/>
    <w:rsid w:val="0099672D"/>
    <w:rPr>
      <w:b/>
      <w:bCs/>
    </w:rPr>
  </w:style>
  <w:style w:type="character" w:customStyle="1" w:styleId="CommentSubjectChar">
    <w:name w:val="Comment Subject Char"/>
    <w:basedOn w:val="CommentTextChar"/>
    <w:link w:val="CommentSubject"/>
    <w:uiPriority w:val="99"/>
    <w:semiHidden/>
    <w:rsid w:val="0099672D"/>
    <w:rPr>
      <w:rFonts w:ascii="Arial" w:hAnsi="Arial" w:cs="Times New Roman"/>
      <w:b/>
      <w:bCs/>
      <w:sz w:val="20"/>
      <w:szCs w:val="20"/>
    </w:rPr>
  </w:style>
  <w:style w:type="paragraph" w:customStyle="1" w:styleId="compiled">
    <w:name w:val="compiled"/>
    <w:basedOn w:val="Normal"/>
    <w:qFormat/>
    <w:rsid w:val="00D71818"/>
    <w:pPr>
      <w:spacing w:after="0" w:line="240" w:lineRule="auto"/>
      <w:ind w:right="-45"/>
      <w:jc w:val="center"/>
    </w:pPr>
    <w:rPr>
      <w:rFonts w:cs="Calibri"/>
      <w:iCs/>
      <w:sz w:val="20"/>
      <w:szCs w:val="20"/>
      <w:lang w:val="en-US" w:eastAsia="en-GB" w:bidi="en-US"/>
    </w:rPr>
  </w:style>
  <w:style w:type="paragraph" w:styleId="BodyTextIndent">
    <w:name w:val="Body Text Indent"/>
    <w:basedOn w:val="Normal"/>
    <w:link w:val="BodyTextIndentChar"/>
    <w:uiPriority w:val="99"/>
    <w:unhideWhenUsed/>
    <w:rsid w:val="008815B8"/>
    <w:pPr>
      <w:ind w:left="720" w:hanging="720"/>
    </w:pPr>
    <w:rPr>
      <w:rFonts w:eastAsia="Times New Roman" w:cs="Arial"/>
      <w:color w:val="222222"/>
      <w:lang w:eastAsia="en-ZA"/>
    </w:rPr>
  </w:style>
  <w:style w:type="character" w:customStyle="1" w:styleId="BodyTextIndentChar">
    <w:name w:val="Body Text Indent Char"/>
    <w:basedOn w:val="DefaultParagraphFont"/>
    <w:link w:val="BodyTextIndent"/>
    <w:uiPriority w:val="99"/>
    <w:rsid w:val="008815B8"/>
    <w:rPr>
      <w:rFonts w:ascii="Arial" w:eastAsia="Times New Roman" w:hAnsi="Arial" w:cs="Arial"/>
      <w:color w:val="222222"/>
      <w:lang w:eastAsia="en-ZA"/>
    </w:rPr>
  </w:style>
  <w:style w:type="paragraph" w:styleId="BodyTextIndent2">
    <w:name w:val="Body Text Indent 2"/>
    <w:basedOn w:val="Normal"/>
    <w:link w:val="BodyTextIndent2Char"/>
    <w:uiPriority w:val="99"/>
    <w:unhideWhenUsed/>
    <w:rsid w:val="00151BA6"/>
    <w:pPr>
      <w:ind w:left="720" w:hanging="720"/>
    </w:pPr>
  </w:style>
  <w:style w:type="character" w:customStyle="1" w:styleId="BodyTextIndent2Char">
    <w:name w:val="Body Text Indent 2 Char"/>
    <w:basedOn w:val="DefaultParagraphFont"/>
    <w:link w:val="BodyTextIndent2"/>
    <w:uiPriority w:val="99"/>
    <w:rsid w:val="00151BA6"/>
    <w:rPr>
      <w:rFonts w:ascii="Arial" w:hAnsi="Arial" w:cs="Times New Roman"/>
    </w:rPr>
  </w:style>
  <w:style w:type="paragraph" w:styleId="Revision">
    <w:name w:val="Revision"/>
    <w:hidden/>
    <w:uiPriority w:val="99"/>
    <w:semiHidden/>
    <w:rsid w:val="00220081"/>
    <w:pPr>
      <w:spacing w:after="0" w:line="240" w:lineRule="auto"/>
    </w:pPr>
    <w:rPr>
      <w:rFonts w:ascii="Arial" w:hAnsi="Arial" w:cs="Times New Roman"/>
    </w:rPr>
  </w:style>
  <w:style w:type="character" w:customStyle="1" w:styleId="Heading3Char">
    <w:name w:val="Heading 3 Char"/>
    <w:basedOn w:val="DefaultParagraphFont"/>
    <w:link w:val="Heading3"/>
    <w:uiPriority w:val="9"/>
    <w:rsid w:val="00087F5D"/>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C3680-7128-49D9-A522-4CFD6DDC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7752</Words>
  <Characters>44190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Raw</dc:creator>
  <cp:keywords/>
  <dc:description/>
  <cp:lastModifiedBy>Whalley T.</cp:lastModifiedBy>
  <cp:revision>2</cp:revision>
  <dcterms:created xsi:type="dcterms:W3CDTF">2019-09-04T13:02:00Z</dcterms:created>
  <dcterms:modified xsi:type="dcterms:W3CDTF">2019-09-04T13:02:00Z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id="UgPSbzFo"/&gt;&lt;style id="http://www.zotero.org/styles/marine-ecology-progress-series" hasBibliography="1" bibliographyStyleHasBeenSet="1"/&gt;&lt;prefs&gt;&lt;pref name="fieldType" value="Field"/&gt;&lt;/prefs&gt;&lt;/data</vt:lpwstr>
  </property>
  <property fmtid="{D5CDD505-2E9C-101B-9397-08002B2CF9AE}" pid="3" name="ZOTERO_PREF_2">
    <vt:lpwstr>&gt;</vt:lpwstr>
  </property>
</Properties>
</file>