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DCC" w:rsidRPr="002D75EB" w:rsidRDefault="00F24DCC" w:rsidP="00F24DCC">
      <w:pPr>
        <w:jc w:val="both"/>
        <w:rPr>
          <w:b/>
          <w:color w:val="000000"/>
          <w:sz w:val="28"/>
          <w:szCs w:val="28"/>
        </w:rPr>
      </w:pPr>
      <w:bookmarkStart w:id="0" w:name="_GoBack"/>
      <w:bookmarkEnd w:id="0"/>
      <w:r>
        <w:rPr>
          <w:b/>
          <w:color w:val="000000"/>
          <w:sz w:val="28"/>
          <w:szCs w:val="28"/>
        </w:rPr>
        <w:t>Winter climate change increa</w:t>
      </w:r>
      <w:r w:rsidRPr="002D75EB">
        <w:rPr>
          <w:b/>
          <w:color w:val="000000"/>
          <w:sz w:val="28"/>
          <w:szCs w:val="28"/>
        </w:rPr>
        <w:t>ses physiological stress in calcareous fen bryophytes</w:t>
      </w:r>
    </w:p>
    <w:p w:rsidR="00F24DCC" w:rsidRPr="002D75EB" w:rsidRDefault="00F24DCC" w:rsidP="00F24DCC">
      <w:pPr>
        <w:jc w:val="both"/>
        <w:rPr>
          <w:color w:val="000000"/>
        </w:rPr>
      </w:pPr>
    </w:p>
    <w:p w:rsidR="00F24DCC" w:rsidRPr="00B74FCF" w:rsidRDefault="00F24DCC" w:rsidP="00F24DCC">
      <w:pPr>
        <w:jc w:val="both"/>
        <w:outlineLvl w:val="0"/>
        <w:rPr>
          <w:b/>
          <w:color w:val="000000"/>
          <w:lang w:val="fi-FI"/>
        </w:rPr>
      </w:pPr>
      <w:r w:rsidRPr="00B74FCF">
        <w:rPr>
          <w:b/>
          <w:color w:val="000000"/>
          <w:lang w:val="fi-FI"/>
        </w:rPr>
        <w:t>Martin Küttim</w:t>
      </w:r>
      <w:r w:rsidRPr="00B74FCF">
        <w:rPr>
          <w:b/>
          <w:color w:val="000000"/>
          <w:vertAlign w:val="superscript"/>
          <w:lang w:val="fi-FI"/>
        </w:rPr>
        <w:t>1</w:t>
      </w:r>
      <w:r w:rsidRPr="00B74FCF">
        <w:rPr>
          <w:b/>
          <w:color w:val="000000"/>
          <w:lang w:val="fi-FI"/>
        </w:rPr>
        <w:t>, Anna M. Laine</w:t>
      </w:r>
      <w:r w:rsidRPr="00B74FCF">
        <w:rPr>
          <w:b/>
          <w:color w:val="000000"/>
          <w:vertAlign w:val="superscript"/>
          <w:lang w:val="fi-FI"/>
        </w:rPr>
        <w:t>2</w:t>
      </w:r>
      <w:r>
        <w:rPr>
          <w:b/>
          <w:color w:val="000000"/>
          <w:vertAlign w:val="superscript"/>
          <w:lang w:val="fi-FI"/>
        </w:rPr>
        <w:t>,3</w:t>
      </w:r>
      <w:r w:rsidRPr="00B74FCF">
        <w:rPr>
          <w:b/>
          <w:color w:val="000000"/>
          <w:lang w:val="fi-FI"/>
        </w:rPr>
        <w:t>, Liisa Küttim</w:t>
      </w:r>
      <w:r w:rsidRPr="00B74FCF">
        <w:rPr>
          <w:b/>
          <w:color w:val="000000"/>
          <w:vertAlign w:val="superscript"/>
          <w:lang w:val="fi-FI"/>
        </w:rPr>
        <w:t>1</w:t>
      </w:r>
      <w:r w:rsidRPr="00B74FCF">
        <w:rPr>
          <w:b/>
          <w:color w:val="000000"/>
          <w:lang w:val="fi-FI"/>
        </w:rPr>
        <w:t>, Mati Ilomets</w:t>
      </w:r>
      <w:r w:rsidRPr="00B74FCF">
        <w:rPr>
          <w:b/>
          <w:color w:val="000000"/>
          <w:vertAlign w:val="superscript"/>
          <w:lang w:val="fi-FI"/>
        </w:rPr>
        <w:t>1</w:t>
      </w:r>
      <w:r w:rsidRPr="00B74FCF">
        <w:rPr>
          <w:b/>
          <w:color w:val="000000"/>
          <w:vertAlign w:val="subscript"/>
          <w:lang w:val="fi-FI"/>
        </w:rPr>
        <w:t>,</w:t>
      </w:r>
      <w:r w:rsidRPr="00B74FCF">
        <w:rPr>
          <w:b/>
          <w:color w:val="000000"/>
          <w:lang w:val="fi-FI"/>
        </w:rPr>
        <w:t xml:space="preserve"> Bjorn J.M. Robroek</w:t>
      </w:r>
      <w:r>
        <w:rPr>
          <w:b/>
          <w:color w:val="000000"/>
          <w:vertAlign w:val="superscript"/>
          <w:lang w:val="fi-FI"/>
        </w:rPr>
        <w:t>4</w:t>
      </w:r>
    </w:p>
    <w:p w:rsidR="00F24DCC" w:rsidRPr="00B74FCF" w:rsidRDefault="00F24DCC" w:rsidP="00F24DCC">
      <w:pPr>
        <w:jc w:val="both"/>
        <w:rPr>
          <w:b/>
          <w:color w:val="000000"/>
          <w:lang w:val="fi-FI"/>
        </w:rPr>
      </w:pPr>
    </w:p>
    <w:p w:rsidR="00F24DCC" w:rsidRPr="002D75EB" w:rsidRDefault="00F24DCC" w:rsidP="00F24DCC">
      <w:pPr>
        <w:pStyle w:val="ListParagraph"/>
        <w:numPr>
          <w:ilvl w:val="0"/>
          <w:numId w:val="3"/>
        </w:numPr>
        <w:spacing w:line="480" w:lineRule="auto"/>
        <w:jc w:val="both"/>
        <w:rPr>
          <w:color w:val="000000"/>
        </w:rPr>
      </w:pPr>
      <w:r w:rsidRPr="002D75EB">
        <w:rPr>
          <w:color w:val="000000"/>
        </w:rPr>
        <w:t>Tallinn University, School of Natural Sciences and Health, Institute of Ecology, Uus-Sadama 5, 10120 Tallinn, Estonia.</w:t>
      </w:r>
    </w:p>
    <w:p w:rsidR="00F24DCC" w:rsidRDefault="00F24DCC" w:rsidP="00F24DCC">
      <w:pPr>
        <w:pStyle w:val="ListParagraph"/>
        <w:numPr>
          <w:ilvl w:val="0"/>
          <w:numId w:val="3"/>
        </w:numPr>
        <w:spacing w:line="480" w:lineRule="auto"/>
        <w:jc w:val="both"/>
        <w:rPr>
          <w:color w:val="000000"/>
        </w:rPr>
      </w:pPr>
      <w:r w:rsidRPr="002D75EB">
        <w:rPr>
          <w:color w:val="000000"/>
        </w:rPr>
        <w:t>University of Oulu, Department of Ecology and Genetics, P.O.Box 8000, FI-90014 Oulu, Finland.</w:t>
      </w:r>
    </w:p>
    <w:p w:rsidR="00F24DCC" w:rsidRPr="002D75EB" w:rsidRDefault="00F24DCC" w:rsidP="00F24DCC">
      <w:pPr>
        <w:pStyle w:val="ListParagraph"/>
        <w:numPr>
          <w:ilvl w:val="0"/>
          <w:numId w:val="3"/>
        </w:numPr>
        <w:spacing w:line="480" w:lineRule="auto"/>
        <w:jc w:val="both"/>
        <w:rPr>
          <w:color w:val="000000"/>
        </w:rPr>
      </w:pPr>
      <w:r w:rsidRPr="00F97E86">
        <w:rPr>
          <w:color w:val="000000"/>
        </w:rPr>
        <w:t>University of Eastern Finland, School of Forest Sciences, P.O. Box 111, FI-80101 Joensuu, Finland</w:t>
      </w:r>
    </w:p>
    <w:p w:rsidR="00F24DCC" w:rsidRPr="002D75EB" w:rsidRDefault="00F24DCC" w:rsidP="00F24DCC">
      <w:pPr>
        <w:pStyle w:val="ListParagraph"/>
        <w:numPr>
          <w:ilvl w:val="0"/>
          <w:numId w:val="3"/>
        </w:numPr>
        <w:spacing w:line="480" w:lineRule="auto"/>
        <w:jc w:val="both"/>
        <w:rPr>
          <w:color w:val="000000"/>
        </w:rPr>
      </w:pPr>
      <w:r w:rsidRPr="002D75EB">
        <w:rPr>
          <w:color w:val="000000"/>
        </w:rPr>
        <w:t>University of Southampton, Faculty of Natural and Environmental Sciences, School of Biological Sciences, Highfield Campus, SO17 1BJ Southampton, UK.</w:t>
      </w:r>
    </w:p>
    <w:p w:rsidR="00F24DCC" w:rsidRDefault="00F24DCC" w:rsidP="00F24DCC">
      <w:pPr>
        <w:widowControl/>
        <w:suppressAutoHyphens w:val="0"/>
        <w:spacing w:before="0" w:after="0" w:line="480" w:lineRule="auto"/>
      </w:pPr>
    </w:p>
    <w:p w:rsidR="00F24DCC" w:rsidRDefault="00F24DCC" w:rsidP="00F24DCC">
      <w:pPr>
        <w:widowControl/>
        <w:suppressAutoHyphens w:val="0"/>
        <w:spacing w:before="0" w:after="0" w:line="480" w:lineRule="auto"/>
        <w:rPr>
          <w:rFonts w:eastAsiaTheme="majorEastAsia" w:cstheme="majorBidi"/>
          <w:b/>
          <w:i/>
          <w:szCs w:val="32"/>
        </w:rPr>
      </w:pPr>
      <w:r w:rsidRPr="00CB6521">
        <w:rPr>
          <w:b/>
          <w:bCs/>
          <w:i/>
          <w:iCs/>
        </w:rPr>
        <w:t xml:space="preserve">Corresponding author: </w:t>
      </w:r>
      <w:r w:rsidRPr="00CB6521">
        <w:rPr>
          <w:bCs/>
          <w:iCs/>
        </w:rPr>
        <w:t>Martin Küttim, Tallinn University, School of Natural Sciences and Health, Institute of Ecology, Uus-Sadama 5, 10120 Tallinn, Estonia. kyttim@tlu.ee. Phone: +372 56935875</w:t>
      </w:r>
      <w:r>
        <w:br w:type="page"/>
      </w:r>
    </w:p>
    <w:p w:rsidR="00F24DCC" w:rsidRPr="002D75EB" w:rsidRDefault="00F24DCC" w:rsidP="00F24DCC">
      <w:pPr>
        <w:pStyle w:val="Heading1"/>
        <w:spacing w:line="480" w:lineRule="auto"/>
      </w:pPr>
      <w:r w:rsidRPr="002D75EB">
        <w:lastRenderedPageBreak/>
        <w:t>ABSTRACT</w:t>
      </w:r>
    </w:p>
    <w:p w:rsidR="00F24DCC" w:rsidRPr="002D75EB" w:rsidRDefault="00F24DCC" w:rsidP="00F24DCC">
      <w:pPr>
        <w:pStyle w:val="BodyText"/>
        <w:spacing w:line="480" w:lineRule="auto"/>
        <w:jc w:val="both"/>
        <w:rPr>
          <w:rFonts w:eastAsia="AdvGAR"/>
          <w:color w:val="000000"/>
        </w:rPr>
      </w:pPr>
      <w:r w:rsidRPr="002D75EB">
        <w:rPr>
          <w:rFonts w:eastAsia="AdvGAR"/>
          <w:color w:val="000000"/>
        </w:rPr>
        <w:t>Calcareous spring fens are among the rarest and most endangered wetland types worldwide. The majority of these ecosystems can be found at high latitudes, where they are affected by above average rates of climate change. Particularly winter temperatures are increasing, which results in decreased snow cover. A</w:t>
      </w:r>
      <w:r w:rsidRPr="00084432">
        <w:rPr>
          <w:rFonts w:eastAsia="AdvGAR"/>
          <w:color w:val="000000"/>
        </w:rPr>
        <w:t>s</w:t>
      </w:r>
      <w:r w:rsidRPr="007B5E33">
        <w:rPr>
          <w:rFonts w:eastAsia="AdvGAR"/>
          <w:color w:val="000000"/>
        </w:rPr>
        <w:t xml:space="preserve"> </w:t>
      </w:r>
      <w:r w:rsidRPr="002D75EB">
        <w:rPr>
          <w:rFonts w:eastAsia="AdvGAR"/>
          <w:color w:val="000000"/>
        </w:rPr>
        <w:t xml:space="preserve">snow provides an insulating layer that protects ecosystems from subzero temperatures, its decrease is likely to induce stress to plants. To investigate the sensitivity of the bryophyte community – key to the functioning of calcareous spring fens – to changing climatic conditions, we studied the annual variation in ecophysiology of two dominant bryophytes: </w:t>
      </w:r>
      <w:r w:rsidRPr="002D75EB">
        <w:rPr>
          <w:rFonts w:eastAsia="AdvGAR"/>
          <w:i/>
          <w:iCs/>
          <w:color w:val="000000"/>
        </w:rPr>
        <w:t>Campylium stellatum</w:t>
      </w:r>
      <w:r w:rsidRPr="002D75EB">
        <w:rPr>
          <w:rFonts w:eastAsia="AdvGAR"/>
          <w:color w:val="000000"/>
        </w:rPr>
        <w:t xml:space="preserve"> and </w:t>
      </w:r>
      <w:r w:rsidRPr="002D75EB">
        <w:rPr>
          <w:rFonts w:eastAsia="AdvGAR"/>
          <w:i/>
          <w:iCs/>
          <w:color w:val="000000"/>
        </w:rPr>
        <w:t>Scorpidium scorpioides</w:t>
      </w:r>
      <w:r w:rsidRPr="002D75EB">
        <w:rPr>
          <w:rFonts w:eastAsia="AdvGAR"/>
          <w:color w:val="000000"/>
        </w:rPr>
        <w:t>. Further, a snow removal experiment was used to simulate the effect of changing winter conditions. In both species, we observed lowest efficiency of photosystem II (Fv/Fm) in spring, indicating physiological stress, and highest chlorophyll-</w:t>
      </w:r>
      <w:r w:rsidRPr="002D75EB">
        <w:rPr>
          <w:rFonts w:eastAsia="AdvGAR"/>
          <w:i/>
          <w:color w:val="000000"/>
        </w:rPr>
        <w:t>a</w:t>
      </w:r>
      <w:r w:rsidRPr="002D75EB">
        <w:rPr>
          <w:rFonts w:eastAsia="AdvGAR"/>
          <w:color w:val="000000"/>
        </w:rPr>
        <w:t>, -</w:t>
      </w:r>
      <w:r w:rsidRPr="002D75EB">
        <w:rPr>
          <w:rFonts w:eastAsia="AdvGAR"/>
          <w:i/>
          <w:color w:val="000000"/>
        </w:rPr>
        <w:t>b</w:t>
      </w:r>
      <w:r>
        <w:rPr>
          <w:rFonts w:eastAsia="AdvGAR"/>
          <w:color w:val="000000"/>
        </w:rPr>
        <w:t xml:space="preserve"> and caro</w:t>
      </w:r>
      <w:r w:rsidRPr="002D75EB">
        <w:rPr>
          <w:rFonts w:eastAsia="AdvGAR"/>
          <w:color w:val="000000"/>
        </w:rPr>
        <w:t>tenoid concentrations in autumn. Snow removal</w:t>
      </w:r>
      <w:r w:rsidRPr="002D75EB">
        <w:t xml:space="preserve"> </w:t>
      </w:r>
      <w:r w:rsidRPr="002D75EB">
        <w:rPr>
          <w:rFonts w:eastAsia="AdvGAR"/>
          <w:color w:val="000000"/>
        </w:rPr>
        <w:t>exacerbated physiological stress in bryophytes. Consequently Fv/Fm, pigment concentrations and chlorophyll to carotenoids ratios declined, while chlorophyll-</w:t>
      </w:r>
      <w:r w:rsidRPr="002D75EB">
        <w:rPr>
          <w:rFonts w:eastAsia="AdvGAR"/>
          <w:i/>
          <w:iCs/>
          <w:color w:val="000000"/>
        </w:rPr>
        <w:t>a</w:t>
      </w:r>
      <w:r w:rsidRPr="002D75EB">
        <w:rPr>
          <w:rFonts w:eastAsia="AdvGAR"/>
          <w:color w:val="000000"/>
        </w:rPr>
        <w:t xml:space="preserve"> to -</w:t>
      </w:r>
      <w:r w:rsidRPr="002D75EB">
        <w:rPr>
          <w:rFonts w:eastAsia="AdvGAR"/>
          <w:i/>
          <w:iCs/>
          <w:color w:val="000000"/>
        </w:rPr>
        <w:t>b</w:t>
      </w:r>
      <w:r w:rsidRPr="002D75EB">
        <w:rPr>
          <w:rFonts w:eastAsia="AdvGAR"/>
          <w:color w:val="000000"/>
        </w:rPr>
        <w:t xml:space="preserve"> ratios increased. Moreover, these effects of winter climate change cascaded to the growing season.</w:t>
      </w:r>
      <w:r>
        <w:rPr>
          <w:rFonts w:eastAsia="AdvGAR"/>
          <w:color w:val="000000"/>
        </w:rPr>
        <w:t xml:space="preserve"> </w:t>
      </w:r>
      <w:r w:rsidRPr="001662A5">
        <w:rPr>
          <w:rFonts w:eastAsia="AdvGAR"/>
          <w:i/>
          <w:color w:val="000000"/>
        </w:rPr>
        <w:t>C. stellatum</w:t>
      </w:r>
      <w:r>
        <w:rPr>
          <w:rFonts w:eastAsia="AdvGAR"/>
          <w:color w:val="000000"/>
        </w:rPr>
        <w:t xml:space="preserve">, a low hummock inhabitor, suffered more from snow removal (annual mean decline in Fv/Fm 7.7% and 30.0% in </w:t>
      </w:r>
      <w:r w:rsidRPr="002D75EB">
        <w:rPr>
          <w:rFonts w:eastAsia="AdvGAR"/>
          <w:color w:val="000000"/>
        </w:rPr>
        <w:t>chlorophyll-</w:t>
      </w:r>
      <w:r w:rsidRPr="002D75EB">
        <w:rPr>
          <w:rFonts w:eastAsia="AdvGAR"/>
          <w:i/>
          <w:iCs/>
          <w:color w:val="000000"/>
        </w:rPr>
        <w:t>a</w:t>
      </w:r>
      <w:r>
        <w:rPr>
          <w:rFonts w:eastAsia="AdvGAR"/>
          <w:color w:val="000000"/>
        </w:rPr>
        <w:t xml:space="preserve">) than </w:t>
      </w:r>
      <w:r w:rsidRPr="001662A5">
        <w:rPr>
          <w:rFonts w:eastAsia="AdvGAR"/>
          <w:i/>
          <w:color w:val="000000"/>
        </w:rPr>
        <w:t>S. scorpioides</w:t>
      </w:r>
      <w:r>
        <w:rPr>
          <w:rFonts w:eastAsia="AdvGAR"/>
          <w:color w:val="000000"/>
        </w:rPr>
        <w:t>, a hollow species (declines 5.4% and 14.5%, respectively).</w:t>
      </w:r>
      <w:r w:rsidRPr="002D75EB">
        <w:rPr>
          <w:rFonts w:eastAsia="AdvGAR"/>
          <w:color w:val="000000"/>
        </w:rPr>
        <w:t xml:space="preserve"> Taken together, our results indicate that spring fen bryophytes are negatively impacted by winter climate change, as a result of longer frost periods and increased numbers of freeze-thaw cycles in combination with higher light intensity and dehydration.</w:t>
      </w:r>
    </w:p>
    <w:p w:rsidR="00F24DCC" w:rsidRPr="002D75EB" w:rsidRDefault="00F24DCC" w:rsidP="00F24DCC">
      <w:pPr>
        <w:spacing w:line="480" w:lineRule="auto"/>
        <w:jc w:val="both"/>
        <w:rPr>
          <w:color w:val="000000"/>
        </w:rPr>
      </w:pPr>
    </w:p>
    <w:p w:rsidR="00F24DCC" w:rsidRDefault="00F24DCC" w:rsidP="00F24DCC">
      <w:pPr>
        <w:spacing w:line="480" w:lineRule="auto"/>
        <w:jc w:val="both"/>
        <w:rPr>
          <w:color w:val="000000"/>
        </w:rPr>
      </w:pPr>
      <w:r w:rsidRPr="008728BA">
        <w:rPr>
          <w:b/>
          <w:i/>
          <w:color w:val="000000"/>
        </w:rPr>
        <w:t>Keywords</w:t>
      </w:r>
      <w:r w:rsidRPr="002D75EB">
        <w:rPr>
          <w:color w:val="000000"/>
        </w:rPr>
        <w:t xml:space="preserve">: mosses, phenology, </w:t>
      </w:r>
      <w:r>
        <w:rPr>
          <w:color w:val="000000"/>
        </w:rPr>
        <w:t>snow</w:t>
      </w:r>
      <w:r w:rsidRPr="002D75EB">
        <w:rPr>
          <w:color w:val="000000"/>
        </w:rPr>
        <w:t xml:space="preserve">, </w:t>
      </w:r>
      <w:r>
        <w:rPr>
          <w:color w:val="000000"/>
        </w:rPr>
        <w:t>chlorophyll, peatlands</w:t>
      </w:r>
    </w:p>
    <w:p w:rsidR="00F24DCC" w:rsidRPr="002602DB" w:rsidRDefault="00F24DCC" w:rsidP="00F24DCC">
      <w:pPr>
        <w:widowControl/>
        <w:suppressAutoHyphens w:val="0"/>
        <w:spacing w:before="0" w:after="0" w:line="240" w:lineRule="auto"/>
        <w:rPr>
          <w:color w:val="000000"/>
        </w:rPr>
      </w:pPr>
      <w:r>
        <w:br w:type="page"/>
      </w:r>
    </w:p>
    <w:p w:rsidR="00F24DCC" w:rsidRPr="002D75EB" w:rsidRDefault="00F24DCC" w:rsidP="00F24DCC">
      <w:pPr>
        <w:pStyle w:val="Heading1"/>
        <w:spacing w:line="480" w:lineRule="auto"/>
      </w:pPr>
      <w:r>
        <w:lastRenderedPageBreak/>
        <w:t xml:space="preserve">1. </w:t>
      </w:r>
      <w:r w:rsidRPr="002D75EB">
        <w:t>INTRODUCTION</w:t>
      </w:r>
    </w:p>
    <w:p w:rsidR="00F24DCC" w:rsidRPr="002D75EB" w:rsidRDefault="00F24DCC" w:rsidP="00F24DCC">
      <w:pPr>
        <w:pStyle w:val="BodyText"/>
        <w:spacing w:line="480" w:lineRule="auto"/>
        <w:jc w:val="both"/>
        <w:rPr>
          <w:rFonts w:eastAsia="AdvGAR"/>
          <w:color w:val="000000"/>
        </w:rPr>
      </w:pPr>
      <w:r w:rsidRPr="002D75EB">
        <w:rPr>
          <w:color w:val="000000"/>
        </w:rPr>
        <w:t xml:space="preserve">Over the last decades, mean annual air temperatures in Northern Europe have increased; a trend which is expected to continue (Jylhä </w:t>
      </w:r>
      <w:r>
        <w:rPr>
          <w:color w:val="000000"/>
        </w:rPr>
        <w:t>et al.,</w:t>
      </w:r>
      <w:r w:rsidRPr="002D75EB">
        <w:rPr>
          <w:color w:val="000000"/>
        </w:rPr>
        <w:t xml:space="preserve"> 2004; IPCC</w:t>
      </w:r>
      <w:r>
        <w:rPr>
          <w:color w:val="000000"/>
        </w:rPr>
        <w:t>,</w:t>
      </w:r>
      <w:r w:rsidRPr="002D75EB">
        <w:rPr>
          <w:color w:val="000000"/>
        </w:rPr>
        <w:t xml:space="preserve"> 2014). Climate warming in the boreal zone, where the majority of peatlands are located, is however unbalanced over the year, with the greatest changes during winter (Kreyling</w:t>
      </w:r>
      <w:r>
        <w:rPr>
          <w:color w:val="000000"/>
        </w:rPr>
        <w:t>,</w:t>
      </w:r>
      <w:r w:rsidRPr="002D75EB">
        <w:rPr>
          <w:color w:val="000000"/>
        </w:rPr>
        <w:t xml:space="preserve"> 2010; IPCC</w:t>
      </w:r>
      <w:r>
        <w:rPr>
          <w:color w:val="000000"/>
        </w:rPr>
        <w:t>,</w:t>
      </w:r>
      <w:r w:rsidRPr="002D75EB">
        <w:rPr>
          <w:color w:val="000000"/>
        </w:rPr>
        <w:t xml:space="preserve"> 2014; Lode </w:t>
      </w:r>
      <w:r>
        <w:rPr>
          <w:color w:val="000000"/>
        </w:rPr>
        <w:t>et al.,</w:t>
      </w:r>
      <w:r w:rsidRPr="002D75EB">
        <w:rPr>
          <w:color w:val="000000"/>
        </w:rPr>
        <w:t xml:space="preserve"> 2017). Due to winter</w:t>
      </w:r>
      <w:r w:rsidRPr="002D75EB">
        <w:t xml:space="preserve"> warming,</w:t>
      </w:r>
      <w:r w:rsidRPr="002D75EB">
        <w:rPr>
          <w:color w:val="000000"/>
        </w:rPr>
        <w:t xml:space="preserve"> it is expected that the amount of snow and the duration of the snow covered period decrease, in parallel with an increase </w:t>
      </w:r>
      <w:r w:rsidRPr="002D75EB">
        <w:t xml:space="preserve">in precipitation that falls as rain </w:t>
      </w:r>
      <w:r w:rsidRPr="002D75EB">
        <w:rPr>
          <w:color w:val="000000"/>
        </w:rPr>
        <w:t>(Templer</w:t>
      </w:r>
      <w:r>
        <w:rPr>
          <w:color w:val="000000"/>
        </w:rPr>
        <w:t>,</w:t>
      </w:r>
      <w:r w:rsidRPr="002D75EB">
        <w:rPr>
          <w:color w:val="000000"/>
        </w:rPr>
        <w:t xml:space="preserve"> 2012). The relationships between environmental conditions and plant ecophysiological processes are well understood in the traditional growing season, i.e. in summer (Kreyling</w:t>
      </w:r>
      <w:r>
        <w:rPr>
          <w:color w:val="000000"/>
        </w:rPr>
        <w:t>,</w:t>
      </w:r>
      <w:r w:rsidRPr="002D75EB">
        <w:rPr>
          <w:color w:val="000000"/>
        </w:rPr>
        <w:t xml:space="preserve"> 2010; Hajek</w:t>
      </w:r>
      <w:r>
        <w:rPr>
          <w:color w:val="000000"/>
        </w:rPr>
        <w:t>,</w:t>
      </w:r>
      <w:r w:rsidRPr="002D75EB">
        <w:rPr>
          <w:color w:val="000000"/>
        </w:rPr>
        <w:t xml:space="preserve"> 2014; Glime</w:t>
      </w:r>
      <w:r>
        <w:rPr>
          <w:color w:val="000000"/>
        </w:rPr>
        <w:t>,</w:t>
      </w:r>
      <w:r w:rsidRPr="002D75EB">
        <w:rPr>
          <w:color w:val="000000"/>
        </w:rPr>
        <w:t xml:space="preserve"> 2017), but overlooked in winter. Indeed, these processes are traditionally assumed to halt during winter. As temperature and light availability are the major drivers for plant metabolic processes (Miidla</w:t>
      </w:r>
      <w:r>
        <w:rPr>
          <w:color w:val="000000"/>
        </w:rPr>
        <w:t>,</w:t>
      </w:r>
      <w:r w:rsidRPr="002D75EB">
        <w:rPr>
          <w:color w:val="000000"/>
        </w:rPr>
        <w:t xml:space="preserve"> 1984; Tang </w:t>
      </w:r>
      <w:r>
        <w:rPr>
          <w:color w:val="000000"/>
        </w:rPr>
        <w:t>et al.,</w:t>
      </w:r>
      <w:r w:rsidRPr="002D75EB">
        <w:rPr>
          <w:color w:val="000000"/>
        </w:rPr>
        <w:t xml:space="preserve"> 2016), changes in environmental variables during winter are likely to alter plant physiology (Glime</w:t>
      </w:r>
      <w:r>
        <w:rPr>
          <w:color w:val="000000"/>
        </w:rPr>
        <w:t>,</w:t>
      </w:r>
      <w:r w:rsidRPr="002D75EB">
        <w:rPr>
          <w:color w:val="000000"/>
        </w:rPr>
        <w:t xml:space="preserve"> 2017). Decreasing snow cover provides opportunities for evergreen plant species that tolerate low temperatures, as they may profit from increased light availability. On the other hand, reduced or absent snow cover leaves soil and vegetation exposed, increasing the risk of frost (Groffman </w:t>
      </w:r>
      <w:r>
        <w:rPr>
          <w:color w:val="000000"/>
        </w:rPr>
        <w:t>et al.,</w:t>
      </w:r>
      <w:r w:rsidRPr="002D75EB">
        <w:rPr>
          <w:color w:val="000000"/>
        </w:rPr>
        <w:t xml:space="preserve"> 2001). In that respect, reduced snow cover may have contrasting effects on plant processes due to a simultaneous alleviation of light constraints and enhancement of frost stress.</w:t>
      </w:r>
      <w:r w:rsidRPr="002D75EB">
        <w:rPr>
          <w:rFonts w:eastAsia="AdvGAR"/>
          <w:color w:val="000000"/>
        </w:rPr>
        <w:t xml:space="preserve"> Previous winter warming and snow removal studies implicate that decreasing snow cover increases plant stress: the physiological performance (declined rate of photosynthesis, change in chemical compounds, mechanical damage etc) of various plants that are abundant in northern ecosystems may be altered</w:t>
      </w:r>
      <w:r w:rsidRPr="007B5E33">
        <w:rPr>
          <w:rFonts w:eastAsia="AdvGAR"/>
          <w:color w:val="000000"/>
        </w:rPr>
        <w:t xml:space="preserve">, </w:t>
      </w:r>
      <w:r w:rsidRPr="002D75EB">
        <w:rPr>
          <w:rFonts w:eastAsia="AdvGAR"/>
          <w:color w:val="000000"/>
        </w:rPr>
        <w:t xml:space="preserve">e.g. </w:t>
      </w:r>
      <w:r>
        <w:rPr>
          <w:rFonts w:eastAsia="AdvGAR"/>
          <w:color w:val="000000"/>
        </w:rPr>
        <w:t>conifers</w:t>
      </w:r>
      <w:r w:rsidRPr="002D75EB">
        <w:rPr>
          <w:rFonts w:eastAsia="AdvGAR"/>
          <w:color w:val="000000"/>
        </w:rPr>
        <w:t xml:space="preserve"> (Sutinen </w:t>
      </w:r>
      <w:r>
        <w:rPr>
          <w:rFonts w:eastAsia="AdvGAR"/>
          <w:color w:val="000000"/>
        </w:rPr>
        <w:t>et al.,</w:t>
      </w:r>
      <w:r w:rsidRPr="002D75EB">
        <w:rPr>
          <w:rFonts w:eastAsia="AdvGAR"/>
          <w:color w:val="000000"/>
        </w:rPr>
        <w:t xml:space="preserve"> 2014)</w:t>
      </w:r>
      <w:r>
        <w:rPr>
          <w:rFonts w:eastAsia="AdvGAR"/>
          <w:color w:val="000000"/>
        </w:rPr>
        <w:t>, deciduous trees (Tateno et al., 2019)</w:t>
      </w:r>
      <w:r w:rsidRPr="002D75EB">
        <w:rPr>
          <w:rFonts w:eastAsia="AdvGAR"/>
          <w:color w:val="000000"/>
        </w:rPr>
        <w:t xml:space="preserve"> and </w:t>
      </w:r>
      <w:r>
        <w:rPr>
          <w:rFonts w:eastAsia="AdvGAR"/>
          <w:color w:val="000000"/>
        </w:rPr>
        <w:t>dwarf-shrubs</w:t>
      </w:r>
      <w:r w:rsidRPr="002D75EB">
        <w:rPr>
          <w:rFonts w:eastAsia="AdvGAR"/>
          <w:color w:val="000000"/>
        </w:rPr>
        <w:t xml:space="preserve"> (Taulavuori </w:t>
      </w:r>
      <w:r>
        <w:rPr>
          <w:rFonts w:eastAsia="AdvGAR"/>
          <w:color w:val="000000"/>
        </w:rPr>
        <w:t>et al.,</w:t>
      </w:r>
      <w:r w:rsidRPr="002D75EB">
        <w:rPr>
          <w:rFonts w:eastAsia="AdvGAR"/>
          <w:color w:val="000000"/>
        </w:rPr>
        <w:t xml:space="preserve"> 2002). Also, </w:t>
      </w:r>
      <w:r w:rsidRPr="002D75EB">
        <w:rPr>
          <w:rFonts w:eastAsia="AdvGAR"/>
          <w:i/>
          <w:color w:val="000000"/>
        </w:rPr>
        <w:t>Sphagnum</w:t>
      </w:r>
      <w:r w:rsidRPr="002D75EB">
        <w:rPr>
          <w:rFonts w:eastAsia="AdvGAR"/>
          <w:color w:val="000000"/>
        </w:rPr>
        <w:t xml:space="preserve"> mosses express reduced growth, photosynthesis and chlorophyll-</w:t>
      </w:r>
      <w:r w:rsidRPr="002D75EB">
        <w:rPr>
          <w:rFonts w:eastAsia="AdvGAR"/>
          <w:i/>
          <w:color w:val="000000"/>
        </w:rPr>
        <w:t>a</w:t>
      </w:r>
      <w:r w:rsidRPr="002D75EB">
        <w:rPr>
          <w:rFonts w:eastAsia="AdvGAR"/>
          <w:color w:val="000000"/>
        </w:rPr>
        <w:t xml:space="preserve"> concentration in response to decreased snow cover (Dorrepaal </w:t>
      </w:r>
      <w:r>
        <w:rPr>
          <w:rFonts w:eastAsia="AdvGAR"/>
          <w:color w:val="000000"/>
        </w:rPr>
        <w:t>et al.,</w:t>
      </w:r>
      <w:r w:rsidRPr="002D75EB">
        <w:rPr>
          <w:rFonts w:eastAsia="AdvGAR"/>
          <w:color w:val="000000"/>
        </w:rPr>
        <w:t xml:space="preserve"> 2004; Genet </w:t>
      </w:r>
      <w:r>
        <w:rPr>
          <w:rFonts w:eastAsia="AdvGAR"/>
          <w:color w:val="000000"/>
        </w:rPr>
        <w:t>et al.,</w:t>
      </w:r>
      <w:r w:rsidRPr="002D75EB">
        <w:rPr>
          <w:rFonts w:eastAsia="AdvGAR"/>
          <w:color w:val="000000"/>
        </w:rPr>
        <w:t xml:space="preserve"> 2013; Küttim </w:t>
      </w:r>
      <w:r>
        <w:rPr>
          <w:rFonts w:eastAsia="AdvGAR"/>
          <w:color w:val="000000"/>
        </w:rPr>
        <w:t>et al.,</w:t>
      </w:r>
      <w:r w:rsidRPr="002D75EB">
        <w:rPr>
          <w:rFonts w:eastAsia="AdvGAR"/>
          <w:color w:val="000000"/>
        </w:rPr>
        <w:t xml:space="preserve"> 2017). </w:t>
      </w:r>
    </w:p>
    <w:p w:rsidR="00F24DCC" w:rsidRPr="002D75EB" w:rsidRDefault="00F24DCC" w:rsidP="00F24DCC">
      <w:pPr>
        <w:pStyle w:val="NormalWeb"/>
        <w:spacing w:line="480" w:lineRule="auto"/>
        <w:jc w:val="both"/>
        <w:rPr>
          <w:lang w:val="en-GB"/>
        </w:rPr>
      </w:pPr>
      <w:r w:rsidRPr="002D75EB">
        <w:rPr>
          <w:color w:val="000000"/>
          <w:lang w:val="en-GB"/>
        </w:rPr>
        <w:t>For bryophytes – which cover the majority of the surface layer in most peatlands –  environmental stress can cause damage to the photosynthetic apparatus, decrease photosystem II (PS II) efficiency, and induce photoinhibition (Hajek</w:t>
      </w:r>
      <w:r>
        <w:rPr>
          <w:color w:val="000000"/>
          <w:lang w:val="en-GB"/>
        </w:rPr>
        <w:t>,</w:t>
      </w:r>
      <w:r w:rsidRPr="002D75EB">
        <w:rPr>
          <w:color w:val="000000"/>
          <w:lang w:val="en-GB"/>
        </w:rPr>
        <w:t xml:space="preserve"> 2014; Bjerke </w:t>
      </w:r>
      <w:r>
        <w:rPr>
          <w:color w:val="000000"/>
          <w:lang w:val="en-GB"/>
        </w:rPr>
        <w:t>et al.,</w:t>
      </w:r>
      <w:r w:rsidRPr="002D75EB">
        <w:rPr>
          <w:color w:val="000000"/>
          <w:lang w:val="en-GB"/>
        </w:rPr>
        <w:t xml:space="preserve"> 2016). Such damages may be observed as </w:t>
      </w:r>
      <w:r w:rsidRPr="002D75EB">
        <w:rPr>
          <w:color w:val="000000"/>
          <w:lang w:val="en-GB"/>
        </w:rPr>
        <w:lastRenderedPageBreak/>
        <w:t>reduced chlorophyll fluore</w:t>
      </w:r>
      <w:r>
        <w:rPr>
          <w:color w:val="000000"/>
          <w:lang w:val="en-GB"/>
        </w:rPr>
        <w:t>scence (Fv/Fm) values (Maxwell and</w:t>
      </w:r>
      <w:r w:rsidRPr="002D75EB">
        <w:rPr>
          <w:color w:val="000000"/>
          <w:lang w:val="en-GB"/>
        </w:rPr>
        <w:t xml:space="preserve"> Johnson</w:t>
      </w:r>
      <w:r>
        <w:rPr>
          <w:color w:val="000000"/>
          <w:lang w:val="en-GB"/>
        </w:rPr>
        <w:t>,</w:t>
      </w:r>
      <w:r w:rsidRPr="002D75EB">
        <w:rPr>
          <w:color w:val="000000"/>
          <w:lang w:val="en-GB"/>
        </w:rPr>
        <w:t xml:space="preserve"> 2000) or as changes in the </w:t>
      </w:r>
      <w:r>
        <w:rPr>
          <w:color w:val="000000"/>
          <w:lang w:val="en-GB"/>
        </w:rPr>
        <w:t>amount and stoichiometry of</w:t>
      </w:r>
      <w:r w:rsidRPr="002D75EB">
        <w:rPr>
          <w:color w:val="000000"/>
          <w:lang w:val="en-GB"/>
        </w:rPr>
        <w:t xml:space="preserve"> photosynthetic pigments (Gehrke</w:t>
      </w:r>
      <w:r>
        <w:rPr>
          <w:color w:val="000000"/>
          <w:lang w:val="en-GB"/>
        </w:rPr>
        <w:t>,</w:t>
      </w:r>
      <w:r w:rsidRPr="002D75EB">
        <w:rPr>
          <w:color w:val="000000"/>
          <w:lang w:val="en-GB"/>
        </w:rPr>
        <w:t xml:space="preserve"> 1998</w:t>
      </w:r>
      <w:r>
        <w:rPr>
          <w:color w:val="000000"/>
          <w:lang w:val="en-GB"/>
        </w:rPr>
        <w:t>; Marschall and</w:t>
      </w:r>
      <w:r w:rsidRPr="002D75EB">
        <w:rPr>
          <w:color w:val="000000"/>
          <w:lang w:val="en-GB"/>
        </w:rPr>
        <w:t xml:space="preserve"> Proctor</w:t>
      </w:r>
      <w:r>
        <w:rPr>
          <w:color w:val="000000"/>
          <w:lang w:val="en-GB"/>
        </w:rPr>
        <w:t>,</w:t>
      </w:r>
      <w:r w:rsidRPr="002D75EB">
        <w:rPr>
          <w:color w:val="000000"/>
          <w:lang w:val="en-GB"/>
        </w:rPr>
        <w:t xml:space="preserve"> 2004). Photosynthetic pigments act as energy collectors and are known to protect plants against irreversible photoinhibition (Miidla</w:t>
      </w:r>
      <w:r>
        <w:rPr>
          <w:color w:val="000000"/>
          <w:lang w:val="en-GB"/>
        </w:rPr>
        <w:t>,</w:t>
      </w:r>
      <w:r w:rsidRPr="002D75EB">
        <w:rPr>
          <w:color w:val="000000"/>
          <w:lang w:val="en-GB"/>
        </w:rPr>
        <w:t xml:space="preserve"> 1984; Devi </w:t>
      </w:r>
      <w:r>
        <w:rPr>
          <w:color w:val="000000"/>
          <w:lang w:val="en-GB"/>
        </w:rPr>
        <w:t>et al.,</w:t>
      </w:r>
      <w:r w:rsidRPr="002D75EB">
        <w:rPr>
          <w:color w:val="000000"/>
          <w:lang w:val="en-GB"/>
        </w:rPr>
        <w:t xml:space="preserve"> 2015).</w:t>
      </w:r>
      <w:r>
        <w:rPr>
          <w:color w:val="000000"/>
          <w:lang w:val="en-GB"/>
        </w:rPr>
        <w:t xml:space="preserve"> Carotenoids in particular have the shielding function against photodestruction, but together with chlorophyll-</w:t>
      </w:r>
      <w:r w:rsidRPr="004113A9">
        <w:rPr>
          <w:i/>
          <w:color w:val="000000"/>
          <w:lang w:val="en-GB"/>
        </w:rPr>
        <w:t>b</w:t>
      </w:r>
      <w:r>
        <w:rPr>
          <w:color w:val="000000"/>
          <w:lang w:val="en-GB"/>
        </w:rPr>
        <w:t xml:space="preserve"> also receive the solar energy and transfer it to chlorophyll-</w:t>
      </w:r>
      <w:r w:rsidRPr="004113A9">
        <w:rPr>
          <w:i/>
          <w:color w:val="000000"/>
          <w:lang w:val="en-GB"/>
        </w:rPr>
        <w:t>a</w:t>
      </w:r>
      <w:r>
        <w:rPr>
          <w:color w:val="000000"/>
          <w:lang w:val="en-GB"/>
        </w:rPr>
        <w:t>, the most active photosynthetic pigment, which in addition to energy absorbtion converts it into chemical energy (Miidla, 1984).</w:t>
      </w:r>
      <w:r w:rsidRPr="002D75EB">
        <w:rPr>
          <w:color w:val="000000"/>
          <w:lang w:val="en-GB"/>
        </w:rPr>
        <w:t xml:space="preserve"> While photosynthetic capacity in plants is related to high chlorophyll concentrations </w:t>
      </w:r>
      <w:r w:rsidRPr="002D75EB">
        <w:rPr>
          <w:rFonts w:eastAsia="AdvGAR"/>
          <w:color w:val="000000"/>
          <w:lang w:val="en-GB"/>
        </w:rPr>
        <w:t>(Martin</w:t>
      </w:r>
      <w:r>
        <w:rPr>
          <w:rFonts w:eastAsia="AdvGAR"/>
          <w:color w:val="000000"/>
          <w:lang w:val="en-GB"/>
        </w:rPr>
        <w:t>,</w:t>
      </w:r>
      <w:r w:rsidRPr="002D75EB">
        <w:rPr>
          <w:rFonts w:eastAsia="AdvGAR"/>
          <w:color w:val="000000"/>
          <w:lang w:val="en-GB"/>
        </w:rPr>
        <w:t xml:space="preserve"> 1980; Gaberscik and Martincic</w:t>
      </w:r>
      <w:r>
        <w:rPr>
          <w:rFonts w:eastAsia="AdvGAR"/>
          <w:color w:val="000000"/>
          <w:lang w:val="en-GB"/>
        </w:rPr>
        <w:t>,</w:t>
      </w:r>
      <w:r w:rsidRPr="002D75EB">
        <w:rPr>
          <w:rFonts w:eastAsia="AdvGAR"/>
          <w:color w:val="000000"/>
          <w:lang w:val="en-GB"/>
        </w:rPr>
        <w:t xml:space="preserve"> 1987)</w:t>
      </w:r>
      <w:r w:rsidRPr="002D75EB">
        <w:rPr>
          <w:color w:val="000000"/>
          <w:lang w:val="en-GB"/>
        </w:rPr>
        <w:t xml:space="preserve">, plants may reduce the concentrations of these pigments under environmental stress, such as </w:t>
      </w:r>
      <w:r w:rsidRPr="002D75EB">
        <w:rPr>
          <w:rFonts w:eastAsia="AdvGAR"/>
          <w:color w:val="000000"/>
          <w:lang w:val="en-GB"/>
        </w:rPr>
        <w:t>intense solar radiation, water deficiency and sub-zero temperatures</w:t>
      </w:r>
      <w:r w:rsidRPr="002D75EB">
        <w:rPr>
          <w:color w:val="000000"/>
          <w:lang w:val="en-GB"/>
        </w:rPr>
        <w:t xml:space="preserve"> (Devi </w:t>
      </w:r>
      <w:r>
        <w:rPr>
          <w:color w:val="000000"/>
          <w:lang w:val="en-GB"/>
        </w:rPr>
        <w:t>et al.,</w:t>
      </w:r>
      <w:r w:rsidRPr="002D75EB">
        <w:rPr>
          <w:color w:val="000000"/>
          <w:lang w:val="en-GB"/>
        </w:rPr>
        <w:t xml:space="preserve"> 2015). S</w:t>
      </w:r>
      <w:r w:rsidRPr="002D75EB">
        <w:rPr>
          <w:rFonts w:eastAsia="AdvGAR"/>
          <w:color w:val="000000"/>
          <w:lang w:val="en-GB"/>
        </w:rPr>
        <w:t>pecies of low-light environments tend to have higher chlorophyll concentration and lower chlorophyll-</w:t>
      </w:r>
      <w:r w:rsidRPr="002D75EB">
        <w:rPr>
          <w:rFonts w:eastAsia="AdvGAR"/>
          <w:i/>
          <w:iCs/>
          <w:color w:val="000000"/>
          <w:lang w:val="en-GB"/>
        </w:rPr>
        <w:t>a</w:t>
      </w:r>
      <w:r w:rsidRPr="002D75EB">
        <w:rPr>
          <w:rFonts w:eastAsia="AdvGAR"/>
          <w:color w:val="000000"/>
          <w:lang w:val="en-GB"/>
        </w:rPr>
        <w:t>:</w:t>
      </w:r>
      <w:r w:rsidRPr="002D75EB">
        <w:rPr>
          <w:rFonts w:eastAsia="AdvGAR"/>
          <w:i/>
          <w:iCs/>
          <w:color w:val="000000"/>
          <w:lang w:val="en-GB"/>
        </w:rPr>
        <w:t>b</w:t>
      </w:r>
      <w:r w:rsidRPr="002D75EB">
        <w:rPr>
          <w:rFonts w:eastAsia="AdvGAR"/>
          <w:color w:val="000000"/>
          <w:lang w:val="en-GB"/>
        </w:rPr>
        <w:t xml:space="preserve"> </w:t>
      </w:r>
      <w:r>
        <w:rPr>
          <w:rFonts w:eastAsia="AdvGAR"/>
          <w:color w:val="000000"/>
          <w:lang w:val="en-GB"/>
        </w:rPr>
        <w:t>ratios (Martin, 1980; Marschall and</w:t>
      </w:r>
      <w:r w:rsidRPr="002D75EB">
        <w:rPr>
          <w:rFonts w:eastAsia="AdvGAR"/>
          <w:color w:val="000000"/>
          <w:lang w:val="en-GB"/>
        </w:rPr>
        <w:t xml:space="preserve"> </w:t>
      </w:r>
      <w:r>
        <w:rPr>
          <w:rFonts w:eastAsia="AdvGAR"/>
          <w:color w:val="000000"/>
          <w:lang w:val="en-GB"/>
        </w:rPr>
        <w:t>Proctor,</w:t>
      </w:r>
      <w:r w:rsidRPr="002D75EB">
        <w:rPr>
          <w:rFonts w:eastAsia="AdvGAR"/>
          <w:color w:val="000000"/>
          <w:lang w:val="en-GB"/>
        </w:rPr>
        <w:t xml:space="preserve"> 2004). For these reasons, </w:t>
      </w:r>
      <w:r w:rsidRPr="002D75EB">
        <w:rPr>
          <w:color w:val="000000"/>
          <w:lang w:val="en-GB"/>
        </w:rPr>
        <w:t>the</w:t>
      </w:r>
      <w:r>
        <w:rPr>
          <w:color w:val="000000"/>
          <w:lang w:val="en-GB"/>
        </w:rPr>
        <w:t xml:space="preserve"> concentrations and</w:t>
      </w:r>
      <w:r w:rsidRPr="002D75EB">
        <w:rPr>
          <w:color w:val="000000"/>
          <w:lang w:val="en-GB"/>
        </w:rPr>
        <w:t xml:space="preserve"> stoichiometry of the photosynthetic pigments, together with Fv/Fm may offer a good proxy for the effect of winter climate change on the physiology of peatland bryophytes.</w:t>
      </w:r>
    </w:p>
    <w:p w:rsidR="00F24DCC" w:rsidRPr="002D75EB" w:rsidRDefault="00F24DCC" w:rsidP="00F24DCC">
      <w:pPr>
        <w:pStyle w:val="BodyText"/>
        <w:spacing w:line="480" w:lineRule="auto"/>
        <w:jc w:val="both"/>
        <w:rPr>
          <w:color w:val="000000"/>
        </w:rPr>
      </w:pPr>
      <w:r w:rsidRPr="002D75EB">
        <w:rPr>
          <w:color w:val="000000"/>
        </w:rPr>
        <w:t xml:space="preserve">The majority of studies on the effects of climate change on peatlands have concentrated on bogs. </w:t>
      </w:r>
      <w:r w:rsidRPr="007B5E33">
        <w:rPr>
          <w:color w:val="000000"/>
        </w:rPr>
        <w:t>F</w:t>
      </w:r>
      <w:r w:rsidRPr="002D75EB">
        <w:rPr>
          <w:color w:val="000000"/>
        </w:rPr>
        <w:t>ens, however, are expected to be more prone to higher temperatures and decreasing water tables (</w:t>
      </w:r>
      <w:r w:rsidRPr="002D75EB">
        <w:rPr>
          <w:rFonts w:eastAsia="AdvPTimes" w:cs="AdvPTimes"/>
          <w:color w:val="000000"/>
        </w:rPr>
        <w:t xml:space="preserve">Bridgham </w:t>
      </w:r>
      <w:r>
        <w:rPr>
          <w:rFonts w:eastAsia="AdvPTimes" w:cs="AdvPTimes"/>
          <w:color w:val="000000"/>
        </w:rPr>
        <w:t>et al.,</w:t>
      </w:r>
      <w:r w:rsidRPr="002D75EB">
        <w:rPr>
          <w:rFonts w:eastAsia="AdvPTimes" w:cs="AdvPTimes"/>
          <w:color w:val="000000"/>
        </w:rPr>
        <w:t xml:space="preserve"> 2008</w:t>
      </w:r>
      <w:r w:rsidRPr="002D75EB">
        <w:rPr>
          <w:color w:val="000000"/>
        </w:rPr>
        <w:t xml:space="preserve">). Tufa-forming calcareous spring fens are one of the rarest and most threatened wetland types worldwide (Grootjans </w:t>
      </w:r>
      <w:r>
        <w:rPr>
          <w:color w:val="000000"/>
        </w:rPr>
        <w:t>et al.,</w:t>
      </w:r>
      <w:r w:rsidRPr="002D75EB">
        <w:rPr>
          <w:color w:val="000000"/>
        </w:rPr>
        <w:t xml:space="preserve"> 2005). Tufa – a calcareous sediment (CaCO</w:t>
      </w:r>
      <w:r w:rsidRPr="002D75EB">
        <w:rPr>
          <w:color w:val="000000"/>
          <w:vertAlign w:val="subscript"/>
        </w:rPr>
        <w:t>3</w:t>
      </w:r>
      <w:r w:rsidRPr="002D75EB">
        <w:rPr>
          <w:color w:val="000000"/>
        </w:rPr>
        <w:t>) – precipitates from the calcium carbonate saturated ground waters after they enter the fen through the springs, due to a change in temperature, pressure and pH after flowing out from the limestone cracks into the fen (Pentecost</w:t>
      </w:r>
      <w:r>
        <w:rPr>
          <w:color w:val="000000"/>
        </w:rPr>
        <w:t>,</w:t>
      </w:r>
      <w:r w:rsidRPr="002D75EB">
        <w:rPr>
          <w:color w:val="000000"/>
        </w:rPr>
        <w:t xml:space="preserve"> 1996). As Pleistocene remnants, these </w:t>
      </w:r>
      <w:r w:rsidRPr="002D75EB">
        <w:rPr>
          <w:i/>
          <w:color w:val="000000"/>
        </w:rPr>
        <w:t>coldland communities</w:t>
      </w:r>
      <w:r w:rsidRPr="002D75EB">
        <w:rPr>
          <w:color w:val="000000"/>
        </w:rPr>
        <w:t xml:space="preserve"> (Grootjans </w:t>
      </w:r>
      <w:r>
        <w:rPr>
          <w:color w:val="000000"/>
        </w:rPr>
        <w:t>et al.,</w:t>
      </w:r>
      <w:r w:rsidRPr="002D75EB">
        <w:rPr>
          <w:color w:val="000000"/>
        </w:rPr>
        <w:t xml:space="preserve"> 2005) are likely to be endangered by winter warming. In these ecosystems, the high water table enables the establishment of a diverse and abundant bryophyte layer (Ilomets </w:t>
      </w:r>
      <w:r>
        <w:rPr>
          <w:color w:val="000000"/>
        </w:rPr>
        <w:t>et al.,</w:t>
      </w:r>
      <w:r w:rsidRPr="002D75EB">
        <w:rPr>
          <w:color w:val="000000"/>
        </w:rPr>
        <w:t xml:space="preserve"> 2010), which in turn maintains the moisture and provides a seedbed for numerous vascular plants (Clapham, 1940). The absence of a tree layer exposes the vegetation to periodically high solar radiations and to diurnal temperature variations. Pote</w:t>
      </w:r>
      <w:r>
        <w:rPr>
          <w:color w:val="000000"/>
        </w:rPr>
        <w:t>ntial negative effects of</w:t>
      </w:r>
      <w:r w:rsidRPr="002D75EB">
        <w:rPr>
          <w:color w:val="000000"/>
        </w:rPr>
        <w:t xml:space="preserve"> extreme temperatures and high radiation may </w:t>
      </w:r>
      <w:r w:rsidRPr="002D75EB">
        <w:rPr>
          <w:color w:val="000000"/>
        </w:rPr>
        <w:lastRenderedPageBreak/>
        <w:t>however be alleviated by the continuous inflow of calcium-rich spring water that provides hydration for bryophytes that grow in hol</w:t>
      </w:r>
      <w:r>
        <w:rPr>
          <w:color w:val="000000"/>
        </w:rPr>
        <w:t>lows (i.e.</w:t>
      </w:r>
      <w:r w:rsidRPr="002D75EB">
        <w:rPr>
          <w:color w:val="000000"/>
        </w:rPr>
        <w:t xml:space="preserve"> wet depressions), and can keep the habitat ice-free around the year (Paal</w:t>
      </w:r>
      <w:r>
        <w:rPr>
          <w:color w:val="000000"/>
        </w:rPr>
        <w:t>,</w:t>
      </w:r>
      <w:r w:rsidRPr="002D75EB">
        <w:rPr>
          <w:color w:val="000000"/>
        </w:rPr>
        <w:t xml:space="preserve"> 2004). While calcareous spring fens are recognized as diversity hotspots (Grootjans </w:t>
      </w:r>
      <w:r>
        <w:rPr>
          <w:color w:val="000000"/>
        </w:rPr>
        <w:t>et al.,</w:t>
      </w:r>
      <w:r w:rsidRPr="002D75EB">
        <w:rPr>
          <w:color w:val="000000"/>
        </w:rPr>
        <w:t xml:space="preserve"> 2005), little is known about the consequences of projected changes in winter conditions on these plant communities. </w:t>
      </w:r>
    </w:p>
    <w:p w:rsidR="00F24DCC" w:rsidRPr="002D75EB" w:rsidRDefault="00F24DCC" w:rsidP="00F24DCC">
      <w:pPr>
        <w:pStyle w:val="BodyText"/>
        <w:spacing w:line="480" w:lineRule="auto"/>
        <w:jc w:val="both"/>
        <w:rPr>
          <w:rFonts w:eastAsia="AdvGAR"/>
          <w:color w:val="000000"/>
        </w:rPr>
      </w:pPr>
      <w:r w:rsidRPr="002D75EB">
        <w:rPr>
          <w:color w:val="000000"/>
        </w:rPr>
        <w:t xml:space="preserve">Here we assess the response in the physiological performance of the dominant bryophyte species in tufa-forming spring fens to various environmental factors across seasons, and test how they are altered by an experimental change in winter conditions (i.e. snow removal). Over one year, chlorophyll fluorescence (Fv/Fm) rates and photosynthetic pigment concentrations were measured from </w:t>
      </w:r>
      <w:r w:rsidRPr="002D75EB">
        <w:rPr>
          <w:i/>
          <w:iCs/>
          <w:color w:val="000000"/>
        </w:rPr>
        <w:t>Campylium</w:t>
      </w:r>
      <w:r w:rsidRPr="002D75EB">
        <w:rPr>
          <w:i/>
          <w:color w:val="000000"/>
        </w:rPr>
        <w:t xml:space="preserve"> stellatum</w:t>
      </w:r>
      <w:r w:rsidRPr="002D75EB">
        <w:rPr>
          <w:color w:val="000000"/>
        </w:rPr>
        <w:t xml:space="preserve"> and </w:t>
      </w:r>
      <w:r w:rsidRPr="002D75EB">
        <w:rPr>
          <w:i/>
          <w:iCs/>
          <w:color w:val="000000"/>
        </w:rPr>
        <w:t>Scorpidium</w:t>
      </w:r>
      <w:r w:rsidRPr="002D75EB">
        <w:rPr>
          <w:i/>
          <w:color w:val="000000"/>
        </w:rPr>
        <w:t xml:space="preserve"> scorpioides</w:t>
      </w:r>
      <w:r w:rsidRPr="002D75EB">
        <w:rPr>
          <w:color w:val="000000"/>
        </w:rPr>
        <w:t>, the dominant bryophyte species in these systems. The relationship between  environmental conditions and these phy</w:t>
      </w:r>
      <w:r>
        <w:rPr>
          <w:color w:val="000000"/>
        </w:rPr>
        <w:t>s</w:t>
      </w:r>
      <w:r w:rsidRPr="002D75EB">
        <w:rPr>
          <w:color w:val="000000"/>
        </w:rPr>
        <w:t xml:space="preserve">iological traits were analysed. We hypothesize that in winter and spring the concentration of photosynthetic pigments is lower and the physiological stress of bryophytes, indicated by a low Fv/Fm, is higher as compared to summer and autumn. </w:t>
      </w:r>
      <w:r w:rsidRPr="002D75EB">
        <w:rPr>
          <w:rFonts w:eastAsia="AdvGAR"/>
          <w:color w:val="000000"/>
        </w:rPr>
        <w:t>Secondly,</w:t>
      </w:r>
      <w:r w:rsidRPr="002D75EB">
        <w:rPr>
          <w:color w:val="000000"/>
        </w:rPr>
        <w:t xml:space="preserve"> we performed a snow manipulation experiment to simulate a decrease in snow cover due to winter climate change. We hypothesize that the removal of the snow cover subjects the plant community to subzero-temperatures, resulting in physiological stress and negative impacts on the chlorophyll concentration in bryophytes. The duration of the possible effect of that treatment is assessed over the growing season.</w:t>
      </w:r>
    </w:p>
    <w:p w:rsidR="00F24DCC" w:rsidRPr="002D75EB" w:rsidRDefault="00F24DCC" w:rsidP="00F24DCC">
      <w:pPr>
        <w:pStyle w:val="Heading1"/>
        <w:spacing w:line="480" w:lineRule="auto"/>
      </w:pPr>
      <w:r>
        <w:t xml:space="preserve">2. </w:t>
      </w:r>
      <w:r w:rsidRPr="002D75EB">
        <w:t>MATERIALS AND METHODS</w:t>
      </w:r>
    </w:p>
    <w:p w:rsidR="00F24DCC" w:rsidRPr="002D75EB" w:rsidRDefault="00F24DCC" w:rsidP="00F24DCC">
      <w:pPr>
        <w:pStyle w:val="Heading2"/>
        <w:spacing w:line="480" w:lineRule="auto"/>
      </w:pPr>
      <w:r>
        <w:t xml:space="preserve">2.1. </w:t>
      </w:r>
      <w:r w:rsidRPr="002D75EB">
        <w:t>Study site</w:t>
      </w:r>
    </w:p>
    <w:p w:rsidR="00F24DCC" w:rsidRPr="002D75EB" w:rsidRDefault="00F24DCC" w:rsidP="00F24DCC">
      <w:pPr>
        <w:pStyle w:val="BodyText"/>
        <w:spacing w:line="480" w:lineRule="auto"/>
        <w:jc w:val="both"/>
        <w:rPr>
          <w:color w:val="000000"/>
        </w:rPr>
      </w:pPr>
      <w:r w:rsidRPr="002D75EB">
        <w:rPr>
          <w:color w:val="000000"/>
        </w:rPr>
        <w:t>The study site – an open calcareous-rich spring fen with a tufa (CaCO</w:t>
      </w:r>
      <w:r w:rsidRPr="002D75EB">
        <w:rPr>
          <w:color w:val="000000"/>
          <w:vertAlign w:val="subscript"/>
        </w:rPr>
        <w:t>3</w:t>
      </w:r>
      <w:r w:rsidRPr="002D75EB">
        <w:rPr>
          <w:color w:val="000000"/>
        </w:rPr>
        <w:t xml:space="preserve">) precipitation – is located in the north-eastern part of Paraspõllu fen (N 59° 18´; E 25° 7´; altitude 41.5 m asl). The fen is located in the Paraspõllu Nature Reserve (253 ha), a Natura 2000 site situated in the south-eastern part of the larger Peningi mire complex (7552 ha), N-Estonia (Fig. 1). The water table at the site is near the </w:t>
      </w:r>
      <w:r w:rsidRPr="002D75EB">
        <w:rPr>
          <w:color w:val="000000"/>
        </w:rPr>
        <w:lastRenderedPageBreak/>
        <w:t>surface, with a small annual fluctuation (&lt;10 cm), and negligible microtopography (c. 25 cm max.). pH of the water is slightly alkaline (c. 7.8) and electric conductivity ~200 μS·cm</w:t>
      </w:r>
      <w:r w:rsidRPr="002D75EB">
        <w:rPr>
          <w:color w:val="000000"/>
          <w:vertAlign w:val="superscript"/>
        </w:rPr>
        <w:t>-1</w:t>
      </w:r>
      <w:r w:rsidRPr="002D75EB">
        <w:rPr>
          <w:color w:val="000000"/>
        </w:rPr>
        <w:t xml:space="preserve">. These conditions enable the distribution of tufa across the site. The vascular plant vegetation is dominated by sedges, of which </w:t>
      </w:r>
      <w:r w:rsidRPr="002D75EB">
        <w:rPr>
          <w:i/>
          <w:iCs/>
          <w:color w:val="000000"/>
        </w:rPr>
        <w:t xml:space="preserve">Carex panicea </w:t>
      </w:r>
      <w:r w:rsidRPr="002D75EB">
        <w:rPr>
          <w:iCs/>
          <w:color w:val="000000"/>
        </w:rPr>
        <w:t>L. is the most dominant.</w:t>
      </w:r>
      <w:r w:rsidRPr="002D75EB">
        <w:rPr>
          <w:color w:val="000000"/>
        </w:rPr>
        <w:t xml:space="preserve"> </w:t>
      </w:r>
      <w:r w:rsidRPr="002D75EB">
        <w:rPr>
          <w:i/>
          <w:iCs/>
          <w:color w:val="000000"/>
        </w:rPr>
        <w:t>Schoenus ferrugineus</w:t>
      </w:r>
      <w:r w:rsidRPr="002D75EB">
        <w:rPr>
          <w:color w:val="000000"/>
        </w:rPr>
        <w:t xml:space="preserve"> L. and </w:t>
      </w:r>
      <w:r w:rsidRPr="002D75EB">
        <w:rPr>
          <w:i/>
          <w:iCs/>
          <w:color w:val="000000"/>
        </w:rPr>
        <w:t xml:space="preserve">Menyanthes trifoliata </w:t>
      </w:r>
      <w:r w:rsidRPr="002D75EB">
        <w:rPr>
          <w:iCs/>
          <w:color w:val="000000"/>
        </w:rPr>
        <w:t>L.</w:t>
      </w:r>
      <w:r w:rsidRPr="002D75EB">
        <w:rPr>
          <w:color w:val="000000"/>
        </w:rPr>
        <w:t xml:space="preserve"> commonly occur in the system. The bryophyte layer is dominated by </w:t>
      </w:r>
      <w:r w:rsidRPr="002D75EB">
        <w:rPr>
          <w:i/>
          <w:iCs/>
          <w:color w:val="000000"/>
        </w:rPr>
        <w:t xml:space="preserve">Campylium stellatum </w:t>
      </w:r>
      <w:r w:rsidRPr="002D75EB">
        <w:rPr>
          <w:rFonts w:eastAsia="AdvGAR"/>
          <w:color w:val="000000"/>
        </w:rPr>
        <w:t>(Hedw.) Lange &amp; C. E. O. Jensen</w:t>
      </w:r>
      <w:r w:rsidRPr="002D75EB">
        <w:rPr>
          <w:i/>
          <w:iCs/>
          <w:color w:val="000000"/>
        </w:rPr>
        <w:t xml:space="preserve">, Scorpidium scorpioides </w:t>
      </w:r>
      <w:r w:rsidRPr="002D75EB">
        <w:rPr>
          <w:rFonts w:eastAsia="AdvGAR"/>
          <w:color w:val="000000"/>
        </w:rPr>
        <w:t>(Hedw.) Limpr.</w:t>
      </w:r>
      <w:r w:rsidRPr="002D75EB">
        <w:rPr>
          <w:i/>
          <w:iCs/>
          <w:color w:val="000000"/>
        </w:rPr>
        <w:t>, S. cossonii</w:t>
      </w:r>
      <w:r w:rsidRPr="002D75EB">
        <w:rPr>
          <w:color w:val="000000"/>
        </w:rPr>
        <w:t xml:space="preserve"> (Schimp.) Loeske and </w:t>
      </w:r>
      <w:r w:rsidRPr="002D75EB">
        <w:rPr>
          <w:i/>
          <w:iCs/>
          <w:color w:val="000000"/>
        </w:rPr>
        <w:t xml:space="preserve">Meesia triquetra </w:t>
      </w:r>
      <w:r w:rsidRPr="002D75EB">
        <w:rPr>
          <w:iCs/>
          <w:color w:val="000000"/>
        </w:rPr>
        <w:t>(L. ex Jolycl.) Ångstr.</w:t>
      </w:r>
      <w:r w:rsidRPr="002D75EB">
        <w:rPr>
          <w:color w:val="000000"/>
        </w:rPr>
        <w:t xml:space="preserve"> We focus on </w:t>
      </w:r>
      <w:r w:rsidRPr="002D75EB">
        <w:rPr>
          <w:i/>
          <w:iCs/>
          <w:color w:val="000000"/>
        </w:rPr>
        <w:t>C. stellatum</w:t>
      </w:r>
      <w:r w:rsidRPr="002D75EB">
        <w:rPr>
          <w:color w:val="000000"/>
        </w:rPr>
        <w:t xml:space="preserve"> and </w:t>
      </w:r>
      <w:r w:rsidRPr="002D75EB">
        <w:rPr>
          <w:i/>
          <w:iCs/>
          <w:color w:val="000000"/>
        </w:rPr>
        <w:t xml:space="preserve">S. scorpioides, </w:t>
      </w:r>
      <w:r w:rsidRPr="002D75EB">
        <w:rPr>
          <w:iCs/>
          <w:color w:val="000000"/>
        </w:rPr>
        <w:t>which both have a boreal distribution (Rikkinen</w:t>
      </w:r>
      <w:r>
        <w:rPr>
          <w:iCs/>
          <w:color w:val="000000"/>
        </w:rPr>
        <w:t>,</w:t>
      </w:r>
      <w:r w:rsidRPr="002D75EB">
        <w:rPr>
          <w:iCs/>
          <w:color w:val="000000"/>
        </w:rPr>
        <w:t xml:space="preserve"> 2008), and</w:t>
      </w:r>
      <w:r w:rsidRPr="002D75EB">
        <w:rPr>
          <w:color w:val="000000"/>
        </w:rPr>
        <w:t xml:space="preserve"> are representatives of the low hummock and wet hollow microhabitats, repectively. A full list of plant species (Ilomets </w:t>
      </w:r>
      <w:r>
        <w:rPr>
          <w:color w:val="000000"/>
        </w:rPr>
        <w:t>et al.,</w:t>
      </w:r>
      <w:r w:rsidRPr="002D75EB">
        <w:rPr>
          <w:color w:val="000000"/>
        </w:rPr>
        <w:t xml:space="preserve"> 2010) is given in the Appendix 1.</w:t>
      </w:r>
    </w:p>
    <w:p w:rsidR="00F24DCC" w:rsidRPr="002D75EB" w:rsidRDefault="00F24DCC" w:rsidP="00F24DCC">
      <w:pPr>
        <w:pStyle w:val="Heading2"/>
        <w:spacing w:line="480" w:lineRule="auto"/>
      </w:pPr>
      <w:r>
        <w:t xml:space="preserve">2.2. </w:t>
      </w:r>
      <w:r w:rsidRPr="002D75EB">
        <w:t>Experimental design</w:t>
      </w:r>
    </w:p>
    <w:p w:rsidR="00F24DCC" w:rsidRPr="002D75EB" w:rsidRDefault="00F24DCC" w:rsidP="00F24DCC">
      <w:pPr>
        <w:pStyle w:val="BodyText"/>
        <w:spacing w:line="480" w:lineRule="auto"/>
        <w:jc w:val="both"/>
        <w:rPr>
          <w:color w:val="000000"/>
        </w:rPr>
      </w:pPr>
      <w:r w:rsidRPr="002D75EB">
        <w:rPr>
          <w:color w:val="000000"/>
        </w:rPr>
        <w:t xml:space="preserve">We established 28 experimental plots (Ø = 50 cm) with either </w:t>
      </w:r>
      <w:r w:rsidRPr="002D75EB">
        <w:rPr>
          <w:i/>
          <w:iCs/>
          <w:color w:val="000000"/>
        </w:rPr>
        <w:t>C. stellatum</w:t>
      </w:r>
      <w:r w:rsidRPr="002D75EB">
        <w:rPr>
          <w:color w:val="000000"/>
        </w:rPr>
        <w:t xml:space="preserve"> (n =14) or </w:t>
      </w:r>
      <w:r w:rsidRPr="002D75EB">
        <w:rPr>
          <w:i/>
          <w:iCs/>
          <w:color w:val="000000"/>
        </w:rPr>
        <w:t>S. scorpioides</w:t>
      </w:r>
      <w:r w:rsidRPr="002D75EB">
        <w:rPr>
          <w:color w:val="000000"/>
        </w:rPr>
        <w:t xml:space="preserve"> (n = 14) as the dominant bryophyte species (i.e. ≥ 90% cover of the bryophyte layer), along a 100 m transect in the center of the study area (Fig. 1). While larger and loosely growing </w:t>
      </w:r>
      <w:r w:rsidRPr="002D75EB">
        <w:rPr>
          <w:i/>
          <w:iCs/>
        </w:rPr>
        <w:t>S. scorpioides</w:t>
      </w:r>
      <w:r w:rsidRPr="002D75EB">
        <w:rPr>
          <w:color w:val="000000"/>
        </w:rPr>
        <w:t xml:space="preserve"> prefers flooded hollows, </w:t>
      </w:r>
      <w:r w:rsidRPr="002D75EB">
        <w:rPr>
          <w:i/>
        </w:rPr>
        <w:t>C. stellatum</w:t>
      </w:r>
      <w:r w:rsidRPr="002D75EB">
        <w:rPr>
          <w:color w:val="000000"/>
        </w:rPr>
        <w:t xml:space="preserve"> with small and compactly growing shoots can mostly be found from low hummocks. Specifically, the relative height of the microforms above the water table (H) ranged from –1  to 10 cm in </w:t>
      </w:r>
      <w:r w:rsidRPr="002D75EB">
        <w:rPr>
          <w:i/>
        </w:rPr>
        <w:t>C. stellatum</w:t>
      </w:r>
      <w:r w:rsidRPr="002D75EB">
        <w:rPr>
          <w:color w:val="000000"/>
        </w:rPr>
        <w:t xml:space="preserve"> plots (H</w:t>
      </w:r>
      <w:r w:rsidRPr="002D75EB">
        <w:rPr>
          <w:color w:val="000000"/>
          <w:vertAlign w:val="subscript"/>
        </w:rPr>
        <w:t>mean</w:t>
      </w:r>
      <w:r w:rsidRPr="002D75EB">
        <w:rPr>
          <w:color w:val="000000"/>
        </w:rPr>
        <w:t xml:space="preserve"> = 4.5 ± 3.9 cm), and from –9 to 5 cm in </w:t>
      </w:r>
      <w:r w:rsidRPr="002D75EB">
        <w:rPr>
          <w:i/>
          <w:iCs/>
        </w:rPr>
        <w:t>S. scorpioides</w:t>
      </w:r>
      <w:r w:rsidRPr="002D75EB">
        <w:rPr>
          <w:color w:val="000000"/>
        </w:rPr>
        <w:t xml:space="preserve"> plots (H</w:t>
      </w:r>
      <w:r w:rsidRPr="002D75EB">
        <w:rPr>
          <w:color w:val="000000"/>
          <w:vertAlign w:val="subscript"/>
        </w:rPr>
        <w:t>mean</w:t>
      </w:r>
      <w:r w:rsidRPr="002D75EB">
        <w:rPr>
          <w:color w:val="000000"/>
        </w:rPr>
        <w:t xml:space="preserve"> = 0.2 ± 4.5 cm). Per species, three replicates were assigned to the snow removal experiment. These plots were kept snow-free throughout the winter period, by careful removal (i.e. brushing off) of snow prior to each sampling and measurement campaign.</w:t>
      </w:r>
    </w:p>
    <w:p w:rsidR="00F24DCC" w:rsidRPr="002D75EB" w:rsidRDefault="00F24DCC" w:rsidP="00F24DCC">
      <w:pPr>
        <w:pStyle w:val="Heading2"/>
        <w:spacing w:line="480" w:lineRule="auto"/>
      </w:pPr>
      <w:r>
        <w:t xml:space="preserve">2.3. </w:t>
      </w:r>
      <w:r w:rsidRPr="002D75EB">
        <w:t>Bryophyte ecophysiological traits</w:t>
      </w:r>
    </w:p>
    <w:p w:rsidR="00F24DCC" w:rsidRPr="002D75EB" w:rsidRDefault="00F24DCC" w:rsidP="00F24DCC">
      <w:pPr>
        <w:pStyle w:val="BodyText"/>
        <w:spacing w:line="480" w:lineRule="auto"/>
        <w:jc w:val="both"/>
        <w:rPr>
          <w:color w:val="000000"/>
        </w:rPr>
      </w:pPr>
      <w:r w:rsidRPr="002D75EB">
        <w:rPr>
          <w:color w:val="000000"/>
        </w:rPr>
        <w:t>During the study period (October 2013 – October 2014; 387 days), we measured chlorophyll fluorescence (F</w:t>
      </w:r>
      <w:r w:rsidRPr="002D75EB">
        <w:rPr>
          <w:color w:val="000000"/>
          <w:vertAlign w:val="subscript"/>
        </w:rPr>
        <w:t>v</w:t>
      </w:r>
      <w:r w:rsidRPr="002D75EB">
        <w:rPr>
          <w:color w:val="000000"/>
        </w:rPr>
        <w:t>/F</w:t>
      </w:r>
      <w:r w:rsidRPr="002D75EB">
        <w:rPr>
          <w:color w:val="000000"/>
          <w:vertAlign w:val="subscript"/>
        </w:rPr>
        <w:t>m</w:t>
      </w:r>
      <w:r w:rsidRPr="002D75EB">
        <w:rPr>
          <w:color w:val="000000"/>
        </w:rPr>
        <w:t>) – a measure of the maximum quantum yield of the photosystem II</w:t>
      </w:r>
      <w:r>
        <w:rPr>
          <w:color w:val="000000"/>
        </w:rPr>
        <w:t xml:space="preserve"> (PSII)</w:t>
      </w:r>
      <w:r w:rsidRPr="002D75EB">
        <w:rPr>
          <w:color w:val="000000"/>
        </w:rPr>
        <w:t xml:space="preserve"> – and chlorophyll contents. Chlorophyll fluorescence measurements were performed on the apical parts of five bryophyte shoots from each plot roughly every third week</w:t>
      </w:r>
      <w:r>
        <w:rPr>
          <w:color w:val="000000"/>
        </w:rPr>
        <w:t xml:space="preserve"> during all day</w:t>
      </w:r>
      <w:r w:rsidRPr="002D75EB">
        <w:rPr>
          <w:color w:val="000000"/>
        </w:rPr>
        <w:t xml:space="preserve">, using a fluorometer </w:t>
      </w:r>
      <w:r w:rsidRPr="002D75EB">
        <w:rPr>
          <w:color w:val="000000"/>
        </w:rPr>
        <w:lastRenderedPageBreak/>
        <w:t>(Hansatech Handy PEA, England). F</w:t>
      </w:r>
      <w:r w:rsidRPr="002D75EB">
        <w:rPr>
          <w:color w:val="000000"/>
          <w:vertAlign w:val="subscript"/>
        </w:rPr>
        <w:t>v</w:t>
      </w:r>
      <w:r w:rsidRPr="002D75EB">
        <w:rPr>
          <w:color w:val="000000"/>
        </w:rPr>
        <w:t xml:space="preserve"> was calculated as a difference between the maximum and minimum fluorescence yield (F</w:t>
      </w:r>
      <w:r w:rsidRPr="002D75EB">
        <w:rPr>
          <w:color w:val="000000"/>
          <w:vertAlign w:val="subscript"/>
        </w:rPr>
        <w:t>m</w:t>
      </w:r>
      <w:r w:rsidRPr="002D75EB">
        <w:rPr>
          <w:color w:val="000000"/>
        </w:rPr>
        <w:t xml:space="preserve"> – F</w:t>
      </w:r>
      <w:r w:rsidRPr="002D75EB">
        <w:rPr>
          <w:color w:val="000000"/>
          <w:vertAlign w:val="subscript"/>
        </w:rPr>
        <w:t>0</w:t>
      </w:r>
      <w:r w:rsidRPr="002D75EB">
        <w:rPr>
          <w:color w:val="000000"/>
        </w:rPr>
        <w:t>), after which the maximum quantum yield of PSII was calculated as F</w:t>
      </w:r>
      <w:r w:rsidRPr="002D75EB">
        <w:rPr>
          <w:color w:val="000000"/>
          <w:vertAlign w:val="subscript"/>
        </w:rPr>
        <w:t>v</w:t>
      </w:r>
      <w:r w:rsidRPr="002D75EB">
        <w:rPr>
          <w:color w:val="000000"/>
        </w:rPr>
        <w:t>/F</w:t>
      </w:r>
      <w:r w:rsidRPr="002D75EB">
        <w:rPr>
          <w:color w:val="000000"/>
          <w:vertAlign w:val="subscript"/>
        </w:rPr>
        <w:t>m</w:t>
      </w:r>
      <w:r>
        <w:rPr>
          <w:color w:val="000000"/>
        </w:rPr>
        <w:t xml:space="preserve"> (Maxwell and</w:t>
      </w:r>
      <w:r w:rsidRPr="002D75EB">
        <w:rPr>
          <w:color w:val="000000"/>
        </w:rPr>
        <w:t xml:space="preserve"> Johnson</w:t>
      </w:r>
      <w:r>
        <w:rPr>
          <w:color w:val="000000"/>
        </w:rPr>
        <w:t>,</w:t>
      </w:r>
      <w:r w:rsidRPr="002D75EB">
        <w:rPr>
          <w:color w:val="000000"/>
        </w:rPr>
        <w:t xml:space="preserve"> 2000). The saturation pulse was 3 s, with an intensity of 3000 μmol m</w:t>
      </w:r>
      <w:r w:rsidRPr="002D75EB">
        <w:rPr>
          <w:color w:val="000000"/>
          <w:vertAlign w:val="superscript"/>
        </w:rPr>
        <w:t>-2</w:t>
      </w:r>
      <w:r w:rsidRPr="002D75EB">
        <w:rPr>
          <w:color w:val="000000"/>
        </w:rPr>
        <w:t xml:space="preserve"> sec</w:t>
      </w:r>
      <w:r w:rsidRPr="002D75EB">
        <w:rPr>
          <w:color w:val="000000"/>
          <w:vertAlign w:val="superscript"/>
        </w:rPr>
        <w:t>-1</w:t>
      </w:r>
      <w:r w:rsidRPr="002D75EB">
        <w:rPr>
          <w:color w:val="000000"/>
        </w:rPr>
        <w:t>. All bryophyte shoots were dark adapted prior to the measur</w:t>
      </w:r>
      <w:r>
        <w:rPr>
          <w:color w:val="000000"/>
        </w:rPr>
        <w:t>e</w:t>
      </w:r>
      <w:r w:rsidRPr="002D75EB">
        <w:rPr>
          <w:color w:val="000000"/>
        </w:rPr>
        <w:t xml:space="preserve">ments. Time for dark adaptation varied between 5 min in winter to 30 mins in summer, and was defined by pre-measurement trials. </w:t>
      </w:r>
    </w:p>
    <w:p w:rsidR="00F24DCC" w:rsidRPr="002D75EB" w:rsidRDefault="00F24DCC" w:rsidP="00F24DCC">
      <w:pPr>
        <w:pStyle w:val="BodyText"/>
        <w:spacing w:line="480" w:lineRule="auto"/>
        <w:jc w:val="both"/>
        <w:rPr>
          <w:color w:val="000000"/>
        </w:rPr>
      </w:pPr>
      <w:r w:rsidRPr="002D75EB">
        <w:rPr>
          <w:color w:val="000000"/>
        </w:rPr>
        <w:t>To measure chlorophyll concentrations, bryophytes were collected from the snow removal treatments, and its corresponding controls (n =3), at each F</w:t>
      </w:r>
      <w:r w:rsidRPr="002D75EB">
        <w:rPr>
          <w:color w:val="000000"/>
          <w:vertAlign w:val="subscript"/>
        </w:rPr>
        <w:t>v</w:t>
      </w:r>
      <w:r w:rsidRPr="002D75EB">
        <w:rPr>
          <w:color w:val="000000"/>
        </w:rPr>
        <w:t>/F</w:t>
      </w:r>
      <w:r w:rsidRPr="002D75EB">
        <w:rPr>
          <w:color w:val="000000"/>
          <w:vertAlign w:val="subscript"/>
        </w:rPr>
        <w:t>m</w:t>
      </w:r>
      <w:r w:rsidRPr="002D75EB">
        <w:rPr>
          <w:color w:val="000000"/>
        </w:rPr>
        <w:t xml:space="preserve"> measurement campaign. These samples were kept dark, and subsequently stored at -24°C. Analyses were performed within two weeks after collection. Chlorophyll-</w:t>
      </w:r>
      <w:r w:rsidRPr="002D75EB">
        <w:rPr>
          <w:i/>
          <w:color w:val="000000"/>
        </w:rPr>
        <w:t>a</w:t>
      </w:r>
      <w:r w:rsidRPr="002D75EB">
        <w:rPr>
          <w:color w:val="000000"/>
        </w:rPr>
        <w:t xml:space="preserve"> (Ch-</w:t>
      </w:r>
      <w:r w:rsidRPr="002D75EB">
        <w:rPr>
          <w:i/>
          <w:color w:val="000000"/>
        </w:rPr>
        <w:t>a</w:t>
      </w:r>
      <w:r w:rsidRPr="002D75EB">
        <w:rPr>
          <w:color w:val="000000"/>
        </w:rPr>
        <w:t>), chlorophyll-</w:t>
      </w:r>
      <w:r w:rsidRPr="002D75EB">
        <w:rPr>
          <w:i/>
          <w:color w:val="000000"/>
        </w:rPr>
        <w:t>b</w:t>
      </w:r>
      <w:r w:rsidRPr="002D75EB">
        <w:rPr>
          <w:color w:val="000000"/>
        </w:rPr>
        <w:t xml:space="preserve"> (Ch-</w:t>
      </w:r>
      <w:r w:rsidRPr="002D75EB">
        <w:rPr>
          <w:i/>
          <w:color w:val="000000"/>
        </w:rPr>
        <w:t>b</w:t>
      </w:r>
      <w:r w:rsidRPr="002D75EB">
        <w:rPr>
          <w:color w:val="000000"/>
        </w:rPr>
        <w:t xml:space="preserve">), total chlorophyll (Ch) and total carotenoid (Car) concentrations from apical (0-1 cm) bryophyte segments were determined by the standard 80% acetone method (Porra </w:t>
      </w:r>
      <w:r>
        <w:rPr>
          <w:color w:val="000000"/>
        </w:rPr>
        <w:t>et al.,</w:t>
      </w:r>
      <w:r w:rsidRPr="002D75EB">
        <w:rPr>
          <w:color w:val="000000"/>
        </w:rPr>
        <w:t xml:space="preserve"> 1989). Briefly, the</w:t>
      </w:r>
      <w:r>
        <w:rPr>
          <w:color w:val="000000"/>
        </w:rPr>
        <w:t xml:space="preserve"> frozen </w:t>
      </w:r>
      <w:r w:rsidRPr="002D75EB">
        <w:rPr>
          <w:color w:val="000000"/>
        </w:rPr>
        <w:t>bryophyte samples were ground in quarz sand and buffer-acetone (1:4, 10 mM) solution, centrifuged (Kubota 5400, Tokyo, Japan) 6000x·min</w:t>
      </w:r>
      <w:r w:rsidRPr="002D75EB">
        <w:rPr>
          <w:color w:val="000000"/>
          <w:vertAlign w:val="superscript"/>
        </w:rPr>
        <w:t>-1</w:t>
      </w:r>
      <w:r w:rsidRPr="002D75EB">
        <w:rPr>
          <w:color w:val="000000"/>
        </w:rPr>
        <w:t xml:space="preserve"> for 30 min, and measured spectrophotometrically (Shimadzu UV-1800, Japan) at 470 nm, 647 nm, 664 nm and 750 nm. Pigment concentrations were calculated according to Porra </w:t>
      </w:r>
      <w:r>
        <w:rPr>
          <w:color w:val="000000"/>
        </w:rPr>
        <w:t>et al.</w:t>
      </w:r>
      <w:r w:rsidRPr="002D75EB">
        <w:rPr>
          <w:color w:val="000000"/>
        </w:rPr>
        <w:t xml:space="preserve"> (1989). </w:t>
      </w:r>
    </w:p>
    <w:p w:rsidR="00F24DCC" w:rsidRPr="002D75EB" w:rsidRDefault="00F24DCC" w:rsidP="00F24DCC">
      <w:pPr>
        <w:pStyle w:val="Heading2"/>
        <w:spacing w:line="480" w:lineRule="auto"/>
      </w:pPr>
      <w:r>
        <w:t xml:space="preserve">2.4. </w:t>
      </w:r>
      <w:r w:rsidRPr="002D75EB">
        <w:t>Environmental data</w:t>
      </w:r>
    </w:p>
    <w:p w:rsidR="00F24DCC" w:rsidRPr="002D75EB" w:rsidRDefault="00F24DCC" w:rsidP="00F24DCC">
      <w:pPr>
        <w:pStyle w:val="BodyText"/>
        <w:spacing w:line="480" w:lineRule="auto"/>
        <w:jc w:val="both"/>
        <w:rPr>
          <w:color w:val="000000"/>
        </w:rPr>
      </w:pPr>
      <w:r w:rsidRPr="002D75EB">
        <w:rPr>
          <w:color w:val="000000"/>
        </w:rPr>
        <w:t>We measured several environmental parameters during the measurement period to analyse against the ecophysiological traits of the bryophytes. The cloudiness of the sky was estimated visually. Air temperature (T</w:t>
      </w:r>
      <w:r w:rsidRPr="002D75EB">
        <w:rPr>
          <w:color w:val="000000"/>
          <w:vertAlign w:val="subscript"/>
        </w:rPr>
        <w:t>air</w:t>
      </w:r>
      <w:r w:rsidRPr="002D75EB">
        <w:rPr>
          <w:color w:val="000000"/>
        </w:rPr>
        <w:t>) was measured at each measument campaign (i.e. every three weeks) at 1.5 m height above each plot. In parallel, temperature of the bryophyte surface (T</w:t>
      </w:r>
      <w:r w:rsidRPr="002D75EB">
        <w:rPr>
          <w:color w:val="000000"/>
          <w:vertAlign w:val="subscript"/>
        </w:rPr>
        <w:t>S</w:t>
      </w:r>
      <w:r w:rsidRPr="002D75EB">
        <w:rPr>
          <w:color w:val="000000"/>
        </w:rPr>
        <w:t>) was measured at five locations in each plot (IF-thermometer Laserliner CondenseSpot Pro, Germany). These values were averaged to get a plot-level T</w:t>
      </w:r>
      <w:r w:rsidRPr="002D75EB">
        <w:rPr>
          <w:color w:val="000000"/>
          <w:vertAlign w:val="subscript"/>
        </w:rPr>
        <w:t>S</w:t>
      </w:r>
      <w:r w:rsidRPr="002D75EB">
        <w:rPr>
          <w:color w:val="000000"/>
        </w:rPr>
        <w:t>-value. In case of a snow cover, T</w:t>
      </w:r>
      <w:r w:rsidRPr="002D75EB">
        <w:rPr>
          <w:color w:val="000000"/>
          <w:vertAlign w:val="subscript"/>
        </w:rPr>
        <w:t>S</w:t>
      </w:r>
      <w:r w:rsidRPr="002D75EB">
        <w:rPr>
          <w:color w:val="000000"/>
        </w:rPr>
        <w:t xml:space="preserve"> was measured by a syringe thermometer (Testo 905-T2). By a laboratory testing we made sure that the values of the two thermometers were in line.</w:t>
      </w:r>
    </w:p>
    <w:p w:rsidR="00F24DCC" w:rsidRPr="002D75EB" w:rsidRDefault="00F24DCC" w:rsidP="00F24DCC">
      <w:pPr>
        <w:pStyle w:val="BodyText"/>
        <w:spacing w:line="480" w:lineRule="auto"/>
        <w:jc w:val="both"/>
        <w:rPr>
          <w:color w:val="000000"/>
        </w:rPr>
      </w:pPr>
      <w:r w:rsidRPr="002D75EB">
        <w:rPr>
          <w:color w:val="000000"/>
        </w:rPr>
        <w:lastRenderedPageBreak/>
        <w:t>Snow cover depth (S) was measured from all plots. As a proxy for the effect of the snow cover on ecophysiological traits, we also measured light intensities (L) at the bryophyte surface (LI-COR Li-189, USA). The depth of the ground frost was measured from PVC frost gauges (n = 2, one on the hummock and one in the hollow). Gauges (Ø = 2 cm, length = 2 m) were carefully inserted into the peat layer, and then filled with an interior plastic tube, which was subsenquently filled with a water solution containing few drops of methyl-blue for higher visibility. We assumed that the ground frost depth is equal to the freezing depth of the water inside the tube (Eurola</w:t>
      </w:r>
      <w:r>
        <w:rPr>
          <w:color w:val="000000"/>
        </w:rPr>
        <w:t>,</w:t>
      </w:r>
      <w:r w:rsidRPr="002D75EB">
        <w:rPr>
          <w:color w:val="000000"/>
        </w:rPr>
        <w:t xml:space="preserve"> 1975). </w:t>
      </w:r>
    </w:p>
    <w:p w:rsidR="00F24DCC" w:rsidRPr="002D75EB" w:rsidRDefault="00F24DCC" w:rsidP="00F24DCC">
      <w:pPr>
        <w:pStyle w:val="BodyText"/>
        <w:spacing w:line="480" w:lineRule="auto"/>
        <w:jc w:val="both"/>
        <w:rPr>
          <w:color w:val="000000"/>
        </w:rPr>
      </w:pPr>
      <w:r w:rsidRPr="002D75EB">
        <w:rPr>
          <w:color w:val="000000"/>
        </w:rPr>
        <w:t>Meteorological data of the mean air temperatures, precipitation and snow cover were attained from a weather station (Estonian Weather Service, Kehra; 55 m asl) 14 km NE from the fen, and light intensity data from a weather station 44 km NW from the fen (Estonian Weather Service, Tallinn-Harku; 33 m asl). From these data, minimum (T</w:t>
      </w:r>
      <w:r w:rsidRPr="002D75EB">
        <w:rPr>
          <w:color w:val="000000"/>
          <w:vertAlign w:val="subscript"/>
        </w:rPr>
        <w:t>min</w:t>
      </w:r>
      <w:r w:rsidRPr="002D75EB">
        <w:rPr>
          <w:color w:val="000000"/>
        </w:rPr>
        <w:t>) and maximum air temperatures (T</w:t>
      </w:r>
      <w:r w:rsidRPr="002D75EB">
        <w:rPr>
          <w:color w:val="000000"/>
          <w:vertAlign w:val="subscript"/>
        </w:rPr>
        <w:t>max</w:t>
      </w:r>
      <w:r w:rsidRPr="002D75EB">
        <w:rPr>
          <w:color w:val="000000"/>
        </w:rPr>
        <w:t xml:space="preserve">) of two weeks prior to each measurement campaign were calculated, and together with the precipitation sums (P) of the same period used in the analyses against the ecophysiological traits of the bryophytes. The remaining parameters were used to illustrate the annual mean values (Table 1) variation in environmental conditions (Fig. 2), as we conducted measurements merely during the measurement campaigns. </w:t>
      </w:r>
    </w:p>
    <w:p w:rsidR="00F24DCC" w:rsidRPr="002D75EB" w:rsidRDefault="00F24DCC" w:rsidP="00F24DCC">
      <w:pPr>
        <w:pStyle w:val="Heading2"/>
        <w:spacing w:line="480" w:lineRule="auto"/>
      </w:pPr>
      <w:r>
        <w:t xml:space="preserve">2.5. </w:t>
      </w:r>
      <w:r w:rsidRPr="002D75EB">
        <w:t xml:space="preserve">Data handling and analyses </w:t>
      </w:r>
    </w:p>
    <w:p w:rsidR="00F24DCC" w:rsidRPr="002D75EB" w:rsidRDefault="00F24DCC" w:rsidP="00F24DCC">
      <w:pPr>
        <w:pStyle w:val="BodyText"/>
        <w:spacing w:line="480" w:lineRule="auto"/>
        <w:jc w:val="both"/>
        <w:rPr>
          <w:color w:val="000000"/>
        </w:rPr>
      </w:pPr>
      <w:r w:rsidRPr="002D75EB">
        <w:rPr>
          <w:color w:val="000000"/>
        </w:rPr>
        <w:t>Prior to analyses, plot-level (pseudo-)replicated data on F</w:t>
      </w:r>
      <w:r w:rsidRPr="002D75EB">
        <w:rPr>
          <w:color w:val="000000"/>
          <w:vertAlign w:val="subscript"/>
        </w:rPr>
        <w:t>v</w:t>
      </w:r>
      <w:r w:rsidRPr="002D75EB">
        <w:rPr>
          <w:color w:val="000000"/>
        </w:rPr>
        <w:t>/F</w:t>
      </w:r>
      <w:r w:rsidRPr="002D75EB">
        <w:rPr>
          <w:color w:val="000000"/>
          <w:vertAlign w:val="subscript"/>
        </w:rPr>
        <w:t>m</w:t>
      </w:r>
      <w:r w:rsidRPr="002D75EB">
        <w:rPr>
          <w:color w:val="000000"/>
        </w:rPr>
        <w:t xml:space="preserve"> and T</w:t>
      </w:r>
      <w:r w:rsidRPr="002D75EB">
        <w:rPr>
          <w:color w:val="000000"/>
          <w:vertAlign w:val="subscript"/>
        </w:rPr>
        <w:t>S</w:t>
      </w:r>
      <w:r w:rsidRPr="002D75EB">
        <w:rPr>
          <w:color w:val="000000"/>
        </w:rPr>
        <w:t xml:space="preserve"> (n = 5) were pooled and averaged, resulting in a plot level value per measurement campaing. Measurements of the photosynthetic pigments are absent for the first two measurement campaings (October 3 and 23, 2013). Additionally, due to sampling constraints from frozen soil/vegetation, some winter F</w:t>
      </w:r>
      <w:r w:rsidRPr="002D75EB">
        <w:rPr>
          <w:color w:val="000000"/>
          <w:vertAlign w:val="subscript"/>
        </w:rPr>
        <w:t>v</w:t>
      </w:r>
      <w:r w:rsidRPr="002D75EB">
        <w:rPr>
          <w:color w:val="000000"/>
        </w:rPr>
        <w:t>/F</w:t>
      </w:r>
      <w:r w:rsidRPr="002D75EB">
        <w:rPr>
          <w:color w:val="000000"/>
          <w:vertAlign w:val="subscript"/>
        </w:rPr>
        <w:t>m</w:t>
      </w:r>
      <w:r w:rsidRPr="002D75EB">
        <w:rPr>
          <w:color w:val="000000"/>
        </w:rPr>
        <w:t xml:space="preserve"> values are missing. The number of missing values was roughly even between the two species, allowing further species comparisons. However, we were able to measure at least some plots with both treatments each time.</w:t>
      </w:r>
    </w:p>
    <w:p w:rsidR="00F24DCC" w:rsidRPr="002D75EB" w:rsidRDefault="00F24DCC" w:rsidP="00F24DCC">
      <w:pPr>
        <w:pStyle w:val="BodyText"/>
        <w:spacing w:line="480" w:lineRule="auto"/>
        <w:jc w:val="both"/>
        <w:rPr>
          <w:color w:val="000000"/>
        </w:rPr>
      </w:pPr>
      <w:r w:rsidRPr="002D75EB">
        <w:rPr>
          <w:color w:val="000000"/>
        </w:rPr>
        <w:t xml:space="preserve">The data were tested for normality and equality of variances prior to statistical analyses. The </w:t>
      </w:r>
      <w:r w:rsidRPr="002D75EB">
        <w:rPr>
          <w:color w:val="000000"/>
        </w:rPr>
        <w:lastRenderedPageBreak/>
        <w:t xml:space="preserve">ecophysiological traits were tested with RM-ANOVA, with the date of the measurement as within-subject factor, and species and treatment as between-subject factors. The ground frost depth was analysed with paired samples t-test, and snow depth with one-way ANOVA. Redundancy analysis (RDA) with interactive forward selection was applied to test the effects of environmental factors on ecophysiological traits. </w:t>
      </w:r>
      <w:r w:rsidRPr="002D75EB">
        <w:t xml:space="preserve"> </w:t>
      </w:r>
      <w:r w:rsidRPr="002D75EB">
        <w:rPr>
          <w:rFonts w:eastAsia="AdvGAR"/>
          <w:iCs/>
          <w:color w:val="000000"/>
        </w:rPr>
        <w:t>Ch-</w:t>
      </w:r>
      <w:r w:rsidRPr="002D75EB">
        <w:rPr>
          <w:rFonts w:eastAsia="AdvGAR"/>
          <w:i/>
          <w:iCs/>
          <w:color w:val="000000"/>
        </w:rPr>
        <w:t>b</w:t>
      </w:r>
      <w:r w:rsidRPr="002D75EB">
        <w:rPr>
          <w:rFonts w:eastAsia="AdvGAR"/>
          <w:iCs/>
          <w:color w:val="000000"/>
        </w:rPr>
        <w:t>, Car and Ch were highly correlated with</w:t>
      </w:r>
      <w:r w:rsidRPr="002D75EB">
        <w:rPr>
          <w:rFonts w:eastAsia="AdvGAR"/>
          <w:color w:val="000000"/>
        </w:rPr>
        <w:t xml:space="preserve"> Ch-</w:t>
      </w:r>
      <w:r w:rsidRPr="002D75EB">
        <w:rPr>
          <w:rFonts w:eastAsia="AdvGAR"/>
          <w:i/>
          <w:iCs/>
          <w:color w:val="000000"/>
        </w:rPr>
        <w:t>a</w:t>
      </w:r>
      <w:r w:rsidRPr="002D75EB">
        <w:rPr>
          <w:rFonts w:eastAsia="AdvGAR"/>
          <w:iCs/>
          <w:color w:val="000000"/>
        </w:rPr>
        <w:t xml:space="preserve"> (Pearson r ≥ </w:t>
      </w:r>
      <w:r>
        <w:rPr>
          <w:rFonts w:eastAsia="AdvGAR"/>
          <w:iCs/>
          <w:color w:val="000000"/>
        </w:rPr>
        <w:t>0.93 in both species; Appendix 2</w:t>
      </w:r>
      <w:r w:rsidRPr="002D75EB">
        <w:rPr>
          <w:rFonts w:eastAsia="AdvGAR"/>
          <w:iCs/>
          <w:color w:val="000000"/>
        </w:rPr>
        <w:t>), hence only Ch-</w:t>
      </w:r>
      <w:r w:rsidRPr="002D75EB">
        <w:rPr>
          <w:rFonts w:eastAsia="AdvGAR"/>
          <w:i/>
          <w:iCs/>
          <w:color w:val="000000"/>
        </w:rPr>
        <w:t>a</w:t>
      </w:r>
      <w:r w:rsidRPr="002D75EB">
        <w:rPr>
          <w:rFonts w:eastAsia="AdvGAR"/>
          <w:iCs/>
          <w:color w:val="000000"/>
        </w:rPr>
        <w:t xml:space="preserve"> was brougth forward in further anayses. </w:t>
      </w:r>
      <w:r w:rsidRPr="002D75EB">
        <w:rPr>
          <w:color w:val="000000"/>
        </w:rPr>
        <w:t xml:space="preserve">The significance of the model and of all the explanatory variables included in the model were tested by 10,000 permutations. RDA ordinations were performed by Canoco 5.0. All other data analyses were carried out using SPSS 20 (IBM Statistics). </w:t>
      </w:r>
      <w:r w:rsidRPr="002D75EB">
        <w:br w:type="page"/>
      </w:r>
    </w:p>
    <w:p w:rsidR="00F24DCC" w:rsidRPr="002D75EB" w:rsidRDefault="00F24DCC" w:rsidP="00F24DCC">
      <w:pPr>
        <w:pStyle w:val="Heading1"/>
        <w:spacing w:line="480" w:lineRule="auto"/>
      </w:pPr>
      <w:r>
        <w:lastRenderedPageBreak/>
        <w:t xml:space="preserve">3. </w:t>
      </w:r>
      <w:r w:rsidRPr="002D75EB">
        <w:t>RESULTS</w:t>
      </w:r>
    </w:p>
    <w:p w:rsidR="00F24DCC" w:rsidRPr="002D75EB" w:rsidRDefault="00F24DCC" w:rsidP="00F24DCC">
      <w:pPr>
        <w:pStyle w:val="Heading2"/>
        <w:spacing w:line="480" w:lineRule="auto"/>
      </w:pPr>
      <w:r>
        <w:t xml:space="preserve">3.1. </w:t>
      </w:r>
      <w:r w:rsidRPr="002D75EB">
        <w:t>Environmental conditions</w:t>
      </w:r>
    </w:p>
    <w:p w:rsidR="00F24DCC" w:rsidRPr="002D75EB" w:rsidRDefault="00F24DCC" w:rsidP="00F24DCC">
      <w:pPr>
        <w:pStyle w:val="BodyText"/>
        <w:spacing w:line="480" w:lineRule="auto"/>
        <w:jc w:val="both"/>
        <w:rPr>
          <w:color w:val="000000"/>
        </w:rPr>
      </w:pPr>
      <w:r w:rsidRPr="002D75EB">
        <w:rPr>
          <w:color w:val="000000"/>
        </w:rPr>
        <w:t>Mean air temperature in winter 2013/14 was several degrees higher than in the preceding years, but the annual precipitation was rather similar (Table 1). The period with snow cover was</w:t>
      </w:r>
      <w:r>
        <w:rPr>
          <w:color w:val="000000"/>
        </w:rPr>
        <w:t xml:space="preserve"> over two times</w:t>
      </w:r>
      <w:r w:rsidRPr="002D75EB">
        <w:rPr>
          <w:color w:val="000000"/>
        </w:rPr>
        <w:t xml:space="preserve"> shorter than on five previous years, on average. In addition, the snow cover was discontinuous and</w:t>
      </w:r>
      <w:r>
        <w:rPr>
          <w:color w:val="000000"/>
        </w:rPr>
        <w:t xml:space="preserve"> over two times</w:t>
      </w:r>
      <w:r w:rsidRPr="002D75EB">
        <w:rPr>
          <w:color w:val="000000"/>
        </w:rPr>
        <w:t xml:space="preserve"> shallower </w:t>
      </w:r>
      <w:r>
        <w:rPr>
          <w:color w:val="000000"/>
        </w:rPr>
        <w:t xml:space="preserve">(10.2 cm) </w:t>
      </w:r>
      <w:r w:rsidRPr="002D75EB">
        <w:rPr>
          <w:color w:val="000000"/>
        </w:rPr>
        <w:t>than on average</w:t>
      </w:r>
      <w:r>
        <w:rPr>
          <w:color w:val="000000"/>
        </w:rPr>
        <w:t xml:space="preserve"> (23.3 cm)</w:t>
      </w:r>
      <w:r w:rsidRPr="002D75EB">
        <w:rPr>
          <w:color w:val="000000"/>
        </w:rPr>
        <w:t>. The soil frost occurred earlier (</w:t>
      </w:r>
      <w:r w:rsidRPr="002D75EB">
        <w:rPr>
          <w:i/>
          <w:color w:val="000000"/>
        </w:rPr>
        <w:t>t</w:t>
      </w:r>
      <w:r w:rsidRPr="002D75EB">
        <w:rPr>
          <w:color w:val="000000"/>
          <w:vertAlign w:val="subscript"/>
        </w:rPr>
        <w:t>1,13</w:t>
      </w:r>
      <w:r w:rsidRPr="002D75EB">
        <w:rPr>
          <w:color w:val="000000"/>
        </w:rPr>
        <w:t xml:space="preserve"> = -2.16; </w:t>
      </w:r>
      <w:r w:rsidRPr="002D75EB">
        <w:rPr>
          <w:i/>
          <w:iCs/>
          <w:color w:val="000000"/>
        </w:rPr>
        <w:t>p</w:t>
      </w:r>
      <w:r w:rsidRPr="002D75EB">
        <w:rPr>
          <w:color w:val="000000"/>
        </w:rPr>
        <w:t xml:space="preserve"> &lt; 0.05; Fig. 2) and the snow cover was</w:t>
      </w:r>
      <w:r>
        <w:rPr>
          <w:color w:val="000000"/>
        </w:rPr>
        <w:t xml:space="preserve"> slightly</w:t>
      </w:r>
      <w:r w:rsidRPr="002D75EB">
        <w:rPr>
          <w:color w:val="000000"/>
        </w:rPr>
        <w:t xml:space="preserve"> thinner (</w:t>
      </w:r>
      <w:r w:rsidRPr="002663B7">
        <w:rPr>
          <w:i/>
          <w:color w:val="000000"/>
        </w:rPr>
        <w:t>F</w:t>
      </w:r>
      <w:r w:rsidRPr="002D75EB">
        <w:rPr>
          <w:color w:val="000000"/>
          <w:vertAlign w:val="subscript"/>
        </w:rPr>
        <w:t>1,387</w:t>
      </w:r>
      <w:r w:rsidRPr="002D75EB">
        <w:rPr>
          <w:color w:val="000000"/>
        </w:rPr>
        <w:t xml:space="preserve"> = 4.57; </w:t>
      </w:r>
      <w:r w:rsidRPr="002D75EB">
        <w:rPr>
          <w:i/>
          <w:iCs/>
          <w:color w:val="000000"/>
        </w:rPr>
        <w:t>p</w:t>
      </w:r>
      <w:r w:rsidRPr="002D75EB">
        <w:rPr>
          <w:color w:val="000000"/>
        </w:rPr>
        <w:t xml:space="preserve"> &lt; 0.05) on the hummocks</w:t>
      </w:r>
      <w:r>
        <w:rPr>
          <w:color w:val="000000"/>
        </w:rPr>
        <w:t xml:space="preserve"> (10.5 cm)</w:t>
      </w:r>
      <w:r w:rsidRPr="002D75EB">
        <w:rPr>
          <w:color w:val="000000"/>
        </w:rPr>
        <w:t>, as compared to the hollows</w:t>
      </w:r>
      <w:r>
        <w:rPr>
          <w:color w:val="000000"/>
        </w:rPr>
        <w:t xml:space="preserve"> (11.2 cm)</w:t>
      </w:r>
      <w:r w:rsidRPr="002D75EB">
        <w:rPr>
          <w:color w:val="000000"/>
        </w:rPr>
        <w:t>.</w:t>
      </w:r>
    </w:p>
    <w:p w:rsidR="00F24DCC" w:rsidRPr="002D75EB" w:rsidRDefault="00F24DCC" w:rsidP="00F24DCC">
      <w:pPr>
        <w:pStyle w:val="Heading2"/>
        <w:spacing w:line="480" w:lineRule="auto"/>
      </w:pPr>
      <w:r>
        <w:t xml:space="preserve">3.2. </w:t>
      </w:r>
      <w:r w:rsidRPr="002D75EB">
        <w:t>Ecop</w:t>
      </w:r>
      <w:r>
        <w:t>h</w:t>
      </w:r>
      <w:r w:rsidRPr="002D75EB">
        <w:t>ysiological traits and snow removal</w:t>
      </w:r>
    </w:p>
    <w:p w:rsidR="00F24DCC" w:rsidRPr="002D75EB" w:rsidRDefault="00F24DCC" w:rsidP="00F24DCC">
      <w:pPr>
        <w:spacing w:after="120" w:line="480" w:lineRule="auto"/>
        <w:jc w:val="both"/>
      </w:pPr>
      <w:r w:rsidRPr="007B5E33">
        <w:t>Annual mean Fv/Fm</w:t>
      </w:r>
      <w:r>
        <w:t xml:space="preserve"> under ambient condions was</w:t>
      </w:r>
      <w:r w:rsidRPr="007B5E33">
        <w:t xml:space="preserve"> slightly higher in </w:t>
      </w:r>
      <w:r w:rsidRPr="007B5E33">
        <w:rPr>
          <w:i/>
        </w:rPr>
        <w:t>S. scorpioides</w:t>
      </w:r>
      <w:r w:rsidRPr="002D75EB">
        <w:t xml:space="preserve"> (0.558 ± 0.139) than in </w:t>
      </w:r>
      <w:r w:rsidRPr="002D75EB">
        <w:rPr>
          <w:i/>
        </w:rPr>
        <w:t>C. stellatum</w:t>
      </w:r>
      <w:r w:rsidRPr="002D75EB">
        <w:t xml:space="preserve"> (0.519 ± 0.141; </w:t>
      </w:r>
      <w:r w:rsidRPr="002D75EB">
        <w:rPr>
          <w:i/>
        </w:rPr>
        <w:t>p</w:t>
      </w:r>
      <w:r>
        <w:t xml:space="preserve"> &gt; 0.05; Fig. 3, Table 2 and</w:t>
      </w:r>
      <w:r w:rsidRPr="002D75EB">
        <w:t xml:space="preserve"> 3). Fv/Fm varied seasonally in both species, with generally higher values in late summer and autumn, and lower values during the late winter and spring (Fig. 3). </w:t>
      </w:r>
      <w:r w:rsidRPr="002D75EB">
        <w:rPr>
          <w:color w:val="000000"/>
        </w:rPr>
        <w:t xml:space="preserve">Snow removal decreased Fv/Fm values of both species </w:t>
      </w:r>
      <w:r w:rsidRPr="002D75EB">
        <w:rPr>
          <w:iCs/>
          <w:color w:val="000000"/>
        </w:rPr>
        <w:t>s</w:t>
      </w:r>
      <w:r>
        <w:rPr>
          <w:color w:val="000000"/>
        </w:rPr>
        <w:t>ignificantly (Fig. 3; Table 2 and</w:t>
      </w:r>
      <w:r w:rsidRPr="002D75EB">
        <w:rPr>
          <w:color w:val="000000"/>
        </w:rPr>
        <w:t xml:space="preserve"> 3). Differences between the treatments were the largest in mid-winter for </w:t>
      </w:r>
      <w:r w:rsidRPr="002D75EB">
        <w:rPr>
          <w:i/>
          <w:iCs/>
        </w:rPr>
        <w:t>S. scorpioides</w:t>
      </w:r>
      <w:r w:rsidRPr="002D75EB">
        <w:rPr>
          <w:color w:val="000000"/>
        </w:rPr>
        <w:t xml:space="preserve">, and in early-winter and spring for </w:t>
      </w:r>
      <w:r w:rsidRPr="002D75EB">
        <w:rPr>
          <w:i/>
        </w:rPr>
        <w:t>C. stellatum</w:t>
      </w:r>
      <w:r w:rsidRPr="002D75EB">
        <w:rPr>
          <w:color w:val="000000"/>
        </w:rPr>
        <w:t>.</w:t>
      </w:r>
    </w:p>
    <w:p w:rsidR="00F24DCC" w:rsidRPr="002D75EB" w:rsidRDefault="00F24DCC" w:rsidP="00F24DCC">
      <w:pPr>
        <w:pStyle w:val="BodyText"/>
        <w:spacing w:line="480" w:lineRule="auto"/>
        <w:jc w:val="both"/>
      </w:pPr>
      <w:r w:rsidRPr="002D75EB">
        <w:t xml:space="preserve">The annual mean </w:t>
      </w:r>
      <w:r w:rsidRPr="002D75EB">
        <w:rPr>
          <w:rFonts w:eastAsia="AdvGAR"/>
        </w:rPr>
        <w:t>Ch-</w:t>
      </w:r>
      <w:r w:rsidRPr="002D75EB">
        <w:rPr>
          <w:rFonts w:eastAsia="AdvGAR"/>
          <w:i/>
          <w:iCs/>
        </w:rPr>
        <w:t>a</w:t>
      </w:r>
      <w:r w:rsidRPr="002D75EB">
        <w:t xml:space="preserve"> and </w:t>
      </w:r>
      <w:r w:rsidRPr="002D75EB">
        <w:rPr>
          <w:rFonts w:eastAsia="AdvGAR"/>
        </w:rPr>
        <w:t>Ch-</w:t>
      </w:r>
      <w:r w:rsidRPr="002D75EB">
        <w:rPr>
          <w:rFonts w:eastAsia="AdvGAR"/>
          <w:i/>
          <w:iCs/>
        </w:rPr>
        <w:t>b</w:t>
      </w:r>
      <w:r w:rsidRPr="002D75EB">
        <w:t xml:space="preserve"> concentrations as well as </w:t>
      </w:r>
      <w:r w:rsidRPr="002D75EB">
        <w:rPr>
          <w:rFonts w:eastAsia="AdvGAR"/>
        </w:rPr>
        <w:t>Ch-</w:t>
      </w:r>
      <w:r w:rsidRPr="002D75EB">
        <w:rPr>
          <w:rFonts w:eastAsia="AdvGAR"/>
          <w:i/>
          <w:iCs/>
        </w:rPr>
        <w:t>a</w:t>
      </w:r>
      <w:r w:rsidRPr="002D75EB">
        <w:rPr>
          <w:rFonts w:eastAsia="AdvGAR"/>
        </w:rPr>
        <w:t>:</w:t>
      </w:r>
      <w:r w:rsidRPr="002D75EB">
        <w:rPr>
          <w:rFonts w:eastAsia="AdvGAR"/>
          <w:i/>
          <w:iCs/>
        </w:rPr>
        <w:t>b</w:t>
      </w:r>
      <w:r w:rsidRPr="002D75EB">
        <w:t xml:space="preserve"> and Ch:Car ratios were higher in </w:t>
      </w:r>
      <w:r w:rsidRPr="002D75EB">
        <w:rPr>
          <w:i/>
        </w:rPr>
        <w:t>C.</w:t>
      </w:r>
      <w:r w:rsidRPr="002D75EB">
        <w:t> </w:t>
      </w:r>
      <w:r w:rsidRPr="002D75EB">
        <w:rPr>
          <w:i/>
        </w:rPr>
        <w:t>stellatum</w:t>
      </w:r>
      <w:r w:rsidRPr="002D75EB">
        <w:t xml:space="preserve"> than in </w:t>
      </w:r>
      <w:r w:rsidRPr="002D75EB">
        <w:rPr>
          <w:i/>
          <w:iCs/>
        </w:rPr>
        <w:t>S. scorpioides</w:t>
      </w:r>
      <w:r w:rsidRPr="002D75EB">
        <w:rPr>
          <w:iCs/>
        </w:rPr>
        <w:t xml:space="preserve">, </w:t>
      </w:r>
      <w:r w:rsidRPr="002D75EB">
        <w:t xml:space="preserve">while the annual mean Car concentration of </w:t>
      </w:r>
      <w:r w:rsidRPr="002D75EB">
        <w:rPr>
          <w:i/>
          <w:iCs/>
        </w:rPr>
        <w:t>S. scorpioides</w:t>
      </w:r>
      <w:r w:rsidRPr="002D75EB">
        <w:t xml:space="preserve"> exceeded that of </w:t>
      </w:r>
      <w:r w:rsidRPr="002D75EB">
        <w:rPr>
          <w:i/>
        </w:rPr>
        <w:t>C. stellatum</w:t>
      </w:r>
      <w:r w:rsidRPr="002D75EB">
        <w:t xml:space="preserve"> (Table 2 and 3)</w:t>
      </w:r>
      <w:r w:rsidRPr="002D75EB">
        <w:rPr>
          <w:i/>
          <w:iCs/>
        </w:rPr>
        <w:t>.</w:t>
      </w:r>
      <w:r w:rsidRPr="002D75EB">
        <w:t xml:space="preserve"> Concentrations of all photosynthetic pigments increased in the autumn (Fig</w:t>
      </w:r>
      <w:r w:rsidRPr="007B5E33">
        <w:t>. 4)</w:t>
      </w:r>
      <w:r>
        <w:t xml:space="preserve"> with </w:t>
      </w:r>
      <w:r w:rsidRPr="002D75EB">
        <w:t>threefold values</w:t>
      </w:r>
      <w:r>
        <w:t xml:space="preserve"> </w:t>
      </w:r>
      <w:r w:rsidRPr="002D75EB">
        <w:t>compared to annual averages.</w:t>
      </w:r>
      <w:r>
        <w:t xml:space="preserve"> Ch-</w:t>
      </w:r>
      <w:r w:rsidRPr="0079181F">
        <w:rPr>
          <w:i/>
        </w:rPr>
        <w:t>a</w:t>
      </w:r>
      <w:r>
        <w:t>, for example, increased up to 3.9</w:t>
      </w:r>
      <w:r w:rsidRPr="002D75EB">
        <w:t xml:space="preserve"> ± </w:t>
      </w:r>
      <w:r>
        <w:t xml:space="preserve">0.3 </w:t>
      </w:r>
      <w:r w:rsidRPr="003740A1">
        <w:rPr>
          <w:color w:val="000000"/>
        </w:rPr>
        <w:t>μmol g</w:t>
      </w:r>
      <w:r w:rsidRPr="003740A1">
        <w:rPr>
          <w:color w:val="000000"/>
          <w:vertAlign w:val="superscript"/>
        </w:rPr>
        <w:t>-1</w:t>
      </w:r>
      <w:r>
        <w:t xml:space="preserve"> in </w:t>
      </w:r>
      <w:r w:rsidRPr="0079181F">
        <w:rPr>
          <w:i/>
        </w:rPr>
        <w:t>C. stellatum</w:t>
      </w:r>
      <w:r>
        <w:t xml:space="preserve"> and to 2.8</w:t>
      </w:r>
      <w:r w:rsidRPr="002D75EB">
        <w:t xml:space="preserve"> ± </w:t>
      </w:r>
      <w:r>
        <w:t xml:space="preserve">0.3 </w:t>
      </w:r>
      <w:r w:rsidRPr="003740A1">
        <w:rPr>
          <w:color w:val="000000"/>
        </w:rPr>
        <w:t>μmol g</w:t>
      </w:r>
      <w:r w:rsidRPr="003740A1">
        <w:rPr>
          <w:color w:val="000000"/>
          <w:vertAlign w:val="superscript"/>
        </w:rPr>
        <w:t>-1</w:t>
      </w:r>
      <w:r>
        <w:t xml:space="preserve"> in </w:t>
      </w:r>
      <w:r w:rsidRPr="0079181F">
        <w:rPr>
          <w:i/>
        </w:rPr>
        <w:t>S. scorpioides</w:t>
      </w:r>
      <w:r>
        <w:t xml:space="preserve">, whilst the annual means were 1.5 ± 0.9 </w:t>
      </w:r>
      <w:r w:rsidRPr="003740A1">
        <w:rPr>
          <w:color w:val="000000"/>
        </w:rPr>
        <w:t>μmol g</w:t>
      </w:r>
      <w:r w:rsidRPr="003740A1">
        <w:rPr>
          <w:color w:val="000000"/>
          <w:vertAlign w:val="superscript"/>
        </w:rPr>
        <w:t>-1</w:t>
      </w:r>
      <w:r>
        <w:t xml:space="preserve"> and 1.2 </w:t>
      </w:r>
      <w:r w:rsidRPr="002D75EB">
        <w:t>±</w:t>
      </w:r>
      <w:r>
        <w:t xml:space="preserve"> 0.9 </w:t>
      </w:r>
      <w:r w:rsidRPr="003740A1">
        <w:rPr>
          <w:color w:val="000000"/>
        </w:rPr>
        <w:t>μmol g</w:t>
      </w:r>
      <w:r w:rsidRPr="003740A1">
        <w:rPr>
          <w:color w:val="000000"/>
          <w:vertAlign w:val="superscript"/>
        </w:rPr>
        <w:t>-1</w:t>
      </w:r>
      <w:r>
        <w:t>, respectively.</w:t>
      </w:r>
      <w:r w:rsidRPr="002D75EB">
        <w:t xml:space="preserve"> </w:t>
      </w:r>
      <w:r>
        <w:t>In contrast, t</w:t>
      </w:r>
      <w:r w:rsidRPr="002D75EB">
        <w:t xml:space="preserve">he concentrations of </w:t>
      </w:r>
      <w:r w:rsidRPr="002D75EB">
        <w:rPr>
          <w:rFonts w:eastAsia="AdvGAR"/>
        </w:rPr>
        <w:t>Ch-</w:t>
      </w:r>
      <w:r w:rsidRPr="002D75EB">
        <w:rPr>
          <w:rFonts w:eastAsia="AdvGAR"/>
          <w:i/>
          <w:iCs/>
        </w:rPr>
        <w:t>a</w:t>
      </w:r>
      <w:r w:rsidRPr="002D75EB">
        <w:t xml:space="preserve">, </w:t>
      </w:r>
      <w:r w:rsidRPr="002D75EB">
        <w:rPr>
          <w:rFonts w:eastAsia="AdvGAR"/>
        </w:rPr>
        <w:t>Ch-</w:t>
      </w:r>
      <w:r w:rsidRPr="002D75EB">
        <w:rPr>
          <w:rFonts w:eastAsia="AdvGAR"/>
          <w:i/>
          <w:iCs/>
        </w:rPr>
        <w:t>b</w:t>
      </w:r>
      <w:r w:rsidRPr="002D75EB">
        <w:t xml:space="preserve"> and Car were particularly low during winter and spring in </w:t>
      </w:r>
      <w:r w:rsidRPr="002D75EB">
        <w:rPr>
          <w:i/>
          <w:iCs/>
        </w:rPr>
        <w:t>S. scorpioides</w:t>
      </w:r>
      <w:r w:rsidRPr="002D75EB">
        <w:t xml:space="preserve">,  but the period of low-pigment concentrations was postponed to spring and summer in case of </w:t>
      </w:r>
      <w:r w:rsidRPr="002D75EB">
        <w:rPr>
          <w:i/>
        </w:rPr>
        <w:t>C. stellatum</w:t>
      </w:r>
      <w:r w:rsidRPr="002D75EB">
        <w:t>.</w:t>
      </w:r>
    </w:p>
    <w:p w:rsidR="00F24DCC" w:rsidRPr="002D75EB" w:rsidRDefault="00F24DCC" w:rsidP="00F24DCC">
      <w:pPr>
        <w:pStyle w:val="BodyText"/>
        <w:spacing w:line="480" w:lineRule="auto"/>
        <w:jc w:val="both"/>
        <w:rPr>
          <w:color w:val="000000"/>
        </w:rPr>
      </w:pPr>
      <w:r w:rsidRPr="002D75EB">
        <w:rPr>
          <w:color w:val="000000"/>
        </w:rPr>
        <w:lastRenderedPageBreak/>
        <w:t>Snow manipulation altered the concentration of all the photosynthetic pigments and pigment ratios</w:t>
      </w:r>
      <w:r w:rsidRPr="002D75EB">
        <w:rPr>
          <w:iCs/>
          <w:color w:val="000000"/>
        </w:rPr>
        <w:t xml:space="preserve"> (Fig.4; Table 2)</w:t>
      </w:r>
      <w:r w:rsidRPr="002D75EB">
        <w:rPr>
          <w:color w:val="000000"/>
        </w:rPr>
        <w:t>. On average, the annual Ch-</w:t>
      </w:r>
      <w:r w:rsidRPr="002D75EB">
        <w:rPr>
          <w:i/>
          <w:iCs/>
          <w:color w:val="000000"/>
        </w:rPr>
        <w:t>a</w:t>
      </w:r>
      <w:r w:rsidRPr="002D75EB">
        <w:rPr>
          <w:color w:val="000000"/>
        </w:rPr>
        <w:t xml:space="preserve"> concentration declined roughly 30% in </w:t>
      </w:r>
      <w:r w:rsidRPr="002D75EB">
        <w:rPr>
          <w:i/>
          <w:color w:val="000000"/>
        </w:rPr>
        <w:t xml:space="preserve">C. stellatum </w:t>
      </w:r>
      <w:r w:rsidRPr="002D75EB">
        <w:rPr>
          <w:color w:val="000000"/>
        </w:rPr>
        <w:t xml:space="preserve">and 15% in </w:t>
      </w:r>
      <w:r w:rsidRPr="002D75EB">
        <w:rPr>
          <w:i/>
          <w:color w:val="000000"/>
        </w:rPr>
        <w:t>S. scorpioides</w:t>
      </w:r>
      <w:r w:rsidRPr="002D75EB">
        <w:rPr>
          <w:color w:val="000000"/>
        </w:rPr>
        <w:t xml:space="preserve"> as a response to snow removal.  Interestingly, the effects of </w:t>
      </w:r>
      <w:r>
        <w:rPr>
          <w:color w:val="000000"/>
        </w:rPr>
        <w:t>snow</w:t>
      </w:r>
      <w:r w:rsidRPr="002D75EB">
        <w:rPr>
          <w:color w:val="000000"/>
        </w:rPr>
        <w:t xml:space="preserve"> treatment on ecophysiological traits cascaded to the growing season, and were more severe in</w:t>
      </w:r>
      <w:r w:rsidRPr="002D75EB">
        <w:rPr>
          <w:i/>
          <w:color w:val="000000"/>
        </w:rPr>
        <w:t xml:space="preserve"> </w:t>
      </w:r>
      <w:r w:rsidRPr="002D75EB">
        <w:rPr>
          <w:i/>
        </w:rPr>
        <w:t>C. stellatum</w:t>
      </w:r>
      <w:r>
        <w:rPr>
          <w:color w:val="000000"/>
        </w:rPr>
        <w:t>.</w:t>
      </w:r>
    </w:p>
    <w:p w:rsidR="00F24DCC" w:rsidRPr="002D75EB" w:rsidRDefault="00F24DCC" w:rsidP="00F24DCC">
      <w:pPr>
        <w:pStyle w:val="Heading2"/>
        <w:spacing w:line="480" w:lineRule="auto"/>
      </w:pPr>
      <w:r>
        <w:t xml:space="preserve">3.3. </w:t>
      </w:r>
      <w:r w:rsidRPr="002D75EB">
        <w:t>The effect of environmental conditions</w:t>
      </w:r>
    </w:p>
    <w:p w:rsidR="00F24DCC" w:rsidRPr="002D75EB" w:rsidRDefault="00F24DCC" w:rsidP="00F24DCC">
      <w:pPr>
        <w:spacing w:line="480" w:lineRule="auto"/>
        <w:jc w:val="both"/>
      </w:pPr>
      <w:r w:rsidRPr="00CD263B">
        <w:t>While the total traits values between the snow treatments differed, the responses to</w:t>
      </w:r>
      <w:r>
        <w:t xml:space="preserve"> </w:t>
      </w:r>
      <w:r w:rsidRPr="00CD263B">
        <w:t>environmen</w:t>
      </w:r>
      <w:r>
        <w:t>tal conditions did not (Fig. 5)</w:t>
      </w:r>
      <w:r w:rsidRPr="002D75EB">
        <w:t>. P</w:t>
      </w:r>
      <w:r>
        <w:t>recipitation</w:t>
      </w:r>
      <w:r w:rsidRPr="002D75EB">
        <w:t xml:space="preserve"> and temperatures appeared to be the main controls over Fv/Fm, suggesting that higher temperatures and abundant </w:t>
      </w:r>
      <w:r>
        <w:t>precipitation</w:t>
      </w:r>
      <w:r w:rsidRPr="002D75EB">
        <w:t xml:space="preserve"> positively influence Fv/Fm.</w:t>
      </w:r>
    </w:p>
    <w:p w:rsidR="00F24DCC" w:rsidRPr="002D75EB" w:rsidRDefault="00F24DCC" w:rsidP="00F24DCC">
      <w:pPr>
        <w:spacing w:line="480" w:lineRule="auto"/>
        <w:jc w:val="both"/>
      </w:pPr>
      <w:r w:rsidRPr="002D75EB">
        <w:t>The ecophysiological trait</w:t>
      </w:r>
      <w:r>
        <w:t>s differed more between the spe</w:t>
      </w:r>
      <w:r w:rsidRPr="002D75EB">
        <w:t>c</w:t>
      </w:r>
      <w:r>
        <w:t>i</w:t>
      </w:r>
      <w:r w:rsidRPr="002D75EB">
        <w:t xml:space="preserve">es and treatments in winter </w:t>
      </w:r>
      <w:r>
        <w:rPr>
          <w:color w:val="000000"/>
        </w:rPr>
        <w:t>(Fig. 5</w:t>
      </w:r>
      <w:r w:rsidRPr="002D75EB">
        <w:rPr>
          <w:color w:val="000000"/>
        </w:rPr>
        <w:t>)</w:t>
      </w:r>
      <w:r w:rsidRPr="002D75EB">
        <w:t>. P</w:t>
      </w:r>
      <w:r>
        <w:t>recipitation</w:t>
      </w:r>
      <w:r w:rsidRPr="002D75EB">
        <w:t xml:space="preserve"> increased Fv/Fm also in winter, and was particularly important if snow was not present. </w:t>
      </w:r>
      <w:r w:rsidRPr="00F133BA">
        <w:t>P</w:t>
      </w:r>
      <w:r>
        <w:t xml:space="preserve">recipitation </w:t>
      </w:r>
      <w:r w:rsidRPr="00F133BA">
        <w:t>influenced</w:t>
      </w:r>
      <w:r w:rsidRPr="002D75EB">
        <w:t xml:space="preserve"> Ch-</w:t>
      </w:r>
      <w:r w:rsidRPr="002D75EB">
        <w:rPr>
          <w:i/>
        </w:rPr>
        <w:t>a</w:t>
      </w:r>
      <w:r w:rsidRPr="002D75EB">
        <w:t xml:space="preserve"> positively as well, except in the ambient plots of </w:t>
      </w:r>
      <w:r w:rsidRPr="002D75EB">
        <w:rPr>
          <w:i/>
        </w:rPr>
        <w:t>C.</w:t>
      </w:r>
      <w:r w:rsidRPr="002D75EB">
        <w:t> </w:t>
      </w:r>
      <w:r w:rsidRPr="002D75EB">
        <w:rPr>
          <w:i/>
        </w:rPr>
        <w:t>stellatum</w:t>
      </w:r>
      <w:r w:rsidRPr="002D75EB">
        <w:t>. L</w:t>
      </w:r>
      <w:r>
        <w:t>ight</w:t>
      </w:r>
      <w:r w:rsidRPr="002D75EB">
        <w:t xml:space="preserve"> appeared to decrease Fv/Fm and Ch-</w:t>
      </w:r>
      <w:r w:rsidRPr="002D75EB">
        <w:rPr>
          <w:i/>
        </w:rPr>
        <w:t>a</w:t>
      </w:r>
      <w:r w:rsidRPr="002D75EB">
        <w:t>. In the winter, Ch-</w:t>
      </w:r>
      <w:r w:rsidRPr="002D75EB">
        <w:rPr>
          <w:i/>
        </w:rPr>
        <w:t>a</w:t>
      </w:r>
      <w:r w:rsidRPr="002D75EB">
        <w:t>:</w:t>
      </w:r>
      <w:r w:rsidRPr="002D75EB">
        <w:rPr>
          <w:i/>
        </w:rPr>
        <w:t>b</w:t>
      </w:r>
      <w:r w:rsidRPr="002D75EB">
        <w:t xml:space="preserve"> of both s</w:t>
      </w:r>
      <w:r>
        <w:t>p</w:t>
      </w:r>
      <w:r w:rsidRPr="002D75EB">
        <w:t>ecies had a negative correlation with P</w:t>
      </w:r>
      <w:r>
        <w:t>recipitation</w:t>
      </w:r>
      <w:r w:rsidRPr="002D75EB">
        <w:t xml:space="preserve"> and positive with </w:t>
      </w:r>
      <w:r>
        <w:t>light</w:t>
      </w:r>
      <w:r w:rsidRPr="002D75EB">
        <w:t>, whilst in summer Ch-</w:t>
      </w:r>
      <w:r w:rsidRPr="002D75EB">
        <w:rPr>
          <w:i/>
        </w:rPr>
        <w:t>a</w:t>
      </w:r>
      <w:r w:rsidRPr="002D75EB">
        <w:t>:</w:t>
      </w:r>
      <w:r w:rsidRPr="002D75EB">
        <w:rPr>
          <w:i/>
        </w:rPr>
        <w:t>b</w:t>
      </w:r>
      <w:r w:rsidRPr="002D75EB">
        <w:t xml:space="preserve"> was increased by high temperatures. Ch:Car had the strongest positive connection with T</w:t>
      </w:r>
      <w:r w:rsidRPr="002D75EB">
        <w:rPr>
          <w:vertAlign w:val="subscript"/>
        </w:rPr>
        <w:t>min</w:t>
      </w:r>
      <w:r w:rsidRPr="002D75EB">
        <w:t xml:space="preserve"> in both species throughout the year. The height from the water table did not alter ecophysiological traits significantly. </w:t>
      </w:r>
    </w:p>
    <w:p w:rsidR="00F24DCC" w:rsidRPr="002D75EB" w:rsidRDefault="00F24DCC" w:rsidP="00F24DCC">
      <w:pPr>
        <w:pStyle w:val="Heading1"/>
        <w:spacing w:line="480" w:lineRule="auto"/>
      </w:pPr>
      <w:r>
        <w:t xml:space="preserve">4. </w:t>
      </w:r>
      <w:r w:rsidRPr="002D75EB">
        <w:t xml:space="preserve">DISCUSSION </w:t>
      </w:r>
    </w:p>
    <w:p w:rsidR="00F24DCC" w:rsidRPr="002D75EB" w:rsidRDefault="00F24DCC" w:rsidP="00F24DCC">
      <w:pPr>
        <w:pStyle w:val="Heading2"/>
        <w:spacing w:line="480" w:lineRule="auto"/>
      </w:pPr>
      <w:r>
        <w:t xml:space="preserve">4.1. </w:t>
      </w:r>
      <w:r w:rsidRPr="002D75EB">
        <w:t>Phenology of ecophysiological traits</w:t>
      </w:r>
    </w:p>
    <w:p w:rsidR="00F24DCC" w:rsidRPr="00A40017" w:rsidRDefault="00F24DCC" w:rsidP="00F24DCC">
      <w:pPr>
        <w:spacing w:line="480" w:lineRule="auto"/>
        <w:jc w:val="both"/>
      </w:pPr>
      <w:r w:rsidRPr="002D75EB">
        <w:rPr>
          <w:color w:val="000000"/>
        </w:rPr>
        <w:t xml:space="preserve">In our study, both bryophyte species exhibited seasonal variation in </w:t>
      </w:r>
      <w:r>
        <w:rPr>
          <w:color w:val="000000"/>
        </w:rPr>
        <w:t>Fv/Fm</w:t>
      </w:r>
      <w:r w:rsidRPr="002D75EB">
        <w:rPr>
          <w:color w:val="000000"/>
        </w:rPr>
        <w:t xml:space="preserve"> level and pigment concentrations, with pigment concentrations</w:t>
      </w:r>
      <w:r>
        <w:rPr>
          <w:color w:val="000000"/>
        </w:rPr>
        <w:t xml:space="preserve"> – similarly to Granath et al. (2009) - </w:t>
      </w:r>
      <w:r w:rsidRPr="002D75EB">
        <w:rPr>
          <w:color w:val="000000"/>
        </w:rPr>
        <w:t xml:space="preserve"> being </w:t>
      </w:r>
      <w:r>
        <w:rPr>
          <w:color w:val="000000"/>
        </w:rPr>
        <w:t>often correlated to</w:t>
      </w:r>
      <w:r w:rsidRPr="002D75EB">
        <w:rPr>
          <w:color w:val="000000"/>
        </w:rPr>
        <w:t xml:space="preserve"> Fv/Fm.</w:t>
      </w:r>
      <w:r>
        <w:rPr>
          <w:color w:val="000000"/>
        </w:rPr>
        <w:t xml:space="preserve"> Both of these ecophysiological traits are impacted by the physical environment: by the frost in winter (especially without snow), by freeze-thaw cycles and simultaneous intense light in early spring, which is shortly after it followed by the drought in late spring and summer. Accordingly, our results show that the transition from one stress factor to another, and their combinations, kept Fv/Fm relatively low in bryophytes for the majority of the year.</w:t>
      </w:r>
      <w:r w:rsidRPr="002D75EB">
        <w:rPr>
          <w:color w:val="000000"/>
        </w:rPr>
        <w:t xml:space="preserve"> Although </w:t>
      </w:r>
      <w:r w:rsidRPr="002D75EB">
        <w:rPr>
          <w:color w:val="000000"/>
        </w:rPr>
        <w:lastRenderedPageBreak/>
        <w:t>photosynthetic pigment concentration</w:t>
      </w:r>
      <w:r>
        <w:rPr>
          <w:color w:val="000000"/>
        </w:rPr>
        <w:t>s</w:t>
      </w:r>
      <w:r w:rsidRPr="002D75EB">
        <w:rPr>
          <w:color w:val="000000"/>
        </w:rPr>
        <w:t xml:space="preserve"> in </w:t>
      </w:r>
      <w:r w:rsidRPr="002D75EB">
        <w:rPr>
          <w:i/>
        </w:rPr>
        <w:t>C. stellatum</w:t>
      </w:r>
      <w:r w:rsidRPr="002D75EB">
        <w:t xml:space="preserve"> </w:t>
      </w:r>
      <w:r w:rsidRPr="002D75EB">
        <w:rPr>
          <w:color w:val="000000"/>
        </w:rPr>
        <w:t xml:space="preserve">and </w:t>
      </w:r>
      <w:r w:rsidRPr="002D75EB">
        <w:rPr>
          <w:i/>
          <w:iCs/>
        </w:rPr>
        <w:t>S. scorpioides</w:t>
      </w:r>
      <w:r w:rsidRPr="002D75EB">
        <w:rPr>
          <w:color w:val="000000"/>
        </w:rPr>
        <w:t xml:space="preserve"> remained fairly stable </w:t>
      </w:r>
      <w:r>
        <w:rPr>
          <w:color w:val="000000"/>
        </w:rPr>
        <w:t>almost throughout</w:t>
      </w:r>
      <w:r w:rsidRPr="002D75EB">
        <w:rPr>
          <w:color w:val="000000"/>
        </w:rPr>
        <w:t xml:space="preserve"> the year, we observed a rapid increase </w:t>
      </w:r>
      <w:r>
        <w:rPr>
          <w:color w:val="000000"/>
        </w:rPr>
        <w:t>in</w:t>
      </w:r>
      <w:r w:rsidRPr="002D75EB">
        <w:rPr>
          <w:color w:val="000000"/>
        </w:rPr>
        <w:t xml:space="preserve"> chlorophyll and carotenoid</w:t>
      </w:r>
      <w:r>
        <w:rPr>
          <w:color w:val="000000"/>
        </w:rPr>
        <w:t xml:space="preserve"> concentrations</w:t>
      </w:r>
      <w:r w:rsidRPr="002D75EB">
        <w:rPr>
          <w:color w:val="000000"/>
        </w:rPr>
        <w:t xml:space="preserve"> </w:t>
      </w:r>
      <w:r>
        <w:rPr>
          <w:color w:val="000000"/>
        </w:rPr>
        <w:t xml:space="preserve">for both species </w:t>
      </w:r>
      <w:r w:rsidRPr="002D75EB">
        <w:rPr>
          <w:color w:val="000000"/>
        </w:rPr>
        <w:t>in autumn</w:t>
      </w:r>
      <w:r>
        <w:t>. Moreover, in autumn these concentrations were triple the values</w:t>
      </w:r>
      <w:r w:rsidRPr="002D75EB">
        <w:t xml:space="preserve"> </w:t>
      </w:r>
      <w:r>
        <w:t xml:space="preserve">in </w:t>
      </w:r>
      <w:r w:rsidRPr="002D75EB">
        <w:t>spring and summer</w:t>
      </w:r>
      <w:r>
        <w:rPr>
          <w:color w:val="000000"/>
        </w:rPr>
        <w:t>, likely</w:t>
      </w:r>
      <w:r w:rsidRPr="002D75EB">
        <w:t xml:space="preserve"> initiated by decreased day length and overall low light intensity</w:t>
      </w:r>
      <w:r>
        <w:t xml:space="preserve"> (</w:t>
      </w:r>
      <w:r w:rsidRPr="00A40017">
        <w:t xml:space="preserve">Marschall </w:t>
      </w:r>
      <w:r>
        <w:t>and Proctor,</w:t>
      </w:r>
      <w:r w:rsidRPr="00A40017">
        <w:t xml:space="preserve"> 2004; </w:t>
      </w:r>
      <w:r>
        <w:t>Hyyryläinen et al., 2015)</w:t>
      </w:r>
      <w:r w:rsidRPr="002D75EB">
        <w:t xml:space="preserve">. Similar peaks in </w:t>
      </w:r>
      <w:r>
        <w:t>photosynthetic pigments</w:t>
      </w:r>
      <w:r w:rsidRPr="002D75EB">
        <w:t xml:space="preserve"> concentration</w:t>
      </w:r>
      <w:r>
        <w:t>s</w:t>
      </w:r>
      <w:r w:rsidRPr="002D75EB">
        <w:t xml:space="preserve"> in autumn have been noted before in many bryophyte species, and have been associated both with a need to increase the photon capture and photoprotection (Kers</w:t>
      </w:r>
      <w:r>
        <w:t>haw and Webber, 1986; Gaberscik and</w:t>
      </w:r>
      <w:r w:rsidRPr="002D75EB">
        <w:t xml:space="preserve"> Martincic</w:t>
      </w:r>
      <w:r>
        <w:t>,</w:t>
      </w:r>
      <w:r w:rsidRPr="002D75EB">
        <w:t xml:space="preserve"> 1987; Devi </w:t>
      </w:r>
      <w:r>
        <w:t>et al.,</w:t>
      </w:r>
      <w:r w:rsidRPr="002D75EB">
        <w:t xml:space="preserve"> 2015). Photodestruction</w:t>
      </w:r>
      <w:r>
        <w:t xml:space="preserve"> in autumn is</w:t>
      </w:r>
      <w:r w:rsidRPr="002D75EB">
        <w:t xml:space="preserve"> unlikely</w:t>
      </w:r>
      <w:r>
        <w:t>, as light levels are generally low</w:t>
      </w:r>
      <w:r w:rsidRPr="002D75EB">
        <w:t xml:space="preserve">. </w:t>
      </w:r>
      <w:r>
        <w:t>I</w:t>
      </w:r>
      <w:r w:rsidRPr="002D75EB">
        <w:t>n spring</w:t>
      </w:r>
      <w:r>
        <w:t>, to the contrary,</w:t>
      </w:r>
      <w:r w:rsidRPr="002D75EB">
        <w:t xml:space="preserve"> light intensities increase rapidly</w:t>
      </w:r>
      <w:r>
        <w:t>.</w:t>
      </w:r>
      <w:r w:rsidRPr="002D75EB">
        <w:t xml:space="preserve"> </w:t>
      </w:r>
      <w:r>
        <w:t>T</w:t>
      </w:r>
      <w:r w:rsidRPr="002D75EB">
        <w:t>og</w:t>
      </w:r>
      <w:r>
        <w:t>et</w:t>
      </w:r>
      <w:r w:rsidRPr="002D75EB">
        <w:t>her with</w:t>
      </w:r>
      <w:r>
        <w:t xml:space="preserve"> wide</w:t>
      </w:r>
      <w:r w:rsidRPr="002D75EB">
        <w:t xml:space="preserve"> diurnal temperature intervals</w:t>
      </w:r>
      <w:r>
        <w:t xml:space="preserve"> –</w:t>
      </w:r>
      <w:r w:rsidRPr="002D75EB">
        <w:t xml:space="preserve"> that may cause freeze-thaw cycles</w:t>
      </w:r>
      <w:r>
        <w:t xml:space="preserve"> –</w:t>
      </w:r>
      <w:r w:rsidRPr="002D75EB">
        <w:t xml:space="preserve"> and low rates of precipitation, </w:t>
      </w:r>
      <w:r>
        <w:t xml:space="preserve">intense light </w:t>
      </w:r>
      <w:r w:rsidRPr="002D75EB">
        <w:t>may have adverse effect on plant performance (Glime</w:t>
      </w:r>
      <w:r>
        <w:t>,</w:t>
      </w:r>
      <w:r w:rsidRPr="002D75EB">
        <w:t xml:space="preserve"> 2017; Küttim </w:t>
      </w:r>
      <w:r>
        <w:t>et al.,</w:t>
      </w:r>
      <w:r w:rsidRPr="002D75EB">
        <w:t xml:space="preserve"> 2017)</w:t>
      </w:r>
      <w:r w:rsidRPr="00A40017">
        <w:t>. Our data underpin the suggestion that spring conditions can be stressfull to bryophyte communities, but more importantly that progressive advancement of the spring thaw period extend</w:t>
      </w:r>
      <w:r>
        <w:t>s</w:t>
      </w:r>
      <w:r w:rsidRPr="00A40017">
        <w:t xml:space="preserve"> the period in which plants experience stress. Indeed, bryophytes desiccate easily in the wind of open areas and direct sunshine, and are sensitive to photodamage (Bukhov </w:t>
      </w:r>
      <w:r>
        <w:t>et al.,</w:t>
      </w:r>
      <w:r w:rsidRPr="00A40017">
        <w:t xml:space="preserve"> 2001; Marschall </w:t>
      </w:r>
      <w:r>
        <w:t>and Proctor,</w:t>
      </w:r>
      <w:r w:rsidRPr="00A40017">
        <w:t xml:space="preserve"> 2004; Hajek</w:t>
      </w:r>
      <w:r>
        <w:t>,</w:t>
      </w:r>
      <w:r w:rsidRPr="00A40017">
        <w:t xml:space="preserve"> 2014). The upper limit of excessive excitation – the maximum amount of solar energy plants can use for the photosynthesis (Müller </w:t>
      </w:r>
      <w:r>
        <w:t>et al.,</w:t>
      </w:r>
      <w:r w:rsidRPr="00A40017">
        <w:t xml:space="preserve"> 2001) – is fairly low in bryophytes, especially in combination with low temperature (Glime</w:t>
      </w:r>
      <w:r>
        <w:t>,</w:t>
      </w:r>
      <w:r w:rsidRPr="00A40017">
        <w:t xml:space="preserve"> 2017). Therefore, even moderate light intensities in early spring can result in photo-oxidative damage, if temperatures are still low (Deltoro </w:t>
      </w:r>
      <w:r>
        <w:t>et al.,</w:t>
      </w:r>
      <w:r w:rsidRPr="00A40017">
        <w:t xml:space="preserve"> 1998; Glime</w:t>
      </w:r>
      <w:r>
        <w:t>,</w:t>
      </w:r>
      <w:r w:rsidRPr="00A40017">
        <w:t xml:space="preserve"> 2017). </w:t>
      </w:r>
      <w:r>
        <w:t>This is increasingly likely to happen under changing winter climate with a decrease in snow cover. Low Fv/Fm values and large deviation in plots with snow removal suggest that it probably happened during winter in our study as well.</w:t>
      </w:r>
    </w:p>
    <w:p w:rsidR="00F24DCC" w:rsidRPr="00A40017" w:rsidRDefault="00F24DCC" w:rsidP="00F24DCC">
      <w:pPr>
        <w:pStyle w:val="BodyText"/>
        <w:spacing w:line="480" w:lineRule="auto"/>
        <w:jc w:val="both"/>
      </w:pPr>
      <w:r w:rsidRPr="00A40017">
        <w:t xml:space="preserve">Our data indicates that water deficiency </w:t>
      </w:r>
      <w:r>
        <w:t>in autumn induced a physiological stress in bryophytes L</w:t>
      </w:r>
      <w:r w:rsidRPr="00A40017">
        <w:t xml:space="preserve">ow Fv/Fm levels of </w:t>
      </w:r>
      <w:r w:rsidRPr="00366709">
        <w:rPr>
          <w:i/>
        </w:rPr>
        <w:t>C. stellatum</w:t>
      </w:r>
      <w:r w:rsidRPr="00A40017">
        <w:t>in the</w:t>
      </w:r>
      <w:r>
        <w:t xml:space="preserve"> dry</w:t>
      </w:r>
      <w:r w:rsidRPr="00A40017">
        <w:t xml:space="preserve"> autumn 2014</w:t>
      </w:r>
      <w:r>
        <w:t>,</w:t>
      </w:r>
      <w:r w:rsidRPr="00A40017">
        <w:t xml:space="preserve"> </w:t>
      </w:r>
      <w:r>
        <w:t>compared to</w:t>
      </w:r>
      <w:r w:rsidRPr="00A40017">
        <w:t xml:space="preserve"> autumn 2013</w:t>
      </w:r>
      <w:r>
        <w:t xml:space="preserve"> with abundant precipitation,</w:t>
      </w:r>
      <w:r w:rsidRPr="00A40017">
        <w:t xml:space="preserve"> indicate physiological stress and low PS II efficiency due to insufficient precipitation. Similarly, Nijp </w:t>
      </w:r>
      <w:r>
        <w:t>et al.</w:t>
      </w:r>
      <w:r w:rsidRPr="00A40017">
        <w:t xml:space="preserve"> (2014) have found </w:t>
      </w:r>
      <w:r w:rsidRPr="00A40017">
        <w:rPr>
          <w:i/>
        </w:rPr>
        <w:t>Sphagnum</w:t>
      </w:r>
      <w:r w:rsidRPr="00A40017">
        <w:t xml:space="preserve"> photosynthesis to depend on precipitation. They </w:t>
      </w:r>
      <w:r w:rsidRPr="00A40017">
        <w:lastRenderedPageBreak/>
        <w:t xml:space="preserve">also highlighted the differences between species and their </w:t>
      </w:r>
      <w:r>
        <w:t>position</w:t>
      </w:r>
      <w:r w:rsidRPr="00A40017">
        <w:t xml:space="preserve"> on the microtopographic gradient. Indeed, in dry autumn 2014, Fv/Fm of </w:t>
      </w:r>
      <w:r w:rsidRPr="00A40017">
        <w:rPr>
          <w:i/>
          <w:iCs/>
        </w:rPr>
        <w:t>S. scorpioides</w:t>
      </w:r>
      <w:r w:rsidRPr="00A40017">
        <w:t xml:space="preserve"> dropped even lower than </w:t>
      </w:r>
      <w:r>
        <w:t>that</w:t>
      </w:r>
      <w:r w:rsidRPr="00A40017">
        <w:t xml:space="preserve"> of </w:t>
      </w:r>
      <w:r w:rsidRPr="00A40017">
        <w:rPr>
          <w:i/>
        </w:rPr>
        <w:t>C. stellatum</w:t>
      </w:r>
      <w:r w:rsidRPr="00A40017">
        <w:t xml:space="preserve"> did.</w:t>
      </w:r>
      <w:r>
        <w:t xml:space="preserve"> As indicated by</w:t>
      </w:r>
      <w:r w:rsidRPr="00A40017">
        <w:t xml:space="preserve"> Nijp </w:t>
      </w:r>
      <w:r>
        <w:t>et al.</w:t>
      </w:r>
      <w:r w:rsidRPr="00A40017">
        <w:t xml:space="preserve"> (2014), hollow species have</w:t>
      </w:r>
      <w:r>
        <w:t xml:space="preserve"> an</w:t>
      </w:r>
      <w:r w:rsidRPr="00A40017">
        <w:t xml:space="preserve"> advantage </w:t>
      </w:r>
      <w:r>
        <w:t>when</w:t>
      </w:r>
      <w:r w:rsidRPr="00A40017">
        <w:t xml:space="preserve"> moist, but </w:t>
      </w:r>
      <w:r>
        <w:t>with</w:t>
      </w:r>
      <w:r w:rsidRPr="00A40017">
        <w:t xml:space="preserve"> water table </w:t>
      </w:r>
      <w:r>
        <w:t>draw-down</w:t>
      </w:r>
      <w:r w:rsidRPr="00A40017">
        <w:t xml:space="preserve"> they</w:t>
      </w:r>
      <w:r>
        <w:t xml:space="preserve"> quickly dessicate</w:t>
      </w:r>
      <w:r w:rsidRPr="00A40017">
        <w:t>.</w:t>
      </w:r>
      <w:r>
        <w:t xml:space="preserve"> Moreover, i</w:t>
      </w:r>
      <w:r w:rsidRPr="00A40017">
        <w:t>n 20</w:t>
      </w:r>
      <w:r w:rsidRPr="005128D6">
        <w:t xml:space="preserve">14 </w:t>
      </w:r>
      <w:r>
        <w:t xml:space="preserve">the pigment </w:t>
      </w:r>
      <w:r w:rsidRPr="00A40017">
        <w:t>concentration</w:t>
      </w:r>
      <w:r>
        <w:t>s of</w:t>
      </w:r>
      <w:r w:rsidRPr="00A40017">
        <w:t xml:space="preserve"> </w:t>
      </w:r>
      <w:r w:rsidRPr="002422EA">
        <w:rPr>
          <w:i/>
        </w:rPr>
        <w:t>C. stellatum</w:t>
      </w:r>
      <w:r w:rsidRPr="002422EA">
        <w:t xml:space="preserve"> </w:t>
      </w:r>
      <w:r>
        <w:t xml:space="preserve">were considerably higher </w:t>
      </w:r>
      <w:r w:rsidRPr="00A40017">
        <w:t>than in 2013</w:t>
      </w:r>
      <w:r>
        <w:t xml:space="preserve">, but no difference was observed in </w:t>
      </w:r>
      <w:r w:rsidRPr="00196310">
        <w:rPr>
          <w:i/>
        </w:rPr>
        <w:t>S. scorpioides</w:t>
      </w:r>
      <w:r>
        <w:t>. Similarly to Fv/Fm, the inter-annual difference in pigments could be explained with precipitation in a combination with light and temperature regime, but the difference between the species remain not fully understood.</w:t>
      </w:r>
    </w:p>
    <w:p w:rsidR="00F24DCC" w:rsidRPr="007B5E33" w:rsidRDefault="00F24DCC" w:rsidP="00F24DCC">
      <w:pPr>
        <w:pStyle w:val="Heading2"/>
        <w:spacing w:line="480" w:lineRule="auto"/>
      </w:pPr>
      <w:r>
        <w:t xml:space="preserve">4.2. </w:t>
      </w:r>
      <w:r w:rsidRPr="007B5E33">
        <w:t>Winter climate change and snow manipulation effects</w:t>
      </w:r>
    </w:p>
    <w:p w:rsidR="00F24DCC" w:rsidRPr="00994A4E" w:rsidRDefault="00F24DCC" w:rsidP="00F24DCC">
      <w:pPr>
        <w:pStyle w:val="NormalWeb"/>
        <w:spacing w:line="480" w:lineRule="auto"/>
        <w:jc w:val="both"/>
        <w:rPr>
          <w:lang w:val="en-GB"/>
        </w:rPr>
      </w:pPr>
      <w:r w:rsidRPr="007B5E33">
        <w:t xml:space="preserve">The experimental decrease in snow cover </w:t>
      </w:r>
      <w:r>
        <w:t xml:space="preserve">resulted in a </w:t>
      </w:r>
      <w:r w:rsidRPr="008F11C5">
        <w:t>decline</w:t>
      </w:r>
      <w:r>
        <w:t xml:space="preserve"> in</w:t>
      </w:r>
      <w:r w:rsidRPr="008F11C5">
        <w:t xml:space="preserve"> the concentration of photosynthetic pigments</w:t>
      </w:r>
      <w:r>
        <w:t>,</w:t>
      </w:r>
      <w:r w:rsidRPr="008F11C5">
        <w:t xml:space="preserve"> and increased the level of physiological stress in spring fen bryophytes. </w:t>
      </w:r>
      <w:r>
        <w:t>Likely,</w:t>
      </w:r>
      <w:r w:rsidRPr="008F11C5">
        <w:t xml:space="preserve"> this is a response to a combination of several factors that </w:t>
      </w:r>
      <w:r>
        <w:t>are detrimental to</w:t>
      </w:r>
      <w:r w:rsidRPr="008F11C5">
        <w:t xml:space="preserve"> plant performance. First, the bryophytes in the</w:t>
      </w:r>
      <w:r>
        <w:t xml:space="preserve"> snow removal</w:t>
      </w:r>
      <w:r w:rsidRPr="008F11C5">
        <w:t xml:space="preserve"> plots were likely to experience increased number of freeze-thaw cycles</w:t>
      </w:r>
      <w:r>
        <w:t xml:space="preserve"> (Robroek et al., 2013), </w:t>
      </w:r>
      <w:r w:rsidRPr="008F11C5">
        <w:t>caus</w:t>
      </w:r>
      <w:r>
        <w:t>ing</w:t>
      </w:r>
      <w:r w:rsidRPr="008F11C5">
        <w:t xml:space="preserve"> environmental stress </w:t>
      </w:r>
      <w:r>
        <w:t>to</w:t>
      </w:r>
      <w:r w:rsidRPr="008F11C5">
        <w:t xml:space="preserve"> plants (Kennedy</w:t>
      </w:r>
      <w:r>
        <w:t>, 1993;</w:t>
      </w:r>
      <w:r w:rsidRPr="008F11C5">
        <w:t xml:space="preserve"> Deltoro </w:t>
      </w:r>
      <w:r>
        <w:t>et al</w:t>
      </w:r>
      <w:r w:rsidRPr="008F11C5">
        <w:t>.</w:t>
      </w:r>
      <w:r>
        <w:t>,</w:t>
      </w:r>
      <w:r w:rsidRPr="008F11C5">
        <w:t xml:space="preserve"> 1999; Küttim </w:t>
      </w:r>
      <w:r>
        <w:t>et al.,</w:t>
      </w:r>
      <w:r w:rsidRPr="008F11C5">
        <w:t xml:space="preserve"> 2017). Second, </w:t>
      </w:r>
      <w:r>
        <w:t>due to the</w:t>
      </w:r>
      <w:r w:rsidRPr="008F11C5">
        <w:t xml:space="preserve"> absen</w:t>
      </w:r>
      <w:r>
        <w:t xml:space="preserve">ce of </w:t>
      </w:r>
      <w:r w:rsidRPr="008F11C5">
        <w:t>snow plants</w:t>
      </w:r>
      <w:r>
        <w:t xml:space="preserve"> are exposed </w:t>
      </w:r>
      <w:r w:rsidRPr="008F11C5">
        <w:t>to light in the early spring</w:t>
      </w:r>
      <w:r>
        <w:t>. When combined, these two causes may</w:t>
      </w:r>
      <w:r w:rsidRPr="008F11C5">
        <w:t xml:space="preserve"> </w:t>
      </w:r>
      <w:r>
        <w:t>induce</w:t>
      </w:r>
      <w:r w:rsidRPr="008F11C5">
        <w:t xml:space="preserve"> severe stress and </w:t>
      </w:r>
      <w:r>
        <w:t xml:space="preserve">ultimately </w:t>
      </w:r>
      <w:r w:rsidRPr="008F11C5">
        <w:t>photosynthetic pigmen</w:t>
      </w:r>
      <w:r>
        <w:t xml:space="preserve">t </w:t>
      </w:r>
      <w:r w:rsidRPr="008F11C5">
        <w:t xml:space="preserve">degradation in bryophytes (Huner </w:t>
      </w:r>
      <w:r>
        <w:t>et al.,</w:t>
      </w:r>
      <w:r w:rsidRPr="008F11C5">
        <w:t xml:space="preserve"> 1993; Glime</w:t>
      </w:r>
      <w:r>
        <w:t>,</w:t>
      </w:r>
      <w:r w:rsidRPr="008F11C5">
        <w:t xml:space="preserve"> 2017). Indeed, in the snow removal plots</w:t>
      </w:r>
      <w:r w:rsidRPr="008F11C5" w:rsidDel="00C45B10">
        <w:t xml:space="preserve"> </w:t>
      </w:r>
      <w:r w:rsidRPr="008F11C5">
        <w:t>mid-winter photosynthetic pigment</w:t>
      </w:r>
      <w:r>
        <w:t xml:space="preserve"> </w:t>
      </w:r>
      <w:r w:rsidRPr="008F11C5">
        <w:t xml:space="preserve">concentrations </w:t>
      </w:r>
      <w:r>
        <w:t>of</w:t>
      </w:r>
      <w:r w:rsidRPr="008F11C5">
        <w:t xml:space="preserve"> </w:t>
      </w:r>
      <w:r w:rsidRPr="008F11C5">
        <w:rPr>
          <w:i/>
        </w:rPr>
        <w:t>C. stellatum</w:t>
      </w:r>
      <w:r w:rsidRPr="008F11C5">
        <w:t xml:space="preserve"> declined, while </w:t>
      </w:r>
      <w:r>
        <w:t>an</w:t>
      </w:r>
      <w:r w:rsidRPr="008F11C5">
        <w:t xml:space="preserve"> increase was observed in the ambient plots.</w:t>
      </w:r>
      <w:r w:rsidRPr="0081352C">
        <w:t xml:space="preserve"> </w:t>
      </w:r>
      <w:r>
        <w:t>Lastly</w:t>
      </w:r>
      <w:r w:rsidRPr="00C45B10">
        <w:t xml:space="preserve">, the absence of snow cover in early spring </w:t>
      </w:r>
      <w:r>
        <w:t>reduces</w:t>
      </w:r>
      <w:r w:rsidRPr="00C45B10">
        <w:t xml:space="preserve"> a significant source of water that has been shown to be essential for the physiological changes in plants at the onset of the growing season (Kershaw and Webber</w:t>
      </w:r>
      <w:r>
        <w:t>,</w:t>
      </w:r>
      <w:r w:rsidRPr="00C45B10">
        <w:t xml:space="preserve"> 1986). </w:t>
      </w:r>
    </w:p>
    <w:p w:rsidR="00F24DCC" w:rsidRPr="00084432" w:rsidRDefault="00F24DCC" w:rsidP="00F24DCC">
      <w:pPr>
        <w:pStyle w:val="BodyText"/>
        <w:spacing w:line="480" w:lineRule="auto"/>
        <w:jc w:val="both"/>
      </w:pPr>
      <w:r>
        <w:t>Interestingly,</w:t>
      </w:r>
      <w:r w:rsidRPr="00084432">
        <w:t xml:space="preserve"> t</w:t>
      </w:r>
      <w:r w:rsidRPr="00084432">
        <w:rPr>
          <w:color w:val="000000"/>
        </w:rPr>
        <w:t>he effect</w:t>
      </w:r>
      <w:r>
        <w:rPr>
          <w:color w:val="000000"/>
        </w:rPr>
        <w:t>s</w:t>
      </w:r>
      <w:r w:rsidRPr="00084432">
        <w:rPr>
          <w:color w:val="000000"/>
        </w:rPr>
        <w:t xml:space="preserve"> of snow removal </w:t>
      </w:r>
      <w:r>
        <w:rPr>
          <w:color w:val="000000"/>
        </w:rPr>
        <w:t>on bryophyte ecophysiology rippled</w:t>
      </w:r>
      <w:r w:rsidRPr="00084432">
        <w:rPr>
          <w:color w:val="000000"/>
        </w:rPr>
        <w:t xml:space="preserve"> </w:t>
      </w:r>
      <w:r>
        <w:rPr>
          <w:color w:val="000000"/>
        </w:rPr>
        <w:t xml:space="preserve">into </w:t>
      </w:r>
      <w:r w:rsidRPr="00084432">
        <w:rPr>
          <w:color w:val="000000"/>
        </w:rPr>
        <w:t xml:space="preserve">to the </w:t>
      </w:r>
      <w:r>
        <w:rPr>
          <w:color w:val="000000"/>
        </w:rPr>
        <w:t>summer</w:t>
      </w:r>
      <w:r w:rsidRPr="00084432">
        <w:rPr>
          <w:color w:val="000000"/>
        </w:rPr>
        <w:t xml:space="preserve">. </w:t>
      </w:r>
      <w:r>
        <w:t>It is possible that</w:t>
      </w:r>
      <w:r w:rsidRPr="00084432">
        <w:t xml:space="preserve"> the disappearance of the spring peak of water table desiccate</w:t>
      </w:r>
      <w:r>
        <w:t>d</w:t>
      </w:r>
      <w:r w:rsidRPr="00084432">
        <w:t xml:space="preserve"> the bryophytes in the spring and early summer,</w:t>
      </w:r>
      <w:r>
        <w:t xml:space="preserve"> with</w:t>
      </w:r>
      <w:r w:rsidRPr="00084432">
        <w:t xml:space="preserve"> impact</w:t>
      </w:r>
      <w:r>
        <w:t>s</w:t>
      </w:r>
      <w:r w:rsidRPr="00084432">
        <w:t xml:space="preserve"> on their ecophysiological traits.</w:t>
      </w:r>
      <w:r>
        <w:t xml:space="preserve"> Perhaps frequent and abundant precipitation could have compensated the lack of snow melt water for the bryophyte layer, but that was not the case in spring 2014 at our site.</w:t>
      </w:r>
      <w:r w:rsidRPr="00084432">
        <w:t xml:space="preserve"> </w:t>
      </w:r>
      <w:r w:rsidRPr="00084432">
        <w:rPr>
          <w:color w:val="000000"/>
        </w:rPr>
        <w:t xml:space="preserve">Moreover, the legacy of warm winters is reported to </w:t>
      </w:r>
      <w:r>
        <w:rPr>
          <w:color w:val="000000"/>
        </w:rPr>
        <w:t>hinder</w:t>
      </w:r>
      <w:r w:rsidRPr="00084432">
        <w:rPr>
          <w:color w:val="000000"/>
        </w:rPr>
        <w:t xml:space="preserve"> bryophyte performance (segment growth, photosynthesis and Fv/Fm) many years after the winter warming events (Bjerke </w:t>
      </w:r>
      <w:r>
        <w:rPr>
          <w:color w:val="000000"/>
        </w:rPr>
        <w:t>et al.,</w:t>
      </w:r>
      <w:r w:rsidRPr="00084432">
        <w:rPr>
          <w:color w:val="000000"/>
        </w:rPr>
        <w:t xml:space="preserve"> 2016). Considering that numerous authors have related decrease in both Fv/Fm and chlorophyll-</w:t>
      </w:r>
      <w:r w:rsidRPr="00084432">
        <w:rPr>
          <w:i/>
          <w:iCs/>
          <w:color w:val="000000"/>
        </w:rPr>
        <w:t>a</w:t>
      </w:r>
      <w:r w:rsidRPr="00084432">
        <w:rPr>
          <w:color w:val="000000"/>
        </w:rPr>
        <w:t xml:space="preserve"> concentration to decrease in photosynthesis and gross primary productio</w:t>
      </w:r>
      <w:r>
        <w:rPr>
          <w:color w:val="000000"/>
        </w:rPr>
        <w:t>n (Gaberscik and Martincic, 1987</w:t>
      </w:r>
      <w:r w:rsidRPr="00084432">
        <w:rPr>
          <w:color w:val="000000"/>
        </w:rPr>
        <w:t xml:space="preserve">; Bogdanovic </w:t>
      </w:r>
      <w:r>
        <w:rPr>
          <w:color w:val="000000"/>
        </w:rPr>
        <w:t>et al.,</w:t>
      </w:r>
      <w:r w:rsidRPr="00084432">
        <w:rPr>
          <w:color w:val="000000"/>
        </w:rPr>
        <w:t xml:space="preserve"> 2009; Hajek</w:t>
      </w:r>
      <w:r>
        <w:rPr>
          <w:color w:val="000000"/>
        </w:rPr>
        <w:t>,</w:t>
      </w:r>
      <w:r w:rsidRPr="00084432">
        <w:rPr>
          <w:color w:val="000000"/>
        </w:rPr>
        <w:t xml:space="preserve"> 2014; Devi </w:t>
      </w:r>
      <w:r>
        <w:rPr>
          <w:color w:val="000000"/>
        </w:rPr>
        <w:t>et al.,</w:t>
      </w:r>
      <w:r w:rsidRPr="00084432">
        <w:rPr>
          <w:color w:val="000000"/>
        </w:rPr>
        <w:t xml:space="preserve"> 2015; Küttim </w:t>
      </w:r>
      <w:r>
        <w:rPr>
          <w:color w:val="000000"/>
        </w:rPr>
        <w:t>et al.,</w:t>
      </w:r>
      <w:r w:rsidRPr="00084432">
        <w:rPr>
          <w:color w:val="000000"/>
        </w:rPr>
        <w:t xml:space="preserve"> 2017), the absence of snow is likely to lower the carbon sequestration of these calcareous fens</w:t>
      </w:r>
      <w:r>
        <w:rPr>
          <w:color w:val="000000"/>
        </w:rPr>
        <w:t xml:space="preserve"> (Gavazov et al., 2017)</w:t>
      </w:r>
      <w:r w:rsidRPr="00084432">
        <w:rPr>
          <w:color w:val="000000"/>
        </w:rPr>
        <w:t>.</w:t>
      </w:r>
    </w:p>
    <w:p w:rsidR="00F24DCC" w:rsidRPr="002D75EB" w:rsidRDefault="00F24DCC" w:rsidP="00F24DCC">
      <w:pPr>
        <w:pStyle w:val="BodyText"/>
        <w:spacing w:line="480" w:lineRule="auto"/>
        <w:jc w:val="both"/>
      </w:pPr>
      <w:r w:rsidRPr="007B5E33">
        <w:t xml:space="preserve">Compared to an average year, the field period of 2013/14 can be characterised by relatively warm average temperatures and </w:t>
      </w:r>
      <w:r w:rsidRPr="002D75EB">
        <w:t xml:space="preserve">decreased snowpack. Consequently, probably the effect of snow removal could have been even stronger on an average year, as a short period of snow cover and intermittent snowmelts interrupted subzero temperature balance on the ground and snow subsurface. However, we still encountered substantial alterations in the ecophysiology of bryophytes in a response to snow removal, thus highlighting the role of snow for the overwintering success. </w:t>
      </w:r>
    </w:p>
    <w:p w:rsidR="00F24DCC" w:rsidRPr="002D75EB" w:rsidRDefault="00F24DCC" w:rsidP="00F24DCC">
      <w:pPr>
        <w:pStyle w:val="Heading2"/>
        <w:spacing w:line="480" w:lineRule="auto"/>
        <w:rPr>
          <w:rFonts w:eastAsia="AdvGAR"/>
        </w:rPr>
      </w:pPr>
      <w:r>
        <w:rPr>
          <w:rFonts w:eastAsia="AdvGAR"/>
        </w:rPr>
        <w:t xml:space="preserve">4.3. </w:t>
      </w:r>
      <w:r w:rsidRPr="002D75EB">
        <w:rPr>
          <w:rFonts w:eastAsia="AdvGAR"/>
        </w:rPr>
        <w:t>Conclusions</w:t>
      </w:r>
    </w:p>
    <w:p w:rsidR="00F24DCC" w:rsidRPr="002D75EB" w:rsidRDefault="00F24DCC" w:rsidP="00F24DCC">
      <w:pPr>
        <w:pStyle w:val="BodyText"/>
        <w:spacing w:line="480" w:lineRule="auto"/>
        <w:jc w:val="both"/>
      </w:pPr>
      <w:r w:rsidRPr="002D75EB">
        <w:t xml:space="preserve">We showed that decreased snow cover constrains bryophyte performance in the winter, and this effect cascades to the growing season. Even though precipitation has a major role on relieving these impacts, the altered temporal distribution of precipitation events desiccate seasonally the bryophytes and the topmost peat layer. These effects are more severe on hummocks, and thus </w:t>
      </w:r>
      <w:r w:rsidRPr="002D75EB">
        <w:rPr>
          <w:i/>
        </w:rPr>
        <w:t>C. stellatum</w:t>
      </w:r>
      <w:r w:rsidRPr="002D75EB">
        <w:t xml:space="preserve"> is more threatened by the changing climate than </w:t>
      </w:r>
      <w:r w:rsidRPr="002D75EB">
        <w:rPr>
          <w:i/>
        </w:rPr>
        <w:t>S. scorpioides</w:t>
      </w:r>
      <w:r w:rsidRPr="002D75EB">
        <w:t>, and is likely to be partly replaced by vascular plants. Our results within the winter climate change predictions suggest that declined PS II efficiency (Fv/Fm) and pigment concentrations of bryophytes are likely to suppress their photosynthetic capacity. That</w:t>
      </w:r>
      <w:r>
        <w:t xml:space="preserve"> in turn will probab</w:t>
      </w:r>
      <w:r w:rsidRPr="002D75EB">
        <w:t xml:space="preserve">ly result in an overall shift in the composition of vegetation, and losses in a carbon gain of calcareous spring fens. </w:t>
      </w:r>
    </w:p>
    <w:p w:rsidR="00F24DCC" w:rsidRPr="002D75EB" w:rsidRDefault="00F24DCC" w:rsidP="00F24DCC">
      <w:pPr>
        <w:pStyle w:val="Heading1"/>
        <w:spacing w:line="480" w:lineRule="auto"/>
      </w:pPr>
      <w:r w:rsidRPr="002D75EB">
        <w:t>ACKNOWLEDGEMENTS</w:t>
      </w:r>
    </w:p>
    <w:p w:rsidR="00F24DCC" w:rsidRDefault="00F24DCC" w:rsidP="00F24DCC">
      <w:pPr>
        <w:pStyle w:val="BodyText"/>
        <w:spacing w:line="480" w:lineRule="auto"/>
        <w:jc w:val="both"/>
        <w:rPr>
          <w:color w:val="000000"/>
        </w:rPr>
      </w:pPr>
      <w:r w:rsidRPr="002D75EB">
        <w:rPr>
          <w:color w:val="000000"/>
        </w:rPr>
        <w:t>This study was supported by the Centres of Excellence „Studies of Natural and Man-Made Environments“ and „Natural Sciences and Sustainable Development“ at Tallinn University.</w:t>
      </w:r>
      <w:r>
        <w:rPr>
          <w:color w:val="000000"/>
        </w:rPr>
        <w:t xml:space="preserve"> </w:t>
      </w:r>
      <w:r>
        <w:t xml:space="preserve">MK and LK were supported by the Institutional Grant “Enchanted” (IUT 18-9). Kone Foundation and </w:t>
      </w:r>
      <w:r>
        <w:rPr>
          <w:lang w:val="en-US"/>
        </w:rPr>
        <w:t xml:space="preserve">the Academy of Finland (project code 287039) </w:t>
      </w:r>
      <w:r>
        <w:t>supported AML</w:t>
      </w:r>
      <w:r>
        <w:rPr>
          <w:color w:val="000000"/>
        </w:rPr>
        <w:t xml:space="preserve">. </w:t>
      </w:r>
      <w:r w:rsidRPr="002D75EB">
        <w:rPr>
          <w:color w:val="000000"/>
        </w:rPr>
        <w:t>The authors would like to thank Estonian Weather Service for providing the environmental data of the field site, and Uko Umbleja and Martin Jaanus (Tallinn University of Technology) for providing the technical support concerning the field equipment. Raimo Pajula helped to create the site map. The valuable comments on the manuscript by Shinya Sugita, Anna-Helena Purre and Marko Vainu are acknowledged.</w:t>
      </w:r>
    </w:p>
    <w:p w:rsidR="00F24DCC" w:rsidRDefault="00F24DCC" w:rsidP="00F24DCC">
      <w:pPr>
        <w:pStyle w:val="BodyText"/>
        <w:spacing w:line="480" w:lineRule="auto"/>
        <w:jc w:val="both"/>
        <w:rPr>
          <w:color w:val="000000"/>
        </w:rPr>
      </w:pPr>
    </w:p>
    <w:p w:rsidR="00F24DCC" w:rsidRDefault="00F24DCC" w:rsidP="00F24DCC">
      <w:pPr>
        <w:pStyle w:val="BodyText"/>
        <w:spacing w:line="480" w:lineRule="auto"/>
        <w:jc w:val="both"/>
        <w:rPr>
          <w:color w:val="000000"/>
        </w:rPr>
      </w:pPr>
      <w:r w:rsidRPr="002D2AEA">
        <w:rPr>
          <w:b/>
          <w:i/>
        </w:rPr>
        <w:t>Author contributions:</w:t>
      </w:r>
      <w:r>
        <w:t xml:space="preserve">  </w:t>
      </w:r>
      <w:r w:rsidRPr="002D2AEA">
        <w:rPr>
          <w:bCs/>
          <w:iCs/>
        </w:rPr>
        <w:t xml:space="preserve">MK originally formulated the idea, and planned the study with MI. MK and LK conducted fieldwork and laboratory analyses. MK, LK and BJMR analysed the data and created the figures. MK, AML and BJMR wrote the manuscript; </w:t>
      </w:r>
      <w:r>
        <w:rPr>
          <w:bCs/>
          <w:iCs/>
        </w:rPr>
        <w:t>other authors provided</w:t>
      </w:r>
      <w:r w:rsidRPr="002D2AEA">
        <w:rPr>
          <w:bCs/>
          <w:iCs/>
        </w:rPr>
        <w:t xml:space="preserve"> advice</w:t>
      </w:r>
      <w:r>
        <w:rPr>
          <w:bCs/>
          <w:iCs/>
        </w:rPr>
        <w:t xml:space="preserve"> on editing and reviewing the manuscript</w:t>
      </w:r>
      <w:r w:rsidRPr="002D2AEA">
        <w:rPr>
          <w:bCs/>
          <w:iCs/>
        </w:rPr>
        <w:t>.</w:t>
      </w:r>
    </w:p>
    <w:p w:rsidR="00F24DCC" w:rsidRDefault="00F24DCC" w:rsidP="00F24DCC">
      <w:pPr>
        <w:pStyle w:val="BodyText"/>
        <w:spacing w:line="480" w:lineRule="auto"/>
        <w:jc w:val="both"/>
        <w:rPr>
          <w:color w:val="000000"/>
        </w:rPr>
      </w:pPr>
    </w:p>
    <w:p w:rsidR="00F24DCC" w:rsidRDefault="00F24DCC" w:rsidP="00F24DCC">
      <w:pPr>
        <w:pStyle w:val="BodyText"/>
        <w:spacing w:line="480" w:lineRule="auto"/>
        <w:jc w:val="both"/>
        <w:rPr>
          <w:bCs/>
          <w:iCs/>
          <w:color w:val="000000"/>
        </w:rPr>
      </w:pPr>
      <w:r w:rsidRPr="008F29C9">
        <w:rPr>
          <w:b/>
          <w:bCs/>
          <w:i/>
          <w:iCs/>
          <w:color w:val="000000"/>
        </w:rPr>
        <w:t xml:space="preserve">Conflict of Interest: </w:t>
      </w:r>
      <w:r w:rsidRPr="008F29C9">
        <w:rPr>
          <w:bCs/>
          <w:iCs/>
          <w:color w:val="000000"/>
        </w:rPr>
        <w:t>The authors declare that they have no conflict of interest</w:t>
      </w:r>
      <w:r>
        <w:rPr>
          <w:bCs/>
          <w:iCs/>
          <w:color w:val="000000"/>
        </w:rPr>
        <w:t xml:space="preserve"> nor competing interests</w:t>
      </w:r>
      <w:r w:rsidRPr="008F29C9">
        <w:rPr>
          <w:bCs/>
          <w:iCs/>
          <w:color w:val="000000"/>
        </w:rPr>
        <w:t>.</w:t>
      </w:r>
    </w:p>
    <w:p w:rsidR="00F24DCC" w:rsidRPr="008F29C9" w:rsidRDefault="00F24DCC" w:rsidP="00F24DCC">
      <w:pPr>
        <w:pStyle w:val="BodyText"/>
        <w:spacing w:line="480" w:lineRule="auto"/>
        <w:jc w:val="both"/>
        <w:rPr>
          <w:b/>
          <w:bCs/>
          <w:iCs/>
          <w:color w:val="000000"/>
        </w:rPr>
      </w:pPr>
    </w:p>
    <w:p w:rsidR="00F24DCC" w:rsidRPr="008F29C9" w:rsidRDefault="00F24DCC" w:rsidP="00F24DCC">
      <w:pPr>
        <w:pStyle w:val="BodyText"/>
        <w:spacing w:line="480" w:lineRule="auto"/>
        <w:jc w:val="both"/>
        <w:rPr>
          <w:b/>
          <w:bCs/>
          <w:i/>
          <w:iCs/>
          <w:color w:val="000000"/>
        </w:rPr>
      </w:pPr>
      <w:r w:rsidRPr="008F29C9">
        <w:rPr>
          <w:b/>
          <w:bCs/>
          <w:i/>
          <w:iCs/>
          <w:color w:val="000000"/>
        </w:rPr>
        <w:t xml:space="preserve">Ethical approval: </w:t>
      </w:r>
      <w:r w:rsidRPr="008F29C9">
        <w:rPr>
          <w:bCs/>
          <w:iCs/>
          <w:color w:val="000000"/>
        </w:rPr>
        <w:t>This article does not contain any studies with human participants or animals performed by any of the authors.</w:t>
      </w:r>
      <w:r w:rsidRPr="002D75EB">
        <w:rPr>
          <w:b/>
          <w:bCs/>
          <w:i/>
          <w:iCs/>
          <w:color w:val="000000"/>
        </w:rPr>
        <w:br w:type="page"/>
      </w:r>
    </w:p>
    <w:p w:rsidR="00F24DCC" w:rsidRPr="002D75EB" w:rsidRDefault="00F24DCC" w:rsidP="00F24DCC">
      <w:pPr>
        <w:pStyle w:val="Heading1"/>
        <w:spacing w:line="480" w:lineRule="auto"/>
      </w:pPr>
      <w:r w:rsidRPr="002D75EB">
        <w:t>REFERENCES</w:t>
      </w:r>
    </w:p>
    <w:p w:rsidR="00F24DCC" w:rsidRPr="002D75EB" w:rsidRDefault="00F24DCC" w:rsidP="00F24DCC">
      <w:pPr>
        <w:pStyle w:val="BodyText"/>
        <w:spacing w:line="480" w:lineRule="auto"/>
        <w:jc w:val="both"/>
        <w:rPr>
          <w:rFonts w:eastAsia="AdvPTimes"/>
        </w:rPr>
      </w:pPr>
      <w:r>
        <w:rPr>
          <w:rFonts w:eastAsia="AdvPTimes"/>
        </w:rPr>
        <w:t>Bjerke, J.W., Bokhorst, S., Callaghan, T.V., Phoenix, G.K., 2016.</w:t>
      </w:r>
      <w:r w:rsidRPr="002D75EB">
        <w:rPr>
          <w:rFonts w:eastAsia="AdvPTimes"/>
        </w:rPr>
        <w:t xml:space="preserve"> Persistent reduction of segment growth and photosynthesis in a widespread and important sub-Arctic moss species after cessation of three years of experimental winter warming. Funct</w:t>
      </w:r>
      <w:r>
        <w:rPr>
          <w:rFonts w:eastAsia="AdvPTimes"/>
        </w:rPr>
        <w:t>.</w:t>
      </w:r>
      <w:r w:rsidRPr="002D75EB">
        <w:rPr>
          <w:rFonts w:eastAsia="AdvPTimes"/>
        </w:rPr>
        <w:t xml:space="preserve"> </w:t>
      </w:r>
      <w:r>
        <w:rPr>
          <w:rFonts w:eastAsia="AdvPTimes"/>
        </w:rPr>
        <w:t>Ecol. 31, 127-134.</w:t>
      </w:r>
      <w:r w:rsidRPr="002D75EB">
        <w:rPr>
          <w:rFonts w:eastAsia="AdvPTimes"/>
        </w:rPr>
        <w:t xml:space="preserve"> doi</w:t>
      </w:r>
      <w:r>
        <w:rPr>
          <w:rFonts w:eastAsia="AdvPTimes"/>
        </w:rPr>
        <w:t>: 10.1111/1365-2435.12703.</w:t>
      </w:r>
    </w:p>
    <w:p w:rsidR="00F24DCC" w:rsidRPr="002D75EB" w:rsidRDefault="00F24DCC" w:rsidP="00F24DCC">
      <w:pPr>
        <w:pStyle w:val="BodyText"/>
        <w:spacing w:line="480" w:lineRule="auto"/>
        <w:jc w:val="both"/>
        <w:rPr>
          <w:rFonts w:eastAsia="AdvPTimes"/>
        </w:rPr>
      </w:pPr>
      <w:r>
        <w:rPr>
          <w:rFonts w:eastAsia="AdvPTimes"/>
        </w:rPr>
        <w:t>Bogdanovic, M., Sabovljević, M.</w:t>
      </w:r>
      <w:r w:rsidRPr="002D75EB">
        <w:rPr>
          <w:rFonts w:eastAsia="AdvPTimes"/>
        </w:rPr>
        <w:t>,</w:t>
      </w:r>
      <w:r>
        <w:rPr>
          <w:rFonts w:eastAsia="AdvPTimes"/>
        </w:rPr>
        <w:t xml:space="preserve"> Sabovljević, A., Grubišić, D., 2009.</w:t>
      </w:r>
      <w:r w:rsidRPr="002D75EB">
        <w:rPr>
          <w:rFonts w:eastAsia="AdvPTimes"/>
        </w:rPr>
        <w:t xml:space="preserve"> The influence of gypsiferous substrata on bryophyte growth: are there obligatory gypsophilous bryo</w:t>
      </w:r>
      <w:r>
        <w:rPr>
          <w:rFonts w:eastAsia="AdvPTimes"/>
        </w:rPr>
        <w:t>phytes? Bot. Serbica 33(1), 75-82.</w:t>
      </w:r>
    </w:p>
    <w:p w:rsidR="00F24DCC" w:rsidRPr="002D75EB" w:rsidRDefault="00F24DCC" w:rsidP="00F24DCC">
      <w:pPr>
        <w:pStyle w:val="BodyText"/>
        <w:spacing w:line="480" w:lineRule="auto"/>
        <w:jc w:val="both"/>
      </w:pPr>
      <w:r>
        <w:t xml:space="preserve">Bridgham, S.D., </w:t>
      </w:r>
      <w:r w:rsidRPr="002D75EB">
        <w:t>Pastor</w:t>
      </w:r>
      <w:r>
        <w:t xml:space="preserve">, J., </w:t>
      </w:r>
      <w:r w:rsidRPr="002D75EB">
        <w:t>Dewey</w:t>
      </w:r>
      <w:r>
        <w:t xml:space="preserve">, B., </w:t>
      </w:r>
      <w:r w:rsidRPr="002D75EB">
        <w:t>W</w:t>
      </w:r>
      <w:r>
        <w:t>eltzin, J.F., Updegraff, K., 2008.</w:t>
      </w:r>
      <w:r w:rsidRPr="002D75EB">
        <w:t xml:space="preserve"> Rapid carbon response of peatl</w:t>
      </w:r>
      <w:r>
        <w:t>ands to climate change. Ecology 89(11), 3041–3048. doi:10.1890/08-0279.1.</w:t>
      </w:r>
    </w:p>
    <w:p w:rsidR="00F24DCC" w:rsidRPr="002D75EB" w:rsidRDefault="00F24DCC" w:rsidP="00F24DCC">
      <w:pPr>
        <w:pStyle w:val="BodyText"/>
        <w:spacing w:line="480" w:lineRule="auto"/>
        <w:jc w:val="both"/>
      </w:pPr>
      <w:r>
        <w:t>Bukhov, N.G., Heber, U., Wiese, C., Shuvalov, V.A.,</w:t>
      </w:r>
      <w:r w:rsidRPr="002D75EB">
        <w:t xml:space="preserve"> </w:t>
      </w:r>
      <w:r>
        <w:t>2001.</w:t>
      </w:r>
      <w:r w:rsidRPr="002D75EB">
        <w:t xml:space="preserve"> Energy dissipation in photosynthesis: does the quenching of chlorophyll fluorescence originate from antenna complexes of photosystem II or from t</w:t>
      </w:r>
      <w:r>
        <w:t>he reaction center? Planta 212, 749-758.</w:t>
      </w:r>
    </w:p>
    <w:p w:rsidR="00F24DCC" w:rsidRPr="002D75EB" w:rsidRDefault="00F24DCC" w:rsidP="00F24DCC">
      <w:pPr>
        <w:pStyle w:val="BodyText"/>
        <w:spacing w:line="480" w:lineRule="auto"/>
        <w:jc w:val="both"/>
        <w:rPr>
          <w:rFonts w:eastAsia="AdvGAR"/>
        </w:rPr>
      </w:pPr>
      <w:r>
        <w:t>Clapham, A.R., 1940.</w:t>
      </w:r>
      <w:r w:rsidRPr="002D75EB">
        <w:t xml:space="preserve"> The role of bryophytes in the calcareous fens of</w:t>
      </w:r>
      <w:r>
        <w:t xml:space="preserve"> the Oxford district. J. Ecol. 28, 71-80. doi: </w:t>
      </w:r>
      <w:r w:rsidRPr="002945EB">
        <w:t>10.2307/2256163</w:t>
      </w:r>
      <w:r>
        <w:t>.</w:t>
      </w:r>
    </w:p>
    <w:p w:rsidR="00F24DCC" w:rsidRPr="002D75EB" w:rsidRDefault="00F24DCC" w:rsidP="00F24DCC">
      <w:pPr>
        <w:pStyle w:val="BodyText"/>
        <w:spacing w:line="480" w:lineRule="auto"/>
        <w:jc w:val="both"/>
      </w:pPr>
      <w:r>
        <w:t>Deltoro, V.I., Calatayud, A., Gimeno, C.</w:t>
      </w:r>
      <w:r w:rsidRPr="002D75EB">
        <w:t xml:space="preserve">, </w:t>
      </w:r>
      <w:r>
        <w:t>Barreno, E.,</w:t>
      </w:r>
      <w:r w:rsidRPr="002D75EB">
        <w:t xml:space="preserve"> </w:t>
      </w:r>
      <w:r>
        <w:t>1998.</w:t>
      </w:r>
      <w:r w:rsidRPr="002D75EB">
        <w:t xml:space="preserve"> Water relations, chlorophyll fluorescence, and membrane permeability during desiccation in bryophytes from xeric, mesic, and hydric</w:t>
      </w:r>
      <w:r>
        <w:t xml:space="preserve"> environments. Can. J. Bot. 76, 1923–1929. doi: </w:t>
      </w:r>
      <w:r w:rsidRPr="00B31A1D">
        <w:t>10.1139/b98-167</w:t>
      </w:r>
      <w:r>
        <w:t>.</w:t>
      </w:r>
    </w:p>
    <w:p w:rsidR="00F24DCC" w:rsidRPr="002D75EB" w:rsidRDefault="00F24DCC" w:rsidP="00F24DCC">
      <w:pPr>
        <w:pStyle w:val="BodyText"/>
        <w:spacing w:line="480" w:lineRule="auto"/>
        <w:jc w:val="both"/>
      </w:pPr>
      <w:r>
        <w:t>Deltoro, V.I., Calatayud, A., Morales, F.</w:t>
      </w:r>
      <w:r w:rsidRPr="002D75EB">
        <w:t>, Ab</w:t>
      </w:r>
      <w:r>
        <w:t>adia, A., Barreno, E.,</w:t>
      </w:r>
      <w:r w:rsidRPr="002D75EB">
        <w:t xml:space="preserve"> </w:t>
      </w:r>
      <w:r>
        <w:t>1999.</w:t>
      </w:r>
      <w:r w:rsidRPr="002D75EB">
        <w:t xml:space="preserve"> Changes in net photosynthesis, chlorophyll fluorescence and xanthophyll cycle interconversions during freeze-thaw cycles in the Mediterranean moss </w:t>
      </w:r>
      <w:r w:rsidRPr="002D75EB">
        <w:rPr>
          <w:i/>
        </w:rPr>
        <w:t>Leucodon sciuroides</w:t>
      </w:r>
      <w:r>
        <w:t xml:space="preserve">. Oecologia 120, 499–505. doi: </w:t>
      </w:r>
      <w:r w:rsidRPr="00B31A1D">
        <w:t>10.1007/s004420050</w:t>
      </w:r>
      <w:r>
        <w:t>.</w:t>
      </w:r>
    </w:p>
    <w:p w:rsidR="00F24DCC" w:rsidRPr="002D75EB" w:rsidRDefault="00F24DCC" w:rsidP="00F24DCC">
      <w:pPr>
        <w:pStyle w:val="BodyText"/>
        <w:spacing w:line="480" w:lineRule="auto"/>
        <w:jc w:val="both"/>
      </w:pPr>
      <w:r>
        <w:t>Devi, K.</w:t>
      </w:r>
      <w:r w:rsidRPr="002D75EB">
        <w:t>, Ka</w:t>
      </w:r>
      <w:r>
        <w:t>pila, S., Rao, A., 2015.</w:t>
      </w:r>
      <w:r w:rsidRPr="002D75EB">
        <w:t xml:space="preserve"> Seasonal variations in photosynthetic pigments of three species of Marchantiaceae. Int</w:t>
      </w:r>
      <w:r>
        <w:t>. J.</w:t>
      </w:r>
      <w:r w:rsidRPr="002D75EB">
        <w:t xml:space="preserve"> Adv</w:t>
      </w:r>
      <w:r>
        <w:t>. Pharm. Biol. Chem. 4(3), 713-718.</w:t>
      </w:r>
    </w:p>
    <w:p w:rsidR="00F24DCC" w:rsidRPr="002D75EB" w:rsidRDefault="00F24DCC" w:rsidP="00F24DCC">
      <w:pPr>
        <w:pStyle w:val="BodyText"/>
        <w:spacing w:line="480" w:lineRule="auto"/>
        <w:jc w:val="both"/>
      </w:pPr>
      <w:r w:rsidRPr="002D75EB">
        <w:t>Dorrepaal</w:t>
      </w:r>
      <w:r>
        <w:t>,</w:t>
      </w:r>
      <w:r w:rsidRPr="002D75EB">
        <w:t xml:space="preserve"> E</w:t>
      </w:r>
      <w:r>
        <w:t>.</w:t>
      </w:r>
      <w:r w:rsidRPr="002D75EB">
        <w:t>, Aerts</w:t>
      </w:r>
      <w:r>
        <w:t>,</w:t>
      </w:r>
      <w:r w:rsidRPr="002D75EB">
        <w:t xml:space="preserve"> R</w:t>
      </w:r>
      <w:r>
        <w:t>.</w:t>
      </w:r>
      <w:r w:rsidRPr="002D75EB">
        <w:t>, Cornelissen</w:t>
      </w:r>
      <w:r>
        <w:t>,</w:t>
      </w:r>
      <w:r w:rsidRPr="002D75EB">
        <w:t xml:space="preserve"> J</w:t>
      </w:r>
      <w:r>
        <w:t>.</w:t>
      </w:r>
      <w:r w:rsidRPr="002D75EB">
        <w:t>H</w:t>
      </w:r>
      <w:r>
        <w:t>.</w:t>
      </w:r>
      <w:r w:rsidRPr="002D75EB">
        <w:t>C</w:t>
      </w:r>
      <w:r>
        <w:t>.</w:t>
      </w:r>
      <w:r w:rsidRPr="002D75EB">
        <w:t>, Callaghan</w:t>
      </w:r>
      <w:r>
        <w:t>,</w:t>
      </w:r>
      <w:r w:rsidRPr="002D75EB">
        <w:t xml:space="preserve"> T</w:t>
      </w:r>
      <w:r>
        <w:t>.</w:t>
      </w:r>
      <w:r w:rsidRPr="002D75EB">
        <w:t>V</w:t>
      </w:r>
      <w:r>
        <w:t>.</w:t>
      </w:r>
      <w:r w:rsidRPr="002D75EB">
        <w:t>, Van Logtesti</w:t>
      </w:r>
      <w:r>
        <w:t>jn, R.S.P., 2004.</w:t>
      </w:r>
      <w:r w:rsidRPr="002D75EB">
        <w:t xml:space="preserve"> Summer warming and increased winter snow cover affect </w:t>
      </w:r>
      <w:r w:rsidRPr="00B31A1D">
        <w:rPr>
          <w:i/>
        </w:rPr>
        <w:t>Sphagnum fuscum</w:t>
      </w:r>
      <w:r w:rsidRPr="002D75EB">
        <w:t xml:space="preserve"> growth, structure and production in a sub-arctic bog. Glob</w:t>
      </w:r>
      <w:r>
        <w:t>.</w:t>
      </w:r>
      <w:r w:rsidRPr="002D75EB">
        <w:t xml:space="preserve"> Change Biol</w:t>
      </w:r>
      <w:r>
        <w:t xml:space="preserve">. 10, </w:t>
      </w:r>
      <w:r w:rsidRPr="002D75EB">
        <w:t>93–104</w:t>
      </w:r>
      <w:r>
        <w:t xml:space="preserve">. doi: </w:t>
      </w:r>
      <w:r w:rsidRPr="00B31A1D">
        <w:t>10.1111/j.1365-2486.2003.00718.x</w:t>
      </w:r>
      <w:r>
        <w:t>.</w:t>
      </w:r>
    </w:p>
    <w:p w:rsidR="00F24DCC" w:rsidRPr="002D75EB" w:rsidRDefault="00F24DCC" w:rsidP="00F24DCC">
      <w:pPr>
        <w:pStyle w:val="BodyText"/>
        <w:spacing w:line="480" w:lineRule="auto"/>
        <w:jc w:val="both"/>
      </w:pPr>
      <w:r w:rsidRPr="002D75EB">
        <w:t>Eurola</w:t>
      </w:r>
      <w:r>
        <w:t>, S., 1975.</w:t>
      </w:r>
      <w:r w:rsidRPr="002D75EB">
        <w:t xml:space="preserve"> Snow and ground frost conditions of some Finnis</w:t>
      </w:r>
      <w:r>
        <w:t>h mire types. Ann. Bot. Fennici 12, 1-16.</w:t>
      </w:r>
    </w:p>
    <w:p w:rsidR="00F24DCC" w:rsidRDefault="00F24DCC" w:rsidP="00F24DCC">
      <w:pPr>
        <w:pStyle w:val="BodyText"/>
        <w:spacing w:line="480" w:lineRule="auto"/>
        <w:jc w:val="both"/>
      </w:pPr>
      <w:r>
        <w:t>Gaberšcik, A., Martincic, A., 1987.</w:t>
      </w:r>
      <w:r w:rsidRPr="002D75EB">
        <w:t xml:space="preserve"> Seasonal dynamics of net photosynthesis and productivity of </w:t>
      </w:r>
      <w:r w:rsidRPr="00B31A1D">
        <w:rPr>
          <w:i/>
        </w:rPr>
        <w:t>Sphagnum papillosum</w:t>
      </w:r>
      <w:r>
        <w:t>. Lindbergia 13, 105-110.</w:t>
      </w:r>
    </w:p>
    <w:p w:rsidR="00F24DCC" w:rsidRPr="002D75EB" w:rsidRDefault="00F24DCC" w:rsidP="00F24DCC">
      <w:pPr>
        <w:pStyle w:val="BodyText"/>
        <w:spacing w:line="480" w:lineRule="auto"/>
        <w:jc w:val="both"/>
      </w:pPr>
      <w:r>
        <w:t>Gavazov, K., Ingrischm J., Hasibeder, R., Mills, R.T.E., Buttler, A., Gleixner, G., Pumpanen, J., Bahn, M., 2017. Winter ecology of a subalpine grassland: Effects of snow removal on soil respiration, microbial structure and function. Sci. Total Environ. 590-591, 316-324.</w:t>
      </w:r>
    </w:p>
    <w:p w:rsidR="00F24DCC" w:rsidRPr="002D75EB" w:rsidRDefault="00F24DCC" w:rsidP="00F24DCC">
      <w:pPr>
        <w:pStyle w:val="BodyText"/>
        <w:spacing w:line="480" w:lineRule="auto"/>
        <w:jc w:val="both"/>
      </w:pPr>
      <w:r>
        <w:t>Gehrke, C., 1998.</w:t>
      </w:r>
      <w:r w:rsidRPr="002D75EB">
        <w:t xml:space="preserve"> Effects of enhanced UV-B radiation on production-related properties of a </w:t>
      </w:r>
      <w:r w:rsidRPr="00B31A1D">
        <w:rPr>
          <w:i/>
        </w:rPr>
        <w:t>Sphagnum fuscum</w:t>
      </w:r>
      <w:r w:rsidRPr="002D75EB">
        <w:t xml:space="preserve"> dominated subarc</w:t>
      </w:r>
      <w:r>
        <w:t xml:space="preserve">tic bog. Funct. Ecol. 12, 940-947. doi: </w:t>
      </w:r>
      <w:r w:rsidRPr="00B31A1D">
        <w:t>10.1046/j.1365-2435.1998.00273.x</w:t>
      </w:r>
      <w:r>
        <w:t>.</w:t>
      </w:r>
    </w:p>
    <w:p w:rsidR="00F24DCC" w:rsidRPr="002D75EB" w:rsidRDefault="00F24DCC" w:rsidP="00F24DCC">
      <w:pPr>
        <w:pStyle w:val="BodyText"/>
        <w:spacing w:line="480" w:lineRule="auto"/>
        <w:jc w:val="both"/>
      </w:pPr>
      <w:r>
        <w:t>Genet, H., Oberbauer, S.F., Colby, S.J., Staudhammer, C.L., Starr, G., 2013.</w:t>
      </w:r>
      <w:r w:rsidRPr="002D75EB">
        <w:t xml:space="preserve"> Growth responses of </w:t>
      </w:r>
      <w:r w:rsidRPr="002D75EB">
        <w:rPr>
          <w:i/>
        </w:rPr>
        <w:t>Sphagnum</w:t>
      </w:r>
      <w:r w:rsidRPr="002D75EB">
        <w:t xml:space="preserve"> hollows to a growing season lengthening manipulation in Ala</w:t>
      </w:r>
      <w:r>
        <w:t>skan Arctic tundra. Polar Biol. 36, 41-50. doi</w:t>
      </w:r>
      <w:r w:rsidRPr="00B31A1D">
        <w:t>: 10.1007/s00300-012-1236-x</w:t>
      </w:r>
      <w:r>
        <w:t>.</w:t>
      </w:r>
    </w:p>
    <w:p w:rsidR="00F24DCC" w:rsidRDefault="00F24DCC" w:rsidP="00F24DCC">
      <w:pPr>
        <w:pStyle w:val="BodyText"/>
        <w:spacing w:line="480" w:lineRule="auto"/>
        <w:jc w:val="both"/>
      </w:pPr>
      <w:r>
        <w:t xml:space="preserve">Glime, J.M., </w:t>
      </w:r>
      <w:r w:rsidRPr="002D75EB">
        <w:t>201</w:t>
      </w:r>
      <w:r>
        <w:t>7.</w:t>
      </w:r>
      <w:r w:rsidRPr="002D75EB">
        <w:t xml:space="preserve"> Bryophyte Ecology, Vol. 1. Physiological Ecology. </w:t>
      </w:r>
      <w:r w:rsidRPr="005721B9">
        <w:t>Ebook. IAB, Michigan.</w:t>
      </w:r>
    </w:p>
    <w:p w:rsidR="00F24DCC" w:rsidRPr="005721B9" w:rsidRDefault="00F24DCC" w:rsidP="00F24DCC">
      <w:pPr>
        <w:pStyle w:val="BodyText"/>
        <w:spacing w:line="480" w:lineRule="auto"/>
        <w:jc w:val="both"/>
      </w:pPr>
      <w:r>
        <w:t>Granath, G., Strengbom,</w:t>
      </w:r>
      <w:r w:rsidRPr="00F133BA">
        <w:t xml:space="preserve"> J</w:t>
      </w:r>
      <w:r>
        <w:t>., Breeuwer, A.,  Heijmans, M.M.P.D., Berendse, F., Rydin, H., 2009.</w:t>
      </w:r>
      <w:r w:rsidRPr="00F133BA">
        <w:t xml:space="preserve"> Photosynthetic performance in </w:t>
      </w:r>
      <w:r w:rsidRPr="002945EB">
        <w:rPr>
          <w:i/>
        </w:rPr>
        <w:t>Sphagnum</w:t>
      </w:r>
      <w:r w:rsidRPr="00F133BA">
        <w:t xml:space="preserve"> transplanted along a latitudinal nitrogen deposition gradient. Oecologia</w:t>
      </w:r>
      <w:r>
        <w:t xml:space="preserve"> 159(</w:t>
      </w:r>
      <w:r w:rsidRPr="002945EB">
        <w:t>4</w:t>
      </w:r>
      <w:r>
        <w:t xml:space="preserve">), </w:t>
      </w:r>
      <w:r w:rsidRPr="002945EB">
        <w:t>705–715</w:t>
      </w:r>
      <w:r>
        <w:t>. doi 10.1007/s00442-008-1261-1.</w:t>
      </w:r>
    </w:p>
    <w:p w:rsidR="00F24DCC" w:rsidRPr="005721B9" w:rsidRDefault="00F24DCC" w:rsidP="00F24DCC">
      <w:pPr>
        <w:pStyle w:val="BodyText"/>
        <w:spacing w:line="480" w:lineRule="auto"/>
        <w:jc w:val="both"/>
        <w:rPr>
          <w:rFonts w:eastAsia="AdvPTimes"/>
        </w:rPr>
      </w:pPr>
      <w:r>
        <w:rPr>
          <w:rFonts w:eastAsia="AdvPTimes"/>
        </w:rPr>
        <w:t>Groffman, P.M., Driscoll, C.T.</w:t>
      </w:r>
      <w:r w:rsidRPr="007B5E33">
        <w:rPr>
          <w:rFonts w:eastAsia="AdvPTimes"/>
        </w:rPr>
        <w:t>, Fahey</w:t>
      </w:r>
      <w:r>
        <w:rPr>
          <w:rFonts w:eastAsia="AdvPTimes"/>
        </w:rPr>
        <w:t>,</w:t>
      </w:r>
      <w:r w:rsidRPr="007B5E33">
        <w:rPr>
          <w:rFonts w:eastAsia="AdvPTimes"/>
        </w:rPr>
        <w:t xml:space="preserve"> T</w:t>
      </w:r>
      <w:r>
        <w:rPr>
          <w:rFonts w:eastAsia="AdvPTimes"/>
        </w:rPr>
        <w:t>.J., Hardy, J.P., Fitzhugh, R.D.,</w:t>
      </w:r>
      <w:r w:rsidRPr="007B5E33">
        <w:rPr>
          <w:rFonts w:eastAsia="AdvPTimes"/>
        </w:rPr>
        <w:t xml:space="preserve"> Tierney</w:t>
      </w:r>
      <w:r>
        <w:rPr>
          <w:rFonts w:eastAsia="AdvPTimes"/>
        </w:rPr>
        <w:t>,</w:t>
      </w:r>
      <w:r w:rsidRPr="007B5E33">
        <w:rPr>
          <w:rFonts w:eastAsia="AdvPTimes"/>
        </w:rPr>
        <w:t xml:space="preserve"> G</w:t>
      </w:r>
      <w:r>
        <w:rPr>
          <w:rFonts w:eastAsia="AdvPTimes"/>
        </w:rPr>
        <w:t>.L., 2001.</w:t>
      </w:r>
      <w:r w:rsidRPr="007B5E33">
        <w:rPr>
          <w:rFonts w:eastAsia="AdvPTimes"/>
        </w:rPr>
        <w:t xml:space="preserve"> Colder soils in a warme</w:t>
      </w:r>
      <w:r w:rsidRPr="002D75EB">
        <w:rPr>
          <w:rFonts w:eastAsia="AdvPTimes"/>
        </w:rPr>
        <w:t xml:space="preserve">r world: a snow manipulation study in a northern hardwood forest ecosystem. </w:t>
      </w:r>
      <w:r>
        <w:rPr>
          <w:rFonts w:eastAsia="AdvPTimes"/>
        </w:rPr>
        <w:t xml:space="preserve">Biogeochem. 56, 135-150. doi: </w:t>
      </w:r>
      <w:r w:rsidRPr="00B31A1D">
        <w:rPr>
          <w:rFonts w:eastAsia="AdvPTimes"/>
        </w:rPr>
        <w:t>10.1023/A:101303983</w:t>
      </w:r>
      <w:r>
        <w:rPr>
          <w:rFonts w:eastAsia="AdvPTimes"/>
        </w:rPr>
        <w:t>.</w:t>
      </w:r>
    </w:p>
    <w:p w:rsidR="00F24DCC" w:rsidRPr="002D75EB" w:rsidRDefault="00F24DCC" w:rsidP="00F24DCC">
      <w:pPr>
        <w:pStyle w:val="BodyText"/>
        <w:spacing w:line="480" w:lineRule="auto"/>
        <w:jc w:val="both"/>
      </w:pPr>
      <w:r>
        <w:t>Grootjans, A., Alserda, A., Bekker, R., Janáková, M., Kemmers, R.H., Madaras, M., Stanova, V., Ripka, J., van Delft, B., Wolejko, L., 2005.</w:t>
      </w:r>
      <w:r w:rsidRPr="005721B9">
        <w:t xml:space="preserve"> </w:t>
      </w:r>
      <w:r w:rsidRPr="002D75EB">
        <w:t>Calcareous spring mires in Slovakia; jewels in the crown o</w:t>
      </w:r>
      <w:r>
        <w:t>f the mire kingdom. Stapfia 85, 97-115.</w:t>
      </w:r>
    </w:p>
    <w:p w:rsidR="00F24DCC" w:rsidRPr="007B5E33" w:rsidRDefault="00F24DCC" w:rsidP="00F24DCC">
      <w:pPr>
        <w:pStyle w:val="BodyText"/>
        <w:spacing w:line="480" w:lineRule="auto"/>
        <w:jc w:val="both"/>
      </w:pPr>
      <w:r>
        <w:t>Hajek, T., 2014. Physiological Ecology of Peatland Bryophytes. In: Hanson DT, Rice SK (eds) Photosynthesis in Bryophytes and Early Land Plants. Springer, Dordrecht, pp. 233-252.</w:t>
      </w:r>
    </w:p>
    <w:p w:rsidR="00F24DCC" w:rsidRDefault="00F24DCC" w:rsidP="00F24DCC">
      <w:pPr>
        <w:pStyle w:val="BodyText"/>
        <w:spacing w:line="480" w:lineRule="auto"/>
        <w:jc w:val="both"/>
      </w:pPr>
      <w:r>
        <w:t>Huner, N.P.A., Öquist, G.</w:t>
      </w:r>
      <w:r w:rsidRPr="002D75EB">
        <w:t>, Hurry</w:t>
      </w:r>
      <w:r>
        <w:t>,</w:t>
      </w:r>
      <w:r w:rsidRPr="002D75EB">
        <w:t xml:space="preserve"> V</w:t>
      </w:r>
      <w:r>
        <w:t>.M., Krol, M., Falk, S., Griffith, M., 1993.</w:t>
      </w:r>
      <w:r w:rsidRPr="002D75EB">
        <w:t xml:space="preserve"> Photosynthesis, photoinhibition and low temperature acclimation in cold tolerant plan</w:t>
      </w:r>
      <w:r>
        <w:t xml:space="preserve">ts. Photosynth. Res. 37, 19–39. doi: </w:t>
      </w:r>
      <w:r w:rsidRPr="00B31A1D">
        <w:t>10.1007/BF02185436</w:t>
      </w:r>
      <w:r>
        <w:t>.</w:t>
      </w:r>
    </w:p>
    <w:p w:rsidR="00F24DCC" w:rsidRPr="00F36938" w:rsidRDefault="00F24DCC" w:rsidP="00F24DCC">
      <w:pPr>
        <w:pStyle w:val="BodyText"/>
        <w:spacing w:line="480" w:lineRule="auto"/>
        <w:jc w:val="both"/>
        <w:rPr>
          <w:color w:val="000000"/>
        </w:rPr>
      </w:pPr>
      <w:r>
        <w:rPr>
          <w:color w:val="000000"/>
          <w:lang w:val="fi-FI"/>
        </w:rPr>
        <w:t>Hyyryläinen, A., Rautio, P., Turunen, M., Huttunen, S., 2015.</w:t>
      </w:r>
      <w:r w:rsidRPr="00860060">
        <w:rPr>
          <w:color w:val="000000"/>
          <w:lang w:val="fi-FI"/>
        </w:rPr>
        <w:t xml:space="preserve"> </w:t>
      </w:r>
      <w:r w:rsidRPr="003740A1">
        <w:rPr>
          <w:color w:val="000000"/>
        </w:rPr>
        <w:t xml:space="preserve">Seasonal and inter-annual variation in the chlorophyll concentration of three co-existing </w:t>
      </w:r>
      <w:r w:rsidRPr="00F36938">
        <w:rPr>
          <w:i/>
          <w:color w:val="000000"/>
        </w:rPr>
        <w:t>Sphagnum</w:t>
      </w:r>
      <w:r w:rsidRPr="003740A1">
        <w:rPr>
          <w:color w:val="000000"/>
        </w:rPr>
        <w:t xml:space="preserve"> species exceeds the effect of solar UV reduction in a suba</w:t>
      </w:r>
      <w:r>
        <w:rPr>
          <w:color w:val="000000"/>
        </w:rPr>
        <w:t xml:space="preserve">rctic peatland. Springerplus 4, 478. doi: </w:t>
      </w:r>
      <w:r w:rsidRPr="00F36938">
        <w:rPr>
          <w:color w:val="000000"/>
        </w:rPr>
        <w:t>10.1186/s40064-015-1253-7</w:t>
      </w:r>
      <w:r>
        <w:rPr>
          <w:color w:val="000000"/>
        </w:rPr>
        <w:t>.</w:t>
      </w:r>
    </w:p>
    <w:p w:rsidR="00F24DCC" w:rsidRPr="00B74596" w:rsidRDefault="00F24DCC" w:rsidP="00F24DCC">
      <w:pPr>
        <w:pStyle w:val="BodyText"/>
        <w:spacing w:line="480" w:lineRule="auto"/>
        <w:jc w:val="both"/>
      </w:pPr>
      <w:r w:rsidRPr="002D75EB">
        <w:t>Ilomets</w:t>
      </w:r>
      <w:r>
        <w:t>, M., Truus, L.</w:t>
      </w:r>
      <w:r w:rsidRPr="002D75EB">
        <w:t>, Paj</w:t>
      </w:r>
      <w:r>
        <w:t>ula, R., Sepp, K., 2010.</w:t>
      </w:r>
      <w:r w:rsidRPr="002D75EB">
        <w:t xml:space="preserve"> The species composition and structure of vascular plants and bryophytes on the water level gradient within a calcareous fen in north </w:t>
      </w:r>
      <w:r w:rsidRPr="00B74596">
        <w:t xml:space="preserve">Estonia. </w:t>
      </w:r>
      <w:r>
        <w:rPr>
          <w:iCs/>
        </w:rPr>
        <w:t>Estonian J.</w:t>
      </w:r>
      <w:r w:rsidRPr="00B74596">
        <w:rPr>
          <w:iCs/>
        </w:rPr>
        <w:t xml:space="preserve"> Ecol</w:t>
      </w:r>
      <w:r>
        <w:rPr>
          <w:iCs/>
        </w:rPr>
        <w:t>.</w:t>
      </w:r>
      <w:r w:rsidRPr="00B74596">
        <w:t xml:space="preserve"> </w:t>
      </w:r>
      <w:r w:rsidRPr="00B74596">
        <w:rPr>
          <w:bCs/>
        </w:rPr>
        <w:t>59</w:t>
      </w:r>
      <w:r>
        <w:t xml:space="preserve">, </w:t>
      </w:r>
      <w:r w:rsidRPr="00B74596">
        <w:t>19-38</w:t>
      </w:r>
      <w:r>
        <w:t>.</w:t>
      </w:r>
    </w:p>
    <w:p w:rsidR="00F24DCC" w:rsidRPr="002D75EB" w:rsidRDefault="00F24DCC" w:rsidP="00F24DCC">
      <w:pPr>
        <w:pStyle w:val="BodyText"/>
        <w:spacing w:line="480" w:lineRule="auto"/>
        <w:jc w:val="both"/>
      </w:pPr>
      <w:r>
        <w:t>IPCC,</w:t>
      </w:r>
      <w:r w:rsidRPr="002D75EB">
        <w:t xml:space="preserve"> </w:t>
      </w:r>
      <w:r>
        <w:t>2014.</w:t>
      </w:r>
      <w:r w:rsidRPr="002D75EB">
        <w:t xml:space="preserve"> Summ</w:t>
      </w:r>
      <w:r>
        <w:t>ary for policymakers. In: Field, C.B., Barros, V.R., Dokken, D.J.</w:t>
      </w:r>
      <w:r w:rsidRPr="002D75EB">
        <w:t>,</w:t>
      </w:r>
      <w:r>
        <w:t xml:space="preserve"> et al. (eds)</w:t>
      </w:r>
      <w:r w:rsidRPr="002D75EB">
        <w:t xml:space="preserve"> Climate Change 2014: Impacts, Adaptation, and Vulnerability. Part</w:t>
      </w:r>
      <w:r>
        <w:t xml:space="preserve"> </w:t>
      </w:r>
      <w:r w:rsidRPr="002D75EB">
        <w:t>A: Global and Sectoral Aspects. Contribution of Working Group II to the Fifth</w:t>
      </w:r>
      <w:r>
        <w:t xml:space="preserve"> </w:t>
      </w:r>
      <w:r w:rsidRPr="002D75EB">
        <w:t>Assessment Report of the Intergovernmental Panel on Climate Change.</w:t>
      </w:r>
      <w:r>
        <w:t xml:space="preserve"> </w:t>
      </w:r>
      <w:r w:rsidRPr="002D75EB">
        <w:t>Cambridge University Press, Cambridge, United King</w:t>
      </w:r>
      <w:r>
        <w:t>dom/New York, USA, pp. 1–32</w:t>
      </w:r>
    </w:p>
    <w:p w:rsidR="00F24DCC" w:rsidRPr="002D75EB" w:rsidRDefault="00F24DCC" w:rsidP="00F24DCC">
      <w:pPr>
        <w:pStyle w:val="BodyText"/>
        <w:spacing w:line="480" w:lineRule="auto"/>
        <w:jc w:val="both"/>
      </w:pPr>
      <w:r>
        <w:t>Jylhä, K., Tuomenvirta, H., Ruosteenoja, K.,</w:t>
      </w:r>
      <w:r w:rsidRPr="005721B9">
        <w:t xml:space="preserve"> </w:t>
      </w:r>
      <w:r>
        <w:t>2004.</w:t>
      </w:r>
      <w:r w:rsidRPr="005721B9">
        <w:t xml:space="preserve"> </w:t>
      </w:r>
      <w:r w:rsidRPr="002D75EB">
        <w:t>Climate change projections for Finland during the 21st century.</w:t>
      </w:r>
      <w:r>
        <w:t xml:space="preserve"> Boreal Environ. Res. 9, 127–152.</w:t>
      </w:r>
    </w:p>
    <w:p w:rsidR="00F24DCC" w:rsidRPr="007B5E33" w:rsidRDefault="00F24DCC" w:rsidP="00F24DCC">
      <w:pPr>
        <w:pStyle w:val="BodyText"/>
        <w:spacing w:line="480" w:lineRule="auto"/>
        <w:jc w:val="both"/>
      </w:pPr>
      <w:r>
        <w:t>Kennedy, A.D., 1993.</w:t>
      </w:r>
      <w:r w:rsidRPr="008F11C5">
        <w:t xml:space="preserve"> Photosynthetic response of the Antarc</w:t>
      </w:r>
      <w:r w:rsidRPr="00C45B10">
        <w:t xml:space="preserve">tic moss </w:t>
      </w:r>
      <w:r w:rsidRPr="00580628">
        <w:rPr>
          <w:i/>
        </w:rPr>
        <w:t>Polytrichum alpestre</w:t>
      </w:r>
      <w:r w:rsidRPr="00C45B10">
        <w:t xml:space="preserve"> Hoppe to low temperatures and freeze</w:t>
      </w:r>
      <w:r>
        <w:t xml:space="preserve">-thaw stress. Polar Biol. 13, </w:t>
      </w:r>
      <w:r w:rsidRPr="00C45B10">
        <w:t>271–279</w:t>
      </w:r>
      <w:r>
        <w:t xml:space="preserve">. doi: </w:t>
      </w:r>
      <w:r w:rsidRPr="00D14B38">
        <w:t>10.1007/BF00238763</w:t>
      </w:r>
      <w:r>
        <w:t>.</w:t>
      </w:r>
    </w:p>
    <w:p w:rsidR="00F24DCC" w:rsidRPr="002D75EB" w:rsidRDefault="00F24DCC" w:rsidP="00F24DCC">
      <w:pPr>
        <w:pStyle w:val="BodyText"/>
        <w:spacing w:line="480" w:lineRule="auto"/>
        <w:jc w:val="both"/>
      </w:pPr>
      <w:r w:rsidRPr="002D75EB">
        <w:t>Kershaw</w:t>
      </w:r>
      <w:r>
        <w:t>,</w:t>
      </w:r>
      <w:r w:rsidRPr="002D75EB">
        <w:t xml:space="preserve"> K</w:t>
      </w:r>
      <w:r>
        <w:t>.</w:t>
      </w:r>
      <w:r w:rsidRPr="002D75EB">
        <w:t>A</w:t>
      </w:r>
      <w:r>
        <w:t>.</w:t>
      </w:r>
      <w:r w:rsidRPr="002D75EB">
        <w:t>, Webber</w:t>
      </w:r>
      <w:r>
        <w:t>,</w:t>
      </w:r>
      <w:r w:rsidRPr="002D75EB">
        <w:t xml:space="preserve"> M</w:t>
      </w:r>
      <w:r>
        <w:t>.</w:t>
      </w:r>
      <w:r w:rsidRPr="002D75EB">
        <w:t>R</w:t>
      </w:r>
      <w:r>
        <w:t>.,</w:t>
      </w:r>
      <w:r w:rsidRPr="002D75EB">
        <w:t xml:space="preserve"> </w:t>
      </w:r>
      <w:r>
        <w:t>1986.</w:t>
      </w:r>
      <w:r w:rsidRPr="002D75EB">
        <w:t xml:space="preserve"> Seasonal changes in the chlorophyll concentration and quantum efficiency of the moss </w:t>
      </w:r>
      <w:r w:rsidRPr="002D75EB">
        <w:rPr>
          <w:i/>
          <w:iCs/>
        </w:rPr>
        <w:t>Brachythecium rutabulum</w:t>
      </w:r>
      <w:r w:rsidRPr="002D75EB">
        <w:t>. J</w:t>
      </w:r>
      <w:r>
        <w:t>.</w:t>
      </w:r>
      <w:r w:rsidRPr="002D75EB">
        <w:t xml:space="preserve"> Bryol</w:t>
      </w:r>
      <w:r>
        <w:t xml:space="preserve">. 14, </w:t>
      </w:r>
      <w:r w:rsidRPr="002D75EB">
        <w:t>151–158</w:t>
      </w:r>
      <w:r>
        <w:t xml:space="preserve">. doi: </w:t>
      </w:r>
      <w:r w:rsidRPr="00D14B38">
        <w:t>10.1179/jbr.1986.14.1.151</w:t>
      </w:r>
      <w:r>
        <w:t>.</w:t>
      </w:r>
    </w:p>
    <w:p w:rsidR="00F24DCC" w:rsidRPr="002D75EB" w:rsidRDefault="00F24DCC" w:rsidP="00F24DCC">
      <w:pPr>
        <w:pStyle w:val="BodyText"/>
        <w:spacing w:line="480" w:lineRule="auto"/>
        <w:jc w:val="both"/>
        <w:rPr>
          <w:rFonts w:eastAsia="AdvPTimes"/>
        </w:rPr>
      </w:pPr>
      <w:r>
        <w:t xml:space="preserve">Kreyling, J., </w:t>
      </w:r>
      <w:r w:rsidRPr="002D75EB">
        <w:t>2010</w:t>
      </w:r>
      <w:r>
        <w:rPr>
          <w:rFonts w:eastAsia="AdvPTimes"/>
        </w:rPr>
        <w:t>.</w:t>
      </w:r>
      <w:r w:rsidRPr="002D75EB">
        <w:rPr>
          <w:rFonts w:eastAsia="AdvPTimes"/>
        </w:rPr>
        <w:t xml:space="preserve"> Winter climate change: a critical factor for temperate </w:t>
      </w:r>
      <w:r>
        <w:rPr>
          <w:rFonts w:eastAsia="AdvPTimes"/>
        </w:rPr>
        <w:t xml:space="preserve">vegetation performance. Ecology 91(7), 1939–1948. </w:t>
      </w:r>
      <w:hyperlink r:id="rId5" w:history="1">
        <w:r w:rsidRPr="00F4511E">
          <w:rPr>
            <w:rStyle w:val="Hyperlink"/>
            <w:rFonts w:eastAsia="AdvPTimes"/>
          </w:rPr>
          <w:t>doi</w:t>
        </w:r>
      </w:hyperlink>
      <w:r>
        <w:rPr>
          <w:rFonts w:eastAsia="AdvPTimes"/>
        </w:rPr>
        <w:t xml:space="preserve">: </w:t>
      </w:r>
      <w:r w:rsidRPr="00D14B38">
        <w:rPr>
          <w:rFonts w:eastAsia="AdvPTimes"/>
        </w:rPr>
        <w:t>10.1890/09-1160.1</w:t>
      </w:r>
      <w:r>
        <w:rPr>
          <w:rFonts w:eastAsia="AdvPTimes"/>
        </w:rPr>
        <w:t>.</w:t>
      </w:r>
    </w:p>
    <w:p w:rsidR="00F24DCC" w:rsidRDefault="00F24DCC" w:rsidP="00F24DCC">
      <w:pPr>
        <w:pStyle w:val="BodyText"/>
        <w:spacing w:line="480" w:lineRule="auto"/>
        <w:jc w:val="both"/>
      </w:pPr>
      <w:r>
        <w:t>Küttim, M., Hofsommer, M.L., Robroek, B.J.M., Signarbieux, C., Jassey, V,</w:t>
      </w:r>
      <w:r w:rsidRPr="002D75EB">
        <w:t>E</w:t>
      </w:r>
      <w:r>
        <w:t>.J., Laine, A.M., Lamentowicz, M., Buttler, A,, Ilomets, M., Mills, R.T.E., 2017.</w:t>
      </w:r>
      <w:r w:rsidRPr="002D75EB">
        <w:t xml:space="preserve"> Freeze-thaw cycles simultaneously decrease peatland photosynthetic carbon uptake and ecosystem respiration. Boreal </w:t>
      </w:r>
      <w:r>
        <w:t>Environ. Res. 22, 267-276.</w:t>
      </w:r>
    </w:p>
    <w:p w:rsidR="00F24DCC" w:rsidRPr="002D75EB" w:rsidRDefault="00F24DCC" w:rsidP="00F24DCC">
      <w:pPr>
        <w:pStyle w:val="BodyText"/>
        <w:spacing w:line="480" w:lineRule="auto"/>
        <w:jc w:val="both"/>
      </w:pPr>
      <w:r>
        <w:t>Lode, E., Küttim, M., Kiivit, I.-K.,</w:t>
      </w:r>
      <w:r w:rsidRPr="002D75EB">
        <w:t xml:space="preserve"> 2017</w:t>
      </w:r>
      <w:r>
        <w:t>.</w:t>
      </w:r>
      <w:r w:rsidRPr="002D75EB">
        <w:t xml:space="preserve"> Indicative effects of climate change on groundwater levels in Estonian rais</w:t>
      </w:r>
      <w:r>
        <w:t>ed bogs over 50 years. Mires Peat</w:t>
      </w:r>
      <w:r w:rsidRPr="002D75EB">
        <w:t xml:space="preserve"> 19(15)</w:t>
      </w:r>
      <w:r>
        <w:t>, 1-21.</w:t>
      </w:r>
      <w:r w:rsidRPr="002D75EB">
        <w:t xml:space="preserve"> </w:t>
      </w:r>
      <w:r>
        <w:t>doi</w:t>
      </w:r>
      <w:r w:rsidRPr="0091767C">
        <w:t>: 10.19189/MaP.2016.OMB.255</w:t>
      </w:r>
      <w:r>
        <w:t>.</w:t>
      </w:r>
    </w:p>
    <w:p w:rsidR="00F24DCC" w:rsidRPr="002D75EB" w:rsidRDefault="00F24DCC" w:rsidP="00F24DCC">
      <w:pPr>
        <w:pStyle w:val="BodyText"/>
        <w:spacing w:line="480" w:lineRule="auto"/>
        <w:jc w:val="both"/>
      </w:pPr>
      <w:r w:rsidRPr="002D75EB">
        <w:t>Marschall</w:t>
      </w:r>
      <w:r>
        <w:t>, M., Proctor, M.C.F., 2004.</w:t>
      </w:r>
      <w:r w:rsidRPr="002D75EB">
        <w:t xml:space="preserve"> Are Bryophytes Shade Plants? Photosynthetic Light Responses and Proportions of Chlorophyll </w:t>
      </w:r>
      <w:r w:rsidRPr="00580628">
        <w:rPr>
          <w:i/>
        </w:rPr>
        <w:t>a</w:t>
      </w:r>
      <w:r w:rsidRPr="002D75EB">
        <w:t xml:space="preserve">, Chlorophyll </w:t>
      </w:r>
      <w:r w:rsidRPr="00580628">
        <w:rPr>
          <w:i/>
        </w:rPr>
        <w:t xml:space="preserve">b </w:t>
      </w:r>
      <w:r>
        <w:t xml:space="preserve">and Total Carotenoids. Ann. </w:t>
      </w:r>
      <w:r w:rsidRPr="002D75EB">
        <w:t>Bot</w:t>
      </w:r>
      <w:r>
        <w:t>. 94, 593–603. doi:10.1093/aob/mch178.</w:t>
      </w:r>
    </w:p>
    <w:p w:rsidR="00F24DCC" w:rsidRPr="002D75EB" w:rsidRDefault="00F24DCC" w:rsidP="00F24DCC">
      <w:pPr>
        <w:pStyle w:val="BodyText"/>
        <w:spacing w:line="480" w:lineRule="auto"/>
        <w:jc w:val="both"/>
      </w:pPr>
      <w:r>
        <w:t>Martin, C.E., 1980.</w:t>
      </w:r>
      <w:r w:rsidRPr="002D75EB">
        <w:t xml:space="preserve"> Chlorophyll </w:t>
      </w:r>
      <w:r w:rsidRPr="00580628">
        <w:rPr>
          <w:i/>
        </w:rPr>
        <w:t>a</w:t>
      </w:r>
      <w:r w:rsidRPr="002D75EB">
        <w:t>/</w:t>
      </w:r>
      <w:r w:rsidRPr="00580628">
        <w:rPr>
          <w:i/>
        </w:rPr>
        <w:t>b</w:t>
      </w:r>
      <w:r w:rsidRPr="002D75EB">
        <w:t xml:space="preserve"> Ratios of Eleven North Caroli</w:t>
      </w:r>
      <w:r>
        <w:t xml:space="preserve">na Mosses. Bryologist 83, </w:t>
      </w:r>
      <w:r w:rsidRPr="002D75EB">
        <w:t>84-87.</w:t>
      </w:r>
    </w:p>
    <w:p w:rsidR="00F24DCC" w:rsidRPr="002D75EB" w:rsidRDefault="00F24DCC" w:rsidP="00F24DCC">
      <w:pPr>
        <w:pStyle w:val="BodyText"/>
        <w:spacing w:line="480" w:lineRule="auto"/>
        <w:jc w:val="both"/>
        <w:rPr>
          <w:rFonts w:eastAsia="AdvPTimes"/>
        </w:rPr>
      </w:pPr>
      <w:r>
        <w:t>Maxwell, K.</w:t>
      </w:r>
      <w:r w:rsidRPr="002D75EB">
        <w:t>, Johnson</w:t>
      </w:r>
      <w:r>
        <w:t>, N.,</w:t>
      </w:r>
      <w:r w:rsidRPr="002D75EB">
        <w:t xml:space="preserve"> </w:t>
      </w:r>
      <w:r>
        <w:t>2000.</w:t>
      </w:r>
      <w:r w:rsidRPr="002D75EB">
        <w:t xml:space="preserve"> Chlorophyll fluorescence – a pr</w:t>
      </w:r>
      <w:r>
        <w:t xml:space="preserve">actical guide. J. Experim. Bot. 51(345), 659-668. doi: </w:t>
      </w:r>
      <w:r w:rsidRPr="0091767C">
        <w:t>10.1093/jexbot/51.345.659</w:t>
      </w:r>
      <w:r>
        <w:t>.</w:t>
      </w:r>
    </w:p>
    <w:p w:rsidR="00F24DCC" w:rsidRPr="002D75EB" w:rsidRDefault="00F24DCC" w:rsidP="00F24DCC">
      <w:pPr>
        <w:pStyle w:val="BodyText"/>
        <w:spacing w:line="480" w:lineRule="auto"/>
        <w:jc w:val="both"/>
      </w:pPr>
      <w:r w:rsidRPr="002D75EB">
        <w:t>Miidla</w:t>
      </w:r>
      <w:r>
        <w:t>, H.,</w:t>
      </w:r>
      <w:r w:rsidRPr="002D75EB">
        <w:t xml:space="preserve"> </w:t>
      </w:r>
      <w:r>
        <w:t>1984.</w:t>
      </w:r>
      <w:r w:rsidRPr="002D75EB">
        <w:t xml:space="preserve"> Taimefüsioloogia õpik kõrgkoolidele. Valgus, Tallinn</w:t>
      </w:r>
      <w:r>
        <w:t>.</w:t>
      </w:r>
      <w:r w:rsidRPr="002D75EB">
        <w:t xml:space="preserve"> (in Estonian)</w:t>
      </w:r>
    </w:p>
    <w:p w:rsidR="00F24DCC" w:rsidRPr="005721B9" w:rsidRDefault="00F24DCC" w:rsidP="00F24DCC">
      <w:pPr>
        <w:pStyle w:val="BodyText"/>
        <w:spacing w:line="480" w:lineRule="auto"/>
        <w:jc w:val="both"/>
        <w:rPr>
          <w:highlight w:val="yellow"/>
        </w:rPr>
      </w:pPr>
      <w:r w:rsidRPr="005721B9">
        <w:t>Müller</w:t>
      </w:r>
      <w:r>
        <w:t>, P., Li, X., Niyogi, K.K.,</w:t>
      </w:r>
      <w:r w:rsidRPr="005721B9">
        <w:t xml:space="preserve"> </w:t>
      </w:r>
      <w:r>
        <w:t>2001.</w:t>
      </w:r>
      <w:r w:rsidRPr="005721B9">
        <w:t xml:space="preserve"> Non-Photochemical Quenching. A Response to Excess Light</w:t>
      </w:r>
      <w:r>
        <w:t xml:space="preserve"> Energy. Plant Physiol. 125(4), 1558–1566. doi: </w:t>
      </w:r>
      <w:r w:rsidRPr="00677310">
        <w:t>10.1104/pp.125.4.1558</w:t>
      </w:r>
      <w:r>
        <w:t>.</w:t>
      </w:r>
    </w:p>
    <w:p w:rsidR="00F24DCC" w:rsidRPr="005721B9" w:rsidRDefault="00F24DCC" w:rsidP="00F24DCC">
      <w:pPr>
        <w:pStyle w:val="BodyText"/>
        <w:spacing w:line="480" w:lineRule="auto"/>
        <w:jc w:val="both"/>
      </w:pPr>
      <w:r w:rsidRPr="005721B9">
        <w:t>Nijp</w:t>
      </w:r>
      <w:r>
        <w:t>,</w:t>
      </w:r>
      <w:r w:rsidRPr="005721B9">
        <w:t xml:space="preserve"> J</w:t>
      </w:r>
      <w:r>
        <w:t>.</w:t>
      </w:r>
      <w:r w:rsidRPr="005721B9">
        <w:t>J</w:t>
      </w:r>
      <w:r>
        <w:t>.</w:t>
      </w:r>
      <w:r w:rsidRPr="005721B9">
        <w:t>, Limpens</w:t>
      </w:r>
      <w:r>
        <w:t>,</w:t>
      </w:r>
      <w:r w:rsidRPr="005721B9">
        <w:t xml:space="preserve"> J</w:t>
      </w:r>
      <w:r>
        <w:t>.</w:t>
      </w:r>
      <w:r w:rsidRPr="005721B9">
        <w:t>, Metselaar</w:t>
      </w:r>
      <w:r>
        <w:t>,</w:t>
      </w:r>
      <w:r w:rsidRPr="005721B9">
        <w:t xml:space="preserve"> K</w:t>
      </w:r>
      <w:r>
        <w:t>.</w:t>
      </w:r>
      <w:r w:rsidRPr="005721B9">
        <w:t>, van der</w:t>
      </w:r>
      <w:r>
        <w:t xml:space="preserve"> Zee, S.E., Berendse, F., Robroek, B.J., 2014.</w:t>
      </w:r>
      <w:r w:rsidRPr="005721B9">
        <w:t xml:space="preserve"> Can frequent precipitation moderate the impact of drought on peatmoss carbon uptake in northern peat</w:t>
      </w:r>
      <w:r>
        <w:t>lands? New Phytol. 203(1), 70-80. doi: 10.1111/nph.12792.</w:t>
      </w:r>
    </w:p>
    <w:p w:rsidR="00F24DCC" w:rsidRPr="005721B9" w:rsidRDefault="00F24DCC" w:rsidP="00F24DCC">
      <w:pPr>
        <w:pStyle w:val="BodyText"/>
        <w:spacing w:line="480" w:lineRule="auto"/>
        <w:jc w:val="both"/>
      </w:pPr>
      <w:r>
        <w:t>Paal, J., 2004.</w:t>
      </w:r>
      <w:r w:rsidRPr="005721B9">
        <w:t xml:space="preserve"> „Loodusdirektiivi“ elupaigatüüpide käsiraamat. </w:t>
      </w:r>
      <w:r>
        <w:t>Digimap OÜ, Tallinn (in Estonian)</w:t>
      </w:r>
    </w:p>
    <w:p w:rsidR="00F24DCC" w:rsidRPr="002D75EB" w:rsidRDefault="00F24DCC" w:rsidP="00F24DCC">
      <w:pPr>
        <w:pStyle w:val="BodyText"/>
        <w:spacing w:line="480" w:lineRule="auto"/>
        <w:jc w:val="both"/>
      </w:pPr>
      <w:r>
        <w:t>Pentecost, A., 1996.</w:t>
      </w:r>
      <w:r w:rsidRPr="002D75EB">
        <w:t xml:space="preserve"> Moss growth and travertine deposition: the significance of photosynthesis, evaporation and degassi</w:t>
      </w:r>
      <w:r>
        <w:t>ng of carbon dioxide. J. Bryol. 19, 229-234. doi</w:t>
      </w:r>
      <w:r w:rsidRPr="00677310">
        <w:t>: 10.1179/jbr.1996.19.2.229</w:t>
      </w:r>
      <w:r>
        <w:t>.</w:t>
      </w:r>
    </w:p>
    <w:p w:rsidR="00F24DCC" w:rsidRPr="00B74FCF" w:rsidRDefault="00F24DCC" w:rsidP="00F24DCC">
      <w:pPr>
        <w:pStyle w:val="BodyText"/>
        <w:spacing w:line="480" w:lineRule="auto"/>
        <w:jc w:val="both"/>
        <w:rPr>
          <w:lang w:val="fi-FI"/>
        </w:rPr>
      </w:pPr>
      <w:r>
        <w:rPr>
          <w:rFonts w:eastAsia="AdvGAR"/>
        </w:rPr>
        <w:t>Porra, R.J., Thompson, W.A., Kriedemann, P.E., 1989.</w:t>
      </w:r>
      <w:r w:rsidRPr="008F11C5">
        <w:rPr>
          <w:rFonts w:eastAsia="AdvGAR"/>
        </w:rPr>
        <w:t xml:space="preserve"> Determin</w:t>
      </w:r>
      <w:r w:rsidRPr="00C45B10">
        <w:rPr>
          <w:rFonts w:eastAsia="AdvGAR"/>
        </w:rPr>
        <w:t>ation of accurate extinction coefficients and simultaneous equations for assaying  chlorophylls a and b extracted with four different solvents: verif</w:t>
      </w:r>
      <w:r w:rsidRPr="007B5E33">
        <w:rPr>
          <w:rFonts w:eastAsia="AdvGAR"/>
        </w:rPr>
        <w:t>ication of the concentration of chlorophyll standards by atomic  absorption spectroscopy</w:t>
      </w:r>
      <w:r>
        <w:rPr>
          <w:rFonts w:eastAsia="AdvGAR"/>
        </w:rPr>
        <w:t xml:space="preserve">. </w:t>
      </w:r>
      <w:r w:rsidRPr="00B74FCF">
        <w:rPr>
          <w:rFonts w:eastAsia="AdvGAR"/>
          <w:lang w:val="fi-FI"/>
        </w:rPr>
        <w:t>Biochim</w:t>
      </w:r>
      <w:r>
        <w:rPr>
          <w:rFonts w:eastAsia="AdvGAR"/>
          <w:lang w:val="fi-FI"/>
        </w:rPr>
        <w:t>.</w:t>
      </w:r>
      <w:r w:rsidRPr="00B74FCF">
        <w:rPr>
          <w:rFonts w:eastAsia="AdvGAR"/>
          <w:lang w:val="fi-FI"/>
        </w:rPr>
        <w:t xml:space="preserve"> Biophys</w:t>
      </w:r>
      <w:r>
        <w:rPr>
          <w:rFonts w:eastAsia="AdvGAR"/>
          <w:lang w:val="fi-FI"/>
        </w:rPr>
        <w:t xml:space="preserve">. Acta 975, </w:t>
      </w:r>
      <w:r w:rsidRPr="00B74FCF">
        <w:rPr>
          <w:rFonts w:eastAsia="AdvGAR"/>
          <w:lang w:val="fi-FI"/>
        </w:rPr>
        <w:t>384-394</w:t>
      </w:r>
      <w:r>
        <w:rPr>
          <w:rFonts w:eastAsia="AdvGAR"/>
          <w:lang w:val="fi-FI"/>
        </w:rPr>
        <w:t>.</w:t>
      </w:r>
      <w:r w:rsidRPr="00B74FCF">
        <w:rPr>
          <w:rFonts w:eastAsia="AdvGAR"/>
          <w:lang w:val="fi-FI"/>
        </w:rPr>
        <w:t xml:space="preserve"> doi: 10.1016/S0005-2728(89)80347-0</w:t>
      </w:r>
      <w:r>
        <w:rPr>
          <w:rFonts w:eastAsia="AdvGAR"/>
          <w:lang w:val="fi-FI"/>
        </w:rPr>
        <w:t>.</w:t>
      </w:r>
    </w:p>
    <w:p w:rsidR="00F24DCC" w:rsidRDefault="00F24DCC" w:rsidP="00F24DCC">
      <w:pPr>
        <w:pStyle w:val="BodyText"/>
        <w:spacing w:line="480" w:lineRule="auto"/>
        <w:jc w:val="both"/>
      </w:pPr>
      <w:r w:rsidRPr="00B74FCF">
        <w:rPr>
          <w:lang w:val="fi-FI"/>
        </w:rPr>
        <w:t>Rikkinen</w:t>
      </w:r>
      <w:r>
        <w:rPr>
          <w:lang w:val="fi-FI"/>
        </w:rPr>
        <w:t>,</w:t>
      </w:r>
      <w:r w:rsidRPr="00B74FCF">
        <w:rPr>
          <w:lang w:val="fi-FI"/>
        </w:rPr>
        <w:t xml:space="preserve"> J</w:t>
      </w:r>
      <w:r>
        <w:rPr>
          <w:lang w:val="fi-FI"/>
        </w:rPr>
        <w:t>., 2008.</w:t>
      </w:r>
      <w:r w:rsidRPr="00B74FCF">
        <w:rPr>
          <w:lang w:val="fi-FI"/>
        </w:rPr>
        <w:t xml:space="preserve"> Jäkälät ja sammalet Suomen luonnossa. </w:t>
      </w:r>
      <w:r>
        <w:t>Otava, Helsinki. (in Finnish)</w:t>
      </w:r>
    </w:p>
    <w:p w:rsidR="00F24DCC" w:rsidRPr="005721B9" w:rsidRDefault="00F24DCC" w:rsidP="00F24DCC">
      <w:pPr>
        <w:pStyle w:val="BodyText"/>
        <w:spacing w:line="480" w:lineRule="auto"/>
        <w:jc w:val="both"/>
        <w:rPr>
          <w:rFonts w:eastAsia="AdvGAR"/>
        </w:rPr>
      </w:pPr>
      <w:r>
        <w:rPr>
          <w:rFonts w:eastAsia="AdvGAR"/>
        </w:rPr>
        <w:t>Robroek, B.J.M., Heijboer, A., Jassey, V.E.J., Hefting, M.M.</w:t>
      </w:r>
      <w:r w:rsidRPr="005721B9">
        <w:rPr>
          <w:rFonts w:eastAsia="AdvGAR"/>
        </w:rPr>
        <w:t>,</w:t>
      </w:r>
      <w:r>
        <w:rPr>
          <w:rFonts w:eastAsia="AdvGAR"/>
        </w:rPr>
        <w:t xml:space="preserve"> Rouwenhorst, T.G., Buttler, A., Bragazza, L., 2013. </w:t>
      </w:r>
      <w:r w:rsidRPr="005721B9">
        <w:rPr>
          <w:rFonts w:eastAsia="AdvGAR"/>
        </w:rPr>
        <w:t>Snow cover manipulation effects on microbial community</w:t>
      </w:r>
      <w:r>
        <w:rPr>
          <w:rFonts w:eastAsia="AdvGAR"/>
        </w:rPr>
        <w:t xml:space="preserve"> </w:t>
      </w:r>
      <w:r w:rsidRPr="005721B9">
        <w:rPr>
          <w:rFonts w:eastAsia="AdvGAR"/>
        </w:rPr>
        <w:t>structure and soil chemistry in a mountain bog.</w:t>
      </w:r>
      <w:r>
        <w:rPr>
          <w:rFonts w:eastAsia="AdvGAR"/>
        </w:rPr>
        <w:t xml:space="preserve"> Plant Soil 369, 151–164. doi: </w:t>
      </w:r>
      <w:r w:rsidRPr="00677310">
        <w:rPr>
          <w:rFonts w:eastAsia="AdvGAR"/>
        </w:rPr>
        <w:t>10.1007/s11104-012-1547-2</w:t>
      </w:r>
      <w:r>
        <w:rPr>
          <w:rFonts w:eastAsia="AdvGAR"/>
        </w:rPr>
        <w:t>.</w:t>
      </w:r>
    </w:p>
    <w:p w:rsidR="00F24DCC" w:rsidRPr="002D75EB" w:rsidRDefault="00F24DCC" w:rsidP="00F24DCC">
      <w:pPr>
        <w:pStyle w:val="BodyText"/>
        <w:spacing w:line="480" w:lineRule="auto"/>
        <w:jc w:val="both"/>
        <w:rPr>
          <w:rFonts w:eastAsia="AdvGAR"/>
        </w:rPr>
      </w:pPr>
      <w:r>
        <w:rPr>
          <w:rFonts w:eastAsia="AdvGAR"/>
        </w:rPr>
        <w:t>Sutinen,</w:t>
      </w:r>
      <w:r w:rsidRPr="002D75EB">
        <w:rPr>
          <w:rFonts w:eastAsia="AdvGAR"/>
        </w:rPr>
        <w:t xml:space="preserve"> S</w:t>
      </w:r>
      <w:r>
        <w:rPr>
          <w:rFonts w:eastAsia="AdvGAR"/>
        </w:rPr>
        <w:t>., Roitto, M., Lehto, T., Repo, T.,</w:t>
      </w:r>
      <w:r w:rsidRPr="002D75EB">
        <w:rPr>
          <w:rFonts w:eastAsia="AdvGAR"/>
        </w:rPr>
        <w:t xml:space="preserve"> </w:t>
      </w:r>
      <w:r>
        <w:rPr>
          <w:rFonts w:eastAsia="AdvGAR"/>
        </w:rPr>
        <w:t>2014.</w:t>
      </w:r>
      <w:r w:rsidRPr="002D75EB">
        <w:rPr>
          <w:rFonts w:eastAsia="AdvGAR"/>
        </w:rPr>
        <w:t xml:space="preserve"> Simulated snowmelt and infiltration into frozen soil affected root growth, needle structure and physiology of Scots</w:t>
      </w:r>
      <w:r>
        <w:rPr>
          <w:rFonts w:eastAsia="AdvGAR"/>
        </w:rPr>
        <w:t xml:space="preserve"> pine saplings. Boreal Environ. Res. 19, 281–294.</w:t>
      </w:r>
    </w:p>
    <w:p w:rsidR="00F24DCC" w:rsidRDefault="00F24DCC" w:rsidP="00F24DCC">
      <w:pPr>
        <w:pStyle w:val="BodyText"/>
        <w:spacing w:line="480" w:lineRule="auto"/>
        <w:jc w:val="both"/>
        <w:rPr>
          <w:rFonts w:eastAsia="AdvGAR"/>
        </w:rPr>
      </w:pPr>
      <w:r>
        <w:rPr>
          <w:rFonts w:eastAsia="AdvGAR"/>
        </w:rPr>
        <w:t xml:space="preserve">Tang, J., </w:t>
      </w:r>
      <w:r w:rsidRPr="008F11C5">
        <w:rPr>
          <w:rFonts w:eastAsia="AdvGAR"/>
        </w:rPr>
        <w:t>Körner</w:t>
      </w:r>
      <w:r>
        <w:rPr>
          <w:rFonts w:eastAsia="AdvGAR"/>
        </w:rPr>
        <w:t xml:space="preserve">, C., </w:t>
      </w:r>
      <w:r w:rsidRPr="008F11C5">
        <w:rPr>
          <w:rFonts w:eastAsia="AdvGAR"/>
        </w:rPr>
        <w:t>Muraoka</w:t>
      </w:r>
      <w:r>
        <w:rPr>
          <w:rFonts w:eastAsia="AdvGAR"/>
        </w:rPr>
        <w:t xml:space="preserve">, H., </w:t>
      </w:r>
      <w:r w:rsidRPr="008F11C5">
        <w:rPr>
          <w:rFonts w:eastAsia="AdvGAR"/>
        </w:rPr>
        <w:t>Piao</w:t>
      </w:r>
      <w:r>
        <w:rPr>
          <w:rFonts w:eastAsia="AdvGAR"/>
        </w:rPr>
        <w:t xml:space="preserve">, S., </w:t>
      </w:r>
      <w:r w:rsidRPr="008F11C5">
        <w:rPr>
          <w:rFonts w:eastAsia="AdvGAR"/>
        </w:rPr>
        <w:t>Shen</w:t>
      </w:r>
      <w:r>
        <w:rPr>
          <w:rFonts w:eastAsia="AdvGAR"/>
        </w:rPr>
        <w:t xml:space="preserve">, M., </w:t>
      </w:r>
      <w:r w:rsidRPr="008F11C5">
        <w:rPr>
          <w:rFonts w:eastAsia="AdvGAR"/>
        </w:rPr>
        <w:t>Thackeray</w:t>
      </w:r>
      <w:r>
        <w:rPr>
          <w:rFonts w:eastAsia="AdvGAR"/>
        </w:rPr>
        <w:t>, S.J.,</w:t>
      </w:r>
      <w:r w:rsidRPr="008F11C5">
        <w:rPr>
          <w:rFonts w:eastAsia="AdvGAR"/>
        </w:rPr>
        <w:t xml:space="preserve"> Yang</w:t>
      </w:r>
      <w:r>
        <w:rPr>
          <w:rFonts w:eastAsia="AdvGAR"/>
        </w:rPr>
        <w:t>, X.,</w:t>
      </w:r>
      <w:r w:rsidRPr="008F11C5">
        <w:rPr>
          <w:rFonts w:eastAsia="AdvGAR"/>
        </w:rPr>
        <w:t xml:space="preserve"> </w:t>
      </w:r>
      <w:r>
        <w:rPr>
          <w:rFonts w:eastAsia="AdvGAR"/>
        </w:rPr>
        <w:t>2016.</w:t>
      </w:r>
      <w:r w:rsidRPr="00C45B10">
        <w:rPr>
          <w:rFonts w:eastAsia="AdvGAR"/>
        </w:rPr>
        <w:t xml:space="preserve"> Emerging opportunities and challenges in phenology: a review. </w:t>
      </w:r>
      <w:r w:rsidRPr="005721B9">
        <w:rPr>
          <w:rFonts w:eastAsia="AdvGAR"/>
        </w:rPr>
        <w:t>Ecosphere 7(8):e01436</w:t>
      </w:r>
      <w:r>
        <w:rPr>
          <w:rFonts w:eastAsia="AdvGAR"/>
        </w:rPr>
        <w:t>.</w:t>
      </w:r>
      <w:r w:rsidRPr="005721B9">
        <w:rPr>
          <w:rFonts w:eastAsia="AdvGAR"/>
        </w:rPr>
        <w:t xml:space="preserve"> </w:t>
      </w:r>
      <w:r>
        <w:rPr>
          <w:rFonts w:eastAsia="AdvGAR"/>
        </w:rPr>
        <w:t xml:space="preserve">doi: </w:t>
      </w:r>
      <w:r w:rsidRPr="005721B9">
        <w:rPr>
          <w:rFonts w:eastAsia="AdvGAR"/>
        </w:rPr>
        <w:t>10.1002/ecs2.1436</w:t>
      </w:r>
      <w:r>
        <w:rPr>
          <w:rFonts w:eastAsia="AdvGAR"/>
        </w:rPr>
        <w:t>.</w:t>
      </w:r>
    </w:p>
    <w:p w:rsidR="00F24DCC" w:rsidRPr="005721B9" w:rsidRDefault="00F24DCC" w:rsidP="00F24DCC">
      <w:pPr>
        <w:pStyle w:val="BodyText"/>
        <w:spacing w:line="480" w:lineRule="auto"/>
        <w:jc w:val="both"/>
        <w:rPr>
          <w:rFonts w:eastAsia="AdvGAR"/>
        </w:rPr>
      </w:pPr>
      <w:r>
        <w:rPr>
          <w:rFonts w:eastAsia="AdvGAR"/>
        </w:rPr>
        <w:t>Tateno,</w:t>
      </w:r>
      <w:r w:rsidRPr="000C158B">
        <w:rPr>
          <w:rFonts w:eastAsia="AdvGAR"/>
        </w:rPr>
        <w:t xml:space="preserve"> R</w:t>
      </w:r>
      <w:r>
        <w:rPr>
          <w:rFonts w:eastAsia="AdvGAR"/>
        </w:rPr>
        <w:t xml:space="preserve">., Imada, S., Watanabe, T., Fukuzawa, K., Shibata, H., 2019. </w:t>
      </w:r>
      <w:r w:rsidRPr="000C158B">
        <w:rPr>
          <w:rFonts w:eastAsia="AdvGAR"/>
        </w:rPr>
        <w:t>Reduced snow cover changes nitrogen use in canopy</w:t>
      </w:r>
      <w:r>
        <w:rPr>
          <w:rFonts w:eastAsia="AdvGAR"/>
        </w:rPr>
        <w:t xml:space="preserve"> </w:t>
      </w:r>
      <w:r w:rsidRPr="000C158B">
        <w:rPr>
          <w:rFonts w:eastAsia="AdvGAR"/>
        </w:rPr>
        <w:t>and understory vegetation during the subsequent</w:t>
      </w:r>
      <w:r>
        <w:rPr>
          <w:rFonts w:eastAsia="AdvGAR"/>
        </w:rPr>
        <w:t xml:space="preserve"> </w:t>
      </w:r>
      <w:r w:rsidRPr="000C158B">
        <w:rPr>
          <w:rFonts w:eastAsia="AdvGAR"/>
        </w:rPr>
        <w:t>growing season</w:t>
      </w:r>
      <w:r>
        <w:rPr>
          <w:rFonts w:eastAsia="AdvGAR"/>
        </w:rPr>
        <w:t>.</w:t>
      </w:r>
      <w:r w:rsidRPr="000C158B">
        <w:rPr>
          <w:rFonts w:eastAsia="AdvGAR"/>
        </w:rPr>
        <w:t xml:space="preserve"> Plant Soil </w:t>
      </w:r>
      <w:r>
        <w:rPr>
          <w:rFonts w:eastAsia="AdvGAR"/>
        </w:rPr>
        <w:t>438, 157–172. d</w:t>
      </w:r>
      <w:r w:rsidRPr="000C158B">
        <w:rPr>
          <w:rFonts w:eastAsia="AdvGAR"/>
        </w:rPr>
        <w:t>oi</w:t>
      </w:r>
      <w:r>
        <w:rPr>
          <w:rFonts w:eastAsia="AdvGAR"/>
        </w:rPr>
        <w:t xml:space="preserve">: </w:t>
      </w:r>
      <w:r w:rsidRPr="000C158B">
        <w:rPr>
          <w:rFonts w:eastAsia="AdvGAR"/>
        </w:rPr>
        <w:t>10.1007/s11104-019-04011-2</w:t>
      </w:r>
      <w:r>
        <w:rPr>
          <w:rFonts w:eastAsia="AdvGAR"/>
        </w:rPr>
        <w:t>.</w:t>
      </w:r>
    </w:p>
    <w:p w:rsidR="00F24DCC" w:rsidRPr="00C45B10" w:rsidRDefault="00F24DCC" w:rsidP="00F24DCC">
      <w:pPr>
        <w:pStyle w:val="BodyText"/>
        <w:spacing w:line="480" w:lineRule="auto"/>
        <w:jc w:val="both"/>
        <w:rPr>
          <w:rFonts w:eastAsia="AdvGAR"/>
        </w:rPr>
      </w:pPr>
      <w:r w:rsidRPr="005721B9">
        <w:rPr>
          <w:rFonts w:eastAsia="AdvGAR"/>
        </w:rPr>
        <w:t>Taula</w:t>
      </w:r>
      <w:r>
        <w:rPr>
          <w:rFonts w:eastAsia="AdvGAR"/>
        </w:rPr>
        <w:t>vuori, E., Hellström, E.-K., Taulavuori, K.</w:t>
      </w:r>
      <w:r w:rsidRPr="005721B9">
        <w:rPr>
          <w:rFonts w:eastAsia="AdvGAR"/>
        </w:rPr>
        <w:t xml:space="preserve">, </w:t>
      </w:r>
      <w:r>
        <w:rPr>
          <w:rFonts w:eastAsia="AdvGAR"/>
        </w:rPr>
        <w:t>Laine, K., 2001.</w:t>
      </w:r>
      <w:r w:rsidRPr="005721B9">
        <w:rPr>
          <w:rFonts w:eastAsia="AdvGAR"/>
        </w:rPr>
        <w:t xml:space="preserve"> </w:t>
      </w:r>
      <w:r w:rsidRPr="002D75EB">
        <w:rPr>
          <w:rFonts w:eastAsia="AdvGAR"/>
        </w:rPr>
        <w:t xml:space="preserve">Comparison of two methods used to analyse lipid peroxidation from </w:t>
      </w:r>
      <w:r w:rsidRPr="002D75EB">
        <w:rPr>
          <w:rFonts w:eastAsia="AdvGAR"/>
          <w:i/>
        </w:rPr>
        <w:t xml:space="preserve">Vaccinium myrtillus </w:t>
      </w:r>
      <w:r w:rsidRPr="002D75EB">
        <w:rPr>
          <w:rFonts w:eastAsia="AdvGAR"/>
        </w:rPr>
        <w:t>(L.) during snow removal, reacclimation and cold acclimation. J</w:t>
      </w:r>
      <w:r>
        <w:rPr>
          <w:rFonts w:eastAsia="AdvGAR"/>
        </w:rPr>
        <w:t>. Exp.</w:t>
      </w:r>
      <w:r w:rsidRPr="002D75EB">
        <w:rPr>
          <w:rFonts w:eastAsia="AdvGAR"/>
        </w:rPr>
        <w:t xml:space="preserve"> </w:t>
      </w:r>
      <w:r>
        <w:rPr>
          <w:rFonts w:eastAsia="AdvGAR"/>
        </w:rPr>
        <w:t xml:space="preserve">Bot. 52(365), </w:t>
      </w:r>
      <w:r w:rsidRPr="008F11C5">
        <w:rPr>
          <w:rFonts w:eastAsia="AdvGAR"/>
        </w:rPr>
        <w:t>2375-2380</w:t>
      </w:r>
      <w:r>
        <w:rPr>
          <w:rFonts w:eastAsia="AdvGAR"/>
        </w:rPr>
        <w:t>. doi</w:t>
      </w:r>
      <w:r w:rsidRPr="00677310">
        <w:rPr>
          <w:rFonts w:eastAsia="AdvGAR"/>
        </w:rPr>
        <w:t>: 10.1093/jexbot/52.365.2375</w:t>
      </w:r>
      <w:r>
        <w:rPr>
          <w:rFonts w:eastAsia="AdvGAR"/>
        </w:rPr>
        <w:t>.</w:t>
      </w:r>
    </w:p>
    <w:p w:rsidR="00F24DCC" w:rsidRPr="002D75EB" w:rsidRDefault="00F24DCC" w:rsidP="00F24DCC">
      <w:pPr>
        <w:pStyle w:val="BodyText"/>
        <w:spacing w:line="480" w:lineRule="auto"/>
        <w:jc w:val="both"/>
        <w:rPr>
          <w:color w:val="000000"/>
        </w:rPr>
      </w:pPr>
      <w:r>
        <w:rPr>
          <w:rFonts w:eastAsia="AdvGAR"/>
        </w:rPr>
        <w:t>Templer, P.H.,</w:t>
      </w:r>
      <w:r w:rsidRPr="007B5E33">
        <w:rPr>
          <w:rFonts w:eastAsia="AdvGAR"/>
        </w:rPr>
        <w:t xml:space="preserve"> </w:t>
      </w:r>
      <w:r>
        <w:rPr>
          <w:rFonts w:eastAsia="AdvGAR"/>
        </w:rPr>
        <w:t>2012.</w:t>
      </w:r>
      <w:r w:rsidRPr="007B5E33">
        <w:rPr>
          <w:rFonts w:eastAsia="AdvGAR"/>
        </w:rPr>
        <w:t xml:space="preserve"> Changes in winter climate: soil frost, root injury, and fungal communities. </w:t>
      </w:r>
      <w:r>
        <w:rPr>
          <w:rFonts w:eastAsia="AdvGAR"/>
        </w:rPr>
        <w:t>Plant Soil 353, 15–17.</w:t>
      </w:r>
      <w:r w:rsidRPr="002D75EB">
        <w:rPr>
          <w:rFonts w:eastAsia="AdvGAR"/>
        </w:rPr>
        <w:t xml:space="preserve"> </w:t>
      </w:r>
      <w:r>
        <w:rPr>
          <w:rFonts w:eastAsia="AdvGAR"/>
        </w:rPr>
        <w:t>doi 10.1007/s11104-011-1064-8.</w:t>
      </w:r>
      <w:r w:rsidRPr="002D75EB">
        <w:rPr>
          <w:b/>
          <w:bCs/>
          <w:color w:val="000000"/>
        </w:rPr>
        <w:br w:type="page"/>
      </w:r>
    </w:p>
    <w:p w:rsidR="00F24DCC" w:rsidRDefault="00F24DCC" w:rsidP="00F24DCC">
      <w:pPr>
        <w:pStyle w:val="Heading2"/>
        <w:spacing w:line="480" w:lineRule="auto"/>
      </w:pPr>
      <w:r w:rsidRPr="002D75EB">
        <w:t>Figure</w:t>
      </w:r>
      <w:r>
        <w:t xml:space="preserve"> captions</w:t>
      </w:r>
    </w:p>
    <w:p w:rsidR="00F24DCC" w:rsidRPr="00A21D5A" w:rsidRDefault="00F24DCC" w:rsidP="00F24DCC"/>
    <w:p w:rsidR="00F24DCC" w:rsidRPr="00A21D5A" w:rsidRDefault="00F24DCC" w:rsidP="00F24DCC">
      <w:pPr>
        <w:pStyle w:val="BodyText"/>
        <w:spacing w:line="480" w:lineRule="auto"/>
        <w:jc w:val="both"/>
        <w:rPr>
          <w:color w:val="000000"/>
        </w:rPr>
      </w:pPr>
      <w:r>
        <w:rPr>
          <w:b/>
          <w:bCs/>
          <w:color w:val="000000"/>
        </w:rPr>
        <w:t>Fig.</w:t>
      </w:r>
      <w:r w:rsidRPr="002D75EB">
        <w:rPr>
          <w:b/>
          <w:bCs/>
          <w:color w:val="000000"/>
        </w:rPr>
        <w:t xml:space="preserve"> 1</w:t>
      </w:r>
      <w:r w:rsidRPr="002D75EB">
        <w:rPr>
          <w:color w:val="000000"/>
        </w:rPr>
        <w:t xml:space="preserve"> The aerial photograph of the location of the study site, Paraspõllu calcareous rich fen in Estonia, and the transect of the experimental plots in the study site (Estonian Land Board)</w:t>
      </w:r>
    </w:p>
    <w:p w:rsidR="00F24DCC" w:rsidRDefault="00F24DCC" w:rsidP="00F24DCC">
      <w:pPr>
        <w:spacing w:after="120" w:line="480" w:lineRule="auto"/>
        <w:jc w:val="both"/>
        <w:rPr>
          <w:b/>
          <w:bCs/>
          <w:noProof/>
          <w:color w:val="000000"/>
          <w:lang w:val="et-EE" w:eastAsia="et-EE"/>
        </w:rPr>
      </w:pPr>
    </w:p>
    <w:p w:rsidR="00F24DCC" w:rsidRDefault="00F24DCC" w:rsidP="00F24DCC">
      <w:pPr>
        <w:spacing w:after="120" w:line="480" w:lineRule="auto"/>
        <w:jc w:val="both"/>
        <w:rPr>
          <w:b/>
          <w:bCs/>
          <w:color w:val="000000"/>
        </w:rPr>
      </w:pPr>
      <w:r>
        <w:rPr>
          <w:b/>
          <w:bCs/>
          <w:color w:val="000000"/>
        </w:rPr>
        <w:t>Fig.</w:t>
      </w:r>
      <w:r w:rsidRPr="002D75EB">
        <w:rPr>
          <w:b/>
          <w:bCs/>
          <w:color w:val="000000"/>
        </w:rPr>
        <w:t xml:space="preserve"> 2</w:t>
      </w:r>
      <w:r w:rsidRPr="002D75EB">
        <w:rPr>
          <w:color w:val="000000"/>
        </w:rPr>
        <w:t xml:space="preserve"> Seasonal weather statistics</w:t>
      </w:r>
      <w:r w:rsidRPr="002D75EB">
        <w:rPr>
          <w:iCs/>
          <w:color w:val="000000"/>
        </w:rPr>
        <w:t xml:space="preserve"> in the study site during October 2013 – October 2014.</w:t>
      </w:r>
      <w:r w:rsidRPr="002D75EB">
        <w:rPr>
          <w:color w:val="000000"/>
        </w:rPr>
        <w:t xml:space="preserve"> The weather data is derived from the Estonian Weather Service, exept for the ground frost depth that is measured by the authors in the field. The latter is given separately in the holl</w:t>
      </w:r>
      <w:r>
        <w:rPr>
          <w:color w:val="000000"/>
        </w:rPr>
        <w:t>ow (Ho) and in the hummock (Hu)</w:t>
      </w:r>
    </w:p>
    <w:p w:rsidR="00F24DCC" w:rsidRPr="0049127A" w:rsidRDefault="00F24DCC" w:rsidP="00F24DCC">
      <w:pPr>
        <w:spacing w:after="120" w:line="480" w:lineRule="auto"/>
        <w:jc w:val="both"/>
        <w:rPr>
          <w:b/>
          <w:bCs/>
          <w:color w:val="000000"/>
        </w:rPr>
      </w:pPr>
    </w:p>
    <w:p w:rsidR="00F24DCC" w:rsidRDefault="00F24DCC" w:rsidP="00F24DCC">
      <w:pPr>
        <w:spacing w:after="120" w:line="480" w:lineRule="auto"/>
        <w:jc w:val="both"/>
        <w:rPr>
          <w:color w:val="000000"/>
        </w:rPr>
      </w:pPr>
      <w:r>
        <w:rPr>
          <w:b/>
          <w:bCs/>
          <w:color w:val="000000"/>
        </w:rPr>
        <w:t>Fig.</w:t>
      </w:r>
      <w:r w:rsidRPr="002D75EB">
        <w:rPr>
          <w:b/>
          <w:bCs/>
          <w:color w:val="000000"/>
        </w:rPr>
        <w:t xml:space="preserve"> 3</w:t>
      </w:r>
      <w:r w:rsidRPr="002D75EB">
        <w:rPr>
          <w:color w:val="000000"/>
        </w:rPr>
        <w:t xml:space="preserve"> Seasonal variation of</w:t>
      </w:r>
      <w:r w:rsidRPr="002D75EB">
        <w:rPr>
          <w:iCs/>
          <w:color w:val="000000"/>
        </w:rPr>
        <w:t xml:space="preserve"> chlorophyll fluorescence (Fv/Fm) in </w:t>
      </w:r>
      <w:r w:rsidRPr="002D75EB">
        <w:rPr>
          <w:i/>
          <w:iCs/>
          <w:color w:val="000000"/>
        </w:rPr>
        <w:t>Campylium stellatum</w:t>
      </w:r>
      <w:r w:rsidRPr="002D75EB">
        <w:rPr>
          <w:iCs/>
          <w:color w:val="000000"/>
        </w:rPr>
        <w:t xml:space="preserve"> and </w:t>
      </w:r>
      <w:r w:rsidRPr="002D75EB">
        <w:rPr>
          <w:i/>
          <w:iCs/>
          <w:color w:val="000000"/>
        </w:rPr>
        <w:t>Scorpidium scorpioides</w:t>
      </w:r>
      <w:r w:rsidRPr="002D75EB">
        <w:rPr>
          <w:iCs/>
          <w:color w:val="000000"/>
        </w:rPr>
        <w:t xml:space="preserve"> during October 2013 – October 2014.</w:t>
      </w:r>
      <w:r w:rsidRPr="002D75EB">
        <w:rPr>
          <w:color w:val="000000"/>
        </w:rPr>
        <w:t xml:space="preserve"> </w:t>
      </w:r>
      <w:r w:rsidRPr="00A81AF6">
        <w:rPr>
          <w:color w:val="000000"/>
        </w:rPr>
        <w:t xml:space="preserve">Data </w:t>
      </w:r>
      <w:r>
        <w:rPr>
          <w:color w:val="000000"/>
        </w:rPr>
        <w:t>are mean values ± standard deviation</w:t>
      </w:r>
    </w:p>
    <w:p w:rsidR="00F24DCC" w:rsidRPr="002D75EB" w:rsidRDefault="00F24DCC" w:rsidP="00F24DCC">
      <w:pPr>
        <w:spacing w:after="120" w:line="480" w:lineRule="auto"/>
        <w:jc w:val="both"/>
        <w:rPr>
          <w:color w:val="000000"/>
        </w:rPr>
      </w:pPr>
    </w:p>
    <w:p w:rsidR="00F24DCC" w:rsidRDefault="00F24DCC" w:rsidP="00F24DCC">
      <w:pPr>
        <w:spacing w:after="120" w:line="480" w:lineRule="auto"/>
        <w:jc w:val="both"/>
        <w:rPr>
          <w:noProof/>
          <w:color w:val="000000"/>
          <w:lang w:val="et-EE" w:eastAsia="et-EE"/>
        </w:rPr>
      </w:pPr>
      <w:r>
        <w:rPr>
          <w:b/>
          <w:bCs/>
          <w:color w:val="000000"/>
        </w:rPr>
        <w:t>Fig.</w:t>
      </w:r>
      <w:r w:rsidRPr="002D75EB">
        <w:rPr>
          <w:b/>
          <w:bCs/>
          <w:color w:val="000000"/>
        </w:rPr>
        <w:t xml:space="preserve"> 4</w:t>
      </w:r>
      <w:r w:rsidRPr="002D75EB">
        <w:rPr>
          <w:color w:val="000000"/>
        </w:rPr>
        <w:t xml:space="preserve"> Seasonal variation of chlorophyll-</w:t>
      </w:r>
      <w:r w:rsidRPr="002D75EB">
        <w:rPr>
          <w:i/>
          <w:iCs/>
          <w:color w:val="000000"/>
        </w:rPr>
        <w:t>a</w:t>
      </w:r>
      <w:r w:rsidRPr="002D75EB">
        <w:rPr>
          <w:color w:val="000000"/>
        </w:rPr>
        <w:t xml:space="preserve"> concentration,  chlorophyll-</w:t>
      </w:r>
      <w:r w:rsidRPr="002D75EB">
        <w:rPr>
          <w:i/>
          <w:iCs/>
          <w:color w:val="000000"/>
        </w:rPr>
        <w:t xml:space="preserve">a:b </w:t>
      </w:r>
      <w:r w:rsidRPr="002D75EB">
        <w:rPr>
          <w:color w:val="000000"/>
        </w:rPr>
        <w:t xml:space="preserve">and total chlorophyll : total carotenoids ratios of </w:t>
      </w:r>
      <w:r w:rsidRPr="002D75EB">
        <w:rPr>
          <w:i/>
          <w:iCs/>
          <w:color w:val="000000"/>
        </w:rPr>
        <w:t>Campylium stellatum</w:t>
      </w:r>
      <w:r w:rsidRPr="002D75EB">
        <w:rPr>
          <w:color w:val="000000"/>
        </w:rPr>
        <w:t xml:space="preserve"> and </w:t>
      </w:r>
      <w:r w:rsidRPr="002D75EB">
        <w:rPr>
          <w:i/>
          <w:iCs/>
          <w:color w:val="000000"/>
        </w:rPr>
        <w:t>Scorpidium scorpioides</w:t>
      </w:r>
      <w:r w:rsidRPr="002D75EB">
        <w:rPr>
          <w:iCs/>
          <w:color w:val="000000"/>
        </w:rPr>
        <w:t xml:space="preserve"> in the study site (ambient and snow removal plots, n = 28) during November 2013 – October 2014. </w:t>
      </w:r>
      <w:r w:rsidRPr="00A81AF6">
        <w:rPr>
          <w:iCs/>
          <w:color w:val="000000"/>
        </w:rPr>
        <w:t xml:space="preserve">Data </w:t>
      </w:r>
      <w:r>
        <w:rPr>
          <w:iCs/>
          <w:color w:val="000000"/>
        </w:rPr>
        <w:t>are mean values ± standard deviation</w:t>
      </w:r>
    </w:p>
    <w:p w:rsidR="00F24DCC" w:rsidRPr="002D75EB" w:rsidRDefault="00F24DCC" w:rsidP="00F24DCC">
      <w:pPr>
        <w:spacing w:after="120" w:line="480" w:lineRule="auto"/>
        <w:jc w:val="both"/>
        <w:rPr>
          <w:color w:val="000000"/>
        </w:rPr>
      </w:pPr>
    </w:p>
    <w:p w:rsidR="00F24DCC" w:rsidRPr="00A55FEE" w:rsidRDefault="00F24DCC" w:rsidP="00F24DCC">
      <w:pPr>
        <w:spacing w:after="120" w:line="480" w:lineRule="auto"/>
        <w:jc w:val="both"/>
        <w:rPr>
          <w:iCs/>
          <w:color w:val="000000"/>
        </w:rPr>
      </w:pPr>
      <w:r>
        <w:rPr>
          <w:b/>
          <w:bCs/>
          <w:iCs/>
          <w:color w:val="000000"/>
        </w:rPr>
        <w:t>Fig. 5</w:t>
      </w:r>
      <w:r w:rsidRPr="002D75EB">
        <w:rPr>
          <w:iCs/>
          <w:color w:val="000000"/>
        </w:rPr>
        <w:t xml:space="preserve"> RDA ordination diagram of the ecophysiological parameters (Fv/Fm – PS II efficiency, Ch-a – chlorophyll-</w:t>
      </w:r>
      <w:r w:rsidRPr="002D75EB">
        <w:rPr>
          <w:i/>
          <w:iCs/>
          <w:color w:val="000000"/>
        </w:rPr>
        <w:t>a</w:t>
      </w:r>
      <w:r w:rsidRPr="002D75EB">
        <w:rPr>
          <w:iCs/>
          <w:color w:val="000000"/>
        </w:rPr>
        <w:t xml:space="preserve"> concentration, Ch-a:b – chlorophyll-</w:t>
      </w:r>
      <w:r w:rsidRPr="002D75EB">
        <w:rPr>
          <w:i/>
          <w:iCs/>
          <w:color w:val="000000"/>
        </w:rPr>
        <w:t>a</w:t>
      </w:r>
      <w:r w:rsidRPr="002D75EB">
        <w:rPr>
          <w:iCs/>
          <w:color w:val="000000"/>
        </w:rPr>
        <w:t>:</w:t>
      </w:r>
      <w:r w:rsidRPr="002D75EB">
        <w:rPr>
          <w:i/>
          <w:iCs/>
          <w:color w:val="000000"/>
        </w:rPr>
        <w:t>b</w:t>
      </w:r>
      <w:r w:rsidRPr="002D75EB">
        <w:rPr>
          <w:iCs/>
          <w:color w:val="000000"/>
        </w:rPr>
        <w:t xml:space="preserve"> ratio, Ch:Car – </w:t>
      </w:r>
      <w:r w:rsidRPr="002D75EB">
        <w:rPr>
          <w:color w:val="000000"/>
        </w:rPr>
        <w:t>total chlorophyll : total carotenoids ratio</w:t>
      </w:r>
      <w:r w:rsidRPr="002D75EB">
        <w:rPr>
          <w:iCs/>
          <w:color w:val="000000"/>
        </w:rPr>
        <w:t xml:space="preserve">) of </w:t>
      </w:r>
      <w:r w:rsidRPr="002D75EB">
        <w:rPr>
          <w:i/>
          <w:iCs/>
          <w:color w:val="000000"/>
        </w:rPr>
        <w:t>Campylium stellatum</w:t>
      </w:r>
      <w:r w:rsidRPr="002D75EB">
        <w:rPr>
          <w:iCs/>
          <w:color w:val="000000"/>
        </w:rPr>
        <w:t xml:space="preserve"> and </w:t>
      </w:r>
      <w:r w:rsidRPr="002D75EB">
        <w:rPr>
          <w:i/>
          <w:iCs/>
          <w:color w:val="000000"/>
        </w:rPr>
        <w:t>Scorpidium scorpioides</w:t>
      </w:r>
      <w:r w:rsidRPr="002D75EB">
        <w:rPr>
          <w:iCs/>
          <w:color w:val="000000"/>
        </w:rPr>
        <w:t xml:space="preserve"> explained by the environmental factors (Tair – air temperature, Tmin – minimum air temperature of the last two weeks, L – light intensity, P – precipitation of last two weeks), on semiannual basis: the summer half-year lasted from May to October, and the winter ha</w:t>
      </w:r>
      <w:r>
        <w:rPr>
          <w:iCs/>
          <w:color w:val="000000"/>
        </w:rPr>
        <w:t>lf-year from November to April</w:t>
      </w:r>
      <w:r w:rsidRPr="002D75EB">
        <w:br w:type="page"/>
      </w:r>
    </w:p>
    <w:p w:rsidR="00F24DCC" w:rsidRPr="006D5F04" w:rsidRDefault="00F24DCC" w:rsidP="00F24DCC">
      <w:pPr>
        <w:pStyle w:val="Heading2"/>
      </w:pPr>
      <w:r w:rsidRPr="006D5F04">
        <w:t>Figures</w:t>
      </w:r>
    </w:p>
    <w:p w:rsidR="00F24DCC" w:rsidRPr="006D5F04" w:rsidRDefault="00F24DCC" w:rsidP="00F24DCC">
      <w:pPr>
        <w:rPr>
          <w:b/>
          <w:i/>
        </w:rPr>
      </w:pPr>
      <w:r w:rsidRPr="006D5F04">
        <w:rPr>
          <w:b/>
        </w:rPr>
        <w:t>Fig. 1</w:t>
      </w:r>
    </w:p>
    <w:p w:rsidR="00F24DCC" w:rsidRPr="00A21D5A" w:rsidRDefault="00F24DCC" w:rsidP="00F24DCC">
      <w:r w:rsidRPr="00A21D5A">
        <w:rPr>
          <w:noProof/>
          <w:lang w:val="et-EE" w:eastAsia="et-EE"/>
        </w:rPr>
        <w:drawing>
          <wp:inline distT="0" distB="0" distL="0" distR="0" wp14:anchorId="36320234" wp14:editId="378B63C0">
            <wp:extent cx="6120130" cy="4990363"/>
            <wp:effectExtent l="0" t="0" r="0" b="1270"/>
            <wp:docPr id="1" name="Picture 1" descr="C:\Users\Martin2\Documents\AA_TÖÖFAILID\AKTIIVSED ARTIKLID\2. PhD PP Chlorophyll fluorescence paper\Oecologia\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2\Documents\AA_TÖÖFAILID\AKTIIVSED ARTIKLID\2. PhD PP Chlorophyll fluorescence paper\Oecologia\Fi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990363"/>
                    </a:xfrm>
                    <a:prstGeom prst="rect">
                      <a:avLst/>
                    </a:prstGeom>
                    <a:noFill/>
                    <a:ln>
                      <a:noFill/>
                    </a:ln>
                  </pic:spPr>
                </pic:pic>
              </a:graphicData>
            </a:graphic>
          </wp:inline>
        </w:drawing>
      </w:r>
    </w:p>
    <w:p w:rsidR="00F24DCC" w:rsidRDefault="00F24DCC" w:rsidP="00F24DCC">
      <w:pPr>
        <w:widowControl/>
        <w:suppressAutoHyphens w:val="0"/>
        <w:spacing w:before="0" w:after="0" w:line="240" w:lineRule="auto"/>
        <w:rPr>
          <w:b/>
          <w:bCs/>
          <w:color w:val="000000"/>
        </w:rPr>
      </w:pPr>
      <w:r>
        <w:rPr>
          <w:b/>
          <w:bCs/>
          <w:color w:val="000000"/>
        </w:rPr>
        <w:br w:type="page"/>
      </w:r>
    </w:p>
    <w:p w:rsidR="00F24DCC" w:rsidRPr="00A55FEE" w:rsidRDefault="00F24DCC" w:rsidP="00F24DCC">
      <w:pPr>
        <w:pStyle w:val="BodyText"/>
        <w:spacing w:line="480" w:lineRule="auto"/>
        <w:jc w:val="both"/>
        <w:rPr>
          <w:b/>
          <w:bCs/>
          <w:color w:val="000000"/>
        </w:rPr>
      </w:pPr>
      <w:r w:rsidRPr="00A55FEE">
        <w:rPr>
          <w:b/>
          <w:bCs/>
          <w:color w:val="000000"/>
        </w:rPr>
        <w:t>Fig. 2</w:t>
      </w:r>
    </w:p>
    <w:p w:rsidR="00F24DCC" w:rsidRPr="00A21D5A" w:rsidRDefault="00F24DCC" w:rsidP="00F24DCC">
      <w:pPr>
        <w:spacing w:after="120" w:line="480" w:lineRule="auto"/>
        <w:jc w:val="both"/>
        <w:rPr>
          <w:b/>
          <w:bCs/>
          <w:color w:val="000000"/>
        </w:rPr>
      </w:pPr>
      <w:r w:rsidRPr="00A21D5A">
        <w:rPr>
          <w:b/>
          <w:bCs/>
          <w:noProof/>
          <w:color w:val="000000"/>
          <w:lang w:val="et-EE" w:eastAsia="et-EE"/>
        </w:rPr>
        <w:drawing>
          <wp:inline distT="0" distB="0" distL="0" distR="0" wp14:anchorId="797E94F0" wp14:editId="0824B360">
            <wp:extent cx="6120130" cy="4410458"/>
            <wp:effectExtent l="0" t="0" r="0" b="9525"/>
            <wp:docPr id="2" name="Picture 2" descr="C:\Users\Martin2\Documents\AA_TÖÖFAILID\AKTIIVSED ARTIKLID\2. PhD PP Chlorophyll fluorescence paper\Oecologia\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2\Documents\AA_TÖÖFAILID\AKTIIVSED ARTIKLID\2. PhD PP Chlorophyll fluorescence paper\Oecologia\Fig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410458"/>
                    </a:xfrm>
                    <a:prstGeom prst="rect">
                      <a:avLst/>
                    </a:prstGeom>
                    <a:noFill/>
                    <a:ln>
                      <a:noFill/>
                    </a:ln>
                  </pic:spPr>
                </pic:pic>
              </a:graphicData>
            </a:graphic>
          </wp:inline>
        </w:drawing>
      </w:r>
    </w:p>
    <w:p w:rsidR="00F24DCC" w:rsidRDefault="00F24DCC" w:rsidP="00F24DCC">
      <w:pPr>
        <w:widowControl/>
        <w:suppressAutoHyphens w:val="0"/>
        <w:spacing w:before="0" w:after="0" w:line="240" w:lineRule="auto"/>
        <w:rPr>
          <w:color w:val="000000"/>
        </w:rPr>
      </w:pPr>
      <w:r>
        <w:rPr>
          <w:color w:val="000000"/>
        </w:rPr>
        <w:br w:type="page"/>
      </w:r>
    </w:p>
    <w:p w:rsidR="00F24DCC" w:rsidRPr="00A55FEE" w:rsidRDefault="00F24DCC" w:rsidP="00F24DCC">
      <w:pPr>
        <w:widowControl/>
        <w:suppressAutoHyphens w:val="0"/>
        <w:spacing w:before="0" w:after="0" w:line="240" w:lineRule="auto"/>
        <w:rPr>
          <w:b/>
          <w:color w:val="000000"/>
        </w:rPr>
      </w:pPr>
      <w:r w:rsidRPr="00A55FEE">
        <w:rPr>
          <w:b/>
          <w:color w:val="000000"/>
        </w:rPr>
        <w:t>Fig. 3</w:t>
      </w:r>
    </w:p>
    <w:p w:rsidR="00F24DCC" w:rsidRPr="002D75EB" w:rsidRDefault="00F24DCC" w:rsidP="00F24DCC">
      <w:pPr>
        <w:spacing w:after="120" w:line="480" w:lineRule="auto"/>
        <w:jc w:val="both"/>
        <w:rPr>
          <w:color w:val="000000"/>
        </w:rPr>
      </w:pPr>
      <w:r w:rsidRPr="00F24DCC">
        <w:rPr>
          <w:noProof/>
          <w:color w:val="000000"/>
          <w:lang w:val="et-EE" w:eastAsia="et-EE"/>
        </w:rPr>
        <w:drawing>
          <wp:inline distT="0" distB="0" distL="0" distR="0">
            <wp:extent cx="4000193" cy="3581400"/>
            <wp:effectExtent l="0" t="0" r="635" b="0"/>
            <wp:docPr id="7" name="Picture 7" descr="E:\LÕPETATUD ARTIKLITE FAILID\2019 PP bryo stress (STOTEN)\STOTEN\Uus joonis 3\Joonis 3 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ÕPETATUD ARTIKLITE FAILID\2019 PP bryo stress (STOTEN)\STOTEN\Uus joonis 3\Joonis 3 u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1219" cy="3582319"/>
                    </a:xfrm>
                    <a:prstGeom prst="rect">
                      <a:avLst/>
                    </a:prstGeom>
                    <a:noFill/>
                    <a:ln>
                      <a:noFill/>
                    </a:ln>
                  </pic:spPr>
                </pic:pic>
              </a:graphicData>
            </a:graphic>
          </wp:inline>
        </w:drawing>
      </w:r>
    </w:p>
    <w:p w:rsidR="00F24DCC" w:rsidRDefault="00F24DCC" w:rsidP="00F24DCC">
      <w:pPr>
        <w:widowControl/>
        <w:suppressAutoHyphens w:val="0"/>
        <w:spacing w:before="0" w:after="0" w:line="240" w:lineRule="auto"/>
        <w:rPr>
          <w:b/>
          <w:color w:val="000000"/>
        </w:rPr>
      </w:pPr>
      <w:r>
        <w:rPr>
          <w:b/>
          <w:color w:val="000000"/>
        </w:rPr>
        <w:br w:type="page"/>
      </w:r>
    </w:p>
    <w:p w:rsidR="00F24DCC" w:rsidRPr="00A55FEE" w:rsidRDefault="00F24DCC" w:rsidP="00F24DCC">
      <w:pPr>
        <w:spacing w:after="120" w:line="480" w:lineRule="auto"/>
        <w:jc w:val="both"/>
        <w:rPr>
          <w:b/>
          <w:color w:val="000000"/>
        </w:rPr>
      </w:pPr>
      <w:r w:rsidRPr="00A55FEE">
        <w:rPr>
          <w:b/>
          <w:color w:val="000000"/>
        </w:rPr>
        <w:t>Fig. 4</w:t>
      </w:r>
    </w:p>
    <w:p w:rsidR="00F24DCC" w:rsidRPr="00A55FEE" w:rsidRDefault="00F24DCC" w:rsidP="00F24DCC">
      <w:pPr>
        <w:spacing w:after="120" w:line="480" w:lineRule="auto"/>
        <w:jc w:val="both"/>
        <w:rPr>
          <w:color w:val="000000"/>
        </w:rPr>
      </w:pPr>
      <w:r w:rsidRPr="00F24DCC">
        <w:rPr>
          <w:b/>
          <w:bCs/>
          <w:noProof/>
          <w:color w:val="000000"/>
          <w:lang w:val="et-EE" w:eastAsia="et-EE"/>
        </w:rPr>
        <w:drawing>
          <wp:inline distT="0" distB="0" distL="0" distR="0">
            <wp:extent cx="6120130" cy="8458262"/>
            <wp:effectExtent l="0" t="0" r="0" b="0"/>
            <wp:docPr id="6" name="Picture 6" descr="E:\LÕPETATUD ARTIKLITE FAILID\2019 PP bryo stress (STOTEN)\STOTEN\Uus joonis 4\Joonis 4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ÕPETATUD ARTIKLITE FAILID\2019 PP bryo stress (STOTEN)\STOTEN\Uus joonis 4\Joonis 4 revi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58262"/>
                    </a:xfrm>
                    <a:prstGeom prst="rect">
                      <a:avLst/>
                    </a:prstGeom>
                    <a:noFill/>
                    <a:ln>
                      <a:noFill/>
                    </a:ln>
                  </pic:spPr>
                </pic:pic>
              </a:graphicData>
            </a:graphic>
          </wp:inline>
        </w:drawing>
      </w:r>
      <w:r>
        <w:rPr>
          <w:b/>
          <w:bCs/>
          <w:color w:val="000000"/>
        </w:rPr>
        <w:br w:type="page"/>
      </w:r>
    </w:p>
    <w:p w:rsidR="00F24DCC" w:rsidRPr="002D75EB" w:rsidRDefault="00F24DCC" w:rsidP="00F24DCC">
      <w:pPr>
        <w:spacing w:after="120" w:line="480" w:lineRule="auto"/>
        <w:jc w:val="both"/>
        <w:rPr>
          <w:color w:val="000000"/>
        </w:rPr>
      </w:pPr>
      <w:r>
        <w:rPr>
          <w:b/>
          <w:bCs/>
          <w:color w:val="000000"/>
        </w:rPr>
        <w:t>Fig.</w:t>
      </w:r>
      <w:r w:rsidRPr="002D75EB">
        <w:rPr>
          <w:b/>
          <w:bCs/>
          <w:color w:val="000000"/>
        </w:rPr>
        <w:t xml:space="preserve"> </w:t>
      </w:r>
      <w:r>
        <w:rPr>
          <w:b/>
          <w:bCs/>
          <w:color w:val="000000"/>
        </w:rPr>
        <w:t>5</w:t>
      </w:r>
    </w:p>
    <w:p w:rsidR="00F24DCC" w:rsidRDefault="00F24DCC" w:rsidP="00F24DCC">
      <w:pPr>
        <w:spacing w:after="120" w:line="480" w:lineRule="auto"/>
        <w:jc w:val="both"/>
        <w:rPr>
          <w:color w:val="000000"/>
        </w:rPr>
      </w:pPr>
      <w:r w:rsidRPr="00B172FD">
        <w:rPr>
          <w:noProof/>
          <w:color w:val="000000"/>
          <w:lang w:val="et-EE" w:eastAsia="et-EE"/>
        </w:rPr>
        <w:drawing>
          <wp:inline distT="0" distB="0" distL="0" distR="0" wp14:anchorId="63A705F4" wp14:editId="199C3F9A">
            <wp:extent cx="6120130" cy="6120130"/>
            <wp:effectExtent l="0" t="0" r="0" b="0"/>
            <wp:docPr id="5" name="Picture 5" descr="C:\Users\Martin2\Documents\AA_TÖÖFAILID\AKTIIVSED ARTIKLID\2. PhD PP Chlorophyll fluorescence paper\Oecologia\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2\Documents\AA_TÖÖFAILID\AKTIIVSED ARTIKLID\2. PhD PP Chlorophyll fluorescence paper\Oecologia\Fig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F24DCC" w:rsidRDefault="00F24DCC">
      <w:pPr>
        <w:widowControl/>
        <w:suppressAutoHyphens w:val="0"/>
        <w:spacing w:before="0" w:after="160" w:line="259" w:lineRule="auto"/>
        <w:rPr>
          <w:color w:val="000000"/>
        </w:rPr>
      </w:pPr>
      <w:r>
        <w:rPr>
          <w:color w:val="000000"/>
        </w:rPr>
        <w:br w:type="page"/>
      </w:r>
    </w:p>
    <w:p w:rsidR="00F24DCC" w:rsidRDefault="00F24DCC" w:rsidP="00F24DCC">
      <w:pPr>
        <w:pStyle w:val="Heading2"/>
      </w:pPr>
      <w:r>
        <w:t>Graphical Abstract</w:t>
      </w:r>
    </w:p>
    <w:p w:rsidR="00F24DCC" w:rsidRDefault="00F24DCC" w:rsidP="00F24DCC">
      <w:pPr>
        <w:widowControl/>
        <w:suppressAutoHyphens w:val="0"/>
        <w:spacing w:before="0" w:after="0" w:line="240" w:lineRule="auto"/>
        <w:rPr>
          <w:color w:val="000000"/>
        </w:rPr>
      </w:pPr>
      <w:r w:rsidRPr="00F24DCC">
        <w:rPr>
          <w:noProof/>
          <w:color w:val="000000"/>
          <w:lang w:val="et-EE" w:eastAsia="et-EE"/>
        </w:rPr>
        <w:drawing>
          <wp:inline distT="0" distB="0" distL="0" distR="0">
            <wp:extent cx="4953000" cy="3495675"/>
            <wp:effectExtent l="0" t="0" r="0" b="9525"/>
            <wp:docPr id="8" name="Picture 8" descr="E:\LÕPETATUD ARTIKLITE FAILID\2019 PP bryo stress (STOTEN)\STOTEN\graphic abs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ÕPETATUD ARTIKLITE FAILID\2019 PP bryo stress (STOTEN)\STOTEN\graphic abs fina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3495675"/>
                    </a:xfrm>
                    <a:prstGeom prst="rect">
                      <a:avLst/>
                    </a:prstGeom>
                    <a:noFill/>
                    <a:ln>
                      <a:noFill/>
                    </a:ln>
                  </pic:spPr>
                </pic:pic>
              </a:graphicData>
            </a:graphic>
          </wp:inline>
        </w:drawing>
      </w:r>
    </w:p>
    <w:p w:rsidR="00F24DCC" w:rsidRDefault="00F24DCC" w:rsidP="00F24DCC">
      <w:pPr>
        <w:widowControl/>
        <w:suppressAutoHyphens w:val="0"/>
        <w:spacing w:before="0" w:after="0" w:line="240" w:lineRule="auto"/>
        <w:rPr>
          <w:color w:val="000000"/>
        </w:rPr>
      </w:pPr>
      <w:r>
        <w:rPr>
          <w:color w:val="000000"/>
        </w:rPr>
        <w:br w:type="page"/>
      </w:r>
    </w:p>
    <w:p w:rsidR="00F24DCC" w:rsidRDefault="00F24DCC" w:rsidP="00F24DCC">
      <w:pPr>
        <w:pStyle w:val="Heading2"/>
      </w:pPr>
      <w:r>
        <w:t>Appendixes</w:t>
      </w:r>
    </w:p>
    <w:p w:rsidR="00F24DCC" w:rsidRPr="006D5F04" w:rsidRDefault="00F24DCC" w:rsidP="00F24DCC"/>
    <w:p w:rsidR="00F24DCC" w:rsidRPr="002D75EB" w:rsidRDefault="00F24DCC" w:rsidP="00F24DCC">
      <w:pPr>
        <w:pStyle w:val="BodyText"/>
        <w:spacing w:line="480" w:lineRule="auto"/>
        <w:jc w:val="both"/>
        <w:rPr>
          <w:color w:val="000000"/>
        </w:rPr>
      </w:pPr>
      <w:r>
        <w:rPr>
          <w:b/>
          <w:color w:val="000000"/>
        </w:rPr>
        <w:t>Appendix 1</w:t>
      </w:r>
      <w:r w:rsidRPr="002D75EB">
        <w:rPr>
          <w:color w:val="000000"/>
        </w:rPr>
        <w:t xml:space="preserve"> A list of vascular plant and bryophyte species with mean coverages in Paraspõllu calcareous fen (Ilomets </w:t>
      </w:r>
      <w:r>
        <w:rPr>
          <w:color w:val="000000"/>
        </w:rPr>
        <w:t>et al.</w:t>
      </w:r>
      <w:r w:rsidRPr="002D75EB">
        <w:rPr>
          <w:color w:val="000000"/>
        </w:rPr>
        <w:t xml:space="preserve"> 2010)</w:t>
      </w:r>
    </w:p>
    <w:tbl>
      <w:tblPr>
        <w:tblW w:w="9983" w:type="dxa"/>
        <w:tblCellSpacing w:w="0" w:type="dxa"/>
        <w:tblInd w:w="15" w:type="dxa"/>
        <w:tblCellMar>
          <w:top w:w="60" w:type="dxa"/>
          <w:left w:w="60" w:type="dxa"/>
          <w:bottom w:w="60" w:type="dxa"/>
          <w:right w:w="60" w:type="dxa"/>
        </w:tblCellMar>
        <w:tblLook w:val="04A0" w:firstRow="1" w:lastRow="0" w:firstColumn="1" w:lastColumn="0" w:noHBand="0" w:noVBand="1"/>
      </w:tblPr>
      <w:tblGrid>
        <w:gridCol w:w="500"/>
        <w:gridCol w:w="3671"/>
        <w:gridCol w:w="737"/>
        <w:gridCol w:w="822"/>
        <w:gridCol w:w="3516"/>
        <w:gridCol w:w="737"/>
      </w:tblGrid>
      <w:tr w:rsidR="00F24DCC" w:rsidRPr="002D75EB" w:rsidTr="004F0661">
        <w:trPr>
          <w:tblCellSpacing w:w="0" w:type="dxa"/>
        </w:trPr>
        <w:tc>
          <w:tcPr>
            <w:tcW w:w="500" w:type="dxa"/>
            <w:tcBorders>
              <w:top w:val="single" w:sz="4" w:space="0" w:color="auto"/>
              <w:bottom w:val="single" w:sz="4" w:space="0" w:color="auto"/>
            </w:tcBorders>
            <w:hideMark/>
          </w:tcPr>
          <w:p w:rsidR="00F24DCC" w:rsidRPr="002D75EB" w:rsidRDefault="00F24DCC" w:rsidP="004F0661">
            <w:pPr>
              <w:pStyle w:val="Tablenormal1"/>
              <w:rPr>
                <w:lang w:eastAsia="et-EE"/>
              </w:rPr>
            </w:pPr>
            <w:r w:rsidRPr="002D75EB">
              <w:rPr>
                <w:lang w:eastAsia="et-EE"/>
              </w:rPr>
              <w:t>Nr.</w:t>
            </w:r>
          </w:p>
        </w:tc>
        <w:tc>
          <w:tcPr>
            <w:tcW w:w="3671" w:type="dxa"/>
            <w:tcBorders>
              <w:top w:val="single" w:sz="4" w:space="0" w:color="auto"/>
              <w:bottom w:val="single" w:sz="4" w:space="0" w:color="auto"/>
            </w:tcBorders>
            <w:hideMark/>
          </w:tcPr>
          <w:p w:rsidR="00F24DCC" w:rsidRPr="002D75EB" w:rsidRDefault="00F24DCC" w:rsidP="004F0661">
            <w:pPr>
              <w:pStyle w:val="Tablenormal1"/>
              <w:rPr>
                <w:lang w:eastAsia="et-EE"/>
              </w:rPr>
            </w:pPr>
            <w:r w:rsidRPr="002D75EB">
              <w:rPr>
                <w:lang w:eastAsia="et-EE"/>
              </w:rPr>
              <w:t>Species</w:t>
            </w:r>
          </w:p>
        </w:tc>
        <w:tc>
          <w:tcPr>
            <w:tcW w:w="737" w:type="dxa"/>
            <w:tcBorders>
              <w:top w:val="single" w:sz="4" w:space="0" w:color="auto"/>
              <w:bottom w:val="single" w:sz="4" w:space="0" w:color="auto"/>
            </w:tcBorders>
            <w:hideMark/>
          </w:tcPr>
          <w:p w:rsidR="00F24DCC" w:rsidRPr="002D75EB" w:rsidRDefault="00F24DCC" w:rsidP="004F0661">
            <w:pPr>
              <w:pStyle w:val="Tablenormal1"/>
              <w:rPr>
                <w:lang w:eastAsia="et-EE"/>
              </w:rPr>
            </w:pPr>
            <w:r w:rsidRPr="002D75EB">
              <w:rPr>
                <w:lang w:eastAsia="et-EE"/>
              </w:rPr>
              <w:t>Cover (%)</w:t>
            </w:r>
          </w:p>
        </w:tc>
        <w:tc>
          <w:tcPr>
            <w:tcW w:w="822" w:type="dxa"/>
            <w:tcBorders>
              <w:top w:val="single" w:sz="4" w:space="0" w:color="auto"/>
              <w:bottom w:val="single" w:sz="4" w:space="0" w:color="auto"/>
            </w:tcBorders>
          </w:tcPr>
          <w:p w:rsidR="00F24DCC" w:rsidRPr="002D75EB" w:rsidRDefault="00F24DCC" w:rsidP="004F0661">
            <w:pPr>
              <w:pStyle w:val="Tablenormal1"/>
              <w:rPr>
                <w:lang w:eastAsia="et-EE"/>
              </w:rPr>
            </w:pPr>
            <w:r w:rsidRPr="002D75EB">
              <w:rPr>
                <w:lang w:eastAsia="et-EE"/>
              </w:rPr>
              <w:t>Nr.</w:t>
            </w:r>
          </w:p>
        </w:tc>
        <w:tc>
          <w:tcPr>
            <w:tcW w:w="3516" w:type="dxa"/>
            <w:tcBorders>
              <w:top w:val="single" w:sz="4" w:space="0" w:color="auto"/>
              <w:bottom w:val="single" w:sz="4" w:space="0" w:color="auto"/>
            </w:tcBorders>
          </w:tcPr>
          <w:p w:rsidR="00F24DCC" w:rsidRPr="002D75EB" w:rsidRDefault="00F24DCC" w:rsidP="004F0661">
            <w:pPr>
              <w:pStyle w:val="Tablenormal1"/>
              <w:rPr>
                <w:lang w:eastAsia="et-EE"/>
              </w:rPr>
            </w:pPr>
            <w:r w:rsidRPr="002D75EB">
              <w:rPr>
                <w:lang w:eastAsia="et-EE"/>
              </w:rPr>
              <w:t>Species</w:t>
            </w:r>
          </w:p>
        </w:tc>
        <w:tc>
          <w:tcPr>
            <w:tcW w:w="737" w:type="dxa"/>
            <w:tcBorders>
              <w:top w:val="single" w:sz="4" w:space="0" w:color="auto"/>
              <w:bottom w:val="single" w:sz="4" w:space="0" w:color="auto"/>
            </w:tcBorders>
          </w:tcPr>
          <w:p w:rsidR="00F24DCC" w:rsidRPr="002D75EB" w:rsidRDefault="00F24DCC" w:rsidP="004F0661">
            <w:pPr>
              <w:pStyle w:val="Tablenormal1"/>
              <w:rPr>
                <w:lang w:eastAsia="et-EE"/>
              </w:rPr>
            </w:pPr>
            <w:r w:rsidRPr="002D75EB">
              <w:rPr>
                <w:lang w:eastAsia="et-EE"/>
              </w:rPr>
              <w:t>Cover (%)</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Betula humilis</w:t>
            </w:r>
            <w:r w:rsidRPr="002D75EB">
              <w:rPr>
                <w:sz w:val="20"/>
                <w:szCs w:val="20"/>
                <w:lang w:eastAsia="et-EE"/>
              </w:rPr>
              <w:t xml:space="preserve"> Schrank</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26.</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Salix rosmarinifolia </w:t>
            </w:r>
            <w:r w:rsidRPr="002D75EB">
              <w:rPr>
                <w:sz w:val="20"/>
                <w:szCs w:val="20"/>
                <w:lang w:eastAsia="et-EE"/>
              </w:rPr>
              <w:t>L.</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Betula pubescens</w:t>
            </w:r>
            <w:r w:rsidRPr="002D75EB">
              <w:rPr>
                <w:sz w:val="20"/>
                <w:szCs w:val="20"/>
                <w:lang w:eastAsia="et-EE"/>
              </w:rPr>
              <w:t xml:space="preserve"> Ehrh.</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27.</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Schoenus ferrugineus </w:t>
            </w:r>
            <w:r w:rsidRPr="002D75EB">
              <w:rPr>
                <w:sz w:val="20"/>
                <w:szCs w:val="20"/>
                <w:lang w:eastAsia="et-EE"/>
              </w:rPr>
              <w:t>L.</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5</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3.</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Carex davalliana</w:t>
            </w:r>
            <w:r w:rsidRPr="002D75EB">
              <w:rPr>
                <w:sz w:val="20"/>
                <w:szCs w:val="20"/>
                <w:lang w:eastAsia="et-EE"/>
              </w:rPr>
              <w:t xml:space="preserve"> J. E. Sm.</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28.</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Selaginella selaginoides </w:t>
            </w:r>
            <w:r w:rsidRPr="002D75EB">
              <w:rPr>
                <w:sz w:val="20"/>
                <w:szCs w:val="20"/>
                <w:lang w:eastAsia="et-EE"/>
              </w:rPr>
              <w:t>(L.) Beauv. ex Schrank &amp; Mart*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4.</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Carex flacca</w:t>
            </w:r>
            <w:r w:rsidRPr="002D75EB">
              <w:rPr>
                <w:sz w:val="20"/>
                <w:szCs w:val="20"/>
                <w:lang w:eastAsia="et-EE"/>
              </w:rPr>
              <w:t xml:space="preserve"> Schreb.</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29.</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Sesleria caerulea </w:t>
            </w:r>
            <w:r w:rsidRPr="002D75EB">
              <w:rPr>
                <w:sz w:val="20"/>
                <w:szCs w:val="20"/>
                <w:lang w:eastAsia="et-EE"/>
              </w:rPr>
              <w:t>(L.) Ard.</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5.</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Carex flava</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30.</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Succisa pratensis </w:t>
            </w:r>
            <w:r w:rsidRPr="002D75EB">
              <w:rPr>
                <w:sz w:val="20"/>
                <w:szCs w:val="20"/>
                <w:lang w:eastAsia="et-EE"/>
              </w:rPr>
              <w:t>Moench</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6.</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Carex lasiocarpa</w:t>
            </w:r>
            <w:r w:rsidRPr="002D75EB">
              <w:rPr>
                <w:sz w:val="20"/>
                <w:szCs w:val="20"/>
                <w:lang w:eastAsia="et-EE"/>
              </w:rPr>
              <w:t xml:space="preserve"> Ehrh.</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31.</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Tofieldia calyculata </w:t>
            </w:r>
            <w:r w:rsidRPr="002D75EB">
              <w:rPr>
                <w:sz w:val="20"/>
                <w:szCs w:val="20"/>
                <w:lang w:eastAsia="et-EE"/>
              </w:rPr>
              <w:t>(L.) Wahlenb.</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7.</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Carex panicea</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6</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32.</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Utricularia intermedia </w:t>
            </w:r>
            <w:r w:rsidRPr="002D75EB">
              <w:rPr>
                <w:sz w:val="20"/>
                <w:szCs w:val="20"/>
                <w:lang w:eastAsia="et-EE"/>
              </w:rPr>
              <w:t>Hayne</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8.</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 xml:space="preserve">Carex rostrata </w:t>
            </w:r>
            <w:r w:rsidRPr="002D75EB">
              <w:rPr>
                <w:sz w:val="20"/>
                <w:szCs w:val="20"/>
                <w:lang w:eastAsia="et-EE"/>
              </w:rPr>
              <w:t>Stokes</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33.</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Aneura pinguis </w:t>
            </w:r>
            <w:r w:rsidRPr="002D75EB">
              <w:rPr>
                <w:sz w:val="20"/>
                <w:szCs w:val="20"/>
                <w:lang w:eastAsia="et-EE"/>
              </w:rPr>
              <w:t>(L.) Dumort.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9.</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Dactylorhiza incarnata</w:t>
            </w:r>
            <w:r w:rsidRPr="002D75EB">
              <w:rPr>
                <w:sz w:val="20"/>
                <w:szCs w:val="20"/>
                <w:lang w:eastAsia="et-EE"/>
              </w:rPr>
              <w:t xml:space="preserve"> (L.) Soó*</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34.</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Pellia endiviifolia </w:t>
            </w:r>
            <w:r w:rsidRPr="002D75EB">
              <w:rPr>
                <w:sz w:val="20"/>
                <w:szCs w:val="20"/>
                <w:lang w:eastAsia="et-EE"/>
              </w:rPr>
              <w:t>(Dicks.) Dumort.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10.</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Deschampsia cespitosa</w:t>
            </w:r>
            <w:r w:rsidRPr="002D75EB">
              <w:rPr>
                <w:sz w:val="20"/>
                <w:szCs w:val="20"/>
                <w:lang w:eastAsia="et-EE"/>
              </w:rPr>
              <w:t xml:space="preserve"> (L.) P. Beauv.</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35.</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Preissia quadrata </w:t>
            </w:r>
            <w:r w:rsidRPr="002D75EB">
              <w:rPr>
                <w:sz w:val="20"/>
                <w:szCs w:val="20"/>
                <w:lang w:eastAsia="et-EE"/>
              </w:rPr>
              <w:t>(Scop.) Nees</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11.</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Epipactis palustris</w:t>
            </w:r>
            <w:r w:rsidRPr="002D75EB">
              <w:rPr>
                <w:sz w:val="20"/>
                <w:szCs w:val="20"/>
                <w:lang w:eastAsia="et-EE"/>
              </w:rPr>
              <w:t xml:space="preserve"> (L.) Crantz*</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36.</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Bryum </w:t>
            </w:r>
            <w:r w:rsidRPr="002D75EB">
              <w:rPr>
                <w:sz w:val="20"/>
                <w:szCs w:val="20"/>
                <w:lang w:eastAsia="et-EE"/>
              </w:rPr>
              <w:t>sp.</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12.</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Equisetum palustre</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37.</w:t>
            </w:r>
          </w:p>
        </w:tc>
        <w:tc>
          <w:tcPr>
            <w:tcW w:w="3516" w:type="dxa"/>
          </w:tcPr>
          <w:p w:rsidR="00F24DCC" w:rsidRPr="005721B9" w:rsidRDefault="00F24DCC" w:rsidP="004F0661">
            <w:pPr>
              <w:pStyle w:val="Tablenormal1"/>
              <w:rPr>
                <w:sz w:val="20"/>
                <w:szCs w:val="20"/>
                <w:lang w:eastAsia="et-EE"/>
              </w:rPr>
            </w:pPr>
            <w:r w:rsidRPr="005721B9">
              <w:rPr>
                <w:rFonts w:ascii="cursive" w:hAnsi="cursive"/>
                <w:i/>
                <w:iCs/>
                <w:sz w:val="20"/>
                <w:szCs w:val="20"/>
                <w:lang w:eastAsia="et-EE"/>
              </w:rPr>
              <w:t xml:space="preserve">Bryum pseudotriquetrum </w:t>
            </w:r>
            <w:r w:rsidRPr="005721B9">
              <w:rPr>
                <w:sz w:val="20"/>
                <w:szCs w:val="20"/>
                <w:lang w:eastAsia="et-EE"/>
              </w:rPr>
              <w:t xml:space="preserve">(Hedw.) P. Gaertn. </w:t>
            </w:r>
            <w:r>
              <w:rPr>
                <w:sz w:val="20"/>
                <w:szCs w:val="20"/>
                <w:lang w:eastAsia="et-EE"/>
              </w:rPr>
              <w:t>et al.</w:t>
            </w:r>
            <w:r w:rsidRPr="005721B9">
              <w:rPr>
                <w:sz w:val="20"/>
                <w:szCs w:val="20"/>
                <w:lang w:eastAsia="et-EE"/>
              </w:rPr>
              <w: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13.</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 xml:space="preserve">Frangula alnus </w:t>
            </w:r>
            <w:r w:rsidRPr="002D75EB">
              <w:rPr>
                <w:sz w:val="20"/>
                <w:szCs w:val="20"/>
                <w:lang w:eastAsia="et-EE"/>
              </w:rPr>
              <w:t>Mill.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38.</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Calliergonella cuspidata </w:t>
            </w:r>
            <w:r w:rsidRPr="002D75EB">
              <w:rPr>
                <w:sz w:val="20"/>
                <w:szCs w:val="20"/>
                <w:lang w:eastAsia="et-EE"/>
              </w:rPr>
              <w:t>(Hedw.) Loeske</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14.</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Galium palustre</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39.</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Campylium elodes </w:t>
            </w:r>
            <w:r w:rsidRPr="002D75EB">
              <w:rPr>
                <w:sz w:val="20"/>
                <w:szCs w:val="20"/>
                <w:lang w:eastAsia="et-EE"/>
              </w:rPr>
              <w:t>(Lindb.) Kindb.</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15.</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Gymnadenia conopsea</w:t>
            </w:r>
            <w:r w:rsidRPr="002D75EB">
              <w:rPr>
                <w:sz w:val="20"/>
                <w:szCs w:val="20"/>
                <w:lang w:eastAsia="et-EE"/>
              </w:rPr>
              <w:t xml:space="preserve"> (L.) R. Br.*</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40.</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Campylium stellatum </w:t>
            </w:r>
            <w:r w:rsidRPr="002D75EB">
              <w:rPr>
                <w:sz w:val="20"/>
                <w:szCs w:val="20"/>
                <w:lang w:eastAsia="et-EE"/>
              </w:rPr>
              <w:t>(Hedw.) Lange &amp; C. E. O. Jensen</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8</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16.</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Linum catharcticum</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41.</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Campylium stellatum </w:t>
            </w:r>
            <w:r w:rsidRPr="002D75EB">
              <w:rPr>
                <w:sz w:val="20"/>
                <w:szCs w:val="20"/>
                <w:lang w:eastAsia="et-EE"/>
              </w:rPr>
              <w:t xml:space="preserve">(Hedw.) Lange &amp; C. E. O. Jensen var. </w:t>
            </w:r>
            <w:r w:rsidRPr="002D75EB">
              <w:rPr>
                <w:rFonts w:ascii="cursive" w:hAnsi="cursive"/>
                <w:i/>
                <w:iCs/>
                <w:sz w:val="20"/>
                <w:szCs w:val="20"/>
                <w:lang w:eastAsia="et-EE"/>
              </w:rPr>
              <w:t xml:space="preserve">protensum </w:t>
            </w:r>
            <w:r w:rsidRPr="002D75EB">
              <w:rPr>
                <w:sz w:val="20"/>
                <w:szCs w:val="20"/>
                <w:lang w:eastAsia="et-EE"/>
              </w:rPr>
              <w:t>(Brid.) Bryhn ex Grout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17.</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Menyanthes trifoliata</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2</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42.</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Catoscopium nigritum </w:t>
            </w:r>
            <w:r w:rsidRPr="002D75EB">
              <w:rPr>
                <w:sz w:val="20"/>
                <w:szCs w:val="20"/>
                <w:lang w:eastAsia="et-EE"/>
              </w:rPr>
              <w:t>(Hedw.) Brid.*</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18.</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Molinia caerulea</w:t>
            </w:r>
            <w:r w:rsidRPr="002D75EB">
              <w:rPr>
                <w:sz w:val="20"/>
                <w:szCs w:val="20"/>
                <w:lang w:eastAsia="et-EE"/>
              </w:rPr>
              <w:t xml:space="preserve"> (L.) Moench</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43.</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Cinclidium stygium </w:t>
            </w:r>
            <w:r w:rsidRPr="002D75EB">
              <w:rPr>
                <w:sz w:val="20"/>
                <w:szCs w:val="20"/>
                <w:lang w:eastAsia="et-EE"/>
              </w:rPr>
              <w:t>Sw.</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19.</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Parnassia palustris</w:t>
            </w:r>
            <w:r w:rsidRPr="002D75EB">
              <w:rPr>
                <w:sz w:val="20"/>
                <w:szCs w:val="20"/>
                <w:lang w:eastAsia="et-EE"/>
              </w:rPr>
              <w:t xml:space="preserve"> 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44.</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Ctenidium molluscum </w:t>
            </w:r>
            <w:r w:rsidRPr="002D75EB">
              <w:rPr>
                <w:sz w:val="20"/>
                <w:szCs w:val="20"/>
                <w:lang w:eastAsia="et-EE"/>
              </w:rPr>
              <w:t>(Hedw.) Mitt.</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20.</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 xml:space="preserve">Peucedanum palustre </w:t>
            </w:r>
            <w:r w:rsidRPr="002D75EB">
              <w:rPr>
                <w:sz w:val="20"/>
                <w:szCs w:val="20"/>
                <w:lang w:eastAsia="et-EE"/>
              </w:rPr>
              <w:t>(L.) Moench</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45.</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Fissidens adianthoides </w:t>
            </w:r>
            <w:r w:rsidRPr="002D75EB">
              <w:rPr>
                <w:sz w:val="20"/>
                <w:szCs w:val="20"/>
                <w:lang w:eastAsia="et-EE"/>
              </w:rPr>
              <w:t>Hedw.</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21.</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Phragmites australis</w:t>
            </w:r>
            <w:r w:rsidRPr="002D75EB">
              <w:rPr>
                <w:sz w:val="20"/>
                <w:szCs w:val="20"/>
                <w:lang w:eastAsia="et-EE"/>
              </w:rPr>
              <w:t xml:space="preserve"> (Cav.) Trin. ex Steud.</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46.</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Meesia triquetra </w:t>
            </w:r>
            <w:r w:rsidRPr="002D75EB">
              <w:rPr>
                <w:sz w:val="20"/>
                <w:szCs w:val="20"/>
                <w:lang w:eastAsia="et-EE"/>
              </w:rPr>
              <w:t>(L. ex Jolycl.) Ångstr.</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3</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22.</w:t>
            </w:r>
          </w:p>
        </w:tc>
        <w:tc>
          <w:tcPr>
            <w:tcW w:w="3671" w:type="dxa"/>
            <w:hideMark/>
          </w:tcPr>
          <w:p w:rsidR="00F24DCC" w:rsidRPr="002D75EB" w:rsidRDefault="00F24DCC" w:rsidP="004F0661">
            <w:pPr>
              <w:pStyle w:val="Tablenormal1"/>
              <w:jc w:val="left"/>
              <w:rPr>
                <w:sz w:val="20"/>
                <w:szCs w:val="20"/>
                <w:lang w:eastAsia="et-EE"/>
              </w:rPr>
            </w:pPr>
            <w:r w:rsidRPr="002D75EB">
              <w:rPr>
                <w:i/>
                <w:iCs/>
                <w:sz w:val="20"/>
                <w:szCs w:val="20"/>
                <w:lang w:eastAsia="et-EE"/>
              </w:rPr>
              <w:t>Picea abies</w:t>
            </w:r>
            <w:r w:rsidRPr="002D75EB">
              <w:rPr>
                <w:sz w:val="20"/>
                <w:szCs w:val="20"/>
                <w:lang w:eastAsia="et-EE"/>
              </w:rPr>
              <w:t xml:space="preserve"> (L.) H. Karst.</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47.</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Plagiomnium elatum </w:t>
            </w:r>
            <w:r w:rsidRPr="002D75EB">
              <w:rPr>
                <w:sz w:val="20"/>
                <w:szCs w:val="20"/>
                <w:lang w:eastAsia="et-EE"/>
              </w:rPr>
              <w:t>(Bruch &amp; Schimp.) T. J. Kop.</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23.</w:t>
            </w:r>
          </w:p>
        </w:tc>
        <w:tc>
          <w:tcPr>
            <w:tcW w:w="3671" w:type="dxa"/>
            <w:hideMark/>
          </w:tcPr>
          <w:p w:rsidR="00F24DCC" w:rsidRPr="002D75EB" w:rsidRDefault="00F24DCC" w:rsidP="004F0661">
            <w:pPr>
              <w:pStyle w:val="Tablenormal1"/>
              <w:jc w:val="left"/>
              <w:rPr>
                <w:sz w:val="20"/>
                <w:szCs w:val="20"/>
                <w:lang w:eastAsia="et-EE"/>
              </w:rPr>
            </w:pPr>
            <w:r w:rsidRPr="002D75EB">
              <w:rPr>
                <w:rFonts w:ascii="cursive" w:hAnsi="cursive"/>
                <w:i/>
                <w:iCs/>
                <w:sz w:val="20"/>
                <w:szCs w:val="20"/>
                <w:lang w:eastAsia="et-EE"/>
              </w:rPr>
              <w:t xml:space="preserve">Pinguicula vulgaris </w:t>
            </w:r>
            <w:r w:rsidRPr="002D75EB">
              <w:rPr>
                <w:sz w:val="20"/>
                <w:szCs w:val="20"/>
                <w:lang w:eastAsia="et-EE"/>
              </w:rPr>
              <w:t>L.</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48.</w:t>
            </w:r>
          </w:p>
        </w:tc>
        <w:tc>
          <w:tcPr>
            <w:tcW w:w="3516" w:type="dxa"/>
          </w:tcPr>
          <w:p w:rsidR="00F24DCC" w:rsidRPr="005721B9" w:rsidRDefault="00F24DCC" w:rsidP="004F0661">
            <w:pPr>
              <w:pStyle w:val="Tablenormal1"/>
              <w:rPr>
                <w:sz w:val="20"/>
                <w:szCs w:val="20"/>
                <w:lang w:eastAsia="et-EE"/>
              </w:rPr>
            </w:pPr>
            <w:r w:rsidRPr="005721B9">
              <w:rPr>
                <w:rFonts w:ascii="cursive" w:hAnsi="cursive"/>
                <w:i/>
                <w:iCs/>
                <w:sz w:val="20"/>
                <w:szCs w:val="20"/>
                <w:lang w:eastAsia="et-EE"/>
              </w:rPr>
              <w:t xml:space="preserve">Plagiomnium ellipticum </w:t>
            </w:r>
            <w:r w:rsidRPr="005721B9">
              <w:rPr>
                <w:sz w:val="20"/>
                <w:szCs w:val="20"/>
                <w:lang w:eastAsia="et-EE"/>
              </w:rPr>
              <w:t>(Brid.) T. J. Kop.</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&lt; 1</w:t>
            </w:r>
          </w:p>
        </w:tc>
      </w:tr>
      <w:tr w:rsidR="00F24DCC" w:rsidRPr="002D75EB" w:rsidTr="004F0661">
        <w:trPr>
          <w:tblCellSpacing w:w="0" w:type="dxa"/>
        </w:trPr>
        <w:tc>
          <w:tcPr>
            <w:tcW w:w="500" w:type="dxa"/>
            <w:hideMark/>
          </w:tcPr>
          <w:p w:rsidR="00F24DCC" w:rsidRPr="002D75EB" w:rsidRDefault="00F24DCC" w:rsidP="004F0661">
            <w:pPr>
              <w:pStyle w:val="Tablenormal1"/>
              <w:jc w:val="right"/>
              <w:rPr>
                <w:sz w:val="20"/>
                <w:szCs w:val="20"/>
                <w:lang w:eastAsia="et-EE"/>
              </w:rPr>
            </w:pPr>
            <w:r w:rsidRPr="002D75EB">
              <w:rPr>
                <w:sz w:val="20"/>
                <w:szCs w:val="20"/>
                <w:lang w:eastAsia="et-EE"/>
              </w:rPr>
              <w:t>24.</w:t>
            </w:r>
          </w:p>
        </w:tc>
        <w:tc>
          <w:tcPr>
            <w:tcW w:w="3671" w:type="dxa"/>
            <w:hideMark/>
          </w:tcPr>
          <w:p w:rsidR="00F24DCC" w:rsidRPr="002D75EB" w:rsidRDefault="00F24DCC" w:rsidP="004F0661">
            <w:pPr>
              <w:pStyle w:val="Tablenormal1"/>
              <w:jc w:val="left"/>
              <w:rPr>
                <w:sz w:val="20"/>
                <w:szCs w:val="20"/>
                <w:lang w:eastAsia="et-EE"/>
              </w:rPr>
            </w:pPr>
            <w:r w:rsidRPr="002D75EB">
              <w:rPr>
                <w:rFonts w:ascii="cursive" w:hAnsi="cursive"/>
                <w:i/>
                <w:iCs/>
                <w:sz w:val="20"/>
                <w:szCs w:val="20"/>
                <w:lang w:eastAsia="et-EE"/>
              </w:rPr>
              <w:t xml:space="preserve">Potentilla erecta </w:t>
            </w:r>
            <w:r w:rsidRPr="002D75EB">
              <w:rPr>
                <w:sz w:val="20"/>
                <w:szCs w:val="20"/>
                <w:lang w:eastAsia="et-EE"/>
              </w:rPr>
              <w:t>(L.) Räusch.</w:t>
            </w:r>
          </w:p>
        </w:tc>
        <w:tc>
          <w:tcPr>
            <w:tcW w:w="737" w:type="dxa"/>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Pr>
          <w:p w:rsidR="00F24DCC" w:rsidRPr="002D75EB" w:rsidRDefault="00F24DCC" w:rsidP="004F0661">
            <w:pPr>
              <w:pStyle w:val="Tablenormal1"/>
              <w:jc w:val="right"/>
              <w:rPr>
                <w:sz w:val="20"/>
                <w:szCs w:val="20"/>
                <w:lang w:eastAsia="et-EE"/>
              </w:rPr>
            </w:pPr>
            <w:r w:rsidRPr="002D75EB">
              <w:rPr>
                <w:sz w:val="20"/>
                <w:szCs w:val="20"/>
                <w:lang w:eastAsia="et-EE"/>
              </w:rPr>
              <w:t>49.</w:t>
            </w:r>
          </w:p>
        </w:tc>
        <w:tc>
          <w:tcPr>
            <w:tcW w:w="3516" w:type="dxa"/>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Scorpidium cossonii </w:t>
            </w:r>
            <w:r w:rsidRPr="002D75EB">
              <w:rPr>
                <w:sz w:val="20"/>
                <w:szCs w:val="20"/>
                <w:lang w:eastAsia="et-EE"/>
              </w:rPr>
              <w:t>(Schimp.) Loeske</w:t>
            </w:r>
          </w:p>
        </w:tc>
        <w:tc>
          <w:tcPr>
            <w:tcW w:w="737" w:type="dxa"/>
          </w:tcPr>
          <w:p w:rsidR="00F24DCC" w:rsidRPr="002D75EB" w:rsidRDefault="00F24DCC" w:rsidP="004F0661">
            <w:pPr>
              <w:pStyle w:val="Tablenormal1"/>
              <w:rPr>
                <w:sz w:val="20"/>
                <w:szCs w:val="20"/>
                <w:lang w:eastAsia="et-EE"/>
              </w:rPr>
            </w:pPr>
            <w:r w:rsidRPr="002D75EB">
              <w:rPr>
                <w:sz w:val="20"/>
                <w:szCs w:val="20"/>
                <w:lang w:eastAsia="et-EE"/>
              </w:rPr>
              <w:t>19</w:t>
            </w:r>
          </w:p>
        </w:tc>
      </w:tr>
      <w:tr w:rsidR="00F24DCC" w:rsidRPr="002D75EB" w:rsidTr="004F0661">
        <w:trPr>
          <w:tblCellSpacing w:w="0" w:type="dxa"/>
        </w:trPr>
        <w:tc>
          <w:tcPr>
            <w:tcW w:w="500" w:type="dxa"/>
            <w:tcBorders>
              <w:bottom w:val="single" w:sz="4" w:space="0" w:color="auto"/>
            </w:tcBorders>
            <w:hideMark/>
          </w:tcPr>
          <w:p w:rsidR="00F24DCC" w:rsidRPr="002D75EB" w:rsidRDefault="00F24DCC" w:rsidP="004F0661">
            <w:pPr>
              <w:pStyle w:val="Tablenormal1"/>
              <w:jc w:val="right"/>
              <w:rPr>
                <w:sz w:val="20"/>
                <w:szCs w:val="20"/>
                <w:lang w:eastAsia="et-EE"/>
              </w:rPr>
            </w:pPr>
            <w:r w:rsidRPr="002D75EB">
              <w:rPr>
                <w:sz w:val="20"/>
                <w:szCs w:val="20"/>
                <w:lang w:eastAsia="et-EE"/>
              </w:rPr>
              <w:t>25.</w:t>
            </w:r>
          </w:p>
        </w:tc>
        <w:tc>
          <w:tcPr>
            <w:tcW w:w="3671" w:type="dxa"/>
            <w:tcBorders>
              <w:bottom w:val="single" w:sz="4" w:space="0" w:color="auto"/>
            </w:tcBorders>
            <w:hideMark/>
          </w:tcPr>
          <w:p w:rsidR="00F24DCC" w:rsidRPr="002D75EB" w:rsidRDefault="00F24DCC" w:rsidP="004F0661">
            <w:pPr>
              <w:pStyle w:val="Tablenormal1"/>
              <w:jc w:val="left"/>
              <w:rPr>
                <w:sz w:val="20"/>
                <w:szCs w:val="20"/>
                <w:lang w:eastAsia="et-EE"/>
              </w:rPr>
            </w:pPr>
            <w:r w:rsidRPr="002D75EB">
              <w:rPr>
                <w:rFonts w:ascii="cursive" w:hAnsi="cursive"/>
                <w:i/>
                <w:iCs/>
                <w:sz w:val="20"/>
                <w:szCs w:val="20"/>
                <w:lang w:eastAsia="et-EE"/>
              </w:rPr>
              <w:t xml:space="preserve">Primula farinosa </w:t>
            </w:r>
            <w:r w:rsidRPr="002D75EB">
              <w:rPr>
                <w:sz w:val="20"/>
                <w:szCs w:val="20"/>
                <w:lang w:eastAsia="et-EE"/>
              </w:rPr>
              <w:t>L.</w:t>
            </w:r>
          </w:p>
        </w:tc>
        <w:tc>
          <w:tcPr>
            <w:tcW w:w="737" w:type="dxa"/>
            <w:tcBorders>
              <w:bottom w:val="single" w:sz="4" w:space="0" w:color="auto"/>
            </w:tcBorders>
            <w:hideMark/>
          </w:tcPr>
          <w:p w:rsidR="00F24DCC" w:rsidRPr="002D75EB" w:rsidRDefault="00F24DCC" w:rsidP="004F0661">
            <w:pPr>
              <w:pStyle w:val="Tablenormal1"/>
              <w:rPr>
                <w:sz w:val="20"/>
                <w:szCs w:val="20"/>
                <w:lang w:eastAsia="et-EE"/>
              </w:rPr>
            </w:pPr>
            <w:r w:rsidRPr="002D75EB">
              <w:rPr>
                <w:sz w:val="20"/>
                <w:szCs w:val="20"/>
                <w:lang w:eastAsia="et-EE"/>
              </w:rPr>
              <w:t>&lt; 1</w:t>
            </w:r>
          </w:p>
        </w:tc>
        <w:tc>
          <w:tcPr>
            <w:tcW w:w="822" w:type="dxa"/>
            <w:tcBorders>
              <w:bottom w:val="single" w:sz="4" w:space="0" w:color="auto"/>
            </w:tcBorders>
          </w:tcPr>
          <w:p w:rsidR="00F24DCC" w:rsidRPr="002D75EB" w:rsidRDefault="00F24DCC" w:rsidP="004F0661">
            <w:pPr>
              <w:pStyle w:val="Tablenormal1"/>
              <w:jc w:val="right"/>
              <w:rPr>
                <w:sz w:val="20"/>
                <w:szCs w:val="20"/>
                <w:lang w:eastAsia="et-EE"/>
              </w:rPr>
            </w:pPr>
            <w:r w:rsidRPr="002D75EB">
              <w:rPr>
                <w:sz w:val="20"/>
                <w:szCs w:val="20"/>
                <w:lang w:eastAsia="et-EE"/>
              </w:rPr>
              <w:t>50.</w:t>
            </w:r>
          </w:p>
        </w:tc>
        <w:tc>
          <w:tcPr>
            <w:tcW w:w="3516" w:type="dxa"/>
            <w:tcBorders>
              <w:bottom w:val="single" w:sz="4" w:space="0" w:color="auto"/>
            </w:tcBorders>
          </w:tcPr>
          <w:p w:rsidR="00F24DCC" w:rsidRPr="002D75EB" w:rsidRDefault="00F24DCC" w:rsidP="004F0661">
            <w:pPr>
              <w:pStyle w:val="Tablenormal1"/>
              <w:rPr>
                <w:sz w:val="20"/>
                <w:szCs w:val="20"/>
                <w:lang w:eastAsia="et-EE"/>
              </w:rPr>
            </w:pPr>
            <w:r w:rsidRPr="002D75EB">
              <w:rPr>
                <w:rFonts w:ascii="cursive" w:hAnsi="cursive"/>
                <w:i/>
                <w:iCs/>
                <w:sz w:val="20"/>
                <w:szCs w:val="20"/>
                <w:lang w:eastAsia="et-EE"/>
              </w:rPr>
              <w:t xml:space="preserve">Scorpidium scorpioides </w:t>
            </w:r>
            <w:r w:rsidRPr="002D75EB">
              <w:rPr>
                <w:sz w:val="20"/>
                <w:szCs w:val="20"/>
                <w:lang w:eastAsia="et-EE"/>
              </w:rPr>
              <w:t>(Hedw.) Limpr.</w:t>
            </w:r>
          </w:p>
        </w:tc>
        <w:tc>
          <w:tcPr>
            <w:tcW w:w="737" w:type="dxa"/>
            <w:tcBorders>
              <w:bottom w:val="single" w:sz="4" w:space="0" w:color="auto"/>
            </w:tcBorders>
          </w:tcPr>
          <w:p w:rsidR="00F24DCC" w:rsidRPr="002D75EB" w:rsidRDefault="00F24DCC" w:rsidP="004F0661">
            <w:pPr>
              <w:pStyle w:val="Tablenormal1"/>
              <w:rPr>
                <w:sz w:val="20"/>
                <w:szCs w:val="20"/>
                <w:lang w:eastAsia="et-EE"/>
              </w:rPr>
            </w:pPr>
            <w:r w:rsidRPr="002D75EB">
              <w:rPr>
                <w:sz w:val="20"/>
                <w:szCs w:val="20"/>
                <w:lang w:eastAsia="et-EE"/>
              </w:rPr>
              <w:t>5</w:t>
            </w:r>
          </w:p>
        </w:tc>
      </w:tr>
    </w:tbl>
    <w:p w:rsidR="00F24DCC" w:rsidRPr="002D75EB" w:rsidRDefault="00F24DCC" w:rsidP="00F24DCC">
      <w:pPr>
        <w:widowControl/>
        <w:suppressAutoHyphens w:val="0"/>
        <w:rPr>
          <w:b/>
          <w:bCs/>
          <w:i/>
          <w:iCs/>
          <w:color w:val="000000"/>
        </w:rPr>
      </w:pPr>
    </w:p>
    <w:p w:rsidR="00F24DCC" w:rsidRDefault="00F24DCC" w:rsidP="00F24DCC">
      <w:pPr>
        <w:widowControl/>
        <w:suppressAutoHyphens w:val="0"/>
        <w:spacing w:before="0" w:after="0" w:line="240" w:lineRule="auto"/>
        <w:rPr>
          <w:color w:val="000000"/>
        </w:rPr>
      </w:pPr>
      <w:r>
        <w:rPr>
          <w:color w:val="000000"/>
        </w:rPr>
        <w:br w:type="page"/>
      </w:r>
    </w:p>
    <w:p w:rsidR="00F24DCC" w:rsidRPr="002D75EB" w:rsidRDefault="00F24DCC" w:rsidP="00F24DCC">
      <w:pPr>
        <w:pStyle w:val="BodyText"/>
        <w:spacing w:line="480" w:lineRule="auto"/>
        <w:jc w:val="both"/>
        <w:rPr>
          <w:color w:val="000000"/>
        </w:rPr>
      </w:pPr>
      <w:r>
        <w:rPr>
          <w:b/>
          <w:color w:val="000000"/>
        </w:rPr>
        <w:t>Appendix</w:t>
      </w:r>
      <w:r w:rsidRPr="002D75EB">
        <w:rPr>
          <w:b/>
          <w:color w:val="000000"/>
        </w:rPr>
        <w:t xml:space="preserve"> 2</w:t>
      </w:r>
      <w:r w:rsidRPr="002D75EB">
        <w:rPr>
          <w:color w:val="000000"/>
        </w:rPr>
        <w:t xml:space="preserve"> Pearson correlations between the pigment concentrations and ratios in </w:t>
      </w:r>
      <w:r w:rsidRPr="002D75EB">
        <w:rPr>
          <w:i/>
          <w:color w:val="000000"/>
        </w:rPr>
        <w:t>Campylium stellatum</w:t>
      </w:r>
      <w:r w:rsidRPr="002D75EB">
        <w:rPr>
          <w:color w:val="000000"/>
        </w:rPr>
        <w:t xml:space="preserve"> (bottom left of the table, n = 116) and </w:t>
      </w:r>
      <w:r w:rsidRPr="002D75EB">
        <w:rPr>
          <w:i/>
          <w:color w:val="000000"/>
        </w:rPr>
        <w:t>Scorpidium scorpioides</w:t>
      </w:r>
      <w:r w:rsidRPr="002D75EB">
        <w:rPr>
          <w:color w:val="000000"/>
        </w:rPr>
        <w:t xml:space="preserve"> (top right of the table, n = 115); </w:t>
      </w:r>
      <w:r w:rsidRPr="002D75EB">
        <w:rPr>
          <w:i/>
          <w:iCs/>
          <w:color w:val="000000"/>
        </w:rPr>
        <w:t>p</w:t>
      </w:r>
      <w:r w:rsidRPr="002D75EB">
        <w:rPr>
          <w:color w:val="000000"/>
        </w:rPr>
        <w:t xml:space="preserve"> &lt; 0.001; in the parentheses </w:t>
      </w:r>
      <w:r w:rsidRPr="002D75EB">
        <w:rPr>
          <w:i/>
          <w:iCs/>
          <w:color w:val="000000"/>
        </w:rPr>
        <w:t>p</w:t>
      </w:r>
      <w:r w:rsidRPr="002D75EB">
        <w:rPr>
          <w:color w:val="000000"/>
        </w:rPr>
        <w:t xml:space="preserve"> </w:t>
      </w:r>
      <w:r>
        <w:rPr>
          <w:rFonts w:eastAsia="AdvGAR"/>
          <w:iCs/>
          <w:color w:val="000000"/>
        </w:rPr>
        <w:t>≥ 0.05</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78"/>
        <w:gridCol w:w="2549"/>
        <w:gridCol w:w="992"/>
        <w:gridCol w:w="992"/>
        <w:gridCol w:w="851"/>
        <w:gridCol w:w="850"/>
        <w:gridCol w:w="993"/>
        <w:gridCol w:w="1134"/>
        <w:gridCol w:w="474"/>
      </w:tblGrid>
      <w:tr w:rsidR="00F24DCC" w:rsidRPr="002D75EB" w:rsidTr="004F0661">
        <w:tc>
          <w:tcPr>
            <w:tcW w:w="678" w:type="dxa"/>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BodyText"/>
              <w:spacing w:line="240" w:lineRule="auto"/>
              <w:jc w:val="both"/>
              <w:rPr>
                <w:bCs/>
                <w:iCs/>
                <w:color w:val="000000"/>
              </w:rPr>
            </w:pPr>
          </w:p>
        </w:tc>
        <w:tc>
          <w:tcPr>
            <w:tcW w:w="992" w:type="dxa"/>
          </w:tcPr>
          <w:p w:rsidR="00F24DCC" w:rsidRPr="002D75EB" w:rsidRDefault="00F24DCC" w:rsidP="004F0661">
            <w:pPr>
              <w:pStyle w:val="BodyText"/>
              <w:spacing w:line="240" w:lineRule="auto"/>
              <w:jc w:val="center"/>
              <w:rPr>
                <w:b/>
                <w:bCs/>
                <w:iCs/>
                <w:color w:val="000000"/>
              </w:rPr>
            </w:pPr>
            <w:r w:rsidRPr="002D75EB">
              <w:rPr>
                <w:b/>
                <w:bCs/>
                <w:iCs/>
                <w:color w:val="000000"/>
              </w:rPr>
              <w:t>Ch-</w:t>
            </w:r>
            <w:r w:rsidRPr="002D75EB">
              <w:rPr>
                <w:b/>
                <w:bCs/>
                <w:i/>
                <w:iCs/>
                <w:color w:val="000000"/>
              </w:rPr>
              <w:t>a</w:t>
            </w:r>
          </w:p>
        </w:tc>
        <w:tc>
          <w:tcPr>
            <w:tcW w:w="992" w:type="dxa"/>
          </w:tcPr>
          <w:p w:rsidR="00F24DCC" w:rsidRPr="002D75EB" w:rsidRDefault="00F24DCC" w:rsidP="004F0661">
            <w:pPr>
              <w:pStyle w:val="BodyText"/>
              <w:spacing w:line="240" w:lineRule="auto"/>
              <w:jc w:val="center"/>
              <w:rPr>
                <w:b/>
                <w:bCs/>
                <w:iCs/>
                <w:color w:val="000000"/>
              </w:rPr>
            </w:pPr>
            <w:r w:rsidRPr="002D75EB">
              <w:rPr>
                <w:b/>
                <w:bCs/>
                <w:iCs/>
                <w:color w:val="000000"/>
              </w:rPr>
              <w:t>Ch-</w:t>
            </w:r>
            <w:r w:rsidRPr="002D75EB">
              <w:rPr>
                <w:b/>
                <w:bCs/>
                <w:i/>
                <w:iCs/>
                <w:color w:val="000000"/>
              </w:rPr>
              <w:t>b</w:t>
            </w:r>
          </w:p>
        </w:tc>
        <w:tc>
          <w:tcPr>
            <w:tcW w:w="851" w:type="dxa"/>
          </w:tcPr>
          <w:p w:rsidR="00F24DCC" w:rsidRPr="002D75EB" w:rsidRDefault="00F24DCC" w:rsidP="004F0661">
            <w:pPr>
              <w:pStyle w:val="BodyText"/>
              <w:spacing w:line="240" w:lineRule="auto"/>
              <w:jc w:val="center"/>
              <w:rPr>
                <w:b/>
                <w:bCs/>
                <w:iCs/>
                <w:color w:val="000000"/>
              </w:rPr>
            </w:pPr>
            <w:r w:rsidRPr="002D75EB">
              <w:rPr>
                <w:b/>
                <w:bCs/>
                <w:iCs/>
                <w:color w:val="000000"/>
              </w:rPr>
              <w:t>Car</w:t>
            </w:r>
          </w:p>
        </w:tc>
        <w:tc>
          <w:tcPr>
            <w:tcW w:w="850" w:type="dxa"/>
          </w:tcPr>
          <w:p w:rsidR="00F24DCC" w:rsidRPr="002D75EB" w:rsidRDefault="00F24DCC" w:rsidP="004F0661">
            <w:pPr>
              <w:pStyle w:val="BodyText"/>
              <w:spacing w:line="240" w:lineRule="auto"/>
              <w:jc w:val="center"/>
              <w:rPr>
                <w:b/>
                <w:bCs/>
                <w:iCs/>
                <w:color w:val="000000"/>
              </w:rPr>
            </w:pPr>
            <w:r w:rsidRPr="002D75EB">
              <w:rPr>
                <w:b/>
                <w:bCs/>
                <w:iCs/>
                <w:color w:val="000000"/>
              </w:rPr>
              <w:t>Ch</w:t>
            </w:r>
          </w:p>
        </w:tc>
        <w:tc>
          <w:tcPr>
            <w:tcW w:w="993" w:type="dxa"/>
          </w:tcPr>
          <w:p w:rsidR="00F24DCC" w:rsidRPr="002D75EB" w:rsidRDefault="00F24DCC" w:rsidP="004F0661">
            <w:pPr>
              <w:pStyle w:val="BodyText"/>
              <w:spacing w:line="240" w:lineRule="auto"/>
              <w:jc w:val="center"/>
              <w:rPr>
                <w:b/>
                <w:bCs/>
                <w:iCs/>
                <w:color w:val="000000"/>
              </w:rPr>
            </w:pPr>
            <w:r w:rsidRPr="002D75EB">
              <w:rPr>
                <w:b/>
                <w:bCs/>
                <w:iCs/>
                <w:color w:val="000000"/>
              </w:rPr>
              <w:t>Ch-</w:t>
            </w:r>
            <w:r w:rsidRPr="002D75EB">
              <w:rPr>
                <w:b/>
                <w:bCs/>
                <w:i/>
                <w:iCs/>
                <w:color w:val="000000"/>
              </w:rPr>
              <w:t>a</w:t>
            </w:r>
            <w:r w:rsidRPr="002D75EB">
              <w:rPr>
                <w:b/>
                <w:bCs/>
                <w:iCs/>
                <w:color w:val="000000"/>
              </w:rPr>
              <w:t>:</w:t>
            </w:r>
            <w:r w:rsidRPr="002D75EB">
              <w:rPr>
                <w:b/>
                <w:bCs/>
                <w:i/>
                <w:iCs/>
                <w:color w:val="000000"/>
              </w:rPr>
              <w:t>b</w:t>
            </w:r>
          </w:p>
        </w:tc>
        <w:tc>
          <w:tcPr>
            <w:tcW w:w="1134" w:type="dxa"/>
          </w:tcPr>
          <w:p w:rsidR="00F24DCC" w:rsidRPr="002D75EB" w:rsidRDefault="00F24DCC" w:rsidP="004F0661">
            <w:pPr>
              <w:pStyle w:val="BodyText"/>
              <w:spacing w:line="240" w:lineRule="auto"/>
              <w:jc w:val="center"/>
              <w:rPr>
                <w:b/>
                <w:bCs/>
                <w:iCs/>
                <w:color w:val="000000"/>
              </w:rPr>
            </w:pPr>
            <w:r w:rsidRPr="002D75EB">
              <w:rPr>
                <w:b/>
                <w:bCs/>
                <w:iCs/>
                <w:color w:val="000000"/>
              </w:rPr>
              <w:t>Ch:Car</w:t>
            </w:r>
          </w:p>
        </w:tc>
        <w:tc>
          <w:tcPr>
            <w:tcW w:w="474" w:type="dxa"/>
          </w:tcPr>
          <w:p w:rsidR="00F24DCC" w:rsidRPr="002D75EB" w:rsidRDefault="00F24DCC" w:rsidP="004F0661">
            <w:pPr>
              <w:pStyle w:val="BodyText"/>
              <w:spacing w:line="240" w:lineRule="auto"/>
              <w:jc w:val="both"/>
              <w:rPr>
                <w:bCs/>
                <w:iCs/>
                <w:color w:val="000000"/>
              </w:rPr>
            </w:pPr>
          </w:p>
        </w:tc>
      </w:tr>
      <w:tr w:rsidR="00F24DCC" w:rsidRPr="002D75EB" w:rsidTr="004F0661">
        <w:tc>
          <w:tcPr>
            <w:tcW w:w="678" w:type="dxa"/>
            <w:vMerge w:val="restart"/>
            <w:textDirection w:val="btLr"/>
          </w:tcPr>
          <w:p w:rsidR="00F24DCC" w:rsidRPr="002D75EB" w:rsidRDefault="00F24DCC" w:rsidP="004F0661">
            <w:pPr>
              <w:pStyle w:val="BodyText"/>
              <w:spacing w:line="240" w:lineRule="auto"/>
              <w:ind w:left="113" w:right="113"/>
              <w:jc w:val="center"/>
              <w:rPr>
                <w:bCs/>
                <w:i/>
                <w:iCs/>
                <w:color w:val="000000"/>
              </w:rPr>
            </w:pPr>
            <w:r w:rsidRPr="002D75EB">
              <w:rPr>
                <w:bCs/>
                <w:i/>
                <w:iCs/>
                <w:color w:val="000000"/>
              </w:rPr>
              <w:t>Campylium stellatum</w:t>
            </w: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Chlorophyll-</w:t>
            </w:r>
            <w:r w:rsidRPr="002D75EB">
              <w:rPr>
                <w:i/>
                <w:iCs/>
                <w:color w:val="000000"/>
              </w:rPr>
              <w:t>a</w:t>
            </w:r>
          </w:p>
        </w:tc>
        <w:tc>
          <w:tcPr>
            <w:tcW w:w="992" w:type="dxa"/>
            <w:shd w:val="clear" w:color="auto" w:fill="AEAAAA"/>
          </w:tcPr>
          <w:p w:rsidR="00F24DCC" w:rsidRPr="002D75EB" w:rsidRDefault="00F24DCC" w:rsidP="004F0661">
            <w:pPr>
              <w:pStyle w:val="BodyText"/>
              <w:spacing w:line="240" w:lineRule="auto"/>
              <w:jc w:val="center"/>
              <w:rPr>
                <w:bCs/>
                <w:iCs/>
                <w:color w:val="000000"/>
              </w:rPr>
            </w:pP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0.93</w:t>
            </w:r>
          </w:p>
        </w:tc>
        <w:tc>
          <w:tcPr>
            <w:tcW w:w="851" w:type="dxa"/>
          </w:tcPr>
          <w:p w:rsidR="00F24DCC" w:rsidRPr="002D75EB" w:rsidRDefault="00F24DCC" w:rsidP="004F0661">
            <w:pPr>
              <w:pStyle w:val="BodyText"/>
              <w:spacing w:line="240" w:lineRule="auto"/>
              <w:jc w:val="center"/>
              <w:rPr>
                <w:bCs/>
                <w:iCs/>
                <w:color w:val="000000"/>
              </w:rPr>
            </w:pPr>
            <w:r w:rsidRPr="002D75EB">
              <w:rPr>
                <w:bCs/>
                <w:iCs/>
                <w:color w:val="000000"/>
              </w:rPr>
              <w:t>0.97</w:t>
            </w:r>
          </w:p>
        </w:tc>
        <w:tc>
          <w:tcPr>
            <w:tcW w:w="850" w:type="dxa"/>
          </w:tcPr>
          <w:p w:rsidR="00F24DCC" w:rsidRPr="002D75EB" w:rsidRDefault="00F24DCC" w:rsidP="004F0661">
            <w:pPr>
              <w:pStyle w:val="BodyText"/>
              <w:spacing w:line="240" w:lineRule="auto"/>
              <w:jc w:val="center"/>
              <w:rPr>
                <w:bCs/>
                <w:iCs/>
                <w:color w:val="000000"/>
              </w:rPr>
            </w:pPr>
            <w:r w:rsidRPr="002D75EB">
              <w:rPr>
                <w:bCs/>
                <w:iCs/>
                <w:color w:val="000000"/>
              </w:rPr>
              <w:t>0.99</w:t>
            </w:r>
          </w:p>
        </w:tc>
        <w:tc>
          <w:tcPr>
            <w:tcW w:w="993" w:type="dxa"/>
          </w:tcPr>
          <w:p w:rsidR="00F24DCC" w:rsidRPr="002D75EB" w:rsidRDefault="00F24DCC" w:rsidP="004F0661">
            <w:pPr>
              <w:pStyle w:val="BodyText"/>
              <w:spacing w:line="240" w:lineRule="auto"/>
              <w:jc w:val="center"/>
              <w:rPr>
                <w:bCs/>
                <w:iCs/>
                <w:color w:val="000000"/>
              </w:rPr>
            </w:pPr>
            <w:r w:rsidRPr="002D75EB">
              <w:rPr>
                <w:bCs/>
                <w:iCs/>
                <w:color w:val="000000"/>
              </w:rPr>
              <w:t>-0.41</w:t>
            </w:r>
          </w:p>
        </w:tc>
        <w:tc>
          <w:tcPr>
            <w:tcW w:w="1134" w:type="dxa"/>
          </w:tcPr>
          <w:p w:rsidR="00F24DCC" w:rsidRPr="002D75EB" w:rsidRDefault="00F24DCC" w:rsidP="004F0661">
            <w:pPr>
              <w:pStyle w:val="BodyText"/>
              <w:spacing w:line="240" w:lineRule="auto"/>
              <w:jc w:val="center"/>
              <w:rPr>
                <w:bCs/>
                <w:iCs/>
                <w:color w:val="000000"/>
              </w:rPr>
            </w:pPr>
            <w:r w:rsidRPr="002D75EB">
              <w:rPr>
                <w:bCs/>
                <w:iCs/>
                <w:color w:val="000000"/>
              </w:rPr>
              <w:t>(-0.11)</w:t>
            </w:r>
          </w:p>
        </w:tc>
        <w:tc>
          <w:tcPr>
            <w:tcW w:w="474" w:type="dxa"/>
            <w:vMerge w:val="restart"/>
            <w:textDirection w:val="btLr"/>
          </w:tcPr>
          <w:p w:rsidR="00F24DCC" w:rsidRPr="002D75EB" w:rsidRDefault="00F24DCC" w:rsidP="004F0661">
            <w:pPr>
              <w:pStyle w:val="BodyText"/>
              <w:spacing w:line="240" w:lineRule="auto"/>
              <w:ind w:left="113" w:right="113"/>
              <w:jc w:val="center"/>
              <w:rPr>
                <w:bCs/>
                <w:i/>
                <w:iCs/>
                <w:color w:val="000000"/>
              </w:rPr>
            </w:pPr>
            <w:r w:rsidRPr="002D75EB">
              <w:rPr>
                <w:bCs/>
                <w:i/>
                <w:iCs/>
                <w:color w:val="000000"/>
              </w:rPr>
              <w:t>Scorpidium scorpioides</w:t>
            </w:r>
          </w:p>
        </w:tc>
      </w:tr>
      <w:tr w:rsidR="00F24DCC" w:rsidRPr="002D75EB" w:rsidTr="004F0661">
        <w:tc>
          <w:tcPr>
            <w:tcW w:w="678" w:type="dxa"/>
            <w:vMerge/>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Chlorophyll-</w:t>
            </w:r>
            <w:r w:rsidRPr="002D75EB">
              <w:rPr>
                <w:i/>
                <w:iCs/>
                <w:color w:val="000000"/>
              </w:rPr>
              <w:t>b</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0.95</w:t>
            </w:r>
          </w:p>
        </w:tc>
        <w:tc>
          <w:tcPr>
            <w:tcW w:w="992" w:type="dxa"/>
            <w:shd w:val="clear" w:color="auto" w:fill="AEAAAA"/>
          </w:tcPr>
          <w:p w:rsidR="00F24DCC" w:rsidRPr="002D75EB" w:rsidRDefault="00F24DCC" w:rsidP="004F0661">
            <w:pPr>
              <w:pStyle w:val="BodyText"/>
              <w:spacing w:line="240" w:lineRule="auto"/>
              <w:jc w:val="center"/>
              <w:rPr>
                <w:bCs/>
                <w:iCs/>
                <w:color w:val="000000"/>
              </w:rPr>
            </w:pPr>
          </w:p>
        </w:tc>
        <w:tc>
          <w:tcPr>
            <w:tcW w:w="851" w:type="dxa"/>
          </w:tcPr>
          <w:p w:rsidR="00F24DCC" w:rsidRPr="002D75EB" w:rsidRDefault="00F24DCC" w:rsidP="004F0661">
            <w:pPr>
              <w:pStyle w:val="BodyText"/>
              <w:spacing w:line="240" w:lineRule="auto"/>
              <w:jc w:val="center"/>
              <w:rPr>
                <w:bCs/>
                <w:iCs/>
                <w:color w:val="000000"/>
              </w:rPr>
            </w:pPr>
            <w:r w:rsidRPr="002D75EB">
              <w:rPr>
                <w:bCs/>
                <w:iCs/>
                <w:color w:val="000000"/>
              </w:rPr>
              <w:t>0.96</w:t>
            </w:r>
          </w:p>
        </w:tc>
        <w:tc>
          <w:tcPr>
            <w:tcW w:w="850" w:type="dxa"/>
          </w:tcPr>
          <w:p w:rsidR="00F24DCC" w:rsidRPr="002D75EB" w:rsidRDefault="00F24DCC" w:rsidP="004F0661">
            <w:pPr>
              <w:pStyle w:val="BodyText"/>
              <w:spacing w:line="240" w:lineRule="auto"/>
              <w:jc w:val="center"/>
              <w:rPr>
                <w:bCs/>
                <w:iCs/>
                <w:color w:val="000000"/>
              </w:rPr>
            </w:pPr>
            <w:r w:rsidRPr="002D75EB">
              <w:rPr>
                <w:bCs/>
                <w:iCs/>
                <w:color w:val="000000"/>
              </w:rPr>
              <w:t>0.97</w:t>
            </w:r>
          </w:p>
        </w:tc>
        <w:tc>
          <w:tcPr>
            <w:tcW w:w="993" w:type="dxa"/>
          </w:tcPr>
          <w:p w:rsidR="00F24DCC" w:rsidRPr="002D75EB" w:rsidRDefault="00F24DCC" w:rsidP="004F0661">
            <w:pPr>
              <w:pStyle w:val="BodyText"/>
              <w:spacing w:line="240" w:lineRule="auto"/>
              <w:jc w:val="center"/>
              <w:rPr>
                <w:bCs/>
                <w:iCs/>
                <w:color w:val="000000"/>
              </w:rPr>
            </w:pPr>
            <w:r w:rsidRPr="002D75EB">
              <w:rPr>
                <w:bCs/>
                <w:iCs/>
                <w:color w:val="000000"/>
              </w:rPr>
              <w:t>-0.50</w:t>
            </w:r>
          </w:p>
        </w:tc>
        <w:tc>
          <w:tcPr>
            <w:tcW w:w="1134" w:type="dxa"/>
          </w:tcPr>
          <w:p w:rsidR="00F24DCC" w:rsidRPr="002D75EB" w:rsidRDefault="00F24DCC" w:rsidP="004F0661">
            <w:pPr>
              <w:pStyle w:val="BodyText"/>
              <w:spacing w:line="240" w:lineRule="auto"/>
              <w:jc w:val="center"/>
              <w:rPr>
                <w:bCs/>
                <w:iCs/>
                <w:color w:val="000000"/>
              </w:rPr>
            </w:pPr>
            <w:r w:rsidRPr="002D75EB">
              <w:rPr>
                <w:bCs/>
                <w:iCs/>
                <w:color w:val="000000"/>
              </w:rPr>
              <w:t>(-0.13)</w:t>
            </w:r>
          </w:p>
        </w:tc>
        <w:tc>
          <w:tcPr>
            <w:tcW w:w="474" w:type="dxa"/>
            <w:vMerge/>
          </w:tcPr>
          <w:p w:rsidR="00F24DCC" w:rsidRPr="002D75EB" w:rsidRDefault="00F24DCC" w:rsidP="004F0661">
            <w:pPr>
              <w:pStyle w:val="BodyText"/>
              <w:spacing w:line="240" w:lineRule="auto"/>
              <w:jc w:val="both"/>
              <w:rPr>
                <w:bCs/>
                <w:iCs/>
                <w:color w:val="000000"/>
              </w:rPr>
            </w:pPr>
          </w:p>
        </w:tc>
      </w:tr>
      <w:tr w:rsidR="00F24DCC" w:rsidRPr="002D75EB" w:rsidTr="004F0661">
        <w:tc>
          <w:tcPr>
            <w:tcW w:w="678" w:type="dxa"/>
            <w:vMerge/>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Carotenoids</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0.97</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0.95</w:t>
            </w:r>
          </w:p>
        </w:tc>
        <w:tc>
          <w:tcPr>
            <w:tcW w:w="851" w:type="dxa"/>
            <w:shd w:val="clear" w:color="auto" w:fill="AEAAAA"/>
          </w:tcPr>
          <w:p w:rsidR="00F24DCC" w:rsidRPr="002D75EB" w:rsidRDefault="00F24DCC" w:rsidP="004F0661">
            <w:pPr>
              <w:pStyle w:val="BodyText"/>
              <w:spacing w:line="240" w:lineRule="auto"/>
              <w:jc w:val="center"/>
              <w:rPr>
                <w:bCs/>
                <w:iCs/>
                <w:color w:val="000000"/>
              </w:rPr>
            </w:pPr>
          </w:p>
        </w:tc>
        <w:tc>
          <w:tcPr>
            <w:tcW w:w="850" w:type="dxa"/>
          </w:tcPr>
          <w:p w:rsidR="00F24DCC" w:rsidRPr="002D75EB" w:rsidRDefault="00F24DCC" w:rsidP="004F0661">
            <w:pPr>
              <w:pStyle w:val="BodyText"/>
              <w:spacing w:line="240" w:lineRule="auto"/>
              <w:jc w:val="center"/>
              <w:rPr>
                <w:bCs/>
                <w:iCs/>
                <w:color w:val="000000"/>
              </w:rPr>
            </w:pPr>
            <w:r w:rsidRPr="002D75EB">
              <w:rPr>
                <w:bCs/>
                <w:iCs/>
                <w:color w:val="000000"/>
              </w:rPr>
              <w:t>0.92</w:t>
            </w:r>
          </w:p>
        </w:tc>
        <w:tc>
          <w:tcPr>
            <w:tcW w:w="993" w:type="dxa"/>
          </w:tcPr>
          <w:p w:rsidR="00F24DCC" w:rsidRPr="002D75EB" w:rsidRDefault="00F24DCC" w:rsidP="004F0661">
            <w:pPr>
              <w:pStyle w:val="BodyText"/>
              <w:spacing w:line="240" w:lineRule="auto"/>
              <w:jc w:val="center"/>
              <w:rPr>
                <w:bCs/>
                <w:iCs/>
                <w:color w:val="000000"/>
              </w:rPr>
            </w:pPr>
            <w:r w:rsidRPr="002D75EB">
              <w:rPr>
                <w:bCs/>
                <w:iCs/>
                <w:color w:val="000000"/>
              </w:rPr>
              <w:t>-0.46</w:t>
            </w:r>
          </w:p>
        </w:tc>
        <w:tc>
          <w:tcPr>
            <w:tcW w:w="1134" w:type="dxa"/>
          </w:tcPr>
          <w:p w:rsidR="00F24DCC" w:rsidRPr="002D75EB" w:rsidRDefault="00F24DCC" w:rsidP="004F0661">
            <w:pPr>
              <w:pStyle w:val="BodyText"/>
              <w:spacing w:line="240" w:lineRule="auto"/>
              <w:jc w:val="center"/>
              <w:rPr>
                <w:bCs/>
                <w:iCs/>
                <w:color w:val="000000"/>
              </w:rPr>
            </w:pPr>
            <w:r w:rsidRPr="002D75EB">
              <w:rPr>
                <w:bCs/>
                <w:iCs/>
                <w:color w:val="000000"/>
              </w:rPr>
              <w:t>-0.28</w:t>
            </w:r>
          </w:p>
        </w:tc>
        <w:tc>
          <w:tcPr>
            <w:tcW w:w="474" w:type="dxa"/>
            <w:vMerge/>
          </w:tcPr>
          <w:p w:rsidR="00F24DCC" w:rsidRPr="002D75EB" w:rsidRDefault="00F24DCC" w:rsidP="004F0661">
            <w:pPr>
              <w:pStyle w:val="BodyText"/>
              <w:spacing w:line="240" w:lineRule="auto"/>
              <w:jc w:val="both"/>
              <w:rPr>
                <w:bCs/>
                <w:iCs/>
                <w:color w:val="000000"/>
              </w:rPr>
            </w:pPr>
          </w:p>
        </w:tc>
      </w:tr>
      <w:tr w:rsidR="00F24DCC" w:rsidRPr="002D75EB" w:rsidTr="004F0661">
        <w:tc>
          <w:tcPr>
            <w:tcW w:w="678" w:type="dxa"/>
            <w:vMerge/>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Total chlorophyll</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0.99</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0.98</w:t>
            </w:r>
          </w:p>
        </w:tc>
        <w:tc>
          <w:tcPr>
            <w:tcW w:w="851" w:type="dxa"/>
          </w:tcPr>
          <w:p w:rsidR="00F24DCC" w:rsidRPr="002D75EB" w:rsidRDefault="00F24DCC" w:rsidP="004F0661">
            <w:pPr>
              <w:pStyle w:val="BodyText"/>
              <w:spacing w:line="240" w:lineRule="auto"/>
              <w:jc w:val="center"/>
              <w:rPr>
                <w:bCs/>
                <w:iCs/>
                <w:color w:val="000000"/>
              </w:rPr>
            </w:pPr>
            <w:r w:rsidRPr="002D75EB">
              <w:rPr>
                <w:bCs/>
                <w:iCs/>
                <w:color w:val="000000"/>
              </w:rPr>
              <w:t>0.98</w:t>
            </w:r>
          </w:p>
        </w:tc>
        <w:tc>
          <w:tcPr>
            <w:tcW w:w="850" w:type="dxa"/>
            <w:shd w:val="clear" w:color="auto" w:fill="AEAAAA"/>
          </w:tcPr>
          <w:p w:rsidR="00F24DCC" w:rsidRPr="002D75EB" w:rsidRDefault="00F24DCC" w:rsidP="004F0661">
            <w:pPr>
              <w:pStyle w:val="BodyText"/>
              <w:spacing w:line="240" w:lineRule="auto"/>
              <w:jc w:val="center"/>
              <w:rPr>
                <w:bCs/>
                <w:iCs/>
                <w:color w:val="000000"/>
              </w:rPr>
            </w:pPr>
          </w:p>
        </w:tc>
        <w:tc>
          <w:tcPr>
            <w:tcW w:w="993" w:type="dxa"/>
          </w:tcPr>
          <w:p w:rsidR="00F24DCC" w:rsidRPr="002D75EB" w:rsidRDefault="00F24DCC" w:rsidP="004F0661">
            <w:pPr>
              <w:pStyle w:val="BodyText"/>
              <w:spacing w:line="240" w:lineRule="auto"/>
              <w:jc w:val="center"/>
              <w:rPr>
                <w:bCs/>
                <w:iCs/>
                <w:color w:val="000000"/>
              </w:rPr>
            </w:pPr>
            <w:r w:rsidRPr="002D75EB">
              <w:rPr>
                <w:bCs/>
                <w:iCs/>
                <w:color w:val="000000"/>
              </w:rPr>
              <w:t>-0.44</w:t>
            </w:r>
          </w:p>
        </w:tc>
        <w:tc>
          <w:tcPr>
            <w:tcW w:w="1134" w:type="dxa"/>
          </w:tcPr>
          <w:p w:rsidR="00F24DCC" w:rsidRPr="002D75EB" w:rsidRDefault="00F24DCC" w:rsidP="004F0661">
            <w:pPr>
              <w:pStyle w:val="BodyText"/>
              <w:spacing w:line="240" w:lineRule="auto"/>
              <w:jc w:val="center"/>
              <w:rPr>
                <w:bCs/>
                <w:iCs/>
                <w:color w:val="000000"/>
              </w:rPr>
            </w:pPr>
            <w:r w:rsidRPr="002D75EB">
              <w:rPr>
                <w:bCs/>
                <w:iCs/>
                <w:color w:val="000000"/>
              </w:rPr>
              <w:t>(-0.11)</w:t>
            </w:r>
          </w:p>
        </w:tc>
        <w:tc>
          <w:tcPr>
            <w:tcW w:w="474" w:type="dxa"/>
            <w:vMerge/>
          </w:tcPr>
          <w:p w:rsidR="00F24DCC" w:rsidRPr="002D75EB" w:rsidRDefault="00F24DCC" w:rsidP="004F0661">
            <w:pPr>
              <w:pStyle w:val="BodyText"/>
              <w:spacing w:line="240" w:lineRule="auto"/>
              <w:jc w:val="both"/>
              <w:rPr>
                <w:bCs/>
                <w:iCs/>
                <w:color w:val="000000"/>
              </w:rPr>
            </w:pPr>
          </w:p>
        </w:tc>
      </w:tr>
      <w:tr w:rsidR="00F24DCC" w:rsidRPr="002D75EB" w:rsidTr="004F0661">
        <w:tc>
          <w:tcPr>
            <w:tcW w:w="678" w:type="dxa"/>
            <w:vMerge/>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Chlorophyll-</w:t>
            </w:r>
            <w:r w:rsidRPr="002D75EB">
              <w:rPr>
                <w:i/>
                <w:iCs/>
                <w:color w:val="000000"/>
              </w:rPr>
              <w:t>a</w:t>
            </w:r>
            <w:r w:rsidRPr="002D75EB">
              <w:rPr>
                <w:color w:val="000000"/>
              </w:rPr>
              <w:t xml:space="preserve"> : </w:t>
            </w:r>
            <w:r w:rsidRPr="002D75EB">
              <w:rPr>
                <w:i/>
                <w:iCs/>
                <w:color w:val="000000"/>
              </w:rPr>
              <w:t>b</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0.79</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0.73</w:t>
            </w:r>
          </w:p>
        </w:tc>
        <w:tc>
          <w:tcPr>
            <w:tcW w:w="851" w:type="dxa"/>
          </w:tcPr>
          <w:p w:rsidR="00F24DCC" w:rsidRPr="002D75EB" w:rsidRDefault="00F24DCC" w:rsidP="004F0661">
            <w:pPr>
              <w:pStyle w:val="BodyText"/>
              <w:spacing w:line="240" w:lineRule="auto"/>
              <w:jc w:val="center"/>
              <w:rPr>
                <w:bCs/>
                <w:iCs/>
                <w:color w:val="000000"/>
              </w:rPr>
            </w:pPr>
            <w:r w:rsidRPr="002D75EB">
              <w:rPr>
                <w:bCs/>
                <w:iCs/>
                <w:color w:val="000000"/>
              </w:rPr>
              <w:t>0.76</w:t>
            </w:r>
          </w:p>
        </w:tc>
        <w:tc>
          <w:tcPr>
            <w:tcW w:w="850" w:type="dxa"/>
          </w:tcPr>
          <w:p w:rsidR="00F24DCC" w:rsidRPr="002D75EB" w:rsidRDefault="00F24DCC" w:rsidP="004F0661">
            <w:pPr>
              <w:pStyle w:val="BodyText"/>
              <w:spacing w:line="240" w:lineRule="auto"/>
              <w:jc w:val="center"/>
              <w:rPr>
                <w:bCs/>
                <w:iCs/>
                <w:color w:val="000000"/>
              </w:rPr>
            </w:pPr>
            <w:r w:rsidRPr="002D75EB">
              <w:rPr>
                <w:bCs/>
                <w:iCs/>
                <w:color w:val="000000"/>
              </w:rPr>
              <w:t>0.79</w:t>
            </w:r>
          </w:p>
        </w:tc>
        <w:tc>
          <w:tcPr>
            <w:tcW w:w="993" w:type="dxa"/>
            <w:shd w:val="clear" w:color="auto" w:fill="AEAAAA"/>
          </w:tcPr>
          <w:p w:rsidR="00F24DCC" w:rsidRPr="002D75EB" w:rsidRDefault="00F24DCC" w:rsidP="004F0661">
            <w:pPr>
              <w:pStyle w:val="BodyText"/>
              <w:spacing w:line="240" w:lineRule="auto"/>
              <w:jc w:val="center"/>
              <w:rPr>
                <w:bCs/>
                <w:iCs/>
                <w:color w:val="000000"/>
              </w:rPr>
            </w:pPr>
          </w:p>
        </w:tc>
        <w:tc>
          <w:tcPr>
            <w:tcW w:w="1134" w:type="dxa"/>
          </w:tcPr>
          <w:p w:rsidR="00F24DCC" w:rsidRPr="002D75EB" w:rsidRDefault="00F24DCC" w:rsidP="004F0661">
            <w:pPr>
              <w:pStyle w:val="BodyText"/>
              <w:spacing w:line="240" w:lineRule="auto"/>
              <w:jc w:val="center"/>
              <w:rPr>
                <w:bCs/>
                <w:iCs/>
                <w:color w:val="000000"/>
              </w:rPr>
            </w:pPr>
            <w:r w:rsidRPr="002D75EB">
              <w:rPr>
                <w:bCs/>
                <w:iCs/>
                <w:color w:val="000000"/>
              </w:rPr>
              <w:t>(0.06)</w:t>
            </w:r>
          </w:p>
        </w:tc>
        <w:tc>
          <w:tcPr>
            <w:tcW w:w="474" w:type="dxa"/>
            <w:vMerge/>
          </w:tcPr>
          <w:p w:rsidR="00F24DCC" w:rsidRPr="002D75EB" w:rsidRDefault="00F24DCC" w:rsidP="004F0661">
            <w:pPr>
              <w:pStyle w:val="BodyText"/>
              <w:spacing w:line="240" w:lineRule="auto"/>
              <w:jc w:val="both"/>
              <w:rPr>
                <w:bCs/>
                <w:iCs/>
                <w:color w:val="000000"/>
              </w:rPr>
            </w:pPr>
          </w:p>
        </w:tc>
      </w:tr>
      <w:tr w:rsidR="00F24DCC" w:rsidRPr="002D75EB" w:rsidTr="004F0661">
        <w:tc>
          <w:tcPr>
            <w:tcW w:w="678" w:type="dxa"/>
            <w:vMerge/>
          </w:tcPr>
          <w:p w:rsidR="00F24DCC" w:rsidRPr="002D75EB" w:rsidRDefault="00F24DCC" w:rsidP="004F0661">
            <w:pPr>
              <w:pStyle w:val="BodyText"/>
              <w:spacing w:line="240" w:lineRule="auto"/>
              <w:jc w:val="both"/>
              <w:rPr>
                <w:bCs/>
                <w:iCs/>
                <w:color w:val="000000"/>
              </w:rPr>
            </w:pPr>
          </w:p>
        </w:tc>
        <w:tc>
          <w:tcPr>
            <w:tcW w:w="2549" w:type="dxa"/>
          </w:tcPr>
          <w:p w:rsidR="00F24DCC" w:rsidRPr="002D75EB" w:rsidRDefault="00F24DCC" w:rsidP="004F0661">
            <w:pPr>
              <w:pStyle w:val="TableContents"/>
              <w:snapToGrid w:val="0"/>
              <w:spacing w:line="240" w:lineRule="auto"/>
              <w:jc w:val="both"/>
              <w:rPr>
                <w:color w:val="000000"/>
              </w:rPr>
            </w:pPr>
            <w:r w:rsidRPr="002D75EB">
              <w:rPr>
                <w:color w:val="000000"/>
              </w:rPr>
              <w:t>Total chlorophyll : carotenoids</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-0.59</w:t>
            </w:r>
          </w:p>
        </w:tc>
        <w:tc>
          <w:tcPr>
            <w:tcW w:w="992" w:type="dxa"/>
          </w:tcPr>
          <w:p w:rsidR="00F24DCC" w:rsidRPr="002D75EB" w:rsidRDefault="00F24DCC" w:rsidP="004F0661">
            <w:pPr>
              <w:pStyle w:val="BodyText"/>
              <w:spacing w:line="240" w:lineRule="auto"/>
              <w:jc w:val="center"/>
              <w:rPr>
                <w:bCs/>
                <w:iCs/>
                <w:color w:val="000000"/>
              </w:rPr>
            </w:pPr>
            <w:r w:rsidRPr="002D75EB">
              <w:rPr>
                <w:bCs/>
                <w:iCs/>
                <w:color w:val="000000"/>
              </w:rPr>
              <w:t>-0.58</w:t>
            </w:r>
          </w:p>
        </w:tc>
        <w:tc>
          <w:tcPr>
            <w:tcW w:w="851" w:type="dxa"/>
          </w:tcPr>
          <w:p w:rsidR="00F24DCC" w:rsidRPr="002D75EB" w:rsidRDefault="00F24DCC" w:rsidP="004F0661">
            <w:pPr>
              <w:pStyle w:val="BodyText"/>
              <w:spacing w:line="240" w:lineRule="auto"/>
              <w:jc w:val="center"/>
              <w:rPr>
                <w:bCs/>
                <w:iCs/>
                <w:color w:val="000000"/>
              </w:rPr>
            </w:pPr>
            <w:r w:rsidRPr="002D75EB">
              <w:rPr>
                <w:bCs/>
                <w:iCs/>
                <w:color w:val="000000"/>
              </w:rPr>
              <w:t>-0.63</w:t>
            </w:r>
          </w:p>
        </w:tc>
        <w:tc>
          <w:tcPr>
            <w:tcW w:w="850" w:type="dxa"/>
          </w:tcPr>
          <w:p w:rsidR="00F24DCC" w:rsidRPr="002D75EB" w:rsidRDefault="00F24DCC" w:rsidP="004F0661">
            <w:pPr>
              <w:pStyle w:val="BodyText"/>
              <w:spacing w:line="240" w:lineRule="auto"/>
              <w:jc w:val="center"/>
              <w:rPr>
                <w:bCs/>
                <w:iCs/>
                <w:color w:val="000000"/>
              </w:rPr>
            </w:pPr>
            <w:r w:rsidRPr="002D75EB">
              <w:rPr>
                <w:bCs/>
                <w:iCs/>
                <w:color w:val="000000"/>
              </w:rPr>
              <w:t>-0.59</w:t>
            </w:r>
          </w:p>
        </w:tc>
        <w:tc>
          <w:tcPr>
            <w:tcW w:w="993" w:type="dxa"/>
          </w:tcPr>
          <w:p w:rsidR="00F24DCC" w:rsidRPr="002D75EB" w:rsidRDefault="00F24DCC" w:rsidP="004F0661">
            <w:pPr>
              <w:pStyle w:val="BodyText"/>
              <w:spacing w:line="240" w:lineRule="auto"/>
              <w:jc w:val="center"/>
              <w:rPr>
                <w:bCs/>
                <w:iCs/>
                <w:color w:val="000000"/>
              </w:rPr>
            </w:pPr>
            <w:r w:rsidRPr="002D75EB">
              <w:rPr>
                <w:bCs/>
                <w:iCs/>
                <w:color w:val="000000"/>
              </w:rPr>
              <w:t>-0.39</w:t>
            </w:r>
          </w:p>
        </w:tc>
        <w:tc>
          <w:tcPr>
            <w:tcW w:w="1134" w:type="dxa"/>
            <w:shd w:val="clear" w:color="auto" w:fill="AEAAAA"/>
          </w:tcPr>
          <w:p w:rsidR="00F24DCC" w:rsidRPr="002D75EB" w:rsidRDefault="00F24DCC" w:rsidP="004F0661">
            <w:pPr>
              <w:pStyle w:val="BodyText"/>
              <w:spacing w:line="240" w:lineRule="auto"/>
              <w:jc w:val="center"/>
              <w:rPr>
                <w:bCs/>
                <w:iCs/>
                <w:color w:val="000000"/>
              </w:rPr>
            </w:pPr>
          </w:p>
        </w:tc>
        <w:tc>
          <w:tcPr>
            <w:tcW w:w="474" w:type="dxa"/>
            <w:vMerge/>
          </w:tcPr>
          <w:p w:rsidR="00F24DCC" w:rsidRPr="002D75EB" w:rsidRDefault="00F24DCC" w:rsidP="004F0661">
            <w:pPr>
              <w:pStyle w:val="BodyText"/>
              <w:spacing w:line="240" w:lineRule="auto"/>
              <w:jc w:val="both"/>
              <w:rPr>
                <w:bCs/>
                <w:iCs/>
                <w:color w:val="000000"/>
              </w:rPr>
            </w:pPr>
          </w:p>
        </w:tc>
      </w:tr>
    </w:tbl>
    <w:p w:rsidR="008E60D2" w:rsidRDefault="008E60D2"/>
    <w:sectPr w:rsidR="008E60D2" w:rsidSect="008B15A3">
      <w:pgSz w:w="11906" w:h="16838"/>
      <w:pgMar w:top="1134" w:right="1134" w:bottom="1134" w:left="1134" w:header="720" w:footer="720" w:gutter="0"/>
      <w:lnNumType w:countBy="1" w:restart="continuous"/>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dvGAR">
    <w:charset w:val="00"/>
    <w:family w:val="roman"/>
    <w:pitch w:val="default"/>
  </w:font>
  <w:font w:name="AdvPTimes">
    <w:altName w:val="Times New Roman"/>
    <w:charset w:val="00"/>
    <w:family w:val="roman"/>
    <w:pitch w:val="default"/>
  </w:font>
  <w:font w:name="cursive">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911EF"/>
    <w:multiLevelType w:val="hybridMultilevel"/>
    <w:tmpl w:val="5C0A5214"/>
    <w:lvl w:ilvl="0" w:tplc="024EA9FA">
      <w:numFmt w:val="bullet"/>
      <w:lvlText w:val="-"/>
      <w:lvlJc w:val="left"/>
      <w:pPr>
        <w:ind w:left="420" w:hanging="360"/>
      </w:pPr>
      <w:rPr>
        <w:rFonts w:ascii="Times New Roman" w:eastAsia="Times New Roman" w:hAnsi="Times New Roman"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 w15:restartNumberingAfterBreak="0">
    <w:nsid w:val="39787E50"/>
    <w:multiLevelType w:val="hybridMultilevel"/>
    <w:tmpl w:val="7D581F28"/>
    <w:lvl w:ilvl="0" w:tplc="9FCAB88C">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B032B46"/>
    <w:multiLevelType w:val="hybridMultilevel"/>
    <w:tmpl w:val="61100E9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548D717D"/>
    <w:multiLevelType w:val="hybridMultilevel"/>
    <w:tmpl w:val="27B493B2"/>
    <w:lvl w:ilvl="0" w:tplc="04250013">
      <w:start w:val="1"/>
      <w:numFmt w:val="upperRoman"/>
      <w:lvlText w:val="%1."/>
      <w:lvlJc w:val="righ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E301615"/>
    <w:multiLevelType w:val="hybridMultilevel"/>
    <w:tmpl w:val="AF363E7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5" w15:restartNumberingAfterBreak="0">
    <w:nsid w:val="64085ACE"/>
    <w:multiLevelType w:val="hybridMultilevel"/>
    <w:tmpl w:val="EE942AB0"/>
    <w:lvl w:ilvl="0" w:tplc="04250001">
      <w:start w:val="1"/>
      <w:numFmt w:val="bullet"/>
      <w:lvlText w:val=""/>
      <w:lvlJc w:val="left"/>
      <w:pPr>
        <w:ind w:left="3600" w:hanging="360"/>
      </w:pPr>
      <w:rPr>
        <w:rFonts w:ascii="Symbol" w:hAnsi="Symbol" w:hint="default"/>
      </w:rPr>
    </w:lvl>
    <w:lvl w:ilvl="1" w:tplc="04250003" w:tentative="1">
      <w:start w:val="1"/>
      <w:numFmt w:val="bullet"/>
      <w:lvlText w:val="o"/>
      <w:lvlJc w:val="left"/>
      <w:pPr>
        <w:ind w:left="4320" w:hanging="360"/>
      </w:pPr>
      <w:rPr>
        <w:rFonts w:ascii="Courier New" w:hAnsi="Courier New" w:cs="Courier New" w:hint="default"/>
      </w:rPr>
    </w:lvl>
    <w:lvl w:ilvl="2" w:tplc="04250005" w:tentative="1">
      <w:start w:val="1"/>
      <w:numFmt w:val="bullet"/>
      <w:lvlText w:val=""/>
      <w:lvlJc w:val="left"/>
      <w:pPr>
        <w:ind w:left="5040" w:hanging="360"/>
      </w:pPr>
      <w:rPr>
        <w:rFonts w:ascii="Wingdings" w:hAnsi="Wingdings" w:hint="default"/>
      </w:rPr>
    </w:lvl>
    <w:lvl w:ilvl="3" w:tplc="04250001" w:tentative="1">
      <w:start w:val="1"/>
      <w:numFmt w:val="bullet"/>
      <w:lvlText w:val=""/>
      <w:lvlJc w:val="left"/>
      <w:pPr>
        <w:ind w:left="5760" w:hanging="360"/>
      </w:pPr>
      <w:rPr>
        <w:rFonts w:ascii="Symbol" w:hAnsi="Symbol" w:hint="default"/>
      </w:rPr>
    </w:lvl>
    <w:lvl w:ilvl="4" w:tplc="04250003" w:tentative="1">
      <w:start w:val="1"/>
      <w:numFmt w:val="bullet"/>
      <w:lvlText w:val="o"/>
      <w:lvlJc w:val="left"/>
      <w:pPr>
        <w:ind w:left="6480" w:hanging="360"/>
      </w:pPr>
      <w:rPr>
        <w:rFonts w:ascii="Courier New" w:hAnsi="Courier New" w:cs="Courier New" w:hint="default"/>
      </w:rPr>
    </w:lvl>
    <w:lvl w:ilvl="5" w:tplc="04250005" w:tentative="1">
      <w:start w:val="1"/>
      <w:numFmt w:val="bullet"/>
      <w:lvlText w:val=""/>
      <w:lvlJc w:val="left"/>
      <w:pPr>
        <w:ind w:left="7200" w:hanging="360"/>
      </w:pPr>
      <w:rPr>
        <w:rFonts w:ascii="Wingdings" w:hAnsi="Wingdings" w:hint="default"/>
      </w:rPr>
    </w:lvl>
    <w:lvl w:ilvl="6" w:tplc="04250001" w:tentative="1">
      <w:start w:val="1"/>
      <w:numFmt w:val="bullet"/>
      <w:lvlText w:val=""/>
      <w:lvlJc w:val="left"/>
      <w:pPr>
        <w:ind w:left="7920" w:hanging="360"/>
      </w:pPr>
      <w:rPr>
        <w:rFonts w:ascii="Symbol" w:hAnsi="Symbol" w:hint="default"/>
      </w:rPr>
    </w:lvl>
    <w:lvl w:ilvl="7" w:tplc="04250003" w:tentative="1">
      <w:start w:val="1"/>
      <w:numFmt w:val="bullet"/>
      <w:lvlText w:val="o"/>
      <w:lvlJc w:val="left"/>
      <w:pPr>
        <w:ind w:left="8640" w:hanging="360"/>
      </w:pPr>
      <w:rPr>
        <w:rFonts w:ascii="Courier New" w:hAnsi="Courier New" w:cs="Courier New" w:hint="default"/>
      </w:rPr>
    </w:lvl>
    <w:lvl w:ilvl="8" w:tplc="04250005" w:tentative="1">
      <w:start w:val="1"/>
      <w:numFmt w:val="bullet"/>
      <w:lvlText w:val=""/>
      <w:lvlJc w:val="left"/>
      <w:pPr>
        <w:ind w:left="9360" w:hanging="360"/>
      </w:pPr>
      <w:rPr>
        <w:rFonts w:ascii="Wingdings" w:hAnsi="Wingdings" w:hint="default"/>
      </w:rPr>
    </w:lvl>
  </w:abstractNum>
  <w:abstractNum w:abstractNumId="6" w15:restartNumberingAfterBreak="0">
    <w:nsid w:val="781355FA"/>
    <w:multiLevelType w:val="hybridMultilevel"/>
    <w:tmpl w:val="9EB40FA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CC"/>
    <w:rsid w:val="008E60D2"/>
    <w:rsid w:val="00B413DB"/>
    <w:rsid w:val="00F24DC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61F57-AA70-42A0-A9EB-2D3CDCF3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DCC"/>
    <w:pPr>
      <w:widowControl w:val="0"/>
      <w:suppressAutoHyphens/>
      <w:spacing w:before="60" w:after="60" w:line="36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24DCC"/>
    <w:pPr>
      <w:keepNext/>
      <w:keepLines/>
      <w:spacing w:before="480" w:after="120" w:line="240" w:lineRule="auto"/>
      <w:outlineLvl w:val="0"/>
    </w:pPr>
    <w:rPr>
      <w:rFonts w:eastAsiaTheme="majorEastAsia" w:cstheme="majorBidi"/>
      <w:b/>
      <w:i/>
      <w:szCs w:val="32"/>
    </w:rPr>
  </w:style>
  <w:style w:type="paragraph" w:styleId="Heading2">
    <w:name w:val="heading 2"/>
    <w:basedOn w:val="Normal"/>
    <w:next w:val="Normal"/>
    <w:link w:val="Heading2Char"/>
    <w:uiPriority w:val="9"/>
    <w:unhideWhenUsed/>
    <w:qFormat/>
    <w:rsid w:val="00F24DCC"/>
    <w:pPr>
      <w:keepNext/>
      <w:keepLines/>
      <w:spacing w:before="360" w:after="120"/>
      <w:outlineLvl w:val="1"/>
    </w:pPr>
    <w:rPr>
      <w:rFonts w:eastAsiaTheme="majorEastAsia" w:cstheme="majorBidi"/>
      <w:b/>
      <w: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DCC"/>
    <w:rPr>
      <w:rFonts w:ascii="Times New Roman" w:eastAsiaTheme="majorEastAsia" w:hAnsi="Times New Roman" w:cstheme="majorBidi"/>
      <w:b/>
      <w:i/>
      <w:sz w:val="24"/>
      <w:szCs w:val="32"/>
      <w:lang w:val="en-GB" w:eastAsia="en-GB"/>
    </w:rPr>
  </w:style>
  <w:style w:type="character" w:customStyle="1" w:styleId="Heading2Char">
    <w:name w:val="Heading 2 Char"/>
    <w:basedOn w:val="DefaultParagraphFont"/>
    <w:link w:val="Heading2"/>
    <w:uiPriority w:val="9"/>
    <w:rsid w:val="00F24DCC"/>
    <w:rPr>
      <w:rFonts w:ascii="Times New Roman" w:eastAsiaTheme="majorEastAsia" w:hAnsi="Times New Roman" w:cstheme="majorBidi"/>
      <w:b/>
      <w:i/>
      <w:color w:val="000000" w:themeColor="text1"/>
      <w:sz w:val="24"/>
      <w:szCs w:val="26"/>
      <w:lang w:val="en-GB" w:eastAsia="en-GB"/>
    </w:rPr>
  </w:style>
  <w:style w:type="character" w:customStyle="1" w:styleId="WW-DefaultParagraphFont">
    <w:name w:val="WW-Default Paragraph Font"/>
    <w:rsid w:val="00F24DCC"/>
  </w:style>
  <w:style w:type="character" w:customStyle="1" w:styleId="WW-DefaultParagraphFont1">
    <w:name w:val="WW-Default Paragraph Font1"/>
    <w:rsid w:val="00F24DCC"/>
  </w:style>
  <w:style w:type="character" w:styleId="Hyperlink">
    <w:name w:val="Hyperlink"/>
    <w:rsid w:val="00F24DCC"/>
  </w:style>
  <w:style w:type="character" w:customStyle="1" w:styleId="BalloonTextChar">
    <w:name w:val="Balloon Text Char"/>
    <w:rsid w:val="00F24DCC"/>
  </w:style>
  <w:style w:type="character" w:styleId="CommentReference">
    <w:name w:val="annotation reference"/>
    <w:rsid w:val="00F24DCC"/>
    <w:rPr>
      <w:sz w:val="16"/>
      <w:szCs w:val="16"/>
    </w:rPr>
  </w:style>
  <w:style w:type="character" w:customStyle="1" w:styleId="CommentTextChar">
    <w:name w:val="Comment Text Char"/>
    <w:rsid w:val="00F24DCC"/>
  </w:style>
  <w:style w:type="character" w:customStyle="1" w:styleId="CommentSubjectChar">
    <w:name w:val="Comment Subject Char"/>
    <w:rsid w:val="00F24DCC"/>
  </w:style>
  <w:style w:type="character" w:styleId="LineNumber">
    <w:name w:val="line number"/>
    <w:rsid w:val="00F24DCC"/>
  </w:style>
  <w:style w:type="character" w:styleId="FollowedHyperlink">
    <w:name w:val="FollowedHyperlink"/>
    <w:rsid w:val="00F24DCC"/>
  </w:style>
  <w:style w:type="character" w:customStyle="1" w:styleId="NumberingSymbols">
    <w:name w:val="Numbering Symbols"/>
    <w:rsid w:val="00F24DCC"/>
  </w:style>
  <w:style w:type="paragraph" w:customStyle="1" w:styleId="Heading">
    <w:name w:val="Heading"/>
    <w:basedOn w:val="Normal"/>
    <w:next w:val="BodyText"/>
    <w:rsid w:val="00F24DCC"/>
    <w:pPr>
      <w:keepNext/>
      <w:spacing w:before="240" w:after="120"/>
    </w:pPr>
  </w:style>
  <w:style w:type="paragraph" w:styleId="BodyText">
    <w:name w:val="Body Text"/>
    <w:basedOn w:val="Normal"/>
    <w:link w:val="BodyTextChar"/>
    <w:rsid w:val="00F24DCC"/>
    <w:pPr>
      <w:spacing w:after="120"/>
    </w:pPr>
  </w:style>
  <w:style w:type="character" w:customStyle="1" w:styleId="BodyTextChar">
    <w:name w:val="Body Text Char"/>
    <w:basedOn w:val="DefaultParagraphFont"/>
    <w:link w:val="BodyText"/>
    <w:rsid w:val="00F24DCC"/>
    <w:rPr>
      <w:rFonts w:ascii="Times New Roman" w:eastAsia="Times New Roman" w:hAnsi="Times New Roman" w:cs="Times New Roman"/>
      <w:sz w:val="24"/>
      <w:szCs w:val="24"/>
      <w:lang w:val="en-GB" w:eastAsia="en-GB"/>
    </w:rPr>
  </w:style>
  <w:style w:type="paragraph" w:styleId="List">
    <w:name w:val="List"/>
    <w:basedOn w:val="BodyText"/>
    <w:rsid w:val="00F24DCC"/>
    <w:rPr>
      <w:rFonts w:cs="Mangal"/>
    </w:rPr>
  </w:style>
  <w:style w:type="paragraph" w:styleId="Caption">
    <w:name w:val="caption"/>
    <w:basedOn w:val="Normal"/>
    <w:qFormat/>
    <w:rsid w:val="00F24DCC"/>
    <w:pPr>
      <w:suppressLineNumbers/>
      <w:spacing w:before="120" w:after="120"/>
    </w:pPr>
  </w:style>
  <w:style w:type="paragraph" w:customStyle="1" w:styleId="Index">
    <w:name w:val="Index"/>
    <w:basedOn w:val="Normal"/>
    <w:rsid w:val="00F24DCC"/>
    <w:pPr>
      <w:suppressLineNumbers/>
    </w:pPr>
    <w:rPr>
      <w:rFonts w:cs="Mangal"/>
    </w:rPr>
  </w:style>
  <w:style w:type="paragraph" w:customStyle="1" w:styleId="TableContents">
    <w:name w:val="Table Contents"/>
    <w:basedOn w:val="Normal"/>
    <w:link w:val="TableContentsChar"/>
    <w:rsid w:val="00F24DCC"/>
    <w:pPr>
      <w:suppressLineNumbers/>
    </w:pPr>
  </w:style>
  <w:style w:type="paragraph" w:customStyle="1" w:styleId="TableHeading">
    <w:name w:val="Table Heading"/>
    <w:basedOn w:val="TableContents"/>
    <w:rsid w:val="00F24DCC"/>
    <w:pPr>
      <w:jc w:val="center"/>
    </w:pPr>
    <w:rPr>
      <w:b/>
      <w:bCs/>
    </w:rPr>
  </w:style>
  <w:style w:type="paragraph" w:styleId="BalloonText">
    <w:name w:val="Balloon Text"/>
    <w:basedOn w:val="Normal"/>
    <w:link w:val="BalloonTextChar1"/>
    <w:rsid w:val="00F24DCC"/>
  </w:style>
  <w:style w:type="character" w:customStyle="1" w:styleId="BalloonTextChar1">
    <w:name w:val="Balloon Text Char1"/>
    <w:basedOn w:val="DefaultParagraphFont"/>
    <w:link w:val="BalloonText"/>
    <w:rsid w:val="00F24DCC"/>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1"/>
    <w:rsid w:val="00F24DCC"/>
    <w:rPr>
      <w:szCs w:val="18"/>
    </w:rPr>
  </w:style>
  <w:style w:type="character" w:customStyle="1" w:styleId="CommentTextChar1">
    <w:name w:val="Comment Text Char1"/>
    <w:basedOn w:val="DefaultParagraphFont"/>
    <w:link w:val="CommentText"/>
    <w:rsid w:val="00F24DCC"/>
    <w:rPr>
      <w:rFonts w:ascii="Times New Roman" w:eastAsia="Times New Roman" w:hAnsi="Times New Roman" w:cs="Times New Roman"/>
      <w:sz w:val="24"/>
      <w:szCs w:val="18"/>
      <w:lang w:val="en-GB" w:eastAsia="en-GB"/>
    </w:rPr>
  </w:style>
  <w:style w:type="paragraph" w:styleId="CommentSubject">
    <w:name w:val="annotation subject"/>
    <w:basedOn w:val="CommentText"/>
    <w:next w:val="CommentText"/>
    <w:link w:val="CommentSubjectChar1"/>
    <w:rsid w:val="00F24DCC"/>
    <w:rPr>
      <w:b/>
      <w:bCs/>
    </w:rPr>
  </w:style>
  <w:style w:type="character" w:customStyle="1" w:styleId="CommentSubjectChar1">
    <w:name w:val="Comment Subject Char1"/>
    <w:basedOn w:val="CommentTextChar1"/>
    <w:link w:val="CommentSubject"/>
    <w:rsid w:val="00F24DCC"/>
    <w:rPr>
      <w:rFonts w:ascii="Times New Roman" w:eastAsia="Times New Roman" w:hAnsi="Times New Roman" w:cs="Times New Roman"/>
      <w:b/>
      <w:bCs/>
      <w:sz w:val="24"/>
      <w:szCs w:val="18"/>
      <w:lang w:val="en-GB" w:eastAsia="en-GB"/>
    </w:rPr>
  </w:style>
  <w:style w:type="paragraph" w:styleId="Header">
    <w:name w:val="header"/>
    <w:basedOn w:val="Normal"/>
    <w:link w:val="HeaderChar"/>
    <w:uiPriority w:val="99"/>
    <w:unhideWhenUsed/>
    <w:rsid w:val="00F24DCC"/>
    <w:pPr>
      <w:tabs>
        <w:tab w:val="center" w:pos="4536"/>
        <w:tab w:val="right" w:pos="9072"/>
      </w:tabs>
    </w:pPr>
  </w:style>
  <w:style w:type="character" w:customStyle="1" w:styleId="HeaderChar">
    <w:name w:val="Header Char"/>
    <w:basedOn w:val="DefaultParagraphFont"/>
    <w:link w:val="Header"/>
    <w:uiPriority w:val="99"/>
    <w:rsid w:val="00F24DC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F24DCC"/>
    <w:pPr>
      <w:tabs>
        <w:tab w:val="center" w:pos="4536"/>
        <w:tab w:val="right" w:pos="9072"/>
      </w:tabs>
    </w:pPr>
  </w:style>
  <w:style w:type="character" w:customStyle="1" w:styleId="FooterChar">
    <w:name w:val="Footer Char"/>
    <w:basedOn w:val="DefaultParagraphFont"/>
    <w:link w:val="Footer"/>
    <w:uiPriority w:val="99"/>
    <w:rsid w:val="00F24DCC"/>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F24DCC"/>
    <w:pPr>
      <w:ind w:left="720"/>
      <w:contextualSpacing/>
    </w:pPr>
  </w:style>
  <w:style w:type="table" w:styleId="TableGrid">
    <w:name w:val="Table Grid"/>
    <w:basedOn w:val="TableNormal"/>
    <w:uiPriority w:val="39"/>
    <w:rsid w:val="00F24DCC"/>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24DCC"/>
    <w:pPr>
      <w:widowControl/>
      <w:suppressAutoHyphens w:val="0"/>
      <w:spacing w:before="100" w:beforeAutospacing="1" w:after="119"/>
    </w:pPr>
    <w:rPr>
      <w:lang w:val="et-EE" w:eastAsia="et-EE"/>
    </w:rPr>
  </w:style>
  <w:style w:type="paragraph" w:styleId="NormalWeb">
    <w:name w:val="Normal (Web)"/>
    <w:basedOn w:val="Normal"/>
    <w:uiPriority w:val="99"/>
    <w:unhideWhenUsed/>
    <w:rsid w:val="00F24DCC"/>
    <w:pPr>
      <w:widowControl/>
      <w:suppressAutoHyphens w:val="0"/>
      <w:spacing w:before="100" w:beforeAutospacing="1" w:after="119"/>
    </w:pPr>
    <w:rPr>
      <w:lang w:val="et-EE" w:eastAsia="et-EE"/>
    </w:rPr>
  </w:style>
  <w:style w:type="paragraph" w:styleId="Revision">
    <w:name w:val="Revision"/>
    <w:hidden/>
    <w:uiPriority w:val="99"/>
    <w:semiHidden/>
    <w:rsid w:val="00F24DCC"/>
    <w:pPr>
      <w:spacing w:after="0" w:line="240" w:lineRule="auto"/>
    </w:pPr>
    <w:rPr>
      <w:rFonts w:ascii="Times New Roman" w:eastAsia="Times New Roman" w:hAnsi="Times New Roman" w:cs="Times New Roman"/>
      <w:sz w:val="24"/>
      <w:szCs w:val="24"/>
      <w:lang w:val="en-GB" w:eastAsia="en-GB"/>
    </w:rPr>
  </w:style>
  <w:style w:type="paragraph" w:customStyle="1" w:styleId="Tablenormal1">
    <w:name w:val="Table normal 1"/>
    <w:basedOn w:val="TableContents"/>
    <w:link w:val="Tablenormal1Char"/>
    <w:qFormat/>
    <w:rsid w:val="00F24DCC"/>
    <w:pPr>
      <w:snapToGrid w:val="0"/>
      <w:spacing w:before="0" w:after="0" w:line="240" w:lineRule="auto"/>
      <w:jc w:val="center"/>
    </w:pPr>
    <w:rPr>
      <w:bCs/>
      <w:color w:val="000000"/>
    </w:rPr>
  </w:style>
  <w:style w:type="character" w:customStyle="1" w:styleId="TableContentsChar">
    <w:name w:val="Table Contents Char"/>
    <w:basedOn w:val="DefaultParagraphFont"/>
    <w:link w:val="TableContents"/>
    <w:rsid w:val="00F24DCC"/>
    <w:rPr>
      <w:rFonts w:ascii="Times New Roman" w:eastAsia="Times New Roman" w:hAnsi="Times New Roman" w:cs="Times New Roman"/>
      <w:sz w:val="24"/>
      <w:szCs w:val="24"/>
      <w:lang w:val="en-GB" w:eastAsia="en-GB"/>
    </w:rPr>
  </w:style>
  <w:style w:type="character" w:customStyle="1" w:styleId="Tablenormal1Char">
    <w:name w:val="Table normal 1 Char"/>
    <w:basedOn w:val="TableContentsChar"/>
    <w:link w:val="Tablenormal1"/>
    <w:rsid w:val="00F24DCC"/>
    <w:rPr>
      <w:rFonts w:ascii="Times New Roman" w:eastAsia="Times New Roman" w:hAnsi="Times New Roman" w:cs="Times New Roman"/>
      <w:bCs/>
      <w:color w:val="000000"/>
      <w:sz w:val="24"/>
      <w:szCs w:val="24"/>
      <w:lang w:val="en-GB" w:eastAsia="en-GB"/>
    </w:rPr>
  </w:style>
  <w:style w:type="paragraph" w:styleId="FootnoteText">
    <w:name w:val="footnote text"/>
    <w:basedOn w:val="Normal"/>
    <w:link w:val="FootnoteTextChar"/>
    <w:uiPriority w:val="99"/>
    <w:semiHidden/>
    <w:unhideWhenUsed/>
    <w:rsid w:val="00F24DC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24DCC"/>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F24D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oi"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6448</Words>
  <Characters>36757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Küttim</dc:creator>
  <cp:keywords/>
  <dc:description/>
  <cp:lastModifiedBy>Lucas N.</cp:lastModifiedBy>
  <cp:revision>2</cp:revision>
  <dcterms:created xsi:type="dcterms:W3CDTF">2019-09-05T15:32:00Z</dcterms:created>
  <dcterms:modified xsi:type="dcterms:W3CDTF">2019-09-05T15:32:00Z</dcterms:modified>
</cp:coreProperties>
</file>