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3F1A" w14:textId="7D168F11" w:rsidR="006B1338" w:rsidRPr="006372A3" w:rsidRDefault="00456E5A" w:rsidP="006372A3">
      <w:pPr>
        <w:pStyle w:val="Title"/>
        <w:rPr>
          <w:sz w:val="32"/>
        </w:rPr>
      </w:pPr>
      <w:bookmarkStart w:id="0" w:name="_GoBack"/>
      <w:bookmarkEnd w:id="0"/>
      <w:r w:rsidRPr="006372A3">
        <w:rPr>
          <w:sz w:val="32"/>
          <w:shd w:val="clear" w:color="auto" w:fill="FFFFFF"/>
        </w:rPr>
        <w:t>Place of death,</w:t>
      </w:r>
      <w:r w:rsidR="006B1338" w:rsidRPr="006372A3">
        <w:rPr>
          <w:sz w:val="32"/>
          <w:shd w:val="clear" w:color="auto" w:fill="FFFFFF"/>
        </w:rPr>
        <w:t xml:space="preserve"> </w:t>
      </w:r>
      <w:r w:rsidR="00485A98" w:rsidRPr="006372A3">
        <w:rPr>
          <w:sz w:val="32"/>
          <w:shd w:val="clear" w:color="auto" w:fill="FFFFFF"/>
        </w:rPr>
        <w:t>care-seeking</w:t>
      </w:r>
      <w:r w:rsidR="006B1338" w:rsidRPr="006372A3">
        <w:rPr>
          <w:sz w:val="32"/>
          <w:shd w:val="clear" w:color="auto" w:fill="FFFFFF"/>
        </w:rPr>
        <w:t xml:space="preserve"> and care pathway progression in the final illnesses of children under five years of age in sub-Saharan Africa - a systematic review</w:t>
      </w:r>
    </w:p>
    <w:p w14:paraId="7CB38902" w14:textId="4F41F302" w:rsidR="00CB1654" w:rsidRDefault="00986EC4" w:rsidP="00187AA8">
      <w:pPr>
        <w:spacing w:line="360" w:lineRule="auto"/>
      </w:pPr>
      <w:r>
        <w:t>Jessica Price</w:t>
      </w:r>
      <w:r w:rsidR="00CB1654" w:rsidRPr="00CB1654">
        <w:rPr>
          <w:vertAlign w:val="superscript"/>
        </w:rPr>
        <w:t>1</w:t>
      </w:r>
      <w:r>
        <w:t xml:space="preserve">, </w:t>
      </w:r>
      <w:r w:rsidR="00CB1654">
        <w:t>Joseph Lee</w:t>
      </w:r>
      <w:r w:rsidR="00CB1654" w:rsidRPr="00CB1654">
        <w:rPr>
          <w:vertAlign w:val="superscript"/>
        </w:rPr>
        <w:t>1</w:t>
      </w:r>
      <w:r w:rsidR="00CB1654">
        <w:t>, Merlin Willcox</w:t>
      </w:r>
      <w:r w:rsidR="00CB1654" w:rsidRPr="00CB1654">
        <w:rPr>
          <w:vertAlign w:val="superscript"/>
        </w:rPr>
        <w:t>2</w:t>
      </w:r>
      <w:r w:rsidR="00CB1654">
        <w:t>, Anthony Harnden</w:t>
      </w:r>
      <w:r w:rsidR="00CB1654" w:rsidRPr="00CB1654">
        <w:rPr>
          <w:vertAlign w:val="superscript"/>
        </w:rPr>
        <w:t>1</w:t>
      </w:r>
    </w:p>
    <w:p w14:paraId="24791EC8" w14:textId="3520297E" w:rsidR="00986EC4" w:rsidRDefault="003E0C9E" w:rsidP="003E0C9E">
      <w:pPr>
        <w:spacing w:line="360" w:lineRule="auto"/>
      </w:pPr>
      <w:r w:rsidRPr="003E0C9E">
        <w:rPr>
          <w:vertAlign w:val="superscript"/>
        </w:rPr>
        <w:t>1</w:t>
      </w:r>
      <w:r w:rsidR="00986EC4">
        <w:t>Nuffield Department of Primary Care Health Sciences, University of Oxford</w:t>
      </w:r>
      <w:r w:rsidR="00CB1654">
        <w:t>, Oxford, UK</w:t>
      </w:r>
    </w:p>
    <w:p w14:paraId="2E8B2651" w14:textId="24FCFEB3" w:rsidR="004605BE" w:rsidRDefault="003E0C9E" w:rsidP="003E0C9E">
      <w:pPr>
        <w:spacing w:line="360" w:lineRule="auto"/>
      </w:pPr>
      <w:r w:rsidRPr="003E0C9E">
        <w:rPr>
          <w:vertAlign w:val="superscript"/>
        </w:rPr>
        <w:t>2</w:t>
      </w:r>
      <w:r w:rsidR="00986EC4">
        <w:t>Department of Primary Care and Population Medicine, University of Southampton</w:t>
      </w:r>
      <w:r w:rsidR="00CB1654">
        <w:t>, Southampton, U</w:t>
      </w:r>
      <w:r>
        <w:t>K</w:t>
      </w:r>
    </w:p>
    <w:p w14:paraId="29436F75" w14:textId="173F1581" w:rsidR="00C82C94" w:rsidRDefault="00C82C94" w:rsidP="00BB0493">
      <w:pPr>
        <w:spacing w:line="360" w:lineRule="auto"/>
        <w:rPr>
          <w:rFonts w:eastAsia="Times New Roman" w:cstheme="minorHAnsi"/>
          <w:lang w:val="en-US"/>
        </w:rPr>
      </w:pPr>
      <w:r w:rsidRPr="003E0C9E">
        <w:rPr>
          <w:b/>
        </w:rPr>
        <w:t>Background</w:t>
      </w:r>
      <w:r>
        <w:t xml:space="preserve"> Half of all under-5 deaths occur in sub-Saharan Africa. Reducing child mortality requires understanding of the modifiable factors that contribute to death. Social autopsies collect information about place of death, care-seeking and care-provision, but this has not been pooled to learn wider lessons. We therefore undertook a systematic review to collect, evaluate, map, and pool all the available evidence for sub-Saharan Africa.</w:t>
      </w:r>
    </w:p>
    <w:p w14:paraId="1573717B" w14:textId="0165E07D" w:rsidR="00C82C94" w:rsidRDefault="00C82C94" w:rsidP="00BB0493">
      <w:pPr>
        <w:spacing w:line="360" w:lineRule="auto"/>
      </w:pPr>
      <w:r w:rsidRPr="003E0C9E">
        <w:rPr>
          <w:b/>
        </w:rPr>
        <w:t>Methods</w:t>
      </w:r>
      <w:r w:rsidR="003E0C9E">
        <w:t xml:space="preserve"> </w:t>
      </w:r>
      <w:r>
        <w:t xml:space="preserve">We searched </w:t>
      </w:r>
      <w:r>
        <w:rPr>
          <w:rFonts w:eastAsia="Times New Roman" w:cstheme="minorHAnsi"/>
          <w:lang w:val="en-US"/>
        </w:rPr>
        <w:t xml:space="preserve">PubMed, Embase, Global Health, the Cochrane Library and grey literature for </w:t>
      </w:r>
      <w:r>
        <w:rPr>
          <w:rFonts w:cstheme="minorHAnsi"/>
        </w:rPr>
        <w:t xml:space="preserve">studies relating to under-5 deaths in sub-Saharan Africa with information on place of death and/or </w:t>
      </w:r>
      <w:r w:rsidR="00485A98">
        <w:rPr>
          <w:rFonts w:cstheme="minorHAnsi"/>
        </w:rPr>
        <w:t>care-seeking</w:t>
      </w:r>
      <w:r>
        <w:rPr>
          <w:rFonts w:cstheme="minorHAnsi"/>
        </w:rPr>
        <w:t xml:space="preserve"> during a child’s final illness. We assessed study quality with a modified Axis tool. We pooled proportions using random effects meta-analysis for p</w:t>
      </w:r>
      <w:r>
        <w:t xml:space="preserve">lace of death and for each stage of the Pathways to Survival framework. Pre-specified subgroup analysis included age group, national income and </w:t>
      </w:r>
      <w:r w:rsidR="00364BEB">
        <w:t>user-fee</w:t>
      </w:r>
      <w:r>
        <w:t xml:space="preserve"> policy. We explored heterogeneity with meta-regression. Our protocol was published prospectively (</w:t>
      </w:r>
      <w:r>
        <w:rPr>
          <w:rFonts w:ascii="Arial" w:hAnsi="Arial" w:cs="Arial"/>
          <w:color w:val="333333"/>
          <w:shd w:val="clear" w:color="auto" w:fill="FFFFFF"/>
        </w:rPr>
        <w:t>CRD42018111484</w:t>
      </w:r>
      <w:r>
        <w:t>).</w:t>
      </w:r>
    </w:p>
    <w:p w14:paraId="1D86D462" w14:textId="0D64388B" w:rsidR="00C82C94" w:rsidRDefault="003E0C9E" w:rsidP="00BB0493">
      <w:pPr>
        <w:spacing w:line="360" w:lineRule="auto"/>
      </w:pPr>
      <w:r w:rsidRPr="003E0C9E">
        <w:rPr>
          <w:b/>
        </w:rPr>
        <w:t>Results</w:t>
      </w:r>
      <w:r>
        <w:t xml:space="preserve"> </w:t>
      </w:r>
      <w:r w:rsidR="00C82C94">
        <w:t>We included 34 studies from 17 countries. Approximately half of the children died at home, irrespective of age. More children died at home in settings with user-fees (69.1%, 95%</w:t>
      </w:r>
      <w:r>
        <w:t xml:space="preserve"> confidence interval </w:t>
      </w:r>
      <w:r w:rsidR="00C82C94">
        <w:t>CI 56.2-80.6, I</w:t>
      </w:r>
      <w:r w:rsidR="00C82C94">
        <w:rPr>
          <w:vertAlign w:val="superscript"/>
        </w:rPr>
        <w:t>2</w:t>
      </w:r>
      <w:r w:rsidR="00C82C94">
        <w:t>=98.4%) compared to settings without user-fees (43.8%, 95%</w:t>
      </w:r>
      <w:r>
        <w:t xml:space="preserve"> </w:t>
      </w:r>
      <w:r w:rsidR="00C82C94">
        <w:t>CI 34.3-53.5, I</w:t>
      </w:r>
      <w:r w:rsidR="00C82C94">
        <w:rPr>
          <w:vertAlign w:val="superscript"/>
        </w:rPr>
        <w:t>2</w:t>
      </w:r>
      <w:r w:rsidR="00C82C94">
        <w:t xml:space="preserve">=96.7%). Signs of illness were present in over 95% of children but </w:t>
      </w:r>
      <w:r w:rsidR="00485A98">
        <w:t>care-seeking</w:t>
      </w:r>
      <w:r w:rsidR="00C82C94">
        <w:t xml:space="preserve"> differed by age. 40.1% of neonates (95</w:t>
      </w:r>
      <w:r>
        <w:t>% CI</w:t>
      </w:r>
      <w:r w:rsidR="00C82C94">
        <w:t xml:space="preserve"> 20.7-61.3, I</w:t>
      </w:r>
      <w:r w:rsidR="00C82C94">
        <w:rPr>
          <w:vertAlign w:val="superscript"/>
        </w:rPr>
        <w:t>2</w:t>
      </w:r>
      <w:r w:rsidR="00C82C94">
        <w:t>=98.0%) died without receiving any care, compared to 6.4% of older children (95</w:t>
      </w:r>
      <w:r>
        <w:t>% CI</w:t>
      </w:r>
      <w:r w:rsidR="00C82C94">
        <w:t xml:space="preserve"> 4.2-9.0%, I</w:t>
      </w:r>
      <w:r w:rsidR="00C82C94">
        <w:rPr>
          <w:vertAlign w:val="superscript"/>
        </w:rPr>
        <w:t>2</w:t>
      </w:r>
      <w:r w:rsidR="00C82C94">
        <w:t>=90.6%). Care-seeking outside the home was less common in neonatal deaths (50.5%, 95</w:t>
      </w:r>
      <w:r>
        <w:t>% CI</w:t>
      </w:r>
      <w:r w:rsidR="00C82C94">
        <w:t xml:space="preserve"> 35.6-65.3, I</w:t>
      </w:r>
      <w:r w:rsidR="00C82C94">
        <w:rPr>
          <w:vertAlign w:val="superscript"/>
        </w:rPr>
        <w:t>2</w:t>
      </w:r>
      <w:r w:rsidR="00C82C94">
        <w:t>=98.3%) compared to infants and young children (8</w:t>
      </w:r>
      <w:r w:rsidR="001C1AED">
        <w:t>2.4</w:t>
      </w:r>
      <w:r w:rsidR="00C82C94">
        <w:t>%, 95</w:t>
      </w:r>
      <w:r>
        <w:t>% CI</w:t>
      </w:r>
      <w:r w:rsidR="00C82C94">
        <w:t xml:space="preserve"> 7</w:t>
      </w:r>
      <w:r w:rsidR="001C1AED">
        <w:t>9.4</w:t>
      </w:r>
      <w:r w:rsidR="00C82C94">
        <w:t>-8</w:t>
      </w:r>
      <w:r w:rsidR="001C1AED">
        <w:t>5</w:t>
      </w:r>
      <w:r w:rsidR="00C82C94">
        <w:t>.</w:t>
      </w:r>
      <w:r w:rsidR="001C1AED">
        <w:t>2</w:t>
      </w:r>
      <w:r w:rsidR="00C82C94">
        <w:t>%, I</w:t>
      </w:r>
      <w:r w:rsidR="00C82C94">
        <w:rPr>
          <w:vertAlign w:val="superscript"/>
        </w:rPr>
        <w:t>2</w:t>
      </w:r>
      <w:r w:rsidR="00C82C94">
        <w:t>=</w:t>
      </w:r>
      <w:r w:rsidR="001C1AED">
        <w:t>87</w:t>
      </w:r>
      <w:r w:rsidR="00C82C94">
        <w:t>.</w:t>
      </w:r>
      <w:r w:rsidR="001C1AED">
        <w:t>5</w:t>
      </w:r>
      <w:r w:rsidR="00C82C94">
        <w:t>%). In both age groups, most children were taken for formal care. Healthcare facilities discharged 69.6% of infants and young children who arrived alive (95</w:t>
      </w:r>
      <w:r>
        <w:t>% CI</w:t>
      </w:r>
      <w:r w:rsidR="00C82C94">
        <w:t xml:space="preserve"> 59.6-78.7, I</w:t>
      </w:r>
      <w:r w:rsidR="00C82C94">
        <w:rPr>
          <w:vertAlign w:val="superscript"/>
        </w:rPr>
        <w:t>2</w:t>
      </w:r>
      <w:r w:rsidR="00C82C94">
        <w:t>=95.5%), of whom only 34.9% were referred for further care (95</w:t>
      </w:r>
      <w:r>
        <w:t>% CI</w:t>
      </w:r>
      <w:r w:rsidR="00C82C94">
        <w:t xml:space="preserve"> 15.1-57.9, I</w:t>
      </w:r>
      <w:r w:rsidR="00C82C94">
        <w:rPr>
          <w:vertAlign w:val="superscript"/>
        </w:rPr>
        <w:t>2</w:t>
      </w:r>
      <w:r w:rsidR="00C82C94">
        <w:t xml:space="preserve">=98.7%). </w:t>
      </w:r>
    </w:p>
    <w:p w14:paraId="0CF7BCB6" w14:textId="5769AD41" w:rsidR="00C82C94" w:rsidRDefault="00C82C94" w:rsidP="003E0C9E">
      <w:pPr>
        <w:spacing w:line="360" w:lineRule="auto"/>
      </w:pPr>
      <w:r w:rsidRPr="003E0C9E">
        <w:rPr>
          <w:b/>
        </w:rPr>
        <w:t>Conclusions</w:t>
      </w:r>
      <w:r w:rsidR="003E0C9E">
        <w:t xml:space="preserve"> </w:t>
      </w:r>
      <w:r>
        <w:t xml:space="preserve">Despite similar distributions in place of death for neonates and infants and young children, care-seeking behaviour differed by age groups. Poor illness recognition is implicated in neonatal deaths, but death despite care-seeking implies inadequate quality care and referral for </w:t>
      </w:r>
      <w:r>
        <w:lastRenderedPageBreak/>
        <w:t>older children. Understanding such care-seeking patterns enables targeted interventions to reduce under-5 mortality across the region.</w:t>
      </w:r>
    </w:p>
    <w:p w14:paraId="20D2D1C0" w14:textId="73385EC3" w:rsidR="00F32256" w:rsidRDefault="004A1206" w:rsidP="00187AA8">
      <w:pPr>
        <w:spacing w:line="360" w:lineRule="auto"/>
      </w:pPr>
      <w:bookmarkStart w:id="1" w:name="_Hlk11964859"/>
      <w:r>
        <w:t>The under-5 mortality</w:t>
      </w:r>
      <w:r w:rsidR="00142A5C">
        <w:t xml:space="preserve"> rate</w:t>
      </w:r>
      <w:r>
        <w:t xml:space="preserve"> in sub-Saharan Africa continues to be the highest in the world</w:t>
      </w:r>
      <w:r w:rsidR="002C1FA3">
        <w:t>, with half of all under-5 deaths in 2017 occurring in this region</w:t>
      </w:r>
      <w:r w:rsidR="00FD4EFF">
        <w:t xml:space="preserve"> </w:t>
      </w:r>
      <w:r w:rsidR="00CE4949">
        <w:t>despite</w:t>
      </w:r>
      <w:r w:rsidR="004A0429">
        <w:t xml:space="preserve"> representing </w:t>
      </w:r>
      <w:r w:rsidR="00C049AF">
        <w:t xml:space="preserve">only 13.9% of the </w:t>
      </w:r>
      <w:r w:rsidR="00CE4949">
        <w:t xml:space="preserve">global population </w:t>
      </w:r>
      <w:r w:rsidR="00A06459">
        <w:fldChar w:fldCharType="begin" w:fldLock="1"/>
      </w:r>
      <w:r w:rsidR="00CD0705">
        <w:instrText>ADDIN CSL_CITATION {"citationItems":[{"id":"ITEM-1","itemData":{"author":[{"dropping-particle":"","family":"United Nations Inter-agency Group for Child Mortality Estimation (UN","given":"","non-dropping-particle":"","parse-names":false,"suffix":""},{"dropping-particle":"","family":"IGME)","given":"","non-dropping-particle":"","parse-names":false,"suffix":""}],"id":"ITEM-1","issued":{"date-parts":[["2018"]]},"publisher-place":"New York","title":"‘Levels &amp; Trends in Child Mortality: Report 2018, Estimates developed by the United Nations Inter-agency Group for Child Mortality Estimation","type":"report"},"uris":["http://www.mendeley.com/documents/?uuid=c054c693-13fa-3160-bd28-97531e56cd6a"]},{"id":"ITEM-2","itemData":{"ISBN":"978-92-806-4930-7","author":[{"dropping-particle":"","family":"UNICEF","given":"","non-dropping-particle":"","parse-names":false,"suffix":""}],"id":"ITEM-2","issued":{"date-parts":[["2017"]]},"publisher-place":"New York","title":"The State of the World’s Children 2017: Children in a Digital World","type":"book"},"uris":["http://www.mendeley.com/documents/?uuid=dd9e56f6-ad35-30a8-a25c-f06ca405ad10"]}],"mendeley":{"formattedCitation":"(1,2)","manualFormatting":"[1,2]","plainTextFormattedCitation":"(1,2)","previouslyFormattedCitation":"(1,2)"},"properties":{"noteIndex":0},"schema":"https://github.com/citation-style-language/schema/raw/master/csl-citation.json"}</w:instrText>
      </w:r>
      <w:r w:rsidR="00A06459">
        <w:fldChar w:fldCharType="separate"/>
      </w:r>
      <w:r w:rsidR="0061013B">
        <w:rPr>
          <w:noProof/>
        </w:rPr>
        <w:t>[</w:t>
      </w:r>
      <w:r w:rsidR="00303FFB" w:rsidRPr="00303FFB">
        <w:rPr>
          <w:noProof/>
        </w:rPr>
        <w:t>1,2</w:t>
      </w:r>
      <w:r w:rsidR="0061013B">
        <w:rPr>
          <w:noProof/>
        </w:rPr>
        <w:t>]</w:t>
      </w:r>
      <w:r w:rsidR="00A06459">
        <w:fldChar w:fldCharType="end"/>
      </w:r>
      <w:r w:rsidR="002C1FA3">
        <w:t xml:space="preserve">. </w:t>
      </w:r>
      <w:r w:rsidR="00A02D27">
        <w:t xml:space="preserve">The </w:t>
      </w:r>
      <w:r w:rsidR="00885AAC">
        <w:t>United Nations</w:t>
      </w:r>
      <w:r w:rsidR="00A02D27">
        <w:t xml:space="preserve"> used </w:t>
      </w:r>
      <w:r w:rsidR="00885AAC">
        <w:t>S</w:t>
      </w:r>
      <w:r w:rsidR="00142A5C">
        <w:t xml:space="preserve">ustainable </w:t>
      </w:r>
      <w:r w:rsidR="00885AAC">
        <w:t>D</w:t>
      </w:r>
      <w:r w:rsidR="00142A5C">
        <w:t xml:space="preserve">evelopment </w:t>
      </w:r>
      <w:r w:rsidR="00885AAC">
        <w:t>G</w:t>
      </w:r>
      <w:r w:rsidR="00142A5C">
        <w:t xml:space="preserve">oal 3.2 </w:t>
      </w:r>
      <w:r w:rsidR="00A02D27">
        <w:t xml:space="preserve">to </w:t>
      </w:r>
      <w:r w:rsidR="00142A5C">
        <w:t>set a target</w:t>
      </w:r>
      <w:r w:rsidR="003B751B">
        <w:t xml:space="preserve"> </w:t>
      </w:r>
      <w:r w:rsidR="00142A5C">
        <w:t>under-5 mortality rate of 25 deaths per 1000 live births by 2030</w:t>
      </w:r>
      <w:r w:rsidR="00167755">
        <w:t xml:space="preserve"> </w:t>
      </w:r>
      <w:r w:rsidR="00A06459">
        <w:fldChar w:fldCharType="begin" w:fldLock="1"/>
      </w:r>
      <w:r w:rsidR="00CD0705">
        <w:instrText>ADDIN CSL_CITATION {"citationItems":[{"id":"ITEM-1","itemData":{"URL":"http://www.un.org/sustainabledevelopment/health/","accessed":{"date-parts":[["2016","1","5"]]},"id":"ITEM-1","issued":{"date-parts":[["2015"]]},"title":"Sustainable Development Goals: 17 goals to transform our world","type":"webpage"},"uris":["http://www.mendeley.com/documents/?uuid=bf743831-985e-4629-818e-c808d12559f8"]}],"mendeley":{"formattedCitation":"(3)","manualFormatting":"[3]","plainTextFormattedCitation":"(3)","previouslyFormattedCitation":"(3)"},"properties":{"noteIndex":0},"schema":"https://github.com/citation-style-language/schema/raw/master/csl-citation.json"}</w:instrText>
      </w:r>
      <w:r w:rsidR="00A06459">
        <w:fldChar w:fldCharType="separate"/>
      </w:r>
      <w:r w:rsidR="0061013B">
        <w:rPr>
          <w:noProof/>
        </w:rPr>
        <w:t>[</w:t>
      </w:r>
      <w:r w:rsidR="00303FFB" w:rsidRPr="00303FFB">
        <w:rPr>
          <w:noProof/>
        </w:rPr>
        <w:t>3</w:t>
      </w:r>
      <w:r w:rsidR="0061013B">
        <w:rPr>
          <w:noProof/>
        </w:rPr>
        <w:t>]</w:t>
      </w:r>
      <w:r w:rsidR="00A06459">
        <w:fldChar w:fldCharType="end"/>
      </w:r>
      <w:r w:rsidR="00142A5C">
        <w:t xml:space="preserve">. </w:t>
      </w:r>
      <w:r w:rsidR="00F32256">
        <w:t xml:space="preserve">However, weak vital registration systems in many countries across sub-Saharan Africa make it difficult to accurately estimate the number of births and deaths in a given year. </w:t>
      </w:r>
      <w:bookmarkEnd w:id="1"/>
      <w:r w:rsidR="00F32256">
        <w:t>This difficulty is compounded when births and deaths occur outside the healthcare system. Population based studies have shown that high proportions of under-5 deaths occur outside health facilities</w:t>
      </w:r>
      <w:r w:rsidR="003B751B">
        <w:t xml:space="preserve"> </w:t>
      </w:r>
      <w:r w:rsidR="00B41EA3">
        <w:fldChar w:fldCharType="begin" w:fldLock="1"/>
      </w:r>
      <w:r w:rsidR="00CD0705">
        <w:instrText>ADDIN CSL_CITATION {"citationItems":[{"id":"ITEM-1","itemData":{"DOI":"10.1371/journal.pone.0177025","ISSN":"1932-6203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one","id":"ITEM-1","issue":"5","issued":{"date-parts":[["2017"]]},"language":"eng","page":"e0177025","publisher-place":"United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2013.","type":"article-journal","volume":"12"},"uris":["http://www.mendeley.com/documents/?uuid=e21a015d-a4d3-4e8b-a93d-c1c0fa3455e8"]},{"id":"ITEM-2","itemData":{"DOI":"10.1186/1478-7954-9-44","ISSN":"1478-7954","abstract":"Effective implementation of child survival interventions depends on improved understanding of cultural, social, and health system factors affecting utilization of health care. Never the less, no standardized instrument exists for collecting and interpreting information on how to avert death and improve the implementation of child survival interventions. To describe the methodology, development, and first results of a standard social autopsy tool for the collection of information to understand common barriers to health care, risky behaviors, and missed opportunities for health intervention in deceased children under 5 years old. Under the INDEPTH Network, a social autopsy working group was formed to reach consensus around a standard social autopsy tool for neonatal and child death. The details around 434 child deaths in Iganga/Mayuge Health and Demographic Surveillance Site (HDSS) in Uganda and 40 child deaths in Dodowa HDSS in Ghana were investigated over 12 to 18 months. Interviews with the caretakers of these children elicited information on what happened before death, including signs and symptoms, contact with health services, details on treatments, and details of doctors. These social autopsies were used to assess the contributions of delays in care seeking and case management to the childhood deaths. At least one severe symptom had been recognized prior to death in 96% of the children in Iganga/Mayuge HDSS and in 70% in Dodowa HDSS, yet 32% and 80% of children were first treated at home, respectively. Twenty percent of children in Iganga/Mayuge HDSS and 13% of children in Dodowa HDSS were never taken for care outside the home. In both countries most went to private providers. In Iganga/Mayuge HDSS the main delays were caused by inadequate case management by the health provider, while in Dodowa HDSS the main delays were in the home. While delay at home was a main obstacle to prompt and appropriate treatment in Dodowa HDSS, there were severe challenges to prompt and adequate case management in the health system in both study sites in Ghana and Uganda. Meanwhile, caretaker awareness of danger signs needs to improve in both countries to promote early care seeking and to reduce the number of children needing referral. Social autopsy methods can improve this understanding, which can assist health planners to prioritize scarce resources appropriately.","author":[{"dropping-particle":"","family":"Källander","given":"Karin","non-dropping-particle":"","parse-names":false,"suffix":""},{"dropping-particle":"","family":"Kadobera","given":"Daniel","non-dropping-particle":"","parse-names":false,"suffix":""},{"dropping-particle":"","family":"Williams","given":"Thomas N","non-dropping-particle":"","parse-names":false,"suffix":""},{"dropping-particle":"","family":"Nielsen","given":"Rikke Thoft","non-dropping-particle":"","parse-names":false,"suffix":""},{"dropping-particle":"","family":"Yevoo","given":"Lucy","non-dropping-particle":"","parse-names":false,"suffix":""},{"dropping-particle":"","family":"Mutebi","given":"Aloysius","non-dropping-particle":"","parse-names":false,"suffix":""},{"dropping-particle":"","family":"Akpakli","given":"Jonas","non-dropping-particle":"","parse-names":false,"suffix":""},{"dropping-particle":"","family":"Narh","given":"Clement","non-dropping-particle":"","parse-names":false,"suffix":""},{"dropping-particle":"","family":"Gyapong","given":"Margaret","non-dropping-particle":"","parse-names":false,"suffix":""},{"dropping-particle":"","family":"Amu","given":"Alberta","non-dropping-particle":"","parse-names":false,"suffix":""},{"dropping-particle":"","family":"Waiswa","given":"Peter","non-dropping-particle":"","parse-names":false,"suffix":""},{"dropping-particle":"","family":"Black","given":"RE","non-dropping-particle":"","parse-names":false,"suffix":""},{"dropping-particle":"","family":"Cousens","given":"S","non-dropping-particle":"","parse-names":false,"suffix":""},{"dropping-particle":"","family":"Johnson","given":"HL","non-dropping-particle":"","parse-names":false,"suffix":""},{"dropping-particle":"","family":"Lawn","given":"JE","non-dropping-particle":"","parse-names":false,"suffix":""},{"dropping-particle":"","family":"Rudan","given":"I","non-dropping-particle":"","parse-names":false,"suffix":""},{"dropping-particle":"","family":"Bassani","given":"DG","non-dropping-particle":"","parse-names":false,"suffix":""},{"dropping-particle":"","family":"Jha","given":"P","non-dropping-particle":"","parse-names":false,"suffix":""},{"dropping-particle":"","family":"Campbell","given":"H","non-dropping-particle":"","parse-names":false,"suffix":""},{"dropping-particle":"","family":"Walker","given":"CF","non-dropping-particle":"","parse-names":false,"suffix":""},{"dropping-particle":"","family":"Cibulskis","given":"R","non-dropping-particle":"","parse-names":false,"suffix":""},{"dropping-particle":"","family":"Murray","given":"CJ","non-dropping-particle":"","parse-names":false,"suffix":""},{"dropping-particle":"","family":"Lopez","given":"AD","non-dropping-particle":"","parse-names":false,"suffix":""},{"dropping-particle":"","family":"Feehan","given":"DM","non-dropping-particle":"","parse-names":false,"suffix":""},{"dropping-particle":"","family":"Peter","given":"ST","non-dropping-particle":"","parse-names":false,"suffix":""},{"dropping-particle":"","family":"Yang","given":"G","non-dropping-particle":"","parse-names":false,"suffix":""},{"dropping-particle":"","family":"Setel","given":"PW","non-dropping-particle":"","parse-names":false,"suffix":""},{"dropping-particle":"","family":"Macfarlane","given":"SB","non-dropping-particle":"","parse-names":false,"suffix":""},{"dropping-particle":"","family":"Szreter","given":"S","non-dropping-particle":"","parse-names":false,"suffix":""},{"dropping-particle":"","family":"Mikkelsen","given":"L","non-dropping-particle":"","parse-names":false,"suffix":""},{"dropping-particle":"","family":"Jha","given":"P","non-dropping-particle":"","parse-names":false,"suffix":""},{"dropping-particle":"","family":"Stout","given":"S","non-dropping-particle":"","parse-names":false,"suffix":""},{"dropping-particle":"","family":"AbouZahr","given":"C","non-dropping-particle":"","parse-names":false,"suffix":""},{"dropping-particle":"","family":"Baiden","given":"F","non-dropping-particle":"","parse-names":false,"suffix":""},{"dropping-particle":"","family":"Bawah","given":"A","non-dropping-particle":"","parse-names":false,"suffix":""},{"dropping-particle":"","family":"Biai","given":"S","non-dropping-particle":"","parse-names":false,"suffix":""},{"dropping-particle":"","family":"Binka","given":"F","non-dropping-particle":"","parse-names":false,"suffix":""},{"dropping-particle":"","family":"Boerma","given":"T","non-dropping-particle":"","parse-names":false,"suffix":""},{"dropping-particle":"","family":"Byass","given":"P","non-dropping-particle":"","parse-names":false,"suffix":""},{"dropping-particle":"","family":"Chandramohan","given":"D","non-dropping-particle":"","parse-names":false,"suffix":""},{"dropping-particle":"","family":"Chatterji","given":"S","non-dropping-particle":"","parse-names":false,"suffix":""},{"dropping-particle":"","family":"Engmann","given":"C","non-dropping-particle":"","parse-names":false,"suffix":""},{"dropping-particle":"","family":"Greet","given":"D","non-dropping-particle":"","parse-names":false,"suffix":""},{"dropping-particle":"","family":"Soleman","given":"N","non-dropping-particle":"","parse-names":false,"suffix":""},{"dropping-particle":"","family":"Chandramohan","given":"D","non-dropping-particle":"","parse-names":false,"suffix":""},{"dropping-particle":"","family":"Shibuya","given":"K","non-dropping-particle":"","parse-names":false,"suffix":""},{"dropping-particle":"de","family":"Souza","given":"AC Terra","non-dropping-particle":"","parse-names":false,"suffix":""},{"dropping-particle":"","family":"Peterson","given":"KE","non-dropping-particle":"","parse-names":false,"suffix":""},{"dropping-particle":"","family":"Andrade","given":"FM","non-dropping-particle":"","parse-names":false,"suffix":""},{"dropping-particle":"","family":"Gardner","given":"J","non-dropping-particle":"","parse-names":false,"suffix":""},{"dropping-particle":"","family":"Ascherio","given":"A","non-dropping-particle":"","parse-names":false,"suffix":""},{"dropping-particle":"de","family":"Zoysa","given":"I","non-dropping-particle":"","parse-names":false,"suffix":""},{"dropping-particle":"","family":"Bhandari","given":"N","non-dropping-particle":"","parse-names":false,"suffix":""},{"dropping-particle":"","family":"Akhtari","given":"N","non-dropping-particle":"","parse-names":false,"suffix":""},{"dropping-particle":"","family":"Bhan","given":"MK","non-dropping-particle":"","parse-names":false,"suffix":""},{"dropping-particle":"","family":"Bojalil","given":"R","non-dropping-particle":"","parse-names":false,"suffix":""},{"dropping-particle":"","family":"Kirkwood","given":"BR","non-dropping-particle":"","parse-names":false,"suffix":""},{"dropping-particle":"","family":"Bobak","given":"M","non-dropping-particle":"","parse-names":false,"suffix":""},{"dropping-particle":"","family":"Guiscafre","given":"H","non-dropping-particle":"","parse-names":false,"suffix":""},{"dropping-particle":"","family":"Waiswa","given":"P","non-dropping-particle":"","parse-names":false,"suffix":""},{"dropping-particle":"","family":"Kallander","given":"K","non-dropping-particle":"","parse-names":false,"suffix":""},{"dropping-particle":"","family":"Peterson","given":"S","non-dropping-particle":"","parse-names":false,"suffix":""},{"dropping-particle":"","family":"Tomson","given":"G","non-dropping-particle":"","parse-names":false,"suffix":""},{"dropping-particle":"","family":"Pariyo","given":"GW","non-dropping-particle":"","parse-names":false,"suffix":""},{"dropping-particle":"","family":"Sodemann","given":"M","non-dropping-particle":"","parse-names":false,"suffix":""},{"dropping-particle":"","family":"Jakobsen","given":"MS","non-dropping-particle":"","parse-names":false,"suffix":""},{"dropping-particle":"","family":"Molbak","given":"K","non-dropping-particle":"","parse-names":false,"suffix":""},{"dropping-particle":"","family":"Alvarenga","given":"IC","non-dropping-particle":"","parse-names":false,"suffix":""},{"dropping-particle":"","family":"Aaby","given":"P","non-dropping-particle":"","parse-names":false,"suffix":""},{"dropping-particle":"","family":"Sutrisna","given":"B","non-dropping-particle":"","parse-names":false,"suffix":""},{"dropping-particle":"","family":"Reingold","given":"A","non-dropping-particle":"","parse-names":false,"suffix":""},{"dropping-particle":"","family":"Kresno","given":"S","non-dropping-particle":"","parse-names":false,"suffix":""},{"dropping-particle":"","family":"Harrison","given":"G","non-dropping-particle":"","parse-names":false,"suffix":""},{"dropping-particle":"","family":"Utomo","given":"B","non-dropping-particle":"","parse-names":false,"suffix":""},{"dropping-particle":"","family":"Reyes","given":"H","non-dropping-particle":"","parse-names":false,"suffix":""},{"dropping-particle":"","family":"Perez-Cuevas","given":"R","non-dropping-particle":"","parse-names":false,"suffix":""},{"dropping-particle":"","family":"Salmeron","given":"J","non-dropping-particle":"","parse-names":false,"suffix":""},{"dropping-particle":"","family":"Tome","given":"P","non-dropping-particle":"","parse-names":false,"suffix":""},{"dropping-particle":"","family":"Guiscafre","given":"H","non-dropping-particle":"","parse-names":false,"suffix":""},{"dropping-particle":"","family":"Gutierrez","given":"G","non-dropping-particle":"","parse-names":false,"suffix":""},{"dropping-particle":"","family":"Durrheim","given":"DN","non-dropping-particle":"","parse-names":false,"suffix":""},{"dropping-particle":"","family":"Frieremans","given":"S","non-dropping-particle":"","parse-names":false,"suffix":""},{"dropping-particle":"","family":"Kruger","given":"P","non-dropping-particle":"","parse-names":false,"suffix":""},{"dropping-particle":"","family":"Mabuza","given":"A","non-dropping-particle":"","parse-names":false,"suffix":""},{"dropping-particle":"de","family":"Bruyn","given":"JC","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de","family":"Savigny","given":"D","non-dropping-particle":"","parse-names":false,"suffix":""},{"dropping-particle":"","family":"Mayombana","given":"C","non-dropping-particle":"","parse-names":false,"suffix":""},{"dropping-particle":"","family":"Mwageni","given":"E","non-dropping-particle":"","parse-names":false,"suffix":""},{"dropping-particle":"","family":"Masanja","given":"H","non-dropping-particle":"","parse-names":false,"suffix":""},{"dropping-particle":"","family":"Minhaj","given":"A","non-dropping-particle":"","parse-names":false,"suffix":""},{"dropping-particle":"","family":"Mkilindi","given":"Y","non-dropping-particle":"","parse-names":false,"suffix":""},{"dropping-particle":"","family":"Mbuya","given":"C","non-dropping-particle":"","parse-names":false,"suffix":""},{"dropping-particle":"","family":"Kasale","given":"H","non-dropping-particle":"","parse-names":false,"suffix":""},{"dropping-particle":"","family":"Reid","given":"G","non-dropping-particle":"","parse-names":false,"suffix":""},{"dropping-particle":"","family":"Kallander","given":"K","non-dropping-particle":"","parse-names":false,"suffix":""},{"dropping-particle":"","family":"Hildenwall","given":"H","non-dropping-particle":"","parse-names":false,"suffix":""},{"dropping-particle":"","family":"Waiswa","given":"P","non-dropping-particle":"","parse-names":false,"suffix":""},{"dropping-particle":"","family":"Galiwango","given":"E","non-dropping-particle":"","parse-names":false,"suffix":""},{"dropping-particle":"","family":"Peterson","given":"S","non-dropping-particle":"","parse-names":false,"suffix":""},{"dropping-particle":"","family":"Pariyo","given":"G","non-dropping-particle":"","parse-names":false,"suffix":""},{"dropping-particle":"","family":"Aguilar","given":"AMAR","non-dropping-particle":"","parse-names":false,"suffix":""},{"dropping-particle":"","family":"Cordero","given":"D","non-dropping-particle":"","parse-names":false,"suffix":""},{"dropping-particle":"","family":"Kelly","given":"P","non-dropping-particle":"","parse-names":false,"suffix":""},{"dropping-particle":"","family":"Zamora","given":"D","non-dropping-particle":"","parse-names":false,"suffix":""},{"dropping-particle":"","family":"Salgado","given":"R","non-dropping-particle":"","parse-names":false,"suffix":""},{"dropping-particle":"","family":"Kalter","given":"HD","non-dropping-particle":"","parse-names":false,"suffix":""},{"dropping-particle":"","family":"Salgado","given":"R","non-dropping-particle":"","parse-names":false,"suffix":""},{"dropping-particle":"","family":"Gittelsohn","given":"J","non-dropping-particle":"","parse-names":false,"suffix":""},{"dropping-particle":"","family":"Parades","given":"P","non-dropping-particle":"","parse-names":false,"suffix":""},{"dropping-particle":"","family":"Waldman","given":"R","non-dropping-particle":"","parse-names":false,"suffix":""},{"dropping-particle":"","family":"Bartlett","given":"A","non-dropping-particle":"","parse-names":false,"suffix":""},{"dropping-particle":"","family":"Campbell","given":"C","non-dropping-particle":"","parse-names":false,"suffix":""},{"dropping-particle":"","family":"Steketee","given":"R","non-dropping-particle":"","parse-names":false,"suffix":""},{"dropping-particle":"","family":"Gove","given":"S","non-dropping-particle":"","parse-names":false,"suffix":""},{"dropping-particle":"","family":"Thaddeus","given":"S","non-dropping-particle":"","parse-names":false,"suffix":""},{"dropping-particle":"","family":"Maine","given":"D","non-dropping-particle":"","parse-names":false,"suffix":""},{"dropping-particle":"","family":"Bazzano","given":"AN","non-dropping-particle":"","parse-names":false,"suffix":""},{"dropping-particle":"","family":"Kirkwood","given":"BR","non-dropping-particle":"","parse-names":false,"suffix":""},{"dropping-particle":"","family":"Tawiah-Agyemang","given":"C","non-dropping-particle":"","parse-names":false,"suffix":""},{"dropping-particle":"","family":"Owusu-Agyei","given":"S","non-dropping-particle":"","parse-names":false,"suffix":""},{"dropping-particle":"","family":"Adongo","given":"PB","non-dropping-particle":"","parse-names":false,"suffix":""},{"dropping-particle":"","family":"Rutebemberwa","given":"E","non-dropping-particle":"","parse-names":false,"suffix":""},{"dropping-particle":"","family":"Kallander","given":"K","non-dropping-particle":"","parse-names":false,"suffix":""},{"dropping-particle":"","family":"Tomson","given":"G","non-dropping-particle":"","parse-names":false,"suffix":""},{"dropping-particle":"","family":"Peterson","given":"S","non-dropping-particle":"","parse-names":false,"suffix":""},{"dropping-particle":"","family":"Pariyo","given":"G","non-dropping-particle":"","parse-names":false,"suffix":""},{"dropping-particle":"","family":"Rutebemberwa","given":"E","non-dropping-particle":"","parse-names":false,"suffix":""},{"dropping-particle":"","family":"Nsabagasani","given":"X","non-dropping-particle":"","parse-names":false,"suffix":""},{"dropping-particle":"","family":"Pariyo","given":"G","non-dropping-particle":"","parse-names":false,"suffix":""},{"dropping-particle":"","family":"Tomson","given":"G","non-dropping-particle":"","parse-names":false,"suffix":""},{"dropping-particle":"","family":"Peterson","given":"S","non-dropping-particle":"","parse-names":false,"suffix":""},{"dropping-particle":"","family":"Kallander","given":"K","non-dropping-particle":"","parse-names":false,"suffix":""},{"dropping-particle":"","family":"Peterson","given":"S","non-dropping-particle":"","parse-names":false,"suffix":""},{"dropping-particle":"","family":"Nsungwa-Sabiiti","given":"J","non-dropping-particle":"","parse-names":false,"suffix":""},{"dropping-particle":"","family":"Were","given":"W","non-dropping-particle":"","parse-names":false,"suffix":""},{"dropping-particle":"","family":"Nsabagasani","given":"X","non-dropping-particle":"","parse-names":false,"suffix":""},{"dropping-particle":"","family":"Magumba","given":"G","non-dropping-particle":"","parse-names":false,"suffix":""},{"dropping-particle":"","family":"Nambooze","given":"J","non-dropping-particle":"","parse-names":false,"suffix":""},{"dropping-particle":"","family":"Mukasa","given":"G","non-dropping-particle":"","parse-names":false,"suffix":""},{"dropping-particle":"","family":"Nsungwa-Sabiiti","given":"J","non-dropping-particle":"","parse-names":false,"suffix":""},{"dropping-particle":"","family":"Kallander","given":"K","non-dropping-particle":"","parse-names":false,"suffix":""},{"dropping-particle":"","family":"Nsabagasani","given":"X","non-dropping-particle":"","parse-names":false,"suffix":""},{"dropping-particle":"","family":"Namusisi","given":"K","non-dropping-particle":"","parse-names":false,"suffix":""},{"dropping-particle":"","family":"Pariyo","given":"G","non-dropping-particle":"","parse-names":false,"suffix":""},{"dropping-particle":"","family":"Johansson","given":"A","non-dropping-particle":"","parse-names":false,"suffix":""},{"dropping-particle":"","family":"Tomson","given":"G","non-dropping-particle":"","parse-names":false,"suffix":""},{"dropping-particle":"","family":"Peterson","given":"S","non-dropping-particle":"","parse-names":false,"suffix":""},{"dropping-particle":"","family":"Tanner","given":"M","non-dropping-particle":"","parse-names":false,"suffix":""},{"dropping-particle":"","family":"Vlassoff","given":"C","non-dropping-particle":"","parse-names":false,"suffix":""},{"dropping-particle":"","family":"Comoro","given":"C","non-dropping-particle":"","parse-names":false,"suffix":""},{"dropping-particle":"","family":"Nsimba","given":"SE","non-dropping-particle":"","parse-names":false,"suffix":""},{"dropping-particle":"","family":"Warsame","given":"M","non-dropping-particle":"","parse-names":false,"suffix":""},{"dropping-particle":"","family":"Tomson","given":"G","non-dropping-particle":"","parse-names":false,"suffix":""},{"dropping-particle":"","family":"Nolan","given":"T","non-dropping-particle":"","parse-names":false,"suffix":""},{"dropping-particle":"","family":"Angos","given":"P","non-dropping-particle":"","parse-names":false,"suffix":""},{"dropping-particle":"","family":"Cunha","given":"AJ","non-dropping-particle":"","parse-names":false,"suffix":""},{"dropping-particle":"","family":"Muhe","given":"L","non-dropping-particle":"","parse-names":false,"suffix":""},{"dropping-particle":"","family":"Qazi","given":"S","non-dropping-particle":"","parse-names":false,"suffix":""},{"dropping-particle":"","family":"Simoes","given":"EA","non-dropping-particle":"","parse-names":false,"suffix":""},{"dropping-particle":"","family":"Tamburlini","given":"G","non-dropping-particle":"","parse-names":false,"suffix":""},{"dropping-particle":"","family":"Weber","given":"M","non-dropping-particle":"","parse-names":false,"suffix":""},{"dropping-particle":"","family":"Pierce","given":"NF","non-dropping-particle":"","parse-names":false,"suffix":""},{"dropping-particle":"","family":"Issah","given":"K","non-dropping-particle":"","parse-names":false,"suffix":""},{"dropping-particle":"","family":"Nang-Beifubah","given":"A","non-dropping-particle":"","parse-names":false,"suffix":""},{"dropping-particle":"","family":"Opoku","given":"CF","non-dropping-particle":"","parse-names":false,"suffix":""},{"dropping-particle":"","family":"Byass","given":"P","non-dropping-particle":"","parse-names":false,"suffix":""},{"dropping-particle":"","family":"Fottrell","given":"E","non-dropping-particle":"","parse-names":false,"suffix":""},{"dropping-particle":"","family":"Dao","given":"LH","non-dropping-particle":"","parse-names":false,"suffix":""},{"dropping-particle":"","family":"Berhane","given":"Y","non-dropping-particle":"","parse-names":false,"suffix":""},{"dropping-particle":"","family":"Corrah","given":"T","non-dropping-particle":"","parse-names":false,"suffix":""},{"dropping-particle":"","family":"Kahn","given":"K","non-dropping-particle":"","parse-names":false,"suffix":""},{"dropping-particle":"","family":"Muhe","given":"L","non-dropping-particle":"","parse-names":false,"suffix":""},{"dropping-particle":"","family":"Do","given":"DV","non-dropping-particle":"","parse-names":false,"suffix":""},{"dropping-particle":"","family":"Kroeger","given":"A","non-dropping-particle":"","parse-names":false,"suffix":""},{"dropping-particle":"","family":"Linder","given":"FE","non-dropping-particle":"","parse-names":false,"suffix":""}],"container-title":"Population Health Metrics","id":"ITEM-2","issue":"1","issued":{"date-parts":[["2011","12","5"]]},"page":"no pagination","publisher":"BioMed Central","publisher-place":"K. Kallander, Department of Health Policy, Planning and Management, School of Public Health, Makerere University, P.O. Box 7072, Kampala, Uganda. E-mail: k.kallander@malariaconsortium.org","title":"Social autopsy: INDEPTH Network experiences of utility, process, practices, and challenges in investigating causes and contributors to mortality","type":"article-journal","volume":"9"},"uris":["http://www.mendeley.com/documents/?uuid=6f034a5f-0493-4d52-a037-1377852a8637"]},{"id":"ITEM-3","itemData":{"DOI":"http://dx.doi.org/10.7189/jogh.06.010603","ISSN":"2047-2978","PMID":"26955473","abstract":"BACKGROUND: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health","id":"ITEM-3","issue":"1","issued":{"date-parts":[["2016","6"]]},"page":"10603","publisher":"Edinburgh University Global Health Society","publisher-place":"United Kingdom","title":"Social determinants of child mortality in Niger: Results from the 2012 National Verbal and Social Autopsy Study","type":"article-journal","volume":"6"},"uris":["http://www.mendeley.com/documents/?uuid=79e72557-4efe-4224-a988-204f20c557e4"]}],"mendeley":{"formattedCitation":"(4–6)","manualFormatting":"[4–6]","plainTextFormattedCitation":"(4–6)","previouslyFormattedCitation":"(4–6)"},"properties":{"noteIndex":0},"schema":"https://github.com/citation-style-language/schema/raw/master/csl-citation.json"}</w:instrText>
      </w:r>
      <w:r w:rsidR="00B41EA3">
        <w:fldChar w:fldCharType="separate"/>
      </w:r>
      <w:r w:rsidR="0061013B">
        <w:rPr>
          <w:noProof/>
        </w:rPr>
        <w:t>[</w:t>
      </w:r>
      <w:r w:rsidR="00303FFB" w:rsidRPr="00303FFB">
        <w:rPr>
          <w:noProof/>
        </w:rPr>
        <w:t>4–6</w:t>
      </w:r>
      <w:r w:rsidR="0061013B">
        <w:rPr>
          <w:noProof/>
        </w:rPr>
        <w:t>]</w:t>
      </w:r>
      <w:r w:rsidR="00B41EA3">
        <w:fldChar w:fldCharType="end"/>
      </w:r>
      <w:r w:rsidR="00A02D27">
        <w:t xml:space="preserve"> </w:t>
      </w:r>
      <w:r w:rsidR="00F32256">
        <w:t>though no work has yet attempted to systematically identify and pool these findings across countries in sub-Saharan Africa</w:t>
      </w:r>
      <w:r w:rsidR="00142A5C">
        <w:t>.</w:t>
      </w:r>
    </w:p>
    <w:p w14:paraId="52C57AFB" w14:textId="484C8882" w:rsidR="00F32256" w:rsidRDefault="00F32256" w:rsidP="00187AA8">
      <w:pPr>
        <w:spacing w:line="360" w:lineRule="auto"/>
      </w:pPr>
      <w:r>
        <w:t xml:space="preserve">Place of death is just one social circumstance of death which can offer insights into modifiable factors contributing to under-5 mortality. There has been increasing recognition of the importance of understanding the </w:t>
      </w:r>
      <w:r w:rsidR="00485A98">
        <w:t>care-seeking</w:t>
      </w:r>
      <w:r>
        <w:t xml:space="preserve"> behaviours and barriers faced by caregivers during a child’s final illness. Traditionally these were explored by facility-based audits or confidential enquiries, but the past decade has seen a rise in the use of social autopsies as a population-based tool to investigate social circumstances of death</w:t>
      </w:r>
      <w:r w:rsidR="00C609A7">
        <w:t xml:space="preserve"> </w:t>
      </w:r>
      <w:r w:rsidR="00C609A7">
        <w:fldChar w:fldCharType="begin" w:fldLock="1"/>
      </w:r>
      <w:r w:rsidR="00CD0705">
        <w:instrText>ADDIN CSL_CITATION {"citationItems":[{"id":"ITEM-1","itemData":{"DOI":"10.1080/16549716.2017.1413917","ISSN":"1654-9880","PMID":"29261449","abstract":"BACKGROUND Social, cultural, and behavioral factors are often potent upstream contributors to maternal, neonatal, and child mortality, especially in low- and middle-income countries (LMICs). Social autopsy is one method of identifying the impact of such factors, yet it is unclear how social autopsy methods are being used in LMICs. OBJECTIVE This study aimed to identify the most common social autopsy instruments, describe overarching findings across populations and geography, and identify gaps in the existing social autopsy literature. METHODS A systematic search of the peer-reviewed literature from 2005 to 2016 was conducted. Studies were included if they were conducted in an LMIC, focused on maternal/neonatal/infant/child health, reported on the results of original research, and explicitly mentioned the use of a social autopsy tool. RESULTS Sixteen articles out of 1950 citations were included, representing research conducted in 11 countries. Five different tools were described, with two primary conceptual frameworks used to guide analysis: Pathway to Survival and Three Delays models. Studies varied in methods for identifying deaths, and recall periods for respondents ranged from 6 weeks to 5+ years. Across studies, recognition of danger signs appeared to be high, while subsequent care-seeking was inconsistent. Cost, distance to facility, and transportation issues were frequently cited barriers to care-seeking, however, additional barriers were reported that varied by location. Gaps in the social autopsy literature include the lack of: harmonized tools and analytical methods that allow for cross-study comparisons, discussion of complexity of decision making for care seeking, qualitative narratives that address inconsistencies in responses, and the explicit inclusion of perspectives from husbands and fathers. CONCLUSION Despite the nascence of the field, research across 11 countries has included social autopsy methods, using a variety of tools, sampling methods, and analytical frameworks to determine how social factors impact maternal, neonatal, and child health outcomes.","author":[{"dropping-particle":"","family":"Moyer","given":"Cheryl A","non-dropping-particle":"","parse-names":false,"suffix":""},{"dropping-particle":"","family":"Johnson","given":"Cassidy","non-dropping-particle":"","parse-names":false,"suffix":""},{"dropping-particle":"","family":"Kaselitz","given":"Elizabeth","non-dropping-particle":"","parse-names":false,"suffix":""},{"dropping-particle":"","family":"Aborigo","given":"Raymond","non-dropping-particle":"","parse-names":false,"suffix":""}],"container-title":"Global health action","id":"ITEM-1","issue":"1","issued":{"date-parts":[["2017"]]},"page":"1413917","publisher":"Taylor &amp; Francis","title":"Using social autopsy to understand maternal, newborn, and child mortality in low-resource settings: a systematic review of the literature.","type":"article-journal","volume":"10"},"uris":["http://www.mendeley.com/documents/?uuid=a8b4e70c-1422-3464-8a6c-23951a6c6e20"]}],"mendeley":{"formattedCitation":"(7)","manualFormatting":"[7","plainTextFormattedCitation":"(7)","previouslyFormattedCitation":"(7)"},"properties":{"noteIndex":0},"schema":"https://github.com/citation-style-language/schema/raw/master/csl-citation.json"}</w:instrText>
      </w:r>
      <w:r w:rsidR="00C609A7">
        <w:fldChar w:fldCharType="separate"/>
      </w:r>
      <w:r w:rsidR="005D7725">
        <w:rPr>
          <w:noProof/>
        </w:rPr>
        <w:t>[</w:t>
      </w:r>
      <w:r w:rsidR="00303FFB" w:rsidRPr="00303FFB">
        <w:rPr>
          <w:noProof/>
        </w:rPr>
        <w:t>7</w:t>
      </w:r>
      <w:r w:rsidR="00C609A7">
        <w:fldChar w:fldCharType="end"/>
      </w:r>
      <w:r w:rsidR="005D7725">
        <w:t>]</w:t>
      </w:r>
      <w:r>
        <w:t xml:space="preserve">. </w:t>
      </w:r>
      <w:r w:rsidR="0039245E">
        <w:t>A s</w:t>
      </w:r>
      <w:r>
        <w:t xml:space="preserve">ocial autopsy is a structured interview with the caregiver of the deceased </w:t>
      </w:r>
      <w:r w:rsidR="0039245E">
        <w:rPr>
          <w:rFonts w:cstheme="minorHAnsi"/>
          <w:lang w:val="en-ZA"/>
        </w:rPr>
        <w:t>which attempts</w:t>
      </w:r>
      <w:r w:rsidR="0039245E" w:rsidRPr="00740A30">
        <w:rPr>
          <w:rFonts w:cstheme="minorHAnsi"/>
          <w:lang w:val="en-ZA"/>
        </w:rPr>
        <w:t xml:space="preserve"> to make a “social diagnosis” of cause of death by identifying its cultural, social and health-systems antecedents </w:t>
      </w:r>
      <w:r w:rsidR="0039245E" w:rsidRPr="00740A30">
        <w:rPr>
          <w:rFonts w:cstheme="minorHAnsi"/>
          <w:lang w:val="en-ZA"/>
        </w:rPr>
        <w:fldChar w:fldCharType="begin" w:fldLock="1"/>
      </w:r>
      <w:r w:rsidR="00CD0705">
        <w:rPr>
          <w:rFonts w:cstheme="minorHAnsi"/>
          <w:lang w:val="en-ZA"/>
        </w:rPr>
        <w:instrText>ADDIN CSL_CITATION {"citationItems":[{"id":"ITEM-1","itemData":{"DOI":"10.1016/0277-9536(94)90226-7","ISSN":"02779536","abstract":"\"Social autopsy\" refers to an interview process aimed at identifying social, behavioral, and health systems contributors to maternal and child deaths. It is often combined with a verbal autopsy interview to establish the biological cause of death. Two complementary purposes of social autopsy include providing population-level data to health care programmers and policymakers to utilize in developing more effective strategies for delivering maternal and child health care technologies, and increasing awareness of maternal and child death as preventable problems in order to empower communities to participate and engage health programs to increase their responsiveness and accountability. Through a comprehensive review of the literature, this paper examines the concept and development of social autopsy, focusing on the contributions of the Pathway Analysis format for child deaths and the Maternal and Perinatal Death Inquiry and Response program in India to social autopsy's success in meeting key objectives. The Pathway Analysis social autopsy format, based on the Pathway to Survival model designed to support the Integrated Management of Childhood Illness approach, was developed from 1995 to 2001 and has been utilized in studies in Asia, Africa, and Latin America. Adoption of the Pathway model has enriched the data gathered on care seeking for child illnesses and supported the development of demand- and supply-side interventions. The instrument has recently been updated to improve the assessment of neonatal deaths and is soon to be utilized in large-scale population-representative verbal/social autopsy studies in several African countries. Maternal death audit, starting with confidential inquiries into maternal deaths in Britain more than 50 years ago, is a long-accepted strategy for reducing maternal mortality. More recently, maternal social autopsy studies that supported health programming have been conducted in several developing countries. From 2005 to 2009, 10 high-mortality states in India conducted community-based maternal verbal/social autopsies with participatory data sharing with communities and health programs that resulted in the implementation of numerous data-driven maternal health interventions. Social autopsy is a powerful tool with the demonstrated ability to raise awareness, provide evidence in the form of actionable data and increase motivation at all levels to take appropriate and effective actions. Further development of the methodology al…","author":[{"dropping-particle":"","family":"Thaddeus","given":"Sereen","non-dropping-particle":"","parse-names":false,"suffix":""},{"dropping-particle":"","family":"Maine","given":"Deborah","non-dropping-particle":"","parse-names":false,"suffix":""},{"dropping-particle":"","family":"Babille","given":"Marzio","non-dropping-particle":"","parse-names":false,"suffix":""},{"dropping-particle":"","family":"Koffi","given":"Alain K","non-dropping-particle":"","parse-names":false,"suffix":""},{"dropping-particle":"","family":"Black","given":"Robert E","non-dropping-particle":"","parse-names":false,"suffix":""},{"dropping-particle":"","family":"Thaddeus","given":"S","non-dropping-particle":"","parse-names":false,"suffix":""},{"dropping-particle":"","family":"Maine","given":"D","non-dropping-particle":"","parse-names":false,"suffix":""},{"dropping-particle":"","family":"Mosley","given":"WH","non-dropping-particle":"","parse-names":false,"suffix":""},{"dropping-particle":"","family":"Chen","given":"LC","non-dropping-particle":"","parse-names":false,"suffix":""},{"dropping-particle":"","family":"Claeson","given":"M","non-dropping-particle":"","parse-names":false,"suffix":""},{"dropping-particle":"","family":"Waldman","given":"RJ","non-dropping-particle":"","parse-names":false,"suffix":""},{"dropping-particle":"De","family":"Brouwere","given":"V","non-dropping-particle":"","parse-names":false,"suffix":""},{"dropping-particle":"","family":"Tonglet","given":"R","non-dropping-particle":"","parse-names":false,"suffix":""},{"dropping-particle":"Van","family":"Lerberghe","given":"W","non-dropping-particle":"","parse-names":false,"suffix":""},{"dropping-particle":"","family":"Hunt","given":"P","non-dropping-particle":"","parse-names":false,"suffix":""},{"dropping-particle":"","family":"Aguilar","given":"AM","non-dropping-particle":"","parse-names":false,"suffix":""},{"dropping-particle":"","family":"Alvarado","given":"R","non-dropping-particle":"","parse-names":false,"suffix":""},{"dropping-particle":"","family":"Cordero","given":"D","non-dropping-particle":"","parse-names":false,"suffix":""},{"dropping-particle":"","family":"Kelly","given":"P","non-dropping-particle":"","parse-names":false,"suffix":""},{"dropping-particle":"","family":"Zamora","given":"A","non-dropping-particle":"","parse-names":false,"suffix":""},{"dropping-particle":"","family":"Salgado","given":"R","non-dropping-particle":"","parse-names":false,"suffix":""},{"dropping-particle":"","family":"Schumacher","given":"R","non-dropping-particle":"","parse-names":false,"suffix":""},{"dropping-particle":"","family":"Swedberg","given":"E","non-dropping-particle":"","parse-names":false,"suffix":""},{"dropping-particle":"","family":"Diallo","given":"MO","non-dropping-particle":"","parse-names":false,"suffix":""},{"dropping-particle":"","family":"Keita","given":"DR","non-dropping-particle":"","parse-names":false,"suffix":""},{"dropping-particle":"","family":"Kalter","given":"HD","non-dropping-particle":"","parse-names":false,"suffix":""},{"dropping-particle":"","family":"Pasha","given":"O","non-dropping-particle":"","parse-names":false,"suffix":""},{"dropping-particle":"","family":"Bryce","given":"J","non-dropping-particle":"","parse-names":false,"suffix":""},{"dropping-particle":"","family":"Victora","given":"CG","non-dropping-particle":"","parse-names":false,"suffix":""},{"dropping-particle":"","family":"Habicht","given":"JP","non-dropping-particle":"","parse-names":false,"suffix":""},{"dropping-particle":"","family":"Black","given":"RE","non-dropping-particle":"","parse-names":false,"suffix":""},{"dropping-particle":"","family":"Scherpbier","given":"RW","non-dropping-particle":"","parse-names":false,"suffix":""},{"dropping-particle":"","family":"Waldman","given":"R","non-dropping-particle":"","parse-names":false,"suffix":""},{"dropping-particle":"","family":"Campbell","given":"CC","non-dropping-particle":"","parse-names":false,"suffix":""},{"dropping-particle":"","family":"Steketee","given":"RW","non-dropping-particle":"","parse-names":false,"suffix":""},{"dropping-particle":"","family":"Sustrisna","given":"B","non-dropping-particle":"","parse-names":false,"suffix":""},{"dropping-particle":"","family":"Reingold","given":"A","non-dropping-particle":"","parse-names":false,"suffix":""},{"dropping-particle":"","family":"Kresno","given":"S","non-dropping-particle":"","parse-names":false,"suffix":""},{"dropping-particle":"","family":"Harrison","given":"G","non-dropping-particle":"","parse-names":false,"suffix":""},{"dropping-particle":"","family":"Utomo","given":"B","non-dropping-particle":"","parse-names":false,"suffix":""},{"dropping-particle":"","family":"Gutiérrez","given":"G","non-dropping-particle":"","parse-names":false,"suffix":""},{"dropping-particle":"","family":"Reyes","given":"H","non-dropping-particle":"","parse-names":false,"suffix":""},{"dropping-particle":"","family":"Martinez","given":"H","non-dropping-particle":"","parse-names":false,"suffix":""},{"dropping-particle":"","family":"Tomé","given":"P","non-dropping-particle":"","parse-names":false,"suffix":""},{"dropping-particle":"","family":"Guiscafré","given":"H","non-dropping-particle":"","parse-names":false,"suffix":""},{"dropping-particle":"","family":"Sodemann","given":"M","non-dropping-particle":"","parse-names":false,"suffix":""},{"dropping-particle":"","family":"Jakobsen","given":"MS","non-dropping-particle":"","parse-names":false,"suffix":""},{"dropping-particle":"","family":"Molbak","given":"K","non-dropping-particle":"","parse-names":false,"suffix":""},{"dropping-particle":"","family":"Alvarenga","given":"IC","non-dropping-particle":"","parse-names":false,"suffix":""},{"dropping-particle":"","family":"Aaby","given":"P","non-dropping-particle":"","parse-names":false,"suffix":""},{"dropping-particle":"","family":"Hinderaker","given":"SG","non-dropping-particle":"","parse-names":false,"suffix":""},{"dropping-particle":"","family":"Olsen","given":"BE","non-dropping-particle":"","parse-names":false,"suffix":""},{"dropping-particle":"","family":"Bergsjo","given":"PB","non-dropping-particle":"","parse-names":false,"suffix":""},{"dropping-particle":"","family":"Gasheka","given":"P","non-dropping-particle":"","parse-names":false,"suffix":""},{"dropping-particle":"","family":"Lie","given":"RT","non-dropping-particle":"","parse-names":false,"suffix":""},{"dropping-particle":"","family":"Havnen","given":"J","non-dropping-particle":"","parse-names":false,"suffix":""},{"dropping-particle":"","family":"Kvale","given":"G","non-dropping-particle":"","parse-names":false,"suffix":""},{"dropping-particle":"de","family":"Savigny","given":"D","non-dropping-particle":"","parse-names":false,"suffix":""},{"dropping-particle":"","family":"Mayombana","given":"C","non-dropping-particle":"","parse-names":false,"suffix":""},{"dropping-particle":"","family":"Mwageni","given":"E","non-dropping-particle":"","parse-names":false,"suffix":""},{"dropping-particle":"","family":"Masanja","given":"H","non-dropping-particle":"","parse-names":false,"suffix":""},{"dropping-particle":"","family":"Minhaj","given":"A","non-dropping-particle":"","parse-names":false,"suffix":""},{"dropping-particle":"","family":"Mkilindi","given":"Y","non-dropping-particle":"","parse-names":false,"suffix":""},{"dropping-particle":"","family":"Mbuya","given":"C","non-dropping-particle":"","parse-names":false,"suffix":""},{"dropping-particle":"","family":"Kasale","given":"H","non-dropping-particle":"","parse-names":false,"suffix":""},{"dropping-particle":"","family":"Reid","given":"G","non-dropping-particle":"","parse-names":false,"suffix":""},{"dropping-particle":"","family":"Beiersmann","given":"C","non-dropping-particle":"","parse-names":false,"suffix":""},{"dropping-particle":"","family":"Sanou","given":"A","non-dropping-particle":"","parse-names":false,"suffix":""},{"dropping-particle":"","family":"Wladarsch","given":"E","non-dropping-particle":"","parse-names":false,"suffix":""},{"dropping-particle":"De","family":"Allegri","given":"M","non-dropping-particle":"","parse-names":false,"suffix":""},{"dropping-particle":"","family":"Kouyaté","given":"B","non-dropping-particle":"","parse-names":false,"suffix":""},{"dropping-particle":"","family":"Müller","given":"O","non-dropping-particle":"","parse-names":false,"suffix":""},{"dropping-particle":"de","family":"Bocaletti","given":"E","non-dropping-particle":"","parse-names":false,"suffix":""},{"dropping-particle":"","family":"Schumacher","given":"R","non-dropping-particle":"","parse-names":false,"suffix":""},{"dropping-particle":"","family":"Hurtado","given":"E","non-dropping-particle":"","parse-names":false,"suffix":""},{"dropping-particle":"","family":"Bailey","given":"P","non-dropping-particle":"","parse-names":false,"suffix":""},{"dropping-particle":"","family":"Matute","given":"J","non-dropping-particle":"","parse-names":false,"suffix":""},{"dropping-particle":"","family":"McDermott","given":"J","non-dropping-particle":"","parse-names":false,"suffix":""},{"dropping-particle":"","family":"Moore","given":"J","non-dropping-particle":"","parse-names":false,"suffix":""},{"dropping-particle":"","family":"Kalter","given":"HD","non-dropping-particle":"","parse-names":false,"suffix":""},{"dropping-particle":"","family":"Salgado","given":"R","non-dropping-particle":"","parse-names":false,"suffix":""},{"dropping-particle":"de","family":"Souza","given":"AC Terra","non-dropping-particle":"","parse-names":false,"suffix":""},{"dropping-particle":"","family":"Peterson","given":"KE","non-dropping-particle":"","parse-names":false,"suffix":""},{"dropping-particle":"","family":"Andrade","given":"FMO","non-dropping-particle":"","parse-names":false,"suffix":""},{"dropping-particle":"","family":"Gardner","given":"J","non-dropping-particle":"","parse-names":false,"suffix":""},{"dropping-particle":"","family":"Ascherio","given":"A","non-dropping-particle":"","parse-names":false,"suffix":""},{"dropping-particle":"","family":"Bandari","given":"N","non-dropping-particle":"","parse-names":false,"suffix":""},{"dropping-particle":"","family":"Bahl","given":"R","non-dropping-particle":"","parse-names":false,"suffix":""},{"dropping-particle":"","family":"Taneja","given":"S","non-dropping-particle":"","parse-names":false,"suffix":""},{"dropping-particle":"","family":"Martines","given":"J","non-dropping-particle":"","parse-names":false,"suffix":""},{"dropping-particle":"","family":"Bhan","given":"M","non-dropping-particle":"","parse-names":false,"suffix":""},{"dropping-particle":"","family":"Bojalil","given":"R","non-dropping-particle":"","parse-names":false,"suffix":""},{"dropping-particle":"","family":"Kirkwood","given":"BR","non-dropping-particle":"","parse-names":false,"suffix":""},{"dropping-particle":"","family":"Bobak","given":"M","non-dropping-particle":"","parse-names":false,"suffix":""},{"dropping-particle":"","family":"Guiscafre","given":"H","non-dropping-particle":"","parse-names":false,"suffix":""},{"dropping-particle":"","family":"Waiswa","given":"P","non-dropping-particle":"","parse-names":false,"suffix":""},{"dropping-particle":"","family":"Källander","given":"K","non-dropping-particle":"","parse-names":false,"suffix":""},{"dropping-particle":"","family":"Peterson","given":"S","non-dropping-particle":"","parse-names":false,"suffix":""},{"dropping-particle":"","family":"Tomson","given":"G","non-dropping-particle":"","parse-names":false,"suffix":""},{"dropping-particle":"","family":"Pariyo","given":"GW","non-dropping-particle":"","parse-names":false,"suffix":""},{"dropping-particle":"","family":"Kalter","given":"HD","non-dropping-particle":"","parse-names":false,"suffix":""},{"dropping-particle":"","family":"Salgado","given":"R","non-dropping-particle":"","parse-names":false,"suffix":""},{"dropping-particle":"","family":"Gittelsohn","given":"J","non-dropping-particle":"","parse-names":false,"suffix":""},{"dropping-particle":"","family":"Parades","given":"P","non-dropping-particle":"","parse-names":false,"suffix":""},{"dropping-particle":"","family":"Lawn","given":"JE","non-dropping-particle":"","parse-names":false,"suffix":""},{"dropping-particle":"","family":"Cousens","given":"S","non-dropping-particle":"","parse-names":false,"suffix":""},{"dropping-particle":"","family":"Zupan","given":"J","non-dropping-particle":"","parse-names":false,"suffix":""},{"dropping-particle":"","family":"Boschi-Pinto","given":"C","non-dropping-particle":"","parse-names":false,"suffix":""},{"dropping-particle":"","family":"Young","given":"M","non-dropping-particle":"","parse-names":false,"suffix":""},{"dropping-particle":"","family":"Black","given":"RE","non-dropping-particle":"","parse-names":false,"suffix":""},{"dropping-particle":"","family":"Fisher","given":"AA","non-dropping-particle":"","parse-names":false,"suffix":""},{"dropping-particle":"","family":"Way","given":"AA","non-dropping-particle":"","parse-names":false,"suffix":""},{"dropping-particle":"","family":"Suleiman","given":"AB","non-dropping-particle":"","parse-names":false,"suffix":""},{"dropping-particle":"","family":"Mathews","given":"A","non-dropping-particle":"","parse-names":false,"suffix":""},{"dropping-particle":"","family":"Jegasothy","given":"R","non-dropping-particle":"","parse-names":false,"suffix":""},{"dropping-particle":"","family":"Ali","given":"R","non-dropping-particle":"","parse-names":false,"suffix":""},{"dropping-particle":"","family":"Kandiah","given":"N","non-dropping-particle":"","parse-names":false,"suffix":""},{"dropping-particle":"","family":"Bartlett","given":"LA","non-dropping-particle":"","parse-names":false,"suffix":""},{"dropping-particle":"","family":"Mawji","given":"S","non-dropping-particle":"","parse-names":false,"suffix":""},{"dropping-particle":"","family":"Whitehead","given":"S","non-dropping-particle":"","parse-names":false,"suffix":""},{"dropping-particle":"","family":"Crouse","given":"C","non-dropping-particle":"","parse-names":false,"suffix":""},{"dropping-particle":"","family":"Dalil","given":"S","non-dropping-particle":"","parse-names":false,"suffix":""},{"dropping-particle":"","family":"Lonete","given":"D","non-dropping-particle":"","parse-names":false,"suffix":""},{"dropping-particle":"","family":"Salama","given":"P","non-dropping-particle":"","parse-names":false,"suffix":""},{"dropping-particle":"","family":"Campbell","given":"O","non-dropping-particle":"","parse-names":false,"suffix":""},{"dropping-particle":"","family":"Gipson","given":"R","non-dropping-particle":"","parse-names":false,"suffix":""},{"dropping-particle":"","family":"Issa","given":"AH","non-dropping-particle":"","parse-names":false,"suffix":""},{"dropping-particle":"","family":"Matta","given":"N","non-dropping-particle":"","parse-names":false,"suffix":""},{"dropping-particle":"El","family":"Deeb","given":"B","non-dropping-particle":"","parse-names":false,"suffix":""},{"dropping-particle":"El","family":"Mohandes","given":"A","non-dropping-particle":"","parse-names":false,"suffix":""},{"dropping-particle":"","family":"Alwen","given":"A","non-dropping-particle":"","parse-names":false,"suffix":""},{"dropping-particle":"","family":"Mansour","given":"E","non-dropping-particle":"","parse-names":false,"suffix":""},{"dropping-particle":"","family":"Castro","given":"R","non-dropping-particle":"","parse-names":false,"suffix":""},{"dropping-particle":"","family":"Campero","given":"L","non-dropping-particle":"","parse-names":false,"suffix":""},{"dropping-particle":"","family":"Hernández","given":"B","non-dropping-particle":"","parse-names":false,"suffix":""},{"dropping-particle":"","family":"Langer","given":"A","non-dropping-particle":"","parse-names":false,"suffix":""},{"dropping-particle":"","family":"Jafarey","given":"SN","non-dropping-particle":"","parse-names":false,"suffix":""},{"dropping-particle":"","family":"Rizvi","given":"T","non-dropping-particle":"","parse-names":false,"suffix":""},{"dropping-particle":"","family":"Koblinsky","given":"M","non-dropping-particle":"","parse-names":false,"suffix":""},{"dropping-particle":"","family":"Kureshy","given":"N","non-dropping-particle":"","parse-names":false,"suffix":""},{"dropping-particle":"","family":"Supratikto","given":"G","non-dropping-particle":"","parse-names":false,"suffix":""},{"dropping-particle":"","family":"Wirth","given":"ME","non-dropping-particle":"","parse-names":false,"suffix":""},{"dropping-particle":"","family":"Achadi","given":"E","non-dropping-particle":"","parse-names":false,"suffix":""},{"dropping-particle":"","family":"Cohen","given":"S","non-dropping-particle":"","parse-names":false,"suffix":""},{"dropping-particle":"","family":"Ronsmans","given":"C","non-dropping-particle":"","parse-names":false,"suffix":""},{"dropping-particle":"","family":"Fawcus","given":"S","non-dropping-particle":"","parse-names":false,"suffix":""},{"dropping-particle":"","family":"Mbizvo","given":"M","non-dropping-particle":"","parse-names":false,"suffix":""},{"dropping-particle":"","family":"Lindmark","given":"G","non-dropping-particle":"","parse-names":false,"suffix":""},{"dropping-particle":"","family":"Nystrőm","given":"L","non-dropping-particle":"","parse-names":false,"suffix":""},{"dropping-particle":"","family":"D'Ambruoso","given":"L","non-dropping-particle":"","parse-names":false,"suffix":""},{"dropping-particle":"","family":"Byass","given":"P","non-dropping-particle":"","parse-names":false,"suffix":""},{"dropping-particle":"","family":"Qomariyah","given":"N","non-dropping-particle":"","parse-names":false,"suffix":""},{"dropping-particle":"","family":"Quedraogo","given":"M","non-dropping-particle":"","parse-names":false,"suffix":""},{"dropping-particle":"","family":"Manandhar","given":"DS","non-dropping-particle":"","parse-names":false,"suffix":""},{"dropping-particle":"","family":"Osrin","given":"D","non-dropping-particle":"","parse-names":false,"suffix":""},{"dropping-particle":"","family":"Shrestha","given":"BP","non-dropping-particle":"","parse-names":false,"suffix":""},{"dropping-particle":"","family":"Mesko","given":"N","non-dropping-particle":"","parse-names":false,"suffix":""},{"dropping-particle":"","family":"Morrison","given":"J","non-dropping-particle":"","parse-names":false,"suffix":""},{"dropping-particle":"","family":"Tumbahangphe","given":"KM","non-dropping-particle":"","parse-names":false,"suffix":""},{"dropping-particle":"","family":"Tamang","given":"S","non-dropping-particle":"","parse-names":false,"suffix":""},{"dropping-particle":"","family":"Thapa","given":"S","non-dropping-particle":"","parse-names":false,"suffix":""},{"dropping-particle":"","family":"Shrestha","given":"D","non-dropping-particle":"","parse-names":false,"suffix":""},{"dropping-particle":"","family":"Thapa","given":"B","non-dropping-particle":"","parse-names":false,"suffix":""},{"dropping-particle":"","family":"Shrestha","given":"JR","non-dropping-particle":"","parse-names":false,"suffix":""},{"dropping-particle":"","family":"Wade","given":"A","non-dropping-particle":"","parse-names":false,"suffix":""},{"dropping-particle":"","family":"Borghi","given":"J","non-dropping-particle":"","parse-names":false,"suffix":""},{"dropping-particle":"","family":"Standing","given":"H","non-dropping-particle":"","parse-names":false,"suffix":""},{"dropping-particle":"","family":"Manandhar","given":"M","non-dropping-particle":"","parse-names":false,"suffix":""},{"dropping-particle":"","family":"Costello","given":"AM","non-dropping-particle":"","parse-names":false,"suffix":""},{"dropping-particle":"","family":"de","given":"L","non-dropping-particle":"","parse-names":false,"suffix":""},{"dropping-particle":"","family":"Patel","given":"Z","non-dropping-particle":"","parse-names":false,"suffix":""},{"dropping-particle":"","family":"Kumar","given":"V","non-dropping-particle":"","parse-names":false,"suffix":""},{"dropping-particle":"","family":"Singh","given":"P","non-dropping-particle":"","parse-names":false,"suffix":""},{"dropping-particle":"","family":"Singh","given":"V","non-dropping-particle":"","parse-names":false,"suffix":""},{"dropping-particle":"","family":"Yadav","given":"R","non-dropping-particle":"","parse-names":false,"suffix":""},{"dropping-particle":"","family":"Baqui","given":"AH","non-dropping-particle":"","parse-names":false,"suffix":""},{"dropping-particle":"","family":"Santosham","given":"M","non-dropping-particle":"","parse-names":false,"suffix":""},{"dropping-particle":"","family":"Awasthi","given":"S","non-dropping-particle":"","parse-names":false,"suffix":""},{"dropping-particle":"","family":"Singh","given":"JV","non-dropping-particle":"","parse-names":false,"suffix":""},{"dropping-particle":"","family":"Darmstadt","given":"GL","non-dropping-particle":"","parse-names":false,"suffix":""},{"dropping-particle":"","family":"Campbell","given":"O","non-dropping-particle":"","parse-names":false,"suffix":""},{"dropping-particle":"","family":"Ronsmans","given":"C","non-dropping-particle":"","parse-names":false,"suffix":""}],"container-title":"Social Science &amp; Medicine","id":"ITEM-1","issue":"8","issued":{"date-parts":[["1994","4"]]},"page":"1091-1110","publisher":"BioMed Central","title":"Too far to walk: Maternal mortality in context","type":"article-journal","volume":"38"},"uris":["http://www.mendeley.com/documents/?uuid=9888bbd5-73d0-37ed-b187-3993d83401f0"]},{"id":"ITEM-2","itemData":{"container-title":"WHO","id":"ITEM-2","issued":{"date-parts":[["2012"]]},"publisher":"World Health Organization","title":"WHO | Increased use of social autopsy is needed to improve maternal, neonatal and child health programmes in low-income countries","type":"article-journal"},"uris":["http://www.mendeley.com/documents/?uuid=7075adda-15af-37eb-86af-e59e1d49850e"]},{"id":"ITEM-3","itemData":{"DOI":"10.1186/1478-7954-9-44","ISSN":"1478-7954","abstract":"Effective implementation of child survival interventions depends on improved understanding of cultural, social, and health system factors affecting utilization of health care. Never the less, no standardized instrument exists for collecting and interpreting information on how to avert death and improve the implementation of child survival interventions. To describe the methodology, development, and first results of a standard social autopsy tool for the collection of information to understand common barriers to health care, risky behaviors, and missed opportunities for health intervention in deceased children under 5 years old. Under the INDEPTH Network, a social autopsy working group was formed to reach consensus around a standard social autopsy tool for neonatal and child death. The details around 434 child deaths in Iganga/Mayuge Health and Demographic Surveillance Site (HDSS) in Uganda and 40 child deaths in Dodowa HDSS in Ghana were investigated over 12 to 18 months. Interviews with the caretakers of these children elicited information on what happened before death, including signs and symptoms, contact with health services, details on treatments, and details of doctors. These social autopsies were used to assess the contributions of delays in care seeking and case management to the childhood deaths. At least one severe symptom had been recognized prior to death in 96% of the children in Iganga/Mayuge HDSS and in 70% in Dodowa HDSS, yet 32% and 80% of children were first treated at home, respectively. Twenty percent of children in Iganga/Mayuge HDSS and 13% of children in Dodowa HDSS were never taken for care outside the home. In both countries most went to private providers. In Iganga/Mayuge HDSS the main delays were caused by inadequate case management by the health provider, while in Dodowa HDSS the main delays were in the home. While delay at home was a main obstacle to prompt and appropriate treatment in Dodowa HDSS, there were severe challenges to prompt and adequate case management in the health system in both study sites in Ghana and Uganda. Meanwhile, caretaker awareness of danger signs needs to improve in both countries to promote early care seeking and to reduce the number of children needing referral. Social autopsy methods can improve this understanding, which can assist health planners to prioritize scarce resources appropriately.","author":[{"dropping-particle":"","family":"Källander","given":"Karin","non-dropping-particle":"","parse-names":false,"suffix":""},{"dropping-particle":"","family":"Kadobera","given":"Daniel","non-dropping-particle":"","parse-names":false,"suffix":""},{"dropping-particle":"","family":"Williams","given":"Thomas N","non-dropping-particle":"","parse-names":false,"suffix":""},{"dropping-particle":"","family":"Nielsen","given":"Rikke Thoft","non-dropping-particle":"","parse-names":false,"suffix":""},{"dropping-particle":"","family":"Yevoo","given":"Lucy","non-dropping-particle":"","parse-names":false,"suffix":""},{"dropping-particle":"","family":"Mutebi","given":"Aloysius","non-dropping-particle":"","parse-names":false,"suffix":""},{"dropping-particle":"","family":"Akpakli","given":"Jonas","non-dropping-particle":"","parse-names":false,"suffix":""},{"dropping-particle":"","family":"Narh","given":"Clement","non-dropping-particle":"","parse-names":false,"suffix":""},{"dropping-particle":"","family":"Gyapong","given":"Margaret","non-dropping-particle":"","parse-names":false,"suffix":""},{"dropping-particle":"","family":"Amu","given":"Alberta","non-dropping-particle":"","parse-names":false,"suffix":""},{"dropping-particle":"","family":"Waiswa","given":"Peter","non-dropping-particle":"","parse-names":false,"suffix":""},{"dropping-particle":"","family":"Black","given":"RE","non-dropping-particle":"","parse-names":false,"suffix":""},{"dropping-particle":"","family":"Cousens","given":"S","non-dropping-particle":"","parse-names":false,"suffix":""},{"dropping-particle":"","family":"Johnson","given":"HL","non-dropping-particle":"","parse-names":false,"suffix":""},{"dropping-particle":"","family":"Lawn","given":"JE","non-dropping-particle":"","parse-names":false,"suffix":""},{"dropping-particle":"","family":"Rudan","given":"I","non-dropping-particle":"","parse-names":false,"suffix":""},{"dropping-particle":"","family":"Bassani","given":"DG","non-dropping-particle":"","parse-names":false,"suffix":""},{"dropping-particle":"","family":"Jha","given":"P","non-dropping-particle":"","parse-names":false,"suffix":""},{"dropping-particle":"","family":"Campbell","given":"H","non-dropping-particle":"","parse-names":false,"suffix":""},{"dropping-particle":"","family":"Walker","given":"CF","non-dropping-particle":"","parse-names":false,"suffix":""},{"dropping-particle":"","family":"Cibulskis","given":"R","non-dropping-particle":"","parse-names":false,"suffix":""},{"dropping-particle":"","family":"Murray","given":"CJ","non-dropping-particle":"","parse-names":false,"suffix":""},{"dropping-particle":"","family":"Lopez","given":"AD","non-dropping-particle":"","parse-names":false,"suffix":""},{"dropping-particle":"","family":"Feehan","given":"DM","non-dropping-particle":"","parse-names":false,"suffix":""},{"dropping-particle":"","family":"Peter","given":"ST","non-dropping-particle":"","parse-names":false,"suffix":""},{"dropping-particle":"","family":"Yang","given":"G","non-dropping-particle":"","parse-names":false,"suffix":""},{"dropping-particle":"","family":"Setel","given":"PW","non-dropping-particle":"","parse-names":false,"suffix":""},{"dropping-particle":"","family":"Macfarlane","given":"SB","non-dropping-particle":"","parse-names":false,"suffix":""},{"dropping-particle":"","family":"Szreter","given":"S","non-dropping-particle":"","parse-names":false,"suffix":""},{"dropping-particle":"","family":"Mikkelsen","given":"L","non-dropping-particle":"","parse-names":false,"suffix":""},{"dropping-particle":"","family":"Jha","given":"P","non-dropping-particle":"","parse-names":false,"suffix":""},{"dropping-particle":"","family":"Stout","given":"S","non-dropping-particle":"","parse-names":false,"suffix":""},{"dropping-particle":"","family":"AbouZahr","given":"C","non-dropping-particle":"","parse-names":false,"suffix":""},{"dropping-particle":"","family":"Baiden","given":"F","non-dropping-particle":"","parse-names":false,"suffix":""},{"dropping-particle":"","family":"Bawah","given":"A","non-dropping-particle":"","parse-names":false,"suffix":""},{"dropping-particle":"","family":"Biai","given":"S","non-dropping-particle":"","parse-names":false,"suffix":""},{"dropping-particle":"","family":"Binka","given":"F","non-dropping-particle":"","parse-names":false,"suffix":""},{"dropping-particle":"","family":"Boerma","given":"T","non-dropping-particle":"","parse-names":false,"suffix":""},{"dropping-particle":"","family":"Byass","given":"P","non-dropping-particle":"","parse-names":false,"suffix":""},{"dropping-particle":"","family":"Chandramohan","given":"D","non-dropping-particle":"","parse-names":false,"suffix":""},{"dropping-particle":"","family":"Chatterji","given":"S","non-dropping-particle":"","parse-names":false,"suffix":""},{"dropping-particle":"","family":"Engmann","given":"C","non-dropping-particle":"","parse-names":false,"suffix":""},{"dropping-particle":"","family":"Greet","given":"D","non-dropping-particle":"","parse-names":false,"suffix":""},{"dropping-particle":"","family":"Soleman","given":"N","non-dropping-particle":"","parse-names":false,"suffix":""},{"dropping-particle":"","family":"Chandramohan","given":"D","non-dropping-particle":"","parse-names":false,"suffix":""},{"dropping-particle":"","family":"Shibuya","given":"K","non-dropping-particle":"","parse-names":false,"suffix":""},{"dropping-particle":"de","family":"Souza","given":"AC Terra","non-dropping-particle":"","parse-names":false,"suffix":""},{"dropping-particle":"","family":"Peterson","given":"KE","non-dropping-particle":"","parse-names":false,"suffix":""},{"dropping-particle":"","family":"Andrade","given":"FM","non-dropping-particle":"","parse-names":false,"suffix":""},{"dropping-particle":"","family":"Gardner","given":"J","non-dropping-particle":"","parse-names":false,"suffix":""},{"dropping-particle":"","family":"Ascherio","given":"A","non-dropping-particle":"","parse-names":false,"suffix":""},{"dropping-particle":"de","family":"Zoysa","given":"I","non-dropping-particle":"","parse-names":false,"suffix":""},{"dropping-particle":"","family":"Bhandari","given":"N","non-dropping-particle":"","parse-names":false,"suffix":""},{"dropping-particle":"","family":"Akhtari","given":"N","non-dropping-particle":"","parse-names":false,"suffix":""},{"dropping-particle":"","family":"Bhan","given":"MK","non-dropping-particle":"","parse-names":false,"suffix":""},{"dropping-particle":"","family":"Bojalil","given":"R","non-dropping-particle":"","parse-names":false,"suffix":""},{"dropping-particle":"","family":"Kirkwood","given":"BR","non-dropping-particle":"","parse-names":false,"suffix":""},{"dropping-particle":"","family":"Bobak","given":"M","non-dropping-particle":"","parse-names":false,"suffix":""},{"dropping-particle":"","family":"Guiscafre","given":"H","non-dropping-particle":"","parse-names":false,"suffix":""},{"dropping-particle":"","family":"Waiswa","given":"P","non-dropping-particle":"","parse-names":false,"suffix":""},{"dropping-particle":"","family":"Kallander","given":"K","non-dropping-particle":"","parse-names":false,"suffix":""},{"dropping-particle":"","family":"Peterson","given":"S","non-dropping-particle":"","parse-names":false,"suffix":""},{"dropping-particle":"","family":"Tomson","given":"G","non-dropping-particle":"","parse-names":false,"suffix":""},{"dropping-particle":"","family":"Pariyo","given":"GW","non-dropping-particle":"","parse-names":false,"suffix":""},{"dropping-particle":"","family":"Sodemann","given":"M","non-dropping-particle":"","parse-names":false,"suffix":""},{"dropping-particle":"","family":"Jakobsen","given":"MS","non-dropping-particle":"","parse-names":false,"suffix":""},{"dropping-particle":"","family":"Molbak","given":"K","non-dropping-particle":"","parse-names":false,"suffix":""},{"dropping-particle":"","family":"Alvarenga","given":"IC","non-dropping-particle":"","parse-names":false,"suffix":""},{"dropping-particle":"","family":"Aaby","given":"P","non-dropping-particle":"","parse-names":false,"suffix":""},{"dropping-particle":"","family":"Sutrisna","given":"B","non-dropping-particle":"","parse-names":false,"suffix":""},{"dropping-particle":"","family":"Reingold","given":"A","non-dropping-particle":"","parse-names":false,"suffix":""},{"dropping-particle":"","family":"Kresno","given":"S","non-dropping-particle":"","parse-names":false,"suffix":""},{"dropping-particle":"","family":"Harrison","given":"G","non-dropping-particle":"","parse-names":false,"suffix":""},{"dropping-particle":"","family":"Utomo","given":"B","non-dropping-particle":"","parse-names":false,"suffix":""},{"dropping-particle":"","family":"Reyes","given":"H","non-dropping-particle":"","parse-names":false,"suffix":""},{"dropping-particle":"","family":"Perez-Cuevas","given":"R","non-dropping-particle":"","parse-names":false,"suffix":""},{"dropping-particle":"","family":"Salmeron","given":"J","non-dropping-particle":"","parse-names":false,"suffix":""},{"dropping-particle":"","family":"Tome","given":"P","non-dropping-particle":"","parse-names":false,"suffix":""},{"dropping-particle":"","family":"Guiscafre","given":"H","non-dropping-particle":"","parse-names":false,"suffix":""},{"dropping-particle":"","family":"Gutierrez","given":"G","non-dropping-particle":"","parse-names":false,"suffix":""},{"dropping-particle":"","family":"Durrheim","given":"DN","non-dropping-particle":"","parse-names":false,"suffix":""},{"dropping-particle":"","family":"Frieremans","given":"S","non-dropping-particle":"","parse-names":false,"suffix":""},{"dropping-particle":"","family":"Kruger","given":"P","non-dropping-particle":"","parse-names":false,"suffix":""},{"dropping-particle":"","family":"Mabuza","given":"A","non-dropping-particle":"","parse-names":false,"suffix":""},{"dropping-particle":"de","family":"Bruyn","given":"JC","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de","family":"Savigny","given":"D","non-dropping-particle":"","parse-names":false,"suffix":""},{"dropping-particle":"","family":"Mayombana","given":"C","non-dropping-particle":"","parse-names":false,"suffix":""},{"dropping-particle":"","family":"Mwageni","given":"E","non-dropping-particle":"","parse-names":false,"suffix":""},{"dropping-particle":"","family":"Masanja","given":"H","non-dropping-particle":"","parse-names":false,"suffix":""},{"dropping-particle":"","family":"Minhaj","given":"A","non-dropping-particle":"","parse-names":false,"suffix":""},{"dropping-particle":"","family":"Mkilindi","given":"Y","non-dropping-particle":"","parse-names":false,"suffix":""},{"dropping-particle":"","family":"Mbuya","given":"C","non-dropping-particle":"","parse-names":false,"suffix":""},{"dropping-particle":"","family":"Kasale","given":"H","non-dropping-particle":"","parse-names":false,"suffix":""},{"dropping-particle":"","family":"Reid","given":"G","non-dropping-particle":"","parse-names":false,"suffix":""},{"dropping-particle":"","family":"Kallander","given":"K","non-dropping-particle":"","parse-names":false,"suffix":""},{"dropping-particle":"","family":"Hildenwall","given":"H","non-dropping-particle":"","parse-names":false,"suffix":""},{"dropping-particle":"","family":"Waiswa","given":"P","non-dropping-particle":"","parse-names":false,"suffix":""},{"dropping-particle":"","family":"Galiwango","given":"E","non-dropping-particle":"","parse-names":false,"suffix":""},{"dropping-particle":"","family":"Peterson","given":"S","non-dropping-particle":"","parse-names":false,"suffix":""},{"dropping-particle":"","family":"Pariyo","given":"G","non-dropping-particle":"","parse-names":false,"suffix":""},{"dropping-particle":"","family":"Aguilar","given":"AMAR","non-dropping-particle":"","parse-names":false,"suffix":""},{"dropping-particle":"","family":"Cordero","given":"D","non-dropping-particle":"","parse-names":false,"suffix":""},{"dropping-particle":"","family":"Kelly","given":"P","non-dropping-particle":"","parse-names":false,"suffix":""},{"dropping-particle":"","family":"Zamora","given":"D","non-dropping-particle":"","parse-names":false,"suffix":""},{"dropping-particle":"","family":"Salgado","given":"R","non-dropping-particle":"","parse-names":false,"suffix":""},{"dropping-particle":"","family":"Kalter","given":"HD","non-dropping-particle":"","parse-names":false,"suffix":""},{"dropping-particle":"","family":"Salgado","given":"R","non-dropping-particle":"","parse-names":false,"suffix":""},{"dropping-particle":"","family":"Gittelsohn","given":"J","non-dropping-particle":"","parse-names":false,"suffix":""},{"dropping-particle":"","family":"Parades","given":"P","non-dropping-particle":"","parse-names":false,"suffix":""},{"dropping-particle":"","family":"Waldman","given":"R","non-dropping-particle":"","parse-names":false,"suffix":""},{"dropping-particle":"","family":"Bartlett","given":"A","non-dropping-particle":"","parse-names":false,"suffix":""},{"dropping-particle":"","family":"Campbell","given":"C","non-dropping-particle":"","parse-names":false,"suffix":""},{"dropping-particle":"","family":"Steketee","given":"R","non-dropping-particle":"","parse-names":false,"suffix":""},{"dropping-particle":"","family":"Gove","given":"S","non-dropping-particle":"","parse-names":false,"suffix":""},{"dropping-particle":"","family":"Thaddeus","given":"S","non-dropping-particle":"","parse-names":false,"suffix":""},{"dropping-particle":"","family":"Maine","given":"D","non-dropping-particle":"","parse-names":false,"suffix":""},{"dropping-particle":"","family":"Bazzano","given":"AN","non-dropping-particle":"","parse-names":false,"suffix":""},{"dropping-particle":"","family":"Kirkwood","given":"BR","non-dropping-particle":"","parse-names":false,"suffix":""},{"dropping-particle":"","family":"Tawiah-Agyemang","given":"C","non-dropping-particle":"","parse-names":false,"suffix":""},{"dropping-particle":"","family":"Owusu-Agyei","given":"S","non-dropping-particle":"","parse-names":false,"suffix":""},{"dropping-particle":"","family":"Adongo","given":"PB","non-dropping-particle":"","parse-names":false,"suffix":""},{"dropping-particle":"","family":"Rutebemberwa","given":"E","non-dropping-particle":"","parse-names":false,"suffix":""},{"dropping-particle":"","family":"Kallander","given":"K","non-dropping-particle":"","parse-names":false,"suffix":""},{"dropping-particle":"","family":"Tomson","given":"G","non-dropping-particle":"","parse-names":false,"suffix":""},{"dropping-particle":"","family":"Peterson","given":"S","non-dropping-particle":"","parse-names":false,"suffix":""},{"dropping-particle":"","family":"Pariyo","given":"G","non-dropping-particle":"","parse-names":false,"suffix":""},{"dropping-particle":"","family":"Rutebemberwa","given":"E","non-dropping-particle":"","parse-names":false,"suffix":""},{"dropping-particle":"","family":"Nsabagasani","given":"X","non-dropping-particle":"","parse-names":false,"suffix":""},{"dropping-particle":"","family":"Pariyo","given":"G","non-dropping-particle":"","parse-names":false,"suffix":""},{"dropping-particle":"","family":"Tomson","given":"G","non-dropping-particle":"","parse-names":false,"suffix":""},{"dropping-particle":"","family":"Peterson","given":"S","non-dropping-particle":"","parse-names":false,"suffix":""},{"dropping-particle":"","family":"Kallander","given":"K","non-dropping-particle":"","parse-names":false,"suffix":""},{"dropping-particle":"","family":"Peterson","given":"S","non-dropping-particle":"","parse-names":false,"suffix":""},{"dropping-particle":"","family":"Nsungwa-Sabiiti","given":"J","non-dropping-particle":"","parse-names":false,"suffix":""},{"dropping-particle":"","family":"Were","given":"W","non-dropping-particle":"","parse-names":false,"suffix":""},{"dropping-particle":"","family":"Nsabagasani","given":"X","non-dropping-particle":"","parse-names":false,"suffix":""},{"dropping-particle":"","family":"Magumba","given":"G","non-dropping-particle":"","parse-names":false,"suffix":""},{"dropping-particle":"","family":"Nambooze","given":"J","non-dropping-particle":"","parse-names":false,"suffix":""},{"dropping-particle":"","family":"Mukasa","given":"G","non-dropping-particle":"","parse-names":false,"suffix":""},{"dropping-particle":"","family":"Nsungwa-Sabiiti","given":"J","non-dropping-particle":"","parse-names":false,"suffix":""},{"dropping-particle":"","family":"Kallander","given":"K","non-dropping-particle":"","parse-names":false,"suffix":""},{"dropping-particle":"","family":"Nsabagasani","given":"X","non-dropping-particle":"","parse-names":false,"suffix":""},{"dropping-particle":"","family":"Namusisi","given":"K","non-dropping-particle":"","parse-names":false,"suffix":""},{"dropping-particle":"","family":"Pariyo","given":"G","non-dropping-particle":"","parse-names":false,"suffix":""},{"dropping-particle":"","family":"Johansson","given":"A","non-dropping-particle":"","parse-names":false,"suffix":""},{"dropping-particle":"","family":"Tomson","given":"G","non-dropping-particle":"","parse-names":false,"suffix":""},{"dropping-particle":"","family":"Peterson","given":"S","non-dropping-particle":"","parse-names":false,"suffix":""},{"dropping-particle":"","family":"Tanner","given":"M","non-dropping-particle":"","parse-names":false,"suffix":""},{"dropping-particle":"","family":"Vlassoff","given":"C","non-dropping-particle":"","parse-names":false,"suffix":""},{"dropping-particle":"","family":"Comoro","given":"C","non-dropping-particle":"","parse-names":false,"suffix":""},{"dropping-particle":"","family":"Nsimba","given":"SE","non-dropping-particle":"","parse-names":false,"suffix":""},{"dropping-particle":"","family":"Warsame","given":"M","non-dropping-particle":"","parse-names":false,"suffix":""},{"dropping-particle":"","family":"Tomson","given":"G","non-dropping-particle":"","parse-names":false,"suffix":""},{"dropping-particle":"","family":"Nolan","given":"T","non-dropping-particle":"","parse-names":false,"suffix":""},{"dropping-particle":"","family":"Angos","given":"P","non-dropping-particle":"","parse-names":false,"suffix":""},{"dropping-particle":"","family":"Cunha","given":"AJ","non-dropping-particle":"","parse-names":false,"suffix":""},{"dropping-particle":"","family":"Muhe","given":"L","non-dropping-particle":"","parse-names":false,"suffix":""},{"dropping-particle":"","family":"Qazi","given":"S","non-dropping-particle":"","parse-names":false,"suffix":""},{"dropping-particle":"","family":"Simoes","given":"EA","non-dropping-particle":"","parse-names":false,"suffix":""},{"dropping-particle":"","family":"Tamburlini","given":"G","non-dropping-particle":"","parse-names":false,"suffix":""},{"dropping-particle":"","family":"Weber","given":"M","non-dropping-particle":"","parse-names":false,"suffix":""},{"dropping-particle":"","family":"Pierce","given":"NF","non-dropping-particle":"","parse-names":false,"suffix":""},{"dropping-particle":"","family":"Issah","given":"K","non-dropping-particle":"","parse-names":false,"suffix":""},{"dropping-particle":"","family":"Nang-Beifubah","given":"A","non-dropping-particle":"","parse-names":false,"suffix":""},{"dropping-particle":"","family":"Opoku","given":"CF","non-dropping-particle":"","parse-names":false,"suffix":""},{"dropping-particle":"","family":"Byass","given":"P","non-dropping-particle":"","parse-names":false,"suffix":""},{"dropping-particle":"","family":"Fottrell","given":"E","non-dropping-particle":"","parse-names":false,"suffix":""},{"dropping-particle":"","family":"Dao","given":"LH","non-dropping-particle":"","parse-names":false,"suffix":""},{"dropping-particle":"","family":"Berhane","given":"Y","non-dropping-particle":"","parse-names":false,"suffix":""},{"dropping-particle":"","family":"Corrah","given":"T","non-dropping-particle":"","parse-names":false,"suffix":""},{"dropping-particle":"","family":"Kahn","given":"K","non-dropping-particle":"","parse-names":false,"suffix":""},{"dropping-particle":"","family":"Muhe","given":"L","non-dropping-particle":"","parse-names":false,"suffix":""},{"dropping-particle":"","family":"Do","given":"DV","non-dropping-particle":"","parse-names":false,"suffix":""},{"dropping-particle":"","family":"Kroeger","given":"A","non-dropping-particle":"","parse-names":false,"suffix":""},{"dropping-particle":"","family":"Linder","given":"FE","non-dropping-particle":"","parse-names":false,"suffix":""}],"container-title":"Population Health Metrics","id":"ITEM-3","issue":"1","issued":{"date-parts":[["2011","12","5"]]},"page":"no pagination","publisher":"BioMed Central","publisher-place":"K. Kallander, Department of Health Policy, Planning and Management, School of Public Health, Makerere University, P.O. Box 7072, Kampala, Uganda. E-mail: k.kallander@malariaconsortium.org","title":"Social autopsy: INDEPTH Network experiences of utility, process, practices, and challenges in investigating causes and contributors to mortality","type":"article-journal","volume":"9"},"uris":["http://www.mendeley.com/documents/?uuid=6f034a5f-0493-4d52-a037-1377852a8637"]}],"mendeley":{"formattedCitation":"(5,8,9)","manualFormatting":"[5,8,9","plainTextFormattedCitation":"(5,8,9)","previouslyFormattedCitation":"(5,8,9)"},"properties":{"noteIndex":0},"schema":"https://github.com/citation-style-language/schema/raw/master/csl-citation.json"}</w:instrText>
      </w:r>
      <w:r w:rsidR="0039245E" w:rsidRPr="00740A30">
        <w:rPr>
          <w:rFonts w:cstheme="minorHAnsi"/>
          <w:lang w:val="en-ZA"/>
        </w:rPr>
        <w:fldChar w:fldCharType="separate"/>
      </w:r>
      <w:r w:rsidR="005D7725">
        <w:rPr>
          <w:rFonts w:cstheme="minorHAnsi"/>
          <w:noProof/>
          <w:lang w:val="en-ZA"/>
        </w:rPr>
        <w:t>[</w:t>
      </w:r>
      <w:r w:rsidR="00303FFB" w:rsidRPr="00303FFB">
        <w:rPr>
          <w:rFonts w:cstheme="minorHAnsi"/>
          <w:noProof/>
          <w:lang w:val="en-ZA"/>
        </w:rPr>
        <w:t>5,8,9</w:t>
      </w:r>
      <w:r w:rsidR="0039245E" w:rsidRPr="00740A30">
        <w:rPr>
          <w:rFonts w:cstheme="minorHAnsi"/>
          <w:lang w:val="en-ZA"/>
        </w:rPr>
        <w:fldChar w:fldCharType="end"/>
      </w:r>
      <w:r w:rsidR="005D7725">
        <w:rPr>
          <w:rFonts w:cstheme="minorHAnsi"/>
          <w:lang w:val="en-ZA"/>
        </w:rPr>
        <w:t>]</w:t>
      </w:r>
      <w:r w:rsidR="00C609A7">
        <w:t xml:space="preserve">. </w:t>
      </w:r>
      <w:r w:rsidR="00A02D27">
        <w:t>D</w:t>
      </w:r>
      <w:r>
        <w:t xml:space="preserve">ifferent </w:t>
      </w:r>
      <w:r w:rsidR="00A02D27">
        <w:t xml:space="preserve">social autopsy </w:t>
      </w:r>
      <w:r>
        <w:t>tools and frameworks for analysis</w:t>
      </w:r>
      <w:r w:rsidR="00A02D27">
        <w:t xml:space="preserve"> have been developed </w:t>
      </w:r>
      <w:r w:rsidR="00C609A7">
        <w:fldChar w:fldCharType="begin" w:fldLock="1"/>
      </w:r>
      <w:r w:rsidR="00CD0705">
        <w:instrText>ADDIN CSL_CITATION {"citationItems":[{"id":"ITEM-1","itemData":{"DOI":"10.1080/16549716.2017.1413917","ISSN":"1654-9880","PMID":"29261449","abstract":"BACKGROUND Social, cultural, and behavioral factors are often potent upstream contributors to maternal, neonatal, and child mortality, especially in low- and middle-income countries (LMICs). Social autopsy is one method of identifying the impact of such factors, yet it is unclear how social autopsy methods are being used in LMICs. OBJECTIVE This study aimed to identify the most common social autopsy instruments, describe overarching findings across populations and geography, and identify gaps in the existing social autopsy literature. METHODS A systematic search of the peer-reviewed literature from 2005 to 2016 was conducted. Studies were included if they were conducted in an LMIC, focused on maternal/neonatal/infant/child health, reported on the results of original research, and explicitly mentioned the use of a social autopsy tool. RESULTS Sixteen articles out of 1950 citations were included, representing research conducted in 11 countries. Five different tools were described, with two primary conceptual frameworks used to guide analysis: Pathway to Survival and Three Delays models. Studies varied in methods for identifying deaths, and recall periods for respondents ranged from 6 weeks to 5+ years. Across studies, recognition of danger signs appeared to be high, while subsequent care-seeking was inconsistent. Cost, distance to facility, and transportation issues were frequently cited barriers to care-seeking, however, additional barriers were reported that varied by location. Gaps in the social autopsy literature include the lack of: harmonized tools and analytical methods that allow for cross-study comparisons, discussion of complexity of decision making for care seeking, qualitative narratives that address inconsistencies in responses, and the explicit inclusion of perspectives from husbands and fathers. CONCLUSION Despite the nascence of the field, research across 11 countries has included social autopsy methods, using a variety of tools, sampling methods, and analytical frameworks to determine how social factors impact maternal, neonatal, and child health outcomes.","author":[{"dropping-particle":"","family":"Moyer","given":"Cheryl A","non-dropping-particle":"","parse-names":false,"suffix":""},{"dropping-particle":"","family":"Johnson","given":"Cassidy","non-dropping-particle":"","parse-names":false,"suffix":""},{"dropping-particle":"","family":"Kaselitz","given":"Elizabeth","non-dropping-particle":"","parse-names":false,"suffix":""},{"dropping-particle":"","family":"Aborigo","given":"Raymond","non-dropping-particle":"","parse-names":false,"suffix":""}],"container-title":"Global health action","id":"ITEM-1","issue":"1","issued":{"date-parts":[["2017"]]},"page":"1413917","publisher":"Taylor &amp; Francis","title":"Using social autopsy to understand maternal, newborn, and child mortality in low-resource settings: a systematic review of the literature.","type":"article-journal","volume":"10"},"uris":["http://www.mendeley.com/documents/?uuid=a8b4e70c-1422-3464-8a6c-23951a6c6e20"]}],"mendeley":{"formattedCitation":"(7)","manualFormatting":"[7","plainTextFormattedCitation":"(7)","previouslyFormattedCitation":"(7)"},"properties":{"noteIndex":0},"schema":"https://github.com/citation-style-language/schema/raw/master/csl-citation.json"}</w:instrText>
      </w:r>
      <w:r w:rsidR="00C609A7">
        <w:fldChar w:fldCharType="separate"/>
      </w:r>
      <w:r w:rsidR="005D7725">
        <w:rPr>
          <w:noProof/>
        </w:rPr>
        <w:t>[</w:t>
      </w:r>
      <w:r w:rsidR="00303FFB" w:rsidRPr="00303FFB">
        <w:rPr>
          <w:noProof/>
        </w:rPr>
        <w:t>7</w:t>
      </w:r>
      <w:r w:rsidR="00C609A7">
        <w:fldChar w:fldCharType="end"/>
      </w:r>
      <w:r w:rsidR="005D7725">
        <w:t>]</w:t>
      </w:r>
      <w:r>
        <w:t>.</w:t>
      </w:r>
    </w:p>
    <w:p w14:paraId="7D0BCCEA" w14:textId="7D5A98C9" w:rsidR="00F32256" w:rsidRPr="00145067" w:rsidRDefault="00F32256" w:rsidP="00187AA8">
      <w:pPr>
        <w:spacing w:line="360" w:lineRule="auto"/>
        <w:rPr>
          <w:rFonts w:cstheme="minorHAnsi"/>
        </w:rPr>
      </w:pPr>
      <w:r>
        <w:t xml:space="preserve">The </w:t>
      </w:r>
      <w:r w:rsidR="00C609A7">
        <w:t>P</w:t>
      </w:r>
      <w:r>
        <w:t xml:space="preserve">athways to </w:t>
      </w:r>
      <w:r w:rsidR="00C609A7">
        <w:t>S</w:t>
      </w:r>
      <w:r>
        <w:t xml:space="preserve">urvival </w:t>
      </w:r>
      <w:r w:rsidR="00C609A7">
        <w:t>F</w:t>
      </w:r>
      <w:r>
        <w:t xml:space="preserve">ramework is a commonly-used analytic framework in the study of care pathways in </w:t>
      </w:r>
      <w:r w:rsidR="00A8513A">
        <w:t>fatal</w:t>
      </w:r>
      <w:r>
        <w:t xml:space="preserve"> childhood illness. </w:t>
      </w:r>
      <w:r w:rsidR="00A02D27">
        <w:t>First developed</w:t>
      </w:r>
      <w:r>
        <w:t xml:space="preserve"> in 1996 and </w:t>
      </w:r>
      <w:r w:rsidR="003B751B">
        <w:t xml:space="preserve">subsequently </w:t>
      </w:r>
      <w:r>
        <w:t>adapted</w:t>
      </w:r>
      <w:r w:rsidR="003B751B">
        <w:t xml:space="preserve">, </w:t>
      </w:r>
      <w:r>
        <w:t>it provides a means of thinking through the processes of seeking and providing care both within and outside the home during a child’s illness</w:t>
      </w:r>
      <w:r w:rsidR="003F34A8">
        <w:t xml:space="preserve"> </w:t>
      </w:r>
      <w:r w:rsidR="003F34A8">
        <w:fldChar w:fldCharType="begin" w:fldLock="1"/>
      </w:r>
      <w:r w:rsidR="00CD0705">
        <w:instrText>ADDIN CSL_CITATION {"citationItems":[{"id":"ITEM-1","itemData":{"author":[{"dropping-particle":"","family":"Waldman","given":"Ronald","non-dropping-particle":"","parse-names":false,"suffix":""},{"dropping-particle":"","family":"Campbell","given":"Carlos C","non-dropping-particle":"","parse-names":false,"suffix":""},{"dropping-particle":"","family":"Steketee","given":"Richard W","non-dropping-particle":"","parse-names":false,"suffix":""}],"id":"ITEM-1","issued":{"date-parts":[["1996"]]},"publisher-place":"Arlington","title":"Overcoming Remaining Barriers: The Pathway to Survival","type":"report"},"uris":["http://www.mendeley.com/documents/?uuid=abe556db-7ac5-3216-8348-42f900eb0f41"]}],"mendeley":{"formattedCitation":"(10)","manualFormatting":"[10","plainTextFormattedCitation":"(10)","previouslyFormattedCitation":"(10)"},"properties":{"noteIndex":0},"schema":"https://github.com/citation-style-language/schema/raw/master/csl-citation.json"}</w:instrText>
      </w:r>
      <w:r w:rsidR="003F34A8">
        <w:fldChar w:fldCharType="separate"/>
      </w:r>
      <w:r w:rsidR="005D7725">
        <w:rPr>
          <w:noProof/>
        </w:rPr>
        <w:t>[</w:t>
      </w:r>
      <w:r w:rsidR="00303FFB" w:rsidRPr="00303FFB">
        <w:rPr>
          <w:noProof/>
        </w:rPr>
        <w:t>10</w:t>
      </w:r>
      <w:r w:rsidR="003F34A8">
        <w:fldChar w:fldCharType="end"/>
      </w:r>
      <w:r w:rsidR="005D7725">
        <w:t>]</w:t>
      </w:r>
      <w:r>
        <w:t>. Despite</w:t>
      </w:r>
      <w:r w:rsidR="00DC547C">
        <w:t xml:space="preserve"> the</w:t>
      </w:r>
      <w:r>
        <w:t xml:space="preserve"> growing number of studies using this framework, individual studies </w:t>
      </w:r>
      <w:r w:rsidR="00DC547C">
        <w:t xml:space="preserve">do not give a </w:t>
      </w:r>
      <w:r>
        <w:t xml:space="preserve">sense of whether patterns identified apply across sub-Saharan </w:t>
      </w:r>
      <w:r w:rsidRPr="006628B4">
        <w:rPr>
          <w:rFonts w:cstheme="minorHAnsi"/>
        </w:rPr>
        <w:t xml:space="preserve">Africa, </w:t>
      </w:r>
      <w:r w:rsidRPr="00145067">
        <w:rPr>
          <w:rFonts w:cstheme="minorHAnsi"/>
        </w:rPr>
        <w:t xml:space="preserve">nor whether there </w:t>
      </w:r>
      <w:r w:rsidR="00A02D27">
        <w:rPr>
          <w:rFonts w:cstheme="minorHAnsi"/>
        </w:rPr>
        <w:t>are</w:t>
      </w:r>
      <w:r w:rsidRPr="00145067">
        <w:rPr>
          <w:rFonts w:cstheme="minorHAnsi"/>
        </w:rPr>
        <w:t xml:space="preserve"> characteristics which </w:t>
      </w:r>
      <w:r>
        <w:rPr>
          <w:rFonts w:cstheme="minorHAnsi"/>
        </w:rPr>
        <w:t xml:space="preserve">influence </w:t>
      </w:r>
      <w:r w:rsidR="00485A98">
        <w:rPr>
          <w:rFonts w:cstheme="minorHAnsi"/>
        </w:rPr>
        <w:t>care-seeking</w:t>
      </w:r>
      <w:r w:rsidRPr="00145067">
        <w:rPr>
          <w:rFonts w:cstheme="minorHAnsi"/>
        </w:rPr>
        <w:t xml:space="preserve"> processes</w:t>
      </w:r>
      <w:r>
        <w:rPr>
          <w:rFonts w:cstheme="minorHAnsi"/>
        </w:rPr>
        <w:t xml:space="preserve"> universally.</w:t>
      </w:r>
    </w:p>
    <w:p w14:paraId="48C13620" w14:textId="23A39272" w:rsidR="00F32256" w:rsidRDefault="00F32256" w:rsidP="00187AA8">
      <w:pPr>
        <w:pStyle w:val="NoSpacing"/>
        <w:spacing w:line="360" w:lineRule="auto"/>
        <w:rPr>
          <w:rFonts w:eastAsia="Times New Roman" w:cstheme="minorHAnsi"/>
          <w:lang w:val="en-US"/>
        </w:rPr>
      </w:pPr>
      <w:r>
        <w:rPr>
          <w:rFonts w:cstheme="minorHAnsi"/>
        </w:rPr>
        <w:t>In t</w:t>
      </w:r>
      <w:r w:rsidRPr="00145067">
        <w:rPr>
          <w:rFonts w:cstheme="minorHAnsi"/>
        </w:rPr>
        <w:t xml:space="preserve">his review </w:t>
      </w:r>
      <w:r>
        <w:rPr>
          <w:rFonts w:cstheme="minorHAnsi"/>
        </w:rPr>
        <w:t xml:space="preserve">we </w:t>
      </w:r>
      <w:r w:rsidRPr="00145067">
        <w:rPr>
          <w:rFonts w:cstheme="minorHAnsi"/>
        </w:rPr>
        <w:t xml:space="preserve">aim </w:t>
      </w:r>
      <w:r>
        <w:rPr>
          <w:rFonts w:cstheme="minorHAnsi"/>
          <w:shd w:val="clear" w:color="auto" w:fill="FFFFFF"/>
        </w:rPr>
        <w:t>t</w:t>
      </w:r>
      <w:r w:rsidRPr="00187461">
        <w:rPr>
          <w:rFonts w:cstheme="minorHAnsi"/>
          <w:shd w:val="clear" w:color="auto" w:fill="FFFFFF"/>
        </w:rPr>
        <w:t xml:space="preserve">o </w:t>
      </w:r>
      <w:r>
        <w:rPr>
          <w:rFonts w:cstheme="minorHAnsi"/>
          <w:shd w:val="clear" w:color="auto" w:fill="FFFFFF"/>
        </w:rPr>
        <w:t>systematically gather and appraise all available evidence to 1) determine the</w:t>
      </w:r>
      <w:r w:rsidRPr="00187461">
        <w:rPr>
          <w:rFonts w:cstheme="minorHAnsi"/>
          <w:shd w:val="clear" w:color="auto" w:fill="FFFFFF"/>
        </w:rPr>
        <w:t xml:space="preserve"> proportion of under-5 deaths occurring within and outside health facilities in sub-Saharan Africa, </w:t>
      </w:r>
      <w:r>
        <w:rPr>
          <w:rFonts w:cstheme="minorHAnsi"/>
          <w:shd w:val="clear" w:color="auto" w:fill="FFFFFF"/>
        </w:rPr>
        <w:t>2)</w:t>
      </w:r>
      <w:r w:rsidRPr="00187461">
        <w:rPr>
          <w:rFonts w:cstheme="minorHAnsi"/>
          <w:shd w:val="clear" w:color="auto" w:fill="FFFFFF"/>
        </w:rPr>
        <w:t xml:space="preserve"> characterize the </w:t>
      </w:r>
      <w:r>
        <w:rPr>
          <w:rFonts w:cstheme="minorHAnsi"/>
          <w:shd w:val="clear" w:color="auto" w:fill="FFFFFF"/>
        </w:rPr>
        <w:t>processes of seeking and providing care</w:t>
      </w:r>
      <w:r w:rsidRPr="00187461">
        <w:rPr>
          <w:rFonts w:cstheme="minorHAnsi"/>
          <w:shd w:val="clear" w:color="auto" w:fill="FFFFFF"/>
        </w:rPr>
        <w:t xml:space="preserve"> during the fatal illn</w:t>
      </w:r>
      <w:r>
        <w:rPr>
          <w:rFonts w:cstheme="minorHAnsi"/>
          <w:shd w:val="clear" w:color="auto" w:fill="FFFFFF"/>
        </w:rPr>
        <w:t xml:space="preserve">ess, as defined by the Pathways to Survival framework and 3) </w:t>
      </w:r>
      <w:r w:rsidRPr="00145067">
        <w:rPr>
          <w:rFonts w:eastAsia="Times New Roman" w:cstheme="minorHAnsi"/>
          <w:lang w:val="en-US"/>
        </w:rPr>
        <w:t xml:space="preserve">to determine whether place of death or </w:t>
      </w:r>
      <w:r w:rsidR="00485A98">
        <w:rPr>
          <w:rFonts w:eastAsia="Times New Roman" w:cstheme="minorHAnsi"/>
          <w:lang w:val="en-US"/>
        </w:rPr>
        <w:t>care-seeking</w:t>
      </w:r>
      <w:r w:rsidRPr="00145067">
        <w:rPr>
          <w:rFonts w:eastAsia="Times New Roman" w:cstheme="minorHAnsi"/>
          <w:lang w:val="en-US"/>
        </w:rPr>
        <w:t xml:space="preserve"> behavior varied based on the age of the child, income status of the country or presence of </w:t>
      </w:r>
      <w:r w:rsidR="00364BEB">
        <w:rPr>
          <w:rFonts w:eastAsia="Times New Roman" w:cstheme="minorHAnsi"/>
          <w:lang w:val="en-US"/>
        </w:rPr>
        <w:t>user-fee</w:t>
      </w:r>
      <w:r w:rsidRPr="00145067">
        <w:rPr>
          <w:rFonts w:eastAsia="Times New Roman" w:cstheme="minorHAnsi"/>
          <w:lang w:val="en-US"/>
        </w:rPr>
        <w:t>s.</w:t>
      </w:r>
    </w:p>
    <w:p w14:paraId="1FECE301" w14:textId="07FA8A1D" w:rsidR="00F32256" w:rsidRPr="003E0C9E" w:rsidRDefault="003E0C9E" w:rsidP="00187AA8">
      <w:pPr>
        <w:pStyle w:val="Heading1"/>
        <w:spacing w:line="360" w:lineRule="auto"/>
        <w:rPr>
          <w:b/>
        </w:rPr>
      </w:pPr>
      <w:r w:rsidRPr="003E0C9E">
        <w:rPr>
          <w:b/>
        </w:rPr>
        <w:lastRenderedPageBreak/>
        <w:t>METHODS</w:t>
      </w:r>
    </w:p>
    <w:p w14:paraId="5DCD6990" w14:textId="77777777" w:rsidR="00F32256" w:rsidRDefault="00F32256" w:rsidP="00187AA8">
      <w:pPr>
        <w:pStyle w:val="Heading2"/>
        <w:spacing w:line="360" w:lineRule="auto"/>
      </w:pPr>
      <w:r>
        <w:t>Search strategy and selection criteria</w:t>
      </w:r>
    </w:p>
    <w:p w14:paraId="2C57AF1A" w14:textId="77777777" w:rsidR="00F32256" w:rsidRPr="00727BE2" w:rsidRDefault="00F32256" w:rsidP="00187AA8">
      <w:pPr>
        <w:spacing w:line="360" w:lineRule="auto"/>
        <w:rPr>
          <w:rFonts w:eastAsia="Times New Roman" w:cstheme="minorHAnsi"/>
          <w:color w:val="333333"/>
          <w:lang w:val="en-US"/>
        </w:rPr>
      </w:pPr>
      <w:r w:rsidRPr="00727BE2">
        <w:rPr>
          <w:rFonts w:eastAsia="Times New Roman" w:cstheme="minorHAnsi"/>
          <w:color w:val="333333"/>
          <w:lang w:val="en-US"/>
        </w:rPr>
        <w:t xml:space="preserve">The systematic review protocol was </w:t>
      </w:r>
      <w:r w:rsidRPr="00727BE2">
        <w:rPr>
          <w:rFonts w:cstheme="minorHAnsi"/>
        </w:rPr>
        <w:t xml:space="preserve">prospectively published and is available from PROSPERO (PROSPERO 2018 CRD42018111484, </w:t>
      </w:r>
      <w:hyperlink r:id="rId8" w:history="1">
        <w:r w:rsidRPr="00727BE2">
          <w:rPr>
            <w:rStyle w:val="Hyperlink"/>
            <w:rFonts w:cstheme="minorHAnsi"/>
          </w:rPr>
          <w:t>http://www.crd.york.ac.uk/PROSPERO/display_record.php?ID=CRD42018111484</w:t>
        </w:r>
      </w:hyperlink>
      <w:r w:rsidRPr="00727BE2">
        <w:rPr>
          <w:rFonts w:cstheme="minorHAnsi"/>
        </w:rPr>
        <w:t>).</w:t>
      </w:r>
    </w:p>
    <w:p w14:paraId="07EC2AB7" w14:textId="4B8DFBC7" w:rsidR="00F32256" w:rsidRPr="004605BE" w:rsidRDefault="00F32256" w:rsidP="00187AA8">
      <w:pPr>
        <w:spacing w:line="360" w:lineRule="auto"/>
        <w:rPr>
          <w:rFonts w:eastAsia="Times New Roman" w:cstheme="minorHAnsi"/>
          <w:lang w:val="en-US"/>
        </w:rPr>
      </w:pPr>
      <w:r w:rsidRPr="003C17DE">
        <w:rPr>
          <w:rFonts w:cstheme="minorHAnsi"/>
        </w:rPr>
        <w:t>We conducted a systematic search of the literature to identify studies relating to deaths of children under</w:t>
      </w:r>
      <w:r w:rsidR="003C17DE" w:rsidRPr="00DC46F7">
        <w:rPr>
          <w:rFonts w:cstheme="minorHAnsi"/>
        </w:rPr>
        <w:t xml:space="preserve"> </w:t>
      </w:r>
      <w:r w:rsidRPr="003C17DE">
        <w:rPr>
          <w:rFonts w:cstheme="minorHAnsi"/>
        </w:rPr>
        <w:t xml:space="preserve">5 </w:t>
      </w:r>
      <w:r w:rsidR="003C17DE" w:rsidRPr="003C17DE">
        <w:rPr>
          <w:rFonts w:cstheme="minorHAnsi"/>
        </w:rPr>
        <w:t xml:space="preserve">years of age </w:t>
      </w:r>
      <w:r w:rsidRPr="003C17DE">
        <w:rPr>
          <w:rFonts w:cstheme="minorHAnsi"/>
        </w:rPr>
        <w:t xml:space="preserve">from sub-Saharan Africa, that included information on place of death and/or </w:t>
      </w:r>
      <w:r w:rsidR="00485A98">
        <w:rPr>
          <w:rFonts w:cstheme="minorHAnsi"/>
        </w:rPr>
        <w:t>care-seeking</w:t>
      </w:r>
      <w:r w:rsidRPr="003C17DE">
        <w:rPr>
          <w:rFonts w:cstheme="minorHAnsi"/>
        </w:rPr>
        <w:t xml:space="preserve"> behaviour during a child’s final illness.</w:t>
      </w:r>
      <w:r w:rsidR="0061013B">
        <w:rPr>
          <w:rFonts w:cstheme="minorHAnsi"/>
        </w:rPr>
        <w:t xml:space="preserve"> </w:t>
      </w:r>
      <w:r w:rsidRPr="003C17DE">
        <w:rPr>
          <w:rFonts w:cstheme="minorHAnsi"/>
        </w:rPr>
        <w:t xml:space="preserve">We searched </w:t>
      </w:r>
      <w:r w:rsidRPr="004605BE">
        <w:rPr>
          <w:rFonts w:eastAsia="Times New Roman" w:cstheme="minorHAnsi"/>
          <w:lang w:val="en-US"/>
        </w:rPr>
        <w:t xml:space="preserve">PubMed, Embase, Global Health and the Cochrane Library using the following search terms in various combinations: </w:t>
      </w:r>
      <w:r w:rsidRPr="00F41F6C">
        <w:rPr>
          <w:rFonts w:eastAsia="Times New Roman"/>
          <w:color w:val="000000"/>
        </w:rPr>
        <w:t>care pathway</w:t>
      </w:r>
      <w:r w:rsidR="003F34A8" w:rsidRPr="00F41F6C">
        <w:rPr>
          <w:rFonts w:eastAsia="Times New Roman"/>
          <w:color w:val="000000"/>
        </w:rPr>
        <w:t xml:space="preserve">*, </w:t>
      </w:r>
      <w:r w:rsidRPr="00F41F6C">
        <w:rPr>
          <w:rFonts w:eastAsia="Times New Roman"/>
          <w:color w:val="000000"/>
        </w:rPr>
        <w:t>pathways to care</w:t>
      </w:r>
      <w:r w:rsidR="003F34A8" w:rsidRPr="00F41F6C">
        <w:rPr>
          <w:rFonts w:eastAsia="Times New Roman"/>
          <w:color w:val="000000"/>
        </w:rPr>
        <w:t xml:space="preserve">, </w:t>
      </w:r>
      <w:r w:rsidR="00485A98">
        <w:rPr>
          <w:rFonts w:eastAsia="Times New Roman"/>
          <w:color w:val="000000"/>
        </w:rPr>
        <w:t>care-seeking</w:t>
      </w:r>
      <w:r w:rsidR="003F34A8" w:rsidRPr="00F41F6C">
        <w:rPr>
          <w:rFonts w:eastAsia="Times New Roman"/>
          <w:color w:val="000000"/>
        </w:rPr>
        <w:t xml:space="preserve">, </w:t>
      </w:r>
      <w:r w:rsidRPr="00F41F6C">
        <w:rPr>
          <w:rFonts w:eastAsia="Times New Roman"/>
          <w:color w:val="000000"/>
        </w:rPr>
        <w:t>health</w:t>
      </w:r>
      <w:r w:rsidR="00485A98">
        <w:rPr>
          <w:rFonts w:eastAsia="Times New Roman"/>
          <w:color w:val="000000"/>
        </w:rPr>
        <w:t>care-seeking</w:t>
      </w:r>
      <w:r w:rsidR="003F34A8" w:rsidRPr="00F41F6C">
        <w:rPr>
          <w:rFonts w:eastAsia="Times New Roman"/>
          <w:color w:val="000000"/>
        </w:rPr>
        <w:t>,</w:t>
      </w:r>
      <w:r w:rsidRPr="00F41F6C">
        <w:rPr>
          <w:rFonts w:eastAsia="Times New Roman"/>
          <w:color w:val="000000"/>
        </w:rPr>
        <w:t xml:space="preserve"> treatment seeking</w:t>
      </w:r>
      <w:r w:rsidR="003F34A8" w:rsidRPr="00F41F6C">
        <w:rPr>
          <w:rFonts w:eastAsia="Times New Roman"/>
          <w:color w:val="000000"/>
        </w:rPr>
        <w:t xml:space="preserve">, </w:t>
      </w:r>
      <w:r w:rsidRPr="00F41F6C">
        <w:rPr>
          <w:rFonts w:eastAsia="Times New Roman"/>
          <w:color w:val="000000"/>
        </w:rPr>
        <w:t>"pathway to survival"</w:t>
      </w:r>
      <w:r w:rsidR="003F34A8" w:rsidRPr="00F41F6C">
        <w:rPr>
          <w:rFonts w:eastAsia="Times New Roman"/>
          <w:color w:val="000000"/>
        </w:rPr>
        <w:t>,</w:t>
      </w:r>
      <w:r w:rsidR="0061013B">
        <w:rPr>
          <w:rFonts w:eastAsia="Times New Roman"/>
          <w:color w:val="000000"/>
        </w:rPr>
        <w:t xml:space="preserve"> </w:t>
      </w:r>
      <w:r w:rsidRPr="00F41F6C">
        <w:rPr>
          <w:rFonts w:eastAsia="Times New Roman"/>
          <w:color w:val="000000"/>
        </w:rPr>
        <w:t>"three delay"</w:t>
      </w:r>
      <w:r w:rsidR="003F34A8" w:rsidRPr="00F41F6C">
        <w:rPr>
          <w:rFonts w:eastAsia="Times New Roman"/>
          <w:color w:val="000000"/>
        </w:rPr>
        <w:t xml:space="preserve">, </w:t>
      </w:r>
      <w:r w:rsidRPr="00F41F6C">
        <w:rPr>
          <w:rFonts w:eastAsia="Times New Roman"/>
          <w:color w:val="000000"/>
        </w:rPr>
        <w:t>social autopsy</w:t>
      </w:r>
      <w:r w:rsidR="003F34A8" w:rsidRPr="00F41F6C">
        <w:rPr>
          <w:rFonts w:eastAsia="Times New Roman"/>
          <w:color w:val="000000"/>
        </w:rPr>
        <w:t>,</w:t>
      </w:r>
      <w:r w:rsidRPr="00F41F6C">
        <w:rPr>
          <w:rFonts w:eastAsia="Times New Roman"/>
          <w:color w:val="000000"/>
        </w:rPr>
        <w:t xml:space="preserve"> verbal autopsy</w:t>
      </w:r>
      <w:r w:rsidR="0081142D" w:rsidRPr="00F41F6C">
        <w:rPr>
          <w:rFonts w:eastAsia="Times New Roman"/>
          <w:color w:val="000000"/>
        </w:rPr>
        <w:t xml:space="preserve"> with terms to identify children under years (</w:t>
      </w:r>
      <w:r w:rsidRPr="00F41F6C">
        <w:rPr>
          <w:rFonts w:eastAsia="Times New Roman"/>
          <w:color w:val="000000"/>
        </w:rPr>
        <w:t>child</w:t>
      </w:r>
      <w:r w:rsidR="003F34A8" w:rsidRPr="00F41F6C">
        <w:rPr>
          <w:rFonts w:eastAsia="Times New Roman"/>
          <w:color w:val="000000"/>
        </w:rPr>
        <w:t xml:space="preserve">, </w:t>
      </w:r>
      <w:r w:rsidRPr="00F41F6C">
        <w:rPr>
          <w:rFonts w:eastAsia="Times New Roman"/>
          <w:color w:val="000000"/>
        </w:rPr>
        <w:t>under-5 under 5</w:t>
      </w:r>
      <w:r w:rsidR="0081142D" w:rsidRPr="00F41F6C">
        <w:rPr>
          <w:rFonts w:eastAsia="Times New Roman"/>
          <w:color w:val="000000"/>
        </w:rPr>
        <w:t>,</w:t>
      </w:r>
      <w:r w:rsidRPr="00F41F6C">
        <w:rPr>
          <w:rFonts w:eastAsia="Times New Roman"/>
          <w:color w:val="000000"/>
        </w:rPr>
        <w:t xml:space="preserve"> infant</w:t>
      </w:r>
      <w:r w:rsidR="0081142D" w:rsidRPr="00F41F6C">
        <w:rPr>
          <w:rFonts w:eastAsia="Times New Roman"/>
          <w:color w:val="000000"/>
        </w:rPr>
        <w:t>,</w:t>
      </w:r>
      <w:r w:rsidRPr="00F41F6C">
        <w:rPr>
          <w:rFonts w:eastAsia="Times New Roman"/>
          <w:color w:val="000000"/>
        </w:rPr>
        <w:t xml:space="preserve"> neonat*</w:t>
      </w:r>
      <w:r w:rsidR="0081142D" w:rsidRPr="00F41F6C">
        <w:rPr>
          <w:rFonts w:eastAsia="Times New Roman"/>
          <w:color w:val="000000"/>
        </w:rPr>
        <w:t xml:space="preserve">, </w:t>
      </w:r>
      <w:r w:rsidRPr="00F41F6C">
        <w:rPr>
          <w:rFonts w:eastAsia="Times New Roman"/>
          <w:color w:val="000000"/>
        </w:rPr>
        <w:t>newborn</w:t>
      </w:r>
      <w:r w:rsidR="0081142D" w:rsidRPr="00F41F6C">
        <w:rPr>
          <w:rFonts w:eastAsia="Times New Roman"/>
          <w:color w:val="000000"/>
        </w:rPr>
        <w:t>) and countries in sub-Saharan Africa</w:t>
      </w:r>
      <w:r w:rsidR="00FD4736">
        <w:rPr>
          <w:rFonts w:eastAsia="Times New Roman"/>
          <w:color w:val="000000"/>
        </w:rPr>
        <w:t xml:space="preserve"> as defined by the World Bank </w:t>
      </w:r>
      <w:r w:rsidR="00FD4736">
        <w:rPr>
          <w:rFonts w:eastAsia="Times New Roman"/>
          <w:color w:val="000000"/>
        </w:rPr>
        <w:fldChar w:fldCharType="begin" w:fldLock="1"/>
      </w:r>
      <w:r w:rsidR="00CD0705">
        <w:rPr>
          <w:rFonts w:eastAsia="Times New Roman"/>
          <w:color w:val="000000"/>
        </w:rPr>
        <w:instrText>ADDIN CSL_CITATION {"citationItems":[{"id":"ITEM-1","itemData":{"URL":"https://datahelpdesk.worldbank.org/knowledgebase/articles/906519","accessed":{"date-parts":[["2019","6","20"]]},"author":[{"dropping-particle":"","family":"The World Bank","given":"","non-dropping-particle":"","parse-names":false,"suffix":""}],"id":"ITEM-1","issued":{"date-parts":[["0"]]},"title":"World Bank Country and Lending Groups","type":"webpage"},"uris":["http://www.mendeley.com/documents/?uuid=f344ab09-26a0-305a-9a35-51db79d3c959"]}],"mendeley":{"formattedCitation":"(11)","manualFormatting":"[11","plainTextFormattedCitation":"(11)","previouslyFormattedCitation":"(11)"},"properties":{"noteIndex":0},"schema":"https://github.com/citation-style-language/schema/raw/master/csl-citation.json"}</w:instrText>
      </w:r>
      <w:r w:rsidR="00FD4736">
        <w:rPr>
          <w:rFonts w:eastAsia="Times New Roman"/>
          <w:color w:val="000000"/>
        </w:rPr>
        <w:fldChar w:fldCharType="separate"/>
      </w:r>
      <w:r w:rsidR="005D7725">
        <w:rPr>
          <w:rFonts w:eastAsia="Times New Roman"/>
          <w:noProof/>
          <w:color w:val="000000"/>
        </w:rPr>
        <w:t>[</w:t>
      </w:r>
      <w:r w:rsidR="00303FFB" w:rsidRPr="00303FFB">
        <w:rPr>
          <w:rFonts w:eastAsia="Times New Roman"/>
          <w:noProof/>
          <w:color w:val="000000"/>
        </w:rPr>
        <w:t>11</w:t>
      </w:r>
      <w:r w:rsidR="00FD4736">
        <w:rPr>
          <w:rFonts w:eastAsia="Times New Roman"/>
          <w:color w:val="000000"/>
        </w:rPr>
        <w:fldChar w:fldCharType="end"/>
      </w:r>
      <w:r w:rsidR="005D7725">
        <w:rPr>
          <w:rFonts w:eastAsia="Times New Roman"/>
          <w:color w:val="000000"/>
        </w:rPr>
        <w:t>]</w:t>
      </w:r>
      <w:r w:rsidR="0081142D" w:rsidRPr="00F41F6C">
        <w:rPr>
          <w:rFonts w:eastAsia="Times New Roman"/>
          <w:color w:val="000000"/>
        </w:rPr>
        <w:t>. Mesh terms were included where appropriate</w:t>
      </w:r>
      <w:r w:rsidRPr="004605BE">
        <w:rPr>
          <w:rFonts w:eastAsia="Times New Roman" w:cstheme="minorHAnsi"/>
          <w:lang w:val="en-US"/>
        </w:rPr>
        <w:t>. The final search was conducted on 15 August 2018. We also conducted a manual review of the reference lists of relevant articles to identify any additional resources that should be included and contacted leading authors in the field to identify relevant unpublished data.</w:t>
      </w:r>
    </w:p>
    <w:p w14:paraId="0A2F6EFF" w14:textId="77777777" w:rsidR="00F32256" w:rsidRPr="004605BE" w:rsidRDefault="00F32256" w:rsidP="00187AA8">
      <w:pPr>
        <w:spacing w:line="360" w:lineRule="auto"/>
        <w:rPr>
          <w:rFonts w:eastAsia="Times New Roman" w:cstheme="minorHAnsi"/>
          <w:lang w:val="en-US"/>
        </w:rPr>
      </w:pPr>
      <w:r w:rsidRPr="004605BE">
        <w:rPr>
          <w:rFonts w:eastAsia="Times New Roman" w:cstheme="minorHAnsi"/>
          <w:lang w:val="en-US"/>
        </w:rPr>
        <w:t>We included studies if they were conducted in a country in sub-Saharan Africa, reporting on deaths in children under-5 years, and included data on at least one of the following:</w:t>
      </w:r>
    </w:p>
    <w:p w14:paraId="58C1EF2C" w14:textId="77777777" w:rsidR="00F32256" w:rsidRPr="004605BE" w:rsidRDefault="00F32256" w:rsidP="00187AA8">
      <w:pPr>
        <w:pStyle w:val="ListParagraph"/>
        <w:numPr>
          <w:ilvl w:val="0"/>
          <w:numId w:val="2"/>
        </w:numPr>
        <w:spacing w:line="360" w:lineRule="auto"/>
        <w:rPr>
          <w:rFonts w:eastAsia="Times New Roman" w:cstheme="minorHAnsi"/>
          <w:lang w:val="en-US"/>
        </w:rPr>
      </w:pPr>
      <w:r w:rsidRPr="004605BE">
        <w:rPr>
          <w:rFonts w:eastAsia="Times New Roman" w:cstheme="minorHAnsi"/>
          <w:lang w:val="en-US"/>
        </w:rPr>
        <w:t>The number or proportion of children who died at home</w:t>
      </w:r>
    </w:p>
    <w:p w14:paraId="23015037" w14:textId="77777777" w:rsidR="00F32256" w:rsidRPr="004605BE" w:rsidRDefault="00F32256" w:rsidP="00187AA8">
      <w:pPr>
        <w:pStyle w:val="ListParagraph"/>
        <w:numPr>
          <w:ilvl w:val="0"/>
          <w:numId w:val="2"/>
        </w:numPr>
        <w:spacing w:line="360" w:lineRule="auto"/>
        <w:rPr>
          <w:rFonts w:eastAsia="Times New Roman" w:cstheme="minorHAnsi"/>
          <w:lang w:val="en-US"/>
        </w:rPr>
      </w:pPr>
      <w:r w:rsidRPr="004605BE">
        <w:rPr>
          <w:rFonts w:eastAsia="Times New Roman" w:cstheme="minorHAnsi"/>
          <w:lang w:val="en-US"/>
        </w:rPr>
        <w:t>The number or proportion of children who died in a health facility</w:t>
      </w:r>
    </w:p>
    <w:p w14:paraId="046F10AC" w14:textId="49AFA40C" w:rsidR="00F32256" w:rsidRPr="004605BE" w:rsidRDefault="00F32256" w:rsidP="00187AA8">
      <w:pPr>
        <w:pStyle w:val="ListParagraph"/>
        <w:numPr>
          <w:ilvl w:val="0"/>
          <w:numId w:val="2"/>
        </w:numPr>
        <w:spacing w:line="360" w:lineRule="auto"/>
        <w:rPr>
          <w:rFonts w:eastAsia="Times New Roman" w:cstheme="minorHAnsi"/>
          <w:lang w:val="en-US"/>
        </w:rPr>
      </w:pPr>
      <w:r w:rsidRPr="004605BE">
        <w:rPr>
          <w:rFonts w:eastAsia="Times New Roman" w:cstheme="minorHAnsi"/>
          <w:lang w:val="en-US"/>
        </w:rPr>
        <w:t>Treatment seeking behavior during the final illness, including one or more of the stages of care as identified by the pathways to survival framework (</w:t>
      </w:r>
      <w:r w:rsidR="0061013B">
        <w:rPr>
          <w:rFonts w:eastAsia="Times New Roman" w:cstheme="minorHAnsi"/>
          <w:lang w:val="en-US"/>
        </w:rPr>
        <w:t>ie,</w:t>
      </w:r>
      <w:r w:rsidRPr="004605BE">
        <w:rPr>
          <w:rFonts w:eastAsia="Times New Roman" w:cstheme="minorHAnsi"/>
          <w:lang w:val="en-US"/>
        </w:rPr>
        <w:t xml:space="preserve"> recognition of illness, provision of care in the home, </w:t>
      </w:r>
      <w:r w:rsidR="00485A98">
        <w:rPr>
          <w:rFonts w:eastAsia="Times New Roman" w:cstheme="minorHAnsi"/>
          <w:lang w:val="en-US"/>
        </w:rPr>
        <w:t>care-seeking</w:t>
      </w:r>
      <w:r w:rsidRPr="004605BE">
        <w:rPr>
          <w:rFonts w:eastAsia="Times New Roman" w:cstheme="minorHAnsi"/>
          <w:lang w:val="en-US"/>
        </w:rPr>
        <w:t xml:space="preserve"> outside the home from formal and informal providers, referral and acceptance of referral).</w:t>
      </w:r>
    </w:p>
    <w:p w14:paraId="33DF3CEC" w14:textId="4F10C614" w:rsidR="00F32256" w:rsidRDefault="00F32256" w:rsidP="00187AA8">
      <w:pPr>
        <w:spacing w:line="360" w:lineRule="auto"/>
        <w:rPr>
          <w:rFonts w:eastAsia="Times New Roman" w:cstheme="minorHAnsi"/>
          <w:lang w:val="en-US"/>
        </w:rPr>
      </w:pPr>
      <w:r w:rsidRPr="004605BE">
        <w:rPr>
          <w:rFonts w:eastAsia="Times New Roman" w:cstheme="minorHAnsi"/>
          <w:lang w:val="en-US"/>
        </w:rPr>
        <w:t xml:space="preserve">We excluded studies that focused only on stillbirths or did not separate stillbirths from neonatal or under-5 deaths, or if results were reported purely qualitatively. Review articles were not included as this systematic review focused on primary research, however they were used to confirm that relevant references were identified and included in the analysis. </w:t>
      </w:r>
      <w:r w:rsidR="00A02D27" w:rsidRPr="004605BE">
        <w:rPr>
          <w:rFonts w:eastAsia="Times New Roman" w:cstheme="minorHAnsi"/>
          <w:lang w:val="en-US"/>
        </w:rPr>
        <w:t>We didn’t exclude articles based on publication date or language.</w:t>
      </w:r>
    </w:p>
    <w:p w14:paraId="16310A8B" w14:textId="217A79CC" w:rsidR="00F32256" w:rsidRPr="004605BE" w:rsidRDefault="00F32256" w:rsidP="00187AA8">
      <w:pPr>
        <w:spacing w:line="360" w:lineRule="auto"/>
        <w:rPr>
          <w:rFonts w:eastAsia="Times New Roman" w:cstheme="minorHAnsi"/>
          <w:lang w:val="en-US"/>
        </w:rPr>
      </w:pPr>
      <w:r w:rsidRPr="004605BE">
        <w:rPr>
          <w:rFonts w:eastAsia="Times New Roman" w:cstheme="minorHAnsi"/>
          <w:lang w:val="en-US"/>
        </w:rPr>
        <w:t xml:space="preserve">Two reviewers (JP and JL) independently screened all titles and abstracts for relevance, then independently selected full texts for inclusion in the final review. Discrepancies were resolved by consensus. Data from each included study were independently extracted by the same reviewers and cross checked using a standardized template to record details including country; age group (neonatal/1-59 months/under-5; total number of deaths; number of deaths at home, in health facilities, on route to facilities or elsewhere; and </w:t>
      </w:r>
      <w:r w:rsidR="00485A98">
        <w:rPr>
          <w:rFonts w:eastAsia="Times New Roman" w:cstheme="minorHAnsi"/>
          <w:lang w:val="en-US"/>
        </w:rPr>
        <w:t>care-seeking</w:t>
      </w:r>
      <w:r w:rsidRPr="004605BE">
        <w:rPr>
          <w:rFonts w:eastAsia="Times New Roman" w:cstheme="minorHAnsi"/>
          <w:lang w:val="en-US"/>
        </w:rPr>
        <w:t xml:space="preserve"> data (broken down into the stages identified by the Pathways to Survival framework). Where the published manuscript did not disaggregate the data in a way that could be aligned to the criteria we used in this review, authors were contacted to ask for a more detailed breakdown of the original data.</w:t>
      </w:r>
    </w:p>
    <w:p w14:paraId="0B355A21" w14:textId="12A96A71" w:rsidR="00F32256" w:rsidRDefault="00F32256" w:rsidP="00187AA8">
      <w:pPr>
        <w:pStyle w:val="Heading2"/>
        <w:spacing w:line="360" w:lineRule="auto"/>
      </w:pPr>
      <w:r>
        <w:t>Quality appraisal</w:t>
      </w:r>
    </w:p>
    <w:p w14:paraId="18CF487B" w14:textId="2A6F5D05" w:rsidR="00F32256" w:rsidRDefault="00F32256" w:rsidP="00187AA8">
      <w:pPr>
        <w:spacing w:line="360" w:lineRule="auto"/>
      </w:pPr>
      <w:r>
        <w:t xml:space="preserve">We adapted </w:t>
      </w:r>
      <w:r w:rsidR="00A02D27">
        <w:t xml:space="preserve">the </w:t>
      </w:r>
      <w:r>
        <w:t>AXIS tool for cross sectional studies</w:t>
      </w:r>
      <w:r w:rsidR="00A02D27">
        <w:t xml:space="preserve"> to allow us to assess study quality</w:t>
      </w:r>
      <w:r w:rsidR="00C14B9F">
        <w:t xml:space="preserve"> </w:t>
      </w:r>
      <w:r w:rsidR="00885AAC">
        <w:fldChar w:fldCharType="begin" w:fldLock="1"/>
      </w:r>
      <w:r w:rsidR="00CD0705">
        <w:instrText>ADDIN CSL_CITATION {"citationItems":[{"id":"ITEM-1","itemData":{"DOI":"10.1136/bmjopen-2016-011458","ISSN":"2044-6055","PMID":"27932337","abstract":"OBJECTIVES The aim of this study was to develop a critical appraisal (CA) tool that addressed study design and reporting quality as well as the risk of bias in cross-sectional studies (CSSs). In addition, the aim was to produce a help document to guide the non-expert user through the tool. DESIGN An initial scoping review of the published literature and key epidemiological texts was undertaken prior to the formation of a Delphi panel to establish key components for a CA tool for CSSs. A consensus of 80% was required from the Delphi panel for any component to be included in the final tool. RESULTS An initial list of 39 components was identified through examination of existing resources. An international Delphi panel of 18 medical and veterinary experts was established. After 3 rounds of the Delphi process, the Appraisal tool for Cross-Sectional Studies (AXIS tool) was developed by consensus and consisted of 20 components. A detailed explanatory document was also developed with the tool, giving expanded explanation of each question and providing simple interpretations and examples of the epidemiological concepts being examined in each question to aid non-expert users. CONCLUSIONS CA of the literature is a vital step in evidence synthesis and therefore evidence-based decision-making in a number of different disciplines. The AXIS tool is therefore unique and was developed in a way that it can be used across disciplines to aid the inclusion of CSSs in systematic reviews, guidelines and clinical decision-making.","author":[{"dropping-particle":"","family":"Downes","given":"Martin J","non-dropping-particle":"","parse-names":false,"suffix":""},{"dropping-particle":"","family":"Brennan","given":"Marnie L","non-dropping-particle":"","parse-names":false,"suffix":""},{"dropping-particle":"","family":"Williams","given":"Hywel C","non-dropping-particle":"","parse-names":false,"suffix":""},{"dropping-particle":"","family":"Dean","given":"Rachel S","non-dropping-particle":"","parse-names":false,"suffix":""}],"container-title":"BMJ open","id":"ITEM-1","issue":"12","issued":{"date-parts":[["2016","12","8"]]},"page":"e011458","publisher":"British Medical Journal Publishing Group","title":"Development of a critical appraisal tool to assess the quality of cross-sectional studies (AXIS).","type":"article-journal","volume":"6"},"uris":["http://www.mendeley.com/documents/?uuid=f0e1e2b2-55ac-300e-99a4-e7ecc711cc86"]}],"mendeley":{"formattedCitation":"(12)","manualFormatting":"[12","plainTextFormattedCitation":"(12)","previouslyFormattedCitation":"(12)"},"properties":{"noteIndex":0},"schema":"https://github.com/citation-style-language/schema/raw/master/csl-citation.json"}</w:instrText>
      </w:r>
      <w:r w:rsidR="00885AAC">
        <w:fldChar w:fldCharType="separate"/>
      </w:r>
      <w:r w:rsidR="005D7725">
        <w:rPr>
          <w:noProof/>
        </w:rPr>
        <w:t>[</w:t>
      </w:r>
      <w:r w:rsidR="00303FFB" w:rsidRPr="00303FFB">
        <w:rPr>
          <w:noProof/>
        </w:rPr>
        <w:t>12</w:t>
      </w:r>
      <w:r w:rsidR="00885AAC">
        <w:fldChar w:fldCharType="end"/>
      </w:r>
      <w:r w:rsidR="005D7725">
        <w:t>]</w:t>
      </w:r>
      <w:r w:rsidR="00A02D27">
        <w:t xml:space="preserve"> (</w:t>
      </w:r>
      <w:r w:rsidR="00C14B9F">
        <w:t>a</w:t>
      </w:r>
      <w:r w:rsidR="00A02D27">
        <w:t>ppendix 1)</w:t>
      </w:r>
      <w:r>
        <w:t xml:space="preserve">. </w:t>
      </w:r>
      <w:r w:rsidR="00D023DC">
        <w:t xml:space="preserve">This was necessary as we included studies with different objectives to our own as long as they reported data we could use. </w:t>
      </w:r>
      <w:r>
        <w:t>We adapted the scoring system</w:t>
      </w:r>
      <w:r w:rsidR="00D023DC">
        <w:t xml:space="preserve"> retaining points relevant to data collection but removing</w:t>
      </w:r>
      <w:r>
        <w:t xml:space="preserve"> points not relevant to </w:t>
      </w:r>
      <w:r w:rsidR="00D023DC">
        <w:t>our objectives</w:t>
      </w:r>
      <w:r>
        <w:t xml:space="preserve"> (and thus to assessing those aspects of the study relevant to the inclusion of </w:t>
      </w:r>
      <w:r w:rsidR="00D023DC">
        <w:t xml:space="preserve">the </w:t>
      </w:r>
      <w:r>
        <w:t xml:space="preserve">data in the meta-analysis) </w:t>
      </w:r>
      <w:r w:rsidR="00F22B31" w:rsidRPr="0061013B">
        <w:t>eg,</w:t>
      </w:r>
      <w:r>
        <w:t xml:space="preserve"> were the author’s discussions and conclusions justified by the results</w:t>
      </w:r>
      <w:r w:rsidR="0081142D">
        <w:t>. Quality indicator</w:t>
      </w:r>
      <w:r w:rsidR="004022F7">
        <w:t>s</w:t>
      </w:r>
      <w:r w:rsidR="0081142D">
        <w:t xml:space="preserve"> were also re</w:t>
      </w:r>
      <w:r w:rsidR="00D023DC">
        <w:t>-</w:t>
      </w:r>
      <w:r w:rsidR="0081142D">
        <w:t xml:space="preserve">worded </w:t>
      </w:r>
      <w:r w:rsidR="002F6ED0">
        <w:t xml:space="preserve">from the negative to the affirmative such that the presence of each indicator (which demonstrated improved quality) was </w:t>
      </w:r>
      <w:r>
        <w:t xml:space="preserve">associated with a higher score. For studies that had different aims and objectives to ours, we </w:t>
      </w:r>
      <w:r w:rsidR="004605BE">
        <w:t>evaluated each quality indicator in relation to the aims and objectives of this review rather than the aim of the original study.</w:t>
      </w:r>
      <w:r>
        <w:t xml:space="preserve"> Two reviewers independently assessed each study, awarding 1 point where the criterion was met, and resulting in a final score calculation as a proportion between 0 (poor quality) and 1 (high quality). </w:t>
      </w:r>
      <w:r w:rsidR="00D023DC">
        <w:t>Conflicts were agreed with discussion.</w:t>
      </w:r>
    </w:p>
    <w:p w14:paraId="631C5BC4" w14:textId="6EC8C38A" w:rsidR="00F32256" w:rsidRDefault="003E0C9E" w:rsidP="00187AA8">
      <w:pPr>
        <w:pStyle w:val="Heading2"/>
        <w:spacing w:line="360" w:lineRule="auto"/>
      </w:pPr>
      <w:r>
        <w:t>Statistical a</w:t>
      </w:r>
      <w:r w:rsidR="00F32256">
        <w:t>nalysis</w:t>
      </w:r>
    </w:p>
    <w:p w14:paraId="51F95A2D" w14:textId="00C79186" w:rsidR="00F32256" w:rsidRDefault="00F32256" w:rsidP="00187AA8">
      <w:pPr>
        <w:spacing w:line="360" w:lineRule="auto"/>
      </w:pPr>
      <w:r>
        <w:t xml:space="preserve">We pooled proportions using random effects meta-analysis, after the Freeman-Tukey Double Arcsine Transformation of variances, using </w:t>
      </w:r>
      <w:r w:rsidR="008846A8">
        <w:t>S</w:t>
      </w:r>
      <w:r>
        <w:t xml:space="preserve">tata command </w:t>
      </w:r>
      <w:r w:rsidRPr="004D3AC5">
        <w:rPr>
          <w:i/>
        </w:rPr>
        <w:t>metaprop</w:t>
      </w:r>
      <w:r w:rsidR="00341003">
        <w:rPr>
          <w:i/>
        </w:rPr>
        <w:t xml:space="preserve"> </w:t>
      </w:r>
      <w:r w:rsidR="00341003">
        <w:rPr>
          <w:i/>
        </w:rPr>
        <w:fldChar w:fldCharType="begin" w:fldLock="1"/>
      </w:r>
      <w:r w:rsidR="00CD0705">
        <w:rPr>
          <w:i/>
        </w:rPr>
        <w:instrText>ADDIN CSL_CITATION {"citationItems":[{"id":"ITEM-1","itemData":{"DOI":"10.1186/2049-3258-72-39","ISSN":"2049-3258","abstract":"Meta-analyses have become an essential tool in synthesizing evidence on clinical and epidemiological questions derived from a multitude of similar studies assessing the particular issue. Appropriate and accessible statistical software is needed to produce the summary statistic of interest. \nMetaprop is a statistical program implemented to perform meta-analyses of proportions in Stata. It builds further on the existing Stata procedure metan which is typically used to pool effects (risk ratios, odds ratios, differences of risks or means) but which is also used to pool proportions. Metaprop implements procedures which are specific to binomial data and allows computation of exact binomial and score test-based confidence intervals. It provides appropriate methods for dealing with proportions close to or at the margins where the normal approximation procedures often break down, by use of the binomial distribution to model the within-study variability or by allowing Freeman-Tukey double arcsine transformation to stabilize the variances. Metaprop was applied on two published meta-analyses: 1) prevalence of HPV-infection in women with a Pap smear showing ASC-US; 2) cure rate after treatment for cervical precancer using cold coagulation. The first meta-analysis showed a pooled HPV-prevalence of 43% (95% CI: 38%-48%). In the second meta-analysis, the pooled percentage of cured women was 94% (95% CI: 86%-97%). By using metaprop, no studies with 0% or 100% proportions were excluded from the meta-analysis. Furthermore, study specific and pooled confidence intervals always were within admissible values, contrary to the original publication, where metan was used.","author":[{"dropping-particle":"","family":"Nyaga","given":"Victoria N","non-dropping-particle":"","parse-names":false,"suffix":""},{"dropping-particle":"","family":"Arbyn","given":"Marc","non-dropping-particle":"","parse-names":false,"suffix":""},{"dropping-particle":"","family":"Aerts","given":"Marc","non-dropping-particle":"","parse-names":false,"suffix":""}],"container-title":"Archives of Public Health","id":"ITEM-1","issue":"1","issued":{"date-parts":[["2014","12","10"]]},"page":"39","publisher":"BioMed Central","title":"Metaprop: a Stata command to perform meta-analysis of binomial data","type":"article-journal","volume":"72"},"uris":["http://www.mendeley.com/documents/?uuid=3ea7ad79-bb3d-346b-96e9-78cfa74eaffb"]}],"mendeley":{"formattedCitation":"(13)","manualFormatting":"[13","plainTextFormattedCitation":"(13)","previouslyFormattedCitation":"(13)"},"properties":{"noteIndex":0},"schema":"https://github.com/citation-style-language/schema/raw/master/csl-citation.json"}</w:instrText>
      </w:r>
      <w:r w:rsidR="00341003">
        <w:rPr>
          <w:i/>
        </w:rPr>
        <w:fldChar w:fldCharType="separate"/>
      </w:r>
      <w:r w:rsidR="005D7725">
        <w:rPr>
          <w:noProof/>
        </w:rPr>
        <w:t>[</w:t>
      </w:r>
      <w:r w:rsidR="00303FFB" w:rsidRPr="00303FFB">
        <w:rPr>
          <w:noProof/>
        </w:rPr>
        <w:t>13</w:t>
      </w:r>
      <w:r w:rsidR="00341003">
        <w:rPr>
          <w:i/>
        </w:rPr>
        <w:fldChar w:fldCharType="end"/>
      </w:r>
      <w:r w:rsidR="005D7725">
        <w:t>]</w:t>
      </w:r>
      <w:r>
        <w:t xml:space="preserve">. We used score (Wilson) estimation to calculate 95% confidence intervals. We used the </w:t>
      </w:r>
      <w:r w:rsidR="00617DA5">
        <w:t>I</w:t>
      </w:r>
      <w:r w:rsidR="00617DA5" w:rsidRPr="00617DA5">
        <w:rPr>
          <w:vertAlign w:val="superscript"/>
        </w:rPr>
        <w:t>2</w:t>
      </w:r>
      <w:r>
        <w:t xml:space="preserve"> statistic</w:t>
      </w:r>
      <w:r w:rsidR="00D023DC">
        <w:t xml:space="preserve"> as our measure of</w:t>
      </w:r>
      <w:r>
        <w:t xml:space="preserve"> </w:t>
      </w:r>
      <w:r w:rsidR="00D023DC">
        <w:t>statistical</w:t>
      </w:r>
      <w:r>
        <w:t xml:space="preserve"> heterogeneity.</w:t>
      </w:r>
      <w:r w:rsidR="0061013B">
        <w:t xml:space="preserve"> </w:t>
      </w:r>
      <w:r>
        <w:t xml:space="preserve">We estimated </w:t>
      </w:r>
      <w:r w:rsidR="00D023DC">
        <w:t xml:space="preserve">proportions </w:t>
      </w:r>
      <w:r>
        <w:t xml:space="preserve">in pre-specified sub-groups according to age group (neonatal or </w:t>
      </w:r>
      <w:r w:rsidR="00C14B9F">
        <w:t>infants and young children</w:t>
      </w:r>
      <w:r>
        <w:t xml:space="preserve">), national income status (low income, lower middle income and upper middle income), and the presence of </w:t>
      </w:r>
      <w:r w:rsidR="00364BEB">
        <w:t>user-fee</w:t>
      </w:r>
      <w:r>
        <w:t>s in each country (yes/no). Where studies only reported results for under-5 deaths overall, and we were unable to get an appropriate age breakdown after contacting the authors of the original publication, we grouped this data with results</w:t>
      </w:r>
      <w:r w:rsidR="00C14B9F">
        <w:t xml:space="preserve"> for infants and young children</w:t>
      </w:r>
      <w:r>
        <w:t>.</w:t>
      </w:r>
    </w:p>
    <w:p w14:paraId="6605405E" w14:textId="0074EB4F" w:rsidR="00F32256" w:rsidRPr="00D7394F" w:rsidRDefault="00F32256" w:rsidP="00187AA8">
      <w:pPr>
        <w:spacing w:line="360" w:lineRule="auto"/>
      </w:pPr>
      <w:r>
        <w:t xml:space="preserve">We used random-effects meta-regression to explore heterogeneity, assessing the association between each outcome and age group, national income status and user-fee policy, using </w:t>
      </w:r>
      <w:r w:rsidR="008846A8">
        <w:t>the S</w:t>
      </w:r>
      <w:r>
        <w:t xml:space="preserve">tata command </w:t>
      </w:r>
      <w:r w:rsidRPr="00277CCE">
        <w:rPr>
          <w:i/>
        </w:rPr>
        <w:t>metareg</w:t>
      </w:r>
      <w:r w:rsidR="00341003">
        <w:rPr>
          <w:i/>
        </w:rPr>
        <w:t xml:space="preserve"> </w:t>
      </w:r>
      <w:r w:rsidR="00341003">
        <w:rPr>
          <w:i/>
        </w:rPr>
        <w:fldChar w:fldCharType="begin" w:fldLock="1"/>
      </w:r>
      <w:r w:rsidR="00CD0705">
        <w:rPr>
          <w:i/>
        </w:rPr>
        <w:instrText>ADDIN CSL_CITATION {"citationItems":[{"id":"ITEM-1","itemData":{"abstract":"We present a revised version of the metareg command, which performs\r\nmeta-analysis regression (meta-regression) on study-level summary data. The major revisions involve improvements to the estimation methods and the addition of\r\nan option to use a permutation test to estimate p-values, including an adjustment\r\nfor multiple testing. We have also made additions to the output, added an option\r\nto produce a graph, and included support for the predict command. Stata 8.0 or\r\nabove is required.","author":[{"dropping-particle":"","family":"Joseph Newton","given":"Editor H","non-dropping-particle":"","parse-names":false,"suffix":""},{"dropping-particle":"","family":"Nicholas Cox","given":"Editor J","non-dropping-particle":"","parse-names":false,"suffix":""},{"dropping-particle":"","family":"Beck","given":"Nathaniel","non-dropping-particle":"","parse-names":false,"suffix":""},{"dropping-particle":"","family":"Bellocco","given":"Rino","non-dropping-particle":"","parse-names":false,"suffix":""},{"dropping-particle":"","family":"Buis","given":"Maarten L","non-dropping-particle":"","parse-names":false,"suffix":""},{"dropping-particle":"","family":"Colin Cameron","given":"A","non-dropping-particle":"","parse-names":false,"suffix":""},{"dropping-particle":"","family":"Cleves","given":"Mario A","non-dropping-particle":"","parse-names":false,"suffix":""},{"dropping-particle":"","family":"Dupont","given":"William D","non-dropping-particle":"","parse-names":false,"suffix":""},{"dropping-particle":"","family":"Epstein","given":"David","non-dropping-particle":"","parse-names":false,"suffix":""},{"dropping-particle":"","family":"Gregory","given":"Allan","non-dropping-particle":"","parse-names":false,"suffix":""},{"dropping-particle":"","family":"Hardin","given":"James","non-dropping-particle":"","parse-names":false,"suffix":""},{"dropping-particle":"","family":"Jann ETH Zürich","given":"Ben","non-dropping-particle":"","parse-names":false,"suffix":""},{"dropping-particle":"","family":"Stephen Jenkins","given":"Switzerland","non-dropping-particle":"","parse-names":false,"suffix":""},{"dropping-particle":"","family":"Kohler WZB","given":"Ulrich","non-dropping-particle":"","parse-names":false,"suffix":""},{"dropping-particle":"","family":"Frauke Kreuter","given":"Berlin","non-dropping-particle":"","parse-names":false,"suffix":""},{"dropping-particle":"","family":"Lauritsen","given":"Jens","non-dropping-particle":"","parse-names":false,"suffix":""},{"dropping-particle":"","family":"Scott Long","given":"J","non-dropping-particle":"","parse-names":false,"suffix":""},{"dropping-particle":"","family":"Lumley","given":"Thomas","non-dropping-particle":"","parse-names":false,"suffix":""},{"dropping-particle":"","family":"Newson","given":"Roger","non-dropping-particle":"","parse-names":false,"suffix":""},{"dropping-particle":"","family":"Nichols","given":"Austin","non-dropping-particle":"","parse-names":false,"suffix":""},{"dropping-particle":"","family":"Pagano","given":"Marcello","non-dropping-particle":"","parse-names":false,"suffix":""},{"dropping-particle":"","family":"Rabe-Hesketh","given":"Sophia","non-dropping-particle":"","parse-names":false,"suffix":""},{"dropping-particle":"","family":"Patrick Royston","given":"J","non-dropping-particle":"","parse-names":false,"suffix":""},{"dropping-particle":"","family":"Ryan","given":"Philip","non-dropping-particle":"","parse-names":false,"suffix":""},{"dropping-particle":"","family":"Schaffer","given":"Mark E","non-dropping-particle":"","parse-names":false,"suffix":""},{"dropping-particle":"","family":"Weesie","given":"Jeroen","non-dropping-particle":"","parse-names":false,"suffix":""},{"dropping-particle":"","family":"G Winter","given":"Nicholas J","non-dropping-particle":"","parse-names":false,"suffix":""},{"dropping-particle":"","family":"Wooldridge","given":"Jeffrey","non-dropping-particle":"","parse-names":false,"suffix":""},{"dropping-particle":"","family":"Gilmore Jennifer Neve","given":"Lisa","non-dropping-particle":"","parse-names":false,"suffix":""},{"dropping-particle":"","family":"Patterson","given":"Deirdre","non-dropping-particle":"","parse-names":false,"suffix":""}],"container-title":"The Stata Journal","id":"ITEM-1","issue":"4","issued":{"date-parts":[["2008"]]},"page":"493-519","title":"Meta-regression in Stata","type":"article-journal","volume":"8"},"uris":["http://www.mendeley.com/documents/?uuid=47467fdf-96ed-3ac3-9ca2-9e87e626dcc7"]}],"mendeley":{"formattedCitation":"(14)","manualFormatting":"[14","plainTextFormattedCitation":"(14)","previouslyFormattedCitation":"(14)"},"properties":{"noteIndex":0},"schema":"https://github.com/citation-style-language/schema/raw/master/csl-citation.json"}</w:instrText>
      </w:r>
      <w:r w:rsidR="00341003">
        <w:rPr>
          <w:i/>
        </w:rPr>
        <w:fldChar w:fldCharType="separate"/>
      </w:r>
      <w:r w:rsidR="005D7725">
        <w:rPr>
          <w:noProof/>
        </w:rPr>
        <w:t>[</w:t>
      </w:r>
      <w:r w:rsidR="00303FFB" w:rsidRPr="00303FFB">
        <w:rPr>
          <w:noProof/>
        </w:rPr>
        <w:t>14</w:t>
      </w:r>
      <w:r w:rsidR="00341003">
        <w:rPr>
          <w:i/>
        </w:rPr>
        <w:fldChar w:fldCharType="end"/>
      </w:r>
      <w:r w:rsidR="00D7394F">
        <w:t>]</w:t>
      </w:r>
      <w:r w:rsidRPr="00D7394F">
        <w:t>.</w:t>
      </w:r>
    </w:p>
    <w:p w14:paraId="33890CE3" w14:textId="6583AEFB" w:rsidR="00F32256" w:rsidRPr="003E0C9E" w:rsidRDefault="003E0C9E" w:rsidP="00187AA8">
      <w:pPr>
        <w:pStyle w:val="Heading1"/>
        <w:spacing w:line="360" w:lineRule="auto"/>
        <w:rPr>
          <w:b/>
        </w:rPr>
      </w:pPr>
      <w:r w:rsidRPr="003E0C9E">
        <w:rPr>
          <w:b/>
        </w:rPr>
        <w:t>RESULTS</w:t>
      </w:r>
    </w:p>
    <w:p w14:paraId="0536BA4B" w14:textId="5544864C" w:rsidR="00F32256" w:rsidRDefault="00F32256" w:rsidP="00187AA8">
      <w:pPr>
        <w:pStyle w:val="Heading2"/>
        <w:spacing w:line="360" w:lineRule="auto"/>
      </w:pPr>
      <w:r>
        <w:t>Search</w:t>
      </w:r>
    </w:p>
    <w:p w14:paraId="1F957A7B" w14:textId="2FB2E2EF" w:rsidR="00F32256" w:rsidRDefault="00F32256" w:rsidP="00187AA8">
      <w:pPr>
        <w:spacing w:line="360" w:lineRule="auto"/>
      </w:pPr>
      <w:r>
        <w:t>The literature search found 5102 citations. After deduplication, 279</w:t>
      </w:r>
      <w:r w:rsidR="008B650B">
        <w:t>4</w:t>
      </w:r>
      <w:r>
        <w:t xml:space="preserve"> citations remained for title and abstract screening.</w:t>
      </w:r>
      <w:r w:rsidR="0061013B">
        <w:t xml:space="preserve"> </w:t>
      </w:r>
      <w:r w:rsidR="000746A6">
        <w:t>In addition, our review of reference lists identified one further research report that was included giving a total 279</w:t>
      </w:r>
      <w:r w:rsidR="008B650B">
        <w:t>5</w:t>
      </w:r>
      <w:r w:rsidR="000746A6">
        <w:t xml:space="preserve"> abstracts.</w:t>
      </w:r>
      <w:r w:rsidR="00C14B9F">
        <w:t xml:space="preserve"> After t</w:t>
      </w:r>
      <w:r w:rsidR="008B650B">
        <w:t>wo reviewers independently</w:t>
      </w:r>
      <w:r>
        <w:t xml:space="preserve"> screen</w:t>
      </w:r>
      <w:r w:rsidR="008B650B">
        <w:t xml:space="preserve">ed all titles and abstracts, </w:t>
      </w:r>
      <w:r w:rsidR="000746A6">
        <w:t>60</w:t>
      </w:r>
      <w:r>
        <w:t xml:space="preserve"> studies </w:t>
      </w:r>
      <w:r w:rsidR="008B650B">
        <w:t xml:space="preserve">were </w:t>
      </w:r>
      <w:r w:rsidR="00AC4846">
        <w:t xml:space="preserve">included </w:t>
      </w:r>
      <w:r>
        <w:t xml:space="preserve">for full text review, </w:t>
      </w:r>
      <w:r w:rsidR="008B650B">
        <w:t>and</w:t>
      </w:r>
      <w:r>
        <w:t xml:space="preserve"> 3</w:t>
      </w:r>
      <w:r w:rsidR="000746A6">
        <w:t>4</w:t>
      </w:r>
      <w:r>
        <w:t xml:space="preserve"> were i</w:t>
      </w:r>
      <w:r w:rsidR="003E0C9E">
        <w:t>ncluded in the final analysis. (</w:t>
      </w:r>
      <w:r w:rsidR="003E0C9E" w:rsidRPr="003E0C9E">
        <w:rPr>
          <w:b/>
        </w:rPr>
        <w:t>Figure</w:t>
      </w:r>
      <w:r w:rsidRPr="003E0C9E">
        <w:rPr>
          <w:b/>
        </w:rPr>
        <w:t xml:space="preserve"> 1</w:t>
      </w:r>
      <w:r>
        <w:t>).</w:t>
      </w:r>
    </w:p>
    <w:p w14:paraId="6355E0BA" w14:textId="7B150931" w:rsidR="00BA1DFE" w:rsidRDefault="003E0C9E" w:rsidP="00187AA8">
      <w:pPr>
        <w:spacing w:line="360" w:lineRule="auto"/>
      </w:pPr>
      <w:r w:rsidRPr="003E0C9E">
        <w:rPr>
          <w:b/>
          <w:highlight w:val="yellow"/>
        </w:rPr>
        <w:t>Figure</w:t>
      </w:r>
      <w:r w:rsidR="00BA1DFE" w:rsidRPr="003E0C9E">
        <w:rPr>
          <w:highlight w:val="yellow"/>
        </w:rPr>
        <w:t xml:space="preserve"> 1 here</w:t>
      </w:r>
    </w:p>
    <w:p w14:paraId="4488931B" w14:textId="61F0283D" w:rsidR="00F32256" w:rsidRDefault="00F32256" w:rsidP="00187AA8">
      <w:pPr>
        <w:pStyle w:val="Heading2"/>
        <w:spacing w:line="360" w:lineRule="auto"/>
      </w:pPr>
      <w:r>
        <w:t>Included studies characteristics</w:t>
      </w:r>
    </w:p>
    <w:p w14:paraId="1159E104" w14:textId="1998E982" w:rsidR="00BA1DFE" w:rsidRDefault="00F32256" w:rsidP="00187AA8">
      <w:pPr>
        <w:spacing w:line="360" w:lineRule="auto"/>
      </w:pPr>
      <w:r>
        <w:t>Characteristics of the incl</w:t>
      </w:r>
      <w:r w:rsidR="003E0C9E">
        <w:t xml:space="preserve">uded studies are summarised in </w:t>
      </w:r>
      <w:r w:rsidR="003E0C9E" w:rsidRPr="003E0C9E">
        <w:rPr>
          <w:b/>
        </w:rPr>
        <w:t>T</w:t>
      </w:r>
      <w:r w:rsidRPr="003E0C9E">
        <w:rPr>
          <w:b/>
        </w:rPr>
        <w:t>able 1</w:t>
      </w:r>
      <w:r>
        <w:t xml:space="preserve">. Sixteen studies reported on neonatal deaths, 22 on deaths </w:t>
      </w:r>
      <w:r w:rsidR="00C47C8D">
        <w:t xml:space="preserve">of infants and young children </w:t>
      </w:r>
      <w:r>
        <w:t xml:space="preserve">and seven on overall under-5 deaths. Data was drawn from 17 </w:t>
      </w:r>
      <w:r w:rsidRPr="00F32256">
        <w:t>countries</w:t>
      </w:r>
      <w:r w:rsidR="00BA1DFE">
        <w:t xml:space="preserve"> (</w:t>
      </w:r>
      <w:r w:rsidR="003E0C9E" w:rsidRPr="003E0C9E">
        <w:rPr>
          <w:b/>
        </w:rPr>
        <w:t>Figure</w:t>
      </w:r>
      <w:r w:rsidR="00BA1DFE">
        <w:t xml:space="preserve"> </w:t>
      </w:r>
      <w:r w:rsidR="00BA1DFE" w:rsidRPr="003E0C9E">
        <w:rPr>
          <w:b/>
        </w:rPr>
        <w:t>2</w:t>
      </w:r>
      <w:r w:rsidR="00BA1DFE">
        <w:t>)</w:t>
      </w:r>
      <w:r w:rsidRPr="00F32256">
        <w:t>, 1</w:t>
      </w:r>
      <w:r w:rsidR="00C47C8D">
        <w:t>3</w:t>
      </w:r>
      <w:r w:rsidRPr="00F32256">
        <w:t xml:space="preserve"> low</w:t>
      </w:r>
      <w:r w:rsidR="00F22B31">
        <w:t>-</w:t>
      </w:r>
      <w:r w:rsidRPr="00F32256">
        <w:t xml:space="preserve">income countries, </w:t>
      </w:r>
      <w:r w:rsidR="00C47C8D">
        <w:t>3</w:t>
      </w:r>
      <w:r w:rsidRPr="00F32256">
        <w:t xml:space="preserve"> lower middle income countries and 1</w:t>
      </w:r>
      <w:r w:rsidR="00BA1DFE">
        <w:t xml:space="preserve"> </w:t>
      </w:r>
      <w:r w:rsidRPr="00F32256">
        <w:t xml:space="preserve">upper middle income country. Sixteen studies were conducted in settings where </w:t>
      </w:r>
      <w:r w:rsidR="00364BEB">
        <w:t>user-fee</w:t>
      </w:r>
      <w:r w:rsidRPr="00F32256">
        <w:t>s are charged at government facilities at the point of care, while 21</w:t>
      </w:r>
      <w:r w:rsidR="00BA1DFE">
        <w:t xml:space="preserve"> </w:t>
      </w:r>
      <w:r w:rsidRPr="00F32256">
        <w:t xml:space="preserve">were from settings where governments had abolished </w:t>
      </w:r>
      <w:r w:rsidR="00364BEB">
        <w:t>user-fee</w:t>
      </w:r>
      <w:r w:rsidRPr="00F32256">
        <w:t>s. In one study</w:t>
      </w:r>
      <w:r w:rsidR="00BF1805">
        <w:t xml:space="preserve"> </w:t>
      </w:r>
      <w:r w:rsidR="00D023DC">
        <w:t xml:space="preserve">in </w:t>
      </w:r>
      <w:r w:rsidR="00631F7E">
        <w:t>Ghana</w:t>
      </w:r>
      <w:r w:rsidR="00C47C8D">
        <w:t xml:space="preserve"> </w:t>
      </w:r>
      <w:r w:rsidR="00C47C8D">
        <w:fldChar w:fldCharType="begin" w:fldLock="1"/>
      </w:r>
      <w:r w:rsidR="00876406">
        <w:instrText>ADDIN CSL_CITATION {"citationItems":[{"id":"ITEM-1","itemData":{"DOI":"http://dx.doi.org/10.4081/jphia.2011.e18","ISSN":"2038-9922","abstract":"The availability of mortality data for any society plays an essential role in health monitoring and evaluation, as well as in the design of health interventions. However, most resource-poor countries such as Ghana have no reliable vital registration system. In these instances, verbal autopsy (VA) may be used as an alternative method to gather mortality data. In rural Ghana, the research team utilized a VA questionnaire to interview caretakers who for the individual child. During the study period, we recorded 118 deaths from 92 households. Twenty-nine (24.6%) were neonatal deaths with the leading causes of death being neonatal sepsis, birth asphyxia and pneumonia. The remaining 89 (75.4%) were postneonatal deaths with the most common causes of death being pneumonia, malaria and malnutrition. While 63/118 (53.4%) deaths occurred in the home, there is no statistically significant relationship between the location of the home and the time of travel to the nearest health facility (P=0.132). VA is an important epidemiological tool for obtaining mortality data in communities that lack reliable vital registration systems. Improvement in health care is necessary to address the large number of deaths occurring in the home., Copyright © S. Manortey et al., 2011.","author":[{"dropping-particle":"","family":"Manortey","given":"S","non-dropping-particle":"","parse-names":false,"suffix":""},{"dropping-particle":"","family":"Carey","given":"A","non-dropping-particle":"","parse-names":false,"suffix":""},{"dropping-particle":"","family":"Ansong","given":"D","non-dropping-particle":"","parse-names":false,"suffix":""},{"dropping-particle":"","family":"Harvey","given":"R","non-dropping-particle":"","parse-names":false,"suffix":""},{"dropping-particle":"","family":"Good","given":"B","non-dropping-particle":"","parse-names":false,"suffix":""},{"dropping-particle":"","family":"Boaheng","given":"J","non-dropping-particle":"","parse-names":false,"suffix":""},{"dropping-particle":"","family":"Crookston","given":"B","non-dropping-particle":"","parse-names":false,"suffix":""},{"dropping-particle":"","family":"Dickerson","given":"T","non-dropping-particle":"","parse-names":false,"suffix":""}],"container-title":"Journal of Public Health in Africa","id":"ITEM-1","issue":"2","issued":{"date-parts":[["2011"]]},"page":"73-77","publisher":"Page Press Publications (via Giuseppe Belli, Pavia 7, 27100, Italy)","publisher-place":"S. Manortey, Department of Family and Preventive Medicine, University of Utah, 375 Chipeta Way, Suite A, Salt Lake City, UT 84108, United States. E-mail: steve.manortey@utah.edu","title":"Verbal autopsy: An analysis of the common causes of childhood death in the Barekese sub-district of Ghana","type":"article-journal","volume":"2"},"uris":["http://www.mendeley.com/documents/?uuid=4b399e53-9184-496e-b239-3e06f7f989fd"]}],"mendeley":{"formattedCitation":"(15)","manualFormatting":"[15","plainTextFormattedCitation":"(15)","previouslyFormattedCitation":"(15)"},"properties":{"noteIndex":0},"schema":"https://github.com/citation-style-language/schema/raw/master/csl-citation.json"}</w:instrText>
      </w:r>
      <w:r w:rsidR="00C47C8D">
        <w:fldChar w:fldCharType="separate"/>
      </w:r>
      <w:r w:rsidR="00876406">
        <w:rPr>
          <w:noProof/>
        </w:rPr>
        <w:t>[</w:t>
      </w:r>
      <w:r w:rsidR="00876406" w:rsidRPr="00876406">
        <w:rPr>
          <w:noProof/>
        </w:rPr>
        <w:t>15</w:t>
      </w:r>
      <w:r w:rsidR="00C47C8D">
        <w:fldChar w:fldCharType="end"/>
      </w:r>
      <w:r w:rsidR="00876406">
        <w:t>]</w:t>
      </w:r>
      <w:r w:rsidR="00C47C8D">
        <w:t xml:space="preserve">, </w:t>
      </w:r>
      <w:r w:rsidRPr="00F32256">
        <w:t xml:space="preserve">the </w:t>
      </w:r>
      <w:r w:rsidR="00364BEB">
        <w:t>user-fee</w:t>
      </w:r>
      <w:r w:rsidRPr="00F32256">
        <w:t xml:space="preserve"> policy was changed during the observation period, and in</w:t>
      </w:r>
      <w:r w:rsidR="00631F7E">
        <w:t xml:space="preserve"> Nigeria </w:t>
      </w:r>
      <w:r w:rsidR="00BF1805">
        <w:fldChar w:fldCharType="begin" w:fldLock="1"/>
      </w:r>
      <w:r w:rsidR="00876406">
        <w:instrText>ADDIN CSL_CITATION {"citationItems":[{"id":"ITEM-1","itemData":{"DOI":"10.1371/journal.pone.0177025","ISSN":"1932-6203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one","id":"ITEM-1","issue":"5","issued":{"date-parts":[["2017"]]},"language":"eng","page":"e0177025","publisher-place":"United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mendeley":{"formattedCitation":"(4)","manualFormatting":"[4","plainTextFormattedCitation":"(4)","previouslyFormattedCitation":"(4)"},"properties":{"noteIndex":0},"schema":"https://github.com/citation-style-language/schema/raw/master/csl-citation.json"}</w:instrText>
      </w:r>
      <w:r w:rsidR="00BF1805">
        <w:fldChar w:fldCharType="separate"/>
      </w:r>
      <w:r w:rsidR="00876406">
        <w:rPr>
          <w:noProof/>
        </w:rPr>
        <w:t>[</w:t>
      </w:r>
      <w:r w:rsidR="00303FFB" w:rsidRPr="00303FFB">
        <w:rPr>
          <w:noProof/>
        </w:rPr>
        <w:t>4</w:t>
      </w:r>
      <w:r w:rsidR="00BF1805">
        <w:fldChar w:fldCharType="end"/>
      </w:r>
      <w:r w:rsidR="00876406">
        <w:t>]</w:t>
      </w:r>
      <w:r w:rsidRPr="00F32256">
        <w:t xml:space="preserve"> </w:t>
      </w:r>
      <w:r w:rsidR="00364BEB">
        <w:t>user-fee</w:t>
      </w:r>
      <w:r w:rsidRPr="00F32256">
        <w:t xml:space="preserve"> policy varies across states</w:t>
      </w:r>
      <w:r w:rsidR="00631F7E">
        <w:t xml:space="preserve"> </w:t>
      </w:r>
      <w:r w:rsidR="00631F7E">
        <w:fldChar w:fldCharType="begin" w:fldLock="1"/>
      </w:r>
      <w:r w:rsidR="00876406">
        <w:instrText>ADDIN CSL_CITATION {"citationItems":[{"id":"ITEM-1","itemData":{"DOI":"10.1016/J.HEALTHPOL.2010.07.013","ISSN":"0168-8510","abstract":"The study was designed to determine the outcome of an advocacy program aimed at implementing a policy of free maternal and child health (MCH) services in Nigeria. The team conducted a situational analysis on costing of MCH services, and used the results to conduct public health education and advocacy. Advocacy consisted of public presentation on MCH to high-level policymakers, dissemination of situational analysis report, and media publicity. The implementation of free MCH services at national and sub-national levels was assessed 3 years after. The results showed that the number of States offering comprehensive free MCH services increased from four to nine; the States offering partially free MCH services increased from 11 to 14 (8.1% increase); while those not offering any form of free treatment decreased from 22 to 14 (21.7% decrease). We conclude that advocacy and public health education is effective in increasing the commitment of policymakers to provide resources for implementing evidence-based maternal and child health services in Nigeria.","author":[{"dropping-particle":"","family":"Okonofua","given":"Friday","non-dropping-particle":"","parse-names":false,"suffix":""},{"dropping-particle":"","family":"Lambo","given":"Eyitayo","non-dropping-particle":"","parse-names":false,"suffix":""},{"dropping-particle":"","family":"Okeibunor","given":"John","non-dropping-particle":"","parse-names":false,"suffix":""},{"dropping-particle":"","family":"Agholor","given":"Kingsley","non-dropping-particle":"","parse-names":false,"suffix":""}],"container-title":"Health Policy","id":"ITEM-1","issue":"2","issued":{"date-parts":[["2011","2","1"]]},"page":"131-138","publisher":"Elsevier","title":"Advocacy for free maternal and child health care in Nigeria—Results and outcomes","type":"article-journal","volume":"99"},"uris":["http://www.mendeley.com/documents/?uuid=20d233ab-4ad6-3025-ab7c-1277e137e0b8"]}],"mendeley":{"formattedCitation":"(16)","manualFormatting":"[16","plainTextFormattedCitation":"(16)","previouslyFormattedCitation":"(16)"},"properties":{"noteIndex":0},"schema":"https://github.com/citation-style-language/schema/raw/master/csl-citation.json"}</w:instrText>
      </w:r>
      <w:r w:rsidR="00631F7E">
        <w:fldChar w:fldCharType="separate"/>
      </w:r>
      <w:r w:rsidR="00876406">
        <w:rPr>
          <w:noProof/>
        </w:rPr>
        <w:t>[</w:t>
      </w:r>
      <w:r w:rsidR="00876406" w:rsidRPr="00876406">
        <w:rPr>
          <w:noProof/>
        </w:rPr>
        <w:t>16</w:t>
      </w:r>
      <w:r w:rsidR="00631F7E">
        <w:fldChar w:fldCharType="end"/>
      </w:r>
      <w:r w:rsidR="00876406">
        <w:t>]</w:t>
      </w:r>
      <w:r w:rsidRPr="00F32256">
        <w:t>, and so both studies w</w:t>
      </w:r>
      <w:r>
        <w:t>ere</w:t>
      </w:r>
      <w:r w:rsidRPr="00F32256">
        <w:t xml:space="preserve"> excluded from the relevant sub-analysis</w:t>
      </w:r>
      <w:r>
        <w:t>.</w:t>
      </w:r>
    </w:p>
    <w:p w14:paraId="42BBCAD0" w14:textId="2AC5630C" w:rsidR="00BA1DFE" w:rsidRDefault="003E0C9E" w:rsidP="00187AA8">
      <w:pPr>
        <w:spacing w:line="360" w:lineRule="auto"/>
      </w:pPr>
      <w:r w:rsidRPr="003E0C9E">
        <w:rPr>
          <w:b/>
          <w:highlight w:val="yellow"/>
        </w:rPr>
        <w:t>Figure</w:t>
      </w:r>
      <w:r w:rsidR="00BA1DFE" w:rsidRPr="003E0C9E">
        <w:rPr>
          <w:highlight w:val="yellow"/>
        </w:rPr>
        <w:t xml:space="preserve"> 2 here</w:t>
      </w:r>
    </w:p>
    <w:p w14:paraId="33395586" w14:textId="4D10D6F1" w:rsidR="00B605CB" w:rsidRDefault="00BA1DFE" w:rsidP="00B605CB">
      <w:pPr>
        <w:spacing w:line="360" w:lineRule="auto"/>
      </w:pPr>
      <w:r w:rsidRPr="003E0C9E">
        <w:rPr>
          <w:highlight w:val="yellow"/>
        </w:rPr>
        <w:t>Table 1 here</w:t>
      </w:r>
    </w:p>
    <w:p w14:paraId="41E9DAE9" w14:textId="11616F1B" w:rsidR="00F32256" w:rsidRDefault="00F32256" w:rsidP="00187AA8">
      <w:pPr>
        <w:pStyle w:val="Heading2"/>
        <w:spacing w:line="360" w:lineRule="auto"/>
      </w:pPr>
      <w:r>
        <w:t>Quality appraisal</w:t>
      </w:r>
    </w:p>
    <w:p w14:paraId="437FEC25" w14:textId="0CC2EF21" w:rsidR="00F32256" w:rsidRPr="007716A9" w:rsidRDefault="00F32256" w:rsidP="00187AA8">
      <w:pPr>
        <w:spacing w:line="360" w:lineRule="auto"/>
      </w:pPr>
      <w:r>
        <w:t>Study quality ranged from 0.21-1.00 (</w:t>
      </w:r>
      <w:r w:rsidR="00F22B31">
        <w:t xml:space="preserve">Table S1 in the </w:t>
      </w:r>
      <w:r w:rsidR="00F22B31" w:rsidRPr="00F22B31">
        <w:rPr>
          <w:b/>
        </w:rPr>
        <w:t>Online Supplementary Document</w:t>
      </w:r>
      <w:r>
        <w:t>). The most common problems identified in the included studies were</w:t>
      </w:r>
      <w:r w:rsidR="00D73DD2">
        <w:t xml:space="preserve"> failing to report on all stages of the care pathway, </w:t>
      </w:r>
      <w:r>
        <w:t>fail</w:t>
      </w:r>
      <w:r w:rsidR="00D73DD2">
        <w:t>ing</w:t>
      </w:r>
      <w:r>
        <w:t xml:space="preserve"> to report the response rat</w:t>
      </w:r>
      <w:r w:rsidR="00D73DD2">
        <w:t>e and</w:t>
      </w:r>
      <w:r>
        <w:t xml:space="preserve"> fail</w:t>
      </w:r>
      <w:r w:rsidR="00D73DD2">
        <w:t>ing</w:t>
      </w:r>
      <w:r>
        <w:t xml:space="preserve"> to categorise non-responders where</w:t>
      </w:r>
      <w:r w:rsidR="008044A4">
        <w:t xml:space="preserve"> the response rate was less than 90%. Appropriate categorisation of non-responders included descriptions of age and other demographic details, and reasons for non-participation to allow an assessment of risk of bias.</w:t>
      </w:r>
    </w:p>
    <w:p w14:paraId="3F6FB1DD" w14:textId="0AEF1AE3" w:rsidR="00166BF6" w:rsidRDefault="00166BF6" w:rsidP="00187AA8">
      <w:pPr>
        <w:pStyle w:val="Heading2"/>
        <w:spacing w:line="360" w:lineRule="auto"/>
      </w:pPr>
      <w:r w:rsidRPr="00F32256">
        <w:t>Synthesis of results</w:t>
      </w:r>
    </w:p>
    <w:p w14:paraId="3B074A4B" w14:textId="754996D7" w:rsidR="00FA1790" w:rsidRDefault="00D845E3" w:rsidP="00187AA8">
      <w:pPr>
        <w:spacing w:line="360" w:lineRule="auto"/>
      </w:pPr>
      <w:r>
        <w:t>P</w:t>
      </w:r>
      <w:r w:rsidR="00FA1790">
        <w:t xml:space="preserve">roportions varied </w:t>
      </w:r>
      <w:r w:rsidR="00D023DC">
        <w:t>between</w:t>
      </w:r>
      <w:r w:rsidR="00537BAC">
        <w:t xml:space="preserve"> </w:t>
      </w:r>
      <w:r w:rsidR="00FA1790">
        <w:t xml:space="preserve">studies, and </w:t>
      </w:r>
      <w:r w:rsidR="00D023DC">
        <w:t xml:space="preserve">statistical </w:t>
      </w:r>
      <w:r w:rsidR="00FA1790">
        <w:t xml:space="preserve">heterogeneity </w:t>
      </w:r>
      <w:r w:rsidR="00D023DC">
        <w:t xml:space="preserve">in pooled estimates </w:t>
      </w:r>
      <w:r w:rsidR="00FA1790">
        <w:t xml:space="preserve">as estimated by </w:t>
      </w:r>
      <w:r w:rsidR="00617DA5">
        <w:t>I</w:t>
      </w:r>
      <w:r w:rsidR="00617DA5" w:rsidRPr="00617DA5">
        <w:rPr>
          <w:vertAlign w:val="superscript"/>
        </w:rPr>
        <w:t>2</w:t>
      </w:r>
      <w:r w:rsidR="00FA1790">
        <w:t xml:space="preserve"> was high</w:t>
      </w:r>
      <w:r w:rsidR="00642732">
        <w:t xml:space="preserve"> (</w:t>
      </w:r>
      <w:r w:rsidR="003E0C9E">
        <w:t xml:space="preserve">Table S2 in the </w:t>
      </w:r>
      <w:r w:rsidR="003E0C9E" w:rsidRPr="00F22B31">
        <w:rPr>
          <w:b/>
        </w:rPr>
        <w:t>online Supplementary Document</w:t>
      </w:r>
      <w:r w:rsidR="003E0C9E">
        <w:t>)</w:t>
      </w:r>
      <w:r w:rsidR="00FA1790">
        <w:t>.</w:t>
      </w:r>
    </w:p>
    <w:p w14:paraId="67B89E07" w14:textId="7AB6C8FD" w:rsidR="00773C24" w:rsidRDefault="00BF41FD" w:rsidP="00187AA8">
      <w:pPr>
        <w:pStyle w:val="Heading2"/>
        <w:spacing w:line="360" w:lineRule="auto"/>
      </w:pPr>
      <w:r>
        <w:t>Place of death</w:t>
      </w:r>
    </w:p>
    <w:p w14:paraId="06188B60" w14:textId="3E451C2D" w:rsidR="00773C24" w:rsidRDefault="00773C24" w:rsidP="00187AA8">
      <w:pPr>
        <w:spacing w:line="360" w:lineRule="auto"/>
      </w:pPr>
      <w:r>
        <w:t xml:space="preserve">As shown in </w:t>
      </w:r>
      <w:r w:rsidR="00F22B31" w:rsidRPr="00F22B31">
        <w:rPr>
          <w:b/>
        </w:rPr>
        <w:t>T</w:t>
      </w:r>
      <w:r w:rsidR="00F32256" w:rsidRPr="00F22B31">
        <w:rPr>
          <w:b/>
        </w:rPr>
        <w:t>able 2</w:t>
      </w:r>
      <w:r w:rsidR="00F32256">
        <w:t xml:space="preserve"> and </w:t>
      </w:r>
      <w:r w:rsidR="003E0C9E" w:rsidRPr="003E0C9E">
        <w:rPr>
          <w:b/>
        </w:rPr>
        <w:t>Figure</w:t>
      </w:r>
      <w:r>
        <w:t xml:space="preserve"> </w:t>
      </w:r>
      <w:r w:rsidR="00BA1DFE" w:rsidRPr="0061013B">
        <w:rPr>
          <w:b/>
        </w:rPr>
        <w:t>3</w:t>
      </w:r>
      <w:r>
        <w:t xml:space="preserve">, place of death was similar across age groups. Approximately half of </w:t>
      </w:r>
      <w:r w:rsidR="00D93565">
        <w:t>all children</w:t>
      </w:r>
      <w:r>
        <w:t xml:space="preserve"> died at home (53.2% </w:t>
      </w:r>
      <w:r w:rsidR="00D93565">
        <w:t xml:space="preserve">of neonates </w:t>
      </w:r>
      <w:r>
        <w:t xml:space="preserve">95% CI 40.0-66.2, </w:t>
      </w:r>
      <w:r w:rsidR="00617DA5">
        <w:t>I</w:t>
      </w:r>
      <w:r w:rsidR="00617DA5" w:rsidRPr="00617DA5">
        <w:rPr>
          <w:vertAlign w:val="superscript"/>
        </w:rPr>
        <w:t>2</w:t>
      </w:r>
      <w:r>
        <w:t xml:space="preserve">=97.5% and 53.1% </w:t>
      </w:r>
      <w:r w:rsidR="00D93565">
        <w:t xml:space="preserve">of infants and young children </w:t>
      </w:r>
      <w:r>
        <w:t xml:space="preserve">95% CI 44.2-62.0, </w:t>
      </w:r>
      <w:r w:rsidR="00617DA5">
        <w:t>I</w:t>
      </w:r>
      <w:r w:rsidR="00617DA5" w:rsidRPr="00617DA5">
        <w:rPr>
          <w:vertAlign w:val="superscript"/>
        </w:rPr>
        <w:t>2</w:t>
      </w:r>
      <w:r>
        <w:t xml:space="preserve">=98.0% respectively) </w:t>
      </w:r>
      <w:r w:rsidR="00642732">
        <w:t xml:space="preserve">and </w:t>
      </w:r>
      <w:r>
        <w:t>over a third died in health facilities (37.8%</w:t>
      </w:r>
      <w:r w:rsidR="00F32256">
        <w:t xml:space="preserve"> </w:t>
      </w:r>
      <w:r>
        <w:t xml:space="preserve">of neonates, 95% CI 26.4-49.8%, </w:t>
      </w:r>
      <w:r w:rsidR="00617DA5">
        <w:t>I</w:t>
      </w:r>
      <w:r w:rsidR="00617DA5" w:rsidRPr="00617DA5">
        <w:rPr>
          <w:vertAlign w:val="superscript"/>
        </w:rPr>
        <w:t>2</w:t>
      </w:r>
      <w:r>
        <w:t xml:space="preserve">=97.0% and 33.4% of </w:t>
      </w:r>
      <w:r w:rsidR="00D93565">
        <w:t xml:space="preserve">infants and young </w:t>
      </w:r>
      <w:r>
        <w:t xml:space="preserve">children, 95% CI 25.5%-41.9%, </w:t>
      </w:r>
      <w:r w:rsidR="00617DA5">
        <w:t>I</w:t>
      </w:r>
      <w:r w:rsidR="00617DA5" w:rsidRPr="00617DA5">
        <w:rPr>
          <w:vertAlign w:val="superscript"/>
        </w:rPr>
        <w:t>2</w:t>
      </w:r>
      <w:r>
        <w:t xml:space="preserve">=97.6%). Small fractions of deaths happened </w:t>
      </w:r>
      <w:r w:rsidRPr="00A54B94">
        <w:rPr>
          <w:i/>
        </w:rPr>
        <w:t>en route</w:t>
      </w:r>
      <w:r>
        <w:t xml:space="preserve"> to a healthcare facility or elsewhere. </w:t>
      </w:r>
    </w:p>
    <w:p w14:paraId="7DC5CAC1" w14:textId="0CD7643D" w:rsidR="00F9157C" w:rsidRDefault="00617DA5" w:rsidP="00F92E3A">
      <w:pPr>
        <w:spacing w:line="360" w:lineRule="auto"/>
      </w:pPr>
      <w:r>
        <w:t xml:space="preserve">The </w:t>
      </w:r>
      <w:r w:rsidR="00375EFA">
        <w:t xml:space="preserve">place of death did not vary significantly </w:t>
      </w:r>
      <w:r>
        <w:t>by</w:t>
      </w:r>
      <w:r w:rsidR="00375EFA">
        <w:t xml:space="preserve"> national income status (</w:t>
      </w:r>
      <w:r w:rsidR="00634AB9">
        <w:t>Table</w:t>
      </w:r>
      <w:r w:rsidR="00F22B31">
        <w:t xml:space="preserve"> S2 and</w:t>
      </w:r>
      <w:r w:rsidR="006237E0">
        <w:t xml:space="preserve"> Appendix</w:t>
      </w:r>
      <w:r w:rsidR="00F22B31">
        <w:t xml:space="preserve"> S4 in the </w:t>
      </w:r>
      <w:r w:rsidR="00F22B31" w:rsidRPr="00F22B31">
        <w:rPr>
          <w:b/>
        </w:rPr>
        <w:t>Online Supplementary Document</w:t>
      </w:r>
      <w:r w:rsidR="00375EFA">
        <w:t xml:space="preserve">). </w:t>
      </w:r>
      <w:r w:rsidR="00D41512">
        <w:t xml:space="preserve">Countries where </w:t>
      </w:r>
      <w:r w:rsidR="00364BEB">
        <w:t>user-fee</w:t>
      </w:r>
      <w:r w:rsidR="00D41512">
        <w:t>s were charged appeared to have a bimodal distribution of home deaths (</w:t>
      </w:r>
      <w:r w:rsidR="00F22B31">
        <w:t xml:space="preserve">Appendix S4 in the </w:t>
      </w:r>
      <w:r w:rsidR="00F22B31" w:rsidRPr="00F22B31">
        <w:rPr>
          <w:b/>
        </w:rPr>
        <w:t>Online Supplementary Document</w:t>
      </w:r>
      <w:r w:rsidR="00D41512">
        <w:t>)</w:t>
      </w:r>
      <w:r w:rsidR="00810D8A">
        <w:t xml:space="preserve">. Therefore, while a comparison of pooled proportions across settings with and without </w:t>
      </w:r>
      <w:r w:rsidR="00364BEB">
        <w:t>user-fee</w:t>
      </w:r>
      <w:r w:rsidR="00810D8A">
        <w:t xml:space="preserve">s would suggest that </w:t>
      </w:r>
      <w:r w:rsidR="00364BEB">
        <w:t>user-fee</w:t>
      </w:r>
      <w:r w:rsidR="00810D8A">
        <w:t>s are associated with a higher proportion of home deaths (</w:t>
      </w:r>
      <w:r w:rsidR="006237E0">
        <w:t>Table</w:t>
      </w:r>
      <w:r w:rsidR="00F22B31">
        <w:t xml:space="preserve"> S3 and</w:t>
      </w:r>
      <w:r w:rsidR="006237E0">
        <w:t xml:space="preserve"> Appendix</w:t>
      </w:r>
      <w:r w:rsidR="00F22B31">
        <w:t xml:space="preserve"> S4 in the </w:t>
      </w:r>
      <w:r w:rsidR="00F22B31" w:rsidRPr="00F22B31">
        <w:rPr>
          <w:b/>
        </w:rPr>
        <w:t>Online Supplementary Document</w:t>
      </w:r>
      <w:r w:rsidR="00810D8A">
        <w:t>), this should be interpreted with caution.</w:t>
      </w:r>
    </w:p>
    <w:p w14:paraId="24348168" w14:textId="682F364B" w:rsidR="00BA1DFE" w:rsidRPr="003834EC" w:rsidRDefault="003E0C9E" w:rsidP="00187AA8">
      <w:pPr>
        <w:spacing w:line="360" w:lineRule="auto"/>
        <w:rPr>
          <w:highlight w:val="yellow"/>
        </w:rPr>
      </w:pPr>
      <w:r w:rsidRPr="003834EC">
        <w:rPr>
          <w:b/>
          <w:highlight w:val="yellow"/>
        </w:rPr>
        <w:t>Figure</w:t>
      </w:r>
      <w:r w:rsidR="00BA1DFE" w:rsidRPr="003834EC">
        <w:rPr>
          <w:highlight w:val="yellow"/>
        </w:rPr>
        <w:t xml:space="preserve"> 3 here</w:t>
      </w:r>
    </w:p>
    <w:p w14:paraId="1C63CEC5" w14:textId="70E6A056" w:rsidR="00BA1DFE" w:rsidRDefault="00BA1DFE" w:rsidP="00187AA8">
      <w:pPr>
        <w:spacing w:line="360" w:lineRule="auto"/>
      </w:pPr>
      <w:r w:rsidRPr="003834EC">
        <w:rPr>
          <w:highlight w:val="yellow"/>
        </w:rPr>
        <w:t>Table 2 here</w:t>
      </w:r>
    </w:p>
    <w:p w14:paraId="74CABC2E" w14:textId="787DE1EA" w:rsidR="00F9157C" w:rsidRDefault="00F9157C" w:rsidP="00187AA8">
      <w:pPr>
        <w:pStyle w:val="Heading2"/>
        <w:spacing w:line="360" w:lineRule="auto"/>
      </w:pPr>
      <w:r>
        <w:t>Care pathways a</w:t>
      </w:r>
      <w:r w:rsidR="006F2646">
        <w:t xml:space="preserve">nalysis </w:t>
      </w:r>
      <w:r w:rsidR="00617DA5">
        <w:t xml:space="preserve">- </w:t>
      </w:r>
      <w:r w:rsidR="006F2646">
        <w:t xml:space="preserve">curative </w:t>
      </w:r>
      <w:r w:rsidR="00485A98">
        <w:t>care-seeking</w:t>
      </w:r>
    </w:p>
    <w:p w14:paraId="54492FC2" w14:textId="175C95AE" w:rsidR="00BF41FD" w:rsidRDefault="00F9157C" w:rsidP="00187AA8">
      <w:pPr>
        <w:spacing w:line="360" w:lineRule="auto"/>
      </w:pPr>
      <w:r>
        <w:t>P</w:t>
      </w:r>
      <w:r w:rsidR="00BF41FD">
        <w:t xml:space="preserve">atterns of </w:t>
      </w:r>
      <w:r w:rsidR="00485A98">
        <w:t>care-seeking</w:t>
      </w:r>
      <w:r w:rsidR="00BF41FD">
        <w:t xml:space="preserve"> were different for neonates and older children</w:t>
      </w:r>
      <w:r w:rsidR="00F22B31">
        <w:t xml:space="preserve">, as shown in </w:t>
      </w:r>
      <w:r w:rsidR="00F22B31" w:rsidRPr="00F22B31">
        <w:rPr>
          <w:b/>
        </w:rPr>
        <w:t>T</w:t>
      </w:r>
      <w:r w:rsidR="00FB6F14" w:rsidRPr="00F22B31">
        <w:rPr>
          <w:b/>
        </w:rPr>
        <w:t>able 2</w:t>
      </w:r>
      <w:r w:rsidR="00FB6F14">
        <w:t xml:space="preserve"> and </w:t>
      </w:r>
      <w:r w:rsidR="003E0C9E" w:rsidRPr="003E0C9E">
        <w:rPr>
          <w:b/>
        </w:rPr>
        <w:t>Figure</w:t>
      </w:r>
      <w:r w:rsidR="002D7AD8">
        <w:t>s</w:t>
      </w:r>
      <w:r w:rsidR="00FB6F14">
        <w:t xml:space="preserve"> </w:t>
      </w:r>
      <w:r w:rsidR="00BA1DFE" w:rsidRPr="00F22B31">
        <w:rPr>
          <w:b/>
        </w:rPr>
        <w:t>4</w:t>
      </w:r>
      <w:r w:rsidR="002D7AD8" w:rsidRPr="00F22B31">
        <w:rPr>
          <w:b/>
        </w:rPr>
        <w:t>-7</w:t>
      </w:r>
      <w:r>
        <w:t>.</w:t>
      </w:r>
    </w:p>
    <w:p w14:paraId="4F2E3641" w14:textId="77777777" w:rsidR="001C77A0" w:rsidRDefault="001C77A0" w:rsidP="001C77A0">
      <w:pPr>
        <w:pStyle w:val="Heading4"/>
        <w:spacing w:line="360" w:lineRule="auto"/>
      </w:pPr>
      <w:r>
        <w:t>Home and travel to care</w:t>
      </w:r>
    </w:p>
    <w:p w14:paraId="30E06651" w14:textId="54E51BE1" w:rsidR="001C77A0" w:rsidRDefault="001C77A0" w:rsidP="001C77A0">
      <w:pPr>
        <w:spacing w:line="360" w:lineRule="auto"/>
      </w:pPr>
      <w:r>
        <w:t>Over 95% of caregivers of neonates and infants and young children recognized their child was unwell and over 80% reported potentially serious signs. However, 40.1% of neonates (95% CI 20.7-61.3, I</w:t>
      </w:r>
      <w:r w:rsidRPr="00617DA5">
        <w:rPr>
          <w:vertAlign w:val="superscript"/>
        </w:rPr>
        <w:t>2</w:t>
      </w:r>
      <w:r>
        <w:t>=98.0%) died without care of any sort being provided, whereas very few older children died with no care at all (6.4% 95% CI 4.2-9.0%, I</w:t>
      </w:r>
      <w:r w:rsidRPr="00617DA5">
        <w:rPr>
          <w:vertAlign w:val="superscript"/>
        </w:rPr>
        <w:t>2</w:t>
      </w:r>
      <w:r>
        <w:t>=90.6%).</w:t>
      </w:r>
      <w:r w:rsidR="0061013B">
        <w:t xml:space="preserve"> </w:t>
      </w:r>
      <w:r>
        <w:t>14.4% of neonates (95% CI 8.8-21.0% I</w:t>
      </w:r>
      <w:r w:rsidRPr="00617DA5">
        <w:rPr>
          <w:vertAlign w:val="superscript"/>
        </w:rPr>
        <w:t>2</w:t>
      </w:r>
      <w:r>
        <w:t>=87.9%) received care in the home compared to over half of infants and young children (52.6</w:t>
      </w:r>
      <w:r w:rsidR="00EC5F30">
        <w:t>%</w:t>
      </w:r>
      <w:r>
        <w:t>, 95% CI 37.8-67.1%, I</w:t>
      </w:r>
      <w:r w:rsidRPr="00617DA5">
        <w:rPr>
          <w:vertAlign w:val="superscript"/>
        </w:rPr>
        <w:t>2</w:t>
      </w:r>
      <w:r>
        <w:t xml:space="preserve">=99.0%). </w:t>
      </w:r>
      <w:r w:rsidR="00485A98">
        <w:t>Care-seeking</w:t>
      </w:r>
      <w:r>
        <w:t xml:space="preserve"> outside the home was less common in neonatal deaths (50.5%, 95% CI 35.6-65.3, I</w:t>
      </w:r>
      <w:r w:rsidRPr="00617DA5">
        <w:rPr>
          <w:vertAlign w:val="superscript"/>
        </w:rPr>
        <w:t>2</w:t>
      </w:r>
      <w:r>
        <w:t xml:space="preserve">=98.3%) compared </w:t>
      </w:r>
      <w:r w:rsidR="001D19D0">
        <w:t xml:space="preserve">to </w:t>
      </w:r>
      <w:r>
        <w:t>infants and young children (</w:t>
      </w:r>
      <w:r w:rsidR="001D19D0">
        <w:t>8</w:t>
      </w:r>
      <w:r w:rsidR="00E85F98">
        <w:t>2</w:t>
      </w:r>
      <w:r w:rsidR="001D19D0">
        <w:t>.</w:t>
      </w:r>
      <w:r w:rsidR="00E85F98">
        <w:t>4</w:t>
      </w:r>
      <w:r w:rsidR="001D19D0">
        <w:t xml:space="preserve">%, </w:t>
      </w:r>
      <w:r>
        <w:t>95% CI 7</w:t>
      </w:r>
      <w:r w:rsidR="00E85F98">
        <w:t>9</w:t>
      </w:r>
      <w:r>
        <w:t>.</w:t>
      </w:r>
      <w:r w:rsidR="00E85F98">
        <w:t>4</w:t>
      </w:r>
      <w:r>
        <w:t>-8</w:t>
      </w:r>
      <w:r w:rsidR="00E85F98">
        <w:t>5</w:t>
      </w:r>
      <w:r>
        <w:t>.</w:t>
      </w:r>
      <w:r w:rsidR="00E85F98">
        <w:t>2</w:t>
      </w:r>
      <w:r>
        <w:t>%, I</w:t>
      </w:r>
      <w:r w:rsidRPr="00617DA5">
        <w:rPr>
          <w:vertAlign w:val="superscript"/>
        </w:rPr>
        <w:t>2</w:t>
      </w:r>
      <w:r>
        <w:t>=</w:t>
      </w:r>
      <w:r w:rsidR="00E85F98">
        <w:t>87.5</w:t>
      </w:r>
      <w:r>
        <w:t>%). In both age groups, more children were taken for formal care (41.2% of neonates, 95% CI 29.3-53.5%, I</w:t>
      </w:r>
      <w:r w:rsidRPr="00617DA5">
        <w:rPr>
          <w:vertAlign w:val="superscript"/>
        </w:rPr>
        <w:t>2</w:t>
      </w:r>
      <w:r>
        <w:t>=97.2% and 73.1% of infants and young children, 95</w:t>
      </w:r>
      <w:r w:rsidR="003E0C9E">
        <w:t>% CI</w:t>
      </w:r>
      <w:r>
        <w:t xml:space="preserve"> 66.5%-79.2% I</w:t>
      </w:r>
      <w:r w:rsidRPr="00617DA5">
        <w:rPr>
          <w:vertAlign w:val="superscript"/>
        </w:rPr>
        <w:t>2</w:t>
      </w:r>
      <w:r>
        <w:t>=96.5%) than informal care (12.7% of neonates, 95% CI 6.5-20.3%, I</w:t>
      </w:r>
      <w:r w:rsidRPr="00617DA5">
        <w:rPr>
          <w:vertAlign w:val="superscript"/>
        </w:rPr>
        <w:t>2</w:t>
      </w:r>
      <w:r>
        <w:t>=94.7%, and 23.5% of infants and young children, 95% CI 14.2-34.3%, I</w:t>
      </w:r>
      <w:r w:rsidRPr="00617DA5">
        <w:rPr>
          <w:vertAlign w:val="superscript"/>
        </w:rPr>
        <w:t>2</w:t>
      </w:r>
      <w:r>
        <w:t>=98.6%). A small minority of children died before setting out or arriving at a care facility (5.8% of neonates, 95% CI 3.5-8.6%, I</w:t>
      </w:r>
      <w:r w:rsidRPr="00617DA5">
        <w:rPr>
          <w:vertAlign w:val="superscript"/>
        </w:rPr>
        <w:t>2</w:t>
      </w:r>
      <w:r>
        <w:t>=66.4% and 10.4% of infants and young children, 95</w:t>
      </w:r>
      <w:r w:rsidR="003E0C9E">
        <w:t>% CI</w:t>
      </w:r>
      <w:r>
        <w:t xml:space="preserve"> 6.1-15.7%, I</w:t>
      </w:r>
      <w:r w:rsidRPr="00617DA5">
        <w:rPr>
          <w:vertAlign w:val="superscript"/>
        </w:rPr>
        <w:t>2</w:t>
      </w:r>
      <w:r>
        <w:t xml:space="preserve">=94.3%). </w:t>
      </w:r>
    </w:p>
    <w:p w14:paraId="0F992D60" w14:textId="6D9CF6D4" w:rsidR="001C77A0" w:rsidRDefault="001C77A0" w:rsidP="001C77A0">
      <w:pPr>
        <w:pStyle w:val="Heading4"/>
        <w:spacing w:line="360" w:lineRule="auto"/>
      </w:pPr>
    </w:p>
    <w:p w14:paraId="39B60758" w14:textId="43309F51" w:rsidR="002D7AD8" w:rsidRPr="00F22B31" w:rsidRDefault="003E0C9E" w:rsidP="002D7AD8">
      <w:pPr>
        <w:rPr>
          <w:highlight w:val="yellow"/>
        </w:rPr>
      </w:pPr>
      <w:r w:rsidRPr="00F22B31">
        <w:rPr>
          <w:b/>
          <w:highlight w:val="yellow"/>
        </w:rPr>
        <w:t>Figure</w:t>
      </w:r>
      <w:r w:rsidR="002D7AD8" w:rsidRPr="00F22B31">
        <w:rPr>
          <w:highlight w:val="yellow"/>
        </w:rPr>
        <w:t xml:space="preserve"> 4 here</w:t>
      </w:r>
    </w:p>
    <w:p w14:paraId="1465CED4" w14:textId="7187D404" w:rsidR="002D7AD8" w:rsidRPr="00F22B31" w:rsidRDefault="003E0C9E" w:rsidP="002D7AD8">
      <w:pPr>
        <w:rPr>
          <w:highlight w:val="yellow"/>
        </w:rPr>
      </w:pPr>
      <w:r w:rsidRPr="00F22B31">
        <w:rPr>
          <w:b/>
          <w:highlight w:val="yellow"/>
        </w:rPr>
        <w:t>Figure</w:t>
      </w:r>
      <w:r w:rsidR="002D7AD8" w:rsidRPr="00F22B31">
        <w:rPr>
          <w:highlight w:val="yellow"/>
        </w:rPr>
        <w:t xml:space="preserve"> 5 here </w:t>
      </w:r>
    </w:p>
    <w:p w14:paraId="3ACEBCE3" w14:textId="0B54E370" w:rsidR="002D7AD8" w:rsidRDefault="003E0C9E" w:rsidP="002D7AD8">
      <w:r w:rsidRPr="00F22B31">
        <w:rPr>
          <w:b/>
          <w:highlight w:val="yellow"/>
        </w:rPr>
        <w:t>Figure</w:t>
      </w:r>
      <w:r w:rsidR="002D7AD8" w:rsidRPr="00F22B31">
        <w:rPr>
          <w:highlight w:val="yellow"/>
        </w:rPr>
        <w:t xml:space="preserve"> 6 here</w:t>
      </w:r>
    </w:p>
    <w:p w14:paraId="1ED8CCEA" w14:textId="7E39EF2B" w:rsidR="001C77A0" w:rsidRDefault="001C77A0" w:rsidP="001C77A0">
      <w:pPr>
        <w:pStyle w:val="Heading4"/>
        <w:spacing w:line="360" w:lineRule="auto"/>
      </w:pPr>
      <w:r>
        <w:t>At care facilities</w:t>
      </w:r>
    </w:p>
    <w:p w14:paraId="299C022D" w14:textId="45FAFD91" w:rsidR="001C77A0" w:rsidRDefault="001C77A0" w:rsidP="00D83BB8">
      <w:pPr>
        <w:tabs>
          <w:tab w:val="left" w:pos="2430"/>
        </w:tabs>
        <w:spacing w:line="360" w:lineRule="auto"/>
      </w:pPr>
      <w:r>
        <w:t>A minority of neonates in their final illnesses were alive when they arrived at a care facility (36.5% 95% CI 25.2-48.5%, I</w:t>
      </w:r>
      <w:r w:rsidRPr="00617DA5">
        <w:rPr>
          <w:vertAlign w:val="superscript"/>
        </w:rPr>
        <w:t>2</w:t>
      </w:r>
      <w:r>
        <w:t>=93.8%) whereas the majority of infants and young children made it to a formal healthcare facility alive (58.7%, 48.0-68.9%, I</w:t>
      </w:r>
      <w:r w:rsidRPr="00617DA5">
        <w:rPr>
          <w:vertAlign w:val="superscript"/>
        </w:rPr>
        <w:t>2</w:t>
      </w:r>
      <w:r>
        <w:t>=97.5%). However</w:t>
      </w:r>
      <w:r w:rsidR="00485923">
        <w:t>,</w:t>
      </w:r>
      <w:r>
        <w:t xml:space="preserve"> in both age groups, this represent</w:t>
      </w:r>
      <w:r w:rsidR="008C275A">
        <w:t>ed</w:t>
      </w:r>
      <w:r>
        <w:t xml:space="preserve"> a large majority of those who sought formal care (85.8% of neonates, 95% CI 76.5-93.1%, I</w:t>
      </w:r>
      <w:r w:rsidRPr="00617DA5">
        <w:rPr>
          <w:vertAlign w:val="superscript"/>
        </w:rPr>
        <w:t>2</w:t>
      </w:r>
      <w:r>
        <w:t xml:space="preserve">=84.0% and </w:t>
      </w:r>
      <w:r w:rsidR="00485923">
        <w:t xml:space="preserve">88.4% of infants and young children, 95% CI </w:t>
      </w:r>
      <w:r w:rsidR="00485923" w:rsidRPr="00485923">
        <w:rPr>
          <w:szCs w:val="20"/>
        </w:rPr>
        <w:t>79.4-95.3</w:t>
      </w:r>
      <w:r w:rsidR="00485923">
        <w:rPr>
          <w:szCs w:val="20"/>
        </w:rPr>
        <w:t>,</w:t>
      </w:r>
      <w:r w:rsidR="00485923" w:rsidRPr="00485923">
        <w:t xml:space="preserve"> </w:t>
      </w:r>
      <w:r w:rsidR="00485923">
        <w:t>I</w:t>
      </w:r>
      <w:r w:rsidR="00485923" w:rsidRPr="00617DA5">
        <w:rPr>
          <w:vertAlign w:val="superscript"/>
        </w:rPr>
        <w:t>2</w:t>
      </w:r>
      <w:r w:rsidR="00485923">
        <w:rPr>
          <w:szCs w:val="20"/>
        </w:rPr>
        <w:t>=97.0%</w:t>
      </w:r>
      <w:r>
        <w:t>). Also</w:t>
      </w:r>
      <w:r w:rsidR="00485923">
        <w:t>, in both age groups m</w:t>
      </w:r>
      <w:r>
        <w:t xml:space="preserve">ost of those children who arrived alive left the care facility alive (62.9% </w:t>
      </w:r>
      <w:r w:rsidR="00485923">
        <w:t xml:space="preserve">of neonates, </w:t>
      </w:r>
      <w:r>
        <w:t>95% CI 40.9%-82.4%, I</w:t>
      </w:r>
      <w:r w:rsidRPr="00617DA5">
        <w:rPr>
          <w:vertAlign w:val="superscript"/>
        </w:rPr>
        <w:t>2</w:t>
      </w:r>
      <w:r>
        <w:t>=94.6%</w:t>
      </w:r>
      <w:r w:rsidR="00485923">
        <w:t xml:space="preserve"> and 69.6% of infants and young children, 95</w:t>
      </w:r>
      <w:r w:rsidR="003E0C9E">
        <w:t>% CI</w:t>
      </w:r>
      <w:r w:rsidR="00485923">
        <w:t xml:space="preserve"> 59.6-78.7, I</w:t>
      </w:r>
      <w:r w:rsidR="00485923" w:rsidRPr="00617DA5">
        <w:rPr>
          <w:vertAlign w:val="superscript"/>
        </w:rPr>
        <w:t>2</w:t>
      </w:r>
      <w:r w:rsidR="00485923">
        <w:t>=95.5%</w:t>
      </w:r>
      <w:r w:rsidR="008C275A">
        <w:t xml:space="preserve">, </w:t>
      </w:r>
      <w:r w:rsidR="003E0C9E" w:rsidRPr="003E0C9E">
        <w:rPr>
          <w:b/>
        </w:rPr>
        <w:t>Figure</w:t>
      </w:r>
      <w:r w:rsidR="008C275A">
        <w:t xml:space="preserve"> </w:t>
      </w:r>
      <w:r w:rsidR="008C275A" w:rsidRPr="00F22B31">
        <w:rPr>
          <w:b/>
        </w:rPr>
        <w:t>7</w:t>
      </w:r>
      <w:r>
        <w:t>)</w:t>
      </w:r>
      <w:r w:rsidR="00485923">
        <w:t>, though</w:t>
      </w:r>
      <w:r>
        <w:t xml:space="preserve"> only a minority of those discharged were referred for further care (30.7%</w:t>
      </w:r>
      <w:r w:rsidR="00485923">
        <w:t xml:space="preserve"> of neonates, </w:t>
      </w:r>
      <w:r>
        <w:t>95</w:t>
      </w:r>
      <w:r w:rsidR="003E0C9E">
        <w:t>% CI</w:t>
      </w:r>
      <w:r>
        <w:t xml:space="preserve"> 7.1-61.3%, I</w:t>
      </w:r>
      <w:r w:rsidRPr="00617DA5">
        <w:rPr>
          <w:vertAlign w:val="superscript"/>
        </w:rPr>
        <w:t>2</w:t>
      </w:r>
      <w:r>
        <w:t>=94.7%</w:t>
      </w:r>
      <w:r w:rsidR="00485923">
        <w:t xml:space="preserve"> and 34.9% of infants and young children, 95% CI 15.1-57.9, I</w:t>
      </w:r>
      <w:r w:rsidR="00485923" w:rsidRPr="00617DA5">
        <w:rPr>
          <w:vertAlign w:val="superscript"/>
        </w:rPr>
        <w:t>2</w:t>
      </w:r>
      <w:r w:rsidR="00485923">
        <w:t xml:space="preserve">=98.7%) </w:t>
      </w:r>
      <w:r>
        <w:t>). Most carers offered referral for their baby accepted it (65.9%</w:t>
      </w:r>
      <w:r w:rsidR="00485923">
        <w:t>,</w:t>
      </w:r>
      <w:r>
        <w:t xml:space="preserve"> 95</w:t>
      </w:r>
      <w:r w:rsidR="003E0C9E">
        <w:t>% CI</w:t>
      </w:r>
      <w:r>
        <w:t xml:space="preserve"> 49.3-81.0%, I</w:t>
      </w:r>
      <w:r w:rsidRPr="00617DA5">
        <w:rPr>
          <w:vertAlign w:val="superscript"/>
        </w:rPr>
        <w:t>2</w:t>
      </w:r>
      <w:r>
        <w:t>=50.3%</w:t>
      </w:r>
      <w:r w:rsidR="00485923">
        <w:t xml:space="preserve">). The same was true for caregivers of infants and young children </w:t>
      </w:r>
      <w:r>
        <w:t xml:space="preserve">(69.3%, </w:t>
      </w:r>
      <w:r w:rsidR="00485923">
        <w:t>95</w:t>
      </w:r>
      <w:r w:rsidR="003E0C9E">
        <w:t>% CI</w:t>
      </w:r>
      <w:r w:rsidR="00485923">
        <w:t xml:space="preserve"> </w:t>
      </w:r>
      <w:r>
        <w:t>57.7-79.9, I</w:t>
      </w:r>
      <w:r w:rsidRPr="00617DA5">
        <w:rPr>
          <w:vertAlign w:val="superscript"/>
        </w:rPr>
        <w:t>2</w:t>
      </w:r>
      <w:r>
        <w:t>=85.6%).</w:t>
      </w:r>
    </w:p>
    <w:p w14:paraId="74C59CCD" w14:textId="1A5404B2" w:rsidR="002D7AD8" w:rsidRDefault="003E0C9E" w:rsidP="001C77A0">
      <w:pPr>
        <w:spacing w:line="360" w:lineRule="auto"/>
      </w:pPr>
      <w:r w:rsidRPr="00F22B31">
        <w:rPr>
          <w:b/>
          <w:highlight w:val="yellow"/>
        </w:rPr>
        <w:t>Figure</w:t>
      </w:r>
      <w:r w:rsidR="002D7AD8" w:rsidRPr="00F22B31">
        <w:rPr>
          <w:highlight w:val="yellow"/>
        </w:rPr>
        <w:t xml:space="preserve"> 7 here</w:t>
      </w:r>
      <w:r w:rsidR="002D7AD8">
        <w:t xml:space="preserve"> </w:t>
      </w:r>
    </w:p>
    <w:p w14:paraId="08C83275" w14:textId="648D0764" w:rsidR="00166BF6" w:rsidRDefault="001C4F15" w:rsidP="00187AA8">
      <w:pPr>
        <w:pStyle w:val="Heading2"/>
        <w:spacing w:line="360" w:lineRule="auto"/>
      </w:pPr>
      <w:r>
        <w:t>Exploration of heterogeneity</w:t>
      </w:r>
    </w:p>
    <w:p w14:paraId="6919F5B9" w14:textId="5225055F" w:rsidR="00EE26FC" w:rsidRDefault="001C4F15" w:rsidP="00187AA8">
      <w:pPr>
        <w:spacing w:line="360" w:lineRule="auto"/>
      </w:pPr>
      <w:r>
        <w:t xml:space="preserve">Heterogeneity </w:t>
      </w:r>
      <w:r w:rsidR="00DF2CAC">
        <w:t>was</w:t>
      </w:r>
      <w:r>
        <w:t xml:space="preserve"> hig</w:t>
      </w:r>
      <w:r w:rsidR="006469CB">
        <w:t xml:space="preserve">h even </w:t>
      </w:r>
      <w:r w:rsidR="00DF2CAC">
        <w:t>within</w:t>
      </w:r>
      <w:r w:rsidR="006469CB">
        <w:t xml:space="preserve"> subgroups</w:t>
      </w:r>
      <w:r w:rsidR="00D031EA">
        <w:t>.</w:t>
      </w:r>
      <w:r w:rsidR="00D30882">
        <w:t xml:space="preserve"> </w:t>
      </w:r>
      <w:r w:rsidR="00EE26FC">
        <w:t xml:space="preserve">This is common in meta-analyses of proportions. </w:t>
      </w:r>
      <w:r w:rsidR="00EE7ABF">
        <w:t>Meta</w:t>
      </w:r>
      <w:r w:rsidR="0081142D">
        <w:t>-</w:t>
      </w:r>
      <w:r w:rsidR="00EE7ABF">
        <w:t>regression results</w:t>
      </w:r>
      <w:r w:rsidR="00F22B31">
        <w:t xml:space="preserve"> are presented in </w:t>
      </w:r>
      <w:r w:rsidR="00F22B31" w:rsidRPr="00F22B31">
        <w:rPr>
          <w:b/>
        </w:rPr>
        <w:t>T</w:t>
      </w:r>
      <w:r w:rsidR="002F64A7" w:rsidRPr="00F22B31">
        <w:rPr>
          <w:b/>
        </w:rPr>
        <w:t xml:space="preserve">able </w:t>
      </w:r>
      <w:r w:rsidR="007610C7" w:rsidRPr="00F22B31">
        <w:rPr>
          <w:b/>
        </w:rPr>
        <w:t>3</w:t>
      </w:r>
      <w:r w:rsidR="002F64A7">
        <w:t xml:space="preserve">. </w:t>
      </w:r>
      <w:r w:rsidR="00EE26FC">
        <w:t xml:space="preserve">Heterogeneity </w:t>
      </w:r>
      <w:r w:rsidR="006469CB">
        <w:t xml:space="preserve">in place of death </w:t>
      </w:r>
      <w:r w:rsidR="008624FF">
        <w:t xml:space="preserve">was partly </w:t>
      </w:r>
      <w:r w:rsidR="00EE26FC">
        <w:t xml:space="preserve">explained by </w:t>
      </w:r>
      <w:r w:rsidR="00364BEB">
        <w:t>user-fee</w:t>
      </w:r>
      <w:r w:rsidR="008624FF">
        <w:t xml:space="preserve"> policy (adjusted co-eff</w:t>
      </w:r>
      <w:r w:rsidR="00185687">
        <w:t>icient for death at home 0.3</w:t>
      </w:r>
      <w:r w:rsidR="00DF5250">
        <w:t>8</w:t>
      </w:r>
      <w:r w:rsidR="00185687">
        <w:t xml:space="preserve"> 95</w:t>
      </w:r>
      <w:r w:rsidR="003E0C9E">
        <w:t>% CI</w:t>
      </w:r>
      <w:r w:rsidR="00185687">
        <w:t xml:space="preserve"> 0.0</w:t>
      </w:r>
      <w:r w:rsidR="00DF5250">
        <w:t>6</w:t>
      </w:r>
      <w:r w:rsidR="00185687">
        <w:t>-0.70</w:t>
      </w:r>
      <w:r w:rsidR="008624FF">
        <w:t>,</w:t>
      </w:r>
      <w:r w:rsidR="00185687">
        <w:t xml:space="preserve"> </w:t>
      </w:r>
      <w:r w:rsidR="007E58DA" w:rsidRPr="00825116">
        <w:rPr>
          <w:i/>
        </w:rPr>
        <w:t>P</w:t>
      </w:r>
      <w:r w:rsidR="00185687">
        <w:t>=0.02</w:t>
      </w:r>
      <w:r w:rsidR="00DF5250">
        <w:t>0</w:t>
      </w:r>
      <w:r w:rsidR="00185687">
        <w:t>,</w:t>
      </w:r>
      <w:r w:rsidR="008624FF">
        <w:t xml:space="preserve"> </w:t>
      </w:r>
      <w:r w:rsidR="00EE26FC">
        <w:t>R</w:t>
      </w:r>
      <w:r w:rsidR="00EE26FC" w:rsidRPr="00EE26FC">
        <w:rPr>
          <w:vertAlign w:val="superscript"/>
        </w:rPr>
        <w:t>2</w:t>
      </w:r>
      <w:r w:rsidR="00185687">
        <w:t>=1</w:t>
      </w:r>
      <w:r w:rsidR="00DF5250">
        <w:t>1.00</w:t>
      </w:r>
      <w:r w:rsidR="00185687">
        <w:t>%</w:t>
      </w:r>
      <w:r w:rsidR="008624FF">
        <w:t>)</w:t>
      </w:r>
      <w:r w:rsidR="00B425BF">
        <w:t>, whereas v</w:t>
      </w:r>
      <w:r w:rsidR="008624FF">
        <w:t xml:space="preserve">ariance </w:t>
      </w:r>
      <w:r w:rsidR="00185687">
        <w:t xml:space="preserve">in </w:t>
      </w:r>
      <w:r w:rsidR="00485A98">
        <w:t>care-seeking</w:t>
      </w:r>
      <w:r w:rsidR="00185687">
        <w:t xml:space="preserve"> patterns was </w:t>
      </w:r>
      <w:r w:rsidR="00B425BF">
        <w:t>partly</w:t>
      </w:r>
      <w:r w:rsidR="00185687">
        <w:t xml:space="preserve"> accounted for by age</w:t>
      </w:r>
      <w:r w:rsidR="004A291C">
        <w:t xml:space="preserve"> (adjusted co-efficient for whether care was sought outside the home </w:t>
      </w:r>
      <w:r w:rsidR="00DE3D91">
        <w:t>0.49</w:t>
      </w:r>
      <w:r w:rsidR="00DF5250">
        <w:t>,</w:t>
      </w:r>
      <w:r w:rsidR="00DE3D91">
        <w:t xml:space="preserve"> </w:t>
      </w:r>
      <w:r w:rsidR="004A291C">
        <w:t>95</w:t>
      </w:r>
      <w:r w:rsidR="003E0C9E">
        <w:t>% CI</w:t>
      </w:r>
      <w:r w:rsidR="004A291C">
        <w:t xml:space="preserve"> </w:t>
      </w:r>
      <w:r w:rsidR="00DE3D91">
        <w:t>0.21-0.77</w:t>
      </w:r>
      <w:r w:rsidR="004A291C">
        <w:t xml:space="preserve">, </w:t>
      </w:r>
      <w:r w:rsidR="00825116" w:rsidRPr="00825116">
        <w:rPr>
          <w:i/>
        </w:rPr>
        <w:t>P</w:t>
      </w:r>
      <w:r w:rsidR="004A291C">
        <w:t>=</w:t>
      </w:r>
      <w:r w:rsidR="00DE3D91">
        <w:t>0.001</w:t>
      </w:r>
      <w:r w:rsidR="004A291C">
        <w:t>)</w:t>
      </w:r>
      <w:r w:rsidR="00EE26FC">
        <w:t xml:space="preserve"> </w:t>
      </w:r>
      <w:r w:rsidR="00B425BF">
        <w:t xml:space="preserve">(see </w:t>
      </w:r>
      <w:r w:rsidR="00D7394F" w:rsidRPr="00D7394F">
        <w:rPr>
          <w:b/>
        </w:rPr>
        <w:t>T</w:t>
      </w:r>
      <w:r w:rsidR="00B425BF" w:rsidRPr="00D7394F">
        <w:rPr>
          <w:b/>
        </w:rPr>
        <w:t xml:space="preserve">able </w:t>
      </w:r>
      <w:r w:rsidR="002331BA" w:rsidRPr="00D7394F">
        <w:rPr>
          <w:b/>
        </w:rPr>
        <w:t>3</w:t>
      </w:r>
      <w:r w:rsidR="00B425BF">
        <w:t xml:space="preserve"> for each stage of the care pathway). </w:t>
      </w:r>
      <w:r w:rsidR="00DF5250">
        <w:t>Neither n</w:t>
      </w:r>
      <w:r w:rsidR="00EE26FC">
        <w:t xml:space="preserve">ational income status </w:t>
      </w:r>
      <w:r w:rsidR="00DF5250">
        <w:t>nor</w:t>
      </w:r>
      <w:r w:rsidR="00EE26FC">
        <w:t xml:space="preserve"> </w:t>
      </w:r>
      <w:r w:rsidR="00364BEB">
        <w:t>user-fee</w:t>
      </w:r>
      <w:r w:rsidR="00EE26FC">
        <w:t xml:space="preserve"> policy was consistently associated with differences in </w:t>
      </w:r>
      <w:r w:rsidR="00485A98">
        <w:t>care-seeking</w:t>
      </w:r>
      <w:r w:rsidR="00EE26FC">
        <w:t xml:space="preserve"> patterns (</w:t>
      </w:r>
      <w:r w:rsidR="006237E0">
        <w:t>Tables</w:t>
      </w:r>
      <w:r w:rsidR="00F22B31">
        <w:t xml:space="preserve"> S2 and S3 in the </w:t>
      </w:r>
      <w:r w:rsidR="00F22B31" w:rsidRPr="00F22B31">
        <w:rPr>
          <w:b/>
        </w:rPr>
        <w:t>Online Supplementary Document</w:t>
      </w:r>
      <w:r w:rsidR="00EE26FC">
        <w:t>).</w:t>
      </w:r>
    </w:p>
    <w:p w14:paraId="231155A6" w14:textId="1039F041" w:rsidR="00185687" w:rsidRDefault="00185687" w:rsidP="00187AA8">
      <w:pPr>
        <w:spacing w:line="360" w:lineRule="auto"/>
      </w:pPr>
      <w:r w:rsidRPr="00F22B31">
        <w:rPr>
          <w:highlight w:val="yellow"/>
        </w:rPr>
        <w:t xml:space="preserve">Table </w:t>
      </w:r>
      <w:r w:rsidR="007610C7" w:rsidRPr="00F22B31">
        <w:rPr>
          <w:highlight w:val="yellow"/>
        </w:rPr>
        <w:t>3</w:t>
      </w:r>
      <w:r w:rsidRPr="00F22B31">
        <w:rPr>
          <w:highlight w:val="yellow"/>
        </w:rPr>
        <w:t xml:space="preserve"> here</w:t>
      </w:r>
    </w:p>
    <w:p w14:paraId="7225DE8F" w14:textId="5F8D844B" w:rsidR="00166BF6" w:rsidRDefault="00F22B31" w:rsidP="00187AA8">
      <w:pPr>
        <w:pStyle w:val="Heading1"/>
        <w:spacing w:line="360" w:lineRule="auto"/>
      </w:pPr>
      <w:r w:rsidRPr="00166BF6">
        <w:t>DISCUSSION</w:t>
      </w:r>
    </w:p>
    <w:p w14:paraId="4893D196" w14:textId="443FF454" w:rsidR="000C669D" w:rsidRPr="00BF1805" w:rsidRDefault="000C669D" w:rsidP="00F41F6C">
      <w:pPr>
        <w:pStyle w:val="Heading2"/>
      </w:pPr>
      <w:r>
        <w:t>Summary of results</w:t>
      </w:r>
    </w:p>
    <w:p w14:paraId="260AEF7C" w14:textId="6A6AB51F" w:rsidR="00BF41FD" w:rsidRDefault="00D96822" w:rsidP="00187AA8">
      <w:pPr>
        <w:spacing w:line="360" w:lineRule="auto"/>
      </w:pPr>
      <w:bookmarkStart w:id="2" w:name="_Hlk12000994"/>
      <w:r>
        <w:t xml:space="preserve">This review and meta-analysis demonstrated that </w:t>
      </w:r>
      <w:r w:rsidR="00F95C5D">
        <w:t>approximately half of</w:t>
      </w:r>
      <w:r>
        <w:t xml:space="preserve"> </w:t>
      </w:r>
      <w:r w:rsidR="00DF5250">
        <w:t xml:space="preserve">deaths of </w:t>
      </w:r>
      <w:r w:rsidR="00A70ACC">
        <w:t xml:space="preserve">neonates, </w:t>
      </w:r>
      <w:r w:rsidR="00DF5250">
        <w:t xml:space="preserve">infants and young children </w:t>
      </w:r>
      <w:r w:rsidR="00F95C5D">
        <w:t xml:space="preserve">occur </w:t>
      </w:r>
      <w:r>
        <w:t xml:space="preserve">at home </w:t>
      </w:r>
      <w:r w:rsidR="00C559CB">
        <w:t xml:space="preserve">in those countries for which place of death data is available </w:t>
      </w:r>
      <w:r>
        <w:t>across sub-Saharan Africa</w:t>
      </w:r>
      <w:r w:rsidR="00F95C5D">
        <w:t>.</w:t>
      </w:r>
      <w:bookmarkEnd w:id="2"/>
      <w:r w:rsidR="00AF4131">
        <w:t xml:space="preserve"> In both age groups, signs and symptoms of illness were </w:t>
      </w:r>
      <w:r w:rsidR="005E23EE">
        <w:t xml:space="preserve">reported </w:t>
      </w:r>
      <w:r w:rsidR="00AF4131">
        <w:t xml:space="preserve">in the large majority of children (over 95%). </w:t>
      </w:r>
      <w:r w:rsidR="00F95C5D">
        <w:t xml:space="preserve">However, whereas </w:t>
      </w:r>
      <w:r w:rsidR="00485A98">
        <w:t>care-seeking</w:t>
      </w:r>
      <w:r w:rsidR="00BF41FD">
        <w:t xml:space="preserve"> for dying</w:t>
      </w:r>
      <w:r w:rsidR="00B27FD0">
        <w:t xml:space="preserve"> neonates is poor</w:t>
      </w:r>
      <w:r w:rsidR="00F95C5D">
        <w:t xml:space="preserve">, </w:t>
      </w:r>
      <w:r w:rsidR="005E23EE">
        <w:t xml:space="preserve">many </w:t>
      </w:r>
      <w:r w:rsidR="00BF41FD">
        <w:t xml:space="preserve">older children </w:t>
      </w:r>
      <w:r w:rsidR="00B27FD0">
        <w:t>die at home despite their care</w:t>
      </w:r>
      <w:r w:rsidR="00F95C5D">
        <w:t>givers</w:t>
      </w:r>
      <w:r w:rsidR="00B27FD0">
        <w:t xml:space="preserve"> </w:t>
      </w:r>
      <w:r w:rsidR="00F95C5D">
        <w:t>engaging formal care services</w:t>
      </w:r>
      <w:r w:rsidR="00B27FD0">
        <w:t xml:space="preserve"> before they die.</w:t>
      </w:r>
    </w:p>
    <w:p w14:paraId="7E20323D" w14:textId="291FBF1E" w:rsidR="00732E2E" w:rsidRDefault="004145DC" w:rsidP="00463A7D">
      <w:pPr>
        <w:spacing w:line="360" w:lineRule="auto"/>
      </w:pPr>
      <w:r>
        <w:t xml:space="preserve">Forty percent </w:t>
      </w:r>
      <w:r w:rsidR="00D845E3">
        <w:t xml:space="preserve">of neonates received no care of any sort during their final illness. </w:t>
      </w:r>
      <w:r w:rsidR="00AF4131">
        <w:t>Only</w:t>
      </w:r>
      <w:r w:rsidR="0029630C">
        <w:t xml:space="preserve"> half </w:t>
      </w:r>
      <w:r w:rsidR="00AF4131">
        <w:t xml:space="preserve">of caregivers attempted to seek </w:t>
      </w:r>
      <w:r w:rsidR="0029630C">
        <w:t>care</w:t>
      </w:r>
      <w:r w:rsidR="00AF4131">
        <w:t xml:space="preserve"> outside the home,</w:t>
      </w:r>
      <w:r w:rsidR="0029630C">
        <w:t xml:space="preserve"> and fewer still sought formal </w:t>
      </w:r>
      <w:r w:rsidR="00463A7D">
        <w:t>health</w:t>
      </w:r>
      <w:r w:rsidR="0029630C">
        <w:t xml:space="preserve">care. </w:t>
      </w:r>
      <w:bookmarkStart w:id="3" w:name="_Hlk12001879"/>
      <w:r w:rsidR="00B27FD0">
        <w:t>Only</w:t>
      </w:r>
      <w:r w:rsidR="0029630C">
        <w:t xml:space="preserve"> a third of </w:t>
      </w:r>
      <w:r w:rsidR="00B27FD0">
        <w:t xml:space="preserve">all </w:t>
      </w:r>
      <w:r w:rsidR="0029630C">
        <w:t xml:space="preserve">neonates arrived at formal </w:t>
      </w:r>
      <w:r w:rsidR="00463A7D">
        <w:t>health</w:t>
      </w:r>
      <w:r w:rsidR="0029630C">
        <w:t>care facilities alive</w:t>
      </w:r>
      <w:r w:rsidR="00BE02E2">
        <w:t xml:space="preserve">, though most studies which reported on this stage of the care pathway </w:t>
      </w:r>
      <w:r w:rsidR="003B2792">
        <w:t>excluded neonates who were born and died in a healthcare facility without being discharged</w:t>
      </w:r>
      <w:r w:rsidR="000E6480">
        <w:t>.</w:t>
      </w:r>
      <w:r w:rsidR="00B33D87">
        <w:t xml:space="preserve"> It is probable that this would be much higher proportion if one were to include those who were alive </w:t>
      </w:r>
      <w:r w:rsidR="00B33D87" w:rsidRPr="00A668D1">
        <w:rPr>
          <w:i/>
        </w:rPr>
        <w:t>in utero</w:t>
      </w:r>
      <w:r w:rsidR="00B33D87">
        <w:t xml:space="preserve"> when the mother presented for delivery at the health facility.</w:t>
      </w:r>
      <w:bookmarkEnd w:id="3"/>
      <w:r w:rsidR="0061013B">
        <w:t xml:space="preserve"> </w:t>
      </w:r>
      <w:r w:rsidR="000E6480">
        <w:t>Health</w:t>
      </w:r>
      <w:r w:rsidR="0097642C">
        <w:t xml:space="preserve"> facilities discharged</w:t>
      </w:r>
      <w:r w:rsidR="00AF4131">
        <w:t xml:space="preserve"> almost</w:t>
      </w:r>
      <w:r w:rsidR="0097642C">
        <w:t xml:space="preserve"> t</w:t>
      </w:r>
      <w:r w:rsidR="0029630C">
        <w:t xml:space="preserve">wo thirds </w:t>
      </w:r>
      <w:r w:rsidR="000B3425">
        <w:t xml:space="preserve">of the ill neonates, </w:t>
      </w:r>
      <w:r w:rsidR="0029630C">
        <w:t xml:space="preserve">with </w:t>
      </w:r>
      <w:r w:rsidR="00AF4131">
        <w:t>less than</w:t>
      </w:r>
      <w:r w:rsidR="0029630C">
        <w:t xml:space="preserve"> a third </w:t>
      </w:r>
      <w:r w:rsidR="00DF5250">
        <w:t xml:space="preserve">of those who were discharged </w:t>
      </w:r>
      <w:r w:rsidR="0029630C">
        <w:t xml:space="preserve">referred on for further care. </w:t>
      </w:r>
      <w:bookmarkStart w:id="4" w:name="_Hlk12002564"/>
      <w:r w:rsidR="000E6480">
        <w:t>These findings</w:t>
      </w:r>
      <w:r w:rsidR="00732E2E">
        <w:t xml:space="preserve"> suggest that modifiable factors contributing to neonatal deaths include a failure of caregivers to recognise early signs of illness,</w:t>
      </w:r>
      <w:r w:rsidR="008846A8">
        <w:t xml:space="preserve"> or to</w:t>
      </w:r>
      <w:r w:rsidR="00732E2E">
        <w:t xml:space="preserve"> appreciate the severity of neonatal illness </w:t>
      </w:r>
      <w:r w:rsidR="00463A7D">
        <w:t>(</w:t>
      </w:r>
      <w:r w:rsidR="00732E2E">
        <w:t>even if they report signs and symptoms of disease</w:t>
      </w:r>
      <w:r w:rsidR="00463A7D">
        <w:t>),</w:t>
      </w:r>
      <w:r w:rsidR="00732E2E">
        <w:t xml:space="preserve"> </w:t>
      </w:r>
      <w:r w:rsidR="008846A8">
        <w:t xml:space="preserve">which contribute to </w:t>
      </w:r>
      <w:r w:rsidR="00732E2E">
        <w:t xml:space="preserve">delays in seeking </w:t>
      </w:r>
      <w:r w:rsidR="00463A7D">
        <w:t>health</w:t>
      </w:r>
      <w:r w:rsidR="00732E2E">
        <w:t>care.</w:t>
      </w:r>
      <w:r w:rsidR="0037126C">
        <w:t xml:space="preserve"> Barriers to care-seeking resulting in even minor delays can be fatal as </w:t>
      </w:r>
      <w:r w:rsidR="00725CBD">
        <w:t>neonatal illness tends to progress rapidly which reduces the likelihood of reaching a facility alive compared to older children.</w:t>
      </w:r>
      <w:r w:rsidR="0061013B">
        <w:t xml:space="preserve"> </w:t>
      </w:r>
      <w:r w:rsidR="00732E2E">
        <w:t xml:space="preserve">However, </w:t>
      </w:r>
      <w:r w:rsidR="00485A98">
        <w:t xml:space="preserve">high rates of discharge and low referral </w:t>
      </w:r>
      <w:r w:rsidR="006F403E">
        <w:t>rates</w:t>
      </w:r>
      <w:r w:rsidR="00485A98">
        <w:t xml:space="preserve"> </w:t>
      </w:r>
      <w:r w:rsidR="006F403E">
        <w:t xml:space="preserve">might </w:t>
      </w:r>
      <w:r w:rsidR="00485A98">
        <w:t xml:space="preserve">suggest that when caregivers sought and received care it </w:t>
      </w:r>
      <w:r w:rsidR="006F403E">
        <w:t>was</w:t>
      </w:r>
      <w:r w:rsidR="00485A98">
        <w:t xml:space="preserve"> </w:t>
      </w:r>
      <w:r w:rsidR="00732E2E">
        <w:t>inadequate.</w:t>
      </w:r>
      <w:bookmarkEnd w:id="4"/>
    </w:p>
    <w:p w14:paraId="0838263E" w14:textId="5E2650F8" w:rsidR="0092351E" w:rsidRDefault="006452A9" w:rsidP="0092351E">
      <w:pPr>
        <w:spacing w:line="360" w:lineRule="auto"/>
      </w:pPr>
      <w:r>
        <w:t>In contrast, o</w:t>
      </w:r>
      <w:r w:rsidR="0097642C">
        <w:t>nly a small minority of</w:t>
      </w:r>
      <w:r w:rsidR="0029630C">
        <w:t xml:space="preserve"> children older than one month </w:t>
      </w:r>
      <w:r w:rsidR="0097642C">
        <w:t>died without</w:t>
      </w:r>
      <w:r w:rsidR="0029630C">
        <w:t xml:space="preserve"> </w:t>
      </w:r>
      <w:r w:rsidR="0097642C">
        <w:t>receiving care of any sort</w:t>
      </w:r>
      <w:r w:rsidR="0029630C">
        <w:t xml:space="preserve">. </w:t>
      </w:r>
      <w:r w:rsidR="0097642C">
        <w:t xml:space="preserve">Some </w:t>
      </w:r>
      <w:r w:rsidR="00AF4131">
        <w:t>caregivers</w:t>
      </w:r>
      <w:r w:rsidR="0097642C">
        <w:t xml:space="preserve"> sought informal care, but </w:t>
      </w:r>
      <w:r w:rsidR="00AF4131">
        <w:t>almost three quarters</w:t>
      </w:r>
      <w:r w:rsidR="0029630C">
        <w:t xml:space="preserve"> of </w:t>
      </w:r>
      <w:r w:rsidR="00AF4131">
        <w:t xml:space="preserve">the children were taken to a formal healthcare provider </w:t>
      </w:r>
      <w:r w:rsidR="0029630C">
        <w:t xml:space="preserve">and </w:t>
      </w:r>
      <w:r w:rsidR="00ED119B">
        <w:t xml:space="preserve">a majority </w:t>
      </w:r>
      <w:r w:rsidR="0029630C">
        <w:t xml:space="preserve">arrived </w:t>
      </w:r>
      <w:r w:rsidR="00ED119B">
        <w:t xml:space="preserve">at that provider </w:t>
      </w:r>
      <w:r w:rsidR="0029630C">
        <w:t xml:space="preserve">alive. Healthcare facilities discharged </w:t>
      </w:r>
      <w:r w:rsidR="00ED119B">
        <w:t xml:space="preserve">over </w:t>
      </w:r>
      <w:r w:rsidR="0029630C">
        <w:t>two thirds of these children</w:t>
      </w:r>
      <w:r w:rsidR="00ED119B">
        <w:t xml:space="preserve">, and of those only a third were </w:t>
      </w:r>
      <w:r w:rsidR="0029630C">
        <w:t>referr</w:t>
      </w:r>
      <w:r w:rsidR="00ED119B">
        <w:t>ed</w:t>
      </w:r>
      <w:r w:rsidR="0029630C">
        <w:t xml:space="preserve"> for further care.</w:t>
      </w:r>
      <w:r w:rsidR="0061013B">
        <w:t xml:space="preserve"> </w:t>
      </w:r>
      <w:r w:rsidR="00732E2E">
        <w:t>This would suggest that f</w:t>
      </w:r>
      <w:r w:rsidR="0092351E">
        <w:t xml:space="preserve">or older children, modifiable factors </w:t>
      </w:r>
      <w:r w:rsidR="00732E2E">
        <w:t xml:space="preserve">might </w:t>
      </w:r>
      <w:r w:rsidR="0092351E">
        <w:t xml:space="preserve">be more concentrated at </w:t>
      </w:r>
      <w:r w:rsidR="00732E2E">
        <w:t>the health facility level.</w:t>
      </w:r>
    </w:p>
    <w:p w14:paraId="5A9B23FB" w14:textId="7ABB1B1C" w:rsidR="00BB6E7B" w:rsidRDefault="001A7493" w:rsidP="00BB6E7B">
      <w:pPr>
        <w:spacing w:line="360" w:lineRule="auto"/>
      </w:pPr>
      <w:r>
        <w:t>Statistical heterogeneity was high, even across sub-groups. This is common in studies that pool proportions and continuous measures. Proportions are less stable between settings than ratio effect measures. Thresholds of I</w:t>
      </w:r>
      <w:r w:rsidRPr="0080797A">
        <w:rPr>
          <w:vertAlign w:val="superscript"/>
        </w:rPr>
        <w:t>2</w:t>
      </w:r>
      <w:r>
        <w:t xml:space="preserve"> used for pooling trials are not appropriate for meta-analysis of continuous variables </w:t>
      </w:r>
      <w:r w:rsidR="00537BAC">
        <w:fldChar w:fldCharType="begin" w:fldLock="1"/>
      </w:r>
      <w:r w:rsidR="00876406">
        <w:instrText>ADDIN CSL_CITATION {"citationItems":[{"id":"ITEM-1","itemData":{"DOI":"10.1016/J.JCLINEPI.2015.09.005","ISSN":"0895-4356","abstract":"OBJECTIVES\nWe compared the distribution of heterogeneity in meta-analyses of binary and continuous outcomes. \n\nSTUDY DESIGN AND SETTING\nWe searched citations in MEDLINE and Cochrane databases for meta-analyses of randomized trials published in 2012 that reported a measure of heterogeneity of either binary or continuous outcomes. Two reviewers independently performed eligibility screening and data abstraction. We evaluated the distribution of I2 in meta-analyses of binary and continuous outcomes and explored hypotheses explaining the difference in distributions. \n\nRESULTS\nAfter full-text screening, we selected 671 meta-analyses evaluating 557 binary and 352 continuous outcomes. Heterogeneity as assessed by I2 proved higher in continuous than in binary outcomes: the proportion of continuous and binary outcomes reporting an I2 of 0% was 34% vs. 52%, respectively, and reporting an I2 of 60–100% was 39% vs. 14%. In continuous but not binary outcomes, I2 increased with larger number of studies included in a meta-analysis. Increased precision and sample size do not explain the larger I2 found in meta-analyses of continuous outcomes with a larger number of studies. \n\nCONCLUSIONS\nMeta-analyses evaluating continuous outcomes showed substantially higher I2 than meta-analyses of binary outcomes. Results suggest differing standards for interpreting I2 in continuous vs. binary outcomes may be appropriate.","author":[{"dropping-particle":"","family":"Alba","given":"Ana C.","non-dropping-particle":"","parse-names":false,"suffix":""},{"dropping-particle":"","family":"Alexander","given":"Paul E.","non-dropping-particle":"","parse-names":false,"suffix":""},{"dropping-particle":"","family":"Chang","given":"Joanne","non-dropping-particle":"","parse-names":false,"suffix":""},{"dropping-particle":"","family":"MacIsaac","given":"John","non-dropping-particle":"","parse-names":false,"suffix":""},{"dropping-particle":"","family":"DeFry","given":"Samantha","non-dropping-particle":"","parse-names":false,"suffix":""},{"dropping-particle":"","family":"Guyatt","given":"Gordon H.","non-dropping-particle":"","parse-names":false,"suffix":""}],"container-title":"Journal of Clinical Epidemiology","id":"ITEM-1","issued":{"date-parts":[["2016","2","1"]]},"page":"129-135","publisher":"Pergamon","title":"High statistical heterogeneity is more frequent in meta-analysis of continuous than binary outcomes","type":"article-journal","volume":"70"},"uris":["http://www.mendeley.com/documents/?uuid=9e2c2b87-f50c-3aa2-89e8-19c0cea91cd4"]}],"mendeley":{"formattedCitation":"(17)","manualFormatting":"[17","plainTextFormattedCitation":"(17)","previouslyFormattedCitation":"(17)"},"properties":{"noteIndex":0},"schema":"https://github.com/citation-style-language/schema/raw/master/csl-citation.json"}</w:instrText>
      </w:r>
      <w:r w:rsidR="00537BAC">
        <w:fldChar w:fldCharType="separate"/>
      </w:r>
      <w:r w:rsidR="00D7394F">
        <w:rPr>
          <w:noProof/>
        </w:rPr>
        <w:t>[</w:t>
      </w:r>
      <w:r w:rsidR="00303FFB" w:rsidRPr="00303FFB">
        <w:rPr>
          <w:noProof/>
        </w:rPr>
        <w:t>17</w:t>
      </w:r>
      <w:r w:rsidR="00537BAC">
        <w:fldChar w:fldCharType="end"/>
      </w:r>
      <w:r w:rsidR="00D7394F">
        <w:t>]</w:t>
      </w:r>
      <w:r>
        <w:t>.</w:t>
      </w:r>
      <w:r w:rsidR="00BF1805">
        <w:t xml:space="preserve"> </w:t>
      </w:r>
      <w:r w:rsidR="000C669D">
        <w:t xml:space="preserve">Furthermore, </w:t>
      </w:r>
      <w:r w:rsidR="00BF1805">
        <w:t xml:space="preserve">three factors may have contributed to the statistical heterogeneity across sub-groups: firstly, </w:t>
      </w:r>
      <w:r w:rsidR="00B43A24">
        <w:t xml:space="preserve">heterogeneity </w:t>
      </w:r>
      <w:r>
        <w:t xml:space="preserve">at certain stages of the care pathway may have arisen due to narrow confidence intervals for individual </w:t>
      </w:r>
      <w:r w:rsidRPr="003834EC">
        <w:t>studies</w:t>
      </w:r>
      <w:r w:rsidR="00537BAC" w:rsidRPr="003834EC">
        <w:t xml:space="preserve"> </w:t>
      </w:r>
      <w:r w:rsidR="00537BAC" w:rsidRPr="003834EC">
        <w:fldChar w:fldCharType="begin" w:fldLock="1"/>
      </w:r>
      <w:r w:rsidR="00876406">
        <w:instrText>ADDIN CSL_CITATION {"citationItems":[{"id":"ITEM-1","itemData":{"DOI":"10.1016/J.JCLINEPI.2015.09.005","ISSN":"0895-4356","abstract":"OBJECTIVES\nWe compared the distribution of heterogeneity in meta-analyses of binary and continuous outcomes. \n\nSTUDY DESIGN AND SETTING\nWe searched citations in MEDLINE and Cochrane databases for meta-analyses of randomized trials published in 2012 that reported a measure of heterogeneity of either binary or continuous outcomes. Two reviewers independently performed eligibility screening and data abstraction. We evaluated the distribution of I2 in meta-analyses of binary and continuous outcomes and explored hypotheses explaining the difference in distributions. \n\nRESULTS\nAfter full-text screening, we selected 671 meta-analyses evaluating 557 binary and 352 continuous outcomes. Heterogeneity as assessed by I2 proved higher in continuous than in binary outcomes: the proportion of continuous and binary outcomes reporting an I2 of 0% was 34% vs. 52%, respectively, and reporting an I2 of 60–100% was 39% vs. 14%. In continuous but not binary outcomes, I2 increased with larger number of studies included in a meta-analysis. Increased precision and sample size do not explain the larger I2 found in meta-analyses of continuous outcomes with a larger number of studies. \n\nCONCLUSIONS\nMeta-analyses evaluating continuous outcomes showed substantially higher I2 than meta-analyses of binary outcomes. Results suggest differing standards for interpreting I2 in continuous vs. binary outcomes may be appropriate.","author":[{"dropping-particle":"","family":"Alba","given":"Ana C.","non-dropping-particle":"","parse-names":false,"suffix":""},{"dropping-particle":"","family":"Alexander","given":"Paul E.","non-dropping-particle":"","parse-names":false,"suffix":""},{"dropping-particle":"","family":"Chang","given":"Joanne","non-dropping-particle":"","parse-names":false,"suffix":""},{"dropping-particle":"","family":"MacIsaac","given":"John","non-dropping-particle":"","parse-names":false,"suffix":""},{"dropping-particle":"","family":"DeFry","given":"Samantha","non-dropping-particle":"","parse-names":false,"suffix":""},{"dropping-particle":"","family":"Guyatt","given":"Gordon H.","non-dropping-particle":"","parse-names":false,"suffix":""}],"container-title":"Journal of Clinical Epidemiology","id":"ITEM-1","issued":{"date-parts":[["2016","2","1"]]},"page":"129-135","publisher":"Pergamon","title":"High statistical heterogeneity is more frequent in meta-analysis of continuous than binary outcomes","type":"article-journal","volume":"70"},"uris":["http://www.mendeley.com/documents/?uuid=9e2c2b87-f50c-3aa2-89e8-19c0cea91cd4"]}],"mendeley":{"formattedCitation":"(17)","manualFormatting":"[17","plainTextFormattedCitation":"(17)","previouslyFormattedCitation":"(17)"},"properties":{"noteIndex":0},"schema":"https://github.com/citation-style-language/schema/raw/master/csl-citation.json"}</w:instrText>
      </w:r>
      <w:r w:rsidR="00537BAC" w:rsidRPr="003834EC">
        <w:fldChar w:fldCharType="separate"/>
      </w:r>
      <w:r w:rsidR="00D7394F">
        <w:rPr>
          <w:noProof/>
        </w:rPr>
        <w:t>[</w:t>
      </w:r>
      <w:r w:rsidR="00303FFB" w:rsidRPr="003834EC">
        <w:rPr>
          <w:noProof/>
        </w:rPr>
        <w:t>17</w:t>
      </w:r>
      <w:r w:rsidR="00537BAC" w:rsidRPr="003834EC">
        <w:fldChar w:fldCharType="end"/>
      </w:r>
      <w:r w:rsidR="00D7394F">
        <w:t>]</w:t>
      </w:r>
      <w:r w:rsidRPr="003834EC">
        <w:t xml:space="preserve"> </w:t>
      </w:r>
      <w:r w:rsidR="00F22B31" w:rsidRPr="003834EC">
        <w:t>eg,</w:t>
      </w:r>
      <w:r w:rsidRPr="003834EC">
        <w:t xml:space="preserve"> illness</w:t>
      </w:r>
      <w:r>
        <w:t xml:space="preserve"> recognition by caregivers of </w:t>
      </w:r>
      <w:r w:rsidR="00F01AD0">
        <w:t>infants and young children</w:t>
      </w:r>
      <w:r>
        <w:t xml:space="preserve"> was high despite the total range of findings across all studies for post-neonatal deaths being 79.3%-100%. Similarly, the range reported for neonates being given home care was 5.1%-27.8%. The differences in these proportions are clinically small and</w:t>
      </w:r>
      <w:r w:rsidR="007B6247">
        <w:t xml:space="preserve"> </w:t>
      </w:r>
      <w:r>
        <w:t xml:space="preserve">would not change </w:t>
      </w:r>
      <w:r w:rsidR="0044055E">
        <w:t xml:space="preserve">the practical </w:t>
      </w:r>
      <w:r>
        <w:t xml:space="preserve">interpretation of the results. </w:t>
      </w:r>
      <w:r w:rsidR="00BF1805">
        <w:t>Secondly, o</w:t>
      </w:r>
      <w:r>
        <w:t>utlier studies contributed to heterogeneity at some stages of the care p</w:t>
      </w:r>
      <w:r w:rsidRPr="003834EC">
        <w:t>athway</w:t>
      </w:r>
      <w:r w:rsidR="000533DF" w:rsidRPr="003834EC">
        <w:t>;</w:t>
      </w:r>
      <w:r w:rsidRPr="003834EC">
        <w:t xml:space="preserve"> </w:t>
      </w:r>
      <w:r w:rsidR="00F22B31" w:rsidRPr="003834EC">
        <w:t>eg,</w:t>
      </w:r>
      <w:r w:rsidRPr="003834EC">
        <w:t xml:space="preserve"> </w:t>
      </w:r>
      <w:r w:rsidR="000533DF" w:rsidRPr="003834EC">
        <w:t>for the</w:t>
      </w:r>
      <w:r w:rsidR="000533DF">
        <w:t xml:space="preserve"> proportion</w:t>
      </w:r>
      <w:r>
        <w:t xml:space="preserve"> of </w:t>
      </w:r>
      <w:r w:rsidR="00F01AD0">
        <w:t>infants and young children</w:t>
      </w:r>
      <w:r>
        <w:t xml:space="preserve"> who died immediately or did not receive any care, the full range across 13 studies was 0.9-19.9%, but </w:t>
      </w:r>
      <w:r w:rsidR="000533DF">
        <w:t xml:space="preserve">there was one “outlier” study </w:t>
      </w:r>
      <w:r>
        <w:t xml:space="preserve">from Burkina Faso </w:t>
      </w:r>
      <w:r w:rsidR="000533DF">
        <w:t>with a 95% confidence interval of</w:t>
      </w:r>
      <w:r>
        <w:t xml:space="preserve"> 31.0% and 73.8%</w:t>
      </w:r>
      <w:r w:rsidR="000533DF">
        <w:t xml:space="preserve"> (</w:t>
      </w:r>
      <w:r w:rsidR="003E0C9E" w:rsidRPr="003E0C9E">
        <w:rPr>
          <w:b/>
        </w:rPr>
        <w:t>Figure</w:t>
      </w:r>
      <w:r w:rsidR="000533DF">
        <w:t xml:space="preserve"> </w:t>
      </w:r>
      <w:r w:rsidR="000533DF" w:rsidRPr="00F22B31">
        <w:rPr>
          <w:b/>
        </w:rPr>
        <w:t>5</w:t>
      </w:r>
      <w:r w:rsidR="000533DF">
        <w:t>)</w:t>
      </w:r>
      <w:r>
        <w:t xml:space="preserve">. Similarly, </w:t>
      </w:r>
      <w:r w:rsidR="000533DF">
        <w:t xml:space="preserve">regarding the proportion of </w:t>
      </w:r>
      <w:r w:rsidR="00F01AD0">
        <w:t>infants and young children</w:t>
      </w:r>
      <w:r>
        <w:t xml:space="preserve"> who</w:t>
      </w:r>
      <w:r w:rsidR="000533DF">
        <w:t>se parents</w:t>
      </w:r>
      <w:r>
        <w:t xml:space="preserve"> sought/attempted to seek care, most studies ranged from 52.5%-98.9%, however </w:t>
      </w:r>
      <w:r w:rsidR="000533DF">
        <w:t xml:space="preserve">the same study from Burkina Faso </w:t>
      </w:r>
      <w:r>
        <w:t xml:space="preserve">reported much lower rates of attempted </w:t>
      </w:r>
      <w:r w:rsidR="00485A98">
        <w:t>care-seeking</w:t>
      </w:r>
      <w:r>
        <w:t xml:space="preserve"> in the same age group (</w:t>
      </w:r>
      <w:r w:rsidR="000533DF">
        <w:t xml:space="preserve">95% CI </w:t>
      </w:r>
      <w:r>
        <w:t>13.3%-53.1%).</w:t>
      </w:r>
      <w:r w:rsidR="00BF1805">
        <w:t xml:space="preserve"> </w:t>
      </w:r>
      <w:r w:rsidR="00F0399C">
        <w:t xml:space="preserve">This was the smallest of all the studies we included (investigating only 17 deaths) and was also one of the earliest (conducted in 1999) in a very remote part of Burkina Faso, which probably explains the low levels of care-seeking and the very wide confidence interval. </w:t>
      </w:r>
      <w:r w:rsidR="00BF1805">
        <w:t xml:space="preserve">Thirdly, while we tried to account for certain “macro” differences, such as national income and </w:t>
      </w:r>
      <w:r w:rsidR="00364BEB">
        <w:t>user-fee</w:t>
      </w:r>
      <w:r w:rsidR="00BF1805">
        <w:t xml:space="preserve"> policy, </w:t>
      </w:r>
      <w:r w:rsidR="00C209CB">
        <w:t xml:space="preserve">these were nonetheless crude markers of known social determinants of health. </w:t>
      </w:r>
      <w:r w:rsidR="00831BA0">
        <w:t xml:space="preserve">We were unable to adjust for rural or urban setting as there was limited data from urban settings to use as a comparator (only 2 studies), and </w:t>
      </w:r>
      <w:r w:rsidR="00865DA1">
        <w:t xml:space="preserve">data on </w:t>
      </w:r>
      <w:r w:rsidR="00831BA0">
        <w:t xml:space="preserve">other known </w:t>
      </w:r>
      <w:r w:rsidR="00BF1805" w:rsidRPr="00865DA1">
        <w:t xml:space="preserve">predictors of </w:t>
      </w:r>
      <w:r w:rsidR="00485A98" w:rsidRPr="00865DA1">
        <w:t>care-seeking</w:t>
      </w:r>
      <w:r w:rsidR="00BF1805" w:rsidRPr="00865DA1">
        <w:t xml:space="preserve"> behaviour</w:t>
      </w:r>
      <w:r w:rsidR="00865DA1" w:rsidRPr="00865DA1">
        <w:t xml:space="preserve"> -</w:t>
      </w:r>
      <w:r w:rsidR="00BF1805" w:rsidRPr="00865DA1">
        <w:t xml:space="preserve"> such </w:t>
      </w:r>
      <w:r w:rsidR="00831BA0" w:rsidRPr="00865DA1">
        <w:t xml:space="preserve">as </w:t>
      </w:r>
      <w:r w:rsidR="00BF1805" w:rsidRPr="00865DA1">
        <w:t>distance to clinics</w:t>
      </w:r>
      <w:r w:rsidR="00865DA1" w:rsidRPr="00865DA1">
        <w:t xml:space="preserve"> and </w:t>
      </w:r>
      <w:r w:rsidR="00BF1805" w:rsidRPr="00865DA1">
        <w:t xml:space="preserve">levels of education </w:t>
      </w:r>
      <w:r w:rsidR="00865DA1" w:rsidRPr="00865DA1">
        <w:t xml:space="preserve">- </w:t>
      </w:r>
      <w:r w:rsidR="00BF1805" w:rsidRPr="00865DA1">
        <w:t>was simply unavailable consistently across the included studies.</w:t>
      </w:r>
      <w:r w:rsidR="00732E2E" w:rsidRPr="00865DA1">
        <w:t xml:space="preserve"> </w:t>
      </w:r>
      <w:r w:rsidR="00BB6E7B" w:rsidRPr="00865DA1">
        <w:t>The</w:t>
      </w:r>
      <w:r w:rsidR="00BB6E7B" w:rsidRPr="00BB6E7B">
        <w:t xml:space="preserve"> question of context might explain the seemingly bimodal pattern of home deaths in settings with </w:t>
      </w:r>
      <w:r w:rsidR="00364BEB">
        <w:t>user-fee</w:t>
      </w:r>
      <w:r w:rsidR="00BB6E7B" w:rsidRPr="00BB6E7B">
        <w:t>s</w:t>
      </w:r>
      <w:r w:rsidR="00007073">
        <w:t xml:space="preserve"> (</w:t>
      </w:r>
      <w:r w:rsidR="00A02E25">
        <w:t>A</w:t>
      </w:r>
      <w:r w:rsidR="00007073">
        <w:t xml:space="preserve">ppendix </w:t>
      </w:r>
      <w:r w:rsidR="00D7394F">
        <w:t>S</w:t>
      </w:r>
      <w:r w:rsidR="00007073">
        <w:t>4</w:t>
      </w:r>
      <w:r w:rsidR="00D7394F">
        <w:t xml:space="preserve"> in in the </w:t>
      </w:r>
      <w:r w:rsidR="00D7394F" w:rsidRPr="00F22B31">
        <w:rPr>
          <w:b/>
        </w:rPr>
        <w:t>Online Supplementary Document</w:t>
      </w:r>
      <w:r w:rsidR="00007073">
        <w:t>)</w:t>
      </w:r>
      <w:r w:rsidR="00BB6E7B" w:rsidRPr="00BB6E7B">
        <w:t>: almost all deaths in the studies from</w:t>
      </w:r>
      <w:r w:rsidR="00BB6E7B">
        <w:t xml:space="preserve"> </w:t>
      </w:r>
      <w:r w:rsidR="00BB6E7B" w:rsidRPr="00BB6E7B">
        <w:t xml:space="preserve">Ethiopia </w:t>
      </w:r>
      <w:r w:rsidR="00BB6E7B" w:rsidRPr="00BB6E7B">
        <w:fldChar w:fldCharType="begin" w:fldLock="1"/>
      </w:r>
      <w:r w:rsidR="00876406">
        <w:instrText>ADDIN CSL_CITATION {"citationItems":[{"id":"ITEM-1","itemData":{"DOI":"10.1186/s40748-016-0035-8","ISSN":"2054-958X (Print)","PMID":"27437118","abstract":"BACKGROUND: In the world, Neonatal mortality accounts for 40 % of death of children under the age of 5 years. Majority of neonatal deaths occur in developing countries outside of formal health system, among which death in the first hour of first day of their life constitute the huge bulk. This analysis is intended to estimate neonatal mortality rates and identify the leading causes of death based on the surveillance data over 6 years period in Kersa health and demographic surveillance system (Kersa HDSS) site, Eastern Ethiopia. METHODS: Kersa HDSS is an open dynamic cohort of population established in 2007. The surveillance started after conducting a baseline census followed by population update and events registration on house-to-house visits every 6 months. Data were collected using verbal autopsy (VA) questionnaire from close relatives (usually mothers in this case) and causes of deaths were assigned by 2 to 3 physicians. This analysis was done based on 301 neonatal deaths and 10,934 live births occurred during 2008 to 2013. RESULTS: The overall neonatal death rate during the study period was 27.5 per 1000 live births. Nearly all neonatal deaths (94 %) occurred at home. More than four-fifth (82.4 %) of the deaths was occurred in the first week of life. More than 80 % of the deaths were due to perinatal causes. Bacterial sepsis of the newborn accounted for 31.2 % followed by birth asphyxia and perinatal respiratory disorder (28.2 %), and prematurity (17.3 %). Higher number of death was observed in Tolla and Bereka sub-districts located at the southern parts of the study site which are away from the main road network. CONCLUSION: The overall neonatal mortality over 6 years is the same to the national average (27 per 1000 live births). The leading causes of neonatal death were bacterial sepsis of newborn and birth asphyxia. Community-based skilled health care delivery during birth should be emphasized.","author":[{"dropping-particle":"","family":"Assefa","given":"Nega","non-dropping-particle":"","parse-names":false,"suffix":""},{"dropping-particle":"","family":"Lakew","given":"Yihune","non-dropping-particle":"","parse-names":false,"suffix":""},{"dropping-particle":"","family":"Belay","given":"Betelhem","non-dropping-particle":"","parse-names":false,"suffix":""},{"dropping-particle":"","family":"Kedir","given":"Haji","non-dropping-particle":"","parse-names":false,"suffix":""},{"dropping-particle":"","family":"Zelalem","given":"Desalew","non-dropping-particle":"","parse-names":false,"suffix":""},{"dropping-particle":"","family":"Baraki","given":"Negga","non-dropping-particle":"","parse-names":false,"suffix":""},{"dropping-particle":"","family":"Damena","given":"Melake","non-dropping-particle":"","parse-names":false,"suffix":""},{"dropping-particle":"","family":"Oljira","given":"Lemessa","non-dropping-particle":"","parse-names":false,"suffix":""},{"dropping-particle":"","family":"Ashenafi","given":"Wondimye","non-dropping-particle":"","parse-names":false,"suffix":""},{"dropping-particle":"","family":"Dedefo","given":"Melkamu","non-dropping-particle":"","parse-names":false,"suffix":""}],"container-title":"Maternal health, neonatology and perinatology","id":"ITEM-1","issued":{"date-parts":[["2016"]]},"language":"eng","page":"7","publisher-place":"England","title":"Neonatal mortality and causes of death in Kersa Health and Demographic Surveillance System (Kersa HDSS), Ethiopia, 2008-2013.","type":"article-journal","volume":"2"},"uris":["http://www.mendeley.com/documents/?uuid=0b2d7e64-bdf5-4dea-bad2-56e93adeaee4"]}],"mendeley":{"formattedCitation":"(18)","manualFormatting":"[18","plainTextFormattedCitation":"(18)","previouslyFormattedCitation":"(18)"},"properties":{"noteIndex":0},"schema":"https://github.com/citation-style-language/schema/raw/master/csl-citation.json"}</w:instrText>
      </w:r>
      <w:r w:rsidR="00BB6E7B" w:rsidRPr="00BB6E7B">
        <w:fldChar w:fldCharType="separate"/>
      </w:r>
      <w:r w:rsidR="00D7394F">
        <w:rPr>
          <w:noProof/>
        </w:rPr>
        <w:t>[</w:t>
      </w:r>
      <w:r w:rsidR="00303FFB" w:rsidRPr="00303FFB">
        <w:rPr>
          <w:noProof/>
        </w:rPr>
        <w:t>18</w:t>
      </w:r>
      <w:r w:rsidR="00BB6E7B" w:rsidRPr="00BB6E7B">
        <w:fldChar w:fldCharType="end"/>
      </w:r>
      <w:r w:rsidR="00D7394F">
        <w:t>]</w:t>
      </w:r>
      <w:r w:rsidR="00BB6E7B">
        <w:t>,</w:t>
      </w:r>
      <w:r w:rsidR="0061013B">
        <w:t xml:space="preserve"> </w:t>
      </w:r>
      <w:r w:rsidR="00BB6E7B" w:rsidRPr="00BB6E7B">
        <w:t xml:space="preserve">Kenya </w:t>
      </w:r>
      <w:r w:rsidR="00BB6E7B" w:rsidRPr="00BB6E7B">
        <w:fldChar w:fldCharType="begin" w:fldLock="1"/>
      </w:r>
      <w:r w:rsidR="00876406">
        <w:instrText>ADDIN CSL_CITATION {"citationItems":[{"id":"ITEM-1","itemData":{"ISBN":"0090-0036","ISSN":"0090-0036 (Print)","PMID":"11574320","author":[{"dropping-particle":"","family":"Garg","given":"R","non-dropping-particle":"","parse-names":false,"suffix":""},{"dropping-particle":"","family":"Omwomo","given":"W","non-dropping-particle":"","parse-names":false,"suffix":""},{"dropping-particle":"","family":"Witte","given":"J M","non-dropping-particle":"","parse-names":false,"suffix":""},{"dropping-particle":"","family":"Lee","given":"L A","non-dropping-particle":"","parse-names":false,"suffix":""},{"dropping-particle":"","family":"Deming","given":"M S","non-dropping-particle":"","parse-names":false,"suffix":""},{"dropping-particle":"","family":"R.","given":"Garg","non-dropping-particle":"","parse-names":false,"suffix":""},{"dropping-particle":"","family":"W.","given":"Omwomo","non-dropping-particle":"","parse-names":false,"suffix":""},{"dropping-particle":"","family":"J.M.","given":"Witte","non-dropping-particle":"","parse-names":false,"suffix":""},{"dropping-particle":"","family":"L.A.","given":"Lee","non-dropping-particle":"","parse-names":false,"suffix":""}],"container-title":"American Journal of Public Health","id":"ITEM-1","issue":"10","issued":{"date-parts":[["2001","10"]]},"language":"eng","page":"1611-1613","publisher":"American Public Health Association Inc. (800 I Street NW, Washington DC 20061-3710, United States)","publisher-place":"M.S. Deming, Division of Parasitic Diseases, Natl. Center for Infectious Diseases, Center for Disease Control and Prev., 4770 Buford Hwy, Atlanta, GA 30341, United States. E-mail: msd1@cdc.gov, United States","title":"Care seeking during fatal childhood illnesses: Siaya District, Kenya, 1998","type":"article-journal","volume":"91"},"uris":["http://www.mendeley.com/documents/?uuid=1479654f-c711-4c2c-941a-4ebde7b1ba5a"]}],"mendeley":{"formattedCitation":"(19)","manualFormatting":"[19","plainTextFormattedCitation":"(19)","previouslyFormattedCitation":"(19)"},"properties":{"noteIndex":0},"schema":"https://github.com/citation-style-language/schema/raw/master/csl-citation.json"}</w:instrText>
      </w:r>
      <w:r w:rsidR="00BB6E7B" w:rsidRPr="00BB6E7B">
        <w:fldChar w:fldCharType="separate"/>
      </w:r>
      <w:r w:rsidR="00D7394F">
        <w:rPr>
          <w:noProof/>
        </w:rPr>
        <w:t>[</w:t>
      </w:r>
      <w:r w:rsidR="00303FFB" w:rsidRPr="00303FFB">
        <w:rPr>
          <w:noProof/>
        </w:rPr>
        <w:t>19</w:t>
      </w:r>
      <w:r w:rsidR="00BB6E7B" w:rsidRPr="00BB6E7B">
        <w:fldChar w:fldCharType="end"/>
      </w:r>
      <w:r w:rsidR="00D7394F">
        <w:t>]</w:t>
      </w:r>
      <w:r w:rsidR="00BB6E7B">
        <w:t xml:space="preserve"> and</w:t>
      </w:r>
      <w:r w:rsidR="00BB6E7B" w:rsidRPr="00BB6E7B">
        <w:t xml:space="preserve"> Guinea </w:t>
      </w:r>
      <w:r w:rsidR="00BB6E7B" w:rsidRPr="00BB6E7B">
        <w:fldChar w:fldCharType="begin" w:fldLock="1"/>
      </w:r>
      <w:r w:rsidR="00876406">
        <w:instrText>ADDIN CSL_CITATION {"citationItems":[{"id":"ITEM-1","itemData":{"author":[{"dropping-particle":"","family":"Schumacher","given":"R","non-dropping-particle":"","parse-names":false,"suffix":""},{"dropping-particle":"","family":"Swedberg","given":"E","non-dropping-particle":"","parse-names":false,"suffix":""},{"dropping-particle":"","family":"Diallo","given":"M.O","non-dropping-particle":"","parse-names":false,"suffix":""},{"dropping-particle":"","family":"Keita","given":"D.R","non-dropping-particle":"","parse-names":false,"suffix":""},{"dropping-particle":"","family":"Kalter","given":"H.D","non-dropping-particle":"","parse-names":false,"suffix":""},{"dropping-particle":"","family":"Pasha","given":"O","non-dropping-particle":"","parse-names":false,"suffix":""}],"id":"ITEM-1","issued":{"date-parts":[["2002"]]},"title":"Mortality Study in Guinea: Investigating the Causes of Death in Children Under 5.","type":"report"},"uris":["http://www.mendeley.com/documents/?uuid=39da3c3f-13bf-47a3-acf2-76a2ddb0d828"]}],"mendeley":{"formattedCitation":"(20)","manualFormatting":"[20","plainTextFormattedCitation":"(20)","previouslyFormattedCitation":"(20)"},"properties":{"noteIndex":0},"schema":"https://github.com/citation-style-language/schema/raw/master/csl-citation.json"}</w:instrText>
      </w:r>
      <w:r w:rsidR="00BB6E7B" w:rsidRPr="00BB6E7B">
        <w:fldChar w:fldCharType="separate"/>
      </w:r>
      <w:r w:rsidR="00D7394F">
        <w:rPr>
          <w:noProof/>
        </w:rPr>
        <w:t>[</w:t>
      </w:r>
      <w:r w:rsidR="00303FFB" w:rsidRPr="00303FFB">
        <w:rPr>
          <w:noProof/>
        </w:rPr>
        <w:t>20</w:t>
      </w:r>
      <w:r w:rsidR="00BB6E7B" w:rsidRPr="00BB6E7B">
        <w:fldChar w:fldCharType="end"/>
      </w:r>
      <w:r w:rsidR="00D7394F">
        <w:t>]</w:t>
      </w:r>
      <w:r w:rsidR="00BB6E7B" w:rsidRPr="00BB6E7B">
        <w:t xml:space="preserve"> appeared to happen at home. In Ethiopia, the authors suggested that the high proportions of home deaths might reflect high levels of unattended home births in this community</w:t>
      </w:r>
      <w:r w:rsidR="006F5C9C">
        <w:t xml:space="preserve">, </w:t>
      </w:r>
      <w:r w:rsidR="00556E0A">
        <w:t xml:space="preserve">and limited access to health facilities due to terrain and location of villages far from main roads </w:t>
      </w:r>
      <w:r w:rsidR="00BB6E7B" w:rsidRPr="00BB6E7B">
        <w:fldChar w:fldCharType="begin" w:fldLock="1"/>
      </w:r>
      <w:r w:rsidR="00876406">
        <w:instrText>ADDIN CSL_CITATION {"citationItems":[{"id":"ITEM-1","itemData":{"DOI":"10.1186/s40748-016-0035-8","ISSN":"2054-958X (Print)","PMID":"27437118","abstract":"BACKGROUND: In the world, Neonatal mortality accounts for 40 % of death of children under the age of 5 years. Majority of neonatal deaths occur in developing countries outside of formal health system, among which death in the first hour of first day of their life constitute the huge bulk. This analysis is intended to estimate neonatal mortality rates and identify the leading causes of death based on the surveillance data over 6 years period in Kersa health and demographic surveillance system (Kersa HDSS) site, Eastern Ethiopia. METHODS: Kersa HDSS is an open dynamic cohort of population established in 2007. The surveillance started after conducting a baseline census followed by population update and events registration on house-to-house visits every 6 months. Data were collected using verbal autopsy (VA) questionnaire from close relatives (usually mothers in this case) and causes of deaths were assigned by 2 to 3 physicians. This analysis was done based on 301 neonatal deaths and 10,934 live births occurred during 2008 to 2013. RESULTS: The overall neonatal death rate during the study period was 27.5 per 1000 live births. Nearly all neonatal deaths (94 %) occurred at home. More than four-fifth (82.4 %) of the deaths was occurred in the first week of life. More than 80 % of the deaths were due to perinatal causes. Bacterial sepsis of the newborn accounted for 31.2 % followed by birth asphyxia and perinatal respiratory disorder (28.2 %), and prematurity (17.3 %). Higher number of death was observed in Tolla and Bereka sub-districts located at the southern parts of the study site which are away from the main road network. CONCLUSION: The overall neonatal mortality over 6 years is the same to the national average (27 per 1000 live births). The leading causes of neonatal death were bacterial sepsis of newborn and birth asphyxia. Community-based skilled health care delivery during birth should be emphasized.","author":[{"dropping-particle":"","family":"Assefa","given":"Nega","non-dropping-particle":"","parse-names":false,"suffix":""},{"dropping-particle":"","family":"Lakew","given":"Yihune","non-dropping-particle":"","parse-names":false,"suffix":""},{"dropping-particle":"","family":"Belay","given":"Betelhem","non-dropping-particle":"","parse-names":false,"suffix":""},{"dropping-particle":"","family":"Kedir","given":"Haji","non-dropping-particle":"","parse-names":false,"suffix":""},{"dropping-particle":"","family":"Zelalem","given":"Desalew","non-dropping-particle":"","parse-names":false,"suffix":""},{"dropping-particle":"","family":"Baraki","given":"Negga","non-dropping-particle":"","parse-names":false,"suffix":""},{"dropping-particle":"","family":"Damena","given":"Melake","non-dropping-particle":"","parse-names":false,"suffix":""},{"dropping-particle":"","family":"Oljira","given":"Lemessa","non-dropping-particle":"","parse-names":false,"suffix":""},{"dropping-particle":"","family":"Ashenafi","given":"Wondimye","non-dropping-particle":"","parse-names":false,"suffix":""},{"dropping-particle":"","family":"Dedefo","given":"Melkamu","non-dropping-particle":"","parse-names":false,"suffix":""}],"container-title":"Maternal health, neonatology and perinatology","id":"ITEM-1","issued":{"date-parts":[["2016"]]},"language":"eng","page":"7","publisher-place":"England","title":"Neonatal mortality and causes of death in Kersa Health and Demographic Surveillance System (Kersa HDSS), Ethiopia, 2008-2013.","type":"article-journal","volume":"2"},"uris":["http://www.mendeley.com/documents/?uuid=0b2d7e64-bdf5-4dea-bad2-56e93adeaee4"]}],"mendeley":{"formattedCitation":"(18)","manualFormatting":"[18","plainTextFormattedCitation":"(18)","previouslyFormattedCitation":"(18)"},"properties":{"noteIndex":0},"schema":"https://github.com/citation-style-language/schema/raw/master/csl-citation.json"}</w:instrText>
      </w:r>
      <w:r w:rsidR="00BB6E7B" w:rsidRPr="00BB6E7B">
        <w:fldChar w:fldCharType="separate"/>
      </w:r>
      <w:r w:rsidR="00D7394F">
        <w:rPr>
          <w:noProof/>
        </w:rPr>
        <w:t>[</w:t>
      </w:r>
      <w:r w:rsidR="00303FFB" w:rsidRPr="00303FFB">
        <w:rPr>
          <w:noProof/>
        </w:rPr>
        <w:t>18</w:t>
      </w:r>
      <w:r w:rsidR="00BB6E7B" w:rsidRPr="00BB6E7B">
        <w:fldChar w:fldCharType="end"/>
      </w:r>
      <w:r w:rsidR="00D7394F">
        <w:t>]</w:t>
      </w:r>
      <w:r w:rsidR="00BB6E7B" w:rsidRPr="00BB6E7B">
        <w:t>.</w:t>
      </w:r>
      <w:r w:rsidR="0061013B">
        <w:t xml:space="preserve"> </w:t>
      </w:r>
      <w:r w:rsidR="00BB6E7B" w:rsidRPr="00BB6E7B">
        <w:t>In Kenya, home deaths occurred despite a majority having sought care outside the home. Important contextual factors here were low follow-up and referral rates from formal health providers, underuse of community health workers and a preference for traditional healers</w:t>
      </w:r>
      <w:r w:rsidR="00BB6E7B">
        <w:t xml:space="preserve"> </w:t>
      </w:r>
      <w:r w:rsidR="00BB6E7B">
        <w:fldChar w:fldCharType="begin" w:fldLock="1"/>
      </w:r>
      <w:r w:rsidR="00876406">
        <w:instrText>ADDIN CSL_CITATION {"citationItems":[{"id":"ITEM-1","itemData":{"ISBN":"0090-0036","ISSN":"0090-0036 (Print)","PMID":"11574320","author":[{"dropping-particle":"","family":"Garg","given":"R","non-dropping-particle":"","parse-names":false,"suffix":""},{"dropping-particle":"","family":"Omwomo","given":"W","non-dropping-particle":"","parse-names":false,"suffix":""},{"dropping-particle":"","family":"Witte","given":"J M","non-dropping-particle":"","parse-names":false,"suffix":""},{"dropping-particle":"","family":"Lee","given":"L A","non-dropping-particle":"","parse-names":false,"suffix":""},{"dropping-particle":"","family":"Deming","given":"M S","non-dropping-particle":"","parse-names":false,"suffix":""},{"dropping-particle":"","family":"R.","given":"Garg","non-dropping-particle":"","parse-names":false,"suffix":""},{"dropping-particle":"","family":"W.","given":"Omwomo","non-dropping-particle":"","parse-names":false,"suffix":""},{"dropping-particle":"","family":"J.M.","given":"Witte","non-dropping-particle":"","parse-names":false,"suffix":""},{"dropping-particle":"","family":"L.A.","given":"Lee","non-dropping-particle":"","parse-names":false,"suffix":""}],"container-title":"American Journal of Public Health","id":"ITEM-1","issue":"10","issued":{"date-parts":[["2001","10"]]},"language":"eng","page":"1611-1613","publisher":"American Public Health Association Inc. (800 I Street NW, Washington DC 20061-3710, United States)","publisher-place":"M.S. Deming, Division of Parasitic Diseases, Natl. Center for Infectious Diseases, Center for Disease Control and Prev., 4770 Buford Hwy, Atlanta, GA 30341, United States. E-mail: msd1@cdc.gov, United States","title":"Care seeking during fatal childhood illnesses: Siaya District, Kenya, 1998","type":"article-journal","volume":"91"},"uris":["http://www.mendeley.com/documents/?uuid=1479654f-c711-4c2c-941a-4ebde7b1ba5a"]}],"mendeley":{"formattedCitation":"(19)","manualFormatting":"[19","plainTextFormattedCitation":"(19)","previouslyFormattedCitation":"(19)"},"properties":{"noteIndex":0},"schema":"https://github.com/citation-style-language/schema/raw/master/csl-citation.json"}</w:instrText>
      </w:r>
      <w:r w:rsidR="00BB6E7B">
        <w:fldChar w:fldCharType="separate"/>
      </w:r>
      <w:r w:rsidR="00D7394F">
        <w:rPr>
          <w:noProof/>
        </w:rPr>
        <w:t>[</w:t>
      </w:r>
      <w:r w:rsidR="00303FFB" w:rsidRPr="00303FFB">
        <w:rPr>
          <w:noProof/>
        </w:rPr>
        <w:t>19</w:t>
      </w:r>
      <w:r w:rsidR="00BB6E7B">
        <w:fldChar w:fldCharType="end"/>
      </w:r>
      <w:r w:rsidR="00D7394F">
        <w:t>]</w:t>
      </w:r>
      <w:r w:rsidR="00BB6E7B" w:rsidRPr="00BB6E7B">
        <w:t>. In Guinea, home deaths were attributed to a combination of a lack of trained traditional birth attendants for home births, poor recognition of danger signs and poor care-seeking outside the home</w:t>
      </w:r>
      <w:r w:rsidR="00BB6E7B">
        <w:t xml:space="preserve"> </w:t>
      </w:r>
      <w:r w:rsidR="00BB6E7B">
        <w:fldChar w:fldCharType="begin" w:fldLock="1"/>
      </w:r>
      <w:r w:rsidR="00876406">
        <w:instrText>ADDIN CSL_CITATION {"citationItems":[{"id":"ITEM-1","itemData":{"author":[{"dropping-particle":"","family":"Schumacher","given":"R","non-dropping-particle":"","parse-names":false,"suffix":""},{"dropping-particle":"","family":"Swedberg","given":"E","non-dropping-particle":"","parse-names":false,"suffix":""},{"dropping-particle":"","family":"Diallo","given":"M.O","non-dropping-particle":"","parse-names":false,"suffix":""},{"dropping-particle":"","family":"Keita","given":"D.R","non-dropping-particle":"","parse-names":false,"suffix":""},{"dropping-particle":"","family":"Kalter","given":"H.D","non-dropping-particle":"","parse-names":false,"suffix":""},{"dropping-particle":"","family":"Pasha","given":"O","non-dropping-particle":"","parse-names":false,"suffix":""}],"id":"ITEM-1","issued":{"date-parts":[["2002"]]},"title":"Mortality Study in Guinea: Investigating the Causes of Death in Children Under 5.","type":"report"},"uris":["http://www.mendeley.com/documents/?uuid=39da3c3f-13bf-47a3-acf2-76a2ddb0d828"]}],"mendeley":{"formattedCitation":"(20)","manualFormatting":"[20","plainTextFormattedCitation":"(20)","previouslyFormattedCitation":"(20)"},"properties":{"noteIndex":0},"schema":"https://github.com/citation-style-language/schema/raw/master/csl-citation.json"}</w:instrText>
      </w:r>
      <w:r w:rsidR="00BB6E7B">
        <w:fldChar w:fldCharType="separate"/>
      </w:r>
      <w:r w:rsidR="00D7394F">
        <w:rPr>
          <w:noProof/>
        </w:rPr>
        <w:t>[</w:t>
      </w:r>
      <w:r w:rsidR="00303FFB" w:rsidRPr="00303FFB">
        <w:rPr>
          <w:noProof/>
        </w:rPr>
        <w:t>20</w:t>
      </w:r>
      <w:r w:rsidR="00BB6E7B">
        <w:fldChar w:fldCharType="end"/>
      </w:r>
      <w:r w:rsidR="00D7394F">
        <w:t>]</w:t>
      </w:r>
      <w:r w:rsidR="00BB6E7B" w:rsidRPr="00BB6E7B">
        <w:t>. Both the studies in Kenya and Guinea were conducted in the late 1990’s</w:t>
      </w:r>
      <w:r w:rsidR="00556E0A">
        <w:t xml:space="preserve"> in rural areas</w:t>
      </w:r>
      <w:r w:rsidR="00BB6E7B" w:rsidRPr="00BB6E7B">
        <w:t>, prior to the expansion of primary care initiative</w:t>
      </w:r>
      <w:r w:rsidR="009729E1">
        <w:t>s</w:t>
      </w:r>
      <w:r w:rsidR="00BB6E7B" w:rsidRPr="00BB6E7B">
        <w:t xml:space="preserve"> such as the Integrated Management of Childhood Illness (IMCI)</w:t>
      </w:r>
      <w:r w:rsidR="00FD0DC4">
        <w:t>;</w:t>
      </w:r>
      <w:r w:rsidR="00BB6E7B" w:rsidRPr="00BB6E7B">
        <w:t xml:space="preserve"> it is possible that care-seeking behaviour and place of death has changed in more recent years.</w:t>
      </w:r>
    </w:p>
    <w:p w14:paraId="02D09761" w14:textId="4FDB6DCF" w:rsidR="009312EC" w:rsidRDefault="00AF09FE" w:rsidP="00F41F6C">
      <w:pPr>
        <w:pStyle w:val="Heading2"/>
      </w:pPr>
      <w:r>
        <w:t>Comparison with</w:t>
      </w:r>
      <w:r w:rsidR="009312EC">
        <w:t xml:space="preserve"> previous studies</w:t>
      </w:r>
    </w:p>
    <w:p w14:paraId="157436D8" w14:textId="7B34158B" w:rsidR="009312EC" w:rsidRDefault="009312EC" w:rsidP="00187AA8">
      <w:pPr>
        <w:spacing w:line="360" w:lineRule="auto"/>
      </w:pPr>
      <w:r>
        <w:t xml:space="preserve">Our findings are consistent with previous studies that highlighted failures to </w:t>
      </w:r>
      <w:r w:rsidR="00637CD6">
        <w:t>recognise signs of illness, particularly in neonates</w:t>
      </w:r>
      <w:r w:rsidR="00BF1805">
        <w:t xml:space="preserve"> </w:t>
      </w:r>
      <w:r w:rsidR="00D06434">
        <w:fldChar w:fldCharType="begin" w:fldLock="1"/>
      </w:r>
      <w:r w:rsidR="00876406">
        <w:instrText>ADDIN CSL_CITATION {"citationItems":[{"id":"ITEM-1","itemData":{"DOI":"10.1371/journal.pone.0093427","ISSN":"1932-6203","author":[{"dropping-particle":"","family":"Geldsetzer","given":"Pascal","non-dropping-particle":"","parse-names":false,"suffix":""},{"dropping-particle":"","family":"Williams","given":"Thomas Christie","non-dropping-particle":"","parse-names":false,"suffix":""},{"dropping-particle":"","family":"Kirolos","given":"Amir","non-dropping-particle":"","parse-names":false,"suffix":""},{"dropping-particle":"","family":"Mitchell","given":"Sarah","non-dropping-particle":"","parse-names":false,"suffix":""},{"dropping-particle":"","family":"Ratcliffe","given":"Louise Alison","non-dropping-particle":"","parse-names":false,"suffix":""},{"dropping-particle":"","family":"Kohli-Lynch","given":"Maya Kate","non-dropping-particle":"","parse-names":false,"suffix":""},{"dropping-particle":"","family":"Bischoff","given":"Esther Jill Laura","non-dropping-particle":"","parse-names":false,"suffix":""},{"dropping-particle":"","family":"Cameron","given":"Sophie","non-dropping-particle":"","parse-names":false,"suffix":""},{"dropping-particle":"","family":"Campbell","given":"Harry","non-dropping-particle":"","parse-names":false,"suffix":""}],"container-title":"PLoS ONE","editor":[{"dropping-particle":"","family":"Semple","given":"Malcolm G.","non-dropping-particle":"","parse-names":false,"suffix":""}],"id":"ITEM-1","issue":"4","issued":{"date-parts":[["2014","4","9"]]},"page":"e93427","publisher":"Public Library of Science","title":"The Recognition of and Care Seeking Behaviour for Childhood Illness in Developing Countries: A Systematic Review","type":"article-journal","volume":"9"},"uris":["http://www.mendeley.com/documents/?uuid=cf8dac21-82a8-3366-b613-a7cded0d1a78"]},{"id":"ITEM-2","itemData":{"DOI":"10.1186/s13104-016-2272-3","ISSN":"1756-0500","abstract":"Neonatal mortality has remained high in Kenya despite various efforts being applied to reduce this negative trend. Early detection of neonatal illness is an important step towards improving new born survival. Toward this end there is need for the mothers to be able to identify signs in neonates that signifies severe neonatal illnesses. The objective of the study was to determine the level of knowledge of mothers attending well baby clinics on postnatal neonatal danger signs and determine the associated factors. Cross sectional descriptive study. Purposive sampling of Health care facilities that provide antenatal, delivery and postnatal services were identified. In each of the selected health facility structured questionnaires were administered to mothers with children aged six weeks to nine months attending well baby clinics. Frequencies, Chi square and multivariate logistic regression were determined using the SPSS software (version 20). During the period of study 414 mothers attending well baby clinics were interviewed. Information on neonatal dangers was not provided to 237 (57.2%) of the postnatal mothers during their antenatal clinic attendance by the health care providers. Majority of mothers 350 (84.5%) identified less than three neonatal danger signs. Hotness of the body (fever) was the commonly recognized danger sign by 310 (74.9%) postnatal mothers. Out of 414 mothers 193 (46.6%), 166 (40.1%), 146 (35.3%) and 24 (5.8%) identified difficulty in breathing, poor sucking, jaundice and lethargy/unconsciousness as new born danger signs respectively. Only 46 (11.1%) and 40 (9.7%) identified convulsion and hypothermia as new born danger signs respectively. Education Level, PNC accompaniment by Spouse, Danger signs information to Mother, Explanation of MCH booklet by Care provider during ANC and Mother read MCH Booklet were factors positively associated with improved knowledge of neonatal danger sign. In multivariate logistic regression none of the factors tested were statistically significant in relation to level of knowledge. Knowledge of neonatal danger signs was low among mothers attending well baby clinic despite the information being available in the MCH booklets provided to the mothers during antenatal clinics.","author":[{"dropping-particle":"","family":"Kibaru","given":"Elizabeth Gathoni","non-dropping-particle":"","parse-names":false,"suffix":""},{"dropping-particle":"","family":"Otara","given":"Amos Magembe","non-dropping-particle":"","parse-names":false,"suffix":""}],"container-title":"BMC Research Notes","id":"ITEM-2","issue":"1","issued":{"date-parts":[["2016","12","25"]]},"page":"481","publisher":"BioMed Central","title":"Knowledge of neonatal danger signs among mothers attending well baby clinic in Nakuru Central District, Kenya: cross sectional descriptive study","type":"article-journal","volume":"9"},"uris":["http://www.mendeley.com/documents/?uuid=c85fc09b-b5a6-3944-8010-6ead79b4ff5c"]},{"id":"ITEM-3","itemData":{"DOI":"10.1371/journal.pone.0097253","ISSN":"1932-6203 (Electronic)","PMID":"24824364","abstract":"BACKGROUND: Early detection of neonatal illness is an important step towards improving newborn survival. Every year an estimated 3.07 million children die during their first month of life and about one-third of these deaths occur during the first 24 hours. Ninety-eight percent of all neonatal deaths occur in low- and middle-income countries like Uganda. Inadequate progress has been made globally to reduce the amount of neonatal deaths that would be required to meet Millennium Development Goal 4. Poor knowledge of newborn danger signs delays care seeking. The aim of this study was to explore the knowledge of key newborn danger signs among mothers in southwestern Uganda. METHODS: Results from a community survey of 765 recently delivered women were analyzed using univariate and multivariate logistic regressions. Six key danger signs were identified, and spontaneous responses were categorized, tabulated, and analyzed. RESULTS: Knowledge of at least one key danger sign was significantly associated with being birth prepared (adjusted OR 1.7, 95% CI 1.2-2.3). Birth preparedness consisted of saving money, identifying transportation, identifying a skilled birth attendant and buying a delivery kit or materials. Overall, respondents had a poor knowledge of key newborn danger signs: 58.2% could identify one and 14.8% could identify two. We found no association between women attending the recommended number of antenatal care visits and their knowledge of danger signs (adjusted OR 1.0, 95% CI 0.8-1.4), or between women using a skilled birth attendant at delivery and their knowledge of danger signs (adjusted OR 1.2, 95% CI 0.9-1.7). CONCLUSIONS: Our findings indicate the need to enhance education of mothers in antenatal care as well as those discharged from health facilities after delivery. Further promotion of birth preparedness is encouraged as part of the continuum of maternal care.","author":[{"dropping-particle":"","family":"Sandberg","given":"Jacob","non-dropping-particle":"","parse-names":false,"suffix":""},{"dropping-particle":"","family":"Odberg Pettersson","given":"Karen","non-dropping-particle":"","parse-names":false,"suffix":""},{"dropping-particle":"","family":"Asp","given":"Gustav","non-dropping-particle":"","parse-names":false,"suffix":""},{"dropping-particle":"","family":"Kabakyenga","given":"Jerome","non-dropping-particle":"","parse-names":false,"suffix":""},{"dropping-particle":"","family":"Agardh","given":"Anette","non-dropping-particle":"","parse-names":false,"suffix":""}],"container-title":"PloS one","id":"ITEM-3","issue":"5","issued":{"date-parts":[["2014"]]},"language":"eng","page":"e97253","publisher-place":"United States","title":"Inadequate knowledge of neonatal danger signs among recently delivered women in southwestern rural Uganda: a community survey.","type":"article-journal","volume":"9"},"uris":["http://www.mendeley.com/documents/?uuid=742bb295-1d7c-4aab-b698-deaf1e3baac9"]}],"mendeley":{"formattedCitation":"(21–23)","manualFormatting":"[21–23","plainTextFormattedCitation":"(21–23)","previouslyFormattedCitation":"(21–23)"},"properties":{"noteIndex":0},"schema":"https://github.com/citation-style-language/schema/raw/master/csl-citation.json"}</w:instrText>
      </w:r>
      <w:r w:rsidR="00D06434">
        <w:fldChar w:fldCharType="separate"/>
      </w:r>
      <w:r w:rsidR="00D7394F">
        <w:rPr>
          <w:noProof/>
        </w:rPr>
        <w:t>[</w:t>
      </w:r>
      <w:r w:rsidR="00303FFB" w:rsidRPr="00303FFB">
        <w:rPr>
          <w:noProof/>
        </w:rPr>
        <w:t>21–23</w:t>
      </w:r>
      <w:r w:rsidR="00D06434">
        <w:fldChar w:fldCharType="end"/>
      </w:r>
      <w:r w:rsidR="00D7394F">
        <w:t>]</w:t>
      </w:r>
      <w:r w:rsidR="00BF1805">
        <w:t xml:space="preserve">. </w:t>
      </w:r>
      <w:r>
        <w:t xml:space="preserve">As our study included only children who died, </w:t>
      </w:r>
      <w:r w:rsidR="00485A98">
        <w:t>care-seeking</w:t>
      </w:r>
      <w:r>
        <w:t xml:space="preserve"> would have </w:t>
      </w:r>
      <w:r w:rsidR="006B598C">
        <w:t xml:space="preserve">been appropriate for </w:t>
      </w:r>
      <w:r w:rsidR="00C46A12">
        <w:t xml:space="preserve">most if not </w:t>
      </w:r>
      <w:r w:rsidR="006B598C">
        <w:t>all of them</w:t>
      </w:r>
      <w:r>
        <w:t>. F</w:t>
      </w:r>
      <w:r w:rsidR="00637CD6">
        <w:t xml:space="preserve">ailure to </w:t>
      </w:r>
      <w:r w:rsidR="00E62FF9" w:rsidRPr="0029643F">
        <w:t xml:space="preserve">provide or seek care for a child despite the presence of symptoms and signs of illness has been </w:t>
      </w:r>
      <w:r>
        <w:t>linked to</w:t>
      </w:r>
      <w:r w:rsidR="007878A9" w:rsidRPr="0029643F">
        <w:t xml:space="preserve"> </w:t>
      </w:r>
      <w:r>
        <w:t xml:space="preserve">low </w:t>
      </w:r>
      <w:r w:rsidR="00E62FF9" w:rsidRPr="0029643F">
        <w:t xml:space="preserve">health literacy </w:t>
      </w:r>
      <w:r>
        <w:t>in</w:t>
      </w:r>
      <w:r w:rsidR="00E62FF9" w:rsidRPr="0029643F">
        <w:t xml:space="preserve"> the communities </w:t>
      </w:r>
      <w:r>
        <w:t>where</w:t>
      </w:r>
      <w:r w:rsidR="00E62FF9" w:rsidRPr="0029643F">
        <w:t xml:space="preserve"> these studies were conducted</w:t>
      </w:r>
      <w:r w:rsidR="00C209CB">
        <w:t xml:space="preserve"> </w:t>
      </w:r>
      <w:r w:rsidR="00062DB3">
        <w:fldChar w:fldCharType="begin" w:fldLock="1"/>
      </w:r>
      <w:r w:rsidR="00876406">
        <w:instrText>ADDIN CSL_CITATION {"citationItems":[{"id":"ITEM-1","itemData":{"DOI":"10.7189/jogh.05.010413","ISSN":"2047-2978 (Print)","PMID":"26171142","abstract":"BACKGROUND: Reducing preventable medical causes of neonatal death for faster progress toward the MGD4 will require Cameroon to adequately address the social factors contributing to these deaths. The objective of this paper is to explore the social, behavioral and health systems determinants of newborn death in Doume, Nguelemendouka and Abong-Mbang health districts, in Eastern Region of Cameroon, from 2007-2010. METHODS: Data come from the 2012 Verbal/Social Autopsy (VASA) study, which aimed to determine the biological causes and social, behavioral and health systems determinants of under-five deaths in Doume, Nguelemendouka and Abong-Mbang health districts in Eastern Region of Cameroon. The analysis of the data was guided by the review of the coverage of key interventions along the continuum of normal maternal and newborn care and by the description of breakdowns in the care provided for severe neonatal illnesses within the Pathway to Survival conceptual framework. RESULTS: One hundred sixty-four newborn deaths were confirmed from the VASA survey. The majority of the deceased newborns were living in households with poor socio-economic conditions. Most (60-80%) neonates were born to mothers who had one or more pregnancy or labor and delivery complications. Only 23% of the deceased newborns benefited from hygienic cord care after birth. Half received appropriate thermal care and only 6% were breastfed within one hour after birth. Sixty percent of the deaths occurred during the first day of life. Fifty-five percent of the babies were born at home. More than half of the deaths (57%) occurred at home. Of the 64 neonates born at a health facility, about 63% died in the health facility without leaving. Careseeking was delayed for several neonates who became sick after the first week of life and whose illnesses were less serious at the onset until they became more severely ill. Cost, including for transport, health care and other expenses, emerged as main barriers to formal care-seeking both for the mothers and their newborns. CONCLUSIONS: This study presents an opportunity to strengthen maternal and newborn health by increasing the coverage of essential and low cost interventions that could have saved the lives of many newborns in eastern Cameroon.","author":[{"dropping-particle":"","family":"Koffi","given":"Alain K","non-dropping-particle":"","parse-names":false,"suffix":""},{"dropping-particle":"","family":"Libite","given":"Paul-Roger","non-dropping-particle":"","parse-names":false,"suffix":""},{"dropping-particle":"","family":"Moluh","given":"Seidou","non-dropping-particle":"","parse-names":false,"suffix":""},{"dropping-particle":"","family":"Wounang","given":"Romain","non-dropping-particle":"","parse-names":false,"suffix":""},{"dropping-particle":"","family":"Kalter","given":"Henry D","non-dropping-particle":"","parse-names":false,"suffix":""}],"container-title":"Journal of global health","id":"ITEM-1","issue":"1","issued":{"date-parts":[["2015","6"]]},"language":"eng","page":"10413","publisher-place":"Scotland","title":"Social autopsy study identifies determinants of neonatal mortality in Doume, Nguelemendouka and Abong-Mbang health districts, Eastern Region of Cameroon.","type":"article-journal","volume":"5"},"uris":["http://www.mendeley.com/documents/?uuid=2f2bf549-8908-44db-bfaa-2eaf0c3348ca"]}],"mendeley":{"formattedCitation":"(24)","manualFormatting":"[24","plainTextFormattedCitation":"(24)","previouslyFormattedCitation":"(24)"},"properties":{"noteIndex":0},"schema":"https://github.com/citation-style-language/schema/raw/master/csl-citation.json"}</w:instrText>
      </w:r>
      <w:r w:rsidR="00062DB3">
        <w:fldChar w:fldCharType="separate"/>
      </w:r>
      <w:r w:rsidR="00D7394F">
        <w:rPr>
          <w:noProof/>
        </w:rPr>
        <w:t>[</w:t>
      </w:r>
      <w:r w:rsidR="00303FFB" w:rsidRPr="00303FFB">
        <w:rPr>
          <w:noProof/>
        </w:rPr>
        <w:t>24</w:t>
      </w:r>
      <w:r w:rsidR="00062DB3">
        <w:fldChar w:fldCharType="end"/>
      </w:r>
      <w:r w:rsidR="00D7394F">
        <w:t>]</w:t>
      </w:r>
      <w:r w:rsidR="00E62FF9" w:rsidRPr="0029643F">
        <w:t>. As noted by Koffi, Maina, Yaroh et al (2016),</w:t>
      </w:r>
      <w:r w:rsidR="0061013B">
        <w:t xml:space="preserve"> </w:t>
      </w:r>
      <w:r>
        <w:t xml:space="preserve">a lack of </w:t>
      </w:r>
      <w:r w:rsidR="00485A98">
        <w:t>care-seeking</w:t>
      </w:r>
      <w:r>
        <w:t xml:space="preserve"> </w:t>
      </w:r>
      <w:r w:rsidR="007B6247">
        <w:t xml:space="preserve">could </w:t>
      </w:r>
      <w:r w:rsidR="00E62FF9" w:rsidRPr="0029643F">
        <w:t xml:space="preserve">suggest that caregivers do not </w:t>
      </w:r>
      <w:r w:rsidR="007878A9" w:rsidRPr="0029643F">
        <w:t>appreciate</w:t>
      </w:r>
      <w:r w:rsidR="00E62FF9" w:rsidRPr="0029643F">
        <w:t xml:space="preserve"> the significance of clinical features</w:t>
      </w:r>
      <w:r w:rsidR="007878A9" w:rsidRPr="0029643F">
        <w:t xml:space="preserve"> as markers of severe</w:t>
      </w:r>
      <w:r w:rsidR="00E62FF9" w:rsidRPr="0029643F">
        <w:t xml:space="preserve"> illness requiring urgent medical care</w:t>
      </w:r>
      <w:r w:rsidR="00BF1805">
        <w:t xml:space="preserve"> </w:t>
      </w:r>
      <w:r w:rsidR="00E62FF9" w:rsidRPr="0029643F">
        <w:fldChar w:fldCharType="begin" w:fldLock="1"/>
      </w:r>
      <w:r w:rsidR="00876406">
        <w:instrText>ADDIN CSL_CITATION {"citationItems":[{"id":"ITEM-1","itemData":{"DOI":"10.7189/jogh.06.010603","ISSN":"2047-2978","PMID":"26955473","abstract":"BACKGROUND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health","id":"ITEM-1","issue":"1","issued":{"date-parts":[["2016","6"]]},"page":"010603","publisher":"Edinburgh University Global Health Society","title":"Social determinants of child mortality in Niger: Results from the 2012 National Verbal and Social Autopsy Study.","type":"article-journal","volume":"6"},"uris":["http://www.mendeley.com/documents/?uuid=14b1e396-aa2f-32b7-8c01-dc807cb40be4"]}],"mendeley":{"formattedCitation":"(25)","manualFormatting":"[25","plainTextFormattedCitation":"(25)","previouslyFormattedCitation":"(25)"},"properties":{"noteIndex":0},"schema":"https://github.com/citation-style-language/schema/raw/master/csl-citation.json"}</w:instrText>
      </w:r>
      <w:r w:rsidR="00E62FF9" w:rsidRPr="0029643F">
        <w:fldChar w:fldCharType="separate"/>
      </w:r>
      <w:r w:rsidR="00D7394F">
        <w:rPr>
          <w:noProof/>
        </w:rPr>
        <w:t>[</w:t>
      </w:r>
      <w:r w:rsidR="00303FFB" w:rsidRPr="00303FFB">
        <w:rPr>
          <w:noProof/>
        </w:rPr>
        <w:t>25</w:t>
      </w:r>
      <w:r w:rsidR="00E62FF9" w:rsidRPr="0029643F">
        <w:fldChar w:fldCharType="end"/>
      </w:r>
      <w:r w:rsidR="00D7394F">
        <w:t>]</w:t>
      </w:r>
      <w:r w:rsidR="00E62FF9" w:rsidRPr="0029643F">
        <w:t>.</w:t>
      </w:r>
      <w:r w:rsidR="0061013B">
        <w:t xml:space="preserve"> </w:t>
      </w:r>
      <w:r>
        <w:t>Different conceptions</w:t>
      </w:r>
      <w:r w:rsidR="00062DB3">
        <w:t xml:space="preserve"> of the aetiology of disease, and cultural beliefs regarding appropriate treatment providers also contribute</w:t>
      </w:r>
      <w:r>
        <w:t xml:space="preserve"> to delays in </w:t>
      </w:r>
      <w:r w:rsidR="00485A98">
        <w:t>care-seeking</w:t>
      </w:r>
      <w:r w:rsidR="00BF1805">
        <w:t xml:space="preserve"> </w:t>
      </w:r>
      <w:r w:rsidR="00062DB3">
        <w:fldChar w:fldCharType="begin" w:fldLock="1"/>
      </w:r>
      <w:r w:rsidR="00876406">
        <w:instrText>ADDIN CSL_CITATION {"citationItems":[{"id":"ITEM-1","itemData":{"DOI":"10.7189/jogh.07.010601","ISSN":"2047-2986 (Electronic)","PMID":"28400957","abstract":"BACKGROUND: While most child deaths are caused by highly preventable and treatable diseases such as pneumonia, diarrhea, and malaria, several sociodemographic, cultural and health system factors work against children surviving from these diseases. METHODS: A retrospective verbal/social autopsy survey was conducted in 2012 to measure the biological causes and social determinants of under-five years old deaths from 2007 to 2010 in Doume, Nguelemendouka, and Abong-Mbang health districts in the Eastern Region of Cameroon. The present study sought to identify important sociodemographic and household characteristics of the 1-59 month old deaths, including the coverage of key preventive indicators of normal child care, and illness recognition and care-seeking for the children along the Pathway to Survival model. FINDINGS: Of the 635 deceased children with a completed interview, just 26.8% and 11.2% lived in households with an improved source of drinking water and sanitation, respectively. Almost all of the households (96.1%) used firewood for cooking, and 79.2% (n = 187) of the 236 mothers who cooked inside their home usually had their children beside them when they cooked. When 614 of the children became fatally ill, the majority (83.7%) of caregivers sought or tried to seek formal health care, but with a median delay of 2 days from illness onset to the decision to seek formal care. As a result, many (n = 111) children were taken for care only after their illness progressed from mild or moderate to severe. The main barriers to accessing the formal health system were the expenses for transportation, health care and other related costs. CONCLUSIONS: The most common social factors that contributed to the deaths of 1-59-month old children in the study setting included poor living conditions, prevailing customs that led to exposure to indoor smoke, and health-related behaviors such as delaying the decision to seek care. Increasing caregivers' ability to recognize the danger signs of childhood illnesses and to facilitate timely and appropriate health care-seeking, and improving standards of living such that parents or caregivers can overcome the economic obstacles, are measures that could make a difference in the survival of the ill children in the study area.","author":[{"dropping-particle":"","family":"Koffi","given":"Alain K","non-dropping-particle":"","parse-names":false,"suffix":""},{"dropping-particle":"","family":"Wounang","given":"Romain S","non-dropping-particle":"","parse-names":false,"suffix":""},{"dropping-particle":"","family":"Nguefack","given":"Felicitee","non-dropping-particle":"","parse-names":false,"suffix":""},{"dropping-particle":"","family":"Moluh","given":"Seidou","non-dropping-particle":"","parse-names":false,"suffix":""},{"dropping-particle":"","family":"Libite","given":"Paul-Roger","non-dropping-particle":"","parse-names":false,"suffix":""},{"dropping-particle":"","family":"Kalter","given":"Henry D","non-dropping-particle":"","parse-names":false,"suffix":""}],"container-title":"Journal of global health","id":"ITEM-1","issue":"1","issued":{"date-parts":[["2017","6"]]},"language":"eng","page":"10601","publisher-place":"Scotland","title":"Sociodemographic, behavioral, and environmental factors of child mortality in Eastern Region of Cameroon: results from a social autopsy study.","type":"article-journal","volume":"7"},"uris":["http://www.mendeley.com/documents/?uuid=9c52b29d-9c9e-4a98-b352-cde09da9bbe5"]},{"id":"ITEM-2","itemData":{"ISBN":"1360-2276","ISSN":"1360-2276 (Print)","PMID":"12828551","abstract":"OBJECTIVES: Interventions that promote appropriate care-seeking for severely ill children have the potential to substantially reduce child mortality in developing countries, but little is known about the best approach to address the issue. This paper explores the relative importance of illness recognition as a barrier to care-seeking and the feasibility and potential impact of improving recognition. METHODS: The study combined qualitative and quantitative methods including in-depth interviews exploring the local illness classification system, a Rapid Anthropological Assessment (RAA) recording narratives of recent episodes of child illness and a survey designed to test the hypotheses that emerged from the RAA. RESULTS: Several danger symptoms were not recognized by caregivers. There were recognition problems which may not be feasibly addressed in an intervention. Other significant care-seeking barriers included classifying certain illnesses as 'not-for-hospital' and untreatable by modern medicine; problems of access; and frequent use of traditional medicines. CONCLUSION: The recognition component of any care-seeking intervention should identify the type of recognition problem present in the community. Many of the care-seeking barriers identified in the study revolved around the local illness classification system, which should be explored and built on as part of any care-seeking intervention.","author":[{"dropping-particle":"","family":"Hill","given":"Zelee","non-dropping-particle":"","parse-names":false,"suffix":""},{"dropping-particle":"","family":"Kendall","given":"Carl","non-dropping-particle":"","parse-names":false,"suffix":""},{"dropping-particle":"","family":"Arthur","given":"Paul","non-dropping-particle":"","parse-names":false,"suffix":""},{"dropping-particle":"","family":"Kirkwood","given":"Betty","non-dropping-particle":"","parse-names":false,"suffix":""},{"dropping-particle":"","family":"Adjei","given":"Eunice","non-dropping-particle":"","parse-names":false,"suffix":""}],"container-title":"Tropical Medicine and International Health","id":"ITEM-2","issue":"7","issued":{"date-parts":[["2003","7"]]},"language":"eng","page":"668-676","publisher":"Blackwell Publishing Ltd (9600 Garsington Road, Oxford OX4 2XG, United Kingdom)","publisher-place":"Z. Hill, Dept. of Epidemiol./Pop. Health, London Sch. of Hyg./Trop. Medicine, 49-51 Bedford Square, London, WC1B 3DP, United Kingdom. E-mail: zelee.hill@lshtm.ac.uk, England","title":"Recognizing childhood illnesses and their traditional explanations: Exploring options for care-seeking interventions in the context of the IMCI strategy in rural Ghana","type":"article-journal","volume":"8"},"uris":["http://www.mendeley.com/documents/?uuid=2e90ae37-8ef7-455c-86cd-338ad8c2b96d"]},{"id":"ITEM-3","itemData":{"DOI":"10.1080/13648470.1998.9964548","ISSN":"1364-8470","abstract":"Abstract Lay perspectives and health‐seeking behaviour for malaria were investigated in an ethnographic study carried out in a village in south‐eastern Tanzania. The inhabitants have easy access to hospital services and education programmes, and as a result, biomedical knowledge on malaria is comparatively high. However, the cultural model of malaria does not always explain all the events that occur during an actual illness episode, e.g. when the disease cannot be detected at the hospital or the symptoms persist despite antimalarial treatment. Under these circumstances, the model of malaria may be complemented with the logic of witchcraft. This can lead people to consult sequentially both biomedical and traditional health services for the same illness episode. The consequences can include non‐compliance with treatment or delay in seeking diagnosis or treatment. Our analysis offers elements for the understanding of aspects of the dynamics of reinterpretation and health‐seeking behaviour for malaria, partic...","author":[{"dropping-particle":"","family":"Muela","given":"Susanna Hausmann","non-dropping-particle":"","parse-names":false,"suffix":""},{"dropping-particle":"","family":"Ribera","given":"Joan Muela","non-dropping-particle":"","parse-names":false,"suffix":""},{"dropping-particle":"","family":"Tanner","given":"Marcel","non-dropping-particle":"","parse-names":false,"suffix":""}],"container-title":"Anthropology &amp; Medicine","id":"ITEM-3","issue":"1","issued":{"date-parts":[["1998","4","6"]]},"page":"43-61","publisher":" Taylor &amp; Francis Group ","title":"Fake malaria and hidden parasites—the ambiguity of malaria","type":"article-journal","volume":"5"},"uris":["http://www.mendeley.com/documents/?uuid=5efdea51-0f57-30dd-80b0-ad7c6fe8e9cd"]}],"mendeley":{"formattedCitation":"(26–28)","manualFormatting":"[26–28","plainTextFormattedCitation":"(26–28)","previouslyFormattedCitation":"(26–28)"},"properties":{"noteIndex":0},"schema":"https://github.com/citation-style-language/schema/raw/master/csl-citation.json"}</w:instrText>
      </w:r>
      <w:r w:rsidR="00062DB3">
        <w:fldChar w:fldCharType="separate"/>
      </w:r>
      <w:r w:rsidR="00D7394F">
        <w:rPr>
          <w:noProof/>
        </w:rPr>
        <w:t>[</w:t>
      </w:r>
      <w:r w:rsidR="00303FFB" w:rsidRPr="00303FFB">
        <w:rPr>
          <w:noProof/>
        </w:rPr>
        <w:t>26–28</w:t>
      </w:r>
      <w:r w:rsidR="00062DB3">
        <w:fldChar w:fldCharType="end"/>
      </w:r>
      <w:r w:rsidR="00D7394F">
        <w:t>]</w:t>
      </w:r>
      <w:r w:rsidR="00062DB3">
        <w:t xml:space="preserve">. </w:t>
      </w:r>
      <w:r>
        <w:t>L</w:t>
      </w:r>
      <w:r w:rsidR="0029643F">
        <w:t xml:space="preserve">ow levels of maternal education may contribute to the overall mortality risk of children, </w:t>
      </w:r>
      <w:r>
        <w:t xml:space="preserve">and </w:t>
      </w:r>
      <w:r w:rsidR="0029643F">
        <w:t xml:space="preserve">also to the specific </w:t>
      </w:r>
      <w:r w:rsidR="00485A98">
        <w:t>care-seeking</w:t>
      </w:r>
      <w:r w:rsidR="0029643F">
        <w:t xml:space="preserve"> patterns demonstrated</w:t>
      </w:r>
      <w:r w:rsidR="00606976">
        <w:t xml:space="preserve"> </w:t>
      </w:r>
      <w:r w:rsidR="0029643F">
        <w:fldChar w:fldCharType="begin" w:fldLock="1"/>
      </w:r>
      <w:r w:rsidR="00876406">
        <w:instrText>ADDIN CSL_CITATION {"citationItems":[{"id":"ITEM-1","itemData":{"DOI":"10.7189/jogh.06.010603","ISSN":"2047-2978","PMID":"26955473","abstract":"BACKGROUND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health","id":"ITEM-1","issue":"1","issued":{"date-parts":[["2016","6"]]},"page":"010603","publisher":"Edinburgh University Global Health Society","title":"Social determinants of child mortality in Niger: Results from the 2012 National Verbal and Social Autopsy Study.","type":"article-journal","volume":"6"},"uris":["http://www.mendeley.com/documents/?uuid=14b1e396-aa2f-32b7-8c01-dc807cb40be4"]},{"id":"ITEM-2","itemData":{"DOI":"10.1371/journal.pone.0177025","ISSN":"1932-6203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one","id":"ITEM-2","issue":"5","issued":{"date-parts":[["2017"]]},"language":"eng","page":"e0177025","publisher-place":"United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2013.","type":"article-journal","volume":"12"},"uris":["http://www.mendeley.com/documents/?uuid=e21a015d-a4d3-4e8b-a93d-c1c0fa3455e8"]},{"id":"ITEM-3","itemData":{"DOI":"http://dx.doi.org/10.1371/journal.pone.0190739","ISSN":"1932-6203","abstract":"Background Over half of under-five deaths occur in sub-Saharan Africa and appropriate, timely, quality care is critical for saving children's lives. This study describes the context surrounding children's deaths from the time the illness was first noticed, through the care-seeking patterns leading up to the child's death, and identifies factors associated with care-seeking for these children in rural Rwanda. Methods Secondary analysis of a verbal and social autopsy study of caregivers who reported the death of a child between March 2013 to February 2014 that occurred after discharge from the child's birth facility in southern Kayonza and Kirehe districts in Rwanda. Bivariate analyses using Fisher's exact tests were conducted to identify child, caregiver, and household factors associated with care-seeking from the formal health system (i.e., community health worker or health facility). Factors significant at alpha = 0.10 significance level were considered for backwards stepwise multivariate logistic regression, stopping when remaining factors were significantly associated with care-seeking at alpha = 0.05 significance level. Results Among the 516 eligible deaths among children under-five, 22.7% (n = 117) did not seek care from the health system. For those who did, the most common first point of contact was community health workers (45.8%). In multivariate logistic regression, higher maternal education (OR = 3.36, 95% CI: 1.89, 5.98), having diarrhea (OR = 4.21, 95%CI: 1.95, 9.07) or fever (OR = 2.03, 95%CI: 1.11, 3.72), full household insurance coverage (3.48, 95%CI: 1.79, 6.76), and longer duration of illness (OR = 22.19, 95%CI: 8.88, 55.48) were significantly associated with formal care-seeking. Conclusion Interventions such as community health workers and insurance promote access to care, however a gap remains as many children had no contact with the health system prior to death and those who sought formal care still died. Further efforts are needed to respond to urgent cases in communities and further understand remaining barriers to accessing appropriate, quality care.Copyright © 2018 Kagabo et al. This is an open access article distributed under the terms of the Creative Commons Attribution License, which permits unrestricted use, distribution, and reproduction in any medium, provided the original author and source are credited.","author":[{"dropping-particle":"","family":"Kagabo","given":"D M","non-dropping-particle":"","parse-names":false,"suffix":""},{"dropping-particle":"","family":"Kirk","given":"C M","non-dropping-particle":"","parse-names":false,"suffix":""},{"dropping-particle":"","family":"Bakundukize","given":"B","non-dropping-particle":"","parse-names":false,"suffix":""},{"dropping-particle":"","family":"Hedt-Gauthier","given":"B L","non-dropping-particle":"","parse-names":false,"suffix":""},{"dropping-particle":"","family":"Gupta","given":"N","non-dropping-particle":"","parse-names":false,"suffix":""},{"dropping-particle":"","family":"Hirschhorn","given":"L R","non-dropping-particle":"","parse-names":false,"suffix":""},{"dropping-particle":"","family":"Ingabire","given":"W C","non-dropping-particle":"","parse-names":false,"suffix":""},{"dropping-particle":"","family":"Rouleau","given":"D","non-dropping-particle":"","parse-names":false,"suffix":""},{"dropping-particle":"","family":"Nkikabahizi","given":"F","non-dropping-particle":"","parse-names":false,"suffix":""},{"dropping-particle":"","family":"Mugeni","given":"C","non-dropping-particle":"","parse-names":false,"suffix":""},{"dropping-particle":"","family":"Sayinzoga","given":"F","non-dropping-particle":"","parse-names":false,"suffix":""},{"dropping-particle":"","family":"Amoroso","given":"C L","non-dropping-particle":"","parse-names":false,"suffix":""}],"container-title":"PLoS ONE","id":"ITEM-3","issue":"1","issued":{"date-parts":[["2018"]]},"page":"e0190739","publisher":"Public Library of Science (E-mail: plos@plos.org)","publisher-place":"D.M. Kagabo, Partners in Health/Inshuti Mu Buzima (PIH/IMB), Rwinkwavu, Rwanda. E-mail: dankagabo@gmail.com","title":"Care-seeking patterns among families that experienced under-five child mortality in rural Rwanda","type":"article-journal","volume":"13"},"uris":["http://www.mendeley.com/documents/?uuid=55b7fedf-3876-48b9-949b-ac6afbe6fd6d"]}],"mendeley":{"formattedCitation":"(4,25,29)","manualFormatting":"[4,25,29","plainTextFormattedCitation":"(4,25,29)","previouslyFormattedCitation":"(4,25,29)"},"properties":{"noteIndex":0},"schema":"https://github.com/citation-style-language/schema/raw/master/csl-citation.json"}</w:instrText>
      </w:r>
      <w:r w:rsidR="0029643F">
        <w:fldChar w:fldCharType="separate"/>
      </w:r>
      <w:r w:rsidR="00D7394F">
        <w:rPr>
          <w:noProof/>
        </w:rPr>
        <w:t>[</w:t>
      </w:r>
      <w:r w:rsidR="00303FFB" w:rsidRPr="00303FFB">
        <w:rPr>
          <w:noProof/>
        </w:rPr>
        <w:t>4,25,29</w:t>
      </w:r>
      <w:r w:rsidR="0029643F">
        <w:fldChar w:fldCharType="end"/>
      </w:r>
      <w:r w:rsidR="00D7394F">
        <w:t>]</w:t>
      </w:r>
      <w:r w:rsidR="0029643F">
        <w:t>.</w:t>
      </w:r>
    </w:p>
    <w:p w14:paraId="7D0ABE35" w14:textId="1A215F75" w:rsidR="00ED119B" w:rsidRDefault="006B598C" w:rsidP="00187AA8">
      <w:pPr>
        <w:spacing w:line="360" w:lineRule="auto"/>
      </w:pPr>
      <w:r>
        <w:t xml:space="preserve">We also found </w:t>
      </w:r>
      <w:r w:rsidRPr="0029643F">
        <w:t xml:space="preserve">relatively high rates of </w:t>
      </w:r>
      <w:r w:rsidR="00485A98">
        <w:t>care-seeking</w:t>
      </w:r>
      <w:r w:rsidRPr="0029643F">
        <w:t xml:space="preserve"> during a child’s final illness</w:t>
      </w:r>
      <w:r w:rsidR="008C2F16">
        <w:t xml:space="preserve"> – particularly for </w:t>
      </w:r>
      <w:r w:rsidR="00B16956">
        <w:t>infants and young children</w:t>
      </w:r>
      <w:r>
        <w:t>.</w:t>
      </w:r>
      <w:r w:rsidRPr="0029643F">
        <w:t xml:space="preserve"> </w:t>
      </w:r>
      <w:r w:rsidR="00ED119B" w:rsidRPr="0029643F">
        <w:t>Multiple studies have commen</w:t>
      </w:r>
      <w:r w:rsidR="00320532" w:rsidRPr="0029643F">
        <w:t xml:space="preserve">ted on </w:t>
      </w:r>
      <w:r w:rsidR="008C2F16">
        <w:t>similar findings,</w:t>
      </w:r>
      <w:r w:rsidR="00320532" w:rsidRPr="0029643F">
        <w:t xml:space="preserve"> emphasising that attention needs to be directed to modifiable factors at the healthcare facility level</w:t>
      </w:r>
      <w:r w:rsidR="00606976">
        <w:t xml:space="preserve"> </w:t>
      </w:r>
      <w:r w:rsidR="00320532" w:rsidRPr="0029643F">
        <w:fldChar w:fldCharType="begin" w:fldLock="1"/>
      </w:r>
      <w:r w:rsidR="00876406">
        <w:instrText>ADDIN CSL_CITATION {"citationItems":[{"id":"ITEM-1","itemData":{"DOI":"10.1186/1478-7954-9-44","ISSN":"1478-7954","abstract":"Effective implementation of child survival interventions depends on improved understanding of cultural, social, and health system factors affecting utilization of health care. Never the less, no standardized instrument exists for collecting and interpreting information on how to avert death and improve the implementation of child survival interventions. To describe the methodology, development, and first results of a standard social autopsy tool for the collection of information to understand common barriers to health care, risky behaviors, and missed opportunities for health intervention in deceased children under 5 years old. Under the INDEPTH Network, a social autopsy working group was formed to reach consensus around a standard social autopsy tool for neonatal and child death. The details around 434 child deaths in Iganga/Mayuge Health and Demographic Surveillance Site (HDSS) in Uganda and 40 child deaths in Dodowa HDSS in Ghana were investigated over 12 to 18 months. Interviews with the caretakers of these children elicited information on what happened before death, including signs and symptoms, contact with health services, details on treatments, and details of doctors. These social autopsies were used to assess the contributions of delays in care seeking and case management to the childhood deaths. At least one severe symptom had been recognized prior to death in 96% of the children in Iganga/Mayuge HDSS and in 70% in Dodowa HDSS, yet 32% and 80% of children were first treated at home, respectively. Twenty percent of children in Iganga/Mayuge HDSS and 13% of children in Dodowa HDSS were never taken for care outside the home. In both countries most went to private providers. In Iganga/Mayuge HDSS the main delays were caused by inadequate case management by the health provider, while in Dodowa HDSS the main delays were in the home. While delay at home was a main obstacle to prompt and appropriate treatment in Dodowa HDSS, there were severe challenges to prompt and adequate case management in the health system in both study sites in Ghana and Uganda. Meanwhile, caretaker awareness of danger signs needs to improve in both countries to promote early care seeking and to reduce the number of children needing referral. Social autopsy methods can improve this understanding, which can assist health planners to prioritize scarce resources appropriately.","author":[{"dropping-particle":"","family":"Källander","given":"Karin","non-dropping-particle":"","parse-names":false,"suffix":""},{"dropping-particle":"","family":"Kadobera","given":"Daniel","non-dropping-particle":"","parse-names":false,"suffix":""},{"dropping-particle":"","family":"Williams","given":"Thomas N","non-dropping-particle":"","parse-names":false,"suffix":""},{"dropping-particle":"","family":"Nielsen","given":"Rikke Thoft","non-dropping-particle":"","parse-names":false,"suffix":""},{"dropping-particle":"","family":"Yevoo","given":"Lucy","non-dropping-particle":"","parse-names":false,"suffix":""},{"dropping-particle":"","family":"Mutebi","given":"Aloysius","non-dropping-particle":"","parse-names":false,"suffix":""},{"dropping-particle":"","family":"Akpakli","given":"Jonas","non-dropping-particle":"","parse-names":false,"suffix":""},{"dropping-particle":"","family":"Narh","given":"Clement","non-dropping-particle":"","parse-names":false,"suffix":""},{"dropping-particle":"","family":"Gyapong","given":"Margaret","non-dropping-particle":"","parse-names":false,"suffix":""},{"dropping-particle":"","family":"Amu","given":"Alberta","non-dropping-particle":"","parse-names":false,"suffix":""},{"dropping-particle":"","family":"Waiswa","given":"Peter","non-dropping-particle":"","parse-names":false,"suffix":""},{"dropping-particle":"","family":"Black","given":"RE","non-dropping-particle":"","parse-names":false,"suffix":""},{"dropping-particle":"","family":"Cousens","given":"S","non-dropping-particle":"","parse-names":false,"suffix":""},{"dropping-particle":"","family":"Johnson","given":"HL","non-dropping-particle":"","parse-names":false,"suffix":""},{"dropping-particle":"","family":"Lawn","given":"JE","non-dropping-particle":"","parse-names":false,"suffix":""},{"dropping-particle":"","family":"Rudan","given":"I","non-dropping-particle":"","parse-names":false,"suffix":""},{"dropping-particle":"","family":"Bassani","given":"DG","non-dropping-particle":"","parse-names":false,"suffix":""},{"dropping-particle":"","family":"Jha","given":"P","non-dropping-particle":"","parse-names":false,"suffix":""},{"dropping-particle":"","family":"Campbell","given":"H","non-dropping-particle":"","parse-names":false,"suffix":""},{"dropping-particle":"","family":"Walker","given":"CF","non-dropping-particle":"","parse-names":false,"suffix":""},{"dropping-particle":"","family":"Cibulskis","given":"R","non-dropping-particle":"","parse-names":false,"suffix":""},{"dropping-particle":"","family":"Murray","given":"CJ","non-dropping-particle":"","parse-names":false,"suffix":""},{"dropping-particle":"","family":"Lopez","given":"AD","non-dropping-particle":"","parse-names":false,"suffix":""},{"dropping-particle":"","family":"Feehan","given":"DM","non-dropping-particle":"","parse-names":false,"suffix":""},{"dropping-particle":"","family":"Peter","given":"ST","non-dropping-particle":"","parse-names":false,"suffix":""},{"dropping-particle":"","family":"Yang","given":"G","non-dropping-particle":"","parse-names":false,"suffix":""},{"dropping-particle":"","family":"Setel","given":"PW","non-dropping-particle":"","parse-names":false,"suffix":""},{"dropping-particle":"","family":"Macfarlane","given":"SB","non-dropping-particle":"","parse-names":false,"suffix":""},{"dropping-particle":"","family":"Szreter","given":"S","non-dropping-particle":"","parse-names":false,"suffix":""},{"dropping-particle":"","family":"Mikkelsen","given":"L","non-dropping-particle":"","parse-names":false,"suffix":""},{"dropping-particle":"","family":"Jha","given":"P","non-dropping-particle":"","parse-names":false,"suffix":""},{"dropping-particle":"","family":"Stout","given":"S","non-dropping-particle":"","parse-names":false,"suffix":""},{"dropping-particle":"","family":"AbouZahr","given":"C","non-dropping-particle":"","parse-names":false,"suffix":""},{"dropping-particle":"","family":"Baiden","given":"F","non-dropping-particle":"","parse-names":false,"suffix":""},{"dropping-particle":"","family":"Bawah","given":"A","non-dropping-particle":"","parse-names":false,"suffix":""},{"dropping-particle":"","family":"Biai","given":"S","non-dropping-particle":"","parse-names":false,"suffix":""},{"dropping-particle":"","family":"Binka","given":"F","non-dropping-particle":"","parse-names":false,"suffix":""},{"dropping-particle":"","family":"Boerma","given":"T","non-dropping-particle":"","parse-names":false,"suffix":""},{"dropping-particle":"","family":"Byass","given":"P","non-dropping-particle":"","parse-names":false,"suffix":""},{"dropping-particle":"","family":"Chandramohan","given":"D","non-dropping-particle":"","parse-names":false,"suffix":""},{"dropping-particle":"","family":"Chatterji","given":"S","non-dropping-particle":"","parse-names":false,"suffix":""},{"dropping-particle":"","family":"Engmann","given":"C","non-dropping-particle":"","parse-names":false,"suffix":""},{"dropping-particle":"","family":"Greet","given":"D","non-dropping-particle":"","parse-names":false,"suffix":""},{"dropping-particle":"","family":"Soleman","given":"N","non-dropping-particle":"","parse-names":false,"suffix":""},{"dropping-particle":"","family":"Chandramohan","given":"D","non-dropping-particle":"","parse-names":false,"suffix":""},{"dropping-particle":"","family":"Shibuya","given":"K","non-dropping-particle":"","parse-names":false,"suffix":""},{"dropping-particle":"de","family":"Souza","given":"AC Terra","non-dropping-particle":"","parse-names":false,"suffix":""},{"dropping-particle":"","family":"Peterson","given":"KE","non-dropping-particle":"","parse-names":false,"suffix":""},{"dropping-particle":"","family":"Andrade","given":"FM","non-dropping-particle":"","parse-names":false,"suffix":""},{"dropping-particle":"","family":"Gardner","given":"J","non-dropping-particle":"","parse-names":false,"suffix":""},{"dropping-particle":"","family":"Ascherio","given":"A","non-dropping-particle":"","parse-names":false,"suffix":""},{"dropping-particle":"de","family":"Zoysa","given":"I","non-dropping-particle":"","parse-names":false,"suffix":""},{"dropping-particle":"","family":"Bhandari","given":"N","non-dropping-particle":"","parse-names":false,"suffix":""},{"dropping-particle":"","family":"Akhtari","given":"N","non-dropping-particle":"","parse-names":false,"suffix":""},{"dropping-particle":"","family":"Bhan","given":"MK","non-dropping-particle":"","parse-names":false,"suffix":""},{"dropping-particle":"","family":"Bojalil","given":"R","non-dropping-particle":"","parse-names":false,"suffix":""},{"dropping-particle":"","family":"Kirkwood","given":"BR","non-dropping-particle":"","parse-names":false,"suffix":""},{"dropping-particle":"","family":"Bobak","given":"M","non-dropping-particle":"","parse-names":false,"suffix":""},{"dropping-particle":"","family":"Guiscafre","given":"H","non-dropping-particle":"","parse-names":false,"suffix":""},{"dropping-particle":"","family":"Waiswa","given":"P","non-dropping-particle":"","parse-names":false,"suffix":""},{"dropping-particle":"","family":"Kallander","given":"K","non-dropping-particle":"","parse-names":false,"suffix":""},{"dropping-particle":"","family":"Peterson","given":"S","non-dropping-particle":"","parse-names":false,"suffix":""},{"dropping-particle":"","family":"Tomson","given":"G","non-dropping-particle":"","parse-names":false,"suffix":""},{"dropping-particle":"","family":"Pariyo","given":"GW","non-dropping-particle":"","parse-names":false,"suffix":""},{"dropping-particle":"","family":"Sodemann","given":"M","non-dropping-particle":"","parse-names":false,"suffix":""},{"dropping-particle":"","family":"Jakobsen","given":"MS","non-dropping-particle":"","parse-names":false,"suffix":""},{"dropping-particle":"","family":"Molbak","given":"K","non-dropping-particle":"","parse-names":false,"suffix":""},{"dropping-particle":"","family":"Alvarenga","given":"IC","non-dropping-particle":"","parse-names":false,"suffix":""},{"dropping-particle":"","family":"Aaby","given":"P","non-dropping-particle":"","parse-names":false,"suffix":""},{"dropping-particle":"","family":"Sutrisna","given":"B","non-dropping-particle":"","parse-names":false,"suffix":""},{"dropping-particle":"","family":"Reingold","given":"A","non-dropping-particle":"","parse-names":false,"suffix":""},{"dropping-particle":"","family":"Kresno","given":"S","non-dropping-particle":"","parse-names":false,"suffix":""},{"dropping-particle":"","family":"Harrison","given":"G","non-dropping-particle":"","parse-names":false,"suffix":""},{"dropping-particle":"","family":"Utomo","given":"B","non-dropping-particle":"","parse-names":false,"suffix":""},{"dropping-particle":"","family":"Reyes","given":"H","non-dropping-particle":"","parse-names":false,"suffix":""},{"dropping-particle":"","family":"Perez-Cuevas","given":"R","non-dropping-particle":"","parse-names":false,"suffix":""},{"dropping-particle":"","family":"Salmeron","given":"J","non-dropping-particle":"","parse-names":false,"suffix":""},{"dropping-particle":"","family":"Tome","given":"P","non-dropping-particle":"","parse-names":false,"suffix":""},{"dropping-particle":"","family":"Guiscafre","given":"H","non-dropping-particle":"","parse-names":false,"suffix":""},{"dropping-particle":"","family":"Gutierrez","given":"G","non-dropping-particle":"","parse-names":false,"suffix":""},{"dropping-particle":"","family":"Durrheim","given":"DN","non-dropping-particle":"","parse-names":false,"suffix":""},{"dropping-particle":"","family":"Frieremans","given":"S","non-dropping-particle":"","parse-names":false,"suffix":""},{"dropping-particle":"","family":"Kruger","given":"P","non-dropping-particle":"","parse-names":false,"suffix":""},{"dropping-particle":"","family":"Mabuza","given":"A","non-dropping-particle":"","parse-names":false,"suffix":""},{"dropping-particle":"de","family":"Bruyn","given":"JC","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de","family":"Savigny","given":"D","non-dropping-particle":"","parse-names":false,"suffix":""},{"dropping-particle":"","family":"Mayombana","given":"C","non-dropping-particle":"","parse-names":false,"suffix":""},{"dropping-particle":"","family":"Mwageni","given":"E","non-dropping-particle":"","parse-names":false,"suffix":""},{"dropping-particle":"","family":"Masanja","given":"H","non-dropping-particle":"","parse-names":false,"suffix":""},{"dropping-particle":"","family":"Minhaj","given":"A","non-dropping-particle":"","parse-names":false,"suffix":""},{"dropping-particle":"","family":"Mkilindi","given":"Y","non-dropping-particle":"","parse-names":false,"suffix":""},{"dropping-particle":"","family":"Mbuya","given":"C","non-dropping-particle":"","parse-names":false,"suffix":""},{"dropping-particle":"","family":"Kasale","given":"H","non-dropping-particle":"","parse-names":false,"suffix":""},{"dropping-particle":"","family":"Reid","given":"G","non-dropping-particle":"","parse-names":false,"suffix":""},{"dropping-particle":"","family":"Kallander","given":"K","non-dropping-particle":"","parse-names":false,"suffix":""},{"dropping-particle":"","family":"Hildenwall","given":"H","non-dropping-particle":"","parse-names":false,"suffix":""},{"dropping-particle":"","family":"Waiswa","given":"P","non-dropping-particle":"","parse-names":false,"suffix":""},{"dropping-particle":"","family":"Galiwango","given":"E","non-dropping-particle":"","parse-names":false,"suffix":""},{"dropping-particle":"","family":"Peterson","given":"S","non-dropping-particle":"","parse-names":false,"suffix":""},{"dropping-particle":"","family":"Pariyo","given":"G","non-dropping-particle":"","parse-names":false,"suffix":""},{"dropping-particle":"","family":"Aguilar","given":"AMAR","non-dropping-particle":"","parse-names":false,"suffix":""},{"dropping-particle":"","family":"Cordero","given":"D","non-dropping-particle":"","parse-names":false,"suffix":""},{"dropping-particle":"","family":"Kelly","given":"P","non-dropping-particle":"","parse-names":false,"suffix":""},{"dropping-particle":"","family":"Zamora","given":"D","non-dropping-particle":"","parse-names":false,"suffix":""},{"dropping-particle":"","family":"Salgado","given":"R","non-dropping-particle":"","parse-names":false,"suffix":""},{"dropping-particle":"","family":"Kalter","given":"HD","non-dropping-particle":"","parse-names":false,"suffix":""},{"dropping-particle":"","family":"Salgado","given":"R","non-dropping-particle":"","parse-names":false,"suffix":""},{"dropping-particle":"","family":"Gittelsohn","given":"J","non-dropping-particle":"","parse-names":false,"suffix":""},{"dropping-particle":"","family":"Parades","given":"P","non-dropping-particle":"","parse-names":false,"suffix":""},{"dropping-particle":"","family":"Waldman","given":"R","non-dropping-particle":"","parse-names":false,"suffix":""},{"dropping-particle":"","family":"Bartlett","given":"A","non-dropping-particle":"","parse-names":false,"suffix":""},{"dropping-particle":"","family":"Campbell","given":"C","non-dropping-particle":"","parse-names":false,"suffix":""},{"dropping-particle":"","family":"Steketee","given":"R","non-dropping-particle":"","parse-names":false,"suffix":""},{"dropping-particle":"","family":"Gove","given":"S","non-dropping-particle":"","parse-names":false,"suffix":""},{"dropping-particle":"","family":"Thaddeus","given":"S","non-dropping-particle":"","parse-names":false,"suffix":""},{"dropping-particle":"","family":"Maine","given":"D","non-dropping-particle":"","parse-names":false,"suffix":""},{"dropping-particle":"","family":"Bazzano","given":"AN","non-dropping-particle":"","parse-names":false,"suffix":""},{"dropping-particle":"","family":"Kirkwood","given":"BR","non-dropping-particle":"","parse-names":false,"suffix":""},{"dropping-particle":"","family":"Tawiah-Agyemang","given":"C","non-dropping-particle":"","parse-names":false,"suffix":""},{"dropping-particle":"","family":"Owusu-Agyei","given":"S","non-dropping-particle":"","parse-names":false,"suffix":""},{"dropping-particle":"","family":"Adongo","given":"PB","non-dropping-particle":"","parse-names":false,"suffix":""},{"dropping-particle":"","family":"Rutebemberwa","given":"E","non-dropping-particle":"","parse-names":false,"suffix":""},{"dropping-particle":"","family":"Kallander","given":"K","non-dropping-particle":"","parse-names":false,"suffix":""},{"dropping-particle":"","family":"Tomson","given":"G","non-dropping-particle":"","parse-names":false,"suffix":""},{"dropping-particle":"","family":"Peterson","given":"S","non-dropping-particle":"","parse-names":false,"suffix":""},{"dropping-particle":"","family":"Pariyo","given":"G","non-dropping-particle":"","parse-names":false,"suffix":""},{"dropping-particle":"","family":"Rutebemberwa","given":"E","non-dropping-particle":"","parse-names":false,"suffix":""},{"dropping-particle":"","family":"Nsabagasani","given":"X","non-dropping-particle":"","parse-names":false,"suffix":""},{"dropping-particle":"","family":"Pariyo","given":"G","non-dropping-particle":"","parse-names":false,"suffix":""},{"dropping-particle":"","family":"Tomson","given":"G","non-dropping-particle":"","parse-names":false,"suffix":""},{"dropping-particle":"","family":"Peterson","given":"S","non-dropping-particle":"","parse-names":false,"suffix":""},{"dropping-particle":"","family":"Kallander","given":"K","non-dropping-particle":"","parse-names":false,"suffix":""},{"dropping-particle":"","family":"Peterson","given":"S","non-dropping-particle":"","parse-names":false,"suffix":""},{"dropping-particle":"","family":"Nsungwa-Sabiiti","given":"J","non-dropping-particle":"","parse-names":false,"suffix":""},{"dropping-particle":"","family":"Were","given":"W","non-dropping-particle":"","parse-names":false,"suffix":""},{"dropping-particle":"","family":"Nsabagasani","given":"X","non-dropping-particle":"","parse-names":false,"suffix":""},{"dropping-particle":"","family":"Magumba","given":"G","non-dropping-particle":"","parse-names":false,"suffix":""},{"dropping-particle":"","family":"Nambooze","given":"J","non-dropping-particle":"","parse-names":false,"suffix":""},{"dropping-particle":"","family":"Mukasa","given":"G","non-dropping-particle":"","parse-names":false,"suffix":""},{"dropping-particle":"","family":"Nsungwa-Sabiiti","given":"J","non-dropping-particle":"","parse-names":false,"suffix":""},{"dropping-particle":"","family":"Kallander","given":"K","non-dropping-particle":"","parse-names":false,"suffix":""},{"dropping-particle":"","family":"Nsabagasani","given":"X","non-dropping-particle":"","parse-names":false,"suffix":""},{"dropping-particle":"","family":"Namusisi","given":"K","non-dropping-particle":"","parse-names":false,"suffix":""},{"dropping-particle":"","family":"Pariyo","given":"G","non-dropping-particle":"","parse-names":false,"suffix":""},{"dropping-particle":"","family":"Johansson","given":"A","non-dropping-particle":"","parse-names":false,"suffix":""},{"dropping-particle":"","family":"Tomson","given":"G","non-dropping-particle":"","parse-names":false,"suffix":""},{"dropping-particle":"","family":"Peterson","given":"S","non-dropping-particle":"","parse-names":false,"suffix":""},{"dropping-particle":"","family":"Tanner","given":"M","non-dropping-particle":"","parse-names":false,"suffix":""},{"dropping-particle":"","family":"Vlassoff","given":"C","non-dropping-particle":"","parse-names":false,"suffix":""},{"dropping-particle":"","family":"Comoro","given":"C","non-dropping-particle":"","parse-names":false,"suffix":""},{"dropping-particle":"","family":"Nsimba","given":"SE","non-dropping-particle":"","parse-names":false,"suffix":""},{"dropping-particle":"","family":"Warsame","given":"M","non-dropping-particle":"","parse-names":false,"suffix":""},{"dropping-particle":"","family":"Tomson","given":"G","non-dropping-particle":"","parse-names":false,"suffix":""},{"dropping-particle":"","family":"Nolan","given":"T","non-dropping-particle":"","parse-names":false,"suffix":""},{"dropping-particle":"","family":"Angos","given":"P","non-dropping-particle":"","parse-names":false,"suffix":""},{"dropping-particle":"","family":"Cunha","given":"AJ","non-dropping-particle":"","parse-names":false,"suffix":""},{"dropping-particle":"","family":"Muhe","given":"L","non-dropping-particle":"","parse-names":false,"suffix":""},{"dropping-particle":"","family":"Qazi","given":"S","non-dropping-particle":"","parse-names":false,"suffix":""},{"dropping-particle":"","family":"Simoes","given":"EA","non-dropping-particle":"","parse-names":false,"suffix":""},{"dropping-particle":"","family":"Tamburlini","given":"G","non-dropping-particle":"","parse-names":false,"suffix":""},{"dropping-particle":"","family":"Weber","given":"M","non-dropping-particle":"","parse-names":false,"suffix":""},{"dropping-particle":"","family":"Pierce","given":"NF","non-dropping-particle":"","parse-names":false,"suffix":""},{"dropping-particle":"","family":"Issah","given":"K","non-dropping-particle":"","parse-names":false,"suffix":""},{"dropping-particle":"","family":"Nang-Beifubah","given":"A","non-dropping-particle":"","parse-names":false,"suffix":""},{"dropping-particle":"","family":"Opoku","given":"CF","non-dropping-particle":"","parse-names":false,"suffix":""},{"dropping-particle":"","family":"Byass","given":"P","non-dropping-particle":"","parse-names":false,"suffix":""},{"dropping-particle":"","family":"Fottrell","given":"E","non-dropping-particle":"","parse-names":false,"suffix":""},{"dropping-particle":"","family":"Dao","given":"LH","non-dropping-particle":"","parse-names":false,"suffix":""},{"dropping-particle":"","family":"Berhane","given":"Y","non-dropping-particle":"","parse-names":false,"suffix":""},{"dropping-particle":"","family":"Corrah","given":"T","non-dropping-particle":"","parse-names":false,"suffix":""},{"dropping-particle":"","family":"Kahn","given":"K","non-dropping-particle":"","parse-names":false,"suffix":""},{"dropping-particle":"","family":"Muhe","given":"L","non-dropping-particle":"","parse-names":false,"suffix":""},{"dropping-particle":"","family":"Do","given":"DV","non-dropping-particle":"","parse-names":false,"suffix":""},{"dropping-particle":"","family":"Kroeger","given":"A","non-dropping-particle":"","parse-names":false,"suffix":""},{"dropping-particle":"","family":"Linder","given":"FE","non-dropping-particle":"","parse-names":false,"suffix":""}],"container-title":"Population Health Metrics","id":"ITEM-1","issue":"1","issued":{"date-parts":[["2011","12","5"]]},"page":"no pagination","publisher":"BioMed Central","publisher-place":"K. Kallander, Department of Health Policy, Planning and Management, School of Public Health, Makerere University, P.O. Box 7072, Kampala, Uganda. E-mail: k.kallander@malariaconsortium.org","title":"Social autopsy: INDEPTH Network experiences of utility, process, practices, and challenges in investigating causes and contributors to mortality","type":"article-journal","volume":"9"},"uris":["http://www.mendeley.com/documents/?uuid=6f034a5f-0493-4d52-a037-1377852a8637"]},{"id":"ITEM-2","itemData":{"ISBN":"0042-9686","ISSN":"0042-9686 (Print)","PMID":"9277007","abstract":"The care-seeking behaviour of mothers of 125 children deceased aged 1- 30 months was investigated by verbal autopsy in an urban area of Guinea- Bissau. A total of 93% of the children were seen at a health centre or hospital during the 2 weeks before death. In a previous survey covering the period 1987-90 we found that 78% of the children who died had presented for consultation (8); despite this increase in care seeking, infant mortality had not decreased. Comparison of elapsed time from disease onset to first consultation between children who died and matched surviving controls indicated that the interval was shorter for children who died than for those who survived (odds ratio (OR): 0.7; 95% confidence interval (CI): 0.5-0.99). Of the 125 terminally ill children, 56 were hospitalized. A total of 20 children died on the way to hospital or while waiting in the outpatient clinic. Lack of hospital beds resulted in 15 mothers being refused hospitalization for their child. Of hospitalized children, 42% were discharged as improved or recovered during the 30 days preceding death. These results reveal a need for improved hospital admission criteria, improved recognition of the symptoms of serious illness, better discharge criteria, and the implementation of quality assurance systems for health services.","author":[{"dropping-particle":"","family":"Sodemann","given":"M","non-dropping-particle":"","parse-names":false,"suffix":""},{"dropping-particle":"","family":"Jakobsen","given":"M S","non-dropping-particle":"","parse-names":false,"suffix":""},{"dropping-particle":"","family":"Molbak","given":"K","non-dropping-particle":"","parse-names":false,"suffix":""},{"dropping-particle":"","family":"Alvarenga","given":"I C Jr","non-dropping-particle":"","parse-names":false,"suffix":""},{"dropping-particle":"","family":"Aaby","given":"P","non-dropping-particle":"","parse-names":false,"suffix":""}],"container-title":"Bulletin of the World Health Organization","id":"ITEM-2","issue":"3","issued":{"date-parts":[["1997"]]},"language":"eng","page":"205-212","publisher":"World Health Organization (20 Ave. Appia, Geneva 27 CH-1211, Switzerland)","publisher-place":"M. Sodemann, Dept. of Epidemiology/Social Med., University of Aarhus, Hoegh-Guldbergsgade 10, DK-8000 Aarhus C, Denmark, Switzerland","title":"High mortality despite good care-seeking behaviour: A community study of childhood deaths in Guinea-Bissau","type":"article-journal","volume":"75"},"uris":["http://www.mendeley.com/documents/?uuid=e3388bb8-2c68-46ae-b422-9615fe3a2a5a"]},{"id":"ITEM-3","itemData":{"DOI":"10.1186/1475-2875-3-27","ISBN":"1475-2875","ISSN":"1475-2875 (Electronic)","PMID":"15282029","abstract":"Background: Once malaria occurs, deaths can be prevented by prompt treatment with relatively affordable and efficacious drugs. Yet this goal is elusive in Africa. The paradox of a continuing but easily preventable cause of high mortality raises important questions for policy makers concerning care-seeking and access to health systems. Although patterns of care-seeking during uncomplicated malaria episodes are well known, studies in cases of fatal malaria are rare. Care-seeking behaviours may differ between these groups. Methods: This study documents care-seeking events in 320 children less than five years of age with fatal malaria seen between 1999 and 2001 during over 240,000 person-years of follow-up in a stable perennial malaria transmission setting in southern Tanzania. Accounts of care-seeking recorded in verbal autopsy histories were analysed to determine providers attended and the sequence of choices made as the patients' condition deteriorated. Results: As first resort to care, 78.7% of malaria-attributable deaths used modern biomedical care in the form of antimalarial pharmaceuticals from shops or government or non-governmental heath facilities, 9.4% used initial traditional care at home or from traditional practitioners and 11.9% sought no care of any kind. There were no differences in patterns of choice by sex of the child, sex of the head of the household, socioeconomic status of the household or presence or absence of convulsions. In malaria deaths of all ages who sought care more than once, modern care was included in the first or second resort to care in 90.0% and 99.4% with and without convulsions respectively. Conclusions: In this study of fatal malaria in southern Tanzania, biomedical care is the preferred choice of an overwhelming majority of suspected malaria cases, even those complicated by convulsions. Traditional care is no longer a significant delaying factor. To reduce mortality further will require greater emphasis on recognizing danger signs at home, prompter care-seeking, improved quality of care at health facilities and better adherence to treatment.","author":[{"dropping-particle":"","family":"Savigny","given":"Don","non-dropping-particle":"de","parse-names":false,"suffix":""},{"dropping-particle":"","family":"Mayombana","given":"Charles","non-dropping-particle":"","parse-names":false,"suffix":""},{"dropping-particle":"","family":"Mwageni","given":"Eleuther","non-dropping-particle":"","parse-names":false,"suffix":""},{"dropping-particle":"","family":"Masanja","given":"Honorati","non-dropping-particle":"","parse-names":false,"suffix":""},{"dropping-particle":"","family":"Minhaj","given":"Abdulatif","non-dropping-particle":"","parse-names":false,"suffix":""},{"dropping-particle":"","family":"Mkilindi","given":"Yahya","non-dropping-particle":"","parse-names":false,"suffix":""},{"dropping-particle":"","family":"Mbuya","given":"Conrad","non-dropping-particle":"","parse-names":false,"suffix":""},{"dropping-particle":"","family":"Kasale","given":"Harun","non-dropping-particle":"","parse-names":false,"suffix":""},{"dropping-particle":"","family":"Reid","given":"Graham","non-dropping-particle":"","parse-names":false,"suffix":""}],"container-title":"Malaria Journal","id":"ITEM-3","issue":"27","issued":{"date-parts":[["2004","7"]]},"language":"eng","page":"no pagination","publisher":"BioMed Central Ltd. (Floor 6, 236 Gray's Inn Road, London WC1X 8HB, United Kingdom)","publisher-place":"D. De Savigny, Tanzania Essential Hlth. I. P., P.O. Box 78487, Dar es Salaam, Tanzania. E-mail: d.desavigny@unibas.ch, England","title":"Care-seeking patterns for fatal malaria in Tanzania.","type":"article-journal","volume":"3"},"uris":["http://www.mendeley.com/documents/?uuid=1bcb5d17-0269-41d6-8d1d-d55cdb9500e1"]}],"mendeley":{"formattedCitation":"(5,30,31)","manualFormatting":"[5,30,31","plainTextFormattedCitation":"(5,30,31)","previouslyFormattedCitation":"(5,30,31)"},"properties":{"noteIndex":0},"schema":"https://github.com/citation-style-language/schema/raw/master/csl-citation.json"}</w:instrText>
      </w:r>
      <w:r w:rsidR="00320532" w:rsidRPr="0029643F">
        <w:fldChar w:fldCharType="separate"/>
      </w:r>
      <w:r w:rsidR="00D7394F">
        <w:rPr>
          <w:noProof/>
        </w:rPr>
        <w:t>[</w:t>
      </w:r>
      <w:r w:rsidR="00303FFB" w:rsidRPr="00303FFB">
        <w:rPr>
          <w:noProof/>
        </w:rPr>
        <w:t>5,30,31</w:t>
      </w:r>
      <w:r w:rsidR="00320532" w:rsidRPr="0029643F">
        <w:fldChar w:fldCharType="end"/>
      </w:r>
      <w:r w:rsidR="00D7394F">
        <w:t>]</w:t>
      </w:r>
      <w:r w:rsidR="00320532" w:rsidRPr="0029643F">
        <w:t>.</w:t>
      </w:r>
      <w:r w:rsidR="00551A86" w:rsidRPr="0029643F">
        <w:t xml:space="preserve"> </w:t>
      </w:r>
      <w:r>
        <w:t xml:space="preserve">The low </w:t>
      </w:r>
      <w:r w:rsidR="00ED119B" w:rsidRPr="0029643F">
        <w:t xml:space="preserve">referral rates </w:t>
      </w:r>
      <w:r>
        <w:t xml:space="preserve">we found </w:t>
      </w:r>
      <w:r w:rsidR="00ED119B" w:rsidRPr="0029643F">
        <w:t>across both age groups</w:t>
      </w:r>
      <w:r w:rsidR="007878A9" w:rsidRPr="0029643F">
        <w:t xml:space="preserve"> have also been noted</w:t>
      </w:r>
      <w:r>
        <w:t xml:space="preserve"> before</w:t>
      </w:r>
      <w:r w:rsidR="007878A9" w:rsidRPr="0029643F">
        <w:t>, though without adequate explanation</w:t>
      </w:r>
      <w:r w:rsidR="008C2F16">
        <w:t xml:space="preserve"> </w:t>
      </w:r>
      <w:r w:rsidR="0029643F">
        <w:fldChar w:fldCharType="begin" w:fldLock="1"/>
      </w:r>
      <w:r w:rsidR="00876406">
        <w:instrText>ADDIN CSL_CITATION {"citationItems":[{"id":"ITEM-1","itemData":{"DOI":"10.7189/jogh.06.010603","ISSN":"2047-2978","PMID":"26955473","abstract":"BACKGROUND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health","id":"ITEM-1","issue":"1","issued":{"date-parts":[["2016","6"]]},"page":"010603","publisher":"Edinburgh University Global Health Society","title":"Social determinants of child mortality in Niger: Results from the 2012 National Verbal and Social Autopsy Study.","type":"article-journal","volume":"6"},"uris":["http://www.mendeley.com/documents/?uuid=14b1e396-aa2f-32b7-8c01-dc807cb40be4"]},{"id":"ITEM-2","itemData":{"DOI":"10.1371/journal.pone.0177025","ISSN":"1932-6203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one","id":"ITEM-2","issue":"5","issued":{"date-parts":[["2017"]]},"language":"eng","page":"e0177025","publisher-place":"United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mendeley":{"formattedCitation":"(4,25)","manualFormatting":"[4,25","plainTextFormattedCitation":"(4,25)","previouslyFormattedCitation":"(4,25)"},"properties":{"noteIndex":0},"schema":"https://github.com/citation-style-language/schema/raw/master/csl-citation.json"}</w:instrText>
      </w:r>
      <w:r w:rsidR="0029643F">
        <w:fldChar w:fldCharType="separate"/>
      </w:r>
      <w:r w:rsidR="00D7394F">
        <w:rPr>
          <w:noProof/>
        </w:rPr>
        <w:t>[</w:t>
      </w:r>
      <w:r w:rsidR="00303FFB" w:rsidRPr="00303FFB">
        <w:rPr>
          <w:noProof/>
        </w:rPr>
        <w:t>4,25</w:t>
      </w:r>
      <w:r w:rsidR="0029643F">
        <w:fldChar w:fldCharType="end"/>
      </w:r>
      <w:r w:rsidR="00D7394F">
        <w:t>]</w:t>
      </w:r>
      <w:r w:rsidR="00ED119B" w:rsidRPr="0029643F">
        <w:t>.</w:t>
      </w:r>
      <w:r w:rsidR="007878A9" w:rsidRPr="0029643F">
        <w:t xml:space="preserve"> Some studies have suggested that barriers to referral include lack of transport, cost and distance to the referral facility </w:t>
      </w:r>
      <w:r w:rsidR="007878A9" w:rsidRPr="0029643F">
        <w:fldChar w:fldCharType="begin" w:fldLock="1"/>
      </w:r>
      <w:r w:rsidR="00876406">
        <w:instrText>ADDIN CSL_CITATION {"citationItems":[{"id":"ITEM-1","itemData":{"DOI":"10.7189/jogh.06.010603","ISSN":"2047-2978","PMID":"26955473","abstract":"BACKGROUND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health","id":"ITEM-1","issue":"1","issued":{"date-parts":[["2016","6"]]},"page":"010603","publisher":"Edinburgh University Global Health Society","title":"Social determinants of child mortality in Niger: Results from the 2012 National Verbal and Social Autopsy Study.","type":"article-journal","volume":"6"},"uris":["http://www.mendeley.com/documents/?uuid=14b1e396-aa2f-32b7-8c01-dc807cb40be4"]}],"mendeley":{"formattedCitation":"(25)","manualFormatting":"[25","plainTextFormattedCitation":"(25)","previouslyFormattedCitation":"(25)"},"properties":{"noteIndex":0},"schema":"https://github.com/citation-style-language/schema/raw/master/csl-citation.json"}</w:instrText>
      </w:r>
      <w:r w:rsidR="007878A9" w:rsidRPr="0029643F">
        <w:fldChar w:fldCharType="separate"/>
      </w:r>
      <w:r w:rsidR="004A196F">
        <w:rPr>
          <w:noProof/>
        </w:rPr>
        <w:t>[</w:t>
      </w:r>
      <w:r w:rsidR="00303FFB" w:rsidRPr="00303FFB">
        <w:rPr>
          <w:noProof/>
        </w:rPr>
        <w:t>25</w:t>
      </w:r>
      <w:r w:rsidR="007878A9" w:rsidRPr="0029643F">
        <w:fldChar w:fldCharType="end"/>
      </w:r>
      <w:r w:rsidR="004A196F">
        <w:t>]</w:t>
      </w:r>
      <w:r w:rsidR="007878A9" w:rsidRPr="0029643F">
        <w:t xml:space="preserve">, however </w:t>
      </w:r>
      <w:r>
        <w:t>our findings suggest</w:t>
      </w:r>
      <w:r w:rsidRPr="0029643F">
        <w:t xml:space="preserve"> </w:t>
      </w:r>
      <w:r w:rsidR="007878A9" w:rsidRPr="0029643F">
        <w:t xml:space="preserve">these may not be </w:t>
      </w:r>
      <w:r w:rsidR="0029643F" w:rsidRPr="0029643F">
        <w:t>insurmountable obstacles for caregivers as demonstrated by the high rates of referral acceptance when referral is made.</w:t>
      </w:r>
      <w:r w:rsidR="00956B88">
        <w:t xml:space="preserve"> </w:t>
      </w:r>
      <w:r>
        <w:t xml:space="preserve">Our findings are </w:t>
      </w:r>
      <w:r w:rsidR="008D7C19">
        <w:t xml:space="preserve">consistent </w:t>
      </w:r>
      <w:r>
        <w:t>with other</w:t>
      </w:r>
      <w:r w:rsidR="008D7C19">
        <w:t xml:space="preserve"> </w:t>
      </w:r>
      <w:r>
        <w:t>s</w:t>
      </w:r>
      <w:r w:rsidR="008D7C19">
        <w:t>tudies</w:t>
      </w:r>
      <w:r>
        <w:t xml:space="preserve"> wh</w:t>
      </w:r>
      <w:r w:rsidR="008D7C19">
        <w:t>ich</w:t>
      </w:r>
      <w:r>
        <w:t xml:space="preserve"> </w:t>
      </w:r>
      <w:r w:rsidR="00956B88">
        <w:t>have suggested that staff who are the first point of contact, including community health workers and primary healthcare facility staff</w:t>
      </w:r>
      <w:r w:rsidR="008D7C19">
        <w:t>,</w:t>
      </w:r>
      <w:r w:rsidR="00956B88">
        <w:t xml:space="preserve"> might benefit from further training on the recognition of danger signs, and on familiarisation with indications for referral and the establishment of clear referral guidelines and pathways</w:t>
      </w:r>
      <w:r w:rsidR="008C2F16">
        <w:t xml:space="preserve"> </w:t>
      </w:r>
      <w:r w:rsidR="00956B88">
        <w:fldChar w:fldCharType="begin" w:fldLock="1"/>
      </w:r>
      <w:r w:rsidR="00876406">
        <w:instrText>ADDIN CSL_CITATION {"citationItems":[{"id":"ITEM-1","itemData":{"ISBN":"0090-0036","ISSN":"0090-0036 (Print)","PMID":"11574320","author":[{"dropping-particle":"","family":"Garg","given":"R","non-dropping-particle":"","parse-names":false,"suffix":""},{"dropping-particle":"","family":"Omwomo","given":"W","non-dropping-particle":"","parse-names":false,"suffix":""},{"dropping-particle":"","family":"Witte","given":"J M","non-dropping-particle":"","parse-names":false,"suffix":""},{"dropping-particle":"","family":"Lee","given":"L A","non-dropping-particle":"","parse-names":false,"suffix":""},{"dropping-particle":"","family":"Deming","given":"M S","non-dropping-particle":"","parse-names":false,"suffix":""},{"dropping-particle":"","family":"R.","given":"Garg","non-dropping-particle":"","parse-names":false,"suffix":""},{"dropping-particle":"","family":"W.","given":"Omwomo","non-dropping-particle":"","parse-names":false,"suffix":""},{"dropping-particle":"","family":"J.M.","given":"Witte","non-dropping-particle":"","parse-names":false,"suffix":""},{"dropping-particle":"","family":"L.A.","given":"Lee","non-dropping-particle":"","parse-names":false,"suffix":""}],"container-title":"American Journal of Public Health","id":"ITEM-1","issue":"10","issued":{"date-parts":[["2001","10"]]},"language":"eng","page":"1611-1613","publisher":"American Public Health Association Inc. (800 I Street NW, Washington DC 20061-3710, United States)","publisher-place":"M.S. Deming, Division of Parasitic Diseases, Natl. Center for Infectious Diseases, Center for Disease Control and Prev., 4770 Buford Hwy, Atlanta, GA 30341, United States. E-mail: msd1@cdc.gov, United States","title":"Care seeking during fatal childhood illnesses: Siaya District, Kenya, 1998","type":"article-journal","volume":"91"},"uris":["http://www.mendeley.com/documents/?uuid=1479654f-c711-4c2c-941a-4ebde7b1ba5a"]},{"id":"ITEM-2","itemData":{"DOI":"10.1371/journal.pone.0177025","ISSN":"1932-6203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one","id":"ITEM-2","issue":"5","issued":{"date-parts":[["2017"]]},"language":"eng","page":"e0177025","publisher-place":"United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mendeley":{"formattedCitation":"(4,19)","manualFormatting":"[4,19","plainTextFormattedCitation":"(4,19)","previouslyFormattedCitation":"(4,19)"},"properties":{"noteIndex":0},"schema":"https://github.com/citation-style-language/schema/raw/master/csl-citation.json"}</w:instrText>
      </w:r>
      <w:r w:rsidR="00956B88">
        <w:fldChar w:fldCharType="separate"/>
      </w:r>
      <w:r w:rsidR="004A196F">
        <w:rPr>
          <w:noProof/>
        </w:rPr>
        <w:t>[</w:t>
      </w:r>
      <w:r w:rsidR="00303FFB" w:rsidRPr="00303FFB">
        <w:rPr>
          <w:noProof/>
        </w:rPr>
        <w:t>4,19</w:t>
      </w:r>
      <w:r w:rsidR="00956B88">
        <w:fldChar w:fldCharType="end"/>
      </w:r>
      <w:r w:rsidR="004A196F">
        <w:t>]</w:t>
      </w:r>
      <w:r w:rsidR="00956B88">
        <w:t>.</w:t>
      </w:r>
    </w:p>
    <w:p w14:paraId="7BC7CDB4" w14:textId="48F93CF2" w:rsidR="00B74521" w:rsidRDefault="006B598C">
      <w:pPr>
        <w:spacing w:line="360" w:lineRule="auto"/>
      </w:pPr>
      <w:r>
        <w:t>Because we have brought together all the available evidence</w:t>
      </w:r>
      <w:r w:rsidR="00B16956">
        <w:t>,</w:t>
      </w:r>
      <w:r>
        <w:t xml:space="preserve"> we were able to </w:t>
      </w:r>
      <w:r w:rsidR="001A7493">
        <w:t>analyse</w:t>
      </w:r>
      <w:r>
        <w:t xml:space="preserve"> </w:t>
      </w:r>
      <w:r w:rsidR="001A7493">
        <w:t xml:space="preserve">factors across settings. </w:t>
      </w:r>
      <w:r w:rsidR="00B16956">
        <w:t xml:space="preserve">No differences were noted in </w:t>
      </w:r>
      <w:r w:rsidR="00B74521">
        <w:t xml:space="preserve">place of death or </w:t>
      </w:r>
      <w:r w:rsidR="00485A98">
        <w:t>care-seeking</w:t>
      </w:r>
      <w:r w:rsidR="00B74521">
        <w:t xml:space="preserve"> behaviour</w:t>
      </w:r>
      <w:r w:rsidR="00B16956">
        <w:t xml:space="preserve"> between countries of different income status</w:t>
      </w:r>
      <w:r w:rsidR="00455BAD">
        <w:t xml:space="preserve">. </w:t>
      </w:r>
      <w:r w:rsidR="00364BEB">
        <w:t>User-fee</w:t>
      </w:r>
      <w:r w:rsidR="00B74521">
        <w:t xml:space="preserve">s </w:t>
      </w:r>
      <w:r w:rsidR="00EC4F80">
        <w:t>were</w:t>
      </w:r>
      <w:r w:rsidR="00B74521">
        <w:t xml:space="preserve"> associated with a higher proportion of home deaths (69% in settings with </w:t>
      </w:r>
      <w:r w:rsidR="00364BEB">
        <w:t>user-fee</w:t>
      </w:r>
      <w:r w:rsidR="00B74521">
        <w:t xml:space="preserve">s as opposed to 44% in settings without </w:t>
      </w:r>
      <w:r w:rsidR="00364BEB">
        <w:t>user-fee</w:t>
      </w:r>
      <w:r w:rsidR="00B74521">
        <w:t>s)</w:t>
      </w:r>
      <w:r w:rsidR="00B16956">
        <w:t xml:space="preserve">, however this association </w:t>
      </w:r>
      <w:r w:rsidR="0037616D">
        <w:t xml:space="preserve">is difficult to interpret given the bimodal distribution pattern for home deaths in countries with </w:t>
      </w:r>
      <w:r w:rsidR="00364BEB">
        <w:t>user-fee</w:t>
      </w:r>
      <w:r w:rsidR="0037616D">
        <w:t xml:space="preserve">s (as shown in </w:t>
      </w:r>
      <w:r w:rsidR="00A02E25">
        <w:t>A</w:t>
      </w:r>
      <w:r w:rsidR="0037616D">
        <w:t xml:space="preserve">ppendix </w:t>
      </w:r>
      <w:r w:rsidR="004A196F">
        <w:t>S</w:t>
      </w:r>
      <w:r w:rsidR="0037616D">
        <w:t>4</w:t>
      </w:r>
      <w:r w:rsidR="004A196F">
        <w:t xml:space="preserve"> in the </w:t>
      </w:r>
      <w:r w:rsidR="004A196F" w:rsidRPr="00F22B31">
        <w:rPr>
          <w:b/>
        </w:rPr>
        <w:t>Online Supplementary Document</w:t>
      </w:r>
      <w:r w:rsidR="0037616D">
        <w:t>). Furthermore, n</w:t>
      </w:r>
      <w:r w:rsidR="00B74521">
        <w:t xml:space="preserve">o </w:t>
      </w:r>
      <w:r w:rsidR="008D7C19">
        <w:t xml:space="preserve">statistically significant </w:t>
      </w:r>
      <w:r w:rsidR="00B74521">
        <w:t xml:space="preserve">differences were </w:t>
      </w:r>
      <w:r w:rsidR="00455BAD">
        <w:t xml:space="preserve">seen </w:t>
      </w:r>
      <w:r w:rsidR="00B74521">
        <w:t xml:space="preserve">across the care pathway based on </w:t>
      </w:r>
      <w:r w:rsidR="00364BEB">
        <w:t>user-fee</w:t>
      </w:r>
      <w:r w:rsidR="00B74521">
        <w:t>s, suggesting that despite charges caregivers sought care</w:t>
      </w:r>
      <w:r w:rsidR="008D7C19">
        <w:t xml:space="preserve"> - although there was a trend towards higher rates of seeking formal care in settings without </w:t>
      </w:r>
      <w:r w:rsidR="00364BEB">
        <w:t>user-fee</w:t>
      </w:r>
      <w:r w:rsidR="008D7C19">
        <w:t xml:space="preserve">s (65%, compared to 53% in countries with </w:t>
      </w:r>
      <w:r w:rsidR="00364BEB">
        <w:t>user-fee</w:t>
      </w:r>
      <w:r w:rsidR="008D7C19">
        <w:t xml:space="preserve">s), and higher rates of informal care in settings with </w:t>
      </w:r>
      <w:r w:rsidR="00364BEB">
        <w:t>user-fee</w:t>
      </w:r>
      <w:r w:rsidR="008D7C19">
        <w:t xml:space="preserve">s (25%) compared to those without </w:t>
      </w:r>
      <w:r w:rsidR="00364BEB">
        <w:t>user-fee</w:t>
      </w:r>
      <w:r w:rsidR="008D7C19">
        <w:t>s (11%)</w:t>
      </w:r>
      <w:r w:rsidR="00B74521">
        <w:t>.</w:t>
      </w:r>
      <w:r w:rsidR="00062DB3">
        <w:t xml:space="preserve"> </w:t>
      </w:r>
      <w:r w:rsidR="008D7C19">
        <w:t>M</w:t>
      </w:r>
      <w:r w:rsidR="00062DB3">
        <w:t xml:space="preserve">any studies highlight cost as a barrier to </w:t>
      </w:r>
      <w:r w:rsidR="00485A98">
        <w:t>care-seeking</w:t>
      </w:r>
      <w:r w:rsidR="008C2F16">
        <w:t xml:space="preserve"> </w:t>
      </w:r>
      <w:r w:rsidR="00062DB3">
        <w:fldChar w:fldCharType="begin" w:fldLock="1"/>
      </w:r>
      <w:r w:rsidR="00876406">
        <w:instrText>ADDIN CSL_CITATION {"citationItems":[{"id":"ITEM-1","itemData":{"DOI":"10.7189/jogh.05.010413","ISSN":"2047-2978 (Print)","PMID":"26171142","abstract":"BACKGROUND: Reducing preventable medical causes of neonatal death for faster progress toward the MGD4 will require Cameroon to adequately address the social factors contributing to these deaths. The objective of this paper is to explore the social, behavioral and health systems determinants of newborn death in Doume, Nguelemendouka and Abong-Mbang health districts, in Eastern Region of Cameroon, from 2007-2010. METHODS: Data come from the 2012 Verbal/Social Autopsy (VASA) study, which aimed to determine the biological causes and social, behavioral and health systems determinants of under-five deaths in Doume, Nguelemendouka and Abong-Mbang health districts in Eastern Region of Cameroon. The analysis of the data was guided by the review of the coverage of key interventions along the continuum of normal maternal and newborn care and by the description of breakdowns in the care provided for severe neonatal illnesses within the Pathway to Survival conceptual framework. RESULTS: One hundred sixty-four newborn deaths were confirmed from the VASA survey. The majority of the deceased newborns were living in households with poor socio-economic conditions. Most (60-80%) neonates were born to mothers who had one or more pregnancy or labor and delivery complications. Only 23% of the deceased newborns benefited from hygienic cord care after birth. Half received appropriate thermal care and only 6% were breastfed within one hour after birth. Sixty percent of the deaths occurred during the first day of life. Fifty-five percent of the babies were born at home. More than half of the deaths (57%) occurred at home. Of the 64 neonates born at a health facility, about 63% died in the health facility without leaving. Careseeking was delayed for several neonates who became sick after the first week of life and whose illnesses were less serious at the onset until they became more severely ill. Cost, including for transport, health care and other expenses, emerged as main barriers to formal care-seeking both for the mothers and their newborns. CONCLUSIONS: This study presents an opportunity to strengthen maternal and newborn health by increasing the coverage of essential and low cost interventions that could have saved the lives of many newborns in eastern Cameroon.","author":[{"dropping-particle":"","family":"Koffi","given":"Alain K","non-dropping-particle":"","parse-names":false,"suffix":""},{"dropping-particle":"","family":"Libite","given":"Paul-Roger","non-dropping-particle":"","parse-names":false,"suffix":""},{"dropping-particle":"","family":"Moluh","given":"Seidou","non-dropping-particle":"","parse-names":false,"suffix":""},{"dropping-particle":"","family":"Wounang","given":"Romain","non-dropping-particle":"","parse-names":false,"suffix":""},{"dropping-particle":"","family":"Kalter","given":"Henry D","non-dropping-particle":"","parse-names":false,"suffix":""}],"container-title":"Journal of global health","id":"ITEM-1","issue":"1","issued":{"date-parts":[["2015","6"]]},"language":"eng","page":"10413","publisher-place":"Scotland","title":"Social autopsy study identifies determinants of neonatal mortality in Doume, Nguelemendouka and Abong-Mbang health districts, Eastern Region of Cameroon.","type":"article-journal","volume":"5"},"uris":["http://www.mendeley.com/documents/?uuid=2f2bf549-8908-44db-bfaa-2eaf0c3348ca"]},{"id":"ITEM-2","itemData":{"DOI":"10.7189/jogh.06.010603","ISSN":"2047-2978","PMID":"26955473","abstract":"BACKGROUND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health","id":"ITEM-2","issue":"1","issued":{"date-parts":[["2016","6"]]},"page":"010603","publisher":"Edinburgh University Global Health Society","title":"Social determinants of child mortality in Niger: Results from the 2012 National Verbal and Social Autopsy Study.","type":"article-journal","volume":"6"},"uris":["http://www.mendeley.com/documents/?uuid=14b1e396-aa2f-32b7-8c01-dc807cb40be4"]}],"mendeley":{"formattedCitation":"(24,25)","manualFormatting":"[24,25","plainTextFormattedCitation":"(24,25)","previouslyFormattedCitation":"(24,25)"},"properties":{"noteIndex":0},"schema":"https://github.com/citation-style-language/schema/raw/master/csl-citation.json"}</w:instrText>
      </w:r>
      <w:r w:rsidR="00062DB3">
        <w:fldChar w:fldCharType="separate"/>
      </w:r>
      <w:r w:rsidR="00A02E25">
        <w:rPr>
          <w:noProof/>
        </w:rPr>
        <w:t>[</w:t>
      </w:r>
      <w:r w:rsidR="00303FFB" w:rsidRPr="00303FFB">
        <w:rPr>
          <w:noProof/>
        </w:rPr>
        <w:t>24,25</w:t>
      </w:r>
      <w:r w:rsidR="00062DB3">
        <w:fldChar w:fldCharType="end"/>
      </w:r>
      <w:r w:rsidR="00A02E25">
        <w:t>]</w:t>
      </w:r>
      <w:r w:rsidR="00062DB3">
        <w:t xml:space="preserve">. </w:t>
      </w:r>
      <w:r w:rsidR="00B74521">
        <w:t xml:space="preserve">It is possible that </w:t>
      </w:r>
      <w:r w:rsidR="00364BEB">
        <w:t>user-fee</w:t>
      </w:r>
      <w:r w:rsidR="00B74521">
        <w:t xml:space="preserve">s </w:t>
      </w:r>
      <w:r w:rsidR="008D7C19">
        <w:t xml:space="preserve">also </w:t>
      </w:r>
      <w:r w:rsidR="00B74521">
        <w:t>affect the decision to accept hospital admission, or caregivers’ abilities to follow home recommendations including the purchas</w:t>
      </w:r>
      <w:r w:rsidR="008D7C19">
        <w:t>e</w:t>
      </w:r>
      <w:r w:rsidR="00B74521">
        <w:t xml:space="preserve"> of medications – neither of which </w:t>
      </w:r>
      <w:r w:rsidR="001A7493">
        <w:t xml:space="preserve">we </w:t>
      </w:r>
      <w:r w:rsidR="00B74521">
        <w:t xml:space="preserve">captured in this review, but which would warrant further investigation </w:t>
      </w:r>
      <w:r w:rsidR="00736A14">
        <w:t xml:space="preserve">to understand how </w:t>
      </w:r>
      <w:r w:rsidR="00B74521">
        <w:t xml:space="preserve">different health system financing models </w:t>
      </w:r>
      <w:r w:rsidR="00736A14">
        <w:t xml:space="preserve">affect specific </w:t>
      </w:r>
      <w:r w:rsidR="00485A98">
        <w:t>care-seeking</w:t>
      </w:r>
      <w:r w:rsidR="00736A14">
        <w:t xml:space="preserve"> decisions in childhood illness.</w:t>
      </w:r>
    </w:p>
    <w:p w14:paraId="3C9C4BE0" w14:textId="44925413" w:rsidR="00166BF6" w:rsidRDefault="001A7493" w:rsidP="00187AA8">
      <w:pPr>
        <w:pStyle w:val="Heading2"/>
        <w:spacing w:line="360" w:lineRule="auto"/>
      </w:pPr>
      <w:r>
        <w:t>Strengths and l</w:t>
      </w:r>
      <w:r w:rsidR="00166BF6">
        <w:t>imitations</w:t>
      </w:r>
    </w:p>
    <w:p w14:paraId="0FE94E0D" w14:textId="77539CD4" w:rsidR="00EE26FC" w:rsidRDefault="00DF23AC" w:rsidP="00EE26FC">
      <w:pPr>
        <w:spacing w:line="360" w:lineRule="auto"/>
      </w:pPr>
      <w:r>
        <w:t xml:space="preserve">This study had </w:t>
      </w:r>
      <w:r w:rsidR="00E03E80">
        <w:t>three</w:t>
      </w:r>
      <w:r>
        <w:t xml:space="preserve"> important</w:t>
      </w:r>
      <w:r w:rsidR="00455BAD">
        <w:t xml:space="preserve"> strengths and corresponding</w:t>
      </w:r>
      <w:r>
        <w:t xml:space="preserve"> limitations. Firstly</w:t>
      </w:r>
      <w:r w:rsidR="000568AE">
        <w:t>,</w:t>
      </w:r>
      <w:r w:rsidR="00EE26FC">
        <w:t xml:space="preserve"> </w:t>
      </w:r>
      <w:r w:rsidR="00455BAD">
        <w:t xml:space="preserve">we sought to pool studies from different settings in sub-Saharan Africa. This has contributed to the findings of high heterogeneity. Whilst this means </w:t>
      </w:r>
      <w:r w:rsidR="008C2F16">
        <w:t>it</w:t>
      </w:r>
      <w:r w:rsidR="00455BAD">
        <w:t xml:space="preserve"> is </w:t>
      </w:r>
      <w:r w:rsidR="008C2F16">
        <w:t>un</w:t>
      </w:r>
      <w:r w:rsidR="00455BAD">
        <w:t>likely</w:t>
      </w:r>
      <w:r w:rsidR="008C2F16">
        <w:t xml:space="preserve"> that there would</w:t>
      </w:r>
      <w:r w:rsidR="00455BAD">
        <w:t xml:space="preserve"> be </w:t>
      </w:r>
      <w:r w:rsidR="008C2F16">
        <w:t xml:space="preserve">a </w:t>
      </w:r>
      <w:r w:rsidR="00455BAD">
        <w:t>single numerical answer for every setting, it also allows us to draw conclusions with a broad evidence base</w:t>
      </w:r>
      <w:r w:rsidR="002E3D6A">
        <w:t xml:space="preserve"> and to compare the settings to attempt to understand reasons for the differences</w:t>
      </w:r>
      <w:r w:rsidR="00455BAD">
        <w:t>.</w:t>
      </w:r>
    </w:p>
    <w:p w14:paraId="12B42C32" w14:textId="589F1FF3" w:rsidR="00455BAD" w:rsidRDefault="008F525A" w:rsidP="00187AA8">
      <w:pPr>
        <w:spacing w:line="360" w:lineRule="auto"/>
      </w:pPr>
      <w:r>
        <w:t xml:space="preserve">Secondly, </w:t>
      </w:r>
      <w:r w:rsidR="00455BAD">
        <w:t xml:space="preserve">we included only children who had died. This meant that </w:t>
      </w:r>
      <w:r w:rsidR="00292F05">
        <w:t>there was no comparison made to children</w:t>
      </w:r>
      <w:r w:rsidR="008D7C19">
        <w:t xml:space="preserve"> who survived</w:t>
      </w:r>
      <w:r w:rsidR="00292F05">
        <w:t>, and so we cannot determine whether there are differences at specific stages of the pathway that might increase mortality risk</w:t>
      </w:r>
      <w:r>
        <w:t xml:space="preserve">. </w:t>
      </w:r>
      <w:r w:rsidR="00AF09FE">
        <w:t>The strength of including only children who die</w:t>
      </w:r>
      <w:r w:rsidR="008C2F16">
        <w:t>d</w:t>
      </w:r>
      <w:r w:rsidR="00AF09FE">
        <w:t xml:space="preserve"> is that it allows </w:t>
      </w:r>
      <w:r w:rsidR="00455BAD">
        <w:t>us to say that the included children should have had medical care sought</w:t>
      </w:r>
      <w:r w:rsidR="00AF09FE">
        <w:t xml:space="preserve"> and provided</w:t>
      </w:r>
      <w:r w:rsidR="00290094">
        <w:t xml:space="preserve">. It is </w:t>
      </w:r>
      <w:r w:rsidR="006D2950">
        <w:t xml:space="preserve">likely that </w:t>
      </w:r>
      <w:r w:rsidR="00AF09FE">
        <w:t>the children were seriously unwell so this should have been recognised</w:t>
      </w:r>
      <w:r w:rsidR="006D2950">
        <w:t>, though it is possible that a small minority of children died from sudden infant death syndrome and so would have appeared well</w:t>
      </w:r>
      <w:r w:rsidR="00290094">
        <w:t xml:space="preserve"> prior to death</w:t>
      </w:r>
      <w:r w:rsidR="006D2950">
        <w:t>.</w:t>
      </w:r>
    </w:p>
    <w:p w14:paraId="0C9B408F" w14:textId="59F8EAE2" w:rsidR="008F525A" w:rsidRDefault="00E03E80" w:rsidP="008C2F16">
      <w:pPr>
        <w:spacing w:line="360" w:lineRule="auto"/>
      </w:pPr>
      <w:r>
        <w:t xml:space="preserve">Finally, </w:t>
      </w:r>
      <w:r w:rsidR="0037616D">
        <w:t xml:space="preserve">by pooling evidence across multiple study designs </w:t>
      </w:r>
      <w:r>
        <w:t>we were able to present data across each of the stages of the care pathways as defined by the Pathways to Survival framewor</w:t>
      </w:r>
      <w:r w:rsidR="0037616D">
        <w:t>k. However, we</w:t>
      </w:r>
      <w:r>
        <w:t xml:space="preserve"> were unable to disaggregate the data based on place of death, and so drawing direct conclusions about why high proportions of children die at home across sub-Saharan Africa remains difficult.</w:t>
      </w:r>
      <w:r w:rsidR="00290094">
        <w:t xml:space="preserve"> </w:t>
      </w:r>
      <w:r w:rsidR="008846A8">
        <w:t xml:space="preserve">In some studies, we were also unable to identify whether they included or excluded neonates who had arrived alive at a health facility </w:t>
      </w:r>
      <w:r w:rsidR="008846A8" w:rsidRPr="00A8273F">
        <w:rPr>
          <w:i/>
        </w:rPr>
        <w:t>in utero</w:t>
      </w:r>
      <w:r w:rsidR="008846A8">
        <w:t>, and were delivered, but died prior to discharge.</w:t>
      </w:r>
    </w:p>
    <w:p w14:paraId="51A0E589" w14:textId="102706E3" w:rsidR="0029630C" w:rsidRDefault="007A21FB" w:rsidP="00187AA8">
      <w:pPr>
        <w:pStyle w:val="Heading2"/>
        <w:spacing w:line="360" w:lineRule="auto"/>
      </w:pPr>
      <w:r>
        <w:t>Implications and recommendations for policy</w:t>
      </w:r>
    </w:p>
    <w:p w14:paraId="24929469" w14:textId="44CE00E7" w:rsidR="00F170BA" w:rsidRDefault="00AF09FE" w:rsidP="00187AA8">
      <w:pPr>
        <w:spacing w:line="360" w:lineRule="auto"/>
      </w:pPr>
      <w:r>
        <w:t xml:space="preserve">We found evidence consistent with neonates dying quickly or without recognition of their illness. </w:t>
      </w:r>
      <w:r w:rsidR="00F170BA">
        <w:t>The implication of these patterns is that health-care systems should target all neonates for surveillance, irrespective of the concerns of parents. A system that provides monitoring of health for neonates could be a post-natal clinic or visitor scheme, or might be a target for technological solutions</w:t>
      </w:r>
      <w:r w:rsidR="00093E6A">
        <w:t xml:space="preserve"> </w:t>
      </w:r>
      <w:r w:rsidR="00290094">
        <w:fldChar w:fldCharType="begin" w:fldLock="1"/>
      </w:r>
      <w:r w:rsidR="00876406">
        <w:instrText>ADDIN CSL_CITATION {"citationItems":[{"id":"ITEM-1","itemData":{"DOI":"10.1016/S0140-6736(13)60095-1","ISSN":"01406736","author":[{"dropping-particle":"","family":"Kirkwood","given":"Betty R","non-dropping-particle":"","parse-names":false,"suffix":""},{"dropping-particle":"","family":"Manu","given":"Alexander","non-dropping-particle":"","parse-names":false,"suffix":""},{"dropping-particle":"","family":"Asbroek","given":"Augustinus HA","non-dropping-particle":"ten","parse-names":false,"suffix":""},{"dropping-particle":"","family":"Soremekun","given":"Seyi","non-dropping-particle":"","parse-names":false,"suffix":""},{"dropping-particle":"","family":"Weobong","given":"Benedict","non-dropping-particle":"","parse-names":false,"suffix":""},{"dropping-particle":"","family":"Gyan","given":"Thomas","non-dropping-particle":"","parse-names":false,"suffix":""},{"dropping-particle":"","family":"Danso","given":"Samuel","non-dropping-particle":"","parse-names":false,"suffix":""},{"dropping-particle":"","family":"Amenga-Etego","given":"Seeba","non-dropping-particle":"","parse-names":false,"suffix":""},{"dropping-particle":"","family":"Tawiah-Agyemang","given":"Charlotte","non-dropping-particle":"","parse-names":false,"suffix":""},{"dropping-particle":"","family":"Owusu-Agyei","given":"Seth","non-dropping-particle":"","parse-names":false,"suffix":""},{"dropping-particle":"","family":"Hill","given":"Zelee","non-dropping-particle":"","parse-names":false,"suffix":""}],"container-title":"The Lancet","id":"ITEM-1","issue":"9884","issued":{"date-parts":[["2013","6"]]},"note":"Intervention summary: \nHome visits - 2 anetanal home visits, and 3 home postnatal visits in first week of life (D1,3,7) to promote essential newborn care practices, weigh and assess babies for danger signs and refer as necessary. \n\nOutcomes: NNR; coverge of key essential newborn-care practices ( 4 or more antenatal visits; bednet in pregnancy; saved money for delivery/emergency; arranged transport to facility in advance; baby deliveired in a facility; birth assistant washed hands with soapp (for home deliveries); breastfeeding within 1 hour; skin to skin contact; delay first bath &amp;gt;6 hours; exclusive breastfeeding 26-32 days; baby sleeping under bednet; care-seerking/sick babies taken to hospital or clinic). \n\nresults: no difference in NMR - though significant difference detected if added to a metanalysis using other studies from south asia (Reduction of 12%). Significant increases in rate of key essential newborn care behaviours - largest increase in care seeking (RR=1.43, p=0.001)","page":"2184-2192","title":"Effect of the Newhints home-visits intervention on neonatal mortality rate and care practices in Ghana: a cluster randomised controlled trial","type":"article-journal","volume":"381"},"uris":["http://www.mendeley.com/documents/?uuid=302bc162-806e-3ad1-9fc7-6e11a6d15965"]}],"mendeley":{"formattedCitation":"(32)","manualFormatting":"[32","plainTextFormattedCitation":"(32)","previouslyFormattedCitation":"(32)"},"properties":{"noteIndex":0},"schema":"https://github.com/citation-style-language/schema/raw/master/csl-citation.json"}</w:instrText>
      </w:r>
      <w:r w:rsidR="00290094">
        <w:fldChar w:fldCharType="separate"/>
      </w:r>
      <w:r w:rsidR="00A02E25">
        <w:rPr>
          <w:noProof/>
        </w:rPr>
        <w:t>[</w:t>
      </w:r>
      <w:r w:rsidR="00303FFB" w:rsidRPr="00303FFB">
        <w:rPr>
          <w:noProof/>
        </w:rPr>
        <w:t>32</w:t>
      </w:r>
      <w:r w:rsidR="00290094">
        <w:fldChar w:fldCharType="end"/>
      </w:r>
      <w:r w:rsidR="00A02E25">
        <w:t>]</w:t>
      </w:r>
      <w:r w:rsidR="00F170BA">
        <w:t>.</w:t>
      </w:r>
      <w:r w:rsidR="00E03E80">
        <w:t xml:space="preserve"> Health education interventions to improve caregiver recognitions of “danger signs” </w:t>
      </w:r>
      <w:r w:rsidR="008C2F16">
        <w:t>would</w:t>
      </w:r>
      <w:r>
        <w:t xml:space="preserve"> </w:t>
      </w:r>
      <w:r w:rsidR="00E03E80">
        <w:t>also be of value.</w:t>
      </w:r>
      <w:r w:rsidR="008C2F16">
        <w:t xml:space="preserve"> </w:t>
      </w:r>
      <w:r w:rsidR="0034414D">
        <w:t>Unfortunately</w:t>
      </w:r>
      <w:r w:rsidR="00E03E80">
        <w:t>,</w:t>
      </w:r>
      <w:r w:rsidR="0034414D">
        <w:t xml:space="preserve"> </w:t>
      </w:r>
      <w:r w:rsidR="00093E6A">
        <w:t xml:space="preserve">it is possible that </w:t>
      </w:r>
      <w:r w:rsidR="00C834A9">
        <w:t xml:space="preserve">many of </w:t>
      </w:r>
      <w:r w:rsidR="0034414D">
        <w:t xml:space="preserve">those children who reached formal care </w:t>
      </w:r>
      <w:r w:rsidR="00D71CD8">
        <w:t xml:space="preserve">didn’t get adequate </w:t>
      </w:r>
      <w:r w:rsidR="0050510F">
        <w:t xml:space="preserve">quality </w:t>
      </w:r>
      <w:r w:rsidR="00D71CD8">
        <w:t xml:space="preserve">care, </w:t>
      </w:r>
      <w:r w:rsidR="00A11947">
        <w:t xml:space="preserve">and </w:t>
      </w:r>
      <w:r w:rsidR="00D71CD8">
        <w:t xml:space="preserve">many </w:t>
      </w:r>
      <w:r w:rsidR="0037616D">
        <w:t>were</w:t>
      </w:r>
      <w:r>
        <w:t xml:space="preserve"> </w:t>
      </w:r>
      <w:r w:rsidR="00D71CD8">
        <w:t>discharged</w:t>
      </w:r>
      <w:r w:rsidR="00E03E80">
        <w:t xml:space="preserve"> without referral</w:t>
      </w:r>
      <w:r w:rsidR="00D71CD8">
        <w:t>.</w:t>
      </w:r>
      <w:r w:rsidR="00093E6A">
        <w:t xml:space="preserve"> However, the Pathways to Survival framework is limited in its ability to assess care quality</w:t>
      </w:r>
      <w:r w:rsidR="00A11947">
        <w:t xml:space="preserve"> and the appropriateness of referral</w:t>
      </w:r>
      <w:r w:rsidR="00093E6A">
        <w:t>. Other sources of information including facility-based audits and confidential enquiries into child deaths</w:t>
      </w:r>
      <w:r w:rsidR="00D71CD8">
        <w:t xml:space="preserve"> </w:t>
      </w:r>
      <w:r w:rsidR="00093E6A">
        <w:t>are better placed to assess care quality and suggest strategies to improve care</w:t>
      </w:r>
      <w:r w:rsidR="0037616D">
        <w:t xml:space="preserve"> at the health facility level</w:t>
      </w:r>
      <w:r w:rsidR="00093E6A">
        <w:t xml:space="preserve">. </w:t>
      </w:r>
      <w:r>
        <w:t xml:space="preserve">High quality </w:t>
      </w:r>
      <w:r w:rsidR="0034414D">
        <w:t xml:space="preserve">formal care </w:t>
      </w:r>
      <w:r w:rsidR="00D71CD8">
        <w:t>might</w:t>
      </w:r>
      <w:r w:rsidR="0034414D">
        <w:t xml:space="preserve"> </w:t>
      </w:r>
      <w:r w:rsidR="00D71CD8">
        <w:t xml:space="preserve">also </w:t>
      </w:r>
      <w:r w:rsidR="0034414D">
        <w:t>improve the proportion of care</w:t>
      </w:r>
      <w:r w:rsidR="00D812B3">
        <w:t>givers</w:t>
      </w:r>
      <w:r w:rsidR="0034414D">
        <w:t xml:space="preserve"> who seek care.</w:t>
      </w:r>
    </w:p>
    <w:p w14:paraId="7BB5C0BF" w14:textId="77D36F09" w:rsidR="00BE0F18" w:rsidRDefault="00D71CD8" w:rsidP="00187AA8">
      <w:pPr>
        <w:spacing w:line="360" w:lineRule="auto"/>
      </w:pPr>
      <w:r>
        <w:t>The majority of care</w:t>
      </w:r>
      <w:r w:rsidR="00D812B3">
        <w:t>givers</w:t>
      </w:r>
      <w:r>
        <w:t xml:space="preserve"> of </w:t>
      </w:r>
      <w:r w:rsidR="007B1AB8">
        <w:t xml:space="preserve">older children </w:t>
      </w:r>
      <w:r>
        <w:t>sought</w:t>
      </w:r>
      <w:r w:rsidR="007B1AB8">
        <w:t xml:space="preserve"> and arriv</w:t>
      </w:r>
      <w:r>
        <w:t xml:space="preserve">ed </w:t>
      </w:r>
      <w:r w:rsidR="007B1AB8">
        <w:t>at formal care, though informal and home care was inappropriately high as well. This is consistent with care</w:t>
      </w:r>
      <w:r w:rsidR="00E03E80">
        <w:t xml:space="preserve">givers </w:t>
      </w:r>
      <w:r w:rsidR="007B1AB8">
        <w:t>recognizing severe illness</w:t>
      </w:r>
      <w:r>
        <w:t xml:space="preserve">. </w:t>
      </w:r>
      <w:r w:rsidR="00AF09FE">
        <w:t xml:space="preserve">We found a widespread </w:t>
      </w:r>
      <w:r w:rsidR="007B1AB8">
        <w:t>pattern of discharging most of the children</w:t>
      </w:r>
      <w:r w:rsidR="007A21FB">
        <w:t xml:space="preserve"> without referral</w:t>
      </w:r>
      <w:r w:rsidR="007B1AB8">
        <w:t xml:space="preserve">, all </w:t>
      </w:r>
      <w:r>
        <w:t>of whom</w:t>
      </w:r>
      <w:r w:rsidR="007B1AB8">
        <w:t xml:space="preserve"> had an illness that </w:t>
      </w:r>
      <w:r w:rsidR="00E03E80">
        <w:t xml:space="preserve">ultimately </w:t>
      </w:r>
      <w:r w:rsidR="007B1AB8">
        <w:t>kill</w:t>
      </w:r>
      <w:r w:rsidR="007A21FB">
        <w:t>ed</w:t>
      </w:r>
      <w:r w:rsidR="007B1AB8">
        <w:t xml:space="preserve"> them</w:t>
      </w:r>
      <w:r w:rsidR="00AF09FE">
        <w:t xml:space="preserve">. </w:t>
      </w:r>
      <w:bookmarkStart w:id="5" w:name="_Hlk12004660"/>
      <w:r w:rsidR="00AF09FE">
        <w:t>This</w:t>
      </w:r>
      <w:r w:rsidR="007B1AB8">
        <w:t xml:space="preserve"> </w:t>
      </w:r>
      <w:r w:rsidR="00314D02">
        <w:t xml:space="preserve">may be a function of poor </w:t>
      </w:r>
      <w:r w:rsidR="00F170BA">
        <w:t>quality care</w:t>
      </w:r>
      <w:r w:rsidR="00E03E80">
        <w:t xml:space="preserve">, </w:t>
      </w:r>
      <w:r w:rsidR="00CF1305">
        <w:t xml:space="preserve">which </w:t>
      </w:r>
      <w:r w:rsidR="00E03E80">
        <w:t xml:space="preserve">should serve as the focus for </w:t>
      </w:r>
      <w:r w:rsidR="007A21FB">
        <w:t xml:space="preserve">future </w:t>
      </w:r>
      <w:r w:rsidR="00E03E80">
        <w:t>interventions</w:t>
      </w:r>
      <w:r w:rsidR="007A21FB">
        <w:t xml:space="preserve"> to address preventable mortality in infants and </w:t>
      </w:r>
      <w:r w:rsidR="00A0694E">
        <w:t>young</w:t>
      </w:r>
      <w:r w:rsidR="007A21FB">
        <w:t xml:space="preserve"> children</w:t>
      </w:r>
      <w:r w:rsidR="00F35E14">
        <w:t xml:space="preserve"> </w:t>
      </w:r>
      <w:r w:rsidR="00F35E14">
        <w:fldChar w:fldCharType="begin" w:fldLock="1"/>
      </w:r>
      <w:r w:rsidR="00876406">
        <w:instrText>ADDIN CSL_CITATION {"citationItems":[{"id":"ITEM-1","itemData":{"DOI":"10.9745/GHSP-D-16-00069","ISSN":"2169-575X","PMID":"27628107","abstract":"BACKGROUND Recurrent illness following hospital discharge is a major contributor to childhood mortality in resource-poor countries. Yet post-discharge care is largely ignored by health care workers and policy makers due to a lack of resources to identify children with recurrent illness and a lack of cohesive systems to provide care. The purpose of this proof-of-concept study was to evaluate the effectiveness of a bundle of interventions at discharge to improve health outcomes during the vulnerable post-discharge period. METHODS The study was conducted between December 2014 and April 2015. Eligible children were between ages 6 months and 5 years who were admitted with a suspected or proven infectious disease to one of two hospitals in Mbarara, Uganda. A bundle of interventions was provided at the time of discharge. This bundle included post-discharge referrals for follow-up visits and a discharge kit. The post-discharge referral was to ensure follow-up with a nearby health care provider on days 2, 7, and 14 following discharge. The discharge kit included brief educational counseling along with simple preventive items as incentives (soap, a mosquito net, and oral rehydration salts) to reinforce the education. The primary study outcome was the number of post-discharge referral visits completed. Secondary study outcomes included satisfaction with the intervention, rates of readmission after 60 days, and post-discharge mortality rates. In addition, outcomes were compared with a historical control group, enrolled using the same inclusion criteria and outcome-ascertainment methods. RESULTS During the study, 216 children were admitted, of whom 14 died during hospitalization. Of the 202 children discharged, 85% completed at least 1 of the 3 follow-up referral visits, with 48% completing all 3 visits. Within 60 days after discharge, 22 children were readmitted at least once and 5 children (2.5%) died. Twelve (43%) readmissions occurred during a scheduled follow-up visit. Compared with prospectively enrolled historical controls, the post-discharge referral for follow-up increased the odds of readmission (odds ratio [OR], 1.92; 95% confidence interval [CI], 1.14 to 3.23) and care sought after discharge (OR, 14.61; 95% CI, 9.41 to 22.67). Overall satisfaction with the bundle of interventions was high, with most caregivers strongly agreeing that the discharge kit and post-discharge referrals improved their ability to care for their child. CONCLUSIONS Interventions in…","author":[{"dropping-particle":"","family":"Wiens","given":"Matthew O","non-dropping-particle":"","parse-names":false,"suffix":""},{"dropping-particle":"","family":"Kumbakumba","given":"Elias","non-dropping-particle":"","parse-names":false,"suffix":""},{"dropping-particle":"","family":"Larson","given":"Charles P","non-dropping-particle":"","parse-names":false,"suffix":""},{"dropping-particle":"","family":"Moschovis","given":"Peter P","non-dropping-particle":"","parse-names":false,"suffix":""},{"dropping-particle":"","family":"Barigye","given":"Celestine","non-dropping-particle":"","parse-names":false,"suffix":""},{"dropping-particle":"","family":"Kabakyenga","given":"Jerome","non-dropping-particle":"","parse-names":false,"suffix":""},{"dropping-particle":"","family":"Ndamira","given":"Andrew","non-dropping-particle":"","parse-names":false,"suffix":""},{"dropping-particle":"","family":"English","given":"Lacey","non-dropping-particle":"","parse-names":false,"suffix":""},{"dropping-particle":"","family":"Kissoon","given":"Niranjan","non-dropping-particle":"","parse-names":false,"suffix":""},{"dropping-particle":"","family":"Zhou","given":"Guohai","non-dropping-particle":"","parse-names":false,"suffix":""},{"dropping-particle":"","family":"Ansermino","given":"J Mark","non-dropping-particle":"","parse-names":false,"suffix":""}],"container-title":"Global health, science and practice","id":"ITEM-1","issue":"3","issued":{"date-parts":[["2016"]]},"page":"422-34","publisher":"The Johns Hopkins Bloomberg School of Public Health Center for Communication Programs","title":"Scheduled Follow-Up Referrals and Simple Prevention Kits Including Counseling to Improve Post-Discharge Outcomes Among Children in Uganda: A Proof-of-Concept Study.","type":"article-journal","volume":"4"},"uris":["http://www.mendeley.com/documents/?uuid=c077dcff-6be9-3de0-8978-b3062f0769e2"]}],"mendeley":{"formattedCitation":"(33)","manualFormatting":"[33","plainTextFormattedCitation":"(33)","previouslyFormattedCitation":"(33)"},"properties":{"noteIndex":0},"schema":"https://github.com/citation-style-language/schema/raw/master/csl-citation.json"}</w:instrText>
      </w:r>
      <w:r w:rsidR="00F35E14">
        <w:fldChar w:fldCharType="separate"/>
      </w:r>
      <w:r w:rsidR="00A02E25">
        <w:rPr>
          <w:noProof/>
        </w:rPr>
        <w:t>[</w:t>
      </w:r>
      <w:r w:rsidR="00303FFB" w:rsidRPr="00303FFB">
        <w:rPr>
          <w:noProof/>
        </w:rPr>
        <w:t>33</w:t>
      </w:r>
      <w:r w:rsidR="00F35E14">
        <w:fldChar w:fldCharType="end"/>
      </w:r>
      <w:r w:rsidR="00A02E25">
        <w:t>]</w:t>
      </w:r>
      <w:r w:rsidR="00E03E80">
        <w:t>.</w:t>
      </w:r>
      <w:r w:rsidR="00A0694E">
        <w:t xml:space="preserve"> </w:t>
      </w:r>
      <w:r w:rsidR="00314D02">
        <w:t>However, further work would</w:t>
      </w:r>
      <w:r w:rsidR="000C1940">
        <w:t xml:space="preserve"> also</w:t>
      </w:r>
      <w:r w:rsidR="00314D02">
        <w:t xml:space="preserve"> be required to fully understand whether the discharge of ill children is at the caregiver’s request which might reflect differences in traditional beliefs around preferred place of death or practical considerations such as the relative costs of transporting a</w:t>
      </w:r>
      <w:r w:rsidR="009A7817">
        <w:t xml:space="preserve"> terminally ill but alive child</w:t>
      </w:r>
      <w:r w:rsidR="00E77E87">
        <w:t xml:space="preserve"> (which can be a normal taxi fare)</w:t>
      </w:r>
      <w:r w:rsidR="009A7817">
        <w:t xml:space="preserve"> </w:t>
      </w:r>
      <w:r w:rsidR="00E77E87">
        <w:t>compared to the much higher costs of transporting a dead body</w:t>
      </w:r>
      <w:r w:rsidR="00E41450">
        <w:t xml:space="preserve"> </w:t>
      </w:r>
      <w:r w:rsidR="004337DC">
        <w:fldChar w:fldCharType="begin" w:fldLock="1"/>
      </w:r>
      <w:r w:rsidR="00876406">
        <w:instrText>ADDIN CSL_CITATION {"citationItems":[{"id":"ITEM-1","itemData":{"DOI":"10.1371/journal.pmed.1000011","ISSN":"1549-1676","PMID":"19175285","abstract":"BACKGROUND Individuals living with HIV/AIDS in sub-Saharan Africa generally take more than 90% of prescribed doses of antiretroviral therapy (ART). This number exceeds the levels of adherence observed in North America and dispels early scale-up concerns that adherence would be inadequate in settings of extreme poverty. This paper offers an explanation and theoretical model of ART adherence success based on the results of an ethnographic study in three sub-Saharan African countries. METHODS AND FINDINGS Determinants of ART adherence for HIV-infected persons in sub-Saharan Africa were examined with ethnographic research methods. 414 in-person interviews were carried out with 252 persons taking ART, their treatment partners, and health care professionals at HIV treatment sites in Jos, Nigeria; Dar es Salaam, Tanzania; and Mbarara, Uganda. 136 field observations of clinic activities were also conducted. Data were examined using category construction and interpretive approaches to analysis. Findings indicate that individuals taking ART routinely overcome economic obstacles to ART adherence through a number of deliberate strategies aimed at prioritizing adherence: borrowing and \"begging\" transport funds, making \"impossible choices\" to allocate resources in favor of treatment, and \"doing without.\" Prioritization of adherence is accomplished through resources and help made available by treatment partners, other family members and friends, and health care providers. Helpers expect adherence and make their expectations known, creating a responsibility on the part of patients to adhere. Patients adhere to promote good will on the part of helpers, thereby ensuring help will be available when future needs arise. CONCLUSION Adherence success in sub-Saharan Africa can be explained as a means of fulfilling social responsibilities and thus preserving social capital in essential relationships.","author":[{"dropping-particle":"","family":"Ware","given":"Norma C","non-dropping-particle":"","parse-names":false,"suffix":""},{"dropping-particle":"","family":"Idoko","given":"John","non-dropping-particle":"","parse-names":false,"suffix":""},{"dropping-particle":"","family":"Kaaya","given":"Sylvia","non-dropping-particle":"","parse-names":false,"suffix":""},{"dropping-particle":"","family":"Biraro","given":"Irene Andia","non-dropping-particle":"","parse-names":false,"suffix":""},{"dropping-particle":"","family":"Wyatt","given":"Monique A","non-dropping-particle":"","parse-names":false,"suffix":""},{"dropping-particle":"","family":"Agbaji","given":"Oche","non-dropping-particle":"","parse-names":false,"suffix":""},{"dropping-particle":"","family":"Chalamilla","given":"Guerino","non-dropping-particle":"","parse-names":false,"suffix":""},{"dropping-particle":"","family":"Bangsberg","given":"David R","non-dropping-particle":"","parse-names":false,"suffix":""}],"container-title":"PLoS medicine","id":"ITEM-1","issue":"1","issued":{"date-parts":[["2009","1","27"]]},"page":"e11","publisher":"Public Library of Science","title":"Explaining adherence success in sub-Saharan Africa: an ethnographic study.","type":"article-journal","volume":"6"},"uris":["http://www.mendeley.com/documents/?uuid=00a38a28-a548-3c6c-a080-611c1e0a4195"]}],"mendeley":{"formattedCitation":"(34)","manualFormatting":"[34","plainTextFormattedCitation":"(34)","previouslyFormattedCitation":"(34)"},"properties":{"noteIndex":0},"schema":"https://github.com/citation-style-language/schema/raw/master/csl-citation.json"}</w:instrText>
      </w:r>
      <w:r w:rsidR="004337DC">
        <w:fldChar w:fldCharType="separate"/>
      </w:r>
      <w:r w:rsidR="00A02E25">
        <w:rPr>
          <w:noProof/>
        </w:rPr>
        <w:t>[</w:t>
      </w:r>
      <w:r w:rsidR="00303FFB" w:rsidRPr="00303FFB">
        <w:rPr>
          <w:noProof/>
        </w:rPr>
        <w:t>34</w:t>
      </w:r>
      <w:r w:rsidR="004337DC">
        <w:fldChar w:fldCharType="end"/>
      </w:r>
      <w:r w:rsidR="00A02E25">
        <w:t>]</w:t>
      </w:r>
      <w:r w:rsidR="00E77E87">
        <w:t xml:space="preserve">. </w:t>
      </w:r>
      <w:bookmarkStart w:id="6" w:name="_Hlk12354978"/>
      <w:r w:rsidR="00AF4B5E">
        <w:t>Caregivers may also want to avoid death occurring in a health facility in cases where the cause of death entered on the death certificate would cause stigma for the family</w:t>
      </w:r>
      <w:r w:rsidR="00EA7F69">
        <w:t>,</w:t>
      </w:r>
      <w:r w:rsidR="00AF4B5E">
        <w:t xml:space="preserve"> as has been noted in HIV/AIDS-related deaths </w:t>
      </w:r>
      <w:bookmarkStart w:id="7" w:name="_Hlk12354877"/>
      <w:r w:rsidR="00E41450">
        <w:fldChar w:fldCharType="begin" w:fldLock="1"/>
      </w:r>
      <w:r w:rsidR="00876406">
        <w:instrText>ADDIN CSL_CITATION {"citationItems":[{"id":"ITEM-1","itemData":{"author":[{"dropping-particle":"","family":"Dhai","given":"A","non-dropping-particle":"","parse-names":false,"suffix":""},{"dropping-particle":"","family":"Dada","given":"MA","non-dropping-particle":"","parse-names":false,"suffix":""},{"dropping-particle":"","family":"Kirk","given":"GM","non-dropping-particle":"","parse-names":false,"suffix":""},{"dropping-particle":"","family":"McQuoid-Mason","given":"DJ","non-dropping-particle":"","parse-names":false,"suffix":""}],"container-title":"South African Medical Journal","id":"ITEM-1","issue":"2","issued":{"date-parts":[["2001"]]},"page":"123-7","title":"Confidentiality: a dying wish","type":"article-journal","volume":"91"},"uris":["http://www.mendeley.com/documents/?uuid=10c8ee7e-67f0-37ce-a224-bb8396a6840b"]},{"id":"ITEM-2","itemData":{"DOI":"10.1097/QAD.0b013e32832d4719","ISSN":"0269-9370","author":[{"dropping-particle":"","family":"Yudkin","given":"Patricia L","non-dropping-particle":"","parse-names":false,"suffix":""},{"dropping-particle":"","family":"Burger","given":"Elsie H","non-dropping-particle":"","parse-names":false,"suffix":""},{"dropping-particle":"","family":"Bradshaw","given":"Debbie","non-dropping-particle":"","parse-names":false,"suffix":""},{"dropping-particle":"","family":"Groenewald","given":"Pam","non-dropping-particle":"","parse-names":false,"suffix":""},{"dropping-particle":"","family":"Ward","given":"Alison M","non-dropping-particle":"","parse-names":false,"suffix":""},{"dropping-particle":"","family":"Volmink","given":"Jimmy","non-dropping-particle":"","parse-names":false,"suffix":""}],"container-title":"AIDS","id":"ITEM-2","issue":"12","issued":{"date-parts":[["2009","7"]]},"page":"1600-1602","title":"Deaths caused by HIV disease under-reported in South Africa","type":"article-journal","volume":"23"},"uris":["http://www.mendeley.com/documents/?uuid=66a92b42-c151-3c58-afc7-c68736adb04c"]}],"mendeley":{"formattedCitation":"(35,36)","manualFormatting":"[35,36","plainTextFormattedCitation":"(35,36)","previouslyFormattedCitation":"(35,36)"},"properties":{"noteIndex":0},"schema":"https://github.com/citation-style-language/schema/raw/master/csl-citation.json"}</w:instrText>
      </w:r>
      <w:r w:rsidR="00E41450">
        <w:fldChar w:fldCharType="separate"/>
      </w:r>
      <w:r w:rsidR="00A02E25">
        <w:rPr>
          <w:noProof/>
        </w:rPr>
        <w:t>[</w:t>
      </w:r>
      <w:r w:rsidR="00303FFB" w:rsidRPr="00303FFB">
        <w:rPr>
          <w:noProof/>
        </w:rPr>
        <w:t>35,36</w:t>
      </w:r>
      <w:r w:rsidR="00E41450">
        <w:fldChar w:fldCharType="end"/>
      </w:r>
      <w:r w:rsidR="00A02E25">
        <w:t>]</w:t>
      </w:r>
      <w:r w:rsidR="00E77E87">
        <w:t>.</w:t>
      </w:r>
      <w:bookmarkEnd w:id="5"/>
      <w:bookmarkEnd w:id="6"/>
      <w:bookmarkEnd w:id="7"/>
    </w:p>
    <w:p w14:paraId="0824C2BD" w14:textId="794FCDD1" w:rsidR="007B1AB8" w:rsidRDefault="00A0694E" w:rsidP="00187AA8">
      <w:pPr>
        <w:spacing w:line="360" w:lineRule="auto"/>
      </w:pPr>
      <w:r>
        <w:t xml:space="preserve">While </w:t>
      </w:r>
      <w:r w:rsidR="003663FD">
        <w:t>we found</w:t>
      </w:r>
      <w:r>
        <w:t xml:space="preserve"> some evidence that </w:t>
      </w:r>
      <w:r w:rsidR="00364BEB">
        <w:t>user-fee</w:t>
      </w:r>
      <w:r>
        <w:t>s may be</w:t>
      </w:r>
      <w:r w:rsidR="00CF1305">
        <w:t xml:space="preserve"> associated with </w:t>
      </w:r>
      <w:r w:rsidR="006452A9">
        <w:t>higher proportions of home deaths</w:t>
      </w:r>
      <w:r>
        <w:t>, the mechanism is unclear</w:t>
      </w:r>
      <w:r w:rsidR="003663FD">
        <w:t>, and this effect appears to vary across settings</w:t>
      </w:r>
      <w:r>
        <w:t xml:space="preserve">. </w:t>
      </w:r>
      <w:r w:rsidR="003663FD">
        <w:t>Other</w:t>
      </w:r>
      <w:r>
        <w:t xml:space="preserve"> research has shown </w:t>
      </w:r>
      <w:r w:rsidR="003663FD">
        <w:t xml:space="preserve">an increase in </w:t>
      </w:r>
      <w:r>
        <w:t>t</w:t>
      </w:r>
      <w:r w:rsidR="00C21BCB">
        <w:t xml:space="preserve">reatment-seeking for childhood illness </w:t>
      </w:r>
      <w:r w:rsidR="00A30D23">
        <w:t>from formal healthcare providers</w:t>
      </w:r>
      <w:r w:rsidR="006672EE">
        <w:t xml:space="preserve"> </w:t>
      </w:r>
      <w:r>
        <w:t xml:space="preserve">when </w:t>
      </w:r>
      <w:r w:rsidR="00364BEB">
        <w:t>user-fee</w:t>
      </w:r>
      <w:r>
        <w:t xml:space="preserve">s are removed </w:t>
      </w:r>
      <w:r w:rsidR="00C21BCB">
        <w:fldChar w:fldCharType="begin" w:fldLock="1"/>
      </w:r>
      <w:r w:rsidR="00876406">
        <w:instrText>ADDIN CSL_CITATION {"citationItems":[{"id":"ITEM-1","itemData":{"DOI":"10.1371/journal.pone.0141306","ISSN":"1932-6203","PMID":"26501561","abstract":"INTRODUCTION Burkina Faso started nationwide community case management of malaria (CCMm) in 2010. In 2011, health center user fees for children under five were abolished in some districts. OBJECTIVE To assess the effects of concurrent implementation of CCMm and user fees abolition on treatment-seeking practices for febrile children. METHODS This is a natural experiment conducted in the districts of Kaya (CCMm plus user fees abolition) and Zorgho (CCMm only). Registry data from 2005 to 2014 on visits for malaria were collected from all eight rural health centers in the study area. Annual household surveys were administered during malaria transmission season in 2011 and 2012 in 1,035 randomly selected rural households. Interrupted time series models were fitted for registry data and Fine and Gray's competing risks models for survey data. RESULTS User fees abolition in Kaya significantly increased health center use by eligible children with malaria (incidence rate ratio for intercept change = 2.1, p &lt;0.001). In 2011, in Kaya, likelihood of health center use for febrile children was three times higher and CHW use three times lower when caregivers knew services were free. Among the 421 children with fever in 2012, the delay before visiting a health center was significantly shorter in Kaya than in Zorgho (1.46 versus 1.79 days, p &lt;0.05). Likelihood of visiting a health center on the first day of fever among households &lt;2.5 km or &lt;5 km from a health center was two and three times higher in Kaya than in Zorgho, respectively (p &lt;0.001). CONCLUSIONS User fees abolition reduced visit delay for febrile children living close to health centers. It also increased demand for and use of health center for children with malaria. Concurrently, demand for CHWs' services diminished. User fees abolition and CCMm should be coordinated to maximize prompt access to treatment in rural areas.","author":[{"dropping-particle":"","family":"Druetz","given":"Thomas","non-dropping-particle":"","parse-names":false,"suffix":""},{"dropping-particle":"","family":"Fregonese","given":"Federica","non-dropping-particle":"","parse-names":false,"suffix":""},{"dropping-particle":"","family":"Bado","given":"Aristide","non-dropping-particle":"","parse-names":false,"suffix":""},{"dropping-particle":"","family":"Millogo","given":"Tieba","non-dropping-particle":"","parse-names":false,"suffix":""},{"dropping-particle":"","family":"Kouanda","given":"Seni","non-dropping-particle":"","parse-names":false,"suffix":""},{"dropping-particle":"","family":"Diabaté","given":"Souleymane","non-dropping-particle":"","parse-names":false,"suffix":""},{"dropping-particle":"","family":"Haddad","given":"Slim","non-dropping-particle":"","parse-names":false,"suffix":""}],"container-title":"PloS one","id":"ITEM-1","issue":"10","issued":{"date-parts":[["2015"]]},"note":"NULL","page":"e0141306","publisher":"Public Library of Science","title":"Abolishing Fees at Health Centers in the Context of Community Case Management of Malaria: What Effects on Treatment-Seeking Practices for Febrile Children in Rural Burkina Faso?","type":"article-journal","volume":"10"},"uris":["http://www.mendeley.com/documents/?uuid=7bceac0d-7c67-3b54-a448-e775ca00aac8"]},{"id":"ITEM-2","itemData":{"DOI":"10.1371/journal.pmed.1000007","ISSN":"1549-1676","abstract":"Delays in accessing care for malaria and other diseases can lead to disease progression, and user fees are a known barrier to accessing health care. Governments are introducing free health care to improve health outcomes. Free health care affects treatment seeking, and it is therefore assumed to lead to improved health outcomes, but there is no direct trial evidence of the impact of removing out-of-pocket payments on health outcomes in developing countries. This trial was designed to test the impact of free health care on health outcomes directly. 2,194 households containing 2,592 Ghanaian children under 5 y old were randomised into a prepayment scheme allowing free primary care including drugs, or to a control group whose families paid user fees for health care (normal practice); 165 children whose families had previously paid to enrol in the prepayment scheme formed an observational arm. The primary outcome was moderate anaemia (haemoglobin [Hb] &lt; 8 g/dl); major secondary outcomes were health care utilisation, severe anaemia, and mortality. At baseline the randomised groups were similar. Introducing free primary health care altered the health care seeking behaviour of households; those randomised to the intervention arm used formal health care more and nonformal care less than the control group. Introducing free primary health care did not lead to any measurable difference in any health outcome. The primary outcome of moderate anaemia was detected in 37 (3.1%) children in the control and 36 children (3.2%) in the intervention arm (adjusted odds ratio 1.05, 95% confidence interval 0.66-1.67). There were four deaths in the control and five in the intervention group. Mean Hb concentration, severe anaemia, parasite prevalence, and anthropometric measurements were similar in each group. Families who previously self-enrolled in the prepayment scheme were significantly less poor, had better health measures, and used services more frequently than those in the randomised group. In the study setting, removing out-of-pocket payments for health care had an impact on health care-seeking behaviour but not on the health outcomes measured.","author":[{"dropping-particle":"","family":"Ansah","given":"Evelyn Korkor","non-dropping-particle":"","parse-names":false,"suffix":""},{"dropping-particle":"","family":"Narh-Bana","given":"Solomon","non-dropping-particle":"","parse-names":false,"suffix":""},{"dropping-particle":"","family":"Asiamah","given":"Sabina","non-dropping-particle":"","parse-names":false,"suffix":""},{"dropping-particle":"","family":"Dzordzordzi","given":"Vivian","non-dropping-particle":"","parse-names":false,"suffix":""},{"dropping-particle":"","family":"Biantey","given":"Kingsley","non-dropping-particle":"","parse-names":false,"suffix":""},{"dropping-particle":"","family":"Dickson","given":"Kakra","non-dropping-particle":"","parse-names":false,"suffix":""},{"dropping-particle":"","family":"Gyapong","given":"John Owusu","non-dropping-particle":"","parse-names":false,"suffix":""},{"dropping-particle":"","family":"Koram","given":"Kwadwo Ansah","non-dropping-particle":"","parse-names":false,"suffix":""},{"dropping-particle":"","family":"Greenwood","given":"Brian M","non-dropping-particle":"","parse-names":false,"suffix":""},{"dropping-particle":"","family":"Mills","given":"Anne","non-dropping-particle":"","parse-names":false,"suffix":""},{"dropping-particle":"","family":"Whitty","given":"Christopher J. M","non-dropping-particle":"","parse-names":false,"suffix":""}],"container-title":"PLoS Medicine","editor":[{"dropping-particle":"","family":"Castro","given":"Arachu","non-dropping-particle":"","parse-names":false,"suffix":""}],"id":"ITEM-2","issue":"1","issued":{"date-parts":[["2009","1","6"]]},"note":"From Duplicate 1 (Effect of Removing Direct Payment for Health Care on Utilisation and Health Outcomes in Ghanaian Children: A Randomised Controlled Trial - Ansah, Evelyn Korkor; Narh-Bana, Solomon; Asiamah, Sabina; Dzordzordzi, Vivian; Biantey, Kingsley; Dickson, Kakra; Gyapong, John Owusu; Koram, Kwadwo Ansah; Greenwood, Brian M; Mills, Anne; Whitty, Christopher J. M)\n\nNULL","page":"no pagination","publisher":"Public Library of Science","publisher-place":"E.K. Ansah, London School of Hygiene &amp; Tropical Medicine, London, United Kingdom.","title":"Effect of Removing Direct Payment for Health Care on Utilisation and Health Outcomes in Ghanaian Children: A Randomised Controlled Trial","type":"article-journal","volume":"6"},"uris":["http://www.mendeley.com/documents/?uuid=f900be54-21f9-4218-8ccd-f2ce34756f0c"]},{"id":"ITEM-3","itemData":{"DOI":"10.1002/14651858.CD009094","abstract":"Background: Following an international push for financing reforms, many low- and middle-income countries introduced user fees to raise additional revenue for health systems. User fees are charges levied at the point of use and are supposed to help reduce ?frivolous? consumption of health services, increase quality of services available and, as a result, increase utilisation of services.Objectives: To assess the effectiveness of introducing, removing or changing user fees to improve access to care in low-and middle-income countriesSearch methods: We searched 25 international databases, including the Cochrane Effective Practice and Organisation of Care (EPOC) Group?s Trials Register, CENTRAL, MEDLINE and EMBASE. We also searched the websites and online resources of international agencies, organisations and universities to ?nd relevant grey literature. We conducted the original searches between November 2005 and April 2006 and the updated search in CENTRAL (DVD-ROM 2011, Issue 1); MEDLINE In-Process &amp; Other Non-Indexed Citations, Ovid (January 25, 2011); MEDLINE, Ovid (1948 to January Week 2 2011); EMBASE, Ovid (1980 to 2011 Week 03) and EconLit, CSA Illumina (1969 - present) on the 26th of January 2011.Selection criteria: We included randomised controlled trials, interrupted time-series studies and controlled before-and-after studies that reported an objective measure of at least one of the following outcomes: healthcare utilisation, health expenditures, or health outcomes.Data collection and analysis: We re-analysed studies with longitudinal data. We computed price elasticities of demand for health services in controlled before-and-after studies as a standardised measure. Due to the diversity of contexts and outcome measures, we did not perform meta-analysis. Instead, we undertook a narrative summary of evidence.Main results: We included 16 studies out of the 243 identified. Most of the included studies showed methodological weaknesses that hamper the strength and reliability of their findings. When fees were introduced or increased, we found the use of health services decreased significantly in most studies. Two studies found increases in health service use when quality improvements were introduced at the same time as user fees. However, these studies have a high risk of bias. We found no evidence of effects on health outcomes or health expenditure.Authors' conclusions: The review suggests that reducing or removing user fees increases the utilisation of…","author":[{"dropping-particle":"","family":"Lagarde","given":"Mylene","non-dropping-particle":"","parse-names":false,"suffix":""},{"dropping-particle":"","family":"Palmer","given":"Natasha","non-dropping-particle":"","parse-names":false,"suffix":""}],"container-title":"Cochrane Database of Systematic Reviews","id":"ITEM-3","issue":"4","issued":{"date-parts":[["2011"]]},"title":"The impact of user fees on access to health services in low- and middle-income countries","type":"chapter"},"uris":["http://www.mendeley.com/documents/?uuid=b2bf2276-3f9e-4e82-8d9a-ce9544f8adc6"]}],"mendeley":{"formattedCitation":"(37–39)","manualFormatting":"[37–39","plainTextFormattedCitation":"(37–39)","previouslyFormattedCitation":"(37–39)"},"properties":{"noteIndex":0},"schema":"https://github.com/citation-style-language/schema/raw/master/csl-citation.json"}</w:instrText>
      </w:r>
      <w:r w:rsidR="00C21BCB">
        <w:fldChar w:fldCharType="separate"/>
      </w:r>
      <w:r w:rsidR="00A02E25">
        <w:rPr>
          <w:noProof/>
        </w:rPr>
        <w:t>[</w:t>
      </w:r>
      <w:r w:rsidR="00303FFB" w:rsidRPr="00303FFB">
        <w:rPr>
          <w:noProof/>
        </w:rPr>
        <w:t>37–39</w:t>
      </w:r>
      <w:r w:rsidR="00C21BCB">
        <w:fldChar w:fldCharType="end"/>
      </w:r>
      <w:r w:rsidR="00A02E25">
        <w:t>]</w:t>
      </w:r>
      <w:r w:rsidR="00C21BCB">
        <w:t xml:space="preserve">. </w:t>
      </w:r>
      <w:r>
        <w:t xml:space="preserve">Further research is required to better understand the impact of </w:t>
      </w:r>
      <w:r w:rsidR="00364BEB">
        <w:t>user-fee</w:t>
      </w:r>
      <w:r>
        <w:t xml:space="preserve">s </w:t>
      </w:r>
      <w:r w:rsidR="003663FD">
        <w:t xml:space="preserve">in different contexts </w:t>
      </w:r>
      <w:r>
        <w:t xml:space="preserve">on </w:t>
      </w:r>
      <w:r w:rsidR="00485A98">
        <w:t>care-seeking</w:t>
      </w:r>
      <w:r>
        <w:t xml:space="preserve">, </w:t>
      </w:r>
      <w:r w:rsidR="00BE0F18">
        <w:t xml:space="preserve">referral and </w:t>
      </w:r>
      <w:r>
        <w:t>admission</w:t>
      </w:r>
      <w:r w:rsidR="00BE0F18">
        <w:t>s</w:t>
      </w:r>
      <w:r>
        <w:t>, and subsequent place of death before policy recommendations can be made.</w:t>
      </w:r>
    </w:p>
    <w:p w14:paraId="595EF8CD" w14:textId="68A59A08" w:rsidR="00E03E80" w:rsidRDefault="00CF1305" w:rsidP="00D812B3">
      <w:pPr>
        <w:pStyle w:val="Heading2"/>
      </w:pPr>
      <w:r>
        <w:t>Implications for clinical practice</w:t>
      </w:r>
    </w:p>
    <w:p w14:paraId="090F85E7" w14:textId="06541D6E" w:rsidR="00CF1305" w:rsidRDefault="00CF1305" w:rsidP="00187AA8">
      <w:pPr>
        <w:spacing w:line="360" w:lineRule="auto"/>
      </w:pPr>
      <w:r>
        <w:t>Clinicians</w:t>
      </w:r>
      <w:r w:rsidR="00D812B3">
        <w:t xml:space="preserve"> working in low-and-middle income settings across sub-Saharan Africa</w:t>
      </w:r>
      <w:r>
        <w:t xml:space="preserve"> should be aware that a large proportion of the children who die are seen by clinical staff and sent home. They should therefore consider clear safety-netting advice for caregivers, with instructions for what should prompt re-presentation.</w:t>
      </w:r>
    </w:p>
    <w:p w14:paraId="68E2E76E" w14:textId="18BAFD1A" w:rsidR="00CF1305" w:rsidRDefault="00CF1305" w:rsidP="00D812B3">
      <w:pPr>
        <w:pStyle w:val="Heading2"/>
      </w:pPr>
      <w:r>
        <w:t>Implications for research</w:t>
      </w:r>
    </w:p>
    <w:p w14:paraId="660CF0B0" w14:textId="17C58DFD" w:rsidR="00AF299E" w:rsidRDefault="00CF1305" w:rsidP="00187AA8">
      <w:pPr>
        <w:spacing w:line="360" w:lineRule="auto"/>
      </w:pPr>
      <w:r>
        <w:t xml:space="preserve">Researchers </w:t>
      </w:r>
      <w:r w:rsidR="00A11947">
        <w:t xml:space="preserve">conducting population-based research </w:t>
      </w:r>
      <w:r>
        <w:t xml:space="preserve">should consider reporting deaths according to the </w:t>
      </w:r>
      <w:r w:rsidR="00D812B3">
        <w:t>P</w:t>
      </w:r>
      <w:r>
        <w:t xml:space="preserve">athways </w:t>
      </w:r>
      <w:r w:rsidR="00D812B3">
        <w:t>to S</w:t>
      </w:r>
      <w:r>
        <w:t xml:space="preserve">urvival </w:t>
      </w:r>
      <w:r w:rsidR="00D812B3">
        <w:t xml:space="preserve">framework, and so should ensure that the data collection tools used to investigate deaths include the necessary information to report on each stage of the pathway. </w:t>
      </w:r>
      <w:r w:rsidR="003663FD">
        <w:t>It is also important to s</w:t>
      </w:r>
      <w:r w:rsidR="00A60C68">
        <w:t>tandardis</w:t>
      </w:r>
      <w:r w:rsidR="003663FD">
        <w:t>e</w:t>
      </w:r>
      <w:r w:rsidR="00A60C68">
        <w:t xml:space="preserve"> definitions for each stage of the care pathway and the questions used to </w:t>
      </w:r>
      <w:r w:rsidR="00827602">
        <w:t>calculate the relevant numerator and denominator. For example, illness recognition may refer to the presence or reporting of symptoms in response to a verbal-autopsy questionnaire or it may require that caregivers indicate that such symptoms were indicative of illness requiring medical attention. Similarly, when asking whether care was sought outside the home, it is necessary to clarify whether this includes caregivers who intended to seek care but were delayed or unable to reach a provider. With regards to neonatal deaths, reporting should be standardised to either include or exclude neonates who were born and died in a health facility</w:t>
      </w:r>
      <w:r w:rsidR="00AF299E">
        <w:t xml:space="preserve"> without being discharged</w:t>
      </w:r>
      <w:r w:rsidR="00827602">
        <w:t>.</w:t>
      </w:r>
      <w:r w:rsidR="00AF299E">
        <w:t xml:space="preserve"> The definitions used in this study (available as </w:t>
      </w:r>
      <w:r w:rsidR="003834EC">
        <w:t>A</w:t>
      </w:r>
      <w:r w:rsidR="00AF299E" w:rsidRPr="00BE0F18">
        <w:t xml:space="preserve">ppendix </w:t>
      </w:r>
      <w:r w:rsidR="003834EC">
        <w:t>S</w:t>
      </w:r>
      <w:r w:rsidR="00BE0F18" w:rsidRPr="00BE0F18">
        <w:t>5</w:t>
      </w:r>
      <w:r w:rsidR="003834EC">
        <w:t xml:space="preserve"> in the </w:t>
      </w:r>
      <w:r w:rsidR="003834EC" w:rsidRPr="003834EC">
        <w:rPr>
          <w:b/>
        </w:rPr>
        <w:t>Online Supplementary Document</w:t>
      </w:r>
      <w:r w:rsidR="00AF299E">
        <w:t>) might serve as a starting point for those undertaking new research.</w:t>
      </w:r>
    </w:p>
    <w:p w14:paraId="0148441E" w14:textId="04D6E9B5" w:rsidR="00790F98" w:rsidRDefault="00BE0F18" w:rsidP="00187AA8">
      <w:pPr>
        <w:spacing w:line="360" w:lineRule="auto"/>
      </w:pPr>
      <w:r>
        <w:t>Finally, s</w:t>
      </w:r>
      <w:r w:rsidR="00CF1305">
        <w:t xml:space="preserve">tudies should be designed to capture representative samples and take action if there are reasons to suspect this has not been done. Our modified Axis tool could be used for assessment of study design for the design, reporting and </w:t>
      </w:r>
      <w:r w:rsidR="00790F98">
        <w:t xml:space="preserve">assessment of future studies of </w:t>
      </w:r>
      <w:r w:rsidR="00D812B3">
        <w:t>under-5</w:t>
      </w:r>
      <w:r w:rsidR="00790F98">
        <w:t xml:space="preserve"> deaths.</w:t>
      </w:r>
      <w:r w:rsidR="00AF299E">
        <w:t xml:space="preserve"> F</w:t>
      </w:r>
      <w:r w:rsidR="00790F98">
        <w:t xml:space="preserve">urther studies of </w:t>
      </w:r>
      <w:r w:rsidR="00D812B3">
        <w:t>under-5</w:t>
      </w:r>
      <w:r w:rsidR="00790F98">
        <w:t xml:space="preserve"> deaths should be carried out in under-represented areas of sub-Saharan Africa</w:t>
      </w:r>
      <w:r w:rsidR="00D34904">
        <w:t xml:space="preserve"> (</w:t>
      </w:r>
      <w:r w:rsidR="003E0C9E" w:rsidRPr="00DA0981">
        <w:rPr>
          <w:b/>
        </w:rPr>
        <w:t>Figure</w:t>
      </w:r>
      <w:r w:rsidR="00D34904" w:rsidRPr="00DA0981">
        <w:rPr>
          <w:b/>
        </w:rPr>
        <w:t xml:space="preserve"> 2</w:t>
      </w:r>
      <w:r w:rsidR="00D34904">
        <w:t>)</w:t>
      </w:r>
      <w:r w:rsidR="00426706">
        <w:t xml:space="preserve"> and should include data on quality of care in addition to care-seeking behaviour</w:t>
      </w:r>
      <w:r w:rsidR="00790F98">
        <w:t>.</w:t>
      </w:r>
    </w:p>
    <w:p w14:paraId="054F7D84" w14:textId="6E6B1CED" w:rsidR="00166BF6" w:rsidRDefault="00F22B31" w:rsidP="00187AA8">
      <w:pPr>
        <w:pStyle w:val="Heading1"/>
        <w:spacing w:line="360" w:lineRule="auto"/>
      </w:pPr>
      <w:r>
        <w:t>CONCLUSIONS</w:t>
      </w:r>
    </w:p>
    <w:p w14:paraId="03F66BDA" w14:textId="0FCDD00F" w:rsidR="00DF23AC" w:rsidRDefault="00092F14" w:rsidP="00187AA8">
      <w:pPr>
        <w:spacing w:line="360" w:lineRule="auto"/>
      </w:pPr>
      <w:r>
        <w:t xml:space="preserve">This study is the first to present a common picture for </w:t>
      </w:r>
      <w:r w:rsidR="00485A98">
        <w:t>care-seeking</w:t>
      </w:r>
      <w:r>
        <w:t xml:space="preserve"> behaviour in fatal childhood illness across sub-Saharan Africa, across each of the stages of the Pathways to Survival framework. </w:t>
      </w:r>
      <w:r w:rsidR="001D0D56">
        <w:t xml:space="preserve">Despite high heterogeneity, findings nevertheless suggest that there are </w:t>
      </w:r>
      <w:r>
        <w:t xml:space="preserve">differences in </w:t>
      </w:r>
      <w:r w:rsidR="00485A98">
        <w:t>care-seeking</w:t>
      </w:r>
      <w:r>
        <w:t xml:space="preserve"> behaviour between neonatal </w:t>
      </w:r>
      <w:r w:rsidR="001D0D56">
        <w:t xml:space="preserve">deaths and deaths of infants and young children. </w:t>
      </w:r>
      <w:r>
        <w:t xml:space="preserve">Understanding such </w:t>
      </w:r>
      <w:r w:rsidR="00485A98">
        <w:t>care-seeking</w:t>
      </w:r>
      <w:r>
        <w:t xml:space="preserve"> patterns is important in highlighting targets for interventions to reduce under-5 mortality across the region</w:t>
      </w:r>
      <w:r w:rsidR="00015126">
        <w:t xml:space="preserve">, including </w:t>
      </w:r>
      <w:r w:rsidR="00832943">
        <w:t xml:space="preserve">the need to </w:t>
      </w:r>
      <w:r w:rsidR="001D0D56">
        <w:t xml:space="preserve">improve recognition of danger signs in neonates, </w:t>
      </w:r>
      <w:r w:rsidR="00832943">
        <w:t>increas</w:t>
      </w:r>
      <w:r w:rsidR="00015126">
        <w:t>ing</w:t>
      </w:r>
      <w:r w:rsidR="00832943">
        <w:t xml:space="preserve"> </w:t>
      </w:r>
      <w:r w:rsidR="001D0D56">
        <w:t>the quality of care for both neonates and children 1-59 months</w:t>
      </w:r>
      <w:r w:rsidR="00BE0F18">
        <w:t xml:space="preserve"> and </w:t>
      </w:r>
      <w:r w:rsidR="00832943">
        <w:t>ensur</w:t>
      </w:r>
      <w:r w:rsidR="00426706">
        <w:t>ing</w:t>
      </w:r>
      <w:r w:rsidR="00832943">
        <w:t xml:space="preserve"> safety-netting</w:t>
      </w:r>
      <w:r w:rsidR="00426706">
        <w:t>,</w:t>
      </w:r>
      <w:r w:rsidR="00832943">
        <w:t xml:space="preserve"> appropriate referral</w:t>
      </w:r>
      <w:r w:rsidR="00426706">
        <w:t xml:space="preserve"> and improved post-discharge counselling and follow-up</w:t>
      </w:r>
      <w:r w:rsidR="0017545B">
        <w:t xml:space="preserve"> by health care providers</w:t>
      </w:r>
      <w:r w:rsidR="00BE0F18">
        <w:t>.</w:t>
      </w:r>
    </w:p>
    <w:p w14:paraId="4CD11A4B" w14:textId="7116D08E" w:rsidR="007A21FB" w:rsidRDefault="00166BF6" w:rsidP="00187AA8">
      <w:pPr>
        <w:pStyle w:val="Heading1"/>
        <w:spacing w:line="360" w:lineRule="auto"/>
      </w:pPr>
      <w:r w:rsidRPr="00166BF6">
        <w:t>Acknowledgements</w:t>
      </w:r>
    </w:p>
    <w:p w14:paraId="5BBC5779" w14:textId="575B586C" w:rsidR="00F22B31" w:rsidRDefault="00F22B31" w:rsidP="00B605CB">
      <w:pPr>
        <w:spacing w:after="0" w:line="360" w:lineRule="auto"/>
        <w:rPr>
          <w:b/>
        </w:rPr>
      </w:pPr>
      <w:r>
        <w:rPr>
          <w:b/>
        </w:rPr>
        <w:t>Acknowledgements:</w:t>
      </w:r>
    </w:p>
    <w:p w14:paraId="6E95B3F2" w14:textId="17E862FC" w:rsidR="00716A3B" w:rsidRDefault="00FD3678" w:rsidP="00B605CB">
      <w:pPr>
        <w:spacing w:after="0" w:line="360" w:lineRule="auto"/>
      </w:pPr>
      <w:r>
        <w:t>We would like to tha</w:t>
      </w:r>
      <w:r w:rsidR="006B4D89">
        <w:t>nk</w:t>
      </w:r>
      <w:r>
        <w:t xml:space="preserve"> Nia Roberts for her input on refining the literature search strategy</w:t>
      </w:r>
      <w:r w:rsidR="00336A1F">
        <w:t xml:space="preserve">, </w:t>
      </w:r>
      <w:r>
        <w:t xml:space="preserve">Constantinos </w:t>
      </w:r>
      <w:r w:rsidR="002D4D16">
        <w:t xml:space="preserve">Koshiaris </w:t>
      </w:r>
      <w:r w:rsidR="00336A1F">
        <w:t xml:space="preserve">who </w:t>
      </w:r>
      <w:r w:rsidR="002D4D16">
        <w:t>advised</w:t>
      </w:r>
      <w:r>
        <w:t xml:space="preserve"> on appropriate meta-analysis methods and Beth </w:t>
      </w:r>
      <w:r w:rsidR="002D4D16">
        <w:t>Stuart</w:t>
      </w:r>
      <w:r>
        <w:t xml:space="preserve"> </w:t>
      </w:r>
      <w:r w:rsidR="00336A1F">
        <w:t xml:space="preserve">who </w:t>
      </w:r>
      <w:r>
        <w:t>reviewed the results and</w:t>
      </w:r>
      <w:r w:rsidR="002D4D16">
        <w:t xml:space="preserve"> relevant discussion of the heterogeneity of the data. We would like to acknowledge the researchers and study teams who conducted the original research on which articles included in this review are based. </w:t>
      </w:r>
    </w:p>
    <w:p w14:paraId="608E6C57" w14:textId="1BA08DBB" w:rsidR="00F22B31" w:rsidRDefault="00F22B31" w:rsidP="00B605CB">
      <w:pPr>
        <w:spacing w:after="0" w:line="360" w:lineRule="auto"/>
        <w:rPr>
          <w:b/>
        </w:rPr>
      </w:pPr>
      <w:r>
        <w:rPr>
          <w:b/>
        </w:rPr>
        <w:t>Authorship contribution:</w:t>
      </w:r>
    </w:p>
    <w:p w14:paraId="7969F926" w14:textId="73ED03DA" w:rsidR="00FD3678" w:rsidRPr="00716A3B" w:rsidRDefault="00716A3B" w:rsidP="00FD3678">
      <w:pPr>
        <w:spacing w:after="0" w:line="360" w:lineRule="auto"/>
      </w:pPr>
      <w:r>
        <w:t>JP</w:t>
      </w:r>
      <w:r w:rsidR="005D0607">
        <w:t xml:space="preserve"> </w:t>
      </w:r>
      <w:r w:rsidR="00FD3678">
        <w:t xml:space="preserve">and AH </w:t>
      </w:r>
      <w:r w:rsidR="005D0607">
        <w:t>conceived of the study. JP</w:t>
      </w:r>
      <w:r w:rsidR="00FD3678">
        <w:t xml:space="preserve">, </w:t>
      </w:r>
      <w:r w:rsidR="005D0607">
        <w:t>JL</w:t>
      </w:r>
      <w:r w:rsidR="00FD3678">
        <w:t xml:space="preserve"> and MW</w:t>
      </w:r>
      <w:r>
        <w:t xml:space="preserve"> drafted the review protocol</w:t>
      </w:r>
      <w:r w:rsidR="005D0607">
        <w:t xml:space="preserve"> with inputs from AH. JP and MW developed the literature search strategy. JP and JL</w:t>
      </w:r>
      <w:r>
        <w:t xml:space="preserve"> screened all titles, abstracts and full texts and completed data extraction. JP </w:t>
      </w:r>
      <w:r w:rsidR="005D0607">
        <w:t>conducted data synthesis and meta-analysis</w:t>
      </w:r>
      <w:r w:rsidR="00FD3678">
        <w:t>,</w:t>
      </w:r>
      <w:r>
        <w:t xml:space="preserve"> </w:t>
      </w:r>
      <w:r w:rsidR="00FD3678">
        <w:t>and draf</w:t>
      </w:r>
      <w:r>
        <w:t>t</w:t>
      </w:r>
      <w:r w:rsidR="00FD3678">
        <w:t xml:space="preserve">ed the </w:t>
      </w:r>
      <w:r>
        <w:t>manuscript.</w:t>
      </w:r>
      <w:r w:rsidR="00FD3678">
        <w:t xml:space="preserve"> JL, MW and AH reviewed the manuscript and gave final approval for publication. </w:t>
      </w:r>
    </w:p>
    <w:p w14:paraId="021CF91A" w14:textId="74A70614" w:rsidR="005D0607" w:rsidRPr="00716A3B" w:rsidRDefault="005D0607" w:rsidP="00B605CB">
      <w:pPr>
        <w:spacing w:after="0" w:line="360" w:lineRule="auto"/>
      </w:pPr>
    </w:p>
    <w:p w14:paraId="41FDC164" w14:textId="52BA9A3F" w:rsidR="00D71CD8" w:rsidRDefault="00F22B31" w:rsidP="00B605CB">
      <w:pPr>
        <w:spacing w:after="0" w:line="360" w:lineRule="auto"/>
      </w:pPr>
      <w:r w:rsidRPr="00F22B31">
        <w:rPr>
          <w:b/>
        </w:rPr>
        <w:t>Funding:</w:t>
      </w:r>
      <w:r>
        <w:t xml:space="preserve"> </w:t>
      </w:r>
      <w:r w:rsidR="00D71CD8">
        <w:t xml:space="preserve">JL is an NIHR In-Practice fellow. </w:t>
      </w:r>
      <w:r w:rsidR="003405EA">
        <w:t>JP is</w:t>
      </w:r>
      <w:r w:rsidR="007A21FB">
        <w:t xml:space="preserve"> funded by the </w:t>
      </w:r>
      <w:r w:rsidR="003405EA">
        <w:t>Rhodes Scholarship</w:t>
      </w:r>
      <w:r w:rsidR="007A21FB">
        <w:t xml:space="preserve">. </w:t>
      </w:r>
      <w:r w:rsidR="00913931" w:rsidRPr="000F7D07">
        <w:rPr>
          <w:rFonts w:cs="Times New Roman"/>
          <w:szCs w:val="24"/>
        </w:rPr>
        <w:t xml:space="preserve">The salary of MLW </w:t>
      </w:r>
      <w:r w:rsidR="00913931">
        <w:rPr>
          <w:rFonts w:cs="Times New Roman"/>
          <w:szCs w:val="24"/>
        </w:rPr>
        <w:t xml:space="preserve">was </w:t>
      </w:r>
      <w:r w:rsidR="00913931" w:rsidRPr="000F7D07">
        <w:rPr>
          <w:rFonts w:cs="Times New Roman"/>
          <w:szCs w:val="24"/>
        </w:rPr>
        <w:t>funded by the</w:t>
      </w:r>
      <w:r w:rsidR="00913931">
        <w:rPr>
          <w:rFonts w:cs="Times New Roman"/>
          <w:szCs w:val="24"/>
        </w:rPr>
        <w:t xml:space="preserve"> </w:t>
      </w:r>
      <w:r w:rsidR="00913931" w:rsidRPr="000F7D07">
        <w:rPr>
          <w:rFonts w:cs="Times New Roman"/>
          <w:szCs w:val="24"/>
        </w:rPr>
        <w:t>National Institute of Health Research</w:t>
      </w:r>
      <w:r w:rsidR="00913931">
        <w:rPr>
          <w:rFonts w:cs="Times New Roman"/>
          <w:szCs w:val="24"/>
        </w:rPr>
        <w:t xml:space="preserve"> (NIHR)</w:t>
      </w:r>
      <w:r w:rsidR="00913931" w:rsidRPr="000F7D07">
        <w:rPr>
          <w:rFonts w:cs="Times New Roman"/>
          <w:szCs w:val="24"/>
        </w:rPr>
        <w:t>, under grant CL-2016-26-005.</w:t>
      </w:r>
    </w:p>
    <w:p w14:paraId="37202DAA" w14:textId="6048C5B0" w:rsidR="007A21FB" w:rsidRDefault="00F22B31" w:rsidP="00187AA8">
      <w:pPr>
        <w:spacing w:line="360" w:lineRule="auto"/>
      </w:pPr>
      <w:r w:rsidRPr="00F22B31">
        <w:rPr>
          <w:b/>
        </w:rPr>
        <w:t>Competing interests:</w:t>
      </w:r>
      <w:r>
        <w:t xml:space="preserve"> </w:t>
      </w:r>
      <w:r w:rsidRPr="00E546C9">
        <w:t>The authors completed the Unified Competing Interest form at www.icmje.org/coi_disclosure.pdf (available upon request from the corresponding author), and de</w:t>
      </w:r>
      <w:r>
        <w:t>clare no conflicts of interest.</w:t>
      </w:r>
    </w:p>
    <w:p w14:paraId="68AC8E5B" w14:textId="49BB057C" w:rsidR="001B5657" w:rsidRPr="00F22B31" w:rsidRDefault="00F22B31" w:rsidP="00BE0F18">
      <w:pPr>
        <w:pStyle w:val="Heading1"/>
        <w:rPr>
          <w:b/>
        </w:rPr>
      </w:pPr>
      <w:r w:rsidRPr="00F22B31">
        <w:rPr>
          <w:b/>
        </w:rPr>
        <w:t>REFERENCES</w:t>
      </w:r>
    </w:p>
    <w:p w14:paraId="2E2CD9A3" w14:textId="6A58599E" w:rsidR="00876406" w:rsidRPr="00876406" w:rsidRDefault="00ED0C15" w:rsidP="00876406">
      <w:pPr>
        <w:widowControl w:val="0"/>
        <w:autoSpaceDE w:val="0"/>
        <w:autoSpaceDN w:val="0"/>
        <w:adjustRightInd w:val="0"/>
        <w:spacing w:line="36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876406" w:rsidRPr="00876406">
        <w:rPr>
          <w:rFonts w:ascii="Calibri" w:hAnsi="Calibri" w:cs="Calibri"/>
          <w:noProof/>
          <w:szCs w:val="24"/>
        </w:rPr>
        <w:t xml:space="preserve">1. </w:t>
      </w:r>
      <w:r w:rsidR="00876406" w:rsidRPr="00876406">
        <w:rPr>
          <w:rFonts w:ascii="Calibri" w:hAnsi="Calibri" w:cs="Calibri"/>
          <w:noProof/>
          <w:szCs w:val="24"/>
        </w:rPr>
        <w:tab/>
        <w:t>United Nations Inter-agency Group for Child Mortality Estimation (UN, IGME). ‘Levels &amp; Trends in Child Mortality: Report 2018, Estimates developed by the United Nations Inter-agency Group for Child Mortality Estimation. 2018. Available: https://data.unicef.org/wp-content/uploads/2018/10/Child-Mortality-Report-2018.pdf</w:t>
      </w:r>
      <w:r w:rsidR="00ED43FE">
        <w:rPr>
          <w:rFonts w:ascii="Calibri" w:hAnsi="Calibri" w:cs="Calibri"/>
          <w:noProof/>
          <w:szCs w:val="24"/>
        </w:rPr>
        <w:t>. Accessed: 19 March 2019</w:t>
      </w:r>
    </w:p>
    <w:p w14:paraId="09A62041" w14:textId="75FD23E2"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 </w:t>
      </w:r>
      <w:r w:rsidRPr="00876406">
        <w:rPr>
          <w:rFonts w:ascii="Calibri" w:hAnsi="Calibri" w:cs="Calibri"/>
          <w:noProof/>
          <w:szCs w:val="24"/>
        </w:rPr>
        <w:tab/>
        <w:t>UNICEF. The State of the World’s Children 2017: Children in a Digital World. 2017. Available</w:t>
      </w:r>
      <w:r w:rsidR="00ED43FE">
        <w:rPr>
          <w:rFonts w:ascii="Calibri" w:hAnsi="Calibri" w:cs="Calibri"/>
          <w:noProof/>
          <w:szCs w:val="24"/>
        </w:rPr>
        <w:t>:</w:t>
      </w:r>
      <w:r w:rsidRPr="00876406">
        <w:rPr>
          <w:rFonts w:ascii="Calibri" w:hAnsi="Calibri" w:cs="Calibri"/>
          <w:noProof/>
          <w:szCs w:val="24"/>
        </w:rPr>
        <w:t xml:space="preserve"> https://www.unicef.org/publications/files/SOWC_2017_ENG_WEB.pdf</w:t>
      </w:r>
      <w:r w:rsidR="00ED43FE">
        <w:rPr>
          <w:rFonts w:ascii="Calibri" w:hAnsi="Calibri" w:cs="Calibri"/>
          <w:noProof/>
          <w:szCs w:val="24"/>
        </w:rPr>
        <w:t xml:space="preserve">. Accessed: 25 June 2019 </w:t>
      </w:r>
    </w:p>
    <w:p w14:paraId="45300F84" w14:textId="2B3A7EA8"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 </w:t>
      </w:r>
      <w:r w:rsidRPr="00876406">
        <w:rPr>
          <w:rFonts w:ascii="Calibri" w:hAnsi="Calibri" w:cs="Calibri"/>
          <w:noProof/>
          <w:szCs w:val="24"/>
        </w:rPr>
        <w:tab/>
        <w:t>Sustainable Development Goals: 17 goals to transform our world. 2015. Available: http://www.un.org/sustainabledevelopment/health/</w:t>
      </w:r>
      <w:r w:rsidR="00ED43FE">
        <w:rPr>
          <w:rFonts w:ascii="Calibri" w:hAnsi="Calibri" w:cs="Calibri"/>
          <w:noProof/>
          <w:szCs w:val="24"/>
        </w:rPr>
        <w:t>. Accessed 5 January 2016</w:t>
      </w:r>
    </w:p>
    <w:p w14:paraId="5FD013BE"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 </w:t>
      </w:r>
      <w:r w:rsidRPr="00876406">
        <w:rPr>
          <w:rFonts w:ascii="Calibri" w:hAnsi="Calibri" w:cs="Calibri"/>
          <w:noProof/>
          <w:szCs w:val="24"/>
        </w:rPr>
        <w:tab/>
        <w:t xml:space="preserve">Koffi AK, Kalter HD, Loveth EN, Quinley J, Monehin J, Black RE. Beyond causes of death: The social determinants of mortality among children aged 1-59 months in Nigeria from 2009 to 2013. PLoS One. 2017;12(5):e0177025. </w:t>
      </w:r>
    </w:p>
    <w:p w14:paraId="4C92433A" w14:textId="527E9C59"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 </w:t>
      </w:r>
      <w:r w:rsidRPr="00876406">
        <w:rPr>
          <w:rFonts w:ascii="Calibri" w:hAnsi="Calibri" w:cs="Calibri"/>
          <w:noProof/>
          <w:szCs w:val="24"/>
        </w:rPr>
        <w:tab/>
        <w:t>Källander K, Kadobera D, Williams TN, Nielsen RT, Yevoo L, Mutebi A, et al. Social autopsy: INDEPTH Network experiences of utility, process, practices, and challenges in investigating causes and contributors to mortality. Popul Health Metr. 2011;9(1):no pagination</w:t>
      </w:r>
    </w:p>
    <w:p w14:paraId="2229F4CB" w14:textId="49A63788"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6. </w:t>
      </w:r>
      <w:r w:rsidRPr="00876406">
        <w:rPr>
          <w:rFonts w:ascii="Calibri" w:hAnsi="Calibri" w:cs="Calibri"/>
          <w:noProof/>
          <w:szCs w:val="24"/>
        </w:rPr>
        <w:tab/>
        <w:t>Koffi AK, Maina A, Yaroh AG, Habi O, Bensaïd K, Kalter HD. Social determinants of child mortality in Niger: Results from the 2012 National Verbal and Social Autopsy Study. J Glob Health. 2016;6(1):10603.</w:t>
      </w:r>
    </w:p>
    <w:p w14:paraId="3EA0D8BA" w14:textId="14761AFB"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7. </w:t>
      </w:r>
      <w:r w:rsidRPr="00876406">
        <w:rPr>
          <w:rFonts w:ascii="Calibri" w:hAnsi="Calibri" w:cs="Calibri"/>
          <w:noProof/>
          <w:szCs w:val="24"/>
        </w:rPr>
        <w:tab/>
        <w:t>Moyer CA, Johnson C, Kaselitz E, Aborigo R. Using social autopsy to understand maternal, newborn, and child mortality in low-resource settings: a systematic review of the literature. Glob Health Actio</w:t>
      </w:r>
      <w:r w:rsidR="0018561D">
        <w:rPr>
          <w:rFonts w:ascii="Calibri" w:hAnsi="Calibri" w:cs="Calibri"/>
          <w:noProof/>
          <w:szCs w:val="24"/>
        </w:rPr>
        <w:t>n</w:t>
      </w:r>
      <w:r w:rsidRPr="00876406">
        <w:rPr>
          <w:rFonts w:ascii="Calibri" w:hAnsi="Calibri" w:cs="Calibri"/>
          <w:noProof/>
          <w:szCs w:val="24"/>
        </w:rPr>
        <w:t>. 2017;10(1):1413917.</w:t>
      </w:r>
    </w:p>
    <w:p w14:paraId="3BA72E43" w14:textId="730F70B2"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8. </w:t>
      </w:r>
      <w:r w:rsidRPr="00876406">
        <w:rPr>
          <w:rFonts w:ascii="Calibri" w:hAnsi="Calibri" w:cs="Calibri"/>
          <w:noProof/>
          <w:szCs w:val="24"/>
        </w:rPr>
        <w:tab/>
        <w:t>Thaddeus S, Maine D, Babille M, Koffi AK, Black RE, Thaddeus S, et al. Too far to walk: Maternal mortality in context. Soc Sci Med. 1994;38(8):1091–110.</w:t>
      </w:r>
    </w:p>
    <w:p w14:paraId="17A6A040" w14:textId="294AB8F4"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9. </w:t>
      </w:r>
      <w:r w:rsidRPr="00876406">
        <w:rPr>
          <w:rFonts w:ascii="Calibri" w:hAnsi="Calibri" w:cs="Calibri"/>
          <w:noProof/>
          <w:szCs w:val="24"/>
        </w:rPr>
        <w:tab/>
      </w:r>
      <w:r w:rsidR="0018561D" w:rsidRPr="005F6218">
        <w:rPr>
          <w:rFonts w:ascii="Calibri" w:hAnsi="Calibri" w:cs="Calibri"/>
          <w:noProof/>
          <w:szCs w:val="24"/>
        </w:rPr>
        <w:t xml:space="preserve">Waiswa P, Kalter HD, Jakob R, Black RE. Increased use of social autopsy is needed to improve maternal, neonatal and child health programmes in low-income countries. Bull World Health Organ. 2012;90(6):403-403A. </w:t>
      </w:r>
    </w:p>
    <w:p w14:paraId="6E5E7DE8" w14:textId="7DE7185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10. </w:t>
      </w:r>
      <w:r w:rsidRPr="00876406">
        <w:rPr>
          <w:rFonts w:ascii="Calibri" w:hAnsi="Calibri" w:cs="Calibri"/>
          <w:noProof/>
          <w:szCs w:val="24"/>
        </w:rPr>
        <w:tab/>
        <w:t>Waldman R, Campbell CC, Steketee RW. Overcoming Remaining Barriers: The Pathway to Survival. Arlington; 1996. Available: https://pdf.usaid.gov/pdf_docs/PNABZ644.pdf</w:t>
      </w:r>
      <w:r w:rsidR="0018561D">
        <w:rPr>
          <w:rFonts w:ascii="Calibri" w:hAnsi="Calibri" w:cs="Calibri"/>
          <w:noProof/>
          <w:szCs w:val="24"/>
        </w:rPr>
        <w:t>. Accessed: 19 March 2019</w:t>
      </w:r>
    </w:p>
    <w:p w14:paraId="3A111223" w14:textId="45B6FAC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11. </w:t>
      </w:r>
      <w:r w:rsidRPr="00876406">
        <w:rPr>
          <w:rFonts w:ascii="Calibri" w:hAnsi="Calibri" w:cs="Calibri"/>
          <w:noProof/>
          <w:szCs w:val="24"/>
        </w:rPr>
        <w:tab/>
        <w:t>The World Bank. World Bank Country and Lending Groups. Available: https://datahelpdesk.worldbank.org/knowledgebase/articles/906519</w:t>
      </w:r>
      <w:r w:rsidR="0018561D">
        <w:rPr>
          <w:rFonts w:ascii="Calibri" w:hAnsi="Calibri" w:cs="Calibri"/>
          <w:noProof/>
          <w:szCs w:val="24"/>
        </w:rPr>
        <w:t>. Accessed: 20 June 2019.</w:t>
      </w:r>
    </w:p>
    <w:p w14:paraId="3BF18F13" w14:textId="52B2275F"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12. </w:t>
      </w:r>
      <w:r w:rsidRPr="00876406">
        <w:rPr>
          <w:rFonts w:ascii="Calibri" w:hAnsi="Calibri" w:cs="Calibri"/>
          <w:noProof/>
          <w:szCs w:val="24"/>
        </w:rPr>
        <w:tab/>
        <w:t xml:space="preserve">Downes MJ, Brennan ML, Williams HC, Dean RS. Development of a critical appraisal tool to assess the quality of cross-sectional studies (AXIS). BMJ Open. 2016;6(12):e011458. </w:t>
      </w:r>
    </w:p>
    <w:p w14:paraId="3D0A94E2" w14:textId="13FFE2B8"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13. </w:t>
      </w:r>
      <w:r w:rsidRPr="00876406">
        <w:rPr>
          <w:rFonts w:ascii="Calibri" w:hAnsi="Calibri" w:cs="Calibri"/>
          <w:noProof/>
          <w:szCs w:val="24"/>
        </w:rPr>
        <w:tab/>
        <w:t xml:space="preserve">Nyaga VN, Arbyn M, Aerts M. Metaprop: a Stata command to perform meta-analysis of binomial data. Arch Public Heal. 2014;72(1):39. </w:t>
      </w:r>
    </w:p>
    <w:p w14:paraId="59FE78CB" w14:textId="3FA0250A"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14. </w:t>
      </w:r>
      <w:r w:rsidRPr="00876406">
        <w:rPr>
          <w:rFonts w:ascii="Calibri" w:hAnsi="Calibri" w:cs="Calibri"/>
          <w:noProof/>
          <w:szCs w:val="24"/>
        </w:rPr>
        <w:tab/>
        <w:t xml:space="preserve">Joseph Newton EH, Nicholas Cox EJ, Beck N, Bellocco R, Buis ML, Colin Cameron A, et al. Meta-regression in Stata. Stata J. 2008;8(4):493–519. </w:t>
      </w:r>
    </w:p>
    <w:p w14:paraId="126CE3A8" w14:textId="342302B4"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15. </w:t>
      </w:r>
      <w:r w:rsidRPr="00876406">
        <w:rPr>
          <w:rFonts w:ascii="Calibri" w:hAnsi="Calibri" w:cs="Calibri"/>
          <w:noProof/>
          <w:szCs w:val="24"/>
        </w:rPr>
        <w:tab/>
        <w:t xml:space="preserve">Manortey S, Carey A, Ansong D, Harvey R, Good B, Boaheng J, et al. Verbal autopsy: An analysis of the common causes of childhood death in the Barekese sub-district of Ghana. J Public Health Africa. 2011;2(2):73–7. </w:t>
      </w:r>
    </w:p>
    <w:p w14:paraId="76666AB0" w14:textId="33FFB38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16. </w:t>
      </w:r>
      <w:r w:rsidRPr="00876406">
        <w:rPr>
          <w:rFonts w:ascii="Calibri" w:hAnsi="Calibri" w:cs="Calibri"/>
          <w:noProof/>
          <w:szCs w:val="24"/>
        </w:rPr>
        <w:tab/>
        <w:t>Okonofua F, Lambo E, Okeibunor J, Agholor K. Advocacy for free maternal and child health care in Nigeria—Results and outcomes. Health Policy. 2011;99(2):131–8.</w:t>
      </w:r>
    </w:p>
    <w:p w14:paraId="5217C6CA" w14:textId="636B2A39"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17. </w:t>
      </w:r>
      <w:r w:rsidRPr="00876406">
        <w:rPr>
          <w:rFonts w:ascii="Calibri" w:hAnsi="Calibri" w:cs="Calibri"/>
          <w:noProof/>
          <w:szCs w:val="24"/>
        </w:rPr>
        <w:tab/>
        <w:t>Alba AC, Alexander PE, Chang J, MacIsaac J, DeFry S, Guyatt GH. High statistical heterogeneity is more frequent in meta-analysis of continuous than binary outcomes. J Clin Epidemiol. 2016;70:129–35.</w:t>
      </w:r>
    </w:p>
    <w:p w14:paraId="7532201A"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18. </w:t>
      </w:r>
      <w:r w:rsidRPr="00876406">
        <w:rPr>
          <w:rFonts w:ascii="Calibri" w:hAnsi="Calibri" w:cs="Calibri"/>
          <w:noProof/>
          <w:szCs w:val="24"/>
        </w:rPr>
        <w:tab/>
        <w:t xml:space="preserve">Assefa N, Lakew Y, Belay B, Kedir H, Zelalem D, Baraki N, et al. Neonatal mortality and causes of death in Kersa Health and Demographic Surveillance System (Kersa HDSS), Ethiopia, 2008-2013. Matern Heal Neonatol Perinatol. 2016;2:7. </w:t>
      </w:r>
    </w:p>
    <w:p w14:paraId="1F0674CB" w14:textId="44FA6F1C"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19. </w:t>
      </w:r>
      <w:r w:rsidRPr="00876406">
        <w:rPr>
          <w:rFonts w:ascii="Calibri" w:hAnsi="Calibri" w:cs="Calibri"/>
          <w:noProof/>
          <w:szCs w:val="24"/>
        </w:rPr>
        <w:tab/>
        <w:t xml:space="preserve">Garg R, Omwomo W, Witte JM, Lee LA, Deming MS, R. G, et al. Care seeking during fatal childhood illnesses: Siaya District, Kenya, 1998. Am J Public Health. 2001;91(10):1611–3. </w:t>
      </w:r>
    </w:p>
    <w:p w14:paraId="55BB4039"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20. </w:t>
      </w:r>
      <w:r w:rsidRPr="00876406">
        <w:rPr>
          <w:rFonts w:ascii="Calibri" w:hAnsi="Calibri" w:cs="Calibri"/>
          <w:noProof/>
          <w:szCs w:val="24"/>
        </w:rPr>
        <w:tab/>
        <w:t xml:space="preserve">Schumacher R, Swedberg E, Diallo M., Keita D., Kalter H., Pasha O. Mortality Study in Guinea: Investigating the Causes of Death in Children Under 5. 2002. </w:t>
      </w:r>
    </w:p>
    <w:p w14:paraId="0B9BB88E" w14:textId="68975D5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21. </w:t>
      </w:r>
      <w:r w:rsidRPr="00876406">
        <w:rPr>
          <w:rFonts w:ascii="Calibri" w:hAnsi="Calibri" w:cs="Calibri"/>
          <w:noProof/>
          <w:szCs w:val="24"/>
        </w:rPr>
        <w:tab/>
        <w:t xml:space="preserve">Geldsetzer P, Williams TC, Kirolos A, Mitchell S, Ratcliffe LA, Kohli-Lynch MK, et al. The Recognition of and Care Seeking Behaviour for Childhood Illness in Developing Countries: A Systematic Review. Semple MG, editor. PLoS One. 2014;9(4):e93427. </w:t>
      </w:r>
    </w:p>
    <w:p w14:paraId="7003DE00" w14:textId="68F0362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22. </w:t>
      </w:r>
      <w:r w:rsidRPr="00876406">
        <w:rPr>
          <w:rFonts w:ascii="Calibri" w:hAnsi="Calibri" w:cs="Calibri"/>
          <w:noProof/>
          <w:szCs w:val="24"/>
        </w:rPr>
        <w:tab/>
        <w:t xml:space="preserve">Kibaru EG, Otara AM. Knowledge of neonatal danger signs among mothers attending well baby clinic in Nakuru Central District, Kenya: cross sectional descriptive study. BMC Res Notes. 2016;9(1):481. </w:t>
      </w:r>
    </w:p>
    <w:p w14:paraId="5F688B9A"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23. </w:t>
      </w:r>
      <w:r w:rsidRPr="00876406">
        <w:rPr>
          <w:rFonts w:ascii="Calibri" w:hAnsi="Calibri" w:cs="Calibri"/>
          <w:noProof/>
          <w:szCs w:val="24"/>
        </w:rPr>
        <w:tab/>
        <w:t xml:space="preserve">Sandberg J, Odberg Pettersson K, Asp G, Kabakyenga J, Agardh A. Inadequate knowledge of neonatal danger signs among recently delivered women in southwestern rural Uganda: a community survey. PLoS One. 2014;9(5):e97253. </w:t>
      </w:r>
    </w:p>
    <w:p w14:paraId="48C07879" w14:textId="231766F9"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24. </w:t>
      </w:r>
      <w:r w:rsidRPr="00876406">
        <w:rPr>
          <w:rFonts w:ascii="Calibri" w:hAnsi="Calibri" w:cs="Calibri"/>
          <w:noProof/>
          <w:szCs w:val="24"/>
        </w:rPr>
        <w:tab/>
        <w:t xml:space="preserve">Koffi AK, Libite P-R, Moluh S, Wounang R, Kalter HD. Social autopsy study identifies determinants of neonatal mortality in Doume, Nguelemendouka and Abong-Mbang health districts, Eastern Region of Cameroon. J Glob Health. 2015;5(1):10413. </w:t>
      </w:r>
    </w:p>
    <w:p w14:paraId="1ADA9885" w14:textId="35C48C5F"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25. </w:t>
      </w:r>
      <w:r w:rsidRPr="00876406">
        <w:rPr>
          <w:rFonts w:ascii="Calibri" w:hAnsi="Calibri" w:cs="Calibri"/>
          <w:noProof/>
          <w:szCs w:val="24"/>
        </w:rPr>
        <w:tab/>
        <w:t xml:space="preserve">Koffi AK, Maina A, Yaroh AG, Habi O, Bensaïd K, Kalter HD. Social determinants of child mortality in Niger: Results from the 2012 National Verbal and Social Autopsy Study. J Glob Health. 2016;6(1):010603. </w:t>
      </w:r>
    </w:p>
    <w:p w14:paraId="4F19E2A2" w14:textId="091498C2"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26. </w:t>
      </w:r>
      <w:r w:rsidRPr="00876406">
        <w:rPr>
          <w:rFonts w:ascii="Calibri" w:hAnsi="Calibri" w:cs="Calibri"/>
          <w:noProof/>
          <w:szCs w:val="24"/>
        </w:rPr>
        <w:tab/>
        <w:t xml:space="preserve">Koffi AK, Wounang RS, Nguefack F, Moluh S, Libite P-R, Kalter HD. Sociodemographic, behavioral, and environmental factors of child mortality in Eastern Region of Cameroon: results from a social autopsy study. J Glob Health. 2017;7(1):10601. </w:t>
      </w:r>
    </w:p>
    <w:p w14:paraId="2F184329" w14:textId="6830B009"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27. </w:t>
      </w:r>
      <w:r w:rsidRPr="00876406">
        <w:rPr>
          <w:rFonts w:ascii="Calibri" w:hAnsi="Calibri" w:cs="Calibri"/>
          <w:noProof/>
          <w:szCs w:val="24"/>
        </w:rPr>
        <w:tab/>
        <w:t xml:space="preserve">Hill Z, Kendall C, Arthur P, Kirkwood B, Adjei E. Recognizing childhood illnesses and their traditional explanations: Exploring options for care-seeking interventions in the context of the IMCI strategy in rural Ghana. Trop Med Int Heal. 2003;8(7):668–76. </w:t>
      </w:r>
    </w:p>
    <w:p w14:paraId="50D53B5C" w14:textId="4D350E13"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28. </w:t>
      </w:r>
      <w:r w:rsidRPr="00876406">
        <w:rPr>
          <w:rFonts w:ascii="Calibri" w:hAnsi="Calibri" w:cs="Calibri"/>
          <w:noProof/>
          <w:szCs w:val="24"/>
        </w:rPr>
        <w:tab/>
        <w:t xml:space="preserve">Muela SH, Ribera JM, Tanner M. Fake malaria and hidden parasites—the ambiguity of malaria. Anthropol Med. 1998;5(1):43–61. </w:t>
      </w:r>
    </w:p>
    <w:p w14:paraId="1F530C7E" w14:textId="1D83191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29. </w:t>
      </w:r>
      <w:r w:rsidRPr="00876406">
        <w:rPr>
          <w:rFonts w:ascii="Calibri" w:hAnsi="Calibri" w:cs="Calibri"/>
          <w:noProof/>
          <w:szCs w:val="24"/>
        </w:rPr>
        <w:tab/>
        <w:t xml:space="preserve">Kagabo DM, Kirk CM, Bakundukize B, Hedt-Gauthier BL, Gupta N, Hirschhorn LR, et al. Care-seeking patterns among families that experienced under-five child mortality in rural Rwanda. PLoS One. 2018;13(1):e0190739. </w:t>
      </w:r>
    </w:p>
    <w:p w14:paraId="50130FF8" w14:textId="3A74F31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30. </w:t>
      </w:r>
      <w:r w:rsidRPr="00876406">
        <w:rPr>
          <w:rFonts w:ascii="Calibri" w:hAnsi="Calibri" w:cs="Calibri"/>
          <w:noProof/>
          <w:szCs w:val="24"/>
        </w:rPr>
        <w:tab/>
        <w:t xml:space="preserve">Sodemann M, Jakobsen MS, Molbak K, Alvarenga ICJ, Aaby P. High mortality despite good care-seeking behaviour: A community study of childhood deaths in Guinea-Bissau. Bull World Health Organ. 1997;75(3):205–12. </w:t>
      </w:r>
    </w:p>
    <w:p w14:paraId="065880E7" w14:textId="6698E2E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31. </w:t>
      </w:r>
      <w:r w:rsidRPr="00876406">
        <w:rPr>
          <w:rFonts w:ascii="Calibri" w:hAnsi="Calibri" w:cs="Calibri"/>
          <w:noProof/>
          <w:szCs w:val="24"/>
        </w:rPr>
        <w:tab/>
        <w:t>de Savigny D, Mayombana C, Mwageni E, Masanja H, Minhaj A, Mkilindi Y, et al. Care-seeking patterns for fatal malaria in Tanzania. Malar J. 2004;3(27):no pagination.</w:t>
      </w:r>
    </w:p>
    <w:p w14:paraId="0C55CF4D" w14:textId="67FB672B"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32. </w:t>
      </w:r>
      <w:r w:rsidRPr="00876406">
        <w:rPr>
          <w:rFonts w:ascii="Calibri" w:hAnsi="Calibri" w:cs="Calibri"/>
          <w:noProof/>
          <w:szCs w:val="24"/>
        </w:rPr>
        <w:tab/>
        <w:t xml:space="preserve">Kirkwood BR, Manu A, ten Asbroek AH, Soremekun S, Weobong B, Gyan T, et al. Effect of the Newhints home-visits intervention on neonatal mortality rate and care practices in Ghana: a cluster randomised controlled trial. Lancet. 2013;381(9884):2184–92. </w:t>
      </w:r>
    </w:p>
    <w:p w14:paraId="52FE64FC" w14:textId="2F35D6D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33. </w:t>
      </w:r>
      <w:r w:rsidRPr="00876406">
        <w:rPr>
          <w:rFonts w:ascii="Calibri" w:hAnsi="Calibri" w:cs="Calibri"/>
          <w:noProof/>
          <w:szCs w:val="24"/>
        </w:rPr>
        <w:tab/>
        <w:t>Wiens MO, Kumbakumba E, Larson CP, Moschovis PP, Barigye C, Kabakyenga J, et al. Scheduled Follow-Up Referrals and Simple Prevention Kits Including Counseling to Improve Post-Discharge Outcomes Among Children in Uganda: A Proof-of-Concept Study. Glob Heal Sci Pract. 2016;4(3):422–34.</w:t>
      </w:r>
    </w:p>
    <w:p w14:paraId="0474F13D" w14:textId="736D28BB"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34. </w:t>
      </w:r>
      <w:r w:rsidRPr="00876406">
        <w:rPr>
          <w:rFonts w:ascii="Calibri" w:hAnsi="Calibri" w:cs="Calibri"/>
          <w:noProof/>
          <w:szCs w:val="24"/>
        </w:rPr>
        <w:tab/>
        <w:t>Ware NC, Idoko J, Kaaya S, Biraro IA, Wyatt MA, Agbaji O, et al. Explaining adherence success in sub-Saharan Africa: an ethnographic study. PLoS Med. 2009;6(1):e11.</w:t>
      </w:r>
    </w:p>
    <w:p w14:paraId="155774E6" w14:textId="7A94D710"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35. </w:t>
      </w:r>
      <w:r w:rsidRPr="00876406">
        <w:rPr>
          <w:rFonts w:ascii="Calibri" w:hAnsi="Calibri" w:cs="Calibri"/>
          <w:noProof/>
          <w:szCs w:val="24"/>
        </w:rPr>
        <w:tab/>
        <w:t>Dhai A, Dada M, Kirk G, McQuoid-Mason D. Confidentiality: a dying wish. South African Med J. 2001;91(2):123–7.</w:t>
      </w:r>
    </w:p>
    <w:p w14:paraId="572C56D2" w14:textId="43257D53"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36. </w:t>
      </w:r>
      <w:r w:rsidRPr="00876406">
        <w:rPr>
          <w:rFonts w:ascii="Calibri" w:hAnsi="Calibri" w:cs="Calibri"/>
          <w:noProof/>
          <w:szCs w:val="24"/>
        </w:rPr>
        <w:tab/>
        <w:t xml:space="preserve">Yudkin PL, Burger EH, Bradshaw D, Groenewald P, Ward AM, Volmink J. Deaths caused by HIV disease under-reported in South Africa. AIDS [Internet]. 2009;23(12):1600–2. </w:t>
      </w:r>
    </w:p>
    <w:p w14:paraId="5B0BAA20" w14:textId="1F784466"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37. </w:t>
      </w:r>
      <w:r w:rsidRPr="00876406">
        <w:rPr>
          <w:rFonts w:ascii="Calibri" w:hAnsi="Calibri" w:cs="Calibri"/>
          <w:noProof/>
          <w:szCs w:val="24"/>
        </w:rPr>
        <w:tab/>
        <w:t>Druetz T, Fregonese F, Bado A, Millogo T, Kouanda S, Diabaté S, et al. Abolishing Fees at Health Centers in the Context of Community Case Management of Malaria: What Effects on Treatment-Seeking Practices for Febrile Children in Rural Burkina Faso? PLoS One. 2015;10(10):e0141306.</w:t>
      </w:r>
    </w:p>
    <w:p w14:paraId="698A86C8" w14:textId="55FB249A"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38. </w:t>
      </w:r>
      <w:r w:rsidRPr="00876406">
        <w:rPr>
          <w:rFonts w:ascii="Calibri" w:hAnsi="Calibri" w:cs="Calibri"/>
          <w:noProof/>
          <w:szCs w:val="24"/>
        </w:rPr>
        <w:tab/>
        <w:t xml:space="preserve">Ansah EK, Narh-Bana S, Asiamah S, Dzordzordzi V, Biantey K, Dickson K, et al. Effect of Removing Direct Payment for Health Care on Utilisation and Health Outcomes in Ghanaian Children: A Randomised Controlled Trial. Castro A, editor. PLoS Med. 2009;6(1):no pagination. </w:t>
      </w:r>
    </w:p>
    <w:p w14:paraId="02619BD9" w14:textId="6C933708"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39. </w:t>
      </w:r>
      <w:r w:rsidRPr="00876406">
        <w:rPr>
          <w:rFonts w:ascii="Calibri" w:hAnsi="Calibri" w:cs="Calibri"/>
          <w:noProof/>
          <w:szCs w:val="24"/>
        </w:rPr>
        <w:tab/>
        <w:t>Lagarde M, Palmer N. The impact of user fees on access to health services in low- and middle-income countries. In: Cochrane Database of Systematic Reviews. 2011.</w:t>
      </w:r>
    </w:p>
    <w:p w14:paraId="75A48A9A" w14:textId="0018AD0D"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40. </w:t>
      </w:r>
      <w:r w:rsidRPr="00876406">
        <w:rPr>
          <w:rFonts w:ascii="Calibri" w:hAnsi="Calibri" w:cs="Calibri"/>
          <w:noProof/>
          <w:szCs w:val="24"/>
        </w:rPr>
        <w:tab/>
        <w:t>Moher D, Liberati A, Tetzlaff J, Altman DG, Group TP. Preferred Reporting Items for Systematic Reviews and Meta-Analyses: The PRISMA Statement. PLoS Med. 2009;6(7):e1000097.</w:t>
      </w:r>
    </w:p>
    <w:p w14:paraId="44662DAF" w14:textId="522426B2"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41. </w:t>
      </w:r>
      <w:r w:rsidRPr="00876406">
        <w:rPr>
          <w:rFonts w:ascii="Calibri" w:hAnsi="Calibri" w:cs="Calibri"/>
          <w:noProof/>
          <w:szCs w:val="24"/>
        </w:rPr>
        <w:tab/>
        <w:t xml:space="preserve">Snow RW, Schellenberg JR, Forster D, Mung’ala VO, Marsh K. Factors influencing admission to hospital during terminal childhood illnesses in  Kenya. Int J Epidemiol. 1994;23(5):1013–9. </w:t>
      </w:r>
    </w:p>
    <w:p w14:paraId="1EF3672C" w14:textId="2EB43363"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42. </w:t>
      </w:r>
      <w:r w:rsidRPr="00876406">
        <w:rPr>
          <w:rFonts w:ascii="Calibri" w:hAnsi="Calibri" w:cs="Calibri"/>
          <w:noProof/>
          <w:szCs w:val="24"/>
        </w:rPr>
        <w:tab/>
        <w:t>Armstrong Schellenberg JRM, Nathan R, Abdulla S, Mukasa O, Marchant TJ, Tanner M, et al. Risk factors for child mortality in rural Tanzania. Trop Med Int Heal. 2002;7(6):506–11.</w:t>
      </w:r>
    </w:p>
    <w:p w14:paraId="7AC9B93B" w14:textId="77490F44"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43. </w:t>
      </w:r>
      <w:r w:rsidRPr="00876406">
        <w:rPr>
          <w:rFonts w:ascii="Calibri" w:hAnsi="Calibri" w:cs="Calibri"/>
          <w:noProof/>
          <w:szCs w:val="24"/>
        </w:rPr>
        <w:tab/>
        <w:t xml:space="preserve">Hinderaker SG, Olsen BE, Bergsjo PB, Gasheka P, Lie RT, Havnen J, et al. Avoidable stillbirths and neonatal deaths in rural Tanzania. BJOG An Int J Obstet Gynaecol. 2003;110(6):616–23. </w:t>
      </w:r>
    </w:p>
    <w:p w14:paraId="27D3F9C1" w14:textId="4D0CAD14"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44. </w:t>
      </w:r>
      <w:r w:rsidRPr="00876406">
        <w:rPr>
          <w:rFonts w:ascii="Calibri" w:hAnsi="Calibri" w:cs="Calibri"/>
          <w:noProof/>
          <w:szCs w:val="24"/>
        </w:rPr>
        <w:tab/>
        <w:t xml:space="preserve">Muller O, Traore C, Becher H, Kouyate B. Malaria morbidity, treatment-seeking behaviour, and mortality in a cohort of young children in rural Burkina Faso. Trop Med Int Heal. 2003;8(4):290–6. </w:t>
      </w:r>
    </w:p>
    <w:p w14:paraId="0A213B8E" w14:textId="4397DDFA"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45. </w:t>
      </w:r>
      <w:r w:rsidRPr="00876406">
        <w:rPr>
          <w:rFonts w:ascii="Calibri" w:hAnsi="Calibri" w:cs="Calibri"/>
          <w:noProof/>
          <w:szCs w:val="24"/>
        </w:rPr>
        <w:tab/>
        <w:t xml:space="preserve">Beiersmann C, Sanou A, Wladarsch E, De Allegri M, Kouyate B, Muller O. Malaria in rural Burkina Faso: local illness concepts, patterns of traditional treatment and influence on health-seeking behaviour. Malar J. 2007;6:106. </w:t>
      </w:r>
    </w:p>
    <w:p w14:paraId="37F67347" w14:textId="4B602C7F"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46. </w:t>
      </w:r>
      <w:r w:rsidRPr="00876406">
        <w:rPr>
          <w:rFonts w:ascii="Calibri" w:hAnsi="Calibri" w:cs="Calibri"/>
          <w:noProof/>
          <w:szCs w:val="24"/>
        </w:rPr>
        <w:tab/>
        <w:t xml:space="preserve">Kamugisha ML, Gesase S, Mlwilo TD, Mmbando BP, Segeja MD, Minja DT, et al. Malaria specific mortality in lowlands and highlands of Muheza district, north-eastern Tanzania. Tanzan Health Res Bull. 2007;9(1):32–7. </w:t>
      </w:r>
    </w:p>
    <w:p w14:paraId="04B14995" w14:textId="20267906"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47. </w:t>
      </w:r>
      <w:r w:rsidRPr="00876406">
        <w:rPr>
          <w:rFonts w:ascii="Calibri" w:hAnsi="Calibri" w:cs="Calibri"/>
          <w:noProof/>
          <w:szCs w:val="24"/>
        </w:rPr>
        <w:tab/>
        <w:t xml:space="preserve">Edmond KM, Quigley MA, Zandoh C, Danso S, Hurt C, Agyei SO, et al. Aetiology of stillbirths and neonatal deaths in rural Ghana: Implications for health programming in developing countries. Paediatr Perinat Epidemiol. 2008;22(5):430–7. </w:t>
      </w:r>
    </w:p>
    <w:p w14:paraId="206083FD" w14:textId="0D87A5E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48. </w:t>
      </w:r>
      <w:r w:rsidRPr="00876406">
        <w:rPr>
          <w:rFonts w:ascii="Calibri" w:hAnsi="Calibri" w:cs="Calibri"/>
          <w:noProof/>
          <w:szCs w:val="24"/>
        </w:rPr>
        <w:tab/>
        <w:t xml:space="preserve">Hildenwall H, Tomson G, Kaija J, Pariyo G, Peterson S. &amp;quot;I never had the money for blood testing&amp;quot; – Caretakers’ experiences of care-seeking for fatal childhood fevers in rural Uganda – a mixed methods study. BMC Int Health Hum Rights. 2008;8(1):12. </w:t>
      </w:r>
    </w:p>
    <w:p w14:paraId="31B456DB" w14:textId="76FC0A23"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49. </w:t>
      </w:r>
      <w:r w:rsidRPr="00876406">
        <w:rPr>
          <w:rFonts w:ascii="Calibri" w:hAnsi="Calibri" w:cs="Calibri"/>
          <w:noProof/>
          <w:szCs w:val="24"/>
        </w:rPr>
        <w:tab/>
        <w:t xml:space="preserve">Kallander K, Hildenwall H, Waiswa P, Galiwango E, Peterson S, Pariyo G. Delayed care seeking for fatal pneumonia in children aged under five years in Uganda: a case-series study. Bull World Health Orga. 2008;86(5):332–8. </w:t>
      </w:r>
    </w:p>
    <w:p w14:paraId="6E74D025" w14:textId="0854BBF0"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50. </w:t>
      </w:r>
      <w:r w:rsidRPr="00876406">
        <w:rPr>
          <w:rFonts w:ascii="Calibri" w:hAnsi="Calibri" w:cs="Calibri"/>
          <w:noProof/>
          <w:szCs w:val="24"/>
        </w:rPr>
        <w:tab/>
        <w:t xml:space="preserve">Kaatano GM, Mashauri FM, Kinung’hi SM, Mwanga JR, Malima RC, Kishamawe C, et al. Patterns of malaria related mortality based on verbal autopsy in Muleba District, north-western Tanzania. Tanzan J Health Res. 2009;11(4):210–8. </w:t>
      </w:r>
    </w:p>
    <w:p w14:paraId="12620B50" w14:textId="50B9433C"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51. </w:t>
      </w:r>
      <w:r w:rsidRPr="00876406">
        <w:rPr>
          <w:rFonts w:ascii="Calibri" w:hAnsi="Calibri" w:cs="Calibri"/>
          <w:noProof/>
          <w:szCs w:val="24"/>
        </w:rPr>
        <w:tab/>
        <w:t>Waiswa P, Kallander K, Peterson S, Tomson G, Pariyo GW, P. W, et al. Using the three delays model to understand why newborn babies die in eastern Uganda. Trop Med Int Heal. 2010;15(8):964–72.</w:t>
      </w:r>
    </w:p>
    <w:p w14:paraId="5658B6E1"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52. </w:t>
      </w:r>
      <w:r w:rsidRPr="00876406">
        <w:rPr>
          <w:rFonts w:ascii="Calibri" w:hAnsi="Calibri" w:cs="Calibri"/>
          <w:noProof/>
          <w:szCs w:val="24"/>
        </w:rPr>
        <w:tab/>
        <w:t xml:space="preserve">Mrisho M, Schellenberg D, Manzi F, Tanner M, Mshinda H, Shirima K, et al. Neonatal deaths in rural southern Tanzania: care-seeking and causes of death. ISRN Pediatr. 2012;2012:953401. </w:t>
      </w:r>
    </w:p>
    <w:p w14:paraId="246CC622" w14:textId="7BFA20E8"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53. </w:t>
      </w:r>
      <w:r w:rsidRPr="00876406">
        <w:rPr>
          <w:rFonts w:ascii="Calibri" w:hAnsi="Calibri" w:cs="Calibri"/>
          <w:noProof/>
          <w:szCs w:val="24"/>
        </w:rPr>
        <w:tab/>
        <w:t>Olack B, Feikin DR, Cosmas LO, Odero KO, Okoth GO, Montgomery JM, et al. Mortality trends observed in population-based surveillance of an urban slum settlement, Kibera, Kenya, 2007-2010. PLoS One. 2014;9(1):e85913.</w:t>
      </w:r>
    </w:p>
    <w:p w14:paraId="7BF9CB82" w14:textId="1597DC0D"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54. </w:t>
      </w:r>
      <w:r w:rsidRPr="00876406">
        <w:rPr>
          <w:rFonts w:ascii="Calibri" w:hAnsi="Calibri" w:cs="Calibri"/>
          <w:noProof/>
          <w:szCs w:val="24"/>
        </w:rPr>
        <w:tab/>
        <w:t xml:space="preserve">Rahman AE, Moinuddin M, Molla M, Worku A, Hurt L, Kirkwood B, et al. Childhood diarrhoeal deaths in seven low- and middle-income countries. Bull World Health Organ. 2014;92(9):664–71. </w:t>
      </w:r>
    </w:p>
    <w:p w14:paraId="39012D2B" w14:textId="4A20EF8A"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55. </w:t>
      </w:r>
      <w:r w:rsidRPr="00876406">
        <w:rPr>
          <w:rFonts w:ascii="Calibri" w:hAnsi="Calibri" w:cs="Calibri"/>
          <w:noProof/>
          <w:szCs w:val="24"/>
        </w:rPr>
        <w:tab/>
        <w:t xml:space="preserve">Koffi AK, Mleme T, Nsona H, Banda B, Amouzou A, Kalter HD, et al. Social autopsy of neonatal mortality suggests needed improvements in maternal and neonatal interventions in Balaka and Salima districts of Malawi. J Glob Health. 2015;5(1):10416. </w:t>
      </w:r>
    </w:p>
    <w:p w14:paraId="7D2E96AB" w14:textId="77777777"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56. </w:t>
      </w:r>
      <w:r w:rsidRPr="00876406">
        <w:rPr>
          <w:rFonts w:ascii="Calibri" w:hAnsi="Calibri" w:cs="Calibri"/>
          <w:noProof/>
          <w:szCs w:val="24"/>
        </w:rPr>
        <w:tab/>
        <w:t xml:space="preserve">D’Ambruoso L, Kahn K, Wagner RG, Twine R, Spies B, van der Merwe M, et al. Moving from medical to health systems classifications of deaths: extending verbal autopsy to collect information on the circumstances of mortality. Glob Heal Res policy. 2016;1:2. </w:t>
      </w:r>
    </w:p>
    <w:p w14:paraId="7F572C55" w14:textId="5CFBFE64"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57. </w:t>
      </w:r>
      <w:r w:rsidRPr="00876406">
        <w:rPr>
          <w:rFonts w:ascii="Calibri" w:hAnsi="Calibri" w:cs="Calibri"/>
          <w:noProof/>
          <w:szCs w:val="24"/>
        </w:rPr>
        <w:tab/>
        <w:t xml:space="preserve">Kalter HD, Yaroh AG, Maina A, Koffi AK, Bensaïd K, Amouzou A, et al. Verbal/social autopsy study helps explain the lack of decrease in neonatal mortality in Niger, 2007-2010. J Glob Health [Internet]. 2016;6(1):10604. </w:t>
      </w:r>
    </w:p>
    <w:p w14:paraId="4E4CAFCA" w14:textId="0F71E056"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58. </w:t>
      </w:r>
      <w:r w:rsidRPr="00876406">
        <w:rPr>
          <w:rFonts w:ascii="Calibri" w:hAnsi="Calibri" w:cs="Calibri"/>
          <w:noProof/>
          <w:szCs w:val="24"/>
        </w:rPr>
        <w:tab/>
        <w:t xml:space="preserve">Obor D, Otieno P, J.R., Verani J, Odhiambo F, Laserson K. Using the kemri-cdc health and demographic surveillance system to demonstrate the changing neonatal mortality rate between 2003 and 2012 in rural western Kenya. Am J Trop Med Hyg. 2016;95(5 Supplement 1):263. </w:t>
      </w:r>
    </w:p>
    <w:p w14:paraId="6F00BC69" w14:textId="2AC35A8D"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59. </w:t>
      </w:r>
      <w:r w:rsidRPr="00876406">
        <w:rPr>
          <w:rFonts w:ascii="Calibri" w:hAnsi="Calibri" w:cs="Calibri"/>
          <w:noProof/>
          <w:szCs w:val="24"/>
        </w:rPr>
        <w:tab/>
        <w:t xml:space="preserve">Rosario EVN, Costa D, Timoteo L, Rodrigues AA, Varanda J, Nery SV, et al. Main causes of death in Dande, Angola: results from Verbal Autopsies of deaths occurring during 2009-2012. BMC Public Health. 2016;16:719. </w:t>
      </w:r>
    </w:p>
    <w:p w14:paraId="0A48F4CB" w14:textId="66806B5E"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60. </w:t>
      </w:r>
      <w:r w:rsidRPr="00876406">
        <w:rPr>
          <w:rFonts w:ascii="Calibri" w:hAnsi="Calibri" w:cs="Calibri"/>
          <w:noProof/>
          <w:szCs w:val="24"/>
        </w:rPr>
        <w:tab/>
        <w:t xml:space="preserve">Bogale TN, Worku AG, Bikis GA, Kebede ZT. Why gone too soon? Examining social determinants of neonatal deaths in northwest  Ethiopia using the three delay model approach. BMC Pediatr. 2017;17(1):216. </w:t>
      </w:r>
    </w:p>
    <w:p w14:paraId="2BE3D1E9" w14:textId="1B6756FA" w:rsidR="00876406" w:rsidRPr="00876406" w:rsidRDefault="00876406" w:rsidP="00876406">
      <w:pPr>
        <w:widowControl w:val="0"/>
        <w:autoSpaceDE w:val="0"/>
        <w:autoSpaceDN w:val="0"/>
        <w:adjustRightInd w:val="0"/>
        <w:spacing w:line="360" w:lineRule="auto"/>
        <w:ind w:left="640" w:hanging="640"/>
        <w:rPr>
          <w:rFonts w:ascii="Calibri" w:hAnsi="Calibri" w:cs="Calibri"/>
          <w:noProof/>
          <w:szCs w:val="24"/>
        </w:rPr>
      </w:pPr>
      <w:r w:rsidRPr="00876406">
        <w:rPr>
          <w:rFonts w:ascii="Calibri" w:hAnsi="Calibri" w:cs="Calibri"/>
          <w:noProof/>
          <w:szCs w:val="24"/>
        </w:rPr>
        <w:t xml:space="preserve">61. </w:t>
      </w:r>
      <w:r w:rsidRPr="00876406">
        <w:rPr>
          <w:rFonts w:ascii="Calibri" w:hAnsi="Calibri" w:cs="Calibri"/>
          <w:noProof/>
          <w:szCs w:val="24"/>
        </w:rPr>
        <w:tab/>
        <w:t xml:space="preserve">Navale S, Habumugisha L, Amoroso C, Sayinzoga F, Gupta N, Hirschhorn LR. Exploring Drivers of Infant Deaths in Rural Rwanda Through Verbal Social Autopsy. Ann Glob Heal. 2017;83(5–6):756–66. </w:t>
      </w:r>
    </w:p>
    <w:p w14:paraId="5DF89A08" w14:textId="52EBD640" w:rsidR="00876406" w:rsidRPr="00876406" w:rsidRDefault="00876406" w:rsidP="00876406">
      <w:pPr>
        <w:widowControl w:val="0"/>
        <w:autoSpaceDE w:val="0"/>
        <w:autoSpaceDN w:val="0"/>
        <w:adjustRightInd w:val="0"/>
        <w:spacing w:line="360" w:lineRule="auto"/>
        <w:ind w:left="640" w:hanging="640"/>
        <w:rPr>
          <w:rFonts w:ascii="Calibri" w:hAnsi="Calibri" w:cs="Calibri"/>
          <w:noProof/>
        </w:rPr>
      </w:pPr>
      <w:r w:rsidRPr="00876406">
        <w:rPr>
          <w:rFonts w:ascii="Calibri" w:hAnsi="Calibri" w:cs="Calibri"/>
          <w:noProof/>
          <w:szCs w:val="24"/>
        </w:rPr>
        <w:t xml:space="preserve">62. </w:t>
      </w:r>
      <w:r w:rsidRPr="00876406">
        <w:rPr>
          <w:rFonts w:ascii="Calibri" w:hAnsi="Calibri" w:cs="Calibri"/>
          <w:noProof/>
          <w:szCs w:val="24"/>
        </w:rPr>
        <w:tab/>
        <w:t xml:space="preserve">Willcox ML, Kumbakumba E, Diallo D, Mubangizi V, Kirabira P, Nakaggwa F, et al. Circumstances of child deaths in Mali and Uganda: a community-based confidential  enquiry. Lancet Glob Heal. 2018;6(6):e691–702. </w:t>
      </w:r>
    </w:p>
    <w:p w14:paraId="30DFF4B5" w14:textId="77777777" w:rsidR="00CD693C" w:rsidRDefault="00ED0C15" w:rsidP="0061013B">
      <w:pPr>
        <w:spacing w:line="360" w:lineRule="auto"/>
      </w:pPr>
      <w:r>
        <w:fldChar w:fldCharType="end"/>
      </w:r>
    </w:p>
    <w:p w14:paraId="3325FE17" w14:textId="762A6183" w:rsidR="00F22B31" w:rsidRDefault="003E0C9E" w:rsidP="0061013B">
      <w:pPr>
        <w:spacing w:line="360" w:lineRule="auto"/>
        <w:rPr>
          <w:rFonts w:cstheme="minorHAnsi"/>
        </w:rPr>
      </w:pPr>
      <w:r w:rsidRPr="003E0C9E">
        <w:rPr>
          <w:rFonts w:cstheme="minorHAnsi"/>
          <w:b/>
        </w:rPr>
        <w:t>Figure</w:t>
      </w:r>
      <w:r w:rsidR="00825116" w:rsidRPr="00CE4433">
        <w:rPr>
          <w:rFonts w:cstheme="minorHAnsi"/>
        </w:rPr>
        <w:t xml:space="preserve"> </w:t>
      </w:r>
      <w:r w:rsidR="00825116" w:rsidRPr="00F22B31">
        <w:rPr>
          <w:rFonts w:cstheme="minorHAnsi"/>
          <w:b/>
        </w:rPr>
        <w:t>1</w:t>
      </w:r>
      <w:r w:rsidR="00F22B31" w:rsidRPr="00F22B31">
        <w:rPr>
          <w:rFonts w:cstheme="minorHAnsi"/>
          <w:b/>
        </w:rPr>
        <w:t>.</w:t>
      </w:r>
      <w:r w:rsidR="00825116" w:rsidRPr="00CE4433">
        <w:rPr>
          <w:rFonts w:cstheme="minorHAnsi"/>
        </w:rPr>
        <w:t xml:space="preserve"> </w:t>
      </w:r>
      <w:r w:rsidR="00CE4433" w:rsidRPr="00CE4433">
        <w:rPr>
          <w:rFonts w:cstheme="minorHAnsi"/>
        </w:rPr>
        <w:t>PRISMA Flow Diagram</w:t>
      </w:r>
      <w:r w:rsidR="00CD0705">
        <w:rPr>
          <w:rFonts w:cstheme="minorHAnsi"/>
        </w:rPr>
        <w:t xml:space="preserve"> </w:t>
      </w:r>
      <w:r w:rsidR="00876406">
        <w:rPr>
          <w:rFonts w:cstheme="minorHAnsi"/>
        </w:rPr>
        <w:fldChar w:fldCharType="begin" w:fldLock="1"/>
      </w:r>
      <w:r w:rsidR="00876406">
        <w:rPr>
          <w:rFonts w:cstheme="minorHAnsi"/>
        </w:rPr>
        <w:instrText>ADDIN CSL_CITATION {"citationItems":[{"id":"ITEM-1","itemData":{"DOI":"10.1371/journal.pmed.1000097","ISSN":"1549-1676","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G.","non-dropping-particle":"","parse-names":false,"suffix":""},{"dropping-particle":"","family":"Group","given":"The PRISMA","non-dropping-particle":"","parse-names":false,"suffix":""}],"container-title":"PLoS Medicine","id":"ITEM-1","issue":"7","issued":{"date-parts":[["2009","7","21"]]},"page":"e1000097","publisher":"Public Library of Science","title":"Preferred Reporting Items for Systematic Reviews and Meta-Analyses: The PRISMA Statement","type":"article-journal","volume":"6"},"uris":["http://www.mendeley.com/documents/?uuid=2d0e357c-bd50-39e2-89f3-2c7f880f1fc5"]}],"mendeley":{"formattedCitation":"(40)","manualFormatting":"[40","plainTextFormattedCitation":"(40)"},"properties":{"noteIndex":0},"schema":"https://github.com/citation-style-language/schema/raw/master/csl-citation.json"}</w:instrText>
      </w:r>
      <w:r w:rsidR="00876406">
        <w:rPr>
          <w:rFonts w:cstheme="minorHAnsi"/>
        </w:rPr>
        <w:fldChar w:fldCharType="separate"/>
      </w:r>
      <w:r w:rsidR="00876406">
        <w:rPr>
          <w:rFonts w:cstheme="minorHAnsi"/>
          <w:noProof/>
        </w:rPr>
        <w:t>[</w:t>
      </w:r>
      <w:r w:rsidR="00876406" w:rsidRPr="00876406">
        <w:rPr>
          <w:rFonts w:cstheme="minorHAnsi"/>
          <w:noProof/>
        </w:rPr>
        <w:t>40</w:t>
      </w:r>
      <w:r w:rsidR="00876406">
        <w:rPr>
          <w:rFonts w:cstheme="minorHAnsi"/>
        </w:rPr>
        <w:fldChar w:fldCharType="end"/>
      </w:r>
      <w:r w:rsidR="00876406">
        <w:rPr>
          <w:rFonts w:cstheme="minorHAnsi"/>
        </w:rPr>
        <w:t>]</w:t>
      </w:r>
    </w:p>
    <w:p w14:paraId="181CCC4C" w14:textId="77777777" w:rsidR="00876406" w:rsidRDefault="00876406" w:rsidP="00876406">
      <w:pPr>
        <w:widowControl w:val="0"/>
        <w:ind w:right="-720"/>
        <w:rPr>
          <w:b/>
        </w:rPr>
      </w:pPr>
    </w:p>
    <w:p w14:paraId="6992EA9A" w14:textId="64B89443" w:rsidR="00CE4433" w:rsidRDefault="003E0C9E" w:rsidP="00876406">
      <w:pPr>
        <w:widowControl w:val="0"/>
        <w:ind w:right="-720"/>
      </w:pPr>
      <w:r w:rsidRPr="003E0C9E">
        <w:rPr>
          <w:b/>
        </w:rPr>
        <w:t>Figure</w:t>
      </w:r>
      <w:r w:rsidR="00CE4433" w:rsidRPr="00CE4433">
        <w:t xml:space="preserve"> </w:t>
      </w:r>
      <w:r w:rsidR="00CE4433" w:rsidRPr="00F22B31">
        <w:rPr>
          <w:b/>
        </w:rPr>
        <w:t>2</w:t>
      </w:r>
      <w:r w:rsidR="00F22B31">
        <w:t>.</w:t>
      </w:r>
      <w:r w:rsidR="00CE4433" w:rsidRPr="00CE4433">
        <w:t xml:space="preserve"> Map showing number and location of included studies</w:t>
      </w:r>
      <w:r w:rsidR="0066702F">
        <w:t>.</w:t>
      </w:r>
    </w:p>
    <w:p w14:paraId="0252F5CA" w14:textId="6E690B19" w:rsidR="00CE4433" w:rsidRDefault="003E0C9E" w:rsidP="00CE4433">
      <w:r w:rsidRPr="003E0C9E">
        <w:rPr>
          <w:b/>
        </w:rPr>
        <w:t>Figure</w:t>
      </w:r>
      <w:r w:rsidR="00CE4433" w:rsidRPr="00CE4433">
        <w:t xml:space="preserve"> </w:t>
      </w:r>
      <w:r w:rsidR="00CE4433" w:rsidRPr="00F22B31">
        <w:rPr>
          <w:b/>
        </w:rPr>
        <w:t>3</w:t>
      </w:r>
      <w:r w:rsidR="00F22B31">
        <w:t>.</w:t>
      </w:r>
      <w:r w:rsidR="00CE4433">
        <w:t xml:space="preserve"> </w:t>
      </w:r>
      <w:r w:rsidR="00CE4433" w:rsidRPr="00CE4433">
        <w:t>Proportion of children who died at home, by age group</w:t>
      </w:r>
      <w:r w:rsidR="0066702F">
        <w:t>.</w:t>
      </w:r>
    </w:p>
    <w:p w14:paraId="7868FE72" w14:textId="5ECC6C17" w:rsidR="00CE4433" w:rsidRPr="00CE4433" w:rsidRDefault="003E0C9E" w:rsidP="00CE4433">
      <w:r w:rsidRPr="003E0C9E">
        <w:rPr>
          <w:b/>
        </w:rPr>
        <w:t>Figure</w:t>
      </w:r>
      <w:r w:rsidR="00CE4433" w:rsidRPr="00CE4433">
        <w:t xml:space="preserve"> </w:t>
      </w:r>
      <w:r w:rsidR="00CE4433" w:rsidRPr="00F22B31">
        <w:rPr>
          <w:b/>
        </w:rPr>
        <w:t>4</w:t>
      </w:r>
      <w:r w:rsidR="00F22B31">
        <w:t>.</w:t>
      </w:r>
      <w:r w:rsidR="00CE4433" w:rsidRPr="00CE4433">
        <w:t xml:space="preserve"> Proportion of children with signs/symptoms of illness, by age group</w:t>
      </w:r>
      <w:r w:rsidR="0066702F">
        <w:t>.</w:t>
      </w:r>
      <w:r w:rsidR="00CE4433" w:rsidRPr="00CE4433">
        <w:t xml:space="preserve"> </w:t>
      </w:r>
    </w:p>
    <w:p w14:paraId="357DD48D" w14:textId="4C33B8ED" w:rsidR="00CE4433" w:rsidRDefault="003E0C9E" w:rsidP="00CE4433">
      <w:r w:rsidRPr="003E0C9E">
        <w:rPr>
          <w:b/>
        </w:rPr>
        <w:t>Figure</w:t>
      </w:r>
      <w:r w:rsidR="00CE4433" w:rsidRPr="00CE4433">
        <w:t xml:space="preserve"> </w:t>
      </w:r>
      <w:r w:rsidR="00CE4433" w:rsidRPr="00F22B31">
        <w:rPr>
          <w:b/>
        </w:rPr>
        <w:t>5</w:t>
      </w:r>
      <w:r w:rsidR="00F22B31">
        <w:t>.</w:t>
      </w:r>
      <w:r w:rsidR="00CE4433" w:rsidRPr="00CE4433">
        <w:t xml:space="preserve"> Proportion of children who died immediately or without receiving any care, by age group</w:t>
      </w:r>
      <w:r w:rsidR="0066702F">
        <w:t>.</w:t>
      </w:r>
    </w:p>
    <w:p w14:paraId="1F749AAD" w14:textId="76D2D509" w:rsidR="00CE4433" w:rsidRPr="00CE4433" w:rsidRDefault="003E0C9E" w:rsidP="00CE4433">
      <w:r w:rsidRPr="003E0C9E">
        <w:rPr>
          <w:b/>
        </w:rPr>
        <w:t>Figure</w:t>
      </w:r>
      <w:r w:rsidR="00CE4433" w:rsidRPr="00CE4433">
        <w:t xml:space="preserve"> </w:t>
      </w:r>
      <w:r w:rsidR="00CE4433" w:rsidRPr="00F22B31">
        <w:rPr>
          <w:b/>
        </w:rPr>
        <w:t>6</w:t>
      </w:r>
      <w:r w:rsidR="00F22B31">
        <w:t>.</w:t>
      </w:r>
      <w:r w:rsidR="00CE4433" w:rsidRPr="00CE4433">
        <w:t xml:space="preserve"> Proportion of caregivers who sought or attempted to seek care outside the home for their child during the final illness, by age group</w:t>
      </w:r>
      <w:r w:rsidR="0066702F">
        <w:t>.</w:t>
      </w:r>
      <w:r w:rsidR="00CE4433" w:rsidRPr="00CE4433">
        <w:t xml:space="preserve"> </w:t>
      </w:r>
    </w:p>
    <w:p w14:paraId="2197CD59" w14:textId="23F5131A" w:rsidR="00350239" w:rsidRDefault="003E0C9E">
      <w:r w:rsidRPr="003E0C9E">
        <w:rPr>
          <w:b/>
        </w:rPr>
        <w:t>Figure</w:t>
      </w:r>
      <w:r w:rsidR="00CE4433" w:rsidRPr="00CE4433">
        <w:t xml:space="preserve"> </w:t>
      </w:r>
      <w:r w:rsidR="00CE4433" w:rsidRPr="00F22B31">
        <w:rPr>
          <w:b/>
        </w:rPr>
        <w:t>7</w:t>
      </w:r>
      <w:r w:rsidR="00F22B31">
        <w:t>.</w:t>
      </w:r>
      <w:r w:rsidR="00CE4433" w:rsidRPr="00CE4433">
        <w:t xml:space="preserve"> Proportion of children who left the first health facility alive, by age group</w:t>
      </w:r>
      <w:r w:rsidR="0066702F">
        <w:t>.</w:t>
      </w:r>
    </w:p>
    <w:p w14:paraId="1C0409D8" w14:textId="77777777" w:rsidR="008C23C9" w:rsidRPr="00CE4433" w:rsidRDefault="008C23C9" w:rsidP="00CE4433">
      <w:pPr>
        <w:pStyle w:val="Heading1"/>
        <w:sectPr w:rsidR="008C23C9" w:rsidRPr="00CE4433">
          <w:footerReference w:type="default" r:id="rId9"/>
          <w:pgSz w:w="11906" w:h="16838"/>
          <w:pgMar w:top="1440" w:right="1440" w:bottom="1440" w:left="1440" w:header="708" w:footer="708" w:gutter="0"/>
          <w:cols w:space="708"/>
          <w:docGrid w:linePitch="360"/>
        </w:sectPr>
      </w:pPr>
    </w:p>
    <w:p w14:paraId="3225B76C" w14:textId="3F73A852" w:rsidR="0066702F" w:rsidRPr="0066702F" w:rsidRDefault="0066702F" w:rsidP="0066702F">
      <w:pPr>
        <w:rPr>
          <w:sz w:val="32"/>
        </w:rPr>
      </w:pPr>
      <w:r w:rsidRPr="0066702F">
        <w:rPr>
          <w:b/>
          <w:szCs w:val="16"/>
        </w:rPr>
        <w:t>Table 1</w:t>
      </w:r>
      <w:r w:rsidR="0061013B">
        <w:rPr>
          <w:b/>
          <w:szCs w:val="16"/>
        </w:rPr>
        <w:t>.</w:t>
      </w:r>
      <w:r w:rsidRPr="0066702F">
        <w:rPr>
          <w:b/>
          <w:szCs w:val="16"/>
        </w:rPr>
        <w:t xml:space="preserve"> </w:t>
      </w:r>
      <w:r w:rsidRPr="0061013B">
        <w:rPr>
          <w:szCs w:val="16"/>
        </w:rPr>
        <w:t>Characteristics of included studies</w:t>
      </w:r>
    </w:p>
    <w:tbl>
      <w:tblPr>
        <w:tblW w:w="5099" w:type="pct"/>
        <w:tblInd w:w="-2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81"/>
        <w:gridCol w:w="990"/>
        <w:gridCol w:w="899"/>
        <w:gridCol w:w="811"/>
        <w:gridCol w:w="1031"/>
        <w:gridCol w:w="1045"/>
        <w:gridCol w:w="897"/>
        <w:gridCol w:w="900"/>
        <w:gridCol w:w="1552"/>
        <w:gridCol w:w="1062"/>
        <w:gridCol w:w="2161"/>
        <w:gridCol w:w="1085"/>
        <w:gridCol w:w="720"/>
      </w:tblGrid>
      <w:tr w:rsidR="00F24106" w:rsidRPr="00B51E48" w14:paraId="5668739C" w14:textId="77777777" w:rsidTr="0061013B">
        <w:trPr>
          <w:cantSplit/>
          <w:trHeight w:val="1421"/>
        </w:trPr>
        <w:tc>
          <w:tcPr>
            <w:tcW w:w="380" w:type="pct"/>
            <w:shd w:val="clear" w:color="auto" w:fill="auto"/>
            <w:vAlign w:val="bottom"/>
            <w:hideMark/>
          </w:tcPr>
          <w:p w14:paraId="76AF3025" w14:textId="77777777" w:rsidR="00F24106" w:rsidRPr="00B51E48" w:rsidRDefault="00F24106" w:rsidP="00BF67EF">
            <w:pPr>
              <w:pStyle w:val="NoSpacing"/>
              <w:rPr>
                <w:b/>
                <w:sz w:val="16"/>
                <w:szCs w:val="16"/>
              </w:rPr>
            </w:pPr>
            <w:r>
              <w:rPr>
                <w:b/>
                <w:sz w:val="16"/>
                <w:szCs w:val="16"/>
              </w:rPr>
              <w:t>First a</w:t>
            </w:r>
            <w:r w:rsidRPr="00B51E48">
              <w:rPr>
                <w:b/>
                <w:sz w:val="16"/>
                <w:szCs w:val="16"/>
              </w:rPr>
              <w:t>uthor</w:t>
            </w:r>
            <w:r>
              <w:rPr>
                <w:b/>
                <w:sz w:val="16"/>
                <w:szCs w:val="16"/>
              </w:rPr>
              <w:t xml:space="preserve"> and year of publication</w:t>
            </w:r>
          </w:p>
        </w:tc>
        <w:tc>
          <w:tcPr>
            <w:tcW w:w="348" w:type="pct"/>
            <w:shd w:val="clear" w:color="auto" w:fill="auto"/>
            <w:vAlign w:val="bottom"/>
            <w:hideMark/>
          </w:tcPr>
          <w:p w14:paraId="39D6E70B" w14:textId="77777777" w:rsidR="00F24106" w:rsidRPr="00B51E48" w:rsidRDefault="00F24106" w:rsidP="0061013B">
            <w:pPr>
              <w:pStyle w:val="NoSpacing"/>
              <w:jc w:val="center"/>
              <w:rPr>
                <w:b/>
                <w:sz w:val="16"/>
                <w:szCs w:val="16"/>
              </w:rPr>
            </w:pPr>
            <w:r w:rsidRPr="00B51E48">
              <w:rPr>
                <w:b/>
                <w:sz w:val="16"/>
                <w:szCs w:val="16"/>
              </w:rPr>
              <w:t>Period of data collection</w:t>
            </w:r>
          </w:p>
        </w:tc>
        <w:tc>
          <w:tcPr>
            <w:tcW w:w="316" w:type="pct"/>
            <w:shd w:val="clear" w:color="auto" w:fill="auto"/>
            <w:vAlign w:val="bottom"/>
            <w:hideMark/>
          </w:tcPr>
          <w:p w14:paraId="046A5542" w14:textId="77777777" w:rsidR="00F24106" w:rsidRPr="00B51E48" w:rsidRDefault="00F24106" w:rsidP="0061013B">
            <w:pPr>
              <w:pStyle w:val="NoSpacing"/>
              <w:jc w:val="center"/>
              <w:rPr>
                <w:b/>
                <w:sz w:val="16"/>
                <w:szCs w:val="16"/>
              </w:rPr>
            </w:pPr>
            <w:r w:rsidRPr="00B51E48">
              <w:rPr>
                <w:b/>
                <w:sz w:val="16"/>
                <w:szCs w:val="16"/>
              </w:rPr>
              <w:t>Country</w:t>
            </w:r>
          </w:p>
        </w:tc>
        <w:tc>
          <w:tcPr>
            <w:tcW w:w="285" w:type="pct"/>
            <w:shd w:val="clear" w:color="auto" w:fill="auto"/>
            <w:vAlign w:val="bottom"/>
            <w:hideMark/>
          </w:tcPr>
          <w:p w14:paraId="7E558AA8" w14:textId="77777777" w:rsidR="00F24106" w:rsidRPr="00B51E48" w:rsidRDefault="00F24106" w:rsidP="0061013B">
            <w:pPr>
              <w:pStyle w:val="NoSpacing"/>
              <w:jc w:val="center"/>
              <w:rPr>
                <w:b/>
                <w:sz w:val="16"/>
                <w:szCs w:val="16"/>
              </w:rPr>
            </w:pPr>
            <w:r w:rsidRPr="00B51E48">
              <w:rPr>
                <w:b/>
                <w:sz w:val="16"/>
                <w:szCs w:val="16"/>
              </w:rPr>
              <w:t>Age</w:t>
            </w:r>
          </w:p>
        </w:tc>
        <w:tc>
          <w:tcPr>
            <w:tcW w:w="362" w:type="pct"/>
            <w:shd w:val="clear" w:color="auto" w:fill="auto"/>
            <w:vAlign w:val="bottom"/>
            <w:hideMark/>
          </w:tcPr>
          <w:p w14:paraId="32B54C63" w14:textId="221989FA" w:rsidR="00F24106" w:rsidRPr="00B51E48" w:rsidRDefault="00F24106" w:rsidP="0061013B">
            <w:pPr>
              <w:pStyle w:val="NoSpacing"/>
              <w:jc w:val="center"/>
              <w:rPr>
                <w:b/>
                <w:sz w:val="16"/>
                <w:szCs w:val="16"/>
              </w:rPr>
            </w:pPr>
            <w:r w:rsidRPr="00B51E48">
              <w:rPr>
                <w:b/>
                <w:sz w:val="16"/>
                <w:szCs w:val="16"/>
              </w:rPr>
              <w:t>National income status</w:t>
            </w:r>
          </w:p>
        </w:tc>
        <w:tc>
          <w:tcPr>
            <w:tcW w:w="367" w:type="pct"/>
            <w:shd w:val="clear" w:color="auto" w:fill="auto"/>
            <w:vAlign w:val="bottom"/>
            <w:hideMark/>
          </w:tcPr>
          <w:p w14:paraId="70404775" w14:textId="77777777" w:rsidR="00F24106" w:rsidRPr="00B51E48" w:rsidRDefault="00F24106" w:rsidP="0061013B">
            <w:pPr>
              <w:pStyle w:val="NoSpacing"/>
              <w:jc w:val="center"/>
              <w:rPr>
                <w:b/>
                <w:sz w:val="16"/>
                <w:szCs w:val="16"/>
              </w:rPr>
            </w:pPr>
            <w:r>
              <w:rPr>
                <w:b/>
                <w:sz w:val="16"/>
                <w:szCs w:val="16"/>
              </w:rPr>
              <w:t>User-fee</w:t>
            </w:r>
            <w:r w:rsidRPr="00B51E48">
              <w:rPr>
                <w:b/>
                <w:sz w:val="16"/>
                <w:szCs w:val="16"/>
              </w:rPr>
              <w:t>s (Yes/ No/ Mixed)</w:t>
            </w:r>
          </w:p>
        </w:tc>
        <w:tc>
          <w:tcPr>
            <w:tcW w:w="315" w:type="pct"/>
            <w:vAlign w:val="bottom"/>
          </w:tcPr>
          <w:p w14:paraId="6D023702" w14:textId="77777777" w:rsidR="00F24106" w:rsidRPr="00B51E48" w:rsidRDefault="00F24106" w:rsidP="0061013B">
            <w:pPr>
              <w:pStyle w:val="NoSpacing"/>
              <w:jc w:val="center"/>
              <w:rPr>
                <w:b/>
                <w:sz w:val="16"/>
                <w:szCs w:val="16"/>
              </w:rPr>
            </w:pPr>
            <w:r>
              <w:rPr>
                <w:b/>
                <w:sz w:val="16"/>
                <w:szCs w:val="16"/>
              </w:rPr>
              <w:t>Setting (Rural/ Urban/ Mixed)</w:t>
            </w:r>
          </w:p>
        </w:tc>
        <w:tc>
          <w:tcPr>
            <w:tcW w:w="316" w:type="pct"/>
            <w:shd w:val="clear" w:color="auto" w:fill="auto"/>
            <w:vAlign w:val="bottom"/>
            <w:hideMark/>
          </w:tcPr>
          <w:p w14:paraId="090529F6" w14:textId="77777777" w:rsidR="00F24106" w:rsidRPr="00B51E48" w:rsidRDefault="00F24106" w:rsidP="0061013B">
            <w:pPr>
              <w:pStyle w:val="NoSpacing"/>
              <w:jc w:val="center"/>
              <w:rPr>
                <w:b/>
                <w:sz w:val="16"/>
                <w:szCs w:val="16"/>
              </w:rPr>
            </w:pPr>
            <w:r w:rsidRPr="00B51E48">
              <w:rPr>
                <w:b/>
                <w:sz w:val="16"/>
                <w:szCs w:val="16"/>
              </w:rPr>
              <w:t>Total deaths</w:t>
            </w:r>
          </w:p>
        </w:tc>
        <w:tc>
          <w:tcPr>
            <w:tcW w:w="545" w:type="pct"/>
            <w:shd w:val="clear" w:color="auto" w:fill="auto"/>
            <w:vAlign w:val="bottom"/>
            <w:hideMark/>
          </w:tcPr>
          <w:p w14:paraId="26277AF1" w14:textId="77777777" w:rsidR="00F24106" w:rsidRPr="00B51E48" w:rsidRDefault="00F24106" w:rsidP="0061013B">
            <w:pPr>
              <w:pStyle w:val="NoSpacing"/>
              <w:jc w:val="center"/>
              <w:rPr>
                <w:b/>
                <w:sz w:val="16"/>
                <w:szCs w:val="16"/>
              </w:rPr>
            </w:pPr>
            <w:r w:rsidRPr="00B51E48">
              <w:rPr>
                <w:b/>
                <w:sz w:val="16"/>
                <w:szCs w:val="16"/>
              </w:rPr>
              <w:t>Instrument used</w:t>
            </w:r>
          </w:p>
        </w:tc>
        <w:tc>
          <w:tcPr>
            <w:tcW w:w="373" w:type="pct"/>
            <w:shd w:val="clear" w:color="auto" w:fill="auto"/>
            <w:vAlign w:val="bottom"/>
            <w:hideMark/>
          </w:tcPr>
          <w:p w14:paraId="53A42858" w14:textId="77777777" w:rsidR="00F24106" w:rsidRPr="00B51E48" w:rsidRDefault="00F24106" w:rsidP="0061013B">
            <w:pPr>
              <w:pStyle w:val="NoSpacing"/>
              <w:jc w:val="center"/>
              <w:rPr>
                <w:b/>
                <w:sz w:val="16"/>
                <w:szCs w:val="16"/>
              </w:rPr>
            </w:pPr>
            <w:r w:rsidRPr="00B51E48">
              <w:rPr>
                <w:b/>
                <w:sz w:val="16"/>
                <w:szCs w:val="16"/>
              </w:rPr>
              <w:t>Recall period</w:t>
            </w:r>
          </w:p>
        </w:tc>
        <w:tc>
          <w:tcPr>
            <w:tcW w:w="759" w:type="pct"/>
            <w:shd w:val="clear" w:color="auto" w:fill="auto"/>
            <w:vAlign w:val="bottom"/>
            <w:hideMark/>
          </w:tcPr>
          <w:p w14:paraId="5BACAC08" w14:textId="77777777" w:rsidR="00F24106" w:rsidRPr="00B51E48" w:rsidRDefault="00F24106" w:rsidP="0061013B">
            <w:pPr>
              <w:pStyle w:val="NoSpacing"/>
              <w:jc w:val="center"/>
              <w:rPr>
                <w:b/>
                <w:sz w:val="16"/>
                <w:szCs w:val="16"/>
              </w:rPr>
            </w:pPr>
            <w:r w:rsidRPr="00B51E48">
              <w:rPr>
                <w:b/>
                <w:sz w:val="16"/>
                <w:szCs w:val="16"/>
              </w:rPr>
              <w:t xml:space="preserve">Data collected on the </w:t>
            </w:r>
            <w:r>
              <w:rPr>
                <w:b/>
                <w:sz w:val="16"/>
                <w:szCs w:val="16"/>
              </w:rPr>
              <w:t>care-seeking</w:t>
            </w:r>
            <w:r w:rsidRPr="00B51E48">
              <w:rPr>
                <w:b/>
                <w:sz w:val="16"/>
                <w:szCs w:val="16"/>
              </w:rPr>
              <w:t xml:space="preserve"> process 1) illness recognition; 2) recognition of severe illness; 3) home care; 4a) sought care outside the home; 4b) type of health care sought; 5) referral; 6) compliance referral advice; 7) place of death</w:t>
            </w:r>
          </w:p>
        </w:tc>
        <w:tc>
          <w:tcPr>
            <w:tcW w:w="381" w:type="pct"/>
            <w:shd w:val="clear" w:color="auto" w:fill="auto"/>
            <w:vAlign w:val="bottom"/>
            <w:hideMark/>
          </w:tcPr>
          <w:p w14:paraId="0A50969C" w14:textId="77777777" w:rsidR="00F24106" w:rsidRPr="00B51E48" w:rsidRDefault="00F24106" w:rsidP="0061013B">
            <w:pPr>
              <w:pStyle w:val="NoSpacing"/>
              <w:jc w:val="center"/>
              <w:rPr>
                <w:b/>
                <w:sz w:val="16"/>
                <w:szCs w:val="16"/>
              </w:rPr>
            </w:pPr>
            <w:r w:rsidRPr="00B51E48">
              <w:rPr>
                <w:b/>
                <w:sz w:val="16"/>
                <w:szCs w:val="16"/>
              </w:rPr>
              <w:t>Conceptual model used to drive analysis</w:t>
            </w:r>
          </w:p>
        </w:tc>
        <w:tc>
          <w:tcPr>
            <w:tcW w:w="253" w:type="pct"/>
            <w:shd w:val="clear" w:color="auto" w:fill="auto"/>
            <w:vAlign w:val="bottom"/>
            <w:hideMark/>
          </w:tcPr>
          <w:p w14:paraId="50AEA122" w14:textId="77777777" w:rsidR="00F24106" w:rsidRPr="00B51E48" w:rsidRDefault="00F24106" w:rsidP="0061013B">
            <w:pPr>
              <w:pStyle w:val="NoSpacing"/>
              <w:jc w:val="center"/>
              <w:rPr>
                <w:b/>
                <w:sz w:val="16"/>
                <w:szCs w:val="16"/>
              </w:rPr>
            </w:pPr>
            <w:r w:rsidRPr="00B51E48">
              <w:rPr>
                <w:b/>
                <w:sz w:val="16"/>
                <w:szCs w:val="16"/>
              </w:rPr>
              <w:t>Quality score</w:t>
            </w:r>
          </w:p>
        </w:tc>
      </w:tr>
      <w:tr w:rsidR="00F24106" w:rsidRPr="00A276BA" w14:paraId="6A873343" w14:textId="77777777" w:rsidTr="0061013B">
        <w:trPr>
          <w:cantSplit/>
          <w:trHeight w:val="315"/>
        </w:trPr>
        <w:tc>
          <w:tcPr>
            <w:tcW w:w="380" w:type="pct"/>
            <w:shd w:val="clear" w:color="auto" w:fill="auto"/>
            <w:noWrap/>
            <w:vAlign w:val="bottom"/>
            <w:hideMark/>
          </w:tcPr>
          <w:p w14:paraId="1CB46EE6" w14:textId="26A585F2" w:rsidR="00F24106" w:rsidRPr="00A276BA" w:rsidRDefault="00F24106" w:rsidP="00F24106">
            <w:pPr>
              <w:pStyle w:val="NoSpacing"/>
              <w:rPr>
                <w:sz w:val="16"/>
                <w:szCs w:val="16"/>
              </w:rPr>
            </w:pPr>
            <w:r w:rsidRPr="00A276BA">
              <w:rPr>
                <w:sz w:val="16"/>
                <w:szCs w:val="16"/>
              </w:rPr>
              <w:t xml:space="preserve">Snow </w:t>
            </w:r>
            <w:r>
              <w:rPr>
                <w:sz w:val="16"/>
                <w:szCs w:val="16"/>
              </w:rPr>
              <w:t xml:space="preserve">1994 </w:t>
            </w:r>
            <w:r>
              <w:rPr>
                <w:sz w:val="16"/>
                <w:szCs w:val="16"/>
              </w:rPr>
              <w:fldChar w:fldCharType="begin" w:fldLock="1"/>
            </w:r>
            <w:r w:rsidR="00166DD4">
              <w:rPr>
                <w:sz w:val="16"/>
                <w:szCs w:val="16"/>
              </w:rPr>
              <w:instrText>ADDIN CSL_CITATION {"citationItems":[{"id":"ITEM-1","itemData":{"ISSN":"0300-5771 (Print)","PMID":"7860152","abstract":"BACKGROUND: Access to essential clinical services offered by district hospitals or health centres forms an important component of primary health care activities in the developing world. Utilization of hospital facilities during life-threatening childhood illnesses will affect survivorship. METHODS: We have examined clinical, geographical, social, economic and demographic features of families of 49 children who consulted a hospital facility during a terminal illness and 88 who did not during a 1-year prospective demographic and hospital-based surveillance of a rural community on the Kenyan Coast. RESULTS: Of children who died without admission, 15% had symptoms which lasted only 1 day compared to no children who were admitted (P = 0.004). Furthermore, those who died without admission tended to live further away from the nearest bus stage (P = 0.01) and had made greater use of traditional healers (P = 0.08). Mothers' education or household socioeconomic status did not influence admission to hospital. CONCLUSION: Health education is required to improve early recognition of clinical signs warranting hospital care and traditional healers should be included in any community-based education programmes.","author":[{"dropping-particle":"","family":"Snow","given":"R W","non-dropping-particle":"","parse-names":false,"suffix":""},{"dropping-particle":"","family":"Schellenberg","given":"J R","non-dropping-particle":"","parse-names":false,"suffix":""},{"dropping-particle":"","family":"Forster","given":"D","non-dropping-particle":"","parse-names":false,"suffix":""},{"dropping-particle":"","family":"Mung'ala","given":"V O","non-dropping-particle":"","parse-names":false,"suffix":""},{"dropping-particle":"","family":"Marsh","given":"K","non-dropping-particle":"","parse-names":false,"suffix":""}],"container-title":"International journal of epidemiology","id":"ITEM-1","issue":"5","issued":{"date-parts":[["1994","10"]]},"language":"eng","page":"1013-1019","publisher-place":"England","title":"Factors influencing admission to hospital during terminal childhood illnesses in  Kenya.","type":"article-journal","volume":"23"},"uris":["http://www.mendeley.com/documents/?uuid=24d6dc10-8fc0-4822-a6c5-c41cab8ff501"]}],"mendeley":{"formattedCitation":"(41)","manualFormatting":"[40","plainTextFormattedCitation":"(41)","previouslyFormattedCitation":"(41)"},"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40</w:t>
            </w:r>
            <w:r>
              <w:rPr>
                <w:sz w:val="16"/>
                <w:szCs w:val="16"/>
              </w:rPr>
              <w:fldChar w:fldCharType="end"/>
            </w:r>
            <w:r w:rsidR="006F2C19">
              <w:rPr>
                <w:sz w:val="16"/>
                <w:szCs w:val="16"/>
              </w:rPr>
              <w:t>]</w:t>
            </w:r>
            <w:r>
              <w:rPr>
                <w:sz w:val="16"/>
                <w:szCs w:val="16"/>
              </w:rPr>
              <w:t xml:space="preserve"> </w:t>
            </w:r>
          </w:p>
        </w:tc>
        <w:tc>
          <w:tcPr>
            <w:tcW w:w="348" w:type="pct"/>
            <w:shd w:val="clear" w:color="FFFFFF" w:fill="FFFFFF"/>
            <w:noWrap/>
            <w:vAlign w:val="bottom"/>
            <w:hideMark/>
          </w:tcPr>
          <w:p w14:paraId="510F2B85" w14:textId="77777777" w:rsidR="00F24106" w:rsidRPr="00A276BA" w:rsidRDefault="00F24106" w:rsidP="0061013B">
            <w:pPr>
              <w:pStyle w:val="NoSpacing"/>
              <w:jc w:val="center"/>
              <w:rPr>
                <w:sz w:val="16"/>
                <w:szCs w:val="16"/>
              </w:rPr>
            </w:pPr>
            <w:r w:rsidRPr="00A276BA">
              <w:rPr>
                <w:sz w:val="16"/>
                <w:szCs w:val="16"/>
              </w:rPr>
              <w:t>1992-1993</w:t>
            </w:r>
          </w:p>
        </w:tc>
        <w:tc>
          <w:tcPr>
            <w:tcW w:w="316" w:type="pct"/>
            <w:shd w:val="clear" w:color="FFFFFF" w:fill="FFFFFF"/>
            <w:noWrap/>
            <w:vAlign w:val="bottom"/>
            <w:hideMark/>
          </w:tcPr>
          <w:p w14:paraId="4E057DDC" w14:textId="77777777" w:rsidR="00F24106" w:rsidRPr="00A276BA" w:rsidRDefault="00F24106" w:rsidP="0061013B">
            <w:pPr>
              <w:pStyle w:val="NoSpacing"/>
              <w:jc w:val="center"/>
              <w:rPr>
                <w:sz w:val="16"/>
                <w:szCs w:val="16"/>
              </w:rPr>
            </w:pPr>
            <w:r w:rsidRPr="00A276BA">
              <w:rPr>
                <w:sz w:val="16"/>
                <w:szCs w:val="16"/>
              </w:rPr>
              <w:t>Kenya</w:t>
            </w:r>
          </w:p>
        </w:tc>
        <w:tc>
          <w:tcPr>
            <w:tcW w:w="285" w:type="pct"/>
            <w:shd w:val="clear" w:color="FFFFFF" w:fill="FFFFFF"/>
            <w:noWrap/>
            <w:vAlign w:val="bottom"/>
            <w:hideMark/>
          </w:tcPr>
          <w:p w14:paraId="43BA3404"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FFFFFF" w:fill="FFFFFF"/>
            <w:noWrap/>
            <w:vAlign w:val="bottom"/>
            <w:hideMark/>
          </w:tcPr>
          <w:p w14:paraId="596A6826" w14:textId="77777777" w:rsidR="00F24106" w:rsidRPr="00A276BA" w:rsidRDefault="00F24106" w:rsidP="0061013B">
            <w:pPr>
              <w:pStyle w:val="NoSpacing"/>
              <w:jc w:val="center"/>
              <w:rPr>
                <w:sz w:val="16"/>
                <w:szCs w:val="16"/>
              </w:rPr>
            </w:pPr>
            <w:r w:rsidRPr="00A276BA">
              <w:rPr>
                <w:sz w:val="16"/>
                <w:szCs w:val="16"/>
              </w:rPr>
              <w:t>Low</w:t>
            </w:r>
            <w:r>
              <w:rPr>
                <w:sz w:val="16"/>
                <w:szCs w:val="16"/>
              </w:rPr>
              <w:t xml:space="preserve"> </w:t>
            </w:r>
            <w:r w:rsidRPr="00A276BA">
              <w:rPr>
                <w:sz w:val="16"/>
                <w:szCs w:val="16"/>
              </w:rPr>
              <w:t>income</w:t>
            </w:r>
          </w:p>
        </w:tc>
        <w:tc>
          <w:tcPr>
            <w:tcW w:w="367" w:type="pct"/>
            <w:shd w:val="clear" w:color="FFFFFF" w:fill="FFFFFF"/>
            <w:noWrap/>
            <w:vAlign w:val="bottom"/>
            <w:hideMark/>
          </w:tcPr>
          <w:p w14:paraId="622A6CD1" w14:textId="77777777" w:rsidR="00F24106" w:rsidRPr="00A276BA" w:rsidRDefault="00F24106" w:rsidP="0061013B">
            <w:pPr>
              <w:pStyle w:val="NoSpacing"/>
              <w:jc w:val="center"/>
              <w:rPr>
                <w:sz w:val="16"/>
                <w:szCs w:val="16"/>
              </w:rPr>
            </w:pPr>
            <w:r w:rsidRPr="00A276BA">
              <w:rPr>
                <w:sz w:val="16"/>
                <w:szCs w:val="16"/>
              </w:rPr>
              <w:t>Y</w:t>
            </w:r>
          </w:p>
        </w:tc>
        <w:tc>
          <w:tcPr>
            <w:tcW w:w="315" w:type="pct"/>
            <w:shd w:val="clear" w:color="FFFFFF" w:fill="FFFFFF"/>
            <w:vAlign w:val="bottom"/>
          </w:tcPr>
          <w:p w14:paraId="109D872A" w14:textId="77777777" w:rsidR="00F24106" w:rsidRPr="00A276BA" w:rsidRDefault="00F24106" w:rsidP="0061013B">
            <w:pPr>
              <w:pStyle w:val="NoSpacing"/>
              <w:jc w:val="center"/>
              <w:rPr>
                <w:sz w:val="16"/>
                <w:szCs w:val="16"/>
              </w:rPr>
            </w:pPr>
            <w:r>
              <w:rPr>
                <w:sz w:val="16"/>
                <w:szCs w:val="16"/>
              </w:rPr>
              <w:t>Rural</w:t>
            </w:r>
          </w:p>
        </w:tc>
        <w:tc>
          <w:tcPr>
            <w:tcW w:w="316" w:type="pct"/>
            <w:shd w:val="clear" w:color="FFFFFF" w:fill="FFFFFF"/>
            <w:noWrap/>
            <w:vAlign w:val="bottom"/>
            <w:hideMark/>
          </w:tcPr>
          <w:p w14:paraId="065705B1" w14:textId="77777777" w:rsidR="00F24106" w:rsidRPr="00A276BA" w:rsidRDefault="00F24106" w:rsidP="0061013B">
            <w:pPr>
              <w:pStyle w:val="NoSpacing"/>
              <w:jc w:val="center"/>
              <w:rPr>
                <w:sz w:val="16"/>
                <w:szCs w:val="16"/>
              </w:rPr>
            </w:pPr>
            <w:r w:rsidRPr="00A276BA">
              <w:rPr>
                <w:sz w:val="16"/>
                <w:szCs w:val="16"/>
              </w:rPr>
              <w:t>137</w:t>
            </w:r>
          </w:p>
        </w:tc>
        <w:tc>
          <w:tcPr>
            <w:tcW w:w="545" w:type="pct"/>
            <w:shd w:val="clear" w:color="FFFFFF" w:fill="FFFFFF"/>
            <w:noWrap/>
            <w:vAlign w:val="bottom"/>
            <w:hideMark/>
          </w:tcPr>
          <w:p w14:paraId="538209F4" w14:textId="77777777" w:rsidR="00F24106" w:rsidRPr="00A276BA" w:rsidRDefault="00F24106" w:rsidP="0061013B">
            <w:pPr>
              <w:pStyle w:val="NoSpacing"/>
              <w:jc w:val="center"/>
              <w:rPr>
                <w:sz w:val="16"/>
                <w:szCs w:val="16"/>
              </w:rPr>
            </w:pPr>
            <w:r w:rsidRPr="00A276BA">
              <w:rPr>
                <w:sz w:val="16"/>
                <w:szCs w:val="16"/>
              </w:rPr>
              <w:t>Site-specific pro-forma</w:t>
            </w:r>
          </w:p>
        </w:tc>
        <w:tc>
          <w:tcPr>
            <w:tcW w:w="373" w:type="pct"/>
            <w:shd w:val="clear" w:color="FFFFFF" w:fill="FFFFFF"/>
            <w:noWrap/>
            <w:vAlign w:val="bottom"/>
            <w:hideMark/>
          </w:tcPr>
          <w:p w14:paraId="3EC4A763"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FFFFFF" w:fill="FFFFFF"/>
            <w:noWrap/>
            <w:vAlign w:val="bottom"/>
            <w:hideMark/>
          </w:tcPr>
          <w:p w14:paraId="19566153" w14:textId="77777777" w:rsidR="00F24106" w:rsidRPr="00A276BA" w:rsidRDefault="00F24106" w:rsidP="0061013B">
            <w:pPr>
              <w:pStyle w:val="NoSpacing"/>
              <w:jc w:val="center"/>
              <w:rPr>
                <w:sz w:val="16"/>
                <w:szCs w:val="16"/>
              </w:rPr>
            </w:pPr>
            <w:r w:rsidRPr="00A276BA">
              <w:rPr>
                <w:sz w:val="16"/>
                <w:szCs w:val="16"/>
              </w:rPr>
              <w:t>7</w:t>
            </w:r>
          </w:p>
        </w:tc>
        <w:tc>
          <w:tcPr>
            <w:tcW w:w="381" w:type="pct"/>
            <w:shd w:val="clear" w:color="FFFFFF" w:fill="FFFFFF"/>
            <w:noWrap/>
            <w:vAlign w:val="bottom"/>
            <w:hideMark/>
          </w:tcPr>
          <w:p w14:paraId="21E07742"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FFFFFF" w:fill="FFFFFF"/>
            <w:noWrap/>
            <w:vAlign w:val="bottom"/>
            <w:hideMark/>
          </w:tcPr>
          <w:p w14:paraId="3B4BEB1B" w14:textId="77777777" w:rsidR="00F24106" w:rsidRPr="00A276BA" w:rsidRDefault="00F24106" w:rsidP="0061013B">
            <w:pPr>
              <w:pStyle w:val="NoSpacing"/>
              <w:jc w:val="center"/>
              <w:rPr>
                <w:sz w:val="16"/>
                <w:szCs w:val="16"/>
              </w:rPr>
            </w:pPr>
            <w:r w:rsidRPr="00A276BA">
              <w:rPr>
                <w:sz w:val="16"/>
                <w:szCs w:val="16"/>
              </w:rPr>
              <w:t>0.71</w:t>
            </w:r>
          </w:p>
        </w:tc>
      </w:tr>
      <w:tr w:rsidR="00F24106" w:rsidRPr="00A276BA" w14:paraId="1110BAA6" w14:textId="77777777" w:rsidTr="0061013B">
        <w:trPr>
          <w:cantSplit/>
          <w:trHeight w:val="315"/>
        </w:trPr>
        <w:tc>
          <w:tcPr>
            <w:tcW w:w="380" w:type="pct"/>
            <w:shd w:val="clear" w:color="auto" w:fill="auto"/>
            <w:noWrap/>
            <w:vAlign w:val="bottom"/>
            <w:hideMark/>
          </w:tcPr>
          <w:p w14:paraId="5FC683FA" w14:textId="1E5F060C" w:rsidR="00F24106" w:rsidRPr="00A276BA" w:rsidRDefault="00F24106" w:rsidP="00BF67EF">
            <w:pPr>
              <w:pStyle w:val="NoSpacing"/>
              <w:rPr>
                <w:sz w:val="16"/>
                <w:szCs w:val="16"/>
              </w:rPr>
            </w:pPr>
            <w:r w:rsidRPr="00A276BA">
              <w:rPr>
                <w:sz w:val="16"/>
                <w:szCs w:val="16"/>
              </w:rPr>
              <w:t>Sodemann</w:t>
            </w:r>
            <w:r>
              <w:rPr>
                <w:sz w:val="16"/>
                <w:szCs w:val="16"/>
              </w:rPr>
              <w:t xml:space="preserve"> 1997 </w:t>
            </w:r>
            <w:r>
              <w:rPr>
                <w:sz w:val="16"/>
                <w:szCs w:val="16"/>
              </w:rPr>
              <w:fldChar w:fldCharType="begin" w:fldLock="1"/>
            </w:r>
            <w:r w:rsidR="00876406">
              <w:rPr>
                <w:sz w:val="16"/>
                <w:szCs w:val="16"/>
              </w:rPr>
              <w:instrText>ADDIN CSL_CITATION {"citationItems":[{"id":"ITEM-1","itemData":{"ISBN":"0042-9686","ISSN":"0042-9686 (Print)","PMID":"9277007","abstract":"The care-seeking behaviour of mothers of 125 children deceased aged 1- 30 months was investigated by verbal autopsy in an urban area of Guinea- Bissau. A total of 93% of the children were seen at a health centre or hospital during the 2 weeks before death. In a previous survey covering the period 1987-90 we found that 78% of the children who died had presented for consultation (8); despite this increase in care seeking, infant mortality had not decreased. Comparison of elapsed time from disease onset to first consultation between children who died and matched surviving controls indicated that the interval was shorter for children who died than for those who survived (odds ratio (OR): 0.7; 95% confidence interval (CI): 0.5-0.99). Of the 125 terminally ill children, 56 were hospitalized. A total of 20 children died on the way to hospital or while waiting in the outpatient clinic. Lack of hospital beds resulted in 15 mothers being refused hospitalization for their child. Of hospitalized children, 42% were discharged as improved or recovered during the 30 days preceding death. These results reveal a need for improved hospital admission criteria, improved recognition of the symptoms of serious illness, better discharge criteria, and the implementation of quality assurance systems for health services.","author":[{"dropping-particle":"","family":"Sodemann","given":"M","non-dropping-particle":"","parse-names":false,"suffix":""},{"dropping-particle":"","family":"Jakobsen","given":"M S","non-dropping-particle":"","parse-names":false,"suffix":""},{"dropping-particle":"","family":"Molbak","given":"K","non-dropping-particle":"","parse-names":false,"suffix":""},{"dropping-particle":"","family":"Alvarenga","given":"I C Jr","non-dropping-particle":"","parse-names":false,"suffix":""},{"dropping-particle":"","family":"Aaby","given":"P","non-dropping-particle":"","parse-names":false,"suffix":""}],"container-title":"Bulletin of the World Health Organization","id":"ITEM-1","issue":"3","issued":{"date-parts":[["1997"]]},"language":"eng","page":"205-212","publisher":"World Health Organization (20 Ave. Appia, Geneva 27 CH-1211, Switzerland)","publisher-place":"M. Sodemann, Dept. of Epidemiology/Social Med., University of Aarhus, Hoegh-Guldbergsgade 10, DK-8000 Aarhus C, Denmark, Switzerland","title":"High mortality despite good care-seeking behaviour: A community study of childhood deaths in Guinea-Bissau","type":"article-journal","volume":"75"},"uris":["http://www.mendeley.com/documents/?uuid=e3388bb8-2c68-46ae-b422-9615fe3a2a5a"]}],"mendeley":{"formattedCitation":"(30)","manualFormatting":"[30","plainTextFormattedCitation":"(30)","previouslyFormattedCitation":"(30)"},"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30</w:t>
            </w:r>
            <w:r>
              <w:rPr>
                <w:sz w:val="16"/>
                <w:szCs w:val="16"/>
              </w:rPr>
              <w:fldChar w:fldCharType="end"/>
            </w:r>
            <w:r w:rsidR="006F2C19">
              <w:rPr>
                <w:sz w:val="16"/>
                <w:szCs w:val="16"/>
              </w:rPr>
              <w:t>]</w:t>
            </w:r>
          </w:p>
        </w:tc>
        <w:tc>
          <w:tcPr>
            <w:tcW w:w="348" w:type="pct"/>
            <w:shd w:val="clear" w:color="auto" w:fill="auto"/>
            <w:noWrap/>
            <w:vAlign w:val="bottom"/>
            <w:hideMark/>
          </w:tcPr>
          <w:p w14:paraId="5DC20A93" w14:textId="77777777" w:rsidR="00F24106" w:rsidRPr="00A276BA" w:rsidRDefault="00F24106" w:rsidP="0061013B">
            <w:pPr>
              <w:pStyle w:val="NoSpacing"/>
              <w:jc w:val="center"/>
              <w:rPr>
                <w:sz w:val="16"/>
                <w:szCs w:val="16"/>
              </w:rPr>
            </w:pPr>
            <w:r w:rsidRPr="00A276BA">
              <w:rPr>
                <w:sz w:val="16"/>
                <w:szCs w:val="16"/>
              </w:rPr>
              <w:t>1992-1993</w:t>
            </w:r>
          </w:p>
        </w:tc>
        <w:tc>
          <w:tcPr>
            <w:tcW w:w="316" w:type="pct"/>
            <w:shd w:val="clear" w:color="auto" w:fill="auto"/>
            <w:noWrap/>
            <w:vAlign w:val="bottom"/>
            <w:hideMark/>
          </w:tcPr>
          <w:p w14:paraId="781C93CC" w14:textId="77777777" w:rsidR="00F24106" w:rsidRPr="00A276BA" w:rsidRDefault="00F24106" w:rsidP="0061013B">
            <w:pPr>
              <w:pStyle w:val="NoSpacing"/>
              <w:jc w:val="center"/>
              <w:rPr>
                <w:sz w:val="16"/>
                <w:szCs w:val="16"/>
              </w:rPr>
            </w:pPr>
            <w:r w:rsidRPr="00A276BA">
              <w:rPr>
                <w:sz w:val="16"/>
                <w:szCs w:val="16"/>
              </w:rPr>
              <w:t>Guinea-Bissau</w:t>
            </w:r>
          </w:p>
        </w:tc>
        <w:tc>
          <w:tcPr>
            <w:tcW w:w="285" w:type="pct"/>
            <w:shd w:val="clear" w:color="auto" w:fill="auto"/>
            <w:noWrap/>
            <w:vAlign w:val="bottom"/>
            <w:hideMark/>
          </w:tcPr>
          <w:p w14:paraId="7B5EF69C" w14:textId="77777777" w:rsidR="00F24106" w:rsidRPr="00A276BA" w:rsidRDefault="00F24106" w:rsidP="0061013B">
            <w:pPr>
              <w:pStyle w:val="NoSpacing"/>
              <w:jc w:val="center"/>
              <w:rPr>
                <w:sz w:val="16"/>
                <w:szCs w:val="16"/>
              </w:rPr>
            </w:pPr>
            <w:r w:rsidRPr="00A276BA">
              <w:rPr>
                <w:sz w:val="16"/>
                <w:szCs w:val="16"/>
              </w:rPr>
              <w:t>1-30 months</w:t>
            </w:r>
          </w:p>
        </w:tc>
        <w:tc>
          <w:tcPr>
            <w:tcW w:w="362" w:type="pct"/>
            <w:shd w:val="clear" w:color="auto" w:fill="auto"/>
            <w:noWrap/>
            <w:vAlign w:val="bottom"/>
            <w:hideMark/>
          </w:tcPr>
          <w:p w14:paraId="0527C878"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62425891"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264C9CA0" w14:textId="77777777" w:rsidR="00F24106" w:rsidRPr="00A276BA" w:rsidRDefault="00F24106" w:rsidP="0061013B">
            <w:pPr>
              <w:pStyle w:val="NoSpacing"/>
              <w:jc w:val="center"/>
              <w:rPr>
                <w:sz w:val="16"/>
                <w:szCs w:val="16"/>
              </w:rPr>
            </w:pPr>
            <w:r>
              <w:rPr>
                <w:sz w:val="16"/>
                <w:szCs w:val="16"/>
              </w:rPr>
              <w:t>Urban</w:t>
            </w:r>
          </w:p>
        </w:tc>
        <w:tc>
          <w:tcPr>
            <w:tcW w:w="316" w:type="pct"/>
            <w:shd w:val="clear" w:color="auto" w:fill="auto"/>
            <w:noWrap/>
            <w:vAlign w:val="bottom"/>
            <w:hideMark/>
          </w:tcPr>
          <w:p w14:paraId="642179D1" w14:textId="77777777" w:rsidR="00F24106" w:rsidRPr="00A276BA" w:rsidRDefault="00F24106" w:rsidP="0061013B">
            <w:pPr>
              <w:pStyle w:val="NoSpacing"/>
              <w:jc w:val="center"/>
              <w:rPr>
                <w:sz w:val="16"/>
                <w:szCs w:val="16"/>
              </w:rPr>
            </w:pPr>
            <w:r w:rsidRPr="00A276BA">
              <w:rPr>
                <w:sz w:val="16"/>
                <w:szCs w:val="16"/>
              </w:rPr>
              <w:t>125</w:t>
            </w:r>
          </w:p>
        </w:tc>
        <w:tc>
          <w:tcPr>
            <w:tcW w:w="545" w:type="pct"/>
            <w:shd w:val="clear" w:color="auto" w:fill="auto"/>
            <w:noWrap/>
            <w:vAlign w:val="bottom"/>
            <w:hideMark/>
          </w:tcPr>
          <w:p w14:paraId="734B4301" w14:textId="77777777" w:rsidR="00F24106" w:rsidRPr="00A276BA" w:rsidRDefault="00F24106" w:rsidP="0061013B">
            <w:pPr>
              <w:pStyle w:val="NoSpacing"/>
              <w:jc w:val="center"/>
              <w:rPr>
                <w:sz w:val="16"/>
                <w:szCs w:val="16"/>
              </w:rPr>
            </w:pPr>
            <w:r w:rsidRPr="00A276BA">
              <w:rPr>
                <w:sz w:val="16"/>
                <w:szCs w:val="16"/>
              </w:rPr>
              <w:t>Unspecified</w:t>
            </w:r>
          </w:p>
        </w:tc>
        <w:tc>
          <w:tcPr>
            <w:tcW w:w="373" w:type="pct"/>
            <w:shd w:val="clear" w:color="auto" w:fill="auto"/>
            <w:noWrap/>
            <w:vAlign w:val="bottom"/>
            <w:hideMark/>
          </w:tcPr>
          <w:p w14:paraId="295675C6" w14:textId="77777777" w:rsidR="00F24106" w:rsidRPr="00A276BA" w:rsidRDefault="00F24106" w:rsidP="0061013B">
            <w:pPr>
              <w:pStyle w:val="NoSpacing"/>
              <w:jc w:val="center"/>
              <w:rPr>
                <w:sz w:val="16"/>
                <w:szCs w:val="16"/>
              </w:rPr>
            </w:pPr>
            <w:r w:rsidRPr="00A276BA">
              <w:rPr>
                <w:sz w:val="16"/>
                <w:szCs w:val="16"/>
              </w:rPr>
              <w:t>Median 7 months (IQR 6-9 months)</w:t>
            </w:r>
          </w:p>
        </w:tc>
        <w:tc>
          <w:tcPr>
            <w:tcW w:w="759" w:type="pct"/>
            <w:shd w:val="clear" w:color="auto" w:fill="auto"/>
            <w:noWrap/>
            <w:vAlign w:val="bottom"/>
            <w:hideMark/>
          </w:tcPr>
          <w:p w14:paraId="74F102DF" w14:textId="77777777" w:rsidR="00F24106" w:rsidRPr="00A276BA" w:rsidRDefault="00F24106" w:rsidP="0061013B">
            <w:pPr>
              <w:pStyle w:val="NoSpacing"/>
              <w:jc w:val="center"/>
              <w:rPr>
                <w:sz w:val="16"/>
                <w:szCs w:val="16"/>
              </w:rPr>
            </w:pPr>
            <w:r w:rsidRPr="00A276BA">
              <w:rPr>
                <w:sz w:val="16"/>
                <w:szCs w:val="16"/>
              </w:rPr>
              <w:t>4a, 4b, 7</w:t>
            </w:r>
          </w:p>
        </w:tc>
        <w:tc>
          <w:tcPr>
            <w:tcW w:w="381" w:type="pct"/>
            <w:shd w:val="clear" w:color="auto" w:fill="auto"/>
            <w:noWrap/>
            <w:vAlign w:val="bottom"/>
            <w:hideMark/>
          </w:tcPr>
          <w:p w14:paraId="5D080BF6"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18BFCC63" w14:textId="77777777" w:rsidR="00F24106" w:rsidRPr="00A276BA" w:rsidRDefault="00F24106" w:rsidP="0061013B">
            <w:pPr>
              <w:pStyle w:val="NoSpacing"/>
              <w:jc w:val="center"/>
              <w:rPr>
                <w:sz w:val="16"/>
                <w:szCs w:val="16"/>
              </w:rPr>
            </w:pPr>
            <w:r w:rsidRPr="00A276BA">
              <w:rPr>
                <w:sz w:val="16"/>
                <w:szCs w:val="16"/>
              </w:rPr>
              <w:t>0.50</w:t>
            </w:r>
          </w:p>
        </w:tc>
      </w:tr>
      <w:tr w:rsidR="00F24106" w:rsidRPr="00A276BA" w14:paraId="42414689" w14:textId="77777777" w:rsidTr="0061013B">
        <w:trPr>
          <w:cantSplit/>
          <w:trHeight w:val="647"/>
        </w:trPr>
        <w:tc>
          <w:tcPr>
            <w:tcW w:w="380" w:type="pct"/>
            <w:shd w:val="clear" w:color="auto" w:fill="auto"/>
            <w:noWrap/>
            <w:vAlign w:val="bottom"/>
            <w:hideMark/>
          </w:tcPr>
          <w:p w14:paraId="49D52D20" w14:textId="3A4C202D" w:rsidR="00F24106" w:rsidRPr="00A276BA" w:rsidRDefault="00F24106" w:rsidP="00BF67EF">
            <w:pPr>
              <w:pStyle w:val="NoSpacing"/>
              <w:rPr>
                <w:sz w:val="16"/>
                <w:szCs w:val="16"/>
              </w:rPr>
            </w:pPr>
            <w:r w:rsidRPr="00A276BA">
              <w:rPr>
                <w:sz w:val="16"/>
                <w:szCs w:val="16"/>
              </w:rPr>
              <w:t>Garg</w:t>
            </w:r>
            <w:r>
              <w:rPr>
                <w:sz w:val="16"/>
                <w:szCs w:val="16"/>
              </w:rPr>
              <w:t xml:space="preserve"> 2001 </w:t>
            </w:r>
            <w:r>
              <w:rPr>
                <w:sz w:val="16"/>
                <w:szCs w:val="16"/>
              </w:rPr>
              <w:fldChar w:fldCharType="begin" w:fldLock="1"/>
            </w:r>
            <w:r w:rsidR="00876406">
              <w:rPr>
                <w:sz w:val="16"/>
                <w:szCs w:val="16"/>
              </w:rPr>
              <w:instrText>ADDIN CSL_CITATION {"citationItems":[{"id":"ITEM-1","itemData":{"ISBN":"0090-0036","ISSN":"0090-0036 (Print)","PMID":"11574320","author":[{"dropping-particle":"","family":"Garg","given":"R","non-dropping-particle":"","parse-names":false,"suffix":""},{"dropping-particle":"","family":"Omwomo","given":"W","non-dropping-particle":"","parse-names":false,"suffix":""},{"dropping-particle":"","family":"Witte","given":"J M","non-dropping-particle":"","parse-names":false,"suffix":""},{"dropping-particle":"","family":"Lee","given":"L A","non-dropping-particle":"","parse-names":false,"suffix":""},{"dropping-particle":"","family":"Deming","given":"M S","non-dropping-particle":"","parse-names":false,"suffix":""},{"dropping-particle":"","family":"R.","given":"Garg","non-dropping-particle":"","parse-names":false,"suffix":""},{"dropping-particle":"","family":"W.","given":"Omwomo","non-dropping-particle":"","parse-names":false,"suffix":""},{"dropping-particle":"","family":"J.M.","given":"Witte","non-dropping-particle":"","parse-names":false,"suffix":""},{"dropping-particle":"","family":"L.A.","given":"Lee","non-dropping-particle":"","parse-names":false,"suffix":""}],"container-title":"American Journal of Public Health","id":"ITEM-1","issue":"10","issued":{"date-parts":[["2001","10"]]},"language":"eng","page":"1611-1613","publisher":"American Public Health Association Inc. (800 I Street NW, Washington DC 20061-3710, United States)","publisher-place":"M.S. Deming, Division of Parasitic Diseases, Natl. Center for Infectious Diseases, Center for Disease Control and Prev., 4770 Buford Hwy, Atlanta, GA 30341, United States. E-mail: msd1@cdc.gov, United States","title":"Care seeking during fatal childhood illnesses: Siaya District, Kenya, 1998","type":"article-journal","volume":"91"},"uris":["http://www.mendeley.com/documents/?uuid=1479654f-c711-4c2c-941a-4ebde7b1ba5a"]}],"mendeley":{"formattedCitation":"(19)","manualFormatting":"[19","plainTextFormattedCitation":"(19)","previouslyFormattedCitation":"(19)"},"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19</w:t>
            </w:r>
            <w:r>
              <w:rPr>
                <w:sz w:val="16"/>
                <w:szCs w:val="16"/>
              </w:rPr>
              <w:fldChar w:fldCharType="end"/>
            </w:r>
            <w:r w:rsidR="006F2C19">
              <w:rPr>
                <w:sz w:val="16"/>
                <w:szCs w:val="16"/>
              </w:rPr>
              <w:t>]</w:t>
            </w:r>
          </w:p>
        </w:tc>
        <w:tc>
          <w:tcPr>
            <w:tcW w:w="348" w:type="pct"/>
            <w:shd w:val="clear" w:color="auto" w:fill="auto"/>
            <w:noWrap/>
            <w:vAlign w:val="bottom"/>
            <w:hideMark/>
          </w:tcPr>
          <w:p w14:paraId="1230EEA8" w14:textId="77777777" w:rsidR="00F24106" w:rsidRPr="00A276BA" w:rsidRDefault="00F24106" w:rsidP="0061013B">
            <w:pPr>
              <w:pStyle w:val="NoSpacing"/>
              <w:jc w:val="center"/>
              <w:rPr>
                <w:sz w:val="16"/>
                <w:szCs w:val="16"/>
              </w:rPr>
            </w:pPr>
            <w:r w:rsidRPr="00A276BA">
              <w:rPr>
                <w:sz w:val="16"/>
                <w:szCs w:val="16"/>
              </w:rPr>
              <w:t>1998</w:t>
            </w:r>
          </w:p>
        </w:tc>
        <w:tc>
          <w:tcPr>
            <w:tcW w:w="316" w:type="pct"/>
            <w:shd w:val="clear" w:color="auto" w:fill="auto"/>
            <w:noWrap/>
            <w:vAlign w:val="bottom"/>
            <w:hideMark/>
          </w:tcPr>
          <w:p w14:paraId="7A406830" w14:textId="77777777" w:rsidR="00F24106" w:rsidRPr="00A276BA" w:rsidRDefault="00F24106" w:rsidP="0061013B">
            <w:pPr>
              <w:pStyle w:val="NoSpacing"/>
              <w:jc w:val="center"/>
              <w:rPr>
                <w:sz w:val="16"/>
                <w:szCs w:val="16"/>
              </w:rPr>
            </w:pPr>
            <w:r w:rsidRPr="00A276BA">
              <w:rPr>
                <w:sz w:val="16"/>
                <w:szCs w:val="16"/>
              </w:rPr>
              <w:t>Kenya</w:t>
            </w:r>
          </w:p>
        </w:tc>
        <w:tc>
          <w:tcPr>
            <w:tcW w:w="285" w:type="pct"/>
            <w:shd w:val="clear" w:color="auto" w:fill="auto"/>
            <w:noWrap/>
            <w:vAlign w:val="bottom"/>
            <w:hideMark/>
          </w:tcPr>
          <w:p w14:paraId="13E9EC61"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auto" w:fill="auto"/>
            <w:noWrap/>
            <w:vAlign w:val="bottom"/>
            <w:hideMark/>
          </w:tcPr>
          <w:p w14:paraId="101E114B"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6C8A2BBB"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0BBC9BB3"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5DADD1C1" w14:textId="77777777" w:rsidR="00F24106" w:rsidRPr="00A276BA" w:rsidRDefault="00F24106" w:rsidP="0061013B">
            <w:pPr>
              <w:pStyle w:val="NoSpacing"/>
              <w:jc w:val="center"/>
              <w:rPr>
                <w:sz w:val="16"/>
                <w:szCs w:val="16"/>
              </w:rPr>
            </w:pPr>
            <w:r w:rsidRPr="00A276BA">
              <w:rPr>
                <w:sz w:val="16"/>
                <w:szCs w:val="16"/>
              </w:rPr>
              <w:t>97</w:t>
            </w:r>
          </w:p>
        </w:tc>
        <w:tc>
          <w:tcPr>
            <w:tcW w:w="545" w:type="pct"/>
            <w:shd w:val="clear" w:color="auto" w:fill="auto"/>
            <w:noWrap/>
            <w:vAlign w:val="bottom"/>
            <w:hideMark/>
          </w:tcPr>
          <w:p w14:paraId="7054CE00" w14:textId="77777777" w:rsidR="00F24106" w:rsidRPr="00A276BA" w:rsidRDefault="00F24106" w:rsidP="0061013B">
            <w:pPr>
              <w:pStyle w:val="NoSpacing"/>
              <w:jc w:val="center"/>
              <w:rPr>
                <w:sz w:val="16"/>
                <w:szCs w:val="16"/>
              </w:rPr>
            </w:pPr>
            <w:r w:rsidRPr="00A276BA">
              <w:rPr>
                <w:sz w:val="16"/>
                <w:szCs w:val="16"/>
              </w:rPr>
              <w:t>Unspecified</w:t>
            </w:r>
          </w:p>
        </w:tc>
        <w:tc>
          <w:tcPr>
            <w:tcW w:w="373" w:type="pct"/>
            <w:shd w:val="clear" w:color="auto" w:fill="auto"/>
            <w:noWrap/>
            <w:vAlign w:val="bottom"/>
            <w:hideMark/>
          </w:tcPr>
          <w:p w14:paraId="006FBDA1" w14:textId="77777777" w:rsidR="00F24106" w:rsidRPr="00A276BA" w:rsidRDefault="00F24106" w:rsidP="0061013B">
            <w:pPr>
              <w:pStyle w:val="NoSpacing"/>
              <w:jc w:val="center"/>
              <w:rPr>
                <w:sz w:val="16"/>
                <w:szCs w:val="16"/>
              </w:rPr>
            </w:pPr>
            <w:r w:rsidRPr="00A276BA">
              <w:rPr>
                <w:sz w:val="16"/>
                <w:szCs w:val="16"/>
              </w:rPr>
              <w:t>Median 29 days (range 7-152 days)</w:t>
            </w:r>
          </w:p>
        </w:tc>
        <w:tc>
          <w:tcPr>
            <w:tcW w:w="759" w:type="pct"/>
            <w:shd w:val="clear" w:color="auto" w:fill="auto"/>
            <w:noWrap/>
            <w:vAlign w:val="bottom"/>
            <w:hideMark/>
          </w:tcPr>
          <w:p w14:paraId="59CA850E" w14:textId="77777777" w:rsidR="00F24106" w:rsidRPr="00A276BA" w:rsidRDefault="00F24106" w:rsidP="0061013B">
            <w:pPr>
              <w:pStyle w:val="NoSpacing"/>
              <w:jc w:val="center"/>
              <w:rPr>
                <w:sz w:val="16"/>
                <w:szCs w:val="16"/>
              </w:rPr>
            </w:pPr>
            <w:r w:rsidRPr="00A276BA">
              <w:rPr>
                <w:sz w:val="16"/>
                <w:szCs w:val="16"/>
              </w:rPr>
              <w:t>4b, 7</w:t>
            </w:r>
          </w:p>
        </w:tc>
        <w:tc>
          <w:tcPr>
            <w:tcW w:w="381" w:type="pct"/>
            <w:shd w:val="clear" w:color="auto" w:fill="auto"/>
            <w:noWrap/>
            <w:vAlign w:val="bottom"/>
            <w:hideMark/>
          </w:tcPr>
          <w:p w14:paraId="495F5370"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6910BD76" w14:textId="77777777" w:rsidR="00F24106" w:rsidRPr="00A276BA" w:rsidRDefault="00F24106" w:rsidP="0061013B">
            <w:pPr>
              <w:pStyle w:val="NoSpacing"/>
              <w:jc w:val="center"/>
              <w:rPr>
                <w:sz w:val="16"/>
                <w:szCs w:val="16"/>
              </w:rPr>
            </w:pPr>
            <w:r w:rsidRPr="00A276BA">
              <w:rPr>
                <w:sz w:val="16"/>
                <w:szCs w:val="16"/>
              </w:rPr>
              <w:t>0.57</w:t>
            </w:r>
          </w:p>
        </w:tc>
      </w:tr>
      <w:tr w:rsidR="00F24106" w:rsidRPr="00A276BA" w14:paraId="726129F1" w14:textId="77777777" w:rsidTr="0061013B">
        <w:trPr>
          <w:cantSplit/>
          <w:trHeight w:val="315"/>
        </w:trPr>
        <w:tc>
          <w:tcPr>
            <w:tcW w:w="380" w:type="pct"/>
            <w:shd w:val="clear" w:color="auto" w:fill="auto"/>
            <w:noWrap/>
            <w:vAlign w:val="bottom"/>
            <w:hideMark/>
          </w:tcPr>
          <w:p w14:paraId="5D3BDA79" w14:textId="41A72441" w:rsidR="00F24106" w:rsidRPr="00A276BA" w:rsidRDefault="00F24106" w:rsidP="00BF67EF">
            <w:pPr>
              <w:pStyle w:val="NoSpacing"/>
              <w:rPr>
                <w:sz w:val="16"/>
                <w:szCs w:val="16"/>
              </w:rPr>
            </w:pPr>
            <w:r w:rsidRPr="00A276BA">
              <w:rPr>
                <w:sz w:val="16"/>
                <w:szCs w:val="16"/>
              </w:rPr>
              <w:t>Armstrong Schellenberg</w:t>
            </w:r>
            <w:r>
              <w:rPr>
                <w:sz w:val="16"/>
                <w:szCs w:val="16"/>
              </w:rPr>
              <w:t xml:space="preserve"> 2002 </w:t>
            </w:r>
            <w:r>
              <w:rPr>
                <w:sz w:val="16"/>
                <w:szCs w:val="16"/>
              </w:rPr>
              <w:fldChar w:fldCharType="begin" w:fldLock="1"/>
            </w:r>
            <w:r w:rsidR="00166DD4">
              <w:rPr>
                <w:sz w:val="16"/>
                <w:szCs w:val="16"/>
              </w:rPr>
              <w:instrText>ADDIN CSL_CITATION {"citationItems":[{"id":"ITEM-1","itemData":{"DOI":"10.1046/j.1365-3156.2002.00888.x","ISBN":"1360-2276","ISSN":"1360-2276 (Print)","PMID":"12031072","abstract":"We conducted a community-based nested case-control study of post-neonatal deaths in children under 5 years, with frequency-matched controls chosen from a full sampling frame provided by a demographic surveillance system. Using a questionnaire, we studied treatment-seeking behaviour in fatal illness. In cases and controls we investigated demographic and socio-economic factors, health-seeking behaviour, the household environment including accessibility of health care, and individual child care factors. Half of the deaths (215/427) occurred at home, and one-third (146/427) at a health facility. Three-quarters (330/427) of the children who died had received treatment from a health facility in their fatal illness. Four independent risk factors for death were identified which were each associated with more than 5% of child mortality: not being carried on the back while the mother cooked [odds ratio (OR) 1.6: 1.3, 2.0], poor maternal education (OR 1.4: 95% CI 1.0, 1.9 for those with no education compared with those with complete primary education), lack of exclusive breastfeeding in the first 3 months of life (OR 1.4: 1.1, 1.8), and low socio-economic status (OR 1.3: 1.0, 1.6). The majority of children who died had sought treatment at a health facility during the fatal illness, which would lend support to interventions to improve case-management. The association between mothers carrying their children and child survival was unexpected and deserves further investigation.","author":[{"dropping-particle":"","family":"Armstrong Schellenberg","given":"Joanna R. M.","non-dropping-particle":"","parse-names":false,"suffix":""},{"dropping-particle":"","family":"Nathan","given":"Rose","non-dropping-particle":"","parse-names":false,"suffix":""},{"dropping-particle":"","family":"Abdulla","given":"Salim","non-dropping-particle":"","parse-names":false,"suffix":""},{"dropping-particle":"","family":"Mukasa","given":"Oscar","non-dropping-particle":"","parse-names":false,"suffix":""},{"dropping-particle":"","family":"Marchant","given":"Tanya J.","non-dropping-particle":"","parse-names":false,"suffix":""},{"dropping-particle":"","family":"Tanner","given":"Marcel","non-dropping-particle":"","parse-names":false,"suffix":""},{"dropping-particle":"","family":"Lengeler","given":"Christian","non-dropping-particle":"","parse-names":false,"suffix":""}],"container-title":"Tropical Medicine and International Health","id":"ITEM-1","issue":"6","issued":{"date-parts":[["2002","6"]]},"language":"eng","page":"506-511","publisher":"Blackwell Publishing Ltd (9600 Garsington Road, Oxford OX4 2XG, United Kingdom)","publisher-place":"J.R.M. Armstrong Schellenberg, Orchard Ground Cottage, Cublington, Beds LU7 OLJ, United Kingdom. E-mail: dajobelo@aol.com, England","title":"Risk factors for child mortality in rural Tanzania","type":"article-journal","volume":"7"},"uris":["http://www.mendeley.com/documents/?uuid=802fb6fe-eb54-480e-8ac3-071afb151161"]}],"mendeley":{"formattedCitation":"(42)","manualFormatting":"[41","plainTextFormattedCitation":"(42)","previouslyFormattedCitation":"(42)"},"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41</w:t>
            </w:r>
            <w:r>
              <w:rPr>
                <w:sz w:val="16"/>
                <w:szCs w:val="16"/>
              </w:rPr>
              <w:fldChar w:fldCharType="end"/>
            </w:r>
            <w:r w:rsidR="006F2C19">
              <w:rPr>
                <w:sz w:val="16"/>
                <w:szCs w:val="16"/>
              </w:rPr>
              <w:t>]</w:t>
            </w:r>
          </w:p>
        </w:tc>
        <w:tc>
          <w:tcPr>
            <w:tcW w:w="348" w:type="pct"/>
            <w:shd w:val="clear" w:color="auto" w:fill="auto"/>
            <w:noWrap/>
            <w:vAlign w:val="bottom"/>
            <w:hideMark/>
          </w:tcPr>
          <w:p w14:paraId="5C393297" w14:textId="77777777" w:rsidR="00F24106" w:rsidRPr="00A276BA" w:rsidRDefault="00F24106" w:rsidP="0061013B">
            <w:pPr>
              <w:pStyle w:val="NoSpacing"/>
              <w:jc w:val="center"/>
              <w:rPr>
                <w:sz w:val="16"/>
                <w:szCs w:val="16"/>
              </w:rPr>
            </w:pPr>
            <w:r w:rsidRPr="00A276BA">
              <w:rPr>
                <w:sz w:val="16"/>
                <w:szCs w:val="16"/>
              </w:rPr>
              <w:t>1997-2000</w:t>
            </w:r>
          </w:p>
        </w:tc>
        <w:tc>
          <w:tcPr>
            <w:tcW w:w="316" w:type="pct"/>
            <w:shd w:val="clear" w:color="auto" w:fill="auto"/>
            <w:noWrap/>
            <w:vAlign w:val="bottom"/>
            <w:hideMark/>
          </w:tcPr>
          <w:p w14:paraId="1956B482"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auto" w:fill="auto"/>
            <w:noWrap/>
            <w:vAlign w:val="bottom"/>
            <w:hideMark/>
          </w:tcPr>
          <w:p w14:paraId="2E57970D"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714A8D8F"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54259DDC"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4225E4F4"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42CD2AEC" w14:textId="77777777" w:rsidR="00F24106" w:rsidRPr="00A276BA" w:rsidRDefault="00F24106" w:rsidP="0061013B">
            <w:pPr>
              <w:pStyle w:val="NoSpacing"/>
              <w:jc w:val="center"/>
              <w:rPr>
                <w:sz w:val="16"/>
                <w:szCs w:val="16"/>
              </w:rPr>
            </w:pPr>
            <w:r w:rsidRPr="00A276BA">
              <w:rPr>
                <w:sz w:val="16"/>
                <w:szCs w:val="16"/>
              </w:rPr>
              <w:t>427</w:t>
            </w:r>
          </w:p>
        </w:tc>
        <w:tc>
          <w:tcPr>
            <w:tcW w:w="545" w:type="pct"/>
            <w:shd w:val="clear" w:color="auto" w:fill="auto"/>
            <w:noWrap/>
            <w:vAlign w:val="bottom"/>
            <w:hideMark/>
          </w:tcPr>
          <w:p w14:paraId="53F4881C" w14:textId="77777777" w:rsidR="00F24106" w:rsidRPr="00A276BA" w:rsidRDefault="00F24106" w:rsidP="0061013B">
            <w:pPr>
              <w:pStyle w:val="NoSpacing"/>
              <w:jc w:val="center"/>
              <w:rPr>
                <w:sz w:val="16"/>
                <w:szCs w:val="16"/>
              </w:rPr>
            </w:pPr>
            <w:r w:rsidRPr="00A276BA">
              <w:rPr>
                <w:sz w:val="16"/>
                <w:szCs w:val="16"/>
              </w:rPr>
              <w:t>Unspecified</w:t>
            </w:r>
          </w:p>
        </w:tc>
        <w:tc>
          <w:tcPr>
            <w:tcW w:w="373" w:type="pct"/>
            <w:shd w:val="clear" w:color="auto" w:fill="auto"/>
            <w:noWrap/>
            <w:vAlign w:val="bottom"/>
            <w:hideMark/>
          </w:tcPr>
          <w:p w14:paraId="671674FC" w14:textId="77777777" w:rsidR="00F24106" w:rsidRPr="00A276BA" w:rsidRDefault="00F24106" w:rsidP="0061013B">
            <w:pPr>
              <w:pStyle w:val="NoSpacing"/>
              <w:jc w:val="center"/>
              <w:rPr>
                <w:sz w:val="16"/>
                <w:szCs w:val="16"/>
              </w:rPr>
            </w:pPr>
            <w:r w:rsidRPr="00A276BA">
              <w:rPr>
                <w:sz w:val="16"/>
                <w:szCs w:val="16"/>
              </w:rPr>
              <w:t>6 weeks-3 months</w:t>
            </w:r>
          </w:p>
        </w:tc>
        <w:tc>
          <w:tcPr>
            <w:tcW w:w="759" w:type="pct"/>
            <w:shd w:val="clear" w:color="auto" w:fill="auto"/>
            <w:noWrap/>
            <w:vAlign w:val="bottom"/>
            <w:hideMark/>
          </w:tcPr>
          <w:p w14:paraId="6392C714" w14:textId="77777777" w:rsidR="00F24106" w:rsidRPr="00A276BA" w:rsidRDefault="00F24106" w:rsidP="0061013B">
            <w:pPr>
              <w:pStyle w:val="NoSpacing"/>
              <w:jc w:val="center"/>
              <w:rPr>
                <w:sz w:val="16"/>
                <w:szCs w:val="16"/>
              </w:rPr>
            </w:pPr>
            <w:r w:rsidRPr="00A276BA">
              <w:rPr>
                <w:sz w:val="16"/>
                <w:szCs w:val="16"/>
              </w:rPr>
              <w:t>4a, 4b, 7</w:t>
            </w:r>
          </w:p>
        </w:tc>
        <w:tc>
          <w:tcPr>
            <w:tcW w:w="381" w:type="pct"/>
            <w:shd w:val="clear" w:color="auto" w:fill="auto"/>
            <w:noWrap/>
            <w:vAlign w:val="bottom"/>
            <w:hideMark/>
          </w:tcPr>
          <w:p w14:paraId="10EC3AD0"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5198EA4B" w14:textId="77777777" w:rsidR="00F24106" w:rsidRPr="00A276BA" w:rsidRDefault="00F24106" w:rsidP="0061013B">
            <w:pPr>
              <w:pStyle w:val="NoSpacing"/>
              <w:jc w:val="center"/>
              <w:rPr>
                <w:sz w:val="16"/>
                <w:szCs w:val="16"/>
              </w:rPr>
            </w:pPr>
            <w:r w:rsidRPr="00A276BA">
              <w:rPr>
                <w:sz w:val="16"/>
                <w:szCs w:val="16"/>
              </w:rPr>
              <w:t>0.71</w:t>
            </w:r>
          </w:p>
        </w:tc>
      </w:tr>
      <w:tr w:rsidR="00F24106" w:rsidRPr="00A276BA" w14:paraId="6B1D0A4A" w14:textId="77777777" w:rsidTr="0061013B">
        <w:trPr>
          <w:cantSplit/>
          <w:trHeight w:val="315"/>
        </w:trPr>
        <w:tc>
          <w:tcPr>
            <w:tcW w:w="380" w:type="pct"/>
            <w:shd w:val="clear" w:color="auto" w:fill="auto"/>
            <w:noWrap/>
            <w:vAlign w:val="bottom"/>
            <w:hideMark/>
          </w:tcPr>
          <w:p w14:paraId="1492F592" w14:textId="5C5304E8" w:rsidR="00F24106" w:rsidRPr="00EF595E" w:rsidRDefault="00F24106" w:rsidP="00BF67EF">
            <w:pPr>
              <w:pStyle w:val="NoSpacing"/>
              <w:rPr>
                <w:sz w:val="16"/>
                <w:szCs w:val="16"/>
              </w:rPr>
            </w:pPr>
            <w:r w:rsidRPr="00EF595E">
              <w:rPr>
                <w:sz w:val="16"/>
                <w:szCs w:val="16"/>
              </w:rPr>
              <w:t xml:space="preserve">Schumacher 2002 </w:t>
            </w:r>
            <w:r w:rsidRPr="00EF595E">
              <w:rPr>
                <w:sz w:val="16"/>
                <w:szCs w:val="16"/>
              </w:rPr>
              <w:fldChar w:fldCharType="begin" w:fldLock="1"/>
            </w:r>
            <w:r w:rsidR="00876406">
              <w:rPr>
                <w:sz w:val="16"/>
                <w:szCs w:val="16"/>
              </w:rPr>
              <w:instrText>ADDIN CSL_CITATION {"citationItems":[{"id":"ITEM-1","itemData":{"author":[{"dropping-particle":"","family":"Schumacher","given":"R","non-dropping-particle":"","parse-names":false,"suffix":""},{"dropping-particle":"","family":"Swedberg","given":"E","non-dropping-particle":"","parse-names":false,"suffix":""},{"dropping-particle":"","family":"Diallo","given":"M.O","non-dropping-particle":"","parse-names":false,"suffix":""},{"dropping-particle":"","family":"Keita","given":"D.R","non-dropping-particle":"","parse-names":false,"suffix":""},{"dropping-particle":"","family":"Kalter","given":"H.D","non-dropping-particle":"","parse-names":false,"suffix":""},{"dropping-particle":"","family":"Pasha","given":"O","non-dropping-particle":"","parse-names":false,"suffix":""}],"id":"ITEM-1","issued":{"date-parts":[["2002"]]},"title":"Mortality Study in Guinea: Investigating the Causes of Death in Children Under 5.","type":"report"},"uris":["http://www.mendeley.com/documents/?uuid=39da3c3f-13bf-47a3-acf2-76a2ddb0d828"]}],"mendeley":{"formattedCitation":"(20)","manualFormatting":"[20","plainTextFormattedCitation":"(20)","previouslyFormattedCitation":"(20)"},"properties":{"noteIndex":0},"schema":"https://github.com/citation-style-language/schema/raw/master/csl-citation.json"}</w:instrText>
            </w:r>
            <w:r w:rsidRPr="00EF595E">
              <w:rPr>
                <w:sz w:val="16"/>
                <w:szCs w:val="16"/>
              </w:rPr>
              <w:fldChar w:fldCharType="separate"/>
            </w:r>
            <w:r w:rsidR="006F2C19">
              <w:rPr>
                <w:noProof/>
                <w:sz w:val="16"/>
                <w:szCs w:val="16"/>
              </w:rPr>
              <w:t>[</w:t>
            </w:r>
            <w:r w:rsidR="00303FFB" w:rsidRPr="00303FFB">
              <w:rPr>
                <w:noProof/>
                <w:sz w:val="16"/>
                <w:szCs w:val="16"/>
              </w:rPr>
              <w:t>20</w:t>
            </w:r>
            <w:r w:rsidRPr="00EF595E">
              <w:rPr>
                <w:sz w:val="16"/>
                <w:szCs w:val="16"/>
              </w:rPr>
              <w:fldChar w:fldCharType="end"/>
            </w:r>
            <w:r w:rsidR="006F2C19">
              <w:rPr>
                <w:sz w:val="16"/>
                <w:szCs w:val="16"/>
              </w:rPr>
              <w:t>]</w:t>
            </w:r>
          </w:p>
        </w:tc>
        <w:tc>
          <w:tcPr>
            <w:tcW w:w="348" w:type="pct"/>
            <w:shd w:val="clear" w:color="auto" w:fill="auto"/>
            <w:noWrap/>
            <w:vAlign w:val="bottom"/>
            <w:hideMark/>
          </w:tcPr>
          <w:p w14:paraId="64E38E9F" w14:textId="77777777" w:rsidR="00F24106" w:rsidRPr="00A276BA" w:rsidRDefault="00F24106" w:rsidP="0061013B">
            <w:pPr>
              <w:pStyle w:val="NoSpacing"/>
              <w:jc w:val="center"/>
              <w:rPr>
                <w:sz w:val="16"/>
                <w:szCs w:val="16"/>
              </w:rPr>
            </w:pPr>
            <w:r w:rsidRPr="00A276BA">
              <w:rPr>
                <w:sz w:val="16"/>
                <w:szCs w:val="16"/>
              </w:rPr>
              <w:t>1998-1999</w:t>
            </w:r>
          </w:p>
        </w:tc>
        <w:tc>
          <w:tcPr>
            <w:tcW w:w="316" w:type="pct"/>
            <w:shd w:val="clear" w:color="auto" w:fill="auto"/>
            <w:noWrap/>
            <w:vAlign w:val="bottom"/>
            <w:hideMark/>
          </w:tcPr>
          <w:p w14:paraId="08E34687" w14:textId="77777777" w:rsidR="00F24106" w:rsidRPr="00A276BA" w:rsidRDefault="00F24106" w:rsidP="0061013B">
            <w:pPr>
              <w:pStyle w:val="NoSpacing"/>
              <w:jc w:val="center"/>
              <w:rPr>
                <w:sz w:val="16"/>
                <w:szCs w:val="16"/>
              </w:rPr>
            </w:pPr>
            <w:r w:rsidRPr="00A276BA">
              <w:rPr>
                <w:sz w:val="16"/>
                <w:szCs w:val="16"/>
              </w:rPr>
              <w:t>Guinea</w:t>
            </w:r>
          </w:p>
        </w:tc>
        <w:tc>
          <w:tcPr>
            <w:tcW w:w="285" w:type="pct"/>
            <w:shd w:val="clear" w:color="auto" w:fill="auto"/>
            <w:noWrap/>
            <w:vAlign w:val="bottom"/>
            <w:hideMark/>
          </w:tcPr>
          <w:p w14:paraId="12155794"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auto" w:fill="auto"/>
            <w:noWrap/>
            <w:vAlign w:val="bottom"/>
            <w:hideMark/>
          </w:tcPr>
          <w:p w14:paraId="57CD7486"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7FFC1583"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04D244D2"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11A6D414" w14:textId="77777777" w:rsidR="00F24106" w:rsidRPr="00A276BA" w:rsidRDefault="00F24106" w:rsidP="0061013B">
            <w:pPr>
              <w:pStyle w:val="NoSpacing"/>
              <w:jc w:val="center"/>
              <w:rPr>
                <w:sz w:val="16"/>
                <w:szCs w:val="16"/>
              </w:rPr>
            </w:pPr>
            <w:r w:rsidRPr="00A276BA">
              <w:rPr>
                <w:sz w:val="16"/>
                <w:szCs w:val="16"/>
              </w:rPr>
              <w:t>133</w:t>
            </w:r>
          </w:p>
        </w:tc>
        <w:tc>
          <w:tcPr>
            <w:tcW w:w="545" w:type="pct"/>
            <w:shd w:val="clear" w:color="auto" w:fill="auto"/>
            <w:noWrap/>
            <w:vAlign w:val="bottom"/>
            <w:hideMark/>
          </w:tcPr>
          <w:p w14:paraId="4822C80D" w14:textId="77777777" w:rsidR="00F24106" w:rsidRPr="00A276BA" w:rsidRDefault="00F24106" w:rsidP="0061013B">
            <w:pPr>
              <w:pStyle w:val="NoSpacing"/>
              <w:jc w:val="center"/>
              <w:rPr>
                <w:sz w:val="16"/>
                <w:szCs w:val="16"/>
              </w:rPr>
            </w:pPr>
            <w:r w:rsidRPr="00A276BA">
              <w:rPr>
                <w:sz w:val="16"/>
                <w:szCs w:val="16"/>
              </w:rPr>
              <w:t>BASICS/JHU standardised verbal autopsy and social autopsy questionnaires</w:t>
            </w:r>
          </w:p>
        </w:tc>
        <w:tc>
          <w:tcPr>
            <w:tcW w:w="373" w:type="pct"/>
            <w:shd w:val="clear" w:color="auto" w:fill="auto"/>
            <w:noWrap/>
            <w:vAlign w:val="bottom"/>
            <w:hideMark/>
          </w:tcPr>
          <w:p w14:paraId="79616AD1"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294BDACC" w14:textId="77777777" w:rsidR="00F24106" w:rsidRPr="00A276BA" w:rsidRDefault="00F24106" w:rsidP="0061013B">
            <w:pPr>
              <w:pStyle w:val="NoSpacing"/>
              <w:jc w:val="center"/>
              <w:rPr>
                <w:sz w:val="16"/>
                <w:szCs w:val="16"/>
              </w:rPr>
            </w:pPr>
            <w:r w:rsidRPr="00A276BA">
              <w:rPr>
                <w:sz w:val="16"/>
                <w:szCs w:val="16"/>
              </w:rPr>
              <w:t>1, 2, 3, 4a, 4b, 7</w:t>
            </w:r>
          </w:p>
        </w:tc>
        <w:tc>
          <w:tcPr>
            <w:tcW w:w="381" w:type="pct"/>
            <w:shd w:val="clear" w:color="auto" w:fill="auto"/>
            <w:noWrap/>
            <w:vAlign w:val="bottom"/>
            <w:hideMark/>
          </w:tcPr>
          <w:p w14:paraId="5E159C26"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7E14480D" w14:textId="77777777" w:rsidR="00F24106" w:rsidRPr="00A276BA" w:rsidRDefault="00F24106" w:rsidP="0061013B">
            <w:pPr>
              <w:pStyle w:val="NoSpacing"/>
              <w:jc w:val="center"/>
              <w:rPr>
                <w:sz w:val="16"/>
                <w:szCs w:val="16"/>
              </w:rPr>
            </w:pPr>
            <w:r w:rsidRPr="00A276BA">
              <w:rPr>
                <w:sz w:val="16"/>
                <w:szCs w:val="16"/>
              </w:rPr>
              <w:t>0.93</w:t>
            </w:r>
          </w:p>
        </w:tc>
      </w:tr>
      <w:tr w:rsidR="00F24106" w:rsidRPr="00A276BA" w14:paraId="53C77CE2" w14:textId="77777777" w:rsidTr="0061013B">
        <w:trPr>
          <w:cantSplit/>
          <w:trHeight w:val="315"/>
        </w:trPr>
        <w:tc>
          <w:tcPr>
            <w:tcW w:w="380" w:type="pct"/>
            <w:shd w:val="clear" w:color="auto" w:fill="auto"/>
            <w:noWrap/>
            <w:vAlign w:val="bottom"/>
            <w:hideMark/>
          </w:tcPr>
          <w:p w14:paraId="5420A48E" w14:textId="19A0FA87" w:rsidR="00F24106" w:rsidRPr="00EF595E" w:rsidRDefault="00F24106" w:rsidP="00BF67EF">
            <w:pPr>
              <w:pStyle w:val="NoSpacing"/>
              <w:rPr>
                <w:sz w:val="16"/>
                <w:szCs w:val="16"/>
              </w:rPr>
            </w:pPr>
            <w:r w:rsidRPr="00EF595E">
              <w:rPr>
                <w:sz w:val="16"/>
                <w:szCs w:val="16"/>
              </w:rPr>
              <w:t xml:space="preserve">Hinderaker 2003 </w:t>
            </w:r>
            <w:r w:rsidRPr="00EF595E">
              <w:rPr>
                <w:sz w:val="16"/>
                <w:szCs w:val="16"/>
              </w:rPr>
              <w:fldChar w:fldCharType="begin" w:fldLock="1"/>
            </w:r>
            <w:r w:rsidR="00166DD4">
              <w:rPr>
                <w:sz w:val="16"/>
                <w:szCs w:val="16"/>
              </w:rPr>
              <w:instrText>ADDIN CSL_CITATION {"citationItems":[{"id":"ITEM-1","itemData":{"DOI":"http://dx.doi.org/10.1046/j.1471-0528.2003.02153.x","ISSN":"1470-0328","abstract":"Objective: To determine the causes of stillbirths and neonatal deaths in the community in rural Tanzania and to evaluate whether the deaths were avoidable under the prevailing circumstances. Design: Review of stillbirths and neonatal deaths. Setting: Rural northern Tanzania, Mbulu and Hanang districts. Sample: One hundred and nineteen stillbirth and neonatal deaths identified in a prospective cohort of antenatal attendees and 21 stillbirths and neonatal deaths identified retrospectively in a household survey in seven rural communities. Methods: Verbal autopsy was done to reach a diagnosis, in many cases supplemented with information from antenatal records and hospital records. The avoidability of deaths under the prevailing circumstances was assessed for each case. An account of risk factors detectable at antenatal clinic was done and compared with the woman's recall of the risk assessment and recall of being referred. Main outcome measures: Avoidability of stillbirths and neonatal deaths. Results: There were 60 stillbirths, 49 early neonatal deaths and 27 late neonatal deaths. Infection-related deaths were most common (n = 53), followed by asphyxia-related deaths (n = 32) and immaturity-related deaths (n = 20). Malaria was the most common infectious agent observed (21 children and 20 mothers). Twenty-one deaths (15%) were probably avoidable and 13 (10%) were possibly avoidable. A patient-oriented avoidable factor was identified in 17 (51%) and a provider-oriented avoidable factor was identified in 22 cases (65%). Twenty-six of the 34 avoidable deaths had risk factors, but only two of the women were aware of it and only one recalled being referred to a hospital for the risk factor. There were eight deaths among the 133 mothers who experienced a perinatal death. Conclusions: Our data indicate that prevention and adequate treatment of infections and asphyxia in the newborn should have high priority in low-income settings. The relatively low proportion of avoidable stillbirths and neonatal deaths may be partly due to accessible emergency obstetric care in the area. Future efforts should emphasise improving the communication between midwife and women at the antenatal clinics, preparing the women - and their families - for the delivery and to be ready for complications.","author":[{"dropping-particle":"","family":"Hinderaker","given":"S G","non-dropping-particle":"","parse-names":false,"suffix":""},{"dropping-particle":"","family":"Olsen","given":"B E","non-dropping-particle":"","parse-names":false,"suffix":""},{"dropping-particle":"","family":"Bergsjo","given":"P B","non-dropping-particle":"","parse-names":false,"suffix":""},{"dropping-particle":"","family":"Gasheka","given":"P","non-dropping-particle":"","parse-names":false,"suffix":""},{"dropping-particle":"","family":"Lie","given":"R T","non-dropping-particle":"","parse-names":false,"suffix":""},{"dropping-particle":"","family":"Havnen","given":"J","non-dropping-particle":"","parse-names":false,"suffix":""},{"dropping-particle":"","family":"Kvale","given":"G","non-dropping-particle":"","parse-names":false,"suffix":""}],"container-title":"BJOG: An International Journal of Obstetrics and Gynaecology","id":"ITEM-1","issue":"6","issued":{"date-parts":[["2003"]]},"page":"616-623","publisher":"Blackwell Publishing Ltd (9600 Garsington Road, Oxford OX4 2XG, United Kingdom)","publisher-place":"Oxford","title":"Avoidable stillbirths and neonatal deaths in rural Tanzania.","type":"article-journal","volume":"110"},"uris":["http://www.mendeley.com/documents/?uuid=90a785bf-3758-4fe8-92ea-87dd5075408b"]}],"mendeley":{"formattedCitation":"(43)","manualFormatting":"[42","plainTextFormattedCitation":"(43)","previouslyFormattedCitation":"(43)"},"properties":{"noteIndex":0},"schema":"https://github.com/citation-style-language/schema/raw/master/csl-citation.json"}</w:instrText>
            </w:r>
            <w:r w:rsidRPr="00EF595E">
              <w:rPr>
                <w:sz w:val="16"/>
                <w:szCs w:val="16"/>
              </w:rPr>
              <w:fldChar w:fldCharType="separate"/>
            </w:r>
            <w:r w:rsidR="006F2C19">
              <w:rPr>
                <w:noProof/>
                <w:sz w:val="16"/>
                <w:szCs w:val="16"/>
              </w:rPr>
              <w:t>[</w:t>
            </w:r>
            <w:r w:rsidR="00303FFB" w:rsidRPr="00303FFB">
              <w:rPr>
                <w:noProof/>
                <w:sz w:val="16"/>
                <w:szCs w:val="16"/>
              </w:rPr>
              <w:t>42</w:t>
            </w:r>
            <w:r w:rsidRPr="00EF595E">
              <w:rPr>
                <w:sz w:val="16"/>
                <w:szCs w:val="16"/>
              </w:rPr>
              <w:fldChar w:fldCharType="end"/>
            </w:r>
            <w:r w:rsidR="006F2C19">
              <w:rPr>
                <w:sz w:val="16"/>
                <w:szCs w:val="16"/>
              </w:rPr>
              <w:t>]</w:t>
            </w:r>
          </w:p>
        </w:tc>
        <w:tc>
          <w:tcPr>
            <w:tcW w:w="348" w:type="pct"/>
            <w:shd w:val="clear" w:color="auto" w:fill="auto"/>
            <w:noWrap/>
            <w:vAlign w:val="bottom"/>
            <w:hideMark/>
          </w:tcPr>
          <w:p w14:paraId="0355B62E" w14:textId="77777777" w:rsidR="00F24106" w:rsidRPr="00A276BA" w:rsidRDefault="00F24106" w:rsidP="0061013B">
            <w:pPr>
              <w:pStyle w:val="NoSpacing"/>
              <w:jc w:val="center"/>
              <w:rPr>
                <w:sz w:val="16"/>
                <w:szCs w:val="16"/>
              </w:rPr>
            </w:pPr>
            <w:r w:rsidRPr="00A276BA">
              <w:rPr>
                <w:sz w:val="16"/>
                <w:szCs w:val="16"/>
              </w:rPr>
              <w:t>1995-1996</w:t>
            </w:r>
          </w:p>
        </w:tc>
        <w:tc>
          <w:tcPr>
            <w:tcW w:w="316" w:type="pct"/>
            <w:shd w:val="clear" w:color="auto" w:fill="auto"/>
            <w:noWrap/>
            <w:vAlign w:val="bottom"/>
            <w:hideMark/>
          </w:tcPr>
          <w:p w14:paraId="0A3AA6FB"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auto" w:fill="auto"/>
            <w:noWrap/>
            <w:vAlign w:val="bottom"/>
            <w:hideMark/>
          </w:tcPr>
          <w:p w14:paraId="07249B5E"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226910C2"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33B4B161"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360593FB"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0F0AD170" w14:textId="77777777" w:rsidR="00F24106" w:rsidRPr="00A276BA" w:rsidRDefault="00F24106" w:rsidP="0061013B">
            <w:pPr>
              <w:pStyle w:val="NoSpacing"/>
              <w:jc w:val="center"/>
              <w:rPr>
                <w:sz w:val="16"/>
                <w:szCs w:val="16"/>
              </w:rPr>
            </w:pPr>
            <w:r w:rsidRPr="00A276BA">
              <w:rPr>
                <w:sz w:val="16"/>
                <w:szCs w:val="16"/>
              </w:rPr>
              <w:t>76</w:t>
            </w:r>
          </w:p>
        </w:tc>
        <w:tc>
          <w:tcPr>
            <w:tcW w:w="545" w:type="pct"/>
            <w:shd w:val="clear" w:color="auto" w:fill="auto"/>
            <w:noWrap/>
            <w:vAlign w:val="bottom"/>
            <w:hideMark/>
          </w:tcPr>
          <w:p w14:paraId="2D117394" w14:textId="77777777" w:rsidR="00F24106" w:rsidRPr="00A276BA" w:rsidRDefault="00F24106" w:rsidP="0061013B">
            <w:pPr>
              <w:pStyle w:val="NoSpacing"/>
              <w:jc w:val="center"/>
              <w:rPr>
                <w:sz w:val="16"/>
                <w:szCs w:val="16"/>
              </w:rPr>
            </w:pPr>
            <w:r w:rsidRPr="00A276BA">
              <w:rPr>
                <w:sz w:val="16"/>
                <w:szCs w:val="16"/>
              </w:rPr>
              <w:t>Medical interviews plus study-specific VA questionnaire</w:t>
            </w:r>
          </w:p>
        </w:tc>
        <w:tc>
          <w:tcPr>
            <w:tcW w:w="373" w:type="pct"/>
            <w:shd w:val="clear" w:color="auto" w:fill="auto"/>
            <w:noWrap/>
            <w:vAlign w:val="bottom"/>
            <w:hideMark/>
          </w:tcPr>
          <w:p w14:paraId="118BCFF5"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3BB59FA7" w14:textId="77777777" w:rsidR="00F24106" w:rsidRPr="00A276BA" w:rsidRDefault="00F24106" w:rsidP="0061013B">
            <w:pPr>
              <w:pStyle w:val="NoSpacing"/>
              <w:jc w:val="center"/>
              <w:rPr>
                <w:sz w:val="16"/>
                <w:szCs w:val="16"/>
              </w:rPr>
            </w:pPr>
            <w:r w:rsidRPr="00A276BA">
              <w:rPr>
                <w:sz w:val="16"/>
                <w:szCs w:val="16"/>
              </w:rPr>
              <w:t>4a, 7</w:t>
            </w:r>
          </w:p>
        </w:tc>
        <w:tc>
          <w:tcPr>
            <w:tcW w:w="381" w:type="pct"/>
            <w:shd w:val="clear" w:color="auto" w:fill="auto"/>
            <w:noWrap/>
            <w:vAlign w:val="bottom"/>
            <w:hideMark/>
          </w:tcPr>
          <w:p w14:paraId="41BAA59B"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30700047" w14:textId="77777777" w:rsidR="00F24106" w:rsidRPr="00A276BA" w:rsidRDefault="00F24106" w:rsidP="0061013B">
            <w:pPr>
              <w:pStyle w:val="NoSpacing"/>
              <w:jc w:val="center"/>
              <w:rPr>
                <w:sz w:val="16"/>
                <w:szCs w:val="16"/>
              </w:rPr>
            </w:pPr>
            <w:r w:rsidRPr="00A276BA">
              <w:rPr>
                <w:sz w:val="16"/>
                <w:szCs w:val="16"/>
              </w:rPr>
              <w:t>0.57</w:t>
            </w:r>
          </w:p>
        </w:tc>
      </w:tr>
      <w:tr w:rsidR="00F24106" w:rsidRPr="00A276BA" w14:paraId="64892283" w14:textId="77777777" w:rsidTr="0061013B">
        <w:trPr>
          <w:cantSplit/>
          <w:trHeight w:val="315"/>
        </w:trPr>
        <w:tc>
          <w:tcPr>
            <w:tcW w:w="380" w:type="pct"/>
            <w:shd w:val="clear" w:color="auto" w:fill="auto"/>
            <w:noWrap/>
            <w:vAlign w:val="bottom"/>
            <w:hideMark/>
          </w:tcPr>
          <w:p w14:paraId="7C54A829" w14:textId="12EEEAE4" w:rsidR="00F24106" w:rsidRPr="00A276BA" w:rsidRDefault="00F24106" w:rsidP="0061013B">
            <w:pPr>
              <w:pStyle w:val="NoSpacing"/>
              <w:rPr>
                <w:sz w:val="16"/>
                <w:szCs w:val="16"/>
              </w:rPr>
            </w:pPr>
            <w:r w:rsidRPr="00A276BA">
              <w:rPr>
                <w:sz w:val="16"/>
                <w:szCs w:val="16"/>
              </w:rPr>
              <w:t>Muller</w:t>
            </w:r>
            <w:r>
              <w:rPr>
                <w:sz w:val="16"/>
                <w:szCs w:val="16"/>
              </w:rPr>
              <w:t xml:space="preserve"> 2003 </w:t>
            </w:r>
            <w:r>
              <w:rPr>
                <w:sz w:val="16"/>
                <w:szCs w:val="16"/>
              </w:rPr>
              <w:fldChar w:fldCharType="begin" w:fldLock="1"/>
            </w:r>
            <w:r w:rsidR="00166DD4">
              <w:rPr>
                <w:sz w:val="16"/>
                <w:szCs w:val="16"/>
              </w:rPr>
              <w:instrText>ADDIN CSL_CITATION {"citationItems":[{"id":"ITEM-1","itemData":{"ISBN":"1360-2276","ISSN":"1360-2276 (Print)","PMID":"12667146","abstract":"OBJECTIVE: To describe the pattern of fever-associated morbidity, treatment-seeking behaviour for fever episodes, and cause-specific mortality in young children of a malaria-holoendemic area in rural Burkina Faso. METHODS: In a longitudinal community-based intervention study, 709 representative children aged 6-31 months were followed daily over 6 months (including the main malaria transmission period) through village-based field staff. RESULTS: Of 1848 disease episodes, 1640 (89%) were fever episodes, and of those, 894 (55%) were attributed to malaria (fever + &gt; or =5000 parasites/microl). Eighty-five percent of fever episodes were treated, mainly with chloroquine and paracetamol, 69% of treatments took place in households, 16% in local health centres, 13% in villages, and 1% in hospitals. Treatment-seeking in a health centre or hospital was associated with accessibility and disease severity. Cerebral malaria and malnutrition-associated diarrhoea were the most frequently diagnosed causes of death. While most children with a post-mortem diagnosis of diarrhoea had not received any treatment, children who died of malaria had often received insufficient treatment. In particular, there was a lack of an appropriate second-line treatment at formal health services after chloroquine treatment had failed to resolve symptoms. CONCLUSIONS: These findings call for more effective prevention and treatment of malaria, malnutrition and diarrhoea in rural African communities, as well as for better supervision of existing malaria treatment guidelines in formal health services.","author":[{"dropping-particle":"","family":"Muller","given":"Olaf","non-dropping-particle":"","parse-names":false,"suffix":""},{"dropping-particle":"","family":"Traore","given":"Corneille","non-dropping-particle":"","parse-names":false,"suffix":""},{"dropping-particle":"","family":"Becher","given":"Heiko","non-dropping-particle":"","parse-names":false,"suffix":""},{"dropping-particle":"","family":"Kouyate","given":"Bocar","non-dropping-particle":"","parse-names":false,"suffix":""}],"container-title":"Tropical Medicine and International Health","id":"ITEM-1","issue":"4","issued":{"date-parts":[["2003","4"]]},"language":"eng","page":"290-296","publisher":"Blackwell Publishing Ltd (9600 Garsington Road, Oxford OX4 2XG, United Kingdom)","publisher-place":"O. Muller, Dept. of Trop. Hyg./Public Health, Ruprecht-Karls-University, INF 324, 69120 Heidelberg, Germany. E-mail: olaf.mueller@urz.uni-heidelberg.de, England","title":"Malaria morbidity, treatment-seeking behaviour, and mortality in a cohort of young children in rural Burkina Faso","type":"article-journal","volume":"8"},"uris":["http://www.mendeley.com/documents/?uuid=8b88d76a-5ebd-47bf-a910-6fb604efe475"]}],"mendeley":{"formattedCitation":"(44)","manualFormatting":"[43","plainTextFormattedCitation":"(44)","previouslyFormattedCitation":"(44)"},"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43</w:t>
            </w:r>
            <w:r>
              <w:rPr>
                <w:sz w:val="16"/>
                <w:szCs w:val="16"/>
              </w:rPr>
              <w:fldChar w:fldCharType="end"/>
            </w:r>
            <w:r w:rsidR="006F2C19">
              <w:rPr>
                <w:sz w:val="16"/>
                <w:szCs w:val="16"/>
              </w:rPr>
              <w:t>]</w:t>
            </w:r>
            <w:r w:rsidR="0066702F">
              <w:rPr>
                <w:sz w:val="16"/>
                <w:szCs w:val="16"/>
              </w:rPr>
              <w:t>*</w:t>
            </w:r>
          </w:p>
        </w:tc>
        <w:tc>
          <w:tcPr>
            <w:tcW w:w="348" w:type="pct"/>
            <w:shd w:val="clear" w:color="auto" w:fill="auto"/>
            <w:noWrap/>
            <w:vAlign w:val="bottom"/>
            <w:hideMark/>
          </w:tcPr>
          <w:p w14:paraId="56C41DBC" w14:textId="77777777" w:rsidR="00F24106" w:rsidRPr="00A276BA" w:rsidRDefault="00F24106" w:rsidP="0061013B">
            <w:pPr>
              <w:pStyle w:val="NoSpacing"/>
              <w:jc w:val="center"/>
              <w:rPr>
                <w:sz w:val="16"/>
                <w:szCs w:val="16"/>
              </w:rPr>
            </w:pPr>
            <w:r w:rsidRPr="00A276BA">
              <w:rPr>
                <w:sz w:val="16"/>
                <w:szCs w:val="16"/>
              </w:rPr>
              <w:t>1999</w:t>
            </w:r>
          </w:p>
        </w:tc>
        <w:tc>
          <w:tcPr>
            <w:tcW w:w="316" w:type="pct"/>
            <w:shd w:val="clear" w:color="auto" w:fill="auto"/>
            <w:noWrap/>
            <w:vAlign w:val="bottom"/>
            <w:hideMark/>
          </w:tcPr>
          <w:p w14:paraId="3CB5A46B" w14:textId="77777777" w:rsidR="00F24106" w:rsidRPr="00A276BA" w:rsidRDefault="00F24106" w:rsidP="0061013B">
            <w:pPr>
              <w:pStyle w:val="NoSpacing"/>
              <w:jc w:val="center"/>
              <w:rPr>
                <w:sz w:val="16"/>
                <w:szCs w:val="16"/>
              </w:rPr>
            </w:pPr>
            <w:r w:rsidRPr="00A276BA">
              <w:rPr>
                <w:sz w:val="16"/>
                <w:szCs w:val="16"/>
              </w:rPr>
              <w:t>Burkina Faso</w:t>
            </w:r>
          </w:p>
        </w:tc>
        <w:tc>
          <w:tcPr>
            <w:tcW w:w="285" w:type="pct"/>
            <w:shd w:val="clear" w:color="auto" w:fill="auto"/>
            <w:noWrap/>
            <w:vAlign w:val="bottom"/>
            <w:hideMark/>
          </w:tcPr>
          <w:p w14:paraId="1F715EA9" w14:textId="77777777" w:rsidR="00F24106" w:rsidRPr="00A276BA" w:rsidRDefault="00F24106" w:rsidP="0061013B">
            <w:pPr>
              <w:pStyle w:val="NoSpacing"/>
              <w:jc w:val="center"/>
              <w:rPr>
                <w:sz w:val="16"/>
                <w:szCs w:val="16"/>
              </w:rPr>
            </w:pPr>
            <w:r w:rsidRPr="00A276BA">
              <w:rPr>
                <w:sz w:val="16"/>
                <w:szCs w:val="16"/>
              </w:rPr>
              <w:t>11-32 months</w:t>
            </w:r>
          </w:p>
        </w:tc>
        <w:tc>
          <w:tcPr>
            <w:tcW w:w="362" w:type="pct"/>
            <w:shd w:val="clear" w:color="auto" w:fill="auto"/>
            <w:noWrap/>
            <w:vAlign w:val="bottom"/>
            <w:hideMark/>
          </w:tcPr>
          <w:p w14:paraId="5B493F4D"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240E58DF"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55742C11"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64CB65D6" w14:textId="77777777" w:rsidR="00F24106" w:rsidRPr="00A276BA" w:rsidRDefault="00F24106" w:rsidP="0061013B">
            <w:pPr>
              <w:pStyle w:val="NoSpacing"/>
              <w:jc w:val="center"/>
              <w:rPr>
                <w:sz w:val="16"/>
                <w:szCs w:val="16"/>
              </w:rPr>
            </w:pPr>
            <w:r w:rsidRPr="00A276BA">
              <w:rPr>
                <w:sz w:val="16"/>
                <w:szCs w:val="16"/>
              </w:rPr>
              <w:t>17</w:t>
            </w:r>
          </w:p>
        </w:tc>
        <w:tc>
          <w:tcPr>
            <w:tcW w:w="545" w:type="pct"/>
            <w:shd w:val="clear" w:color="auto" w:fill="auto"/>
            <w:noWrap/>
            <w:vAlign w:val="bottom"/>
            <w:hideMark/>
          </w:tcPr>
          <w:p w14:paraId="6A0E9E87" w14:textId="77777777" w:rsidR="00F24106" w:rsidRPr="00A276BA" w:rsidRDefault="00F24106" w:rsidP="0061013B">
            <w:pPr>
              <w:pStyle w:val="NoSpacing"/>
              <w:jc w:val="center"/>
              <w:rPr>
                <w:sz w:val="16"/>
                <w:szCs w:val="16"/>
              </w:rPr>
            </w:pPr>
            <w:r w:rsidRPr="00A276BA">
              <w:rPr>
                <w:sz w:val="16"/>
                <w:szCs w:val="16"/>
              </w:rPr>
              <w:t>Physician interview</w:t>
            </w:r>
            <w:r>
              <w:rPr>
                <w:sz w:val="16"/>
                <w:szCs w:val="16"/>
              </w:rPr>
              <w:t xml:space="preserve">, </w:t>
            </w:r>
            <w:r w:rsidRPr="00A276BA">
              <w:rPr>
                <w:sz w:val="16"/>
                <w:szCs w:val="16"/>
              </w:rPr>
              <w:t>non standardised</w:t>
            </w:r>
          </w:p>
        </w:tc>
        <w:tc>
          <w:tcPr>
            <w:tcW w:w="373" w:type="pct"/>
            <w:shd w:val="clear" w:color="auto" w:fill="auto"/>
            <w:noWrap/>
            <w:vAlign w:val="bottom"/>
            <w:hideMark/>
          </w:tcPr>
          <w:p w14:paraId="4DE48E70" w14:textId="77777777" w:rsidR="00F24106" w:rsidRPr="00A276BA" w:rsidRDefault="00F24106" w:rsidP="0061013B">
            <w:pPr>
              <w:pStyle w:val="NoSpacing"/>
              <w:jc w:val="center"/>
              <w:rPr>
                <w:sz w:val="16"/>
                <w:szCs w:val="16"/>
              </w:rPr>
            </w:pPr>
            <w:r w:rsidRPr="00A276BA">
              <w:rPr>
                <w:sz w:val="16"/>
                <w:szCs w:val="16"/>
              </w:rPr>
              <w:t>6 months</w:t>
            </w:r>
          </w:p>
        </w:tc>
        <w:tc>
          <w:tcPr>
            <w:tcW w:w="759" w:type="pct"/>
            <w:shd w:val="clear" w:color="auto" w:fill="auto"/>
            <w:noWrap/>
            <w:vAlign w:val="bottom"/>
            <w:hideMark/>
          </w:tcPr>
          <w:p w14:paraId="54394005" w14:textId="77777777" w:rsidR="00F24106" w:rsidRPr="00A276BA" w:rsidRDefault="00F24106" w:rsidP="0061013B">
            <w:pPr>
              <w:pStyle w:val="NoSpacing"/>
              <w:jc w:val="center"/>
              <w:rPr>
                <w:sz w:val="16"/>
                <w:szCs w:val="16"/>
              </w:rPr>
            </w:pPr>
            <w:r w:rsidRPr="00A276BA">
              <w:rPr>
                <w:sz w:val="16"/>
                <w:szCs w:val="16"/>
              </w:rPr>
              <w:t>3, 4a, 4b</w:t>
            </w:r>
          </w:p>
        </w:tc>
        <w:tc>
          <w:tcPr>
            <w:tcW w:w="381" w:type="pct"/>
            <w:shd w:val="clear" w:color="auto" w:fill="auto"/>
            <w:noWrap/>
            <w:vAlign w:val="bottom"/>
            <w:hideMark/>
          </w:tcPr>
          <w:p w14:paraId="3359D7C9"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18B7F6F0" w14:textId="77777777" w:rsidR="00F24106" w:rsidRPr="00A276BA" w:rsidRDefault="00F24106" w:rsidP="0061013B">
            <w:pPr>
              <w:pStyle w:val="NoSpacing"/>
              <w:jc w:val="center"/>
              <w:rPr>
                <w:sz w:val="16"/>
                <w:szCs w:val="16"/>
              </w:rPr>
            </w:pPr>
            <w:r w:rsidRPr="00A276BA">
              <w:rPr>
                <w:sz w:val="16"/>
                <w:szCs w:val="16"/>
              </w:rPr>
              <w:t>0.64</w:t>
            </w:r>
          </w:p>
        </w:tc>
      </w:tr>
      <w:tr w:rsidR="00F24106" w:rsidRPr="00A276BA" w14:paraId="377DFCEA" w14:textId="77777777" w:rsidTr="0061013B">
        <w:trPr>
          <w:cantSplit/>
          <w:trHeight w:val="315"/>
        </w:trPr>
        <w:tc>
          <w:tcPr>
            <w:tcW w:w="380" w:type="pct"/>
            <w:shd w:val="clear" w:color="auto" w:fill="auto"/>
            <w:noWrap/>
            <w:vAlign w:val="bottom"/>
            <w:hideMark/>
          </w:tcPr>
          <w:p w14:paraId="7BFDE6CF" w14:textId="1B8E6983" w:rsidR="00F24106" w:rsidRPr="008F7784" w:rsidRDefault="00F24106" w:rsidP="0061013B">
            <w:pPr>
              <w:pStyle w:val="NoSpacing"/>
              <w:rPr>
                <w:sz w:val="20"/>
              </w:rPr>
            </w:pPr>
            <w:r w:rsidRPr="008F7784">
              <w:rPr>
                <w:sz w:val="16"/>
                <w:szCs w:val="16"/>
              </w:rPr>
              <w:t>de Savigny 2004</w:t>
            </w:r>
            <w:r w:rsidR="0061013B">
              <w:rPr>
                <w:sz w:val="16"/>
                <w:szCs w:val="16"/>
              </w:rPr>
              <w:t xml:space="preserve"> </w:t>
            </w:r>
            <w:r w:rsidRPr="008F7784">
              <w:rPr>
                <w:rFonts w:cstheme="minorHAnsi"/>
                <w:sz w:val="16"/>
                <w:szCs w:val="16"/>
                <w:shd w:val="clear" w:color="auto" w:fill="FFFFFF"/>
              </w:rPr>
              <w:fldChar w:fldCharType="begin" w:fldLock="1"/>
            </w:r>
            <w:r w:rsidR="00876406">
              <w:rPr>
                <w:rFonts w:cstheme="minorHAnsi"/>
                <w:sz w:val="16"/>
                <w:szCs w:val="16"/>
                <w:shd w:val="clear" w:color="auto" w:fill="FFFFFF"/>
              </w:rPr>
              <w:instrText>ADDIN CSL_CITATION {"citationItems":[{"id":"ITEM-1","itemData":{"DOI":"10.1186/1475-2875-3-27","ISBN":"1475-2875","ISSN":"1475-2875 (Electronic)","PMID":"15282029","abstract":"Background: Once malaria occurs, deaths can be prevented by prompt treatment with relatively affordable and efficacious drugs. Yet this goal is elusive in Africa. The paradox of a continuing but easily preventable cause of high mortality raises important questions for policy makers concerning care-seeking and access to health systems. Although patterns of care-seeking during uncomplicated malaria episodes are well known, studies in cases of fatal malaria are rare. Care-seeking behaviours may differ between these groups. Methods: This study documents care-seeking events in 320 children less than five years of age with fatal malaria seen between 1999 and 2001 during over 240,000 person-years of follow-up in a stable perennial malaria transmission setting in southern Tanzania. Accounts of care-seeking recorded in verbal autopsy histories were analysed to determine providers attended and the sequence of choices made as the patients' condition deteriorated. Results: As first resort to care, 78.7% of malaria-attributable deaths used modern biomedical care in the form of antimalarial pharmaceuticals from shops or government or non-governmental heath facilities, 9.4% used initial traditional care at home or from traditional practitioners and 11.9% sought no care of any kind. There were no differences in patterns of choice by sex of the child, sex of the head of the household, socioeconomic status of the household or presence or absence of convulsions. In malaria deaths of all ages who sought care more than once, modern care was included in the first or second resort to care in 90.0% and 99.4% with and without convulsions respectively. Conclusions: In this study of fatal malaria in southern Tanzania, biomedical care is the preferred choice of an overwhelming majority of suspected malaria cases, even those complicated by convulsions. Traditional care is no longer a significant delaying factor. To reduce mortality further will require greater emphasis on recognizing danger signs at home, prompter care-seeking, improved quality of care at health facilities and better adherence to treatment.","author":[{"dropping-particle":"","family":"Savigny","given":"Don","non-dropping-particle":"de","parse-names":false,"suffix":""},{"dropping-particle":"","family":"Mayombana","given":"Charles","non-dropping-particle":"","parse-names":false,"suffix":""},{"dropping-particle":"","family":"Mwageni","given":"Eleuther","non-dropping-particle":"","parse-names":false,"suffix":""},{"dropping-particle":"","family":"Masanja","given":"Honorati","non-dropping-particle":"","parse-names":false,"suffix":""},{"dropping-particle":"","family":"Minhaj","given":"Abdulatif","non-dropping-particle":"","parse-names":false,"suffix":""},{"dropping-particle":"","family":"Mkilindi","given":"Yahya","non-dropping-particle":"","parse-names":false,"suffix":""},{"dropping-particle":"","family":"Mbuya","given":"Conrad","non-dropping-particle":"","parse-names":false,"suffix":""},{"dropping-particle":"","family":"Kasale","given":"Harun","non-dropping-particle":"","parse-names":false,"suffix":""},{"dropping-particle":"","family":"Reid","given":"Graham","non-dropping-particle":"","parse-names":false,"suffix":""}],"container-title":"Malaria Journal","id":"ITEM-1","issue":"27","issued":{"date-parts":[["2004","7"]]},"language":"eng","page":"no pagination","publisher":"BioMed Central Ltd. (Floor 6, 236 Gray's Inn Road, London WC1X 8HB, United Kingdom)","publisher-place":"D. De Savigny, Tanzania Essential Hlth. I. P., P.O. Box 78487, Dar es Salaam, Tanzania. E-mail: d.desavigny@unibas.ch, England","title":"Care-seeking patterns for fatal malaria in Tanzania.","type":"article-journal","volume":"3"},"uris":["http://www.mendeley.com/documents/?uuid=1bcb5d17-0269-41d6-8d1d-d55cdb9500e1"]}],"mendeley":{"formattedCitation":"(31)","manualFormatting":"[31","plainTextFormattedCitation":"(31)","previouslyFormattedCitation":"(31)"},"properties":{"noteIndex":0},"schema":"https://github.com/citation-style-language/schema/raw/master/csl-citation.json"}</w:instrText>
            </w:r>
            <w:r w:rsidRPr="008F7784">
              <w:rPr>
                <w:rFonts w:cstheme="minorHAnsi"/>
                <w:sz w:val="16"/>
                <w:szCs w:val="16"/>
                <w:shd w:val="clear" w:color="auto" w:fill="FFFFFF"/>
              </w:rPr>
              <w:fldChar w:fldCharType="separate"/>
            </w:r>
            <w:r w:rsidR="006F2C19">
              <w:rPr>
                <w:rFonts w:cstheme="minorHAnsi"/>
                <w:noProof/>
                <w:sz w:val="16"/>
                <w:szCs w:val="16"/>
                <w:shd w:val="clear" w:color="auto" w:fill="FFFFFF"/>
              </w:rPr>
              <w:t>[</w:t>
            </w:r>
            <w:r w:rsidR="00303FFB" w:rsidRPr="00303FFB">
              <w:rPr>
                <w:rFonts w:cstheme="minorHAnsi"/>
                <w:noProof/>
                <w:sz w:val="16"/>
                <w:szCs w:val="16"/>
                <w:shd w:val="clear" w:color="auto" w:fill="FFFFFF"/>
              </w:rPr>
              <w:t>31</w:t>
            </w:r>
            <w:r w:rsidRPr="008F7784">
              <w:rPr>
                <w:rFonts w:cstheme="minorHAnsi"/>
                <w:sz w:val="16"/>
                <w:szCs w:val="16"/>
                <w:shd w:val="clear" w:color="auto" w:fill="FFFFFF"/>
              </w:rPr>
              <w:fldChar w:fldCharType="end"/>
            </w:r>
            <w:r w:rsidR="006F2C19">
              <w:rPr>
                <w:rFonts w:cstheme="minorHAnsi"/>
                <w:sz w:val="16"/>
                <w:szCs w:val="16"/>
                <w:shd w:val="clear" w:color="auto" w:fill="FFFFFF"/>
              </w:rPr>
              <w:t>]</w:t>
            </w:r>
            <w:r>
              <w:rPr>
                <w:rFonts w:cstheme="minorHAnsi"/>
                <w:sz w:val="16"/>
                <w:szCs w:val="16"/>
                <w:shd w:val="clear" w:color="auto" w:fill="FFFFFF"/>
              </w:rPr>
              <w:t xml:space="preserve"> </w:t>
            </w:r>
            <w:r w:rsidR="0066702F">
              <w:rPr>
                <w:rFonts w:cstheme="minorHAnsi"/>
                <w:sz w:val="16"/>
                <w:szCs w:val="16"/>
                <w:shd w:val="clear" w:color="auto" w:fill="FFFFFF"/>
              </w:rPr>
              <w:t>*</w:t>
            </w:r>
          </w:p>
        </w:tc>
        <w:tc>
          <w:tcPr>
            <w:tcW w:w="348" w:type="pct"/>
            <w:shd w:val="clear" w:color="auto" w:fill="auto"/>
            <w:noWrap/>
            <w:vAlign w:val="bottom"/>
            <w:hideMark/>
          </w:tcPr>
          <w:p w14:paraId="568C90A1" w14:textId="77777777" w:rsidR="00F24106" w:rsidRPr="00A276BA" w:rsidRDefault="00F24106" w:rsidP="0061013B">
            <w:pPr>
              <w:pStyle w:val="NoSpacing"/>
              <w:jc w:val="center"/>
              <w:rPr>
                <w:sz w:val="16"/>
                <w:szCs w:val="16"/>
              </w:rPr>
            </w:pPr>
            <w:r w:rsidRPr="00A276BA">
              <w:rPr>
                <w:sz w:val="16"/>
                <w:szCs w:val="16"/>
              </w:rPr>
              <w:t>1999-2001</w:t>
            </w:r>
          </w:p>
        </w:tc>
        <w:tc>
          <w:tcPr>
            <w:tcW w:w="316" w:type="pct"/>
            <w:shd w:val="clear" w:color="auto" w:fill="auto"/>
            <w:noWrap/>
            <w:vAlign w:val="bottom"/>
            <w:hideMark/>
          </w:tcPr>
          <w:p w14:paraId="69954D06"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auto" w:fill="auto"/>
            <w:noWrap/>
            <w:vAlign w:val="bottom"/>
            <w:hideMark/>
          </w:tcPr>
          <w:p w14:paraId="1FB8C589"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auto" w:fill="auto"/>
            <w:noWrap/>
            <w:vAlign w:val="bottom"/>
            <w:hideMark/>
          </w:tcPr>
          <w:p w14:paraId="0E7ED0E5"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3220968B"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273C1290"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46A0DD67" w14:textId="77777777" w:rsidR="00F24106" w:rsidRPr="00A276BA" w:rsidRDefault="00F24106" w:rsidP="0061013B">
            <w:pPr>
              <w:pStyle w:val="NoSpacing"/>
              <w:jc w:val="center"/>
              <w:rPr>
                <w:sz w:val="16"/>
                <w:szCs w:val="16"/>
              </w:rPr>
            </w:pPr>
            <w:r w:rsidRPr="00A276BA">
              <w:rPr>
                <w:sz w:val="16"/>
                <w:szCs w:val="16"/>
              </w:rPr>
              <w:t>320</w:t>
            </w:r>
          </w:p>
        </w:tc>
        <w:tc>
          <w:tcPr>
            <w:tcW w:w="545" w:type="pct"/>
            <w:shd w:val="clear" w:color="auto" w:fill="auto"/>
            <w:noWrap/>
            <w:vAlign w:val="bottom"/>
            <w:hideMark/>
          </w:tcPr>
          <w:p w14:paraId="245A9003" w14:textId="77777777" w:rsidR="00F24106" w:rsidRPr="00A276BA" w:rsidRDefault="00F24106" w:rsidP="0061013B">
            <w:pPr>
              <w:pStyle w:val="NoSpacing"/>
              <w:jc w:val="center"/>
              <w:rPr>
                <w:sz w:val="16"/>
                <w:szCs w:val="16"/>
              </w:rPr>
            </w:pPr>
            <w:r w:rsidRPr="00A276BA">
              <w:rPr>
                <w:sz w:val="16"/>
                <w:szCs w:val="16"/>
              </w:rPr>
              <w:t>National Sentinel System VA tool</w:t>
            </w:r>
          </w:p>
        </w:tc>
        <w:tc>
          <w:tcPr>
            <w:tcW w:w="373" w:type="pct"/>
            <w:shd w:val="clear" w:color="auto" w:fill="auto"/>
            <w:noWrap/>
            <w:vAlign w:val="bottom"/>
            <w:hideMark/>
          </w:tcPr>
          <w:p w14:paraId="41538387" w14:textId="77777777" w:rsidR="00F24106" w:rsidRPr="00A276BA" w:rsidRDefault="00F24106" w:rsidP="0061013B">
            <w:pPr>
              <w:pStyle w:val="NoSpacing"/>
              <w:jc w:val="center"/>
              <w:rPr>
                <w:sz w:val="16"/>
                <w:szCs w:val="16"/>
              </w:rPr>
            </w:pPr>
            <w:r w:rsidRPr="00A276BA">
              <w:rPr>
                <w:sz w:val="16"/>
                <w:szCs w:val="16"/>
              </w:rPr>
              <w:t>2 weeks</w:t>
            </w:r>
          </w:p>
        </w:tc>
        <w:tc>
          <w:tcPr>
            <w:tcW w:w="759" w:type="pct"/>
            <w:shd w:val="clear" w:color="auto" w:fill="auto"/>
            <w:noWrap/>
            <w:vAlign w:val="bottom"/>
            <w:hideMark/>
          </w:tcPr>
          <w:p w14:paraId="3BE9B3FA" w14:textId="77777777" w:rsidR="00F24106" w:rsidRPr="00A276BA" w:rsidRDefault="00F24106" w:rsidP="0061013B">
            <w:pPr>
              <w:pStyle w:val="NoSpacing"/>
              <w:jc w:val="center"/>
              <w:rPr>
                <w:sz w:val="16"/>
                <w:szCs w:val="16"/>
              </w:rPr>
            </w:pPr>
            <w:r w:rsidRPr="00A276BA">
              <w:rPr>
                <w:sz w:val="16"/>
                <w:szCs w:val="16"/>
              </w:rPr>
              <w:t>3, 4a</w:t>
            </w:r>
          </w:p>
        </w:tc>
        <w:tc>
          <w:tcPr>
            <w:tcW w:w="381" w:type="pct"/>
            <w:shd w:val="clear" w:color="auto" w:fill="auto"/>
            <w:noWrap/>
            <w:vAlign w:val="bottom"/>
            <w:hideMark/>
          </w:tcPr>
          <w:p w14:paraId="0FAA40CF"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11850784" w14:textId="77777777" w:rsidR="00F24106" w:rsidRPr="00A276BA" w:rsidRDefault="00F24106" w:rsidP="0061013B">
            <w:pPr>
              <w:pStyle w:val="NoSpacing"/>
              <w:jc w:val="center"/>
              <w:rPr>
                <w:sz w:val="16"/>
                <w:szCs w:val="16"/>
              </w:rPr>
            </w:pPr>
            <w:r w:rsidRPr="00A276BA">
              <w:rPr>
                <w:sz w:val="16"/>
                <w:szCs w:val="16"/>
              </w:rPr>
              <w:t>0.93</w:t>
            </w:r>
          </w:p>
        </w:tc>
      </w:tr>
      <w:tr w:rsidR="00F24106" w:rsidRPr="00A276BA" w14:paraId="2D8A737D" w14:textId="77777777" w:rsidTr="0061013B">
        <w:trPr>
          <w:cantSplit/>
          <w:trHeight w:val="315"/>
        </w:trPr>
        <w:tc>
          <w:tcPr>
            <w:tcW w:w="380" w:type="pct"/>
            <w:shd w:val="clear" w:color="auto" w:fill="auto"/>
            <w:noWrap/>
            <w:vAlign w:val="bottom"/>
            <w:hideMark/>
          </w:tcPr>
          <w:p w14:paraId="775C6C0E" w14:textId="33A53ED4" w:rsidR="00F24106" w:rsidRPr="00A276BA" w:rsidRDefault="00F24106" w:rsidP="0061013B">
            <w:pPr>
              <w:pStyle w:val="NoSpacing"/>
              <w:rPr>
                <w:sz w:val="16"/>
                <w:szCs w:val="16"/>
              </w:rPr>
            </w:pPr>
            <w:r w:rsidRPr="00A276BA">
              <w:rPr>
                <w:sz w:val="16"/>
                <w:szCs w:val="16"/>
              </w:rPr>
              <w:t xml:space="preserve">Beiersmann </w:t>
            </w:r>
            <w:r>
              <w:rPr>
                <w:sz w:val="16"/>
                <w:szCs w:val="16"/>
              </w:rPr>
              <w:t xml:space="preserve">2007 </w:t>
            </w:r>
            <w:r>
              <w:rPr>
                <w:sz w:val="16"/>
                <w:szCs w:val="16"/>
              </w:rPr>
              <w:fldChar w:fldCharType="begin" w:fldLock="1"/>
            </w:r>
            <w:r w:rsidR="00166DD4">
              <w:rPr>
                <w:sz w:val="16"/>
                <w:szCs w:val="16"/>
              </w:rPr>
              <w:instrText>ADDIN CSL_CITATION {"citationItems":[{"id":"ITEM-1","itemData":{"DOI":"10.1186/1475-2875-6-106","ISSN":"1475-2875 (Electronic)","PMID":"17686147","abstract":"UNLABELLED: The literature on health care seeking behaviour in sub-Saharan Africa for children suffering from malaria is quite extensive. This literature, however, is predominantly quantitative and, inevitably, fails to explore how the local concepts of illness may affect people's choices. Understanding local concepts of illness and their influence on health care-seeking behaviour can complement existing knowledge and lead to the development of more effective malaria control interventions. METHODS: In a rural area of Burkina Faso, four local concepts of illness resembling the biomedical picture of malaria were described according to symptoms, aetiology, and treatment. Data were collected through eight focus group discussions, 17 semi-structured interviews with key informants, and through the analysis of 100 verbal autopsy questionnaires of children under-five diagnosed with malaria. RESULTS: Sumaya, dusukun yelema, kono, and djoliban were identified as the four main local illness concepts resembling respectively uncomplicated malaria, respiratory distress syndrome, cerebral malaria, and severe anaemia. The local disease categorization was found to affect both treatment and provider choice. While sumaya is usually treated by a mix of traditional and modern methods, dusukun yelema and kono are preferably treated by traditional healers, and djoliban is preferably treated in modern health facilities. Besides the conceptualization of illness, poverty was found to be another important influencing factor of health care-seeking behaviour. CONCLUSION: The findings complement previous evidence on health care-seeking behaviour, by showing how local concepts of illness strongly influence treatment and choice of provider. Local concepts of illness need to be considered when developing specific malaria control programmes.","author":[{"dropping-particle":"","family":"Beiersmann","given":"Claudia","non-dropping-particle":"","parse-names":false,"suffix":""},{"dropping-particle":"","family":"Sanou","given":"Aboubakary","non-dropping-particle":"","parse-names":false,"suffix":""},{"dropping-particle":"","family":"Wladarsch","given":"Evelyn","non-dropping-particle":"","parse-names":false,"suffix":""},{"dropping-particle":"","family":"Allegri","given":"Manuela","non-dropping-particle":"De","parse-names":false,"suffix":""},{"dropping-particle":"","family":"Kouyate","given":"Bocar","non-dropping-particle":"","parse-names":false,"suffix":""},{"dropping-particle":"","family":"Muller","given":"Olaf","non-dropping-particle":"","parse-names":false,"suffix":""}],"container-title":"Malaria journal","id":"ITEM-1","issued":{"date-parts":[["2007","8"]]},"language":"eng","page":"106","publisher-place":"England","title":"Malaria in rural Burkina Faso: local illness concepts, patterns of traditional treatment and influence on health-seeking behaviour.","type":"article-journal","volume":"6"},"uris":["http://www.mendeley.com/documents/?uuid=feaf12d8-bd42-4aee-bae7-80a5bd20dc6f"]}],"mendeley":{"formattedCitation":"(45)","manualFormatting":"[44","plainTextFormattedCitation":"(45)","previouslyFormattedCitation":"(45)"},"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44</w:t>
            </w:r>
            <w:r>
              <w:rPr>
                <w:sz w:val="16"/>
                <w:szCs w:val="16"/>
              </w:rPr>
              <w:fldChar w:fldCharType="end"/>
            </w:r>
            <w:r w:rsidR="006F2C19">
              <w:rPr>
                <w:sz w:val="16"/>
                <w:szCs w:val="16"/>
              </w:rPr>
              <w:t>]</w:t>
            </w:r>
            <w:r w:rsidR="0066702F">
              <w:rPr>
                <w:sz w:val="16"/>
                <w:szCs w:val="16"/>
              </w:rPr>
              <w:t>*</w:t>
            </w:r>
          </w:p>
        </w:tc>
        <w:tc>
          <w:tcPr>
            <w:tcW w:w="348" w:type="pct"/>
            <w:shd w:val="clear" w:color="auto" w:fill="auto"/>
            <w:noWrap/>
            <w:vAlign w:val="bottom"/>
            <w:hideMark/>
          </w:tcPr>
          <w:p w14:paraId="2FAA4721" w14:textId="77777777" w:rsidR="00F24106" w:rsidRPr="00A276BA" w:rsidRDefault="00F24106" w:rsidP="0061013B">
            <w:pPr>
              <w:pStyle w:val="NoSpacing"/>
              <w:jc w:val="center"/>
              <w:rPr>
                <w:sz w:val="16"/>
                <w:szCs w:val="16"/>
              </w:rPr>
            </w:pPr>
            <w:r w:rsidRPr="00A276BA">
              <w:rPr>
                <w:sz w:val="16"/>
                <w:szCs w:val="16"/>
              </w:rPr>
              <w:t>1999-2002</w:t>
            </w:r>
          </w:p>
        </w:tc>
        <w:tc>
          <w:tcPr>
            <w:tcW w:w="316" w:type="pct"/>
            <w:shd w:val="clear" w:color="auto" w:fill="auto"/>
            <w:noWrap/>
            <w:vAlign w:val="bottom"/>
            <w:hideMark/>
          </w:tcPr>
          <w:p w14:paraId="32778226" w14:textId="77777777" w:rsidR="00F24106" w:rsidRPr="00A276BA" w:rsidRDefault="00F24106" w:rsidP="0061013B">
            <w:pPr>
              <w:pStyle w:val="NoSpacing"/>
              <w:jc w:val="center"/>
              <w:rPr>
                <w:sz w:val="16"/>
                <w:szCs w:val="16"/>
              </w:rPr>
            </w:pPr>
            <w:r w:rsidRPr="00A276BA">
              <w:rPr>
                <w:sz w:val="16"/>
                <w:szCs w:val="16"/>
              </w:rPr>
              <w:t>Burkina Faso</w:t>
            </w:r>
          </w:p>
        </w:tc>
        <w:tc>
          <w:tcPr>
            <w:tcW w:w="285" w:type="pct"/>
            <w:shd w:val="clear" w:color="auto" w:fill="auto"/>
            <w:noWrap/>
            <w:vAlign w:val="bottom"/>
            <w:hideMark/>
          </w:tcPr>
          <w:p w14:paraId="2DC8B862"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auto" w:fill="auto"/>
            <w:noWrap/>
            <w:vAlign w:val="bottom"/>
            <w:hideMark/>
          </w:tcPr>
          <w:p w14:paraId="08565382"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72CE55C6"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70BD8BEE"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32AE252B" w14:textId="77777777" w:rsidR="00F24106" w:rsidRPr="00A276BA" w:rsidRDefault="00F24106" w:rsidP="0061013B">
            <w:pPr>
              <w:pStyle w:val="NoSpacing"/>
              <w:jc w:val="center"/>
              <w:rPr>
                <w:sz w:val="16"/>
                <w:szCs w:val="16"/>
              </w:rPr>
            </w:pPr>
            <w:r w:rsidRPr="00A276BA">
              <w:rPr>
                <w:sz w:val="16"/>
                <w:szCs w:val="16"/>
              </w:rPr>
              <w:t>100</w:t>
            </w:r>
          </w:p>
        </w:tc>
        <w:tc>
          <w:tcPr>
            <w:tcW w:w="545" w:type="pct"/>
            <w:shd w:val="clear" w:color="auto" w:fill="auto"/>
            <w:noWrap/>
            <w:vAlign w:val="bottom"/>
            <w:hideMark/>
          </w:tcPr>
          <w:p w14:paraId="5DD4B843" w14:textId="77777777" w:rsidR="00F24106" w:rsidRPr="00A276BA" w:rsidRDefault="00F24106" w:rsidP="0061013B">
            <w:pPr>
              <w:pStyle w:val="NoSpacing"/>
              <w:jc w:val="center"/>
              <w:rPr>
                <w:sz w:val="16"/>
                <w:szCs w:val="16"/>
              </w:rPr>
            </w:pPr>
            <w:r w:rsidRPr="00A276BA">
              <w:rPr>
                <w:sz w:val="16"/>
                <w:szCs w:val="16"/>
              </w:rPr>
              <w:t>Unspecified</w:t>
            </w:r>
          </w:p>
        </w:tc>
        <w:tc>
          <w:tcPr>
            <w:tcW w:w="373" w:type="pct"/>
            <w:shd w:val="clear" w:color="auto" w:fill="auto"/>
            <w:noWrap/>
            <w:vAlign w:val="bottom"/>
            <w:hideMark/>
          </w:tcPr>
          <w:p w14:paraId="44ADD3C8" w14:textId="77777777" w:rsidR="00F24106" w:rsidRPr="00A276BA" w:rsidRDefault="00F24106" w:rsidP="0061013B">
            <w:pPr>
              <w:pStyle w:val="NoSpacing"/>
              <w:jc w:val="center"/>
              <w:rPr>
                <w:sz w:val="16"/>
                <w:szCs w:val="16"/>
              </w:rPr>
            </w:pPr>
            <w:r w:rsidRPr="00A276BA">
              <w:rPr>
                <w:sz w:val="16"/>
                <w:szCs w:val="16"/>
              </w:rPr>
              <w:t>1-3 months</w:t>
            </w:r>
          </w:p>
        </w:tc>
        <w:tc>
          <w:tcPr>
            <w:tcW w:w="759" w:type="pct"/>
            <w:shd w:val="clear" w:color="auto" w:fill="auto"/>
            <w:noWrap/>
            <w:vAlign w:val="bottom"/>
            <w:hideMark/>
          </w:tcPr>
          <w:p w14:paraId="5BA279A5" w14:textId="77777777" w:rsidR="00F24106" w:rsidRPr="00A276BA" w:rsidRDefault="00F24106" w:rsidP="0061013B">
            <w:pPr>
              <w:pStyle w:val="NoSpacing"/>
              <w:jc w:val="center"/>
              <w:rPr>
                <w:sz w:val="16"/>
                <w:szCs w:val="16"/>
              </w:rPr>
            </w:pPr>
            <w:r w:rsidRPr="00A276BA">
              <w:rPr>
                <w:sz w:val="16"/>
                <w:szCs w:val="16"/>
              </w:rPr>
              <w:t>4b</w:t>
            </w:r>
          </w:p>
        </w:tc>
        <w:tc>
          <w:tcPr>
            <w:tcW w:w="381" w:type="pct"/>
            <w:shd w:val="clear" w:color="auto" w:fill="auto"/>
            <w:noWrap/>
            <w:vAlign w:val="bottom"/>
            <w:hideMark/>
          </w:tcPr>
          <w:p w14:paraId="03218E8E"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3966885F" w14:textId="77777777" w:rsidR="00F24106" w:rsidRPr="00A276BA" w:rsidRDefault="00F24106" w:rsidP="0061013B">
            <w:pPr>
              <w:pStyle w:val="NoSpacing"/>
              <w:jc w:val="center"/>
              <w:rPr>
                <w:sz w:val="16"/>
                <w:szCs w:val="16"/>
              </w:rPr>
            </w:pPr>
            <w:r w:rsidRPr="00A276BA">
              <w:rPr>
                <w:sz w:val="16"/>
                <w:szCs w:val="16"/>
              </w:rPr>
              <w:t>0.29</w:t>
            </w:r>
          </w:p>
        </w:tc>
      </w:tr>
      <w:tr w:rsidR="00F24106" w:rsidRPr="00A276BA" w14:paraId="6D9F514D" w14:textId="77777777" w:rsidTr="0061013B">
        <w:trPr>
          <w:cantSplit/>
          <w:trHeight w:val="255"/>
        </w:trPr>
        <w:tc>
          <w:tcPr>
            <w:tcW w:w="380" w:type="pct"/>
            <w:shd w:val="clear" w:color="auto" w:fill="auto"/>
            <w:noWrap/>
            <w:vAlign w:val="bottom"/>
            <w:hideMark/>
          </w:tcPr>
          <w:p w14:paraId="337D5E20" w14:textId="23A26607" w:rsidR="00F24106" w:rsidRPr="00A276BA" w:rsidRDefault="00F24106" w:rsidP="00BF67EF">
            <w:pPr>
              <w:pStyle w:val="NoSpacing"/>
              <w:rPr>
                <w:sz w:val="16"/>
                <w:szCs w:val="16"/>
              </w:rPr>
            </w:pPr>
            <w:r w:rsidRPr="00A276BA">
              <w:rPr>
                <w:sz w:val="16"/>
                <w:szCs w:val="16"/>
              </w:rPr>
              <w:t xml:space="preserve">Kamugisa </w:t>
            </w:r>
            <w:r>
              <w:rPr>
                <w:sz w:val="16"/>
                <w:szCs w:val="16"/>
              </w:rPr>
              <w:t xml:space="preserve">2007 </w:t>
            </w:r>
            <w:r>
              <w:rPr>
                <w:sz w:val="16"/>
                <w:szCs w:val="16"/>
              </w:rPr>
              <w:fldChar w:fldCharType="begin" w:fldLock="1"/>
            </w:r>
            <w:r w:rsidR="00166DD4">
              <w:rPr>
                <w:sz w:val="16"/>
                <w:szCs w:val="16"/>
              </w:rPr>
              <w:instrText>ADDIN CSL_CITATION {"citationItems":[{"id":"ITEM-1","itemData":{"ISSN":"0856-6496","PMID":"17547098","abstract":"Vital registration of causes of death in Tanzania is incomplete and many deaths occur outside health care settings. Verbal autopsies (VA) are used to determine the underlying cause of death, and the probable diagnosis helps to estimate reasonably cause-specific mortality. In this paper, we report findings of a verbal autopsy survey which involved eight villages in both low and highlands of Muheza district, north-eastern Tanzania. The survey was conducted following a rapid census, which was done to identify households that had lost one or more members within a period of two years from the date of census. Trained research assistants administered VA questionnaires to parents/close relatives. Two physicians reviewed each report independently and a third opinion was sought where there was discordant report between the two. A total of 9,872 households were surveyed and 134 deaths were recorded. A total of 96 (71.6%) deaths were from lowland villages representing high malaria transmission. Majority (72.4%) of the reported deaths occurred at home whilst 32.1% occurred at heath facility settings. Overall, severe malaria was the leading cause accounting for 34.3% of all deaths. Infants were most affected and accounted for 43.5% of the total deaths. Pulmonary tuberculosis ranked second (8.2%) cause of deaths and was exclusively confined to individuals &gt; or = 15 years. Probable cause of death could not be determined in 13.4% of deaths. In conclusion, majority of deaths in rural north-eastern Tanzania occur at home and the immediate causes are usually unknown or not documented. These findings indicate that the verbal autopsy is a useful tool for detecting leading causes of death at community level in the absence of health facility-based data.","author":[{"dropping-particle":"","family":"Kamugisha","given":"M L","non-dropping-particle":"","parse-names":false,"suffix":""},{"dropping-particle":"","family":"Gesase","given":"S","non-dropping-particle":"","parse-names":false,"suffix":""},{"dropping-particle":"","family":"Mlwilo","given":"T D","non-dropping-particle":"","parse-names":false,"suffix":""},{"dropping-particle":"","family":"Mmbando","given":"B P","non-dropping-particle":"","parse-names":false,"suffix":""},{"dropping-particle":"","family":"Segeja","given":"M D","non-dropping-particle":"","parse-names":false,"suffix":""},{"dropping-particle":"","family":"Minja","given":"D T","non-dropping-particle":"","parse-names":false,"suffix":""},{"dropping-particle":"","family":"Massaga","given":"J J","non-dropping-particle":"","parse-names":false,"suffix":""},{"dropping-particle":"","family":"Msangeni","given":"H A","non-dropping-particle":"","parse-names":false,"suffix":""},{"dropping-particle":"","family":"Ishengoma","given":"D R","non-dropping-particle":"","parse-names":false,"suffix":""},{"dropping-particle":"","family":"Lemnge","given":"M M","non-dropping-particle":"","parse-names":false,"suffix":""}],"container-title":"Tanzania health research bulletin","id":"ITEM-1","issue":"1","issued":{"date-parts":[["2007","1"]]},"language":"eng","page":"32-37","publisher-place":"M.L. Kamugisha, National Institute for Medical Research, Tanga Medical Research Centre, P.O. Box 5004, Tanga, Tanzania., Tanzania","title":"Malaria specific mortality in lowlands and highlands of Muheza district, north-eastern Tanzania","type":"article-journal","volume":"9"},"uris":["http://www.mendeley.com/documents/?uuid=89cc072a-8b8c-4bef-aa44-668df085a534"]}],"mendeley":{"formattedCitation":"(46)","manualFormatting":"[45","plainTextFormattedCitation":"(46)","previouslyFormattedCitation":"(46)"},"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45</w:t>
            </w:r>
            <w:r>
              <w:rPr>
                <w:sz w:val="16"/>
                <w:szCs w:val="16"/>
              </w:rPr>
              <w:fldChar w:fldCharType="end"/>
            </w:r>
            <w:r w:rsidR="006F2C19">
              <w:rPr>
                <w:sz w:val="16"/>
                <w:szCs w:val="16"/>
              </w:rPr>
              <w:t>]</w:t>
            </w:r>
          </w:p>
        </w:tc>
        <w:tc>
          <w:tcPr>
            <w:tcW w:w="348" w:type="pct"/>
            <w:shd w:val="clear" w:color="FFFFFF" w:fill="FFFFFF"/>
            <w:noWrap/>
            <w:vAlign w:val="bottom"/>
            <w:hideMark/>
          </w:tcPr>
          <w:p w14:paraId="6B90B1B0" w14:textId="77777777" w:rsidR="00F24106" w:rsidRPr="00A276BA" w:rsidRDefault="00F24106" w:rsidP="0061013B">
            <w:pPr>
              <w:pStyle w:val="NoSpacing"/>
              <w:jc w:val="center"/>
              <w:rPr>
                <w:sz w:val="16"/>
                <w:szCs w:val="16"/>
              </w:rPr>
            </w:pPr>
            <w:r w:rsidRPr="00A276BA">
              <w:rPr>
                <w:sz w:val="16"/>
                <w:szCs w:val="16"/>
              </w:rPr>
              <w:t>Unspecifie</w:t>
            </w:r>
            <w:r>
              <w:rPr>
                <w:sz w:val="16"/>
                <w:szCs w:val="16"/>
              </w:rPr>
              <w:t>d</w:t>
            </w:r>
          </w:p>
        </w:tc>
        <w:tc>
          <w:tcPr>
            <w:tcW w:w="316" w:type="pct"/>
            <w:shd w:val="clear" w:color="FFFFFF" w:fill="FFFFFF"/>
            <w:noWrap/>
            <w:vAlign w:val="bottom"/>
            <w:hideMark/>
          </w:tcPr>
          <w:p w14:paraId="28FD9264"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FFFFFF" w:fill="FFFFFF"/>
            <w:noWrap/>
            <w:vAlign w:val="bottom"/>
            <w:hideMark/>
          </w:tcPr>
          <w:p w14:paraId="22E5DE12"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FFFFFF" w:fill="FFFFFF"/>
            <w:noWrap/>
            <w:vAlign w:val="bottom"/>
            <w:hideMark/>
          </w:tcPr>
          <w:p w14:paraId="678526E9"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FFFFFF" w:fill="FFFFFF"/>
            <w:noWrap/>
            <w:vAlign w:val="bottom"/>
            <w:hideMark/>
          </w:tcPr>
          <w:p w14:paraId="7A32B8B2" w14:textId="77777777" w:rsidR="00F24106" w:rsidRPr="00A276BA" w:rsidRDefault="00F24106" w:rsidP="0061013B">
            <w:pPr>
              <w:pStyle w:val="NoSpacing"/>
              <w:jc w:val="center"/>
              <w:rPr>
                <w:sz w:val="16"/>
                <w:szCs w:val="16"/>
              </w:rPr>
            </w:pPr>
            <w:r w:rsidRPr="00A276BA">
              <w:rPr>
                <w:sz w:val="16"/>
                <w:szCs w:val="16"/>
              </w:rPr>
              <w:t>N</w:t>
            </w:r>
          </w:p>
        </w:tc>
        <w:tc>
          <w:tcPr>
            <w:tcW w:w="315" w:type="pct"/>
            <w:shd w:val="clear" w:color="FFFFFF" w:fill="FFFFFF"/>
            <w:vAlign w:val="bottom"/>
          </w:tcPr>
          <w:p w14:paraId="06E46EC4" w14:textId="77777777" w:rsidR="00F24106" w:rsidRPr="00A276BA" w:rsidRDefault="00F24106" w:rsidP="0061013B">
            <w:pPr>
              <w:pStyle w:val="NoSpacing"/>
              <w:jc w:val="center"/>
              <w:rPr>
                <w:sz w:val="16"/>
                <w:szCs w:val="16"/>
              </w:rPr>
            </w:pPr>
            <w:r>
              <w:rPr>
                <w:sz w:val="16"/>
                <w:szCs w:val="16"/>
              </w:rPr>
              <w:t>Rural</w:t>
            </w:r>
          </w:p>
        </w:tc>
        <w:tc>
          <w:tcPr>
            <w:tcW w:w="316" w:type="pct"/>
            <w:shd w:val="clear" w:color="FFFFFF" w:fill="FFFFFF"/>
            <w:noWrap/>
            <w:vAlign w:val="bottom"/>
            <w:hideMark/>
          </w:tcPr>
          <w:p w14:paraId="047A107A" w14:textId="77777777" w:rsidR="00F24106" w:rsidRPr="00A276BA" w:rsidRDefault="00F24106" w:rsidP="0061013B">
            <w:pPr>
              <w:pStyle w:val="NoSpacing"/>
              <w:jc w:val="center"/>
              <w:rPr>
                <w:sz w:val="16"/>
                <w:szCs w:val="16"/>
              </w:rPr>
            </w:pPr>
            <w:r w:rsidRPr="00A276BA">
              <w:rPr>
                <w:sz w:val="16"/>
                <w:szCs w:val="16"/>
              </w:rPr>
              <w:t>53</w:t>
            </w:r>
          </w:p>
        </w:tc>
        <w:tc>
          <w:tcPr>
            <w:tcW w:w="545" w:type="pct"/>
            <w:shd w:val="clear" w:color="FFFFFF" w:fill="FFFFFF"/>
            <w:noWrap/>
            <w:vAlign w:val="bottom"/>
            <w:hideMark/>
          </w:tcPr>
          <w:p w14:paraId="59D6BF6E" w14:textId="77777777" w:rsidR="00F24106" w:rsidRPr="00A276BA" w:rsidRDefault="00F24106" w:rsidP="0061013B">
            <w:pPr>
              <w:pStyle w:val="NoSpacing"/>
              <w:jc w:val="center"/>
              <w:rPr>
                <w:sz w:val="16"/>
                <w:szCs w:val="16"/>
              </w:rPr>
            </w:pPr>
            <w:r w:rsidRPr="00A276BA">
              <w:rPr>
                <w:sz w:val="16"/>
                <w:szCs w:val="16"/>
              </w:rPr>
              <w:t>WHO VA 1999</w:t>
            </w:r>
          </w:p>
        </w:tc>
        <w:tc>
          <w:tcPr>
            <w:tcW w:w="373" w:type="pct"/>
            <w:shd w:val="clear" w:color="FFFFFF" w:fill="FFFFFF"/>
            <w:noWrap/>
            <w:vAlign w:val="bottom"/>
            <w:hideMark/>
          </w:tcPr>
          <w:p w14:paraId="1E7AD81F" w14:textId="77777777" w:rsidR="00F24106" w:rsidRPr="00A276BA" w:rsidRDefault="00F24106" w:rsidP="0061013B">
            <w:pPr>
              <w:pStyle w:val="NoSpacing"/>
              <w:jc w:val="center"/>
              <w:rPr>
                <w:sz w:val="16"/>
                <w:szCs w:val="16"/>
              </w:rPr>
            </w:pPr>
            <w:r w:rsidRPr="00A276BA">
              <w:rPr>
                <w:sz w:val="16"/>
                <w:szCs w:val="16"/>
              </w:rPr>
              <w:t>2 years</w:t>
            </w:r>
          </w:p>
        </w:tc>
        <w:tc>
          <w:tcPr>
            <w:tcW w:w="759" w:type="pct"/>
            <w:shd w:val="clear" w:color="FFFFFF" w:fill="FFFFFF"/>
            <w:noWrap/>
            <w:vAlign w:val="bottom"/>
            <w:hideMark/>
          </w:tcPr>
          <w:p w14:paraId="69C1EC16" w14:textId="77777777" w:rsidR="00F24106" w:rsidRPr="00A276BA" w:rsidRDefault="00F24106" w:rsidP="0061013B">
            <w:pPr>
              <w:pStyle w:val="NoSpacing"/>
              <w:jc w:val="center"/>
              <w:rPr>
                <w:sz w:val="16"/>
                <w:szCs w:val="16"/>
              </w:rPr>
            </w:pPr>
            <w:r w:rsidRPr="00A276BA">
              <w:rPr>
                <w:sz w:val="16"/>
                <w:szCs w:val="16"/>
              </w:rPr>
              <w:t>7</w:t>
            </w:r>
          </w:p>
        </w:tc>
        <w:tc>
          <w:tcPr>
            <w:tcW w:w="381" w:type="pct"/>
            <w:shd w:val="clear" w:color="FFFFFF" w:fill="FFFFFF"/>
            <w:noWrap/>
            <w:vAlign w:val="bottom"/>
            <w:hideMark/>
          </w:tcPr>
          <w:p w14:paraId="4F8AE521"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FFFFFF" w:fill="FFFFFF"/>
            <w:noWrap/>
            <w:vAlign w:val="bottom"/>
            <w:hideMark/>
          </w:tcPr>
          <w:p w14:paraId="1E84F45D"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33418229" w14:textId="77777777" w:rsidTr="0061013B">
        <w:trPr>
          <w:cantSplit/>
          <w:trHeight w:val="315"/>
        </w:trPr>
        <w:tc>
          <w:tcPr>
            <w:tcW w:w="380" w:type="pct"/>
            <w:shd w:val="clear" w:color="auto" w:fill="auto"/>
            <w:noWrap/>
            <w:vAlign w:val="bottom"/>
            <w:hideMark/>
          </w:tcPr>
          <w:p w14:paraId="13FED5AF" w14:textId="348D1A5F" w:rsidR="00F24106" w:rsidRPr="00A276BA" w:rsidRDefault="00F24106" w:rsidP="00BF67EF">
            <w:pPr>
              <w:pStyle w:val="NoSpacing"/>
              <w:rPr>
                <w:sz w:val="16"/>
                <w:szCs w:val="16"/>
              </w:rPr>
            </w:pPr>
            <w:r w:rsidRPr="00A276BA">
              <w:rPr>
                <w:sz w:val="16"/>
                <w:szCs w:val="16"/>
              </w:rPr>
              <w:t xml:space="preserve">Edmond </w:t>
            </w:r>
            <w:r>
              <w:rPr>
                <w:sz w:val="16"/>
                <w:szCs w:val="16"/>
              </w:rPr>
              <w:t xml:space="preserve">2008 </w:t>
            </w:r>
            <w:r>
              <w:rPr>
                <w:sz w:val="16"/>
                <w:szCs w:val="16"/>
              </w:rPr>
              <w:fldChar w:fldCharType="begin" w:fldLock="1"/>
            </w:r>
            <w:r w:rsidR="00166DD4">
              <w:rPr>
                <w:sz w:val="16"/>
                <w:szCs w:val="16"/>
              </w:rPr>
              <w:instrText>ADDIN CSL_CITATION {"citationItems":[{"id":"ITEM-1","itemData":{"DOI":"http://dx.doi.org/10.1111/j.1365-3016.2008.00961.x","ISSN":"0269-5022","abstract":"In developing countries many stillbirths and neonatal deaths occur at home and cause of death is not recorded by national health information systems. A community-level verbal autopsy tool was used to obtain data on the aetiology of stillbirths and neonatal deaths in rural Ghana. Objectives were to describe the timing and distribution of causes of stillbirths and neonatal deaths according to site of death (health facility or home). Data were collected from 1 January 2003 to 30 June 2004; 20 317 deliveries, 696 stillbirths and 623 neonatal deaths occurred over that time. Most deaths occurred in the antepartum period (28 weeks gestation to the onset of labour) (33.0%). However, the highest risk periods were during labour and delivery (intrapartum period) and the first day of life. Infections were a major cause of death in the antepartum (10.1%) and neonatal (40.3%) periods. The most important cause of intrapartum death was obstetric complications (59.3%). There were significantly fewer neonatal deaths resulting from birth asphyxia in the home than in the health facilities and more deaths from infection. Only 59 (20.7%) mothers of neonates who died at home reported that they sought care from an appropriate health care provider (doctor, nurse or health facility) during their baby's illness. The results from this study highlight the importance of studying community-level data in developing countries and the high risk of intrapartum stillbirths and infectious diseases in the rural African mother and neonate. Community-level interventions are urgently needed, especially interventions that reduce intrapartum deaths and infection rates in the mother and infant.","author":[{"dropping-particle":"","family":"Edmond","given":"K M","non-dropping-particle":"","parse-names":false,"suffix":""},{"dropping-particle":"","family":"Quigley","given":"M A","non-dropping-particle":"","parse-names":false,"suffix":""},{"dropping-particle":"","family":"Zandoh","given":"C","non-dropping-particle":"","parse-names":false,"suffix":""},{"dropping-particle":"","family":"Danso","given":"S","non-dropping-particle":"","parse-names":false,"suffix":""},{"dropping-particle":"","family":"Hurt","given":"C","non-dropping-particle":"","parse-names":false,"suffix":""},{"dropping-particle":"","family":"Agyei","given":"S O","non-dropping-particle":"","parse-names":false,"suffix":""},{"dropping-particle":"","family":"Kirkwood","given":"B R","non-dropping-particle":"","parse-names":false,"suffix":""},{"dropping-particle":"","family":"K.M.","given":"Edmond","non-dropping-particle":"","parse-names":false,"suffix":""},{"dropping-particle":"","family":"M.A.","given":"Quigley","non-dropping-particle":"","parse-names":false,"suffix":""},{"dropping-particle":"","family":"C.","given":"Zandoh","non-dropping-particle":"","parse-names":false,"suffix":""},{"dropping-particle":"","family":"S.","given":"Danso","non-dropping-particle":"","parse-names":false,"suffix":""},{"dropping-particle":"","family":"C.","given":"Hurt","non-dropping-particle":"","parse-names":false,"suffix":""},{"dropping-particle":"","family":"S.O.","given":"Agyei","non-dropping-particle":"","parse-names":false,"suffix":""}],"container-title":"Paediatric and Perinatal Epidemiology","id":"ITEM-1","issue":"5","issued":{"date-parts":[["2008"]]},"page":"430-437","publisher":"Blackwell Publishing Ltd (9600 Garsington Road, Oxford OX4 2XG, United Kingdom)","publisher-place":"Oxford","title":"Aetiology of stillbirths and neonatal deaths in rural Ghana: Implications for health programming in developing countries","type":"article-journal","volume":"22"},"uris":["http://www.mendeley.com/documents/?uuid=19f78351-a6d0-496b-b109-ecfc5f0d7f08"]}],"mendeley":{"formattedCitation":"(47)","manualFormatting":"[46","plainTextFormattedCitation":"(47)","previouslyFormattedCitation":"(47)"},"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46</w:t>
            </w:r>
            <w:r>
              <w:rPr>
                <w:sz w:val="16"/>
                <w:szCs w:val="16"/>
              </w:rPr>
              <w:fldChar w:fldCharType="end"/>
            </w:r>
            <w:r w:rsidR="006F2C19">
              <w:rPr>
                <w:sz w:val="16"/>
                <w:szCs w:val="16"/>
              </w:rPr>
              <w:t>]</w:t>
            </w:r>
          </w:p>
        </w:tc>
        <w:tc>
          <w:tcPr>
            <w:tcW w:w="348" w:type="pct"/>
            <w:shd w:val="clear" w:color="auto" w:fill="auto"/>
            <w:noWrap/>
            <w:vAlign w:val="bottom"/>
            <w:hideMark/>
          </w:tcPr>
          <w:p w14:paraId="325864D4" w14:textId="77777777" w:rsidR="00F24106" w:rsidRPr="00A276BA" w:rsidRDefault="00F24106" w:rsidP="0061013B">
            <w:pPr>
              <w:pStyle w:val="NoSpacing"/>
              <w:jc w:val="center"/>
              <w:rPr>
                <w:sz w:val="16"/>
                <w:szCs w:val="16"/>
              </w:rPr>
            </w:pPr>
            <w:r w:rsidRPr="00A276BA">
              <w:rPr>
                <w:sz w:val="16"/>
                <w:szCs w:val="16"/>
              </w:rPr>
              <w:t>2003-2004</w:t>
            </w:r>
          </w:p>
        </w:tc>
        <w:tc>
          <w:tcPr>
            <w:tcW w:w="316" w:type="pct"/>
            <w:shd w:val="clear" w:color="auto" w:fill="auto"/>
            <w:noWrap/>
            <w:vAlign w:val="bottom"/>
            <w:hideMark/>
          </w:tcPr>
          <w:p w14:paraId="0420F315" w14:textId="77777777" w:rsidR="00F24106" w:rsidRPr="00A276BA" w:rsidRDefault="00F24106" w:rsidP="0061013B">
            <w:pPr>
              <w:pStyle w:val="NoSpacing"/>
              <w:jc w:val="center"/>
              <w:rPr>
                <w:sz w:val="16"/>
                <w:szCs w:val="16"/>
              </w:rPr>
            </w:pPr>
            <w:r w:rsidRPr="00A276BA">
              <w:rPr>
                <w:sz w:val="16"/>
                <w:szCs w:val="16"/>
              </w:rPr>
              <w:t>Ghana</w:t>
            </w:r>
          </w:p>
        </w:tc>
        <w:tc>
          <w:tcPr>
            <w:tcW w:w="285" w:type="pct"/>
            <w:shd w:val="clear" w:color="auto" w:fill="auto"/>
            <w:noWrap/>
            <w:vAlign w:val="bottom"/>
            <w:hideMark/>
          </w:tcPr>
          <w:p w14:paraId="7F1A2CD7" w14:textId="77777777" w:rsidR="00F24106" w:rsidRPr="00A276BA" w:rsidRDefault="00F24106" w:rsidP="0061013B">
            <w:pPr>
              <w:pStyle w:val="NoSpacing"/>
              <w:jc w:val="center"/>
              <w:rPr>
                <w:sz w:val="16"/>
                <w:szCs w:val="16"/>
              </w:rPr>
            </w:pPr>
            <w:r w:rsidRPr="00A276BA">
              <w:rPr>
                <w:sz w:val="16"/>
                <w:szCs w:val="16"/>
              </w:rPr>
              <w:t>0-28 days</w:t>
            </w:r>
          </w:p>
        </w:tc>
        <w:tc>
          <w:tcPr>
            <w:tcW w:w="362" w:type="pct"/>
            <w:shd w:val="clear" w:color="auto" w:fill="auto"/>
            <w:noWrap/>
            <w:vAlign w:val="bottom"/>
            <w:hideMark/>
          </w:tcPr>
          <w:p w14:paraId="2A37277F"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20F3027D" w14:textId="48CF0ED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25B3369A"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67426678" w14:textId="77777777" w:rsidR="00F24106" w:rsidRPr="00A276BA" w:rsidRDefault="00F24106" w:rsidP="0061013B">
            <w:pPr>
              <w:pStyle w:val="NoSpacing"/>
              <w:jc w:val="center"/>
              <w:rPr>
                <w:sz w:val="16"/>
                <w:szCs w:val="16"/>
              </w:rPr>
            </w:pPr>
            <w:r w:rsidRPr="00A276BA">
              <w:rPr>
                <w:sz w:val="16"/>
                <w:szCs w:val="16"/>
              </w:rPr>
              <w:t>590</w:t>
            </w:r>
          </w:p>
        </w:tc>
        <w:tc>
          <w:tcPr>
            <w:tcW w:w="545" w:type="pct"/>
            <w:shd w:val="clear" w:color="auto" w:fill="auto"/>
            <w:noWrap/>
            <w:vAlign w:val="bottom"/>
            <w:hideMark/>
          </w:tcPr>
          <w:p w14:paraId="7961F018" w14:textId="77777777" w:rsidR="00F24106" w:rsidRPr="00A276BA" w:rsidRDefault="00F24106" w:rsidP="0061013B">
            <w:pPr>
              <w:pStyle w:val="NoSpacing"/>
              <w:jc w:val="center"/>
              <w:rPr>
                <w:sz w:val="16"/>
                <w:szCs w:val="16"/>
              </w:rPr>
            </w:pPr>
            <w:r w:rsidRPr="00A276BA">
              <w:rPr>
                <w:sz w:val="16"/>
                <w:szCs w:val="16"/>
              </w:rPr>
              <w:t>WHO VA 1999</w:t>
            </w:r>
          </w:p>
        </w:tc>
        <w:tc>
          <w:tcPr>
            <w:tcW w:w="373" w:type="pct"/>
            <w:shd w:val="clear" w:color="auto" w:fill="auto"/>
            <w:noWrap/>
            <w:vAlign w:val="bottom"/>
            <w:hideMark/>
          </w:tcPr>
          <w:p w14:paraId="3D44B524" w14:textId="77777777" w:rsidR="00F24106" w:rsidRPr="00A276BA" w:rsidRDefault="00F24106" w:rsidP="0061013B">
            <w:pPr>
              <w:pStyle w:val="NoSpacing"/>
              <w:jc w:val="center"/>
              <w:rPr>
                <w:sz w:val="16"/>
                <w:szCs w:val="16"/>
              </w:rPr>
            </w:pPr>
            <w:r w:rsidRPr="00A276BA">
              <w:rPr>
                <w:sz w:val="16"/>
                <w:szCs w:val="16"/>
              </w:rPr>
              <w:t>6 months</w:t>
            </w:r>
          </w:p>
        </w:tc>
        <w:tc>
          <w:tcPr>
            <w:tcW w:w="759" w:type="pct"/>
            <w:shd w:val="clear" w:color="auto" w:fill="auto"/>
            <w:noWrap/>
            <w:vAlign w:val="bottom"/>
            <w:hideMark/>
          </w:tcPr>
          <w:p w14:paraId="0FE5F9A0" w14:textId="77777777" w:rsidR="00F24106" w:rsidRPr="00A276BA" w:rsidRDefault="00F24106" w:rsidP="0061013B">
            <w:pPr>
              <w:pStyle w:val="NoSpacing"/>
              <w:jc w:val="center"/>
              <w:rPr>
                <w:sz w:val="16"/>
                <w:szCs w:val="16"/>
              </w:rPr>
            </w:pPr>
            <w:r w:rsidRPr="00A276BA">
              <w:rPr>
                <w:sz w:val="16"/>
                <w:szCs w:val="16"/>
              </w:rPr>
              <w:t>4a, 4b, 7</w:t>
            </w:r>
          </w:p>
        </w:tc>
        <w:tc>
          <w:tcPr>
            <w:tcW w:w="381" w:type="pct"/>
            <w:shd w:val="clear" w:color="auto" w:fill="auto"/>
            <w:noWrap/>
            <w:vAlign w:val="bottom"/>
            <w:hideMark/>
          </w:tcPr>
          <w:p w14:paraId="04A636E9"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77953C91" w14:textId="77777777" w:rsidR="00F24106" w:rsidRPr="00A276BA" w:rsidRDefault="00F24106" w:rsidP="0061013B">
            <w:pPr>
              <w:pStyle w:val="NoSpacing"/>
              <w:jc w:val="center"/>
              <w:rPr>
                <w:sz w:val="16"/>
                <w:szCs w:val="16"/>
              </w:rPr>
            </w:pPr>
            <w:r w:rsidRPr="00A276BA">
              <w:rPr>
                <w:sz w:val="16"/>
                <w:szCs w:val="16"/>
              </w:rPr>
              <w:t>0.71</w:t>
            </w:r>
          </w:p>
        </w:tc>
      </w:tr>
      <w:tr w:rsidR="00F24106" w:rsidRPr="00A276BA" w14:paraId="65ABE015" w14:textId="77777777" w:rsidTr="0061013B">
        <w:trPr>
          <w:cantSplit/>
          <w:trHeight w:val="315"/>
        </w:trPr>
        <w:tc>
          <w:tcPr>
            <w:tcW w:w="380" w:type="pct"/>
            <w:shd w:val="clear" w:color="auto" w:fill="auto"/>
            <w:noWrap/>
            <w:vAlign w:val="bottom"/>
            <w:hideMark/>
          </w:tcPr>
          <w:p w14:paraId="732B1F8E" w14:textId="1B98A4A0" w:rsidR="00F24106" w:rsidRPr="00A276BA" w:rsidRDefault="00F24106" w:rsidP="00BF67EF">
            <w:pPr>
              <w:pStyle w:val="NoSpacing"/>
              <w:rPr>
                <w:sz w:val="16"/>
                <w:szCs w:val="16"/>
              </w:rPr>
            </w:pPr>
            <w:r w:rsidRPr="00A276BA">
              <w:rPr>
                <w:sz w:val="16"/>
                <w:szCs w:val="16"/>
              </w:rPr>
              <w:t xml:space="preserve">Hildenwall </w:t>
            </w:r>
            <w:r>
              <w:rPr>
                <w:sz w:val="16"/>
                <w:szCs w:val="16"/>
              </w:rPr>
              <w:t xml:space="preserve">2008 </w:t>
            </w:r>
            <w:r>
              <w:rPr>
                <w:sz w:val="16"/>
                <w:szCs w:val="16"/>
              </w:rPr>
              <w:fldChar w:fldCharType="begin" w:fldLock="1"/>
            </w:r>
            <w:r w:rsidR="00166DD4">
              <w:rPr>
                <w:sz w:val="16"/>
                <w:szCs w:val="16"/>
              </w:rPr>
              <w:instrText>ADDIN CSL_CITATION {"citationItems":[{"id":"ITEM-1","itemData":{"DOI":"10.1186/1472-698X-8-12","abstract":"The main killer diseases of children all manifest as acute febrile illness, yet are curable with timely and adequate management. To avoid a fatal outcome, three essential steps must be completed: caretakers must recognize illness, decide to seek care and reach an appropriate source of care, and then receive appropriate treatment. In a fatal outcome some or all of these steps have failed and it remains to be elucidated to what extent these fatal outcomes are caused by local disease perceptions, inappropriate care-seeking or inadequate resources in the family or health system. This study explores caretakers' experiences of care-seeking for childhood febrile illness with fatal outcome in rural Uganda to elucidate the most influential barriers to adequate care. A mixed methods approach using structured Verbal/Social autopsy interviews and in-depth interviews was employed with 26 caretakers living in Iganga/Mayuge Demographic Surveillance Site who had lost a child 1–59 months old due to acute febrile illness between March and June 2006. In-depth interviews were analysed using content analysis with deductive category application. Final categories of barriers to care were: 1) \"Illness interpretation barriers\" involving children who received delayed or inappropriate care due to caretakers' labelling of the illness, 2) \"Barriers to seeking care\" with gender roles and household financial constraints hindering adequate care and 3) \"Barriers to receiving adequate treatment\" revealing discontents with providers and possible deficiencies in quality of care. Resource constraints were identified as the underlying theme for adequate management, both at individual and at health system levels. The management of severely ill children in this rural setting has several shortcomings. However, the majority of children were seen by an allopathic health care provider during the final illness. Improvements of basic health care for children suffering from acute febrile illness are likely to contribute to a substantial reduction of fatal outcomes. Health care providers at all levels and private as well as public should receive training, support, equipment and supplies to enable basic health care for children suffering from common illnesses.","author":[{"dropping-particle":"","family":"Hildenwall","given":"Helena","non-dropping-particle":"","parse-names":false,"suffix":""},{"dropping-particle":"","family":"Tomson","given":"Göran","non-dropping-particle":"","parse-names":false,"suffix":""},{"dropping-particle":"","family":"Kaija","given":"Judith","non-dropping-particle":"","parse-names":false,"suffix":""},{"dropping-particle":"","family":"Pariyo","given":"George","non-dropping-particle":"","parse-names":false,"suffix":""},{"dropping-particle":"","family":"Peterson","given":"Stefan","non-dropping-particle":"","parse-names":false,"suffix":""}],"container-title":"BMC International Health and Human Rights","id":"ITEM-1","issue":"1","issued":{"date-parts":[["2008","12","2"]]},"page":"12","publisher":"BioMed Central","title":"&amp;quot;I never had the money for blood testing&amp;quot; – Caretakers' experiences of care-seeking for fatal childhood fevers in rural Uganda – a mixed methods study","type":"article-journal","volume":"8"},"uris":["http://www.mendeley.com/documents/?uuid=a2def8b6-c041-3dcb-9cb0-ccd78980f17c"]}],"mendeley":{"formattedCitation":"(48)","manualFormatting":"[47","plainTextFormattedCitation":"(48)","previouslyFormattedCitation":"(48)"},"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47</w:t>
            </w:r>
            <w:r>
              <w:rPr>
                <w:sz w:val="16"/>
                <w:szCs w:val="16"/>
              </w:rPr>
              <w:fldChar w:fldCharType="end"/>
            </w:r>
            <w:r w:rsidR="006F2C19">
              <w:rPr>
                <w:sz w:val="16"/>
                <w:szCs w:val="16"/>
              </w:rPr>
              <w:t>]</w:t>
            </w:r>
            <w:r>
              <w:rPr>
                <w:sz w:val="16"/>
                <w:szCs w:val="16"/>
              </w:rPr>
              <w:t xml:space="preserve"> </w:t>
            </w:r>
            <w:r w:rsidR="0066702F">
              <w:rPr>
                <w:sz w:val="16"/>
                <w:szCs w:val="16"/>
              </w:rPr>
              <w:t>*</w:t>
            </w:r>
          </w:p>
        </w:tc>
        <w:tc>
          <w:tcPr>
            <w:tcW w:w="348" w:type="pct"/>
            <w:shd w:val="clear" w:color="auto" w:fill="auto"/>
            <w:noWrap/>
            <w:vAlign w:val="bottom"/>
            <w:hideMark/>
          </w:tcPr>
          <w:p w14:paraId="5866816C" w14:textId="77777777" w:rsidR="00F24106" w:rsidRPr="00A276BA" w:rsidRDefault="00F24106" w:rsidP="0061013B">
            <w:pPr>
              <w:pStyle w:val="NoSpacing"/>
              <w:jc w:val="center"/>
              <w:rPr>
                <w:sz w:val="16"/>
                <w:szCs w:val="16"/>
              </w:rPr>
            </w:pPr>
            <w:r w:rsidRPr="00A276BA">
              <w:rPr>
                <w:sz w:val="16"/>
                <w:szCs w:val="16"/>
              </w:rPr>
              <w:t>2006</w:t>
            </w:r>
          </w:p>
        </w:tc>
        <w:tc>
          <w:tcPr>
            <w:tcW w:w="316" w:type="pct"/>
            <w:shd w:val="clear" w:color="auto" w:fill="auto"/>
            <w:noWrap/>
            <w:vAlign w:val="bottom"/>
            <w:hideMark/>
          </w:tcPr>
          <w:p w14:paraId="6F7FE95E" w14:textId="77777777" w:rsidR="00F24106" w:rsidRPr="00A276BA" w:rsidRDefault="00F24106" w:rsidP="0061013B">
            <w:pPr>
              <w:pStyle w:val="NoSpacing"/>
              <w:jc w:val="center"/>
              <w:rPr>
                <w:sz w:val="16"/>
                <w:szCs w:val="16"/>
              </w:rPr>
            </w:pPr>
            <w:r w:rsidRPr="00A276BA">
              <w:rPr>
                <w:sz w:val="16"/>
                <w:szCs w:val="16"/>
              </w:rPr>
              <w:t>Uganda</w:t>
            </w:r>
          </w:p>
        </w:tc>
        <w:tc>
          <w:tcPr>
            <w:tcW w:w="285" w:type="pct"/>
            <w:shd w:val="clear" w:color="auto" w:fill="auto"/>
            <w:noWrap/>
            <w:vAlign w:val="bottom"/>
            <w:hideMark/>
          </w:tcPr>
          <w:p w14:paraId="1928B2E3"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49636C21"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06381AA3"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3162A13A"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2FD008E2" w14:textId="77777777" w:rsidR="00F24106" w:rsidRPr="00A276BA" w:rsidRDefault="00F24106" w:rsidP="0061013B">
            <w:pPr>
              <w:pStyle w:val="NoSpacing"/>
              <w:jc w:val="center"/>
              <w:rPr>
                <w:sz w:val="16"/>
                <w:szCs w:val="16"/>
              </w:rPr>
            </w:pPr>
            <w:r w:rsidRPr="00A276BA">
              <w:rPr>
                <w:sz w:val="16"/>
                <w:szCs w:val="16"/>
              </w:rPr>
              <w:t>26</w:t>
            </w:r>
          </w:p>
        </w:tc>
        <w:tc>
          <w:tcPr>
            <w:tcW w:w="545" w:type="pct"/>
            <w:shd w:val="clear" w:color="auto" w:fill="auto"/>
            <w:noWrap/>
            <w:vAlign w:val="bottom"/>
            <w:hideMark/>
          </w:tcPr>
          <w:p w14:paraId="5AF1A5A2" w14:textId="4A7931D6" w:rsidR="00F24106" w:rsidRPr="00A276BA" w:rsidRDefault="00F24106" w:rsidP="0061013B">
            <w:pPr>
              <w:pStyle w:val="NoSpacing"/>
              <w:jc w:val="center"/>
              <w:rPr>
                <w:sz w:val="16"/>
                <w:szCs w:val="16"/>
              </w:rPr>
            </w:pPr>
            <w:r w:rsidRPr="00A276BA">
              <w:rPr>
                <w:sz w:val="16"/>
                <w:szCs w:val="16"/>
              </w:rPr>
              <w:t>INDEPTH Network VA merged with the social autopsy from the Bolivian Mortality Survey</w:t>
            </w:r>
          </w:p>
        </w:tc>
        <w:tc>
          <w:tcPr>
            <w:tcW w:w="373" w:type="pct"/>
            <w:shd w:val="clear" w:color="auto" w:fill="auto"/>
            <w:noWrap/>
            <w:vAlign w:val="bottom"/>
            <w:hideMark/>
          </w:tcPr>
          <w:p w14:paraId="036C2866" w14:textId="77777777" w:rsidR="00F24106" w:rsidRPr="00A276BA" w:rsidRDefault="00F24106" w:rsidP="0061013B">
            <w:pPr>
              <w:pStyle w:val="NoSpacing"/>
              <w:jc w:val="center"/>
              <w:rPr>
                <w:sz w:val="16"/>
                <w:szCs w:val="16"/>
              </w:rPr>
            </w:pPr>
            <w:r w:rsidRPr="00A276BA">
              <w:rPr>
                <w:sz w:val="16"/>
                <w:szCs w:val="16"/>
              </w:rPr>
              <w:t>4-6 weeks</w:t>
            </w:r>
          </w:p>
        </w:tc>
        <w:tc>
          <w:tcPr>
            <w:tcW w:w="759" w:type="pct"/>
            <w:shd w:val="clear" w:color="auto" w:fill="auto"/>
            <w:noWrap/>
            <w:vAlign w:val="bottom"/>
            <w:hideMark/>
          </w:tcPr>
          <w:p w14:paraId="67567DC9" w14:textId="77777777" w:rsidR="00F24106" w:rsidRPr="00A276BA" w:rsidRDefault="00F24106" w:rsidP="0061013B">
            <w:pPr>
              <w:pStyle w:val="NoSpacing"/>
              <w:jc w:val="center"/>
              <w:rPr>
                <w:sz w:val="16"/>
                <w:szCs w:val="16"/>
              </w:rPr>
            </w:pPr>
            <w:r w:rsidRPr="00A276BA">
              <w:rPr>
                <w:sz w:val="16"/>
                <w:szCs w:val="16"/>
              </w:rPr>
              <w:t>4a, 4b, 7</w:t>
            </w:r>
          </w:p>
        </w:tc>
        <w:tc>
          <w:tcPr>
            <w:tcW w:w="381" w:type="pct"/>
            <w:shd w:val="clear" w:color="auto" w:fill="auto"/>
            <w:noWrap/>
            <w:vAlign w:val="bottom"/>
            <w:hideMark/>
          </w:tcPr>
          <w:p w14:paraId="7C2472B7"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1D51C97F"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555A4E1A" w14:textId="77777777" w:rsidTr="0061013B">
        <w:trPr>
          <w:cantSplit/>
          <w:trHeight w:val="315"/>
        </w:trPr>
        <w:tc>
          <w:tcPr>
            <w:tcW w:w="380" w:type="pct"/>
            <w:shd w:val="clear" w:color="auto" w:fill="auto"/>
            <w:noWrap/>
            <w:vAlign w:val="bottom"/>
            <w:hideMark/>
          </w:tcPr>
          <w:p w14:paraId="0DC06265" w14:textId="027FC4EF" w:rsidR="00F24106" w:rsidRPr="00A276BA" w:rsidRDefault="00F24106" w:rsidP="00BF67EF">
            <w:pPr>
              <w:pStyle w:val="NoSpacing"/>
              <w:rPr>
                <w:sz w:val="16"/>
                <w:szCs w:val="16"/>
              </w:rPr>
            </w:pPr>
            <w:r w:rsidRPr="00A276BA">
              <w:rPr>
                <w:sz w:val="16"/>
                <w:szCs w:val="16"/>
              </w:rPr>
              <w:t xml:space="preserve">Kallander </w:t>
            </w:r>
            <w:r>
              <w:rPr>
                <w:sz w:val="16"/>
                <w:szCs w:val="16"/>
              </w:rPr>
              <w:t xml:space="preserve">2008 </w:t>
            </w:r>
            <w:r>
              <w:rPr>
                <w:sz w:val="16"/>
                <w:szCs w:val="16"/>
              </w:rPr>
              <w:fldChar w:fldCharType="begin" w:fldLock="1"/>
            </w:r>
            <w:r w:rsidR="00166DD4">
              <w:rPr>
                <w:sz w:val="16"/>
                <w:szCs w:val="16"/>
              </w:rPr>
              <w:instrText>ADDIN CSL_CITATION {"citationItems":[{"id":"ITEM-1","itemData":{"ISBN":"0042-9686","ISSN":"1564-0604 (Electronic)","PMID":"18545734","abstract":"OBJECTIVE: To review individual case histories of children who had died of pneumonia in rural Uganda and to investigate why these children did not survive. METHODS: This case-series study was done in the Iganga/Mayuge demographic surveillance site, Uganda, where 67 000 people were visited once every 3 months for population-based data and vital events. Children aged 1-59 months from November 2005 to August 2007 were included. Verbal and social autopsies were done to determine likely cause of death and care-seeking actions. FINDINGS: Cause of death was assigned for 164 children, 27% with pneumonia. Of the pneumonia deaths, half occurred in hospital and one-third at home. Median duration of pneumonia illness was 7 days, and median time taken to seek care outside the home was 2 days. Most first received drugs at home: 52% antimalarials and 27% antibiotics. Most were taken for care outside the home, 36% of whom first went to public hospitals. One-third of those reaching the district hospital were referred to the regional hospital, and 19% reportedly improved after hospital treatment. The median treatment cost for a child with fatal pneumonia was US$ 5.8. CONCLUSION: There was mistreatment with antimalarials, delays in seeking care and likely low quality of care for children with fatal pneumonia. To improve access to and quality of care, the feasibility and effect on mortality of training community health workers and drug vendors in pneumonia and malaria management with prepacked drugs should be tested.","author":[{"dropping-particle":"","family":"Kallander","given":"Karin","non-dropping-particle":"","parse-names":false,"suffix":""},{"dropping-particle":"","family":"Hildenwall","given":"Helena","non-dropping-particle":"","parse-names":false,"suffix":""},{"dropping-particle":"","family":"Waiswa","given":"Peter","non-dropping-particle":"","parse-names":false,"suffix":""},{"dropping-particle":"","family":"Galiwango","given":"Edward","non-dropping-particle":"","parse-names":false,"suffix":""},{"dropping-particle":"","family":"Peterson","given":"Stefan","non-dropping-particle":"","parse-names":false,"suffix":""},{"dropping-particle":"","family":"Pariyo","given":"George","non-dropping-particle":"","parse-names":false,"suffix":""}],"container-title":"Bulletin of the World Health Organization","id":"ITEM-1","issue":"5","issued":{"date-parts":[["2008","5"]]},"language":"eng","page":"332-338","publisher":"World Health Organization (20 Ave. Appia, Geneva 27 CH-1211, Switzerland)","publisher-place":"K. Kallander, Division of International Health (IHCAR), Department of Public Health Sciences, Karolinska Institutet, Nobels vag 9, 17177 Stockholm, Sweden. E-mail: karin.kallander@ki.se, Switzerland","title":"Delayed care seeking for fatal pneumonia in children aged under five years in Uganda: a case-series study.","type":"article-journal","volume":"86"},"uris":["http://www.mendeley.com/documents/?uuid=8289dd4b-23a5-4ce7-a74e-47e629c701ca"]}],"mendeley":{"formattedCitation":"(49)","manualFormatting":"[48","plainTextFormattedCitation":"(49)","previouslyFormattedCitation":"(49)"},"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48</w:t>
            </w:r>
            <w:r>
              <w:rPr>
                <w:sz w:val="16"/>
                <w:szCs w:val="16"/>
              </w:rPr>
              <w:fldChar w:fldCharType="end"/>
            </w:r>
            <w:r w:rsidR="006F2C19">
              <w:rPr>
                <w:sz w:val="16"/>
                <w:szCs w:val="16"/>
              </w:rPr>
              <w:t>]</w:t>
            </w:r>
            <w:r>
              <w:rPr>
                <w:sz w:val="16"/>
                <w:szCs w:val="16"/>
              </w:rPr>
              <w:t xml:space="preserve"> </w:t>
            </w:r>
            <w:r w:rsidR="0066702F">
              <w:rPr>
                <w:sz w:val="16"/>
                <w:szCs w:val="16"/>
              </w:rPr>
              <w:t>*</w:t>
            </w:r>
          </w:p>
        </w:tc>
        <w:tc>
          <w:tcPr>
            <w:tcW w:w="348" w:type="pct"/>
            <w:shd w:val="clear" w:color="auto" w:fill="auto"/>
            <w:noWrap/>
            <w:vAlign w:val="bottom"/>
            <w:hideMark/>
          </w:tcPr>
          <w:p w14:paraId="288B6B39" w14:textId="77777777" w:rsidR="00F24106" w:rsidRPr="00A276BA" w:rsidRDefault="00F24106" w:rsidP="0061013B">
            <w:pPr>
              <w:pStyle w:val="NoSpacing"/>
              <w:jc w:val="center"/>
              <w:rPr>
                <w:sz w:val="16"/>
                <w:szCs w:val="16"/>
              </w:rPr>
            </w:pPr>
            <w:r w:rsidRPr="00A276BA">
              <w:rPr>
                <w:sz w:val="16"/>
                <w:szCs w:val="16"/>
              </w:rPr>
              <w:t>2005-2007</w:t>
            </w:r>
          </w:p>
        </w:tc>
        <w:tc>
          <w:tcPr>
            <w:tcW w:w="316" w:type="pct"/>
            <w:shd w:val="clear" w:color="auto" w:fill="auto"/>
            <w:noWrap/>
            <w:vAlign w:val="bottom"/>
            <w:hideMark/>
          </w:tcPr>
          <w:p w14:paraId="079D3BD5" w14:textId="77777777" w:rsidR="00F24106" w:rsidRPr="00A276BA" w:rsidRDefault="00F24106" w:rsidP="0061013B">
            <w:pPr>
              <w:pStyle w:val="NoSpacing"/>
              <w:jc w:val="center"/>
              <w:rPr>
                <w:sz w:val="16"/>
                <w:szCs w:val="16"/>
              </w:rPr>
            </w:pPr>
            <w:r w:rsidRPr="00A276BA">
              <w:rPr>
                <w:sz w:val="16"/>
                <w:szCs w:val="16"/>
              </w:rPr>
              <w:t>Uganda</w:t>
            </w:r>
          </w:p>
        </w:tc>
        <w:tc>
          <w:tcPr>
            <w:tcW w:w="285" w:type="pct"/>
            <w:shd w:val="clear" w:color="auto" w:fill="auto"/>
            <w:noWrap/>
            <w:vAlign w:val="bottom"/>
            <w:hideMark/>
          </w:tcPr>
          <w:p w14:paraId="360D10DA"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2E4C570F"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41B4A873"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4AAF20FD"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3B916240" w14:textId="77777777" w:rsidR="00F24106" w:rsidRPr="00A276BA" w:rsidRDefault="00F24106" w:rsidP="0061013B">
            <w:pPr>
              <w:pStyle w:val="NoSpacing"/>
              <w:jc w:val="center"/>
              <w:rPr>
                <w:sz w:val="16"/>
                <w:szCs w:val="16"/>
              </w:rPr>
            </w:pPr>
            <w:r w:rsidRPr="00A276BA">
              <w:rPr>
                <w:sz w:val="16"/>
                <w:szCs w:val="16"/>
              </w:rPr>
              <w:t>44</w:t>
            </w:r>
          </w:p>
        </w:tc>
        <w:tc>
          <w:tcPr>
            <w:tcW w:w="545" w:type="pct"/>
            <w:shd w:val="clear" w:color="auto" w:fill="auto"/>
            <w:noWrap/>
            <w:vAlign w:val="bottom"/>
            <w:hideMark/>
          </w:tcPr>
          <w:p w14:paraId="53731102" w14:textId="2679AF84" w:rsidR="00F24106" w:rsidRPr="00A276BA" w:rsidRDefault="00F24106" w:rsidP="0061013B">
            <w:pPr>
              <w:pStyle w:val="NoSpacing"/>
              <w:jc w:val="center"/>
              <w:rPr>
                <w:sz w:val="16"/>
                <w:szCs w:val="16"/>
              </w:rPr>
            </w:pPr>
            <w:r w:rsidRPr="00A276BA">
              <w:rPr>
                <w:sz w:val="16"/>
                <w:szCs w:val="16"/>
              </w:rPr>
              <w:t>INDEPTH Network VA merged with the social autopsy from the Bolivian Mortality Survey</w:t>
            </w:r>
          </w:p>
        </w:tc>
        <w:tc>
          <w:tcPr>
            <w:tcW w:w="373" w:type="pct"/>
            <w:shd w:val="clear" w:color="auto" w:fill="auto"/>
            <w:noWrap/>
            <w:vAlign w:val="bottom"/>
            <w:hideMark/>
          </w:tcPr>
          <w:p w14:paraId="006058D1" w14:textId="77777777" w:rsidR="00F24106" w:rsidRPr="00A276BA" w:rsidRDefault="00F24106" w:rsidP="0061013B">
            <w:pPr>
              <w:pStyle w:val="NoSpacing"/>
              <w:jc w:val="center"/>
              <w:rPr>
                <w:sz w:val="16"/>
                <w:szCs w:val="16"/>
              </w:rPr>
            </w:pPr>
            <w:r w:rsidRPr="00A276BA">
              <w:rPr>
                <w:sz w:val="16"/>
                <w:szCs w:val="16"/>
              </w:rPr>
              <w:t>4-6 weeks</w:t>
            </w:r>
          </w:p>
        </w:tc>
        <w:tc>
          <w:tcPr>
            <w:tcW w:w="759" w:type="pct"/>
            <w:shd w:val="clear" w:color="auto" w:fill="auto"/>
            <w:noWrap/>
            <w:vAlign w:val="bottom"/>
            <w:hideMark/>
          </w:tcPr>
          <w:p w14:paraId="0B3BEA4C" w14:textId="77777777" w:rsidR="00F24106" w:rsidRPr="00A276BA" w:rsidRDefault="00F24106" w:rsidP="0061013B">
            <w:pPr>
              <w:pStyle w:val="NoSpacing"/>
              <w:jc w:val="center"/>
              <w:rPr>
                <w:sz w:val="16"/>
                <w:szCs w:val="16"/>
              </w:rPr>
            </w:pPr>
            <w:r w:rsidRPr="00A276BA">
              <w:rPr>
                <w:sz w:val="16"/>
                <w:szCs w:val="16"/>
              </w:rPr>
              <w:t>2, 3, 4a, 4b, 5, 6, 7</w:t>
            </w:r>
          </w:p>
        </w:tc>
        <w:tc>
          <w:tcPr>
            <w:tcW w:w="381" w:type="pct"/>
            <w:shd w:val="clear" w:color="auto" w:fill="auto"/>
            <w:noWrap/>
            <w:vAlign w:val="bottom"/>
            <w:hideMark/>
          </w:tcPr>
          <w:p w14:paraId="14982B13"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2CB92201"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5AF9064A" w14:textId="77777777" w:rsidTr="0061013B">
        <w:trPr>
          <w:cantSplit/>
          <w:trHeight w:val="315"/>
        </w:trPr>
        <w:tc>
          <w:tcPr>
            <w:tcW w:w="380" w:type="pct"/>
            <w:shd w:val="clear" w:color="auto" w:fill="auto"/>
            <w:noWrap/>
            <w:vAlign w:val="bottom"/>
            <w:hideMark/>
          </w:tcPr>
          <w:p w14:paraId="04731374" w14:textId="0E18FF4B" w:rsidR="00F24106" w:rsidRPr="00A276BA" w:rsidRDefault="00F24106" w:rsidP="00BF67EF">
            <w:pPr>
              <w:pStyle w:val="NoSpacing"/>
              <w:rPr>
                <w:sz w:val="16"/>
                <w:szCs w:val="16"/>
              </w:rPr>
            </w:pPr>
            <w:r w:rsidRPr="00A276BA">
              <w:rPr>
                <w:sz w:val="16"/>
                <w:szCs w:val="16"/>
              </w:rPr>
              <w:t xml:space="preserve">Kaatano </w:t>
            </w:r>
            <w:r>
              <w:rPr>
                <w:sz w:val="16"/>
                <w:szCs w:val="16"/>
              </w:rPr>
              <w:t xml:space="preserve">2009 </w:t>
            </w:r>
            <w:r>
              <w:rPr>
                <w:sz w:val="16"/>
                <w:szCs w:val="16"/>
              </w:rPr>
              <w:fldChar w:fldCharType="begin" w:fldLock="1"/>
            </w:r>
            <w:r w:rsidR="00166DD4">
              <w:rPr>
                <w:sz w:val="16"/>
                <w:szCs w:val="16"/>
              </w:rPr>
              <w:instrText>ADDIN CSL_CITATION {"citationItems":[{"id":"ITEM-1","itemData":{"ISSN":"1821-6404 (Print)","PMID":"20734701","abstract":"Reliable malaria related mortality data is important for planning appropriate interventions. However, there is scarce information on the pattern of malaria related mortality in epidemic prone districts of Tanzania. This study was carried out to determine malaria related mortality and establish its trend change over time in both epidemic and non-epidemic areas of Muleba District of north-western Tanzania. A verbal autopsy survey was conducted to obtain data on all deaths of individuals who died in six randomly selected villages from 1997 to 2006. Relatives of the deceased were interviewed using a standardized questionnaire. Communicable diseases accounted for about two thirds (61.9%) of deaths among &gt; or =5 years individuals and 84.8% in &lt; or =5 years. Non-communicable diseases accounted for 28.9% and 14.1% deaths in &gt; or =5 years and &lt; or =5 years, respectively. Malaria was the leading cause of deaths in all age groups (40.3%) and among children &lt;5 years (73.8%). Infants accounted for about two third (64.5%) of all malaria related deaths in children &lt;5 years. Peak of malaria proportional mortality was highest during malaria epidemics. Most of the malaria-related deaths in this group were among 1-12 months (64.5%) followed by 13-24 months (20.9%), and 25-59 months (14.8%). Cerebral malaria accounted for 18.9% (N=32) of death related to malaria in all age groups; 12.1% (17/141) were in under-five, 42.9% (6/14) were in 5-14 years and 64.3% (9/14) in 15-70 years old. More than half of malaria related deaths (61.0%) in &lt;5 years children were associated with severe anaemia followed by diarrhoeal disease (24.1%), cerebral malaria (12.5%) and respiratory infection (8.5%) as common conditions. The majority of the deceased caretakers first sought treatment at health facilities within 24hr of the onset of illness. Significantly a higher proportion of caretakers of the underfives in the epidemic area sought treatment within 24hr than in non-epidemic area (39.3% vs. 18.5%; P = 0.0385). In conclusion, malaria accounts for majority of deaths in Muleba district, with substantial proportion being attributed to malaria epidemics.","author":[{"dropping-particle":"","family":"Kaatano","given":"G M","non-dropping-particle":"","parse-names":false,"suffix":""},{"dropping-particle":"","family":"Mashauri","given":"F M","non-dropping-particle":"","parse-names":false,"suffix":""},{"dropping-particle":"","family":"Kinung'hi","given":"S M","non-dropping-particle":"","parse-names":false,"suffix":""},{"dropping-particle":"","family":"Mwanga","given":"J R","non-dropping-particle":"","parse-names":false,"suffix":""},{"dropping-particle":"","family":"Malima","given":"R C","non-dropping-particle":"","parse-names":false,"suffix":""},{"dropping-particle":"","family":"Kishamawe","given":"C","non-dropping-particle":"","parse-names":false,"suffix":""},{"dropping-particle":"","family":"Nnko","given":"S E","non-dropping-particle":"","parse-names":false,"suffix":""},{"dropping-particle":"","family":"Magesa","given":"S M","non-dropping-particle":"","parse-names":false,"suffix":""},{"dropping-particle":"","family":"Mboera","given":"L E G","non-dropping-particle":"","parse-names":false,"suffix":""}],"container-title":"Tanzania journal of health research","id":"ITEM-1","issue":"4","issued":{"date-parts":[["2009","10"]]},"language":"eng","page":"210-218","publisher-place":"Tanzania","title":"Patterns of malaria related mortality based on verbal autopsy in Muleba District, north-western Tanzania.","type":"article-journal","volume":"11"},"uris":["http://www.mendeley.com/documents/?uuid=3f8a4575-2887-44e2-a5f9-ce36d1afc047"]}],"mendeley":{"formattedCitation":"(50)","manualFormatting":"[49","plainTextFormattedCitation":"(50)","previouslyFormattedCitation":"(50)"},"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49</w:t>
            </w:r>
            <w:r>
              <w:rPr>
                <w:sz w:val="16"/>
                <w:szCs w:val="16"/>
              </w:rPr>
              <w:fldChar w:fldCharType="end"/>
            </w:r>
            <w:r w:rsidR="006F2C19">
              <w:rPr>
                <w:sz w:val="16"/>
                <w:szCs w:val="16"/>
              </w:rPr>
              <w:t>]</w:t>
            </w:r>
            <w:r>
              <w:rPr>
                <w:sz w:val="16"/>
                <w:szCs w:val="16"/>
              </w:rPr>
              <w:t xml:space="preserve"> </w:t>
            </w:r>
            <w:r w:rsidR="0066702F">
              <w:rPr>
                <w:sz w:val="16"/>
                <w:szCs w:val="16"/>
              </w:rPr>
              <w:t>*</w:t>
            </w:r>
          </w:p>
        </w:tc>
        <w:tc>
          <w:tcPr>
            <w:tcW w:w="348" w:type="pct"/>
            <w:shd w:val="clear" w:color="auto" w:fill="auto"/>
            <w:noWrap/>
            <w:vAlign w:val="bottom"/>
            <w:hideMark/>
          </w:tcPr>
          <w:p w14:paraId="4DBDF666" w14:textId="77777777" w:rsidR="00F24106" w:rsidRPr="00A276BA" w:rsidRDefault="00F24106" w:rsidP="0061013B">
            <w:pPr>
              <w:pStyle w:val="NoSpacing"/>
              <w:jc w:val="center"/>
              <w:rPr>
                <w:sz w:val="16"/>
                <w:szCs w:val="16"/>
              </w:rPr>
            </w:pPr>
            <w:r w:rsidRPr="00A276BA">
              <w:rPr>
                <w:sz w:val="16"/>
                <w:szCs w:val="16"/>
              </w:rPr>
              <w:t>2006</w:t>
            </w:r>
          </w:p>
        </w:tc>
        <w:tc>
          <w:tcPr>
            <w:tcW w:w="316" w:type="pct"/>
            <w:shd w:val="clear" w:color="auto" w:fill="auto"/>
            <w:noWrap/>
            <w:vAlign w:val="bottom"/>
            <w:hideMark/>
          </w:tcPr>
          <w:p w14:paraId="0BA275CF"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auto" w:fill="auto"/>
            <w:noWrap/>
            <w:vAlign w:val="bottom"/>
            <w:hideMark/>
          </w:tcPr>
          <w:p w14:paraId="728E3600"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54BA99DB"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15AD4A24"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340209EA"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4D4330BF" w14:textId="77777777" w:rsidR="00F24106" w:rsidRPr="00A276BA" w:rsidRDefault="00F24106" w:rsidP="0061013B">
            <w:pPr>
              <w:pStyle w:val="NoSpacing"/>
              <w:jc w:val="center"/>
              <w:rPr>
                <w:sz w:val="16"/>
                <w:szCs w:val="16"/>
              </w:rPr>
            </w:pPr>
            <w:r w:rsidRPr="00A276BA">
              <w:rPr>
                <w:sz w:val="16"/>
                <w:szCs w:val="16"/>
              </w:rPr>
              <w:t>141</w:t>
            </w:r>
          </w:p>
        </w:tc>
        <w:tc>
          <w:tcPr>
            <w:tcW w:w="545" w:type="pct"/>
            <w:shd w:val="clear" w:color="auto" w:fill="auto"/>
            <w:noWrap/>
            <w:vAlign w:val="bottom"/>
            <w:hideMark/>
          </w:tcPr>
          <w:p w14:paraId="25B1E7F4" w14:textId="77777777" w:rsidR="00F24106" w:rsidRPr="00A276BA" w:rsidRDefault="00F24106" w:rsidP="0061013B">
            <w:pPr>
              <w:pStyle w:val="NoSpacing"/>
              <w:jc w:val="center"/>
              <w:rPr>
                <w:sz w:val="16"/>
                <w:szCs w:val="16"/>
              </w:rPr>
            </w:pPr>
            <w:r w:rsidRPr="00A276BA">
              <w:rPr>
                <w:sz w:val="16"/>
                <w:szCs w:val="16"/>
              </w:rPr>
              <w:t>WHO VA 2007</w:t>
            </w:r>
          </w:p>
        </w:tc>
        <w:tc>
          <w:tcPr>
            <w:tcW w:w="373" w:type="pct"/>
            <w:shd w:val="clear" w:color="auto" w:fill="auto"/>
            <w:noWrap/>
            <w:vAlign w:val="bottom"/>
            <w:hideMark/>
          </w:tcPr>
          <w:p w14:paraId="351C49F1" w14:textId="77777777" w:rsidR="00F24106" w:rsidRPr="00A276BA" w:rsidRDefault="00F24106" w:rsidP="0061013B">
            <w:pPr>
              <w:pStyle w:val="NoSpacing"/>
              <w:jc w:val="center"/>
              <w:rPr>
                <w:sz w:val="16"/>
                <w:szCs w:val="16"/>
              </w:rPr>
            </w:pPr>
            <w:r w:rsidRPr="00A276BA">
              <w:rPr>
                <w:sz w:val="16"/>
                <w:szCs w:val="16"/>
              </w:rPr>
              <w:t>10 years</w:t>
            </w:r>
          </w:p>
        </w:tc>
        <w:tc>
          <w:tcPr>
            <w:tcW w:w="759" w:type="pct"/>
            <w:shd w:val="clear" w:color="auto" w:fill="auto"/>
            <w:noWrap/>
            <w:vAlign w:val="bottom"/>
            <w:hideMark/>
          </w:tcPr>
          <w:p w14:paraId="194D7546" w14:textId="77777777" w:rsidR="00F24106" w:rsidRPr="00A276BA" w:rsidRDefault="00F24106" w:rsidP="0061013B">
            <w:pPr>
              <w:pStyle w:val="NoSpacing"/>
              <w:jc w:val="center"/>
              <w:rPr>
                <w:sz w:val="16"/>
                <w:szCs w:val="16"/>
              </w:rPr>
            </w:pPr>
            <w:r w:rsidRPr="00A276BA">
              <w:rPr>
                <w:sz w:val="16"/>
                <w:szCs w:val="16"/>
              </w:rPr>
              <w:t>1, 3, 4a, 4b, 7</w:t>
            </w:r>
          </w:p>
        </w:tc>
        <w:tc>
          <w:tcPr>
            <w:tcW w:w="381" w:type="pct"/>
            <w:shd w:val="clear" w:color="auto" w:fill="auto"/>
            <w:noWrap/>
            <w:vAlign w:val="bottom"/>
            <w:hideMark/>
          </w:tcPr>
          <w:p w14:paraId="4B98C649"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3EFBBFC7" w14:textId="77777777" w:rsidR="00F24106" w:rsidRPr="00A276BA" w:rsidRDefault="00F24106" w:rsidP="0061013B">
            <w:pPr>
              <w:pStyle w:val="NoSpacing"/>
              <w:jc w:val="center"/>
              <w:rPr>
                <w:sz w:val="16"/>
                <w:szCs w:val="16"/>
              </w:rPr>
            </w:pPr>
            <w:r w:rsidRPr="00A276BA">
              <w:rPr>
                <w:sz w:val="16"/>
                <w:szCs w:val="16"/>
              </w:rPr>
              <w:t>0.50</w:t>
            </w:r>
          </w:p>
        </w:tc>
      </w:tr>
      <w:tr w:rsidR="00F24106" w:rsidRPr="00A276BA" w14:paraId="189101EA" w14:textId="77777777" w:rsidTr="0061013B">
        <w:trPr>
          <w:cantSplit/>
          <w:trHeight w:val="315"/>
        </w:trPr>
        <w:tc>
          <w:tcPr>
            <w:tcW w:w="380" w:type="pct"/>
            <w:shd w:val="clear" w:color="auto" w:fill="auto"/>
            <w:noWrap/>
            <w:vAlign w:val="bottom"/>
            <w:hideMark/>
          </w:tcPr>
          <w:p w14:paraId="1E732C49" w14:textId="613BA3F8" w:rsidR="00F24106" w:rsidRPr="00A276BA" w:rsidRDefault="00F24106" w:rsidP="00BF67EF">
            <w:pPr>
              <w:pStyle w:val="NoSpacing"/>
              <w:rPr>
                <w:sz w:val="16"/>
                <w:szCs w:val="16"/>
              </w:rPr>
            </w:pPr>
            <w:r w:rsidRPr="00A276BA">
              <w:rPr>
                <w:sz w:val="16"/>
                <w:szCs w:val="16"/>
              </w:rPr>
              <w:t xml:space="preserve">Waiswa </w:t>
            </w:r>
            <w:r>
              <w:rPr>
                <w:sz w:val="16"/>
                <w:szCs w:val="16"/>
              </w:rPr>
              <w:t xml:space="preserve">2010 </w:t>
            </w:r>
            <w:r>
              <w:rPr>
                <w:sz w:val="16"/>
                <w:szCs w:val="16"/>
              </w:rPr>
              <w:fldChar w:fldCharType="begin" w:fldLock="1"/>
            </w:r>
            <w:r w:rsidR="00166DD4">
              <w:rPr>
                <w:sz w:val="16"/>
                <w:szCs w:val="16"/>
              </w:rPr>
              <w:instrText>ADDIN CSL_CITATION {"citationItems":[{"id":"ITEM-1","itemData":{"DOI":"10.1111/j.1365-3156.2010.02557.x","ISBN":"1360-2276","ISSN":"13602276","PMID":"20636527","abstract":"SummaryObjectives To investigate causes of and contributors to newborn deaths in eastern Uganda using a three delays audit approach. Methods Data collected on 64 neonatal deaths from a demographic surveillance site were coded for causes of deaths using a hierarchical model and analysed using a modified three delays model to determine contributing delays. A survey was conducted in 16 health facilities to determine capacity for newborn care. Results Of the newborn babies, 33% died in a hospital/health centre, 13% in a private clinic and 54% died away from a health facility. 47% of the deaths occurred on the day of birth and 78% in the first week. Major contributing delays to newborn death were caretaker delay in problem recognition or in deciding to seek care (50%, 32/64); delay to receive quality care at a health facility (30%; 19/64); and transport delay (20%; 13/64). The median time to seeking care outside the home was 3 days from onset of illness (IQR 1-6). The leading causes of death were sepsis or pneumonia (31%), birth asphyxia (30%) and preterm birth (25%). Health facilities did not have capacity for newborn care, and health workers had correct knowledge on only 31% of the survey questions related to newborn care. Conclusions Household and health facility-related delays were the major contributors to newborn deaths, and efforts to improve newborn survival need to address both concurrently. Understanding why newborn babies die can be improved by using the three delays model, originally developed for understanding maternal death. © 2010 Blackwell Publishing Ltd.","author":[{"dropping-particle":"","family":"Waiswa","given":"Peter","non-dropping-particle":"","parse-names":false,"suffix":""},{"dropping-particle":"","family":"Kallander","given":"Karin","non-dropping-particle":"","parse-names":false,"suffix":""},{"dropping-particle":"","family":"Peterson","given":"Stefan","non-dropping-particle":"","parse-names":false,"suffix":""},{"dropping-particle":"","family":"Tomson","given":"Goran","non-dropping-particle":"","parse-names":false,"suffix":""},{"dropping-particle":"","family":"Pariyo","given":"George W.","non-dropping-particle":"","parse-names":false,"suffix":""},{"dropping-particle":"","family":"P.","given":"Waiswa","non-dropping-particle":"","parse-names":false,"suffix":""},{"dropping-particle":"","family":"K.","given":"Kallander","non-dropping-particle":"","parse-names":false,"suffix":""},{"dropping-particle":"","family":"S.","given":"Peterson","non-dropping-particle":"","parse-names":false,"suffix":""},{"dropping-particle":"","family":"G.","given":"Tomson","non-dropping-particle":"","parse-names":false,"suffix":""},{"dropping-particle":"","family":"Waiswa","given":"Peter","non-dropping-particle":"","parse-names":false,"suffix":""},{"dropping-particle":"","family":"Kallander","given":"Karin","non-dropping-particle":"","parse-names":false,"suffix":""},{"dropping-particle":"","family":"Peterson","given":"Stefan","non-dropping-particle":"","parse-names":false,"suffix":""},{"dropping-particle":"","family":"Tomson","given":"Goran","non-dropping-particle":"","parse-names":false,"suffix":""},{"dropping-particle":"","family":"Pariyo","given":"George W.","non-dropping-particle":"","parse-names":false,"suffix":""}],"container-title":"Tropical Medicine and International Health","id":"ITEM-1","issue":"8","issued":{"date-parts":[["2010","7","14"]]},"language":"eng","note":"From Duplicate 5 (Using the three delays model to understand why newborn babies die in eastern Uganda - Waiswa, Peter; Kallander, Karin; Peterson, Stefan; Tomson, Goran; Pariyo, George W.)\n\nThree delays model - developed for research into maternal deaths, by Thadeus and Maine, 1994. \n&amp;quot;The model comprises delay in deciding to seek care (delay 1), delay in reaching the health facility (delay 2) and delay in receiving quality care once at the health facility (delay 3)&amp;quot;\n\nDelay definitions:\n&amp;quot;Delay 1, which is the delay to recognise illness and the need to seek medical care, included any newborn baby who died at home or where it took more than 12 h to seek outside care; Delay 2, the transport delay, included newborn babies whose caregivers expressed problems with getting transport; and Delay 3, the delay in receiving quality care, included delay in receiving or failure to receive quality care at a health facility (as judged by the audit doctor). Each death could be attributed to one or more delays.&amp;quot; (deaths classified by point of delay- can then analyse proportion of burden created by eeach delay - though ?how this works if a death can have more than one contributing delay)","page":"964-972","publisher":"Blackwell Publishing Ltd (9600 Garsington Road, Oxford OX4 2XG, United Kingdom)","publisher-place":"P. Waiswa, Division of Global Health, Department of Public Health Sciences, Karolinska Institutet, Stockholm, Sweden. E-mail: pwaiswa2001@yahoo.com, England","title":"Using the three delays model to understand why newborn babies die in eastern Uganda","type":"article-journal","volume":"15"},"uris":["http://www.mendeley.com/documents/?uuid=03d9a772-1265-4f70-a736-26c624de1ffc"]}],"mendeley":{"formattedCitation":"(51)","manualFormatting":"[50","plainTextFormattedCitation":"(51)","previouslyFormattedCitation":"(51)"},"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50</w:t>
            </w:r>
            <w:r>
              <w:rPr>
                <w:sz w:val="16"/>
                <w:szCs w:val="16"/>
              </w:rPr>
              <w:fldChar w:fldCharType="end"/>
            </w:r>
            <w:r w:rsidR="006F2C19">
              <w:rPr>
                <w:sz w:val="16"/>
                <w:szCs w:val="16"/>
              </w:rPr>
              <w:t>]</w:t>
            </w:r>
          </w:p>
        </w:tc>
        <w:tc>
          <w:tcPr>
            <w:tcW w:w="348" w:type="pct"/>
            <w:shd w:val="clear" w:color="auto" w:fill="auto"/>
            <w:noWrap/>
            <w:vAlign w:val="bottom"/>
            <w:hideMark/>
          </w:tcPr>
          <w:p w14:paraId="4376B979" w14:textId="77777777" w:rsidR="00F24106" w:rsidRPr="00A276BA" w:rsidRDefault="00F24106" w:rsidP="0061013B">
            <w:pPr>
              <w:pStyle w:val="NoSpacing"/>
              <w:jc w:val="center"/>
              <w:rPr>
                <w:sz w:val="16"/>
                <w:szCs w:val="16"/>
              </w:rPr>
            </w:pPr>
            <w:r w:rsidRPr="00A276BA">
              <w:rPr>
                <w:sz w:val="16"/>
                <w:szCs w:val="16"/>
              </w:rPr>
              <w:t>2005-2008</w:t>
            </w:r>
          </w:p>
        </w:tc>
        <w:tc>
          <w:tcPr>
            <w:tcW w:w="316" w:type="pct"/>
            <w:shd w:val="clear" w:color="auto" w:fill="auto"/>
            <w:noWrap/>
            <w:vAlign w:val="bottom"/>
            <w:hideMark/>
          </w:tcPr>
          <w:p w14:paraId="3CB61F57" w14:textId="77777777" w:rsidR="00F24106" w:rsidRPr="00A276BA" w:rsidRDefault="00F24106" w:rsidP="0061013B">
            <w:pPr>
              <w:pStyle w:val="NoSpacing"/>
              <w:jc w:val="center"/>
              <w:rPr>
                <w:sz w:val="16"/>
                <w:szCs w:val="16"/>
              </w:rPr>
            </w:pPr>
            <w:r w:rsidRPr="00A276BA">
              <w:rPr>
                <w:sz w:val="16"/>
                <w:szCs w:val="16"/>
              </w:rPr>
              <w:t>Uganda</w:t>
            </w:r>
          </w:p>
        </w:tc>
        <w:tc>
          <w:tcPr>
            <w:tcW w:w="285" w:type="pct"/>
            <w:shd w:val="clear" w:color="auto" w:fill="auto"/>
            <w:noWrap/>
            <w:vAlign w:val="bottom"/>
            <w:hideMark/>
          </w:tcPr>
          <w:p w14:paraId="31DD11EA"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09051886"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238A9058"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15D03446"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6F720CA9" w14:textId="77777777" w:rsidR="00F24106" w:rsidRPr="00A276BA" w:rsidRDefault="00F24106" w:rsidP="0061013B">
            <w:pPr>
              <w:pStyle w:val="NoSpacing"/>
              <w:jc w:val="center"/>
              <w:rPr>
                <w:sz w:val="16"/>
                <w:szCs w:val="16"/>
              </w:rPr>
            </w:pPr>
            <w:r w:rsidRPr="00A276BA">
              <w:rPr>
                <w:sz w:val="16"/>
                <w:szCs w:val="16"/>
              </w:rPr>
              <w:t>64</w:t>
            </w:r>
          </w:p>
        </w:tc>
        <w:tc>
          <w:tcPr>
            <w:tcW w:w="545" w:type="pct"/>
            <w:shd w:val="clear" w:color="auto" w:fill="auto"/>
            <w:noWrap/>
            <w:vAlign w:val="bottom"/>
            <w:hideMark/>
          </w:tcPr>
          <w:p w14:paraId="055CA82F" w14:textId="77777777" w:rsidR="00F24106" w:rsidRPr="00A276BA" w:rsidRDefault="00F24106" w:rsidP="0061013B">
            <w:pPr>
              <w:pStyle w:val="NoSpacing"/>
              <w:jc w:val="center"/>
              <w:rPr>
                <w:sz w:val="16"/>
                <w:szCs w:val="16"/>
              </w:rPr>
            </w:pPr>
            <w:r w:rsidRPr="00A276BA">
              <w:rPr>
                <w:sz w:val="16"/>
                <w:szCs w:val="16"/>
              </w:rPr>
              <w:t>VASA questionnaire blends INDEPTH Network VA merged with CHERG SA questionnaire</w:t>
            </w:r>
          </w:p>
        </w:tc>
        <w:tc>
          <w:tcPr>
            <w:tcW w:w="373" w:type="pct"/>
            <w:shd w:val="clear" w:color="auto" w:fill="auto"/>
            <w:noWrap/>
            <w:vAlign w:val="bottom"/>
            <w:hideMark/>
          </w:tcPr>
          <w:p w14:paraId="4EACBF0E" w14:textId="77777777" w:rsidR="00F24106" w:rsidRPr="00A276BA" w:rsidRDefault="00F24106" w:rsidP="0061013B">
            <w:pPr>
              <w:pStyle w:val="NoSpacing"/>
              <w:jc w:val="center"/>
              <w:rPr>
                <w:sz w:val="16"/>
                <w:szCs w:val="16"/>
              </w:rPr>
            </w:pPr>
            <w:r w:rsidRPr="00A276BA">
              <w:rPr>
                <w:sz w:val="16"/>
                <w:szCs w:val="16"/>
              </w:rPr>
              <w:t>4-6 weeks</w:t>
            </w:r>
          </w:p>
        </w:tc>
        <w:tc>
          <w:tcPr>
            <w:tcW w:w="759" w:type="pct"/>
            <w:shd w:val="clear" w:color="auto" w:fill="auto"/>
            <w:noWrap/>
            <w:vAlign w:val="bottom"/>
            <w:hideMark/>
          </w:tcPr>
          <w:p w14:paraId="542A6DD4" w14:textId="77777777" w:rsidR="00F24106" w:rsidRPr="00A276BA" w:rsidRDefault="00F24106" w:rsidP="0061013B">
            <w:pPr>
              <w:pStyle w:val="NoSpacing"/>
              <w:jc w:val="center"/>
              <w:rPr>
                <w:sz w:val="16"/>
                <w:szCs w:val="16"/>
              </w:rPr>
            </w:pPr>
            <w:r w:rsidRPr="00A276BA">
              <w:rPr>
                <w:sz w:val="16"/>
                <w:szCs w:val="16"/>
              </w:rPr>
              <w:t>4a, 4b, 7</w:t>
            </w:r>
          </w:p>
        </w:tc>
        <w:tc>
          <w:tcPr>
            <w:tcW w:w="381" w:type="pct"/>
            <w:shd w:val="clear" w:color="auto" w:fill="auto"/>
            <w:noWrap/>
            <w:vAlign w:val="bottom"/>
            <w:hideMark/>
          </w:tcPr>
          <w:p w14:paraId="7AC42D83" w14:textId="77777777" w:rsidR="00F24106" w:rsidRPr="00A276BA" w:rsidRDefault="00F24106" w:rsidP="0061013B">
            <w:pPr>
              <w:pStyle w:val="NoSpacing"/>
              <w:jc w:val="center"/>
              <w:rPr>
                <w:sz w:val="16"/>
                <w:szCs w:val="16"/>
              </w:rPr>
            </w:pPr>
            <w:r w:rsidRPr="00A276BA">
              <w:rPr>
                <w:sz w:val="16"/>
                <w:szCs w:val="16"/>
              </w:rPr>
              <w:t>Three Delays Model</w:t>
            </w:r>
          </w:p>
        </w:tc>
        <w:tc>
          <w:tcPr>
            <w:tcW w:w="253" w:type="pct"/>
            <w:shd w:val="clear" w:color="auto" w:fill="auto"/>
            <w:noWrap/>
            <w:vAlign w:val="bottom"/>
            <w:hideMark/>
          </w:tcPr>
          <w:p w14:paraId="5312F014"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187F14C6" w14:textId="77777777" w:rsidTr="0061013B">
        <w:trPr>
          <w:cantSplit/>
          <w:trHeight w:val="255"/>
        </w:trPr>
        <w:tc>
          <w:tcPr>
            <w:tcW w:w="380" w:type="pct"/>
            <w:shd w:val="clear" w:color="auto" w:fill="auto"/>
            <w:noWrap/>
            <w:vAlign w:val="bottom"/>
            <w:hideMark/>
          </w:tcPr>
          <w:p w14:paraId="0E032EE6" w14:textId="4A4C78C6" w:rsidR="00F24106" w:rsidRPr="00A276BA" w:rsidRDefault="00F24106" w:rsidP="00BF67EF">
            <w:pPr>
              <w:pStyle w:val="NoSpacing"/>
              <w:rPr>
                <w:sz w:val="16"/>
                <w:szCs w:val="16"/>
              </w:rPr>
            </w:pPr>
            <w:r w:rsidRPr="00A276BA">
              <w:rPr>
                <w:sz w:val="16"/>
                <w:szCs w:val="16"/>
              </w:rPr>
              <w:t xml:space="preserve">Kallander </w:t>
            </w:r>
            <w:r>
              <w:rPr>
                <w:sz w:val="16"/>
                <w:szCs w:val="16"/>
              </w:rPr>
              <w:t xml:space="preserve">2011 </w:t>
            </w:r>
            <w:r>
              <w:rPr>
                <w:sz w:val="16"/>
                <w:szCs w:val="16"/>
              </w:rPr>
              <w:fldChar w:fldCharType="begin" w:fldLock="1"/>
            </w:r>
            <w:r w:rsidR="00CD0705">
              <w:rPr>
                <w:sz w:val="16"/>
                <w:szCs w:val="16"/>
              </w:rPr>
              <w:instrText>ADDIN CSL_CITATION {"citationItems":[{"id":"ITEM-1","itemData":{"DOI":"10.1186/1478-7954-9-44","ISSN":"1478-7954","abstract":"Effective implementation of child survival interventions depends on improved understanding of cultural, social, and health system factors affecting utilization of health care. Never the less, no standardized instrument exists for collecting and interpreting information on how to avert death and improve the implementation of child survival interventions. To describe the methodology, development, and first results of a standard social autopsy tool for the collection of information to understand common barriers to health care, risky behaviors, and missed opportunities for health intervention in deceased children under 5 years old. Under the INDEPTH Network, a social autopsy working group was formed to reach consensus around a standard social autopsy tool for neonatal and child death. The details around 434 child deaths in Iganga/Mayuge Health and Demographic Surveillance Site (HDSS) in Uganda and 40 child deaths in Dodowa HDSS in Ghana were investigated over 12 to 18 months. Interviews with the caretakers of these children elicited information on what happened before death, including signs and symptoms, contact with health services, details on treatments, and details of doctors. These social autopsies were used to assess the contributions of delays in care seeking and case management to the childhood deaths. At least one severe symptom had been recognized prior to death in 96% of the children in Iganga/Mayuge HDSS and in 70% in Dodowa HDSS, yet 32% and 80% of children were first treated at home, respectively. Twenty percent of children in Iganga/Mayuge HDSS and 13% of children in Dodowa HDSS were never taken for care outside the home. In both countries most went to private providers. In Iganga/Mayuge HDSS the main delays were caused by inadequate case management by the health provider, while in Dodowa HDSS the main delays were in the home. While delay at home was a main obstacle to prompt and appropriate treatment in Dodowa HDSS, there were severe challenges to prompt and adequate case management in the health system in both study sites in Ghana and Uganda. Meanwhile, caretaker awareness of danger signs needs to improve in both countries to promote early care seeking and to reduce the number of children needing referral. Social autopsy methods can improve this understanding, which can assist health planners to prioritize scarce resources appropriately.","author":[{"dropping-particle":"","family":"Källander","given":"Karin","non-dropping-particle":"","parse-names":false,"suffix":""},{"dropping-particle":"","family":"Kadobera","given":"Daniel","non-dropping-particle":"","parse-names":false,"suffix":""},{"dropping-particle":"","family":"Williams","given":"Thomas N","non-dropping-particle":"","parse-names":false,"suffix":""},{"dropping-particle":"","family":"Nielsen","given":"Rikke Thoft","non-dropping-particle":"","parse-names":false,"suffix":""},{"dropping-particle":"","family":"Yevoo","given":"Lucy","non-dropping-particle":"","parse-names":false,"suffix":""},{"dropping-particle":"","family":"Mutebi","given":"Aloysius","non-dropping-particle":"","parse-names":false,"suffix":""},{"dropping-particle":"","family":"Akpakli","given":"Jonas","non-dropping-particle":"","parse-names":false,"suffix":""},{"dropping-particle":"","family":"Narh","given":"Clement","non-dropping-particle":"","parse-names":false,"suffix":""},{"dropping-particle":"","family":"Gyapong","given":"Margaret","non-dropping-particle":"","parse-names":false,"suffix":""},{"dropping-particle":"","family":"Amu","given":"Alberta","non-dropping-particle":"","parse-names":false,"suffix":""},{"dropping-particle":"","family":"Waiswa","given":"Peter","non-dropping-particle":"","parse-names":false,"suffix":""},{"dropping-particle":"","family":"Black","given":"RE","non-dropping-particle":"","parse-names":false,"suffix":""},{"dropping-particle":"","family":"Cousens","given":"S","non-dropping-particle":"","parse-names":false,"suffix":""},{"dropping-particle":"","family":"Johnson","given":"HL","non-dropping-particle":"","parse-names":false,"suffix":""},{"dropping-particle":"","family":"Lawn","given":"JE","non-dropping-particle":"","parse-names":false,"suffix":""},{"dropping-particle":"","family":"Rudan","given":"I","non-dropping-particle":"","parse-names":false,"suffix":""},{"dropping-particle":"","family":"Bassani","given":"DG","non-dropping-particle":"","parse-names":false,"suffix":""},{"dropping-particle":"","family":"Jha","given":"P","non-dropping-particle":"","parse-names":false,"suffix":""},{"dropping-particle":"","family":"Campbell","given":"H","non-dropping-particle":"","parse-names":false,"suffix":""},{"dropping-particle":"","family":"Walker","given":"CF","non-dropping-particle":"","parse-names":false,"suffix":""},{"dropping-particle":"","family":"Cibulskis","given":"R","non-dropping-particle":"","parse-names":false,"suffix":""},{"dropping-particle":"","family":"Murray","given":"CJ","non-dropping-particle":"","parse-names":false,"suffix":""},{"dropping-particle":"","family":"Lopez","given":"AD","non-dropping-particle":"","parse-names":false,"suffix":""},{"dropping-particle":"","family":"Feehan","given":"DM","non-dropping-particle":"","parse-names":false,"suffix":""},{"dropping-particle":"","family":"Peter","given":"ST","non-dropping-particle":"","parse-names":false,"suffix":""},{"dropping-particle":"","family":"Yang","given":"G","non-dropping-particle":"","parse-names":false,"suffix":""},{"dropping-particle":"","family":"Setel","given":"PW","non-dropping-particle":"","parse-names":false,"suffix":""},{"dropping-particle":"","family":"Macfarlane","given":"SB","non-dropping-particle":"","parse-names":false,"suffix":""},{"dropping-particle":"","family":"Szreter","given":"S","non-dropping-particle":"","parse-names":false,"suffix":""},{"dropping-particle":"","family":"Mikkelsen","given":"L","non-dropping-particle":"","parse-names":false,"suffix":""},{"dropping-particle":"","family":"Jha","given":"P","non-dropping-particle":"","parse-names":false,"suffix":""},{"dropping-particle":"","family":"Stout","given":"S","non-dropping-particle":"","parse-names":false,"suffix":""},{"dropping-particle":"","family":"AbouZahr","given":"C","non-dropping-particle":"","parse-names":false,"suffix":""},{"dropping-particle":"","family":"Baiden","given":"F","non-dropping-particle":"","parse-names":false,"suffix":""},{"dropping-particle":"","family":"Bawah","given":"A","non-dropping-particle":"","parse-names":false,"suffix":""},{"dropping-particle":"","family":"Biai","given":"S","non-dropping-particle":"","parse-names":false,"suffix":""},{"dropping-particle":"","family":"Binka","given":"F","non-dropping-particle":"","parse-names":false,"suffix":""},{"dropping-particle":"","family":"Boerma","given":"T","non-dropping-particle":"","parse-names":false,"suffix":""},{"dropping-particle":"","family":"Byass","given":"P","non-dropping-particle":"","parse-names":false,"suffix":""},{"dropping-particle":"","family":"Chandramohan","given":"D","non-dropping-particle":"","parse-names":false,"suffix":""},{"dropping-particle":"","family":"Chatterji","given":"S","non-dropping-particle":"","parse-names":false,"suffix":""},{"dropping-particle":"","family":"Engmann","given":"C","non-dropping-particle":"","parse-names":false,"suffix":""},{"dropping-particle":"","family":"Greet","given":"D","non-dropping-particle":"","parse-names":false,"suffix":""},{"dropping-particle":"","family":"Soleman","given":"N","non-dropping-particle":"","parse-names":false,"suffix":""},{"dropping-particle":"","family":"Chandramohan","given":"D","non-dropping-particle":"","parse-names":false,"suffix":""},{"dropping-particle":"","family":"Shibuya","given":"K","non-dropping-particle":"","parse-names":false,"suffix":""},{"dropping-particle":"de","family":"Souza","given":"AC Terra","non-dropping-particle":"","parse-names":false,"suffix":""},{"dropping-particle":"","family":"Peterson","given":"KE","non-dropping-particle":"","parse-names":false,"suffix":""},{"dropping-particle":"","family":"Andrade","given":"FM","non-dropping-particle":"","parse-names":false,"suffix":""},{"dropping-particle":"","family":"Gardner","given":"J","non-dropping-particle":"","parse-names":false,"suffix":""},{"dropping-particle":"","family":"Ascherio","given":"A","non-dropping-particle":"","parse-names":false,"suffix":""},{"dropping-particle":"de","family":"Zoysa","given":"I","non-dropping-particle":"","parse-names":false,"suffix":""},{"dropping-particle":"","family":"Bhandari","given":"N","non-dropping-particle":"","parse-names":false,"suffix":""},{"dropping-particle":"","family":"Akhtari","given":"N","non-dropping-particle":"","parse-names":false,"suffix":""},{"dropping-particle":"","family":"Bhan","given":"MK","non-dropping-particle":"","parse-names":false,"suffix":""},{"dropping-particle":"","family":"Bojalil","given":"R","non-dropping-particle":"","parse-names":false,"suffix":""},{"dropping-particle":"","family":"Kirkwood","given":"BR","non-dropping-particle":"","parse-names":false,"suffix":""},{"dropping-particle":"","family":"Bobak","given":"M","non-dropping-particle":"","parse-names":false,"suffix":""},{"dropping-particle":"","family":"Guiscafre","given":"H","non-dropping-particle":"","parse-names":false,"suffix":""},{"dropping-particle":"","family":"Waiswa","given":"P","non-dropping-particle":"","parse-names":false,"suffix":""},{"dropping-particle":"","family":"Kallander","given":"K","non-dropping-particle":"","parse-names":false,"suffix":""},{"dropping-particle":"","family":"Peterson","given":"S","non-dropping-particle":"","parse-names":false,"suffix":""},{"dropping-particle":"","family":"Tomson","given":"G","non-dropping-particle":"","parse-names":false,"suffix":""},{"dropping-particle":"","family":"Pariyo","given":"GW","non-dropping-particle":"","parse-names":false,"suffix":""},{"dropping-particle":"","family":"Sodemann","given":"M","non-dropping-particle":"","parse-names":false,"suffix":""},{"dropping-particle":"","family":"Jakobsen","given":"MS","non-dropping-particle":"","parse-names":false,"suffix":""},{"dropping-particle":"","family":"Molbak","given":"K","non-dropping-particle":"","parse-names":false,"suffix":""},{"dropping-particle":"","family":"Alvarenga","given":"IC","non-dropping-particle":"","parse-names":false,"suffix":""},{"dropping-particle":"","family":"Aaby","given":"P","non-dropping-particle":"","parse-names":false,"suffix":""},{"dropping-particle":"","family":"Sutrisna","given":"B","non-dropping-particle":"","parse-names":false,"suffix":""},{"dropping-particle":"","family":"Reingold","given":"A","non-dropping-particle":"","parse-names":false,"suffix":""},{"dropping-particle":"","family":"Kresno","given":"S","non-dropping-particle":"","parse-names":false,"suffix":""},{"dropping-particle":"","family":"Harrison","given":"G","non-dropping-particle":"","parse-names":false,"suffix":""},{"dropping-particle":"","family":"Utomo","given":"B","non-dropping-particle":"","parse-names":false,"suffix":""},{"dropping-particle":"","family":"Reyes","given":"H","non-dropping-particle":"","parse-names":false,"suffix":""},{"dropping-particle":"","family":"Perez-Cuevas","given":"R","non-dropping-particle":"","parse-names":false,"suffix":""},{"dropping-particle":"","family":"Salmeron","given":"J","non-dropping-particle":"","parse-names":false,"suffix":""},{"dropping-particle":"","family":"Tome","given":"P","non-dropping-particle":"","parse-names":false,"suffix":""},{"dropping-particle":"","family":"Guiscafre","given":"H","non-dropping-particle":"","parse-names":false,"suffix":""},{"dropping-particle":"","family":"Gutierrez","given":"G","non-dropping-particle":"","parse-names":false,"suffix":""},{"dropping-particle":"","family":"Durrheim","given":"DN","non-dropping-particle":"","parse-names":false,"suffix":""},{"dropping-particle":"","family":"Frieremans","given":"S","non-dropping-particle":"","parse-names":false,"suffix":""},{"dropping-particle":"","family":"Kruger","given":"P","non-dropping-particle":"","parse-names":false,"suffix":""},{"dropping-particle":"","family":"Mabuza","given":"A","non-dropping-particle":"","parse-names":false,"suffix":""},{"dropping-particle":"de","family":"Bruyn","given":"JC","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family":"Krug","given":"A","non-dropping-particle":"","parse-names":false,"suffix":""},{"dropping-particle":"","family":"Pattinson","given":"RC","non-dropping-particle":"","parse-names":false,"suffix":""},{"dropping-particle":"","family":"Power","given":"DJ","non-dropping-particle":"","parse-names":false,"suffix":""},{"dropping-particle":"de","family":"Savigny","given":"D","non-dropping-particle":"","parse-names":false,"suffix":""},{"dropping-particle":"","family":"Mayombana","given":"C","non-dropping-particle":"","parse-names":false,"suffix":""},{"dropping-particle":"","family":"Mwageni","given":"E","non-dropping-particle":"","parse-names":false,"suffix":""},{"dropping-particle":"","family":"Masanja","given":"H","non-dropping-particle":"","parse-names":false,"suffix":""},{"dropping-particle":"","family":"Minhaj","given":"A","non-dropping-particle":"","parse-names":false,"suffix":""},{"dropping-particle":"","family":"Mkilindi","given":"Y","non-dropping-particle":"","parse-names":false,"suffix":""},{"dropping-particle":"","family":"Mbuya","given":"C","non-dropping-particle":"","parse-names":false,"suffix":""},{"dropping-particle":"","family":"Kasale","given":"H","non-dropping-particle":"","parse-names":false,"suffix":""},{"dropping-particle":"","family":"Reid","given":"G","non-dropping-particle":"","parse-names":false,"suffix":""},{"dropping-particle":"","family":"Kallander","given":"K","non-dropping-particle":"","parse-names":false,"suffix":""},{"dropping-particle":"","family":"Hildenwall","given":"H","non-dropping-particle":"","parse-names":false,"suffix":""},{"dropping-particle":"","family":"Waiswa","given":"P","non-dropping-particle":"","parse-names":false,"suffix":""},{"dropping-particle":"","family":"Galiwango","given":"E","non-dropping-particle":"","parse-names":false,"suffix":""},{"dropping-particle":"","family":"Peterson","given":"S","non-dropping-particle":"","parse-names":false,"suffix":""},{"dropping-particle":"","family":"Pariyo","given":"G","non-dropping-particle":"","parse-names":false,"suffix":""},{"dropping-particle":"","family":"Aguilar","given":"AMAR","non-dropping-particle":"","parse-names":false,"suffix":""},{"dropping-particle":"","family":"Cordero","given":"D","non-dropping-particle":"","parse-names":false,"suffix":""},{"dropping-particle":"","family":"Kelly","given":"P","non-dropping-particle":"","parse-names":false,"suffix":""},{"dropping-particle":"","family":"Zamora","given":"D","non-dropping-particle":"","parse-names":false,"suffix":""},{"dropping-particle":"","family":"Salgado","given":"R","non-dropping-particle":"","parse-names":false,"suffix":""},{"dropping-particle":"","family":"Kalter","given":"HD","non-dropping-particle":"","parse-names":false,"suffix":""},{"dropping-particle":"","family":"Salgado","given":"R","non-dropping-particle":"","parse-names":false,"suffix":""},{"dropping-particle":"","family":"Gittelsohn","given":"J","non-dropping-particle":"","parse-names":false,"suffix":""},{"dropping-particle":"","family":"Parades","given":"P","non-dropping-particle":"","parse-names":false,"suffix":""},{"dropping-particle":"","family":"Waldman","given":"R","non-dropping-particle":"","parse-names":false,"suffix":""},{"dropping-particle":"","family":"Bartlett","given":"A","non-dropping-particle":"","parse-names":false,"suffix":""},{"dropping-particle":"","family":"Campbell","given":"C","non-dropping-particle":"","parse-names":false,"suffix":""},{"dropping-particle":"","family":"Steketee","given":"R","non-dropping-particle":"","parse-names":false,"suffix":""},{"dropping-particle":"","family":"Gove","given":"S","non-dropping-particle":"","parse-names":false,"suffix":""},{"dropping-particle":"","family":"Thaddeus","given":"S","non-dropping-particle":"","parse-names":false,"suffix":""},{"dropping-particle":"","family":"Maine","given":"D","non-dropping-particle":"","parse-names":false,"suffix":""},{"dropping-particle":"","family":"Bazzano","given":"AN","non-dropping-particle":"","parse-names":false,"suffix":""},{"dropping-particle":"","family":"Kirkwood","given":"BR","non-dropping-particle":"","parse-names":false,"suffix":""},{"dropping-particle":"","family":"Tawiah-Agyemang","given":"C","non-dropping-particle":"","parse-names":false,"suffix":""},{"dropping-particle":"","family":"Owusu-Agyei","given":"S","non-dropping-particle":"","parse-names":false,"suffix":""},{"dropping-particle":"","family":"Adongo","given":"PB","non-dropping-particle":"","parse-names":false,"suffix":""},{"dropping-particle":"","family":"Rutebemberwa","given":"E","non-dropping-particle":"","parse-names":false,"suffix":""},{"dropping-particle":"","family":"Kallander","given":"K","non-dropping-particle":"","parse-names":false,"suffix":""},{"dropping-particle":"","family":"Tomson","given":"G","non-dropping-particle":"","parse-names":false,"suffix":""},{"dropping-particle":"","family":"Peterson","given":"S","non-dropping-particle":"","parse-names":false,"suffix":""},{"dropping-particle":"","family":"Pariyo","given":"G","non-dropping-particle":"","parse-names":false,"suffix":""},{"dropping-particle":"","family":"Rutebemberwa","given":"E","non-dropping-particle":"","parse-names":false,"suffix":""},{"dropping-particle":"","family":"Nsabagasani","given":"X","non-dropping-particle":"","parse-names":false,"suffix":""},{"dropping-particle":"","family":"Pariyo","given":"G","non-dropping-particle":"","parse-names":false,"suffix":""},{"dropping-particle":"","family":"Tomson","given":"G","non-dropping-particle":"","parse-names":false,"suffix":""},{"dropping-particle":"","family":"Peterson","given":"S","non-dropping-particle":"","parse-names":false,"suffix":""},{"dropping-particle":"","family":"Kallander","given":"K","non-dropping-particle":"","parse-names":false,"suffix":""},{"dropping-particle":"","family":"Peterson","given":"S","non-dropping-particle":"","parse-names":false,"suffix":""},{"dropping-particle":"","family":"Nsungwa-Sabiiti","given":"J","non-dropping-particle":"","parse-names":false,"suffix":""},{"dropping-particle":"","family":"Were","given":"W","non-dropping-particle":"","parse-names":false,"suffix":""},{"dropping-particle":"","family":"Nsabagasani","given":"X","non-dropping-particle":"","parse-names":false,"suffix":""},{"dropping-particle":"","family":"Magumba","given":"G","non-dropping-particle":"","parse-names":false,"suffix":""},{"dropping-particle":"","family":"Nambooze","given":"J","non-dropping-particle":"","parse-names":false,"suffix":""},{"dropping-particle":"","family":"Mukasa","given":"G","non-dropping-particle":"","parse-names":false,"suffix":""},{"dropping-particle":"","family":"Nsungwa-Sabiiti","given":"J","non-dropping-particle":"","parse-names":false,"suffix":""},{"dropping-particle":"","family":"Kallander","given":"K","non-dropping-particle":"","parse-names":false,"suffix":""},{"dropping-particle":"","family":"Nsabagasani","given":"X","non-dropping-particle":"","parse-names":false,"suffix":""},{"dropping-particle":"","family":"Namusisi","given":"K","non-dropping-particle":"","parse-names":false,"suffix":""},{"dropping-particle":"","family":"Pariyo","given":"G","non-dropping-particle":"","parse-names":false,"suffix":""},{"dropping-particle":"","family":"Johansson","given":"A","non-dropping-particle":"","parse-names":false,"suffix":""},{"dropping-particle":"","family":"Tomson","given":"G","non-dropping-particle":"","parse-names":false,"suffix":""},{"dropping-particle":"","family":"Peterson","given":"S","non-dropping-particle":"","parse-names":false,"suffix":""},{"dropping-particle":"","family":"Tanner","given":"M","non-dropping-particle":"","parse-names":false,"suffix":""},{"dropping-particle":"","family":"Vlassoff","given":"C","non-dropping-particle":"","parse-names":false,"suffix":""},{"dropping-particle":"","family":"Comoro","given":"C","non-dropping-particle":"","parse-names":false,"suffix":""},{"dropping-particle":"","family":"Nsimba","given":"SE","non-dropping-particle":"","parse-names":false,"suffix":""},{"dropping-particle":"","family":"Warsame","given":"M","non-dropping-particle":"","parse-names":false,"suffix":""},{"dropping-particle":"","family":"Tomson","given":"G","non-dropping-particle":"","parse-names":false,"suffix":""},{"dropping-particle":"","family":"Nolan","given":"T","non-dropping-particle":"","parse-names":false,"suffix":""},{"dropping-particle":"","family":"Angos","given":"P","non-dropping-particle":"","parse-names":false,"suffix":""},{"dropping-particle":"","family":"Cunha","given":"AJ","non-dropping-particle":"","parse-names":false,"suffix":""},{"dropping-particle":"","family":"Muhe","given":"L","non-dropping-particle":"","parse-names":false,"suffix":""},{"dropping-particle":"","family":"Qazi","given":"S","non-dropping-particle":"","parse-names":false,"suffix":""},{"dropping-particle":"","family":"Simoes","given":"EA","non-dropping-particle":"","parse-names":false,"suffix":""},{"dropping-particle":"","family":"Tamburlini","given":"G","non-dropping-particle":"","parse-names":false,"suffix":""},{"dropping-particle":"","family":"Weber","given":"M","non-dropping-particle":"","parse-names":false,"suffix":""},{"dropping-particle":"","family":"Pierce","given":"NF","non-dropping-particle":"","parse-names":false,"suffix":""},{"dropping-particle":"","family":"Issah","given":"K","non-dropping-particle":"","parse-names":false,"suffix":""},{"dropping-particle":"","family":"Nang-Beifubah","given":"A","non-dropping-particle":"","parse-names":false,"suffix":""},{"dropping-particle":"","family":"Opoku","given":"CF","non-dropping-particle":"","parse-names":false,"suffix":""},{"dropping-particle":"","family":"Byass","given":"P","non-dropping-particle":"","parse-names":false,"suffix":""},{"dropping-particle":"","family":"Fottrell","given":"E","non-dropping-particle":"","parse-names":false,"suffix":""},{"dropping-particle":"","family":"Dao","given":"LH","non-dropping-particle":"","parse-names":false,"suffix":""},{"dropping-particle":"","family":"Berhane","given":"Y","non-dropping-particle":"","parse-names":false,"suffix":""},{"dropping-particle":"","family":"Corrah","given":"T","non-dropping-particle":"","parse-names":false,"suffix":""},{"dropping-particle":"","family":"Kahn","given":"K","non-dropping-particle":"","parse-names":false,"suffix":""},{"dropping-particle":"","family":"Muhe","given":"L","non-dropping-particle":"","parse-names":false,"suffix":""},{"dropping-particle":"","family":"Do","given":"DV","non-dropping-particle":"","parse-names":false,"suffix":""},{"dropping-particle":"","family":"Kroeger","given":"A","non-dropping-particle":"","parse-names":false,"suffix":""},{"dropping-particle":"","family":"Linder","given":"FE","non-dropping-particle":"","parse-names":false,"suffix":""}],"container-title":"Population Health Metrics","id":"ITEM-1","issue":"1","issued":{"date-parts":[["2011","12","5"]]},"page":"no pagination","publisher":"BioMed Central","publisher-place":"K. Kallander, Department of Health Policy, Planning and Management, School of Public Health, Makerere University, P.O. Box 7072, Kampala, Uganda. E-mail: k.kallander@malariaconsortium.org","title":"Social autopsy: INDEPTH Network experiences of utility, process, practices, and challenges in investigating causes and contributors to mortality","type":"article-journal","volume":"9"},"uris":["http://www.mendeley.com/documents/?uuid=6f034a5f-0493-4d52-a037-1377852a8637"]}],"mendeley":{"formattedCitation":"(5)","manualFormatting":"[5","plainTextFormattedCitation":"(5)","previouslyFormattedCitation":"(5)"},"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5</w:t>
            </w:r>
            <w:r>
              <w:rPr>
                <w:sz w:val="16"/>
                <w:szCs w:val="16"/>
              </w:rPr>
              <w:fldChar w:fldCharType="end"/>
            </w:r>
            <w:r w:rsidR="006F2C19">
              <w:rPr>
                <w:sz w:val="16"/>
                <w:szCs w:val="16"/>
              </w:rPr>
              <w:t>]</w:t>
            </w:r>
          </w:p>
        </w:tc>
        <w:tc>
          <w:tcPr>
            <w:tcW w:w="348" w:type="pct"/>
            <w:shd w:val="clear" w:color="auto" w:fill="auto"/>
            <w:noWrap/>
            <w:vAlign w:val="bottom"/>
            <w:hideMark/>
          </w:tcPr>
          <w:p w14:paraId="2B2AEC92" w14:textId="77777777" w:rsidR="00F24106" w:rsidRPr="00A276BA" w:rsidRDefault="00F24106" w:rsidP="0061013B">
            <w:pPr>
              <w:pStyle w:val="NoSpacing"/>
              <w:jc w:val="center"/>
              <w:rPr>
                <w:sz w:val="16"/>
                <w:szCs w:val="16"/>
              </w:rPr>
            </w:pPr>
            <w:r w:rsidRPr="00A276BA">
              <w:rPr>
                <w:sz w:val="16"/>
                <w:szCs w:val="16"/>
              </w:rPr>
              <w:t>2008-2010</w:t>
            </w:r>
          </w:p>
        </w:tc>
        <w:tc>
          <w:tcPr>
            <w:tcW w:w="316" w:type="pct"/>
            <w:shd w:val="clear" w:color="auto" w:fill="auto"/>
            <w:noWrap/>
            <w:vAlign w:val="bottom"/>
            <w:hideMark/>
          </w:tcPr>
          <w:p w14:paraId="28C26DAA" w14:textId="77777777" w:rsidR="00F24106" w:rsidRPr="00A276BA" w:rsidRDefault="00F24106" w:rsidP="0061013B">
            <w:pPr>
              <w:pStyle w:val="NoSpacing"/>
              <w:jc w:val="center"/>
              <w:rPr>
                <w:sz w:val="16"/>
                <w:szCs w:val="16"/>
              </w:rPr>
            </w:pPr>
            <w:r w:rsidRPr="00A276BA">
              <w:rPr>
                <w:sz w:val="16"/>
                <w:szCs w:val="16"/>
              </w:rPr>
              <w:t>Ghana Uganda</w:t>
            </w:r>
          </w:p>
        </w:tc>
        <w:tc>
          <w:tcPr>
            <w:tcW w:w="285" w:type="pct"/>
            <w:shd w:val="clear" w:color="auto" w:fill="auto"/>
            <w:noWrap/>
            <w:vAlign w:val="bottom"/>
            <w:hideMark/>
          </w:tcPr>
          <w:p w14:paraId="45F5D751"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00A1CD0F" w14:textId="16D17750" w:rsidR="00F24106" w:rsidRPr="00A276BA" w:rsidRDefault="00F24106" w:rsidP="0061013B">
            <w:pPr>
              <w:pStyle w:val="NoSpacing"/>
              <w:jc w:val="center"/>
              <w:rPr>
                <w:sz w:val="16"/>
                <w:szCs w:val="16"/>
              </w:rPr>
            </w:pPr>
            <w:r w:rsidRPr="00A276BA">
              <w:rPr>
                <w:sz w:val="16"/>
                <w:szCs w:val="16"/>
              </w:rPr>
              <w:t>Ghana: low income</w:t>
            </w:r>
            <w:r>
              <w:rPr>
                <w:sz w:val="16"/>
                <w:szCs w:val="16"/>
              </w:rPr>
              <w:t xml:space="preserve"> </w:t>
            </w:r>
            <w:r w:rsidRPr="00A276BA">
              <w:rPr>
                <w:sz w:val="16"/>
                <w:szCs w:val="16"/>
              </w:rPr>
              <w:t>Uganda: low income</w:t>
            </w:r>
          </w:p>
        </w:tc>
        <w:tc>
          <w:tcPr>
            <w:tcW w:w="367" w:type="pct"/>
            <w:shd w:val="clear" w:color="auto" w:fill="auto"/>
            <w:noWrap/>
            <w:vAlign w:val="bottom"/>
            <w:hideMark/>
          </w:tcPr>
          <w:p w14:paraId="5A446901" w14:textId="77777777" w:rsidR="00F24106" w:rsidRPr="00A276BA" w:rsidRDefault="00F24106" w:rsidP="0061013B">
            <w:pPr>
              <w:pStyle w:val="NoSpacing"/>
              <w:jc w:val="center"/>
              <w:rPr>
                <w:sz w:val="16"/>
                <w:szCs w:val="16"/>
              </w:rPr>
            </w:pPr>
            <w:r w:rsidRPr="00A276BA">
              <w:rPr>
                <w:sz w:val="16"/>
                <w:szCs w:val="16"/>
              </w:rPr>
              <w:t>Ghana: N Uganda: N</w:t>
            </w:r>
          </w:p>
        </w:tc>
        <w:tc>
          <w:tcPr>
            <w:tcW w:w="315" w:type="pct"/>
            <w:vAlign w:val="bottom"/>
          </w:tcPr>
          <w:p w14:paraId="16C6600D" w14:textId="75A4BDA3" w:rsidR="00F24106" w:rsidRPr="00A276BA" w:rsidRDefault="00F24106" w:rsidP="0061013B">
            <w:pPr>
              <w:pStyle w:val="NoSpacing"/>
              <w:jc w:val="center"/>
              <w:rPr>
                <w:sz w:val="16"/>
                <w:szCs w:val="16"/>
              </w:rPr>
            </w:pPr>
            <w:r>
              <w:rPr>
                <w:sz w:val="16"/>
                <w:szCs w:val="16"/>
              </w:rPr>
              <w:t>Ghana: rural Uganda: rural</w:t>
            </w:r>
          </w:p>
        </w:tc>
        <w:tc>
          <w:tcPr>
            <w:tcW w:w="316" w:type="pct"/>
            <w:shd w:val="clear" w:color="auto" w:fill="auto"/>
            <w:noWrap/>
            <w:vAlign w:val="bottom"/>
            <w:hideMark/>
          </w:tcPr>
          <w:p w14:paraId="535F86F2" w14:textId="77777777" w:rsidR="00F24106" w:rsidRPr="00A276BA" w:rsidRDefault="00F24106" w:rsidP="0061013B">
            <w:pPr>
              <w:pStyle w:val="NoSpacing"/>
              <w:jc w:val="center"/>
              <w:rPr>
                <w:sz w:val="16"/>
                <w:szCs w:val="16"/>
              </w:rPr>
            </w:pPr>
            <w:r w:rsidRPr="00A276BA">
              <w:rPr>
                <w:sz w:val="16"/>
                <w:szCs w:val="16"/>
              </w:rPr>
              <w:t>Ghana</w:t>
            </w:r>
            <w:r>
              <w:rPr>
                <w:sz w:val="16"/>
                <w:szCs w:val="16"/>
              </w:rPr>
              <w:t>:</w:t>
            </w:r>
            <w:r w:rsidRPr="00A276BA">
              <w:rPr>
                <w:sz w:val="16"/>
                <w:szCs w:val="16"/>
              </w:rPr>
              <w:t xml:space="preserve"> 40 Uganda</w:t>
            </w:r>
            <w:r>
              <w:rPr>
                <w:sz w:val="16"/>
                <w:szCs w:val="16"/>
              </w:rPr>
              <w:t>: 434</w:t>
            </w:r>
          </w:p>
        </w:tc>
        <w:tc>
          <w:tcPr>
            <w:tcW w:w="545" w:type="pct"/>
            <w:shd w:val="clear" w:color="auto" w:fill="auto"/>
            <w:noWrap/>
            <w:vAlign w:val="bottom"/>
            <w:hideMark/>
          </w:tcPr>
          <w:p w14:paraId="12C8E2E9" w14:textId="77777777" w:rsidR="00F24106" w:rsidRPr="00A276BA" w:rsidRDefault="00F24106" w:rsidP="0061013B">
            <w:pPr>
              <w:pStyle w:val="NoSpacing"/>
              <w:jc w:val="center"/>
              <w:rPr>
                <w:sz w:val="16"/>
                <w:szCs w:val="16"/>
              </w:rPr>
            </w:pPr>
            <w:r w:rsidRPr="00A276BA">
              <w:rPr>
                <w:sz w:val="16"/>
                <w:szCs w:val="16"/>
              </w:rPr>
              <w:t>INDEPTH Network Social Autopsy for child deaths</w:t>
            </w:r>
          </w:p>
        </w:tc>
        <w:tc>
          <w:tcPr>
            <w:tcW w:w="373" w:type="pct"/>
            <w:shd w:val="clear" w:color="FFFFFF" w:fill="FFFFFF"/>
            <w:noWrap/>
            <w:vAlign w:val="bottom"/>
            <w:hideMark/>
          </w:tcPr>
          <w:p w14:paraId="3FB5B4D3" w14:textId="77777777" w:rsidR="00F24106" w:rsidRPr="00A276BA" w:rsidRDefault="00F24106" w:rsidP="0061013B">
            <w:pPr>
              <w:pStyle w:val="NoSpacing"/>
              <w:jc w:val="center"/>
              <w:rPr>
                <w:sz w:val="16"/>
                <w:szCs w:val="16"/>
              </w:rPr>
            </w:pPr>
            <w:r w:rsidRPr="00A276BA">
              <w:rPr>
                <w:sz w:val="16"/>
                <w:szCs w:val="16"/>
              </w:rPr>
              <w:t>6 months</w:t>
            </w:r>
          </w:p>
        </w:tc>
        <w:tc>
          <w:tcPr>
            <w:tcW w:w="759" w:type="pct"/>
            <w:shd w:val="clear" w:color="auto" w:fill="auto"/>
            <w:noWrap/>
            <w:vAlign w:val="bottom"/>
            <w:hideMark/>
          </w:tcPr>
          <w:p w14:paraId="38E6D4A0"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0A77CD07" w14:textId="77777777" w:rsidR="00F24106" w:rsidRPr="00A276BA" w:rsidRDefault="00F24106" w:rsidP="0061013B">
            <w:pPr>
              <w:pStyle w:val="NoSpacing"/>
              <w:jc w:val="center"/>
              <w:rPr>
                <w:sz w:val="16"/>
                <w:szCs w:val="16"/>
              </w:rPr>
            </w:pPr>
            <w:r w:rsidRPr="00A276BA">
              <w:rPr>
                <w:sz w:val="16"/>
                <w:szCs w:val="16"/>
              </w:rPr>
              <w:t>Pathways to Survival &amp; Three Delays Model</w:t>
            </w:r>
          </w:p>
        </w:tc>
        <w:tc>
          <w:tcPr>
            <w:tcW w:w="253" w:type="pct"/>
            <w:shd w:val="clear" w:color="auto" w:fill="auto"/>
            <w:noWrap/>
            <w:vAlign w:val="bottom"/>
            <w:hideMark/>
          </w:tcPr>
          <w:p w14:paraId="31014349" w14:textId="77777777" w:rsidR="00F24106" w:rsidRPr="00A276BA" w:rsidRDefault="00F24106" w:rsidP="0061013B">
            <w:pPr>
              <w:pStyle w:val="NoSpacing"/>
              <w:jc w:val="center"/>
              <w:rPr>
                <w:sz w:val="16"/>
                <w:szCs w:val="16"/>
              </w:rPr>
            </w:pPr>
            <w:r w:rsidRPr="00A276BA">
              <w:rPr>
                <w:sz w:val="16"/>
                <w:szCs w:val="16"/>
              </w:rPr>
              <w:t>0.71</w:t>
            </w:r>
          </w:p>
        </w:tc>
      </w:tr>
      <w:tr w:rsidR="00F24106" w:rsidRPr="00A276BA" w14:paraId="62951775" w14:textId="77777777" w:rsidTr="0061013B">
        <w:trPr>
          <w:cantSplit/>
          <w:trHeight w:val="315"/>
        </w:trPr>
        <w:tc>
          <w:tcPr>
            <w:tcW w:w="380" w:type="pct"/>
            <w:shd w:val="clear" w:color="auto" w:fill="auto"/>
            <w:noWrap/>
            <w:vAlign w:val="bottom"/>
            <w:hideMark/>
          </w:tcPr>
          <w:p w14:paraId="5E4CADD2" w14:textId="2506CDF3" w:rsidR="00F24106" w:rsidRPr="00A276BA" w:rsidRDefault="00F24106" w:rsidP="00BF67EF">
            <w:pPr>
              <w:pStyle w:val="NoSpacing"/>
              <w:rPr>
                <w:sz w:val="16"/>
                <w:szCs w:val="16"/>
              </w:rPr>
            </w:pPr>
            <w:r w:rsidRPr="00A276BA">
              <w:rPr>
                <w:sz w:val="16"/>
                <w:szCs w:val="16"/>
              </w:rPr>
              <w:t xml:space="preserve">Manortey </w:t>
            </w:r>
            <w:r>
              <w:rPr>
                <w:sz w:val="16"/>
                <w:szCs w:val="16"/>
              </w:rPr>
              <w:t xml:space="preserve">2011 </w:t>
            </w:r>
            <w:r>
              <w:rPr>
                <w:sz w:val="16"/>
                <w:szCs w:val="16"/>
              </w:rPr>
              <w:fldChar w:fldCharType="begin" w:fldLock="1"/>
            </w:r>
            <w:r w:rsidR="00876406">
              <w:rPr>
                <w:sz w:val="16"/>
                <w:szCs w:val="16"/>
              </w:rPr>
              <w:instrText>ADDIN CSL_CITATION {"citationItems":[{"id":"ITEM-1","itemData":{"DOI":"http://dx.doi.org/10.4081/jphia.2011.e18","ISSN":"2038-9922","abstract":"The availability of mortality data for any society plays an essential role in health monitoring and evaluation, as well as in the design of health interventions. However, most resource-poor countries such as Ghana have no reliable vital registration system. In these instances, verbal autopsy (VA) may be used as an alternative method to gather mortality data. In rural Ghana, the research team utilized a VA questionnaire to interview caretakers who for the individual child. During the study period, we recorded 118 deaths from 92 households. Twenty-nine (24.6%) were neonatal deaths with the leading causes of death being neonatal sepsis, birth asphyxia and pneumonia. The remaining 89 (75.4%) were postneonatal deaths with the most common causes of death being pneumonia, malaria and malnutrition. While 63/118 (53.4%) deaths occurred in the home, there is no statistically significant relationship between the location of the home and the time of travel to the nearest health facility (P=0.132). VA is an important epidemiological tool for obtaining mortality data in communities that lack reliable vital registration systems. Improvement in health care is necessary to address the large number of deaths occurring in the home., Copyright © S. Manortey et al., 2011.","author":[{"dropping-particle":"","family":"Manortey","given":"S","non-dropping-particle":"","parse-names":false,"suffix":""},{"dropping-particle":"","family":"Carey","given":"A","non-dropping-particle":"","parse-names":false,"suffix":""},{"dropping-particle":"","family":"Ansong","given":"D","non-dropping-particle":"","parse-names":false,"suffix":""},{"dropping-particle":"","family":"Harvey","given":"R","non-dropping-particle":"","parse-names":false,"suffix":""},{"dropping-particle":"","family":"Good","given":"B","non-dropping-particle":"","parse-names":false,"suffix":""},{"dropping-particle":"","family":"Boaheng","given":"J","non-dropping-particle":"","parse-names":false,"suffix":""},{"dropping-particle":"","family":"Crookston","given":"B","non-dropping-particle":"","parse-names":false,"suffix":""},{"dropping-particle":"","family":"Dickerson","given":"T","non-dropping-particle":"","parse-names":false,"suffix":""}],"container-title":"Journal of Public Health in Africa","id":"ITEM-1","issue":"2","issued":{"date-parts":[["2011"]]},"page":"73-77","publisher":"Page Press Publications (via Giuseppe Belli, Pavia 7, 27100, Italy)","publisher-place":"S. Manortey, Department of Family and Preventive Medicine, University of Utah, 375 Chipeta Way, Suite A, Salt Lake City, UT 84108, United States. E-mail: steve.manortey@utah.edu","title":"Verbal autopsy: An analysis of the common causes of childhood death in the Barekese sub-district of Ghana","type":"article-journal","volume":"2"},"uris":["http://www.mendeley.com/documents/?uuid=4b399e53-9184-496e-b239-3e06f7f989fd"]}],"mendeley":{"formattedCitation":"(15)","manualFormatting":"[15","plainTextFormattedCitation":"(15)","previouslyFormattedCitation":"(15)"},"properties":{"noteIndex":0},"schema":"https://github.com/citation-style-language/schema/raw/master/csl-citation.json"}</w:instrText>
            </w:r>
            <w:r>
              <w:rPr>
                <w:sz w:val="16"/>
                <w:szCs w:val="16"/>
              </w:rPr>
              <w:fldChar w:fldCharType="separate"/>
            </w:r>
            <w:r w:rsidR="006F2C19">
              <w:rPr>
                <w:noProof/>
                <w:sz w:val="16"/>
                <w:szCs w:val="16"/>
              </w:rPr>
              <w:t>[</w:t>
            </w:r>
            <w:r w:rsidR="00303FFB" w:rsidRPr="00303FFB">
              <w:rPr>
                <w:noProof/>
                <w:sz w:val="16"/>
                <w:szCs w:val="16"/>
              </w:rPr>
              <w:t>15</w:t>
            </w:r>
            <w:r>
              <w:rPr>
                <w:sz w:val="16"/>
                <w:szCs w:val="16"/>
              </w:rPr>
              <w:fldChar w:fldCharType="end"/>
            </w:r>
            <w:r w:rsidR="006F2C19">
              <w:rPr>
                <w:sz w:val="16"/>
                <w:szCs w:val="16"/>
              </w:rPr>
              <w:t>]</w:t>
            </w:r>
          </w:p>
        </w:tc>
        <w:tc>
          <w:tcPr>
            <w:tcW w:w="348" w:type="pct"/>
            <w:shd w:val="clear" w:color="FFFFFF" w:fill="FFFFFF"/>
            <w:noWrap/>
            <w:vAlign w:val="bottom"/>
            <w:hideMark/>
          </w:tcPr>
          <w:p w14:paraId="3EB52C7A" w14:textId="77777777" w:rsidR="00F24106" w:rsidRPr="00A276BA" w:rsidRDefault="00F24106" w:rsidP="0061013B">
            <w:pPr>
              <w:pStyle w:val="NoSpacing"/>
              <w:jc w:val="center"/>
              <w:rPr>
                <w:sz w:val="16"/>
                <w:szCs w:val="16"/>
              </w:rPr>
            </w:pPr>
            <w:r w:rsidRPr="00A276BA">
              <w:rPr>
                <w:sz w:val="16"/>
                <w:szCs w:val="16"/>
              </w:rPr>
              <w:t>2005-2010</w:t>
            </w:r>
          </w:p>
        </w:tc>
        <w:tc>
          <w:tcPr>
            <w:tcW w:w="316" w:type="pct"/>
            <w:shd w:val="clear" w:color="FFFFFF" w:fill="FFFFFF"/>
            <w:noWrap/>
            <w:vAlign w:val="bottom"/>
            <w:hideMark/>
          </w:tcPr>
          <w:p w14:paraId="47782055" w14:textId="77777777" w:rsidR="00F24106" w:rsidRPr="00A276BA" w:rsidRDefault="00F24106" w:rsidP="0061013B">
            <w:pPr>
              <w:pStyle w:val="NoSpacing"/>
              <w:jc w:val="center"/>
              <w:rPr>
                <w:sz w:val="16"/>
                <w:szCs w:val="16"/>
              </w:rPr>
            </w:pPr>
            <w:r w:rsidRPr="00A276BA">
              <w:rPr>
                <w:sz w:val="16"/>
                <w:szCs w:val="16"/>
              </w:rPr>
              <w:t>Ghana</w:t>
            </w:r>
          </w:p>
        </w:tc>
        <w:tc>
          <w:tcPr>
            <w:tcW w:w="285" w:type="pct"/>
            <w:shd w:val="clear" w:color="FFFFFF" w:fill="FFFFFF"/>
            <w:noWrap/>
            <w:vAlign w:val="bottom"/>
            <w:hideMark/>
          </w:tcPr>
          <w:p w14:paraId="6CF97EE4" w14:textId="71921430" w:rsidR="00F24106" w:rsidRPr="00A276BA" w:rsidRDefault="00F24106" w:rsidP="0061013B">
            <w:pPr>
              <w:pStyle w:val="NoSpacing"/>
              <w:jc w:val="center"/>
              <w:rPr>
                <w:sz w:val="16"/>
                <w:szCs w:val="16"/>
              </w:rPr>
            </w:pPr>
            <w:r w:rsidRPr="00A276BA">
              <w:rPr>
                <w:sz w:val="16"/>
                <w:szCs w:val="16"/>
              </w:rPr>
              <w:t>0-27 days</w:t>
            </w:r>
            <w:r>
              <w:rPr>
                <w:sz w:val="16"/>
                <w:szCs w:val="16"/>
              </w:rPr>
              <w:t xml:space="preserve">, </w:t>
            </w:r>
            <w:r w:rsidRPr="00A276BA">
              <w:rPr>
                <w:sz w:val="16"/>
                <w:szCs w:val="16"/>
              </w:rPr>
              <w:t>1-59 months</w:t>
            </w:r>
          </w:p>
        </w:tc>
        <w:tc>
          <w:tcPr>
            <w:tcW w:w="362" w:type="pct"/>
            <w:shd w:val="clear" w:color="FFFFFF" w:fill="FFFFFF"/>
            <w:noWrap/>
            <w:vAlign w:val="bottom"/>
            <w:hideMark/>
          </w:tcPr>
          <w:p w14:paraId="3A85F048"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FFFFFF" w:fill="FFFFFF"/>
            <w:noWrap/>
            <w:vAlign w:val="bottom"/>
            <w:hideMark/>
          </w:tcPr>
          <w:p w14:paraId="3F5FD2F2" w14:textId="77777777" w:rsidR="00F24106" w:rsidRPr="00A276BA" w:rsidRDefault="00F24106" w:rsidP="0061013B">
            <w:pPr>
              <w:pStyle w:val="NoSpacing"/>
              <w:jc w:val="center"/>
              <w:rPr>
                <w:sz w:val="16"/>
                <w:szCs w:val="16"/>
              </w:rPr>
            </w:pPr>
            <w:r w:rsidRPr="00A276BA">
              <w:rPr>
                <w:sz w:val="16"/>
                <w:szCs w:val="16"/>
              </w:rPr>
              <w:t>Mixed</w:t>
            </w:r>
          </w:p>
        </w:tc>
        <w:tc>
          <w:tcPr>
            <w:tcW w:w="315" w:type="pct"/>
            <w:shd w:val="clear" w:color="FFFFFF" w:fill="FFFFFF"/>
            <w:vAlign w:val="bottom"/>
          </w:tcPr>
          <w:p w14:paraId="5A2C711E" w14:textId="77777777" w:rsidR="00F24106" w:rsidRDefault="00F24106" w:rsidP="0061013B">
            <w:pPr>
              <w:pStyle w:val="NoSpacing"/>
              <w:jc w:val="center"/>
              <w:rPr>
                <w:sz w:val="16"/>
                <w:szCs w:val="16"/>
              </w:rPr>
            </w:pPr>
            <w:r>
              <w:rPr>
                <w:sz w:val="16"/>
                <w:szCs w:val="16"/>
              </w:rPr>
              <w:t>Rural</w:t>
            </w:r>
          </w:p>
        </w:tc>
        <w:tc>
          <w:tcPr>
            <w:tcW w:w="316" w:type="pct"/>
            <w:shd w:val="clear" w:color="FFFFFF" w:fill="FFFFFF"/>
            <w:noWrap/>
            <w:vAlign w:val="bottom"/>
            <w:hideMark/>
          </w:tcPr>
          <w:p w14:paraId="75FC789E" w14:textId="77777777" w:rsidR="00F24106" w:rsidRPr="00A276BA" w:rsidRDefault="00F24106" w:rsidP="0061013B">
            <w:pPr>
              <w:pStyle w:val="NoSpacing"/>
              <w:jc w:val="center"/>
              <w:rPr>
                <w:sz w:val="16"/>
                <w:szCs w:val="16"/>
              </w:rPr>
            </w:pPr>
            <w:r>
              <w:rPr>
                <w:sz w:val="16"/>
                <w:szCs w:val="16"/>
              </w:rPr>
              <w:t>118</w:t>
            </w:r>
          </w:p>
        </w:tc>
        <w:tc>
          <w:tcPr>
            <w:tcW w:w="545" w:type="pct"/>
            <w:shd w:val="clear" w:color="FFFFFF" w:fill="FFFFFF"/>
            <w:noWrap/>
            <w:vAlign w:val="bottom"/>
            <w:hideMark/>
          </w:tcPr>
          <w:p w14:paraId="71AC34BD" w14:textId="77777777" w:rsidR="00F24106" w:rsidRPr="00A276BA" w:rsidRDefault="00F24106" w:rsidP="0061013B">
            <w:pPr>
              <w:pStyle w:val="NoSpacing"/>
              <w:jc w:val="center"/>
              <w:rPr>
                <w:sz w:val="16"/>
                <w:szCs w:val="16"/>
              </w:rPr>
            </w:pPr>
            <w:r w:rsidRPr="00A276BA">
              <w:rPr>
                <w:sz w:val="16"/>
                <w:szCs w:val="16"/>
              </w:rPr>
              <w:t>WHO VA 2007</w:t>
            </w:r>
          </w:p>
        </w:tc>
        <w:tc>
          <w:tcPr>
            <w:tcW w:w="373" w:type="pct"/>
            <w:shd w:val="clear" w:color="FFFFFF" w:fill="FFFFFF"/>
            <w:noWrap/>
            <w:vAlign w:val="bottom"/>
            <w:hideMark/>
          </w:tcPr>
          <w:p w14:paraId="767033DD" w14:textId="77777777" w:rsidR="00F24106" w:rsidRPr="00A276BA" w:rsidRDefault="00F24106" w:rsidP="0061013B">
            <w:pPr>
              <w:pStyle w:val="NoSpacing"/>
              <w:jc w:val="center"/>
              <w:rPr>
                <w:sz w:val="16"/>
                <w:szCs w:val="16"/>
              </w:rPr>
            </w:pPr>
            <w:r w:rsidRPr="00A276BA">
              <w:rPr>
                <w:sz w:val="16"/>
                <w:szCs w:val="16"/>
              </w:rPr>
              <w:t>5 years</w:t>
            </w:r>
          </w:p>
        </w:tc>
        <w:tc>
          <w:tcPr>
            <w:tcW w:w="759" w:type="pct"/>
            <w:shd w:val="clear" w:color="FFFFFF" w:fill="FFFFFF"/>
            <w:noWrap/>
            <w:vAlign w:val="bottom"/>
            <w:hideMark/>
          </w:tcPr>
          <w:p w14:paraId="49829334" w14:textId="77777777" w:rsidR="00F24106" w:rsidRPr="00A276BA" w:rsidRDefault="00F24106" w:rsidP="0061013B">
            <w:pPr>
              <w:pStyle w:val="NoSpacing"/>
              <w:jc w:val="center"/>
              <w:rPr>
                <w:sz w:val="16"/>
                <w:szCs w:val="16"/>
              </w:rPr>
            </w:pPr>
            <w:r w:rsidRPr="00A276BA">
              <w:rPr>
                <w:sz w:val="16"/>
                <w:szCs w:val="16"/>
              </w:rPr>
              <w:t>7</w:t>
            </w:r>
          </w:p>
        </w:tc>
        <w:tc>
          <w:tcPr>
            <w:tcW w:w="381" w:type="pct"/>
            <w:shd w:val="clear" w:color="FFFFFF" w:fill="FFFFFF"/>
            <w:noWrap/>
            <w:vAlign w:val="bottom"/>
            <w:hideMark/>
          </w:tcPr>
          <w:p w14:paraId="31561DB7"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FFFFFF" w:fill="FFFFFF"/>
            <w:noWrap/>
            <w:vAlign w:val="bottom"/>
            <w:hideMark/>
          </w:tcPr>
          <w:p w14:paraId="4FBEB791"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50E68992" w14:textId="77777777" w:rsidTr="0061013B">
        <w:trPr>
          <w:cantSplit/>
          <w:trHeight w:val="315"/>
        </w:trPr>
        <w:tc>
          <w:tcPr>
            <w:tcW w:w="380" w:type="pct"/>
            <w:shd w:val="clear" w:color="auto" w:fill="auto"/>
            <w:noWrap/>
            <w:vAlign w:val="bottom"/>
            <w:hideMark/>
          </w:tcPr>
          <w:p w14:paraId="0CB1BEEB" w14:textId="47539775" w:rsidR="00F24106" w:rsidRPr="00A276BA" w:rsidRDefault="00F24106" w:rsidP="00BF67EF">
            <w:pPr>
              <w:pStyle w:val="NoSpacing"/>
              <w:rPr>
                <w:sz w:val="16"/>
                <w:szCs w:val="16"/>
              </w:rPr>
            </w:pPr>
            <w:r w:rsidRPr="00A276BA">
              <w:rPr>
                <w:sz w:val="16"/>
                <w:szCs w:val="16"/>
              </w:rPr>
              <w:t xml:space="preserve">Mrisho </w:t>
            </w:r>
            <w:r>
              <w:rPr>
                <w:sz w:val="16"/>
                <w:szCs w:val="16"/>
              </w:rPr>
              <w:t xml:space="preserve">2012 </w:t>
            </w:r>
            <w:r>
              <w:rPr>
                <w:sz w:val="16"/>
                <w:szCs w:val="16"/>
              </w:rPr>
              <w:fldChar w:fldCharType="begin" w:fldLock="1"/>
            </w:r>
            <w:r w:rsidR="00166DD4">
              <w:rPr>
                <w:sz w:val="16"/>
                <w:szCs w:val="16"/>
              </w:rPr>
              <w:instrText>ADDIN CSL_CITATION {"citationItems":[{"id":"ITEM-1","itemData":{"DOI":"10.5402/2012/953401","ISSN":"2090-4703 (Electronic)","PMID":"22518328","abstract":"Introduction. We report cause of death and care-seeking prior to death in neonates based on interviews with relatives using a Verbal Autopsy questionnaire. Materials and Methods. We identified neonatal deaths between 2004 and 2007 through a large household survey in 2007 in five rural districts of southern Tanzania. Results. Of the 300 reported deaths that were sampled, the Verbal Autopsy (VA) interview suggested that 11 were 28 days or older at death and 65 were stillbirths. Data was missing for 5 of the reported deaths. Of the remaining 219 confirmed neonatal deaths, the most common causes were prematurity (33%), birth asphyxia (22%) and infections (10%). Amongst the deaths, 41% (90/219) were on the first day and a further 20% (43/219) on day 2 and 3. The quantitative results matched the qualitative findings. The majority of births were at home and attended by unskilled assistants. Conclusion. Caregivers of neonates born in health facility were more likely to seek care for problems than caregivers of neonates born at home. Efforts to increase awareness of the importance of early care-seeking for a premature or sick neonate are likely to be important for improving neonatal health.","author":[{"dropping-particle":"","family":"Mrisho","given":"Mwifadhi","non-dropping-particle":"","parse-names":false,"suffix":""},{"dropping-particle":"","family":"Schellenberg","given":"David","non-dropping-particle":"","parse-names":false,"suffix":""},{"dropping-particle":"","family":"Manzi","given":"Fatuma","non-dropping-particle":"","parse-names":false,"suffix":""},{"dropping-particle":"","family":"Tanner","given":"Marcel","non-dropping-particle":"","parse-names":false,"suffix":""},{"dropping-particle":"","family":"Mshinda","given":"Hassan","non-dropping-particle":"","parse-names":false,"suffix":""},{"dropping-particle":"","family":"Shirima","given":"Kizito","non-dropping-particle":"","parse-names":false,"suffix":""},{"dropping-particle":"","family":"Msambichaka","given":"Beverly","non-dropping-particle":"","parse-names":false,"suffix":""},{"dropping-particle":"","family":"Abdulla","given":"Salim","non-dropping-particle":"","parse-names":false,"suffix":""},{"dropping-particle":"","family":"Schellenberg","given":"Joanna Armstrong","non-dropping-particle":"","parse-names":false,"suffix":""}],"container-title":"ISRN pediatrics","id":"ITEM-1","issued":{"date-parts":[["2012"]]},"language":"eng","page":"953401","publisher-place":"Egypt","title":"Neonatal deaths in rural southern Tanzania: care-seeking and causes of death.","type":"article-journal","volume":"2012"},"uris":["http://www.mendeley.com/documents/?uuid=cb588a84-2d37-47b8-9623-a9594b69d707"]}],"mendeley":{"formattedCitation":"(52)","manualFormatting":"[51","plainTextFormattedCitation":"(52)","previouslyFormattedCitation":"(52)"},"properties":{"noteIndex":0},"schema":"https://github.com/citation-style-language/schema/raw/master/csl-citation.json"}</w:instrText>
            </w:r>
            <w:r>
              <w:rPr>
                <w:sz w:val="16"/>
                <w:szCs w:val="16"/>
              </w:rPr>
              <w:fldChar w:fldCharType="separate"/>
            </w:r>
            <w:r w:rsidR="00B62EF6">
              <w:rPr>
                <w:noProof/>
                <w:sz w:val="16"/>
                <w:szCs w:val="16"/>
              </w:rPr>
              <w:t>[</w:t>
            </w:r>
            <w:r w:rsidR="00303FFB" w:rsidRPr="00303FFB">
              <w:rPr>
                <w:noProof/>
                <w:sz w:val="16"/>
                <w:szCs w:val="16"/>
              </w:rPr>
              <w:t>51</w:t>
            </w:r>
            <w:r>
              <w:rPr>
                <w:sz w:val="16"/>
                <w:szCs w:val="16"/>
              </w:rPr>
              <w:fldChar w:fldCharType="end"/>
            </w:r>
            <w:r w:rsidR="00B62EF6">
              <w:rPr>
                <w:sz w:val="16"/>
                <w:szCs w:val="16"/>
              </w:rPr>
              <w:t>]</w:t>
            </w:r>
          </w:p>
        </w:tc>
        <w:tc>
          <w:tcPr>
            <w:tcW w:w="348" w:type="pct"/>
            <w:shd w:val="clear" w:color="auto" w:fill="auto"/>
            <w:noWrap/>
            <w:vAlign w:val="bottom"/>
            <w:hideMark/>
          </w:tcPr>
          <w:p w14:paraId="19F607ED" w14:textId="77777777" w:rsidR="00F24106" w:rsidRPr="00A276BA" w:rsidRDefault="00F24106" w:rsidP="0061013B">
            <w:pPr>
              <w:pStyle w:val="NoSpacing"/>
              <w:jc w:val="center"/>
              <w:rPr>
                <w:sz w:val="16"/>
                <w:szCs w:val="16"/>
              </w:rPr>
            </w:pPr>
            <w:r w:rsidRPr="00A276BA">
              <w:rPr>
                <w:sz w:val="16"/>
                <w:szCs w:val="16"/>
              </w:rPr>
              <w:t>2007</w:t>
            </w:r>
          </w:p>
        </w:tc>
        <w:tc>
          <w:tcPr>
            <w:tcW w:w="316" w:type="pct"/>
            <w:shd w:val="clear" w:color="auto" w:fill="auto"/>
            <w:noWrap/>
            <w:vAlign w:val="bottom"/>
            <w:hideMark/>
          </w:tcPr>
          <w:p w14:paraId="0E9ADEAD" w14:textId="77777777" w:rsidR="00F24106" w:rsidRPr="00A276BA" w:rsidRDefault="00F24106" w:rsidP="0061013B">
            <w:pPr>
              <w:pStyle w:val="NoSpacing"/>
              <w:jc w:val="center"/>
              <w:rPr>
                <w:sz w:val="16"/>
                <w:szCs w:val="16"/>
              </w:rPr>
            </w:pPr>
            <w:r w:rsidRPr="00A276BA">
              <w:rPr>
                <w:sz w:val="16"/>
                <w:szCs w:val="16"/>
              </w:rPr>
              <w:t>Tanzania</w:t>
            </w:r>
          </w:p>
        </w:tc>
        <w:tc>
          <w:tcPr>
            <w:tcW w:w="285" w:type="pct"/>
            <w:shd w:val="clear" w:color="auto" w:fill="auto"/>
            <w:noWrap/>
            <w:vAlign w:val="bottom"/>
            <w:hideMark/>
          </w:tcPr>
          <w:p w14:paraId="665D4293"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22CFF64B"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1F285C83"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6A71C915"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2A3C0D03" w14:textId="77777777" w:rsidR="00F24106" w:rsidRPr="00A276BA" w:rsidRDefault="00F24106" w:rsidP="0061013B">
            <w:pPr>
              <w:pStyle w:val="NoSpacing"/>
              <w:jc w:val="center"/>
              <w:rPr>
                <w:sz w:val="16"/>
                <w:szCs w:val="16"/>
              </w:rPr>
            </w:pPr>
            <w:r w:rsidRPr="00A276BA">
              <w:rPr>
                <w:sz w:val="16"/>
                <w:szCs w:val="16"/>
              </w:rPr>
              <w:t>219</w:t>
            </w:r>
          </w:p>
        </w:tc>
        <w:tc>
          <w:tcPr>
            <w:tcW w:w="545" w:type="pct"/>
            <w:shd w:val="clear" w:color="auto" w:fill="auto"/>
            <w:noWrap/>
            <w:vAlign w:val="bottom"/>
            <w:hideMark/>
          </w:tcPr>
          <w:p w14:paraId="5CCBF285" w14:textId="77777777" w:rsidR="00F24106" w:rsidRPr="00A276BA" w:rsidRDefault="00F24106" w:rsidP="0061013B">
            <w:pPr>
              <w:pStyle w:val="NoSpacing"/>
              <w:jc w:val="center"/>
              <w:rPr>
                <w:sz w:val="16"/>
                <w:szCs w:val="16"/>
              </w:rPr>
            </w:pPr>
            <w:r w:rsidRPr="00A276BA">
              <w:rPr>
                <w:sz w:val="16"/>
                <w:szCs w:val="16"/>
              </w:rPr>
              <w:t>INDEPTH Network VA</w:t>
            </w:r>
          </w:p>
        </w:tc>
        <w:tc>
          <w:tcPr>
            <w:tcW w:w="373" w:type="pct"/>
            <w:shd w:val="clear" w:color="auto" w:fill="auto"/>
            <w:noWrap/>
            <w:vAlign w:val="bottom"/>
            <w:hideMark/>
          </w:tcPr>
          <w:p w14:paraId="1723CEA2" w14:textId="77777777" w:rsidR="00F24106" w:rsidRPr="00A276BA" w:rsidRDefault="00F24106" w:rsidP="0061013B">
            <w:pPr>
              <w:pStyle w:val="NoSpacing"/>
              <w:jc w:val="center"/>
              <w:rPr>
                <w:sz w:val="16"/>
                <w:szCs w:val="16"/>
              </w:rPr>
            </w:pPr>
            <w:r w:rsidRPr="00A276BA">
              <w:rPr>
                <w:sz w:val="16"/>
                <w:szCs w:val="16"/>
              </w:rPr>
              <w:t>3 years</w:t>
            </w:r>
          </w:p>
        </w:tc>
        <w:tc>
          <w:tcPr>
            <w:tcW w:w="759" w:type="pct"/>
            <w:shd w:val="clear" w:color="auto" w:fill="auto"/>
            <w:noWrap/>
            <w:vAlign w:val="bottom"/>
            <w:hideMark/>
          </w:tcPr>
          <w:p w14:paraId="53BAC90F" w14:textId="77777777" w:rsidR="00F24106" w:rsidRPr="00A276BA" w:rsidRDefault="00F24106" w:rsidP="0061013B">
            <w:pPr>
              <w:pStyle w:val="NoSpacing"/>
              <w:jc w:val="center"/>
              <w:rPr>
                <w:sz w:val="16"/>
                <w:szCs w:val="16"/>
              </w:rPr>
            </w:pPr>
            <w:r w:rsidRPr="00A276BA">
              <w:rPr>
                <w:sz w:val="16"/>
                <w:szCs w:val="16"/>
              </w:rPr>
              <w:t>4a, 7</w:t>
            </w:r>
          </w:p>
        </w:tc>
        <w:tc>
          <w:tcPr>
            <w:tcW w:w="381" w:type="pct"/>
            <w:shd w:val="clear" w:color="auto" w:fill="auto"/>
            <w:noWrap/>
            <w:vAlign w:val="bottom"/>
            <w:hideMark/>
          </w:tcPr>
          <w:p w14:paraId="3FC024BB"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494E036F" w14:textId="77777777" w:rsidR="00F24106" w:rsidRPr="00A276BA" w:rsidRDefault="00F24106" w:rsidP="0061013B">
            <w:pPr>
              <w:pStyle w:val="NoSpacing"/>
              <w:jc w:val="center"/>
              <w:rPr>
                <w:sz w:val="16"/>
                <w:szCs w:val="16"/>
              </w:rPr>
            </w:pPr>
            <w:r w:rsidRPr="00A276BA">
              <w:rPr>
                <w:sz w:val="16"/>
                <w:szCs w:val="16"/>
              </w:rPr>
              <w:t>0.71</w:t>
            </w:r>
          </w:p>
        </w:tc>
      </w:tr>
      <w:tr w:rsidR="00F24106" w:rsidRPr="00A276BA" w14:paraId="7EDA4716" w14:textId="77777777" w:rsidTr="0061013B">
        <w:trPr>
          <w:cantSplit/>
          <w:trHeight w:val="315"/>
        </w:trPr>
        <w:tc>
          <w:tcPr>
            <w:tcW w:w="380" w:type="pct"/>
            <w:shd w:val="clear" w:color="auto" w:fill="auto"/>
            <w:noWrap/>
            <w:vAlign w:val="bottom"/>
            <w:hideMark/>
          </w:tcPr>
          <w:p w14:paraId="10A528D9" w14:textId="3B552540" w:rsidR="00F24106" w:rsidRPr="00A276BA" w:rsidRDefault="00F24106" w:rsidP="0061013B">
            <w:pPr>
              <w:pStyle w:val="NoSpacing"/>
              <w:rPr>
                <w:sz w:val="16"/>
                <w:szCs w:val="16"/>
              </w:rPr>
            </w:pPr>
            <w:r w:rsidRPr="00A276BA">
              <w:rPr>
                <w:sz w:val="16"/>
                <w:szCs w:val="16"/>
              </w:rPr>
              <w:t xml:space="preserve">Olack </w:t>
            </w:r>
            <w:r>
              <w:rPr>
                <w:sz w:val="16"/>
                <w:szCs w:val="16"/>
              </w:rPr>
              <w:t xml:space="preserve">2014 </w:t>
            </w:r>
            <w:r>
              <w:rPr>
                <w:sz w:val="16"/>
                <w:szCs w:val="16"/>
              </w:rPr>
              <w:fldChar w:fldCharType="begin" w:fldLock="1"/>
            </w:r>
            <w:r w:rsidR="00166DD4">
              <w:rPr>
                <w:sz w:val="16"/>
                <w:szCs w:val="16"/>
              </w:rPr>
              <w:instrText>ADDIN CSL_CITATION {"citationItems":[{"id":"ITEM-1","itemData":{"DOI":"10.1371/journal.pone.0085913","ISSN":"1932-6203","PMID":"24489678","abstract":"BACKGROUND We used population based infectious disease surveillance to characterize mortality rates in residents of an urban slum in Kenya. METHODS We analyzed biweekly household visit data collected two weeks before death for 749 cases who died during January 1, 2007 to December 31, 2010. We also selected controls matched by age, gender and having a biweekly household visit within two weeks before death of the corresponding case and compared the symptoms reported. RESULTS The overall mortality rate was 6.3 per 1,000 person years of observation (PYO) (females: 5.7; males: 6.8). Infant mortality rate was 50.2 per 1000 PYOs, and it was 15.1 per 1,000 PYOs for children &lt;5 years old. Poisson regression indicates a significant decrease over time in overall mortality from (6.0 in 2007 to 4.0 in 2010 per 1000 PYOs; p&lt;0.05) in persons ≥ 5 years old. This decrease was predominant in females (7.8 to 5.7 per 1000 PYOs; p&lt;0.05). Two weeks before death, significantly higher prevalence for cough (OR = 4.7 [95% CI: 3.7-5.9]), fever (OR = 8.1 [95% CI: 6.1-10.7]), and diarrhea (OR = 9.1 [95% CI: 6.4-13.2]) were reported among participants who died (cases) when compared to participants who did not die (controls). Diarrhea followed by fever were independently associated with deaths (OR = 14.4 [95% CI: 7.1-29.2]), and (OR = 11.4 [95% CI: 6.7-19.4]) respectively. CONCLUSIONS Despite accessible health care, mortality rates are high among people living in this urban slum; infectious disease syndromes appear to be linked to a substantial proportion of deaths. Rapid urbanization poses an increasing challenge in national efforts to improve health outcomes, including reducing childhood mortality rates. Targeting impoverished people in urban slums with effective interventions such as water and sanitation interventions are needed to achieve national objectives for health.","author":[{"dropping-particle":"","family":"Olack","given":"Beatrice","non-dropping-particle":"","parse-names":false,"suffix":""},{"dropping-particle":"","family":"Feikin","given":"Daniel R","non-dropping-particle":"","parse-names":false,"suffix":""},{"dropping-particle":"","family":"Cosmas","given":"Leonard O","non-dropping-particle":"","parse-names":false,"suffix":""},{"dropping-particle":"","family":"Odero","given":"Kennedy O","non-dropping-particle":"","parse-names":false,"suffix":""},{"dropping-particle":"","family":"Okoth","given":"George O","non-dropping-particle":"","parse-names":false,"suffix":""},{"dropping-particle":"","family":"Montgomery","given":"Joel M","non-dropping-particle":"","parse-names":false,"suffix":""},{"dropping-particle":"","family":"Breiman","given":"Robert F","non-dropping-particle":"","parse-names":false,"suffix":""}],"container-title":"PloS one","id":"ITEM-1","issue":"1","issued":{"date-parts":[["2014"]]},"page":"e85913","publisher":"Public Library of Science","title":"Mortality trends observed in population-based surveillance of an urban slum settlement, Kibera, Kenya, 2007-2010.","type":"article-journal","volume":"9"},"uris":["http://www.mendeley.com/documents/?uuid=8903f7fc-30e9-33dc-bcf2-a3b7b9929f0f"]}],"mendeley":{"formattedCitation":"(53)","manualFormatting":"[52","plainTextFormattedCitation":"(53)","previouslyFormattedCitation":"(53)"},"properties":{"noteIndex":0},"schema":"https://github.com/citation-style-language/schema/raw/master/csl-citation.json"}</w:instrText>
            </w:r>
            <w:r>
              <w:rPr>
                <w:sz w:val="16"/>
                <w:szCs w:val="16"/>
              </w:rPr>
              <w:fldChar w:fldCharType="separate"/>
            </w:r>
            <w:r w:rsidR="00B62EF6">
              <w:rPr>
                <w:noProof/>
                <w:sz w:val="16"/>
                <w:szCs w:val="16"/>
              </w:rPr>
              <w:t>[</w:t>
            </w:r>
            <w:r w:rsidR="00303FFB" w:rsidRPr="00303FFB">
              <w:rPr>
                <w:noProof/>
                <w:sz w:val="16"/>
                <w:szCs w:val="16"/>
              </w:rPr>
              <w:t>52</w:t>
            </w:r>
            <w:r>
              <w:rPr>
                <w:sz w:val="16"/>
                <w:szCs w:val="16"/>
              </w:rPr>
              <w:fldChar w:fldCharType="end"/>
            </w:r>
            <w:r w:rsidR="00B62EF6">
              <w:rPr>
                <w:sz w:val="16"/>
                <w:szCs w:val="16"/>
              </w:rPr>
              <w:t>]</w:t>
            </w:r>
            <w:r w:rsidR="0066702F">
              <w:rPr>
                <w:sz w:val="16"/>
                <w:szCs w:val="16"/>
              </w:rPr>
              <w:t>*</w:t>
            </w:r>
          </w:p>
        </w:tc>
        <w:tc>
          <w:tcPr>
            <w:tcW w:w="348" w:type="pct"/>
            <w:shd w:val="clear" w:color="auto" w:fill="auto"/>
            <w:noWrap/>
            <w:vAlign w:val="bottom"/>
            <w:hideMark/>
          </w:tcPr>
          <w:p w14:paraId="2B1CD178" w14:textId="77777777" w:rsidR="00F24106" w:rsidRPr="00A276BA" w:rsidRDefault="00F24106" w:rsidP="0061013B">
            <w:pPr>
              <w:pStyle w:val="NoSpacing"/>
              <w:jc w:val="center"/>
              <w:rPr>
                <w:sz w:val="16"/>
                <w:szCs w:val="16"/>
              </w:rPr>
            </w:pPr>
            <w:r w:rsidRPr="00A276BA">
              <w:rPr>
                <w:sz w:val="16"/>
                <w:szCs w:val="16"/>
              </w:rPr>
              <w:t>2007-2010</w:t>
            </w:r>
          </w:p>
        </w:tc>
        <w:tc>
          <w:tcPr>
            <w:tcW w:w="316" w:type="pct"/>
            <w:shd w:val="clear" w:color="auto" w:fill="auto"/>
            <w:noWrap/>
            <w:vAlign w:val="bottom"/>
            <w:hideMark/>
          </w:tcPr>
          <w:p w14:paraId="0B9CAAC2" w14:textId="77777777" w:rsidR="00F24106" w:rsidRPr="00A276BA" w:rsidRDefault="00F24106" w:rsidP="0061013B">
            <w:pPr>
              <w:pStyle w:val="NoSpacing"/>
              <w:jc w:val="center"/>
              <w:rPr>
                <w:sz w:val="16"/>
                <w:szCs w:val="16"/>
              </w:rPr>
            </w:pPr>
            <w:r w:rsidRPr="00A276BA">
              <w:rPr>
                <w:sz w:val="16"/>
                <w:szCs w:val="16"/>
              </w:rPr>
              <w:t>Kenya</w:t>
            </w:r>
          </w:p>
        </w:tc>
        <w:tc>
          <w:tcPr>
            <w:tcW w:w="285" w:type="pct"/>
            <w:shd w:val="clear" w:color="auto" w:fill="auto"/>
            <w:noWrap/>
            <w:vAlign w:val="bottom"/>
            <w:hideMark/>
          </w:tcPr>
          <w:p w14:paraId="144F96DE" w14:textId="77777777" w:rsidR="00F24106" w:rsidRPr="00A276BA" w:rsidRDefault="00F24106" w:rsidP="0061013B">
            <w:pPr>
              <w:pStyle w:val="NoSpacing"/>
              <w:jc w:val="center"/>
              <w:rPr>
                <w:sz w:val="16"/>
                <w:szCs w:val="16"/>
              </w:rPr>
            </w:pPr>
            <w:r w:rsidRPr="00A276BA">
              <w:rPr>
                <w:sz w:val="16"/>
                <w:szCs w:val="16"/>
              </w:rPr>
              <w:t>0-59 months</w:t>
            </w:r>
          </w:p>
        </w:tc>
        <w:tc>
          <w:tcPr>
            <w:tcW w:w="362" w:type="pct"/>
            <w:shd w:val="clear" w:color="auto" w:fill="auto"/>
            <w:noWrap/>
            <w:vAlign w:val="bottom"/>
            <w:hideMark/>
          </w:tcPr>
          <w:p w14:paraId="4C5B7394" w14:textId="77777777" w:rsidR="00F24106" w:rsidRPr="00A276BA" w:rsidRDefault="00F24106" w:rsidP="0061013B">
            <w:pPr>
              <w:pStyle w:val="NoSpacing"/>
              <w:jc w:val="center"/>
              <w:rPr>
                <w:sz w:val="16"/>
                <w:szCs w:val="16"/>
              </w:rPr>
            </w:pPr>
            <w:r w:rsidRPr="00A276BA">
              <w:rPr>
                <w:sz w:val="16"/>
                <w:szCs w:val="16"/>
              </w:rPr>
              <w:t>Low</w:t>
            </w:r>
            <w:r>
              <w:rPr>
                <w:sz w:val="16"/>
                <w:szCs w:val="16"/>
              </w:rPr>
              <w:t xml:space="preserve"> </w:t>
            </w:r>
            <w:r w:rsidRPr="00A276BA">
              <w:rPr>
                <w:sz w:val="16"/>
                <w:szCs w:val="16"/>
              </w:rPr>
              <w:t>income</w:t>
            </w:r>
          </w:p>
        </w:tc>
        <w:tc>
          <w:tcPr>
            <w:tcW w:w="367" w:type="pct"/>
            <w:shd w:val="clear" w:color="auto" w:fill="auto"/>
            <w:noWrap/>
            <w:vAlign w:val="bottom"/>
            <w:hideMark/>
          </w:tcPr>
          <w:p w14:paraId="6B6DBFB1"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6C5FDBB7" w14:textId="77777777" w:rsidR="00F24106" w:rsidRPr="00A276BA" w:rsidRDefault="00F24106" w:rsidP="0061013B">
            <w:pPr>
              <w:pStyle w:val="NoSpacing"/>
              <w:jc w:val="center"/>
              <w:rPr>
                <w:sz w:val="16"/>
                <w:szCs w:val="16"/>
              </w:rPr>
            </w:pPr>
            <w:r>
              <w:rPr>
                <w:sz w:val="16"/>
                <w:szCs w:val="16"/>
              </w:rPr>
              <w:t>Urban</w:t>
            </w:r>
          </w:p>
        </w:tc>
        <w:tc>
          <w:tcPr>
            <w:tcW w:w="316" w:type="pct"/>
            <w:shd w:val="clear" w:color="auto" w:fill="auto"/>
            <w:noWrap/>
            <w:vAlign w:val="bottom"/>
            <w:hideMark/>
          </w:tcPr>
          <w:p w14:paraId="347CE368" w14:textId="77777777" w:rsidR="00F24106" w:rsidRPr="00A276BA" w:rsidRDefault="00F24106" w:rsidP="0061013B">
            <w:pPr>
              <w:pStyle w:val="NoSpacing"/>
              <w:jc w:val="center"/>
              <w:rPr>
                <w:sz w:val="16"/>
                <w:szCs w:val="16"/>
              </w:rPr>
            </w:pPr>
            <w:r w:rsidRPr="00A276BA">
              <w:rPr>
                <w:sz w:val="16"/>
                <w:szCs w:val="16"/>
              </w:rPr>
              <w:t>309</w:t>
            </w:r>
          </w:p>
        </w:tc>
        <w:tc>
          <w:tcPr>
            <w:tcW w:w="545" w:type="pct"/>
            <w:shd w:val="clear" w:color="auto" w:fill="auto"/>
            <w:noWrap/>
            <w:vAlign w:val="bottom"/>
            <w:hideMark/>
          </w:tcPr>
          <w:p w14:paraId="362CE439" w14:textId="77777777" w:rsidR="00F24106" w:rsidRPr="00A276BA" w:rsidRDefault="00F24106" w:rsidP="0061013B">
            <w:pPr>
              <w:pStyle w:val="NoSpacing"/>
              <w:jc w:val="center"/>
              <w:rPr>
                <w:sz w:val="16"/>
                <w:szCs w:val="16"/>
              </w:rPr>
            </w:pPr>
            <w:r w:rsidRPr="00A276BA">
              <w:rPr>
                <w:sz w:val="16"/>
                <w:szCs w:val="16"/>
              </w:rPr>
              <w:t>Site specific - interview conducted with household proxy after death</w:t>
            </w:r>
          </w:p>
        </w:tc>
        <w:tc>
          <w:tcPr>
            <w:tcW w:w="373" w:type="pct"/>
            <w:shd w:val="clear" w:color="auto" w:fill="auto"/>
            <w:noWrap/>
            <w:vAlign w:val="bottom"/>
            <w:hideMark/>
          </w:tcPr>
          <w:p w14:paraId="733C3792"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682CC636" w14:textId="77777777" w:rsidR="00F24106" w:rsidRPr="00A276BA" w:rsidRDefault="00F24106" w:rsidP="0061013B">
            <w:pPr>
              <w:pStyle w:val="NoSpacing"/>
              <w:jc w:val="center"/>
              <w:rPr>
                <w:sz w:val="16"/>
                <w:szCs w:val="16"/>
              </w:rPr>
            </w:pPr>
            <w:r w:rsidRPr="00A276BA">
              <w:rPr>
                <w:sz w:val="16"/>
                <w:szCs w:val="16"/>
              </w:rPr>
              <w:t>4a</w:t>
            </w:r>
          </w:p>
        </w:tc>
        <w:tc>
          <w:tcPr>
            <w:tcW w:w="381" w:type="pct"/>
            <w:shd w:val="clear" w:color="auto" w:fill="auto"/>
            <w:noWrap/>
            <w:vAlign w:val="bottom"/>
            <w:hideMark/>
          </w:tcPr>
          <w:p w14:paraId="18BCEE4B"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230E8392" w14:textId="77777777" w:rsidR="00F24106" w:rsidRPr="00A276BA" w:rsidRDefault="00F24106" w:rsidP="0061013B">
            <w:pPr>
              <w:pStyle w:val="NoSpacing"/>
              <w:jc w:val="center"/>
              <w:rPr>
                <w:sz w:val="16"/>
                <w:szCs w:val="16"/>
              </w:rPr>
            </w:pPr>
            <w:r w:rsidRPr="00A276BA">
              <w:rPr>
                <w:sz w:val="16"/>
                <w:szCs w:val="16"/>
              </w:rPr>
              <w:t>0.57</w:t>
            </w:r>
          </w:p>
        </w:tc>
      </w:tr>
      <w:tr w:rsidR="00F24106" w:rsidRPr="00A276BA" w14:paraId="5D451C07" w14:textId="77777777" w:rsidTr="0061013B">
        <w:trPr>
          <w:cantSplit/>
          <w:trHeight w:val="315"/>
        </w:trPr>
        <w:tc>
          <w:tcPr>
            <w:tcW w:w="380" w:type="pct"/>
            <w:shd w:val="clear" w:color="auto" w:fill="auto"/>
            <w:noWrap/>
            <w:vAlign w:val="bottom"/>
            <w:hideMark/>
          </w:tcPr>
          <w:p w14:paraId="16E60909" w14:textId="320A5312" w:rsidR="00F24106" w:rsidRPr="00A276BA" w:rsidRDefault="00F24106" w:rsidP="00BF67EF">
            <w:pPr>
              <w:pStyle w:val="NoSpacing"/>
              <w:rPr>
                <w:sz w:val="16"/>
                <w:szCs w:val="16"/>
              </w:rPr>
            </w:pPr>
            <w:r w:rsidRPr="00A276BA">
              <w:rPr>
                <w:sz w:val="16"/>
                <w:szCs w:val="16"/>
              </w:rPr>
              <w:t>Rahman</w:t>
            </w:r>
            <w:r>
              <w:rPr>
                <w:sz w:val="16"/>
                <w:szCs w:val="16"/>
              </w:rPr>
              <w:t xml:space="preserve"> 2014</w:t>
            </w:r>
            <w:r w:rsidRPr="008F7784">
              <w:rPr>
                <w:rFonts w:cstheme="minorHAnsi"/>
                <w:sz w:val="16"/>
                <w:szCs w:val="16"/>
                <w:shd w:val="clear" w:color="auto" w:fill="FFFFFF"/>
              </w:rPr>
              <w:t> </w:t>
            </w:r>
            <w:r w:rsidRPr="008F7784">
              <w:rPr>
                <w:rFonts w:cstheme="minorHAnsi"/>
                <w:sz w:val="16"/>
                <w:szCs w:val="16"/>
                <w:shd w:val="clear" w:color="auto" w:fill="FFFFFF"/>
              </w:rPr>
              <w:fldChar w:fldCharType="begin" w:fldLock="1"/>
            </w:r>
            <w:r w:rsidR="00166DD4">
              <w:rPr>
                <w:rFonts w:cstheme="minorHAnsi"/>
                <w:sz w:val="16"/>
                <w:szCs w:val="16"/>
                <w:shd w:val="clear" w:color="auto" w:fill="FFFFFF"/>
              </w:rPr>
              <w:instrText>ADDIN CSL_CITATION {"citationItems":[{"id":"ITEM-1","itemData":{"DOI":"10.2471/BLT.13.134809","ISSN":"1564-0604 (Electronic)","PMID":"25378757","abstract":"OBJECTIVE: To investigate the clinical characteristics of children who died from diarrhoea in low- and middle-income countries, such as the duration of diarrhoea, comorbid conditions, care-seeking behaviour and oral rehydration therapy use. METHODS: The study included verbal autopsy data on children who died from diarrhoea between 2000 and 2012 at seven sites in Bangladesh, Ethiopia, Ghana, India, Pakistan, Uganda and the United Republic of Tanzania, respectively. Data came from demographic surveillance sites, randomized trials and an extended Demographic and Health Survey. The type of diarrhoea was classified as acute watery, acute bloody or persistent and risk factors were identified. Deaths in children aged 1 to 11 months and 1 to 4 years were analysed separately. FINDINGS: The proportion of childhood deaths due to diarrhoea varied considerably across the seven sites from less than 3% to 30%. Among children aged 1-4 years, acute watery diarrhoea accounted for 31-69% of diarrhoeal deaths, acute bloody diarrhoea for 12-28%, and persistent diarrhoea for 12-56%. Among infants aged 1-11 months, persistent diarrhoea accounted for over 30% of diarrhoeal deaths in Ethiopia, India, Pakistan, Uganda and the United Republic of Tanzania. At most sites, more than 40% of children who died from persistent diarrhoea were malnourished. CONCLUSION: Persistent diarrhoea remains an important cause of diarrhoeal death in young children in low- and middle-income countries. Research is needed on the public health burden of persistent diarrhoea and current treatment practices to understand why children are still dying from the condition.","author":[{"dropping-particle":"","family":"Rahman","given":"Ahmed Ehsanur","non-dropping-particle":"","parse-names":false,"suffix":""},{"dropping-particle":"","family":"Moinuddin","given":"Md","non-dropping-particle":"","parse-names":false,"suffix":""},{"dropping-particle":"","family":"Molla","given":"Mitike","non-dropping-particle":"","parse-names":false,"suffix":""},{"dropping-particle":"","family":"Worku","given":"Alemayehu","non-dropping-particle":"","parse-names":false,"suffix":""},{"dropping-particle":"","family":"Hurt","given":"Lisa","non-dropping-particle":"","parse-names":false,"suffix":""},{"dropping-particle":"","family":"Kirkwood","given":"Betty","non-dropping-particle":"","parse-names":false,"suffix":""},{"dropping-particle":"","family":"Mohan","given":"Sanjana Brahmawar","non-dropping-particle":"","parse-names":false,"suffix":""},{"dropping-particle":"","family":"Mazumder","given":"Sarmila","non-dropping-particle":"","parse-names":false,"suffix":""},{"dropping-particle":"","family":"Bhutta","given":"Zulfiqar","non-dropping-particle":"","parse-names":false,"suffix":""},{"dropping-particle":"","family":"Raza","given":"Farrukh","non-dropping-particle":"","parse-names":false,"suffix":""},{"dropping-particle":"","family":"Mrema","given":"Sigilbert","non-dropping-particle":"","parse-names":false,"suffix":""},{"dropping-particle":"","family":"Masanja","given":"Honorati","non-dropping-particle":"","parse-names":false,"suffix":""},{"dropping-particle":"","family":"Kadobera","given":"Daniel","non-dropping-particle":"","parse-names":false,"suffix":""},{"dropping-particle":"","family":"Waiswa","given":"Peter","non-dropping-particle":"","parse-names":false,"suffix":""},{"dropping-particle":"","family":"Bahl","given":"Rajiv","non-dropping-particle":"","parse-names":false,"suffix":""},{"dropping-particle":"","family":"Zangenberg","given":"Mike","non-dropping-particle":"","parse-names":false,"suffix":""},{"dropping-particle":"","family":"Muhe","given":"Lulu","non-dropping-particle":"","parse-names":false,"suffix":""}],"container-title":"Bulletin of the World Health Organization","id":"ITEM-1","issue":"9","issued":{"date-parts":[["2014","9"]]},"language":"eng","page":"664-671","publisher-place":"Switzerland","title":"Childhood diarrhoeal deaths in seven low- and middle-income countries.","type":"article-journal","volume":"92"},"uris":["http://www.mendeley.com/documents/?uuid=d0f76c54-062f-4dd1-b224-8c6fc8243b83"]}],"mendeley":{"formattedCitation":"(54)","manualFormatting":"[53","plainTextFormattedCitation":"(54)","previouslyFormattedCitation":"(54)"},"properties":{"noteIndex":0},"schema":"https://github.com/citation-style-language/schema/raw/master/csl-citation.json"}</w:instrText>
            </w:r>
            <w:r w:rsidRPr="008F7784">
              <w:rPr>
                <w:rFonts w:cstheme="minorHAnsi"/>
                <w:sz w:val="16"/>
                <w:szCs w:val="16"/>
                <w:shd w:val="clear" w:color="auto" w:fill="FFFFFF"/>
              </w:rPr>
              <w:fldChar w:fldCharType="separate"/>
            </w:r>
            <w:r w:rsidR="00B62EF6">
              <w:rPr>
                <w:rFonts w:cstheme="minorHAnsi"/>
                <w:noProof/>
                <w:sz w:val="16"/>
                <w:szCs w:val="16"/>
                <w:shd w:val="clear" w:color="auto" w:fill="FFFFFF"/>
              </w:rPr>
              <w:t>[</w:t>
            </w:r>
            <w:r w:rsidR="00303FFB" w:rsidRPr="00303FFB">
              <w:rPr>
                <w:rFonts w:cstheme="minorHAnsi"/>
                <w:noProof/>
                <w:sz w:val="16"/>
                <w:szCs w:val="16"/>
                <w:shd w:val="clear" w:color="auto" w:fill="FFFFFF"/>
              </w:rPr>
              <w:t>53</w:t>
            </w:r>
            <w:r w:rsidRPr="008F7784">
              <w:rPr>
                <w:rFonts w:cstheme="minorHAnsi"/>
                <w:sz w:val="16"/>
                <w:szCs w:val="16"/>
                <w:shd w:val="clear" w:color="auto" w:fill="FFFFFF"/>
              </w:rPr>
              <w:fldChar w:fldCharType="end"/>
            </w:r>
            <w:r w:rsidR="00B62EF6">
              <w:rPr>
                <w:rFonts w:cstheme="minorHAnsi"/>
                <w:sz w:val="16"/>
                <w:szCs w:val="16"/>
                <w:shd w:val="clear" w:color="auto" w:fill="FFFFFF"/>
              </w:rPr>
              <w:t>]</w:t>
            </w:r>
            <w:r>
              <w:rPr>
                <w:rFonts w:cstheme="minorHAnsi"/>
                <w:sz w:val="16"/>
                <w:szCs w:val="16"/>
                <w:shd w:val="clear" w:color="auto" w:fill="FFFFFF"/>
              </w:rPr>
              <w:t xml:space="preserve"> </w:t>
            </w:r>
            <w:r w:rsidR="0066702F">
              <w:rPr>
                <w:rFonts w:cstheme="minorHAnsi"/>
                <w:sz w:val="16"/>
                <w:szCs w:val="16"/>
                <w:shd w:val="clear" w:color="auto" w:fill="FFFFFF"/>
              </w:rPr>
              <w:t>*</w:t>
            </w:r>
          </w:p>
        </w:tc>
        <w:tc>
          <w:tcPr>
            <w:tcW w:w="348" w:type="pct"/>
            <w:shd w:val="clear" w:color="auto" w:fill="auto"/>
            <w:noWrap/>
            <w:vAlign w:val="bottom"/>
            <w:hideMark/>
          </w:tcPr>
          <w:p w14:paraId="11F5636E" w14:textId="77777777" w:rsidR="00F24106" w:rsidRPr="00A276BA" w:rsidRDefault="00F24106" w:rsidP="0061013B">
            <w:pPr>
              <w:pStyle w:val="NoSpacing"/>
              <w:jc w:val="center"/>
              <w:rPr>
                <w:sz w:val="16"/>
                <w:szCs w:val="16"/>
              </w:rPr>
            </w:pPr>
            <w:r w:rsidRPr="00A276BA">
              <w:rPr>
                <w:sz w:val="16"/>
                <w:szCs w:val="16"/>
              </w:rPr>
              <w:t>2000-2012</w:t>
            </w:r>
          </w:p>
        </w:tc>
        <w:tc>
          <w:tcPr>
            <w:tcW w:w="316" w:type="pct"/>
            <w:shd w:val="clear" w:color="auto" w:fill="auto"/>
            <w:noWrap/>
            <w:vAlign w:val="bottom"/>
            <w:hideMark/>
          </w:tcPr>
          <w:p w14:paraId="0DF43F8B" w14:textId="77777777" w:rsidR="00F24106" w:rsidRPr="00A276BA" w:rsidRDefault="00F24106" w:rsidP="0061013B">
            <w:pPr>
              <w:pStyle w:val="NoSpacing"/>
              <w:jc w:val="center"/>
              <w:rPr>
                <w:sz w:val="16"/>
                <w:szCs w:val="16"/>
              </w:rPr>
            </w:pPr>
            <w:r w:rsidRPr="00A276BA">
              <w:rPr>
                <w:sz w:val="16"/>
                <w:szCs w:val="16"/>
              </w:rPr>
              <w:t>Ghana Ethiopia Tanzani</w:t>
            </w:r>
            <w:r>
              <w:rPr>
                <w:sz w:val="16"/>
                <w:szCs w:val="16"/>
              </w:rPr>
              <w:t>a</w:t>
            </w:r>
            <w:r w:rsidRPr="00A276BA">
              <w:rPr>
                <w:sz w:val="16"/>
                <w:szCs w:val="16"/>
              </w:rPr>
              <w:t xml:space="preserve"> Uganda</w:t>
            </w:r>
          </w:p>
        </w:tc>
        <w:tc>
          <w:tcPr>
            <w:tcW w:w="285" w:type="pct"/>
            <w:shd w:val="clear" w:color="auto" w:fill="auto"/>
            <w:noWrap/>
            <w:vAlign w:val="bottom"/>
            <w:hideMark/>
          </w:tcPr>
          <w:p w14:paraId="6E365D08"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19266FB8" w14:textId="782C242D" w:rsidR="00F24106" w:rsidRPr="00A276BA" w:rsidRDefault="00F24106" w:rsidP="0061013B">
            <w:pPr>
              <w:pStyle w:val="NoSpacing"/>
              <w:jc w:val="center"/>
              <w:rPr>
                <w:sz w:val="16"/>
                <w:szCs w:val="16"/>
              </w:rPr>
            </w:pPr>
            <w:r w:rsidRPr="00A276BA">
              <w:rPr>
                <w:sz w:val="16"/>
                <w:szCs w:val="16"/>
              </w:rPr>
              <w:t>Ghana: low</w:t>
            </w:r>
            <w:r>
              <w:rPr>
                <w:sz w:val="16"/>
                <w:szCs w:val="16"/>
              </w:rPr>
              <w:t xml:space="preserve"> </w:t>
            </w:r>
            <w:r w:rsidRPr="00A276BA">
              <w:rPr>
                <w:sz w:val="16"/>
                <w:szCs w:val="16"/>
              </w:rPr>
              <w:t>income</w:t>
            </w:r>
            <w:r>
              <w:rPr>
                <w:sz w:val="16"/>
                <w:szCs w:val="16"/>
              </w:rPr>
              <w:t xml:space="preserve"> </w:t>
            </w:r>
            <w:r w:rsidRPr="00A276BA">
              <w:rPr>
                <w:sz w:val="16"/>
                <w:szCs w:val="16"/>
              </w:rPr>
              <w:t>Ethiopia: low income Tanzania: low income Uganda: low income</w:t>
            </w:r>
          </w:p>
        </w:tc>
        <w:tc>
          <w:tcPr>
            <w:tcW w:w="367" w:type="pct"/>
            <w:shd w:val="clear" w:color="auto" w:fill="auto"/>
            <w:noWrap/>
            <w:vAlign w:val="bottom"/>
            <w:hideMark/>
          </w:tcPr>
          <w:p w14:paraId="303D3D01" w14:textId="1484F73A" w:rsidR="00F24106" w:rsidRPr="00A276BA" w:rsidRDefault="00F24106" w:rsidP="0061013B">
            <w:pPr>
              <w:pStyle w:val="NoSpacing"/>
              <w:jc w:val="center"/>
              <w:rPr>
                <w:sz w:val="16"/>
                <w:szCs w:val="16"/>
              </w:rPr>
            </w:pPr>
            <w:r w:rsidRPr="00A276BA">
              <w:rPr>
                <w:sz w:val="16"/>
                <w:szCs w:val="16"/>
              </w:rPr>
              <w:t>Ghana: N</w:t>
            </w:r>
            <w:r>
              <w:rPr>
                <w:sz w:val="16"/>
                <w:szCs w:val="16"/>
              </w:rPr>
              <w:t xml:space="preserve"> </w:t>
            </w:r>
            <w:r w:rsidRPr="00A276BA">
              <w:rPr>
                <w:sz w:val="16"/>
                <w:szCs w:val="16"/>
              </w:rPr>
              <w:t>Ethiopia: Y Tanzania: N</w:t>
            </w:r>
            <w:r>
              <w:rPr>
                <w:sz w:val="16"/>
                <w:szCs w:val="16"/>
              </w:rPr>
              <w:t xml:space="preserve"> </w:t>
            </w:r>
            <w:r w:rsidRPr="00A276BA">
              <w:rPr>
                <w:sz w:val="16"/>
                <w:szCs w:val="16"/>
              </w:rPr>
              <w:t>Uganda: N</w:t>
            </w:r>
          </w:p>
        </w:tc>
        <w:tc>
          <w:tcPr>
            <w:tcW w:w="315" w:type="pct"/>
            <w:vAlign w:val="bottom"/>
          </w:tcPr>
          <w:p w14:paraId="0B95AF5B" w14:textId="3E4BDFBF" w:rsidR="00F24106" w:rsidRPr="00A276BA" w:rsidRDefault="00F24106" w:rsidP="0061013B">
            <w:pPr>
              <w:pStyle w:val="NoSpacing"/>
              <w:jc w:val="center"/>
              <w:rPr>
                <w:sz w:val="16"/>
                <w:szCs w:val="16"/>
              </w:rPr>
            </w:pPr>
            <w:r>
              <w:rPr>
                <w:sz w:val="16"/>
                <w:szCs w:val="16"/>
              </w:rPr>
              <w:t>Ghana: rural Ethiopia: mixed Tanzania: rural Uganda: rural</w:t>
            </w:r>
          </w:p>
        </w:tc>
        <w:tc>
          <w:tcPr>
            <w:tcW w:w="316" w:type="pct"/>
            <w:shd w:val="clear" w:color="auto" w:fill="auto"/>
            <w:noWrap/>
            <w:vAlign w:val="bottom"/>
            <w:hideMark/>
          </w:tcPr>
          <w:p w14:paraId="2BD562A2" w14:textId="22AE13CC" w:rsidR="00F24106" w:rsidRPr="00A276BA" w:rsidRDefault="00F24106" w:rsidP="0061013B">
            <w:pPr>
              <w:pStyle w:val="NoSpacing"/>
              <w:jc w:val="center"/>
              <w:rPr>
                <w:sz w:val="16"/>
                <w:szCs w:val="16"/>
              </w:rPr>
            </w:pPr>
            <w:r w:rsidRPr="00A276BA">
              <w:rPr>
                <w:sz w:val="16"/>
                <w:szCs w:val="16"/>
              </w:rPr>
              <w:t>Ghana</w:t>
            </w:r>
            <w:r>
              <w:rPr>
                <w:sz w:val="16"/>
                <w:szCs w:val="16"/>
              </w:rPr>
              <w:t xml:space="preserve">: 145 </w:t>
            </w:r>
            <w:r w:rsidRPr="00A276BA">
              <w:rPr>
                <w:sz w:val="16"/>
                <w:szCs w:val="16"/>
              </w:rPr>
              <w:t>Ethiopia</w:t>
            </w:r>
            <w:r>
              <w:rPr>
                <w:sz w:val="16"/>
                <w:szCs w:val="16"/>
              </w:rPr>
              <w:t xml:space="preserve">: 61 </w:t>
            </w:r>
            <w:r w:rsidRPr="00A276BA">
              <w:rPr>
                <w:sz w:val="16"/>
                <w:szCs w:val="16"/>
              </w:rPr>
              <w:t>Tanzania</w:t>
            </w:r>
            <w:r>
              <w:rPr>
                <w:sz w:val="16"/>
                <w:szCs w:val="16"/>
              </w:rPr>
              <w:t xml:space="preserve">: 38 </w:t>
            </w:r>
            <w:r w:rsidRPr="00A276BA">
              <w:rPr>
                <w:sz w:val="16"/>
                <w:szCs w:val="16"/>
              </w:rPr>
              <w:t>Uganda</w:t>
            </w:r>
            <w:r>
              <w:rPr>
                <w:sz w:val="16"/>
                <w:szCs w:val="16"/>
              </w:rPr>
              <w:t>: 103</w:t>
            </w:r>
          </w:p>
        </w:tc>
        <w:tc>
          <w:tcPr>
            <w:tcW w:w="545" w:type="pct"/>
            <w:shd w:val="clear" w:color="auto" w:fill="auto"/>
            <w:noWrap/>
            <w:vAlign w:val="bottom"/>
            <w:hideMark/>
          </w:tcPr>
          <w:p w14:paraId="3435A423" w14:textId="254F2D73" w:rsidR="00F24106" w:rsidRPr="00A276BA" w:rsidRDefault="00F24106" w:rsidP="0061013B">
            <w:pPr>
              <w:pStyle w:val="NoSpacing"/>
              <w:jc w:val="center"/>
              <w:rPr>
                <w:sz w:val="16"/>
                <w:szCs w:val="16"/>
              </w:rPr>
            </w:pPr>
            <w:r w:rsidRPr="00A276BA">
              <w:rPr>
                <w:sz w:val="16"/>
                <w:szCs w:val="16"/>
              </w:rPr>
              <w:t>WHO verbal autopsy tool - versions varied by site</w:t>
            </w:r>
          </w:p>
        </w:tc>
        <w:tc>
          <w:tcPr>
            <w:tcW w:w="373" w:type="pct"/>
            <w:shd w:val="clear" w:color="auto" w:fill="auto"/>
            <w:noWrap/>
            <w:vAlign w:val="bottom"/>
            <w:hideMark/>
          </w:tcPr>
          <w:p w14:paraId="08E6B0E7"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151D4DC3" w14:textId="77777777" w:rsidR="00F24106" w:rsidRPr="00A276BA" w:rsidRDefault="00F24106" w:rsidP="0061013B">
            <w:pPr>
              <w:pStyle w:val="NoSpacing"/>
              <w:jc w:val="center"/>
              <w:rPr>
                <w:sz w:val="16"/>
                <w:szCs w:val="16"/>
              </w:rPr>
            </w:pPr>
            <w:r w:rsidRPr="00A276BA">
              <w:rPr>
                <w:sz w:val="16"/>
                <w:szCs w:val="16"/>
              </w:rPr>
              <w:t>4a</w:t>
            </w:r>
          </w:p>
        </w:tc>
        <w:tc>
          <w:tcPr>
            <w:tcW w:w="381" w:type="pct"/>
            <w:shd w:val="clear" w:color="auto" w:fill="auto"/>
            <w:noWrap/>
            <w:vAlign w:val="bottom"/>
            <w:hideMark/>
          </w:tcPr>
          <w:p w14:paraId="203CDC07"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59D1B622" w14:textId="77777777" w:rsidR="00F24106" w:rsidRPr="00A276BA" w:rsidRDefault="00F24106" w:rsidP="0061013B">
            <w:pPr>
              <w:pStyle w:val="NoSpacing"/>
              <w:jc w:val="center"/>
              <w:rPr>
                <w:sz w:val="16"/>
                <w:szCs w:val="16"/>
              </w:rPr>
            </w:pPr>
            <w:r w:rsidRPr="00A276BA">
              <w:rPr>
                <w:sz w:val="16"/>
                <w:szCs w:val="16"/>
              </w:rPr>
              <w:t>0.21</w:t>
            </w:r>
          </w:p>
        </w:tc>
      </w:tr>
      <w:tr w:rsidR="00F24106" w:rsidRPr="00A276BA" w14:paraId="772E25B0" w14:textId="77777777" w:rsidTr="0061013B">
        <w:trPr>
          <w:cantSplit/>
          <w:trHeight w:val="255"/>
        </w:trPr>
        <w:tc>
          <w:tcPr>
            <w:tcW w:w="380" w:type="pct"/>
            <w:shd w:val="clear" w:color="auto" w:fill="auto"/>
            <w:noWrap/>
            <w:vAlign w:val="bottom"/>
            <w:hideMark/>
          </w:tcPr>
          <w:p w14:paraId="3F51250A" w14:textId="7869075C" w:rsidR="00F24106" w:rsidRPr="00A276BA" w:rsidRDefault="00F24106" w:rsidP="00BF67EF">
            <w:pPr>
              <w:pStyle w:val="NoSpacing"/>
              <w:rPr>
                <w:sz w:val="16"/>
                <w:szCs w:val="16"/>
              </w:rPr>
            </w:pPr>
            <w:r w:rsidRPr="00A276BA">
              <w:rPr>
                <w:sz w:val="16"/>
                <w:szCs w:val="16"/>
              </w:rPr>
              <w:t xml:space="preserve">Koffi </w:t>
            </w:r>
            <w:r>
              <w:rPr>
                <w:sz w:val="16"/>
                <w:szCs w:val="16"/>
              </w:rPr>
              <w:t xml:space="preserve">2015 </w:t>
            </w:r>
            <w:r>
              <w:rPr>
                <w:sz w:val="16"/>
                <w:szCs w:val="16"/>
              </w:rPr>
              <w:fldChar w:fldCharType="begin" w:fldLock="1"/>
            </w:r>
            <w:r w:rsidR="00876406">
              <w:rPr>
                <w:sz w:val="16"/>
                <w:szCs w:val="16"/>
              </w:rPr>
              <w:instrText>ADDIN CSL_CITATION {"citationItems":[{"id":"ITEM-1","itemData":{"DOI":"10.7189/jogh.05.010413","ISSN":"2047-2978 (Print)","PMID":"26171142","abstract":"BACKGROUND: Reducing preventable medical causes of neonatal death for faster progress toward the MGD4 will require Cameroon to adequately address the social factors contributing to these deaths. The objective of this paper is to explore the social, behavioral and health systems determinants of newborn death in Doume, Nguelemendouka and Abong-Mbang health districts, in Eastern Region of Cameroon, from 2007-2010. METHODS: Data come from the 2012 Verbal/Social Autopsy (VASA) study, which aimed to determine the biological causes and social, behavioral and health systems determinants of under-five deaths in Doume, Nguelemendouka and Abong-Mbang health districts in Eastern Region of Cameroon. The analysis of the data was guided by the review of the coverage of key interventions along the continuum of normal maternal and newborn care and by the description of breakdowns in the care provided for severe neonatal illnesses within the Pathway to Survival conceptual framework. RESULTS: One hundred sixty-four newborn deaths were confirmed from the VASA survey. The majority of the deceased newborns were living in households with poor socio-economic conditions. Most (60-80%) neonates were born to mothers who had one or more pregnancy or labor and delivery complications. Only 23% of the deceased newborns benefited from hygienic cord care after birth. Half received appropriate thermal care and only 6% were breastfed within one hour after birth. Sixty percent of the deaths occurred during the first day of life. Fifty-five percent of the babies were born at home. More than half of the deaths (57%) occurred at home. Of the 64 neonates born at a health facility, about 63% died in the health facility without leaving. Careseeking was delayed for several neonates who became sick after the first week of life and whose illnesses were less serious at the onset until they became more severely ill. Cost, including for transport, health care and other expenses, emerged as main barriers to formal care-seeking both for the mothers and their newborns. CONCLUSIONS: This study presents an opportunity to strengthen maternal and newborn health by increasing the coverage of essential and low cost interventions that could have saved the lives of many newborns in eastern Cameroon.","author":[{"dropping-particle":"","family":"Koffi","given":"Alain K","non-dropping-particle":"","parse-names":false,"suffix":""},{"dropping-particle":"","family":"Libite","given":"Paul-Roger","non-dropping-particle":"","parse-names":false,"suffix":""},{"dropping-particle":"","family":"Moluh","given":"Seidou","non-dropping-particle":"","parse-names":false,"suffix":""},{"dropping-particle":"","family":"Wounang","given":"Romain","non-dropping-particle":"","parse-names":false,"suffix":""},{"dropping-particle":"","family":"Kalter","given":"Henry D","non-dropping-particle":"","parse-names":false,"suffix":""}],"container-title":"Journal of global health","id":"ITEM-1","issue":"1","issued":{"date-parts":[["2015","6"]]},"language":"eng","page":"10413","publisher-place":"Scotland","title":"Social autopsy study identifies determinants of neonatal mortality in Doume, Nguelemendouka and Abong-Mbang health districts, Eastern Region of Cameroon.","type":"article-journal","volume":"5"},"uris":["http://www.mendeley.com/documents/?uuid=2f2bf549-8908-44db-bfaa-2eaf0c3348ca"]}],"mendeley":{"formattedCitation":"(24)","manualFormatting":"[24","plainTextFormattedCitation":"(24)","previouslyFormattedCitation":"(24)"},"properties":{"noteIndex":0},"schema":"https://github.com/citation-style-language/schema/raw/master/csl-citation.json"}</w:instrText>
            </w:r>
            <w:r>
              <w:rPr>
                <w:sz w:val="16"/>
                <w:szCs w:val="16"/>
              </w:rPr>
              <w:fldChar w:fldCharType="separate"/>
            </w:r>
            <w:r w:rsidR="00B62EF6">
              <w:rPr>
                <w:noProof/>
                <w:sz w:val="16"/>
                <w:szCs w:val="16"/>
              </w:rPr>
              <w:t>[</w:t>
            </w:r>
            <w:r w:rsidR="00303FFB" w:rsidRPr="00303FFB">
              <w:rPr>
                <w:noProof/>
                <w:sz w:val="16"/>
                <w:szCs w:val="16"/>
              </w:rPr>
              <w:t>24</w:t>
            </w:r>
            <w:r>
              <w:rPr>
                <w:sz w:val="16"/>
                <w:szCs w:val="16"/>
              </w:rPr>
              <w:fldChar w:fldCharType="end"/>
            </w:r>
            <w:r w:rsidR="00B62EF6">
              <w:rPr>
                <w:sz w:val="16"/>
                <w:szCs w:val="16"/>
              </w:rPr>
              <w:t>]</w:t>
            </w:r>
          </w:p>
        </w:tc>
        <w:tc>
          <w:tcPr>
            <w:tcW w:w="348" w:type="pct"/>
            <w:shd w:val="clear" w:color="auto" w:fill="auto"/>
            <w:noWrap/>
            <w:vAlign w:val="bottom"/>
            <w:hideMark/>
          </w:tcPr>
          <w:p w14:paraId="2706CB13" w14:textId="77777777" w:rsidR="00F24106" w:rsidRPr="00A276BA" w:rsidRDefault="00F24106" w:rsidP="0061013B">
            <w:pPr>
              <w:pStyle w:val="NoSpacing"/>
              <w:jc w:val="center"/>
              <w:rPr>
                <w:sz w:val="16"/>
                <w:szCs w:val="16"/>
              </w:rPr>
            </w:pPr>
            <w:r w:rsidRPr="00A276BA">
              <w:rPr>
                <w:sz w:val="16"/>
                <w:szCs w:val="16"/>
              </w:rPr>
              <w:t>2012</w:t>
            </w:r>
          </w:p>
        </w:tc>
        <w:tc>
          <w:tcPr>
            <w:tcW w:w="316" w:type="pct"/>
            <w:shd w:val="clear" w:color="auto" w:fill="auto"/>
            <w:noWrap/>
            <w:vAlign w:val="bottom"/>
            <w:hideMark/>
          </w:tcPr>
          <w:p w14:paraId="4AA95498" w14:textId="77777777" w:rsidR="00F24106" w:rsidRPr="00A276BA" w:rsidRDefault="00F24106" w:rsidP="0061013B">
            <w:pPr>
              <w:pStyle w:val="NoSpacing"/>
              <w:jc w:val="center"/>
              <w:rPr>
                <w:sz w:val="16"/>
                <w:szCs w:val="16"/>
              </w:rPr>
            </w:pPr>
            <w:r w:rsidRPr="00A276BA">
              <w:rPr>
                <w:sz w:val="16"/>
                <w:szCs w:val="16"/>
              </w:rPr>
              <w:t>Cameroon</w:t>
            </w:r>
          </w:p>
        </w:tc>
        <w:tc>
          <w:tcPr>
            <w:tcW w:w="285" w:type="pct"/>
            <w:shd w:val="clear" w:color="auto" w:fill="auto"/>
            <w:noWrap/>
            <w:vAlign w:val="bottom"/>
            <w:hideMark/>
          </w:tcPr>
          <w:p w14:paraId="5D1F2A00"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0F9B3997" w14:textId="77777777" w:rsidR="00F24106" w:rsidRPr="00A276BA" w:rsidRDefault="00F24106" w:rsidP="0061013B">
            <w:pPr>
              <w:pStyle w:val="NoSpacing"/>
              <w:jc w:val="center"/>
              <w:rPr>
                <w:sz w:val="16"/>
                <w:szCs w:val="16"/>
              </w:rPr>
            </w:pPr>
            <w:r w:rsidRPr="00A276BA">
              <w:rPr>
                <w:sz w:val="16"/>
                <w:szCs w:val="16"/>
              </w:rPr>
              <w:t>Lower middle income</w:t>
            </w:r>
          </w:p>
        </w:tc>
        <w:tc>
          <w:tcPr>
            <w:tcW w:w="367" w:type="pct"/>
            <w:shd w:val="clear" w:color="auto" w:fill="auto"/>
            <w:noWrap/>
            <w:vAlign w:val="bottom"/>
            <w:hideMark/>
          </w:tcPr>
          <w:p w14:paraId="50FD056F"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15C65A47"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75821F4B" w14:textId="77777777" w:rsidR="00F24106" w:rsidRPr="00A276BA" w:rsidRDefault="00F24106" w:rsidP="0061013B">
            <w:pPr>
              <w:pStyle w:val="NoSpacing"/>
              <w:jc w:val="center"/>
              <w:rPr>
                <w:sz w:val="16"/>
                <w:szCs w:val="16"/>
              </w:rPr>
            </w:pPr>
            <w:r w:rsidRPr="00A276BA">
              <w:rPr>
                <w:sz w:val="16"/>
                <w:szCs w:val="16"/>
              </w:rPr>
              <w:t>164</w:t>
            </w:r>
          </w:p>
        </w:tc>
        <w:tc>
          <w:tcPr>
            <w:tcW w:w="545" w:type="pct"/>
            <w:shd w:val="clear" w:color="auto" w:fill="auto"/>
            <w:noWrap/>
            <w:vAlign w:val="bottom"/>
            <w:hideMark/>
          </w:tcPr>
          <w:p w14:paraId="1BF787B8"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021E60E9" w14:textId="77777777" w:rsidR="00F24106" w:rsidRPr="00A276BA" w:rsidRDefault="00F24106" w:rsidP="0061013B">
            <w:pPr>
              <w:pStyle w:val="NoSpacing"/>
              <w:jc w:val="center"/>
              <w:rPr>
                <w:sz w:val="16"/>
                <w:szCs w:val="16"/>
              </w:rPr>
            </w:pPr>
            <w:r w:rsidRPr="00A276BA">
              <w:rPr>
                <w:sz w:val="16"/>
                <w:szCs w:val="16"/>
              </w:rPr>
              <w:t>4 years</w:t>
            </w:r>
          </w:p>
        </w:tc>
        <w:tc>
          <w:tcPr>
            <w:tcW w:w="759" w:type="pct"/>
            <w:shd w:val="clear" w:color="auto" w:fill="auto"/>
            <w:noWrap/>
            <w:vAlign w:val="bottom"/>
            <w:hideMark/>
          </w:tcPr>
          <w:p w14:paraId="62786D8F"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410FF984"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1CE42362"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2F884295" w14:textId="77777777" w:rsidTr="0061013B">
        <w:trPr>
          <w:cantSplit/>
          <w:trHeight w:val="255"/>
        </w:trPr>
        <w:tc>
          <w:tcPr>
            <w:tcW w:w="380" w:type="pct"/>
            <w:shd w:val="clear" w:color="auto" w:fill="auto"/>
            <w:noWrap/>
            <w:vAlign w:val="bottom"/>
            <w:hideMark/>
          </w:tcPr>
          <w:p w14:paraId="4068CEE4" w14:textId="2C3E736A" w:rsidR="00F24106" w:rsidRPr="00A276BA" w:rsidRDefault="00F24106" w:rsidP="00BF67EF">
            <w:pPr>
              <w:pStyle w:val="NoSpacing"/>
              <w:rPr>
                <w:sz w:val="16"/>
                <w:szCs w:val="16"/>
              </w:rPr>
            </w:pPr>
            <w:r w:rsidRPr="00A276BA">
              <w:rPr>
                <w:sz w:val="16"/>
                <w:szCs w:val="16"/>
              </w:rPr>
              <w:t xml:space="preserve">Koffi </w:t>
            </w:r>
            <w:r>
              <w:rPr>
                <w:sz w:val="16"/>
                <w:szCs w:val="16"/>
              </w:rPr>
              <w:t xml:space="preserve">2015 </w:t>
            </w:r>
            <w:r>
              <w:rPr>
                <w:sz w:val="16"/>
                <w:szCs w:val="16"/>
              </w:rPr>
              <w:fldChar w:fldCharType="begin" w:fldLock="1"/>
            </w:r>
            <w:r w:rsidR="00166DD4">
              <w:rPr>
                <w:sz w:val="16"/>
                <w:szCs w:val="16"/>
              </w:rPr>
              <w:instrText>ADDIN CSL_CITATION {"citationItems":[{"id":"ITEM-1","itemData":{"DOI":"10.7189/jogh.05.010416","ISSN":"2047-2986 (Electronic)","PMID":"27698997","abstract":"RESULTS: A total of 320 neonatal deaths were confirmed from the VASA survey. While one antenatal care (ANC) visit was high at 94%, the recommended four ANC visits was much lower at 41% and just 17% of the mothers had their urines tested during the pregnancy. 173 (54%) mothers of the deceased newborns had at least one labor/delivery complication that began at home. The caregivers of 65% (n=75) of the 180 newborns that were born at home or born and left a health facility alive perceived them to be severely ill at the onset of their illness, yet only 44% (n=80) attempted and 36% (n=65)could reach the first health provider after an average of 91 minutes travel time. Distance, lack of transport and cost emerged as the most important constraints to formal care-seeking during delivery and during the newborn fatal illness., BACKGROUND: The Every Newborn Action Plan calls for reducing the neonatal mortality rates to fewer than 10 deaths per 1000 live births in all countries by 2035. The current study aims to increase our understanding of the social and modifiable factors that can be addressed or reinforced to improve and accelerate the decline in neonatal mortality in Malawi., METHODS: The data come from the 2013 Verbal and Social Autopsy (VASA) study that collected data in order to describe the biological causes and the social determinants of deaths of children under 5 years of age in Balaka and Salima districts of Malawi. This paper analyses the social autopsy data of the neonatal deaths and presents results of a review of the coverage of key interventions along the continuum of normal maternal and newborn care and the description of breakdowns in the care provided for neonatal illnesses within the Pathway to Survival framework., CONCLUSIONS: This study suggests that maternal and neonatal health organizations and the local government of Malawi should increase the demand for key maternal and child health interventions, including the recommended 4 ANC visits, and ensure urine screening for all pregnant women. Early recognition and referrals of women with obstetric complications and interventions to promote maternal recognition of neonatal illnesses and care-seeking before the child becomes severely ill are also needed to improve newborn survival in Balaka and Salima districts of Malawi.","author":[{"dropping-particle":"","family":"Koffi","given":"Alain K","non-dropping-particle":"","parse-names":false,"suffix":""},{"dropping-particle":"","family":"Mleme","given":"Tiope","non-dropping-particle":"","parse-names":false,"suffix":""},{"dropping-particle":"","family":"Nsona","given":"Humphreys","non-dropping-particle":"","parse-names":false,"suffix":""},{"dropping-particle":"","family":"Banda","given":"Benjamin","non-dropping-particle":"","parse-names":false,"suffix":""},{"dropping-particle":"","family":"Amouzou","given":"Agbessi","non-dropping-particle":"","parse-names":false,"suffix":""},{"dropping-particle":"","family":"Kalter","given":"Henry D","non-dropping-particle":"","parse-names":false,"suffix":""},{"dropping-particle":"","family":"A.K.","given":"Koffi","non-dropping-particle":"","parse-names":false,"suffix":""},{"dropping-particle":"","family":"T.","given":"Mleme","non-dropping-particle":"","parse-names":false,"suffix":""},{"dropping-particle":"","family":"H.","given":"Nsona","non-dropping-particle":"","parse-names":false,"suffix":""},{"dropping-particle":"","family":"B.","given":"Banda","non-dropping-particle":"","parse-names":false,"suffix":""},{"dropping-particle":"","family":"A.","given":"Amouzou","non-dropping-particle":"","parse-names":false,"suffix":""}],"container-title":"Journal of global health","id":"ITEM-1","issue":"1","issued":{"date-parts":[["2015","6"]]},"language":"eng","page":"10416","publisher-place":"United Kingdom, Scotland","title":"Social autopsy of neonatal mortality suggests needed improvements in maternal and neonatal interventions in Balaka and Salima districts of Malawi","type":"article-journal","volume":"5"},"uris":["http://www.mendeley.com/documents/?uuid=1f72b3bd-192f-45ca-b807-3b8f0ab7ce0c"]}],"mendeley":{"formattedCitation":"(55)","manualFormatting":"[54","plainTextFormattedCitation":"(55)","previouslyFormattedCitation":"(55)"},"properties":{"noteIndex":0},"schema":"https://github.com/citation-style-language/schema/raw/master/csl-citation.json"}</w:instrText>
            </w:r>
            <w:r>
              <w:rPr>
                <w:sz w:val="16"/>
                <w:szCs w:val="16"/>
              </w:rPr>
              <w:fldChar w:fldCharType="separate"/>
            </w:r>
            <w:r w:rsidR="00B62EF6">
              <w:rPr>
                <w:noProof/>
                <w:sz w:val="16"/>
                <w:szCs w:val="16"/>
              </w:rPr>
              <w:t>[</w:t>
            </w:r>
            <w:r w:rsidR="00303FFB" w:rsidRPr="00303FFB">
              <w:rPr>
                <w:noProof/>
                <w:sz w:val="16"/>
                <w:szCs w:val="16"/>
              </w:rPr>
              <w:t>54</w:t>
            </w:r>
            <w:r>
              <w:rPr>
                <w:sz w:val="16"/>
                <w:szCs w:val="16"/>
              </w:rPr>
              <w:fldChar w:fldCharType="end"/>
            </w:r>
            <w:r w:rsidR="00B62EF6">
              <w:rPr>
                <w:sz w:val="16"/>
                <w:szCs w:val="16"/>
              </w:rPr>
              <w:t>]</w:t>
            </w:r>
          </w:p>
        </w:tc>
        <w:tc>
          <w:tcPr>
            <w:tcW w:w="348" w:type="pct"/>
            <w:shd w:val="clear" w:color="auto" w:fill="auto"/>
            <w:noWrap/>
            <w:vAlign w:val="bottom"/>
            <w:hideMark/>
          </w:tcPr>
          <w:p w14:paraId="0FD5E7B5" w14:textId="77777777" w:rsidR="00F24106" w:rsidRPr="00A276BA" w:rsidRDefault="00F24106" w:rsidP="0061013B">
            <w:pPr>
              <w:pStyle w:val="NoSpacing"/>
              <w:jc w:val="center"/>
              <w:rPr>
                <w:sz w:val="16"/>
                <w:szCs w:val="16"/>
              </w:rPr>
            </w:pPr>
            <w:r w:rsidRPr="00A276BA">
              <w:rPr>
                <w:sz w:val="16"/>
                <w:szCs w:val="16"/>
              </w:rPr>
              <w:t>2013</w:t>
            </w:r>
          </w:p>
        </w:tc>
        <w:tc>
          <w:tcPr>
            <w:tcW w:w="316" w:type="pct"/>
            <w:shd w:val="clear" w:color="auto" w:fill="auto"/>
            <w:noWrap/>
            <w:vAlign w:val="bottom"/>
            <w:hideMark/>
          </w:tcPr>
          <w:p w14:paraId="1C26CD4B" w14:textId="77777777" w:rsidR="00F24106" w:rsidRPr="00A276BA" w:rsidRDefault="00F24106" w:rsidP="0061013B">
            <w:pPr>
              <w:pStyle w:val="NoSpacing"/>
              <w:jc w:val="center"/>
              <w:rPr>
                <w:sz w:val="16"/>
                <w:szCs w:val="16"/>
              </w:rPr>
            </w:pPr>
            <w:r w:rsidRPr="00A276BA">
              <w:rPr>
                <w:sz w:val="16"/>
                <w:szCs w:val="16"/>
              </w:rPr>
              <w:t>Malawi</w:t>
            </w:r>
          </w:p>
        </w:tc>
        <w:tc>
          <w:tcPr>
            <w:tcW w:w="285" w:type="pct"/>
            <w:shd w:val="clear" w:color="auto" w:fill="auto"/>
            <w:noWrap/>
            <w:vAlign w:val="bottom"/>
            <w:hideMark/>
          </w:tcPr>
          <w:p w14:paraId="179E751D"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34FF9C39"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4D190382"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53A87308"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0051EDD3" w14:textId="77777777" w:rsidR="00F24106" w:rsidRPr="00A276BA" w:rsidRDefault="00F24106" w:rsidP="0061013B">
            <w:pPr>
              <w:pStyle w:val="NoSpacing"/>
              <w:jc w:val="center"/>
              <w:rPr>
                <w:sz w:val="16"/>
                <w:szCs w:val="16"/>
              </w:rPr>
            </w:pPr>
            <w:r w:rsidRPr="00A276BA">
              <w:rPr>
                <w:sz w:val="16"/>
                <w:szCs w:val="16"/>
              </w:rPr>
              <w:t>380</w:t>
            </w:r>
          </w:p>
        </w:tc>
        <w:tc>
          <w:tcPr>
            <w:tcW w:w="545" w:type="pct"/>
            <w:shd w:val="clear" w:color="auto" w:fill="auto"/>
            <w:noWrap/>
            <w:vAlign w:val="bottom"/>
            <w:hideMark/>
          </w:tcPr>
          <w:p w14:paraId="621D6B0D"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1DA0C2CB" w14:textId="77777777" w:rsidR="00F24106" w:rsidRPr="00A276BA" w:rsidRDefault="00F24106" w:rsidP="0061013B">
            <w:pPr>
              <w:pStyle w:val="NoSpacing"/>
              <w:jc w:val="center"/>
              <w:rPr>
                <w:sz w:val="16"/>
                <w:szCs w:val="16"/>
              </w:rPr>
            </w:pPr>
            <w:r w:rsidRPr="00A276BA">
              <w:rPr>
                <w:sz w:val="16"/>
                <w:szCs w:val="16"/>
              </w:rPr>
              <w:t>4 years</w:t>
            </w:r>
          </w:p>
        </w:tc>
        <w:tc>
          <w:tcPr>
            <w:tcW w:w="759" w:type="pct"/>
            <w:shd w:val="clear" w:color="auto" w:fill="auto"/>
            <w:noWrap/>
            <w:vAlign w:val="bottom"/>
            <w:hideMark/>
          </w:tcPr>
          <w:p w14:paraId="3B5DAB48"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1380B237"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4B419F47"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5F4F27E4" w14:textId="77777777" w:rsidTr="0061013B">
        <w:trPr>
          <w:cantSplit/>
          <w:trHeight w:val="255"/>
        </w:trPr>
        <w:tc>
          <w:tcPr>
            <w:tcW w:w="380" w:type="pct"/>
            <w:shd w:val="clear" w:color="auto" w:fill="auto"/>
            <w:noWrap/>
            <w:vAlign w:val="bottom"/>
            <w:hideMark/>
          </w:tcPr>
          <w:p w14:paraId="196F152A" w14:textId="437F7BD3" w:rsidR="00F24106" w:rsidRPr="00A276BA" w:rsidRDefault="00F24106" w:rsidP="00BF67EF">
            <w:pPr>
              <w:pStyle w:val="NoSpacing"/>
              <w:rPr>
                <w:sz w:val="16"/>
                <w:szCs w:val="16"/>
              </w:rPr>
            </w:pPr>
            <w:r w:rsidRPr="00A276BA">
              <w:rPr>
                <w:sz w:val="16"/>
                <w:szCs w:val="16"/>
              </w:rPr>
              <w:t xml:space="preserve">Assefa </w:t>
            </w:r>
            <w:r>
              <w:rPr>
                <w:sz w:val="16"/>
                <w:szCs w:val="16"/>
              </w:rPr>
              <w:t xml:space="preserve">2016 </w:t>
            </w:r>
            <w:r>
              <w:rPr>
                <w:sz w:val="16"/>
                <w:szCs w:val="16"/>
              </w:rPr>
              <w:fldChar w:fldCharType="begin" w:fldLock="1"/>
            </w:r>
            <w:r w:rsidR="00876406">
              <w:rPr>
                <w:sz w:val="16"/>
                <w:szCs w:val="16"/>
              </w:rPr>
              <w:instrText>ADDIN CSL_CITATION {"citationItems":[{"id":"ITEM-1","itemData":{"DOI":"10.1186/s40748-016-0035-8","ISSN":"2054-958X (Print)","PMID":"27437118","abstract":"BACKGROUND: In the world, Neonatal mortality accounts for 40 % of death of children under the age of 5 years. Majority of neonatal deaths occur in developing countries outside of formal health system, among which death in the first hour of first day of their life constitute the huge bulk. This analysis is intended to estimate neonatal mortality rates and identify the leading causes of death based on the surveillance data over 6 years period in Kersa health and demographic surveillance system (Kersa HDSS) site, Eastern Ethiopia. METHODS: Kersa HDSS is an open dynamic cohort of population established in 2007. The surveillance started after conducting a baseline census followed by population update and events registration on house-to-house visits every 6 months. Data were collected using verbal autopsy (VA) questionnaire from close relatives (usually mothers in this case) and causes of deaths were assigned by 2 to 3 physicians. This analysis was done based on 301 neonatal deaths and 10,934 live births occurred during 2008 to 2013. RESULTS: The overall neonatal death rate during the study period was 27.5 per 1000 live births. Nearly all neonatal deaths (94 %) occurred at home. More than four-fifth (82.4 %) of the deaths was occurred in the first week of life. More than 80 % of the deaths were due to perinatal causes. Bacterial sepsis of the newborn accounted for 31.2 % followed by birth asphyxia and perinatal respiratory disorder (28.2 %), and prematurity (17.3 %). Higher number of death was observed in Tolla and Bereka sub-districts located at the southern parts of the study site which are away from the main road network. CONCLUSION: The overall neonatal mortality over 6 years is the same to the national average (27 per 1000 live births). The leading causes of neonatal death were bacterial sepsis of newborn and birth asphyxia. Community-based skilled health care delivery during birth should be emphasized.","author":[{"dropping-particle":"","family":"Assefa","given":"Nega","non-dropping-particle":"","parse-names":false,"suffix":""},{"dropping-particle":"","family":"Lakew","given":"Yihune","non-dropping-particle":"","parse-names":false,"suffix":""},{"dropping-particle":"","family":"Belay","given":"Betelhem","non-dropping-particle":"","parse-names":false,"suffix":""},{"dropping-particle":"","family":"Kedir","given":"Haji","non-dropping-particle":"","parse-names":false,"suffix":""},{"dropping-particle":"","family":"Zelalem","given":"Desalew","non-dropping-particle":"","parse-names":false,"suffix":""},{"dropping-particle":"","family":"Baraki","given":"Negga","non-dropping-particle":"","parse-names":false,"suffix":""},{"dropping-particle":"","family":"Damena","given":"Melake","non-dropping-particle":"","parse-names":false,"suffix":""},{"dropping-particle":"","family":"Oljira","given":"Lemessa","non-dropping-particle":"","parse-names":false,"suffix":""},{"dropping-particle":"","family":"Ashenafi","given":"Wondimye","non-dropping-particle":"","parse-names":false,"suffix":""},{"dropping-particle":"","family":"Dedefo","given":"Melkamu","non-dropping-particle":"","parse-names":false,"suffix":""}],"container-title":"Maternal health, neonatology and perinatology","id":"ITEM-1","issued":{"date-parts":[["2016"]]},"language":"eng","page":"7","publisher-place":"England","title":"Neonatal mortality and causes of death in Kersa Health and Demographic Surveillance System (Kersa HDSS), Ethiopia, 2008-2013.","type":"article-journal","volume":"2"},"uris":["http://www.mendeley.com/documents/?uuid=0b2d7e64-bdf5-4dea-bad2-56e93adeaee4"]}],"mendeley":{"formattedCitation":"(18)","manualFormatting":"[18","plainTextFormattedCitation":"(18)","previouslyFormattedCitation":"(18)"},"properties":{"noteIndex":0},"schema":"https://github.com/citation-style-language/schema/raw/master/csl-citation.json"}</w:instrText>
            </w:r>
            <w:r>
              <w:rPr>
                <w:sz w:val="16"/>
                <w:szCs w:val="16"/>
              </w:rPr>
              <w:fldChar w:fldCharType="separate"/>
            </w:r>
            <w:r w:rsidR="00B62EF6">
              <w:rPr>
                <w:noProof/>
                <w:sz w:val="16"/>
                <w:szCs w:val="16"/>
              </w:rPr>
              <w:t>[</w:t>
            </w:r>
            <w:r w:rsidR="00303FFB" w:rsidRPr="00303FFB">
              <w:rPr>
                <w:noProof/>
                <w:sz w:val="16"/>
                <w:szCs w:val="16"/>
              </w:rPr>
              <w:t>18</w:t>
            </w:r>
            <w:r>
              <w:rPr>
                <w:sz w:val="16"/>
                <w:szCs w:val="16"/>
              </w:rPr>
              <w:fldChar w:fldCharType="end"/>
            </w:r>
            <w:r w:rsidR="00B62EF6">
              <w:rPr>
                <w:sz w:val="16"/>
                <w:szCs w:val="16"/>
              </w:rPr>
              <w:t>]</w:t>
            </w:r>
          </w:p>
        </w:tc>
        <w:tc>
          <w:tcPr>
            <w:tcW w:w="348" w:type="pct"/>
            <w:shd w:val="clear" w:color="FFFFFF" w:fill="FFFFFF"/>
            <w:noWrap/>
            <w:vAlign w:val="bottom"/>
            <w:hideMark/>
          </w:tcPr>
          <w:p w14:paraId="558BA73A" w14:textId="77777777" w:rsidR="00F24106" w:rsidRPr="00A276BA" w:rsidRDefault="00F24106" w:rsidP="0061013B">
            <w:pPr>
              <w:pStyle w:val="NoSpacing"/>
              <w:jc w:val="center"/>
              <w:rPr>
                <w:sz w:val="16"/>
                <w:szCs w:val="16"/>
              </w:rPr>
            </w:pPr>
            <w:r w:rsidRPr="00A276BA">
              <w:rPr>
                <w:sz w:val="16"/>
                <w:szCs w:val="16"/>
              </w:rPr>
              <w:t>2008-2013</w:t>
            </w:r>
          </w:p>
        </w:tc>
        <w:tc>
          <w:tcPr>
            <w:tcW w:w="316" w:type="pct"/>
            <w:shd w:val="clear" w:color="FFFFFF" w:fill="FFFFFF"/>
            <w:noWrap/>
            <w:vAlign w:val="bottom"/>
            <w:hideMark/>
          </w:tcPr>
          <w:p w14:paraId="699B3409" w14:textId="77777777" w:rsidR="00F24106" w:rsidRPr="00A276BA" w:rsidRDefault="00F24106" w:rsidP="0061013B">
            <w:pPr>
              <w:pStyle w:val="NoSpacing"/>
              <w:jc w:val="center"/>
              <w:rPr>
                <w:sz w:val="16"/>
                <w:szCs w:val="16"/>
              </w:rPr>
            </w:pPr>
            <w:r w:rsidRPr="00A276BA">
              <w:rPr>
                <w:sz w:val="16"/>
                <w:szCs w:val="16"/>
              </w:rPr>
              <w:t>Ethiopia</w:t>
            </w:r>
          </w:p>
        </w:tc>
        <w:tc>
          <w:tcPr>
            <w:tcW w:w="285" w:type="pct"/>
            <w:shd w:val="clear" w:color="FFFFFF" w:fill="FFFFFF"/>
            <w:noWrap/>
            <w:vAlign w:val="bottom"/>
            <w:hideMark/>
          </w:tcPr>
          <w:p w14:paraId="0228208E"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FFFFFF" w:fill="FFFFFF"/>
            <w:noWrap/>
            <w:vAlign w:val="bottom"/>
            <w:hideMark/>
          </w:tcPr>
          <w:p w14:paraId="58758E8C"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FFFFFF" w:fill="FFFFFF"/>
            <w:noWrap/>
            <w:vAlign w:val="bottom"/>
            <w:hideMark/>
          </w:tcPr>
          <w:p w14:paraId="30EA7C16" w14:textId="77777777" w:rsidR="00F24106" w:rsidRPr="00A276BA" w:rsidRDefault="00F24106" w:rsidP="0061013B">
            <w:pPr>
              <w:pStyle w:val="NoSpacing"/>
              <w:jc w:val="center"/>
              <w:rPr>
                <w:sz w:val="16"/>
                <w:szCs w:val="16"/>
              </w:rPr>
            </w:pPr>
            <w:r w:rsidRPr="00A276BA">
              <w:rPr>
                <w:sz w:val="16"/>
                <w:szCs w:val="16"/>
              </w:rPr>
              <w:t>Y</w:t>
            </w:r>
          </w:p>
        </w:tc>
        <w:tc>
          <w:tcPr>
            <w:tcW w:w="315" w:type="pct"/>
            <w:shd w:val="clear" w:color="FFFFFF" w:fill="FFFFFF"/>
            <w:vAlign w:val="bottom"/>
          </w:tcPr>
          <w:p w14:paraId="2EA71FB3" w14:textId="77777777" w:rsidR="00F24106" w:rsidRPr="00A276BA" w:rsidRDefault="00F24106" w:rsidP="0061013B">
            <w:pPr>
              <w:pStyle w:val="NoSpacing"/>
              <w:jc w:val="center"/>
              <w:rPr>
                <w:sz w:val="16"/>
                <w:szCs w:val="16"/>
              </w:rPr>
            </w:pPr>
            <w:r>
              <w:rPr>
                <w:sz w:val="16"/>
                <w:szCs w:val="16"/>
              </w:rPr>
              <w:t>Mixed</w:t>
            </w:r>
          </w:p>
        </w:tc>
        <w:tc>
          <w:tcPr>
            <w:tcW w:w="316" w:type="pct"/>
            <w:shd w:val="clear" w:color="FFFFFF" w:fill="FFFFFF"/>
            <w:noWrap/>
            <w:vAlign w:val="bottom"/>
            <w:hideMark/>
          </w:tcPr>
          <w:p w14:paraId="5C77E959" w14:textId="77777777" w:rsidR="00F24106" w:rsidRPr="00A276BA" w:rsidRDefault="00F24106" w:rsidP="0061013B">
            <w:pPr>
              <w:pStyle w:val="NoSpacing"/>
              <w:jc w:val="center"/>
              <w:rPr>
                <w:sz w:val="16"/>
                <w:szCs w:val="16"/>
              </w:rPr>
            </w:pPr>
            <w:r w:rsidRPr="00A276BA">
              <w:rPr>
                <w:sz w:val="16"/>
                <w:szCs w:val="16"/>
              </w:rPr>
              <w:t>301</w:t>
            </w:r>
          </w:p>
        </w:tc>
        <w:tc>
          <w:tcPr>
            <w:tcW w:w="545" w:type="pct"/>
            <w:shd w:val="clear" w:color="FFFFFF" w:fill="FFFFFF"/>
            <w:noWrap/>
            <w:vAlign w:val="bottom"/>
            <w:hideMark/>
          </w:tcPr>
          <w:p w14:paraId="7F3FD491" w14:textId="77777777" w:rsidR="00F24106" w:rsidRPr="00A276BA" w:rsidRDefault="00F24106" w:rsidP="0061013B">
            <w:pPr>
              <w:pStyle w:val="NoSpacing"/>
              <w:jc w:val="center"/>
              <w:rPr>
                <w:sz w:val="16"/>
                <w:szCs w:val="16"/>
              </w:rPr>
            </w:pPr>
            <w:r w:rsidRPr="00A276BA">
              <w:rPr>
                <w:sz w:val="16"/>
                <w:szCs w:val="16"/>
              </w:rPr>
              <w:t>WHO VA 2007</w:t>
            </w:r>
          </w:p>
        </w:tc>
        <w:tc>
          <w:tcPr>
            <w:tcW w:w="373" w:type="pct"/>
            <w:shd w:val="clear" w:color="FFFFFF" w:fill="FFFFFF"/>
            <w:noWrap/>
            <w:vAlign w:val="bottom"/>
            <w:hideMark/>
          </w:tcPr>
          <w:p w14:paraId="4ECACBB1" w14:textId="77777777" w:rsidR="00F24106" w:rsidRPr="00A276BA" w:rsidRDefault="00F24106" w:rsidP="0061013B">
            <w:pPr>
              <w:pStyle w:val="NoSpacing"/>
              <w:jc w:val="center"/>
              <w:rPr>
                <w:sz w:val="16"/>
                <w:szCs w:val="16"/>
              </w:rPr>
            </w:pPr>
            <w:r w:rsidRPr="00A276BA">
              <w:rPr>
                <w:sz w:val="16"/>
                <w:szCs w:val="16"/>
              </w:rPr>
              <w:t>1-3 months</w:t>
            </w:r>
          </w:p>
        </w:tc>
        <w:tc>
          <w:tcPr>
            <w:tcW w:w="759" w:type="pct"/>
            <w:shd w:val="clear" w:color="FFFFFF" w:fill="FFFFFF"/>
            <w:noWrap/>
            <w:vAlign w:val="bottom"/>
            <w:hideMark/>
          </w:tcPr>
          <w:p w14:paraId="54F51972" w14:textId="77777777" w:rsidR="00F24106" w:rsidRPr="00A276BA" w:rsidRDefault="00F24106" w:rsidP="0061013B">
            <w:pPr>
              <w:pStyle w:val="NoSpacing"/>
              <w:jc w:val="center"/>
              <w:rPr>
                <w:sz w:val="16"/>
                <w:szCs w:val="16"/>
              </w:rPr>
            </w:pPr>
            <w:r w:rsidRPr="00A276BA">
              <w:rPr>
                <w:sz w:val="16"/>
                <w:szCs w:val="16"/>
              </w:rPr>
              <w:t>7</w:t>
            </w:r>
          </w:p>
        </w:tc>
        <w:tc>
          <w:tcPr>
            <w:tcW w:w="381" w:type="pct"/>
            <w:shd w:val="clear" w:color="FFFFFF" w:fill="FFFFFF"/>
            <w:noWrap/>
            <w:vAlign w:val="bottom"/>
            <w:hideMark/>
          </w:tcPr>
          <w:p w14:paraId="59DE0394"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FFFFFF" w:fill="FFFFFF"/>
            <w:noWrap/>
            <w:vAlign w:val="bottom"/>
            <w:hideMark/>
          </w:tcPr>
          <w:p w14:paraId="353C2473"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5315A0AF" w14:textId="77777777" w:rsidTr="0061013B">
        <w:trPr>
          <w:cantSplit/>
          <w:trHeight w:val="255"/>
        </w:trPr>
        <w:tc>
          <w:tcPr>
            <w:tcW w:w="380" w:type="pct"/>
            <w:shd w:val="clear" w:color="auto" w:fill="auto"/>
            <w:noWrap/>
            <w:vAlign w:val="bottom"/>
            <w:hideMark/>
          </w:tcPr>
          <w:p w14:paraId="7ABA470B" w14:textId="7534E2DF" w:rsidR="00F24106" w:rsidRPr="00A276BA" w:rsidRDefault="00F24106" w:rsidP="00BF67EF">
            <w:pPr>
              <w:pStyle w:val="NoSpacing"/>
              <w:rPr>
                <w:sz w:val="16"/>
                <w:szCs w:val="16"/>
              </w:rPr>
            </w:pPr>
            <w:r w:rsidRPr="00A276BA">
              <w:rPr>
                <w:sz w:val="16"/>
                <w:szCs w:val="16"/>
              </w:rPr>
              <w:t>D'</w:t>
            </w:r>
            <w:r>
              <w:rPr>
                <w:sz w:val="16"/>
                <w:szCs w:val="16"/>
              </w:rPr>
              <w:t>A</w:t>
            </w:r>
            <w:r w:rsidRPr="00A276BA">
              <w:rPr>
                <w:sz w:val="16"/>
                <w:szCs w:val="16"/>
              </w:rPr>
              <w:t xml:space="preserve">mbruoso </w:t>
            </w:r>
            <w:r>
              <w:rPr>
                <w:sz w:val="16"/>
                <w:szCs w:val="16"/>
              </w:rPr>
              <w:t xml:space="preserve">2016 </w:t>
            </w:r>
            <w:r>
              <w:rPr>
                <w:sz w:val="16"/>
                <w:szCs w:val="16"/>
              </w:rPr>
              <w:fldChar w:fldCharType="begin" w:fldLock="1"/>
            </w:r>
            <w:r w:rsidR="00166DD4">
              <w:rPr>
                <w:sz w:val="16"/>
                <w:szCs w:val="16"/>
              </w:rPr>
              <w:instrText>ADDIN CSL_CITATION {"citationItems":[{"id":"ITEM-1","itemData":{"DOI":"10.1186/s41256-016-0002-y","ISSN":"2397-0642 (Electronic)","PMID":"29202052","abstract":"Background: Verbal autopsy (VA) is a health surveillance technique used in low and middle-income countries to establish medical causes of death (CODs) for people who die outside hospitals and/or without registration. By virtue of the deaths it investigates, VA is also an opportunity to examine social exclusion from access to health systems. The aims were to develop a system to collect and interpret information on social and health systems determinants of deaths investigated in VA. Methods: A short set of questions on care pathways, circumstances and events at and around the time of death were developed and integrated into the WHO 2012 short form VA (SF-VA). Data were subsequently analysed from two census rounds in the Agincourt Health and Socio-Demographic Surveillance Site (HDSS), South Africa in 2012 and 2013 where the SF-VA had been applied. InterVA and descriptive analysis were used to calculate cause-specific mortality fractions (CSMFs), and to examine responses to the new indicators and whether and how they varied by medical CODs and age/sex sub-groups. Results: One thousand two hundred forty-nine deaths were recorded in the Agincourt HDSS censuses in 2012-13 of which 1,196 (96 %) had complete VA data. Infectious and non-communicable conditions accounted for the majority of deaths (47 % and 39 % respectively) with smaller proportions attributed to external, neonatal and maternal causes (5 %, 2 % and 1 % respectively). 5 % of deaths were of indeterminable cause. The new indicators revealed multiple problems with access to care at the time of death: 39 % of deaths did not call for help, 36 % found care unaffordable overall, and 33 % did not go to a facility. These problems were reported consistently across age and sex sub-groups. Acute conditions and younger age groups had fewer problems with overall costs but more with not calling for help or going to a facility. An illustrative health systems interpretation suggests extending and promoting existing provisions for transport and financial access in this setting. Conclusions: Supplementing VA with questions on the circumstances of mortality provides complementary information to CSMFs relevant for health planning. Further contextualisation of the method and results are underway with health systems stakeholders to develop the interpretation sequence as part of a health policy and systems research approach.","author":[{"dropping-particle":"","family":"D'Ambruoso","given":"Lucia","non-dropping-particle":"","parse-names":false,"suffix":""},{"dropping-particle":"","family":"Kahn","given":"Kathleen","non-dropping-particle":"","parse-names":false,"suffix":""},{"dropping-particle":"","family":"Wagner","given":"Ryan G","non-dropping-particle":"","parse-names":false,"suffix":""},{"dropping-particle":"","family":"Twine","given":"Rhian","non-dropping-particle":"","parse-names":false,"suffix":""},{"dropping-particle":"","family":"Spies","given":"Barry","non-dropping-particle":"","parse-names":false,"suffix":""},{"dropping-particle":"","family":"Merwe","given":"Maria","non-dropping-particle":"van der","parse-names":false,"suffix":""},{"dropping-particle":"","family":"Gomez-Olive","given":"F Xavier","non-dropping-particle":"","parse-names":false,"suffix":""},{"dropping-particle":"","family":"Tollman","given":"Stephen","non-dropping-particle":"","parse-names":false,"suffix":""},{"dropping-particle":"","family":"Byass","given":"Peter","non-dropping-particle":"","parse-names":false,"suffix":""}],"container-title":"Global health research and policy","id":"ITEM-1","issued":{"date-parts":[["2016"]]},"language":"eng","page":"2","publisher-place":"England","title":"Moving from medical to health systems classifications of deaths: extending verbal autopsy to collect information on the circumstances of mortality.","type":"article-journal","volume":"1"},"uris":["http://www.mendeley.com/documents/?uuid=6beea15c-8047-48bc-a159-488eedb32b3f"]}],"mendeley":{"formattedCitation":"(56)","manualFormatting":"[55","plainTextFormattedCitation":"(56)","previouslyFormattedCitation":"(56)"},"properties":{"noteIndex":0},"schema":"https://github.com/citation-style-language/schema/raw/master/csl-citation.json"}</w:instrText>
            </w:r>
            <w:r>
              <w:rPr>
                <w:sz w:val="16"/>
                <w:szCs w:val="16"/>
              </w:rPr>
              <w:fldChar w:fldCharType="separate"/>
            </w:r>
            <w:r w:rsidR="004033A1">
              <w:rPr>
                <w:noProof/>
                <w:sz w:val="16"/>
                <w:szCs w:val="16"/>
              </w:rPr>
              <w:t>[</w:t>
            </w:r>
            <w:r w:rsidR="00303FFB" w:rsidRPr="00303FFB">
              <w:rPr>
                <w:noProof/>
                <w:sz w:val="16"/>
                <w:szCs w:val="16"/>
              </w:rPr>
              <w:t>55</w:t>
            </w:r>
            <w:r>
              <w:rPr>
                <w:sz w:val="16"/>
                <w:szCs w:val="16"/>
              </w:rPr>
              <w:fldChar w:fldCharType="end"/>
            </w:r>
            <w:r w:rsidR="004033A1">
              <w:rPr>
                <w:sz w:val="16"/>
                <w:szCs w:val="16"/>
              </w:rPr>
              <w:t>]</w:t>
            </w:r>
          </w:p>
        </w:tc>
        <w:tc>
          <w:tcPr>
            <w:tcW w:w="348" w:type="pct"/>
            <w:shd w:val="clear" w:color="auto" w:fill="auto"/>
            <w:noWrap/>
            <w:vAlign w:val="bottom"/>
            <w:hideMark/>
          </w:tcPr>
          <w:p w14:paraId="57445C71" w14:textId="77777777" w:rsidR="00F24106" w:rsidRPr="00A276BA" w:rsidRDefault="00F24106" w:rsidP="0061013B">
            <w:pPr>
              <w:pStyle w:val="NoSpacing"/>
              <w:jc w:val="center"/>
              <w:rPr>
                <w:sz w:val="16"/>
                <w:szCs w:val="16"/>
              </w:rPr>
            </w:pPr>
            <w:r w:rsidRPr="00A276BA">
              <w:rPr>
                <w:sz w:val="16"/>
                <w:szCs w:val="16"/>
              </w:rPr>
              <w:t>2012-2013</w:t>
            </w:r>
          </w:p>
        </w:tc>
        <w:tc>
          <w:tcPr>
            <w:tcW w:w="316" w:type="pct"/>
            <w:shd w:val="clear" w:color="auto" w:fill="auto"/>
            <w:noWrap/>
            <w:vAlign w:val="bottom"/>
            <w:hideMark/>
          </w:tcPr>
          <w:p w14:paraId="749B472B" w14:textId="77777777" w:rsidR="00F24106" w:rsidRPr="00A276BA" w:rsidRDefault="00F24106" w:rsidP="0061013B">
            <w:pPr>
              <w:pStyle w:val="NoSpacing"/>
              <w:jc w:val="center"/>
              <w:rPr>
                <w:sz w:val="16"/>
                <w:szCs w:val="16"/>
              </w:rPr>
            </w:pPr>
            <w:r w:rsidRPr="00A276BA">
              <w:rPr>
                <w:sz w:val="16"/>
                <w:szCs w:val="16"/>
              </w:rPr>
              <w:t>South Africa</w:t>
            </w:r>
          </w:p>
        </w:tc>
        <w:tc>
          <w:tcPr>
            <w:tcW w:w="285" w:type="pct"/>
            <w:shd w:val="clear" w:color="auto" w:fill="auto"/>
            <w:noWrap/>
            <w:vAlign w:val="bottom"/>
            <w:hideMark/>
          </w:tcPr>
          <w:p w14:paraId="7EF6555C" w14:textId="58E8959A" w:rsidR="00F24106" w:rsidRPr="00A276BA" w:rsidRDefault="00F24106" w:rsidP="0061013B">
            <w:pPr>
              <w:pStyle w:val="NoSpacing"/>
              <w:jc w:val="center"/>
              <w:rPr>
                <w:sz w:val="16"/>
                <w:szCs w:val="16"/>
              </w:rPr>
            </w:pPr>
            <w:r w:rsidRPr="00A276BA">
              <w:rPr>
                <w:sz w:val="16"/>
                <w:szCs w:val="16"/>
              </w:rPr>
              <w:t>0-27 days</w:t>
            </w:r>
            <w:r>
              <w:rPr>
                <w:sz w:val="16"/>
                <w:szCs w:val="16"/>
              </w:rPr>
              <w:t xml:space="preserve">, </w:t>
            </w:r>
            <w:r w:rsidRPr="00A276BA">
              <w:rPr>
                <w:sz w:val="16"/>
                <w:szCs w:val="16"/>
              </w:rPr>
              <w:t>1-59 months</w:t>
            </w:r>
          </w:p>
        </w:tc>
        <w:tc>
          <w:tcPr>
            <w:tcW w:w="362" w:type="pct"/>
            <w:shd w:val="clear" w:color="auto" w:fill="auto"/>
            <w:noWrap/>
            <w:vAlign w:val="bottom"/>
            <w:hideMark/>
          </w:tcPr>
          <w:p w14:paraId="4B359545" w14:textId="77777777" w:rsidR="00F24106" w:rsidRPr="00A276BA" w:rsidRDefault="00F24106" w:rsidP="0061013B">
            <w:pPr>
              <w:pStyle w:val="NoSpacing"/>
              <w:jc w:val="center"/>
              <w:rPr>
                <w:sz w:val="16"/>
                <w:szCs w:val="16"/>
              </w:rPr>
            </w:pPr>
            <w:r w:rsidRPr="00A276BA">
              <w:rPr>
                <w:sz w:val="16"/>
                <w:szCs w:val="16"/>
              </w:rPr>
              <w:t>Upper middle income</w:t>
            </w:r>
          </w:p>
        </w:tc>
        <w:tc>
          <w:tcPr>
            <w:tcW w:w="367" w:type="pct"/>
            <w:shd w:val="clear" w:color="auto" w:fill="auto"/>
            <w:noWrap/>
            <w:vAlign w:val="bottom"/>
            <w:hideMark/>
          </w:tcPr>
          <w:p w14:paraId="61AC52CE"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2AF18167" w14:textId="77777777" w:rsidR="00F24106"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0DFE1AB9" w14:textId="77777777" w:rsidR="00F24106" w:rsidRPr="00A276BA" w:rsidRDefault="00F24106" w:rsidP="0061013B">
            <w:pPr>
              <w:pStyle w:val="NoSpacing"/>
              <w:jc w:val="center"/>
              <w:rPr>
                <w:sz w:val="16"/>
                <w:szCs w:val="16"/>
              </w:rPr>
            </w:pPr>
            <w:r>
              <w:rPr>
                <w:sz w:val="16"/>
                <w:szCs w:val="16"/>
              </w:rPr>
              <w:t>110</w:t>
            </w:r>
          </w:p>
        </w:tc>
        <w:tc>
          <w:tcPr>
            <w:tcW w:w="545" w:type="pct"/>
            <w:shd w:val="clear" w:color="auto" w:fill="auto"/>
            <w:noWrap/>
            <w:vAlign w:val="bottom"/>
            <w:hideMark/>
          </w:tcPr>
          <w:p w14:paraId="6853D790" w14:textId="77777777" w:rsidR="00F24106" w:rsidRPr="00A276BA" w:rsidRDefault="00F24106" w:rsidP="0061013B">
            <w:pPr>
              <w:pStyle w:val="NoSpacing"/>
              <w:jc w:val="center"/>
              <w:rPr>
                <w:sz w:val="16"/>
                <w:szCs w:val="16"/>
              </w:rPr>
            </w:pPr>
            <w:r w:rsidRPr="00A276BA">
              <w:rPr>
                <w:sz w:val="16"/>
                <w:szCs w:val="16"/>
              </w:rPr>
              <w:t>WHO VA 2012</w:t>
            </w:r>
          </w:p>
        </w:tc>
        <w:tc>
          <w:tcPr>
            <w:tcW w:w="373" w:type="pct"/>
            <w:shd w:val="clear" w:color="auto" w:fill="auto"/>
            <w:noWrap/>
            <w:vAlign w:val="bottom"/>
            <w:hideMark/>
          </w:tcPr>
          <w:p w14:paraId="73819D87"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4E854BAA" w14:textId="77777777" w:rsidR="00F24106" w:rsidRPr="00A276BA" w:rsidRDefault="00F24106" w:rsidP="0061013B">
            <w:pPr>
              <w:pStyle w:val="NoSpacing"/>
              <w:jc w:val="center"/>
              <w:rPr>
                <w:sz w:val="16"/>
                <w:szCs w:val="16"/>
              </w:rPr>
            </w:pPr>
            <w:r w:rsidRPr="00A276BA">
              <w:rPr>
                <w:sz w:val="16"/>
                <w:szCs w:val="16"/>
              </w:rPr>
              <w:t>1, 4b</w:t>
            </w:r>
          </w:p>
        </w:tc>
        <w:tc>
          <w:tcPr>
            <w:tcW w:w="381" w:type="pct"/>
            <w:shd w:val="clear" w:color="auto" w:fill="auto"/>
            <w:noWrap/>
            <w:vAlign w:val="bottom"/>
            <w:hideMark/>
          </w:tcPr>
          <w:p w14:paraId="6AB489E7" w14:textId="77777777" w:rsidR="00F24106" w:rsidRPr="00A276BA" w:rsidRDefault="00F24106" w:rsidP="0061013B">
            <w:pPr>
              <w:pStyle w:val="NoSpacing"/>
              <w:jc w:val="center"/>
              <w:rPr>
                <w:sz w:val="16"/>
                <w:szCs w:val="16"/>
              </w:rPr>
            </w:pPr>
            <w:r w:rsidRPr="00A276BA">
              <w:rPr>
                <w:sz w:val="16"/>
                <w:szCs w:val="16"/>
              </w:rPr>
              <w:t>Thematic coding framework home-to-hospital pathway</w:t>
            </w:r>
          </w:p>
        </w:tc>
        <w:tc>
          <w:tcPr>
            <w:tcW w:w="253" w:type="pct"/>
            <w:shd w:val="clear" w:color="auto" w:fill="auto"/>
            <w:noWrap/>
            <w:vAlign w:val="bottom"/>
            <w:hideMark/>
          </w:tcPr>
          <w:p w14:paraId="2B1B5842"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043C3BCB" w14:textId="77777777" w:rsidTr="0061013B">
        <w:trPr>
          <w:cantSplit/>
          <w:trHeight w:val="315"/>
        </w:trPr>
        <w:tc>
          <w:tcPr>
            <w:tcW w:w="380" w:type="pct"/>
            <w:shd w:val="clear" w:color="auto" w:fill="auto"/>
            <w:noWrap/>
            <w:vAlign w:val="bottom"/>
            <w:hideMark/>
          </w:tcPr>
          <w:p w14:paraId="7FC24910" w14:textId="426B3DF6" w:rsidR="00F24106" w:rsidRPr="00A276BA" w:rsidRDefault="00F24106" w:rsidP="00BF67EF">
            <w:pPr>
              <w:pStyle w:val="NoSpacing"/>
              <w:rPr>
                <w:sz w:val="16"/>
                <w:szCs w:val="16"/>
              </w:rPr>
            </w:pPr>
            <w:r w:rsidRPr="00A276BA">
              <w:rPr>
                <w:sz w:val="16"/>
                <w:szCs w:val="16"/>
              </w:rPr>
              <w:t xml:space="preserve">Kalter </w:t>
            </w:r>
            <w:r>
              <w:rPr>
                <w:sz w:val="16"/>
                <w:szCs w:val="16"/>
              </w:rPr>
              <w:t xml:space="preserve">2016 </w:t>
            </w:r>
            <w:r>
              <w:rPr>
                <w:sz w:val="16"/>
                <w:szCs w:val="16"/>
              </w:rPr>
              <w:fldChar w:fldCharType="begin" w:fldLock="1"/>
            </w:r>
            <w:r w:rsidR="00166DD4">
              <w:rPr>
                <w:sz w:val="16"/>
                <w:szCs w:val="16"/>
              </w:rPr>
              <w:instrText>ADDIN CSL_CITATION {"citationItems":[{"id":"ITEM-1","itemData":{"DOI":"http://dx.doi.org/10.7189/jogh.06.010604","ISSN":"2047-2978","PMID":"26955474","abstract":"BACKGROUND: This study was one of a set of verbal/social autopsy (VASA) investigations undertaken by the WHO/UNICEF-supported Child Health Epidemiology Reference Group to estimate the causes and determinants of neonatal and child deaths in high priority countries. The study objective was to help explain the lack of decrease in neonatal mortality in Niger from 2007 to 2010, a period during which child mortality was decreasing., METHODS: VASA interviews were conducted of a random sample of 453 neonatal deaths identified by the 2010 Niger National Mortality Survey (NNMS). Causes of death were determined by expert algorithm analysis, and the prevalence of household, community and health system determinants were examined along the continuum of maternal and newborn care, the Pathway to Survival for newborn illnesses, and an extended pathway for maternal complications. The social autopsy findings were compared to available data for survivors from the same cohort collected by the NNMS and the 2012 Niger Demographic and Health Survey., FINDINGS: Severe neonatal infection and birth asphyxia were the leading causes of early neonatal death in the community and facilities. Death in the community after delayed careseeking for severe infection predominated during the late neonatal period. The levels of nearly all demographic, antenatal and delivery care factors were in the direction of risk for the VASA study decedents. They more often resided rurally (P &lt; 0.001) and their mothers were less educated (P = 0.03) and gave birth when younger (P = 0.03) than survivors' mothers. Their mothers also were less likely to receive quality antenatal care (P &lt; 0.001), skilled attendance at birth (P = 0.03) or to deliver in an institution (P &lt; 0.001). Nearly half suffered an obstetric complication, with more maternal infection (17.9% vs 0.2%), antepartum hemorrhage (12.5% vs 0.5%) and eclampsia/preeclampsia (9.5% vs 1.6%) than for all births in Niger. Their mothers also were unlikely to seek health care for their own complications (37% to 42%) as well as for the newborn's illness (30.6%)., CONCLUSIONS: Niger should scale up its recently implemented package of high-impact interventions to additional integrated health facilities and expand the package to provide antenatal care and management of labor and delivery, with support to reach a higher level facility when required. Community interventions are needed to improve illness recognition and careseeking for severe neonatal infection.","author":[{"dropping-particle":"","family":"Kalter","given":"Henry D","non-dropping-particle":"","parse-names":false,"suffix":""},{"dropping-particle":"","family":"Yaroh","given":"Asma Gali","non-dropping-particle":"","parse-names":false,"suffix":""},{"dropping-particle":"","family":"Maina","given":"Abdou","non-dropping-particle":"","parse-names":false,"suffix":""},{"dropping-particle":"","family":"Koffi","given":"Alain K","non-dropping-particle":"","parse-names":false,"suffix":""},{"dropping-particle":"","family":"Bensaïd","given":"Khaled","non-dropping-particle":"","parse-names":false,"suffix":""},{"dropping-particle":"","family":"Amouzou","given":"Agbessi","non-dropping-particle":"","parse-names":false,"suffix":""},{"dropping-particle":"","family":"Black","given":"Robert E","non-dropping-particle":"","parse-names":false,"suffix":""}],"container-title":"Journal of global health","id":"ITEM-1","issue":"1","issued":{"date-parts":[["2016","6"]]},"page":"10604","publisher":"Edinburgh University Global Health Society","publisher-place":"United Kingdom","title":"Verbal/social autopsy study helps explain the lack of decrease in neonatal mortality in Niger, 2007-2010","type":"article-journal","volume":"6"},"uris":["http://www.mendeley.com/documents/?uuid=b8f4fb87-6298-40d9-8e5a-9f324119898f"]}],"mendeley":{"formattedCitation":"(57)","manualFormatting":"[56","plainTextFormattedCitation":"(57)","previouslyFormattedCitation":"(57)"},"properties":{"noteIndex":0},"schema":"https://github.com/citation-style-language/schema/raw/master/csl-citation.json"}</w:instrText>
            </w:r>
            <w:r>
              <w:rPr>
                <w:sz w:val="16"/>
                <w:szCs w:val="16"/>
              </w:rPr>
              <w:fldChar w:fldCharType="separate"/>
            </w:r>
            <w:r w:rsidR="004033A1">
              <w:rPr>
                <w:noProof/>
                <w:sz w:val="16"/>
                <w:szCs w:val="16"/>
              </w:rPr>
              <w:t>[</w:t>
            </w:r>
            <w:r w:rsidR="00303FFB" w:rsidRPr="00303FFB">
              <w:rPr>
                <w:noProof/>
                <w:sz w:val="16"/>
                <w:szCs w:val="16"/>
              </w:rPr>
              <w:t>56</w:t>
            </w:r>
            <w:r>
              <w:rPr>
                <w:sz w:val="16"/>
                <w:szCs w:val="16"/>
              </w:rPr>
              <w:fldChar w:fldCharType="end"/>
            </w:r>
            <w:r w:rsidR="004033A1">
              <w:rPr>
                <w:sz w:val="16"/>
                <w:szCs w:val="16"/>
              </w:rPr>
              <w:t>]</w:t>
            </w:r>
          </w:p>
        </w:tc>
        <w:tc>
          <w:tcPr>
            <w:tcW w:w="348" w:type="pct"/>
            <w:shd w:val="clear" w:color="auto" w:fill="auto"/>
            <w:noWrap/>
            <w:vAlign w:val="bottom"/>
            <w:hideMark/>
          </w:tcPr>
          <w:p w14:paraId="5B79F5CE" w14:textId="77777777" w:rsidR="00F24106" w:rsidRPr="00A276BA" w:rsidRDefault="00F24106" w:rsidP="0061013B">
            <w:pPr>
              <w:pStyle w:val="NoSpacing"/>
              <w:jc w:val="center"/>
              <w:rPr>
                <w:sz w:val="16"/>
                <w:szCs w:val="16"/>
              </w:rPr>
            </w:pPr>
            <w:r w:rsidRPr="00A276BA">
              <w:rPr>
                <w:sz w:val="16"/>
                <w:szCs w:val="16"/>
              </w:rPr>
              <w:t>2007-2010</w:t>
            </w:r>
          </w:p>
        </w:tc>
        <w:tc>
          <w:tcPr>
            <w:tcW w:w="316" w:type="pct"/>
            <w:shd w:val="clear" w:color="auto" w:fill="auto"/>
            <w:noWrap/>
            <w:vAlign w:val="bottom"/>
            <w:hideMark/>
          </w:tcPr>
          <w:p w14:paraId="70D7B793" w14:textId="77777777" w:rsidR="00F24106" w:rsidRPr="00A276BA" w:rsidRDefault="00F24106" w:rsidP="0061013B">
            <w:pPr>
              <w:pStyle w:val="NoSpacing"/>
              <w:jc w:val="center"/>
              <w:rPr>
                <w:sz w:val="16"/>
                <w:szCs w:val="16"/>
              </w:rPr>
            </w:pPr>
            <w:r w:rsidRPr="00A276BA">
              <w:rPr>
                <w:sz w:val="16"/>
                <w:szCs w:val="16"/>
              </w:rPr>
              <w:t>Niger</w:t>
            </w:r>
          </w:p>
        </w:tc>
        <w:tc>
          <w:tcPr>
            <w:tcW w:w="285" w:type="pct"/>
            <w:shd w:val="clear" w:color="auto" w:fill="auto"/>
            <w:noWrap/>
            <w:vAlign w:val="bottom"/>
            <w:hideMark/>
          </w:tcPr>
          <w:p w14:paraId="1EAA7725" w14:textId="77777777" w:rsidR="00F24106" w:rsidRPr="00A276BA" w:rsidRDefault="00F24106" w:rsidP="0061013B">
            <w:pPr>
              <w:pStyle w:val="NoSpacing"/>
              <w:jc w:val="center"/>
              <w:rPr>
                <w:sz w:val="16"/>
                <w:szCs w:val="16"/>
              </w:rPr>
            </w:pPr>
            <w:r w:rsidRPr="00A276BA">
              <w:rPr>
                <w:sz w:val="16"/>
                <w:szCs w:val="16"/>
              </w:rPr>
              <w:t>0-27 days</w:t>
            </w:r>
          </w:p>
        </w:tc>
        <w:tc>
          <w:tcPr>
            <w:tcW w:w="362" w:type="pct"/>
            <w:shd w:val="clear" w:color="auto" w:fill="auto"/>
            <w:noWrap/>
            <w:vAlign w:val="bottom"/>
            <w:hideMark/>
          </w:tcPr>
          <w:p w14:paraId="0CA979EC"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5CB6FE0B"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733CC562"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7D6D3530" w14:textId="77777777" w:rsidR="00F24106" w:rsidRPr="00A276BA" w:rsidRDefault="00F24106" w:rsidP="0061013B">
            <w:pPr>
              <w:pStyle w:val="NoSpacing"/>
              <w:jc w:val="center"/>
              <w:rPr>
                <w:sz w:val="16"/>
                <w:szCs w:val="16"/>
              </w:rPr>
            </w:pPr>
            <w:r w:rsidRPr="00A276BA">
              <w:rPr>
                <w:sz w:val="16"/>
                <w:szCs w:val="16"/>
              </w:rPr>
              <w:t>453</w:t>
            </w:r>
          </w:p>
        </w:tc>
        <w:tc>
          <w:tcPr>
            <w:tcW w:w="545" w:type="pct"/>
            <w:shd w:val="clear" w:color="auto" w:fill="auto"/>
            <w:noWrap/>
            <w:vAlign w:val="bottom"/>
            <w:hideMark/>
          </w:tcPr>
          <w:p w14:paraId="619E648D"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148467A4" w14:textId="77777777" w:rsidR="00F24106" w:rsidRPr="00A276BA" w:rsidRDefault="00F24106" w:rsidP="0061013B">
            <w:pPr>
              <w:pStyle w:val="NoSpacing"/>
              <w:jc w:val="center"/>
              <w:rPr>
                <w:sz w:val="16"/>
                <w:szCs w:val="16"/>
              </w:rPr>
            </w:pPr>
            <w:r w:rsidRPr="00A276BA">
              <w:rPr>
                <w:sz w:val="16"/>
                <w:szCs w:val="16"/>
              </w:rPr>
              <w:t>4 years</w:t>
            </w:r>
          </w:p>
        </w:tc>
        <w:tc>
          <w:tcPr>
            <w:tcW w:w="759" w:type="pct"/>
            <w:shd w:val="clear" w:color="auto" w:fill="auto"/>
            <w:noWrap/>
            <w:vAlign w:val="bottom"/>
            <w:hideMark/>
          </w:tcPr>
          <w:p w14:paraId="3688C011" w14:textId="77777777" w:rsidR="00F24106" w:rsidRPr="00A276BA" w:rsidRDefault="00F24106" w:rsidP="0061013B">
            <w:pPr>
              <w:pStyle w:val="NoSpacing"/>
              <w:jc w:val="center"/>
              <w:rPr>
                <w:sz w:val="16"/>
                <w:szCs w:val="16"/>
              </w:rPr>
            </w:pPr>
            <w:r w:rsidRPr="00A276BA">
              <w:rPr>
                <w:sz w:val="16"/>
                <w:szCs w:val="16"/>
              </w:rPr>
              <w:t>1, 2, 3, 4a, 4b, 5, 6</w:t>
            </w:r>
          </w:p>
        </w:tc>
        <w:tc>
          <w:tcPr>
            <w:tcW w:w="381" w:type="pct"/>
            <w:shd w:val="clear" w:color="auto" w:fill="auto"/>
            <w:noWrap/>
            <w:vAlign w:val="bottom"/>
            <w:hideMark/>
          </w:tcPr>
          <w:p w14:paraId="373D1C93"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3E7E096C"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23BE91A7" w14:textId="77777777" w:rsidTr="0061013B">
        <w:trPr>
          <w:cantSplit/>
          <w:trHeight w:val="255"/>
        </w:trPr>
        <w:tc>
          <w:tcPr>
            <w:tcW w:w="380" w:type="pct"/>
            <w:shd w:val="clear" w:color="auto" w:fill="auto"/>
            <w:noWrap/>
            <w:vAlign w:val="bottom"/>
            <w:hideMark/>
          </w:tcPr>
          <w:p w14:paraId="15CEA022" w14:textId="22D480A7" w:rsidR="00F24106" w:rsidRPr="00A276BA" w:rsidRDefault="00F24106" w:rsidP="00BF67EF">
            <w:pPr>
              <w:pStyle w:val="NoSpacing"/>
              <w:rPr>
                <w:sz w:val="16"/>
                <w:szCs w:val="16"/>
              </w:rPr>
            </w:pPr>
            <w:r w:rsidRPr="00A276BA">
              <w:rPr>
                <w:sz w:val="16"/>
                <w:szCs w:val="16"/>
              </w:rPr>
              <w:t xml:space="preserve">Koffi </w:t>
            </w:r>
            <w:r>
              <w:rPr>
                <w:sz w:val="16"/>
                <w:szCs w:val="16"/>
              </w:rPr>
              <w:t xml:space="preserve">2016 </w:t>
            </w:r>
            <w:r>
              <w:rPr>
                <w:sz w:val="16"/>
                <w:szCs w:val="16"/>
              </w:rPr>
              <w:fldChar w:fldCharType="begin" w:fldLock="1"/>
            </w:r>
            <w:r w:rsidR="00CD0705">
              <w:rPr>
                <w:sz w:val="16"/>
                <w:szCs w:val="16"/>
              </w:rPr>
              <w:instrText>ADDIN CSL_CITATION {"citationItems":[{"id":"ITEM-1","itemData":{"DOI":"http://dx.doi.org/10.7189/jogh.06.010603","ISSN":"2047-2978","PMID":"26955473","abstract":"BACKGROUND: Understanding the determinants of preventable deaths of children under the age of five is important for accelerated annual declines - even as countries achieve the UN's Millennium Development Goals and the target date of 2015 has been reached. While research has documented the extent and nature of the overall rapid decline in child mortality in Niger, there is less clear evidence to provide insight into the contributors to such deaths. This issue is the central focus of this paper., METHODS: We analyzed a nationally representative cross-sectional sample of 620 child deaths from the 2012 Niger Verbal Autopsy/Social Autopsy (VASA) Survey. We conducted a descriptive analysis of the data on preventive and curative care, guided by the coverage of proven indicators along the continuum of well child care and illness recognition and care-seeking for child illnesses encompassed by the BASICS/CDC Pathway to Survival model., RESULTS: Six hundred twenty deaths of children (1-59 months of age) were confirmed from the VASA survey. The majority of these children lived in households with precarious socio-economic conditions. Among the 414 children whose fatal illnesses began at age 0-23 months, just 24.4% were appropriately fed. About 24% of children aged 12-59 months were fully immunized. Of 601 children tracked through the Pathway to Survival, 62.4% could reach the first health care provider after about 67 minutes travel time. Of the 306 children who left the first health care provider alive, 161 (52.6%) were not referred for further care nor received any home care recommendations, and just 19% were referred to a second provider. About 113 of the caregivers reported cost (35%), distance (35%) and lack of transport (30%) as constraints to care-seeking at a health facility., CONCLUSION: Despite Niger's recent major achievements in reducing child mortality, the following determinants are crucial to continue building on the gains the country has made: improved socio-economic state of the poor in the country, investment in women's education, adoption of the a law to prevent marriage of young girls before 18 years of age, and implementation of health programs that encourage breastfeeding and complementary feeding, immunization, illness recognition, prompt and appropriate care-seeking, and improved referral rates.","author":[{"dropping-particle":"","family":"Koffi","given":"Alain K","non-dropping-particle":"","parse-names":false,"suffix":""},{"dropping-particle":"","family":"Maina","given":"Abdou","non-dropping-particle":"","parse-names":false,"suffix":""},{"dropping-particle":"","family":"Yaroh","given":"Asma Gali","non-dropping-particle":"","parse-names":false,"suffix":""},{"dropping-particle":"","family":"Habi","given":"Oumarou","non-dropping-particle":"","parse-names":false,"suffix":""},{"dropping-particle":"","family":"Bensaïd","given":"Khaled","non-dropping-particle":"","parse-names":false,"suffix":""},{"dropping-particle":"","family":"Kalter","given":"Henry D","non-dropping-particle":"","parse-names":false,"suffix":""}],"container-title":"Journal of global health","id":"ITEM-1","issue":"1","issued":{"date-parts":[["2016","6"]]},"page":"10603","publisher":"Edinburgh University Global Health Society","publisher-place":"United Kingdom","title":"Social determinants of child mortality in Niger: Results from the 2012 National Verbal and Social Autopsy Study","type":"article-journal","volume":"6"},"uris":["http://www.mendeley.com/documents/?uuid=79e72557-4efe-4224-a988-204f20c557e4"]}],"mendeley":{"formattedCitation":"(6)","manualFormatting":"[6","plainTextFormattedCitation":"(6)","previouslyFormattedCitation":"(6)"},"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6</w:t>
            </w:r>
            <w:r>
              <w:rPr>
                <w:sz w:val="16"/>
                <w:szCs w:val="16"/>
              </w:rPr>
              <w:fldChar w:fldCharType="end"/>
            </w:r>
            <w:r w:rsidR="0084406E">
              <w:rPr>
                <w:sz w:val="16"/>
                <w:szCs w:val="16"/>
              </w:rPr>
              <w:t>]</w:t>
            </w:r>
          </w:p>
          <w:p w14:paraId="32E1F379" w14:textId="77777777" w:rsidR="00F24106" w:rsidRPr="00A276BA" w:rsidRDefault="00F24106" w:rsidP="00BF67EF">
            <w:pPr>
              <w:pStyle w:val="NoSpacing"/>
              <w:rPr>
                <w:sz w:val="16"/>
                <w:szCs w:val="16"/>
              </w:rPr>
            </w:pPr>
          </w:p>
        </w:tc>
        <w:tc>
          <w:tcPr>
            <w:tcW w:w="348" w:type="pct"/>
            <w:shd w:val="clear" w:color="auto" w:fill="auto"/>
            <w:noWrap/>
            <w:vAlign w:val="bottom"/>
            <w:hideMark/>
          </w:tcPr>
          <w:p w14:paraId="21462880" w14:textId="77777777" w:rsidR="00F24106" w:rsidRPr="00A276BA" w:rsidRDefault="00F24106" w:rsidP="0061013B">
            <w:pPr>
              <w:pStyle w:val="NoSpacing"/>
              <w:jc w:val="center"/>
              <w:rPr>
                <w:sz w:val="16"/>
                <w:szCs w:val="16"/>
              </w:rPr>
            </w:pPr>
            <w:r w:rsidRPr="00A276BA">
              <w:rPr>
                <w:sz w:val="16"/>
                <w:szCs w:val="16"/>
              </w:rPr>
              <w:t>201</w:t>
            </w:r>
            <w:r>
              <w:rPr>
                <w:sz w:val="16"/>
                <w:szCs w:val="16"/>
              </w:rPr>
              <w:t>2</w:t>
            </w:r>
          </w:p>
        </w:tc>
        <w:tc>
          <w:tcPr>
            <w:tcW w:w="316" w:type="pct"/>
            <w:shd w:val="clear" w:color="auto" w:fill="auto"/>
            <w:noWrap/>
            <w:vAlign w:val="bottom"/>
            <w:hideMark/>
          </w:tcPr>
          <w:p w14:paraId="1B8C6B2D" w14:textId="77777777" w:rsidR="00F24106" w:rsidRPr="00A276BA" w:rsidRDefault="00F24106" w:rsidP="0061013B">
            <w:pPr>
              <w:pStyle w:val="NoSpacing"/>
              <w:jc w:val="center"/>
              <w:rPr>
                <w:sz w:val="16"/>
                <w:szCs w:val="16"/>
              </w:rPr>
            </w:pPr>
            <w:r w:rsidRPr="00A276BA">
              <w:rPr>
                <w:sz w:val="16"/>
                <w:szCs w:val="16"/>
              </w:rPr>
              <w:t>Niger</w:t>
            </w:r>
          </w:p>
        </w:tc>
        <w:tc>
          <w:tcPr>
            <w:tcW w:w="285" w:type="pct"/>
            <w:shd w:val="clear" w:color="auto" w:fill="auto"/>
            <w:noWrap/>
            <w:vAlign w:val="bottom"/>
            <w:hideMark/>
          </w:tcPr>
          <w:p w14:paraId="74F86B6C"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793DF269"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5889A0CD" w14:textId="77777777" w:rsidR="00F24106" w:rsidRPr="00A276BA" w:rsidRDefault="00F24106" w:rsidP="0061013B">
            <w:pPr>
              <w:pStyle w:val="NoSpacing"/>
              <w:jc w:val="center"/>
              <w:rPr>
                <w:sz w:val="16"/>
                <w:szCs w:val="16"/>
              </w:rPr>
            </w:pPr>
            <w:r w:rsidRPr="00A276BA">
              <w:rPr>
                <w:sz w:val="16"/>
                <w:szCs w:val="16"/>
              </w:rPr>
              <w:t>N</w:t>
            </w:r>
          </w:p>
        </w:tc>
        <w:tc>
          <w:tcPr>
            <w:tcW w:w="315" w:type="pct"/>
            <w:vAlign w:val="bottom"/>
          </w:tcPr>
          <w:p w14:paraId="32EABFA6"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72C721B6" w14:textId="77777777" w:rsidR="00F24106" w:rsidRPr="00A276BA" w:rsidRDefault="00F24106" w:rsidP="0061013B">
            <w:pPr>
              <w:pStyle w:val="NoSpacing"/>
              <w:jc w:val="center"/>
              <w:rPr>
                <w:sz w:val="16"/>
                <w:szCs w:val="16"/>
              </w:rPr>
            </w:pPr>
            <w:r w:rsidRPr="00A276BA">
              <w:rPr>
                <w:sz w:val="16"/>
                <w:szCs w:val="16"/>
              </w:rPr>
              <w:t>620</w:t>
            </w:r>
          </w:p>
        </w:tc>
        <w:tc>
          <w:tcPr>
            <w:tcW w:w="545" w:type="pct"/>
            <w:shd w:val="clear" w:color="auto" w:fill="auto"/>
            <w:noWrap/>
            <w:vAlign w:val="bottom"/>
            <w:hideMark/>
          </w:tcPr>
          <w:p w14:paraId="5C653E39"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3310FB55" w14:textId="77777777" w:rsidR="00F24106" w:rsidRPr="00A276BA" w:rsidRDefault="00F24106" w:rsidP="0061013B">
            <w:pPr>
              <w:pStyle w:val="NoSpacing"/>
              <w:jc w:val="center"/>
              <w:rPr>
                <w:sz w:val="16"/>
                <w:szCs w:val="16"/>
              </w:rPr>
            </w:pPr>
            <w:r w:rsidRPr="00A276BA">
              <w:rPr>
                <w:sz w:val="16"/>
                <w:szCs w:val="16"/>
              </w:rPr>
              <w:t>Mean 2.7 years (range 2-5 years)</w:t>
            </w:r>
          </w:p>
        </w:tc>
        <w:tc>
          <w:tcPr>
            <w:tcW w:w="759" w:type="pct"/>
            <w:shd w:val="clear" w:color="auto" w:fill="auto"/>
            <w:noWrap/>
            <w:vAlign w:val="bottom"/>
            <w:hideMark/>
          </w:tcPr>
          <w:p w14:paraId="2D86B190"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2356B84E"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50E95DC1" w14:textId="77777777" w:rsidR="00F24106" w:rsidRPr="00A276BA" w:rsidRDefault="00F24106" w:rsidP="0061013B">
            <w:pPr>
              <w:pStyle w:val="NoSpacing"/>
              <w:jc w:val="center"/>
              <w:rPr>
                <w:sz w:val="16"/>
                <w:szCs w:val="16"/>
              </w:rPr>
            </w:pPr>
            <w:r w:rsidRPr="00A276BA">
              <w:rPr>
                <w:sz w:val="16"/>
                <w:szCs w:val="16"/>
              </w:rPr>
              <w:t>1.00</w:t>
            </w:r>
          </w:p>
        </w:tc>
      </w:tr>
      <w:tr w:rsidR="00F24106" w:rsidRPr="00A276BA" w14:paraId="71B67558" w14:textId="77777777" w:rsidTr="0061013B">
        <w:trPr>
          <w:cantSplit/>
          <w:trHeight w:val="315"/>
        </w:trPr>
        <w:tc>
          <w:tcPr>
            <w:tcW w:w="380" w:type="pct"/>
            <w:shd w:val="clear" w:color="auto" w:fill="auto"/>
            <w:noWrap/>
            <w:vAlign w:val="bottom"/>
            <w:hideMark/>
          </w:tcPr>
          <w:p w14:paraId="60E673A8" w14:textId="01D64AF7" w:rsidR="00F24106" w:rsidRPr="00A276BA" w:rsidRDefault="00F24106" w:rsidP="00BF67EF">
            <w:pPr>
              <w:pStyle w:val="NoSpacing"/>
              <w:rPr>
                <w:sz w:val="16"/>
                <w:szCs w:val="16"/>
              </w:rPr>
            </w:pPr>
            <w:r w:rsidRPr="00A276BA">
              <w:rPr>
                <w:sz w:val="16"/>
                <w:szCs w:val="16"/>
              </w:rPr>
              <w:t xml:space="preserve">Obor </w:t>
            </w:r>
            <w:r>
              <w:rPr>
                <w:sz w:val="16"/>
                <w:szCs w:val="16"/>
              </w:rPr>
              <w:t xml:space="preserve">2016 </w:t>
            </w:r>
            <w:r>
              <w:rPr>
                <w:sz w:val="16"/>
                <w:szCs w:val="16"/>
              </w:rPr>
              <w:fldChar w:fldCharType="begin" w:fldLock="1"/>
            </w:r>
            <w:r w:rsidR="00166DD4">
              <w:rPr>
                <w:sz w:val="16"/>
                <w:szCs w:val="16"/>
              </w:rPr>
              <w:instrText>ADDIN CSL_CITATION {"citationItems":[{"id":"ITEM-1","itemData":{"DOI":"http://dx.doi.org/10.4269/ajtmh.abstract2016","ISSN":"0002-9637","abstract":"Understanding the burden and causes of neonatal mortality is necessary for making progress towards Millennium Development Goal #4. We examined the overall rate, trends, epidemiology, and factors associated with neonatal mortality in the Western Kenya Health and Demographic Surveillance System (KHDSS), 2003 to 2012. The KHDSS, located in Bondo and Siaya Counties in rural Western Kenya, covers an area of 371 sq. km and a population of 159,000 people. Village reporters notify about all births and deaths. Standardized verbal autopsy questionnaires were completed by trained interviewers and the cause of death was assigned by a panel of three clinical Officers, using ICD10 codes. Neonatal (&lt;=28 days) and early neonatal (&lt;=7 days) mortality rates were calculated per 1,000 live births. We explored factors associated with neonatal death using logistic regression to compare deaths to non-deaths among neonates. During 2003-2012, there were 52,385 live births, 899 neonatal deaths and 634 (70.5%) early neonatal deaths. The overall neonatal mortality rate (NMR) was 20.1 per 1000 live births (95% confdence intervals [CI] 19.7-25.2) and early NMR was 14.4 per 1000 LB (95%CI 11.5-18.2). Neonatal deaths represented 18.3% of infant deaths. Higher maternal age, secondary education, and higher SES were signifcantly less common among neonates that died compared with those that survived. Verbal autopsies were done for 533 (71.3%) of neonatal deaths. Overall, the leading causes of death were neonatal sepsis (39%), pre-maturity (18%), and respiratory distress (10%). The leading causes of death in the first week of life were neonatal sepsis (28.8%) and pre-maturity (18.6%). Medical care was sought prior to death for 106 (11.8 %) neonates overall, including 45 (7.1%) of those that died in the first week of life. The burden of neonatal mortality in Western Kenya is high, and the majority of neonatal deaths occur in the first week of life. Most neonates die without having received medical attention for their illness. Deaths from neonatal sepsis might be reduced through community-based management to ensure earlier access to antibiotic treatment.","author":[{"dropping-particle":"","family":"Obor","given":"DK","non-dropping-particle":"","parse-names":false,"suffix":""},{"dropping-particle":"","family":"Otieno","given":"P","non-dropping-particle":"","parse-names":false,"suffix":""},{"dropping-particle":"","family":"J.R., Verani","given":"JR","non-dropping-particle":"","parse-names":false,"suffix":""},{"dropping-particle":"","family":"Odhiambo","given":"FO","non-dropping-particle":"","parse-names":false,"suffix":""},{"dropping-particle":"","family":"Laserson","given":"K","non-dropping-particle":"","parse-names":false,"suffix":""}],"collection-title":"65th Annual Meeting of the American Society of Tropical Medicine and Hygiene, ASTMH 2016. United States.","container-title":"American Journal of Tropical Medicine and Hygiene","id":"ITEM-1","issue":"5 Supplement 1","issued":{"date-parts":[["2016"]]},"page":"263","publisher":"American Society of Tropical Medicine and Hygiene","publisher-place":"D.K. Obor, Center for Global Health Research, Kenya Medical Research Institute, Kisumu, Kenya","title":"Using the kemri-cdc health and demographic surveillance system to demonstrate the changing neonatal mortality rate between 2003 and 2012 in rural western Kenya","type":"article-journal","volume":"95"},"uris":["http://www.mendeley.com/documents/?uuid=6a28d256-0b7b-4ce7-8b2d-fd8593c28ade"]}],"mendeley":{"formattedCitation":"(58)","manualFormatting":"[57","plainTextFormattedCitation":"(58)","previouslyFormattedCitation":"(58)"},"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57</w:t>
            </w:r>
            <w:r>
              <w:rPr>
                <w:sz w:val="16"/>
                <w:szCs w:val="16"/>
              </w:rPr>
              <w:fldChar w:fldCharType="end"/>
            </w:r>
            <w:r w:rsidR="0084406E">
              <w:rPr>
                <w:sz w:val="16"/>
                <w:szCs w:val="16"/>
              </w:rPr>
              <w:t>]</w:t>
            </w:r>
            <w:r>
              <w:rPr>
                <w:sz w:val="16"/>
                <w:szCs w:val="16"/>
              </w:rPr>
              <w:t xml:space="preserve"> </w:t>
            </w:r>
          </w:p>
        </w:tc>
        <w:tc>
          <w:tcPr>
            <w:tcW w:w="348" w:type="pct"/>
            <w:shd w:val="clear" w:color="auto" w:fill="auto"/>
            <w:noWrap/>
            <w:vAlign w:val="bottom"/>
            <w:hideMark/>
          </w:tcPr>
          <w:p w14:paraId="03EFD285" w14:textId="77777777" w:rsidR="00F24106" w:rsidRPr="00A276BA" w:rsidRDefault="00F24106" w:rsidP="0061013B">
            <w:pPr>
              <w:pStyle w:val="NoSpacing"/>
              <w:jc w:val="center"/>
              <w:rPr>
                <w:sz w:val="16"/>
                <w:szCs w:val="16"/>
              </w:rPr>
            </w:pPr>
            <w:r w:rsidRPr="00A276BA">
              <w:rPr>
                <w:sz w:val="16"/>
                <w:szCs w:val="16"/>
              </w:rPr>
              <w:t>2003-2012</w:t>
            </w:r>
          </w:p>
        </w:tc>
        <w:tc>
          <w:tcPr>
            <w:tcW w:w="316" w:type="pct"/>
            <w:shd w:val="clear" w:color="auto" w:fill="auto"/>
            <w:noWrap/>
            <w:vAlign w:val="bottom"/>
            <w:hideMark/>
          </w:tcPr>
          <w:p w14:paraId="226BEDAB" w14:textId="77777777" w:rsidR="00F24106" w:rsidRPr="00A276BA" w:rsidRDefault="00F24106" w:rsidP="0061013B">
            <w:pPr>
              <w:pStyle w:val="NoSpacing"/>
              <w:jc w:val="center"/>
              <w:rPr>
                <w:sz w:val="16"/>
                <w:szCs w:val="16"/>
              </w:rPr>
            </w:pPr>
            <w:r w:rsidRPr="00A276BA">
              <w:rPr>
                <w:sz w:val="16"/>
                <w:szCs w:val="16"/>
              </w:rPr>
              <w:t>Kenya</w:t>
            </w:r>
          </w:p>
        </w:tc>
        <w:tc>
          <w:tcPr>
            <w:tcW w:w="285" w:type="pct"/>
            <w:shd w:val="clear" w:color="auto" w:fill="auto"/>
            <w:noWrap/>
            <w:vAlign w:val="bottom"/>
            <w:hideMark/>
          </w:tcPr>
          <w:p w14:paraId="21897930" w14:textId="77777777" w:rsidR="00F24106" w:rsidRPr="00A276BA" w:rsidRDefault="00F24106" w:rsidP="0061013B">
            <w:pPr>
              <w:pStyle w:val="NoSpacing"/>
              <w:jc w:val="center"/>
              <w:rPr>
                <w:sz w:val="16"/>
                <w:szCs w:val="16"/>
              </w:rPr>
            </w:pPr>
            <w:r w:rsidRPr="00A276BA">
              <w:rPr>
                <w:sz w:val="16"/>
                <w:szCs w:val="16"/>
              </w:rPr>
              <w:t>0-28 days</w:t>
            </w:r>
          </w:p>
        </w:tc>
        <w:tc>
          <w:tcPr>
            <w:tcW w:w="362" w:type="pct"/>
            <w:shd w:val="clear" w:color="auto" w:fill="auto"/>
            <w:noWrap/>
            <w:vAlign w:val="bottom"/>
            <w:hideMark/>
          </w:tcPr>
          <w:p w14:paraId="31FAE587" w14:textId="77777777" w:rsidR="00F24106" w:rsidRPr="00A276BA" w:rsidRDefault="00F24106" w:rsidP="0061013B">
            <w:pPr>
              <w:pStyle w:val="NoSpacing"/>
              <w:jc w:val="center"/>
              <w:rPr>
                <w:sz w:val="16"/>
                <w:szCs w:val="16"/>
              </w:rPr>
            </w:pPr>
            <w:r w:rsidRPr="00A276BA">
              <w:rPr>
                <w:sz w:val="16"/>
                <w:szCs w:val="16"/>
              </w:rPr>
              <w:t>Lo</w:t>
            </w:r>
            <w:r>
              <w:rPr>
                <w:sz w:val="16"/>
                <w:szCs w:val="16"/>
              </w:rPr>
              <w:t>w</w:t>
            </w:r>
            <w:r w:rsidRPr="00A276BA">
              <w:rPr>
                <w:sz w:val="16"/>
                <w:szCs w:val="16"/>
              </w:rPr>
              <w:t xml:space="preserve"> income</w:t>
            </w:r>
          </w:p>
        </w:tc>
        <w:tc>
          <w:tcPr>
            <w:tcW w:w="367" w:type="pct"/>
            <w:shd w:val="clear" w:color="auto" w:fill="auto"/>
            <w:noWrap/>
            <w:vAlign w:val="bottom"/>
            <w:hideMark/>
          </w:tcPr>
          <w:p w14:paraId="014443A3"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32E384A8"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5D64DC99" w14:textId="77777777" w:rsidR="00F24106" w:rsidRPr="00A276BA" w:rsidRDefault="00F24106" w:rsidP="0061013B">
            <w:pPr>
              <w:pStyle w:val="NoSpacing"/>
              <w:jc w:val="center"/>
              <w:rPr>
                <w:sz w:val="16"/>
                <w:szCs w:val="16"/>
              </w:rPr>
            </w:pPr>
            <w:r w:rsidRPr="00A276BA">
              <w:rPr>
                <w:sz w:val="16"/>
                <w:szCs w:val="16"/>
              </w:rPr>
              <w:t>533</w:t>
            </w:r>
          </w:p>
        </w:tc>
        <w:tc>
          <w:tcPr>
            <w:tcW w:w="545" w:type="pct"/>
            <w:shd w:val="clear" w:color="auto" w:fill="auto"/>
            <w:noWrap/>
            <w:vAlign w:val="bottom"/>
            <w:hideMark/>
          </w:tcPr>
          <w:p w14:paraId="016FCE70" w14:textId="77777777" w:rsidR="00F24106" w:rsidRPr="00A276BA" w:rsidRDefault="00F24106" w:rsidP="0061013B">
            <w:pPr>
              <w:pStyle w:val="NoSpacing"/>
              <w:jc w:val="center"/>
              <w:rPr>
                <w:sz w:val="16"/>
                <w:szCs w:val="16"/>
              </w:rPr>
            </w:pPr>
            <w:r w:rsidRPr="00A276BA">
              <w:rPr>
                <w:sz w:val="16"/>
                <w:szCs w:val="16"/>
              </w:rPr>
              <w:t>Unspecified</w:t>
            </w:r>
          </w:p>
        </w:tc>
        <w:tc>
          <w:tcPr>
            <w:tcW w:w="373" w:type="pct"/>
            <w:shd w:val="clear" w:color="auto" w:fill="auto"/>
            <w:noWrap/>
            <w:vAlign w:val="bottom"/>
            <w:hideMark/>
          </w:tcPr>
          <w:p w14:paraId="394F493F"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31B9D652" w14:textId="77777777" w:rsidR="00F24106" w:rsidRPr="00A276BA" w:rsidRDefault="00F24106" w:rsidP="0061013B">
            <w:pPr>
              <w:pStyle w:val="NoSpacing"/>
              <w:jc w:val="center"/>
              <w:rPr>
                <w:sz w:val="16"/>
                <w:szCs w:val="16"/>
              </w:rPr>
            </w:pPr>
            <w:r w:rsidRPr="00A276BA">
              <w:rPr>
                <w:sz w:val="16"/>
                <w:szCs w:val="16"/>
              </w:rPr>
              <w:t>4a, 4b</w:t>
            </w:r>
          </w:p>
        </w:tc>
        <w:tc>
          <w:tcPr>
            <w:tcW w:w="381" w:type="pct"/>
            <w:shd w:val="clear" w:color="auto" w:fill="auto"/>
            <w:noWrap/>
            <w:vAlign w:val="bottom"/>
            <w:hideMark/>
          </w:tcPr>
          <w:p w14:paraId="415FE453"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16C72A82" w14:textId="77777777" w:rsidR="00F24106" w:rsidRPr="00A276BA" w:rsidRDefault="00F24106" w:rsidP="0061013B">
            <w:pPr>
              <w:pStyle w:val="NoSpacing"/>
              <w:jc w:val="center"/>
              <w:rPr>
                <w:sz w:val="16"/>
                <w:szCs w:val="16"/>
              </w:rPr>
            </w:pPr>
            <w:r w:rsidRPr="00A276BA">
              <w:rPr>
                <w:sz w:val="16"/>
                <w:szCs w:val="16"/>
              </w:rPr>
              <w:t>0.43</w:t>
            </w:r>
          </w:p>
        </w:tc>
      </w:tr>
      <w:tr w:rsidR="00F24106" w:rsidRPr="00A276BA" w14:paraId="2A679E7D" w14:textId="77777777" w:rsidTr="0061013B">
        <w:trPr>
          <w:cantSplit/>
          <w:trHeight w:val="530"/>
        </w:trPr>
        <w:tc>
          <w:tcPr>
            <w:tcW w:w="380" w:type="pct"/>
            <w:shd w:val="clear" w:color="auto" w:fill="auto"/>
            <w:noWrap/>
            <w:vAlign w:val="bottom"/>
            <w:hideMark/>
          </w:tcPr>
          <w:p w14:paraId="7FC0B30A" w14:textId="5FD695CD" w:rsidR="00F24106" w:rsidRPr="00A276BA" w:rsidRDefault="00F24106" w:rsidP="00BF67EF">
            <w:pPr>
              <w:pStyle w:val="NoSpacing"/>
              <w:rPr>
                <w:sz w:val="16"/>
                <w:szCs w:val="16"/>
              </w:rPr>
            </w:pPr>
            <w:r w:rsidRPr="00A276BA">
              <w:rPr>
                <w:sz w:val="16"/>
                <w:szCs w:val="16"/>
              </w:rPr>
              <w:t xml:space="preserve">Rosario </w:t>
            </w:r>
            <w:r>
              <w:rPr>
                <w:sz w:val="16"/>
                <w:szCs w:val="16"/>
              </w:rPr>
              <w:t xml:space="preserve">2016 </w:t>
            </w:r>
            <w:r>
              <w:rPr>
                <w:sz w:val="16"/>
                <w:szCs w:val="16"/>
              </w:rPr>
              <w:fldChar w:fldCharType="begin" w:fldLock="1"/>
            </w:r>
            <w:r w:rsidR="00166DD4">
              <w:rPr>
                <w:sz w:val="16"/>
                <w:szCs w:val="16"/>
              </w:rPr>
              <w:instrText>ADDIN CSL_CITATION {"citationItems":[{"id":"ITEM-1","itemData":{"DOI":"http://dx.doi.org/10.1186/s12889-016-3365-6","ISSN":"1471-2458 (Electronic)","PMID":"27491865","abstract":"BACKGROUND: The Dande Health and Demographic Surveillance System (HDSS) located in Bengo Province, Angola, covers nearly 65,500 residents living in approximately 19,800 households. This study aims to describe the main causes of deaths (CoD) occurred within the HDSS, from 2009 to 2012, and to explore associations between demographic or socioeconomic factors and broad mortality groups (Group I-Communicable diseases, maternal, perinatal and nutritional conditions; Group II-Non-communicable diseases; Group III-Injuries; IND-Indeterminate)., METHODS: Verbal Autopsies (VA) were performed after death identification during routine HDSS visits. Associations between broad groups of CoD and sex, age, education, socioeconomic position, place of residence and place of death, were explored using chi-square tests and fitting logistic regression models., RESULTS: From a total of 1488 deaths registered, 1009 verbal autopsies were performed and 798 of these were assigned a CoD based on the 10(th) revision of the International Classification of Diseases (ICD-10). Mortality was led by CD (61.0 %), followed by IND (18.3 %), NCD (11.6 %) and INJ (9.1 %). Intestinal infectious diseases, malnutrition and acute respiratory infections were the main contributors to under-five mortality (44.2 %). Malaria was the most common CoD among children under 15 years old (38.6 %). Tuberculosis, traffic accidents and malaria led the CoD among adults aged 15-49 (13.5 %, 10.5 % and 8.0 % respectively). Among adults aged 50 or more, diseases of the circulatory system (23.2 %) were the major CoD, followed by tuberculosis (8.2 %) and malaria (7.7 %). CD were more frequent CoD among less educated people (adjusted odds ratio, 95 % confidence interval for none vs. 5 or more years of school: 1.68, 1.04-2.72)., CONCLUSION: Infectious diseases were the leading CoD in this region. Verbal autopsies proved useful to identify the main CoD, being an important tool in settings where vital statistics are scarce and death registration systems have limitations.","author":[{"dropping-particle":"","family":"Rosario","given":"Edite Vila Nova","non-dropping-particle":"","parse-names":false,"suffix":""},{"dropping-particle":"","family":"Costa","given":"Diogo","non-dropping-particle":"","parse-names":false,"suffix":""},{"dropping-particle":"","family":"Timoteo","given":"Luis","non-dropping-particle":"","parse-names":false,"suffix":""},{"dropping-particle":"","family":"Rodrigues","given":"Ana Ambrosio","non-dropping-particle":"","parse-names":false,"suffix":""},{"dropping-particle":"","family":"Varanda","given":"Jorge","non-dropping-particle":"","parse-names":false,"suffix":""},{"dropping-particle":"","family":"Nery","given":"Susana Vaz","non-dropping-particle":"","parse-names":false,"suffix":""},{"dropping-particle":"","family":"Brito","given":"Miguel","non-dropping-particle":"","parse-names":false,"suffix":""}],"container-title":"BMC public health","id":"ITEM-1","issued":{"date-parts":[["2016","8"]]},"language":"eng","page":"719","publisher-place":"United Kingdom, England","title":"Main causes of death in Dande, Angola: results from Verbal Autopsies of deaths occurring during 2009-2012","type":"article-journal","volume":"16"},"uris":["http://www.mendeley.com/documents/?uuid=08a17d36-57e1-4d79-af28-13e74a63c4db"]}],"mendeley":{"formattedCitation":"(59)","manualFormatting":"[58","plainTextFormattedCitation":"(59)","previouslyFormattedCitation":"(59)"},"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58</w:t>
            </w:r>
            <w:r>
              <w:rPr>
                <w:sz w:val="16"/>
                <w:szCs w:val="16"/>
              </w:rPr>
              <w:fldChar w:fldCharType="end"/>
            </w:r>
            <w:r w:rsidR="0084406E">
              <w:rPr>
                <w:sz w:val="16"/>
                <w:szCs w:val="16"/>
              </w:rPr>
              <w:t>]</w:t>
            </w:r>
          </w:p>
        </w:tc>
        <w:tc>
          <w:tcPr>
            <w:tcW w:w="348" w:type="pct"/>
            <w:shd w:val="clear" w:color="FFFFFF" w:fill="FFFFFF"/>
            <w:noWrap/>
            <w:vAlign w:val="bottom"/>
            <w:hideMark/>
          </w:tcPr>
          <w:p w14:paraId="1EA1936D" w14:textId="77777777" w:rsidR="00F24106" w:rsidRPr="00A276BA" w:rsidRDefault="00F24106" w:rsidP="0061013B">
            <w:pPr>
              <w:pStyle w:val="NoSpacing"/>
              <w:jc w:val="center"/>
              <w:rPr>
                <w:sz w:val="16"/>
                <w:szCs w:val="16"/>
              </w:rPr>
            </w:pPr>
            <w:r w:rsidRPr="00A276BA">
              <w:rPr>
                <w:sz w:val="16"/>
                <w:szCs w:val="16"/>
              </w:rPr>
              <w:t>2009-2010</w:t>
            </w:r>
          </w:p>
        </w:tc>
        <w:tc>
          <w:tcPr>
            <w:tcW w:w="316" w:type="pct"/>
            <w:shd w:val="clear" w:color="FFFFFF" w:fill="FFFFFF"/>
            <w:noWrap/>
            <w:vAlign w:val="bottom"/>
            <w:hideMark/>
          </w:tcPr>
          <w:p w14:paraId="37A17BC3" w14:textId="77777777" w:rsidR="00F24106" w:rsidRPr="00A276BA" w:rsidRDefault="00F24106" w:rsidP="0061013B">
            <w:pPr>
              <w:pStyle w:val="NoSpacing"/>
              <w:jc w:val="center"/>
              <w:rPr>
                <w:sz w:val="16"/>
                <w:szCs w:val="16"/>
              </w:rPr>
            </w:pPr>
            <w:r w:rsidRPr="00A276BA">
              <w:rPr>
                <w:sz w:val="16"/>
                <w:szCs w:val="16"/>
              </w:rPr>
              <w:t>Angola</w:t>
            </w:r>
          </w:p>
        </w:tc>
        <w:tc>
          <w:tcPr>
            <w:tcW w:w="285" w:type="pct"/>
            <w:shd w:val="clear" w:color="FFFFFF" w:fill="FFFFFF"/>
            <w:noWrap/>
            <w:vAlign w:val="bottom"/>
            <w:hideMark/>
          </w:tcPr>
          <w:p w14:paraId="636919BC" w14:textId="13F45C3A" w:rsidR="00F24106" w:rsidRPr="00A276BA" w:rsidRDefault="00F24106" w:rsidP="0061013B">
            <w:pPr>
              <w:pStyle w:val="NoSpacing"/>
              <w:jc w:val="center"/>
              <w:rPr>
                <w:sz w:val="16"/>
                <w:szCs w:val="16"/>
              </w:rPr>
            </w:pPr>
            <w:r w:rsidRPr="00A276BA">
              <w:rPr>
                <w:sz w:val="16"/>
                <w:szCs w:val="16"/>
              </w:rPr>
              <w:t>0-27 days</w:t>
            </w:r>
            <w:r>
              <w:rPr>
                <w:sz w:val="16"/>
                <w:szCs w:val="16"/>
              </w:rPr>
              <w:t xml:space="preserve">, </w:t>
            </w:r>
            <w:r w:rsidRPr="00A276BA">
              <w:rPr>
                <w:sz w:val="16"/>
                <w:szCs w:val="16"/>
              </w:rPr>
              <w:t>1-59 months</w:t>
            </w:r>
          </w:p>
        </w:tc>
        <w:tc>
          <w:tcPr>
            <w:tcW w:w="362" w:type="pct"/>
            <w:shd w:val="clear" w:color="FFFFFF" w:fill="FFFFFF"/>
            <w:noWrap/>
            <w:vAlign w:val="bottom"/>
            <w:hideMark/>
          </w:tcPr>
          <w:p w14:paraId="520D239A" w14:textId="77777777" w:rsidR="00F24106" w:rsidRPr="00A276BA" w:rsidRDefault="00F24106" w:rsidP="0061013B">
            <w:pPr>
              <w:pStyle w:val="NoSpacing"/>
              <w:jc w:val="center"/>
              <w:rPr>
                <w:sz w:val="16"/>
                <w:szCs w:val="16"/>
              </w:rPr>
            </w:pPr>
            <w:r w:rsidRPr="00A276BA">
              <w:rPr>
                <w:sz w:val="16"/>
                <w:szCs w:val="16"/>
              </w:rPr>
              <w:t>Lower middle income</w:t>
            </w:r>
          </w:p>
        </w:tc>
        <w:tc>
          <w:tcPr>
            <w:tcW w:w="367" w:type="pct"/>
            <w:shd w:val="clear" w:color="FFFFFF" w:fill="FFFFFF"/>
            <w:noWrap/>
            <w:vAlign w:val="bottom"/>
            <w:hideMark/>
          </w:tcPr>
          <w:p w14:paraId="5D1BB0C5" w14:textId="77777777" w:rsidR="00F24106" w:rsidRPr="00A276BA" w:rsidRDefault="00F24106" w:rsidP="0061013B">
            <w:pPr>
              <w:pStyle w:val="NoSpacing"/>
              <w:jc w:val="center"/>
              <w:rPr>
                <w:sz w:val="16"/>
                <w:szCs w:val="16"/>
              </w:rPr>
            </w:pPr>
            <w:r w:rsidRPr="00A276BA">
              <w:rPr>
                <w:sz w:val="16"/>
                <w:szCs w:val="16"/>
              </w:rPr>
              <w:t>N</w:t>
            </w:r>
          </w:p>
        </w:tc>
        <w:tc>
          <w:tcPr>
            <w:tcW w:w="315" w:type="pct"/>
            <w:shd w:val="clear" w:color="FFFFFF" w:fill="FFFFFF"/>
            <w:vAlign w:val="bottom"/>
          </w:tcPr>
          <w:p w14:paraId="0A597001" w14:textId="77777777" w:rsidR="00F24106" w:rsidRDefault="00F24106" w:rsidP="0061013B">
            <w:pPr>
              <w:pStyle w:val="NoSpacing"/>
              <w:jc w:val="center"/>
              <w:rPr>
                <w:sz w:val="16"/>
                <w:szCs w:val="16"/>
              </w:rPr>
            </w:pPr>
            <w:r>
              <w:rPr>
                <w:sz w:val="16"/>
                <w:szCs w:val="16"/>
              </w:rPr>
              <w:t>Mixed</w:t>
            </w:r>
          </w:p>
        </w:tc>
        <w:tc>
          <w:tcPr>
            <w:tcW w:w="316" w:type="pct"/>
            <w:shd w:val="clear" w:color="FFFFFF" w:fill="FFFFFF"/>
            <w:noWrap/>
            <w:vAlign w:val="bottom"/>
            <w:hideMark/>
          </w:tcPr>
          <w:p w14:paraId="242A8233" w14:textId="77777777" w:rsidR="00F24106" w:rsidRPr="00A276BA" w:rsidRDefault="00F24106" w:rsidP="0061013B">
            <w:pPr>
              <w:pStyle w:val="NoSpacing"/>
              <w:jc w:val="center"/>
              <w:rPr>
                <w:sz w:val="16"/>
                <w:szCs w:val="16"/>
              </w:rPr>
            </w:pPr>
            <w:r>
              <w:rPr>
                <w:sz w:val="16"/>
                <w:szCs w:val="16"/>
              </w:rPr>
              <w:t>340</w:t>
            </w:r>
          </w:p>
        </w:tc>
        <w:tc>
          <w:tcPr>
            <w:tcW w:w="545" w:type="pct"/>
            <w:shd w:val="clear" w:color="FFFFFF" w:fill="FFFFFF"/>
            <w:noWrap/>
            <w:vAlign w:val="bottom"/>
            <w:hideMark/>
          </w:tcPr>
          <w:p w14:paraId="0DD19BF9" w14:textId="77777777" w:rsidR="00F24106" w:rsidRPr="00A276BA" w:rsidRDefault="00F24106" w:rsidP="0061013B">
            <w:pPr>
              <w:pStyle w:val="NoSpacing"/>
              <w:jc w:val="center"/>
              <w:rPr>
                <w:sz w:val="16"/>
                <w:szCs w:val="16"/>
              </w:rPr>
            </w:pPr>
            <w:r w:rsidRPr="00A276BA">
              <w:rPr>
                <w:sz w:val="16"/>
                <w:szCs w:val="16"/>
              </w:rPr>
              <w:t>INDEPTH/</w:t>
            </w:r>
            <w:r>
              <w:rPr>
                <w:sz w:val="16"/>
                <w:szCs w:val="16"/>
              </w:rPr>
              <w:t xml:space="preserve"> </w:t>
            </w:r>
            <w:r w:rsidRPr="00A276BA">
              <w:rPr>
                <w:sz w:val="16"/>
                <w:szCs w:val="16"/>
              </w:rPr>
              <w:t>WHO VA 1999</w:t>
            </w:r>
          </w:p>
        </w:tc>
        <w:tc>
          <w:tcPr>
            <w:tcW w:w="373" w:type="pct"/>
            <w:shd w:val="clear" w:color="FFFFFF" w:fill="FFFFFF"/>
            <w:noWrap/>
            <w:vAlign w:val="bottom"/>
            <w:hideMark/>
          </w:tcPr>
          <w:p w14:paraId="3D5950D6" w14:textId="77777777" w:rsidR="00F24106" w:rsidRPr="00A276BA" w:rsidRDefault="00F24106" w:rsidP="0061013B">
            <w:pPr>
              <w:pStyle w:val="NoSpacing"/>
              <w:jc w:val="center"/>
              <w:rPr>
                <w:sz w:val="16"/>
                <w:szCs w:val="16"/>
              </w:rPr>
            </w:pPr>
            <w:r w:rsidRPr="00A276BA">
              <w:rPr>
                <w:sz w:val="16"/>
                <w:szCs w:val="16"/>
              </w:rPr>
              <w:t>6 weeks</w:t>
            </w:r>
          </w:p>
        </w:tc>
        <w:tc>
          <w:tcPr>
            <w:tcW w:w="759" w:type="pct"/>
            <w:shd w:val="clear" w:color="FFFFFF" w:fill="FFFFFF"/>
            <w:noWrap/>
            <w:vAlign w:val="bottom"/>
            <w:hideMark/>
          </w:tcPr>
          <w:p w14:paraId="267EF01E" w14:textId="77777777" w:rsidR="00F24106" w:rsidRPr="00A276BA" w:rsidRDefault="00F24106" w:rsidP="0061013B">
            <w:pPr>
              <w:pStyle w:val="NoSpacing"/>
              <w:jc w:val="center"/>
              <w:rPr>
                <w:sz w:val="16"/>
                <w:szCs w:val="16"/>
              </w:rPr>
            </w:pPr>
            <w:r w:rsidRPr="00A276BA">
              <w:rPr>
                <w:sz w:val="16"/>
                <w:szCs w:val="16"/>
              </w:rPr>
              <w:t>7</w:t>
            </w:r>
          </w:p>
        </w:tc>
        <w:tc>
          <w:tcPr>
            <w:tcW w:w="381" w:type="pct"/>
            <w:shd w:val="clear" w:color="FFFFFF" w:fill="FFFFFF"/>
            <w:noWrap/>
            <w:vAlign w:val="bottom"/>
            <w:hideMark/>
          </w:tcPr>
          <w:p w14:paraId="6ECE8896"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FFFFFF" w:fill="FFFFFF"/>
            <w:noWrap/>
            <w:vAlign w:val="bottom"/>
            <w:hideMark/>
          </w:tcPr>
          <w:p w14:paraId="045ACC98" w14:textId="77777777" w:rsidR="00F24106" w:rsidRPr="00A276BA" w:rsidRDefault="00F24106" w:rsidP="0061013B">
            <w:pPr>
              <w:pStyle w:val="NoSpacing"/>
              <w:jc w:val="center"/>
              <w:rPr>
                <w:sz w:val="16"/>
                <w:szCs w:val="16"/>
              </w:rPr>
            </w:pPr>
            <w:r w:rsidRPr="00A276BA">
              <w:rPr>
                <w:sz w:val="16"/>
                <w:szCs w:val="16"/>
              </w:rPr>
              <w:t>0.79</w:t>
            </w:r>
          </w:p>
        </w:tc>
      </w:tr>
      <w:tr w:rsidR="00F24106" w:rsidRPr="00A276BA" w14:paraId="69D94C67" w14:textId="77777777" w:rsidTr="0061013B">
        <w:trPr>
          <w:cantSplit/>
          <w:trHeight w:val="255"/>
        </w:trPr>
        <w:tc>
          <w:tcPr>
            <w:tcW w:w="380" w:type="pct"/>
            <w:shd w:val="clear" w:color="auto" w:fill="auto"/>
            <w:noWrap/>
            <w:vAlign w:val="bottom"/>
            <w:hideMark/>
          </w:tcPr>
          <w:p w14:paraId="50D44D43" w14:textId="314A379B" w:rsidR="00F24106" w:rsidRPr="00A276BA" w:rsidRDefault="00F24106" w:rsidP="00F24106">
            <w:pPr>
              <w:pStyle w:val="NoSpacing"/>
              <w:rPr>
                <w:sz w:val="16"/>
                <w:szCs w:val="16"/>
              </w:rPr>
            </w:pPr>
            <w:r w:rsidRPr="00A276BA">
              <w:rPr>
                <w:sz w:val="16"/>
                <w:szCs w:val="16"/>
              </w:rPr>
              <w:t xml:space="preserve">Bogale </w:t>
            </w:r>
            <w:r>
              <w:rPr>
                <w:sz w:val="16"/>
                <w:szCs w:val="16"/>
              </w:rPr>
              <w:t xml:space="preserve">2017 </w:t>
            </w:r>
            <w:r>
              <w:rPr>
                <w:sz w:val="16"/>
                <w:szCs w:val="16"/>
              </w:rPr>
              <w:fldChar w:fldCharType="begin" w:fldLock="1"/>
            </w:r>
            <w:r w:rsidR="00166DD4">
              <w:rPr>
                <w:sz w:val="16"/>
                <w:szCs w:val="16"/>
              </w:rPr>
              <w:instrText>ADDIN CSL_CITATION {"citationItems":[{"id":"ITEM-1","itemData":{"DOI":"10.1186/s12887-017-0967-9","ISSN":"1471-2431 (Electronic)","PMID":"29282018","abstract":"BACKGROUND: Without improving the survival of newborns, meaningful reduction in under-five mortality is difficult. Most neonatal deaths are preventable when appropriate and timely care is sought. In Ethiopia, there is lack of evidence on the type and contribution of delays in treatment seeking to neonatal deaths. METHODS: A community based social autopsy (SA) of 39 neonatal deaths was conducted from March 16 to 24, 2016 in Dabat Health and Demographic Surveillance System (HDSS) in northwest Ethiopia. The result was linked with verbal autopsy (VA) information completed for each of the deaths as part of the ongoing HDSS. The SA tool was adapted from INDEPTH Network. Three delay model approach was used to classify the delay types that contributed for the deaths investigated. Descriptive statistics was used to analyze the data. RESULTS: SA was completed for 37 (94.9%) of the 39 neonatal deaths. Of all the deaths, 51.3% (19/37) of them occurred within the first 24 h, 75.6% (28/37) within the first 6 days and the remaining in 7-28 days. Birth asphyxia was the leading cause of death (34%) followed by bacterial sepsis (31%) and prematurity (16%). The median time from recognition of illness to initiation of modern treatment was 1 day (IQR 1-2.5 days). Delay in treatment seeking outside home (delay one) was associated with 81% of the deaths. Delay in receiving care at a health facility (delay three) and delay in transport (delay two) were associated with 16 and 3% of the deaths, respectively. The major contributors of death for delay one were bacterial sepsis (33.3%), birth asphyxia (30%), unspecified illness (20%) and acute lower respiratory tract illnesses (6.7%). For delay three, the major causes of death included birth asphyxia (50%), prematurity (33.3%) and bacterial sepsis (16.7%). CONCLUSIONS: Delays created at home and at health facility were the major delays contributing to the death of newborns. More focus has to be given in improving delays at home and at health facility.","author":[{"dropping-particle":"","family":"Bogale","given":"Tariku Nigatu","non-dropping-particle":"","parse-names":false,"suffix":""},{"dropping-particle":"","family":"Worku","given":"Abebaw Gebeyehu","non-dropping-particle":"","parse-names":false,"suffix":""},{"dropping-particle":"","family":"Bikis","given":"Gashaw Andargie","non-dropping-particle":"","parse-names":false,"suffix":""},{"dropping-particle":"","family":"Kebede","given":"Zemene Tigabu","non-dropping-particle":"","parse-names":false,"suffix":""}],"container-title":"BMC pediatrics","id":"ITEM-1","issue":"1","issued":{"date-parts":[["2017","12"]]},"language":"eng","page":"216","publisher-place":"England","title":"Why gone too soon? Examining social determinants of neonatal deaths in northwest  Ethiopia using the three delay model approach.","type":"article-journal","volume":"17"},"uris":["http://www.mendeley.com/documents/?uuid=00dfbf1c-5e83-4d31-9530-8dfbcbb83797"]}],"mendeley":{"formattedCitation":"(60)","manualFormatting":"[59","plainTextFormattedCitation":"(60)","previouslyFormattedCitation":"(60)"},"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59</w:t>
            </w:r>
            <w:r>
              <w:rPr>
                <w:sz w:val="16"/>
                <w:szCs w:val="16"/>
              </w:rPr>
              <w:fldChar w:fldCharType="end"/>
            </w:r>
            <w:r w:rsidR="0084406E">
              <w:rPr>
                <w:sz w:val="16"/>
                <w:szCs w:val="16"/>
              </w:rPr>
              <w:t>]</w:t>
            </w:r>
          </w:p>
        </w:tc>
        <w:tc>
          <w:tcPr>
            <w:tcW w:w="348" w:type="pct"/>
            <w:shd w:val="clear" w:color="auto" w:fill="auto"/>
            <w:noWrap/>
            <w:vAlign w:val="bottom"/>
            <w:hideMark/>
          </w:tcPr>
          <w:p w14:paraId="7BA4D229" w14:textId="77777777" w:rsidR="00F24106" w:rsidRPr="00A276BA" w:rsidRDefault="00F24106" w:rsidP="0061013B">
            <w:pPr>
              <w:pStyle w:val="NoSpacing"/>
              <w:jc w:val="center"/>
              <w:rPr>
                <w:sz w:val="16"/>
                <w:szCs w:val="16"/>
              </w:rPr>
            </w:pPr>
            <w:r w:rsidRPr="00A276BA">
              <w:rPr>
                <w:sz w:val="16"/>
                <w:szCs w:val="16"/>
              </w:rPr>
              <w:t>2016</w:t>
            </w:r>
          </w:p>
        </w:tc>
        <w:tc>
          <w:tcPr>
            <w:tcW w:w="316" w:type="pct"/>
            <w:shd w:val="clear" w:color="auto" w:fill="auto"/>
            <w:noWrap/>
            <w:vAlign w:val="bottom"/>
            <w:hideMark/>
          </w:tcPr>
          <w:p w14:paraId="7D1F7264" w14:textId="77777777" w:rsidR="00F24106" w:rsidRPr="00A276BA" w:rsidRDefault="00F24106" w:rsidP="0061013B">
            <w:pPr>
              <w:pStyle w:val="NoSpacing"/>
              <w:jc w:val="center"/>
              <w:rPr>
                <w:sz w:val="16"/>
                <w:szCs w:val="16"/>
              </w:rPr>
            </w:pPr>
            <w:r w:rsidRPr="00A276BA">
              <w:rPr>
                <w:sz w:val="16"/>
                <w:szCs w:val="16"/>
              </w:rPr>
              <w:t>Ethiopia</w:t>
            </w:r>
          </w:p>
        </w:tc>
        <w:tc>
          <w:tcPr>
            <w:tcW w:w="285" w:type="pct"/>
            <w:shd w:val="clear" w:color="auto" w:fill="auto"/>
            <w:noWrap/>
            <w:vAlign w:val="bottom"/>
            <w:hideMark/>
          </w:tcPr>
          <w:p w14:paraId="3A745E24" w14:textId="77777777" w:rsidR="00F24106" w:rsidRPr="00A276BA" w:rsidRDefault="00F24106" w:rsidP="0061013B">
            <w:pPr>
              <w:pStyle w:val="NoSpacing"/>
              <w:jc w:val="center"/>
              <w:rPr>
                <w:sz w:val="16"/>
                <w:szCs w:val="16"/>
              </w:rPr>
            </w:pPr>
            <w:r w:rsidRPr="00A276BA">
              <w:rPr>
                <w:sz w:val="16"/>
                <w:szCs w:val="16"/>
              </w:rPr>
              <w:t>0-28 days</w:t>
            </w:r>
          </w:p>
        </w:tc>
        <w:tc>
          <w:tcPr>
            <w:tcW w:w="362" w:type="pct"/>
            <w:shd w:val="clear" w:color="auto" w:fill="auto"/>
            <w:noWrap/>
            <w:vAlign w:val="bottom"/>
            <w:hideMark/>
          </w:tcPr>
          <w:p w14:paraId="1D4C4FA4"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139801C6"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4988CF70"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208AD29B" w14:textId="77777777" w:rsidR="00F24106" w:rsidRPr="00A276BA" w:rsidRDefault="00F24106" w:rsidP="0061013B">
            <w:pPr>
              <w:pStyle w:val="NoSpacing"/>
              <w:jc w:val="center"/>
              <w:rPr>
                <w:sz w:val="16"/>
                <w:szCs w:val="16"/>
              </w:rPr>
            </w:pPr>
            <w:r w:rsidRPr="00A276BA">
              <w:rPr>
                <w:sz w:val="16"/>
                <w:szCs w:val="16"/>
              </w:rPr>
              <w:t>37</w:t>
            </w:r>
          </w:p>
        </w:tc>
        <w:tc>
          <w:tcPr>
            <w:tcW w:w="545" w:type="pct"/>
            <w:shd w:val="clear" w:color="auto" w:fill="auto"/>
            <w:noWrap/>
            <w:vAlign w:val="bottom"/>
            <w:hideMark/>
          </w:tcPr>
          <w:p w14:paraId="08BE52C3" w14:textId="77777777" w:rsidR="00F24106" w:rsidRPr="00A276BA" w:rsidRDefault="00F24106" w:rsidP="0061013B">
            <w:pPr>
              <w:pStyle w:val="NoSpacing"/>
              <w:jc w:val="center"/>
              <w:rPr>
                <w:sz w:val="16"/>
                <w:szCs w:val="16"/>
              </w:rPr>
            </w:pPr>
            <w:r w:rsidRPr="00A276BA">
              <w:rPr>
                <w:sz w:val="16"/>
                <w:szCs w:val="16"/>
              </w:rPr>
              <w:t>INDEPTH Network VA and SA</w:t>
            </w:r>
          </w:p>
        </w:tc>
        <w:tc>
          <w:tcPr>
            <w:tcW w:w="373" w:type="pct"/>
            <w:shd w:val="clear" w:color="auto" w:fill="auto"/>
            <w:noWrap/>
            <w:vAlign w:val="bottom"/>
            <w:hideMark/>
          </w:tcPr>
          <w:p w14:paraId="0879BD23" w14:textId="77777777" w:rsidR="00F24106" w:rsidRPr="00A276BA" w:rsidRDefault="00F24106" w:rsidP="0061013B">
            <w:pPr>
              <w:pStyle w:val="NoSpacing"/>
              <w:jc w:val="center"/>
              <w:rPr>
                <w:sz w:val="16"/>
                <w:szCs w:val="16"/>
              </w:rPr>
            </w:pPr>
            <w:r w:rsidRPr="00A276BA">
              <w:rPr>
                <w:sz w:val="16"/>
                <w:szCs w:val="16"/>
              </w:rPr>
              <w:t>18 months</w:t>
            </w:r>
          </w:p>
        </w:tc>
        <w:tc>
          <w:tcPr>
            <w:tcW w:w="759" w:type="pct"/>
            <w:shd w:val="clear" w:color="auto" w:fill="auto"/>
            <w:noWrap/>
            <w:vAlign w:val="bottom"/>
            <w:hideMark/>
          </w:tcPr>
          <w:p w14:paraId="4159A754" w14:textId="77777777" w:rsidR="00F24106" w:rsidRPr="00A276BA" w:rsidRDefault="00F24106" w:rsidP="0061013B">
            <w:pPr>
              <w:pStyle w:val="NoSpacing"/>
              <w:jc w:val="center"/>
              <w:rPr>
                <w:sz w:val="16"/>
                <w:szCs w:val="16"/>
              </w:rPr>
            </w:pPr>
            <w:r w:rsidRPr="00A276BA">
              <w:rPr>
                <w:sz w:val="16"/>
                <w:szCs w:val="16"/>
              </w:rPr>
              <w:t>4a</w:t>
            </w:r>
          </w:p>
        </w:tc>
        <w:tc>
          <w:tcPr>
            <w:tcW w:w="381" w:type="pct"/>
            <w:shd w:val="clear" w:color="auto" w:fill="auto"/>
            <w:noWrap/>
            <w:vAlign w:val="bottom"/>
            <w:hideMark/>
          </w:tcPr>
          <w:p w14:paraId="27752386" w14:textId="77777777" w:rsidR="00F24106" w:rsidRPr="00A276BA" w:rsidRDefault="00F24106" w:rsidP="0061013B">
            <w:pPr>
              <w:pStyle w:val="NoSpacing"/>
              <w:jc w:val="center"/>
              <w:rPr>
                <w:sz w:val="16"/>
                <w:szCs w:val="16"/>
              </w:rPr>
            </w:pPr>
            <w:r w:rsidRPr="00A276BA">
              <w:rPr>
                <w:sz w:val="16"/>
                <w:szCs w:val="16"/>
              </w:rPr>
              <w:t>Three Delays Model</w:t>
            </w:r>
          </w:p>
        </w:tc>
        <w:tc>
          <w:tcPr>
            <w:tcW w:w="253" w:type="pct"/>
            <w:shd w:val="clear" w:color="auto" w:fill="auto"/>
            <w:noWrap/>
            <w:vAlign w:val="bottom"/>
            <w:hideMark/>
          </w:tcPr>
          <w:p w14:paraId="53E095A2" w14:textId="77777777" w:rsidR="00F24106" w:rsidRPr="00A276BA" w:rsidRDefault="00F24106" w:rsidP="0061013B">
            <w:pPr>
              <w:pStyle w:val="NoSpacing"/>
              <w:jc w:val="center"/>
              <w:rPr>
                <w:sz w:val="16"/>
                <w:szCs w:val="16"/>
              </w:rPr>
            </w:pPr>
            <w:r w:rsidRPr="00A276BA">
              <w:rPr>
                <w:sz w:val="16"/>
                <w:szCs w:val="16"/>
              </w:rPr>
              <w:t>0.86</w:t>
            </w:r>
          </w:p>
        </w:tc>
      </w:tr>
      <w:tr w:rsidR="00F24106" w:rsidRPr="00A276BA" w14:paraId="0A8E16A2" w14:textId="77777777" w:rsidTr="0061013B">
        <w:trPr>
          <w:cantSplit/>
          <w:trHeight w:val="255"/>
        </w:trPr>
        <w:tc>
          <w:tcPr>
            <w:tcW w:w="380" w:type="pct"/>
            <w:shd w:val="clear" w:color="auto" w:fill="auto"/>
            <w:noWrap/>
            <w:vAlign w:val="bottom"/>
            <w:hideMark/>
          </w:tcPr>
          <w:p w14:paraId="5055027A" w14:textId="2A6A9578" w:rsidR="00F24106" w:rsidRPr="00A276BA" w:rsidRDefault="00F24106" w:rsidP="00BF67EF">
            <w:pPr>
              <w:pStyle w:val="NoSpacing"/>
              <w:rPr>
                <w:sz w:val="16"/>
                <w:szCs w:val="16"/>
              </w:rPr>
            </w:pPr>
            <w:r w:rsidRPr="00A276BA">
              <w:rPr>
                <w:sz w:val="16"/>
                <w:szCs w:val="16"/>
              </w:rPr>
              <w:t xml:space="preserve">Koffi </w:t>
            </w:r>
            <w:r>
              <w:rPr>
                <w:sz w:val="16"/>
                <w:szCs w:val="16"/>
              </w:rPr>
              <w:t>2017</w:t>
            </w:r>
            <w:r w:rsidRPr="00A276BA">
              <w:rPr>
                <w:sz w:val="16"/>
                <w:szCs w:val="16"/>
              </w:rPr>
              <w:t xml:space="preserve"> </w:t>
            </w:r>
            <w:r>
              <w:rPr>
                <w:sz w:val="16"/>
                <w:szCs w:val="16"/>
              </w:rPr>
              <w:fldChar w:fldCharType="begin" w:fldLock="1"/>
            </w:r>
            <w:r w:rsidR="00CD0705">
              <w:rPr>
                <w:sz w:val="16"/>
                <w:szCs w:val="16"/>
              </w:rPr>
              <w:instrText>ADDIN CSL_CITATION {"citationItems":[{"id":"ITEM-1","itemData":{"DOI":"10.1371/journal.pone.0177025","ISSN":"1932-6203 (Electronic)","PMID":"28562610","abstract":"BACKGROUND: Millions of children worldwide suffer and die from conditions for which effective interventions exist. While there is ample evidence regarding these diseases, there is a dearth of information on the social factors associated with child mortality. METHODS: The 2014 Verbal and Social Autopsy Study was conducted based on a nationally representative sample of 3,254 deaths that occurred in children under the age of five and were reported on the birth history component of the 2013 Nigerian Demographic and Health Survey. We conducted a descriptive analysis of the preventive and curative care sought and obtained for the 2,057 children aged 1-59 months who died in Nigeria and performed regional (North vs. South) comparisons. RESULTS: A total of 1,616 children died in the northern region, while 441 children died in the South. The majority (72.5%) of deceased children in the northern region were born to mothers who had no education, married at a young age, and lived in the poorest two quintiles of households. When caregivers first noticed that their child was ill, a median of 2 days passed before they sought or attempted to seek healthcare for their children. The proportion of children who reached and departed from their first formal healthcare provider alive was greater in the North (30.6%) than in the South (17.9%) (p&lt;0.001). A total of 548 children were moderately or severely sick at discharge from the first healthcare provider, yet only 3.9%-18.1% were referred to a second healthcare provider. Cost, lack of transportation, and distance from healthcare facilities were the most commonly reported barriers to formal care-seeking behavior. CONCLUSIONS: Maternal, household, and healthcare system factors contributed to child mortality in Nigeria. Information regarding modifiable social factors may be useful in planning intervention programs to promote child survival in Nigeria and other low-income countries in sub-Saharan Africa.","author":[{"dropping-particle":"","family":"Koffi","given":"Alain K","non-dropping-particle":"","parse-names":false,"suffix":""},{"dropping-particle":"","family":"Kalter","given":"Henry D","non-dropping-particle":"","parse-names":false,"suffix":""},{"dropping-particle":"","family":"Loveth","given":"Ezenwa N","non-dropping-particle":"","parse-names":false,"suffix":""},{"dropping-particle":"","family":"Quinley","given":"John","non-dropping-particle":"","parse-names":false,"suffix":""},{"dropping-particle":"","family":"Monehin","given":"Joseph","non-dropping-particle":"","parse-names":false,"suffix":""},{"dropping-particle":"","family":"Black","given":"Robert E","non-dropping-particle":"","parse-names":false,"suffix":""}],"container-title":"PloS one","id":"ITEM-1","issue":"5","issued":{"date-parts":[["2017"]]},"language":"eng","page":"e0177025","publisher-place":"United States","title":"Beyond causes of death: The social determinants of mortality among children aged 1-59 months in Nigeria from 2009 to 2013.","type":"article-journal","volume":"12"},"uris":["http://www.mendeley.com/documents/?uuid=e21a015d-a4d3-4e8b-a93d-c1c0fa3455e8"]}],"mendeley":{"formattedCitation":"(4)","manualFormatting":"[4","plainTextFormattedCitation":"(4)","previouslyFormattedCitation":"(4)"},"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4</w:t>
            </w:r>
            <w:r>
              <w:rPr>
                <w:sz w:val="16"/>
                <w:szCs w:val="16"/>
              </w:rPr>
              <w:fldChar w:fldCharType="end"/>
            </w:r>
            <w:r w:rsidR="0084406E">
              <w:rPr>
                <w:sz w:val="16"/>
                <w:szCs w:val="16"/>
              </w:rPr>
              <w:t>]</w:t>
            </w:r>
          </w:p>
          <w:p w14:paraId="684CF436" w14:textId="77777777" w:rsidR="00F24106" w:rsidRPr="00A276BA" w:rsidRDefault="00F24106" w:rsidP="00BF67EF">
            <w:pPr>
              <w:pStyle w:val="NoSpacing"/>
              <w:rPr>
                <w:sz w:val="16"/>
                <w:szCs w:val="16"/>
              </w:rPr>
            </w:pPr>
          </w:p>
        </w:tc>
        <w:tc>
          <w:tcPr>
            <w:tcW w:w="348" w:type="pct"/>
            <w:shd w:val="clear" w:color="auto" w:fill="auto"/>
            <w:noWrap/>
            <w:vAlign w:val="bottom"/>
            <w:hideMark/>
          </w:tcPr>
          <w:p w14:paraId="6B41990D" w14:textId="77777777" w:rsidR="00F24106" w:rsidRPr="00A276BA" w:rsidRDefault="00F24106" w:rsidP="0061013B">
            <w:pPr>
              <w:pStyle w:val="NoSpacing"/>
              <w:jc w:val="center"/>
              <w:rPr>
                <w:sz w:val="16"/>
                <w:szCs w:val="16"/>
              </w:rPr>
            </w:pPr>
            <w:r w:rsidRPr="00A276BA">
              <w:rPr>
                <w:sz w:val="16"/>
                <w:szCs w:val="16"/>
              </w:rPr>
              <w:t>2009-2013</w:t>
            </w:r>
          </w:p>
        </w:tc>
        <w:tc>
          <w:tcPr>
            <w:tcW w:w="316" w:type="pct"/>
            <w:shd w:val="clear" w:color="auto" w:fill="auto"/>
            <w:noWrap/>
            <w:vAlign w:val="bottom"/>
            <w:hideMark/>
          </w:tcPr>
          <w:p w14:paraId="4E9974F8" w14:textId="77777777" w:rsidR="00F24106" w:rsidRPr="00A276BA" w:rsidRDefault="00F24106" w:rsidP="0061013B">
            <w:pPr>
              <w:pStyle w:val="NoSpacing"/>
              <w:jc w:val="center"/>
              <w:rPr>
                <w:sz w:val="16"/>
                <w:szCs w:val="16"/>
              </w:rPr>
            </w:pPr>
            <w:r w:rsidRPr="00A276BA">
              <w:rPr>
                <w:sz w:val="16"/>
                <w:szCs w:val="16"/>
              </w:rPr>
              <w:t>Nigeria</w:t>
            </w:r>
          </w:p>
        </w:tc>
        <w:tc>
          <w:tcPr>
            <w:tcW w:w="285" w:type="pct"/>
            <w:shd w:val="clear" w:color="auto" w:fill="auto"/>
            <w:noWrap/>
            <w:vAlign w:val="bottom"/>
            <w:hideMark/>
          </w:tcPr>
          <w:p w14:paraId="702921A3"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74FC585B" w14:textId="77777777" w:rsidR="00F24106" w:rsidRPr="00A276BA" w:rsidRDefault="00F24106" w:rsidP="0061013B">
            <w:pPr>
              <w:pStyle w:val="NoSpacing"/>
              <w:jc w:val="center"/>
              <w:rPr>
                <w:sz w:val="16"/>
                <w:szCs w:val="16"/>
              </w:rPr>
            </w:pPr>
            <w:r w:rsidRPr="00A276BA">
              <w:rPr>
                <w:sz w:val="16"/>
                <w:szCs w:val="16"/>
              </w:rPr>
              <w:t>Lower middle income</w:t>
            </w:r>
          </w:p>
        </w:tc>
        <w:tc>
          <w:tcPr>
            <w:tcW w:w="367" w:type="pct"/>
            <w:shd w:val="clear" w:color="auto" w:fill="auto"/>
            <w:noWrap/>
            <w:vAlign w:val="bottom"/>
            <w:hideMark/>
          </w:tcPr>
          <w:p w14:paraId="0FD69BDD" w14:textId="77777777" w:rsidR="00F24106" w:rsidRPr="00A276BA" w:rsidRDefault="00F24106" w:rsidP="0061013B">
            <w:pPr>
              <w:pStyle w:val="NoSpacing"/>
              <w:jc w:val="center"/>
              <w:rPr>
                <w:sz w:val="16"/>
                <w:szCs w:val="16"/>
              </w:rPr>
            </w:pPr>
            <w:r w:rsidRPr="00A276BA">
              <w:rPr>
                <w:sz w:val="16"/>
                <w:szCs w:val="16"/>
              </w:rPr>
              <w:t>Mixed</w:t>
            </w:r>
          </w:p>
        </w:tc>
        <w:tc>
          <w:tcPr>
            <w:tcW w:w="315" w:type="pct"/>
            <w:vAlign w:val="bottom"/>
          </w:tcPr>
          <w:p w14:paraId="37262A0E"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4E281A7A" w14:textId="77777777" w:rsidR="00F24106" w:rsidRPr="00A276BA" w:rsidRDefault="00F24106" w:rsidP="0061013B">
            <w:pPr>
              <w:pStyle w:val="NoSpacing"/>
              <w:jc w:val="center"/>
              <w:rPr>
                <w:sz w:val="16"/>
                <w:szCs w:val="16"/>
              </w:rPr>
            </w:pPr>
            <w:r w:rsidRPr="00A276BA">
              <w:rPr>
                <w:sz w:val="16"/>
                <w:szCs w:val="16"/>
              </w:rPr>
              <w:t>2057</w:t>
            </w:r>
          </w:p>
        </w:tc>
        <w:tc>
          <w:tcPr>
            <w:tcW w:w="545" w:type="pct"/>
            <w:shd w:val="clear" w:color="auto" w:fill="auto"/>
            <w:noWrap/>
            <w:vAlign w:val="bottom"/>
            <w:hideMark/>
          </w:tcPr>
          <w:p w14:paraId="738C876B"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7134108D" w14:textId="77777777" w:rsidR="00F24106" w:rsidRPr="00A276BA" w:rsidRDefault="00F24106" w:rsidP="0061013B">
            <w:pPr>
              <w:pStyle w:val="NoSpacing"/>
              <w:jc w:val="center"/>
              <w:rPr>
                <w:sz w:val="16"/>
                <w:szCs w:val="16"/>
              </w:rPr>
            </w:pPr>
            <w:r w:rsidRPr="00A276BA">
              <w:rPr>
                <w:sz w:val="16"/>
                <w:szCs w:val="16"/>
              </w:rPr>
              <w:t>5 years</w:t>
            </w:r>
          </w:p>
        </w:tc>
        <w:tc>
          <w:tcPr>
            <w:tcW w:w="759" w:type="pct"/>
            <w:shd w:val="clear" w:color="auto" w:fill="auto"/>
            <w:noWrap/>
            <w:vAlign w:val="bottom"/>
            <w:hideMark/>
          </w:tcPr>
          <w:p w14:paraId="756BD4A6"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44C9E601"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10899E64" w14:textId="77777777" w:rsidR="00F24106" w:rsidRPr="00A276BA" w:rsidRDefault="00F24106" w:rsidP="0061013B">
            <w:pPr>
              <w:pStyle w:val="NoSpacing"/>
              <w:jc w:val="center"/>
              <w:rPr>
                <w:sz w:val="16"/>
                <w:szCs w:val="16"/>
              </w:rPr>
            </w:pPr>
            <w:r w:rsidRPr="00A276BA">
              <w:rPr>
                <w:sz w:val="16"/>
                <w:szCs w:val="16"/>
              </w:rPr>
              <w:t>1.00</w:t>
            </w:r>
          </w:p>
        </w:tc>
      </w:tr>
      <w:tr w:rsidR="00F24106" w:rsidRPr="00A276BA" w14:paraId="4D276196" w14:textId="77777777" w:rsidTr="0061013B">
        <w:trPr>
          <w:cantSplit/>
          <w:trHeight w:val="255"/>
        </w:trPr>
        <w:tc>
          <w:tcPr>
            <w:tcW w:w="380" w:type="pct"/>
            <w:shd w:val="clear" w:color="auto" w:fill="auto"/>
            <w:noWrap/>
            <w:vAlign w:val="bottom"/>
            <w:hideMark/>
          </w:tcPr>
          <w:p w14:paraId="0806F017" w14:textId="279B01DA" w:rsidR="00F24106" w:rsidRPr="00A276BA" w:rsidRDefault="00F24106" w:rsidP="00BF67EF">
            <w:pPr>
              <w:pStyle w:val="NoSpacing"/>
              <w:rPr>
                <w:sz w:val="16"/>
                <w:szCs w:val="16"/>
              </w:rPr>
            </w:pPr>
            <w:r w:rsidRPr="00A276BA">
              <w:rPr>
                <w:sz w:val="16"/>
                <w:szCs w:val="16"/>
              </w:rPr>
              <w:t xml:space="preserve">Koffi </w:t>
            </w:r>
            <w:r>
              <w:rPr>
                <w:sz w:val="16"/>
                <w:szCs w:val="16"/>
              </w:rPr>
              <w:t xml:space="preserve">2017 </w:t>
            </w:r>
            <w:r>
              <w:rPr>
                <w:sz w:val="16"/>
                <w:szCs w:val="16"/>
              </w:rPr>
              <w:fldChar w:fldCharType="begin" w:fldLock="1"/>
            </w:r>
            <w:r w:rsidR="00876406">
              <w:rPr>
                <w:sz w:val="16"/>
                <w:szCs w:val="16"/>
              </w:rPr>
              <w:instrText>ADDIN CSL_CITATION {"citationItems":[{"id":"ITEM-1","itemData":{"DOI":"10.7189/jogh.07.010601","ISSN":"2047-2986 (Electronic)","PMID":"28400957","abstract":"BACKGROUND: While most child deaths are caused by highly preventable and treatable diseases such as pneumonia, diarrhea, and malaria, several sociodemographic, cultural and health system factors work against children surviving from these diseases. METHODS: A retrospective verbal/social autopsy survey was conducted in 2012 to measure the biological causes and social determinants of under-five years old deaths from 2007 to 2010 in Doume, Nguelemendouka, and Abong-Mbang health districts in the Eastern Region of Cameroon. The present study sought to identify important sociodemographic and household characteristics of the 1-59 month old deaths, including the coverage of key preventive indicators of normal child care, and illness recognition and care-seeking for the children along the Pathway to Survival model. FINDINGS: Of the 635 deceased children with a completed interview, just 26.8% and 11.2% lived in households with an improved source of drinking water and sanitation, respectively. Almost all of the households (96.1%) used firewood for cooking, and 79.2% (n = 187) of the 236 mothers who cooked inside their home usually had their children beside them when they cooked. When 614 of the children became fatally ill, the majority (83.7%) of caregivers sought or tried to seek formal health care, but with a median delay of 2 days from illness onset to the decision to seek formal care. As a result, many (n = 111) children were taken for care only after their illness progressed from mild or moderate to severe. The main barriers to accessing the formal health system were the expenses for transportation, health care and other related costs. CONCLUSIONS: The most common social factors that contributed to the deaths of 1-59-month old children in the study setting included poor living conditions, prevailing customs that led to exposure to indoor smoke, and health-related behaviors such as delaying the decision to seek care. Increasing caregivers' ability to recognize the danger signs of childhood illnesses and to facilitate timely and appropriate health care-seeking, and improving standards of living such that parents or caregivers can overcome the economic obstacles, are measures that could make a difference in the survival of the ill children in the study area.","author":[{"dropping-particle":"","family":"Koffi","given":"Alain K","non-dropping-particle":"","parse-names":false,"suffix":""},{"dropping-particle":"","family":"Wounang","given":"Romain S","non-dropping-particle":"","parse-names":false,"suffix":""},{"dropping-particle":"","family":"Nguefack","given":"Felicitee","non-dropping-particle":"","parse-names":false,"suffix":""},{"dropping-particle":"","family":"Moluh","given":"Seidou","non-dropping-particle":"","parse-names":false,"suffix":""},{"dropping-particle":"","family":"Libite","given":"Paul-Roger","non-dropping-particle":"","parse-names":false,"suffix":""},{"dropping-particle":"","family":"Kalter","given":"Henry D","non-dropping-particle":"","parse-names":false,"suffix":""}],"container-title":"Journal of global health","id":"ITEM-1","issue":"1","issued":{"date-parts":[["2017","6"]]},"language":"eng","page":"10601","publisher-place":"Scotland","title":"Sociodemographic, behavioral, and environmental factors of child mortality in Eastern Region of Cameroon: results from a social autopsy study.","type":"article-journal","volume":"7"},"uris":["http://www.mendeley.com/documents/?uuid=9c52b29d-9c9e-4a98-b352-cde09da9bbe5"]}],"mendeley":{"formattedCitation":"(26)","manualFormatting":"[26","plainTextFormattedCitation":"(26)","previouslyFormattedCitation":"(26)"},"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26</w:t>
            </w:r>
            <w:r>
              <w:rPr>
                <w:sz w:val="16"/>
                <w:szCs w:val="16"/>
              </w:rPr>
              <w:fldChar w:fldCharType="end"/>
            </w:r>
            <w:r w:rsidR="0084406E">
              <w:rPr>
                <w:sz w:val="16"/>
                <w:szCs w:val="16"/>
              </w:rPr>
              <w:t>]</w:t>
            </w:r>
          </w:p>
        </w:tc>
        <w:tc>
          <w:tcPr>
            <w:tcW w:w="348" w:type="pct"/>
            <w:shd w:val="clear" w:color="auto" w:fill="auto"/>
            <w:noWrap/>
            <w:vAlign w:val="bottom"/>
            <w:hideMark/>
          </w:tcPr>
          <w:p w14:paraId="0D354E6B" w14:textId="77777777" w:rsidR="00F24106" w:rsidRPr="00A276BA" w:rsidRDefault="00F24106" w:rsidP="0061013B">
            <w:pPr>
              <w:pStyle w:val="NoSpacing"/>
              <w:jc w:val="center"/>
              <w:rPr>
                <w:sz w:val="16"/>
                <w:szCs w:val="16"/>
              </w:rPr>
            </w:pPr>
            <w:r w:rsidRPr="00A276BA">
              <w:rPr>
                <w:sz w:val="16"/>
                <w:szCs w:val="16"/>
              </w:rPr>
              <w:t>2012</w:t>
            </w:r>
          </w:p>
        </w:tc>
        <w:tc>
          <w:tcPr>
            <w:tcW w:w="316" w:type="pct"/>
            <w:shd w:val="clear" w:color="auto" w:fill="auto"/>
            <w:noWrap/>
            <w:vAlign w:val="bottom"/>
            <w:hideMark/>
          </w:tcPr>
          <w:p w14:paraId="510E0ADA" w14:textId="77777777" w:rsidR="00F24106" w:rsidRPr="00A276BA" w:rsidRDefault="00F24106" w:rsidP="0061013B">
            <w:pPr>
              <w:pStyle w:val="NoSpacing"/>
              <w:jc w:val="center"/>
              <w:rPr>
                <w:sz w:val="16"/>
                <w:szCs w:val="16"/>
              </w:rPr>
            </w:pPr>
            <w:r w:rsidRPr="00A276BA">
              <w:rPr>
                <w:sz w:val="16"/>
                <w:szCs w:val="16"/>
              </w:rPr>
              <w:t>Cameroon</w:t>
            </w:r>
          </w:p>
        </w:tc>
        <w:tc>
          <w:tcPr>
            <w:tcW w:w="285" w:type="pct"/>
            <w:shd w:val="clear" w:color="auto" w:fill="auto"/>
            <w:noWrap/>
            <w:vAlign w:val="bottom"/>
            <w:hideMark/>
          </w:tcPr>
          <w:p w14:paraId="22C33EF0" w14:textId="77777777" w:rsidR="00F24106" w:rsidRPr="00A276BA" w:rsidRDefault="00F24106" w:rsidP="0061013B">
            <w:pPr>
              <w:pStyle w:val="NoSpacing"/>
              <w:jc w:val="center"/>
              <w:rPr>
                <w:sz w:val="16"/>
                <w:szCs w:val="16"/>
              </w:rPr>
            </w:pPr>
            <w:r w:rsidRPr="00A276BA">
              <w:rPr>
                <w:sz w:val="16"/>
                <w:szCs w:val="16"/>
              </w:rPr>
              <w:t>1-59 months</w:t>
            </w:r>
          </w:p>
        </w:tc>
        <w:tc>
          <w:tcPr>
            <w:tcW w:w="362" w:type="pct"/>
            <w:shd w:val="clear" w:color="auto" w:fill="auto"/>
            <w:noWrap/>
            <w:vAlign w:val="bottom"/>
            <w:hideMark/>
          </w:tcPr>
          <w:p w14:paraId="37524CB0" w14:textId="77777777" w:rsidR="00F24106" w:rsidRPr="00A276BA" w:rsidRDefault="00F24106" w:rsidP="0061013B">
            <w:pPr>
              <w:pStyle w:val="NoSpacing"/>
              <w:jc w:val="center"/>
              <w:rPr>
                <w:sz w:val="16"/>
                <w:szCs w:val="16"/>
              </w:rPr>
            </w:pPr>
            <w:r w:rsidRPr="00A276BA">
              <w:rPr>
                <w:sz w:val="16"/>
                <w:szCs w:val="16"/>
              </w:rPr>
              <w:t>Lower middle income</w:t>
            </w:r>
          </w:p>
        </w:tc>
        <w:tc>
          <w:tcPr>
            <w:tcW w:w="367" w:type="pct"/>
            <w:shd w:val="clear" w:color="auto" w:fill="auto"/>
            <w:noWrap/>
            <w:vAlign w:val="bottom"/>
            <w:hideMark/>
          </w:tcPr>
          <w:p w14:paraId="6B54CB0F"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2EFEF776" w14:textId="77777777" w:rsidR="00F24106" w:rsidRPr="00A276BA" w:rsidRDefault="00F24106" w:rsidP="0061013B">
            <w:pPr>
              <w:pStyle w:val="NoSpacing"/>
              <w:jc w:val="center"/>
              <w:rPr>
                <w:sz w:val="16"/>
                <w:szCs w:val="16"/>
              </w:rPr>
            </w:pPr>
            <w:r>
              <w:rPr>
                <w:sz w:val="16"/>
                <w:szCs w:val="16"/>
              </w:rPr>
              <w:t>Mixed</w:t>
            </w:r>
          </w:p>
        </w:tc>
        <w:tc>
          <w:tcPr>
            <w:tcW w:w="316" w:type="pct"/>
            <w:shd w:val="clear" w:color="auto" w:fill="auto"/>
            <w:noWrap/>
            <w:vAlign w:val="bottom"/>
            <w:hideMark/>
          </w:tcPr>
          <w:p w14:paraId="06682AD5" w14:textId="77777777" w:rsidR="00F24106" w:rsidRPr="00A276BA" w:rsidRDefault="00F24106" w:rsidP="0061013B">
            <w:pPr>
              <w:pStyle w:val="NoSpacing"/>
              <w:jc w:val="center"/>
              <w:rPr>
                <w:sz w:val="16"/>
                <w:szCs w:val="16"/>
              </w:rPr>
            </w:pPr>
            <w:r w:rsidRPr="00A276BA">
              <w:rPr>
                <w:sz w:val="16"/>
                <w:szCs w:val="16"/>
              </w:rPr>
              <w:t>635</w:t>
            </w:r>
          </w:p>
        </w:tc>
        <w:tc>
          <w:tcPr>
            <w:tcW w:w="545" w:type="pct"/>
            <w:shd w:val="clear" w:color="auto" w:fill="auto"/>
            <w:noWrap/>
            <w:vAlign w:val="bottom"/>
            <w:hideMark/>
          </w:tcPr>
          <w:p w14:paraId="653FF35C" w14:textId="77777777" w:rsidR="00F24106" w:rsidRPr="00A276BA" w:rsidRDefault="00F24106" w:rsidP="0061013B">
            <w:pPr>
              <w:pStyle w:val="NoSpacing"/>
              <w:jc w:val="center"/>
              <w:rPr>
                <w:sz w:val="16"/>
                <w:szCs w:val="16"/>
              </w:rPr>
            </w:pPr>
            <w:r w:rsidRPr="00A276BA">
              <w:rPr>
                <w:sz w:val="16"/>
                <w:szCs w:val="16"/>
              </w:rPr>
              <w:t>VASA questionnaire blends the Population Health Metrics Research Consortium (PHMRC) VA questionnaire with the CHERG SA questionnaire</w:t>
            </w:r>
          </w:p>
        </w:tc>
        <w:tc>
          <w:tcPr>
            <w:tcW w:w="373" w:type="pct"/>
            <w:shd w:val="clear" w:color="auto" w:fill="auto"/>
            <w:noWrap/>
            <w:vAlign w:val="bottom"/>
            <w:hideMark/>
          </w:tcPr>
          <w:p w14:paraId="61680349" w14:textId="77777777" w:rsidR="00F24106" w:rsidRPr="00A276BA" w:rsidRDefault="00F24106" w:rsidP="0061013B">
            <w:pPr>
              <w:pStyle w:val="NoSpacing"/>
              <w:jc w:val="center"/>
              <w:rPr>
                <w:sz w:val="16"/>
                <w:szCs w:val="16"/>
              </w:rPr>
            </w:pPr>
            <w:r w:rsidRPr="00A276BA">
              <w:rPr>
                <w:sz w:val="16"/>
                <w:szCs w:val="16"/>
              </w:rPr>
              <w:t>5 years</w:t>
            </w:r>
          </w:p>
        </w:tc>
        <w:tc>
          <w:tcPr>
            <w:tcW w:w="759" w:type="pct"/>
            <w:shd w:val="clear" w:color="auto" w:fill="auto"/>
            <w:noWrap/>
            <w:vAlign w:val="bottom"/>
            <w:hideMark/>
          </w:tcPr>
          <w:p w14:paraId="6E52F2D0"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7F3A19F5" w14:textId="77777777" w:rsidR="00F24106" w:rsidRPr="00A276BA" w:rsidRDefault="00F24106" w:rsidP="0061013B">
            <w:pPr>
              <w:pStyle w:val="NoSpacing"/>
              <w:jc w:val="center"/>
              <w:rPr>
                <w:sz w:val="16"/>
                <w:szCs w:val="16"/>
              </w:rPr>
            </w:pPr>
            <w:r w:rsidRPr="00A276BA">
              <w:rPr>
                <w:sz w:val="16"/>
                <w:szCs w:val="16"/>
              </w:rPr>
              <w:t>Pathways to Survival</w:t>
            </w:r>
          </w:p>
        </w:tc>
        <w:tc>
          <w:tcPr>
            <w:tcW w:w="253" w:type="pct"/>
            <w:shd w:val="clear" w:color="auto" w:fill="auto"/>
            <w:noWrap/>
            <w:vAlign w:val="bottom"/>
            <w:hideMark/>
          </w:tcPr>
          <w:p w14:paraId="7302CAB4" w14:textId="77777777" w:rsidR="00F24106" w:rsidRPr="00A276BA" w:rsidRDefault="00F24106" w:rsidP="0061013B">
            <w:pPr>
              <w:pStyle w:val="NoSpacing"/>
              <w:jc w:val="center"/>
              <w:rPr>
                <w:sz w:val="16"/>
                <w:szCs w:val="16"/>
              </w:rPr>
            </w:pPr>
            <w:r w:rsidRPr="00A276BA">
              <w:rPr>
                <w:sz w:val="16"/>
                <w:szCs w:val="16"/>
              </w:rPr>
              <w:t>0.93</w:t>
            </w:r>
          </w:p>
        </w:tc>
      </w:tr>
      <w:tr w:rsidR="00F24106" w:rsidRPr="00A276BA" w14:paraId="1B74720A" w14:textId="77777777" w:rsidTr="0061013B">
        <w:trPr>
          <w:cantSplit/>
          <w:trHeight w:val="255"/>
        </w:trPr>
        <w:tc>
          <w:tcPr>
            <w:tcW w:w="380" w:type="pct"/>
            <w:shd w:val="clear" w:color="auto" w:fill="auto"/>
            <w:noWrap/>
            <w:vAlign w:val="bottom"/>
            <w:hideMark/>
          </w:tcPr>
          <w:p w14:paraId="7AD79D9E" w14:textId="42FA919B" w:rsidR="00F24106" w:rsidRPr="00A276BA" w:rsidRDefault="00F24106" w:rsidP="00BF67EF">
            <w:pPr>
              <w:pStyle w:val="NoSpacing"/>
              <w:rPr>
                <w:sz w:val="16"/>
                <w:szCs w:val="16"/>
              </w:rPr>
            </w:pPr>
            <w:r w:rsidRPr="00A276BA">
              <w:rPr>
                <w:sz w:val="16"/>
                <w:szCs w:val="16"/>
              </w:rPr>
              <w:t xml:space="preserve">Navale </w:t>
            </w:r>
            <w:r>
              <w:rPr>
                <w:sz w:val="16"/>
                <w:szCs w:val="16"/>
              </w:rPr>
              <w:t xml:space="preserve">2017 </w:t>
            </w:r>
            <w:r>
              <w:rPr>
                <w:sz w:val="16"/>
                <w:szCs w:val="16"/>
              </w:rPr>
              <w:fldChar w:fldCharType="begin" w:fldLock="1"/>
            </w:r>
            <w:r w:rsidR="00166DD4">
              <w:rPr>
                <w:sz w:val="16"/>
                <w:szCs w:val="16"/>
              </w:rPr>
              <w:instrText>ADDIN CSL_CITATION {"citationItems":[{"id":"ITEM-1","itemData":{"DOI":"10.1016/j.aogh.2017.10.029","ISSN":"2214-9996 (Electronic)","PMID":"29248092","abstract":"BACKGROUND: Rwanda has been a leader in the global effort to reduce infant mortality, particularly in regions of sub-Saharan Africa. Although rates have dropped, deaths still occur. OBJECTIVE: To explore the care pathways and barriers taken by infant caregivers before the death of their infant through a verbal social autopsy study in 2 districts in eastern Rwanda. METHODS: We adapted the World Health Organization verbal socialautopsy tools to reflect local context and priorities. Caregivers of infants in the 2 districts were interviewed using the adapted quantitative survey and semistructured interview guide. Interviews were recorded and thematic analysis employed on a subsample (n = 133) to extract the content relevant to understanding the drivers of infant death and inform results of the quantitative data until saturation was reached (66). Results were interpreted through a driver diagram framework to explore caregiver-reported challenges in knowledge and experiences with care access and delivery. FINDINGS: Most study participants (82%) reported accessing the formal health system at some point before the infant's death. The primary caregiver-reported drivers for infant death included challenges in accessing care in a timely manner, concerns about the technical quality of care received, and poor responsiveness of the system and providers. The 2 most commonly discussed drivers were gaps in communication between providers and patients and challenges obtaining and using the community-based health insurance. The framework of the driver diagram was modified to identify the factors where change was needed to further reduce mortality. CONCLUSION: This study provides important information on the experiential quality of care received by infants and their caregivers within the current health care space in rural Rwanda. By listening to the individual stories of so many caregivers regarding the gaps and challenges they faced, appropriate action may be taken to bolster the existing health care system.","author":[{"dropping-particle":"","family":"Navale","given":"Shalini","non-dropping-particle":"","parse-names":false,"suffix":""},{"dropping-particle":"","family":"Habumugisha","given":"Lameck","non-dropping-particle":"","parse-names":false,"suffix":""},{"dropping-particle":"","family":"Amoroso","given":"Cheryl","non-dropping-particle":"","parse-names":false,"suffix":""},{"dropping-particle":"","family":"Sayinzoga","given":"Felix","non-dropping-particle":"","parse-names":false,"suffix":""},{"dropping-particle":"","family":"Gupta","given":"Neil","non-dropping-particle":"","parse-names":false,"suffix":""},{"dropping-particle":"","family":"Hirschhorn","given":"Lisa R","non-dropping-particle":"","parse-names":false,"suffix":""}],"container-title":"Annals of global health","id":"ITEM-1","issue":"5-6","issued":{"date-parts":[["2017","9"]]},"language":"eng","page":"756-766","publisher-place":"United States","title":"Exploring Drivers of Infant Deaths in Rural Rwanda Through Verbal Social Autopsy.","type":"article-journal","volume":"83"},"uris":["http://www.mendeley.com/documents/?uuid=8d10a35d-efee-4b72-affb-d3edc708035a"]}],"mendeley":{"formattedCitation":"(61)","manualFormatting":"[60","plainTextFormattedCitation":"(61)","previouslyFormattedCitation":"(61)"},"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60</w:t>
            </w:r>
            <w:r>
              <w:rPr>
                <w:sz w:val="16"/>
                <w:szCs w:val="16"/>
              </w:rPr>
              <w:fldChar w:fldCharType="end"/>
            </w:r>
            <w:r w:rsidR="0084406E">
              <w:rPr>
                <w:sz w:val="16"/>
                <w:szCs w:val="16"/>
              </w:rPr>
              <w:t>]</w:t>
            </w:r>
          </w:p>
        </w:tc>
        <w:tc>
          <w:tcPr>
            <w:tcW w:w="348" w:type="pct"/>
            <w:shd w:val="clear" w:color="auto" w:fill="auto"/>
            <w:noWrap/>
            <w:vAlign w:val="bottom"/>
            <w:hideMark/>
          </w:tcPr>
          <w:p w14:paraId="3CC6A658" w14:textId="77777777" w:rsidR="00F24106" w:rsidRPr="00A276BA" w:rsidRDefault="00F24106" w:rsidP="0061013B">
            <w:pPr>
              <w:pStyle w:val="NoSpacing"/>
              <w:jc w:val="center"/>
              <w:rPr>
                <w:sz w:val="16"/>
                <w:szCs w:val="16"/>
              </w:rPr>
            </w:pPr>
            <w:r w:rsidRPr="00A276BA">
              <w:rPr>
                <w:sz w:val="16"/>
                <w:szCs w:val="16"/>
              </w:rPr>
              <w:t>2013-2014</w:t>
            </w:r>
          </w:p>
        </w:tc>
        <w:tc>
          <w:tcPr>
            <w:tcW w:w="316" w:type="pct"/>
            <w:shd w:val="clear" w:color="auto" w:fill="auto"/>
            <w:noWrap/>
            <w:vAlign w:val="bottom"/>
            <w:hideMark/>
          </w:tcPr>
          <w:p w14:paraId="2BE83FD5" w14:textId="77777777" w:rsidR="00F24106" w:rsidRPr="00A276BA" w:rsidRDefault="00F24106" w:rsidP="0061013B">
            <w:pPr>
              <w:pStyle w:val="NoSpacing"/>
              <w:jc w:val="center"/>
              <w:rPr>
                <w:sz w:val="16"/>
                <w:szCs w:val="16"/>
              </w:rPr>
            </w:pPr>
            <w:r w:rsidRPr="00A276BA">
              <w:rPr>
                <w:sz w:val="16"/>
                <w:szCs w:val="16"/>
              </w:rPr>
              <w:t>Rwanda</w:t>
            </w:r>
          </w:p>
        </w:tc>
        <w:tc>
          <w:tcPr>
            <w:tcW w:w="285" w:type="pct"/>
            <w:shd w:val="clear" w:color="auto" w:fill="auto"/>
            <w:noWrap/>
            <w:vAlign w:val="bottom"/>
            <w:hideMark/>
          </w:tcPr>
          <w:p w14:paraId="07E59B42" w14:textId="77777777" w:rsidR="00F24106" w:rsidRPr="00A276BA" w:rsidRDefault="00F24106" w:rsidP="0061013B">
            <w:pPr>
              <w:pStyle w:val="NoSpacing"/>
              <w:jc w:val="center"/>
              <w:rPr>
                <w:sz w:val="16"/>
                <w:szCs w:val="16"/>
              </w:rPr>
            </w:pPr>
            <w:r w:rsidRPr="00A276BA">
              <w:rPr>
                <w:sz w:val="16"/>
                <w:szCs w:val="16"/>
              </w:rPr>
              <w:t>0-11 months</w:t>
            </w:r>
          </w:p>
        </w:tc>
        <w:tc>
          <w:tcPr>
            <w:tcW w:w="362" w:type="pct"/>
            <w:shd w:val="clear" w:color="auto" w:fill="auto"/>
            <w:noWrap/>
            <w:vAlign w:val="bottom"/>
            <w:hideMark/>
          </w:tcPr>
          <w:p w14:paraId="0E81F464"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2A8969C2"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74AB119D" w14:textId="77777777" w:rsidR="00F24106" w:rsidRPr="00A276BA"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61CFA194" w14:textId="77777777" w:rsidR="00F24106" w:rsidRPr="00A276BA" w:rsidRDefault="00F24106" w:rsidP="0061013B">
            <w:pPr>
              <w:pStyle w:val="NoSpacing"/>
              <w:jc w:val="center"/>
              <w:rPr>
                <w:sz w:val="16"/>
                <w:szCs w:val="16"/>
              </w:rPr>
            </w:pPr>
            <w:r w:rsidRPr="00A276BA">
              <w:rPr>
                <w:sz w:val="16"/>
                <w:szCs w:val="16"/>
              </w:rPr>
              <w:t>133</w:t>
            </w:r>
          </w:p>
        </w:tc>
        <w:tc>
          <w:tcPr>
            <w:tcW w:w="545" w:type="pct"/>
            <w:shd w:val="clear" w:color="auto" w:fill="auto"/>
            <w:noWrap/>
            <w:vAlign w:val="bottom"/>
            <w:hideMark/>
          </w:tcPr>
          <w:p w14:paraId="75769A2E" w14:textId="77777777" w:rsidR="00F24106" w:rsidRPr="00A276BA" w:rsidRDefault="00F24106" w:rsidP="0061013B">
            <w:pPr>
              <w:pStyle w:val="NoSpacing"/>
              <w:jc w:val="center"/>
              <w:rPr>
                <w:sz w:val="16"/>
                <w:szCs w:val="16"/>
              </w:rPr>
            </w:pPr>
            <w:r w:rsidRPr="00A276BA">
              <w:rPr>
                <w:sz w:val="16"/>
                <w:szCs w:val="16"/>
              </w:rPr>
              <w:t>VASA tool merging WHO VA 2012, Rwanda MOH's Death Audit Tool and the 2010 Rwanda Demographic and Health Survey</w:t>
            </w:r>
          </w:p>
        </w:tc>
        <w:tc>
          <w:tcPr>
            <w:tcW w:w="373" w:type="pct"/>
            <w:shd w:val="clear" w:color="auto" w:fill="auto"/>
            <w:noWrap/>
            <w:vAlign w:val="bottom"/>
            <w:hideMark/>
          </w:tcPr>
          <w:p w14:paraId="6205DABC"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15A53A3D" w14:textId="77777777" w:rsidR="00F24106" w:rsidRPr="00A276BA" w:rsidRDefault="00F24106" w:rsidP="0061013B">
            <w:pPr>
              <w:pStyle w:val="NoSpacing"/>
              <w:jc w:val="center"/>
              <w:rPr>
                <w:sz w:val="16"/>
                <w:szCs w:val="16"/>
              </w:rPr>
            </w:pPr>
            <w:r w:rsidRPr="00A276BA">
              <w:rPr>
                <w:sz w:val="16"/>
                <w:szCs w:val="16"/>
              </w:rPr>
              <w:t>1, 2, 4a, 4b, 7</w:t>
            </w:r>
          </w:p>
        </w:tc>
        <w:tc>
          <w:tcPr>
            <w:tcW w:w="381" w:type="pct"/>
            <w:shd w:val="clear" w:color="auto" w:fill="auto"/>
            <w:noWrap/>
            <w:vAlign w:val="bottom"/>
            <w:hideMark/>
          </w:tcPr>
          <w:p w14:paraId="7EB7E4C3" w14:textId="698F6E17" w:rsidR="00F24106" w:rsidRPr="00A276BA" w:rsidRDefault="00F24106" w:rsidP="0061013B">
            <w:pPr>
              <w:pStyle w:val="NoSpacing"/>
              <w:jc w:val="center"/>
              <w:rPr>
                <w:sz w:val="16"/>
                <w:szCs w:val="16"/>
              </w:rPr>
            </w:pPr>
            <w:r w:rsidRPr="00A276BA">
              <w:rPr>
                <w:sz w:val="16"/>
                <w:szCs w:val="16"/>
              </w:rPr>
              <w:t>Unique to this study - created a driver framework for infant mortality from review of the literature.</w:t>
            </w:r>
          </w:p>
        </w:tc>
        <w:tc>
          <w:tcPr>
            <w:tcW w:w="253" w:type="pct"/>
            <w:shd w:val="clear" w:color="auto" w:fill="auto"/>
            <w:noWrap/>
            <w:vAlign w:val="bottom"/>
            <w:hideMark/>
          </w:tcPr>
          <w:p w14:paraId="6FD00C4A" w14:textId="77777777" w:rsidR="00F24106" w:rsidRPr="00A276BA" w:rsidRDefault="00F24106" w:rsidP="0061013B">
            <w:pPr>
              <w:pStyle w:val="NoSpacing"/>
              <w:jc w:val="center"/>
              <w:rPr>
                <w:sz w:val="16"/>
                <w:szCs w:val="16"/>
              </w:rPr>
            </w:pPr>
            <w:r w:rsidRPr="00A276BA">
              <w:rPr>
                <w:sz w:val="16"/>
                <w:szCs w:val="16"/>
              </w:rPr>
              <w:t>0.57</w:t>
            </w:r>
          </w:p>
        </w:tc>
      </w:tr>
      <w:tr w:rsidR="00F24106" w:rsidRPr="00A276BA" w14:paraId="30A4820C" w14:textId="77777777" w:rsidTr="0061013B">
        <w:trPr>
          <w:cantSplit/>
          <w:trHeight w:val="255"/>
        </w:trPr>
        <w:tc>
          <w:tcPr>
            <w:tcW w:w="380" w:type="pct"/>
            <w:shd w:val="clear" w:color="auto" w:fill="auto"/>
            <w:noWrap/>
            <w:vAlign w:val="bottom"/>
            <w:hideMark/>
          </w:tcPr>
          <w:p w14:paraId="5D47A68C" w14:textId="09D3BE57" w:rsidR="00F24106" w:rsidRPr="00A276BA" w:rsidRDefault="00F24106" w:rsidP="00BF67EF">
            <w:pPr>
              <w:pStyle w:val="NoSpacing"/>
              <w:rPr>
                <w:sz w:val="16"/>
                <w:szCs w:val="16"/>
              </w:rPr>
            </w:pPr>
            <w:r w:rsidRPr="00A276BA">
              <w:rPr>
                <w:sz w:val="16"/>
                <w:szCs w:val="16"/>
              </w:rPr>
              <w:t xml:space="preserve">Kagabo </w:t>
            </w:r>
            <w:r>
              <w:rPr>
                <w:sz w:val="16"/>
                <w:szCs w:val="16"/>
              </w:rPr>
              <w:t xml:space="preserve">2018 </w:t>
            </w:r>
            <w:r>
              <w:rPr>
                <w:sz w:val="16"/>
                <w:szCs w:val="16"/>
              </w:rPr>
              <w:fldChar w:fldCharType="begin" w:fldLock="1"/>
            </w:r>
            <w:r w:rsidR="00876406">
              <w:rPr>
                <w:sz w:val="16"/>
                <w:szCs w:val="16"/>
              </w:rPr>
              <w:instrText>ADDIN CSL_CITATION {"citationItems":[{"id":"ITEM-1","itemData":{"DOI":"http://dx.doi.org/10.1371/journal.pone.0190739","ISSN":"1932-6203","abstract":"Background Over half of under-five deaths occur in sub-Saharan Africa and appropriate, timely, quality care is critical for saving children's lives. This study describes the context surrounding children's deaths from the time the illness was first noticed, through the care-seeking patterns leading up to the child's death, and identifies factors associated with care-seeking for these children in rural Rwanda. Methods Secondary analysis of a verbal and social autopsy study of caregivers who reported the death of a child between March 2013 to February 2014 that occurred after discharge from the child's birth facility in southern Kayonza and Kirehe districts in Rwanda. Bivariate analyses using Fisher's exact tests were conducted to identify child, caregiver, and household factors associated with care-seeking from the formal health system (i.e., community health worker or health facility). Factors significant at alpha = 0.10 significance level were considered for backwards stepwise multivariate logistic regression, stopping when remaining factors were significantly associated with care-seeking at alpha = 0.05 significance level. Results Among the 516 eligible deaths among children under-five, 22.7% (n = 117) did not seek care from the health system. For those who did, the most common first point of contact was community health workers (45.8%). In multivariate logistic regression, higher maternal education (OR = 3.36, 95% CI: 1.89, 5.98), having diarrhea (OR = 4.21, 95%CI: 1.95, 9.07) or fever (OR = 2.03, 95%CI: 1.11, 3.72), full household insurance coverage (3.48, 95%CI: 1.79, 6.76), and longer duration of illness (OR = 22.19, 95%CI: 8.88, 55.48) were significantly associated with formal care-seeking. Conclusion Interventions such as community health workers and insurance promote access to care, however a gap remains as many children had no contact with the health system prior to death and those who sought formal care still died. Further efforts are needed to respond to urgent cases in communities and further understand remaining barriers to accessing appropriate, quality care.Copyright © 2018 Kagabo et al. This is an open access article distributed under the terms of the Creative Commons Attribution License, which permits unrestricted use, distribution, and reproduction in any medium, provided the original author and source are credited.","author":[{"dropping-particle":"","family":"Kagabo","given":"D M","non-dropping-particle":"","parse-names":false,"suffix":""},{"dropping-particle":"","family":"Kirk","given":"C M","non-dropping-particle":"","parse-names":false,"suffix":""},{"dropping-particle":"","family":"Bakundukize","given":"B","non-dropping-particle":"","parse-names":false,"suffix":""},{"dropping-particle":"","family":"Hedt-Gauthier","given":"B L","non-dropping-particle":"","parse-names":false,"suffix":""},{"dropping-particle":"","family":"Gupta","given":"N","non-dropping-particle":"","parse-names":false,"suffix":""},{"dropping-particle":"","family":"Hirschhorn","given":"L R","non-dropping-particle":"","parse-names":false,"suffix":""},{"dropping-particle":"","family":"Ingabire","given":"W C","non-dropping-particle":"","parse-names":false,"suffix":""},{"dropping-particle":"","family":"Rouleau","given":"D","non-dropping-particle":"","parse-names":false,"suffix":""},{"dropping-particle":"","family":"Nkikabahizi","given":"F","non-dropping-particle":"","parse-names":false,"suffix":""},{"dropping-particle":"","family":"Mugeni","given":"C","non-dropping-particle":"","parse-names":false,"suffix":""},{"dropping-particle":"","family":"Sayinzoga","given":"F","non-dropping-particle":"","parse-names":false,"suffix":""},{"dropping-particle":"","family":"Amoroso","given":"C L","non-dropping-particle":"","parse-names":false,"suffix":""}],"container-title":"PLoS ONE","id":"ITEM-1","issue":"1","issued":{"date-parts":[["2018"]]},"page":"e0190739","publisher":"Public Library of Science (E-mail: plos@plos.org)","publisher-place":"D.M. Kagabo, Partners in Health/Inshuti Mu Buzima (PIH/IMB), Rwinkwavu, Rwanda. E-mail: dankagabo@gmail.com","title":"Care-seeking patterns among families that experienced under-five child mortality in rural Rwanda","type":"article-journal","volume":"13"},"uris":["http://www.mendeley.com/documents/?uuid=55b7fedf-3876-48b9-949b-ac6afbe6fd6d"]}],"mendeley":{"formattedCitation":"(29)","manualFormatting":"[29","plainTextFormattedCitation":"(29)","previouslyFormattedCitation":"(29)"},"properties":{"noteIndex":0},"schema":"https://github.com/citation-style-language/schema/raw/master/csl-citation.json"}</w:instrText>
            </w:r>
            <w:r>
              <w:rPr>
                <w:sz w:val="16"/>
                <w:szCs w:val="16"/>
              </w:rPr>
              <w:fldChar w:fldCharType="separate"/>
            </w:r>
            <w:r w:rsidR="0084406E">
              <w:rPr>
                <w:noProof/>
                <w:sz w:val="16"/>
                <w:szCs w:val="16"/>
              </w:rPr>
              <w:t>[</w:t>
            </w:r>
            <w:r w:rsidR="00303FFB" w:rsidRPr="00303FFB">
              <w:rPr>
                <w:noProof/>
                <w:sz w:val="16"/>
                <w:szCs w:val="16"/>
              </w:rPr>
              <w:t>29</w:t>
            </w:r>
            <w:r>
              <w:rPr>
                <w:sz w:val="16"/>
                <w:szCs w:val="16"/>
              </w:rPr>
              <w:fldChar w:fldCharType="end"/>
            </w:r>
            <w:r w:rsidR="0084406E">
              <w:rPr>
                <w:sz w:val="16"/>
                <w:szCs w:val="16"/>
              </w:rPr>
              <w:t>]</w:t>
            </w:r>
          </w:p>
        </w:tc>
        <w:tc>
          <w:tcPr>
            <w:tcW w:w="348" w:type="pct"/>
            <w:shd w:val="clear" w:color="auto" w:fill="auto"/>
            <w:noWrap/>
            <w:vAlign w:val="bottom"/>
            <w:hideMark/>
          </w:tcPr>
          <w:p w14:paraId="20CD3C8D" w14:textId="77777777" w:rsidR="00F24106" w:rsidRPr="00A276BA" w:rsidRDefault="00F24106" w:rsidP="0061013B">
            <w:pPr>
              <w:pStyle w:val="NoSpacing"/>
              <w:jc w:val="center"/>
              <w:rPr>
                <w:sz w:val="16"/>
                <w:szCs w:val="16"/>
              </w:rPr>
            </w:pPr>
            <w:r w:rsidRPr="00A276BA">
              <w:rPr>
                <w:sz w:val="16"/>
                <w:szCs w:val="16"/>
              </w:rPr>
              <w:t>2013-2014</w:t>
            </w:r>
          </w:p>
        </w:tc>
        <w:tc>
          <w:tcPr>
            <w:tcW w:w="316" w:type="pct"/>
            <w:shd w:val="clear" w:color="auto" w:fill="auto"/>
            <w:noWrap/>
            <w:vAlign w:val="bottom"/>
            <w:hideMark/>
          </w:tcPr>
          <w:p w14:paraId="7C98B214" w14:textId="77777777" w:rsidR="00F24106" w:rsidRPr="00A276BA" w:rsidRDefault="00F24106" w:rsidP="0061013B">
            <w:pPr>
              <w:pStyle w:val="NoSpacing"/>
              <w:jc w:val="center"/>
              <w:rPr>
                <w:sz w:val="16"/>
                <w:szCs w:val="16"/>
              </w:rPr>
            </w:pPr>
            <w:r w:rsidRPr="00A276BA">
              <w:rPr>
                <w:sz w:val="16"/>
                <w:szCs w:val="16"/>
              </w:rPr>
              <w:t>Rwanda</w:t>
            </w:r>
          </w:p>
        </w:tc>
        <w:tc>
          <w:tcPr>
            <w:tcW w:w="285" w:type="pct"/>
            <w:shd w:val="clear" w:color="auto" w:fill="auto"/>
            <w:noWrap/>
            <w:vAlign w:val="bottom"/>
            <w:hideMark/>
          </w:tcPr>
          <w:p w14:paraId="2CABD734" w14:textId="42A4A79A" w:rsidR="00F24106" w:rsidRPr="00A276BA" w:rsidRDefault="00F24106" w:rsidP="0061013B">
            <w:pPr>
              <w:pStyle w:val="NoSpacing"/>
              <w:jc w:val="center"/>
              <w:rPr>
                <w:sz w:val="16"/>
                <w:szCs w:val="16"/>
              </w:rPr>
            </w:pPr>
            <w:r w:rsidRPr="00A276BA">
              <w:rPr>
                <w:sz w:val="16"/>
                <w:szCs w:val="16"/>
              </w:rPr>
              <w:t>0-27 days</w:t>
            </w:r>
            <w:r w:rsidR="002A0449">
              <w:rPr>
                <w:sz w:val="16"/>
                <w:szCs w:val="16"/>
              </w:rPr>
              <w:t xml:space="preserve">, </w:t>
            </w:r>
            <w:r w:rsidRPr="00A276BA">
              <w:rPr>
                <w:sz w:val="16"/>
                <w:szCs w:val="16"/>
              </w:rPr>
              <w:t>1-59 months</w:t>
            </w:r>
          </w:p>
        </w:tc>
        <w:tc>
          <w:tcPr>
            <w:tcW w:w="362" w:type="pct"/>
            <w:shd w:val="clear" w:color="auto" w:fill="auto"/>
            <w:noWrap/>
            <w:vAlign w:val="bottom"/>
            <w:hideMark/>
          </w:tcPr>
          <w:p w14:paraId="576BA5E1" w14:textId="77777777" w:rsidR="00F24106" w:rsidRPr="00A276BA" w:rsidRDefault="00F24106" w:rsidP="0061013B">
            <w:pPr>
              <w:pStyle w:val="NoSpacing"/>
              <w:jc w:val="center"/>
              <w:rPr>
                <w:sz w:val="16"/>
                <w:szCs w:val="16"/>
              </w:rPr>
            </w:pPr>
            <w:r w:rsidRPr="00A276BA">
              <w:rPr>
                <w:sz w:val="16"/>
                <w:szCs w:val="16"/>
              </w:rPr>
              <w:t>Low income</w:t>
            </w:r>
          </w:p>
        </w:tc>
        <w:tc>
          <w:tcPr>
            <w:tcW w:w="367" w:type="pct"/>
            <w:shd w:val="clear" w:color="auto" w:fill="auto"/>
            <w:noWrap/>
            <w:vAlign w:val="bottom"/>
            <w:hideMark/>
          </w:tcPr>
          <w:p w14:paraId="57C78739" w14:textId="77777777" w:rsidR="00F24106" w:rsidRPr="00A276BA" w:rsidRDefault="00F24106" w:rsidP="0061013B">
            <w:pPr>
              <w:pStyle w:val="NoSpacing"/>
              <w:jc w:val="center"/>
              <w:rPr>
                <w:sz w:val="16"/>
                <w:szCs w:val="16"/>
              </w:rPr>
            </w:pPr>
            <w:r w:rsidRPr="00A276BA">
              <w:rPr>
                <w:sz w:val="16"/>
                <w:szCs w:val="16"/>
              </w:rPr>
              <w:t>Y</w:t>
            </w:r>
          </w:p>
        </w:tc>
        <w:tc>
          <w:tcPr>
            <w:tcW w:w="315" w:type="pct"/>
            <w:vAlign w:val="bottom"/>
          </w:tcPr>
          <w:p w14:paraId="1C9B716C" w14:textId="77777777" w:rsidR="00F24106" w:rsidRDefault="00F24106" w:rsidP="0061013B">
            <w:pPr>
              <w:pStyle w:val="NoSpacing"/>
              <w:jc w:val="center"/>
              <w:rPr>
                <w:sz w:val="16"/>
                <w:szCs w:val="16"/>
              </w:rPr>
            </w:pPr>
            <w:r>
              <w:rPr>
                <w:sz w:val="16"/>
                <w:szCs w:val="16"/>
              </w:rPr>
              <w:t>Rural</w:t>
            </w:r>
          </w:p>
        </w:tc>
        <w:tc>
          <w:tcPr>
            <w:tcW w:w="316" w:type="pct"/>
            <w:shd w:val="clear" w:color="auto" w:fill="auto"/>
            <w:noWrap/>
            <w:vAlign w:val="bottom"/>
            <w:hideMark/>
          </w:tcPr>
          <w:p w14:paraId="125AFC4D" w14:textId="77777777" w:rsidR="00F24106" w:rsidRPr="00A276BA" w:rsidRDefault="00F24106" w:rsidP="0061013B">
            <w:pPr>
              <w:pStyle w:val="NoSpacing"/>
              <w:jc w:val="center"/>
              <w:rPr>
                <w:sz w:val="16"/>
                <w:szCs w:val="16"/>
              </w:rPr>
            </w:pPr>
            <w:r>
              <w:rPr>
                <w:sz w:val="16"/>
                <w:szCs w:val="16"/>
              </w:rPr>
              <w:t>618</w:t>
            </w:r>
          </w:p>
        </w:tc>
        <w:tc>
          <w:tcPr>
            <w:tcW w:w="545" w:type="pct"/>
            <w:shd w:val="clear" w:color="auto" w:fill="auto"/>
            <w:noWrap/>
            <w:vAlign w:val="bottom"/>
            <w:hideMark/>
          </w:tcPr>
          <w:p w14:paraId="478DD510" w14:textId="77777777" w:rsidR="00F24106" w:rsidRPr="00A276BA" w:rsidRDefault="00F24106" w:rsidP="0061013B">
            <w:pPr>
              <w:pStyle w:val="NoSpacing"/>
              <w:jc w:val="center"/>
              <w:rPr>
                <w:sz w:val="16"/>
                <w:szCs w:val="16"/>
              </w:rPr>
            </w:pPr>
            <w:r w:rsidRPr="00A276BA">
              <w:rPr>
                <w:sz w:val="16"/>
                <w:szCs w:val="16"/>
              </w:rPr>
              <w:t>VASA tool merging WHO VA 2012, Rwanda MOH's Death Audit Tool and the 2010 Rwanda Demographic and Health Survey</w:t>
            </w:r>
          </w:p>
        </w:tc>
        <w:tc>
          <w:tcPr>
            <w:tcW w:w="373" w:type="pct"/>
            <w:shd w:val="clear" w:color="auto" w:fill="auto"/>
            <w:noWrap/>
            <w:vAlign w:val="bottom"/>
            <w:hideMark/>
          </w:tcPr>
          <w:p w14:paraId="27339E68"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0250BC39" w14:textId="77777777" w:rsidR="00F24106" w:rsidRPr="00A276BA" w:rsidRDefault="00F24106" w:rsidP="0061013B">
            <w:pPr>
              <w:pStyle w:val="NoSpacing"/>
              <w:jc w:val="center"/>
              <w:rPr>
                <w:sz w:val="16"/>
                <w:szCs w:val="16"/>
              </w:rPr>
            </w:pPr>
            <w:r w:rsidRPr="00A276BA">
              <w:rPr>
                <w:sz w:val="16"/>
                <w:szCs w:val="16"/>
              </w:rPr>
              <w:t>1, 4a, 4b, 7</w:t>
            </w:r>
          </w:p>
        </w:tc>
        <w:tc>
          <w:tcPr>
            <w:tcW w:w="381" w:type="pct"/>
            <w:shd w:val="clear" w:color="auto" w:fill="auto"/>
            <w:noWrap/>
            <w:vAlign w:val="bottom"/>
            <w:hideMark/>
          </w:tcPr>
          <w:p w14:paraId="6E519246" w14:textId="77777777" w:rsidR="00F24106" w:rsidRPr="00A276BA" w:rsidRDefault="00F24106" w:rsidP="0061013B">
            <w:pPr>
              <w:pStyle w:val="NoSpacing"/>
              <w:jc w:val="center"/>
              <w:rPr>
                <w:sz w:val="16"/>
                <w:szCs w:val="16"/>
              </w:rPr>
            </w:pPr>
            <w:r w:rsidRPr="00A276BA">
              <w:rPr>
                <w:sz w:val="16"/>
                <w:szCs w:val="16"/>
              </w:rPr>
              <w:t xml:space="preserve">Behavioural model of predictors of </w:t>
            </w:r>
            <w:r>
              <w:rPr>
                <w:sz w:val="16"/>
                <w:szCs w:val="16"/>
              </w:rPr>
              <w:t>care-seeking</w:t>
            </w:r>
            <w:r w:rsidRPr="00A276BA">
              <w:rPr>
                <w:sz w:val="16"/>
                <w:szCs w:val="16"/>
              </w:rPr>
              <w:t>: predisposing factors,</w:t>
            </w:r>
            <w:r>
              <w:rPr>
                <w:sz w:val="16"/>
                <w:szCs w:val="16"/>
              </w:rPr>
              <w:t xml:space="preserve"> </w:t>
            </w:r>
            <w:r w:rsidRPr="00A276BA">
              <w:rPr>
                <w:sz w:val="16"/>
                <w:szCs w:val="16"/>
              </w:rPr>
              <w:t xml:space="preserve">enabling resources, need, </w:t>
            </w:r>
            <w:r>
              <w:rPr>
                <w:sz w:val="16"/>
                <w:szCs w:val="16"/>
              </w:rPr>
              <w:t>care-seeking</w:t>
            </w:r>
            <w:r w:rsidRPr="00A276BA">
              <w:rPr>
                <w:sz w:val="16"/>
                <w:szCs w:val="16"/>
              </w:rPr>
              <w:t xml:space="preserve"> behaviour</w:t>
            </w:r>
          </w:p>
        </w:tc>
        <w:tc>
          <w:tcPr>
            <w:tcW w:w="253" w:type="pct"/>
            <w:shd w:val="clear" w:color="auto" w:fill="auto"/>
            <w:noWrap/>
            <w:vAlign w:val="bottom"/>
            <w:hideMark/>
          </w:tcPr>
          <w:p w14:paraId="4A6570C8" w14:textId="77777777" w:rsidR="00F24106" w:rsidRPr="00A276BA" w:rsidRDefault="00F24106" w:rsidP="0061013B">
            <w:pPr>
              <w:pStyle w:val="NoSpacing"/>
              <w:jc w:val="center"/>
              <w:rPr>
                <w:sz w:val="16"/>
                <w:szCs w:val="16"/>
              </w:rPr>
            </w:pPr>
            <w:r w:rsidRPr="00A276BA">
              <w:rPr>
                <w:sz w:val="16"/>
                <w:szCs w:val="16"/>
              </w:rPr>
              <w:t>0.93</w:t>
            </w:r>
          </w:p>
        </w:tc>
      </w:tr>
      <w:tr w:rsidR="00F24106" w:rsidRPr="00A276BA" w14:paraId="2FA2F178" w14:textId="77777777" w:rsidTr="0061013B">
        <w:trPr>
          <w:cantSplit/>
          <w:trHeight w:val="255"/>
        </w:trPr>
        <w:tc>
          <w:tcPr>
            <w:tcW w:w="380" w:type="pct"/>
            <w:shd w:val="clear" w:color="auto" w:fill="auto"/>
            <w:noWrap/>
            <w:vAlign w:val="bottom"/>
            <w:hideMark/>
          </w:tcPr>
          <w:p w14:paraId="321DD496" w14:textId="0D77DBDC" w:rsidR="00F24106" w:rsidRPr="00A276BA" w:rsidRDefault="00F24106" w:rsidP="0061013B">
            <w:pPr>
              <w:pStyle w:val="NoSpacing"/>
              <w:rPr>
                <w:sz w:val="16"/>
                <w:szCs w:val="16"/>
              </w:rPr>
            </w:pPr>
            <w:r w:rsidRPr="00A276BA">
              <w:rPr>
                <w:sz w:val="16"/>
                <w:szCs w:val="16"/>
              </w:rPr>
              <w:t xml:space="preserve">Willcox </w:t>
            </w:r>
            <w:r>
              <w:rPr>
                <w:sz w:val="16"/>
                <w:szCs w:val="16"/>
              </w:rPr>
              <w:t>2018</w:t>
            </w:r>
            <w:r w:rsidR="0061013B">
              <w:rPr>
                <w:sz w:val="16"/>
                <w:szCs w:val="16"/>
              </w:rPr>
              <w:t xml:space="preserve"> </w:t>
            </w:r>
            <w:r w:rsidRPr="0047073B">
              <w:rPr>
                <w:rFonts w:ascii="Roboto" w:hAnsi="Roboto"/>
                <w:sz w:val="16"/>
                <w:szCs w:val="16"/>
                <w:shd w:val="clear" w:color="auto" w:fill="FFFFFF"/>
              </w:rPr>
              <w:fldChar w:fldCharType="begin" w:fldLock="1"/>
            </w:r>
            <w:r w:rsidR="00166DD4">
              <w:rPr>
                <w:rFonts w:ascii="Roboto" w:hAnsi="Roboto"/>
                <w:sz w:val="16"/>
                <w:szCs w:val="16"/>
                <w:shd w:val="clear" w:color="auto" w:fill="FFFFFF"/>
              </w:rPr>
              <w:instrText>ADDIN CSL_CITATION {"citationItems":[{"id":"ITEM-1","itemData":{"DOI":"10.1016/S2214-109X(18)30215-8","ISSN":"2214-109X (Electronic)","PMID":"29773123","abstract":"BACKGROUND: Interventions to reduce child deaths in Africa have often underachieved, causing the Millennium Development Goal targets to be missed. We assessed whether a community enquiry into the circumstances of death could improve intervention effectiveness by identifying local avoidable factors and explaining implementation failures. METHODS: Deaths of children younger than 5 years were ascertained by community informants in two districts in Mali (762 deaths) and three districts in Uganda (442 deaths) in 2011-15. Deaths were investigated by interviewing parents and health workers. Investigation findings were reviewed by a panel of local health-care workers and community representatives, who formulated recommendations to address avoidable factors and, subsequently, oversaw their implementation. FINDINGS: At least one avoidable factor was identified in 97% (95% CI 96-98, 737 of 756) of deaths in children younger than 5 years in Mali and 95% (93-97, 389 of 409) in Uganda. Suboptimal newborn care was a factor in 76% (146 of 194) of neonatal deaths in Mali and 64% (134 of 194) in Uganda. The most frequent avoidable factor in postneonatal deaths was inadequate child protection (mainly child neglect) in Uganda (29%, 63 of 215) and malnutrition in Mali (22%, 124 of 562). 84% (618 of 736 in Mali, 328 of 391 in Uganda) of families had consulted a health-care provider for the fatal illness, but the quality of care was often inadequate. Even in official primary care clinics, danger signs were often missed (43% of cases in Mali [135 of 396], 39% in Uganda [30 of 78]), essential treatment was not given (39% in Mali [154 of 396], 35% in Uganda [27 of 78]), and patients who were seriously ill were not referred to a hospital in time (51% in Mali [202 of 396], 45% in Uganda [35 of 78]). Local recommendations focused on quality of care in health-care facilities and on community issues influencing treatment-seeking behaviour. INTERPRETATION: Local investigation and review of circumstances of death of children in sub-Saharan Africa is likely to lead to more effective interventions than simple consideration of the biomedical causes of death. This approach discerned local public health priorities and implementable solutions to address the avoidable factors identified. FUNDING: European Union's 7th Framework Programme for research and technological development.","author":[{"dropping-particle":"","family":"Willcox","given":"Merlin L","non-dropping-particle":"","parse-names":false,"suffix":""},{"dropping-particle":"","family":"Kumbakumba","given":"Elias","non-dropping-particle":"","parse-names":false,"suffix":""},{"dropping-particle":"","family":"Diallo","given":"Drissa","non-dropping-particle":"","parse-names":false,"suffix":""},{"dropping-particle":"","family":"Mubangizi","given":"Vincent","non-dropping-particle":"","parse-names":false,"suffix":""},{"dropping-particle":"","family":"Kirabira","given":"Peter","non-dropping-particle":"","parse-names":false,"suffix":""},{"dropping-particle":"","family":"Nakaggwa","given":"Florence","non-dropping-particle":"","parse-names":false,"suffix":""},{"dropping-particle":"","family":"Mutahunga","given":"Birungi","non-dropping-particle":"","parse-names":false,"suffix":""},{"dropping-particle":"","family":"Diakite","given":"Chiaka","non-dropping-particle":"","parse-names":false,"suffix":""},{"dropping-particle":"","family":"Dembele","given":"Eugene","non-dropping-particle":"","parse-names":false,"suffix":""},{"dropping-particle":"","family":"Traore","given":"Mamadou","non-dropping-particle":"","parse-names":false,"suffix":""},{"dropping-particle":"","family":"Daou","given":"Pierre","non-dropping-particle":"","parse-names":false,"suffix":""},{"dropping-particle":"","family":"Bamba","given":"Drissa","non-dropping-particle":"","parse-names":false,"suffix":""},{"dropping-particle":"","family":"Traore","given":"Amadou","non-dropping-particle":"","parse-names":false,"suffix":""},{"dropping-particle":"","family":"Berthe","given":"Diafara","non-dropping-particle":"","parse-names":false,"suffix":""},{"dropping-particle":"","family":"Wooding","given":"Nick","non-dropping-particle":"","parse-names":false,"suffix":""},{"dropping-particle":"","family":"Dinwoodie","given":"Kieran","non-dropping-particle":"","parse-names":false,"suffix":""},{"dropping-particle":"","family":"Capewell","given":"Sarah","non-dropping-particle":"","parse-names":false,"suffix":""},{"dropping-particle":"","family":"Foster","given":"Hamish","non-dropping-particle":"","parse-names":false,"suffix":""},{"dropping-particle":"","family":"Neville","given":"Rowena","non-dropping-particle":"","parse-names":false,"suffix":""},{"dropping-particle":"","family":"Ngonzi","given":"Joseph","non-dropping-particle":"","parse-names":false,"suffix":""},{"dropping-particle":"","family":"Kabakyenga","given":"Jerome","non-dropping-particle":"","parse-names":false,"suffix":""},{"dropping-particle":"","family":"Mant","given":"David","non-dropping-particle":"","parse-names":false,"suffix":""},{"dropping-particle":"","family":"Harnden","given":"Anthony","non-dropping-particle":"","parse-names":false,"suffix":""}],"container-title":"The Lancet. Global health","id":"ITEM-1","issue":"6","issued":{"date-parts":[["2018","6"]]},"language":"eng","page":"e691-e702","publisher-place":"England","title":"Circumstances of child deaths in Mali and Uganda: a community-based confidential  enquiry.","type":"article-journal","volume":"6"},"uris":["http://www.mendeley.com/documents/?uuid=3f796e5d-b9c0-4d33-8718-737fafbdcfbb"]}],"mendeley":{"formattedCitation":"(62)","manualFormatting":"[61","plainTextFormattedCitation":"(62)","previouslyFormattedCitation":"(62)"},"properties":{"noteIndex":0},"schema":"https://github.com/citation-style-language/schema/raw/master/csl-citation.json"}</w:instrText>
            </w:r>
            <w:r w:rsidRPr="0047073B">
              <w:rPr>
                <w:rFonts w:ascii="Roboto" w:hAnsi="Roboto"/>
                <w:sz w:val="16"/>
                <w:szCs w:val="16"/>
                <w:shd w:val="clear" w:color="auto" w:fill="FFFFFF"/>
              </w:rPr>
              <w:fldChar w:fldCharType="separate"/>
            </w:r>
            <w:r w:rsidR="0084406E">
              <w:rPr>
                <w:rFonts w:ascii="Roboto" w:hAnsi="Roboto"/>
                <w:noProof/>
                <w:sz w:val="16"/>
                <w:szCs w:val="16"/>
                <w:shd w:val="clear" w:color="auto" w:fill="FFFFFF"/>
              </w:rPr>
              <w:t>[</w:t>
            </w:r>
            <w:r w:rsidR="00303FFB" w:rsidRPr="00303FFB">
              <w:rPr>
                <w:rFonts w:ascii="Roboto" w:hAnsi="Roboto"/>
                <w:noProof/>
                <w:sz w:val="16"/>
                <w:szCs w:val="16"/>
                <w:shd w:val="clear" w:color="auto" w:fill="FFFFFF"/>
              </w:rPr>
              <w:t>61</w:t>
            </w:r>
            <w:r w:rsidRPr="0047073B">
              <w:rPr>
                <w:rFonts w:ascii="Roboto" w:hAnsi="Roboto"/>
                <w:sz w:val="16"/>
                <w:szCs w:val="16"/>
                <w:shd w:val="clear" w:color="auto" w:fill="FFFFFF"/>
              </w:rPr>
              <w:fldChar w:fldCharType="end"/>
            </w:r>
            <w:r w:rsidR="0084406E">
              <w:rPr>
                <w:rFonts w:ascii="Roboto" w:hAnsi="Roboto"/>
                <w:sz w:val="16"/>
                <w:szCs w:val="16"/>
                <w:shd w:val="clear" w:color="auto" w:fill="FFFFFF"/>
              </w:rPr>
              <w:t>]</w:t>
            </w:r>
          </w:p>
        </w:tc>
        <w:tc>
          <w:tcPr>
            <w:tcW w:w="348" w:type="pct"/>
            <w:shd w:val="clear" w:color="auto" w:fill="auto"/>
            <w:noWrap/>
            <w:vAlign w:val="bottom"/>
            <w:hideMark/>
          </w:tcPr>
          <w:p w14:paraId="3D714A3F" w14:textId="77777777" w:rsidR="00F24106" w:rsidRPr="00A276BA" w:rsidRDefault="00F24106" w:rsidP="0061013B">
            <w:pPr>
              <w:pStyle w:val="NoSpacing"/>
              <w:jc w:val="center"/>
              <w:rPr>
                <w:sz w:val="16"/>
                <w:szCs w:val="16"/>
              </w:rPr>
            </w:pPr>
            <w:r w:rsidRPr="00A276BA">
              <w:rPr>
                <w:sz w:val="16"/>
                <w:szCs w:val="16"/>
              </w:rPr>
              <w:t>2011-2015</w:t>
            </w:r>
          </w:p>
        </w:tc>
        <w:tc>
          <w:tcPr>
            <w:tcW w:w="316" w:type="pct"/>
            <w:shd w:val="clear" w:color="auto" w:fill="auto"/>
            <w:noWrap/>
            <w:vAlign w:val="bottom"/>
            <w:hideMark/>
          </w:tcPr>
          <w:p w14:paraId="56BEE52B" w14:textId="46D8B5A0" w:rsidR="00F24106" w:rsidRPr="00A276BA" w:rsidRDefault="00F24106" w:rsidP="0061013B">
            <w:pPr>
              <w:pStyle w:val="NoSpacing"/>
              <w:jc w:val="center"/>
              <w:rPr>
                <w:sz w:val="16"/>
                <w:szCs w:val="16"/>
              </w:rPr>
            </w:pPr>
            <w:r w:rsidRPr="00A276BA">
              <w:rPr>
                <w:sz w:val="16"/>
                <w:szCs w:val="16"/>
              </w:rPr>
              <w:t>Mali</w:t>
            </w:r>
            <w:r w:rsidR="002A0449">
              <w:rPr>
                <w:sz w:val="16"/>
                <w:szCs w:val="16"/>
              </w:rPr>
              <w:t xml:space="preserve"> </w:t>
            </w:r>
            <w:r w:rsidRPr="00A276BA">
              <w:rPr>
                <w:sz w:val="16"/>
                <w:szCs w:val="16"/>
              </w:rPr>
              <w:t>Uganda</w:t>
            </w:r>
          </w:p>
        </w:tc>
        <w:tc>
          <w:tcPr>
            <w:tcW w:w="285" w:type="pct"/>
            <w:shd w:val="clear" w:color="auto" w:fill="auto"/>
            <w:noWrap/>
            <w:vAlign w:val="bottom"/>
            <w:hideMark/>
          </w:tcPr>
          <w:p w14:paraId="336975B9" w14:textId="0450880F" w:rsidR="00F24106" w:rsidRPr="00A276BA" w:rsidRDefault="00F24106" w:rsidP="0061013B">
            <w:pPr>
              <w:pStyle w:val="NoSpacing"/>
              <w:jc w:val="center"/>
              <w:rPr>
                <w:sz w:val="16"/>
                <w:szCs w:val="16"/>
              </w:rPr>
            </w:pPr>
            <w:r w:rsidRPr="00A276BA">
              <w:rPr>
                <w:sz w:val="16"/>
                <w:szCs w:val="16"/>
              </w:rPr>
              <w:t>0-27 days</w:t>
            </w:r>
            <w:r w:rsidR="002A0449">
              <w:rPr>
                <w:sz w:val="16"/>
                <w:szCs w:val="16"/>
              </w:rPr>
              <w:t xml:space="preserve">, </w:t>
            </w:r>
            <w:r w:rsidRPr="00A276BA">
              <w:rPr>
                <w:sz w:val="16"/>
                <w:szCs w:val="16"/>
              </w:rPr>
              <w:t>1-59 months</w:t>
            </w:r>
          </w:p>
        </w:tc>
        <w:tc>
          <w:tcPr>
            <w:tcW w:w="362" w:type="pct"/>
            <w:shd w:val="clear" w:color="auto" w:fill="auto"/>
            <w:noWrap/>
            <w:vAlign w:val="bottom"/>
            <w:hideMark/>
          </w:tcPr>
          <w:p w14:paraId="6FD6055C" w14:textId="77777777" w:rsidR="00F24106" w:rsidRPr="00A276BA" w:rsidRDefault="00F24106" w:rsidP="0061013B">
            <w:pPr>
              <w:pStyle w:val="NoSpacing"/>
              <w:jc w:val="center"/>
              <w:rPr>
                <w:sz w:val="16"/>
                <w:szCs w:val="16"/>
              </w:rPr>
            </w:pPr>
            <w:r w:rsidRPr="00A276BA">
              <w:rPr>
                <w:sz w:val="16"/>
                <w:szCs w:val="16"/>
              </w:rPr>
              <w:t>Mali</w:t>
            </w:r>
            <w:r>
              <w:rPr>
                <w:sz w:val="16"/>
                <w:szCs w:val="16"/>
              </w:rPr>
              <w:t xml:space="preserve">: </w:t>
            </w:r>
            <w:r w:rsidRPr="00A276BA">
              <w:rPr>
                <w:sz w:val="16"/>
                <w:szCs w:val="16"/>
              </w:rPr>
              <w:t>low income Uganda</w:t>
            </w:r>
            <w:r>
              <w:rPr>
                <w:sz w:val="16"/>
                <w:szCs w:val="16"/>
              </w:rPr>
              <w:t xml:space="preserve">: </w:t>
            </w:r>
            <w:r w:rsidRPr="00A276BA">
              <w:rPr>
                <w:sz w:val="16"/>
                <w:szCs w:val="16"/>
              </w:rPr>
              <w:t>low income</w:t>
            </w:r>
          </w:p>
        </w:tc>
        <w:tc>
          <w:tcPr>
            <w:tcW w:w="367" w:type="pct"/>
            <w:shd w:val="clear" w:color="auto" w:fill="auto"/>
            <w:noWrap/>
            <w:vAlign w:val="bottom"/>
            <w:hideMark/>
          </w:tcPr>
          <w:p w14:paraId="74C213DF" w14:textId="233DB317" w:rsidR="00F24106" w:rsidRPr="00A276BA" w:rsidRDefault="00F24106" w:rsidP="0061013B">
            <w:pPr>
              <w:pStyle w:val="NoSpacing"/>
              <w:jc w:val="center"/>
              <w:rPr>
                <w:sz w:val="16"/>
                <w:szCs w:val="16"/>
              </w:rPr>
            </w:pPr>
            <w:r w:rsidRPr="00A276BA">
              <w:rPr>
                <w:sz w:val="16"/>
                <w:szCs w:val="16"/>
              </w:rPr>
              <w:t>Mali: Y</w:t>
            </w:r>
            <w:r w:rsidR="002A0449">
              <w:rPr>
                <w:sz w:val="16"/>
                <w:szCs w:val="16"/>
              </w:rPr>
              <w:t xml:space="preserve"> </w:t>
            </w:r>
            <w:r w:rsidRPr="00A276BA">
              <w:rPr>
                <w:sz w:val="16"/>
                <w:szCs w:val="16"/>
              </w:rPr>
              <w:t>Uganda: N</w:t>
            </w:r>
          </w:p>
        </w:tc>
        <w:tc>
          <w:tcPr>
            <w:tcW w:w="315" w:type="pct"/>
            <w:vAlign w:val="bottom"/>
          </w:tcPr>
          <w:p w14:paraId="01137B7F" w14:textId="5192973D" w:rsidR="00F24106" w:rsidRPr="00A276BA" w:rsidRDefault="00F24106" w:rsidP="0061013B">
            <w:pPr>
              <w:pStyle w:val="NoSpacing"/>
              <w:jc w:val="center"/>
              <w:rPr>
                <w:sz w:val="16"/>
                <w:szCs w:val="16"/>
              </w:rPr>
            </w:pPr>
            <w:r>
              <w:rPr>
                <w:sz w:val="16"/>
                <w:szCs w:val="16"/>
              </w:rPr>
              <w:t>Mali: mixed</w:t>
            </w:r>
            <w:r w:rsidR="002A0449">
              <w:rPr>
                <w:sz w:val="16"/>
                <w:szCs w:val="16"/>
              </w:rPr>
              <w:t xml:space="preserve"> </w:t>
            </w:r>
            <w:r>
              <w:rPr>
                <w:sz w:val="16"/>
                <w:szCs w:val="16"/>
              </w:rPr>
              <w:t>Uganda: mixed</w:t>
            </w:r>
          </w:p>
        </w:tc>
        <w:tc>
          <w:tcPr>
            <w:tcW w:w="316" w:type="pct"/>
            <w:shd w:val="clear" w:color="auto" w:fill="auto"/>
            <w:noWrap/>
            <w:vAlign w:val="bottom"/>
            <w:hideMark/>
          </w:tcPr>
          <w:p w14:paraId="637566F0" w14:textId="77777777" w:rsidR="00F24106" w:rsidRPr="00A276BA" w:rsidRDefault="00F24106" w:rsidP="0061013B">
            <w:pPr>
              <w:pStyle w:val="NoSpacing"/>
              <w:jc w:val="center"/>
              <w:rPr>
                <w:sz w:val="16"/>
                <w:szCs w:val="16"/>
              </w:rPr>
            </w:pPr>
            <w:r w:rsidRPr="00A276BA">
              <w:rPr>
                <w:sz w:val="16"/>
                <w:szCs w:val="16"/>
              </w:rPr>
              <w:t>Mali</w:t>
            </w:r>
            <w:r>
              <w:rPr>
                <w:sz w:val="16"/>
                <w:szCs w:val="16"/>
              </w:rPr>
              <w:t>: 762</w:t>
            </w:r>
            <w:r w:rsidRPr="00A276BA">
              <w:rPr>
                <w:sz w:val="16"/>
                <w:szCs w:val="16"/>
              </w:rPr>
              <w:t xml:space="preserve"> Ugand</w:t>
            </w:r>
            <w:r>
              <w:rPr>
                <w:sz w:val="16"/>
                <w:szCs w:val="16"/>
              </w:rPr>
              <w:t>a: 313</w:t>
            </w:r>
          </w:p>
        </w:tc>
        <w:tc>
          <w:tcPr>
            <w:tcW w:w="545" w:type="pct"/>
            <w:shd w:val="clear" w:color="auto" w:fill="auto"/>
            <w:noWrap/>
            <w:vAlign w:val="bottom"/>
            <w:hideMark/>
          </w:tcPr>
          <w:p w14:paraId="29FB010C" w14:textId="77777777" w:rsidR="00F24106" w:rsidRPr="00A276BA" w:rsidRDefault="00F24106" w:rsidP="0061013B">
            <w:pPr>
              <w:pStyle w:val="NoSpacing"/>
              <w:jc w:val="center"/>
              <w:rPr>
                <w:sz w:val="16"/>
                <w:szCs w:val="16"/>
              </w:rPr>
            </w:pPr>
            <w:r w:rsidRPr="00A276BA">
              <w:rPr>
                <w:sz w:val="16"/>
                <w:szCs w:val="16"/>
              </w:rPr>
              <w:t>Semi-structured qualitative interview plus modified QUARITE questionnaire</w:t>
            </w:r>
          </w:p>
        </w:tc>
        <w:tc>
          <w:tcPr>
            <w:tcW w:w="373" w:type="pct"/>
            <w:shd w:val="clear" w:color="auto" w:fill="auto"/>
            <w:noWrap/>
            <w:vAlign w:val="bottom"/>
            <w:hideMark/>
          </w:tcPr>
          <w:p w14:paraId="1D63F1F8" w14:textId="77777777" w:rsidR="00F24106" w:rsidRPr="00A276BA" w:rsidRDefault="00F24106" w:rsidP="0061013B">
            <w:pPr>
              <w:pStyle w:val="NoSpacing"/>
              <w:jc w:val="center"/>
              <w:rPr>
                <w:sz w:val="16"/>
                <w:szCs w:val="16"/>
              </w:rPr>
            </w:pPr>
            <w:r w:rsidRPr="00A276BA">
              <w:rPr>
                <w:sz w:val="16"/>
                <w:szCs w:val="16"/>
              </w:rPr>
              <w:t>Unspecified</w:t>
            </w:r>
          </w:p>
        </w:tc>
        <w:tc>
          <w:tcPr>
            <w:tcW w:w="759" w:type="pct"/>
            <w:shd w:val="clear" w:color="auto" w:fill="auto"/>
            <w:noWrap/>
            <w:vAlign w:val="bottom"/>
            <w:hideMark/>
          </w:tcPr>
          <w:p w14:paraId="1E466AF2" w14:textId="77777777" w:rsidR="00F24106" w:rsidRPr="00A276BA" w:rsidRDefault="00F24106" w:rsidP="0061013B">
            <w:pPr>
              <w:pStyle w:val="NoSpacing"/>
              <w:jc w:val="center"/>
              <w:rPr>
                <w:sz w:val="16"/>
                <w:szCs w:val="16"/>
              </w:rPr>
            </w:pPr>
            <w:r w:rsidRPr="00A276BA">
              <w:rPr>
                <w:sz w:val="16"/>
                <w:szCs w:val="16"/>
              </w:rPr>
              <w:t>1, 2, 3, 4a, 4b, 5, 6, 7</w:t>
            </w:r>
          </w:p>
        </w:tc>
        <w:tc>
          <w:tcPr>
            <w:tcW w:w="381" w:type="pct"/>
            <w:shd w:val="clear" w:color="auto" w:fill="auto"/>
            <w:noWrap/>
            <w:vAlign w:val="bottom"/>
            <w:hideMark/>
          </w:tcPr>
          <w:p w14:paraId="0E819411" w14:textId="77777777" w:rsidR="00F24106" w:rsidRPr="00A276BA" w:rsidRDefault="00F24106" w:rsidP="0061013B">
            <w:pPr>
              <w:pStyle w:val="NoSpacing"/>
              <w:jc w:val="center"/>
              <w:rPr>
                <w:sz w:val="16"/>
                <w:szCs w:val="16"/>
              </w:rPr>
            </w:pPr>
            <w:r w:rsidRPr="00A276BA">
              <w:rPr>
                <w:sz w:val="16"/>
                <w:szCs w:val="16"/>
              </w:rPr>
              <w:t>None</w:t>
            </w:r>
          </w:p>
        </w:tc>
        <w:tc>
          <w:tcPr>
            <w:tcW w:w="253" w:type="pct"/>
            <w:shd w:val="clear" w:color="auto" w:fill="auto"/>
            <w:noWrap/>
            <w:vAlign w:val="bottom"/>
            <w:hideMark/>
          </w:tcPr>
          <w:p w14:paraId="1C1A14F6" w14:textId="77777777" w:rsidR="00F24106" w:rsidRPr="00A276BA" w:rsidRDefault="00F24106" w:rsidP="0061013B">
            <w:pPr>
              <w:pStyle w:val="NoSpacing"/>
              <w:jc w:val="center"/>
              <w:rPr>
                <w:sz w:val="16"/>
                <w:szCs w:val="16"/>
              </w:rPr>
            </w:pPr>
            <w:r w:rsidRPr="00A276BA">
              <w:rPr>
                <w:sz w:val="16"/>
                <w:szCs w:val="16"/>
              </w:rPr>
              <w:t>0.64</w:t>
            </w:r>
          </w:p>
        </w:tc>
      </w:tr>
    </w:tbl>
    <w:p w14:paraId="21BFE986" w14:textId="3B9ED76E" w:rsidR="008C23C9" w:rsidRDefault="0061013B" w:rsidP="00BF67EF">
      <w:pPr>
        <w:spacing w:line="360" w:lineRule="auto"/>
        <w:ind w:hanging="270"/>
        <w:rPr>
          <w:sz w:val="20"/>
        </w:rPr>
      </w:pPr>
      <w:r>
        <w:rPr>
          <w:sz w:val="20"/>
        </w:rPr>
        <w:t>*</w:t>
      </w:r>
      <w:r w:rsidR="00F24106" w:rsidRPr="00A7045F">
        <w:rPr>
          <w:sz w:val="20"/>
        </w:rPr>
        <w:t>These studies report on mortality related to diarrhoeal disease,</w:t>
      </w:r>
      <w:r w:rsidR="00F24106">
        <w:rPr>
          <w:sz w:val="20"/>
        </w:rPr>
        <w:t xml:space="preserve"> pneumonia, acute</w:t>
      </w:r>
      <w:r w:rsidR="00F24106" w:rsidRPr="00A7045F">
        <w:rPr>
          <w:sz w:val="20"/>
        </w:rPr>
        <w:t xml:space="preserve"> febrile illness</w:t>
      </w:r>
      <w:r w:rsidR="00F24106">
        <w:rPr>
          <w:sz w:val="20"/>
        </w:rPr>
        <w:t>es,</w:t>
      </w:r>
      <w:r w:rsidR="00F24106" w:rsidRPr="00A7045F">
        <w:rPr>
          <w:sz w:val="20"/>
        </w:rPr>
        <w:t xml:space="preserve"> or malaria only. </w:t>
      </w:r>
      <w:r w:rsidR="00F24106">
        <w:rPr>
          <w:sz w:val="20"/>
        </w:rPr>
        <w:t>All other studies report all-cause mortality.</w:t>
      </w:r>
    </w:p>
    <w:p w14:paraId="6EBDC548" w14:textId="77777777" w:rsidR="0066702F" w:rsidRDefault="0066702F">
      <w:pPr>
        <w:rPr>
          <w:sz w:val="20"/>
        </w:rPr>
      </w:pPr>
      <w:r>
        <w:rPr>
          <w:sz w:val="20"/>
        </w:rPr>
        <w:br w:type="page"/>
      </w:r>
    </w:p>
    <w:p w14:paraId="327642D0" w14:textId="61911FE3" w:rsidR="0066702F" w:rsidRPr="0066702F" w:rsidRDefault="0066702F">
      <w:r w:rsidRPr="0066702F">
        <w:rPr>
          <w:b/>
          <w:szCs w:val="20"/>
        </w:rPr>
        <w:t>Table 2</w:t>
      </w:r>
      <w:r w:rsidR="0061013B">
        <w:rPr>
          <w:b/>
          <w:szCs w:val="20"/>
        </w:rPr>
        <w:t xml:space="preserve">. </w:t>
      </w:r>
      <w:r w:rsidR="0061013B" w:rsidRPr="0061013B">
        <w:rPr>
          <w:szCs w:val="20"/>
        </w:rPr>
        <w:t>S</w:t>
      </w:r>
      <w:r w:rsidRPr="0061013B">
        <w:rPr>
          <w:szCs w:val="20"/>
        </w:rPr>
        <w:t>ummary of pooled results, stratified by age group</w:t>
      </w:r>
    </w:p>
    <w:tbl>
      <w:tblPr>
        <w:tblStyle w:val="TableGrid"/>
        <w:tblW w:w="5506" w:type="pct"/>
        <w:tblInd w:w="-661" w:type="dxa"/>
        <w:tblLook w:val="04A0" w:firstRow="1" w:lastRow="0" w:firstColumn="1" w:lastColumn="0" w:noHBand="0" w:noVBand="1"/>
      </w:tblPr>
      <w:tblGrid>
        <w:gridCol w:w="3520"/>
        <w:gridCol w:w="1359"/>
        <w:gridCol w:w="1165"/>
        <w:gridCol w:w="1371"/>
        <w:gridCol w:w="1260"/>
        <w:gridCol w:w="772"/>
        <w:gridCol w:w="1356"/>
        <w:gridCol w:w="1162"/>
        <w:gridCol w:w="1359"/>
        <w:gridCol w:w="1260"/>
        <w:gridCol w:w="787"/>
      </w:tblGrid>
      <w:tr w:rsidR="00BF67EF" w:rsidRPr="00D216AB" w14:paraId="7D2D1994" w14:textId="77777777" w:rsidTr="0061013B">
        <w:tc>
          <w:tcPr>
            <w:tcW w:w="1145" w:type="pct"/>
            <w:tcBorders>
              <w:left w:val="nil"/>
              <w:bottom w:val="single" w:sz="4" w:space="0" w:color="auto"/>
              <w:right w:val="nil"/>
            </w:tcBorders>
          </w:tcPr>
          <w:p w14:paraId="1A7B4E8F" w14:textId="77777777" w:rsidR="00BF67EF" w:rsidRPr="00D216AB" w:rsidRDefault="00BF67EF" w:rsidP="00BF67EF">
            <w:pPr>
              <w:spacing w:after="60"/>
              <w:rPr>
                <w:b/>
                <w:sz w:val="20"/>
                <w:szCs w:val="20"/>
              </w:rPr>
            </w:pPr>
            <w:r w:rsidRPr="00D216AB">
              <w:rPr>
                <w:b/>
                <w:sz w:val="20"/>
                <w:szCs w:val="20"/>
              </w:rPr>
              <w:t>Outcome</w:t>
            </w:r>
          </w:p>
        </w:tc>
        <w:tc>
          <w:tcPr>
            <w:tcW w:w="1928" w:type="pct"/>
            <w:gridSpan w:val="5"/>
            <w:tcBorders>
              <w:left w:val="nil"/>
              <w:bottom w:val="single" w:sz="4" w:space="0" w:color="auto"/>
              <w:right w:val="nil"/>
            </w:tcBorders>
          </w:tcPr>
          <w:p w14:paraId="07817807" w14:textId="77777777" w:rsidR="00BF67EF" w:rsidRPr="00D216AB" w:rsidRDefault="00BF67EF" w:rsidP="0061013B">
            <w:pPr>
              <w:spacing w:after="60"/>
              <w:jc w:val="center"/>
              <w:rPr>
                <w:b/>
                <w:sz w:val="20"/>
                <w:szCs w:val="20"/>
              </w:rPr>
            </w:pPr>
            <w:r w:rsidRPr="00D216AB">
              <w:rPr>
                <w:b/>
                <w:sz w:val="20"/>
                <w:szCs w:val="20"/>
              </w:rPr>
              <w:t>Neonates</w:t>
            </w:r>
          </w:p>
        </w:tc>
        <w:tc>
          <w:tcPr>
            <w:tcW w:w="1927" w:type="pct"/>
            <w:gridSpan w:val="5"/>
            <w:tcBorders>
              <w:left w:val="nil"/>
              <w:bottom w:val="single" w:sz="4" w:space="0" w:color="auto"/>
              <w:right w:val="nil"/>
            </w:tcBorders>
          </w:tcPr>
          <w:p w14:paraId="0CE6613D" w14:textId="77777777" w:rsidR="00BF67EF" w:rsidRPr="00D216AB" w:rsidRDefault="00BF67EF" w:rsidP="0061013B">
            <w:pPr>
              <w:spacing w:after="60"/>
              <w:jc w:val="center"/>
              <w:rPr>
                <w:b/>
                <w:sz w:val="20"/>
                <w:szCs w:val="20"/>
              </w:rPr>
            </w:pPr>
            <w:r>
              <w:rPr>
                <w:b/>
                <w:sz w:val="20"/>
                <w:szCs w:val="20"/>
              </w:rPr>
              <w:t>Infants and young children</w:t>
            </w:r>
          </w:p>
        </w:tc>
      </w:tr>
      <w:tr w:rsidR="00BF67EF" w:rsidRPr="0061013B" w14:paraId="18B28246" w14:textId="77777777" w:rsidTr="0061013B">
        <w:tc>
          <w:tcPr>
            <w:tcW w:w="1145" w:type="pct"/>
            <w:tcBorders>
              <w:top w:val="single" w:sz="4" w:space="0" w:color="auto"/>
              <w:left w:val="nil"/>
              <w:bottom w:val="single" w:sz="4" w:space="0" w:color="auto"/>
              <w:right w:val="nil"/>
            </w:tcBorders>
          </w:tcPr>
          <w:p w14:paraId="463B3A5A" w14:textId="77777777" w:rsidR="00BF67EF" w:rsidRPr="00D216AB" w:rsidRDefault="00BF67EF" w:rsidP="00BF67EF">
            <w:pPr>
              <w:spacing w:after="60"/>
              <w:rPr>
                <w:sz w:val="20"/>
                <w:szCs w:val="20"/>
              </w:rPr>
            </w:pPr>
          </w:p>
        </w:tc>
        <w:tc>
          <w:tcPr>
            <w:tcW w:w="442" w:type="pct"/>
            <w:tcBorders>
              <w:top w:val="single" w:sz="4" w:space="0" w:color="auto"/>
              <w:left w:val="nil"/>
              <w:bottom w:val="single" w:sz="4" w:space="0" w:color="auto"/>
              <w:right w:val="nil"/>
            </w:tcBorders>
          </w:tcPr>
          <w:p w14:paraId="693A64A3" w14:textId="77777777" w:rsidR="00BF67EF" w:rsidRPr="0061013B" w:rsidRDefault="00BF67EF" w:rsidP="00BF67EF">
            <w:pPr>
              <w:spacing w:after="60"/>
              <w:jc w:val="right"/>
              <w:rPr>
                <w:b/>
                <w:sz w:val="20"/>
                <w:szCs w:val="20"/>
              </w:rPr>
            </w:pPr>
            <w:r w:rsidRPr="0061013B">
              <w:rPr>
                <w:b/>
                <w:sz w:val="20"/>
                <w:szCs w:val="20"/>
              </w:rPr>
              <w:t>Number of studies*</w:t>
            </w:r>
          </w:p>
        </w:tc>
        <w:tc>
          <w:tcPr>
            <w:tcW w:w="379" w:type="pct"/>
            <w:tcBorders>
              <w:top w:val="single" w:sz="4" w:space="0" w:color="auto"/>
              <w:left w:val="nil"/>
              <w:bottom w:val="single" w:sz="4" w:space="0" w:color="auto"/>
              <w:right w:val="nil"/>
            </w:tcBorders>
          </w:tcPr>
          <w:p w14:paraId="0033A82C" w14:textId="77777777" w:rsidR="00BF67EF" w:rsidRPr="0061013B" w:rsidRDefault="00BF67EF" w:rsidP="0061013B">
            <w:pPr>
              <w:spacing w:after="60"/>
              <w:jc w:val="center"/>
              <w:rPr>
                <w:b/>
                <w:sz w:val="20"/>
                <w:szCs w:val="20"/>
              </w:rPr>
            </w:pPr>
            <w:r w:rsidRPr="0061013B">
              <w:rPr>
                <w:b/>
                <w:sz w:val="20"/>
                <w:szCs w:val="20"/>
              </w:rPr>
              <w:t>Number of deaths</w:t>
            </w:r>
          </w:p>
        </w:tc>
        <w:tc>
          <w:tcPr>
            <w:tcW w:w="446" w:type="pct"/>
            <w:tcBorders>
              <w:top w:val="single" w:sz="4" w:space="0" w:color="auto"/>
              <w:left w:val="nil"/>
              <w:bottom w:val="single" w:sz="4" w:space="0" w:color="auto"/>
              <w:right w:val="nil"/>
            </w:tcBorders>
          </w:tcPr>
          <w:p w14:paraId="58C74320" w14:textId="77777777" w:rsidR="00BF67EF" w:rsidRPr="0061013B" w:rsidRDefault="00BF67EF" w:rsidP="0061013B">
            <w:pPr>
              <w:spacing w:after="60"/>
              <w:jc w:val="center"/>
              <w:rPr>
                <w:b/>
                <w:sz w:val="20"/>
                <w:szCs w:val="20"/>
              </w:rPr>
            </w:pPr>
            <w:r w:rsidRPr="0061013B">
              <w:rPr>
                <w:b/>
                <w:sz w:val="20"/>
                <w:szCs w:val="20"/>
              </w:rPr>
              <w:t>Proportion</w:t>
            </w:r>
          </w:p>
        </w:tc>
        <w:tc>
          <w:tcPr>
            <w:tcW w:w="410" w:type="pct"/>
            <w:tcBorders>
              <w:top w:val="single" w:sz="4" w:space="0" w:color="auto"/>
              <w:left w:val="nil"/>
              <w:bottom w:val="single" w:sz="4" w:space="0" w:color="auto"/>
              <w:right w:val="nil"/>
            </w:tcBorders>
          </w:tcPr>
          <w:p w14:paraId="6F6703BB" w14:textId="77777777" w:rsidR="00BF67EF" w:rsidRPr="0061013B" w:rsidRDefault="00BF67EF" w:rsidP="0061013B">
            <w:pPr>
              <w:spacing w:after="60"/>
              <w:jc w:val="center"/>
              <w:rPr>
                <w:b/>
                <w:sz w:val="20"/>
                <w:szCs w:val="20"/>
              </w:rPr>
            </w:pPr>
            <w:r w:rsidRPr="0061013B">
              <w:rPr>
                <w:b/>
                <w:sz w:val="20"/>
                <w:szCs w:val="20"/>
              </w:rPr>
              <w:t>95% CI</w:t>
            </w:r>
          </w:p>
        </w:tc>
        <w:tc>
          <w:tcPr>
            <w:tcW w:w="251" w:type="pct"/>
            <w:tcBorders>
              <w:top w:val="single" w:sz="4" w:space="0" w:color="auto"/>
              <w:left w:val="nil"/>
              <w:bottom w:val="single" w:sz="4" w:space="0" w:color="auto"/>
              <w:right w:val="nil"/>
            </w:tcBorders>
          </w:tcPr>
          <w:p w14:paraId="5E0714BE" w14:textId="77777777" w:rsidR="00BF67EF" w:rsidRPr="0061013B" w:rsidRDefault="00BF67EF" w:rsidP="0061013B">
            <w:pPr>
              <w:spacing w:after="60"/>
              <w:jc w:val="center"/>
              <w:rPr>
                <w:b/>
                <w:sz w:val="20"/>
                <w:szCs w:val="20"/>
              </w:rPr>
            </w:pPr>
            <w:r w:rsidRPr="0061013B">
              <w:rPr>
                <w:b/>
                <w:sz w:val="20"/>
                <w:szCs w:val="20"/>
              </w:rPr>
              <w:t>I</w:t>
            </w:r>
            <w:r w:rsidRPr="0061013B">
              <w:rPr>
                <w:b/>
                <w:sz w:val="20"/>
                <w:szCs w:val="20"/>
                <w:vertAlign w:val="superscript"/>
              </w:rPr>
              <w:t>2</w:t>
            </w:r>
          </w:p>
        </w:tc>
        <w:tc>
          <w:tcPr>
            <w:tcW w:w="441" w:type="pct"/>
            <w:tcBorders>
              <w:top w:val="single" w:sz="4" w:space="0" w:color="auto"/>
              <w:left w:val="nil"/>
              <w:bottom w:val="single" w:sz="4" w:space="0" w:color="auto"/>
              <w:right w:val="nil"/>
            </w:tcBorders>
          </w:tcPr>
          <w:p w14:paraId="50B3A7F2" w14:textId="77777777" w:rsidR="00BF67EF" w:rsidRPr="0061013B" w:rsidRDefault="00BF67EF" w:rsidP="0061013B">
            <w:pPr>
              <w:spacing w:after="60"/>
              <w:jc w:val="center"/>
              <w:rPr>
                <w:b/>
                <w:sz w:val="20"/>
                <w:szCs w:val="20"/>
              </w:rPr>
            </w:pPr>
            <w:r w:rsidRPr="0061013B">
              <w:rPr>
                <w:b/>
                <w:sz w:val="20"/>
                <w:szCs w:val="20"/>
              </w:rPr>
              <w:t>Number of studies*</w:t>
            </w:r>
          </w:p>
        </w:tc>
        <w:tc>
          <w:tcPr>
            <w:tcW w:w="378" w:type="pct"/>
            <w:tcBorders>
              <w:top w:val="single" w:sz="4" w:space="0" w:color="auto"/>
              <w:left w:val="nil"/>
              <w:bottom w:val="single" w:sz="4" w:space="0" w:color="auto"/>
              <w:right w:val="nil"/>
            </w:tcBorders>
          </w:tcPr>
          <w:p w14:paraId="173ED079" w14:textId="77777777" w:rsidR="00BF67EF" w:rsidRPr="0061013B" w:rsidRDefault="00BF67EF" w:rsidP="0061013B">
            <w:pPr>
              <w:spacing w:after="60"/>
              <w:jc w:val="center"/>
              <w:rPr>
                <w:b/>
                <w:sz w:val="20"/>
                <w:szCs w:val="20"/>
              </w:rPr>
            </w:pPr>
            <w:r w:rsidRPr="0061013B">
              <w:rPr>
                <w:b/>
                <w:sz w:val="20"/>
                <w:szCs w:val="20"/>
              </w:rPr>
              <w:t>Number of deaths</w:t>
            </w:r>
          </w:p>
        </w:tc>
        <w:tc>
          <w:tcPr>
            <w:tcW w:w="442" w:type="pct"/>
            <w:tcBorders>
              <w:top w:val="single" w:sz="4" w:space="0" w:color="auto"/>
              <w:left w:val="nil"/>
              <w:bottom w:val="single" w:sz="4" w:space="0" w:color="auto"/>
              <w:right w:val="nil"/>
            </w:tcBorders>
          </w:tcPr>
          <w:p w14:paraId="5FD07877" w14:textId="77777777" w:rsidR="00BF67EF" w:rsidRPr="0061013B" w:rsidRDefault="00BF67EF" w:rsidP="0061013B">
            <w:pPr>
              <w:spacing w:after="60"/>
              <w:jc w:val="center"/>
              <w:rPr>
                <w:b/>
                <w:sz w:val="20"/>
                <w:szCs w:val="20"/>
              </w:rPr>
            </w:pPr>
            <w:r w:rsidRPr="0061013B">
              <w:rPr>
                <w:b/>
                <w:sz w:val="20"/>
                <w:szCs w:val="20"/>
              </w:rPr>
              <w:t>Proportion</w:t>
            </w:r>
          </w:p>
        </w:tc>
        <w:tc>
          <w:tcPr>
            <w:tcW w:w="410" w:type="pct"/>
            <w:tcBorders>
              <w:top w:val="single" w:sz="4" w:space="0" w:color="auto"/>
              <w:left w:val="nil"/>
              <w:bottom w:val="single" w:sz="4" w:space="0" w:color="auto"/>
              <w:right w:val="nil"/>
            </w:tcBorders>
          </w:tcPr>
          <w:p w14:paraId="5BAA4425" w14:textId="77777777" w:rsidR="00BF67EF" w:rsidRPr="0061013B" w:rsidRDefault="00BF67EF" w:rsidP="0061013B">
            <w:pPr>
              <w:spacing w:after="60"/>
              <w:jc w:val="center"/>
              <w:rPr>
                <w:b/>
                <w:sz w:val="20"/>
                <w:szCs w:val="20"/>
              </w:rPr>
            </w:pPr>
            <w:r w:rsidRPr="0061013B">
              <w:rPr>
                <w:b/>
                <w:sz w:val="20"/>
                <w:szCs w:val="20"/>
              </w:rPr>
              <w:t>95% CI</w:t>
            </w:r>
          </w:p>
        </w:tc>
        <w:tc>
          <w:tcPr>
            <w:tcW w:w="256" w:type="pct"/>
            <w:tcBorders>
              <w:top w:val="single" w:sz="4" w:space="0" w:color="auto"/>
              <w:left w:val="nil"/>
              <w:bottom w:val="single" w:sz="4" w:space="0" w:color="auto"/>
              <w:right w:val="nil"/>
            </w:tcBorders>
          </w:tcPr>
          <w:p w14:paraId="2E053442" w14:textId="77777777" w:rsidR="00BF67EF" w:rsidRPr="0061013B" w:rsidRDefault="00BF67EF" w:rsidP="0061013B">
            <w:pPr>
              <w:spacing w:after="60"/>
              <w:jc w:val="center"/>
              <w:rPr>
                <w:b/>
                <w:sz w:val="20"/>
                <w:szCs w:val="20"/>
              </w:rPr>
            </w:pPr>
            <w:r w:rsidRPr="0061013B">
              <w:rPr>
                <w:b/>
                <w:sz w:val="20"/>
                <w:szCs w:val="20"/>
              </w:rPr>
              <w:t>I</w:t>
            </w:r>
            <w:r w:rsidRPr="0061013B">
              <w:rPr>
                <w:b/>
                <w:sz w:val="20"/>
                <w:szCs w:val="20"/>
                <w:vertAlign w:val="superscript"/>
              </w:rPr>
              <w:t>2</w:t>
            </w:r>
          </w:p>
        </w:tc>
      </w:tr>
      <w:tr w:rsidR="00BF67EF" w:rsidRPr="00D216AB" w14:paraId="045E04A4" w14:textId="77777777" w:rsidTr="0061013B">
        <w:tc>
          <w:tcPr>
            <w:tcW w:w="1145" w:type="pct"/>
            <w:tcBorders>
              <w:left w:val="nil"/>
              <w:bottom w:val="single" w:sz="4" w:space="0" w:color="auto"/>
              <w:right w:val="nil"/>
            </w:tcBorders>
          </w:tcPr>
          <w:p w14:paraId="133C770C" w14:textId="77777777" w:rsidR="00BF67EF" w:rsidRPr="00D216AB" w:rsidRDefault="00BF67EF" w:rsidP="00BF67EF">
            <w:pPr>
              <w:spacing w:after="60"/>
              <w:rPr>
                <w:sz w:val="20"/>
                <w:szCs w:val="20"/>
              </w:rPr>
            </w:pPr>
            <w:r w:rsidRPr="00D216AB">
              <w:rPr>
                <w:sz w:val="20"/>
                <w:szCs w:val="20"/>
              </w:rPr>
              <w:t>Died at home</w:t>
            </w:r>
          </w:p>
        </w:tc>
        <w:tc>
          <w:tcPr>
            <w:tcW w:w="442" w:type="pct"/>
            <w:tcBorders>
              <w:top w:val="single" w:sz="4" w:space="0" w:color="auto"/>
              <w:left w:val="nil"/>
              <w:bottom w:val="single" w:sz="4" w:space="0" w:color="auto"/>
              <w:right w:val="nil"/>
            </w:tcBorders>
          </w:tcPr>
          <w:p w14:paraId="11AFC301" w14:textId="77777777" w:rsidR="00BF67EF" w:rsidRPr="00D216AB" w:rsidRDefault="00BF67EF" w:rsidP="00BF67EF">
            <w:pPr>
              <w:spacing w:after="60"/>
              <w:jc w:val="right"/>
              <w:rPr>
                <w:sz w:val="20"/>
                <w:szCs w:val="20"/>
              </w:rPr>
            </w:pPr>
            <w:r w:rsidRPr="00D216AB">
              <w:rPr>
                <w:sz w:val="20"/>
                <w:szCs w:val="20"/>
              </w:rPr>
              <w:t>12</w:t>
            </w:r>
          </w:p>
        </w:tc>
        <w:tc>
          <w:tcPr>
            <w:tcW w:w="379" w:type="pct"/>
            <w:tcBorders>
              <w:top w:val="single" w:sz="4" w:space="0" w:color="auto"/>
              <w:left w:val="nil"/>
              <w:bottom w:val="single" w:sz="4" w:space="0" w:color="auto"/>
              <w:right w:val="nil"/>
            </w:tcBorders>
          </w:tcPr>
          <w:p w14:paraId="1ED8C752" w14:textId="77777777" w:rsidR="00BF67EF" w:rsidRPr="00D216AB" w:rsidRDefault="00BF67EF" w:rsidP="0061013B">
            <w:pPr>
              <w:spacing w:after="60"/>
              <w:jc w:val="center"/>
              <w:rPr>
                <w:sz w:val="20"/>
                <w:szCs w:val="20"/>
              </w:rPr>
            </w:pPr>
            <w:r w:rsidRPr="00D216AB">
              <w:rPr>
                <w:sz w:val="20"/>
                <w:szCs w:val="20"/>
              </w:rPr>
              <w:t>2373</w:t>
            </w:r>
          </w:p>
        </w:tc>
        <w:tc>
          <w:tcPr>
            <w:tcW w:w="446" w:type="pct"/>
            <w:tcBorders>
              <w:top w:val="single" w:sz="4" w:space="0" w:color="auto"/>
              <w:left w:val="nil"/>
              <w:bottom w:val="single" w:sz="4" w:space="0" w:color="auto"/>
              <w:right w:val="nil"/>
            </w:tcBorders>
          </w:tcPr>
          <w:p w14:paraId="7D6352FA" w14:textId="77777777" w:rsidR="00BF67EF" w:rsidRPr="00D216AB" w:rsidRDefault="00BF67EF" w:rsidP="0061013B">
            <w:pPr>
              <w:spacing w:after="60"/>
              <w:jc w:val="center"/>
              <w:rPr>
                <w:sz w:val="20"/>
                <w:szCs w:val="20"/>
              </w:rPr>
            </w:pPr>
            <w:r w:rsidRPr="00D216AB">
              <w:rPr>
                <w:sz w:val="20"/>
                <w:szCs w:val="20"/>
              </w:rPr>
              <w:t>53.2</w:t>
            </w:r>
          </w:p>
        </w:tc>
        <w:tc>
          <w:tcPr>
            <w:tcW w:w="410" w:type="pct"/>
            <w:tcBorders>
              <w:top w:val="single" w:sz="4" w:space="0" w:color="auto"/>
              <w:left w:val="nil"/>
              <w:bottom w:val="single" w:sz="4" w:space="0" w:color="auto"/>
              <w:right w:val="nil"/>
            </w:tcBorders>
          </w:tcPr>
          <w:p w14:paraId="667337E1" w14:textId="77777777" w:rsidR="00BF67EF" w:rsidRPr="00D216AB" w:rsidRDefault="00BF67EF" w:rsidP="0061013B">
            <w:pPr>
              <w:spacing w:after="60"/>
              <w:jc w:val="center"/>
              <w:rPr>
                <w:sz w:val="20"/>
                <w:szCs w:val="20"/>
              </w:rPr>
            </w:pPr>
            <w:r w:rsidRPr="00D216AB">
              <w:rPr>
                <w:sz w:val="20"/>
                <w:szCs w:val="20"/>
              </w:rPr>
              <w:t>40.0-66.2</w:t>
            </w:r>
          </w:p>
        </w:tc>
        <w:tc>
          <w:tcPr>
            <w:tcW w:w="251" w:type="pct"/>
            <w:tcBorders>
              <w:top w:val="single" w:sz="4" w:space="0" w:color="auto"/>
              <w:left w:val="nil"/>
              <w:bottom w:val="single" w:sz="4" w:space="0" w:color="auto"/>
              <w:right w:val="nil"/>
            </w:tcBorders>
          </w:tcPr>
          <w:p w14:paraId="6D33A4B4" w14:textId="77777777" w:rsidR="00BF67EF" w:rsidRPr="00D216AB" w:rsidRDefault="00BF67EF" w:rsidP="0061013B">
            <w:pPr>
              <w:spacing w:after="60"/>
              <w:jc w:val="center"/>
              <w:rPr>
                <w:sz w:val="20"/>
                <w:szCs w:val="20"/>
              </w:rPr>
            </w:pPr>
            <w:r w:rsidRPr="00D216AB">
              <w:rPr>
                <w:sz w:val="20"/>
                <w:szCs w:val="20"/>
              </w:rPr>
              <w:t>97.5</w:t>
            </w:r>
          </w:p>
        </w:tc>
        <w:tc>
          <w:tcPr>
            <w:tcW w:w="441" w:type="pct"/>
            <w:tcBorders>
              <w:top w:val="single" w:sz="4" w:space="0" w:color="auto"/>
              <w:left w:val="nil"/>
              <w:bottom w:val="single" w:sz="4" w:space="0" w:color="auto"/>
              <w:right w:val="nil"/>
            </w:tcBorders>
          </w:tcPr>
          <w:p w14:paraId="714271CB" w14:textId="77777777" w:rsidR="00BF67EF" w:rsidRPr="00D216AB" w:rsidRDefault="00BF67EF" w:rsidP="0061013B">
            <w:pPr>
              <w:spacing w:after="60"/>
              <w:jc w:val="center"/>
              <w:rPr>
                <w:sz w:val="20"/>
                <w:szCs w:val="20"/>
              </w:rPr>
            </w:pPr>
            <w:r w:rsidRPr="00D216AB">
              <w:rPr>
                <w:sz w:val="20"/>
                <w:szCs w:val="20"/>
              </w:rPr>
              <w:t>17</w:t>
            </w:r>
          </w:p>
        </w:tc>
        <w:tc>
          <w:tcPr>
            <w:tcW w:w="378" w:type="pct"/>
            <w:tcBorders>
              <w:top w:val="single" w:sz="4" w:space="0" w:color="auto"/>
              <w:left w:val="nil"/>
              <w:bottom w:val="single" w:sz="4" w:space="0" w:color="auto"/>
              <w:right w:val="nil"/>
            </w:tcBorders>
          </w:tcPr>
          <w:p w14:paraId="1D1461DF" w14:textId="77777777" w:rsidR="00BF67EF" w:rsidRPr="00D216AB" w:rsidRDefault="00BF67EF" w:rsidP="0061013B">
            <w:pPr>
              <w:spacing w:after="60"/>
              <w:jc w:val="center"/>
              <w:rPr>
                <w:sz w:val="20"/>
                <w:szCs w:val="20"/>
              </w:rPr>
            </w:pPr>
            <w:r w:rsidRPr="00D216AB">
              <w:rPr>
                <w:sz w:val="20"/>
                <w:szCs w:val="20"/>
              </w:rPr>
              <w:t>6803</w:t>
            </w:r>
          </w:p>
        </w:tc>
        <w:tc>
          <w:tcPr>
            <w:tcW w:w="442" w:type="pct"/>
            <w:tcBorders>
              <w:top w:val="single" w:sz="4" w:space="0" w:color="auto"/>
              <w:left w:val="nil"/>
              <w:bottom w:val="single" w:sz="4" w:space="0" w:color="auto"/>
              <w:right w:val="nil"/>
            </w:tcBorders>
          </w:tcPr>
          <w:p w14:paraId="31FB7BDC" w14:textId="77777777" w:rsidR="00BF67EF" w:rsidRPr="00D216AB" w:rsidRDefault="00BF67EF" w:rsidP="0061013B">
            <w:pPr>
              <w:spacing w:after="60"/>
              <w:jc w:val="center"/>
              <w:rPr>
                <w:sz w:val="20"/>
                <w:szCs w:val="20"/>
              </w:rPr>
            </w:pPr>
            <w:r w:rsidRPr="00D216AB">
              <w:rPr>
                <w:sz w:val="20"/>
                <w:szCs w:val="20"/>
              </w:rPr>
              <w:t>53.1</w:t>
            </w:r>
          </w:p>
        </w:tc>
        <w:tc>
          <w:tcPr>
            <w:tcW w:w="410" w:type="pct"/>
            <w:tcBorders>
              <w:top w:val="single" w:sz="4" w:space="0" w:color="auto"/>
              <w:left w:val="nil"/>
              <w:bottom w:val="single" w:sz="4" w:space="0" w:color="auto"/>
              <w:right w:val="nil"/>
            </w:tcBorders>
          </w:tcPr>
          <w:p w14:paraId="17CB6437" w14:textId="77777777" w:rsidR="00BF67EF" w:rsidRPr="00D216AB" w:rsidRDefault="00BF67EF" w:rsidP="0061013B">
            <w:pPr>
              <w:spacing w:after="60"/>
              <w:jc w:val="center"/>
              <w:rPr>
                <w:sz w:val="20"/>
                <w:szCs w:val="20"/>
              </w:rPr>
            </w:pPr>
            <w:r w:rsidRPr="00D216AB">
              <w:rPr>
                <w:sz w:val="20"/>
                <w:szCs w:val="20"/>
              </w:rPr>
              <w:t>44.2-62.0</w:t>
            </w:r>
          </w:p>
        </w:tc>
        <w:tc>
          <w:tcPr>
            <w:tcW w:w="256" w:type="pct"/>
            <w:tcBorders>
              <w:top w:val="single" w:sz="4" w:space="0" w:color="auto"/>
              <w:left w:val="nil"/>
              <w:bottom w:val="single" w:sz="4" w:space="0" w:color="auto"/>
              <w:right w:val="nil"/>
            </w:tcBorders>
          </w:tcPr>
          <w:p w14:paraId="70D05BC8" w14:textId="77777777" w:rsidR="00BF67EF" w:rsidRPr="00D216AB" w:rsidRDefault="00BF67EF" w:rsidP="0061013B">
            <w:pPr>
              <w:spacing w:after="60"/>
              <w:jc w:val="center"/>
              <w:rPr>
                <w:sz w:val="20"/>
                <w:szCs w:val="20"/>
              </w:rPr>
            </w:pPr>
            <w:r w:rsidRPr="00D216AB">
              <w:rPr>
                <w:sz w:val="20"/>
                <w:szCs w:val="20"/>
              </w:rPr>
              <w:t>98.0</w:t>
            </w:r>
          </w:p>
        </w:tc>
      </w:tr>
      <w:tr w:rsidR="00BF67EF" w:rsidRPr="00D216AB" w14:paraId="6249AE2D" w14:textId="77777777" w:rsidTr="0061013B">
        <w:tc>
          <w:tcPr>
            <w:tcW w:w="1145" w:type="pct"/>
            <w:tcBorders>
              <w:top w:val="single" w:sz="4" w:space="0" w:color="auto"/>
              <w:left w:val="nil"/>
              <w:bottom w:val="single" w:sz="4" w:space="0" w:color="auto"/>
              <w:right w:val="nil"/>
            </w:tcBorders>
          </w:tcPr>
          <w:p w14:paraId="25E4BA28" w14:textId="77777777" w:rsidR="00BF67EF" w:rsidRPr="00D216AB" w:rsidRDefault="00BF67EF" w:rsidP="00BF67EF">
            <w:pPr>
              <w:spacing w:after="60"/>
              <w:rPr>
                <w:sz w:val="20"/>
                <w:szCs w:val="20"/>
              </w:rPr>
            </w:pPr>
            <w:r w:rsidRPr="00D216AB">
              <w:rPr>
                <w:sz w:val="20"/>
                <w:szCs w:val="20"/>
              </w:rPr>
              <w:t>Died in a health facility</w:t>
            </w:r>
          </w:p>
        </w:tc>
        <w:tc>
          <w:tcPr>
            <w:tcW w:w="442" w:type="pct"/>
            <w:tcBorders>
              <w:top w:val="single" w:sz="4" w:space="0" w:color="auto"/>
              <w:left w:val="nil"/>
              <w:bottom w:val="single" w:sz="4" w:space="0" w:color="auto"/>
              <w:right w:val="nil"/>
            </w:tcBorders>
          </w:tcPr>
          <w:p w14:paraId="52C65B4F" w14:textId="77777777" w:rsidR="00BF67EF" w:rsidRPr="00D216AB" w:rsidRDefault="00BF67EF" w:rsidP="00BF67EF">
            <w:pPr>
              <w:spacing w:after="60"/>
              <w:jc w:val="right"/>
              <w:rPr>
                <w:sz w:val="20"/>
                <w:szCs w:val="20"/>
              </w:rPr>
            </w:pPr>
            <w:r w:rsidRPr="00D216AB">
              <w:rPr>
                <w:sz w:val="20"/>
                <w:szCs w:val="20"/>
              </w:rPr>
              <w:t>12</w:t>
            </w:r>
          </w:p>
        </w:tc>
        <w:tc>
          <w:tcPr>
            <w:tcW w:w="379" w:type="pct"/>
            <w:tcBorders>
              <w:top w:val="single" w:sz="4" w:space="0" w:color="auto"/>
              <w:left w:val="nil"/>
              <w:bottom w:val="single" w:sz="4" w:space="0" w:color="auto"/>
              <w:right w:val="nil"/>
            </w:tcBorders>
          </w:tcPr>
          <w:p w14:paraId="1EA9CA2E" w14:textId="77777777" w:rsidR="00BF67EF" w:rsidRPr="00D216AB" w:rsidRDefault="00BF67EF" w:rsidP="0061013B">
            <w:pPr>
              <w:spacing w:after="60"/>
              <w:jc w:val="center"/>
              <w:rPr>
                <w:sz w:val="20"/>
                <w:szCs w:val="20"/>
              </w:rPr>
            </w:pPr>
            <w:r w:rsidRPr="00D216AB">
              <w:rPr>
                <w:sz w:val="20"/>
                <w:szCs w:val="20"/>
              </w:rPr>
              <w:t>2373</w:t>
            </w:r>
          </w:p>
        </w:tc>
        <w:tc>
          <w:tcPr>
            <w:tcW w:w="446" w:type="pct"/>
            <w:tcBorders>
              <w:top w:val="single" w:sz="4" w:space="0" w:color="auto"/>
              <w:left w:val="nil"/>
              <w:bottom w:val="single" w:sz="4" w:space="0" w:color="auto"/>
              <w:right w:val="nil"/>
            </w:tcBorders>
          </w:tcPr>
          <w:p w14:paraId="72BE1070" w14:textId="77777777" w:rsidR="00BF67EF" w:rsidRPr="00D216AB" w:rsidRDefault="00BF67EF" w:rsidP="0061013B">
            <w:pPr>
              <w:spacing w:after="60"/>
              <w:jc w:val="center"/>
              <w:rPr>
                <w:sz w:val="20"/>
                <w:szCs w:val="20"/>
              </w:rPr>
            </w:pPr>
            <w:r w:rsidRPr="00D216AB">
              <w:rPr>
                <w:sz w:val="20"/>
                <w:szCs w:val="20"/>
              </w:rPr>
              <w:t>37.8</w:t>
            </w:r>
          </w:p>
        </w:tc>
        <w:tc>
          <w:tcPr>
            <w:tcW w:w="410" w:type="pct"/>
            <w:tcBorders>
              <w:top w:val="single" w:sz="4" w:space="0" w:color="auto"/>
              <w:left w:val="nil"/>
              <w:bottom w:val="single" w:sz="4" w:space="0" w:color="auto"/>
              <w:right w:val="nil"/>
            </w:tcBorders>
          </w:tcPr>
          <w:p w14:paraId="00898EB4" w14:textId="77777777" w:rsidR="00BF67EF" w:rsidRPr="00D216AB" w:rsidRDefault="00BF67EF" w:rsidP="0061013B">
            <w:pPr>
              <w:spacing w:after="60"/>
              <w:jc w:val="center"/>
              <w:rPr>
                <w:sz w:val="20"/>
                <w:szCs w:val="20"/>
              </w:rPr>
            </w:pPr>
            <w:r w:rsidRPr="00D216AB">
              <w:rPr>
                <w:sz w:val="20"/>
                <w:szCs w:val="20"/>
              </w:rPr>
              <w:t>26.4-49.8</w:t>
            </w:r>
          </w:p>
        </w:tc>
        <w:tc>
          <w:tcPr>
            <w:tcW w:w="251" w:type="pct"/>
            <w:tcBorders>
              <w:top w:val="single" w:sz="4" w:space="0" w:color="auto"/>
              <w:left w:val="nil"/>
              <w:bottom w:val="single" w:sz="4" w:space="0" w:color="auto"/>
              <w:right w:val="nil"/>
            </w:tcBorders>
          </w:tcPr>
          <w:p w14:paraId="3834462A" w14:textId="77777777" w:rsidR="00BF67EF" w:rsidRPr="00D216AB" w:rsidRDefault="00BF67EF" w:rsidP="0061013B">
            <w:pPr>
              <w:spacing w:after="60"/>
              <w:jc w:val="center"/>
              <w:rPr>
                <w:sz w:val="20"/>
                <w:szCs w:val="20"/>
              </w:rPr>
            </w:pPr>
            <w:r w:rsidRPr="00D216AB">
              <w:rPr>
                <w:sz w:val="20"/>
                <w:szCs w:val="20"/>
              </w:rPr>
              <w:t>97.0</w:t>
            </w:r>
          </w:p>
        </w:tc>
        <w:tc>
          <w:tcPr>
            <w:tcW w:w="441" w:type="pct"/>
            <w:tcBorders>
              <w:top w:val="single" w:sz="4" w:space="0" w:color="auto"/>
              <w:left w:val="nil"/>
              <w:bottom w:val="single" w:sz="4" w:space="0" w:color="auto"/>
              <w:right w:val="nil"/>
            </w:tcBorders>
          </w:tcPr>
          <w:p w14:paraId="48748AA2" w14:textId="77777777" w:rsidR="00BF67EF" w:rsidRPr="00D216AB" w:rsidRDefault="00BF67EF" w:rsidP="0061013B">
            <w:pPr>
              <w:spacing w:after="60"/>
              <w:jc w:val="center"/>
              <w:rPr>
                <w:sz w:val="20"/>
                <w:szCs w:val="20"/>
              </w:rPr>
            </w:pPr>
            <w:r w:rsidRPr="00D216AB">
              <w:rPr>
                <w:sz w:val="20"/>
                <w:szCs w:val="20"/>
              </w:rPr>
              <w:t>14</w:t>
            </w:r>
          </w:p>
        </w:tc>
        <w:tc>
          <w:tcPr>
            <w:tcW w:w="378" w:type="pct"/>
            <w:tcBorders>
              <w:top w:val="single" w:sz="4" w:space="0" w:color="auto"/>
              <w:left w:val="nil"/>
              <w:bottom w:val="single" w:sz="4" w:space="0" w:color="auto"/>
              <w:right w:val="nil"/>
            </w:tcBorders>
          </w:tcPr>
          <w:p w14:paraId="39F731D5" w14:textId="77777777" w:rsidR="00BF67EF" w:rsidRPr="00D216AB" w:rsidRDefault="00BF67EF" w:rsidP="0061013B">
            <w:pPr>
              <w:spacing w:after="60"/>
              <w:jc w:val="center"/>
              <w:rPr>
                <w:sz w:val="20"/>
                <w:szCs w:val="20"/>
              </w:rPr>
            </w:pPr>
            <w:r w:rsidRPr="00D216AB">
              <w:rPr>
                <w:sz w:val="20"/>
                <w:szCs w:val="20"/>
              </w:rPr>
              <w:t>6153</w:t>
            </w:r>
          </w:p>
        </w:tc>
        <w:tc>
          <w:tcPr>
            <w:tcW w:w="442" w:type="pct"/>
            <w:tcBorders>
              <w:top w:val="single" w:sz="4" w:space="0" w:color="auto"/>
              <w:left w:val="nil"/>
              <w:bottom w:val="single" w:sz="4" w:space="0" w:color="auto"/>
              <w:right w:val="nil"/>
            </w:tcBorders>
          </w:tcPr>
          <w:p w14:paraId="5B3F8F12" w14:textId="77777777" w:rsidR="00BF67EF" w:rsidRPr="00D216AB" w:rsidRDefault="00BF67EF" w:rsidP="0061013B">
            <w:pPr>
              <w:spacing w:after="60"/>
              <w:jc w:val="center"/>
              <w:rPr>
                <w:sz w:val="20"/>
                <w:szCs w:val="20"/>
              </w:rPr>
            </w:pPr>
            <w:r w:rsidRPr="00D216AB">
              <w:rPr>
                <w:sz w:val="20"/>
                <w:szCs w:val="20"/>
              </w:rPr>
              <w:t>33.4</w:t>
            </w:r>
          </w:p>
        </w:tc>
        <w:tc>
          <w:tcPr>
            <w:tcW w:w="410" w:type="pct"/>
            <w:tcBorders>
              <w:top w:val="single" w:sz="4" w:space="0" w:color="auto"/>
              <w:left w:val="nil"/>
              <w:bottom w:val="single" w:sz="4" w:space="0" w:color="auto"/>
              <w:right w:val="nil"/>
            </w:tcBorders>
          </w:tcPr>
          <w:p w14:paraId="30608573" w14:textId="77777777" w:rsidR="00BF67EF" w:rsidRPr="00D216AB" w:rsidRDefault="00BF67EF" w:rsidP="0061013B">
            <w:pPr>
              <w:spacing w:after="60"/>
              <w:jc w:val="center"/>
              <w:rPr>
                <w:sz w:val="20"/>
                <w:szCs w:val="20"/>
              </w:rPr>
            </w:pPr>
            <w:r w:rsidRPr="00D216AB">
              <w:rPr>
                <w:sz w:val="20"/>
                <w:szCs w:val="20"/>
              </w:rPr>
              <w:t>25.5-41.9</w:t>
            </w:r>
          </w:p>
        </w:tc>
        <w:tc>
          <w:tcPr>
            <w:tcW w:w="256" w:type="pct"/>
            <w:tcBorders>
              <w:top w:val="single" w:sz="4" w:space="0" w:color="auto"/>
              <w:left w:val="nil"/>
              <w:bottom w:val="single" w:sz="4" w:space="0" w:color="auto"/>
              <w:right w:val="nil"/>
            </w:tcBorders>
          </w:tcPr>
          <w:p w14:paraId="01EC5370" w14:textId="77777777" w:rsidR="00BF67EF" w:rsidRPr="00D216AB" w:rsidRDefault="00BF67EF" w:rsidP="0061013B">
            <w:pPr>
              <w:spacing w:after="60"/>
              <w:jc w:val="center"/>
              <w:rPr>
                <w:sz w:val="20"/>
                <w:szCs w:val="20"/>
              </w:rPr>
            </w:pPr>
            <w:r w:rsidRPr="00D216AB">
              <w:rPr>
                <w:sz w:val="20"/>
                <w:szCs w:val="20"/>
              </w:rPr>
              <w:t>97.6</w:t>
            </w:r>
          </w:p>
        </w:tc>
      </w:tr>
      <w:tr w:rsidR="00BF67EF" w:rsidRPr="00D216AB" w14:paraId="744F853A" w14:textId="77777777" w:rsidTr="0061013B">
        <w:tc>
          <w:tcPr>
            <w:tcW w:w="1145" w:type="pct"/>
            <w:tcBorders>
              <w:top w:val="single" w:sz="4" w:space="0" w:color="auto"/>
              <w:left w:val="nil"/>
              <w:bottom w:val="single" w:sz="4" w:space="0" w:color="auto"/>
              <w:right w:val="nil"/>
            </w:tcBorders>
          </w:tcPr>
          <w:p w14:paraId="3FABE0EC" w14:textId="77777777" w:rsidR="00BF67EF" w:rsidRPr="00D216AB" w:rsidRDefault="00BF67EF" w:rsidP="00BF67EF">
            <w:pPr>
              <w:spacing w:after="60"/>
              <w:rPr>
                <w:sz w:val="20"/>
                <w:szCs w:val="20"/>
              </w:rPr>
            </w:pPr>
            <w:r w:rsidRPr="00D216AB">
              <w:rPr>
                <w:sz w:val="20"/>
                <w:szCs w:val="20"/>
              </w:rPr>
              <w:t xml:space="preserve">Died </w:t>
            </w:r>
            <w:r w:rsidRPr="00616247">
              <w:rPr>
                <w:i/>
                <w:sz w:val="20"/>
                <w:szCs w:val="20"/>
              </w:rPr>
              <w:t>en route</w:t>
            </w:r>
            <w:r w:rsidRPr="00D216AB">
              <w:rPr>
                <w:sz w:val="20"/>
                <w:szCs w:val="20"/>
              </w:rPr>
              <w:t xml:space="preserve"> to a health facility</w:t>
            </w:r>
          </w:p>
        </w:tc>
        <w:tc>
          <w:tcPr>
            <w:tcW w:w="442" w:type="pct"/>
            <w:tcBorders>
              <w:top w:val="single" w:sz="4" w:space="0" w:color="auto"/>
              <w:left w:val="nil"/>
              <w:bottom w:val="single" w:sz="4" w:space="0" w:color="auto"/>
              <w:right w:val="nil"/>
            </w:tcBorders>
          </w:tcPr>
          <w:p w14:paraId="3FE08FC8" w14:textId="77777777" w:rsidR="00BF67EF" w:rsidRPr="00D216AB" w:rsidRDefault="00BF67EF" w:rsidP="00BF67EF">
            <w:pPr>
              <w:spacing w:after="60"/>
              <w:jc w:val="right"/>
              <w:rPr>
                <w:sz w:val="20"/>
                <w:szCs w:val="20"/>
              </w:rPr>
            </w:pPr>
            <w:r w:rsidRPr="00D216AB">
              <w:rPr>
                <w:sz w:val="20"/>
                <w:szCs w:val="20"/>
              </w:rPr>
              <w:t>4</w:t>
            </w:r>
          </w:p>
        </w:tc>
        <w:tc>
          <w:tcPr>
            <w:tcW w:w="379" w:type="pct"/>
            <w:tcBorders>
              <w:top w:val="single" w:sz="4" w:space="0" w:color="auto"/>
              <w:left w:val="nil"/>
              <w:bottom w:val="single" w:sz="4" w:space="0" w:color="auto"/>
              <w:right w:val="nil"/>
            </w:tcBorders>
          </w:tcPr>
          <w:p w14:paraId="24F8C187" w14:textId="77777777" w:rsidR="00BF67EF" w:rsidRPr="00D216AB" w:rsidRDefault="00BF67EF" w:rsidP="0061013B">
            <w:pPr>
              <w:spacing w:after="60"/>
              <w:jc w:val="center"/>
              <w:rPr>
                <w:sz w:val="20"/>
                <w:szCs w:val="20"/>
              </w:rPr>
            </w:pPr>
            <w:r w:rsidRPr="00D216AB">
              <w:rPr>
                <w:sz w:val="20"/>
                <w:szCs w:val="20"/>
              </w:rPr>
              <w:t>577</w:t>
            </w:r>
          </w:p>
        </w:tc>
        <w:tc>
          <w:tcPr>
            <w:tcW w:w="446" w:type="pct"/>
            <w:tcBorders>
              <w:top w:val="single" w:sz="4" w:space="0" w:color="auto"/>
              <w:left w:val="nil"/>
              <w:bottom w:val="single" w:sz="4" w:space="0" w:color="auto"/>
              <w:right w:val="nil"/>
            </w:tcBorders>
          </w:tcPr>
          <w:p w14:paraId="762511A9" w14:textId="77777777" w:rsidR="00BF67EF" w:rsidRPr="00D216AB" w:rsidRDefault="00BF67EF" w:rsidP="0061013B">
            <w:pPr>
              <w:spacing w:after="60"/>
              <w:jc w:val="center"/>
              <w:rPr>
                <w:sz w:val="20"/>
                <w:szCs w:val="20"/>
              </w:rPr>
            </w:pPr>
            <w:r w:rsidRPr="00D216AB">
              <w:rPr>
                <w:sz w:val="20"/>
                <w:szCs w:val="20"/>
              </w:rPr>
              <w:t>5.1</w:t>
            </w:r>
          </w:p>
        </w:tc>
        <w:tc>
          <w:tcPr>
            <w:tcW w:w="410" w:type="pct"/>
            <w:tcBorders>
              <w:top w:val="single" w:sz="4" w:space="0" w:color="auto"/>
              <w:left w:val="nil"/>
              <w:bottom w:val="single" w:sz="4" w:space="0" w:color="auto"/>
              <w:right w:val="nil"/>
            </w:tcBorders>
          </w:tcPr>
          <w:p w14:paraId="07237463" w14:textId="77777777" w:rsidR="00BF67EF" w:rsidRPr="00D216AB" w:rsidRDefault="00BF67EF" w:rsidP="0061013B">
            <w:pPr>
              <w:spacing w:after="60"/>
              <w:jc w:val="center"/>
              <w:rPr>
                <w:sz w:val="20"/>
                <w:szCs w:val="20"/>
              </w:rPr>
            </w:pPr>
            <w:r w:rsidRPr="00D216AB">
              <w:rPr>
                <w:sz w:val="20"/>
                <w:szCs w:val="20"/>
              </w:rPr>
              <w:t>3.3-7.1</w:t>
            </w:r>
          </w:p>
        </w:tc>
        <w:tc>
          <w:tcPr>
            <w:tcW w:w="251" w:type="pct"/>
            <w:tcBorders>
              <w:top w:val="single" w:sz="4" w:space="0" w:color="auto"/>
              <w:left w:val="nil"/>
              <w:bottom w:val="single" w:sz="4" w:space="0" w:color="auto"/>
              <w:right w:val="nil"/>
            </w:tcBorders>
          </w:tcPr>
          <w:p w14:paraId="7634B455" w14:textId="77777777" w:rsidR="00BF67EF" w:rsidRPr="00D216AB" w:rsidRDefault="00BF67EF" w:rsidP="0061013B">
            <w:pPr>
              <w:spacing w:after="60"/>
              <w:jc w:val="center"/>
              <w:rPr>
                <w:sz w:val="20"/>
                <w:szCs w:val="20"/>
              </w:rPr>
            </w:pPr>
            <w:r w:rsidRPr="00D216AB">
              <w:rPr>
                <w:sz w:val="20"/>
                <w:szCs w:val="20"/>
              </w:rPr>
              <w:t>0.0</w:t>
            </w:r>
          </w:p>
        </w:tc>
        <w:tc>
          <w:tcPr>
            <w:tcW w:w="441" w:type="pct"/>
            <w:tcBorders>
              <w:top w:val="single" w:sz="4" w:space="0" w:color="auto"/>
              <w:left w:val="nil"/>
              <w:bottom w:val="single" w:sz="4" w:space="0" w:color="auto"/>
              <w:right w:val="nil"/>
            </w:tcBorders>
          </w:tcPr>
          <w:p w14:paraId="5EF70DD3" w14:textId="77777777" w:rsidR="00BF67EF" w:rsidRPr="00D216AB" w:rsidRDefault="00BF67EF" w:rsidP="0061013B">
            <w:pPr>
              <w:spacing w:after="60"/>
              <w:jc w:val="center"/>
              <w:rPr>
                <w:sz w:val="20"/>
                <w:szCs w:val="20"/>
              </w:rPr>
            </w:pPr>
            <w:r w:rsidRPr="00D216AB">
              <w:rPr>
                <w:sz w:val="20"/>
                <w:szCs w:val="20"/>
              </w:rPr>
              <w:t>7</w:t>
            </w:r>
          </w:p>
        </w:tc>
        <w:tc>
          <w:tcPr>
            <w:tcW w:w="378" w:type="pct"/>
            <w:tcBorders>
              <w:top w:val="single" w:sz="4" w:space="0" w:color="auto"/>
              <w:left w:val="nil"/>
              <w:bottom w:val="single" w:sz="4" w:space="0" w:color="auto"/>
              <w:right w:val="nil"/>
            </w:tcBorders>
          </w:tcPr>
          <w:p w14:paraId="46DA35B0" w14:textId="77777777" w:rsidR="00BF67EF" w:rsidRPr="00D216AB" w:rsidRDefault="00BF67EF" w:rsidP="0061013B">
            <w:pPr>
              <w:spacing w:after="60"/>
              <w:jc w:val="center"/>
              <w:rPr>
                <w:sz w:val="20"/>
                <w:szCs w:val="20"/>
              </w:rPr>
            </w:pPr>
            <w:r w:rsidRPr="00D216AB">
              <w:rPr>
                <w:sz w:val="20"/>
                <w:szCs w:val="20"/>
              </w:rPr>
              <w:t>3997</w:t>
            </w:r>
          </w:p>
        </w:tc>
        <w:tc>
          <w:tcPr>
            <w:tcW w:w="442" w:type="pct"/>
            <w:tcBorders>
              <w:top w:val="single" w:sz="4" w:space="0" w:color="auto"/>
              <w:left w:val="nil"/>
              <w:bottom w:val="single" w:sz="4" w:space="0" w:color="auto"/>
              <w:right w:val="nil"/>
            </w:tcBorders>
          </w:tcPr>
          <w:p w14:paraId="3C4A7934" w14:textId="77777777" w:rsidR="00BF67EF" w:rsidRPr="00D216AB" w:rsidRDefault="00BF67EF" w:rsidP="0061013B">
            <w:pPr>
              <w:spacing w:after="60"/>
              <w:jc w:val="center"/>
              <w:rPr>
                <w:sz w:val="20"/>
                <w:szCs w:val="20"/>
              </w:rPr>
            </w:pPr>
            <w:r w:rsidRPr="00D216AB">
              <w:rPr>
                <w:sz w:val="20"/>
                <w:szCs w:val="20"/>
              </w:rPr>
              <w:t>5.6</w:t>
            </w:r>
          </w:p>
        </w:tc>
        <w:tc>
          <w:tcPr>
            <w:tcW w:w="410" w:type="pct"/>
            <w:tcBorders>
              <w:top w:val="single" w:sz="4" w:space="0" w:color="auto"/>
              <w:left w:val="nil"/>
              <w:bottom w:val="single" w:sz="4" w:space="0" w:color="auto"/>
              <w:right w:val="nil"/>
            </w:tcBorders>
          </w:tcPr>
          <w:p w14:paraId="101898AF" w14:textId="77777777" w:rsidR="00BF67EF" w:rsidRPr="00D216AB" w:rsidRDefault="00BF67EF" w:rsidP="0061013B">
            <w:pPr>
              <w:spacing w:after="60"/>
              <w:jc w:val="center"/>
              <w:rPr>
                <w:sz w:val="20"/>
                <w:szCs w:val="20"/>
              </w:rPr>
            </w:pPr>
            <w:r w:rsidRPr="00D216AB">
              <w:rPr>
                <w:sz w:val="20"/>
                <w:szCs w:val="20"/>
              </w:rPr>
              <w:t>3.2-8.6</w:t>
            </w:r>
          </w:p>
        </w:tc>
        <w:tc>
          <w:tcPr>
            <w:tcW w:w="256" w:type="pct"/>
            <w:tcBorders>
              <w:top w:val="single" w:sz="4" w:space="0" w:color="auto"/>
              <w:left w:val="nil"/>
              <w:bottom w:val="single" w:sz="4" w:space="0" w:color="auto"/>
              <w:right w:val="nil"/>
            </w:tcBorders>
          </w:tcPr>
          <w:p w14:paraId="1AA62E6B" w14:textId="77777777" w:rsidR="00BF67EF" w:rsidRPr="00D216AB" w:rsidRDefault="00BF67EF" w:rsidP="0061013B">
            <w:pPr>
              <w:spacing w:after="60"/>
              <w:jc w:val="center"/>
              <w:rPr>
                <w:sz w:val="20"/>
                <w:szCs w:val="20"/>
              </w:rPr>
            </w:pPr>
            <w:r w:rsidRPr="00D216AB">
              <w:rPr>
                <w:sz w:val="20"/>
                <w:szCs w:val="20"/>
              </w:rPr>
              <w:t>89.0</w:t>
            </w:r>
          </w:p>
        </w:tc>
      </w:tr>
      <w:tr w:rsidR="00BF67EF" w:rsidRPr="00D216AB" w14:paraId="1CB13601" w14:textId="77777777" w:rsidTr="0061013B">
        <w:tc>
          <w:tcPr>
            <w:tcW w:w="1145" w:type="pct"/>
            <w:tcBorders>
              <w:top w:val="single" w:sz="4" w:space="0" w:color="auto"/>
              <w:left w:val="nil"/>
              <w:bottom w:val="single" w:sz="4" w:space="0" w:color="auto"/>
              <w:right w:val="nil"/>
            </w:tcBorders>
          </w:tcPr>
          <w:p w14:paraId="29B6F16A" w14:textId="77777777" w:rsidR="00BF67EF" w:rsidRPr="00D216AB" w:rsidRDefault="00BF67EF" w:rsidP="00BF67EF">
            <w:pPr>
              <w:spacing w:after="60"/>
              <w:rPr>
                <w:sz w:val="20"/>
                <w:szCs w:val="20"/>
              </w:rPr>
            </w:pPr>
            <w:r w:rsidRPr="00D216AB">
              <w:rPr>
                <w:sz w:val="20"/>
                <w:szCs w:val="20"/>
              </w:rPr>
              <w:t>Died elsewhere</w:t>
            </w:r>
          </w:p>
        </w:tc>
        <w:tc>
          <w:tcPr>
            <w:tcW w:w="442" w:type="pct"/>
            <w:tcBorders>
              <w:top w:val="single" w:sz="4" w:space="0" w:color="auto"/>
              <w:left w:val="nil"/>
              <w:bottom w:val="single" w:sz="4" w:space="0" w:color="auto"/>
              <w:right w:val="nil"/>
            </w:tcBorders>
          </w:tcPr>
          <w:p w14:paraId="6A584659" w14:textId="77777777" w:rsidR="00BF67EF" w:rsidRPr="00D216AB" w:rsidRDefault="00BF67EF" w:rsidP="00BF67EF">
            <w:pPr>
              <w:spacing w:after="60"/>
              <w:jc w:val="right"/>
              <w:rPr>
                <w:sz w:val="20"/>
                <w:szCs w:val="20"/>
              </w:rPr>
            </w:pPr>
            <w:r w:rsidRPr="00D216AB">
              <w:rPr>
                <w:sz w:val="20"/>
                <w:szCs w:val="20"/>
              </w:rPr>
              <w:t>8</w:t>
            </w:r>
          </w:p>
        </w:tc>
        <w:tc>
          <w:tcPr>
            <w:tcW w:w="379" w:type="pct"/>
            <w:tcBorders>
              <w:top w:val="single" w:sz="4" w:space="0" w:color="auto"/>
              <w:left w:val="nil"/>
              <w:bottom w:val="single" w:sz="4" w:space="0" w:color="auto"/>
              <w:right w:val="nil"/>
            </w:tcBorders>
          </w:tcPr>
          <w:p w14:paraId="578FB22D" w14:textId="77777777" w:rsidR="00BF67EF" w:rsidRPr="00D216AB" w:rsidRDefault="00BF67EF" w:rsidP="0061013B">
            <w:pPr>
              <w:spacing w:after="60"/>
              <w:jc w:val="center"/>
              <w:rPr>
                <w:sz w:val="20"/>
                <w:szCs w:val="20"/>
              </w:rPr>
            </w:pPr>
            <w:r w:rsidRPr="00D216AB">
              <w:rPr>
                <w:sz w:val="20"/>
                <w:szCs w:val="20"/>
              </w:rPr>
              <w:t>1444</w:t>
            </w:r>
          </w:p>
        </w:tc>
        <w:tc>
          <w:tcPr>
            <w:tcW w:w="446" w:type="pct"/>
            <w:tcBorders>
              <w:top w:val="single" w:sz="4" w:space="0" w:color="auto"/>
              <w:left w:val="nil"/>
              <w:bottom w:val="single" w:sz="4" w:space="0" w:color="auto"/>
              <w:right w:val="nil"/>
            </w:tcBorders>
          </w:tcPr>
          <w:p w14:paraId="3EB34D20" w14:textId="77777777" w:rsidR="00BF67EF" w:rsidRPr="00D216AB" w:rsidRDefault="00BF67EF" w:rsidP="0061013B">
            <w:pPr>
              <w:spacing w:after="60"/>
              <w:jc w:val="center"/>
              <w:rPr>
                <w:sz w:val="20"/>
                <w:szCs w:val="20"/>
              </w:rPr>
            </w:pPr>
            <w:r w:rsidRPr="00D216AB">
              <w:rPr>
                <w:sz w:val="20"/>
                <w:szCs w:val="20"/>
              </w:rPr>
              <w:t>3.4</w:t>
            </w:r>
          </w:p>
        </w:tc>
        <w:tc>
          <w:tcPr>
            <w:tcW w:w="410" w:type="pct"/>
            <w:tcBorders>
              <w:top w:val="single" w:sz="4" w:space="0" w:color="auto"/>
              <w:left w:val="nil"/>
              <w:bottom w:val="single" w:sz="4" w:space="0" w:color="auto"/>
              <w:right w:val="nil"/>
            </w:tcBorders>
          </w:tcPr>
          <w:p w14:paraId="7FA2AA39" w14:textId="77777777" w:rsidR="00BF67EF" w:rsidRPr="00D216AB" w:rsidRDefault="00BF67EF" w:rsidP="0061013B">
            <w:pPr>
              <w:spacing w:after="60"/>
              <w:jc w:val="center"/>
              <w:rPr>
                <w:sz w:val="20"/>
                <w:szCs w:val="20"/>
              </w:rPr>
            </w:pPr>
            <w:r w:rsidRPr="00D216AB">
              <w:rPr>
                <w:sz w:val="20"/>
                <w:szCs w:val="20"/>
              </w:rPr>
              <w:t>0.6-7.7</w:t>
            </w:r>
          </w:p>
        </w:tc>
        <w:tc>
          <w:tcPr>
            <w:tcW w:w="251" w:type="pct"/>
            <w:tcBorders>
              <w:top w:val="single" w:sz="4" w:space="0" w:color="auto"/>
              <w:left w:val="nil"/>
              <w:bottom w:val="single" w:sz="4" w:space="0" w:color="auto"/>
              <w:right w:val="nil"/>
            </w:tcBorders>
          </w:tcPr>
          <w:p w14:paraId="1E69589A" w14:textId="77777777" w:rsidR="00BF67EF" w:rsidRPr="00D216AB" w:rsidRDefault="00BF67EF" w:rsidP="0061013B">
            <w:pPr>
              <w:spacing w:after="60"/>
              <w:jc w:val="center"/>
              <w:rPr>
                <w:sz w:val="20"/>
                <w:szCs w:val="20"/>
              </w:rPr>
            </w:pPr>
            <w:r w:rsidRPr="00D216AB">
              <w:rPr>
                <w:sz w:val="20"/>
                <w:szCs w:val="20"/>
              </w:rPr>
              <w:t>89.5</w:t>
            </w:r>
          </w:p>
        </w:tc>
        <w:tc>
          <w:tcPr>
            <w:tcW w:w="441" w:type="pct"/>
            <w:tcBorders>
              <w:top w:val="single" w:sz="4" w:space="0" w:color="auto"/>
              <w:left w:val="nil"/>
              <w:bottom w:val="single" w:sz="4" w:space="0" w:color="auto"/>
              <w:right w:val="nil"/>
            </w:tcBorders>
          </w:tcPr>
          <w:p w14:paraId="4A78C437" w14:textId="77777777" w:rsidR="00BF67EF" w:rsidRPr="00D216AB" w:rsidRDefault="00BF67EF" w:rsidP="0061013B">
            <w:pPr>
              <w:spacing w:after="60"/>
              <w:jc w:val="center"/>
              <w:rPr>
                <w:sz w:val="20"/>
                <w:szCs w:val="20"/>
              </w:rPr>
            </w:pPr>
            <w:r w:rsidRPr="00D216AB">
              <w:rPr>
                <w:sz w:val="20"/>
                <w:szCs w:val="20"/>
              </w:rPr>
              <w:t>11</w:t>
            </w:r>
          </w:p>
        </w:tc>
        <w:tc>
          <w:tcPr>
            <w:tcW w:w="378" w:type="pct"/>
            <w:tcBorders>
              <w:top w:val="single" w:sz="4" w:space="0" w:color="auto"/>
              <w:left w:val="nil"/>
              <w:bottom w:val="single" w:sz="4" w:space="0" w:color="auto"/>
              <w:right w:val="nil"/>
            </w:tcBorders>
          </w:tcPr>
          <w:p w14:paraId="160C5BA2" w14:textId="77777777" w:rsidR="00BF67EF" w:rsidRPr="00D216AB" w:rsidRDefault="00BF67EF" w:rsidP="0061013B">
            <w:pPr>
              <w:spacing w:after="60"/>
              <w:jc w:val="center"/>
              <w:rPr>
                <w:sz w:val="20"/>
                <w:szCs w:val="20"/>
              </w:rPr>
            </w:pPr>
            <w:r w:rsidRPr="00D216AB">
              <w:rPr>
                <w:sz w:val="20"/>
                <w:szCs w:val="20"/>
              </w:rPr>
              <w:t>5314</w:t>
            </w:r>
          </w:p>
        </w:tc>
        <w:tc>
          <w:tcPr>
            <w:tcW w:w="442" w:type="pct"/>
            <w:tcBorders>
              <w:top w:val="single" w:sz="4" w:space="0" w:color="auto"/>
              <w:left w:val="nil"/>
              <w:bottom w:val="single" w:sz="4" w:space="0" w:color="auto"/>
              <w:right w:val="nil"/>
            </w:tcBorders>
          </w:tcPr>
          <w:p w14:paraId="73240DAC" w14:textId="77777777" w:rsidR="00BF67EF" w:rsidRPr="00D216AB" w:rsidRDefault="00BF67EF" w:rsidP="0061013B">
            <w:pPr>
              <w:spacing w:after="60"/>
              <w:jc w:val="center"/>
              <w:rPr>
                <w:sz w:val="20"/>
                <w:szCs w:val="20"/>
              </w:rPr>
            </w:pPr>
            <w:r w:rsidRPr="00D216AB">
              <w:rPr>
                <w:sz w:val="20"/>
                <w:szCs w:val="20"/>
              </w:rPr>
              <w:t>6.2</w:t>
            </w:r>
          </w:p>
        </w:tc>
        <w:tc>
          <w:tcPr>
            <w:tcW w:w="410" w:type="pct"/>
            <w:tcBorders>
              <w:top w:val="single" w:sz="4" w:space="0" w:color="auto"/>
              <w:left w:val="nil"/>
              <w:bottom w:val="single" w:sz="4" w:space="0" w:color="auto"/>
              <w:right w:val="nil"/>
            </w:tcBorders>
          </w:tcPr>
          <w:p w14:paraId="492D65B0" w14:textId="77777777" w:rsidR="00BF67EF" w:rsidRPr="00D216AB" w:rsidRDefault="00BF67EF" w:rsidP="0061013B">
            <w:pPr>
              <w:spacing w:after="60"/>
              <w:jc w:val="center"/>
              <w:rPr>
                <w:sz w:val="20"/>
                <w:szCs w:val="20"/>
              </w:rPr>
            </w:pPr>
            <w:r w:rsidRPr="00D216AB">
              <w:rPr>
                <w:sz w:val="20"/>
                <w:szCs w:val="20"/>
              </w:rPr>
              <w:t>3.0-10.4</w:t>
            </w:r>
          </w:p>
        </w:tc>
        <w:tc>
          <w:tcPr>
            <w:tcW w:w="256" w:type="pct"/>
            <w:tcBorders>
              <w:top w:val="single" w:sz="4" w:space="0" w:color="auto"/>
              <w:left w:val="nil"/>
              <w:bottom w:val="single" w:sz="4" w:space="0" w:color="auto"/>
              <w:right w:val="nil"/>
            </w:tcBorders>
          </w:tcPr>
          <w:p w14:paraId="6DA2E17C" w14:textId="77777777" w:rsidR="00BF67EF" w:rsidRPr="00D216AB" w:rsidRDefault="00BF67EF" w:rsidP="0061013B">
            <w:pPr>
              <w:spacing w:after="60"/>
              <w:jc w:val="center"/>
              <w:rPr>
                <w:sz w:val="20"/>
                <w:szCs w:val="20"/>
              </w:rPr>
            </w:pPr>
            <w:r w:rsidRPr="00D216AB">
              <w:rPr>
                <w:sz w:val="20"/>
                <w:szCs w:val="20"/>
              </w:rPr>
              <w:t>96.3</w:t>
            </w:r>
          </w:p>
        </w:tc>
      </w:tr>
      <w:tr w:rsidR="00BF67EF" w:rsidRPr="00D216AB" w14:paraId="4D9E62FC" w14:textId="77777777" w:rsidTr="0061013B">
        <w:tc>
          <w:tcPr>
            <w:tcW w:w="1145" w:type="pct"/>
            <w:tcBorders>
              <w:top w:val="single" w:sz="4" w:space="0" w:color="auto"/>
              <w:left w:val="nil"/>
              <w:bottom w:val="single" w:sz="4" w:space="0" w:color="auto"/>
              <w:right w:val="nil"/>
            </w:tcBorders>
          </w:tcPr>
          <w:p w14:paraId="557183D4" w14:textId="77777777" w:rsidR="00BF67EF" w:rsidRPr="00D216AB" w:rsidRDefault="00BF67EF" w:rsidP="00BF67EF">
            <w:pPr>
              <w:spacing w:after="60"/>
              <w:rPr>
                <w:sz w:val="20"/>
                <w:szCs w:val="20"/>
              </w:rPr>
            </w:pPr>
            <w:r w:rsidRPr="00D216AB">
              <w:rPr>
                <w:sz w:val="20"/>
                <w:szCs w:val="20"/>
              </w:rPr>
              <w:t>Signs/Symptoms of illness</w:t>
            </w:r>
          </w:p>
        </w:tc>
        <w:tc>
          <w:tcPr>
            <w:tcW w:w="442" w:type="pct"/>
            <w:tcBorders>
              <w:top w:val="single" w:sz="4" w:space="0" w:color="auto"/>
              <w:left w:val="nil"/>
              <w:bottom w:val="single" w:sz="4" w:space="0" w:color="auto"/>
              <w:right w:val="nil"/>
            </w:tcBorders>
          </w:tcPr>
          <w:p w14:paraId="7EDB3015" w14:textId="77777777" w:rsidR="00BF67EF" w:rsidRPr="00D216AB" w:rsidRDefault="00BF67EF" w:rsidP="00BF67EF">
            <w:pPr>
              <w:spacing w:after="60"/>
              <w:jc w:val="right"/>
              <w:rPr>
                <w:sz w:val="20"/>
                <w:szCs w:val="20"/>
              </w:rPr>
            </w:pPr>
            <w:r w:rsidRPr="00D216AB">
              <w:rPr>
                <w:sz w:val="20"/>
                <w:szCs w:val="20"/>
              </w:rPr>
              <w:t>7</w:t>
            </w:r>
          </w:p>
        </w:tc>
        <w:tc>
          <w:tcPr>
            <w:tcW w:w="379" w:type="pct"/>
            <w:tcBorders>
              <w:top w:val="single" w:sz="4" w:space="0" w:color="auto"/>
              <w:left w:val="nil"/>
              <w:bottom w:val="single" w:sz="4" w:space="0" w:color="auto"/>
              <w:right w:val="nil"/>
            </w:tcBorders>
          </w:tcPr>
          <w:p w14:paraId="39D08E30" w14:textId="77777777" w:rsidR="00BF67EF" w:rsidRPr="00D216AB" w:rsidRDefault="00BF67EF" w:rsidP="0061013B">
            <w:pPr>
              <w:spacing w:after="60"/>
              <w:jc w:val="center"/>
              <w:rPr>
                <w:sz w:val="20"/>
                <w:szCs w:val="20"/>
              </w:rPr>
            </w:pPr>
            <w:r w:rsidRPr="00D216AB">
              <w:rPr>
                <w:sz w:val="20"/>
                <w:szCs w:val="20"/>
              </w:rPr>
              <w:t>1294</w:t>
            </w:r>
          </w:p>
        </w:tc>
        <w:tc>
          <w:tcPr>
            <w:tcW w:w="446" w:type="pct"/>
            <w:tcBorders>
              <w:top w:val="single" w:sz="4" w:space="0" w:color="auto"/>
              <w:left w:val="nil"/>
              <w:bottom w:val="single" w:sz="4" w:space="0" w:color="auto"/>
              <w:right w:val="nil"/>
            </w:tcBorders>
          </w:tcPr>
          <w:p w14:paraId="10EBAB52" w14:textId="77777777" w:rsidR="00BF67EF" w:rsidRPr="00D216AB" w:rsidRDefault="00BF67EF" w:rsidP="0061013B">
            <w:pPr>
              <w:spacing w:after="60"/>
              <w:jc w:val="center"/>
              <w:rPr>
                <w:sz w:val="20"/>
                <w:szCs w:val="20"/>
              </w:rPr>
            </w:pPr>
            <w:r w:rsidRPr="00D216AB">
              <w:rPr>
                <w:sz w:val="20"/>
                <w:szCs w:val="20"/>
              </w:rPr>
              <w:t>95.0</w:t>
            </w:r>
          </w:p>
        </w:tc>
        <w:tc>
          <w:tcPr>
            <w:tcW w:w="410" w:type="pct"/>
            <w:tcBorders>
              <w:top w:val="single" w:sz="4" w:space="0" w:color="auto"/>
              <w:left w:val="nil"/>
              <w:bottom w:val="single" w:sz="4" w:space="0" w:color="auto"/>
              <w:right w:val="nil"/>
            </w:tcBorders>
          </w:tcPr>
          <w:p w14:paraId="3C182123" w14:textId="77777777" w:rsidR="00BF67EF" w:rsidRPr="00D216AB" w:rsidRDefault="00BF67EF" w:rsidP="0061013B">
            <w:pPr>
              <w:spacing w:after="60"/>
              <w:jc w:val="center"/>
              <w:rPr>
                <w:sz w:val="20"/>
                <w:szCs w:val="20"/>
              </w:rPr>
            </w:pPr>
            <w:r w:rsidRPr="00D216AB">
              <w:rPr>
                <w:sz w:val="20"/>
                <w:szCs w:val="20"/>
              </w:rPr>
              <w:t>84.9-99.9</w:t>
            </w:r>
          </w:p>
        </w:tc>
        <w:tc>
          <w:tcPr>
            <w:tcW w:w="251" w:type="pct"/>
            <w:tcBorders>
              <w:top w:val="single" w:sz="4" w:space="0" w:color="auto"/>
              <w:left w:val="nil"/>
              <w:bottom w:val="single" w:sz="4" w:space="0" w:color="auto"/>
              <w:right w:val="nil"/>
            </w:tcBorders>
          </w:tcPr>
          <w:p w14:paraId="04BC05F9" w14:textId="77777777" w:rsidR="00BF67EF" w:rsidRPr="00D216AB" w:rsidRDefault="00BF67EF" w:rsidP="0061013B">
            <w:pPr>
              <w:spacing w:after="60"/>
              <w:jc w:val="center"/>
              <w:rPr>
                <w:sz w:val="20"/>
                <w:szCs w:val="20"/>
              </w:rPr>
            </w:pPr>
            <w:r w:rsidRPr="00D216AB">
              <w:rPr>
                <w:sz w:val="20"/>
                <w:szCs w:val="20"/>
              </w:rPr>
              <w:t>97.2</w:t>
            </w:r>
          </w:p>
        </w:tc>
        <w:tc>
          <w:tcPr>
            <w:tcW w:w="441" w:type="pct"/>
            <w:tcBorders>
              <w:top w:val="single" w:sz="4" w:space="0" w:color="auto"/>
              <w:left w:val="nil"/>
              <w:bottom w:val="single" w:sz="4" w:space="0" w:color="auto"/>
              <w:right w:val="nil"/>
            </w:tcBorders>
          </w:tcPr>
          <w:p w14:paraId="3C3DD528" w14:textId="77777777" w:rsidR="00BF67EF" w:rsidRPr="00D216AB" w:rsidRDefault="00BF67EF" w:rsidP="0061013B">
            <w:pPr>
              <w:spacing w:after="60"/>
              <w:jc w:val="center"/>
              <w:rPr>
                <w:sz w:val="20"/>
                <w:szCs w:val="20"/>
              </w:rPr>
            </w:pPr>
            <w:r w:rsidRPr="00D216AB">
              <w:rPr>
                <w:sz w:val="20"/>
                <w:szCs w:val="20"/>
              </w:rPr>
              <w:t>11</w:t>
            </w:r>
          </w:p>
        </w:tc>
        <w:tc>
          <w:tcPr>
            <w:tcW w:w="378" w:type="pct"/>
            <w:tcBorders>
              <w:top w:val="single" w:sz="4" w:space="0" w:color="auto"/>
              <w:left w:val="nil"/>
              <w:bottom w:val="single" w:sz="4" w:space="0" w:color="auto"/>
              <w:right w:val="nil"/>
            </w:tcBorders>
          </w:tcPr>
          <w:p w14:paraId="2B27461C" w14:textId="77777777" w:rsidR="00BF67EF" w:rsidRPr="00D216AB" w:rsidRDefault="00BF67EF" w:rsidP="0061013B">
            <w:pPr>
              <w:spacing w:after="60"/>
              <w:jc w:val="center"/>
              <w:rPr>
                <w:sz w:val="20"/>
                <w:szCs w:val="20"/>
              </w:rPr>
            </w:pPr>
            <w:r w:rsidRPr="00D216AB">
              <w:rPr>
                <w:sz w:val="20"/>
                <w:szCs w:val="20"/>
              </w:rPr>
              <w:t>5345</w:t>
            </w:r>
          </w:p>
        </w:tc>
        <w:tc>
          <w:tcPr>
            <w:tcW w:w="442" w:type="pct"/>
            <w:tcBorders>
              <w:top w:val="single" w:sz="4" w:space="0" w:color="auto"/>
              <w:left w:val="nil"/>
              <w:bottom w:val="single" w:sz="4" w:space="0" w:color="auto"/>
              <w:right w:val="nil"/>
            </w:tcBorders>
          </w:tcPr>
          <w:p w14:paraId="1CB96D33" w14:textId="77777777" w:rsidR="00BF67EF" w:rsidRPr="00D216AB" w:rsidRDefault="00BF67EF" w:rsidP="0061013B">
            <w:pPr>
              <w:spacing w:after="60"/>
              <w:jc w:val="center"/>
              <w:rPr>
                <w:sz w:val="20"/>
                <w:szCs w:val="20"/>
              </w:rPr>
            </w:pPr>
            <w:r w:rsidRPr="00D216AB">
              <w:rPr>
                <w:sz w:val="20"/>
                <w:szCs w:val="20"/>
              </w:rPr>
              <w:t>98.2</w:t>
            </w:r>
          </w:p>
        </w:tc>
        <w:tc>
          <w:tcPr>
            <w:tcW w:w="410" w:type="pct"/>
            <w:tcBorders>
              <w:top w:val="single" w:sz="4" w:space="0" w:color="auto"/>
              <w:left w:val="nil"/>
              <w:bottom w:val="single" w:sz="4" w:space="0" w:color="auto"/>
              <w:right w:val="nil"/>
            </w:tcBorders>
          </w:tcPr>
          <w:p w14:paraId="109F0CE1" w14:textId="77777777" w:rsidR="00BF67EF" w:rsidRPr="00D216AB" w:rsidRDefault="00BF67EF" w:rsidP="0061013B">
            <w:pPr>
              <w:spacing w:after="60"/>
              <w:jc w:val="center"/>
              <w:rPr>
                <w:sz w:val="20"/>
                <w:szCs w:val="20"/>
              </w:rPr>
            </w:pPr>
            <w:r w:rsidRPr="00D216AB">
              <w:rPr>
                <w:sz w:val="20"/>
                <w:szCs w:val="20"/>
              </w:rPr>
              <w:t>95.2-99.9</w:t>
            </w:r>
          </w:p>
        </w:tc>
        <w:tc>
          <w:tcPr>
            <w:tcW w:w="256" w:type="pct"/>
            <w:tcBorders>
              <w:top w:val="single" w:sz="4" w:space="0" w:color="auto"/>
              <w:left w:val="nil"/>
              <w:bottom w:val="single" w:sz="4" w:space="0" w:color="auto"/>
              <w:right w:val="nil"/>
            </w:tcBorders>
          </w:tcPr>
          <w:p w14:paraId="40BDD4ED" w14:textId="77777777" w:rsidR="00BF67EF" w:rsidRPr="00D216AB" w:rsidRDefault="00BF67EF" w:rsidP="0061013B">
            <w:pPr>
              <w:spacing w:after="60"/>
              <w:jc w:val="center"/>
              <w:rPr>
                <w:sz w:val="20"/>
                <w:szCs w:val="20"/>
              </w:rPr>
            </w:pPr>
            <w:r w:rsidRPr="00D216AB">
              <w:rPr>
                <w:sz w:val="20"/>
                <w:szCs w:val="20"/>
              </w:rPr>
              <w:t>97.0</w:t>
            </w:r>
          </w:p>
        </w:tc>
      </w:tr>
      <w:tr w:rsidR="00BF67EF" w:rsidRPr="00D216AB" w14:paraId="2ECBFAC8" w14:textId="77777777" w:rsidTr="0061013B">
        <w:tc>
          <w:tcPr>
            <w:tcW w:w="1145" w:type="pct"/>
            <w:tcBorders>
              <w:top w:val="single" w:sz="4" w:space="0" w:color="auto"/>
              <w:left w:val="nil"/>
              <w:bottom w:val="single" w:sz="4" w:space="0" w:color="auto"/>
              <w:right w:val="nil"/>
            </w:tcBorders>
          </w:tcPr>
          <w:p w14:paraId="5048440C" w14:textId="77777777" w:rsidR="00BF67EF" w:rsidRPr="00D216AB" w:rsidRDefault="00BF67EF" w:rsidP="00BF67EF">
            <w:pPr>
              <w:spacing w:after="60"/>
              <w:rPr>
                <w:sz w:val="20"/>
                <w:szCs w:val="20"/>
              </w:rPr>
            </w:pPr>
            <w:r w:rsidRPr="00D216AB">
              <w:rPr>
                <w:sz w:val="20"/>
                <w:szCs w:val="20"/>
              </w:rPr>
              <w:t>Signs/Symptoms of severe illness</w:t>
            </w:r>
          </w:p>
        </w:tc>
        <w:tc>
          <w:tcPr>
            <w:tcW w:w="442" w:type="pct"/>
            <w:tcBorders>
              <w:top w:val="single" w:sz="4" w:space="0" w:color="auto"/>
              <w:left w:val="nil"/>
              <w:bottom w:val="single" w:sz="4" w:space="0" w:color="auto"/>
              <w:right w:val="nil"/>
            </w:tcBorders>
          </w:tcPr>
          <w:p w14:paraId="7F676CC7"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3DC50820" w14:textId="77777777" w:rsidR="00BF67EF" w:rsidRPr="00D216AB" w:rsidRDefault="00BF67EF" w:rsidP="0061013B">
            <w:pPr>
              <w:spacing w:after="60"/>
              <w:jc w:val="center"/>
              <w:rPr>
                <w:sz w:val="20"/>
                <w:szCs w:val="20"/>
              </w:rPr>
            </w:pPr>
            <w:r w:rsidRPr="00D216AB">
              <w:rPr>
                <w:sz w:val="20"/>
                <w:szCs w:val="20"/>
              </w:rPr>
              <w:t>1097</w:t>
            </w:r>
          </w:p>
        </w:tc>
        <w:tc>
          <w:tcPr>
            <w:tcW w:w="446" w:type="pct"/>
            <w:tcBorders>
              <w:top w:val="single" w:sz="4" w:space="0" w:color="auto"/>
              <w:left w:val="nil"/>
              <w:bottom w:val="single" w:sz="4" w:space="0" w:color="auto"/>
              <w:right w:val="nil"/>
            </w:tcBorders>
          </w:tcPr>
          <w:p w14:paraId="4AD59AF3" w14:textId="77777777" w:rsidR="00BF67EF" w:rsidRPr="00D216AB" w:rsidRDefault="00BF67EF" w:rsidP="0061013B">
            <w:pPr>
              <w:spacing w:after="60"/>
              <w:jc w:val="center"/>
              <w:rPr>
                <w:sz w:val="20"/>
                <w:szCs w:val="20"/>
              </w:rPr>
            </w:pPr>
            <w:r w:rsidRPr="00D216AB">
              <w:rPr>
                <w:sz w:val="20"/>
                <w:szCs w:val="20"/>
              </w:rPr>
              <w:t>84.3</w:t>
            </w:r>
          </w:p>
        </w:tc>
        <w:tc>
          <w:tcPr>
            <w:tcW w:w="410" w:type="pct"/>
            <w:tcBorders>
              <w:top w:val="single" w:sz="4" w:space="0" w:color="auto"/>
              <w:left w:val="nil"/>
              <w:bottom w:val="single" w:sz="4" w:space="0" w:color="auto"/>
              <w:right w:val="nil"/>
            </w:tcBorders>
          </w:tcPr>
          <w:p w14:paraId="7FA6489F" w14:textId="77777777" w:rsidR="00BF67EF" w:rsidRPr="00D216AB" w:rsidRDefault="00BF67EF" w:rsidP="0061013B">
            <w:pPr>
              <w:spacing w:after="60"/>
              <w:jc w:val="center"/>
              <w:rPr>
                <w:sz w:val="20"/>
                <w:szCs w:val="20"/>
              </w:rPr>
            </w:pPr>
            <w:r w:rsidRPr="00D216AB">
              <w:rPr>
                <w:sz w:val="20"/>
                <w:szCs w:val="20"/>
              </w:rPr>
              <w:t>60.0-98.5</w:t>
            </w:r>
          </w:p>
        </w:tc>
        <w:tc>
          <w:tcPr>
            <w:tcW w:w="251" w:type="pct"/>
            <w:tcBorders>
              <w:top w:val="single" w:sz="4" w:space="0" w:color="auto"/>
              <w:left w:val="nil"/>
              <w:bottom w:val="single" w:sz="4" w:space="0" w:color="auto"/>
              <w:right w:val="nil"/>
            </w:tcBorders>
          </w:tcPr>
          <w:p w14:paraId="293CEEA1" w14:textId="77777777" w:rsidR="00BF67EF" w:rsidRPr="00D216AB" w:rsidRDefault="00BF67EF" w:rsidP="0061013B">
            <w:pPr>
              <w:spacing w:after="60"/>
              <w:jc w:val="center"/>
              <w:rPr>
                <w:sz w:val="20"/>
                <w:szCs w:val="20"/>
              </w:rPr>
            </w:pPr>
            <w:r w:rsidRPr="00D216AB">
              <w:rPr>
                <w:sz w:val="20"/>
                <w:szCs w:val="20"/>
              </w:rPr>
              <w:t>98.8</w:t>
            </w:r>
          </w:p>
        </w:tc>
        <w:tc>
          <w:tcPr>
            <w:tcW w:w="441" w:type="pct"/>
            <w:tcBorders>
              <w:top w:val="single" w:sz="4" w:space="0" w:color="auto"/>
              <w:left w:val="nil"/>
              <w:bottom w:val="single" w:sz="4" w:space="0" w:color="auto"/>
              <w:right w:val="nil"/>
            </w:tcBorders>
          </w:tcPr>
          <w:p w14:paraId="219B5B80" w14:textId="77777777" w:rsidR="00BF67EF" w:rsidRPr="00D216AB" w:rsidRDefault="00BF67EF" w:rsidP="0061013B">
            <w:pPr>
              <w:spacing w:after="60"/>
              <w:jc w:val="center"/>
              <w:rPr>
                <w:sz w:val="20"/>
                <w:szCs w:val="20"/>
              </w:rPr>
            </w:pPr>
            <w:r w:rsidRPr="00D216AB">
              <w:rPr>
                <w:sz w:val="20"/>
                <w:szCs w:val="20"/>
              </w:rPr>
              <w:t>9</w:t>
            </w:r>
          </w:p>
        </w:tc>
        <w:tc>
          <w:tcPr>
            <w:tcW w:w="378" w:type="pct"/>
            <w:tcBorders>
              <w:top w:val="single" w:sz="4" w:space="0" w:color="auto"/>
              <w:left w:val="nil"/>
              <w:bottom w:val="single" w:sz="4" w:space="0" w:color="auto"/>
              <w:right w:val="nil"/>
            </w:tcBorders>
          </w:tcPr>
          <w:p w14:paraId="6011FC23" w14:textId="77777777" w:rsidR="00BF67EF" w:rsidRPr="00D216AB" w:rsidRDefault="00BF67EF" w:rsidP="0061013B">
            <w:pPr>
              <w:spacing w:after="60"/>
              <w:jc w:val="center"/>
              <w:rPr>
                <w:sz w:val="20"/>
                <w:szCs w:val="20"/>
              </w:rPr>
            </w:pPr>
            <w:r w:rsidRPr="00D216AB">
              <w:rPr>
                <w:sz w:val="20"/>
                <w:szCs w:val="20"/>
              </w:rPr>
              <w:t>5003</w:t>
            </w:r>
          </w:p>
        </w:tc>
        <w:tc>
          <w:tcPr>
            <w:tcW w:w="442" w:type="pct"/>
            <w:tcBorders>
              <w:top w:val="single" w:sz="4" w:space="0" w:color="auto"/>
              <w:left w:val="nil"/>
              <w:bottom w:val="single" w:sz="4" w:space="0" w:color="auto"/>
              <w:right w:val="nil"/>
            </w:tcBorders>
          </w:tcPr>
          <w:p w14:paraId="2D02C539" w14:textId="77777777" w:rsidR="00BF67EF" w:rsidRPr="00D216AB" w:rsidRDefault="00BF67EF" w:rsidP="0061013B">
            <w:pPr>
              <w:spacing w:after="60"/>
              <w:jc w:val="center"/>
              <w:rPr>
                <w:sz w:val="20"/>
                <w:szCs w:val="20"/>
              </w:rPr>
            </w:pPr>
            <w:r w:rsidRPr="00D216AB">
              <w:rPr>
                <w:sz w:val="20"/>
                <w:szCs w:val="20"/>
              </w:rPr>
              <w:t>88.1</w:t>
            </w:r>
          </w:p>
        </w:tc>
        <w:tc>
          <w:tcPr>
            <w:tcW w:w="410" w:type="pct"/>
            <w:tcBorders>
              <w:top w:val="single" w:sz="4" w:space="0" w:color="auto"/>
              <w:left w:val="nil"/>
              <w:bottom w:val="single" w:sz="4" w:space="0" w:color="auto"/>
              <w:right w:val="nil"/>
            </w:tcBorders>
          </w:tcPr>
          <w:p w14:paraId="5E54F4DF" w14:textId="77777777" w:rsidR="00BF67EF" w:rsidRPr="00D216AB" w:rsidRDefault="00BF67EF" w:rsidP="0061013B">
            <w:pPr>
              <w:spacing w:after="60"/>
              <w:jc w:val="center"/>
              <w:rPr>
                <w:sz w:val="20"/>
                <w:szCs w:val="20"/>
              </w:rPr>
            </w:pPr>
            <w:r w:rsidRPr="00D216AB">
              <w:rPr>
                <w:sz w:val="20"/>
                <w:szCs w:val="20"/>
              </w:rPr>
              <w:t>78.4-95.3</w:t>
            </w:r>
          </w:p>
        </w:tc>
        <w:tc>
          <w:tcPr>
            <w:tcW w:w="256" w:type="pct"/>
            <w:tcBorders>
              <w:top w:val="single" w:sz="4" w:space="0" w:color="auto"/>
              <w:left w:val="nil"/>
              <w:bottom w:val="single" w:sz="4" w:space="0" w:color="auto"/>
              <w:right w:val="nil"/>
            </w:tcBorders>
          </w:tcPr>
          <w:p w14:paraId="7C42EEB1" w14:textId="77777777" w:rsidR="00BF67EF" w:rsidRPr="00D216AB" w:rsidRDefault="00BF67EF" w:rsidP="0061013B">
            <w:pPr>
              <w:spacing w:after="60"/>
              <w:jc w:val="center"/>
              <w:rPr>
                <w:sz w:val="20"/>
                <w:szCs w:val="20"/>
              </w:rPr>
            </w:pPr>
            <w:r w:rsidRPr="00D216AB">
              <w:rPr>
                <w:sz w:val="20"/>
                <w:szCs w:val="20"/>
              </w:rPr>
              <w:t>98.7</w:t>
            </w:r>
          </w:p>
        </w:tc>
      </w:tr>
      <w:tr w:rsidR="00BF67EF" w:rsidRPr="00D216AB" w14:paraId="46948F41" w14:textId="77777777" w:rsidTr="0061013B">
        <w:tc>
          <w:tcPr>
            <w:tcW w:w="1145" w:type="pct"/>
            <w:tcBorders>
              <w:top w:val="single" w:sz="4" w:space="0" w:color="auto"/>
              <w:left w:val="nil"/>
              <w:bottom w:val="single" w:sz="4" w:space="0" w:color="auto"/>
              <w:right w:val="nil"/>
            </w:tcBorders>
          </w:tcPr>
          <w:p w14:paraId="62609582" w14:textId="77777777" w:rsidR="00BF67EF" w:rsidRPr="00D216AB" w:rsidRDefault="00BF67EF" w:rsidP="00BF67EF">
            <w:pPr>
              <w:spacing w:after="60"/>
              <w:rPr>
                <w:sz w:val="20"/>
                <w:szCs w:val="20"/>
              </w:rPr>
            </w:pPr>
            <w:r w:rsidRPr="00D216AB">
              <w:rPr>
                <w:sz w:val="20"/>
                <w:szCs w:val="20"/>
              </w:rPr>
              <w:t>Died immediately/no care given</w:t>
            </w:r>
          </w:p>
        </w:tc>
        <w:tc>
          <w:tcPr>
            <w:tcW w:w="442" w:type="pct"/>
            <w:tcBorders>
              <w:top w:val="single" w:sz="4" w:space="0" w:color="auto"/>
              <w:left w:val="nil"/>
              <w:bottom w:val="single" w:sz="4" w:space="0" w:color="auto"/>
              <w:right w:val="nil"/>
            </w:tcBorders>
          </w:tcPr>
          <w:p w14:paraId="2E5487AD" w14:textId="77777777" w:rsidR="00BF67EF" w:rsidRPr="003C53A4" w:rsidRDefault="00BF67EF" w:rsidP="00BF67EF">
            <w:pPr>
              <w:spacing w:after="60"/>
              <w:jc w:val="right"/>
              <w:rPr>
                <w:color w:val="FF0000"/>
                <w:sz w:val="20"/>
                <w:szCs w:val="20"/>
              </w:rPr>
            </w:pPr>
            <w:r w:rsidRPr="003C53A4">
              <w:rPr>
                <w:color w:val="FF0000"/>
                <w:sz w:val="20"/>
                <w:szCs w:val="20"/>
              </w:rPr>
              <w:t>6</w:t>
            </w:r>
          </w:p>
        </w:tc>
        <w:tc>
          <w:tcPr>
            <w:tcW w:w="379" w:type="pct"/>
            <w:tcBorders>
              <w:top w:val="single" w:sz="4" w:space="0" w:color="auto"/>
              <w:left w:val="nil"/>
              <w:bottom w:val="single" w:sz="4" w:space="0" w:color="auto"/>
              <w:right w:val="nil"/>
            </w:tcBorders>
          </w:tcPr>
          <w:p w14:paraId="7BE5BD74" w14:textId="77777777" w:rsidR="00BF67EF" w:rsidRPr="003C53A4" w:rsidRDefault="00BF67EF" w:rsidP="0061013B">
            <w:pPr>
              <w:spacing w:after="60"/>
              <w:jc w:val="center"/>
              <w:rPr>
                <w:color w:val="FF0000"/>
                <w:sz w:val="20"/>
                <w:szCs w:val="20"/>
              </w:rPr>
            </w:pPr>
            <w:r w:rsidRPr="003C53A4">
              <w:rPr>
                <w:color w:val="FF0000"/>
                <w:sz w:val="20"/>
                <w:szCs w:val="20"/>
              </w:rPr>
              <w:t>1134</w:t>
            </w:r>
          </w:p>
        </w:tc>
        <w:tc>
          <w:tcPr>
            <w:tcW w:w="446" w:type="pct"/>
            <w:tcBorders>
              <w:top w:val="single" w:sz="4" w:space="0" w:color="auto"/>
              <w:left w:val="nil"/>
              <w:bottom w:val="single" w:sz="4" w:space="0" w:color="auto"/>
              <w:right w:val="nil"/>
            </w:tcBorders>
          </w:tcPr>
          <w:p w14:paraId="37A20187" w14:textId="77777777" w:rsidR="00BF67EF" w:rsidRPr="003C53A4" w:rsidRDefault="00BF67EF" w:rsidP="0061013B">
            <w:pPr>
              <w:spacing w:after="60"/>
              <w:jc w:val="center"/>
              <w:rPr>
                <w:color w:val="FF0000"/>
                <w:sz w:val="20"/>
                <w:szCs w:val="20"/>
              </w:rPr>
            </w:pPr>
            <w:r w:rsidRPr="003C53A4">
              <w:rPr>
                <w:color w:val="FF0000"/>
                <w:sz w:val="20"/>
                <w:szCs w:val="20"/>
              </w:rPr>
              <w:t>40.1</w:t>
            </w:r>
          </w:p>
        </w:tc>
        <w:tc>
          <w:tcPr>
            <w:tcW w:w="410" w:type="pct"/>
            <w:tcBorders>
              <w:top w:val="single" w:sz="4" w:space="0" w:color="auto"/>
              <w:left w:val="nil"/>
              <w:bottom w:val="single" w:sz="4" w:space="0" w:color="auto"/>
              <w:right w:val="nil"/>
            </w:tcBorders>
          </w:tcPr>
          <w:p w14:paraId="5D217195" w14:textId="77777777" w:rsidR="00BF67EF" w:rsidRPr="003C53A4" w:rsidRDefault="00BF67EF" w:rsidP="0061013B">
            <w:pPr>
              <w:spacing w:after="60"/>
              <w:jc w:val="center"/>
              <w:rPr>
                <w:color w:val="FF0000"/>
                <w:sz w:val="20"/>
                <w:szCs w:val="20"/>
              </w:rPr>
            </w:pPr>
            <w:r w:rsidRPr="003C53A4">
              <w:rPr>
                <w:color w:val="FF0000"/>
                <w:sz w:val="20"/>
                <w:szCs w:val="20"/>
              </w:rPr>
              <w:t>20.7-61.3</w:t>
            </w:r>
          </w:p>
        </w:tc>
        <w:tc>
          <w:tcPr>
            <w:tcW w:w="251" w:type="pct"/>
            <w:tcBorders>
              <w:top w:val="single" w:sz="4" w:space="0" w:color="auto"/>
              <w:left w:val="nil"/>
              <w:bottom w:val="single" w:sz="4" w:space="0" w:color="auto"/>
              <w:right w:val="nil"/>
            </w:tcBorders>
          </w:tcPr>
          <w:p w14:paraId="670F3D4A" w14:textId="77777777" w:rsidR="00BF67EF" w:rsidRPr="003C53A4" w:rsidRDefault="00BF67EF" w:rsidP="0061013B">
            <w:pPr>
              <w:spacing w:after="60"/>
              <w:jc w:val="center"/>
              <w:rPr>
                <w:color w:val="FF0000"/>
                <w:sz w:val="20"/>
                <w:szCs w:val="20"/>
              </w:rPr>
            </w:pPr>
            <w:r w:rsidRPr="003C53A4">
              <w:rPr>
                <w:color w:val="FF0000"/>
                <w:sz w:val="20"/>
                <w:szCs w:val="20"/>
              </w:rPr>
              <w:t>98.0</w:t>
            </w:r>
          </w:p>
        </w:tc>
        <w:tc>
          <w:tcPr>
            <w:tcW w:w="441" w:type="pct"/>
            <w:tcBorders>
              <w:top w:val="single" w:sz="4" w:space="0" w:color="auto"/>
              <w:left w:val="nil"/>
              <w:bottom w:val="single" w:sz="4" w:space="0" w:color="auto"/>
              <w:right w:val="nil"/>
            </w:tcBorders>
          </w:tcPr>
          <w:p w14:paraId="4EAF29C2" w14:textId="77777777" w:rsidR="00BF67EF" w:rsidRPr="003C53A4" w:rsidRDefault="00BF67EF" w:rsidP="0061013B">
            <w:pPr>
              <w:spacing w:after="60"/>
              <w:jc w:val="center"/>
              <w:rPr>
                <w:color w:val="FF0000"/>
                <w:sz w:val="20"/>
                <w:szCs w:val="20"/>
              </w:rPr>
            </w:pPr>
            <w:r w:rsidRPr="003C53A4">
              <w:rPr>
                <w:color w:val="FF0000"/>
                <w:sz w:val="20"/>
                <w:szCs w:val="20"/>
              </w:rPr>
              <w:t>14</w:t>
            </w:r>
          </w:p>
        </w:tc>
        <w:tc>
          <w:tcPr>
            <w:tcW w:w="378" w:type="pct"/>
            <w:tcBorders>
              <w:top w:val="single" w:sz="4" w:space="0" w:color="auto"/>
              <w:left w:val="nil"/>
              <w:bottom w:val="single" w:sz="4" w:space="0" w:color="auto"/>
              <w:right w:val="nil"/>
            </w:tcBorders>
          </w:tcPr>
          <w:p w14:paraId="30E1C434" w14:textId="77777777" w:rsidR="00BF67EF" w:rsidRPr="003C53A4" w:rsidRDefault="00BF67EF" w:rsidP="0061013B">
            <w:pPr>
              <w:spacing w:after="60"/>
              <w:jc w:val="center"/>
              <w:rPr>
                <w:color w:val="FF0000"/>
                <w:sz w:val="20"/>
                <w:szCs w:val="20"/>
              </w:rPr>
            </w:pPr>
            <w:r w:rsidRPr="003C53A4">
              <w:rPr>
                <w:color w:val="FF0000"/>
                <w:sz w:val="20"/>
                <w:szCs w:val="20"/>
              </w:rPr>
              <w:t>5692</w:t>
            </w:r>
          </w:p>
        </w:tc>
        <w:tc>
          <w:tcPr>
            <w:tcW w:w="442" w:type="pct"/>
            <w:tcBorders>
              <w:top w:val="single" w:sz="4" w:space="0" w:color="auto"/>
              <w:left w:val="nil"/>
              <w:bottom w:val="single" w:sz="4" w:space="0" w:color="auto"/>
              <w:right w:val="nil"/>
            </w:tcBorders>
          </w:tcPr>
          <w:p w14:paraId="6030D8BA" w14:textId="77777777" w:rsidR="00BF67EF" w:rsidRPr="003C53A4" w:rsidRDefault="00BF67EF" w:rsidP="0061013B">
            <w:pPr>
              <w:spacing w:after="60"/>
              <w:jc w:val="center"/>
              <w:rPr>
                <w:color w:val="FF0000"/>
                <w:sz w:val="20"/>
                <w:szCs w:val="20"/>
              </w:rPr>
            </w:pPr>
            <w:r w:rsidRPr="003C53A4">
              <w:rPr>
                <w:color w:val="FF0000"/>
                <w:sz w:val="20"/>
                <w:szCs w:val="20"/>
              </w:rPr>
              <w:t>6.4</w:t>
            </w:r>
          </w:p>
        </w:tc>
        <w:tc>
          <w:tcPr>
            <w:tcW w:w="410" w:type="pct"/>
            <w:tcBorders>
              <w:top w:val="single" w:sz="4" w:space="0" w:color="auto"/>
              <w:left w:val="nil"/>
              <w:bottom w:val="single" w:sz="4" w:space="0" w:color="auto"/>
              <w:right w:val="nil"/>
            </w:tcBorders>
          </w:tcPr>
          <w:p w14:paraId="4CF74F9B" w14:textId="77777777" w:rsidR="00BF67EF" w:rsidRPr="003C53A4" w:rsidRDefault="00BF67EF" w:rsidP="0061013B">
            <w:pPr>
              <w:spacing w:after="60"/>
              <w:jc w:val="center"/>
              <w:rPr>
                <w:color w:val="FF0000"/>
                <w:sz w:val="20"/>
                <w:szCs w:val="20"/>
              </w:rPr>
            </w:pPr>
            <w:r w:rsidRPr="003C53A4">
              <w:rPr>
                <w:color w:val="FF0000"/>
                <w:sz w:val="20"/>
                <w:szCs w:val="20"/>
              </w:rPr>
              <w:t>4.2-9.0</w:t>
            </w:r>
          </w:p>
        </w:tc>
        <w:tc>
          <w:tcPr>
            <w:tcW w:w="256" w:type="pct"/>
            <w:tcBorders>
              <w:top w:val="single" w:sz="4" w:space="0" w:color="auto"/>
              <w:left w:val="nil"/>
              <w:bottom w:val="single" w:sz="4" w:space="0" w:color="auto"/>
              <w:right w:val="nil"/>
            </w:tcBorders>
          </w:tcPr>
          <w:p w14:paraId="46B5C6B3" w14:textId="77777777" w:rsidR="00BF67EF" w:rsidRPr="003C53A4" w:rsidRDefault="00BF67EF" w:rsidP="0061013B">
            <w:pPr>
              <w:spacing w:after="60"/>
              <w:jc w:val="center"/>
              <w:rPr>
                <w:color w:val="FF0000"/>
                <w:sz w:val="20"/>
                <w:szCs w:val="20"/>
              </w:rPr>
            </w:pPr>
            <w:r w:rsidRPr="003C53A4">
              <w:rPr>
                <w:color w:val="FF0000"/>
                <w:sz w:val="20"/>
                <w:szCs w:val="20"/>
              </w:rPr>
              <w:t>90.6</w:t>
            </w:r>
          </w:p>
        </w:tc>
      </w:tr>
      <w:tr w:rsidR="00BF67EF" w:rsidRPr="00D216AB" w14:paraId="29877A79" w14:textId="77777777" w:rsidTr="0061013B">
        <w:tc>
          <w:tcPr>
            <w:tcW w:w="1145" w:type="pct"/>
            <w:tcBorders>
              <w:top w:val="single" w:sz="4" w:space="0" w:color="auto"/>
              <w:left w:val="nil"/>
              <w:bottom w:val="single" w:sz="4" w:space="0" w:color="auto"/>
              <w:right w:val="nil"/>
            </w:tcBorders>
          </w:tcPr>
          <w:p w14:paraId="4C487C5E" w14:textId="77777777" w:rsidR="00BF67EF" w:rsidRPr="00D216AB" w:rsidRDefault="00BF67EF" w:rsidP="00BF67EF">
            <w:pPr>
              <w:spacing w:after="60"/>
              <w:rPr>
                <w:sz w:val="20"/>
                <w:szCs w:val="20"/>
              </w:rPr>
            </w:pPr>
            <w:r w:rsidRPr="00D216AB">
              <w:rPr>
                <w:sz w:val="20"/>
                <w:szCs w:val="20"/>
              </w:rPr>
              <w:t>Home care given</w:t>
            </w:r>
          </w:p>
        </w:tc>
        <w:tc>
          <w:tcPr>
            <w:tcW w:w="442" w:type="pct"/>
            <w:tcBorders>
              <w:top w:val="single" w:sz="4" w:space="0" w:color="auto"/>
              <w:left w:val="nil"/>
              <w:bottom w:val="single" w:sz="4" w:space="0" w:color="auto"/>
              <w:right w:val="nil"/>
            </w:tcBorders>
          </w:tcPr>
          <w:p w14:paraId="13D7EE21" w14:textId="77777777" w:rsidR="00BF67EF" w:rsidRPr="00037C28" w:rsidRDefault="00BF67EF" w:rsidP="00BF67EF">
            <w:pPr>
              <w:spacing w:after="60"/>
              <w:jc w:val="right"/>
              <w:rPr>
                <w:color w:val="FF0000"/>
                <w:sz w:val="20"/>
                <w:szCs w:val="20"/>
              </w:rPr>
            </w:pPr>
            <w:r w:rsidRPr="00037C28">
              <w:rPr>
                <w:color w:val="FF0000"/>
                <w:sz w:val="20"/>
                <w:szCs w:val="20"/>
              </w:rPr>
              <w:t>5</w:t>
            </w:r>
          </w:p>
        </w:tc>
        <w:tc>
          <w:tcPr>
            <w:tcW w:w="379" w:type="pct"/>
            <w:tcBorders>
              <w:top w:val="single" w:sz="4" w:space="0" w:color="auto"/>
              <w:left w:val="nil"/>
              <w:bottom w:val="single" w:sz="4" w:space="0" w:color="auto"/>
              <w:right w:val="nil"/>
            </w:tcBorders>
          </w:tcPr>
          <w:p w14:paraId="5DD72281" w14:textId="77777777" w:rsidR="00BF67EF" w:rsidRPr="00037C28" w:rsidRDefault="00BF67EF" w:rsidP="0061013B">
            <w:pPr>
              <w:spacing w:after="60"/>
              <w:jc w:val="center"/>
              <w:rPr>
                <w:color w:val="FF0000"/>
                <w:sz w:val="20"/>
                <w:szCs w:val="20"/>
              </w:rPr>
            </w:pPr>
            <w:r w:rsidRPr="00037C28">
              <w:rPr>
                <w:color w:val="FF0000"/>
                <w:sz w:val="20"/>
                <w:szCs w:val="20"/>
              </w:rPr>
              <w:t>1097</w:t>
            </w:r>
          </w:p>
        </w:tc>
        <w:tc>
          <w:tcPr>
            <w:tcW w:w="446" w:type="pct"/>
            <w:tcBorders>
              <w:top w:val="single" w:sz="4" w:space="0" w:color="auto"/>
              <w:left w:val="nil"/>
              <w:bottom w:val="single" w:sz="4" w:space="0" w:color="auto"/>
              <w:right w:val="nil"/>
            </w:tcBorders>
          </w:tcPr>
          <w:p w14:paraId="2153A9BF" w14:textId="77777777" w:rsidR="00BF67EF" w:rsidRPr="00037C28" w:rsidRDefault="00BF67EF" w:rsidP="0061013B">
            <w:pPr>
              <w:spacing w:after="60"/>
              <w:jc w:val="center"/>
              <w:rPr>
                <w:color w:val="FF0000"/>
                <w:sz w:val="20"/>
                <w:szCs w:val="20"/>
              </w:rPr>
            </w:pPr>
            <w:r w:rsidRPr="00037C28">
              <w:rPr>
                <w:color w:val="FF0000"/>
                <w:sz w:val="20"/>
                <w:szCs w:val="20"/>
              </w:rPr>
              <w:t>14.4</w:t>
            </w:r>
          </w:p>
        </w:tc>
        <w:tc>
          <w:tcPr>
            <w:tcW w:w="410" w:type="pct"/>
            <w:tcBorders>
              <w:top w:val="single" w:sz="4" w:space="0" w:color="auto"/>
              <w:left w:val="nil"/>
              <w:bottom w:val="single" w:sz="4" w:space="0" w:color="auto"/>
              <w:right w:val="nil"/>
            </w:tcBorders>
          </w:tcPr>
          <w:p w14:paraId="21A3DA08" w14:textId="77777777" w:rsidR="00BF67EF" w:rsidRPr="00037C28" w:rsidRDefault="00BF67EF" w:rsidP="0061013B">
            <w:pPr>
              <w:spacing w:after="60"/>
              <w:jc w:val="center"/>
              <w:rPr>
                <w:color w:val="FF0000"/>
                <w:sz w:val="20"/>
                <w:szCs w:val="20"/>
              </w:rPr>
            </w:pPr>
            <w:r w:rsidRPr="00037C28">
              <w:rPr>
                <w:color w:val="FF0000"/>
                <w:sz w:val="20"/>
                <w:szCs w:val="20"/>
              </w:rPr>
              <w:t>8.8-21.0</w:t>
            </w:r>
          </w:p>
        </w:tc>
        <w:tc>
          <w:tcPr>
            <w:tcW w:w="251" w:type="pct"/>
            <w:tcBorders>
              <w:top w:val="single" w:sz="4" w:space="0" w:color="auto"/>
              <w:left w:val="nil"/>
              <w:bottom w:val="single" w:sz="4" w:space="0" w:color="auto"/>
              <w:right w:val="nil"/>
            </w:tcBorders>
          </w:tcPr>
          <w:p w14:paraId="25F02FFC" w14:textId="77777777" w:rsidR="00BF67EF" w:rsidRPr="00037C28" w:rsidRDefault="00BF67EF" w:rsidP="0061013B">
            <w:pPr>
              <w:spacing w:after="60"/>
              <w:jc w:val="center"/>
              <w:rPr>
                <w:color w:val="FF0000"/>
                <w:sz w:val="20"/>
                <w:szCs w:val="20"/>
              </w:rPr>
            </w:pPr>
            <w:r w:rsidRPr="00037C28">
              <w:rPr>
                <w:color w:val="FF0000"/>
                <w:sz w:val="20"/>
                <w:szCs w:val="20"/>
              </w:rPr>
              <w:t>87.9</w:t>
            </w:r>
          </w:p>
        </w:tc>
        <w:tc>
          <w:tcPr>
            <w:tcW w:w="441" w:type="pct"/>
            <w:tcBorders>
              <w:top w:val="single" w:sz="4" w:space="0" w:color="auto"/>
              <w:left w:val="nil"/>
              <w:bottom w:val="single" w:sz="4" w:space="0" w:color="auto"/>
              <w:right w:val="nil"/>
            </w:tcBorders>
          </w:tcPr>
          <w:p w14:paraId="0A6DB08A" w14:textId="77777777" w:rsidR="00BF67EF" w:rsidRPr="00037C28" w:rsidRDefault="00BF67EF" w:rsidP="0061013B">
            <w:pPr>
              <w:spacing w:after="60"/>
              <w:jc w:val="center"/>
              <w:rPr>
                <w:color w:val="FF0000"/>
                <w:sz w:val="20"/>
                <w:szCs w:val="20"/>
              </w:rPr>
            </w:pPr>
            <w:r w:rsidRPr="00037C28">
              <w:rPr>
                <w:color w:val="FF0000"/>
                <w:sz w:val="20"/>
                <w:szCs w:val="20"/>
              </w:rPr>
              <w:t>12</w:t>
            </w:r>
          </w:p>
        </w:tc>
        <w:tc>
          <w:tcPr>
            <w:tcW w:w="378" w:type="pct"/>
            <w:tcBorders>
              <w:top w:val="single" w:sz="4" w:space="0" w:color="auto"/>
              <w:left w:val="nil"/>
              <w:bottom w:val="single" w:sz="4" w:space="0" w:color="auto"/>
              <w:right w:val="nil"/>
            </w:tcBorders>
          </w:tcPr>
          <w:p w14:paraId="2D1A5761" w14:textId="77777777" w:rsidR="00BF67EF" w:rsidRPr="00037C28" w:rsidRDefault="00BF67EF" w:rsidP="0061013B">
            <w:pPr>
              <w:spacing w:after="60"/>
              <w:jc w:val="center"/>
              <w:rPr>
                <w:color w:val="FF0000"/>
                <w:sz w:val="20"/>
                <w:szCs w:val="20"/>
              </w:rPr>
            </w:pPr>
            <w:r w:rsidRPr="00037C28">
              <w:rPr>
                <w:color w:val="FF0000"/>
                <w:sz w:val="20"/>
                <w:szCs w:val="20"/>
              </w:rPr>
              <w:t>5392</w:t>
            </w:r>
          </w:p>
        </w:tc>
        <w:tc>
          <w:tcPr>
            <w:tcW w:w="442" w:type="pct"/>
            <w:tcBorders>
              <w:top w:val="single" w:sz="4" w:space="0" w:color="auto"/>
              <w:left w:val="nil"/>
              <w:bottom w:val="single" w:sz="4" w:space="0" w:color="auto"/>
              <w:right w:val="nil"/>
            </w:tcBorders>
          </w:tcPr>
          <w:p w14:paraId="6696F562" w14:textId="77777777" w:rsidR="00BF67EF" w:rsidRPr="00037C28" w:rsidRDefault="00BF67EF" w:rsidP="0061013B">
            <w:pPr>
              <w:spacing w:after="60"/>
              <w:jc w:val="center"/>
              <w:rPr>
                <w:color w:val="FF0000"/>
                <w:sz w:val="20"/>
                <w:szCs w:val="20"/>
              </w:rPr>
            </w:pPr>
            <w:r w:rsidRPr="00037C28">
              <w:rPr>
                <w:color w:val="FF0000"/>
                <w:sz w:val="20"/>
                <w:szCs w:val="20"/>
              </w:rPr>
              <w:t>52.6</w:t>
            </w:r>
          </w:p>
        </w:tc>
        <w:tc>
          <w:tcPr>
            <w:tcW w:w="410" w:type="pct"/>
            <w:tcBorders>
              <w:top w:val="single" w:sz="4" w:space="0" w:color="auto"/>
              <w:left w:val="nil"/>
              <w:bottom w:val="single" w:sz="4" w:space="0" w:color="auto"/>
              <w:right w:val="nil"/>
            </w:tcBorders>
          </w:tcPr>
          <w:p w14:paraId="4850A5F0" w14:textId="77777777" w:rsidR="00BF67EF" w:rsidRPr="00037C28" w:rsidRDefault="00BF67EF" w:rsidP="0061013B">
            <w:pPr>
              <w:spacing w:after="60"/>
              <w:jc w:val="center"/>
              <w:rPr>
                <w:color w:val="FF0000"/>
                <w:sz w:val="20"/>
                <w:szCs w:val="20"/>
              </w:rPr>
            </w:pPr>
            <w:r w:rsidRPr="00037C28">
              <w:rPr>
                <w:color w:val="FF0000"/>
                <w:sz w:val="20"/>
                <w:szCs w:val="20"/>
              </w:rPr>
              <w:t>37.8-67.1</w:t>
            </w:r>
          </w:p>
        </w:tc>
        <w:tc>
          <w:tcPr>
            <w:tcW w:w="256" w:type="pct"/>
            <w:tcBorders>
              <w:top w:val="single" w:sz="4" w:space="0" w:color="auto"/>
              <w:left w:val="nil"/>
              <w:bottom w:val="single" w:sz="4" w:space="0" w:color="auto"/>
              <w:right w:val="nil"/>
            </w:tcBorders>
          </w:tcPr>
          <w:p w14:paraId="58FAD342" w14:textId="77777777" w:rsidR="00BF67EF" w:rsidRPr="00037C28" w:rsidRDefault="00BF67EF" w:rsidP="0061013B">
            <w:pPr>
              <w:spacing w:after="60"/>
              <w:jc w:val="center"/>
              <w:rPr>
                <w:color w:val="FF0000"/>
                <w:sz w:val="20"/>
                <w:szCs w:val="20"/>
              </w:rPr>
            </w:pPr>
            <w:r w:rsidRPr="00037C28">
              <w:rPr>
                <w:color w:val="FF0000"/>
                <w:sz w:val="20"/>
                <w:szCs w:val="20"/>
              </w:rPr>
              <w:t>99.0</w:t>
            </w:r>
          </w:p>
        </w:tc>
      </w:tr>
      <w:tr w:rsidR="00BF67EF" w:rsidRPr="00D216AB" w14:paraId="69409127" w14:textId="77777777" w:rsidTr="0061013B">
        <w:tc>
          <w:tcPr>
            <w:tcW w:w="1145" w:type="pct"/>
            <w:tcBorders>
              <w:top w:val="single" w:sz="4" w:space="0" w:color="auto"/>
              <w:left w:val="nil"/>
              <w:bottom w:val="single" w:sz="4" w:space="0" w:color="auto"/>
              <w:right w:val="nil"/>
            </w:tcBorders>
          </w:tcPr>
          <w:p w14:paraId="4D723239" w14:textId="77777777" w:rsidR="00BF67EF" w:rsidRPr="00D216AB" w:rsidRDefault="00BF67EF" w:rsidP="00BF67EF">
            <w:pPr>
              <w:spacing w:after="60"/>
              <w:rPr>
                <w:sz w:val="20"/>
                <w:szCs w:val="20"/>
              </w:rPr>
            </w:pPr>
            <w:r w:rsidRPr="00D216AB">
              <w:rPr>
                <w:sz w:val="20"/>
                <w:szCs w:val="20"/>
              </w:rPr>
              <w:t>Sought/attempted to seek care outside the home</w:t>
            </w:r>
          </w:p>
        </w:tc>
        <w:tc>
          <w:tcPr>
            <w:tcW w:w="442" w:type="pct"/>
            <w:tcBorders>
              <w:top w:val="single" w:sz="4" w:space="0" w:color="auto"/>
              <w:left w:val="nil"/>
              <w:bottom w:val="single" w:sz="4" w:space="0" w:color="auto"/>
              <w:right w:val="nil"/>
            </w:tcBorders>
          </w:tcPr>
          <w:p w14:paraId="30FD8C60" w14:textId="77777777" w:rsidR="00BF67EF" w:rsidRPr="00037C28" w:rsidRDefault="00BF67EF" w:rsidP="00BF67EF">
            <w:pPr>
              <w:spacing w:after="60"/>
              <w:jc w:val="right"/>
              <w:rPr>
                <w:color w:val="FF0000"/>
                <w:sz w:val="20"/>
                <w:szCs w:val="20"/>
              </w:rPr>
            </w:pPr>
            <w:r w:rsidRPr="00037C28">
              <w:rPr>
                <w:color w:val="FF0000"/>
                <w:sz w:val="20"/>
                <w:szCs w:val="20"/>
              </w:rPr>
              <w:t>11</w:t>
            </w:r>
          </w:p>
        </w:tc>
        <w:tc>
          <w:tcPr>
            <w:tcW w:w="379" w:type="pct"/>
            <w:tcBorders>
              <w:top w:val="single" w:sz="4" w:space="0" w:color="auto"/>
              <w:left w:val="nil"/>
              <w:bottom w:val="single" w:sz="4" w:space="0" w:color="auto"/>
              <w:right w:val="nil"/>
            </w:tcBorders>
          </w:tcPr>
          <w:p w14:paraId="09FF0649" w14:textId="77777777" w:rsidR="00BF67EF" w:rsidRPr="00037C28" w:rsidRDefault="00BF67EF" w:rsidP="0061013B">
            <w:pPr>
              <w:spacing w:after="60"/>
              <w:jc w:val="center"/>
              <w:rPr>
                <w:color w:val="FF0000"/>
                <w:sz w:val="20"/>
                <w:szCs w:val="20"/>
              </w:rPr>
            </w:pPr>
            <w:r w:rsidRPr="00037C28">
              <w:rPr>
                <w:color w:val="FF0000"/>
                <w:sz w:val="20"/>
                <w:szCs w:val="20"/>
              </w:rPr>
              <w:t>2695</w:t>
            </w:r>
          </w:p>
        </w:tc>
        <w:tc>
          <w:tcPr>
            <w:tcW w:w="446" w:type="pct"/>
            <w:tcBorders>
              <w:top w:val="single" w:sz="4" w:space="0" w:color="auto"/>
              <w:left w:val="nil"/>
              <w:bottom w:val="single" w:sz="4" w:space="0" w:color="auto"/>
              <w:right w:val="nil"/>
            </w:tcBorders>
          </w:tcPr>
          <w:p w14:paraId="17A0D5F8" w14:textId="77777777" w:rsidR="00BF67EF" w:rsidRPr="00037C28" w:rsidRDefault="00BF67EF" w:rsidP="0061013B">
            <w:pPr>
              <w:spacing w:after="60"/>
              <w:jc w:val="center"/>
              <w:rPr>
                <w:color w:val="FF0000"/>
                <w:sz w:val="20"/>
                <w:szCs w:val="20"/>
              </w:rPr>
            </w:pPr>
            <w:r w:rsidRPr="00037C28">
              <w:rPr>
                <w:color w:val="FF0000"/>
                <w:sz w:val="20"/>
                <w:szCs w:val="20"/>
              </w:rPr>
              <w:t>50.5</w:t>
            </w:r>
          </w:p>
        </w:tc>
        <w:tc>
          <w:tcPr>
            <w:tcW w:w="410" w:type="pct"/>
            <w:tcBorders>
              <w:top w:val="single" w:sz="4" w:space="0" w:color="auto"/>
              <w:left w:val="nil"/>
              <w:bottom w:val="single" w:sz="4" w:space="0" w:color="auto"/>
              <w:right w:val="nil"/>
            </w:tcBorders>
          </w:tcPr>
          <w:p w14:paraId="103D4E75" w14:textId="77777777" w:rsidR="00BF67EF" w:rsidRPr="00037C28" w:rsidRDefault="00BF67EF" w:rsidP="0061013B">
            <w:pPr>
              <w:spacing w:after="60"/>
              <w:jc w:val="center"/>
              <w:rPr>
                <w:color w:val="FF0000"/>
                <w:sz w:val="20"/>
                <w:szCs w:val="20"/>
              </w:rPr>
            </w:pPr>
            <w:r w:rsidRPr="00037C28">
              <w:rPr>
                <w:color w:val="FF0000"/>
                <w:sz w:val="20"/>
                <w:szCs w:val="20"/>
              </w:rPr>
              <w:t>35.6-65.3</w:t>
            </w:r>
          </w:p>
        </w:tc>
        <w:tc>
          <w:tcPr>
            <w:tcW w:w="251" w:type="pct"/>
            <w:tcBorders>
              <w:top w:val="single" w:sz="4" w:space="0" w:color="auto"/>
              <w:left w:val="nil"/>
              <w:bottom w:val="single" w:sz="4" w:space="0" w:color="auto"/>
              <w:right w:val="nil"/>
            </w:tcBorders>
          </w:tcPr>
          <w:p w14:paraId="1AF79D4C" w14:textId="77777777" w:rsidR="00BF67EF" w:rsidRPr="00037C28" w:rsidRDefault="00BF67EF" w:rsidP="0061013B">
            <w:pPr>
              <w:spacing w:after="60"/>
              <w:jc w:val="center"/>
              <w:rPr>
                <w:color w:val="FF0000"/>
                <w:sz w:val="20"/>
                <w:szCs w:val="20"/>
              </w:rPr>
            </w:pPr>
            <w:r w:rsidRPr="00037C28">
              <w:rPr>
                <w:color w:val="FF0000"/>
                <w:sz w:val="20"/>
                <w:szCs w:val="20"/>
              </w:rPr>
              <w:t>98.3</w:t>
            </w:r>
          </w:p>
        </w:tc>
        <w:tc>
          <w:tcPr>
            <w:tcW w:w="441" w:type="pct"/>
            <w:tcBorders>
              <w:top w:val="single" w:sz="4" w:space="0" w:color="auto"/>
              <w:left w:val="nil"/>
              <w:bottom w:val="single" w:sz="4" w:space="0" w:color="auto"/>
              <w:right w:val="nil"/>
            </w:tcBorders>
          </w:tcPr>
          <w:p w14:paraId="285A2854" w14:textId="77777777" w:rsidR="00BF67EF" w:rsidRPr="00037C28" w:rsidRDefault="00BF67EF" w:rsidP="0061013B">
            <w:pPr>
              <w:spacing w:after="60"/>
              <w:jc w:val="center"/>
              <w:rPr>
                <w:color w:val="FF0000"/>
                <w:sz w:val="20"/>
                <w:szCs w:val="20"/>
              </w:rPr>
            </w:pPr>
            <w:r w:rsidRPr="00037C28">
              <w:rPr>
                <w:color w:val="FF0000"/>
                <w:sz w:val="20"/>
                <w:szCs w:val="20"/>
              </w:rPr>
              <w:t>22</w:t>
            </w:r>
          </w:p>
        </w:tc>
        <w:tc>
          <w:tcPr>
            <w:tcW w:w="378" w:type="pct"/>
            <w:tcBorders>
              <w:top w:val="single" w:sz="4" w:space="0" w:color="auto"/>
              <w:left w:val="nil"/>
              <w:bottom w:val="single" w:sz="4" w:space="0" w:color="auto"/>
              <w:right w:val="nil"/>
            </w:tcBorders>
          </w:tcPr>
          <w:p w14:paraId="25C9EF71" w14:textId="77777777" w:rsidR="00BF67EF" w:rsidRPr="00037C28" w:rsidRDefault="00BF67EF" w:rsidP="0061013B">
            <w:pPr>
              <w:spacing w:after="60"/>
              <w:jc w:val="center"/>
              <w:rPr>
                <w:color w:val="FF0000"/>
                <w:sz w:val="20"/>
                <w:szCs w:val="20"/>
              </w:rPr>
            </w:pPr>
            <w:r w:rsidRPr="00037C28">
              <w:rPr>
                <w:color w:val="FF0000"/>
                <w:sz w:val="20"/>
                <w:szCs w:val="20"/>
              </w:rPr>
              <w:t>7044</w:t>
            </w:r>
          </w:p>
        </w:tc>
        <w:tc>
          <w:tcPr>
            <w:tcW w:w="442" w:type="pct"/>
            <w:tcBorders>
              <w:top w:val="single" w:sz="4" w:space="0" w:color="auto"/>
              <w:left w:val="nil"/>
              <w:bottom w:val="single" w:sz="4" w:space="0" w:color="auto"/>
              <w:right w:val="nil"/>
            </w:tcBorders>
          </w:tcPr>
          <w:p w14:paraId="4EF37C1F" w14:textId="77777777" w:rsidR="00BF67EF" w:rsidRPr="00037C28" w:rsidRDefault="00BF67EF" w:rsidP="0061013B">
            <w:pPr>
              <w:spacing w:after="60"/>
              <w:jc w:val="center"/>
              <w:rPr>
                <w:color w:val="FF0000"/>
                <w:sz w:val="20"/>
                <w:szCs w:val="20"/>
              </w:rPr>
            </w:pPr>
            <w:r w:rsidRPr="00037C28">
              <w:rPr>
                <w:color w:val="FF0000"/>
                <w:sz w:val="20"/>
                <w:szCs w:val="20"/>
              </w:rPr>
              <w:t>82.4</w:t>
            </w:r>
          </w:p>
        </w:tc>
        <w:tc>
          <w:tcPr>
            <w:tcW w:w="410" w:type="pct"/>
            <w:tcBorders>
              <w:top w:val="single" w:sz="4" w:space="0" w:color="auto"/>
              <w:left w:val="nil"/>
              <w:bottom w:val="single" w:sz="4" w:space="0" w:color="auto"/>
              <w:right w:val="nil"/>
            </w:tcBorders>
          </w:tcPr>
          <w:p w14:paraId="6DED8255" w14:textId="77777777" w:rsidR="00BF67EF" w:rsidRPr="00037C28" w:rsidRDefault="00BF67EF" w:rsidP="0061013B">
            <w:pPr>
              <w:spacing w:after="60"/>
              <w:jc w:val="center"/>
              <w:rPr>
                <w:color w:val="FF0000"/>
                <w:sz w:val="20"/>
                <w:szCs w:val="20"/>
              </w:rPr>
            </w:pPr>
            <w:r w:rsidRPr="00037C28">
              <w:rPr>
                <w:color w:val="FF0000"/>
                <w:sz w:val="20"/>
                <w:szCs w:val="20"/>
              </w:rPr>
              <w:t>79.4-85.2</w:t>
            </w:r>
          </w:p>
        </w:tc>
        <w:tc>
          <w:tcPr>
            <w:tcW w:w="256" w:type="pct"/>
            <w:tcBorders>
              <w:top w:val="single" w:sz="4" w:space="0" w:color="auto"/>
              <w:left w:val="nil"/>
              <w:bottom w:val="single" w:sz="4" w:space="0" w:color="auto"/>
              <w:right w:val="nil"/>
            </w:tcBorders>
          </w:tcPr>
          <w:p w14:paraId="4BADE53F" w14:textId="77777777" w:rsidR="00BF67EF" w:rsidRPr="00037C28" w:rsidRDefault="00BF67EF" w:rsidP="0061013B">
            <w:pPr>
              <w:spacing w:after="60"/>
              <w:jc w:val="center"/>
              <w:rPr>
                <w:color w:val="FF0000"/>
                <w:sz w:val="20"/>
                <w:szCs w:val="20"/>
              </w:rPr>
            </w:pPr>
            <w:r w:rsidRPr="00037C28">
              <w:rPr>
                <w:color w:val="FF0000"/>
                <w:sz w:val="20"/>
                <w:szCs w:val="20"/>
              </w:rPr>
              <w:t>87.5</w:t>
            </w:r>
          </w:p>
        </w:tc>
      </w:tr>
      <w:tr w:rsidR="00BF67EF" w:rsidRPr="00D216AB" w14:paraId="32AFC1E0" w14:textId="77777777" w:rsidTr="0061013B">
        <w:tc>
          <w:tcPr>
            <w:tcW w:w="1145" w:type="pct"/>
            <w:tcBorders>
              <w:top w:val="single" w:sz="4" w:space="0" w:color="auto"/>
              <w:left w:val="nil"/>
              <w:bottom w:val="single" w:sz="4" w:space="0" w:color="auto"/>
              <w:right w:val="nil"/>
            </w:tcBorders>
          </w:tcPr>
          <w:p w14:paraId="6D0D7B41" w14:textId="77777777" w:rsidR="00BF67EF" w:rsidRPr="00D216AB" w:rsidRDefault="00BF67EF" w:rsidP="00BF67EF">
            <w:pPr>
              <w:spacing w:after="60"/>
              <w:rPr>
                <w:sz w:val="20"/>
                <w:szCs w:val="20"/>
              </w:rPr>
            </w:pPr>
            <w:r w:rsidRPr="00D216AB">
              <w:rPr>
                <w:sz w:val="20"/>
                <w:szCs w:val="20"/>
              </w:rPr>
              <w:t>Sought/attempted to seek formal care</w:t>
            </w:r>
          </w:p>
        </w:tc>
        <w:tc>
          <w:tcPr>
            <w:tcW w:w="442" w:type="pct"/>
            <w:tcBorders>
              <w:top w:val="single" w:sz="4" w:space="0" w:color="auto"/>
              <w:left w:val="nil"/>
              <w:bottom w:val="single" w:sz="4" w:space="0" w:color="auto"/>
              <w:right w:val="nil"/>
            </w:tcBorders>
          </w:tcPr>
          <w:p w14:paraId="393E50A5" w14:textId="77777777" w:rsidR="00BF67EF" w:rsidRPr="00037C28" w:rsidRDefault="00BF67EF" w:rsidP="00BF67EF">
            <w:pPr>
              <w:spacing w:after="60"/>
              <w:jc w:val="right"/>
              <w:rPr>
                <w:color w:val="FF0000"/>
                <w:sz w:val="20"/>
                <w:szCs w:val="20"/>
              </w:rPr>
            </w:pPr>
            <w:r w:rsidRPr="00037C28">
              <w:rPr>
                <w:color w:val="FF0000"/>
                <w:sz w:val="20"/>
                <w:szCs w:val="20"/>
              </w:rPr>
              <w:t>12</w:t>
            </w:r>
          </w:p>
        </w:tc>
        <w:tc>
          <w:tcPr>
            <w:tcW w:w="379" w:type="pct"/>
            <w:tcBorders>
              <w:top w:val="single" w:sz="4" w:space="0" w:color="auto"/>
              <w:left w:val="nil"/>
              <w:bottom w:val="single" w:sz="4" w:space="0" w:color="auto"/>
              <w:right w:val="nil"/>
            </w:tcBorders>
          </w:tcPr>
          <w:p w14:paraId="26A8904D" w14:textId="77777777" w:rsidR="00BF67EF" w:rsidRPr="00037C28" w:rsidRDefault="00BF67EF" w:rsidP="0061013B">
            <w:pPr>
              <w:spacing w:after="60"/>
              <w:jc w:val="center"/>
              <w:rPr>
                <w:color w:val="FF0000"/>
                <w:sz w:val="20"/>
                <w:szCs w:val="20"/>
              </w:rPr>
            </w:pPr>
            <w:r w:rsidRPr="00037C28">
              <w:rPr>
                <w:color w:val="FF0000"/>
                <w:sz w:val="20"/>
                <w:szCs w:val="20"/>
              </w:rPr>
              <w:t>2539</w:t>
            </w:r>
          </w:p>
        </w:tc>
        <w:tc>
          <w:tcPr>
            <w:tcW w:w="446" w:type="pct"/>
            <w:tcBorders>
              <w:top w:val="single" w:sz="4" w:space="0" w:color="auto"/>
              <w:left w:val="nil"/>
              <w:bottom w:val="single" w:sz="4" w:space="0" w:color="auto"/>
              <w:right w:val="nil"/>
            </w:tcBorders>
          </w:tcPr>
          <w:p w14:paraId="2BB4A2F4" w14:textId="77777777" w:rsidR="00BF67EF" w:rsidRPr="00037C28" w:rsidRDefault="00BF67EF" w:rsidP="0061013B">
            <w:pPr>
              <w:spacing w:after="60"/>
              <w:jc w:val="center"/>
              <w:rPr>
                <w:color w:val="FF0000"/>
                <w:sz w:val="20"/>
                <w:szCs w:val="20"/>
              </w:rPr>
            </w:pPr>
            <w:r w:rsidRPr="00037C28">
              <w:rPr>
                <w:color w:val="FF0000"/>
                <w:sz w:val="20"/>
                <w:szCs w:val="20"/>
              </w:rPr>
              <w:t>41.2</w:t>
            </w:r>
          </w:p>
        </w:tc>
        <w:tc>
          <w:tcPr>
            <w:tcW w:w="410" w:type="pct"/>
            <w:tcBorders>
              <w:top w:val="single" w:sz="4" w:space="0" w:color="auto"/>
              <w:left w:val="nil"/>
              <w:bottom w:val="single" w:sz="4" w:space="0" w:color="auto"/>
              <w:right w:val="nil"/>
            </w:tcBorders>
          </w:tcPr>
          <w:p w14:paraId="4BDC4155" w14:textId="77777777" w:rsidR="00BF67EF" w:rsidRPr="00037C28" w:rsidRDefault="00BF67EF" w:rsidP="0061013B">
            <w:pPr>
              <w:spacing w:after="60"/>
              <w:jc w:val="center"/>
              <w:rPr>
                <w:color w:val="FF0000"/>
                <w:sz w:val="20"/>
                <w:szCs w:val="20"/>
              </w:rPr>
            </w:pPr>
            <w:r w:rsidRPr="00037C28">
              <w:rPr>
                <w:color w:val="FF0000"/>
                <w:sz w:val="20"/>
                <w:szCs w:val="20"/>
              </w:rPr>
              <w:t>29.3-53.5</w:t>
            </w:r>
          </w:p>
        </w:tc>
        <w:tc>
          <w:tcPr>
            <w:tcW w:w="251" w:type="pct"/>
            <w:tcBorders>
              <w:top w:val="single" w:sz="4" w:space="0" w:color="auto"/>
              <w:left w:val="nil"/>
              <w:bottom w:val="single" w:sz="4" w:space="0" w:color="auto"/>
              <w:right w:val="nil"/>
            </w:tcBorders>
          </w:tcPr>
          <w:p w14:paraId="5BC339C9" w14:textId="77777777" w:rsidR="00BF67EF" w:rsidRPr="00037C28" w:rsidRDefault="00BF67EF" w:rsidP="0061013B">
            <w:pPr>
              <w:spacing w:after="60"/>
              <w:jc w:val="center"/>
              <w:rPr>
                <w:color w:val="FF0000"/>
                <w:sz w:val="20"/>
                <w:szCs w:val="20"/>
              </w:rPr>
            </w:pPr>
            <w:r w:rsidRPr="00037C28">
              <w:rPr>
                <w:color w:val="FF0000"/>
                <w:sz w:val="20"/>
                <w:szCs w:val="20"/>
              </w:rPr>
              <w:t>97.2</w:t>
            </w:r>
          </w:p>
        </w:tc>
        <w:tc>
          <w:tcPr>
            <w:tcW w:w="441" w:type="pct"/>
            <w:tcBorders>
              <w:top w:val="single" w:sz="4" w:space="0" w:color="auto"/>
              <w:left w:val="nil"/>
              <w:bottom w:val="single" w:sz="4" w:space="0" w:color="auto"/>
              <w:right w:val="nil"/>
            </w:tcBorders>
          </w:tcPr>
          <w:p w14:paraId="6B8CC10A" w14:textId="77777777" w:rsidR="00BF67EF" w:rsidRPr="00037C28" w:rsidRDefault="00BF67EF" w:rsidP="0061013B">
            <w:pPr>
              <w:spacing w:after="60"/>
              <w:jc w:val="center"/>
              <w:rPr>
                <w:color w:val="FF0000"/>
                <w:sz w:val="20"/>
                <w:szCs w:val="20"/>
              </w:rPr>
            </w:pPr>
            <w:r w:rsidRPr="00037C28">
              <w:rPr>
                <w:color w:val="FF0000"/>
                <w:sz w:val="20"/>
                <w:szCs w:val="20"/>
              </w:rPr>
              <w:t>19</w:t>
            </w:r>
          </w:p>
        </w:tc>
        <w:tc>
          <w:tcPr>
            <w:tcW w:w="378" w:type="pct"/>
            <w:tcBorders>
              <w:top w:val="single" w:sz="4" w:space="0" w:color="auto"/>
              <w:left w:val="nil"/>
              <w:bottom w:val="single" w:sz="4" w:space="0" w:color="auto"/>
              <w:right w:val="nil"/>
            </w:tcBorders>
          </w:tcPr>
          <w:p w14:paraId="11D6817D" w14:textId="77777777" w:rsidR="00BF67EF" w:rsidRPr="00037C28" w:rsidRDefault="00BF67EF" w:rsidP="0061013B">
            <w:pPr>
              <w:spacing w:after="60"/>
              <w:jc w:val="center"/>
              <w:rPr>
                <w:color w:val="FF0000"/>
                <w:sz w:val="20"/>
                <w:szCs w:val="20"/>
              </w:rPr>
            </w:pPr>
            <w:r w:rsidRPr="00037C28">
              <w:rPr>
                <w:color w:val="FF0000"/>
                <w:sz w:val="20"/>
                <w:szCs w:val="20"/>
              </w:rPr>
              <w:t>6500</w:t>
            </w:r>
          </w:p>
        </w:tc>
        <w:tc>
          <w:tcPr>
            <w:tcW w:w="442" w:type="pct"/>
            <w:tcBorders>
              <w:top w:val="single" w:sz="4" w:space="0" w:color="auto"/>
              <w:left w:val="nil"/>
              <w:bottom w:val="single" w:sz="4" w:space="0" w:color="auto"/>
              <w:right w:val="nil"/>
            </w:tcBorders>
          </w:tcPr>
          <w:p w14:paraId="6D325EC4" w14:textId="77777777" w:rsidR="00BF67EF" w:rsidRPr="00037C28" w:rsidRDefault="00BF67EF" w:rsidP="0061013B">
            <w:pPr>
              <w:spacing w:after="60"/>
              <w:jc w:val="center"/>
              <w:rPr>
                <w:color w:val="FF0000"/>
                <w:sz w:val="20"/>
                <w:szCs w:val="20"/>
              </w:rPr>
            </w:pPr>
            <w:r w:rsidRPr="00037C28">
              <w:rPr>
                <w:color w:val="FF0000"/>
                <w:sz w:val="20"/>
                <w:szCs w:val="20"/>
              </w:rPr>
              <w:t>73.1</w:t>
            </w:r>
          </w:p>
        </w:tc>
        <w:tc>
          <w:tcPr>
            <w:tcW w:w="410" w:type="pct"/>
            <w:tcBorders>
              <w:top w:val="single" w:sz="4" w:space="0" w:color="auto"/>
              <w:left w:val="nil"/>
              <w:bottom w:val="single" w:sz="4" w:space="0" w:color="auto"/>
              <w:right w:val="nil"/>
            </w:tcBorders>
          </w:tcPr>
          <w:p w14:paraId="406A748C" w14:textId="77777777" w:rsidR="00BF67EF" w:rsidRPr="00037C28" w:rsidRDefault="00BF67EF" w:rsidP="0061013B">
            <w:pPr>
              <w:spacing w:after="60"/>
              <w:jc w:val="center"/>
              <w:rPr>
                <w:color w:val="FF0000"/>
                <w:sz w:val="20"/>
                <w:szCs w:val="20"/>
              </w:rPr>
            </w:pPr>
            <w:r w:rsidRPr="00037C28">
              <w:rPr>
                <w:color w:val="FF0000"/>
                <w:sz w:val="20"/>
                <w:szCs w:val="20"/>
              </w:rPr>
              <w:t>66.5-79.2</w:t>
            </w:r>
          </w:p>
        </w:tc>
        <w:tc>
          <w:tcPr>
            <w:tcW w:w="256" w:type="pct"/>
            <w:tcBorders>
              <w:top w:val="single" w:sz="4" w:space="0" w:color="auto"/>
              <w:left w:val="nil"/>
              <w:bottom w:val="single" w:sz="4" w:space="0" w:color="auto"/>
              <w:right w:val="nil"/>
            </w:tcBorders>
          </w:tcPr>
          <w:p w14:paraId="4F05F5B3" w14:textId="77777777" w:rsidR="00BF67EF" w:rsidRPr="00037C28" w:rsidRDefault="00BF67EF" w:rsidP="0061013B">
            <w:pPr>
              <w:spacing w:after="60"/>
              <w:jc w:val="center"/>
              <w:rPr>
                <w:color w:val="FF0000"/>
                <w:sz w:val="20"/>
                <w:szCs w:val="20"/>
              </w:rPr>
            </w:pPr>
            <w:r w:rsidRPr="00037C28">
              <w:rPr>
                <w:color w:val="FF0000"/>
                <w:sz w:val="20"/>
                <w:szCs w:val="20"/>
              </w:rPr>
              <w:t>96.5</w:t>
            </w:r>
          </w:p>
        </w:tc>
      </w:tr>
      <w:tr w:rsidR="00BF67EF" w:rsidRPr="00D216AB" w14:paraId="6D934D7E" w14:textId="77777777" w:rsidTr="0061013B">
        <w:tc>
          <w:tcPr>
            <w:tcW w:w="1145" w:type="pct"/>
            <w:tcBorders>
              <w:top w:val="single" w:sz="4" w:space="0" w:color="auto"/>
              <w:left w:val="nil"/>
              <w:bottom w:val="single" w:sz="4" w:space="0" w:color="auto"/>
              <w:right w:val="nil"/>
            </w:tcBorders>
          </w:tcPr>
          <w:p w14:paraId="1BAD6CCB" w14:textId="77777777" w:rsidR="00BF67EF" w:rsidRPr="00D216AB" w:rsidRDefault="00BF67EF" w:rsidP="00BF67EF">
            <w:pPr>
              <w:spacing w:after="60"/>
              <w:rPr>
                <w:sz w:val="20"/>
                <w:szCs w:val="20"/>
              </w:rPr>
            </w:pPr>
            <w:r w:rsidRPr="00D216AB">
              <w:rPr>
                <w:sz w:val="20"/>
                <w:szCs w:val="20"/>
              </w:rPr>
              <w:t>Sought/attempted to seek informal care</w:t>
            </w:r>
          </w:p>
        </w:tc>
        <w:tc>
          <w:tcPr>
            <w:tcW w:w="442" w:type="pct"/>
            <w:tcBorders>
              <w:top w:val="single" w:sz="4" w:space="0" w:color="auto"/>
              <w:left w:val="nil"/>
              <w:bottom w:val="single" w:sz="4" w:space="0" w:color="auto"/>
              <w:right w:val="nil"/>
            </w:tcBorders>
          </w:tcPr>
          <w:p w14:paraId="673366FC" w14:textId="77777777" w:rsidR="00BF67EF" w:rsidRPr="00D216AB" w:rsidRDefault="00BF67EF" w:rsidP="00BF67EF">
            <w:pPr>
              <w:spacing w:after="60"/>
              <w:jc w:val="right"/>
              <w:rPr>
                <w:sz w:val="20"/>
                <w:szCs w:val="20"/>
              </w:rPr>
            </w:pPr>
            <w:r w:rsidRPr="00D216AB">
              <w:rPr>
                <w:sz w:val="20"/>
                <w:szCs w:val="20"/>
              </w:rPr>
              <w:t>9</w:t>
            </w:r>
          </w:p>
        </w:tc>
        <w:tc>
          <w:tcPr>
            <w:tcW w:w="379" w:type="pct"/>
            <w:tcBorders>
              <w:top w:val="single" w:sz="4" w:space="0" w:color="auto"/>
              <w:left w:val="nil"/>
              <w:bottom w:val="single" w:sz="4" w:space="0" w:color="auto"/>
              <w:right w:val="nil"/>
            </w:tcBorders>
          </w:tcPr>
          <w:p w14:paraId="3A02B713" w14:textId="77777777" w:rsidR="00BF67EF" w:rsidRPr="00D216AB" w:rsidRDefault="00BF67EF" w:rsidP="0061013B">
            <w:pPr>
              <w:spacing w:after="60"/>
              <w:jc w:val="center"/>
              <w:rPr>
                <w:sz w:val="20"/>
                <w:szCs w:val="20"/>
              </w:rPr>
            </w:pPr>
            <w:r w:rsidRPr="00D216AB">
              <w:rPr>
                <w:sz w:val="20"/>
                <w:szCs w:val="20"/>
              </w:rPr>
              <w:t>1948</w:t>
            </w:r>
          </w:p>
        </w:tc>
        <w:tc>
          <w:tcPr>
            <w:tcW w:w="446" w:type="pct"/>
            <w:tcBorders>
              <w:top w:val="single" w:sz="4" w:space="0" w:color="auto"/>
              <w:left w:val="nil"/>
              <w:bottom w:val="single" w:sz="4" w:space="0" w:color="auto"/>
              <w:right w:val="nil"/>
            </w:tcBorders>
          </w:tcPr>
          <w:p w14:paraId="15363277" w14:textId="77777777" w:rsidR="00BF67EF" w:rsidRPr="00D216AB" w:rsidRDefault="00BF67EF" w:rsidP="0061013B">
            <w:pPr>
              <w:spacing w:after="60"/>
              <w:jc w:val="center"/>
              <w:rPr>
                <w:sz w:val="20"/>
                <w:szCs w:val="20"/>
              </w:rPr>
            </w:pPr>
            <w:r w:rsidRPr="00D216AB">
              <w:rPr>
                <w:sz w:val="20"/>
                <w:szCs w:val="20"/>
              </w:rPr>
              <w:t>12.7</w:t>
            </w:r>
          </w:p>
        </w:tc>
        <w:tc>
          <w:tcPr>
            <w:tcW w:w="410" w:type="pct"/>
            <w:tcBorders>
              <w:top w:val="single" w:sz="4" w:space="0" w:color="auto"/>
              <w:left w:val="nil"/>
              <w:bottom w:val="single" w:sz="4" w:space="0" w:color="auto"/>
              <w:right w:val="nil"/>
            </w:tcBorders>
          </w:tcPr>
          <w:p w14:paraId="5B3ABB8C" w14:textId="77777777" w:rsidR="00BF67EF" w:rsidRPr="00D216AB" w:rsidRDefault="00BF67EF" w:rsidP="0061013B">
            <w:pPr>
              <w:spacing w:after="60"/>
              <w:jc w:val="center"/>
              <w:rPr>
                <w:sz w:val="20"/>
                <w:szCs w:val="20"/>
              </w:rPr>
            </w:pPr>
            <w:r w:rsidRPr="00D216AB">
              <w:rPr>
                <w:sz w:val="20"/>
                <w:szCs w:val="20"/>
              </w:rPr>
              <w:t>6.5-20.3</w:t>
            </w:r>
          </w:p>
        </w:tc>
        <w:tc>
          <w:tcPr>
            <w:tcW w:w="251" w:type="pct"/>
            <w:tcBorders>
              <w:top w:val="single" w:sz="4" w:space="0" w:color="auto"/>
              <w:left w:val="nil"/>
              <w:bottom w:val="single" w:sz="4" w:space="0" w:color="auto"/>
              <w:right w:val="nil"/>
            </w:tcBorders>
          </w:tcPr>
          <w:p w14:paraId="7739CC2A" w14:textId="77777777" w:rsidR="00BF67EF" w:rsidRPr="00D216AB" w:rsidRDefault="00BF67EF" w:rsidP="0061013B">
            <w:pPr>
              <w:spacing w:after="60"/>
              <w:jc w:val="center"/>
              <w:rPr>
                <w:sz w:val="20"/>
                <w:szCs w:val="20"/>
              </w:rPr>
            </w:pPr>
            <w:r w:rsidRPr="00D216AB">
              <w:rPr>
                <w:sz w:val="20"/>
                <w:szCs w:val="20"/>
              </w:rPr>
              <w:t>94.7</w:t>
            </w:r>
          </w:p>
        </w:tc>
        <w:tc>
          <w:tcPr>
            <w:tcW w:w="441" w:type="pct"/>
            <w:tcBorders>
              <w:top w:val="single" w:sz="4" w:space="0" w:color="auto"/>
              <w:left w:val="nil"/>
              <w:bottom w:val="single" w:sz="4" w:space="0" w:color="auto"/>
              <w:right w:val="nil"/>
            </w:tcBorders>
          </w:tcPr>
          <w:p w14:paraId="7F5A4D15" w14:textId="77777777" w:rsidR="00BF67EF" w:rsidRPr="00D216AB" w:rsidRDefault="00BF67EF" w:rsidP="0061013B">
            <w:pPr>
              <w:spacing w:after="60"/>
              <w:jc w:val="center"/>
              <w:rPr>
                <w:sz w:val="20"/>
                <w:szCs w:val="20"/>
              </w:rPr>
            </w:pPr>
            <w:r w:rsidRPr="00D216AB">
              <w:rPr>
                <w:sz w:val="20"/>
                <w:szCs w:val="20"/>
              </w:rPr>
              <w:t>12</w:t>
            </w:r>
          </w:p>
        </w:tc>
        <w:tc>
          <w:tcPr>
            <w:tcW w:w="378" w:type="pct"/>
            <w:tcBorders>
              <w:top w:val="single" w:sz="4" w:space="0" w:color="auto"/>
              <w:left w:val="nil"/>
              <w:bottom w:val="single" w:sz="4" w:space="0" w:color="auto"/>
              <w:right w:val="nil"/>
            </w:tcBorders>
          </w:tcPr>
          <w:p w14:paraId="464C1923" w14:textId="77777777" w:rsidR="00BF67EF" w:rsidRPr="00D216AB" w:rsidRDefault="00BF67EF" w:rsidP="0061013B">
            <w:pPr>
              <w:spacing w:after="60"/>
              <w:jc w:val="center"/>
              <w:rPr>
                <w:sz w:val="20"/>
                <w:szCs w:val="20"/>
              </w:rPr>
            </w:pPr>
            <w:r w:rsidRPr="00D216AB">
              <w:rPr>
                <w:sz w:val="20"/>
                <w:szCs w:val="20"/>
              </w:rPr>
              <w:t>5565</w:t>
            </w:r>
          </w:p>
        </w:tc>
        <w:tc>
          <w:tcPr>
            <w:tcW w:w="442" w:type="pct"/>
            <w:tcBorders>
              <w:top w:val="single" w:sz="4" w:space="0" w:color="auto"/>
              <w:left w:val="nil"/>
              <w:bottom w:val="single" w:sz="4" w:space="0" w:color="auto"/>
              <w:right w:val="nil"/>
            </w:tcBorders>
          </w:tcPr>
          <w:p w14:paraId="706D2CF4" w14:textId="77777777" w:rsidR="00BF67EF" w:rsidRPr="00D216AB" w:rsidRDefault="00BF67EF" w:rsidP="0061013B">
            <w:pPr>
              <w:spacing w:after="60"/>
              <w:jc w:val="center"/>
              <w:rPr>
                <w:sz w:val="20"/>
                <w:szCs w:val="20"/>
              </w:rPr>
            </w:pPr>
            <w:r w:rsidRPr="00D216AB">
              <w:rPr>
                <w:sz w:val="20"/>
                <w:szCs w:val="20"/>
              </w:rPr>
              <w:t>23.5</w:t>
            </w:r>
          </w:p>
        </w:tc>
        <w:tc>
          <w:tcPr>
            <w:tcW w:w="410" w:type="pct"/>
            <w:tcBorders>
              <w:top w:val="single" w:sz="4" w:space="0" w:color="auto"/>
              <w:left w:val="nil"/>
              <w:bottom w:val="single" w:sz="4" w:space="0" w:color="auto"/>
              <w:right w:val="nil"/>
            </w:tcBorders>
          </w:tcPr>
          <w:p w14:paraId="2762734B" w14:textId="77777777" w:rsidR="00BF67EF" w:rsidRPr="00D216AB" w:rsidRDefault="00BF67EF" w:rsidP="0061013B">
            <w:pPr>
              <w:spacing w:after="60"/>
              <w:jc w:val="center"/>
              <w:rPr>
                <w:sz w:val="20"/>
                <w:szCs w:val="20"/>
              </w:rPr>
            </w:pPr>
            <w:r w:rsidRPr="00D216AB">
              <w:rPr>
                <w:sz w:val="20"/>
                <w:szCs w:val="20"/>
              </w:rPr>
              <w:t>14.2-34.3</w:t>
            </w:r>
          </w:p>
        </w:tc>
        <w:tc>
          <w:tcPr>
            <w:tcW w:w="256" w:type="pct"/>
            <w:tcBorders>
              <w:top w:val="single" w:sz="4" w:space="0" w:color="auto"/>
              <w:left w:val="nil"/>
              <w:bottom w:val="single" w:sz="4" w:space="0" w:color="auto"/>
              <w:right w:val="nil"/>
            </w:tcBorders>
          </w:tcPr>
          <w:p w14:paraId="06EDD865" w14:textId="77777777" w:rsidR="00BF67EF" w:rsidRPr="00D216AB" w:rsidRDefault="00BF67EF" w:rsidP="0061013B">
            <w:pPr>
              <w:spacing w:after="60"/>
              <w:jc w:val="center"/>
              <w:rPr>
                <w:sz w:val="20"/>
                <w:szCs w:val="20"/>
              </w:rPr>
            </w:pPr>
            <w:r w:rsidRPr="00D216AB">
              <w:rPr>
                <w:sz w:val="20"/>
                <w:szCs w:val="20"/>
              </w:rPr>
              <w:t>98.6</w:t>
            </w:r>
          </w:p>
        </w:tc>
      </w:tr>
      <w:tr w:rsidR="00BF67EF" w:rsidRPr="00D216AB" w14:paraId="15F1D632" w14:textId="77777777" w:rsidTr="0061013B">
        <w:tc>
          <w:tcPr>
            <w:tcW w:w="1145" w:type="pct"/>
            <w:tcBorders>
              <w:top w:val="single" w:sz="4" w:space="0" w:color="auto"/>
              <w:left w:val="nil"/>
              <w:bottom w:val="single" w:sz="4" w:space="0" w:color="auto"/>
              <w:right w:val="nil"/>
            </w:tcBorders>
          </w:tcPr>
          <w:p w14:paraId="4710BA75" w14:textId="77777777" w:rsidR="00BF67EF" w:rsidRPr="00D216AB" w:rsidRDefault="00BF67EF" w:rsidP="00BF67EF">
            <w:pPr>
              <w:spacing w:after="60"/>
              <w:rPr>
                <w:sz w:val="20"/>
                <w:szCs w:val="20"/>
              </w:rPr>
            </w:pPr>
            <w:r w:rsidRPr="00D216AB">
              <w:rPr>
                <w:sz w:val="20"/>
                <w:szCs w:val="20"/>
              </w:rPr>
              <w:t>Died before setting out/</w:t>
            </w:r>
            <w:r w:rsidRPr="00616247">
              <w:rPr>
                <w:i/>
                <w:sz w:val="20"/>
                <w:szCs w:val="20"/>
              </w:rPr>
              <w:t>en route</w:t>
            </w:r>
            <w:r w:rsidRPr="00D216AB">
              <w:rPr>
                <w:sz w:val="20"/>
                <w:szCs w:val="20"/>
              </w:rPr>
              <w:t xml:space="preserve"> to provider</w:t>
            </w:r>
          </w:p>
        </w:tc>
        <w:tc>
          <w:tcPr>
            <w:tcW w:w="442" w:type="pct"/>
            <w:tcBorders>
              <w:top w:val="single" w:sz="4" w:space="0" w:color="auto"/>
              <w:left w:val="nil"/>
              <w:bottom w:val="single" w:sz="4" w:space="0" w:color="auto"/>
              <w:right w:val="nil"/>
            </w:tcBorders>
          </w:tcPr>
          <w:p w14:paraId="67CDF2B1"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62E4687C" w14:textId="77777777" w:rsidR="00BF67EF" w:rsidRPr="00D216AB" w:rsidRDefault="00BF67EF" w:rsidP="0061013B">
            <w:pPr>
              <w:spacing w:after="60"/>
              <w:jc w:val="center"/>
              <w:rPr>
                <w:sz w:val="20"/>
                <w:szCs w:val="20"/>
              </w:rPr>
            </w:pPr>
            <w:r w:rsidRPr="00D216AB">
              <w:rPr>
                <w:sz w:val="20"/>
                <w:szCs w:val="20"/>
              </w:rPr>
              <w:t>1097</w:t>
            </w:r>
          </w:p>
        </w:tc>
        <w:tc>
          <w:tcPr>
            <w:tcW w:w="446" w:type="pct"/>
            <w:tcBorders>
              <w:top w:val="single" w:sz="4" w:space="0" w:color="auto"/>
              <w:left w:val="nil"/>
              <w:bottom w:val="single" w:sz="4" w:space="0" w:color="auto"/>
              <w:right w:val="nil"/>
            </w:tcBorders>
          </w:tcPr>
          <w:p w14:paraId="6F89445F" w14:textId="77777777" w:rsidR="00BF67EF" w:rsidRPr="00D216AB" w:rsidRDefault="00BF67EF" w:rsidP="0061013B">
            <w:pPr>
              <w:spacing w:after="60"/>
              <w:jc w:val="center"/>
              <w:rPr>
                <w:sz w:val="20"/>
                <w:szCs w:val="20"/>
              </w:rPr>
            </w:pPr>
            <w:r w:rsidRPr="00D216AB">
              <w:rPr>
                <w:sz w:val="20"/>
                <w:szCs w:val="20"/>
              </w:rPr>
              <w:t>5.8</w:t>
            </w:r>
          </w:p>
        </w:tc>
        <w:tc>
          <w:tcPr>
            <w:tcW w:w="410" w:type="pct"/>
            <w:tcBorders>
              <w:top w:val="single" w:sz="4" w:space="0" w:color="auto"/>
              <w:left w:val="nil"/>
              <w:bottom w:val="single" w:sz="4" w:space="0" w:color="auto"/>
              <w:right w:val="nil"/>
            </w:tcBorders>
          </w:tcPr>
          <w:p w14:paraId="0010DCDD" w14:textId="77777777" w:rsidR="00BF67EF" w:rsidRPr="00D216AB" w:rsidRDefault="00BF67EF" w:rsidP="0061013B">
            <w:pPr>
              <w:spacing w:after="60"/>
              <w:jc w:val="center"/>
              <w:rPr>
                <w:sz w:val="20"/>
                <w:szCs w:val="20"/>
              </w:rPr>
            </w:pPr>
            <w:r w:rsidRPr="00D216AB">
              <w:rPr>
                <w:sz w:val="20"/>
                <w:szCs w:val="20"/>
              </w:rPr>
              <w:t>3.5-8.6</w:t>
            </w:r>
          </w:p>
        </w:tc>
        <w:tc>
          <w:tcPr>
            <w:tcW w:w="251" w:type="pct"/>
            <w:tcBorders>
              <w:top w:val="single" w:sz="4" w:space="0" w:color="auto"/>
              <w:left w:val="nil"/>
              <w:bottom w:val="single" w:sz="4" w:space="0" w:color="auto"/>
              <w:right w:val="nil"/>
            </w:tcBorders>
          </w:tcPr>
          <w:p w14:paraId="21F5B093" w14:textId="77777777" w:rsidR="00BF67EF" w:rsidRPr="00D216AB" w:rsidRDefault="00BF67EF" w:rsidP="0061013B">
            <w:pPr>
              <w:spacing w:after="60"/>
              <w:jc w:val="center"/>
              <w:rPr>
                <w:sz w:val="20"/>
                <w:szCs w:val="20"/>
              </w:rPr>
            </w:pPr>
            <w:r w:rsidRPr="00D216AB">
              <w:rPr>
                <w:sz w:val="20"/>
                <w:szCs w:val="20"/>
              </w:rPr>
              <w:t>66.4</w:t>
            </w:r>
          </w:p>
        </w:tc>
        <w:tc>
          <w:tcPr>
            <w:tcW w:w="441" w:type="pct"/>
            <w:tcBorders>
              <w:top w:val="single" w:sz="4" w:space="0" w:color="auto"/>
              <w:left w:val="nil"/>
              <w:bottom w:val="single" w:sz="4" w:space="0" w:color="auto"/>
              <w:right w:val="nil"/>
            </w:tcBorders>
          </w:tcPr>
          <w:p w14:paraId="6983CA46" w14:textId="77777777" w:rsidR="00BF67EF" w:rsidRPr="00D216AB" w:rsidRDefault="00BF67EF" w:rsidP="0061013B">
            <w:pPr>
              <w:spacing w:after="60"/>
              <w:jc w:val="center"/>
              <w:rPr>
                <w:sz w:val="20"/>
                <w:szCs w:val="20"/>
              </w:rPr>
            </w:pPr>
            <w:r w:rsidRPr="00D216AB">
              <w:rPr>
                <w:sz w:val="20"/>
                <w:szCs w:val="20"/>
              </w:rPr>
              <w:t>8</w:t>
            </w:r>
          </w:p>
        </w:tc>
        <w:tc>
          <w:tcPr>
            <w:tcW w:w="378" w:type="pct"/>
            <w:tcBorders>
              <w:top w:val="single" w:sz="4" w:space="0" w:color="auto"/>
              <w:left w:val="nil"/>
              <w:bottom w:val="single" w:sz="4" w:space="0" w:color="auto"/>
              <w:right w:val="nil"/>
            </w:tcBorders>
          </w:tcPr>
          <w:p w14:paraId="7FF3C2DB" w14:textId="77777777" w:rsidR="00BF67EF" w:rsidRPr="00D216AB" w:rsidRDefault="00BF67EF" w:rsidP="0061013B">
            <w:pPr>
              <w:spacing w:after="60"/>
              <w:jc w:val="center"/>
              <w:rPr>
                <w:sz w:val="20"/>
                <w:szCs w:val="20"/>
              </w:rPr>
            </w:pPr>
            <w:r w:rsidRPr="00D216AB">
              <w:rPr>
                <w:sz w:val="20"/>
                <w:szCs w:val="20"/>
              </w:rPr>
              <w:t>4223</w:t>
            </w:r>
          </w:p>
        </w:tc>
        <w:tc>
          <w:tcPr>
            <w:tcW w:w="442" w:type="pct"/>
            <w:tcBorders>
              <w:top w:val="single" w:sz="4" w:space="0" w:color="auto"/>
              <w:left w:val="nil"/>
              <w:bottom w:val="single" w:sz="4" w:space="0" w:color="auto"/>
              <w:right w:val="nil"/>
            </w:tcBorders>
          </w:tcPr>
          <w:p w14:paraId="45874D2F" w14:textId="77777777" w:rsidR="00BF67EF" w:rsidRPr="00D216AB" w:rsidRDefault="00BF67EF" w:rsidP="0061013B">
            <w:pPr>
              <w:spacing w:after="60"/>
              <w:jc w:val="center"/>
              <w:rPr>
                <w:sz w:val="20"/>
                <w:szCs w:val="20"/>
              </w:rPr>
            </w:pPr>
            <w:r w:rsidRPr="00D216AB">
              <w:rPr>
                <w:sz w:val="20"/>
                <w:szCs w:val="20"/>
              </w:rPr>
              <w:t>10.4</w:t>
            </w:r>
          </w:p>
        </w:tc>
        <w:tc>
          <w:tcPr>
            <w:tcW w:w="410" w:type="pct"/>
            <w:tcBorders>
              <w:top w:val="single" w:sz="4" w:space="0" w:color="auto"/>
              <w:left w:val="nil"/>
              <w:bottom w:val="single" w:sz="4" w:space="0" w:color="auto"/>
              <w:right w:val="nil"/>
            </w:tcBorders>
          </w:tcPr>
          <w:p w14:paraId="72A8E734" w14:textId="77777777" w:rsidR="00BF67EF" w:rsidRPr="00D216AB" w:rsidRDefault="00BF67EF" w:rsidP="0061013B">
            <w:pPr>
              <w:spacing w:after="60"/>
              <w:jc w:val="center"/>
              <w:rPr>
                <w:sz w:val="20"/>
                <w:szCs w:val="20"/>
              </w:rPr>
            </w:pPr>
            <w:r w:rsidRPr="00D216AB">
              <w:rPr>
                <w:sz w:val="20"/>
                <w:szCs w:val="20"/>
              </w:rPr>
              <w:t>6.1-15.7</w:t>
            </w:r>
          </w:p>
        </w:tc>
        <w:tc>
          <w:tcPr>
            <w:tcW w:w="256" w:type="pct"/>
            <w:tcBorders>
              <w:top w:val="single" w:sz="4" w:space="0" w:color="auto"/>
              <w:left w:val="nil"/>
              <w:bottom w:val="single" w:sz="4" w:space="0" w:color="auto"/>
              <w:right w:val="nil"/>
            </w:tcBorders>
          </w:tcPr>
          <w:p w14:paraId="54BA9BA4" w14:textId="77777777" w:rsidR="00BF67EF" w:rsidRPr="00D216AB" w:rsidRDefault="00BF67EF" w:rsidP="0061013B">
            <w:pPr>
              <w:spacing w:after="60"/>
              <w:jc w:val="center"/>
              <w:rPr>
                <w:sz w:val="20"/>
                <w:szCs w:val="20"/>
              </w:rPr>
            </w:pPr>
            <w:r w:rsidRPr="00D216AB">
              <w:rPr>
                <w:sz w:val="20"/>
                <w:szCs w:val="20"/>
              </w:rPr>
              <w:t>94.3</w:t>
            </w:r>
          </w:p>
        </w:tc>
      </w:tr>
      <w:tr w:rsidR="00BF67EF" w:rsidRPr="00D216AB" w14:paraId="23FF5F32" w14:textId="77777777" w:rsidTr="0061013B">
        <w:tc>
          <w:tcPr>
            <w:tcW w:w="1145" w:type="pct"/>
            <w:tcBorders>
              <w:top w:val="single" w:sz="4" w:space="0" w:color="auto"/>
              <w:left w:val="nil"/>
              <w:bottom w:val="single" w:sz="4" w:space="0" w:color="auto"/>
              <w:right w:val="nil"/>
            </w:tcBorders>
          </w:tcPr>
          <w:p w14:paraId="79B2FA0D" w14:textId="77777777" w:rsidR="00BF67EF" w:rsidRPr="00D216AB" w:rsidRDefault="00BF67EF" w:rsidP="00BF67EF">
            <w:pPr>
              <w:spacing w:after="60"/>
              <w:rPr>
                <w:sz w:val="20"/>
                <w:szCs w:val="20"/>
              </w:rPr>
            </w:pPr>
            <w:r w:rsidRPr="00D216AB">
              <w:rPr>
                <w:sz w:val="20"/>
                <w:szCs w:val="20"/>
              </w:rPr>
              <w:t>Arrived alive at formal health facility (out of all deaths)</w:t>
            </w:r>
          </w:p>
        </w:tc>
        <w:tc>
          <w:tcPr>
            <w:tcW w:w="442" w:type="pct"/>
            <w:tcBorders>
              <w:top w:val="single" w:sz="4" w:space="0" w:color="auto"/>
              <w:left w:val="nil"/>
              <w:bottom w:val="single" w:sz="4" w:space="0" w:color="auto"/>
              <w:right w:val="nil"/>
            </w:tcBorders>
          </w:tcPr>
          <w:p w14:paraId="622FC646" w14:textId="77777777" w:rsidR="00BF67EF" w:rsidRPr="00963659" w:rsidRDefault="00BF67EF" w:rsidP="00BF67EF">
            <w:pPr>
              <w:spacing w:after="60"/>
              <w:jc w:val="right"/>
              <w:rPr>
                <w:color w:val="FF0000"/>
                <w:sz w:val="20"/>
                <w:szCs w:val="20"/>
              </w:rPr>
            </w:pPr>
            <w:r w:rsidRPr="00963659">
              <w:rPr>
                <w:color w:val="FF0000"/>
                <w:sz w:val="20"/>
                <w:szCs w:val="20"/>
              </w:rPr>
              <w:t>5</w:t>
            </w:r>
          </w:p>
        </w:tc>
        <w:tc>
          <w:tcPr>
            <w:tcW w:w="379" w:type="pct"/>
            <w:tcBorders>
              <w:top w:val="single" w:sz="4" w:space="0" w:color="auto"/>
              <w:left w:val="nil"/>
              <w:bottom w:val="single" w:sz="4" w:space="0" w:color="auto"/>
              <w:right w:val="nil"/>
            </w:tcBorders>
          </w:tcPr>
          <w:p w14:paraId="5DD64784" w14:textId="77777777" w:rsidR="00BF67EF" w:rsidRPr="00963659" w:rsidRDefault="00BF67EF" w:rsidP="0061013B">
            <w:pPr>
              <w:spacing w:after="60"/>
              <w:jc w:val="center"/>
              <w:rPr>
                <w:color w:val="FF0000"/>
                <w:sz w:val="20"/>
                <w:szCs w:val="20"/>
              </w:rPr>
            </w:pPr>
            <w:r w:rsidRPr="00963659">
              <w:rPr>
                <w:color w:val="FF0000"/>
                <w:sz w:val="20"/>
                <w:szCs w:val="20"/>
              </w:rPr>
              <w:t>1097</w:t>
            </w:r>
          </w:p>
        </w:tc>
        <w:tc>
          <w:tcPr>
            <w:tcW w:w="446" w:type="pct"/>
            <w:tcBorders>
              <w:top w:val="single" w:sz="4" w:space="0" w:color="auto"/>
              <w:left w:val="nil"/>
              <w:bottom w:val="single" w:sz="4" w:space="0" w:color="auto"/>
              <w:right w:val="nil"/>
            </w:tcBorders>
          </w:tcPr>
          <w:p w14:paraId="008275DD" w14:textId="77777777" w:rsidR="00BF67EF" w:rsidRPr="00963659" w:rsidRDefault="00BF67EF" w:rsidP="0061013B">
            <w:pPr>
              <w:spacing w:after="60"/>
              <w:jc w:val="center"/>
              <w:rPr>
                <w:color w:val="FF0000"/>
                <w:sz w:val="20"/>
                <w:szCs w:val="20"/>
              </w:rPr>
            </w:pPr>
            <w:r w:rsidRPr="00963659">
              <w:rPr>
                <w:color w:val="FF0000"/>
                <w:sz w:val="20"/>
                <w:szCs w:val="20"/>
              </w:rPr>
              <w:t>36.5</w:t>
            </w:r>
          </w:p>
        </w:tc>
        <w:tc>
          <w:tcPr>
            <w:tcW w:w="410" w:type="pct"/>
            <w:tcBorders>
              <w:top w:val="single" w:sz="4" w:space="0" w:color="auto"/>
              <w:left w:val="nil"/>
              <w:bottom w:val="single" w:sz="4" w:space="0" w:color="auto"/>
              <w:right w:val="nil"/>
            </w:tcBorders>
          </w:tcPr>
          <w:p w14:paraId="27F049C5" w14:textId="77777777" w:rsidR="00BF67EF" w:rsidRPr="00963659" w:rsidRDefault="00BF67EF" w:rsidP="0061013B">
            <w:pPr>
              <w:spacing w:after="60"/>
              <w:jc w:val="center"/>
              <w:rPr>
                <w:color w:val="FF0000"/>
                <w:sz w:val="20"/>
                <w:szCs w:val="20"/>
              </w:rPr>
            </w:pPr>
            <w:r w:rsidRPr="00963659">
              <w:rPr>
                <w:color w:val="FF0000"/>
                <w:sz w:val="20"/>
                <w:szCs w:val="20"/>
              </w:rPr>
              <w:t>25.2-48.5</w:t>
            </w:r>
          </w:p>
        </w:tc>
        <w:tc>
          <w:tcPr>
            <w:tcW w:w="251" w:type="pct"/>
            <w:tcBorders>
              <w:top w:val="single" w:sz="4" w:space="0" w:color="auto"/>
              <w:left w:val="nil"/>
              <w:bottom w:val="single" w:sz="4" w:space="0" w:color="auto"/>
              <w:right w:val="nil"/>
            </w:tcBorders>
          </w:tcPr>
          <w:p w14:paraId="484AE408" w14:textId="77777777" w:rsidR="00BF67EF" w:rsidRPr="00963659" w:rsidRDefault="00BF67EF" w:rsidP="0061013B">
            <w:pPr>
              <w:spacing w:after="60"/>
              <w:jc w:val="center"/>
              <w:rPr>
                <w:color w:val="FF0000"/>
                <w:sz w:val="20"/>
                <w:szCs w:val="20"/>
              </w:rPr>
            </w:pPr>
            <w:r w:rsidRPr="00963659">
              <w:rPr>
                <w:color w:val="FF0000"/>
                <w:sz w:val="20"/>
                <w:szCs w:val="20"/>
              </w:rPr>
              <w:t>93.8</w:t>
            </w:r>
          </w:p>
        </w:tc>
        <w:tc>
          <w:tcPr>
            <w:tcW w:w="441" w:type="pct"/>
            <w:tcBorders>
              <w:top w:val="single" w:sz="4" w:space="0" w:color="auto"/>
              <w:left w:val="nil"/>
              <w:bottom w:val="single" w:sz="4" w:space="0" w:color="auto"/>
              <w:right w:val="nil"/>
            </w:tcBorders>
          </w:tcPr>
          <w:p w14:paraId="7C1AE799" w14:textId="77777777" w:rsidR="00BF67EF" w:rsidRPr="00963659" w:rsidRDefault="00BF67EF" w:rsidP="0061013B">
            <w:pPr>
              <w:spacing w:after="60"/>
              <w:jc w:val="center"/>
              <w:rPr>
                <w:color w:val="FF0000"/>
                <w:sz w:val="20"/>
                <w:szCs w:val="20"/>
              </w:rPr>
            </w:pPr>
            <w:r w:rsidRPr="00963659">
              <w:rPr>
                <w:color w:val="FF0000"/>
                <w:sz w:val="20"/>
                <w:szCs w:val="20"/>
              </w:rPr>
              <w:t>9</w:t>
            </w:r>
          </w:p>
        </w:tc>
        <w:tc>
          <w:tcPr>
            <w:tcW w:w="378" w:type="pct"/>
            <w:tcBorders>
              <w:top w:val="single" w:sz="4" w:space="0" w:color="auto"/>
              <w:left w:val="nil"/>
              <w:bottom w:val="single" w:sz="4" w:space="0" w:color="auto"/>
              <w:right w:val="nil"/>
            </w:tcBorders>
          </w:tcPr>
          <w:p w14:paraId="2F33D544" w14:textId="77777777" w:rsidR="00BF67EF" w:rsidRPr="00963659" w:rsidRDefault="00BF67EF" w:rsidP="0061013B">
            <w:pPr>
              <w:spacing w:after="60"/>
              <w:jc w:val="center"/>
              <w:rPr>
                <w:color w:val="FF0000"/>
                <w:sz w:val="20"/>
                <w:szCs w:val="20"/>
              </w:rPr>
            </w:pPr>
            <w:r w:rsidRPr="00963659">
              <w:rPr>
                <w:color w:val="FF0000"/>
                <w:sz w:val="20"/>
                <w:szCs w:val="20"/>
              </w:rPr>
              <w:t>4553</w:t>
            </w:r>
          </w:p>
        </w:tc>
        <w:tc>
          <w:tcPr>
            <w:tcW w:w="442" w:type="pct"/>
            <w:tcBorders>
              <w:top w:val="single" w:sz="4" w:space="0" w:color="auto"/>
              <w:left w:val="nil"/>
              <w:bottom w:val="single" w:sz="4" w:space="0" w:color="auto"/>
              <w:right w:val="nil"/>
            </w:tcBorders>
          </w:tcPr>
          <w:p w14:paraId="72894EC4" w14:textId="77777777" w:rsidR="00BF67EF" w:rsidRPr="00963659" w:rsidRDefault="00BF67EF" w:rsidP="0061013B">
            <w:pPr>
              <w:spacing w:after="60"/>
              <w:jc w:val="center"/>
              <w:rPr>
                <w:color w:val="FF0000"/>
                <w:sz w:val="20"/>
                <w:szCs w:val="20"/>
              </w:rPr>
            </w:pPr>
            <w:r w:rsidRPr="00963659">
              <w:rPr>
                <w:color w:val="FF0000"/>
                <w:sz w:val="20"/>
                <w:szCs w:val="20"/>
              </w:rPr>
              <w:t>58.7</w:t>
            </w:r>
          </w:p>
        </w:tc>
        <w:tc>
          <w:tcPr>
            <w:tcW w:w="410" w:type="pct"/>
            <w:tcBorders>
              <w:top w:val="single" w:sz="4" w:space="0" w:color="auto"/>
              <w:left w:val="nil"/>
              <w:bottom w:val="single" w:sz="4" w:space="0" w:color="auto"/>
              <w:right w:val="nil"/>
            </w:tcBorders>
          </w:tcPr>
          <w:p w14:paraId="189FB6D5" w14:textId="77777777" w:rsidR="00BF67EF" w:rsidRPr="00963659" w:rsidRDefault="00BF67EF" w:rsidP="0061013B">
            <w:pPr>
              <w:spacing w:after="60"/>
              <w:jc w:val="center"/>
              <w:rPr>
                <w:color w:val="FF0000"/>
                <w:sz w:val="20"/>
                <w:szCs w:val="20"/>
              </w:rPr>
            </w:pPr>
            <w:r w:rsidRPr="00963659">
              <w:rPr>
                <w:color w:val="FF0000"/>
                <w:sz w:val="20"/>
                <w:szCs w:val="20"/>
              </w:rPr>
              <w:t>48.0-68.9</w:t>
            </w:r>
          </w:p>
        </w:tc>
        <w:tc>
          <w:tcPr>
            <w:tcW w:w="256" w:type="pct"/>
            <w:tcBorders>
              <w:top w:val="single" w:sz="4" w:space="0" w:color="auto"/>
              <w:left w:val="nil"/>
              <w:bottom w:val="single" w:sz="4" w:space="0" w:color="auto"/>
              <w:right w:val="nil"/>
            </w:tcBorders>
          </w:tcPr>
          <w:p w14:paraId="4235C625" w14:textId="77777777" w:rsidR="00BF67EF" w:rsidRPr="00963659" w:rsidRDefault="00BF67EF" w:rsidP="0061013B">
            <w:pPr>
              <w:spacing w:after="60"/>
              <w:jc w:val="center"/>
              <w:rPr>
                <w:color w:val="FF0000"/>
                <w:sz w:val="20"/>
                <w:szCs w:val="20"/>
              </w:rPr>
            </w:pPr>
            <w:r w:rsidRPr="00963659">
              <w:rPr>
                <w:color w:val="FF0000"/>
                <w:sz w:val="20"/>
                <w:szCs w:val="20"/>
              </w:rPr>
              <w:t>97.5</w:t>
            </w:r>
          </w:p>
        </w:tc>
      </w:tr>
      <w:tr w:rsidR="00BF67EF" w:rsidRPr="00D216AB" w14:paraId="2DD9FD90" w14:textId="77777777" w:rsidTr="0061013B">
        <w:tc>
          <w:tcPr>
            <w:tcW w:w="1145" w:type="pct"/>
            <w:tcBorders>
              <w:top w:val="single" w:sz="4" w:space="0" w:color="auto"/>
              <w:left w:val="nil"/>
              <w:bottom w:val="single" w:sz="4" w:space="0" w:color="auto"/>
              <w:right w:val="nil"/>
            </w:tcBorders>
          </w:tcPr>
          <w:p w14:paraId="16F3CE45" w14:textId="77777777" w:rsidR="00BF67EF" w:rsidRPr="00D216AB" w:rsidRDefault="00BF67EF" w:rsidP="00BF67EF">
            <w:pPr>
              <w:spacing w:after="60"/>
              <w:rPr>
                <w:sz w:val="20"/>
                <w:szCs w:val="20"/>
              </w:rPr>
            </w:pPr>
            <w:r w:rsidRPr="00D216AB">
              <w:rPr>
                <w:sz w:val="20"/>
                <w:szCs w:val="20"/>
              </w:rPr>
              <w:t>Arrived alive at formal health facility (of those who sought formal care)</w:t>
            </w:r>
          </w:p>
        </w:tc>
        <w:tc>
          <w:tcPr>
            <w:tcW w:w="442" w:type="pct"/>
            <w:tcBorders>
              <w:top w:val="single" w:sz="4" w:space="0" w:color="auto"/>
              <w:left w:val="nil"/>
              <w:bottom w:val="single" w:sz="4" w:space="0" w:color="auto"/>
              <w:right w:val="nil"/>
            </w:tcBorders>
          </w:tcPr>
          <w:p w14:paraId="223CDD06"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13F7EC40" w14:textId="77777777" w:rsidR="00BF67EF" w:rsidRPr="00D216AB" w:rsidRDefault="00BF67EF" w:rsidP="0061013B">
            <w:pPr>
              <w:spacing w:after="60"/>
              <w:jc w:val="center"/>
              <w:rPr>
                <w:sz w:val="20"/>
                <w:szCs w:val="20"/>
              </w:rPr>
            </w:pPr>
            <w:r w:rsidRPr="00D216AB">
              <w:rPr>
                <w:sz w:val="20"/>
                <w:szCs w:val="20"/>
              </w:rPr>
              <w:t>455</w:t>
            </w:r>
          </w:p>
        </w:tc>
        <w:tc>
          <w:tcPr>
            <w:tcW w:w="446" w:type="pct"/>
            <w:tcBorders>
              <w:top w:val="single" w:sz="4" w:space="0" w:color="auto"/>
              <w:left w:val="nil"/>
              <w:bottom w:val="single" w:sz="4" w:space="0" w:color="auto"/>
              <w:right w:val="nil"/>
            </w:tcBorders>
          </w:tcPr>
          <w:p w14:paraId="292F0827" w14:textId="77777777" w:rsidR="00BF67EF" w:rsidRPr="00D216AB" w:rsidRDefault="00BF67EF" w:rsidP="0061013B">
            <w:pPr>
              <w:spacing w:after="60"/>
              <w:jc w:val="center"/>
              <w:rPr>
                <w:sz w:val="20"/>
                <w:szCs w:val="20"/>
              </w:rPr>
            </w:pPr>
            <w:r w:rsidRPr="00D216AB">
              <w:rPr>
                <w:sz w:val="20"/>
                <w:szCs w:val="20"/>
              </w:rPr>
              <w:t>85.8</w:t>
            </w:r>
          </w:p>
        </w:tc>
        <w:tc>
          <w:tcPr>
            <w:tcW w:w="410" w:type="pct"/>
            <w:tcBorders>
              <w:top w:val="single" w:sz="4" w:space="0" w:color="auto"/>
              <w:left w:val="nil"/>
              <w:bottom w:val="single" w:sz="4" w:space="0" w:color="auto"/>
              <w:right w:val="nil"/>
            </w:tcBorders>
          </w:tcPr>
          <w:p w14:paraId="0C587CCA" w14:textId="77777777" w:rsidR="00BF67EF" w:rsidRPr="00D216AB" w:rsidRDefault="00BF67EF" w:rsidP="0061013B">
            <w:pPr>
              <w:spacing w:after="60"/>
              <w:jc w:val="center"/>
              <w:rPr>
                <w:sz w:val="20"/>
                <w:szCs w:val="20"/>
              </w:rPr>
            </w:pPr>
            <w:r w:rsidRPr="00D216AB">
              <w:rPr>
                <w:sz w:val="20"/>
                <w:szCs w:val="20"/>
              </w:rPr>
              <w:t>76.5-93.1</w:t>
            </w:r>
          </w:p>
        </w:tc>
        <w:tc>
          <w:tcPr>
            <w:tcW w:w="251" w:type="pct"/>
            <w:tcBorders>
              <w:top w:val="single" w:sz="4" w:space="0" w:color="auto"/>
              <w:left w:val="nil"/>
              <w:bottom w:val="single" w:sz="4" w:space="0" w:color="auto"/>
              <w:right w:val="nil"/>
            </w:tcBorders>
          </w:tcPr>
          <w:p w14:paraId="39B802D6" w14:textId="77777777" w:rsidR="00BF67EF" w:rsidRPr="00D216AB" w:rsidRDefault="00BF67EF" w:rsidP="0061013B">
            <w:pPr>
              <w:spacing w:after="60"/>
              <w:jc w:val="center"/>
              <w:rPr>
                <w:sz w:val="20"/>
                <w:szCs w:val="20"/>
              </w:rPr>
            </w:pPr>
            <w:r w:rsidRPr="00D216AB">
              <w:rPr>
                <w:sz w:val="20"/>
                <w:szCs w:val="20"/>
              </w:rPr>
              <w:t>84.0</w:t>
            </w:r>
          </w:p>
        </w:tc>
        <w:tc>
          <w:tcPr>
            <w:tcW w:w="441" w:type="pct"/>
            <w:tcBorders>
              <w:top w:val="single" w:sz="4" w:space="0" w:color="auto"/>
              <w:left w:val="nil"/>
              <w:bottom w:val="single" w:sz="4" w:space="0" w:color="auto"/>
              <w:right w:val="nil"/>
            </w:tcBorders>
          </w:tcPr>
          <w:p w14:paraId="6351A115" w14:textId="77777777" w:rsidR="00BF67EF" w:rsidRPr="00D216AB" w:rsidRDefault="00BF67EF" w:rsidP="0061013B">
            <w:pPr>
              <w:spacing w:after="60"/>
              <w:jc w:val="center"/>
              <w:rPr>
                <w:sz w:val="20"/>
                <w:szCs w:val="20"/>
              </w:rPr>
            </w:pPr>
            <w:r w:rsidRPr="00D216AB">
              <w:rPr>
                <w:sz w:val="20"/>
                <w:szCs w:val="20"/>
              </w:rPr>
              <w:t>9</w:t>
            </w:r>
          </w:p>
        </w:tc>
        <w:tc>
          <w:tcPr>
            <w:tcW w:w="378" w:type="pct"/>
            <w:tcBorders>
              <w:top w:val="single" w:sz="4" w:space="0" w:color="auto"/>
              <w:left w:val="nil"/>
              <w:bottom w:val="single" w:sz="4" w:space="0" w:color="auto"/>
              <w:right w:val="nil"/>
            </w:tcBorders>
          </w:tcPr>
          <w:p w14:paraId="4D9D9E8F" w14:textId="77777777" w:rsidR="00BF67EF" w:rsidRPr="00D216AB" w:rsidRDefault="00BF67EF" w:rsidP="0061013B">
            <w:pPr>
              <w:spacing w:after="60"/>
              <w:jc w:val="center"/>
              <w:rPr>
                <w:sz w:val="20"/>
                <w:szCs w:val="20"/>
              </w:rPr>
            </w:pPr>
            <w:r w:rsidRPr="00D216AB">
              <w:rPr>
                <w:sz w:val="20"/>
                <w:szCs w:val="20"/>
              </w:rPr>
              <w:t>2956</w:t>
            </w:r>
          </w:p>
        </w:tc>
        <w:tc>
          <w:tcPr>
            <w:tcW w:w="442" w:type="pct"/>
            <w:tcBorders>
              <w:top w:val="single" w:sz="4" w:space="0" w:color="auto"/>
              <w:left w:val="nil"/>
              <w:bottom w:val="single" w:sz="4" w:space="0" w:color="auto"/>
              <w:right w:val="nil"/>
            </w:tcBorders>
          </w:tcPr>
          <w:p w14:paraId="32D8BE6C" w14:textId="77777777" w:rsidR="00BF67EF" w:rsidRPr="00D216AB" w:rsidRDefault="00BF67EF" w:rsidP="0061013B">
            <w:pPr>
              <w:spacing w:after="60"/>
              <w:jc w:val="center"/>
              <w:rPr>
                <w:sz w:val="20"/>
                <w:szCs w:val="20"/>
              </w:rPr>
            </w:pPr>
            <w:r w:rsidRPr="00D216AB">
              <w:rPr>
                <w:sz w:val="20"/>
                <w:szCs w:val="20"/>
              </w:rPr>
              <w:t>88.4</w:t>
            </w:r>
          </w:p>
        </w:tc>
        <w:tc>
          <w:tcPr>
            <w:tcW w:w="410" w:type="pct"/>
            <w:tcBorders>
              <w:top w:val="single" w:sz="4" w:space="0" w:color="auto"/>
              <w:left w:val="nil"/>
              <w:bottom w:val="single" w:sz="4" w:space="0" w:color="auto"/>
              <w:right w:val="nil"/>
            </w:tcBorders>
          </w:tcPr>
          <w:p w14:paraId="400E1358" w14:textId="77777777" w:rsidR="00BF67EF" w:rsidRPr="00D216AB" w:rsidRDefault="00BF67EF" w:rsidP="0061013B">
            <w:pPr>
              <w:spacing w:after="60"/>
              <w:jc w:val="center"/>
              <w:rPr>
                <w:sz w:val="20"/>
                <w:szCs w:val="20"/>
              </w:rPr>
            </w:pPr>
            <w:r w:rsidRPr="00D216AB">
              <w:rPr>
                <w:sz w:val="20"/>
                <w:szCs w:val="20"/>
              </w:rPr>
              <w:t>79.4-95.3</w:t>
            </w:r>
          </w:p>
        </w:tc>
        <w:tc>
          <w:tcPr>
            <w:tcW w:w="256" w:type="pct"/>
            <w:tcBorders>
              <w:top w:val="single" w:sz="4" w:space="0" w:color="auto"/>
              <w:left w:val="nil"/>
              <w:bottom w:val="single" w:sz="4" w:space="0" w:color="auto"/>
              <w:right w:val="nil"/>
            </w:tcBorders>
          </w:tcPr>
          <w:p w14:paraId="7708F633" w14:textId="77777777" w:rsidR="00BF67EF" w:rsidRPr="00D216AB" w:rsidRDefault="00BF67EF" w:rsidP="0061013B">
            <w:pPr>
              <w:spacing w:after="60"/>
              <w:jc w:val="center"/>
              <w:rPr>
                <w:sz w:val="20"/>
                <w:szCs w:val="20"/>
              </w:rPr>
            </w:pPr>
            <w:r w:rsidRPr="00D216AB">
              <w:rPr>
                <w:sz w:val="20"/>
                <w:szCs w:val="20"/>
              </w:rPr>
              <w:t>97.0</w:t>
            </w:r>
          </w:p>
        </w:tc>
      </w:tr>
      <w:tr w:rsidR="00BF67EF" w:rsidRPr="00D216AB" w14:paraId="644C2C6C" w14:textId="77777777" w:rsidTr="0061013B">
        <w:tc>
          <w:tcPr>
            <w:tcW w:w="1145" w:type="pct"/>
            <w:tcBorders>
              <w:top w:val="single" w:sz="4" w:space="0" w:color="auto"/>
              <w:left w:val="nil"/>
              <w:bottom w:val="single" w:sz="4" w:space="0" w:color="auto"/>
              <w:right w:val="nil"/>
            </w:tcBorders>
          </w:tcPr>
          <w:p w14:paraId="1EE13AAE" w14:textId="77777777" w:rsidR="00BF67EF" w:rsidRPr="00D216AB" w:rsidRDefault="00BF67EF" w:rsidP="00BF67EF">
            <w:pPr>
              <w:spacing w:after="60"/>
              <w:rPr>
                <w:sz w:val="20"/>
                <w:szCs w:val="20"/>
              </w:rPr>
            </w:pPr>
            <w:r w:rsidRPr="00D216AB">
              <w:rPr>
                <w:sz w:val="20"/>
                <w:szCs w:val="20"/>
              </w:rPr>
              <w:t>Left formal health facility alive (out of all deaths)</w:t>
            </w:r>
          </w:p>
        </w:tc>
        <w:tc>
          <w:tcPr>
            <w:tcW w:w="442" w:type="pct"/>
            <w:tcBorders>
              <w:top w:val="single" w:sz="4" w:space="0" w:color="auto"/>
              <w:left w:val="nil"/>
              <w:bottom w:val="single" w:sz="4" w:space="0" w:color="auto"/>
              <w:right w:val="nil"/>
            </w:tcBorders>
          </w:tcPr>
          <w:p w14:paraId="4194F5FC" w14:textId="77777777" w:rsidR="00BF67EF" w:rsidRPr="00963659" w:rsidRDefault="00BF67EF" w:rsidP="00BF67EF">
            <w:pPr>
              <w:spacing w:after="60"/>
              <w:jc w:val="right"/>
              <w:rPr>
                <w:color w:val="FF0000"/>
                <w:sz w:val="20"/>
                <w:szCs w:val="20"/>
              </w:rPr>
            </w:pPr>
            <w:r w:rsidRPr="00963659">
              <w:rPr>
                <w:color w:val="FF0000"/>
                <w:sz w:val="20"/>
                <w:szCs w:val="20"/>
              </w:rPr>
              <w:t>5</w:t>
            </w:r>
          </w:p>
        </w:tc>
        <w:tc>
          <w:tcPr>
            <w:tcW w:w="379" w:type="pct"/>
            <w:tcBorders>
              <w:top w:val="single" w:sz="4" w:space="0" w:color="auto"/>
              <w:left w:val="nil"/>
              <w:bottom w:val="single" w:sz="4" w:space="0" w:color="auto"/>
              <w:right w:val="nil"/>
            </w:tcBorders>
          </w:tcPr>
          <w:p w14:paraId="0AAD970C" w14:textId="77777777" w:rsidR="00BF67EF" w:rsidRPr="00963659" w:rsidRDefault="00BF67EF" w:rsidP="0061013B">
            <w:pPr>
              <w:spacing w:after="60"/>
              <w:jc w:val="center"/>
              <w:rPr>
                <w:color w:val="FF0000"/>
                <w:sz w:val="20"/>
                <w:szCs w:val="20"/>
              </w:rPr>
            </w:pPr>
            <w:r w:rsidRPr="00963659">
              <w:rPr>
                <w:color w:val="FF0000"/>
                <w:sz w:val="20"/>
                <w:szCs w:val="20"/>
              </w:rPr>
              <w:t>1097</w:t>
            </w:r>
          </w:p>
        </w:tc>
        <w:tc>
          <w:tcPr>
            <w:tcW w:w="446" w:type="pct"/>
            <w:tcBorders>
              <w:top w:val="single" w:sz="4" w:space="0" w:color="auto"/>
              <w:left w:val="nil"/>
              <w:bottom w:val="single" w:sz="4" w:space="0" w:color="auto"/>
              <w:right w:val="nil"/>
            </w:tcBorders>
          </w:tcPr>
          <w:p w14:paraId="40885A50" w14:textId="77777777" w:rsidR="00BF67EF" w:rsidRPr="00963659" w:rsidRDefault="00BF67EF" w:rsidP="0061013B">
            <w:pPr>
              <w:spacing w:after="60"/>
              <w:jc w:val="center"/>
              <w:rPr>
                <w:color w:val="FF0000"/>
                <w:sz w:val="20"/>
                <w:szCs w:val="20"/>
              </w:rPr>
            </w:pPr>
            <w:r w:rsidRPr="00963659">
              <w:rPr>
                <w:color w:val="FF0000"/>
                <w:sz w:val="20"/>
                <w:szCs w:val="20"/>
              </w:rPr>
              <w:t>21.4</w:t>
            </w:r>
          </w:p>
        </w:tc>
        <w:tc>
          <w:tcPr>
            <w:tcW w:w="410" w:type="pct"/>
            <w:tcBorders>
              <w:top w:val="single" w:sz="4" w:space="0" w:color="auto"/>
              <w:left w:val="nil"/>
              <w:bottom w:val="single" w:sz="4" w:space="0" w:color="auto"/>
              <w:right w:val="nil"/>
            </w:tcBorders>
          </w:tcPr>
          <w:p w14:paraId="49FD7652" w14:textId="77777777" w:rsidR="00BF67EF" w:rsidRPr="00963659" w:rsidRDefault="00BF67EF" w:rsidP="0061013B">
            <w:pPr>
              <w:spacing w:after="60"/>
              <w:jc w:val="center"/>
              <w:rPr>
                <w:color w:val="FF0000"/>
                <w:sz w:val="20"/>
                <w:szCs w:val="20"/>
              </w:rPr>
            </w:pPr>
            <w:r w:rsidRPr="00963659">
              <w:rPr>
                <w:color w:val="FF0000"/>
                <w:sz w:val="20"/>
                <w:szCs w:val="20"/>
              </w:rPr>
              <w:t>14.4-29.4</w:t>
            </w:r>
          </w:p>
        </w:tc>
        <w:tc>
          <w:tcPr>
            <w:tcW w:w="251" w:type="pct"/>
            <w:tcBorders>
              <w:top w:val="single" w:sz="4" w:space="0" w:color="auto"/>
              <w:left w:val="nil"/>
              <w:bottom w:val="single" w:sz="4" w:space="0" w:color="auto"/>
              <w:right w:val="nil"/>
            </w:tcBorders>
          </w:tcPr>
          <w:p w14:paraId="1BB0F7AA" w14:textId="77777777" w:rsidR="00BF67EF" w:rsidRPr="00963659" w:rsidRDefault="00BF67EF" w:rsidP="0061013B">
            <w:pPr>
              <w:spacing w:after="60"/>
              <w:jc w:val="center"/>
              <w:rPr>
                <w:color w:val="FF0000"/>
                <w:sz w:val="20"/>
                <w:szCs w:val="20"/>
              </w:rPr>
            </w:pPr>
            <w:r w:rsidRPr="00963659">
              <w:rPr>
                <w:color w:val="FF0000"/>
                <w:sz w:val="20"/>
                <w:szCs w:val="20"/>
              </w:rPr>
              <w:t>89.0</w:t>
            </w:r>
          </w:p>
        </w:tc>
        <w:tc>
          <w:tcPr>
            <w:tcW w:w="441" w:type="pct"/>
            <w:tcBorders>
              <w:top w:val="single" w:sz="4" w:space="0" w:color="auto"/>
              <w:left w:val="nil"/>
              <w:bottom w:val="single" w:sz="4" w:space="0" w:color="auto"/>
              <w:right w:val="nil"/>
            </w:tcBorders>
          </w:tcPr>
          <w:p w14:paraId="6F1A005C" w14:textId="77777777" w:rsidR="00BF67EF" w:rsidRPr="00963659" w:rsidRDefault="00BF67EF" w:rsidP="0061013B">
            <w:pPr>
              <w:spacing w:after="60"/>
              <w:jc w:val="center"/>
              <w:rPr>
                <w:color w:val="FF0000"/>
                <w:sz w:val="20"/>
                <w:szCs w:val="20"/>
              </w:rPr>
            </w:pPr>
            <w:r w:rsidRPr="00963659">
              <w:rPr>
                <w:color w:val="FF0000"/>
                <w:sz w:val="20"/>
                <w:szCs w:val="20"/>
              </w:rPr>
              <w:t>6</w:t>
            </w:r>
          </w:p>
        </w:tc>
        <w:tc>
          <w:tcPr>
            <w:tcW w:w="378" w:type="pct"/>
            <w:tcBorders>
              <w:top w:val="single" w:sz="4" w:space="0" w:color="auto"/>
              <w:left w:val="nil"/>
              <w:bottom w:val="single" w:sz="4" w:space="0" w:color="auto"/>
              <w:right w:val="nil"/>
            </w:tcBorders>
          </w:tcPr>
          <w:p w14:paraId="538CADD3" w14:textId="77777777" w:rsidR="00BF67EF" w:rsidRPr="00963659" w:rsidRDefault="00BF67EF" w:rsidP="0061013B">
            <w:pPr>
              <w:spacing w:after="60"/>
              <w:jc w:val="center"/>
              <w:rPr>
                <w:color w:val="FF0000"/>
                <w:sz w:val="20"/>
                <w:szCs w:val="20"/>
              </w:rPr>
            </w:pPr>
            <w:r w:rsidRPr="00963659">
              <w:rPr>
                <w:color w:val="FF0000"/>
                <w:sz w:val="20"/>
                <w:szCs w:val="20"/>
              </w:rPr>
              <w:t>4180</w:t>
            </w:r>
          </w:p>
        </w:tc>
        <w:tc>
          <w:tcPr>
            <w:tcW w:w="442" w:type="pct"/>
            <w:tcBorders>
              <w:top w:val="single" w:sz="4" w:space="0" w:color="auto"/>
              <w:left w:val="nil"/>
              <w:bottom w:val="single" w:sz="4" w:space="0" w:color="auto"/>
              <w:right w:val="nil"/>
            </w:tcBorders>
          </w:tcPr>
          <w:p w14:paraId="56F560C7" w14:textId="77777777" w:rsidR="00BF67EF" w:rsidRPr="00963659" w:rsidRDefault="00BF67EF" w:rsidP="0061013B">
            <w:pPr>
              <w:spacing w:after="60"/>
              <w:jc w:val="center"/>
              <w:rPr>
                <w:color w:val="FF0000"/>
                <w:sz w:val="20"/>
                <w:szCs w:val="20"/>
              </w:rPr>
            </w:pPr>
            <w:r w:rsidRPr="00963659">
              <w:rPr>
                <w:color w:val="FF0000"/>
                <w:sz w:val="20"/>
                <w:szCs w:val="20"/>
              </w:rPr>
              <w:t>42.7</w:t>
            </w:r>
          </w:p>
        </w:tc>
        <w:tc>
          <w:tcPr>
            <w:tcW w:w="410" w:type="pct"/>
            <w:tcBorders>
              <w:top w:val="single" w:sz="4" w:space="0" w:color="auto"/>
              <w:left w:val="nil"/>
              <w:bottom w:val="single" w:sz="4" w:space="0" w:color="auto"/>
              <w:right w:val="nil"/>
            </w:tcBorders>
          </w:tcPr>
          <w:p w14:paraId="1E8E8611" w14:textId="77777777" w:rsidR="00BF67EF" w:rsidRPr="00963659" w:rsidRDefault="00BF67EF" w:rsidP="0061013B">
            <w:pPr>
              <w:spacing w:after="60"/>
              <w:jc w:val="center"/>
              <w:rPr>
                <w:color w:val="FF0000"/>
                <w:sz w:val="20"/>
                <w:szCs w:val="20"/>
              </w:rPr>
            </w:pPr>
            <w:r w:rsidRPr="00963659">
              <w:rPr>
                <w:color w:val="FF0000"/>
                <w:sz w:val="20"/>
                <w:szCs w:val="20"/>
              </w:rPr>
              <w:t>30.4-55.4</w:t>
            </w:r>
          </w:p>
        </w:tc>
        <w:tc>
          <w:tcPr>
            <w:tcW w:w="256" w:type="pct"/>
            <w:tcBorders>
              <w:top w:val="single" w:sz="4" w:space="0" w:color="auto"/>
              <w:left w:val="nil"/>
              <w:bottom w:val="single" w:sz="4" w:space="0" w:color="auto"/>
              <w:right w:val="nil"/>
            </w:tcBorders>
          </w:tcPr>
          <w:p w14:paraId="5CB9F07F" w14:textId="77777777" w:rsidR="00BF67EF" w:rsidRPr="00963659" w:rsidRDefault="00BF67EF" w:rsidP="0061013B">
            <w:pPr>
              <w:spacing w:after="60"/>
              <w:jc w:val="center"/>
              <w:rPr>
                <w:color w:val="FF0000"/>
                <w:sz w:val="20"/>
                <w:szCs w:val="20"/>
              </w:rPr>
            </w:pPr>
            <w:r w:rsidRPr="00963659">
              <w:rPr>
                <w:color w:val="FF0000"/>
                <w:sz w:val="20"/>
                <w:szCs w:val="20"/>
              </w:rPr>
              <w:t>98.3</w:t>
            </w:r>
          </w:p>
        </w:tc>
      </w:tr>
      <w:tr w:rsidR="00BF67EF" w:rsidRPr="00D216AB" w14:paraId="4121EB77" w14:textId="77777777" w:rsidTr="0061013B">
        <w:tc>
          <w:tcPr>
            <w:tcW w:w="1145" w:type="pct"/>
            <w:tcBorders>
              <w:top w:val="single" w:sz="4" w:space="0" w:color="auto"/>
              <w:left w:val="nil"/>
              <w:bottom w:val="single" w:sz="4" w:space="0" w:color="auto"/>
              <w:right w:val="nil"/>
            </w:tcBorders>
          </w:tcPr>
          <w:p w14:paraId="595127D7" w14:textId="77777777" w:rsidR="00BF67EF" w:rsidRPr="00D216AB" w:rsidRDefault="00BF67EF" w:rsidP="00BF67EF">
            <w:pPr>
              <w:spacing w:after="60"/>
              <w:rPr>
                <w:sz w:val="20"/>
                <w:szCs w:val="20"/>
              </w:rPr>
            </w:pPr>
            <w:r w:rsidRPr="00D216AB">
              <w:rPr>
                <w:sz w:val="20"/>
                <w:szCs w:val="20"/>
              </w:rPr>
              <w:t>Left formal health facility alive (of those who arrived alive)</w:t>
            </w:r>
          </w:p>
        </w:tc>
        <w:tc>
          <w:tcPr>
            <w:tcW w:w="442" w:type="pct"/>
            <w:tcBorders>
              <w:top w:val="single" w:sz="4" w:space="0" w:color="auto"/>
              <w:left w:val="nil"/>
              <w:bottom w:val="single" w:sz="4" w:space="0" w:color="auto"/>
              <w:right w:val="nil"/>
            </w:tcBorders>
          </w:tcPr>
          <w:p w14:paraId="19723F92"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4EFD7D0F" w14:textId="77777777" w:rsidR="00BF67EF" w:rsidRPr="00D216AB" w:rsidRDefault="00BF67EF" w:rsidP="0061013B">
            <w:pPr>
              <w:spacing w:after="60"/>
              <w:jc w:val="center"/>
              <w:rPr>
                <w:sz w:val="20"/>
                <w:szCs w:val="20"/>
              </w:rPr>
            </w:pPr>
            <w:r w:rsidRPr="00D216AB">
              <w:rPr>
                <w:sz w:val="20"/>
                <w:szCs w:val="20"/>
              </w:rPr>
              <w:t>385</w:t>
            </w:r>
          </w:p>
        </w:tc>
        <w:tc>
          <w:tcPr>
            <w:tcW w:w="446" w:type="pct"/>
            <w:tcBorders>
              <w:top w:val="single" w:sz="4" w:space="0" w:color="auto"/>
              <w:left w:val="nil"/>
              <w:bottom w:val="single" w:sz="4" w:space="0" w:color="auto"/>
              <w:right w:val="nil"/>
            </w:tcBorders>
          </w:tcPr>
          <w:p w14:paraId="6DB38B0D" w14:textId="77777777" w:rsidR="00BF67EF" w:rsidRPr="00D216AB" w:rsidRDefault="00BF67EF" w:rsidP="0061013B">
            <w:pPr>
              <w:spacing w:after="60"/>
              <w:jc w:val="center"/>
              <w:rPr>
                <w:sz w:val="20"/>
                <w:szCs w:val="20"/>
              </w:rPr>
            </w:pPr>
            <w:r w:rsidRPr="00D216AB">
              <w:rPr>
                <w:sz w:val="20"/>
                <w:szCs w:val="20"/>
              </w:rPr>
              <w:t>62.9</w:t>
            </w:r>
          </w:p>
        </w:tc>
        <w:tc>
          <w:tcPr>
            <w:tcW w:w="410" w:type="pct"/>
            <w:tcBorders>
              <w:top w:val="single" w:sz="4" w:space="0" w:color="auto"/>
              <w:left w:val="nil"/>
              <w:bottom w:val="single" w:sz="4" w:space="0" w:color="auto"/>
              <w:right w:val="nil"/>
            </w:tcBorders>
          </w:tcPr>
          <w:p w14:paraId="1BEA736D" w14:textId="77777777" w:rsidR="00BF67EF" w:rsidRPr="00D216AB" w:rsidRDefault="00BF67EF" w:rsidP="0061013B">
            <w:pPr>
              <w:spacing w:after="60"/>
              <w:jc w:val="center"/>
              <w:rPr>
                <w:sz w:val="20"/>
                <w:szCs w:val="20"/>
              </w:rPr>
            </w:pPr>
            <w:r w:rsidRPr="00D216AB">
              <w:rPr>
                <w:sz w:val="20"/>
                <w:szCs w:val="20"/>
              </w:rPr>
              <w:t>40.9-82.4</w:t>
            </w:r>
          </w:p>
        </w:tc>
        <w:tc>
          <w:tcPr>
            <w:tcW w:w="251" w:type="pct"/>
            <w:tcBorders>
              <w:top w:val="single" w:sz="4" w:space="0" w:color="auto"/>
              <w:left w:val="nil"/>
              <w:bottom w:val="single" w:sz="4" w:space="0" w:color="auto"/>
              <w:right w:val="nil"/>
            </w:tcBorders>
          </w:tcPr>
          <w:p w14:paraId="0C5AE043" w14:textId="77777777" w:rsidR="00BF67EF" w:rsidRPr="00D216AB" w:rsidRDefault="00BF67EF" w:rsidP="0061013B">
            <w:pPr>
              <w:spacing w:after="60"/>
              <w:jc w:val="center"/>
              <w:rPr>
                <w:sz w:val="20"/>
                <w:szCs w:val="20"/>
              </w:rPr>
            </w:pPr>
            <w:r w:rsidRPr="00D216AB">
              <w:rPr>
                <w:sz w:val="20"/>
                <w:szCs w:val="20"/>
              </w:rPr>
              <w:t>94.6</w:t>
            </w:r>
          </w:p>
        </w:tc>
        <w:tc>
          <w:tcPr>
            <w:tcW w:w="441" w:type="pct"/>
            <w:tcBorders>
              <w:top w:val="single" w:sz="4" w:space="0" w:color="auto"/>
              <w:left w:val="nil"/>
              <w:bottom w:val="single" w:sz="4" w:space="0" w:color="auto"/>
              <w:right w:val="nil"/>
            </w:tcBorders>
          </w:tcPr>
          <w:p w14:paraId="155A1EA5" w14:textId="77777777" w:rsidR="00BF67EF" w:rsidRPr="00D216AB" w:rsidRDefault="00BF67EF" w:rsidP="0061013B">
            <w:pPr>
              <w:spacing w:after="60"/>
              <w:jc w:val="center"/>
              <w:rPr>
                <w:sz w:val="20"/>
                <w:szCs w:val="20"/>
              </w:rPr>
            </w:pPr>
            <w:r w:rsidRPr="00D216AB">
              <w:rPr>
                <w:sz w:val="20"/>
                <w:szCs w:val="20"/>
              </w:rPr>
              <w:t>6</w:t>
            </w:r>
          </w:p>
        </w:tc>
        <w:tc>
          <w:tcPr>
            <w:tcW w:w="378" w:type="pct"/>
            <w:tcBorders>
              <w:top w:val="single" w:sz="4" w:space="0" w:color="auto"/>
              <w:left w:val="nil"/>
              <w:bottom w:val="single" w:sz="4" w:space="0" w:color="auto"/>
              <w:right w:val="nil"/>
            </w:tcBorders>
          </w:tcPr>
          <w:p w14:paraId="3D564B2D" w14:textId="77777777" w:rsidR="00BF67EF" w:rsidRPr="00D216AB" w:rsidRDefault="00BF67EF" w:rsidP="0061013B">
            <w:pPr>
              <w:spacing w:after="60"/>
              <w:jc w:val="center"/>
              <w:rPr>
                <w:sz w:val="20"/>
                <w:szCs w:val="20"/>
              </w:rPr>
            </w:pPr>
            <w:r w:rsidRPr="00D216AB">
              <w:rPr>
                <w:sz w:val="20"/>
                <w:szCs w:val="20"/>
              </w:rPr>
              <w:t>2266</w:t>
            </w:r>
          </w:p>
        </w:tc>
        <w:tc>
          <w:tcPr>
            <w:tcW w:w="442" w:type="pct"/>
            <w:tcBorders>
              <w:top w:val="single" w:sz="4" w:space="0" w:color="auto"/>
              <w:left w:val="nil"/>
              <w:bottom w:val="single" w:sz="4" w:space="0" w:color="auto"/>
              <w:right w:val="nil"/>
            </w:tcBorders>
          </w:tcPr>
          <w:p w14:paraId="328ECFC5" w14:textId="77777777" w:rsidR="00BF67EF" w:rsidRPr="00D216AB" w:rsidRDefault="00BF67EF" w:rsidP="0061013B">
            <w:pPr>
              <w:spacing w:after="60"/>
              <w:jc w:val="center"/>
              <w:rPr>
                <w:sz w:val="20"/>
                <w:szCs w:val="20"/>
              </w:rPr>
            </w:pPr>
            <w:r w:rsidRPr="00D216AB">
              <w:rPr>
                <w:sz w:val="20"/>
                <w:szCs w:val="20"/>
              </w:rPr>
              <w:t>69.6</w:t>
            </w:r>
          </w:p>
        </w:tc>
        <w:tc>
          <w:tcPr>
            <w:tcW w:w="410" w:type="pct"/>
            <w:tcBorders>
              <w:top w:val="single" w:sz="4" w:space="0" w:color="auto"/>
              <w:left w:val="nil"/>
              <w:bottom w:val="single" w:sz="4" w:space="0" w:color="auto"/>
              <w:right w:val="nil"/>
            </w:tcBorders>
          </w:tcPr>
          <w:p w14:paraId="2BC58AEA" w14:textId="77777777" w:rsidR="00BF67EF" w:rsidRPr="00D216AB" w:rsidRDefault="00BF67EF" w:rsidP="0061013B">
            <w:pPr>
              <w:spacing w:after="60"/>
              <w:jc w:val="center"/>
              <w:rPr>
                <w:sz w:val="20"/>
                <w:szCs w:val="20"/>
              </w:rPr>
            </w:pPr>
            <w:r w:rsidRPr="00D216AB">
              <w:rPr>
                <w:sz w:val="20"/>
                <w:szCs w:val="20"/>
              </w:rPr>
              <w:t>59.6-78.7</w:t>
            </w:r>
          </w:p>
        </w:tc>
        <w:tc>
          <w:tcPr>
            <w:tcW w:w="256" w:type="pct"/>
            <w:tcBorders>
              <w:top w:val="single" w:sz="4" w:space="0" w:color="auto"/>
              <w:left w:val="nil"/>
              <w:bottom w:val="single" w:sz="4" w:space="0" w:color="auto"/>
              <w:right w:val="nil"/>
            </w:tcBorders>
          </w:tcPr>
          <w:p w14:paraId="546EFE62" w14:textId="77777777" w:rsidR="00BF67EF" w:rsidRPr="00D216AB" w:rsidRDefault="00BF67EF" w:rsidP="0061013B">
            <w:pPr>
              <w:spacing w:after="60"/>
              <w:jc w:val="center"/>
              <w:rPr>
                <w:sz w:val="20"/>
                <w:szCs w:val="20"/>
              </w:rPr>
            </w:pPr>
            <w:r w:rsidRPr="00D216AB">
              <w:rPr>
                <w:sz w:val="20"/>
                <w:szCs w:val="20"/>
              </w:rPr>
              <w:t>95.5</w:t>
            </w:r>
          </w:p>
        </w:tc>
      </w:tr>
      <w:tr w:rsidR="00BF67EF" w:rsidRPr="00D216AB" w14:paraId="02CC287E" w14:textId="77777777" w:rsidTr="0061013B">
        <w:tc>
          <w:tcPr>
            <w:tcW w:w="1145" w:type="pct"/>
            <w:tcBorders>
              <w:top w:val="single" w:sz="4" w:space="0" w:color="auto"/>
              <w:left w:val="nil"/>
              <w:bottom w:val="single" w:sz="4" w:space="0" w:color="auto"/>
              <w:right w:val="nil"/>
            </w:tcBorders>
          </w:tcPr>
          <w:p w14:paraId="4D53035B" w14:textId="77777777" w:rsidR="00BF67EF" w:rsidRPr="00D216AB" w:rsidRDefault="00BF67EF" w:rsidP="00BF67EF">
            <w:pPr>
              <w:spacing w:after="60"/>
              <w:rPr>
                <w:sz w:val="20"/>
                <w:szCs w:val="20"/>
              </w:rPr>
            </w:pPr>
            <w:r w:rsidRPr="00D216AB">
              <w:rPr>
                <w:sz w:val="20"/>
                <w:szCs w:val="20"/>
              </w:rPr>
              <w:t>Referred for further care (out of all deaths)</w:t>
            </w:r>
          </w:p>
        </w:tc>
        <w:tc>
          <w:tcPr>
            <w:tcW w:w="442" w:type="pct"/>
            <w:tcBorders>
              <w:top w:val="single" w:sz="4" w:space="0" w:color="auto"/>
              <w:left w:val="nil"/>
              <w:bottom w:val="single" w:sz="4" w:space="0" w:color="auto"/>
              <w:right w:val="nil"/>
            </w:tcBorders>
          </w:tcPr>
          <w:p w14:paraId="04B48CB5"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1D86BCA5" w14:textId="77777777" w:rsidR="00BF67EF" w:rsidRPr="00D216AB" w:rsidRDefault="00BF67EF" w:rsidP="0061013B">
            <w:pPr>
              <w:spacing w:after="60"/>
              <w:jc w:val="center"/>
              <w:rPr>
                <w:sz w:val="20"/>
                <w:szCs w:val="20"/>
              </w:rPr>
            </w:pPr>
            <w:r w:rsidRPr="00D216AB">
              <w:rPr>
                <w:sz w:val="20"/>
                <w:szCs w:val="20"/>
              </w:rPr>
              <w:t>1097</w:t>
            </w:r>
          </w:p>
        </w:tc>
        <w:tc>
          <w:tcPr>
            <w:tcW w:w="446" w:type="pct"/>
            <w:tcBorders>
              <w:top w:val="single" w:sz="4" w:space="0" w:color="auto"/>
              <w:left w:val="nil"/>
              <w:bottom w:val="single" w:sz="4" w:space="0" w:color="auto"/>
              <w:right w:val="nil"/>
            </w:tcBorders>
          </w:tcPr>
          <w:p w14:paraId="54FFC4F5" w14:textId="77777777" w:rsidR="00BF67EF" w:rsidRPr="00D216AB" w:rsidRDefault="00BF67EF" w:rsidP="0061013B">
            <w:pPr>
              <w:spacing w:after="60"/>
              <w:jc w:val="center"/>
              <w:rPr>
                <w:sz w:val="20"/>
                <w:szCs w:val="20"/>
              </w:rPr>
            </w:pPr>
            <w:r w:rsidRPr="00D216AB">
              <w:rPr>
                <w:sz w:val="20"/>
                <w:szCs w:val="20"/>
              </w:rPr>
              <w:t>8.7</w:t>
            </w:r>
          </w:p>
        </w:tc>
        <w:tc>
          <w:tcPr>
            <w:tcW w:w="410" w:type="pct"/>
            <w:tcBorders>
              <w:top w:val="single" w:sz="4" w:space="0" w:color="auto"/>
              <w:left w:val="nil"/>
              <w:bottom w:val="single" w:sz="4" w:space="0" w:color="auto"/>
              <w:right w:val="nil"/>
            </w:tcBorders>
          </w:tcPr>
          <w:p w14:paraId="7333BBA0" w14:textId="77777777" w:rsidR="00BF67EF" w:rsidRPr="00D216AB" w:rsidRDefault="00BF67EF" w:rsidP="0061013B">
            <w:pPr>
              <w:spacing w:after="60"/>
              <w:jc w:val="center"/>
              <w:rPr>
                <w:sz w:val="20"/>
                <w:szCs w:val="20"/>
              </w:rPr>
            </w:pPr>
            <w:r w:rsidRPr="00D216AB">
              <w:rPr>
                <w:sz w:val="20"/>
                <w:szCs w:val="20"/>
              </w:rPr>
              <w:t>2.4-18.4</w:t>
            </w:r>
          </w:p>
        </w:tc>
        <w:tc>
          <w:tcPr>
            <w:tcW w:w="251" w:type="pct"/>
            <w:tcBorders>
              <w:top w:val="single" w:sz="4" w:space="0" w:color="auto"/>
              <w:left w:val="nil"/>
              <w:bottom w:val="single" w:sz="4" w:space="0" w:color="auto"/>
              <w:right w:val="nil"/>
            </w:tcBorders>
          </w:tcPr>
          <w:p w14:paraId="22B1D40D" w14:textId="77777777" w:rsidR="00BF67EF" w:rsidRPr="00D216AB" w:rsidRDefault="00BF67EF" w:rsidP="0061013B">
            <w:pPr>
              <w:spacing w:after="60"/>
              <w:jc w:val="center"/>
              <w:rPr>
                <w:sz w:val="20"/>
                <w:szCs w:val="20"/>
              </w:rPr>
            </w:pPr>
            <w:r w:rsidRPr="00D216AB">
              <w:rPr>
                <w:sz w:val="20"/>
                <w:szCs w:val="20"/>
              </w:rPr>
              <w:t>95.4</w:t>
            </w:r>
          </w:p>
        </w:tc>
        <w:tc>
          <w:tcPr>
            <w:tcW w:w="441" w:type="pct"/>
            <w:tcBorders>
              <w:top w:val="single" w:sz="4" w:space="0" w:color="auto"/>
              <w:left w:val="nil"/>
              <w:bottom w:val="single" w:sz="4" w:space="0" w:color="auto"/>
              <w:right w:val="nil"/>
            </w:tcBorders>
          </w:tcPr>
          <w:p w14:paraId="1B20B1FE" w14:textId="77777777" w:rsidR="00BF67EF" w:rsidRPr="00D216AB" w:rsidRDefault="00BF67EF" w:rsidP="0061013B">
            <w:pPr>
              <w:spacing w:after="60"/>
              <w:jc w:val="center"/>
              <w:rPr>
                <w:sz w:val="20"/>
                <w:szCs w:val="20"/>
              </w:rPr>
            </w:pPr>
            <w:r w:rsidRPr="00D216AB">
              <w:rPr>
                <w:sz w:val="20"/>
                <w:szCs w:val="20"/>
              </w:rPr>
              <w:t>9</w:t>
            </w:r>
          </w:p>
        </w:tc>
        <w:tc>
          <w:tcPr>
            <w:tcW w:w="378" w:type="pct"/>
            <w:tcBorders>
              <w:top w:val="single" w:sz="4" w:space="0" w:color="auto"/>
              <w:left w:val="nil"/>
              <w:bottom w:val="single" w:sz="4" w:space="0" w:color="auto"/>
              <w:right w:val="nil"/>
            </w:tcBorders>
          </w:tcPr>
          <w:p w14:paraId="50592AC0" w14:textId="77777777" w:rsidR="00BF67EF" w:rsidRPr="00D216AB" w:rsidRDefault="00BF67EF" w:rsidP="0061013B">
            <w:pPr>
              <w:spacing w:after="60"/>
              <w:jc w:val="center"/>
              <w:rPr>
                <w:sz w:val="20"/>
                <w:szCs w:val="20"/>
              </w:rPr>
            </w:pPr>
            <w:r w:rsidRPr="00D216AB">
              <w:rPr>
                <w:sz w:val="20"/>
                <w:szCs w:val="20"/>
              </w:rPr>
              <w:t>4681</w:t>
            </w:r>
          </w:p>
        </w:tc>
        <w:tc>
          <w:tcPr>
            <w:tcW w:w="442" w:type="pct"/>
            <w:tcBorders>
              <w:top w:val="single" w:sz="4" w:space="0" w:color="auto"/>
              <w:left w:val="nil"/>
              <w:bottom w:val="single" w:sz="4" w:space="0" w:color="auto"/>
              <w:right w:val="nil"/>
            </w:tcBorders>
          </w:tcPr>
          <w:p w14:paraId="07C9DA8D" w14:textId="77777777" w:rsidR="00BF67EF" w:rsidRPr="00D216AB" w:rsidRDefault="00BF67EF" w:rsidP="0061013B">
            <w:pPr>
              <w:spacing w:after="60"/>
              <w:jc w:val="center"/>
              <w:rPr>
                <w:sz w:val="20"/>
                <w:szCs w:val="20"/>
              </w:rPr>
            </w:pPr>
            <w:r w:rsidRPr="00D216AB">
              <w:rPr>
                <w:sz w:val="20"/>
                <w:szCs w:val="20"/>
              </w:rPr>
              <w:t>17.9</w:t>
            </w:r>
          </w:p>
        </w:tc>
        <w:tc>
          <w:tcPr>
            <w:tcW w:w="410" w:type="pct"/>
            <w:tcBorders>
              <w:top w:val="single" w:sz="4" w:space="0" w:color="auto"/>
              <w:left w:val="nil"/>
              <w:bottom w:val="single" w:sz="4" w:space="0" w:color="auto"/>
              <w:right w:val="nil"/>
            </w:tcBorders>
          </w:tcPr>
          <w:p w14:paraId="65D1FBAF" w14:textId="77777777" w:rsidR="00BF67EF" w:rsidRPr="00D216AB" w:rsidRDefault="00BF67EF" w:rsidP="0061013B">
            <w:pPr>
              <w:spacing w:after="60"/>
              <w:jc w:val="center"/>
              <w:rPr>
                <w:sz w:val="20"/>
                <w:szCs w:val="20"/>
              </w:rPr>
            </w:pPr>
            <w:r w:rsidRPr="00D216AB">
              <w:rPr>
                <w:sz w:val="20"/>
                <w:szCs w:val="20"/>
              </w:rPr>
              <w:t>9.5-28.2</w:t>
            </w:r>
          </w:p>
        </w:tc>
        <w:tc>
          <w:tcPr>
            <w:tcW w:w="256" w:type="pct"/>
            <w:tcBorders>
              <w:top w:val="single" w:sz="4" w:space="0" w:color="auto"/>
              <w:left w:val="nil"/>
              <w:bottom w:val="single" w:sz="4" w:space="0" w:color="auto"/>
              <w:right w:val="nil"/>
            </w:tcBorders>
          </w:tcPr>
          <w:p w14:paraId="43B145B6" w14:textId="77777777" w:rsidR="00BF67EF" w:rsidRPr="00D216AB" w:rsidRDefault="00BF67EF" w:rsidP="0061013B">
            <w:pPr>
              <w:spacing w:after="60"/>
              <w:jc w:val="center"/>
              <w:rPr>
                <w:sz w:val="20"/>
                <w:szCs w:val="20"/>
              </w:rPr>
            </w:pPr>
            <w:r w:rsidRPr="00D216AB">
              <w:rPr>
                <w:sz w:val="20"/>
                <w:szCs w:val="20"/>
              </w:rPr>
              <w:t>98.3</w:t>
            </w:r>
          </w:p>
        </w:tc>
      </w:tr>
      <w:tr w:rsidR="00BF67EF" w:rsidRPr="00D216AB" w14:paraId="2681C657" w14:textId="77777777" w:rsidTr="0061013B">
        <w:tc>
          <w:tcPr>
            <w:tcW w:w="1145" w:type="pct"/>
            <w:tcBorders>
              <w:top w:val="single" w:sz="4" w:space="0" w:color="auto"/>
              <w:left w:val="nil"/>
              <w:bottom w:val="single" w:sz="4" w:space="0" w:color="auto"/>
              <w:right w:val="nil"/>
            </w:tcBorders>
          </w:tcPr>
          <w:p w14:paraId="6D3A274A" w14:textId="77777777" w:rsidR="00BF67EF" w:rsidRPr="00D216AB" w:rsidRDefault="00BF67EF" w:rsidP="00BF67EF">
            <w:pPr>
              <w:spacing w:after="60"/>
              <w:rPr>
                <w:sz w:val="20"/>
                <w:szCs w:val="20"/>
              </w:rPr>
            </w:pPr>
            <w:r w:rsidRPr="00D216AB">
              <w:rPr>
                <w:sz w:val="20"/>
                <w:szCs w:val="20"/>
              </w:rPr>
              <w:t>Referred for further care (of those who left the facility alive)</w:t>
            </w:r>
          </w:p>
        </w:tc>
        <w:tc>
          <w:tcPr>
            <w:tcW w:w="442" w:type="pct"/>
            <w:tcBorders>
              <w:top w:val="single" w:sz="4" w:space="0" w:color="auto"/>
              <w:left w:val="nil"/>
              <w:bottom w:val="single" w:sz="4" w:space="0" w:color="auto"/>
              <w:right w:val="nil"/>
            </w:tcBorders>
          </w:tcPr>
          <w:p w14:paraId="6B022098" w14:textId="77777777" w:rsidR="00BF67EF" w:rsidRPr="00D216AB" w:rsidRDefault="00BF67EF" w:rsidP="00BF67EF">
            <w:pPr>
              <w:spacing w:after="60"/>
              <w:jc w:val="right"/>
              <w:rPr>
                <w:sz w:val="20"/>
                <w:szCs w:val="20"/>
              </w:rPr>
            </w:pPr>
            <w:r w:rsidRPr="00D216AB">
              <w:rPr>
                <w:sz w:val="20"/>
                <w:szCs w:val="20"/>
              </w:rPr>
              <w:t>4</w:t>
            </w:r>
          </w:p>
        </w:tc>
        <w:tc>
          <w:tcPr>
            <w:tcW w:w="379" w:type="pct"/>
            <w:tcBorders>
              <w:top w:val="single" w:sz="4" w:space="0" w:color="auto"/>
              <w:left w:val="nil"/>
              <w:bottom w:val="single" w:sz="4" w:space="0" w:color="auto"/>
              <w:right w:val="nil"/>
            </w:tcBorders>
          </w:tcPr>
          <w:p w14:paraId="4BA9488D" w14:textId="77777777" w:rsidR="00BF67EF" w:rsidRPr="00D216AB" w:rsidRDefault="00BF67EF" w:rsidP="0061013B">
            <w:pPr>
              <w:spacing w:after="60"/>
              <w:jc w:val="center"/>
              <w:rPr>
                <w:sz w:val="20"/>
                <w:szCs w:val="20"/>
              </w:rPr>
            </w:pPr>
            <w:r w:rsidRPr="00D216AB">
              <w:rPr>
                <w:sz w:val="20"/>
                <w:szCs w:val="20"/>
              </w:rPr>
              <w:t>29</w:t>
            </w:r>
          </w:p>
        </w:tc>
        <w:tc>
          <w:tcPr>
            <w:tcW w:w="446" w:type="pct"/>
            <w:tcBorders>
              <w:top w:val="single" w:sz="4" w:space="0" w:color="auto"/>
              <w:left w:val="nil"/>
              <w:bottom w:val="single" w:sz="4" w:space="0" w:color="auto"/>
              <w:right w:val="nil"/>
            </w:tcBorders>
          </w:tcPr>
          <w:p w14:paraId="38512144" w14:textId="77777777" w:rsidR="00BF67EF" w:rsidRPr="00D216AB" w:rsidRDefault="00BF67EF" w:rsidP="0061013B">
            <w:pPr>
              <w:spacing w:after="60"/>
              <w:jc w:val="center"/>
              <w:rPr>
                <w:sz w:val="20"/>
                <w:szCs w:val="20"/>
              </w:rPr>
            </w:pPr>
            <w:r w:rsidRPr="00D216AB">
              <w:rPr>
                <w:sz w:val="20"/>
                <w:szCs w:val="20"/>
              </w:rPr>
              <w:t>30.7</w:t>
            </w:r>
          </w:p>
        </w:tc>
        <w:tc>
          <w:tcPr>
            <w:tcW w:w="410" w:type="pct"/>
            <w:tcBorders>
              <w:top w:val="single" w:sz="4" w:space="0" w:color="auto"/>
              <w:left w:val="nil"/>
              <w:bottom w:val="single" w:sz="4" w:space="0" w:color="auto"/>
              <w:right w:val="nil"/>
            </w:tcBorders>
          </w:tcPr>
          <w:p w14:paraId="1B75F197" w14:textId="77777777" w:rsidR="00BF67EF" w:rsidRPr="00D216AB" w:rsidRDefault="00BF67EF" w:rsidP="0061013B">
            <w:pPr>
              <w:spacing w:after="60"/>
              <w:jc w:val="center"/>
              <w:rPr>
                <w:sz w:val="20"/>
                <w:szCs w:val="20"/>
              </w:rPr>
            </w:pPr>
            <w:r w:rsidRPr="00D216AB">
              <w:rPr>
                <w:sz w:val="20"/>
                <w:szCs w:val="20"/>
              </w:rPr>
              <w:t>7.1-61.3</w:t>
            </w:r>
          </w:p>
        </w:tc>
        <w:tc>
          <w:tcPr>
            <w:tcW w:w="251" w:type="pct"/>
            <w:tcBorders>
              <w:top w:val="single" w:sz="4" w:space="0" w:color="auto"/>
              <w:left w:val="nil"/>
              <w:bottom w:val="single" w:sz="4" w:space="0" w:color="auto"/>
              <w:right w:val="nil"/>
            </w:tcBorders>
          </w:tcPr>
          <w:p w14:paraId="16C1F710" w14:textId="77777777" w:rsidR="00BF67EF" w:rsidRPr="00D216AB" w:rsidRDefault="00BF67EF" w:rsidP="0061013B">
            <w:pPr>
              <w:spacing w:after="60"/>
              <w:jc w:val="center"/>
              <w:rPr>
                <w:sz w:val="20"/>
                <w:szCs w:val="20"/>
              </w:rPr>
            </w:pPr>
            <w:r w:rsidRPr="00D216AB">
              <w:rPr>
                <w:sz w:val="20"/>
                <w:szCs w:val="20"/>
              </w:rPr>
              <w:t>94.7</w:t>
            </w:r>
          </w:p>
        </w:tc>
        <w:tc>
          <w:tcPr>
            <w:tcW w:w="441" w:type="pct"/>
            <w:tcBorders>
              <w:top w:val="single" w:sz="4" w:space="0" w:color="auto"/>
              <w:left w:val="nil"/>
              <w:bottom w:val="single" w:sz="4" w:space="0" w:color="auto"/>
              <w:right w:val="nil"/>
            </w:tcBorders>
          </w:tcPr>
          <w:p w14:paraId="2A2FE60C" w14:textId="77777777" w:rsidR="00BF67EF" w:rsidRPr="00D216AB" w:rsidRDefault="00BF67EF" w:rsidP="0061013B">
            <w:pPr>
              <w:spacing w:after="60"/>
              <w:jc w:val="center"/>
              <w:rPr>
                <w:sz w:val="20"/>
                <w:szCs w:val="20"/>
              </w:rPr>
            </w:pPr>
            <w:r w:rsidRPr="00D216AB">
              <w:rPr>
                <w:sz w:val="20"/>
                <w:szCs w:val="20"/>
              </w:rPr>
              <w:t>5</w:t>
            </w:r>
          </w:p>
        </w:tc>
        <w:tc>
          <w:tcPr>
            <w:tcW w:w="378" w:type="pct"/>
            <w:tcBorders>
              <w:top w:val="single" w:sz="4" w:space="0" w:color="auto"/>
              <w:left w:val="nil"/>
              <w:bottom w:val="single" w:sz="4" w:space="0" w:color="auto"/>
              <w:right w:val="nil"/>
            </w:tcBorders>
          </w:tcPr>
          <w:p w14:paraId="0A992DE8" w14:textId="77777777" w:rsidR="00BF67EF" w:rsidRPr="00D216AB" w:rsidRDefault="00BF67EF" w:rsidP="0061013B">
            <w:pPr>
              <w:spacing w:after="60"/>
              <w:jc w:val="center"/>
              <w:rPr>
                <w:sz w:val="20"/>
                <w:szCs w:val="20"/>
              </w:rPr>
            </w:pPr>
            <w:r w:rsidRPr="00D216AB">
              <w:rPr>
                <w:sz w:val="20"/>
                <w:szCs w:val="20"/>
              </w:rPr>
              <w:t>136</w:t>
            </w:r>
          </w:p>
        </w:tc>
        <w:tc>
          <w:tcPr>
            <w:tcW w:w="442" w:type="pct"/>
            <w:tcBorders>
              <w:top w:val="single" w:sz="4" w:space="0" w:color="auto"/>
              <w:left w:val="nil"/>
              <w:bottom w:val="single" w:sz="4" w:space="0" w:color="auto"/>
              <w:right w:val="nil"/>
            </w:tcBorders>
          </w:tcPr>
          <w:p w14:paraId="3182E510" w14:textId="77777777" w:rsidR="00BF67EF" w:rsidRPr="00D216AB" w:rsidRDefault="00BF67EF" w:rsidP="0061013B">
            <w:pPr>
              <w:spacing w:after="60"/>
              <w:jc w:val="center"/>
              <w:rPr>
                <w:sz w:val="20"/>
                <w:szCs w:val="20"/>
              </w:rPr>
            </w:pPr>
            <w:r w:rsidRPr="00D216AB">
              <w:rPr>
                <w:sz w:val="20"/>
                <w:szCs w:val="20"/>
              </w:rPr>
              <w:t>34.9</w:t>
            </w:r>
          </w:p>
        </w:tc>
        <w:tc>
          <w:tcPr>
            <w:tcW w:w="410" w:type="pct"/>
            <w:tcBorders>
              <w:top w:val="single" w:sz="4" w:space="0" w:color="auto"/>
              <w:left w:val="nil"/>
              <w:bottom w:val="single" w:sz="4" w:space="0" w:color="auto"/>
              <w:right w:val="nil"/>
            </w:tcBorders>
          </w:tcPr>
          <w:p w14:paraId="059A711B" w14:textId="77777777" w:rsidR="00BF67EF" w:rsidRPr="00D216AB" w:rsidRDefault="00BF67EF" w:rsidP="0061013B">
            <w:pPr>
              <w:spacing w:after="60"/>
              <w:jc w:val="center"/>
              <w:rPr>
                <w:sz w:val="20"/>
                <w:szCs w:val="20"/>
              </w:rPr>
            </w:pPr>
            <w:r w:rsidRPr="00D216AB">
              <w:rPr>
                <w:sz w:val="20"/>
                <w:szCs w:val="20"/>
              </w:rPr>
              <w:t>15.1-57.9</w:t>
            </w:r>
          </w:p>
        </w:tc>
        <w:tc>
          <w:tcPr>
            <w:tcW w:w="256" w:type="pct"/>
            <w:tcBorders>
              <w:top w:val="single" w:sz="4" w:space="0" w:color="auto"/>
              <w:left w:val="nil"/>
              <w:bottom w:val="single" w:sz="4" w:space="0" w:color="auto"/>
              <w:right w:val="nil"/>
            </w:tcBorders>
          </w:tcPr>
          <w:p w14:paraId="10F1C791" w14:textId="77777777" w:rsidR="00BF67EF" w:rsidRPr="00D216AB" w:rsidRDefault="00BF67EF" w:rsidP="0061013B">
            <w:pPr>
              <w:spacing w:after="60"/>
              <w:jc w:val="center"/>
              <w:rPr>
                <w:sz w:val="20"/>
                <w:szCs w:val="20"/>
              </w:rPr>
            </w:pPr>
            <w:r w:rsidRPr="00D216AB">
              <w:rPr>
                <w:sz w:val="20"/>
                <w:szCs w:val="20"/>
              </w:rPr>
              <w:t>98.7</w:t>
            </w:r>
          </w:p>
        </w:tc>
      </w:tr>
      <w:tr w:rsidR="00BF67EF" w:rsidRPr="00D216AB" w14:paraId="4D1E3443" w14:textId="77777777" w:rsidTr="0061013B">
        <w:tc>
          <w:tcPr>
            <w:tcW w:w="1145" w:type="pct"/>
            <w:tcBorders>
              <w:top w:val="single" w:sz="4" w:space="0" w:color="auto"/>
              <w:left w:val="nil"/>
              <w:bottom w:val="single" w:sz="4" w:space="0" w:color="auto"/>
              <w:right w:val="nil"/>
            </w:tcBorders>
          </w:tcPr>
          <w:p w14:paraId="5BA2C814" w14:textId="77777777" w:rsidR="00BF67EF" w:rsidRPr="00D216AB" w:rsidRDefault="00BF67EF" w:rsidP="00BF67EF">
            <w:pPr>
              <w:spacing w:after="60"/>
              <w:rPr>
                <w:sz w:val="20"/>
                <w:szCs w:val="20"/>
              </w:rPr>
            </w:pPr>
            <w:r w:rsidRPr="00D216AB">
              <w:rPr>
                <w:sz w:val="20"/>
                <w:szCs w:val="20"/>
              </w:rPr>
              <w:t>Accepted referral (of all deaths)</w:t>
            </w:r>
          </w:p>
        </w:tc>
        <w:tc>
          <w:tcPr>
            <w:tcW w:w="442" w:type="pct"/>
            <w:tcBorders>
              <w:top w:val="single" w:sz="4" w:space="0" w:color="auto"/>
              <w:left w:val="nil"/>
              <w:bottom w:val="single" w:sz="4" w:space="0" w:color="auto"/>
              <w:right w:val="nil"/>
            </w:tcBorders>
          </w:tcPr>
          <w:p w14:paraId="0EE28441"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bottom w:val="single" w:sz="4" w:space="0" w:color="auto"/>
              <w:right w:val="nil"/>
            </w:tcBorders>
          </w:tcPr>
          <w:p w14:paraId="22F8750D" w14:textId="77777777" w:rsidR="00BF67EF" w:rsidRPr="00D216AB" w:rsidRDefault="00BF67EF" w:rsidP="00BF67EF">
            <w:pPr>
              <w:spacing w:after="60"/>
              <w:jc w:val="right"/>
              <w:rPr>
                <w:sz w:val="20"/>
                <w:szCs w:val="20"/>
              </w:rPr>
            </w:pPr>
            <w:r w:rsidRPr="00D216AB">
              <w:rPr>
                <w:sz w:val="20"/>
                <w:szCs w:val="20"/>
              </w:rPr>
              <w:t>1097</w:t>
            </w:r>
          </w:p>
        </w:tc>
        <w:tc>
          <w:tcPr>
            <w:tcW w:w="446" w:type="pct"/>
            <w:tcBorders>
              <w:top w:val="single" w:sz="4" w:space="0" w:color="auto"/>
              <w:left w:val="nil"/>
              <w:bottom w:val="single" w:sz="4" w:space="0" w:color="auto"/>
              <w:right w:val="nil"/>
            </w:tcBorders>
          </w:tcPr>
          <w:p w14:paraId="30AF397B" w14:textId="77777777" w:rsidR="00BF67EF" w:rsidRPr="00D216AB" w:rsidRDefault="00BF67EF" w:rsidP="00BF67EF">
            <w:pPr>
              <w:spacing w:after="60"/>
              <w:jc w:val="right"/>
              <w:rPr>
                <w:sz w:val="20"/>
                <w:szCs w:val="20"/>
              </w:rPr>
            </w:pPr>
            <w:r w:rsidRPr="00D216AB">
              <w:rPr>
                <w:sz w:val="20"/>
                <w:szCs w:val="20"/>
              </w:rPr>
              <w:t>5.7</w:t>
            </w:r>
          </w:p>
        </w:tc>
        <w:tc>
          <w:tcPr>
            <w:tcW w:w="410" w:type="pct"/>
            <w:tcBorders>
              <w:top w:val="single" w:sz="4" w:space="0" w:color="auto"/>
              <w:left w:val="nil"/>
              <w:bottom w:val="single" w:sz="4" w:space="0" w:color="auto"/>
              <w:right w:val="nil"/>
            </w:tcBorders>
          </w:tcPr>
          <w:p w14:paraId="4D3D01A5" w14:textId="77777777" w:rsidR="00BF67EF" w:rsidRPr="00D216AB" w:rsidRDefault="00BF67EF" w:rsidP="00BF67EF">
            <w:pPr>
              <w:spacing w:after="60"/>
              <w:jc w:val="right"/>
              <w:rPr>
                <w:sz w:val="20"/>
                <w:szCs w:val="20"/>
              </w:rPr>
            </w:pPr>
            <w:r w:rsidRPr="00D216AB">
              <w:rPr>
                <w:sz w:val="20"/>
                <w:szCs w:val="20"/>
              </w:rPr>
              <w:t>0.9-13.9</w:t>
            </w:r>
          </w:p>
        </w:tc>
        <w:tc>
          <w:tcPr>
            <w:tcW w:w="251" w:type="pct"/>
            <w:tcBorders>
              <w:top w:val="single" w:sz="4" w:space="0" w:color="auto"/>
              <w:left w:val="nil"/>
              <w:bottom w:val="single" w:sz="4" w:space="0" w:color="auto"/>
              <w:right w:val="nil"/>
            </w:tcBorders>
          </w:tcPr>
          <w:p w14:paraId="3874E83D" w14:textId="77777777" w:rsidR="00BF67EF" w:rsidRPr="00D216AB" w:rsidRDefault="00BF67EF" w:rsidP="00BF67EF">
            <w:pPr>
              <w:spacing w:after="60"/>
              <w:jc w:val="right"/>
              <w:rPr>
                <w:sz w:val="20"/>
                <w:szCs w:val="20"/>
              </w:rPr>
            </w:pPr>
            <w:r w:rsidRPr="00D216AB">
              <w:rPr>
                <w:sz w:val="20"/>
                <w:szCs w:val="20"/>
              </w:rPr>
              <w:t>95.3</w:t>
            </w:r>
          </w:p>
        </w:tc>
        <w:tc>
          <w:tcPr>
            <w:tcW w:w="441" w:type="pct"/>
            <w:tcBorders>
              <w:top w:val="single" w:sz="4" w:space="0" w:color="auto"/>
              <w:left w:val="nil"/>
              <w:bottom w:val="single" w:sz="4" w:space="0" w:color="auto"/>
              <w:right w:val="nil"/>
            </w:tcBorders>
          </w:tcPr>
          <w:p w14:paraId="77FE4911" w14:textId="77777777" w:rsidR="00BF67EF" w:rsidRPr="00D216AB" w:rsidRDefault="00BF67EF" w:rsidP="00BF67EF">
            <w:pPr>
              <w:spacing w:after="60"/>
              <w:jc w:val="right"/>
              <w:rPr>
                <w:sz w:val="20"/>
                <w:szCs w:val="20"/>
              </w:rPr>
            </w:pPr>
            <w:r w:rsidRPr="00D216AB">
              <w:rPr>
                <w:sz w:val="20"/>
                <w:szCs w:val="20"/>
              </w:rPr>
              <w:t>8</w:t>
            </w:r>
          </w:p>
        </w:tc>
        <w:tc>
          <w:tcPr>
            <w:tcW w:w="378" w:type="pct"/>
            <w:tcBorders>
              <w:top w:val="single" w:sz="4" w:space="0" w:color="auto"/>
              <w:left w:val="nil"/>
              <w:bottom w:val="single" w:sz="4" w:space="0" w:color="auto"/>
              <w:right w:val="nil"/>
            </w:tcBorders>
          </w:tcPr>
          <w:p w14:paraId="71461A5E" w14:textId="77777777" w:rsidR="00BF67EF" w:rsidRPr="00D216AB" w:rsidRDefault="00BF67EF" w:rsidP="00BF67EF">
            <w:pPr>
              <w:spacing w:after="60"/>
              <w:jc w:val="right"/>
              <w:rPr>
                <w:sz w:val="20"/>
                <w:szCs w:val="20"/>
              </w:rPr>
            </w:pPr>
            <w:r w:rsidRPr="00D216AB">
              <w:rPr>
                <w:sz w:val="20"/>
                <w:szCs w:val="20"/>
              </w:rPr>
              <w:t>4584</w:t>
            </w:r>
          </w:p>
        </w:tc>
        <w:tc>
          <w:tcPr>
            <w:tcW w:w="442" w:type="pct"/>
            <w:tcBorders>
              <w:top w:val="single" w:sz="4" w:space="0" w:color="auto"/>
              <w:left w:val="nil"/>
              <w:bottom w:val="single" w:sz="4" w:space="0" w:color="auto"/>
              <w:right w:val="nil"/>
            </w:tcBorders>
          </w:tcPr>
          <w:p w14:paraId="296E7878" w14:textId="77777777" w:rsidR="00BF67EF" w:rsidRPr="00D216AB" w:rsidRDefault="00BF67EF" w:rsidP="00BF67EF">
            <w:pPr>
              <w:spacing w:after="60"/>
              <w:jc w:val="right"/>
              <w:rPr>
                <w:sz w:val="20"/>
                <w:szCs w:val="20"/>
              </w:rPr>
            </w:pPr>
            <w:r w:rsidRPr="00D216AB">
              <w:rPr>
                <w:sz w:val="20"/>
                <w:szCs w:val="20"/>
              </w:rPr>
              <w:t>11.9</w:t>
            </w:r>
          </w:p>
        </w:tc>
        <w:tc>
          <w:tcPr>
            <w:tcW w:w="410" w:type="pct"/>
            <w:tcBorders>
              <w:top w:val="single" w:sz="4" w:space="0" w:color="auto"/>
              <w:left w:val="nil"/>
              <w:bottom w:val="single" w:sz="4" w:space="0" w:color="auto"/>
              <w:right w:val="nil"/>
            </w:tcBorders>
          </w:tcPr>
          <w:p w14:paraId="0E1051DD" w14:textId="77777777" w:rsidR="00BF67EF" w:rsidRPr="00D216AB" w:rsidRDefault="00BF67EF" w:rsidP="00BF67EF">
            <w:pPr>
              <w:spacing w:after="60"/>
              <w:jc w:val="right"/>
              <w:rPr>
                <w:sz w:val="20"/>
                <w:szCs w:val="20"/>
              </w:rPr>
            </w:pPr>
            <w:r w:rsidRPr="00D216AB">
              <w:rPr>
                <w:sz w:val="20"/>
                <w:szCs w:val="20"/>
              </w:rPr>
              <w:t>6.7-18.3</w:t>
            </w:r>
          </w:p>
        </w:tc>
        <w:tc>
          <w:tcPr>
            <w:tcW w:w="256" w:type="pct"/>
            <w:tcBorders>
              <w:top w:val="single" w:sz="4" w:space="0" w:color="auto"/>
              <w:left w:val="nil"/>
              <w:bottom w:val="single" w:sz="4" w:space="0" w:color="auto"/>
              <w:right w:val="nil"/>
            </w:tcBorders>
          </w:tcPr>
          <w:p w14:paraId="23213C97" w14:textId="77777777" w:rsidR="00BF67EF" w:rsidRPr="00D216AB" w:rsidRDefault="00BF67EF" w:rsidP="00BF67EF">
            <w:pPr>
              <w:spacing w:after="60"/>
              <w:jc w:val="right"/>
              <w:rPr>
                <w:sz w:val="20"/>
                <w:szCs w:val="20"/>
              </w:rPr>
            </w:pPr>
            <w:r w:rsidRPr="00D216AB">
              <w:rPr>
                <w:sz w:val="20"/>
                <w:szCs w:val="20"/>
              </w:rPr>
              <w:t>96.6</w:t>
            </w:r>
          </w:p>
        </w:tc>
      </w:tr>
      <w:tr w:rsidR="00BF67EF" w:rsidRPr="00D216AB" w14:paraId="75F8B1D9" w14:textId="77777777" w:rsidTr="0061013B">
        <w:tc>
          <w:tcPr>
            <w:tcW w:w="1145" w:type="pct"/>
            <w:tcBorders>
              <w:top w:val="single" w:sz="4" w:space="0" w:color="auto"/>
              <w:left w:val="nil"/>
              <w:right w:val="nil"/>
            </w:tcBorders>
          </w:tcPr>
          <w:p w14:paraId="1AC7CC27" w14:textId="77777777" w:rsidR="00BF67EF" w:rsidRPr="00D216AB" w:rsidRDefault="00BF67EF" w:rsidP="00BF67EF">
            <w:pPr>
              <w:spacing w:after="60"/>
              <w:rPr>
                <w:sz w:val="20"/>
                <w:szCs w:val="20"/>
              </w:rPr>
            </w:pPr>
            <w:r w:rsidRPr="00D216AB">
              <w:rPr>
                <w:sz w:val="20"/>
                <w:szCs w:val="20"/>
              </w:rPr>
              <w:t>Accepted referral (of those referred)</w:t>
            </w:r>
          </w:p>
        </w:tc>
        <w:tc>
          <w:tcPr>
            <w:tcW w:w="442" w:type="pct"/>
            <w:tcBorders>
              <w:top w:val="single" w:sz="4" w:space="0" w:color="auto"/>
              <w:left w:val="nil"/>
              <w:right w:val="nil"/>
            </w:tcBorders>
          </w:tcPr>
          <w:p w14:paraId="7DEFB786" w14:textId="77777777" w:rsidR="00BF67EF" w:rsidRPr="00D216AB" w:rsidRDefault="00BF67EF" w:rsidP="00BF67EF">
            <w:pPr>
              <w:spacing w:after="60"/>
              <w:jc w:val="right"/>
              <w:rPr>
                <w:sz w:val="20"/>
                <w:szCs w:val="20"/>
              </w:rPr>
            </w:pPr>
            <w:r w:rsidRPr="00D216AB">
              <w:rPr>
                <w:sz w:val="20"/>
                <w:szCs w:val="20"/>
              </w:rPr>
              <w:t>5</w:t>
            </w:r>
          </w:p>
        </w:tc>
        <w:tc>
          <w:tcPr>
            <w:tcW w:w="379" w:type="pct"/>
            <w:tcBorders>
              <w:top w:val="single" w:sz="4" w:space="0" w:color="auto"/>
              <w:left w:val="nil"/>
              <w:right w:val="nil"/>
            </w:tcBorders>
          </w:tcPr>
          <w:p w14:paraId="70609B32" w14:textId="77777777" w:rsidR="00BF67EF" w:rsidRPr="00D216AB" w:rsidRDefault="00BF67EF" w:rsidP="00BF67EF">
            <w:pPr>
              <w:spacing w:after="60"/>
              <w:jc w:val="right"/>
              <w:rPr>
                <w:sz w:val="20"/>
                <w:szCs w:val="20"/>
              </w:rPr>
            </w:pPr>
            <w:r w:rsidRPr="00D216AB">
              <w:rPr>
                <w:sz w:val="20"/>
                <w:szCs w:val="20"/>
              </w:rPr>
              <w:t>101</w:t>
            </w:r>
          </w:p>
        </w:tc>
        <w:tc>
          <w:tcPr>
            <w:tcW w:w="446" w:type="pct"/>
            <w:tcBorders>
              <w:top w:val="single" w:sz="4" w:space="0" w:color="auto"/>
              <w:left w:val="nil"/>
              <w:right w:val="nil"/>
            </w:tcBorders>
          </w:tcPr>
          <w:p w14:paraId="452EAF65" w14:textId="77777777" w:rsidR="00BF67EF" w:rsidRPr="00D216AB" w:rsidRDefault="00BF67EF" w:rsidP="00BF67EF">
            <w:pPr>
              <w:spacing w:after="60"/>
              <w:jc w:val="right"/>
              <w:rPr>
                <w:sz w:val="20"/>
                <w:szCs w:val="20"/>
              </w:rPr>
            </w:pPr>
            <w:r w:rsidRPr="00D216AB">
              <w:rPr>
                <w:sz w:val="20"/>
                <w:szCs w:val="20"/>
              </w:rPr>
              <w:t>65.9</w:t>
            </w:r>
          </w:p>
        </w:tc>
        <w:tc>
          <w:tcPr>
            <w:tcW w:w="410" w:type="pct"/>
            <w:tcBorders>
              <w:top w:val="single" w:sz="4" w:space="0" w:color="auto"/>
              <w:left w:val="nil"/>
              <w:right w:val="nil"/>
            </w:tcBorders>
          </w:tcPr>
          <w:p w14:paraId="2B0B94A1" w14:textId="77777777" w:rsidR="00BF67EF" w:rsidRPr="00D216AB" w:rsidRDefault="00BF67EF" w:rsidP="00BF67EF">
            <w:pPr>
              <w:spacing w:after="60"/>
              <w:jc w:val="right"/>
              <w:rPr>
                <w:sz w:val="20"/>
                <w:szCs w:val="20"/>
              </w:rPr>
            </w:pPr>
            <w:r w:rsidRPr="00D216AB">
              <w:rPr>
                <w:sz w:val="20"/>
                <w:szCs w:val="20"/>
              </w:rPr>
              <w:t>49.3-81.0</w:t>
            </w:r>
          </w:p>
        </w:tc>
        <w:tc>
          <w:tcPr>
            <w:tcW w:w="251" w:type="pct"/>
            <w:tcBorders>
              <w:top w:val="single" w:sz="4" w:space="0" w:color="auto"/>
              <w:left w:val="nil"/>
              <w:right w:val="nil"/>
            </w:tcBorders>
          </w:tcPr>
          <w:p w14:paraId="76519D48" w14:textId="77777777" w:rsidR="00BF67EF" w:rsidRPr="00D216AB" w:rsidRDefault="00BF67EF" w:rsidP="00BF67EF">
            <w:pPr>
              <w:spacing w:after="60"/>
              <w:jc w:val="right"/>
              <w:rPr>
                <w:sz w:val="20"/>
                <w:szCs w:val="20"/>
              </w:rPr>
            </w:pPr>
            <w:r w:rsidRPr="00D216AB">
              <w:rPr>
                <w:sz w:val="20"/>
                <w:szCs w:val="20"/>
              </w:rPr>
              <w:t>50.3</w:t>
            </w:r>
          </w:p>
        </w:tc>
        <w:tc>
          <w:tcPr>
            <w:tcW w:w="441" w:type="pct"/>
            <w:tcBorders>
              <w:top w:val="single" w:sz="4" w:space="0" w:color="auto"/>
              <w:left w:val="nil"/>
              <w:right w:val="nil"/>
            </w:tcBorders>
          </w:tcPr>
          <w:p w14:paraId="340BC739" w14:textId="77777777" w:rsidR="00BF67EF" w:rsidRPr="00D216AB" w:rsidRDefault="00BF67EF" w:rsidP="00BF67EF">
            <w:pPr>
              <w:spacing w:after="60"/>
              <w:jc w:val="right"/>
              <w:rPr>
                <w:sz w:val="20"/>
                <w:szCs w:val="20"/>
              </w:rPr>
            </w:pPr>
            <w:r w:rsidRPr="00D216AB">
              <w:rPr>
                <w:sz w:val="20"/>
                <w:szCs w:val="20"/>
              </w:rPr>
              <w:t>8</w:t>
            </w:r>
          </w:p>
        </w:tc>
        <w:tc>
          <w:tcPr>
            <w:tcW w:w="378" w:type="pct"/>
            <w:tcBorders>
              <w:top w:val="single" w:sz="4" w:space="0" w:color="auto"/>
              <w:left w:val="nil"/>
              <w:right w:val="nil"/>
            </w:tcBorders>
          </w:tcPr>
          <w:p w14:paraId="42E6971F" w14:textId="77777777" w:rsidR="00BF67EF" w:rsidRPr="00D216AB" w:rsidRDefault="00BF67EF" w:rsidP="00BF67EF">
            <w:pPr>
              <w:spacing w:after="60"/>
              <w:jc w:val="right"/>
              <w:rPr>
                <w:sz w:val="20"/>
                <w:szCs w:val="20"/>
              </w:rPr>
            </w:pPr>
            <w:r w:rsidRPr="00D216AB">
              <w:rPr>
                <w:sz w:val="20"/>
                <w:szCs w:val="20"/>
              </w:rPr>
              <w:t>560</w:t>
            </w:r>
          </w:p>
        </w:tc>
        <w:tc>
          <w:tcPr>
            <w:tcW w:w="442" w:type="pct"/>
            <w:tcBorders>
              <w:top w:val="single" w:sz="4" w:space="0" w:color="auto"/>
              <w:left w:val="nil"/>
              <w:right w:val="nil"/>
            </w:tcBorders>
          </w:tcPr>
          <w:p w14:paraId="234049B2" w14:textId="77777777" w:rsidR="00BF67EF" w:rsidRPr="00D216AB" w:rsidRDefault="00BF67EF" w:rsidP="00BF67EF">
            <w:pPr>
              <w:spacing w:after="60"/>
              <w:jc w:val="right"/>
              <w:rPr>
                <w:sz w:val="20"/>
                <w:szCs w:val="20"/>
              </w:rPr>
            </w:pPr>
            <w:r w:rsidRPr="00D216AB">
              <w:rPr>
                <w:sz w:val="20"/>
                <w:szCs w:val="20"/>
              </w:rPr>
              <w:t>69.3</w:t>
            </w:r>
          </w:p>
        </w:tc>
        <w:tc>
          <w:tcPr>
            <w:tcW w:w="410" w:type="pct"/>
            <w:tcBorders>
              <w:top w:val="single" w:sz="4" w:space="0" w:color="auto"/>
              <w:left w:val="nil"/>
              <w:right w:val="nil"/>
            </w:tcBorders>
          </w:tcPr>
          <w:p w14:paraId="7457E570" w14:textId="77777777" w:rsidR="00BF67EF" w:rsidRPr="00D216AB" w:rsidRDefault="00BF67EF" w:rsidP="00BF67EF">
            <w:pPr>
              <w:spacing w:after="60"/>
              <w:jc w:val="right"/>
              <w:rPr>
                <w:sz w:val="20"/>
                <w:szCs w:val="20"/>
              </w:rPr>
            </w:pPr>
            <w:r w:rsidRPr="00D216AB">
              <w:rPr>
                <w:sz w:val="20"/>
                <w:szCs w:val="20"/>
              </w:rPr>
              <w:t>57.7-79.9</w:t>
            </w:r>
          </w:p>
        </w:tc>
        <w:tc>
          <w:tcPr>
            <w:tcW w:w="256" w:type="pct"/>
            <w:tcBorders>
              <w:top w:val="single" w:sz="4" w:space="0" w:color="auto"/>
              <w:left w:val="nil"/>
              <w:right w:val="nil"/>
            </w:tcBorders>
          </w:tcPr>
          <w:p w14:paraId="6B09E73B" w14:textId="77777777" w:rsidR="00BF67EF" w:rsidRPr="00D216AB" w:rsidRDefault="00BF67EF" w:rsidP="00BF67EF">
            <w:pPr>
              <w:spacing w:after="60"/>
              <w:jc w:val="right"/>
              <w:rPr>
                <w:sz w:val="20"/>
                <w:szCs w:val="20"/>
              </w:rPr>
            </w:pPr>
            <w:r w:rsidRPr="00D216AB">
              <w:rPr>
                <w:sz w:val="20"/>
                <w:szCs w:val="20"/>
              </w:rPr>
              <w:t>85.6</w:t>
            </w:r>
          </w:p>
        </w:tc>
      </w:tr>
    </w:tbl>
    <w:p w14:paraId="60CBD5EE" w14:textId="77777777" w:rsidR="00BF67EF" w:rsidRPr="0000689A" w:rsidRDefault="00BF67EF" w:rsidP="00BF67EF">
      <w:pPr>
        <w:spacing w:after="0"/>
        <w:ind w:left="-634"/>
        <w:rPr>
          <w:sz w:val="20"/>
        </w:rPr>
      </w:pPr>
      <w:r w:rsidRPr="0000689A">
        <w:rPr>
          <w:sz w:val="20"/>
        </w:rPr>
        <w:t xml:space="preserve">*Note: In cases where data was collected from more than one country as part of the same study, each country was counted as a separate study for the purpose of the meta-analysis </w:t>
      </w:r>
    </w:p>
    <w:p w14:paraId="06DAEE4C" w14:textId="40A3A9F9" w:rsidR="00BF67EF" w:rsidRPr="0000689A" w:rsidRDefault="0024243C" w:rsidP="00BF67EF">
      <w:pPr>
        <w:spacing w:after="0"/>
        <w:ind w:left="-634"/>
        <w:rPr>
          <w:sz w:val="20"/>
        </w:rPr>
      </w:pPr>
      <w:r>
        <w:rPr>
          <w:rStyle w:val="ilfuvd"/>
        </w:rPr>
        <w:t>†</w:t>
      </w:r>
      <w:r w:rsidR="003E0C9E" w:rsidRPr="003E0C9E">
        <w:rPr>
          <w:b/>
          <w:sz w:val="20"/>
        </w:rPr>
        <w:t>Figure</w:t>
      </w:r>
      <w:r w:rsidR="00BF67EF" w:rsidRPr="0000689A">
        <w:rPr>
          <w:sz w:val="20"/>
        </w:rPr>
        <w:t xml:space="preserve">s in red: significant at </w:t>
      </w:r>
      <w:r w:rsidR="00825116" w:rsidRPr="00825116">
        <w:rPr>
          <w:i/>
          <w:sz w:val="20"/>
        </w:rPr>
        <w:t>P</w:t>
      </w:r>
      <w:r w:rsidR="00BF67EF" w:rsidRPr="0000689A">
        <w:rPr>
          <w:sz w:val="20"/>
        </w:rPr>
        <w:t xml:space="preserve">&lt;0.05; </w:t>
      </w:r>
      <w:r w:rsidR="003E0C9E" w:rsidRPr="003E0C9E">
        <w:rPr>
          <w:b/>
          <w:sz w:val="20"/>
        </w:rPr>
        <w:t>Figure</w:t>
      </w:r>
      <w:r w:rsidR="00BF67EF" w:rsidRPr="0000689A">
        <w:rPr>
          <w:sz w:val="20"/>
        </w:rPr>
        <w:t xml:space="preserve">s in orange: significant at </w:t>
      </w:r>
      <w:r w:rsidR="00825116" w:rsidRPr="00825116">
        <w:rPr>
          <w:i/>
          <w:sz w:val="20"/>
        </w:rPr>
        <w:t>P</w:t>
      </w:r>
      <w:r w:rsidR="00BF67EF" w:rsidRPr="0000689A">
        <w:rPr>
          <w:sz w:val="20"/>
        </w:rPr>
        <w:t>&lt;0.1</w:t>
      </w:r>
    </w:p>
    <w:p w14:paraId="17F47D21" w14:textId="7DD4A4A0" w:rsidR="00BF67EF" w:rsidRDefault="00BF67EF" w:rsidP="00BF67EF">
      <w:pPr>
        <w:ind w:left="-630" w:right="-630"/>
        <w:rPr>
          <w:sz w:val="20"/>
          <w:szCs w:val="20"/>
        </w:rPr>
      </w:pPr>
    </w:p>
    <w:p w14:paraId="0EFBFA82" w14:textId="71C6AF98" w:rsidR="0066702F" w:rsidRPr="0066702F" w:rsidRDefault="0066702F" w:rsidP="00BF67EF">
      <w:pPr>
        <w:ind w:left="-630" w:right="-630"/>
        <w:rPr>
          <w:szCs w:val="20"/>
        </w:rPr>
      </w:pPr>
      <w:r w:rsidRPr="0066702F">
        <w:rPr>
          <w:b/>
          <w:szCs w:val="20"/>
        </w:rPr>
        <w:t>T</w:t>
      </w:r>
      <w:r w:rsidR="0061013B">
        <w:rPr>
          <w:b/>
          <w:szCs w:val="20"/>
        </w:rPr>
        <w:t xml:space="preserve">able 3. </w:t>
      </w:r>
      <w:r w:rsidR="0061013B" w:rsidRPr="0061013B">
        <w:rPr>
          <w:szCs w:val="20"/>
        </w:rPr>
        <w:t>E</w:t>
      </w:r>
      <w:r w:rsidRPr="0061013B">
        <w:rPr>
          <w:szCs w:val="20"/>
        </w:rPr>
        <w:t>xploration of heterogeneity using meta-regression</w:t>
      </w:r>
      <w:r w:rsidR="0061013B" w:rsidRPr="0061013B">
        <w:rPr>
          <w:szCs w:val="20"/>
        </w:rPr>
        <w:t>*</w:t>
      </w:r>
    </w:p>
    <w:tbl>
      <w:tblPr>
        <w:tblW w:w="1399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810"/>
        <w:gridCol w:w="1260"/>
        <w:gridCol w:w="828"/>
        <w:gridCol w:w="792"/>
        <w:gridCol w:w="1265"/>
        <w:gridCol w:w="810"/>
        <w:gridCol w:w="718"/>
        <w:gridCol w:w="1260"/>
        <w:gridCol w:w="810"/>
        <w:gridCol w:w="1170"/>
        <w:gridCol w:w="1035"/>
      </w:tblGrid>
      <w:tr w:rsidR="00BF67EF" w:rsidRPr="00BF67EF" w14:paraId="7F9C0A51" w14:textId="77777777" w:rsidTr="0061013B">
        <w:trPr>
          <w:trHeight w:val="530"/>
        </w:trPr>
        <w:tc>
          <w:tcPr>
            <w:tcW w:w="3235" w:type="dxa"/>
            <w:tcBorders>
              <w:left w:val="nil"/>
              <w:bottom w:val="single" w:sz="4" w:space="0" w:color="auto"/>
              <w:right w:val="nil"/>
            </w:tcBorders>
            <w:shd w:val="clear" w:color="auto" w:fill="auto"/>
            <w:vAlign w:val="bottom"/>
            <w:hideMark/>
          </w:tcPr>
          <w:p w14:paraId="793BE557" w14:textId="77777777" w:rsidR="00BF67EF" w:rsidRPr="00BF67EF" w:rsidRDefault="00BF67EF" w:rsidP="00056996">
            <w:pPr>
              <w:pStyle w:val="NoSpacing"/>
              <w:rPr>
                <w:b/>
                <w:sz w:val="20"/>
                <w:szCs w:val="20"/>
              </w:rPr>
            </w:pPr>
            <w:r w:rsidRPr="00BF67EF">
              <w:rPr>
                <w:b/>
                <w:sz w:val="20"/>
                <w:szCs w:val="20"/>
              </w:rPr>
              <w:t>Outcome</w:t>
            </w:r>
          </w:p>
        </w:tc>
        <w:tc>
          <w:tcPr>
            <w:tcW w:w="2898" w:type="dxa"/>
            <w:gridSpan w:val="3"/>
            <w:tcBorders>
              <w:left w:val="nil"/>
              <w:bottom w:val="single" w:sz="4" w:space="0" w:color="auto"/>
              <w:right w:val="nil"/>
            </w:tcBorders>
            <w:shd w:val="clear" w:color="auto" w:fill="auto"/>
            <w:vAlign w:val="bottom"/>
            <w:hideMark/>
          </w:tcPr>
          <w:p w14:paraId="09DA43E1"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r w:rsidRPr="00BF67EF">
              <w:rPr>
                <w:rFonts w:ascii="Calibri" w:eastAsia="Times New Roman" w:hAnsi="Calibri" w:cs="Calibri"/>
                <w:b/>
                <w:bCs/>
                <w:color w:val="000000"/>
                <w:sz w:val="20"/>
                <w:szCs w:val="20"/>
              </w:rPr>
              <w:t>Age group</w:t>
            </w:r>
          </w:p>
        </w:tc>
        <w:tc>
          <w:tcPr>
            <w:tcW w:w="2867" w:type="dxa"/>
            <w:gridSpan w:val="3"/>
            <w:tcBorders>
              <w:left w:val="nil"/>
              <w:bottom w:val="single" w:sz="4" w:space="0" w:color="auto"/>
              <w:right w:val="nil"/>
            </w:tcBorders>
            <w:shd w:val="clear" w:color="auto" w:fill="auto"/>
            <w:vAlign w:val="bottom"/>
            <w:hideMark/>
          </w:tcPr>
          <w:p w14:paraId="156AB93A"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r w:rsidRPr="00BF67EF">
              <w:rPr>
                <w:rFonts w:ascii="Calibri" w:eastAsia="Times New Roman" w:hAnsi="Calibri" w:cs="Calibri"/>
                <w:b/>
                <w:bCs/>
                <w:color w:val="000000"/>
                <w:sz w:val="20"/>
                <w:szCs w:val="20"/>
              </w:rPr>
              <w:t>Income status</w:t>
            </w:r>
          </w:p>
        </w:tc>
        <w:tc>
          <w:tcPr>
            <w:tcW w:w="2788" w:type="dxa"/>
            <w:gridSpan w:val="3"/>
            <w:tcBorders>
              <w:left w:val="nil"/>
              <w:bottom w:val="single" w:sz="4" w:space="0" w:color="auto"/>
              <w:right w:val="nil"/>
            </w:tcBorders>
            <w:shd w:val="clear" w:color="auto" w:fill="auto"/>
            <w:vAlign w:val="bottom"/>
            <w:hideMark/>
          </w:tcPr>
          <w:p w14:paraId="3A50992C"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r w:rsidRPr="00BF67EF">
              <w:rPr>
                <w:rFonts w:ascii="Calibri" w:eastAsia="Times New Roman" w:hAnsi="Calibri" w:cs="Calibri"/>
                <w:b/>
                <w:bCs/>
                <w:color w:val="000000"/>
                <w:sz w:val="20"/>
                <w:szCs w:val="20"/>
              </w:rPr>
              <w:t>User fees</w:t>
            </w:r>
          </w:p>
        </w:tc>
        <w:tc>
          <w:tcPr>
            <w:tcW w:w="1170" w:type="dxa"/>
            <w:tcBorders>
              <w:left w:val="nil"/>
              <w:bottom w:val="single" w:sz="4" w:space="0" w:color="auto"/>
              <w:right w:val="nil"/>
            </w:tcBorders>
            <w:shd w:val="clear" w:color="auto" w:fill="auto"/>
            <w:vAlign w:val="bottom"/>
            <w:hideMark/>
          </w:tcPr>
          <w:p w14:paraId="4111022E"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r w:rsidRPr="00BF67EF">
              <w:rPr>
                <w:rFonts w:ascii="Calibri" w:eastAsia="Times New Roman" w:hAnsi="Calibri" w:cs="Calibri"/>
                <w:b/>
                <w:bCs/>
                <w:color w:val="000000"/>
                <w:sz w:val="20"/>
                <w:szCs w:val="20"/>
              </w:rPr>
              <w:t>Number of studies</w:t>
            </w:r>
          </w:p>
        </w:tc>
        <w:tc>
          <w:tcPr>
            <w:tcW w:w="1035" w:type="dxa"/>
            <w:tcBorders>
              <w:left w:val="nil"/>
              <w:bottom w:val="single" w:sz="4" w:space="0" w:color="auto"/>
              <w:right w:val="nil"/>
            </w:tcBorders>
            <w:shd w:val="clear" w:color="auto" w:fill="auto"/>
            <w:vAlign w:val="bottom"/>
            <w:hideMark/>
          </w:tcPr>
          <w:p w14:paraId="448D6658"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r w:rsidRPr="00BF67EF">
              <w:rPr>
                <w:rFonts w:ascii="Calibri" w:eastAsia="Times New Roman" w:hAnsi="Calibri" w:cs="Calibri"/>
                <w:b/>
                <w:bCs/>
                <w:color w:val="000000"/>
                <w:sz w:val="20"/>
                <w:szCs w:val="20"/>
              </w:rPr>
              <w:t>Adjusted r2 (%)</w:t>
            </w:r>
          </w:p>
        </w:tc>
      </w:tr>
      <w:tr w:rsidR="00BF67EF" w:rsidRPr="00BF67EF" w14:paraId="5B90C7A7" w14:textId="77777777" w:rsidTr="0061013B">
        <w:trPr>
          <w:trHeight w:val="300"/>
        </w:trPr>
        <w:tc>
          <w:tcPr>
            <w:tcW w:w="3235" w:type="dxa"/>
            <w:tcBorders>
              <w:top w:val="single" w:sz="4" w:space="0" w:color="auto"/>
              <w:left w:val="nil"/>
              <w:right w:val="nil"/>
            </w:tcBorders>
            <w:shd w:val="clear" w:color="auto" w:fill="auto"/>
            <w:noWrap/>
            <w:vAlign w:val="bottom"/>
            <w:hideMark/>
          </w:tcPr>
          <w:p w14:paraId="2044C927" w14:textId="77777777" w:rsidR="00BF67EF" w:rsidRPr="00BF67EF" w:rsidRDefault="00BF67EF" w:rsidP="00BF67EF">
            <w:pPr>
              <w:spacing w:after="0" w:line="240" w:lineRule="auto"/>
              <w:rPr>
                <w:rFonts w:ascii="Calibri" w:eastAsia="Times New Roman" w:hAnsi="Calibri" w:cs="Calibri"/>
                <w:b/>
                <w:bCs/>
                <w:color w:val="000000"/>
                <w:sz w:val="20"/>
                <w:szCs w:val="20"/>
              </w:rPr>
            </w:pPr>
          </w:p>
        </w:tc>
        <w:tc>
          <w:tcPr>
            <w:tcW w:w="810" w:type="dxa"/>
            <w:tcBorders>
              <w:top w:val="single" w:sz="4" w:space="0" w:color="auto"/>
              <w:left w:val="nil"/>
              <w:right w:val="nil"/>
            </w:tcBorders>
            <w:shd w:val="clear" w:color="auto" w:fill="auto"/>
            <w:noWrap/>
            <w:vAlign w:val="bottom"/>
            <w:hideMark/>
          </w:tcPr>
          <w:p w14:paraId="09E59D3C" w14:textId="77777777" w:rsidR="00BF67EF" w:rsidRPr="00056996" w:rsidRDefault="00BF67EF" w:rsidP="00BF67EF">
            <w:pPr>
              <w:spacing w:after="0" w:line="240" w:lineRule="auto"/>
              <w:jc w:val="right"/>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Co-eff</w:t>
            </w:r>
          </w:p>
        </w:tc>
        <w:tc>
          <w:tcPr>
            <w:tcW w:w="1260" w:type="dxa"/>
            <w:tcBorders>
              <w:top w:val="single" w:sz="4" w:space="0" w:color="auto"/>
              <w:left w:val="nil"/>
              <w:right w:val="nil"/>
            </w:tcBorders>
            <w:shd w:val="clear" w:color="auto" w:fill="auto"/>
            <w:noWrap/>
            <w:vAlign w:val="bottom"/>
            <w:hideMark/>
          </w:tcPr>
          <w:p w14:paraId="48CDC5E3" w14:textId="4E52354F"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95</w:t>
            </w:r>
            <w:r w:rsidR="003E0C9E">
              <w:rPr>
                <w:rFonts w:ascii="Calibri" w:eastAsia="Times New Roman" w:hAnsi="Calibri" w:cs="Calibri"/>
                <w:bCs/>
                <w:color w:val="000000"/>
                <w:sz w:val="20"/>
                <w:szCs w:val="20"/>
              </w:rPr>
              <w:t>% CI</w:t>
            </w:r>
          </w:p>
        </w:tc>
        <w:tc>
          <w:tcPr>
            <w:tcW w:w="828" w:type="dxa"/>
            <w:tcBorders>
              <w:top w:val="single" w:sz="4" w:space="0" w:color="auto"/>
              <w:left w:val="nil"/>
              <w:right w:val="nil"/>
            </w:tcBorders>
            <w:shd w:val="clear" w:color="auto" w:fill="auto"/>
            <w:noWrap/>
            <w:vAlign w:val="bottom"/>
            <w:hideMark/>
          </w:tcPr>
          <w:p w14:paraId="192D6D0F"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p value</w:t>
            </w:r>
          </w:p>
        </w:tc>
        <w:tc>
          <w:tcPr>
            <w:tcW w:w="792" w:type="dxa"/>
            <w:tcBorders>
              <w:top w:val="single" w:sz="4" w:space="0" w:color="auto"/>
              <w:left w:val="nil"/>
              <w:right w:val="nil"/>
            </w:tcBorders>
            <w:shd w:val="clear" w:color="auto" w:fill="auto"/>
            <w:noWrap/>
            <w:vAlign w:val="bottom"/>
            <w:hideMark/>
          </w:tcPr>
          <w:p w14:paraId="7EBD98E2"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Co-eff</w:t>
            </w:r>
          </w:p>
        </w:tc>
        <w:tc>
          <w:tcPr>
            <w:tcW w:w="1265" w:type="dxa"/>
            <w:tcBorders>
              <w:top w:val="single" w:sz="4" w:space="0" w:color="auto"/>
              <w:left w:val="nil"/>
              <w:right w:val="nil"/>
            </w:tcBorders>
            <w:shd w:val="clear" w:color="auto" w:fill="auto"/>
            <w:noWrap/>
            <w:vAlign w:val="bottom"/>
            <w:hideMark/>
          </w:tcPr>
          <w:p w14:paraId="4A9F1E65"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95% CI</w:t>
            </w:r>
          </w:p>
        </w:tc>
        <w:tc>
          <w:tcPr>
            <w:tcW w:w="810" w:type="dxa"/>
            <w:tcBorders>
              <w:top w:val="single" w:sz="4" w:space="0" w:color="auto"/>
              <w:left w:val="nil"/>
              <w:right w:val="nil"/>
            </w:tcBorders>
            <w:shd w:val="clear" w:color="auto" w:fill="auto"/>
            <w:noWrap/>
            <w:vAlign w:val="bottom"/>
            <w:hideMark/>
          </w:tcPr>
          <w:p w14:paraId="555DF21D" w14:textId="6DBAC301" w:rsidR="00BF67EF" w:rsidRPr="00056996" w:rsidRDefault="0061013B" w:rsidP="0061013B">
            <w:pPr>
              <w:spacing w:after="0" w:line="240" w:lineRule="auto"/>
              <w:jc w:val="center"/>
              <w:rPr>
                <w:rFonts w:ascii="Calibri" w:eastAsia="Times New Roman" w:hAnsi="Calibri" w:cs="Calibri"/>
                <w:bCs/>
                <w:color w:val="000000"/>
                <w:sz w:val="20"/>
                <w:szCs w:val="20"/>
              </w:rPr>
            </w:pPr>
            <w:r w:rsidRPr="0061013B">
              <w:rPr>
                <w:rFonts w:ascii="Calibri" w:eastAsia="Times New Roman" w:hAnsi="Calibri" w:cs="Calibri"/>
                <w:bCs/>
                <w:i/>
                <w:color w:val="000000"/>
                <w:sz w:val="20"/>
                <w:szCs w:val="20"/>
              </w:rPr>
              <w:t>P</w:t>
            </w:r>
            <w:r>
              <w:rPr>
                <w:rFonts w:ascii="Calibri" w:eastAsia="Times New Roman" w:hAnsi="Calibri" w:cs="Calibri"/>
                <w:bCs/>
                <w:color w:val="000000"/>
                <w:sz w:val="20"/>
                <w:szCs w:val="20"/>
              </w:rPr>
              <w:t>-</w:t>
            </w:r>
            <w:r w:rsidR="00BF67EF" w:rsidRPr="00056996">
              <w:rPr>
                <w:rFonts w:ascii="Calibri" w:eastAsia="Times New Roman" w:hAnsi="Calibri" w:cs="Calibri"/>
                <w:bCs/>
                <w:color w:val="000000"/>
                <w:sz w:val="20"/>
                <w:szCs w:val="20"/>
              </w:rPr>
              <w:t>value</w:t>
            </w:r>
          </w:p>
        </w:tc>
        <w:tc>
          <w:tcPr>
            <w:tcW w:w="718" w:type="dxa"/>
            <w:tcBorders>
              <w:top w:val="single" w:sz="4" w:space="0" w:color="auto"/>
              <w:left w:val="nil"/>
              <w:right w:val="nil"/>
            </w:tcBorders>
            <w:shd w:val="clear" w:color="auto" w:fill="auto"/>
            <w:noWrap/>
            <w:vAlign w:val="bottom"/>
            <w:hideMark/>
          </w:tcPr>
          <w:p w14:paraId="101E322E"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Co-eff</w:t>
            </w:r>
          </w:p>
        </w:tc>
        <w:tc>
          <w:tcPr>
            <w:tcW w:w="1260" w:type="dxa"/>
            <w:tcBorders>
              <w:top w:val="single" w:sz="4" w:space="0" w:color="auto"/>
              <w:left w:val="nil"/>
              <w:right w:val="nil"/>
            </w:tcBorders>
            <w:shd w:val="clear" w:color="auto" w:fill="auto"/>
            <w:noWrap/>
            <w:vAlign w:val="bottom"/>
            <w:hideMark/>
          </w:tcPr>
          <w:p w14:paraId="7177DAE9"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95% CI</w:t>
            </w:r>
          </w:p>
        </w:tc>
        <w:tc>
          <w:tcPr>
            <w:tcW w:w="810" w:type="dxa"/>
            <w:tcBorders>
              <w:top w:val="single" w:sz="4" w:space="0" w:color="auto"/>
              <w:left w:val="nil"/>
              <w:right w:val="nil"/>
            </w:tcBorders>
            <w:shd w:val="clear" w:color="auto" w:fill="auto"/>
            <w:noWrap/>
            <w:vAlign w:val="bottom"/>
            <w:hideMark/>
          </w:tcPr>
          <w:p w14:paraId="1E16126F" w14:textId="77777777" w:rsidR="00BF67EF" w:rsidRPr="00056996" w:rsidRDefault="00BF67EF" w:rsidP="0061013B">
            <w:pPr>
              <w:spacing w:after="0" w:line="240" w:lineRule="auto"/>
              <w:jc w:val="center"/>
              <w:rPr>
                <w:rFonts w:ascii="Calibri" w:eastAsia="Times New Roman" w:hAnsi="Calibri" w:cs="Calibri"/>
                <w:bCs/>
                <w:color w:val="000000"/>
                <w:sz w:val="20"/>
                <w:szCs w:val="20"/>
              </w:rPr>
            </w:pPr>
            <w:r w:rsidRPr="00056996">
              <w:rPr>
                <w:rFonts w:ascii="Calibri" w:eastAsia="Times New Roman" w:hAnsi="Calibri" w:cs="Calibri"/>
                <w:bCs/>
                <w:color w:val="000000"/>
                <w:sz w:val="20"/>
                <w:szCs w:val="20"/>
              </w:rPr>
              <w:t>p value</w:t>
            </w:r>
          </w:p>
        </w:tc>
        <w:tc>
          <w:tcPr>
            <w:tcW w:w="1170" w:type="dxa"/>
            <w:tcBorders>
              <w:top w:val="single" w:sz="4" w:space="0" w:color="auto"/>
              <w:left w:val="nil"/>
              <w:right w:val="nil"/>
            </w:tcBorders>
            <w:shd w:val="clear" w:color="auto" w:fill="auto"/>
            <w:noWrap/>
            <w:vAlign w:val="bottom"/>
            <w:hideMark/>
          </w:tcPr>
          <w:p w14:paraId="4FCDF47B" w14:textId="77777777" w:rsidR="00BF67EF" w:rsidRPr="00BF67EF" w:rsidRDefault="00BF67EF" w:rsidP="0061013B">
            <w:pPr>
              <w:spacing w:after="0" w:line="240" w:lineRule="auto"/>
              <w:jc w:val="center"/>
              <w:rPr>
                <w:rFonts w:ascii="Calibri" w:eastAsia="Times New Roman" w:hAnsi="Calibri" w:cs="Calibri"/>
                <w:b/>
                <w:bCs/>
                <w:color w:val="000000"/>
                <w:sz w:val="20"/>
                <w:szCs w:val="20"/>
              </w:rPr>
            </w:pPr>
          </w:p>
        </w:tc>
        <w:tc>
          <w:tcPr>
            <w:tcW w:w="1035" w:type="dxa"/>
            <w:tcBorders>
              <w:top w:val="single" w:sz="4" w:space="0" w:color="auto"/>
              <w:left w:val="nil"/>
              <w:right w:val="nil"/>
            </w:tcBorders>
            <w:shd w:val="clear" w:color="auto" w:fill="auto"/>
            <w:noWrap/>
            <w:vAlign w:val="bottom"/>
            <w:hideMark/>
          </w:tcPr>
          <w:p w14:paraId="2B28E974" w14:textId="77777777" w:rsidR="00BF67EF" w:rsidRPr="00BF67EF" w:rsidRDefault="00BF67EF" w:rsidP="0061013B">
            <w:pPr>
              <w:spacing w:after="0" w:line="240" w:lineRule="auto"/>
              <w:jc w:val="center"/>
              <w:rPr>
                <w:rFonts w:ascii="Times New Roman" w:eastAsia="Times New Roman" w:hAnsi="Times New Roman" w:cs="Times New Roman"/>
                <w:sz w:val="20"/>
                <w:szCs w:val="20"/>
              </w:rPr>
            </w:pPr>
          </w:p>
        </w:tc>
      </w:tr>
      <w:tr w:rsidR="00BF67EF" w:rsidRPr="00BF67EF" w14:paraId="7723B8A7" w14:textId="77777777" w:rsidTr="0061013B">
        <w:trPr>
          <w:trHeight w:val="300"/>
        </w:trPr>
        <w:tc>
          <w:tcPr>
            <w:tcW w:w="3235" w:type="dxa"/>
            <w:tcBorders>
              <w:left w:val="nil"/>
              <w:right w:val="nil"/>
            </w:tcBorders>
            <w:shd w:val="clear" w:color="auto" w:fill="auto"/>
            <w:noWrap/>
            <w:vAlign w:val="bottom"/>
            <w:hideMark/>
          </w:tcPr>
          <w:p w14:paraId="5C483A91"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at home</w:t>
            </w:r>
          </w:p>
        </w:tc>
        <w:tc>
          <w:tcPr>
            <w:tcW w:w="810" w:type="dxa"/>
            <w:tcBorders>
              <w:left w:val="nil"/>
              <w:right w:val="nil"/>
            </w:tcBorders>
            <w:shd w:val="clear" w:color="auto" w:fill="auto"/>
            <w:noWrap/>
            <w:vAlign w:val="bottom"/>
            <w:hideMark/>
          </w:tcPr>
          <w:p w14:paraId="59FBB1E7" w14:textId="77777777" w:rsidR="00BF67EF" w:rsidRPr="00BF67EF" w:rsidRDefault="00BF67EF" w:rsidP="00BF67EF">
            <w:pPr>
              <w:spacing w:after="0" w:line="240" w:lineRule="auto"/>
              <w:jc w:val="right"/>
              <w:rPr>
                <w:rFonts w:ascii="Calibri" w:eastAsia="Times New Roman" w:hAnsi="Calibri" w:cs="Calibri"/>
                <w:color w:val="000000"/>
                <w:sz w:val="20"/>
                <w:szCs w:val="20"/>
              </w:rPr>
            </w:pPr>
            <w:r w:rsidRPr="00BF67EF">
              <w:rPr>
                <w:rFonts w:ascii="Calibri" w:eastAsia="Times New Roman" w:hAnsi="Calibri" w:cs="Calibri"/>
                <w:color w:val="000000"/>
                <w:sz w:val="20"/>
                <w:szCs w:val="20"/>
              </w:rPr>
              <w:t>-0.02</w:t>
            </w:r>
          </w:p>
        </w:tc>
        <w:tc>
          <w:tcPr>
            <w:tcW w:w="1260" w:type="dxa"/>
            <w:tcBorders>
              <w:left w:val="nil"/>
              <w:right w:val="nil"/>
            </w:tcBorders>
            <w:shd w:val="clear" w:color="auto" w:fill="auto"/>
            <w:noWrap/>
            <w:vAlign w:val="bottom"/>
            <w:hideMark/>
          </w:tcPr>
          <w:p w14:paraId="27E4D3F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-0.33, 0.30</w:t>
            </w:r>
          </w:p>
        </w:tc>
        <w:tc>
          <w:tcPr>
            <w:tcW w:w="828" w:type="dxa"/>
            <w:tcBorders>
              <w:left w:val="nil"/>
              <w:right w:val="nil"/>
            </w:tcBorders>
            <w:shd w:val="clear" w:color="auto" w:fill="auto"/>
            <w:noWrap/>
            <w:vAlign w:val="bottom"/>
            <w:hideMark/>
          </w:tcPr>
          <w:p w14:paraId="10A49DE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0.918</w:t>
            </w:r>
          </w:p>
        </w:tc>
        <w:tc>
          <w:tcPr>
            <w:tcW w:w="792" w:type="dxa"/>
            <w:tcBorders>
              <w:left w:val="nil"/>
              <w:right w:val="nil"/>
            </w:tcBorders>
            <w:shd w:val="clear" w:color="auto" w:fill="auto"/>
            <w:noWrap/>
            <w:vAlign w:val="bottom"/>
            <w:hideMark/>
          </w:tcPr>
          <w:p w14:paraId="164A3B00"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0.06</w:t>
            </w:r>
          </w:p>
        </w:tc>
        <w:tc>
          <w:tcPr>
            <w:tcW w:w="1265" w:type="dxa"/>
            <w:tcBorders>
              <w:left w:val="nil"/>
              <w:right w:val="nil"/>
            </w:tcBorders>
            <w:shd w:val="clear" w:color="auto" w:fill="auto"/>
            <w:noWrap/>
            <w:vAlign w:val="bottom"/>
            <w:hideMark/>
          </w:tcPr>
          <w:p w14:paraId="38C63C8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-0.51, 0.39</w:t>
            </w:r>
          </w:p>
        </w:tc>
        <w:tc>
          <w:tcPr>
            <w:tcW w:w="810" w:type="dxa"/>
            <w:tcBorders>
              <w:left w:val="nil"/>
              <w:right w:val="nil"/>
            </w:tcBorders>
            <w:shd w:val="clear" w:color="auto" w:fill="auto"/>
            <w:noWrap/>
            <w:vAlign w:val="bottom"/>
            <w:hideMark/>
          </w:tcPr>
          <w:p w14:paraId="280DC6F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0.780</w:t>
            </w:r>
          </w:p>
        </w:tc>
        <w:tc>
          <w:tcPr>
            <w:tcW w:w="718" w:type="dxa"/>
            <w:tcBorders>
              <w:left w:val="nil"/>
              <w:right w:val="nil"/>
            </w:tcBorders>
            <w:shd w:val="clear" w:color="auto" w:fill="auto"/>
            <w:noWrap/>
            <w:vAlign w:val="bottom"/>
            <w:hideMark/>
          </w:tcPr>
          <w:p w14:paraId="3397A29D"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0.38</w:t>
            </w:r>
          </w:p>
        </w:tc>
        <w:tc>
          <w:tcPr>
            <w:tcW w:w="1260" w:type="dxa"/>
            <w:tcBorders>
              <w:left w:val="nil"/>
              <w:right w:val="nil"/>
            </w:tcBorders>
            <w:shd w:val="clear" w:color="auto" w:fill="auto"/>
            <w:noWrap/>
            <w:vAlign w:val="bottom"/>
            <w:hideMark/>
          </w:tcPr>
          <w:p w14:paraId="5B463E8B"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0.06, 0.70</w:t>
            </w:r>
          </w:p>
        </w:tc>
        <w:tc>
          <w:tcPr>
            <w:tcW w:w="810" w:type="dxa"/>
            <w:tcBorders>
              <w:left w:val="nil"/>
              <w:right w:val="nil"/>
            </w:tcBorders>
            <w:shd w:val="clear" w:color="auto" w:fill="auto"/>
            <w:noWrap/>
            <w:vAlign w:val="bottom"/>
            <w:hideMark/>
          </w:tcPr>
          <w:p w14:paraId="30DA4EB6"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0.020</w:t>
            </w:r>
          </w:p>
        </w:tc>
        <w:tc>
          <w:tcPr>
            <w:tcW w:w="1170" w:type="dxa"/>
            <w:tcBorders>
              <w:left w:val="nil"/>
              <w:right w:val="nil"/>
            </w:tcBorders>
            <w:shd w:val="clear" w:color="auto" w:fill="auto"/>
            <w:noWrap/>
            <w:vAlign w:val="bottom"/>
            <w:hideMark/>
          </w:tcPr>
          <w:p w14:paraId="420A6B6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29</w:t>
            </w:r>
          </w:p>
        </w:tc>
        <w:tc>
          <w:tcPr>
            <w:tcW w:w="1035" w:type="dxa"/>
            <w:tcBorders>
              <w:left w:val="nil"/>
              <w:right w:val="nil"/>
            </w:tcBorders>
            <w:shd w:val="clear" w:color="auto" w:fill="auto"/>
            <w:noWrap/>
            <w:vAlign w:val="bottom"/>
            <w:hideMark/>
          </w:tcPr>
          <w:p w14:paraId="24C6BBEA"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11.00</w:t>
            </w:r>
          </w:p>
        </w:tc>
      </w:tr>
      <w:tr w:rsidR="00BF67EF" w:rsidRPr="00BF67EF" w14:paraId="06AF77B6" w14:textId="77777777" w:rsidTr="0061013B">
        <w:trPr>
          <w:trHeight w:val="300"/>
        </w:trPr>
        <w:tc>
          <w:tcPr>
            <w:tcW w:w="3235" w:type="dxa"/>
            <w:tcBorders>
              <w:left w:val="nil"/>
              <w:right w:val="nil"/>
            </w:tcBorders>
            <w:shd w:val="clear" w:color="auto" w:fill="auto"/>
            <w:noWrap/>
            <w:vAlign w:val="bottom"/>
            <w:hideMark/>
          </w:tcPr>
          <w:p w14:paraId="306FC4CC"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in a health facility</w:t>
            </w:r>
          </w:p>
        </w:tc>
        <w:tc>
          <w:tcPr>
            <w:tcW w:w="810" w:type="dxa"/>
            <w:tcBorders>
              <w:left w:val="nil"/>
              <w:right w:val="nil"/>
            </w:tcBorders>
            <w:shd w:val="clear" w:color="auto" w:fill="auto"/>
            <w:noWrap/>
            <w:vAlign w:val="bottom"/>
            <w:hideMark/>
          </w:tcPr>
          <w:p w14:paraId="4ADD8FC3" w14:textId="77777777" w:rsidR="00BF67EF" w:rsidRPr="00BF67EF" w:rsidRDefault="00BF67EF" w:rsidP="00BF67EF">
            <w:pPr>
              <w:spacing w:after="0" w:line="240" w:lineRule="auto"/>
              <w:jc w:val="right"/>
              <w:rPr>
                <w:rFonts w:ascii="Calibri" w:eastAsia="Times New Roman" w:hAnsi="Calibri" w:cs="Calibri"/>
                <w:color w:val="000000"/>
                <w:sz w:val="20"/>
                <w:szCs w:val="20"/>
              </w:rPr>
            </w:pPr>
            <w:r w:rsidRPr="00BF67EF">
              <w:rPr>
                <w:rFonts w:ascii="Calibri" w:eastAsia="Times New Roman" w:hAnsi="Calibri" w:cs="Calibri"/>
                <w:color w:val="000000"/>
                <w:sz w:val="20"/>
                <w:szCs w:val="20"/>
              </w:rPr>
              <w:t>-0.13</w:t>
            </w:r>
          </w:p>
        </w:tc>
        <w:tc>
          <w:tcPr>
            <w:tcW w:w="1260" w:type="dxa"/>
            <w:tcBorders>
              <w:left w:val="nil"/>
              <w:right w:val="nil"/>
            </w:tcBorders>
            <w:shd w:val="clear" w:color="auto" w:fill="auto"/>
            <w:noWrap/>
            <w:vAlign w:val="bottom"/>
            <w:hideMark/>
          </w:tcPr>
          <w:p w14:paraId="30E11AE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-0.64, 0.38</w:t>
            </w:r>
          </w:p>
        </w:tc>
        <w:tc>
          <w:tcPr>
            <w:tcW w:w="828" w:type="dxa"/>
            <w:tcBorders>
              <w:left w:val="nil"/>
              <w:right w:val="nil"/>
            </w:tcBorders>
            <w:shd w:val="clear" w:color="auto" w:fill="auto"/>
            <w:noWrap/>
            <w:vAlign w:val="bottom"/>
            <w:hideMark/>
          </w:tcPr>
          <w:p w14:paraId="46D1314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0.601</w:t>
            </w:r>
          </w:p>
        </w:tc>
        <w:tc>
          <w:tcPr>
            <w:tcW w:w="792" w:type="dxa"/>
            <w:tcBorders>
              <w:left w:val="nil"/>
              <w:right w:val="nil"/>
            </w:tcBorders>
            <w:shd w:val="clear" w:color="auto" w:fill="auto"/>
            <w:noWrap/>
            <w:vAlign w:val="bottom"/>
            <w:hideMark/>
          </w:tcPr>
          <w:p w14:paraId="625C878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0.25</w:t>
            </w:r>
          </w:p>
        </w:tc>
        <w:tc>
          <w:tcPr>
            <w:tcW w:w="1265" w:type="dxa"/>
            <w:tcBorders>
              <w:left w:val="nil"/>
              <w:right w:val="nil"/>
            </w:tcBorders>
            <w:shd w:val="clear" w:color="auto" w:fill="auto"/>
            <w:noWrap/>
            <w:vAlign w:val="bottom"/>
            <w:hideMark/>
          </w:tcPr>
          <w:p w14:paraId="12C8F162"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-0.45, 0.94</w:t>
            </w:r>
          </w:p>
        </w:tc>
        <w:tc>
          <w:tcPr>
            <w:tcW w:w="810" w:type="dxa"/>
            <w:tcBorders>
              <w:left w:val="nil"/>
              <w:right w:val="nil"/>
            </w:tcBorders>
            <w:shd w:val="clear" w:color="auto" w:fill="auto"/>
            <w:noWrap/>
            <w:vAlign w:val="bottom"/>
            <w:hideMark/>
          </w:tcPr>
          <w:p w14:paraId="41E1092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0.466</w:t>
            </w:r>
          </w:p>
        </w:tc>
        <w:tc>
          <w:tcPr>
            <w:tcW w:w="718" w:type="dxa"/>
            <w:tcBorders>
              <w:left w:val="nil"/>
              <w:right w:val="nil"/>
            </w:tcBorders>
            <w:shd w:val="clear" w:color="auto" w:fill="auto"/>
            <w:noWrap/>
            <w:vAlign w:val="bottom"/>
            <w:hideMark/>
          </w:tcPr>
          <w:p w14:paraId="7129F59C"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-0.57</w:t>
            </w:r>
          </w:p>
        </w:tc>
        <w:tc>
          <w:tcPr>
            <w:tcW w:w="1260" w:type="dxa"/>
            <w:tcBorders>
              <w:left w:val="nil"/>
              <w:right w:val="nil"/>
            </w:tcBorders>
            <w:shd w:val="clear" w:color="auto" w:fill="auto"/>
            <w:noWrap/>
            <w:vAlign w:val="bottom"/>
            <w:hideMark/>
          </w:tcPr>
          <w:p w14:paraId="71C061F2"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-1.09, -0.05</w:t>
            </w:r>
          </w:p>
        </w:tc>
        <w:tc>
          <w:tcPr>
            <w:tcW w:w="810" w:type="dxa"/>
            <w:tcBorders>
              <w:left w:val="nil"/>
              <w:right w:val="nil"/>
            </w:tcBorders>
            <w:shd w:val="clear" w:color="auto" w:fill="auto"/>
            <w:noWrap/>
            <w:vAlign w:val="bottom"/>
            <w:hideMark/>
          </w:tcPr>
          <w:p w14:paraId="7C7A7FEA"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0.033</w:t>
            </w:r>
          </w:p>
        </w:tc>
        <w:tc>
          <w:tcPr>
            <w:tcW w:w="1170" w:type="dxa"/>
            <w:tcBorders>
              <w:left w:val="nil"/>
              <w:right w:val="nil"/>
            </w:tcBorders>
            <w:shd w:val="clear" w:color="auto" w:fill="auto"/>
            <w:noWrap/>
            <w:vAlign w:val="bottom"/>
            <w:hideMark/>
          </w:tcPr>
          <w:p w14:paraId="028A2FB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24</w:t>
            </w:r>
          </w:p>
        </w:tc>
        <w:tc>
          <w:tcPr>
            <w:tcW w:w="1035" w:type="dxa"/>
            <w:tcBorders>
              <w:left w:val="nil"/>
              <w:right w:val="nil"/>
            </w:tcBorders>
            <w:shd w:val="clear" w:color="auto" w:fill="auto"/>
            <w:noWrap/>
            <w:vAlign w:val="bottom"/>
            <w:hideMark/>
          </w:tcPr>
          <w:p w14:paraId="0A555521"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11.33</w:t>
            </w:r>
          </w:p>
        </w:tc>
      </w:tr>
      <w:tr w:rsidR="00BF67EF" w:rsidRPr="00BF67EF" w14:paraId="27AB4B30" w14:textId="77777777" w:rsidTr="0061013B">
        <w:trPr>
          <w:trHeight w:val="300"/>
        </w:trPr>
        <w:tc>
          <w:tcPr>
            <w:tcW w:w="3235" w:type="dxa"/>
            <w:tcBorders>
              <w:left w:val="nil"/>
              <w:right w:val="nil"/>
            </w:tcBorders>
            <w:shd w:val="clear" w:color="auto" w:fill="auto"/>
            <w:noWrap/>
            <w:vAlign w:val="bottom"/>
            <w:hideMark/>
          </w:tcPr>
          <w:p w14:paraId="14902560"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on route</w:t>
            </w:r>
          </w:p>
        </w:tc>
        <w:tc>
          <w:tcPr>
            <w:tcW w:w="10758" w:type="dxa"/>
            <w:gridSpan w:val="11"/>
            <w:tcBorders>
              <w:left w:val="nil"/>
              <w:right w:val="nil"/>
            </w:tcBorders>
            <w:shd w:val="clear" w:color="auto" w:fill="auto"/>
            <w:noWrap/>
            <w:vAlign w:val="bottom"/>
          </w:tcPr>
          <w:p w14:paraId="78F69B28" w14:textId="77777777" w:rsidR="00BF67EF" w:rsidRPr="00BF67EF" w:rsidRDefault="00BF67EF" w:rsidP="00BF67EF">
            <w:pPr>
              <w:spacing w:after="0" w:line="240" w:lineRule="auto"/>
              <w:rPr>
                <w:rFonts w:ascii="Calibri" w:eastAsia="Times New Roman" w:hAnsi="Calibri" w:cs="Calibri"/>
                <w:color w:val="000000"/>
                <w:sz w:val="20"/>
                <w:szCs w:val="20"/>
              </w:rPr>
            </w:pPr>
            <w:r w:rsidRPr="00BF67EF">
              <w:rPr>
                <w:rFonts w:ascii="Calibri" w:eastAsia="Times New Roman" w:hAnsi="Calibri" w:cs="Calibri"/>
                <w:color w:val="000000"/>
                <w:sz w:val="20"/>
                <w:szCs w:val="20"/>
              </w:rPr>
              <w:t>Incalculable</w:t>
            </w:r>
          </w:p>
        </w:tc>
      </w:tr>
      <w:tr w:rsidR="00BF67EF" w:rsidRPr="00BF67EF" w14:paraId="51586345" w14:textId="77777777" w:rsidTr="0061013B">
        <w:trPr>
          <w:trHeight w:val="300"/>
        </w:trPr>
        <w:tc>
          <w:tcPr>
            <w:tcW w:w="3235" w:type="dxa"/>
            <w:tcBorders>
              <w:left w:val="nil"/>
              <w:right w:val="nil"/>
            </w:tcBorders>
            <w:shd w:val="clear" w:color="auto" w:fill="auto"/>
            <w:noWrap/>
            <w:vAlign w:val="bottom"/>
            <w:hideMark/>
          </w:tcPr>
          <w:p w14:paraId="71703B70"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elsewhere</w:t>
            </w:r>
          </w:p>
        </w:tc>
        <w:tc>
          <w:tcPr>
            <w:tcW w:w="10758" w:type="dxa"/>
            <w:gridSpan w:val="11"/>
            <w:tcBorders>
              <w:left w:val="nil"/>
              <w:right w:val="nil"/>
            </w:tcBorders>
            <w:shd w:val="clear" w:color="auto" w:fill="auto"/>
            <w:noWrap/>
            <w:vAlign w:val="bottom"/>
          </w:tcPr>
          <w:p w14:paraId="79A53111" w14:textId="77777777" w:rsidR="00BF67EF" w:rsidRPr="00BF67EF" w:rsidRDefault="00BF67EF" w:rsidP="00BF67EF">
            <w:pPr>
              <w:spacing w:after="0" w:line="240" w:lineRule="auto"/>
              <w:rPr>
                <w:rFonts w:ascii="Calibri" w:eastAsia="Times New Roman" w:hAnsi="Calibri" w:cs="Calibri"/>
                <w:color w:val="000000"/>
                <w:sz w:val="20"/>
                <w:szCs w:val="20"/>
              </w:rPr>
            </w:pPr>
            <w:r w:rsidRPr="00BF67EF">
              <w:rPr>
                <w:rFonts w:ascii="Calibri" w:eastAsia="Times New Roman" w:hAnsi="Calibri" w:cs="Calibri"/>
                <w:color w:val="000000"/>
                <w:sz w:val="20"/>
                <w:szCs w:val="20"/>
              </w:rPr>
              <w:t>Incalculable</w:t>
            </w:r>
          </w:p>
        </w:tc>
      </w:tr>
      <w:tr w:rsidR="00BF67EF" w:rsidRPr="00BF67EF" w14:paraId="6B2ACDF0" w14:textId="77777777" w:rsidTr="0061013B">
        <w:trPr>
          <w:trHeight w:val="300"/>
        </w:trPr>
        <w:tc>
          <w:tcPr>
            <w:tcW w:w="3235" w:type="dxa"/>
            <w:tcBorders>
              <w:left w:val="nil"/>
              <w:right w:val="nil"/>
            </w:tcBorders>
            <w:shd w:val="clear" w:color="auto" w:fill="auto"/>
            <w:noWrap/>
            <w:vAlign w:val="bottom"/>
            <w:hideMark/>
          </w:tcPr>
          <w:p w14:paraId="46E51EEA"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Illness recognition</w:t>
            </w:r>
          </w:p>
        </w:tc>
        <w:tc>
          <w:tcPr>
            <w:tcW w:w="810" w:type="dxa"/>
            <w:tcBorders>
              <w:left w:val="nil"/>
              <w:right w:val="nil"/>
            </w:tcBorders>
            <w:shd w:val="clear" w:color="auto" w:fill="auto"/>
            <w:noWrap/>
            <w:vAlign w:val="bottom"/>
            <w:hideMark/>
          </w:tcPr>
          <w:p w14:paraId="5EDFD07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0.05</w:t>
            </w:r>
          </w:p>
        </w:tc>
        <w:tc>
          <w:tcPr>
            <w:tcW w:w="1260" w:type="dxa"/>
            <w:tcBorders>
              <w:left w:val="nil"/>
              <w:right w:val="nil"/>
            </w:tcBorders>
            <w:shd w:val="clear" w:color="auto" w:fill="auto"/>
            <w:noWrap/>
            <w:vAlign w:val="bottom"/>
            <w:hideMark/>
          </w:tcPr>
          <w:p w14:paraId="4B4D872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-0.04, 0.14</w:t>
            </w:r>
          </w:p>
        </w:tc>
        <w:tc>
          <w:tcPr>
            <w:tcW w:w="828" w:type="dxa"/>
            <w:tcBorders>
              <w:left w:val="nil"/>
              <w:right w:val="nil"/>
            </w:tcBorders>
            <w:shd w:val="clear" w:color="auto" w:fill="auto"/>
            <w:noWrap/>
            <w:vAlign w:val="bottom"/>
            <w:hideMark/>
          </w:tcPr>
          <w:p w14:paraId="7846AAC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0.272</w:t>
            </w:r>
          </w:p>
        </w:tc>
        <w:tc>
          <w:tcPr>
            <w:tcW w:w="792" w:type="dxa"/>
            <w:tcBorders>
              <w:left w:val="nil"/>
              <w:right w:val="nil"/>
            </w:tcBorders>
            <w:shd w:val="clear" w:color="auto" w:fill="auto"/>
            <w:noWrap/>
            <w:vAlign w:val="bottom"/>
            <w:hideMark/>
          </w:tcPr>
          <w:p w14:paraId="4A1346D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0.04</w:t>
            </w:r>
          </w:p>
        </w:tc>
        <w:tc>
          <w:tcPr>
            <w:tcW w:w="1265" w:type="dxa"/>
            <w:tcBorders>
              <w:left w:val="nil"/>
              <w:right w:val="nil"/>
            </w:tcBorders>
            <w:shd w:val="clear" w:color="auto" w:fill="auto"/>
            <w:noWrap/>
            <w:vAlign w:val="bottom"/>
            <w:hideMark/>
          </w:tcPr>
          <w:p w14:paraId="6090EA1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-0.05, 0.13</w:t>
            </w:r>
          </w:p>
        </w:tc>
        <w:tc>
          <w:tcPr>
            <w:tcW w:w="810" w:type="dxa"/>
            <w:tcBorders>
              <w:left w:val="nil"/>
              <w:right w:val="nil"/>
            </w:tcBorders>
            <w:shd w:val="clear" w:color="auto" w:fill="auto"/>
            <w:noWrap/>
            <w:vAlign w:val="bottom"/>
            <w:hideMark/>
          </w:tcPr>
          <w:p w14:paraId="32713B3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0.372</w:t>
            </w:r>
          </w:p>
        </w:tc>
        <w:tc>
          <w:tcPr>
            <w:tcW w:w="718" w:type="dxa"/>
            <w:tcBorders>
              <w:left w:val="nil"/>
              <w:right w:val="nil"/>
            </w:tcBorders>
            <w:shd w:val="clear" w:color="auto" w:fill="auto"/>
            <w:noWrap/>
            <w:vAlign w:val="bottom"/>
            <w:hideMark/>
          </w:tcPr>
          <w:p w14:paraId="3CFA668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-0.04</w:t>
            </w:r>
          </w:p>
        </w:tc>
        <w:tc>
          <w:tcPr>
            <w:tcW w:w="1260" w:type="dxa"/>
            <w:tcBorders>
              <w:left w:val="nil"/>
              <w:right w:val="nil"/>
            </w:tcBorders>
            <w:shd w:val="clear" w:color="auto" w:fill="auto"/>
            <w:noWrap/>
            <w:vAlign w:val="bottom"/>
            <w:hideMark/>
          </w:tcPr>
          <w:p w14:paraId="6D3D35CB"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-0.13, 0.05</w:t>
            </w:r>
          </w:p>
        </w:tc>
        <w:tc>
          <w:tcPr>
            <w:tcW w:w="810" w:type="dxa"/>
            <w:tcBorders>
              <w:left w:val="nil"/>
              <w:right w:val="nil"/>
            </w:tcBorders>
            <w:shd w:val="clear" w:color="auto" w:fill="auto"/>
            <w:noWrap/>
            <w:vAlign w:val="bottom"/>
            <w:hideMark/>
          </w:tcPr>
          <w:p w14:paraId="60458F4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0.342</w:t>
            </w:r>
          </w:p>
        </w:tc>
        <w:tc>
          <w:tcPr>
            <w:tcW w:w="1170" w:type="dxa"/>
            <w:tcBorders>
              <w:left w:val="nil"/>
              <w:right w:val="nil"/>
            </w:tcBorders>
            <w:shd w:val="clear" w:color="auto" w:fill="auto"/>
            <w:noWrap/>
            <w:vAlign w:val="bottom"/>
            <w:hideMark/>
          </w:tcPr>
          <w:p w14:paraId="67966B3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17</w:t>
            </w:r>
          </w:p>
        </w:tc>
        <w:tc>
          <w:tcPr>
            <w:tcW w:w="1035" w:type="dxa"/>
            <w:tcBorders>
              <w:left w:val="nil"/>
              <w:right w:val="nil"/>
            </w:tcBorders>
            <w:shd w:val="clear" w:color="auto" w:fill="auto"/>
            <w:noWrap/>
            <w:vAlign w:val="bottom"/>
            <w:hideMark/>
          </w:tcPr>
          <w:p w14:paraId="109CD1D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11.51</w:t>
            </w:r>
          </w:p>
        </w:tc>
      </w:tr>
      <w:tr w:rsidR="00BF67EF" w:rsidRPr="00BF67EF" w14:paraId="12C87B32" w14:textId="77777777" w:rsidTr="0061013B">
        <w:trPr>
          <w:trHeight w:val="300"/>
        </w:trPr>
        <w:tc>
          <w:tcPr>
            <w:tcW w:w="3235" w:type="dxa"/>
            <w:tcBorders>
              <w:left w:val="nil"/>
              <w:right w:val="nil"/>
            </w:tcBorders>
            <w:shd w:val="clear" w:color="auto" w:fill="auto"/>
            <w:noWrap/>
            <w:vAlign w:val="bottom"/>
            <w:hideMark/>
          </w:tcPr>
          <w:p w14:paraId="642B702A"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Signs of severe illness</w:t>
            </w:r>
          </w:p>
        </w:tc>
        <w:tc>
          <w:tcPr>
            <w:tcW w:w="810" w:type="dxa"/>
            <w:tcBorders>
              <w:left w:val="nil"/>
              <w:right w:val="nil"/>
            </w:tcBorders>
            <w:shd w:val="clear" w:color="auto" w:fill="auto"/>
            <w:noWrap/>
            <w:vAlign w:val="bottom"/>
            <w:hideMark/>
          </w:tcPr>
          <w:p w14:paraId="717ADE6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0.13</w:t>
            </w:r>
          </w:p>
        </w:tc>
        <w:tc>
          <w:tcPr>
            <w:tcW w:w="1260" w:type="dxa"/>
            <w:tcBorders>
              <w:left w:val="nil"/>
              <w:right w:val="nil"/>
            </w:tcBorders>
            <w:shd w:val="clear" w:color="auto" w:fill="auto"/>
            <w:noWrap/>
            <w:vAlign w:val="bottom"/>
            <w:hideMark/>
          </w:tcPr>
          <w:p w14:paraId="11B261B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-0.20, 0.45</w:t>
            </w:r>
          </w:p>
        </w:tc>
        <w:tc>
          <w:tcPr>
            <w:tcW w:w="828" w:type="dxa"/>
            <w:tcBorders>
              <w:left w:val="nil"/>
              <w:right w:val="nil"/>
            </w:tcBorders>
            <w:shd w:val="clear" w:color="auto" w:fill="auto"/>
            <w:noWrap/>
            <w:vAlign w:val="bottom"/>
            <w:hideMark/>
          </w:tcPr>
          <w:p w14:paraId="035B9D1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0.399</w:t>
            </w:r>
          </w:p>
        </w:tc>
        <w:tc>
          <w:tcPr>
            <w:tcW w:w="792" w:type="dxa"/>
            <w:tcBorders>
              <w:left w:val="nil"/>
              <w:right w:val="nil"/>
            </w:tcBorders>
            <w:shd w:val="clear" w:color="auto" w:fill="auto"/>
            <w:noWrap/>
            <w:vAlign w:val="bottom"/>
            <w:hideMark/>
          </w:tcPr>
          <w:p w14:paraId="6CA685F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0.34</w:t>
            </w:r>
          </w:p>
        </w:tc>
        <w:tc>
          <w:tcPr>
            <w:tcW w:w="1265" w:type="dxa"/>
            <w:tcBorders>
              <w:left w:val="nil"/>
              <w:right w:val="nil"/>
            </w:tcBorders>
            <w:shd w:val="clear" w:color="auto" w:fill="auto"/>
            <w:noWrap/>
            <w:vAlign w:val="bottom"/>
            <w:hideMark/>
          </w:tcPr>
          <w:p w14:paraId="4B6E7CA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-0.15, 0.83</w:t>
            </w:r>
          </w:p>
        </w:tc>
        <w:tc>
          <w:tcPr>
            <w:tcW w:w="810" w:type="dxa"/>
            <w:tcBorders>
              <w:left w:val="nil"/>
              <w:right w:val="nil"/>
            </w:tcBorders>
            <w:shd w:val="clear" w:color="auto" w:fill="auto"/>
            <w:noWrap/>
            <w:vAlign w:val="bottom"/>
            <w:hideMark/>
          </w:tcPr>
          <w:p w14:paraId="68B0A20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0.149</w:t>
            </w:r>
          </w:p>
        </w:tc>
        <w:tc>
          <w:tcPr>
            <w:tcW w:w="718" w:type="dxa"/>
            <w:tcBorders>
              <w:left w:val="nil"/>
              <w:right w:val="nil"/>
            </w:tcBorders>
            <w:shd w:val="clear" w:color="auto" w:fill="auto"/>
            <w:noWrap/>
            <w:vAlign w:val="bottom"/>
            <w:hideMark/>
          </w:tcPr>
          <w:p w14:paraId="5B44C972"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-0.16</w:t>
            </w:r>
          </w:p>
        </w:tc>
        <w:tc>
          <w:tcPr>
            <w:tcW w:w="1260" w:type="dxa"/>
            <w:tcBorders>
              <w:left w:val="nil"/>
              <w:right w:val="nil"/>
            </w:tcBorders>
            <w:shd w:val="clear" w:color="auto" w:fill="auto"/>
            <w:noWrap/>
            <w:vAlign w:val="bottom"/>
            <w:hideMark/>
          </w:tcPr>
          <w:p w14:paraId="78F1119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-0.52, 0.19</w:t>
            </w:r>
          </w:p>
        </w:tc>
        <w:tc>
          <w:tcPr>
            <w:tcW w:w="810" w:type="dxa"/>
            <w:tcBorders>
              <w:left w:val="nil"/>
              <w:right w:val="nil"/>
            </w:tcBorders>
            <w:shd w:val="clear" w:color="auto" w:fill="auto"/>
            <w:noWrap/>
            <w:vAlign w:val="bottom"/>
            <w:hideMark/>
          </w:tcPr>
          <w:p w14:paraId="533E009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0.322</w:t>
            </w:r>
          </w:p>
        </w:tc>
        <w:tc>
          <w:tcPr>
            <w:tcW w:w="1170" w:type="dxa"/>
            <w:tcBorders>
              <w:left w:val="nil"/>
              <w:right w:val="nil"/>
            </w:tcBorders>
            <w:shd w:val="clear" w:color="auto" w:fill="auto"/>
            <w:noWrap/>
            <w:vAlign w:val="bottom"/>
            <w:hideMark/>
          </w:tcPr>
          <w:p w14:paraId="0CA9763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13</w:t>
            </w:r>
          </w:p>
        </w:tc>
        <w:tc>
          <w:tcPr>
            <w:tcW w:w="1035" w:type="dxa"/>
            <w:tcBorders>
              <w:left w:val="nil"/>
              <w:right w:val="nil"/>
            </w:tcBorders>
            <w:shd w:val="clear" w:color="auto" w:fill="auto"/>
            <w:noWrap/>
            <w:vAlign w:val="bottom"/>
            <w:hideMark/>
          </w:tcPr>
          <w:p w14:paraId="5C28581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1.13</w:t>
            </w:r>
          </w:p>
        </w:tc>
      </w:tr>
      <w:tr w:rsidR="00BF67EF" w:rsidRPr="00BF67EF" w14:paraId="133B8939" w14:textId="77777777" w:rsidTr="0061013B">
        <w:trPr>
          <w:trHeight w:val="300"/>
        </w:trPr>
        <w:tc>
          <w:tcPr>
            <w:tcW w:w="3235" w:type="dxa"/>
            <w:tcBorders>
              <w:left w:val="nil"/>
              <w:right w:val="nil"/>
            </w:tcBorders>
            <w:shd w:val="clear" w:color="auto" w:fill="auto"/>
            <w:noWrap/>
            <w:vAlign w:val="bottom"/>
            <w:hideMark/>
          </w:tcPr>
          <w:p w14:paraId="302AE4E9"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immediately/no care given</w:t>
            </w:r>
          </w:p>
        </w:tc>
        <w:tc>
          <w:tcPr>
            <w:tcW w:w="810" w:type="dxa"/>
            <w:tcBorders>
              <w:left w:val="nil"/>
              <w:right w:val="nil"/>
            </w:tcBorders>
            <w:shd w:val="clear" w:color="auto" w:fill="auto"/>
            <w:noWrap/>
            <w:vAlign w:val="bottom"/>
            <w:hideMark/>
          </w:tcPr>
          <w:p w14:paraId="789C9DE0"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-1.52</w:t>
            </w:r>
          </w:p>
        </w:tc>
        <w:tc>
          <w:tcPr>
            <w:tcW w:w="1260" w:type="dxa"/>
            <w:tcBorders>
              <w:left w:val="nil"/>
              <w:right w:val="nil"/>
            </w:tcBorders>
            <w:shd w:val="clear" w:color="auto" w:fill="auto"/>
            <w:noWrap/>
            <w:vAlign w:val="bottom"/>
            <w:hideMark/>
          </w:tcPr>
          <w:p w14:paraId="2B619569"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-2.48, -0.55</w:t>
            </w:r>
          </w:p>
        </w:tc>
        <w:tc>
          <w:tcPr>
            <w:tcW w:w="828" w:type="dxa"/>
            <w:tcBorders>
              <w:left w:val="nil"/>
              <w:right w:val="nil"/>
            </w:tcBorders>
            <w:shd w:val="clear" w:color="auto" w:fill="auto"/>
            <w:noWrap/>
            <w:vAlign w:val="bottom"/>
            <w:hideMark/>
          </w:tcPr>
          <w:p w14:paraId="59AD9A82"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0.005</w:t>
            </w:r>
          </w:p>
        </w:tc>
        <w:tc>
          <w:tcPr>
            <w:tcW w:w="792" w:type="dxa"/>
            <w:tcBorders>
              <w:left w:val="nil"/>
              <w:right w:val="nil"/>
            </w:tcBorders>
            <w:shd w:val="clear" w:color="auto" w:fill="auto"/>
            <w:noWrap/>
            <w:vAlign w:val="bottom"/>
            <w:hideMark/>
          </w:tcPr>
          <w:p w14:paraId="740D645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0.00</w:t>
            </w:r>
          </w:p>
        </w:tc>
        <w:tc>
          <w:tcPr>
            <w:tcW w:w="1265" w:type="dxa"/>
            <w:tcBorders>
              <w:left w:val="nil"/>
              <w:right w:val="nil"/>
            </w:tcBorders>
            <w:shd w:val="clear" w:color="auto" w:fill="auto"/>
            <w:noWrap/>
            <w:vAlign w:val="bottom"/>
            <w:hideMark/>
          </w:tcPr>
          <w:p w14:paraId="40D0164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-1.52, 1.52</w:t>
            </w:r>
          </w:p>
        </w:tc>
        <w:tc>
          <w:tcPr>
            <w:tcW w:w="810" w:type="dxa"/>
            <w:tcBorders>
              <w:left w:val="nil"/>
              <w:right w:val="nil"/>
            </w:tcBorders>
            <w:shd w:val="clear" w:color="auto" w:fill="auto"/>
            <w:noWrap/>
            <w:vAlign w:val="bottom"/>
            <w:hideMark/>
          </w:tcPr>
          <w:p w14:paraId="09F3A18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0.998</w:t>
            </w:r>
          </w:p>
        </w:tc>
        <w:tc>
          <w:tcPr>
            <w:tcW w:w="718" w:type="dxa"/>
            <w:tcBorders>
              <w:left w:val="nil"/>
              <w:right w:val="nil"/>
            </w:tcBorders>
            <w:shd w:val="clear" w:color="auto" w:fill="auto"/>
            <w:noWrap/>
            <w:vAlign w:val="bottom"/>
            <w:hideMark/>
          </w:tcPr>
          <w:p w14:paraId="6289461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-0.10</w:t>
            </w:r>
          </w:p>
        </w:tc>
        <w:tc>
          <w:tcPr>
            <w:tcW w:w="1260" w:type="dxa"/>
            <w:tcBorders>
              <w:left w:val="nil"/>
              <w:right w:val="nil"/>
            </w:tcBorders>
            <w:shd w:val="clear" w:color="auto" w:fill="auto"/>
            <w:noWrap/>
            <w:vAlign w:val="bottom"/>
            <w:hideMark/>
          </w:tcPr>
          <w:p w14:paraId="475285B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-1.08, 0.88</w:t>
            </w:r>
          </w:p>
        </w:tc>
        <w:tc>
          <w:tcPr>
            <w:tcW w:w="810" w:type="dxa"/>
            <w:tcBorders>
              <w:left w:val="nil"/>
              <w:right w:val="nil"/>
            </w:tcBorders>
            <w:shd w:val="clear" w:color="auto" w:fill="auto"/>
            <w:noWrap/>
            <w:vAlign w:val="bottom"/>
            <w:hideMark/>
          </w:tcPr>
          <w:p w14:paraId="43E1BC5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0.833</w:t>
            </w:r>
          </w:p>
        </w:tc>
        <w:tc>
          <w:tcPr>
            <w:tcW w:w="1170" w:type="dxa"/>
            <w:tcBorders>
              <w:left w:val="nil"/>
              <w:right w:val="nil"/>
            </w:tcBorders>
            <w:shd w:val="clear" w:color="auto" w:fill="auto"/>
            <w:noWrap/>
            <w:vAlign w:val="bottom"/>
            <w:hideMark/>
          </w:tcPr>
          <w:p w14:paraId="46041CAB"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17</w:t>
            </w:r>
          </w:p>
        </w:tc>
        <w:tc>
          <w:tcPr>
            <w:tcW w:w="1035" w:type="dxa"/>
            <w:tcBorders>
              <w:left w:val="nil"/>
              <w:right w:val="nil"/>
            </w:tcBorders>
            <w:shd w:val="clear" w:color="auto" w:fill="auto"/>
            <w:noWrap/>
            <w:vAlign w:val="bottom"/>
            <w:hideMark/>
          </w:tcPr>
          <w:p w14:paraId="26CCA0A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37.29</w:t>
            </w:r>
          </w:p>
        </w:tc>
      </w:tr>
      <w:tr w:rsidR="00BF67EF" w:rsidRPr="00BF67EF" w14:paraId="2F5034A9" w14:textId="77777777" w:rsidTr="0061013B">
        <w:trPr>
          <w:trHeight w:val="300"/>
        </w:trPr>
        <w:tc>
          <w:tcPr>
            <w:tcW w:w="3235" w:type="dxa"/>
            <w:tcBorders>
              <w:left w:val="nil"/>
              <w:right w:val="nil"/>
            </w:tcBorders>
            <w:shd w:val="clear" w:color="auto" w:fill="auto"/>
            <w:noWrap/>
            <w:vAlign w:val="bottom"/>
            <w:hideMark/>
          </w:tcPr>
          <w:p w14:paraId="6E0C1AC8"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Home care</w:t>
            </w:r>
          </w:p>
        </w:tc>
        <w:tc>
          <w:tcPr>
            <w:tcW w:w="810" w:type="dxa"/>
            <w:tcBorders>
              <w:left w:val="nil"/>
              <w:right w:val="nil"/>
            </w:tcBorders>
            <w:shd w:val="clear" w:color="auto" w:fill="auto"/>
            <w:noWrap/>
            <w:vAlign w:val="bottom"/>
            <w:hideMark/>
          </w:tcPr>
          <w:p w14:paraId="616C6B02"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1.18</w:t>
            </w:r>
          </w:p>
        </w:tc>
        <w:tc>
          <w:tcPr>
            <w:tcW w:w="1260" w:type="dxa"/>
            <w:tcBorders>
              <w:left w:val="nil"/>
              <w:right w:val="nil"/>
            </w:tcBorders>
            <w:shd w:val="clear" w:color="auto" w:fill="auto"/>
            <w:noWrap/>
            <w:vAlign w:val="bottom"/>
            <w:hideMark/>
          </w:tcPr>
          <w:p w14:paraId="17520B6A"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0.43, 1.92</w:t>
            </w:r>
          </w:p>
        </w:tc>
        <w:tc>
          <w:tcPr>
            <w:tcW w:w="828" w:type="dxa"/>
            <w:tcBorders>
              <w:left w:val="nil"/>
              <w:right w:val="nil"/>
            </w:tcBorders>
            <w:shd w:val="clear" w:color="auto" w:fill="auto"/>
            <w:noWrap/>
            <w:vAlign w:val="bottom"/>
            <w:hideMark/>
          </w:tcPr>
          <w:p w14:paraId="418C9343"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0.005</w:t>
            </w:r>
          </w:p>
        </w:tc>
        <w:tc>
          <w:tcPr>
            <w:tcW w:w="792" w:type="dxa"/>
            <w:tcBorders>
              <w:left w:val="nil"/>
              <w:right w:val="nil"/>
            </w:tcBorders>
            <w:shd w:val="clear" w:color="auto" w:fill="auto"/>
            <w:noWrap/>
            <w:vAlign w:val="bottom"/>
            <w:hideMark/>
          </w:tcPr>
          <w:p w14:paraId="48FA3C31"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-0.20</w:t>
            </w:r>
          </w:p>
        </w:tc>
        <w:tc>
          <w:tcPr>
            <w:tcW w:w="1265" w:type="dxa"/>
            <w:tcBorders>
              <w:left w:val="nil"/>
              <w:right w:val="nil"/>
            </w:tcBorders>
            <w:shd w:val="clear" w:color="auto" w:fill="auto"/>
            <w:noWrap/>
            <w:vAlign w:val="bottom"/>
            <w:hideMark/>
          </w:tcPr>
          <w:p w14:paraId="42E40F40"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-1.40, 1.00</w:t>
            </w:r>
          </w:p>
        </w:tc>
        <w:tc>
          <w:tcPr>
            <w:tcW w:w="810" w:type="dxa"/>
            <w:tcBorders>
              <w:left w:val="nil"/>
              <w:right w:val="nil"/>
            </w:tcBorders>
            <w:shd w:val="clear" w:color="auto" w:fill="auto"/>
            <w:noWrap/>
            <w:vAlign w:val="bottom"/>
            <w:hideMark/>
          </w:tcPr>
          <w:p w14:paraId="4229CFDC"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0.726</w:t>
            </w:r>
          </w:p>
        </w:tc>
        <w:tc>
          <w:tcPr>
            <w:tcW w:w="718" w:type="dxa"/>
            <w:tcBorders>
              <w:left w:val="nil"/>
              <w:right w:val="nil"/>
            </w:tcBorders>
            <w:shd w:val="clear" w:color="auto" w:fill="auto"/>
            <w:noWrap/>
            <w:vAlign w:val="bottom"/>
            <w:hideMark/>
          </w:tcPr>
          <w:p w14:paraId="5917FAF2"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0.18</w:t>
            </w:r>
          </w:p>
        </w:tc>
        <w:tc>
          <w:tcPr>
            <w:tcW w:w="1260" w:type="dxa"/>
            <w:tcBorders>
              <w:left w:val="nil"/>
              <w:right w:val="nil"/>
            </w:tcBorders>
            <w:shd w:val="clear" w:color="auto" w:fill="auto"/>
            <w:noWrap/>
            <w:vAlign w:val="bottom"/>
            <w:hideMark/>
          </w:tcPr>
          <w:p w14:paraId="0802EF7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-0.63, 1.00</w:t>
            </w:r>
          </w:p>
        </w:tc>
        <w:tc>
          <w:tcPr>
            <w:tcW w:w="810" w:type="dxa"/>
            <w:tcBorders>
              <w:left w:val="nil"/>
              <w:right w:val="nil"/>
            </w:tcBorders>
            <w:shd w:val="clear" w:color="auto" w:fill="auto"/>
            <w:noWrap/>
            <w:vAlign w:val="bottom"/>
            <w:hideMark/>
          </w:tcPr>
          <w:p w14:paraId="73A9114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0.632</w:t>
            </w:r>
          </w:p>
        </w:tc>
        <w:tc>
          <w:tcPr>
            <w:tcW w:w="1170" w:type="dxa"/>
            <w:tcBorders>
              <w:left w:val="nil"/>
              <w:right w:val="nil"/>
            </w:tcBorders>
            <w:shd w:val="clear" w:color="auto" w:fill="auto"/>
            <w:noWrap/>
            <w:vAlign w:val="bottom"/>
            <w:hideMark/>
          </w:tcPr>
          <w:p w14:paraId="3809A0D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16</w:t>
            </w:r>
          </w:p>
        </w:tc>
        <w:tc>
          <w:tcPr>
            <w:tcW w:w="1035" w:type="dxa"/>
            <w:tcBorders>
              <w:left w:val="nil"/>
              <w:right w:val="nil"/>
            </w:tcBorders>
            <w:shd w:val="clear" w:color="auto" w:fill="auto"/>
            <w:noWrap/>
            <w:vAlign w:val="bottom"/>
            <w:hideMark/>
          </w:tcPr>
          <w:p w14:paraId="646C71A2"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39.87</w:t>
            </w:r>
          </w:p>
        </w:tc>
      </w:tr>
      <w:tr w:rsidR="00BF67EF" w:rsidRPr="00BF67EF" w14:paraId="587C2E62" w14:textId="77777777" w:rsidTr="0061013B">
        <w:trPr>
          <w:trHeight w:val="300"/>
        </w:trPr>
        <w:tc>
          <w:tcPr>
            <w:tcW w:w="3235" w:type="dxa"/>
            <w:tcBorders>
              <w:left w:val="nil"/>
              <w:right w:val="nil"/>
            </w:tcBorders>
            <w:shd w:val="clear" w:color="auto" w:fill="auto"/>
            <w:noWrap/>
            <w:vAlign w:val="bottom"/>
            <w:hideMark/>
          </w:tcPr>
          <w:p w14:paraId="330104F2"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Sought/attempted to seek care</w:t>
            </w:r>
          </w:p>
        </w:tc>
        <w:tc>
          <w:tcPr>
            <w:tcW w:w="810" w:type="dxa"/>
            <w:tcBorders>
              <w:left w:val="nil"/>
              <w:right w:val="nil"/>
            </w:tcBorders>
            <w:shd w:val="clear" w:color="auto" w:fill="auto"/>
            <w:noWrap/>
            <w:vAlign w:val="bottom"/>
            <w:hideMark/>
          </w:tcPr>
          <w:p w14:paraId="492791AE"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0.53</w:t>
            </w:r>
          </w:p>
        </w:tc>
        <w:tc>
          <w:tcPr>
            <w:tcW w:w="1260" w:type="dxa"/>
            <w:tcBorders>
              <w:left w:val="nil"/>
              <w:right w:val="nil"/>
            </w:tcBorders>
            <w:shd w:val="clear" w:color="auto" w:fill="auto"/>
            <w:noWrap/>
            <w:vAlign w:val="bottom"/>
            <w:hideMark/>
          </w:tcPr>
          <w:p w14:paraId="0E0C8AEB"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0.27, 0.79</w:t>
            </w:r>
          </w:p>
        </w:tc>
        <w:tc>
          <w:tcPr>
            <w:tcW w:w="828" w:type="dxa"/>
            <w:tcBorders>
              <w:left w:val="nil"/>
              <w:right w:val="nil"/>
            </w:tcBorders>
            <w:shd w:val="clear" w:color="auto" w:fill="auto"/>
            <w:noWrap/>
            <w:vAlign w:val="bottom"/>
            <w:hideMark/>
          </w:tcPr>
          <w:p w14:paraId="123A1085"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&lt;0.001</w:t>
            </w:r>
          </w:p>
        </w:tc>
        <w:tc>
          <w:tcPr>
            <w:tcW w:w="792" w:type="dxa"/>
            <w:tcBorders>
              <w:left w:val="nil"/>
              <w:right w:val="nil"/>
            </w:tcBorders>
            <w:shd w:val="clear" w:color="auto" w:fill="auto"/>
            <w:noWrap/>
            <w:vAlign w:val="bottom"/>
            <w:hideMark/>
          </w:tcPr>
          <w:p w14:paraId="58988C2A"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-0.04</w:t>
            </w:r>
          </w:p>
        </w:tc>
        <w:tc>
          <w:tcPr>
            <w:tcW w:w="1265" w:type="dxa"/>
            <w:tcBorders>
              <w:left w:val="nil"/>
              <w:right w:val="nil"/>
            </w:tcBorders>
            <w:shd w:val="clear" w:color="auto" w:fill="auto"/>
            <w:noWrap/>
            <w:vAlign w:val="bottom"/>
            <w:hideMark/>
          </w:tcPr>
          <w:p w14:paraId="6F461CE5"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-0.57, 0.48</w:t>
            </w:r>
          </w:p>
        </w:tc>
        <w:tc>
          <w:tcPr>
            <w:tcW w:w="810" w:type="dxa"/>
            <w:tcBorders>
              <w:left w:val="nil"/>
              <w:right w:val="nil"/>
            </w:tcBorders>
            <w:shd w:val="clear" w:color="auto" w:fill="auto"/>
            <w:noWrap/>
            <w:vAlign w:val="bottom"/>
            <w:hideMark/>
          </w:tcPr>
          <w:p w14:paraId="6FCF5DC5"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0.862</w:t>
            </w:r>
          </w:p>
        </w:tc>
        <w:tc>
          <w:tcPr>
            <w:tcW w:w="718" w:type="dxa"/>
            <w:tcBorders>
              <w:left w:val="nil"/>
              <w:right w:val="nil"/>
            </w:tcBorders>
            <w:shd w:val="clear" w:color="auto" w:fill="auto"/>
            <w:noWrap/>
            <w:vAlign w:val="bottom"/>
            <w:hideMark/>
          </w:tcPr>
          <w:p w14:paraId="014D540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0.01</w:t>
            </w:r>
          </w:p>
        </w:tc>
        <w:tc>
          <w:tcPr>
            <w:tcW w:w="1260" w:type="dxa"/>
            <w:tcBorders>
              <w:left w:val="nil"/>
              <w:right w:val="nil"/>
            </w:tcBorders>
            <w:shd w:val="clear" w:color="auto" w:fill="auto"/>
            <w:noWrap/>
            <w:vAlign w:val="bottom"/>
            <w:hideMark/>
          </w:tcPr>
          <w:p w14:paraId="0E9CE44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-0.25, 0.28</w:t>
            </w:r>
          </w:p>
        </w:tc>
        <w:tc>
          <w:tcPr>
            <w:tcW w:w="810" w:type="dxa"/>
            <w:tcBorders>
              <w:left w:val="nil"/>
              <w:right w:val="nil"/>
            </w:tcBorders>
            <w:shd w:val="clear" w:color="auto" w:fill="auto"/>
            <w:noWrap/>
            <w:vAlign w:val="bottom"/>
            <w:hideMark/>
          </w:tcPr>
          <w:p w14:paraId="33EDAAC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0.928</w:t>
            </w:r>
          </w:p>
        </w:tc>
        <w:tc>
          <w:tcPr>
            <w:tcW w:w="1170" w:type="dxa"/>
            <w:tcBorders>
              <w:left w:val="nil"/>
              <w:right w:val="nil"/>
            </w:tcBorders>
            <w:shd w:val="clear" w:color="auto" w:fill="auto"/>
            <w:noWrap/>
            <w:vAlign w:val="bottom"/>
            <w:hideMark/>
          </w:tcPr>
          <w:p w14:paraId="3FBD110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31</w:t>
            </w:r>
          </w:p>
        </w:tc>
        <w:tc>
          <w:tcPr>
            <w:tcW w:w="1035" w:type="dxa"/>
            <w:tcBorders>
              <w:left w:val="nil"/>
              <w:right w:val="nil"/>
            </w:tcBorders>
            <w:shd w:val="clear" w:color="auto" w:fill="auto"/>
            <w:noWrap/>
            <w:vAlign w:val="bottom"/>
            <w:hideMark/>
          </w:tcPr>
          <w:p w14:paraId="534350B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36.90</w:t>
            </w:r>
          </w:p>
        </w:tc>
      </w:tr>
      <w:tr w:rsidR="00BF67EF" w:rsidRPr="00BF67EF" w14:paraId="6F0129E8" w14:textId="77777777" w:rsidTr="0061013B">
        <w:trPr>
          <w:trHeight w:val="300"/>
        </w:trPr>
        <w:tc>
          <w:tcPr>
            <w:tcW w:w="3235" w:type="dxa"/>
            <w:tcBorders>
              <w:left w:val="nil"/>
              <w:right w:val="nil"/>
            </w:tcBorders>
            <w:shd w:val="clear" w:color="auto" w:fill="auto"/>
            <w:noWrap/>
            <w:vAlign w:val="bottom"/>
            <w:hideMark/>
          </w:tcPr>
          <w:p w14:paraId="2F0C3E65"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Sought/attempted to seek formal care</w:t>
            </w:r>
          </w:p>
        </w:tc>
        <w:tc>
          <w:tcPr>
            <w:tcW w:w="810" w:type="dxa"/>
            <w:tcBorders>
              <w:left w:val="nil"/>
              <w:right w:val="nil"/>
            </w:tcBorders>
            <w:shd w:val="clear" w:color="auto" w:fill="auto"/>
            <w:noWrap/>
            <w:vAlign w:val="bottom"/>
            <w:hideMark/>
          </w:tcPr>
          <w:p w14:paraId="03C2658A"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0.59</w:t>
            </w:r>
          </w:p>
        </w:tc>
        <w:tc>
          <w:tcPr>
            <w:tcW w:w="1260" w:type="dxa"/>
            <w:tcBorders>
              <w:left w:val="nil"/>
              <w:right w:val="nil"/>
            </w:tcBorders>
            <w:shd w:val="clear" w:color="auto" w:fill="auto"/>
            <w:noWrap/>
            <w:vAlign w:val="bottom"/>
            <w:hideMark/>
          </w:tcPr>
          <w:p w14:paraId="53BDFF20"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0.28, 0.90</w:t>
            </w:r>
          </w:p>
        </w:tc>
        <w:tc>
          <w:tcPr>
            <w:tcW w:w="828" w:type="dxa"/>
            <w:tcBorders>
              <w:left w:val="nil"/>
              <w:right w:val="nil"/>
            </w:tcBorders>
            <w:shd w:val="clear" w:color="auto" w:fill="auto"/>
            <w:noWrap/>
            <w:vAlign w:val="bottom"/>
            <w:hideMark/>
          </w:tcPr>
          <w:p w14:paraId="3AF15DF8"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0.001</w:t>
            </w:r>
          </w:p>
        </w:tc>
        <w:tc>
          <w:tcPr>
            <w:tcW w:w="792" w:type="dxa"/>
            <w:tcBorders>
              <w:left w:val="nil"/>
              <w:right w:val="nil"/>
            </w:tcBorders>
            <w:shd w:val="clear" w:color="auto" w:fill="auto"/>
            <w:noWrap/>
            <w:vAlign w:val="bottom"/>
            <w:hideMark/>
          </w:tcPr>
          <w:p w14:paraId="58AEC9C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0.03</w:t>
            </w:r>
          </w:p>
        </w:tc>
        <w:tc>
          <w:tcPr>
            <w:tcW w:w="1265" w:type="dxa"/>
            <w:tcBorders>
              <w:left w:val="nil"/>
              <w:right w:val="nil"/>
            </w:tcBorders>
            <w:shd w:val="clear" w:color="auto" w:fill="auto"/>
            <w:noWrap/>
            <w:vAlign w:val="bottom"/>
            <w:hideMark/>
          </w:tcPr>
          <w:p w14:paraId="448003E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-0.26, 0.31</w:t>
            </w:r>
          </w:p>
        </w:tc>
        <w:tc>
          <w:tcPr>
            <w:tcW w:w="810" w:type="dxa"/>
            <w:tcBorders>
              <w:left w:val="nil"/>
              <w:right w:val="nil"/>
            </w:tcBorders>
            <w:shd w:val="clear" w:color="auto" w:fill="auto"/>
            <w:noWrap/>
            <w:vAlign w:val="bottom"/>
            <w:hideMark/>
          </w:tcPr>
          <w:p w14:paraId="7E23881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0.851</w:t>
            </w:r>
          </w:p>
        </w:tc>
        <w:tc>
          <w:tcPr>
            <w:tcW w:w="718" w:type="dxa"/>
            <w:tcBorders>
              <w:left w:val="nil"/>
              <w:right w:val="nil"/>
            </w:tcBorders>
            <w:shd w:val="clear" w:color="auto" w:fill="auto"/>
            <w:noWrap/>
            <w:vAlign w:val="bottom"/>
            <w:hideMark/>
          </w:tcPr>
          <w:p w14:paraId="3429CBC1"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-0.08</w:t>
            </w:r>
          </w:p>
        </w:tc>
        <w:tc>
          <w:tcPr>
            <w:tcW w:w="1260" w:type="dxa"/>
            <w:tcBorders>
              <w:left w:val="nil"/>
              <w:right w:val="nil"/>
            </w:tcBorders>
            <w:shd w:val="clear" w:color="auto" w:fill="auto"/>
            <w:noWrap/>
            <w:vAlign w:val="bottom"/>
            <w:hideMark/>
          </w:tcPr>
          <w:p w14:paraId="427A717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-0.39, 0.23</w:t>
            </w:r>
          </w:p>
        </w:tc>
        <w:tc>
          <w:tcPr>
            <w:tcW w:w="810" w:type="dxa"/>
            <w:tcBorders>
              <w:left w:val="nil"/>
              <w:right w:val="nil"/>
            </w:tcBorders>
            <w:shd w:val="clear" w:color="auto" w:fill="auto"/>
            <w:noWrap/>
            <w:vAlign w:val="bottom"/>
            <w:hideMark/>
          </w:tcPr>
          <w:p w14:paraId="6E5FF7E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0.604</w:t>
            </w:r>
          </w:p>
        </w:tc>
        <w:tc>
          <w:tcPr>
            <w:tcW w:w="1170" w:type="dxa"/>
            <w:tcBorders>
              <w:left w:val="nil"/>
              <w:right w:val="nil"/>
            </w:tcBorders>
            <w:shd w:val="clear" w:color="auto" w:fill="auto"/>
            <w:noWrap/>
            <w:vAlign w:val="bottom"/>
            <w:hideMark/>
          </w:tcPr>
          <w:p w14:paraId="72B788E0"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29</w:t>
            </w:r>
          </w:p>
        </w:tc>
        <w:tc>
          <w:tcPr>
            <w:tcW w:w="1035" w:type="dxa"/>
            <w:tcBorders>
              <w:left w:val="nil"/>
              <w:right w:val="nil"/>
            </w:tcBorders>
            <w:shd w:val="clear" w:color="auto" w:fill="auto"/>
            <w:noWrap/>
            <w:vAlign w:val="bottom"/>
            <w:hideMark/>
          </w:tcPr>
          <w:p w14:paraId="060AFFBA"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33.29</w:t>
            </w:r>
          </w:p>
        </w:tc>
      </w:tr>
      <w:tr w:rsidR="00BF67EF" w:rsidRPr="00BF67EF" w14:paraId="5C72838C" w14:textId="77777777" w:rsidTr="0061013B">
        <w:trPr>
          <w:trHeight w:val="300"/>
        </w:trPr>
        <w:tc>
          <w:tcPr>
            <w:tcW w:w="3235" w:type="dxa"/>
            <w:tcBorders>
              <w:left w:val="nil"/>
              <w:right w:val="nil"/>
            </w:tcBorders>
            <w:shd w:val="clear" w:color="auto" w:fill="auto"/>
            <w:noWrap/>
            <w:vAlign w:val="bottom"/>
            <w:hideMark/>
          </w:tcPr>
          <w:p w14:paraId="1AB190FC"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Sought/attempted to seek informal care</w:t>
            </w:r>
          </w:p>
        </w:tc>
        <w:tc>
          <w:tcPr>
            <w:tcW w:w="810" w:type="dxa"/>
            <w:tcBorders>
              <w:left w:val="nil"/>
              <w:right w:val="nil"/>
            </w:tcBorders>
            <w:shd w:val="clear" w:color="auto" w:fill="auto"/>
            <w:noWrap/>
            <w:vAlign w:val="bottom"/>
            <w:hideMark/>
          </w:tcPr>
          <w:p w14:paraId="2913D60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0.50</w:t>
            </w:r>
          </w:p>
        </w:tc>
        <w:tc>
          <w:tcPr>
            <w:tcW w:w="1260" w:type="dxa"/>
            <w:tcBorders>
              <w:left w:val="nil"/>
              <w:right w:val="nil"/>
            </w:tcBorders>
            <w:shd w:val="clear" w:color="auto" w:fill="auto"/>
            <w:noWrap/>
            <w:vAlign w:val="bottom"/>
            <w:hideMark/>
          </w:tcPr>
          <w:p w14:paraId="7905E8F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-0.30, 1.30</w:t>
            </w:r>
          </w:p>
        </w:tc>
        <w:tc>
          <w:tcPr>
            <w:tcW w:w="828" w:type="dxa"/>
            <w:tcBorders>
              <w:left w:val="nil"/>
              <w:right w:val="nil"/>
            </w:tcBorders>
            <w:shd w:val="clear" w:color="auto" w:fill="auto"/>
            <w:noWrap/>
            <w:vAlign w:val="bottom"/>
            <w:hideMark/>
          </w:tcPr>
          <w:p w14:paraId="72C7F8B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0.201</w:t>
            </w:r>
          </w:p>
        </w:tc>
        <w:tc>
          <w:tcPr>
            <w:tcW w:w="792" w:type="dxa"/>
            <w:tcBorders>
              <w:left w:val="nil"/>
              <w:right w:val="nil"/>
            </w:tcBorders>
            <w:shd w:val="clear" w:color="auto" w:fill="auto"/>
            <w:noWrap/>
            <w:vAlign w:val="bottom"/>
            <w:hideMark/>
          </w:tcPr>
          <w:p w14:paraId="7C9D775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0.09</w:t>
            </w:r>
          </w:p>
        </w:tc>
        <w:tc>
          <w:tcPr>
            <w:tcW w:w="1265" w:type="dxa"/>
            <w:tcBorders>
              <w:left w:val="nil"/>
              <w:right w:val="nil"/>
            </w:tcBorders>
            <w:shd w:val="clear" w:color="auto" w:fill="auto"/>
            <w:noWrap/>
            <w:vAlign w:val="bottom"/>
            <w:hideMark/>
          </w:tcPr>
          <w:p w14:paraId="3FF8565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-0.54, 0.71</w:t>
            </w:r>
          </w:p>
        </w:tc>
        <w:tc>
          <w:tcPr>
            <w:tcW w:w="810" w:type="dxa"/>
            <w:tcBorders>
              <w:left w:val="nil"/>
              <w:right w:val="nil"/>
            </w:tcBorders>
            <w:shd w:val="clear" w:color="auto" w:fill="auto"/>
            <w:noWrap/>
            <w:vAlign w:val="bottom"/>
            <w:hideMark/>
          </w:tcPr>
          <w:p w14:paraId="35152CA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0.770</w:t>
            </w:r>
          </w:p>
        </w:tc>
        <w:tc>
          <w:tcPr>
            <w:tcW w:w="718" w:type="dxa"/>
            <w:tcBorders>
              <w:left w:val="nil"/>
              <w:right w:val="nil"/>
            </w:tcBorders>
            <w:shd w:val="clear" w:color="auto" w:fill="auto"/>
            <w:noWrap/>
            <w:vAlign w:val="bottom"/>
            <w:hideMark/>
          </w:tcPr>
          <w:p w14:paraId="086010B1"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0.73</w:t>
            </w:r>
          </w:p>
        </w:tc>
        <w:tc>
          <w:tcPr>
            <w:tcW w:w="1260" w:type="dxa"/>
            <w:tcBorders>
              <w:left w:val="nil"/>
              <w:right w:val="nil"/>
            </w:tcBorders>
            <w:shd w:val="clear" w:color="auto" w:fill="auto"/>
            <w:noWrap/>
            <w:vAlign w:val="bottom"/>
            <w:hideMark/>
          </w:tcPr>
          <w:p w14:paraId="686D04FB"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-0.08, 1.54</w:t>
            </w:r>
          </w:p>
        </w:tc>
        <w:tc>
          <w:tcPr>
            <w:tcW w:w="810" w:type="dxa"/>
            <w:tcBorders>
              <w:left w:val="nil"/>
              <w:right w:val="nil"/>
            </w:tcBorders>
            <w:shd w:val="clear" w:color="auto" w:fill="auto"/>
            <w:noWrap/>
            <w:vAlign w:val="bottom"/>
            <w:hideMark/>
          </w:tcPr>
          <w:p w14:paraId="3964F13E"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0.073</w:t>
            </w:r>
          </w:p>
        </w:tc>
        <w:tc>
          <w:tcPr>
            <w:tcW w:w="1170" w:type="dxa"/>
            <w:tcBorders>
              <w:left w:val="nil"/>
              <w:right w:val="nil"/>
            </w:tcBorders>
            <w:shd w:val="clear" w:color="auto" w:fill="auto"/>
            <w:noWrap/>
            <w:vAlign w:val="bottom"/>
            <w:hideMark/>
          </w:tcPr>
          <w:p w14:paraId="7087AC1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20</w:t>
            </w:r>
          </w:p>
        </w:tc>
        <w:tc>
          <w:tcPr>
            <w:tcW w:w="1035" w:type="dxa"/>
            <w:tcBorders>
              <w:left w:val="nil"/>
              <w:right w:val="nil"/>
            </w:tcBorders>
            <w:shd w:val="clear" w:color="auto" w:fill="auto"/>
            <w:noWrap/>
            <w:vAlign w:val="bottom"/>
            <w:hideMark/>
          </w:tcPr>
          <w:p w14:paraId="1FE2D78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10.22</w:t>
            </w:r>
          </w:p>
        </w:tc>
      </w:tr>
      <w:tr w:rsidR="00BF67EF" w:rsidRPr="00BF67EF" w14:paraId="0F7B28A8" w14:textId="77777777" w:rsidTr="0061013B">
        <w:trPr>
          <w:trHeight w:val="300"/>
        </w:trPr>
        <w:tc>
          <w:tcPr>
            <w:tcW w:w="3235" w:type="dxa"/>
            <w:tcBorders>
              <w:left w:val="nil"/>
              <w:right w:val="nil"/>
            </w:tcBorders>
            <w:shd w:val="clear" w:color="auto" w:fill="auto"/>
            <w:noWrap/>
            <w:vAlign w:val="bottom"/>
            <w:hideMark/>
          </w:tcPr>
          <w:p w14:paraId="302D6C39"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Died before setting out/on route to 1st provider</w:t>
            </w:r>
          </w:p>
        </w:tc>
        <w:tc>
          <w:tcPr>
            <w:tcW w:w="10758" w:type="dxa"/>
            <w:gridSpan w:val="11"/>
            <w:tcBorders>
              <w:left w:val="nil"/>
              <w:right w:val="nil"/>
            </w:tcBorders>
            <w:shd w:val="clear" w:color="auto" w:fill="auto"/>
            <w:noWrap/>
            <w:vAlign w:val="bottom"/>
          </w:tcPr>
          <w:p w14:paraId="599DA2CB" w14:textId="77777777" w:rsidR="00BF67EF" w:rsidRPr="00BF67EF" w:rsidRDefault="00BF67EF" w:rsidP="00BF67EF">
            <w:pPr>
              <w:spacing w:after="0" w:line="240" w:lineRule="auto"/>
              <w:rPr>
                <w:rFonts w:ascii="Calibri" w:eastAsia="Times New Roman" w:hAnsi="Calibri" w:cs="Calibri"/>
                <w:color w:val="000000"/>
                <w:sz w:val="20"/>
                <w:szCs w:val="20"/>
              </w:rPr>
            </w:pPr>
            <w:r w:rsidRPr="00BF67EF">
              <w:rPr>
                <w:rFonts w:ascii="Calibri" w:eastAsia="Times New Roman" w:hAnsi="Calibri" w:cs="Calibri"/>
                <w:color w:val="000000"/>
                <w:sz w:val="20"/>
                <w:szCs w:val="20"/>
              </w:rPr>
              <w:t>Incalculable</w:t>
            </w:r>
          </w:p>
        </w:tc>
      </w:tr>
      <w:tr w:rsidR="00BF67EF" w:rsidRPr="00BF67EF" w14:paraId="2778A2FD" w14:textId="77777777" w:rsidTr="0061013B">
        <w:trPr>
          <w:trHeight w:val="300"/>
        </w:trPr>
        <w:tc>
          <w:tcPr>
            <w:tcW w:w="3235" w:type="dxa"/>
            <w:tcBorders>
              <w:left w:val="nil"/>
              <w:right w:val="nil"/>
            </w:tcBorders>
            <w:shd w:val="clear" w:color="auto" w:fill="auto"/>
            <w:noWrap/>
            <w:vAlign w:val="bottom"/>
            <w:hideMark/>
          </w:tcPr>
          <w:p w14:paraId="02D35F85"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Arrived at facility alive</w:t>
            </w:r>
          </w:p>
        </w:tc>
        <w:tc>
          <w:tcPr>
            <w:tcW w:w="810" w:type="dxa"/>
            <w:tcBorders>
              <w:left w:val="nil"/>
              <w:right w:val="nil"/>
            </w:tcBorders>
            <w:shd w:val="clear" w:color="auto" w:fill="auto"/>
            <w:noWrap/>
            <w:vAlign w:val="bottom"/>
            <w:hideMark/>
          </w:tcPr>
          <w:p w14:paraId="0204246C"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0.47</w:t>
            </w:r>
          </w:p>
        </w:tc>
        <w:tc>
          <w:tcPr>
            <w:tcW w:w="1260" w:type="dxa"/>
            <w:tcBorders>
              <w:left w:val="nil"/>
              <w:right w:val="nil"/>
            </w:tcBorders>
            <w:shd w:val="clear" w:color="auto" w:fill="auto"/>
            <w:noWrap/>
            <w:vAlign w:val="bottom"/>
            <w:hideMark/>
          </w:tcPr>
          <w:p w14:paraId="73F5F210"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-0.07, 1.01</w:t>
            </w:r>
          </w:p>
        </w:tc>
        <w:tc>
          <w:tcPr>
            <w:tcW w:w="828" w:type="dxa"/>
            <w:tcBorders>
              <w:left w:val="nil"/>
              <w:right w:val="nil"/>
            </w:tcBorders>
            <w:shd w:val="clear" w:color="auto" w:fill="auto"/>
            <w:noWrap/>
            <w:vAlign w:val="bottom"/>
            <w:hideMark/>
          </w:tcPr>
          <w:p w14:paraId="3D5454CE"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0.082</w:t>
            </w:r>
          </w:p>
        </w:tc>
        <w:tc>
          <w:tcPr>
            <w:tcW w:w="792" w:type="dxa"/>
            <w:tcBorders>
              <w:left w:val="nil"/>
              <w:right w:val="nil"/>
            </w:tcBorders>
            <w:shd w:val="clear" w:color="auto" w:fill="auto"/>
            <w:noWrap/>
            <w:vAlign w:val="bottom"/>
            <w:hideMark/>
          </w:tcPr>
          <w:p w14:paraId="674644EA"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0.24</w:t>
            </w:r>
          </w:p>
        </w:tc>
        <w:tc>
          <w:tcPr>
            <w:tcW w:w="1265" w:type="dxa"/>
            <w:tcBorders>
              <w:left w:val="nil"/>
              <w:right w:val="nil"/>
            </w:tcBorders>
            <w:shd w:val="clear" w:color="auto" w:fill="auto"/>
            <w:noWrap/>
            <w:vAlign w:val="bottom"/>
            <w:hideMark/>
          </w:tcPr>
          <w:p w14:paraId="0DCEBC4C"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-0.55, 1.03</w:t>
            </w:r>
          </w:p>
        </w:tc>
        <w:tc>
          <w:tcPr>
            <w:tcW w:w="810" w:type="dxa"/>
            <w:tcBorders>
              <w:left w:val="nil"/>
              <w:right w:val="nil"/>
            </w:tcBorders>
            <w:shd w:val="clear" w:color="auto" w:fill="auto"/>
            <w:noWrap/>
            <w:vAlign w:val="bottom"/>
            <w:hideMark/>
          </w:tcPr>
          <w:p w14:paraId="4F1A69A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0.499</w:t>
            </w:r>
          </w:p>
        </w:tc>
        <w:tc>
          <w:tcPr>
            <w:tcW w:w="718" w:type="dxa"/>
            <w:tcBorders>
              <w:left w:val="nil"/>
              <w:right w:val="nil"/>
            </w:tcBorders>
            <w:shd w:val="clear" w:color="auto" w:fill="auto"/>
            <w:noWrap/>
            <w:vAlign w:val="bottom"/>
            <w:hideMark/>
          </w:tcPr>
          <w:p w14:paraId="43550949"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-0.24</w:t>
            </w:r>
          </w:p>
        </w:tc>
        <w:tc>
          <w:tcPr>
            <w:tcW w:w="1260" w:type="dxa"/>
            <w:tcBorders>
              <w:left w:val="nil"/>
              <w:right w:val="nil"/>
            </w:tcBorders>
            <w:shd w:val="clear" w:color="auto" w:fill="auto"/>
            <w:noWrap/>
            <w:vAlign w:val="bottom"/>
            <w:hideMark/>
          </w:tcPr>
          <w:p w14:paraId="3051FD87"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-0.84, 0.37</w:t>
            </w:r>
          </w:p>
        </w:tc>
        <w:tc>
          <w:tcPr>
            <w:tcW w:w="810" w:type="dxa"/>
            <w:tcBorders>
              <w:left w:val="nil"/>
              <w:right w:val="nil"/>
            </w:tcBorders>
            <w:shd w:val="clear" w:color="auto" w:fill="auto"/>
            <w:noWrap/>
            <w:vAlign w:val="bottom"/>
            <w:hideMark/>
          </w:tcPr>
          <w:p w14:paraId="5477ECD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0.391</w:t>
            </w:r>
          </w:p>
        </w:tc>
        <w:tc>
          <w:tcPr>
            <w:tcW w:w="1170" w:type="dxa"/>
            <w:tcBorders>
              <w:left w:val="nil"/>
              <w:right w:val="nil"/>
            </w:tcBorders>
            <w:shd w:val="clear" w:color="auto" w:fill="auto"/>
            <w:noWrap/>
            <w:vAlign w:val="bottom"/>
            <w:hideMark/>
          </w:tcPr>
          <w:p w14:paraId="17C71622"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12</w:t>
            </w:r>
          </w:p>
        </w:tc>
        <w:tc>
          <w:tcPr>
            <w:tcW w:w="1035" w:type="dxa"/>
            <w:tcBorders>
              <w:left w:val="nil"/>
              <w:right w:val="nil"/>
            </w:tcBorders>
            <w:shd w:val="clear" w:color="auto" w:fill="auto"/>
            <w:noWrap/>
            <w:vAlign w:val="bottom"/>
            <w:hideMark/>
          </w:tcPr>
          <w:p w14:paraId="4BA8D82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12.60</w:t>
            </w:r>
          </w:p>
        </w:tc>
      </w:tr>
      <w:tr w:rsidR="00BF67EF" w:rsidRPr="00BF67EF" w14:paraId="1EB9CCF2" w14:textId="77777777" w:rsidTr="0061013B">
        <w:trPr>
          <w:trHeight w:val="300"/>
        </w:trPr>
        <w:tc>
          <w:tcPr>
            <w:tcW w:w="3235" w:type="dxa"/>
            <w:tcBorders>
              <w:left w:val="nil"/>
              <w:right w:val="nil"/>
            </w:tcBorders>
            <w:shd w:val="clear" w:color="auto" w:fill="auto"/>
            <w:noWrap/>
            <w:vAlign w:val="bottom"/>
            <w:hideMark/>
          </w:tcPr>
          <w:p w14:paraId="5A118971"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Left facility alive</w:t>
            </w:r>
          </w:p>
        </w:tc>
        <w:tc>
          <w:tcPr>
            <w:tcW w:w="810" w:type="dxa"/>
            <w:tcBorders>
              <w:left w:val="nil"/>
              <w:right w:val="nil"/>
            </w:tcBorders>
            <w:shd w:val="clear" w:color="auto" w:fill="auto"/>
            <w:noWrap/>
            <w:vAlign w:val="bottom"/>
            <w:hideMark/>
          </w:tcPr>
          <w:p w14:paraId="6DD2A377"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0.67</w:t>
            </w:r>
          </w:p>
        </w:tc>
        <w:tc>
          <w:tcPr>
            <w:tcW w:w="1260" w:type="dxa"/>
            <w:tcBorders>
              <w:left w:val="nil"/>
              <w:right w:val="nil"/>
            </w:tcBorders>
            <w:shd w:val="clear" w:color="auto" w:fill="auto"/>
            <w:noWrap/>
            <w:vAlign w:val="bottom"/>
            <w:hideMark/>
          </w:tcPr>
          <w:p w14:paraId="44D61041"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0.05, 1.29</w:t>
            </w:r>
          </w:p>
        </w:tc>
        <w:tc>
          <w:tcPr>
            <w:tcW w:w="828" w:type="dxa"/>
            <w:tcBorders>
              <w:left w:val="nil"/>
              <w:right w:val="nil"/>
            </w:tcBorders>
            <w:shd w:val="clear" w:color="auto" w:fill="auto"/>
            <w:noWrap/>
            <w:vAlign w:val="bottom"/>
            <w:hideMark/>
          </w:tcPr>
          <w:p w14:paraId="633A698C" w14:textId="77777777" w:rsidR="00BF67EF" w:rsidRPr="00BF67EF" w:rsidRDefault="00BF67EF" w:rsidP="0061013B">
            <w:pPr>
              <w:spacing w:after="0" w:line="240" w:lineRule="auto"/>
              <w:jc w:val="center"/>
              <w:rPr>
                <w:rFonts w:ascii="Calibri" w:eastAsia="Times New Roman" w:hAnsi="Calibri" w:cs="Calibri"/>
                <w:color w:val="FF0000"/>
                <w:sz w:val="20"/>
                <w:szCs w:val="20"/>
              </w:rPr>
            </w:pPr>
            <w:r w:rsidRPr="00BF67EF">
              <w:rPr>
                <w:rFonts w:ascii="Calibri" w:eastAsia="Times New Roman" w:hAnsi="Calibri" w:cs="Calibri"/>
                <w:color w:val="FF0000"/>
                <w:sz w:val="20"/>
                <w:szCs w:val="20"/>
              </w:rPr>
              <w:t>0.039</w:t>
            </w:r>
          </w:p>
        </w:tc>
        <w:tc>
          <w:tcPr>
            <w:tcW w:w="792" w:type="dxa"/>
            <w:tcBorders>
              <w:left w:val="nil"/>
              <w:right w:val="nil"/>
            </w:tcBorders>
            <w:shd w:val="clear" w:color="auto" w:fill="auto"/>
            <w:noWrap/>
            <w:vAlign w:val="bottom"/>
            <w:hideMark/>
          </w:tcPr>
          <w:p w14:paraId="52F01B31"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-0.10</w:t>
            </w:r>
          </w:p>
        </w:tc>
        <w:tc>
          <w:tcPr>
            <w:tcW w:w="1265" w:type="dxa"/>
            <w:tcBorders>
              <w:left w:val="nil"/>
              <w:right w:val="nil"/>
            </w:tcBorders>
            <w:shd w:val="clear" w:color="auto" w:fill="auto"/>
            <w:noWrap/>
            <w:vAlign w:val="bottom"/>
            <w:hideMark/>
          </w:tcPr>
          <w:p w14:paraId="604FFFE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-1.03, 0.82</w:t>
            </w:r>
          </w:p>
        </w:tc>
        <w:tc>
          <w:tcPr>
            <w:tcW w:w="810" w:type="dxa"/>
            <w:tcBorders>
              <w:left w:val="nil"/>
              <w:right w:val="nil"/>
            </w:tcBorders>
            <w:shd w:val="clear" w:color="auto" w:fill="auto"/>
            <w:noWrap/>
            <w:vAlign w:val="bottom"/>
            <w:hideMark/>
          </w:tcPr>
          <w:p w14:paraId="7818A68A"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0.785</w:t>
            </w:r>
          </w:p>
        </w:tc>
        <w:tc>
          <w:tcPr>
            <w:tcW w:w="718" w:type="dxa"/>
            <w:tcBorders>
              <w:left w:val="nil"/>
              <w:right w:val="nil"/>
            </w:tcBorders>
            <w:shd w:val="clear" w:color="auto" w:fill="auto"/>
            <w:noWrap/>
            <w:vAlign w:val="bottom"/>
            <w:hideMark/>
          </w:tcPr>
          <w:p w14:paraId="64B9FEBB"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0.46</w:t>
            </w:r>
          </w:p>
        </w:tc>
        <w:tc>
          <w:tcPr>
            <w:tcW w:w="1260" w:type="dxa"/>
            <w:tcBorders>
              <w:left w:val="nil"/>
              <w:right w:val="nil"/>
            </w:tcBorders>
            <w:shd w:val="clear" w:color="auto" w:fill="auto"/>
            <w:noWrap/>
            <w:vAlign w:val="bottom"/>
            <w:hideMark/>
          </w:tcPr>
          <w:p w14:paraId="4E6E3CDA"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-0.31, 1.24</w:t>
            </w:r>
          </w:p>
        </w:tc>
        <w:tc>
          <w:tcPr>
            <w:tcW w:w="810" w:type="dxa"/>
            <w:tcBorders>
              <w:left w:val="nil"/>
              <w:right w:val="nil"/>
            </w:tcBorders>
            <w:shd w:val="clear" w:color="auto" w:fill="auto"/>
            <w:noWrap/>
            <w:vAlign w:val="bottom"/>
            <w:hideMark/>
          </w:tcPr>
          <w:p w14:paraId="762146C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0.184</w:t>
            </w:r>
          </w:p>
        </w:tc>
        <w:tc>
          <w:tcPr>
            <w:tcW w:w="1170" w:type="dxa"/>
            <w:tcBorders>
              <w:left w:val="nil"/>
              <w:right w:val="nil"/>
            </w:tcBorders>
            <w:shd w:val="clear" w:color="auto" w:fill="auto"/>
            <w:noWrap/>
            <w:vAlign w:val="bottom"/>
            <w:hideMark/>
          </w:tcPr>
          <w:p w14:paraId="75A4C9A8"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9</w:t>
            </w:r>
          </w:p>
        </w:tc>
        <w:tc>
          <w:tcPr>
            <w:tcW w:w="1035" w:type="dxa"/>
            <w:tcBorders>
              <w:left w:val="nil"/>
              <w:right w:val="nil"/>
            </w:tcBorders>
            <w:shd w:val="clear" w:color="auto" w:fill="auto"/>
            <w:noWrap/>
            <w:vAlign w:val="bottom"/>
            <w:hideMark/>
          </w:tcPr>
          <w:p w14:paraId="4DD926F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53.15</w:t>
            </w:r>
          </w:p>
        </w:tc>
      </w:tr>
      <w:tr w:rsidR="00BF67EF" w:rsidRPr="00BF67EF" w14:paraId="4777CBA4" w14:textId="77777777" w:rsidTr="0061013B">
        <w:trPr>
          <w:trHeight w:val="300"/>
        </w:trPr>
        <w:tc>
          <w:tcPr>
            <w:tcW w:w="3235" w:type="dxa"/>
            <w:tcBorders>
              <w:left w:val="nil"/>
              <w:right w:val="nil"/>
            </w:tcBorders>
            <w:shd w:val="clear" w:color="auto" w:fill="auto"/>
            <w:noWrap/>
            <w:vAlign w:val="bottom"/>
            <w:hideMark/>
          </w:tcPr>
          <w:p w14:paraId="58F81E41"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Referred for further care</w:t>
            </w:r>
          </w:p>
        </w:tc>
        <w:tc>
          <w:tcPr>
            <w:tcW w:w="810" w:type="dxa"/>
            <w:tcBorders>
              <w:left w:val="nil"/>
              <w:right w:val="nil"/>
            </w:tcBorders>
            <w:shd w:val="clear" w:color="auto" w:fill="auto"/>
            <w:noWrap/>
            <w:vAlign w:val="bottom"/>
            <w:hideMark/>
          </w:tcPr>
          <w:p w14:paraId="41AD823F" w14:textId="77777777" w:rsidR="00BF67EF" w:rsidRPr="00BF67EF" w:rsidRDefault="00BF67EF" w:rsidP="0061013B">
            <w:pPr>
              <w:spacing w:after="0" w:line="240" w:lineRule="auto"/>
              <w:jc w:val="center"/>
              <w:rPr>
                <w:rFonts w:ascii="Calibri" w:eastAsia="Times New Roman" w:hAnsi="Calibri" w:cs="Calibri"/>
                <w:color w:val="ED7D31" w:themeColor="accent2"/>
                <w:sz w:val="20"/>
                <w:szCs w:val="20"/>
              </w:rPr>
            </w:pPr>
            <w:r w:rsidRPr="00BF67EF">
              <w:rPr>
                <w:rFonts w:ascii="Calibri" w:eastAsia="Times New Roman" w:hAnsi="Calibri" w:cs="Calibri"/>
                <w:color w:val="ED7D31" w:themeColor="accent2"/>
                <w:sz w:val="20"/>
                <w:szCs w:val="20"/>
              </w:rPr>
              <w:t>0.96</w:t>
            </w:r>
          </w:p>
        </w:tc>
        <w:tc>
          <w:tcPr>
            <w:tcW w:w="1260" w:type="dxa"/>
            <w:tcBorders>
              <w:left w:val="nil"/>
              <w:right w:val="nil"/>
            </w:tcBorders>
            <w:shd w:val="clear" w:color="auto" w:fill="auto"/>
            <w:noWrap/>
            <w:vAlign w:val="bottom"/>
            <w:hideMark/>
          </w:tcPr>
          <w:p w14:paraId="386A9489" w14:textId="77777777" w:rsidR="00BF67EF" w:rsidRPr="00BF67EF" w:rsidRDefault="00BF67EF" w:rsidP="0061013B">
            <w:pPr>
              <w:spacing w:after="0" w:line="240" w:lineRule="auto"/>
              <w:jc w:val="center"/>
              <w:rPr>
                <w:rFonts w:ascii="Calibri" w:eastAsia="Times New Roman" w:hAnsi="Calibri" w:cs="Calibri"/>
                <w:color w:val="ED7D31" w:themeColor="accent2"/>
                <w:sz w:val="20"/>
                <w:szCs w:val="20"/>
              </w:rPr>
            </w:pPr>
            <w:r w:rsidRPr="00BF67EF">
              <w:rPr>
                <w:rFonts w:ascii="Calibri" w:eastAsia="Times New Roman" w:hAnsi="Calibri" w:cs="Calibri"/>
                <w:color w:val="ED7D31" w:themeColor="accent2"/>
                <w:sz w:val="20"/>
                <w:szCs w:val="20"/>
              </w:rPr>
              <w:t>-0.09, 2.00</w:t>
            </w:r>
          </w:p>
        </w:tc>
        <w:tc>
          <w:tcPr>
            <w:tcW w:w="828" w:type="dxa"/>
            <w:tcBorders>
              <w:left w:val="nil"/>
              <w:right w:val="nil"/>
            </w:tcBorders>
            <w:shd w:val="clear" w:color="auto" w:fill="auto"/>
            <w:noWrap/>
            <w:vAlign w:val="bottom"/>
            <w:hideMark/>
          </w:tcPr>
          <w:p w14:paraId="6BD129F4" w14:textId="77777777" w:rsidR="00BF67EF" w:rsidRPr="00BF67EF" w:rsidRDefault="00BF67EF" w:rsidP="0061013B">
            <w:pPr>
              <w:spacing w:after="0" w:line="240" w:lineRule="auto"/>
              <w:jc w:val="center"/>
              <w:rPr>
                <w:rFonts w:ascii="Calibri" w:eastAsia="Times New Roman" w:hAnsi="Calibri" w:cs="Calibri"/>
                <w:color w:val="ED7D31" w:themeColor="accent2"/>
                <w:sz w:val="20"/>
                <w:szCs w:val="20"/>
              </w:rPr>
            </w:pPr>
            <w:r w:rsidRPr="00BF67EF">
              <w:rPr>
                <w:rFonts w:ascii="Calibri" w:eastAsia="Times New Roman" w:hAnsi="Calibri" w:cs="Calibri"/>
                <w:color w:val="ED7D31" w:themeColor="accent2"/>
                <w:sz w:val="20"/>
                <w:szCs w:val="20"/>
              </w:rPr>
              <w:t>0.068</w:t>
            </w:r>
          </w:p>
        </w:tc>
        <w:tc>
          <w:tcPr>
            <w:tcW w:w="792" w:type="dxa"/>
            <w:tcBorders>
              <w:left w:val="nil"/>
              <w:right w:val="nil"/>
            </w:tcBorders>
            <w:shd w:val="clear" w:color="auto" w:fill="auto"/>
            <w:noWrap/>
            <w:vAlign w:val="bottom"/>
            <w:hideMark/>
          </w:tcPr>
          <w:p w14:paraId="52435BD8"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-0.89</w:t>
            </w:r>
          </w:p>
        </w:tc>
        <w:tc>
          <w:tcPr>
            <w:tcW w:w="1265" w:type="dxa"/>
            <w:tcBorders>
              <w:left w:val="nil"/>
              <w:right w:val="nil"/>
            </w:tcBorders>
            <w:shd w:val="clear" w:color="auto" w:fill="auto"/>
            <w:noWrap/>
            <w:vAlign w:val="bottom"/>
            <w:hideMark/>
          </w:tcPr>
          <w:p w14:paraId="7D273E03"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-2.56, 0.78</w:t>
            </w:r>
          </w:p>
        </w:tc>
        <w:tc>
          <w:tcPr>
            <w:tcW w:w="810" w:type="dxa"/>
            <w:tcBorders>
              <w:left w:val="nil"/>
              <w:right w:val="nil"/>
            </w:tcBorders>
            <w:shd w:val="clear" w:color="auto" w:fill="auto"/>
            <w:noWrap/>
            <w:vAlign w:val="bottom"/>
            <w:hideMark/>
          </w:tcPr>
          <w:p w14:paraId="65830368" w14:textId="77777777" w:rsidR="00BF67EF" w:rsidRPr="00BF67EF" w:rsidRDefault="00BF67EF" w:rsidP="0061013B">
            <w:pPr>
              <w:spacing w:after="0" w:line="240" w:lineRule="auto"/>
              <w:jc w:val="center"/>
              <w:rPr>
                <w:rFonts w:ascii="Calibri" w:eastAsia="Times New Roman" w:hAnsi="Calibri" w:cs="Calibri"/>
                <w:sz w:val="20"/>
                <w:szCs w:val="20"/>
              </w:rPr>
            </w:pPr>
            <w:r w:rsidRPr="00BF67EF">
              <w:rPr>
                <w:rFonts w:ascii="Calibri" w:eastAsia="Times New Roman" w:hAnsi="Calibri" w:cs="Calibri"/>
                <w:sz w:val="20"/>
                <w:szCs w:val="20"/>
              </w:rPr>
              <w:t>0.257</w:t>
            </w:r>
          </w:p>
        </w:tc>
        <w:tc>
          <w:tcPr>
            <w:tcW w:w="718" w:type="dxa"/>
            <w:tcBorders>
              <w:left w:val="nil"/>
              <w:right w:val="nil"/>
            </w:tcBorders>
            <w:shd w:val="clear" w:color="auto" w:fill="auto"/>
            <w:noWrap/>
            <w:vAlign w:val="bottom"/>
            <w:hideMark/>
          </w:tcPr>
          <w:p w14:paraId="6E26929B"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0.33</w:t>
            </w:r>
          </w:p>
        </w:tc>
        <w:tc>
          <w:tcPr>
            <w:tcW w:w="1260" w:type="dxa"/>
            <w:tcBorders>
              <w:left w:val="nil"/>
              <w:right w:val="nil"/>
            </w:tcBorders>
            <w:shd w:val="clear" w:color="auto" w:fill="auto"/>
            <w:noWrap/>
            <w:vAlign w:val="bottom"/>
            <w:hideMark/>
          </w:tcPr>
          <w:p w14:paraId="58D33EB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-0.91, 1.56</w:t>
            </w:r>
          </w:p>
        </w:tc>
        <w:tc>
          <w:tcPr>
            <w:tcW w:w="810" w:type="dxa"/>
            <w:tcBorders>
              <w:left w:val="nil"/>
              <w:right w:val="nil"/>
            </w:tcBorders>
            <w:shd w:val="clear" w:color="auto" w:fill="auto"/>
            <w:noWrap/>
            <w:vAlign w:val="bottom"/>
            <w:hideMark/>
          </w:tcPr>
          <w:p w14:paraId="3B1AD15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0.565</w:t>
            </w:r>
          </w:p>
        </w:tc>
        <w:tc>
          <w:tcPr>
            <w:tcW w:w="1170" w:type="dxa"/>
            <w:tcBorders>
              <w:left w:val="nil"/>
              <w:right w:val="nil"/>
            </w:tcBorders>
            <w:shd w:val="clear" w:color="auto" w:fill="auto"/>
            <w:noWrap/>
            <w:vAlign w:val="bottom"/>
            <w:hideMark/>
          </w:tcPr>
          <w:p w14:paraId="0EDEF4E5"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13</w:t>
            </w:r>
          </w:p>
        </w:tc>
        <w:tc>
          <w:tcPr>
            <w:tcW w:w="1035" w:type="dxa"/>
            <w:tcBorders>
              <w:left w:val="nil"/>
              <w:right w:val="nil"/>
            </w:tcBorders>
            <w:shd w:val="clear" w:color="auto" w:fill="auto"/>
            <w:noWrap/>
            <w:vAlign w:val="bottom"/>
            <w:hideMark/>
          </w:tcPr>
          <w:p w14:paraId="1A659E5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22.01</w:t>
            </w:r>
          </w:p>
        </w:tc>
      </w:tr>
      <w:tr w:rsidR="00BF67EF" w:rsidRPr="00BF67EF" w14:paraId="3FE10757" w14:textId="77777777" w:rsidTr="0061013B">
        <w:trPr>
          <w:trHeight w:val="300"/>
        </w:trPr>
        <w:tc>
          <w:tcPr>
            <w:tcW w:w="3235" w:type="dxa"/>
            <w:tcBorders>
              <w:left w:val="nil"/>
              <w:right w:val="nil"/>
            </w:tcBorders>
            <w:shd w:val="clear" w:color="auto" w:fill="auto"/>
            <w:noWrap/>
            <w:vAlign w:val="bottom"/>
            <w:hideMark/>
          </w:tcPr>
          <w:p w14:paraId="59CC2539" w14:textId="77777777" w:rsidR="00BF67EF" w:rsidRPr="00BF67EF" w:rsidRDefault="00BF67EF" w:rsidP="00BF67EF">
            <w:pPr>
              <w:spacing w:after="0" w:line="240" w:lineRule="auto"/>
              <w:rPr>
                <w:rFonts w:ascii="Calibri" w:eastAsia="Times New Roman" w:hAnsi="Calibri" w:cs="Calibri"/>
                <w:bCs/>
                <w:color w:val="000000"/>
                <w:sz w:val="20"/>
                <w:szCs w:val="20"/>
              </w:rPr>
            </w:pPr>
            <w:r w:rsidRPr="00BF67EF">
              <w:rPr>
                <w:rFonts w:ascii="Calibri" w:eastAsia="Times New Roman" w:hAnsi="Calibri" w:cs="Calibri"/>
                <w:bCs/>
                <w:color w:val="000000"/>
                <w:sz w:val="20"/>
                <w:szCs w:val="20"/>
              </w:rPr>
              <w:t>Accepted referral</w:t>
            </w:r>
          </w:p>
        </w:tc>
        <w:tc>
          <w:tcPr>
            <w:tcW w:w="810" w:type="dxa"/>
            <w:tcBorders>
              <w:left w:val="nil"/>
              <w:right w:val="nil"/>
            </w:tcBorders>
            <w:shd w:val="clear" w:color="auto" w:fill="auto"/>
            <w:noWrap/>
            <w:vAlign w:val="bottom"/>
            <w:hideMark/>
          </w:tcPr>
          <w:p w14:paraId="07BCE2F6"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1.39</w:t>
            </w:r>
          </w:p>
        </w:tc>
        <w:tc>
          <w:tcPr>
            <w:tcW w:w="1260" w:type="dxa"/>
            <w:tcBorders>
              <w:left w:val="nil"/>
              <w:right w:val="nil"/>
            </w:tcBorders>
            <w:shd w:val="clear" w:color="auto" w:fill="auto"/>
            <w:noWrap/>
            <w:vAlign w:val="bottom"/>
            <w:hideMark/>
          </w:tcPr>
          <w:p w14:paraId="745BB661"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-0.13, 2.91</w:t>
            </w:r>
          </w:p>
        </w:tc>
        <w:tc>
          <w:tcPr>
            <w:tcW w:w="828" w:type="dxa"/>
            <w:tcBorders>
              <w:left w:val="nil"/>
              <w:right w:val="nil"/>
            </w:tcBorders>
            <w:shd w:val="clear" w:color="auto" w:fill="auto"/>
            <w:noWrap/>
            <w:vAlign w:val="bottom"/>
            <w:hideMark/>
          </w:tcPr>
          <w:p w14:paraId="7D709E39" w14:textId="77777777" w:rsidR="00BF67EF" w:rsidRPr="00BF67EF" w:rsidRDefault="00BF67EF" w:rsidP="0061013B">
            <w:pPr>
              <w:spacing w:after="0" w:line="240" w:lineRule="auto"/>
              <w:jc w:val="center"/>
              <w:rPr>
                <w:rFonts w:ascii="Calibri" w:eastAsia="Times New Roman" w:hAnsi="Calibri" w:cs="Calibri"/>
                <w:color w:val="ED7D31"/>
                <w:sz w:val="20"/>
                <w:szCs w:val="20"/>
              </w:rPr>
            </w:pPr>
            <w:r w:rsidRPr="00BF67EF">
              <w:rPr>
                <w:rFonts w:ascii="Calibri" w:eastAsia="Times New Roman" w:hAnsi="Calibri" w:cs="Calibri"/>
                <w:color w:val="ED7D31"/>
                <w:sz w:val="20"/>
                <w:szCs w:val="20"/>
              </w:rPr>
              <w:t>0.068</w:t>
            </w:r>
          </w:p>
        </w:tc>
        <w:tc>
          <w:tcPr>
            <w:tcW w:w="792" w:type="dxa"/>
            <w:tcBorders>
              <w:left w:val="nil"/>
              <w:right w:val="nil"/>
            </w:tcBorders>
            <w:shd w:val="clear" w:color="auto" w:fill="auto"/>
            <w:noWrap/>
            <w:vAlign w:val="bottom"/>
            <w:hideMark/>
          </w:tcPr>
          <w:p w14:paraId="6472DBA1"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-1.33</w:t>
            </w:r>
          </w:p>
        </w:tc>
        <w:tc>
          <w:tcPr>
            <w:tcW w:w="1265" w:type="dxa"/>
            <w:tcBorders>
              <w:left w:val="nil"/>
              <w:right w:val="nil"/>
            </w:tcBorders>
            <w:shd w:val="clear" w:color="auto" w:fill="auto"/>
            <w:noWrap/>
            <w:vAlign w:val="bottom"/>
            <w:hideMark/>
          </w:tcPr>
          <w:p w14:paraId="2560911F"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-3.91, 1.24</w:t>
            </w:r>
          </w:p>
        </w:tc>
        <w:tc>
          <w:tcPr>
            <w:tcW w:w="810" w:type="dxa"/>
            <w:tcBorders>
              <w:left w:val="nil"/>
              <w:right w:val="nil"/>
            </w:tcBorders>
            <w:shd w:val="clear" w:color="auto" w:fill="auto"/>
            <w:noWrap/>
            <w:vAlign w:val="bottom"/>
            <w:hideMark/>
          </w:tcPr>
          <w:p w14:paraId="04AC1FBE"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0.266</w:t>
            </w:r>
          </w:p>
        </w:tc>
        <w:tc>
          <w:tcPr>
            <w:tcW w:w="718" w:type="dxa"/>
            <w:tcBorders>
              <w:left w:val="nil"/>
              <w:right w:val="nil"/>
            </w:tcBorders>
            <w:shd w:val="clear" w:color="auto" w:fill="auto"/>
            <w:noWrap/>
            <w:vAlign w:val="bottom"/>
            <w:hideMark/>
          </w:tcPr>
          <w:p w14:paraId="5A4A6874"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1.05</w:t>
            </w:r>
          </w:p>
        </w:tc>
        <w:tc>
          <w:tcPr>
            <w:tcW w:w="1260" w:type="dxa"/>
            <w:tcBorders>
              <w:left w:val="nil"/>
              <w:right w:val="nil"/>
            </w:tcBorders>
            <w:shd w:val="clear" w:color="auto" w:fill="auto"/>
            <w:noWrap/>
            <w:vAlign w:val="bottom"/>
            <w:hideMark/>
          </w:tcPr>
          <w:p w14:paraId="73961F5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-0.99, 3.10</w:t>
            </w:r>
          </w:p>
        </w:tc>
        <w:tc>
          <w:tcPr>
            <w:tcW w:w="810" w:type="dxa"/>
            <w:tcBorders>
              <w:left w:val="nil"/>
              <w:right w:val="nil"/>
            </w:tcBorders>
            <w:shd w:val="clear" w:color="auto" w:fill="auto"/>
            <w:noWrap/>
            <w:vAlign w:val="bottom"/>
            <w:hideMark/>
          </w:tcPr>
          <w:p w14:paraId="613CB6A6"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0.269</w:t>
            </w:r>
          </w:p>
        </w:tc>
        <w:tc>
          <w:tcPr>
            <w:tcW w:w="1170" w:type="dxa"/>
            <w:tcBorders>
              <w:left w:val="nil"/>
              <w:right w:val="nil"/>
            </w:tcBorders>
            <w:shd w:val="clear" w:color="auto" w:fill="auto"/>
            <w:noWrap/>
            <w:vAlign w:val="bottom"/>
            <w:hideMark/>
          </w:tcPr>
          <w:p w14:paraId="7137F61D"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12</w:t>
            </w:r>
          </w:p>
        </w:tc>
        <w:tc>
          <w:tcPr>
            <w:tcW w:w="1035" w:type="dxa"/>
            <w:tcBorders>
              <w:left w:val="nil"/>
              <w:right w:val="nil"/>
            </w:tcBorders>
            <w:shd w:val="clear" w:color="auto" w:fill="auto"/>
            <w:noWrap/>
            <w:vAlign w:val="bottom"/>
            <w:hideMark/>
          </w:tcPr>
          <w:p w14:paraId="0AE9A163" w14:textId="77777777" w:rsidR="00BF67EF" w:rsidRPr="00BF67EF" w:rsidRDefault="00BF67EF" w:rsidP="0061013B">
            <w:pPr>
              <w:spacing w:after="0" w:line="240" w:lineRule="auto"/>
              <w:jc w:val="center"/>
              <w:rPr>
                <w:rFonts w:ascii="Calibri" w:eastAsia="Times New Roman" w:hAnsi="Calibri" w:cs="Calibri"/>
                <w:color w:val="000000"/>
                <w:sz w:val="20"/>
                <w:szCs w:val="20"/>
              </w:rPr>
            </w:pPr>
            <w:r w:rsidRPr="00BF67EF">
              <w:rPr>
                <w:rFonts w:ascii="Calibri" w:eastAsia="Times New Roman" w:hAnsi="Calibri" w:cs="Calibri"/>
                <w:color w:val="000000"/>
                <w:sz w:val="20"/>
                <w:szCs w:val="20"/>
              </w:rPr>
              <w:t>21.28</w:t>
            </w:r>
          </w:p>
        </w:tc>
      </w:tr>
    </w:tbl>
    <w:p w14:paraId="264C19A3" w14:textId="501BF4C1" w:rsidR="0061013B" w:rsidRDefault="0061013B" w:rsidP="008C23C9">
      <w:pPr>
        <w:ind w:hanging="450"/>
        <w:rPr>
          <w:sz w:val="20"/>
        </w:rPr>
      </w:pPr>
      <w:r>
        <w:rPr>
          <w:sz w:val="20"/>
        </w:rPr>
        <w:t>CI – confidence interval</w:t>
      </w:r>
    </w:p>
    <w:p w14:paraId="5F99C407" w14:textId="6E4D4B3B" w:rsidR="008C23C9" w:rsidRDefault="0024243C" w:rsidP="008C23C9">
      <w:pPr>
        <w:ind w:hanging="450"/>
        <w:rPr>
          <w:sz w:val="20"/>
        </w:rPr>
        <w:sectPr w:rsidR="008C23C9" w:rsidSect="008C23C9">
          <w:pgSz w:w="16838" w:h="11906" w:orient="landscape"/>
          <w:pgMar w:top="1440" w:right="1440" w:bottom="1440" w:left="1440" w:header="706" w:footer="706" w:gutter="0"/>
          <w:cols w:space="708"/>
          <w:docGrid w:linePitch="360"/>
        </w:sectPr>
      </w:pPr>
      <w:r>
        <w:rPr>
          <w:sz w:val="20"/>
        </w:rPr>
        <w:t>*</w:t>
      </w:r>
      <w:r w:rsidR="003E0C9E" w:rsidRPr="003E0C9E">
        <w:rPr>
          <w:b/>
          <w:sz w:val="20"/>
        </w:rPr>
        <w:t>Figure</w:t>
      </w:r>
      <w:r w:rsidR="00BF67EF" w:rsidRPr="00BF67EF">
        <w:rPr>
          <w:sz w:val="20"/>
        </w:rPr>
        <w:t xml:space="preserve">s in red: significant at </w:t>
      </w:r>
      <w:r w:rsidR="00BF67EF" w:rsidRPr="00825116">
        <w:rPr>
          <w:i/>
          <w:sz w:val="20"/>
        </w:rPr>
        <w:t>P</w:t>
      </w:r>
      <w:r w:rsidR="00BF67EF" w:rsidRPr="00BF67EF">
        <w:rPr>
          <w:sz w:val="20"/>
        </w:rPr>
        <w:t xml:space="preserve">&lt;0.05; </w:t>
      </w:r>
      <w:r w:rsidR="003E0C9E" w:rsidRPr="003E0C9E">
        <w:rPr>
          <w:b/>
          <w:sz w:val="20"/>
        </w:rPr>
        <w:t>Figure</w:t>
      </w:r>
      <w:r w:rsidR="00BF67EF" w:rsidRPr="00BF67EF">
        <w:rPr>
          <w:sz w:val="20"/>
        </w:rPr>
        <w:t xml:space="preserve">s in orange: significant at </w:t>
      </w:r>
      <w:r w:rsidR="00825116" w:rsidRPr="00825116">
        <w:rPr>
          <w:i/>
          <w:sz w:val="20"/>
        </w:rPr>
        <w:t>P</w:t>
      </w:r>
      <w:r w:rsidR="00BF67EF" w:rsidRPr="00BF67EF">
        <w:rPr>
          <w:sz w:val="20"/>
        </w:rPr>
        <w:t>&lt;0.1</w:t>
      </w:r>
    </w:p>
    <w:p w14:paraId="46F877A9" w14:textId="020932F8" w:rsidR="00991724" w:rsidRPr="00991724" w:rsidRDefault="0061013B" w:rsidP="00991724">
      <w:pPr>
        <w:pStyle w:val="NoSpacing"/>
      </w:pPr>
      <w:r w:rsidRPr="0061013B">
        <w:rPr>
          <w:b/>
        </w:rPr>
        <w:t>Correspondence to</w:t>
      </w:r>
      <w:r>
        <w:t>:</w:t>
      </w:r>
      <w:r>
        <w:br/>
      </w:r>
      <w:r w:rsidR="00991724">
        <w:t>Jessica Price, MBCHB, MPH, DPhil candidate</w:t>
      </w:r>
      <w:r>
        <w:br/>
      </w:r>
      <w:r w:rsidR="00991724">
        <w:t>Nuffield Department of Primary Care Health Sciences</w:t>
      </w:r>
      <w:r>
        <w:br/>
      </w:r>
      <w:r w:rsidR="00991724">
        <w:t>Radcliffe Primary Care Building</w:t>
      </w:r>
      <w:r>
        <w:br/>
      </w:r>
      <w:r w:rsidR="00991724">
        <w:t>Radcliffe Observatory Quarter</w:t>
      </w:r>
      <w:r>
        <w:br/>
      </w:r>
      <w:r w:rsidR="00991724">
        <w:t>Woodstock Road</w:t>
      </w:r>
      <w:r>
        <w:br/>
      </w:r>
      <w:r w:rsidR="00991724">
        <w:t>Oxford</w:t>
      </w:r>
      <w:r>
        <w:t xml:space="preserve"> </w:t>
      </w:r>
      <w:r w:rsidR="00991724">
        <w:t>OX26GG</w:t>
      </w:r>
      <w:r>
        <w:br/>
        <w:t>UK</w:t>
      </w:r>
      <w:r>
        <w:br/>
      </w:r>
      <w:hyperlink r:id="rId10" w:history="1">
        <w:r w:rsidRPr="001778AD">
          <w:rPr>
            <w:rStyle w:val="Hyperlink"/>
          </w:rPr>
          <w:t>Jessica.Price@gtc.ox.ac.uk</w:t>
        </w:r>
      </w:hyperlink>
      <w:r>
        <w:br/>
      </w:r>
    </w:p>
    <w:sectPr w:rsidR="00991724" w:rsidRPr="00991724" w:rsidSect="008C23C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8C99F" w14:textId="77777777" w:rsidR="007F2E77" w:rsidRDefault="007F2E77" w:rsidP="00A02D27">
      <w:pPr>
        <w:spacing w:after="0" w:line="240" w:lineRule="auto"/>
      </w:pPr>
      <w:r>
        <w:separator/>
      </w:r>
    </w:p>
  </w:endnote>
  <w:endnote w:type="continuationSeparator" w:id="0">
    <w:p w14:paraId="71718308" w14:textId="77777777" w:rsidR="007F2E77" w:rsidRDefault="007F2E77" w:rsidP="00A0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1044"/>
      <w:docPartObj>
        <w:docPartGallery w:val="Page Numbers (Bottom of Page)"/>
        <w:docPartUnique/>
      </w:docPartObj>
    </w:sdtPr>
    <w:sdtEndPr>
      <w:rPr>
        <w:noProof/>
      </w:rPr>
    </w:sdtEndPr>
    <w:sdtContent>
      <w:p w14:paraId="4DD40BF9" w14:textId="02771DEC" w:rsidR="00CD0705" w:rsidRDefault="00CD0705">
        <w:pPr>
          <w:pStyle w:val="Footer"/>
          <w:jc w:val="right"/>
        </w:pPr>
        <w:r>
          <w:fldChar w:fldCharType="begin"/>
        </w:r>
        <w:r>
          <w:instrText xml:space="preserve"> PAGE   \* MERGEFORMAT </w:instrText>
        </w:r>
        <w:r>
          <w:fldChar w:fldCharType="separate"/>
        </w:r>
        <w:r w:rsidR="00CF5D3B">
          <w:rPr>
            <w:noProof/>
          </w:rPr>
          <w:t>1</w:t>
        </w:r>
        <w:r>
          <w:rPr>
            <w:noProof/>
          </w:rPr>
          <w:fldChar w:fldCharType="end"/>
        </w:r>
      </w:p>
    </w:sdtContent>
  </w:sdt>
  <w:p w14:paraId="7245F9E7" w14:textId="77777777" w:rsidR="00CD0705" w:rsidRDefault="00CD0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B383A" w14:textId="77777777" w:rsidR="007F2E77" w:rsidRDefault="007F2E77" w:rsidP="00A02D27">
      <w:pPr>
        <w:spacing w:after="0" w:line="240" w:lineRule="auto"/>
      </w:pPr>
      <w:r>
        <w:separator/>
      </w:r>
    </w:p>
  </w:footnote>
  <w:footnote w:type="continuationSeparator" w:id="0">
    <w:p w14:paraId="61CA05F7" w14:textId="77777777" w:rsidR="007F2E77" w:rsidRDefault="007F2E77" w:rsidP="00A02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95C84"/>
    <w:multiLevelType w:val="hybridMultilevel"/>
    <w:tmpl w:val="F1C4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40451"/>
    <w:multiLevelType w:val="hybridMultilevel"/>
    <w:tmpl w:val="DCD0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41062"/>
    <w:multiLevelType w:val="hybridMultilevel"/>
    <w:tmpl w:val="3F5AE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F6"/>
    <w:rsid w:val="000040EB"/>
    <w:rsid w:val="00004E96"/>
    <w:rsid w:val="00006B99"/>
    <w:rsid w:val="00007073"/>
    <w:rsid w:val="000140A0"/>
    <w:rsid w:val="00015126"/>
    <w:rsid w:val="000152E9"/>
    <w:rsid w:val="000227DF"/>
    <w:rsid w:val="00040394"/>
    <w:rsid w:val="0004093F"/>
    <w:rsid w:val="000411DB"/>
    <w:rsid w:val="00043FD7"/>
    <w:rsid w:val="00047C80"/>
    <w:rsid w:val="000533DF"/>
    <w:rsid w:val="000568AE"/>
    <w:rsid w:val="00056996"/>
    <w:rsid w:val="00060113"/>
    <w:rsid w:val="00062DB3"/>
    <w:rsid w:val="000746A6"/>
    <w:rsid w:val="00083AF3"/>
    <w:rsid w:val="0008720C"/>
    <w:rsid w:val="000929B5"/>
    <w:rsid w:val="00092F14"/>
    <w:rsid w:val="00093E6A"/>
    <w:rsid w:val="0009693E"/>
    <w:rsid w:val="000B115C"/>
    <w:rsid w:val="000B3425"/>
    <w:rsid w:val="000C1940"/>
    <w:rsid w:val="000C5B13"/>
    <w:rsid w:val="000C669D"/>
    <w:rsid w:val="000D35A2"/>
    <w:rsid w:val="000E4628"/>
    <w:rsid w:val="000E594F"/>
    <w:rsid w:val="000E6480"/>
    <w:rsid w:val="000F08A2"/>
    <w:rsid w:val="00106742"/>
    <w:rsid w:val="00112811"/>
    <w:rsid w:val="001315D3"/>
    <w:rsid w:val="00133BE2"/>
    <w:rsid w:val="00142A5C"/>
    <w:rsid w:val="00145067"/>
    <w:rsid w:val="001534CF"/>
    <w:rsid w:val="001643C8"/>
    <w:rsid w:val="00166BF6"/>
    <w:rsid w:val="00166DD4"/>
    <w:rsid w:val="00167755"/>
    <w:rsid w:val="0017545B"/>
    <w:rsid w:val="0018561D"/>
    <w:rsid w:val="00185687"/>
    <w:rsid w:val="00187AA8"/>
    <w:rsid w:val="001A092A"/>
    <w:rsid w:val="001A7493"/>
    <w:rsid w:val="001B5657"/>
    <w:rsid w:val="001C15F3"/>
    <w:rsid w:val="001C1AED"/>
    <w:rsid w:val="001C4F15"/>
    <w:rsid w:val="001C77A0"/>
    <w:rsid w:val="001D0D56"/>
    <w:rsid w:val="001D19D0"/>
    <w:rsid w:val="001D2B8E"/>
    <w:rsid w:val="001D5F2F"/>
    <w:rsid w:val="001E21E4"/>
    <w:rsid w:val="0020061C"/>
    <w:rsid w:val="00201303"/>
    <w:rsid w:val="00211CE9"/>
    <w:rsid w:val="00212054"/>
    <w:rsid w:val="00216083"/>
    <w:rsid w:val="00223C13"/>
    <w:rsid w:val="00224350"/>
    <w:rsid w:val="00231166"/>
    <w:rsid w:val="002331BA"/>
    <w:rsid w:val="002348C8"/>
    <w:rsid w:val="0023766B"/>
    <w:rsid w:val="0024243C"/>
    <w:rsid w:val="00273DE7"/>
    <w:rsid w:val="00277CCE"/>
    <w:rsid w:val="0028012F"/>
    <w:rsid w:val="00284CB5"/>
    <w:rsid w:val="002857A9"/>
    <w:rsid w:val="00290094"/>
    <w:rsid w:val="00292B9D"/>
    <w:rsid w:val="00292F05"/>
    <w:rsid w:val="00295849"/>
    <w:rsid w:val="0029630C"/>
    <w:rsid w:val="0029643F"/>
    <w:rsid w:val="002A0449"/>
    <w:rsid w:val="002B2896"/>
    <w:rsid w:val="002B6418"/>
    <w:rsid w:val="002B6820"/>
    <w:rsid w:val="002B7A2E"/>
    <w:rsid w:val="002C1FA3"/>
    <w:rsid w:val="002D4D16"/>
    <w:rsid w:val="002D7AD8"/>
    <w:rsid w:val="002E3D6A"/>
    <w:rsid w:val="002E6F43"/>
    <w:rsid w:val="002F64A7"/>
    <w:rsid w:val="002F6ED0"/>
    <w:rsid w:val="00303FFB"/>
    <w:rsid w:val="00312BA1"/>
    <w:rsid w:val="00314D02"/>
    <w:rsid w:val="00320532"/>
    <w:rsid w:val="0032687F"/>
    <w:rsid w:val="00332A9D"/>
    <w:rsid w:val="00336A1F"/>
    <w:rsid w:val="003405EA"/>
    <w:rsid w:val="00341003"/>
    <w:rsid w:val="00341DF5"/>
    <w:rsid w:val="0034414D"/>
    <w:rsid w:val="00345ABD"/>
    <w:rsid w:val="00350239"/>
    <w:rsid w:val="0035069B"/>
    <w:rsid w:val="00351CEF"/>
    <w:rsid w:val="00355C80"/>
    <w:rsid w:val="00356E43"/>
    <w:rsid w:val="00364BEB"/>
    <w:rsid w:val="00365F8E"/>
    <w:rsid w:val="003663FD"/>
    <w:rsid w:val="0037126C"/>
    <w:rsid w:val="0037520A"/>
    <w:rsid w:val="00375EFA"/>
    <w:rsid w:val="0037616D"/>
    <w:rsid w:val="0037636B"/>
    <w:rsid w:val="003834EC"/>
    <w:rsid w:val="0039075B"/>
    <w:rsid w:val="0039245E"/>
    <w:rsid w:val="003A0D62"/>
    <w:rsid w:val="003B2792"/>
    <w:rsid w:val="003B751B"/>
    <w:rsid w:val="003B7598"/>
    <w:rsid w:val="003C17DE"/>
    <w:rsid w:val="003D4CE2"/>
    <w:rsid w:val="003E0C9E"/>
    <w:rsid w:val="003F0A71"/>
    <w:rsid w:val="003F2657"/>
    <w:rsid w:val="003F34A8"/>
    <w:rsid w:val="003F7C6A"/>
    <w:rsid w:val="004022F7"/>
    <w:rsid w:val="004033A1"/>
    <w:rsid w:val="004145DC"/>
    <w:rsid w:val="004221A2"/>
    <w:rsid w:val="00422FF7"/>
    <w:rsid w:val="00423D9F"/>
    <w:rsid w:val="00426706"/>
    <w:rsid w:val="00427007"/>
    <w:rsid w:val="00430CA0"/>
    <w:rsid w:val="004337DC"/>
    <w:rsid w:val="00433CC3"/>
    <w:rsid w:val="0044055E"/>
    <w:rsid w:val="00455BAD"/>
    <w:rsid w:val="00456E5A"/>
    <w:rsid w:val="004605BE"/>
    <w:rsid w:val="00463A7D"/>
    <w:rsid w:val="0046474F"/>
    <w:rsid w:val="0047073B"/>
    <w:rsid w:val="0047309B"/>
    <w:rsid w:val="00482E4C"/>
    <w:rsid w:val="00485923"/>
    <w:rsid w:val="00485A98"/>
    <w:rsid w:val="004A0429"/>
    <w:rsid w:val="004A1206"/>
    <w:rsid w:val="004A196F"/>
    <w:rsid w:val="004A291C"/>
    <w:rsid w:val="004A37D0"/>
    <w:rsid w:val="004A5956"/>
    <w:rsid w:val="004B37D2"/>
    <w:rsid w:val="004B4411"/>
    <w:rsid w:val="004D3AC5"/>
    <w:rsid w:val="004D6DF9"/>
    <w:rsid w:val="004E3B19"/>
    <w:rsid w:val="004F26A4"/>
    <w:rsid w:val="004F7DCF"/>
    <w:rsid w:val="00504177"/>
    <w:rsid w:val="0050510F"/>
    <w:rsid w:val="00505738"/>
    <w:rsid w:val="0052277C"/>
    <w:rsid w:val="0052758A"/>
    <w:rsid w:val="005349BB"/>
    <w:rsid w:val="00537BAC"/>
    <w:rsid w:val="00544346"/>
    <w:rsid w:val="00551A86"/>
    <w:rsid w:val="00556E0A"/>
    <w:rsid w:val="00560738"/>
    <w:rsid w:val="00562DBE"/>
    <w:rsid w:val="00566674"/>
    <w:rsid w:val="0056676C"/>
    <w:rsid w:val="00572EE7"/>
    <w:rsid w:val="0059679E"/>
    <w:rsid w:val="005A520C"/>
    <w:rsid w:val="005A5A92"/>
    <w:rsid w:val="005C3F42"/>
    <w:rsid w:val="005D0607"/>
    <w:rsid w:val="005D2A98"/>
    <w:rsid w:val="005D7725"/>
    <w:rsid w:val="005E23EE"/>
    <w:rsid w:val="005F0085"/>
    <w:rsid w:val="005F2E58"/>
    <w:rsid w:val="00603136"/>
    <w:rsid w:val="00606976"/>
    <w:rsid w:val="0061013B"/>
    <w:rsid w:val="00615923"/>
    <w:rsid w:val="00617DA5"/>
    <w:rsid w:val="006237E0"/>
    <w:rsid w:val="00631F7E"/>
    <w:rsid w:val="00634AB9"/>
    <w:rsid w:val="00636436"/>
    <w:rsid w:val="00636824"/>
    <w:rsid w:val="006372A3"/>
    <w:rsid w:val="00637CD6"/>
    <w:rsid w:val="00642732"/>
    <w:rsid w:val="00642DA4"/>
    <w:rsid w:val="00644FC1"/>
    <w:rsid w:val="006452A9"/>
    <w:rsid w:val="006469CB"/>
    <w:rsid w:val="006565A0"/>
    <w:rsid w:val="006628B4"/>
    <w:rsid w:val="0066702F"/>
    <w:rsid w:val="006672EE"/>
    <w:rsid w:val="00673366"/>
    <w:rsid w:val="006807C5"/>
    <w:rsid w:val="0068350D"/>
    <w:rsid w:val="00686B4B"/>
    <w:rsid w:val="00697C4C"/>
    <w:rsid w:val="006B1338"/>
    <w:rsid w:val="006B4D89"/>
    <w:rsid w:val="006B598C"/>
    <w:rsid w:val="006C22EB"/>
    <w:rsid w:val="006D2950"/>
    <w:rsid w:val="006D79B1"/>
    <w:rsid w:val="006F09BE"/>
    <w:rsid w:val="006F2646"/>
    <w:rsid w:val="006F2C19"/>
    <w:rsid w:val="006F403E"/>
    <w:rsid w:val="006F5C9C"/>
    <w:rsid w:val="007031FB"/>
    <w:rsid w:val="00704FB7"/>
    <w:rsid w:val="0070652B"/>
    <w:rsid w:val="00713B46"/>
    <w:rsid w:val="00716A3B"/>
    <w:rsid w:val="00725CBD"/>
    <w:rsid w:val="00727BE2"/>
    <w:rsid w:val="007314EA"/>
    <w:rsid w:val="00732E2E"/>
    <w:rsid w:val="00736A14"/>
    <w:rsid w:val="007506AE"/>
    <w:rsid w:val="007543D7"/>
    <w:rsid w:val="007610C7"/>
    <w:rsid w:val="0076359A"/>
    <w:rsid w:val="007716A9"/>
    <w:rsid w:val="00773C24"/>
    <w:rsid w:val="00785EED"/>
    <w:rsid w:val="007878A9"/>
    <w:rsid w:val="00790F98"/>
    <w:rsid w:val="007A21FB"/>
    <w:rsid w:val="007B1AB8"/>
    <w:rsid w:val="007B448F"/>
    <w:rsid w:val="007B590C"/>
    <w:rsid w:val="007B6247"/>
    <w:rsid w:val="007D02DC"/>
    <w:rsid w:val="007D673E"/>
    <w:rsid w:val="007E4BA9"/>
    <w:rsid w:val="007E58DA"/>
    <w:rsid w:val="007E59B0"/>
    <w:rsid w:val="007E7C1B"/>
    <w:rsid w:val="007F2E77"/>
    <w:rsid w:val="007F40F6"/>
    <w:rsid w:val="0080196A"/>
    <w:rsid w:val="00801F6F"/>
    <w:rsid w:val="008044A4"/>
    <w:rsid w:val="00810D8A"/>
    <w:rsid w:val="0081142D"/>
    <w:rsid w:val="0081198C"/>
    <w:rsid w:val="00825116"/>
    <w:rsid w:val="00827602"/>
    <w:rsid w:val="00831BA0"/>
    <w:rsid w:val="00832943"/>
    <w:rsid w:val="008347B1"/>
    <w:rsid w:val="0084406E"/>
    <w:rsid w:val="008620BD"/>
    <w:rsid w:val="008624FF"/>
    <w:rsid w:val="00865DA1"/>
    <w:rsid w:val="00866CC3"/>
    <w:rsid w:val="00876406"/>
    <w:rsid w:val="008811AF"/>
    <w:rsid w:val="008846A8"/>
    <w:rsid w:val="00885AAC"/>
    <w:rsid w:val="00887E47"/>
    <w:rsid w:val="008B1BDC"/>
    <w:rsid w:val="008B3DF5"/>
    <w:rsid w:val="008B650B"/>
    <w:rsid w:val="008C23C9"/>
    <w:rsid w:val="008C275A"/>
    <w:rsid w:val="008C2F16"/>
    <w:rsid w:val="008D3FBB"/>
    <w:rsid w:val="008D5437"/>
    <w:rsid w:val="008D7C19"/>
    <w:rsid w:val="008E0AB9"/>
    <w:rsid w:val="008F525A"/>
    <w:rsid w:val="008F7784"/>
    <w:rsid w:val="008F7DAB"/>
    <w:rsid w:val="00900B60"/>
    <w:rsid w:val="00913931"/>
    <w:rsid w:val="0092351E"/>
    <w:rsid w:val="009312EC"/>
    <w:rsid w:val="00931A18"/>
    <w:rsid w:val="00934614"/>
    <w:rsid w:val="00940411"/>
    <w:rsid w:val="00956B88"/>
    <w:rsid w:val="00956F53"/>
    <w:rsid w:val="00970BD3"/>
    <w:rsid w:val="00972818"/>
    <w:rsid w:val="009729E1"/>
    <w:rsid w:val="0097642C"/>
    <w:rsid w:val="00977CB7"/>
    <w:rsid w:val="00986EC4"/>
    <w:rsid w:val="00991724"/>
    <w:rsid w:val="009A43B3"/>
    <w:rsid w:val="009A7817"/>
    <w:rsid w:val="009C30BD"/>
    <w:rsid w:val="009D104B"/>
    <w:rsid w:val="009D2449"/>
    <w:rsid w:val="009D59CE"/>
    <w:rsid w:val="009D7FB7"/>
    <w:rsid w:val="009E184B"/>
    <w:rsid w:val="009E3F4B"/>
    <w:rsid w:val="009E7031"/>
    <w:rsid w:val="009F469F"/>
    <w:rsid w:val="00A02D27"/>
    <w:rsid w:val="00A02E25"/>
    <w:rsid w:val="00A0552C"/>
    <w:rsid w:val="00A06459"/>
    <w:rsid w:val="00A0694E"/>
    <w:rsid w:val="00A11947"/>
    <w:rsid w:val="00A162CB"/>
    <w:rsid w:val="00A2075D"/>
    <w:rsid w:val="00A25FD8"/>
    <w:rsid w:val="00A30443"/>
    <w:rsid w:val="00A30D23"/>
    <w:rsid w:val="00A330E8"/>
    <w:rsid w:val="00A340BC"/>
    <w:rsid w:val="00A344E6"/>
    <w:rsid w:val="00A36DA8"/>
    <w:rsid w:val="00A452B4"/>
    <w:rsid w:val="00A536AA"/>
    <w:rsid w:val="00A54B94"/>
    <w:rsid w:val="00A5541E"/>
    <w:rsid w:val="00A60C68"/>
    <w:rsid w:val="00A668D1"/>
    <w:rsid w:val="00A7045F"/>
    <w:rsid w:val="00A70ACC"/>
    <w:rsid w:val="00A71A6C"/>
    <w:rsid w:val="00A8513A"/>
    <w:rsid w:val="00A874DB"/>
    <w:rsid w:val="00A96508"/>
    <w:rsid w:val="00AA26C9"/>
    <w:rsid w:val="00AA5D1E"/>
    <w:rsid w:val="00AB0A8E"/>
    <w:rsid w:val="00AB24BA"/>
    <w:rsid w:val="00AC03F1"/>
    <w:rsid w:val="00AC4846"/>
    <w:rsid w:val="00AD0D05"/>
    <w:rsid w:val="00AD256F"/>
    <w:rsid w:val="00AD6112"/>
    <w:rsid w:val="00AE4519"/>
    <w:rsid w:val="00AF09FE"/>
    <w:rsid w:val="00AF299E"/>
    <w:rsid w:val="00AF4131"/>
    <w:rsid w:val="00AF4B5E"/>
    <w:rsid w:val="00B00381"/>
    <w:rsid w:val="00B0173B"/>
    <w:rsid w:val="00B15F29"/>
    <w:rsid w:val="00B16956"/>
    <w:rsid w:val="00B2231D"/>
    <w:rsid w:val="00B27FD0"/>
    <w:rsid w:val="00B32F8F"/>
    <w:rsid w:val="00B33D87"/>
    <w:rsid w:val="00B4009A"/>
    <w:rsid w:val="00B41EA3"/>
    <w:rsid w:val="00B425BF"/>
    <w:rsid w:val="00B43A24"/>
    <w:rsid w:val="00B44E11"/>
    <w:rsid w:val="00B50581"/>
    <w:rsid w:val="00B54995"/>
    <w:rsid w:val="00B605CB"/>
    <w:rsid w:val="00B62EF6"/>
    <w:rsid w:val="00B72F6A"/>
    <w:rsid w:val="00B74521"/>
    <w:rsid w:val="00B94F31"/>
    <w:rsid w:val="00B972BC"/>
    <w:rsid w:val="00BA1DFE"/>
    <w:rsid w:val="00BA5275"/>
    <w:rsid w:val="00BB0493"/>
    <w:rsid w:val="00BB2593"/>
    <w:rsid w:val="00BB47F5"/>
    <w:rsid w:val="00BB6BA5"/>
    <w:rsid w:val="00BB6E7B"/>
    <w:rsid w:val="00BE02E2"/>
    <w:rsid w:val="00BE0F18"/>
    <w:rsid w:val="00BF002A"/>
    <w:rsid w:val="00BF1805"/>
    <w:rsid w:val="00BF228C"/>
    <w:rsid w:val="00BF41FD"/>
    <w:rsid w:val="00BF67EF"/>
    <w:rsid w:val="00C049AF"/>
    <w:rsid w:val="00C1251A"/>
    <w:rsid w:val="00C14B9F"/>
    <w:rsid w:val="00C15283"/>
    <w:rsid w:val="00C209CB"/>
    <w:rsid w:val="00C21BCB"/>
    <w:rsid w:val="00C24C90"/>
    <w:rsid w:val="00C356D0"/>
    <w:rsid w:val="00C441F7"/>
    <w:rsid w:val="00C46A12"/>
    <w:rsid w:val="00C47C8D"/>
    <w:rsid w:val="00C559CB"/>
    <w:rsid w:val="00C5775A"/>
    <w:rsid w:val="00C609A7"/>
    <w:rsid w:val="00C612E6"/>
    <w:rsid w:val="00C82C94"/>
    <w:rsid w:val="00C834A9"/>
    <w:rsid w:val="00C97B6F"/>
    <w:rsid w:val="00CA333C"/>
    <w:rsid w:val="00CA591D"/>
    <w:rsid w:val="00CA6BDE"/>
    <w:rsid w:val="00CB1654"/>
    <w:rsid w:val="00CB2889"/>
    <w:rsid w:val="00CC4729"/>
    <w:rsid w:val="00CD0705"/>
    <w:rsid w:val="00CD693C"/>
    <w:rsid w:val="00CE0E75"/>
    <w:rsid w:val="00CE4433"/>
    <w:rsid w:val="00CE4949"/>
    <w:rsid w:val="00CE4A4C"/>
    <w:rsid w:val="00CE6BE0"/>
    <w:rsid w:val="00CE7A3B"/>
    <w:rsid w:val="00CF1305"/>
    <w:rsid w:val="00CF1CF0"/>
    <w:rsid w:val="00CF2F6B"/>
    <w:rsid w:val="00CF5D3B"/>
    <w:rsid w:val="00D023DC"/>
    <w:rsid w:val="00D031EA"/>
    <w:rsid w:val="00D05B6A"/>
    <w:rsid w:val="00D06434"/>
    <w:rsid w:val="00D20454"/>
    <w:rsid w:val="00D30882"/>
    <w:rsid w:val="00D34904"/>
    <w:rsid w:val="00D41512"/>
    <w:rsid w:val="00D45A6A"/>
    <w:rsid w:val="00D50D1B"/>
    <w:rsid w:val="00D518B7"/>
    <w:rsid w:val="00D539D6"/>
    <w:rsid w:val="00D56F36"/>
    <w:rsid w:val="00D70CF4"/>
    <w:rsid w:val="00D71CD8"/>
    <w:rsid w:val="00D7394F"/>
    <w:rsid w:val="00D73DD2"/>
    <w:rsid w:val="00D812B3"/>
    <w:rsid w:val="00D82CA5"/>
    <w:rsid w:val="00D83BB8"/>
    <w:rsid w:val="00D845E3"/>
    <w:rsid w:val="00D93565"/>
    <w:rsid w:val="00D96822"/>
    <w:rsid w:val="00DA0981"/>
    <w:rsid w:val="00DA73D5"/>
    <w:rsid w:val="00DB1EC7"/>
    <w:rsid w:val="00DC46F7"/>
    <w:rsid w:val="00DC547C"/>
    <w:rsid w:val="00DC60F5"/>
    <w:rsid w:val="00DE3D91"/>
    <w:rsid w:val="00DF23AC"/>
    <w:rsid w:val="00DF2CAC"/>
    <w:rsid w:val="00DF5250"/>
    <w:rsid w:val="00E03E80"/>
    <w:rsid w:val="00E135D8"/>
    <w:rsid w:val="00E22DD6"/>
    <w:rsid w:val="00E30BFF"/>
    <w:rsid w:val="00E35238"/>
    <w:rsid w:val="00E36E61"/>
    <w:rsid w:val="00E370C6"/>
    <w:rsid w:val="00E37D77"/>
    <w:rsid w:val="00E41450"/>
    <w:rsid w:val="00E62FF9"/>
    <w:rsid w:val="00E7369C"/>
    <w:rsid w:val="00E75F31"/>
    <w:rsid w:val="00E767F1"/>
    <w:rsid w:val="00E77E87"/>
    <w:rsid w:val="00E84EE8"/>
    <w:rsid w:val="00E85F98"/>
    <w:rsid w:val="00EA5443"/>
    <w:rsid w:val="00EA7F69"/>
    <w:rsid w:val="00EB3017"/>
    <w:rsid w:val="00EC3EC8"/>
    <w:rsid w:val="00EC4F80"/>
    <w:rsid w:val="00EC5F30"/>
    <w:rsid w:val="00ED0C15"/>
    <w:rsid w:val="00ED119B"/>
    <w:rsid w:val="00ED43FE"/>
    <w:rsid w:val="00EE26FC"/>
    <w:rsid w:val="00EE323D"/>
    <w:rsid w:val="00EE3D0A"/>
    <w:rsid w:val="00EE7ABF"/>
    <w:rsid w:val="00EF4FFA"/>
    <w:rsid w:val="00EF595E"/>
    <w:rsid w:val="00F01AD0"/>
    <w:rsid w:val="00F0399C"/>
    <w:rsid w:val="00F04739"/>
    <w:rsid w:val="00F06526"/>
    <w:rsid w:val="00F170BA"/>
    <w:rsid w:val="00F20FB1"/>
    <w:rsid w:val="00F22B31"/>
    <w:rsid w:val="00F24106"/>
    <w:rsid w:val="00F31245"/>
    <w:rsid w:val="00F32256"/>
    <w:rsid w:val="00F35E14"/>
    <w:rsid w:val="00F37C23"/>
    <w:rsid w:val="00F41F6C"/>
    <w:rsid w:val="00F56813"/>
    <w:rsid w:val="00F57B26"/>
    <w:rsid w:val="00F63AEC"/>
    <w:rsid w:val="00F66E4F"/>
    <w:rsid w:val="00F679D3"/>
    <w:rsid w:val="00F9157C"/>
    <w:rsid w:val="00F92E3A"/>
    <w:rsid w:val="00F95C5D"/>
    <w:rsid w:val="00FA089C"/>
    <w:rsid w:val="00FA1790"/>
    <w:rsid w:val="00FB6F14"/>
    <w:rsid w:val="00FD0DC4"/>
    <w:rsid w:val="00FD3678"/>
    <w:rsid w:val="00FD3766"/>
    <w:rsid w:val="00FD4258"/>
    <w:rsid w:val="00FD4736"/>
    <w:rsid w:val="00FD4EFF"/>
    <w:rsid w:val="00FD6FF2"/>
    <w:rsid w:val="00FF0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09A4D6"/>
  <w15:docId w15:val="{40738078-7548-4195-9A6B-FE553C82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05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5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26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26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0BA"/>
    <w:rPr>
      <w:sz w:val="16"/>
      <w:szCs w:val="16"/>
    </w:rPr>
  </w:style>
  <w:style w:type="paragraph" w:styleId="CommentText">
    <w:name w:val="annotation text"/>
    <w:basedOn w:val="Normal"/>
    <w:link w:val="CommentTextChar"/>
    <w:uiPriority w:val="99"/>
    <w:semiHidden/>
    <w:unhideWhenUsed/>
    <w:rsid w:val="00F170BA"/>
    <w:pPr>
      <w:spacing w:line="240" w:lineRule="auto"/>
    </w:pPr>
    <w:rPr>
      <w:sz w:val="20"/>
      <w:szCs w:val="20"/>
    </w:rPr>
  </w:style>
  <w:style w:type="character" w:customStyle="1" w:styleId="CommentTextChar">
    <w:name w:val="Comment Text Char"/>
    <w:basedOn w:val="DefaultParagraphFont"/>
    <w:link w:val="CommentText"/>
    <w:uiPriority w:val="99"/>
    <w:semiHidden/>
    <w:rsid w:val="00F170BA"/>
    <w:rPr>
      <w:sz w:val="20"/>
      <w:szCs w:val="20"/>
    </w:rPr>
  </w:style>
  <w:style w:type="paragraph" w:styleId="CommentSubject">
    <w:name w:val="annotation subject"/>
    <w:basedOn w:val="CommentText"/>
    <w:next w:val="CommentText"/>
    <w:link w:val="CommentSubjectChar"/>
    <w:uiPriority w:val="99"/>
    <w:semiHidden/>
    <w:unhideWhenUsed/>
    <w:rsid w:val="00F170BA"/>
    <w:rPr>
      <w:b/>
      <w:bCs/>
    </w:rPr>
  </w:style>
  <w:style w:type="character" w:customStyle="1" w:styleId="CommentSubjectChar">
    <w:name w:val="Comment Subject Char"/>
    <w:basedOn w:val="CommentTextChar"/>
    <w:link w:val="CommentSubject"/>
    <w:uiPriority w:val="99"/>
    <w:semiHidden/>
    <w:rsid w:val="00F170BA"/>
    <w:rPr>
      <w:b/>
      <w:bCs/>
      <w:sz w:val="20"/>
      <w:szCs w:val="20"/>
    </w:rPr>
  </w:style>
  <w:style w:type="paragraph" w:styleId="BalloonText">
    <w:name w:val="Balloon Text"/>
    <w:basedOn w:val="Normal"/>
    <w:link w:val="BalloonTextChar"/>
    <w:uiPriority w:val="99"/>
    <w:semiHidden/>
    <w:unhideWhenUsed/>
    <w:rsid w:val="00F17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0BA"/>
    <w:rPr>
      <w:rFonts w:ascii="Segoe UI" w:hAnsi="Segoe UI" w:cs="Segoe UI"/>
      <w:sz w:val="18"/>
      <w:szCs w:val="18"/>
    </w:rPr>
  </w:style>
  <w:style w:type="paragraph" w:styleId="NoSpacing">
    <w:name w:val="No Spacing"/>
    <w:link w:val="NoSpacingChar"/>
    <w:uiPriority w:val="1"/>
    <w:qFormat/>
    <w:rsid w:val="006628B4"/>
    <w:pPr>
      <w:spacing w:after="0" w:line="240" w:lineRule="auto"/>
    </w:pPr>
  </w:style>
  <w:style w:type="character" w:customStyle="1" w:styleId="NoSpacingChar">
    <w:name w:val="No Spacing Char"/>
    <w:basedOn w:val="DefaultParagraphFont"/>
    <w:link w:val="NoSpacing"/>
    <w:uiPriority w:val="1"/>
    <w:rsid w:val="00A536AA"/>
  </w:style>
  <w:style w:type="character" w:styleId="Hyperlink">
    <w:name w:val="Hyperlink"/>
    <w:basedOn w:val="DefaultParagraphFont"/>
    <w:uiPriority w:val="99"/>
    <w:unhideWhenUsed/>
    <w:rsid w:val="007543D7"/>
    <w:rPr>
      <w:color w:val="0563C1" w:themeColor="hyperlink"/>
      <w:u w:val="single"/>
    </w:rPr>
  </w:style>
  <w:style w:type="character" w:customStyle="1" w:styleId="UnresolvedMention1">
    <w:name w:val="Unresolved Mention1"/>
    <w:basedOn w:val="DefaultParagraphFont"/>
    <w:uiPriority w:val="99"/>
    <w:semiHidden/>
    <w:unhideWhenUsed/>
    <w:rsid w:val="007543D7"/>
    <w:rPr>
      <w:color w:val="605E5C"/>
      <w:shd w:val="clear" w:color="auto" w:fill="E1DFDD"/>
    </w:rPr>
  </w:style>
  <w:style w:type="paragraph" w:styleId="ListParagraph">
    <w:name w:val="List Paragraph"/>
    <w:basedOn w:val="Normal"/>
    <w:uiPriority w:val="34"/>
    <w:qFormat/>
    <w:rsid w:val="00B94F31"/>
    <w:pPr>
      <w:ind w:left="720"/>
      <w:contextualSpacing/>
    </w:pPr>
  </w:style>
  <w:style w:type="character" w:customStyle="1" w:styleId="Heading1Char">
    <w:name w:val="Heading 1 Char"/>
    <w:basedOn w:val="DefaultParagraphFont"/>
    <w:link w:val="Heading1"/>
    <w:uiPriority w:val="9"/>
    <w:rsid w:val="00B505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05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26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F264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0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D27"/>
  </w:style>
  <w:style w:type="paragraph" w:styleId="Footer">
    <w:name w:val="footer"/>
    <w:basedOn w:val="Normal"/>
    <w:link w:val="FooterChar"/>
    <w:uiPriority w:val="99"/>
    <w:unhideWhenUsed/>
    <w:rsid w:val="00A0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D27"/>
  </w:style>
  <w:style w:type="paragraph" w:styleId="Revision">
    <w:name w:val="Revision"/>
    <w:hidden/>
    <w:uiPriority w:val="99"/>
    <w:semiHidden/>
    <w:rsid w:val="00EC5F30"/>
    <w:pPr>
      <w:spacing w:after="0" w:line="240" w:lineRule="auto"/>
    </w:pPr>
  </w:style>
  <w:style w:type="table" w:styleId="TableGrid">
    <w:name w:val="Table Grid"/>
    <w:basedOn w:val="TableNormal"/>
    <w:uiPriority w:val="39"/>
    <w:rsid w:val="00BF67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25CB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5CBD"/>
    <w:rPr>
      <w:rFonts w:ascii="Calibri" w:hAnsi="Calibri"/>
      <w:szCs w:val="21"/>
    </w:rPr>
  </w:style>
  <w:style w:type="paragraph" w:styleId="Title">
    <w:name w:val="Title"/>
    <w:basedOn w:val="Normal"/>
    <w:next w:val="Normal"/>
    <w:link w:val="TitleChar"/>
    <w:uiPriority w:val="10"/>
    <w:qFormat/>
    <w:rsid w:val="006372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A3"/>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24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6525">
      <w:bodyDiv w:val="1"/>
      <w:marLeft w:val="0"/>
      <w:marRight w:val="0"/>
      <w:marTop w:val="0"/>
      <w:marBottom w:val="0"/>
      <w:divBdr>
        <w:top w:val="none" w:sz="0" w:space="0" w:color="auto"/>
        <w:left w:val="none" w:sz="0" w:space="0" w:color="auto"/>
        <w:bottom w:val="none" w:sz="0" w:space="0" w:color="auto"/>
        <w:right w:val="none" w:sz="0" w:space="0" w:color="auto"/>
      </w:divBdr>
    </w:div>
    <w:div w:id="707216367">
      <w:bodyDiv w:val="1"/>
      <w:marLeft w:val="0"/>
      <w:marRight w:val="0"/>
      <w:marTop w:val="0"/>
      <w:marBottom w:val="0"/>
      <w:divBdr>
        <w:top w:val="none" w:sz="0" w:space="0" w:color="auto"/>
        <w:left w:val="none" w:sz="0" w:space="0" w:color="auto"/>
        <w:bottom w:val="none" w:sz="0" w:space="0" w:color="auto"/>
        <w:right w:val="none" w:sz="0" w:space="0" w:color="auto"/>
      </w:divBdr>
    </w:div>
    <w:div w:id="1312365510">
      <w:bodyDiv w:val="1"/>
      <w:marLeft w:val="0"/>
      <w:marRight w:val="0"/>
      <w:marTop w:val="0"/>
      <w:marBottom w:val="0"/>
      <w:divBdr>
        <w:top w:val="none" w:sz="0" w:space="0" w:color="auto"/>
        <w:left w:val="none" w:sz="0" w:space="0" w:color="auto"/>
        <w:bottom w:val="none" w:sz="0" w:space="0" w:color="auto"/>
        <w:right w:val="none" w:sz="0" w:space="0" w:color="auto"/>
      </w:divBdr>
    </w:div>
    <w:div w:id="1469274245">
      <w:bodyDiv w:val="1"/>
      <w:marLeft w:val="0"/>
      <w:marRight w:val="0"/>
      <w:marTop w:val="0"/>
      <w:marBottom w:val="0"/>
      <w:divBdr>
        <w:top w:val="none" w:sz="0" w:space="0" w:color="auto"/>
        <w:left w:val="none" w:sz="0" w:space="0" w:color="auto"/>
        <w:bottom w:val="none" w:sz="0" w:space="0" w:color="auto"/>
        <w:right w:val="none" w:sz="0" w:space="0" w:color="auto"/>
      </w:divBdr>
      <w:divsChild>
        <w:div w:id="320424960">
          <w:marLeft w:val="0"/>
          <w:marRight w:val="0"/>
          <w:marTop w:val="0"/>
          <w:marBottom w:val="0"/>
          <w:divBdr>
            <w:top w:val="none" w:sz="0" w:space="0" w:color="auto"/>
            <w:left w:val="none" w:sz="0" w:space="0" w:color="auto"/>
            <w:bottom w:val="none" w:sz="0" w:space="0" w:color="auto"/>
            <w:right w:val="none" w:sz="0" w:space="0" w:color="auto"/>
          </w:divBdr>
        </w:div>
        <w:div w:id="1136684883">
          <w:marLeft w:val="0"/>
          <w:marRight w:val="0"/>
          <w:marTop w:val="0"/>
          <w:marBottom w:val="0"/>
          <w:divBdr>
            <w:top w:val="none" w:sz="0" w:space="0" w:color="auto"/>
            <w:left w:val="none" w:sz="0" w:space="0" w:color="auto"/>
            <w:bottom w:val="none" w:sz="0" w:space="0" w:color="auto"/>
            <w:right w:val="none" w:sz="0" w:space="0" w:color="auto"/>
          </w:divBdr>
        </w:div>
        <w:div w:id="1632980956">
          <w:marLeft w:val="0"/>
          <w:marRight w:val="0"/>
          <w:marTop w:val="0"/>
          <w:marBottom w:val="0"/>
          <w:divBdr>
            <w:top w:val="none" w:sz="0" w:space="0" w:color="auto"/>
            <w:left w:val="none" w:sz="0" w:space="0" w:color="auto"/>
            <w:bottom w:val="none" w:sz="0" w:space="0" w:color="auto"/>
            <w:right w:val="none" w:sz="0" w:space="0" w:color="auto"/>
          </w:divBdr>
        </w:div>
        <w:div w:id="1679574193">
          <w:marLeft w:val="0"/>
          <w:marRight w:val="0"/>
          <w:marTop w:val="0"/>
          <w:marBottom w:val="0"/>
          <w:divBdr>
            <w:top w:val="none" w:sz="0" w:space="0" w:color="auto"/>
            <w:left w:val="none" w:sz="0" w:space="0" w:color="auto"/>
            <w:bottom w:val="none" w:sz="0" w:space="0" w:color="auto"/>
            <w:right w:val="none" w:sz="0" w:space="0" w:color="auto"/>
          </w:divBdr>
        </w:div>
      </w:divsChild>
    </w:div>
    <w:div w:id="1718312286">
      <w:bodyDiv w:val="1"/>
      <w:marLeft w:val="0"/>
      <w:marRight w:val="0"/>
      <w:marTop w:val="0"/>
      <w:marBottom w:val="0"/>
      <w:divBdr>
        <w:top w:val="none" w:sz="0" w:space="0" w:color="auto"/>
        <w:left w:val="none" w:sz="0" w:space="0" w:color="auto"/>
        <w:bottom w:val="none" w:sz="0" w:space="0" w:color="auto"/>
        <w:right w:val="none" w:sz="0" w:space="0" w:color="auto"/>
      </w:divBdr>
    </w:div>
    <w:div w:id="2108691089">
      <w:bodyDiv w:val="1"/>
      <w:marLeft w:val="0"/>
      <w:marRight w:val="0"/>
      <w:marTop w:val="0"/>
      <w:marBottom w:val="0"/>
      <w:divBdr>
        <w:top w:val="none" w:sz="0" w:space="0" w:color="auto"/>
        <w:left w:val="none" w:sz="0" w:space="0" w:color="auto"/>
        <w:bottom w:val="none" w:sz="0" w:space="0" w:color="auto"/>
        <w:right w:val="none" w:sz="0" w:space="0" w:color="auto"/>
      </w:divBdr>
      <w:divsChild>
        <w:div w:id="203369358">
          <w:marLeft w:val="0"/>
          <w:marRight w:val="0"/>
          <w:marTop w:val="0"/>
          <w:marBottom w:val="0"/>
          <w:divBdr>
            <w:top w:val="none" w:sz="0" w:space="0" w:color="auto"/>
            <w:left w:val="none" w:sz="0" w:space="0" w:color="auto"/>
            <w:bottom w:val="none" w:sz="0" w:space="0" w:color="auto"/>
            <w:right w:val="none" w:sz="0" w:space="0" w:color="auto"/>
          </w:divBdr>
        </w:div>
        <w:div w:id="807356145">
          <w:marLeft w:val="0"/>
          <w:marRight w:val="0"/>
          <w:marTop w:val="0"/>
          <w:marBottom w:val="0"/>
          <w:divBdr>
            <w:top w:val="none" w:sz="0" w:space="0" w:color="auto"/>
            <w:left w:val="none" w:sz="0" w:space="0" w:color="auto"/>
            <w:bottom w:val="none" w:sz="0" w:space="0" w:color="auto"/>
            <w:right w:val="none" w:sz="0" w:space="0" w:color="auto"/>
          </w:divBdr>
        </w:div>
        <w:div w:id="928587265">
          <w:marLeft w:val="0"/>
          <w:marRight w:val="0"/>
          <w:marTop w:val="0"/>
          <w:marBottom w:val="0"/>
          <w:divBdr>
            <w:top w:val="none" w:sz="0" w:space="0" w:color="auto"/>
            <w:left w:val="none" w:sz="0" w:space="0" w:color="auto"/>
            <w:bottom w:val="none" w:sz="0" w:space="0" w:color="auto"/>
            <w:right w:val="none" w:sz="0" w:space="0" w:color="auto"/>
          </w:divBdr>
        </w:div>
        <w:div w:id="1539472676">
          <w:marLeft w:val="0"/>
          <w:marRight w:val="0"/>
          <w:marTop w:val="0"/>
          <w:marBottom w:val="0"/>
          <w:divBdr>
            <w:top w:val="none" w:sz="0" w:space="0" w:color="auto"/>
            <w:left w:val="none" w:sz="0" w:space="0" w:color="auto"/>
            <w:bottom w:val="none" w:sz="0" w:space="0" w:color="auto"/>
            <w:right w:val="none" w:sz="0" w:space="0" w:color="auto"/>
          </w:divBdr>
        </w:div>
        <w:div w:id="182504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d.york.ac.uk/PROSPERO/display_record.php?ID=CRD420181114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ssica.Price@gtc.ox.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5A00-1B10-4EAE-AC08-9291B359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68352</Words>
  <Characters>389608</Characters>
  <Application>Microsoft Office Word</Application>
  <DocSecurity>0</DocSecurity>
  <Lines>3246</Lines>
  <Paragraphs>914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Lee</dc:creator>
  <cp:keywords/>
  <dc:description/>
  <cp:lastModifiedBy>Lapage K.P.</cp:lastModifiedBy>
  <cp:revision>2</cp:revision>
  <cp:lastPrinted>2019-03-20T13:29:00Z</cp:lastPrinted>
  <dcterms:created xsi:type="dcterms:W3CDTF">2019-09-09T14:03:00Z</dcterms:created>
  <dcterms:modified xsi:type="dcterms:W3CDTF">2019-09-09T14:03:00Z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http://www.zotero.org/styles/journal-of-epidemiology-and-community-health</vt:lpwstr>
  </property>
  <property fmtid="{D5CDD505-2E9C-101B-9397-08002B2CF9AE}" pid="13" name="Mendeley Recent Style Name 5_1">
    <vt:lpwstr>Journal of Epidemiology and Community Health</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406050a6-6a3e-3179-befc-4386d1087e5c</vt:lpwstr>
  </property>
  <property fmtid="{D5CDD505-2E9C-101B-9397-08002B2CF9AE}" pid="24" name="Mendeley Citation Style_1">
    <vt:lpwstr>http://www.zotero.org/styles/national-library-of-medicine</vt:lpwstr>
  </property>
</Properties>
</file>