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B0C1D" w14:textId="77777777" w:rsidR="00062D0C" w:rsidRPr="00516108" w:rsidRDefault="00062D0C" w:rsidP="00B55C69">
      <w:pPr>
        <w:spacing w:after="0" w:line="480" w:lineRule="auto"/>
        <w:jc w:val="center"/>
        <w:rPr>
          <w:rFonts w:asciiTheme="majorBidi" w:hAnsiTheme="majorBidi" w:cstheme="majorBidi"/>
          <w:sz w:val="24"/>
          <w:szCs w:val="24"/>
          <w:lang w:val="en-US"/>
        </w:rPr>
      </w:pPr>
      <w:bookmarkStart w:id="0" w:name="_GoBack"/>
      <w:bookmarkEnd w:id="0"/>
    </w:p>
    <w:p w14:paraId="37CA8522" w14:textId="77777777" w:rsidR="00062D0C" w:rsidRPr="00516108" w:rsidRDefault="00062D0C" w:rsidP="00B55C69">
      <w:pPr>
        <w:spacing w:after="0" w:line="480" w:lineRule="auto"/>
        <w:jc w:val="center"/>
        <w:rPr>
          <w:rFonts w:asciiTheme="majorBidi" w:hAnsiTheme="majorBidi" w:cstheme="majorBidi"/>
          <w:sz w:val="24"/>
          <w:szCs w:val="24"/>
          <w:lang w:val="en-US"/>
        </w:rPr>
      </w:pPr>
    </w:p>
    <w:p w14:paraId="28E87F24" w14:textId="77777777" w:rsidR="00062D0C" w:rsidRPr="00516108" w:rsidRDefault="00062D0C" w:rsidP="00B55C69">
      <w:pPr>
        <w:spacing w:after="0" w:line="480" w:lineRule="auto"/>
        <w:jc w:val="center"/>
        <w:rPr>
          <w:rFonts w:asciiTheme="majorBidi" w:hAnsiTheme="majorBidi" w:cstheme="majorBidi"/>
          <w:sz w:val="24"/>
          <w:szCs w:val="24"/>
          <w:lang w:val="en-US"/>
        </w:rPr>
      </w:pPr>
    </w:p>
    <w:p w14:paraId="46578594" w14:textId="77777777" w:rsidR="00062D0C" w:rsidRPr="00516108" w:rsidRDefault="00062D0C" w:rsidP="00B55C69">
      <w:pPr>
        <w:spacing w:after="0" w:line="480" w:lineRule="auto"/>
        <w:jc w:val="center"/>
        <w:rPr>
          <w:rFonts w:asciiTheme="majorBidi" w:hAnsiTheme="majorBidi" w:cstheme="majorBidi"/>
          <w:sz w:val="24"/>
          <w:szCs w:val="24"/>
          <w:lang w:val="en-US"/>
        </w:rPr>
      </w:pPr>
    </w:p>
    <w:p w14:paraId="7D299BD4" w14:textId="77777777" w:rsidR="000070DF" w:rsidRDefault="000070DF" w:rsidP="000070DF">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Does Medical Risk Perception and Risk Taking Change With Age?</w:t>
      </w:r>
    </w:p>
    <w:p w14:paraId="404C0AC7" w14:textId="77777777" w:rsidR="000070DF" w:rsidRDefault="000070DF" w:rsidP="000070DF">
      <w:pPr>
        <w:spacing w:after="0" w:line="480" w:lineRule="auto"/>
        <w:jc w:val="center"/>
        <w:rPr>
          <w:rFonts w:ascii="Times New Roman" w:hAnsi="Times New Roman" w:cs="Times New Roman"/>
          <w:sz w:val="24"/>
          <w:szCs w:val="24"/>
          <w:lang w:val="en-US"/>
        </w:rPr>
      </w:pPr>
    </w:p>
    <w:p w14:paraId="40464A63" w14:textId="77777777" w:rsidR="000070DF" w:rsidRDefault="000070DF" w:rsidP="000070DF">
      <w:pPr>
        <w:spacing w:after="0" w:line="480"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Yaniv Hanoch,</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Jonathan Rolison,</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and Alexandra M. Freund</w:t>
      </w:r>
      <w:r>
        <w:rPr>
          <w:rFonts w:ascii="Times New Roman" w:hAnsi="Times New Roman" w:cs="Times New Roman"/>
          <w:sz w:val="24"/>
          <w:szCs w:val="24"/>
          <w:vertAlign w:val="superscript"/>
          <w:lang w:val="en-US"/>
        </w:rPr>
        <w:t>3</w:t>
      </w:r>
    </w:p>
    <w:p w14:paraId="63A0867D" w14:textId="77777777" w:rsidR="000070DF" w:rsidRDefault="000070DF" w:rsidP="000070DF">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University of Plymouth</w:t>
      </w:r>
    </w:p>
    <w:p w14:paraId="2054510A" w14:textId="77777777" w:rsidR="000070DF" w:rsidRDefault="000070DF" w:rsidP="000070DF">
      <w:pPr>
        <w:spacing w:after="0" w:line="480" w:lineRule="auto"/>
        <w:jc w:val="center"/>
        <w:rPr>
          <w:rFonts w:ascii="Times New Roman" w:hAnsi="Times New Roman" w:cs="Times New Roman"/>
          <w:color w:val="0F243E"/>
          <w:sz w:val="24"/>
          <w:szCs w:val="24"/>
          <w:lang w:val="en-US"/>
        </w:rPr>
      </w:pPr>
      <w:r>
        <w:rPr>
          <w:rFonts w:ascii="Times New Roman" w:hAnsi="Times New Roman" w:cs="Times New Roman"/>
          <w:color w:val="0F243E"/>
          <w:sz w:val="24"/>
          <w:szCs w:val="24"/>
          <w:vertAlign w:val="superscript"/>
          <w:lang w:val="en-US"/>
        </w:rPr>
        <w:t>2</w:t>
      </w:r>
      <w:r>
        <w:rPr>
          <w:rFonts w:ascii="Times New Roman" w:hAnsi="Times New Roman" w:cs="Times New Roman"/>
          <w:color w:val="0F243E"/>
          <w:sz w:val="24"/>
          <w:szCs w:val="24"/>
          <w:lang w:val="en-US"/>
        </w:rPr>
        <w:t>University</w:t>
      </w:r>
      <w:r>
        <w:rPr>
          <w:rFonts w:ascii="Times New Roman" w:hAnsi="Times New Roman" w:cs="Times New Roman"/>
          <w:color w:val="0F243E"/>
          <w:sz w:val="24"/>
          <w:szCs w:val="24"/>
          <w:vertAlign w:val="superscript"/>
          <w:lang w:val="en-US"/>
        </w:rPr>
        <w:t xml:space="preserve"> </w:t>
      </w:r>
      <w:r>
        <w:rPr>
          <w:rFonts w:ascii="Times New Roman" w:hAnsi="Times New Roman" w:cs="Times New Roman"/>
          <w:color w:val="0F243E"/>
          <w:sz w:val="24"/>
          <w:szCs w:val="24"/>
          <w:lang w:val="en-US"/>
        </w:rPr>
        <w:t>of Essex</w:t>
      </w:r>
    </w:p>
    <w:p w14:paraId="5DB5A820" w14:textId="77777777" w:rsidR="000070DF" w:rsidRDefault="000070DF" w:rsidP="000070DF">
      <w:pPr>
        <w:spacing w:after="0" w:line="480" w:lineRule="auto"/>
        <w:jc w:val="center"/>
        <w:rPr>
          <w:rFonts w:ascii="Times New Roman" w:hAnsi="Times New Roman" w:cs="Times New Roman"/>
          <w:sz w:val="24"/>
          <w:szCs w:val="24"/>
          <w:lang w:val="en-US"/>
        </w:rPr>
      </w:pPr>
      <w:r>
        <w:rPr>
          <w:rFonts w:ascii="Times New Roman" w:hAnsi="Times New Roman" w:cs="Times New Roman"/>
          <w:color w:val="0F243E"/>
          <w:sz w:val="24"/>
          <w:szCs w:val="24"/>
          <w:vertAlign w:val="superscript"/>
          <w:lang w:val="en-US"/>
        </w:rPr>
        <w:t>3</w:t>
      </w:r>
      <w:r>
        <w:rPr>
          <w:rFonts w:ascii="Times New Roman" w:hAnsi="Times New Roman" w:cs="Times New Roman"/>
          <w:color w:val="0F243E"/>
          <w:sz w:val="24"/>
          <w:szCs w:val="24"/>
          <w:lang w:val="en-US"/>
        </w:rPr>
        <w:t>University of Zurich</w:t>
      </w:r>
    </w:p>
    <w:p w14:paraId="1CFFB602" w14:textId="77777777" w:rsidR="000070DF" w:rsidRDefault="000070DF" w:rsidP="000070DF">
      <w:pPr>
        <w:spacing w:after="0" w:line="480" w:lineRule="auto"/>
        <w:rPr>
          <w:rFonts w:ascii="Times New Roman" w:hAnsi="Times New Roman" w:cs="Times New Roman"/>
          <w:b/>
          <w:sz w:val="24"/>
          <w:szCs w:val="24"/>
          <w:lang w:val="en-US"/>
        </w:rPr>
      </w:pPr>
    </w:p>
    <w:p w14:paraId="18F63129" w14:textId="77777777" w:rsidR="000070DF" w:rsidRDefault="000070DF" w:rsidP="000070DF">
      <w:pPr>
        <w:spacing w:after="0" w:line="480" w:lineRule="auto"/>
        <w:rPr>
          <w:rFonts w:ascii="Times New Roman" w:hAnsi="Times New Roman" w:cs="Times New Roman"/>
          <w:b/>
          <w:sz w:val="24"/>
          <w:szCs w:val="24"/>
          <w:lang w:val="en-US"/>
        </w:rPr>
      </w:pPr>
    </w:p>
    <w:p w14:paraId="37C8C1D8" w14:textId="77777777" w:rsidR="000070DF" w:rsidRDefault="000070DF" w:rsidP="000070DF">
      <w:pPr>
        <w:spacing w:after="0" w:line="480" w:lineRule="auto"/>
        <w:rPr>
          <w:rFonts w:ascii="Times New Roman" w:hAnsi="Times New Roman" w:cs="Times New Roman"/>
          <w:sz w:val="24"/>
          <w:szCs w:val="24"/>
          <w:lang w:val="en-US"/>
        </w:rPr>
      </w:pPr>
    </w:p>
    <w:p w14:paraId="2BC14E0B" w14:textId="77777777" w:rsidR="000070DF" w:rsidRDefault="000070DF" w:rsidP="000070DF">
      <w:pPr>
        <w:tabs>
          <w:tab w:val="left" w:pos="360"/>
        </w:tabs>
        <w:autoSpaceDE w:val="0"/>
        <w:autoSpaceDN w:val="0"/>
        <w:adjustRightInd w:val="0"/>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Author Note</w:t>
      </w:r>
    </w:p>
    <w:p w14:paraId="31DBB5EB" w14:textId="77777777" w:rsidR="000070DF" w:rsidRDefault="000070DF" w:rsidP="000070DF">
      <w:pPr>
        <w:spacing w:after="0" w:line="480" w:lineRule="auto"/>
        <w:rPr>
          <w:rFonts w:ascii="Times New Roman" w:eastAsiaTheme="minorEastAsia" w:hAnsi="Times New Roman" w:cs="Times New Roman"/>
          <w:b/>
          <w:bCs/>
          <w:sz w:val="24"/>
          <w:szCs w:val="24"/>
          <w:lang w:eastAsia="zh-CN"/>
        </w:rPr>
      </w:pPr>
      <w:r>
        <w:rPr>
          <w:rFonts w:ascii="Times New Roman" w:hAnsi="Times New Roman" w:cs="Times New Roman"/>
          <w:bCs/>
          <w:sz w:val="24"/>
          <w:szCs w:val="24"/>
          <w:lang w:val="en-US"/>
        </w:rPr>
        <w:t xml:space="preserve">Yaniv Hanoch, University of Plymouth, School of Psychology, Plymouth, UK, PL4 8AA; e-mail: </w:t>
      </w:r>
      <w:hyperlink r:id="rId8" w:history="1">
        <w:r>
          <w:rPr>
            <w:rStyle w:val="Hyperlink"/>
            <w:rFonts w:ascii="Times New Roman" w:hAnsi="Times New Roman" w:cs="Times New Roman"/>
            <w:bCs/>
            <w:sz w:val="24"/>
            <w:szCs w:val="24"/>
            <w:lang w:val="en-US"/>
          </w:rPr>
          <w:t>yaniv.hanoch@gmail.com</w:t>
        </w:r>
      </w:hyperlink>
      <w:r>
        <w:rPr>
          <w:rFonts w:ascii="Times New Roman" w:hAnsi="Times New Roman" w:cs="Times New Roman"/>
          <w:bCs/>
          <w:sz w:val="24"/>
          <w:szCs w:val="24"/>
          <w:lang w:val="en-US"/>
        </w:rPr>
        <w:t xml:space="preserve">. </w:t>
      </w:r>
      <w:r>
        <w:rPr>
          <w:rStyle w:val="Hyperlink"/>
          <w:rFonts w:ascii="Times New Roman" w:hAnsi="Times New Roman" w:cs="Times New Roman"/>
          <w:bCs/>
          <w:sz w:val="24"/>
          <w:szCs w:val="24"/>
          <w:lang w:val="en-US"/>
        </w:rPr>
        <w:t xml:space="preserve">Jonathan Rolison, </w:t>
      </w:r>
      <w:r>
        <w:rPr>
          <w:rFonts w:ascii="Times New Roman" w:hAnsi="Times New Roman" w:cs="Times New Roman"/>
          <w:sz w:val="24"/>
          <w:szCs w:val="24"/>
          <w:lang w:val="en-US"/>
        </w:rPr>
        <w:t xml:space="preserve">Department of Psychology, University of Essex, Colchester, </w:t>
      </w:r>
      <w:r>
        <w:rPr>
          <w:rFonts w:ascii="Times New Roman" w:hAnsi="Times New Roman" w:cs="Times New Roman"/>
          <w:sz w:val="24"/>
          <w:szCs w:val="24"/>
        </w:rPr>
        <w:t>CO4 3SQ,</w:t>
      </w:r>
      <w:r>
        <w:t xml:space="preserve"> </w:t>
      </w:r>
      <w:r>
        <w:rPr>
          <w:rFonts w:ascii="Times New Roman" w:hAnsi="Times New Roman" w:cs="Times New Roman"/>
          <w:sz w:val="24"/>
          <w:szCs w:val="24"/>
          <w:lang w:val="en-US"/>
        </w:rPr>
        <w:t xml:space="preserve">UK. Alexandra M. Freund, Department of Psychology and University Research Priority Program Dynamics of Healthy Aging, University of Zurich, Binzmuehlestrasse 14/11, CH-8050 Zurich, Switzerland. </w:t>
      </w:r>
    </w:p>
    <w:p w14:paraId="54DEBB82" w14:textId="77777777" w:rsidR="000070DF" w:rsidRDefault="000070DF" w:rsidP="000070DF">
      <w:pPr>
        <w:rPr>
          <w:sz w:val="24"/>
          <w:lang w:val="en-US"/>
        </w:rPr>
      </w:pPr>
      <w:r>
        <w:rPr>
          <w:rFonts w:ascii="Times New Roman" w:eastAsiaTheme="minorEastAsia" w:hAnsi="Times New Roman" w:cs="Times New Roman"/>
          <w:sz w:val="24"/>
          <w:szCs w:val="24"/>
          <w:lang w:eastAsia="zh-CN"/>
        </w:rPr>
        <w:t>Financial support for this project was provided by the University of Plymouth.</w:t>
      </w:r>
    </w:p>
    <w:p w14:paraId="2A387DB9" w14:textId="77777777" w:rsidR="000070DF" w:rsidRDefault="000070DF" w:rsidP="00B55C69">
      <w:pPr>
        <w:spacing w:after="0" w:line="480" w:lineRule="auto"/>
        <w:jc w:val="center"/>
        <w:rPr>
          <w:rFonts w:asciiTheme="majorBidi" w:hAnsiTheme="majorBidi" w:cstheme="majorBidi"/>
          <w:sz w:val="24"/>
          <w:szCs w:val="24"/>
          <w:lang w:val="en-US"/>
        </w:rPr>
      </w:pPr>
    </w:p>
    <w:p w14:paraId="2FC1B1DD" w14:textId="77777777" w:rsidR="000070DF" w:rsidRDefault="000070DF" w:rsidP="00B55C69">
      <w:pPr>
        <w:spacing w:after="0" w:line="480" w:lineRule="auto"/>
        <w:jc w:val="center"/>
        <w:rPr>
          <w:rFonts w:asciiTheme="majorBidi" w:hAnsiTheme="majorBidi" w:cstheme="majorBidi"/>
          <w:sz w:val="24"/>
          <w:szCs w:val="24"/>
          <w:lang w:val="en-US"/>
        </w:rPr>
      </w:pPr>
    </w:p>
    <w:p w14:paraId="58C64BC8" w14:textId="77777777" w:rsidR="000070DF" w:rsidRDefault="000070DF" w:rsidP="00B55C69">
      <w:pPr>
        <w:spacing w:after="0" w:line="480" w:lineRule="auto"/>
        <w:jc w:val="center"/>
        <w:rPr>
          <w:rFonts w:asciiTheme="majorBidi" w:hAnsiTheme="majorBidi" w:cstheme="majorBidi"/>
          <w:sz w:val="24"/>
          <w:szCs w:val="24"/>
          <w:lang w:val="en-US"/>
        </w:rPr>
      </w:pPr>
    </w:p>
    <w:p w14:paraId="65AD26FE" w14:textId="77777777" w:rsidR="000070DF" w:rsidRDefault="000070DF" w:rsidP="00B55C69">
      <w:pPr>
        <w:spacing w:after="0" w:line="480" w:lineRule="auto"/>
        <w:jc w:val="center"/>
        <w:rPr>
          <w:rFonts w:asciiTheme="majorBidi" w:hAnsiTheme="majorBidi" w:cstheme="majorBidi"/>
          <w:sz w:val="24"/>
          <w:szCs w:val="24"/>
          <w:lang w:val="en-US"/>
        </w:rPr>
      </w:pPr>
    </w:p>
    <w:p w14:paraId="1F7E3C4A" w14:textId="4A5623ED" w:rsidR="000F591A" w:rsidRPr="00516108" w:rsidRDefault="008249CE" w:rsidP="00B55C69">
      <w:pPr>
        <w:spacing w:after="0" w:line="480" w:lineRule="auto"/>
        <w:jc w:val="center"/>
        <w:rPr>
          <w:rFonts w:asciiTheme="majorBidi" w:hAnsiTheme="majorBidi" w:cstheme="majorBidi"/>
          <w:sz w:val="24"/>
          <w:szCs w:val="24"/>
          <w:lang w:val="en-US"/>
        </w:rPr>
      </w:pPr>
      <w:r w:rsidRPr="00516108">
        <w:rPr>
          <w:rFonts w:asciiTheme="majorBidi" w:hAnsiTheme="majorBidi" w:cstheme="majorBidi"/>
          <w:sz w:val="24"/>
          <w:szCs w:val="24"/>
          <w:lang w:val="en-US"/>
        </w:rPr>
        <w:t xml:space="preserve">Does </w:t>
      </w:r>
      <w:r w:rsidR="00062D0C" w:rsidRPr="00516108">
        <w:rPr>
          <w:rFonts w:asciiTheme="majorBidi" w:hAnsiTheme="majorBidi" w:cstheme="majorBidi"/>
          <w:sz w:val="24"/>
          <w:szCs w:val="24"/>
          <w:lang w:val="en-US"/>
        </w:rPr>
        <w:t>M</w:t>
      </w:r>
      <w:r w:rsidR="000F591A" w:rsidRPr="00516108">
        <w:rPr>
          <w:rFonts w:asciiTheme="majorBidi" w:hAnsiTheme="majorBidi" w:cstheme="majorBidi"/>
          <w:sz w:val="24"/>
          <w:szCs w:val="24"/>
          <w:lang w:val="en-US"/>
        </w:rPr>
        <w:t xml:space="preserve">edical </w:t>
      </w:r>
      <w:r w:rsidRPr="00516108">
        <w:rPr>
          <w:rFonts w:asciiTheme="majorBidi" w:hAnsiTheme="majorBidi" w:cstheme="majorBidi"/>
          <w:sz w:val="24"/>
          <w:szCs w:val="24"/>
          <w:lang w:val="en-US"/>
        </w:rPr>
        <w:t>Risk</w:t>
      </w:r>
      <w:r w:rsidR="00516108">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Perception and Risk</w:t>
      </w:r>
      <w:r w:rsidR="00516108">
        <w:rPr>
          <w:rFonts w:asciiTheme="majorBidi" w:hAnsiTheme="majorBidi" w:cstheme="majorBidi"/>
          <w:sz w:val="24"/>
          <w:szCs w:val="24"/>
          <w:lang w:val="en-US"/>
        </w:rPr>
        <w:t xml:space="preserve"> </w:t>
      </w:r>
      <w:r w:rsidR="00062D0C" w:rsidRPr="00516108">
        <w:rPr>
          <w:rFonts w:asciiTheme="majorBidi" w:hAnsiTheme="majorBidi" w:cstheme="majorBidi"/>
          <w:sz w:val="24"/>
          <w:szCs w:val="24"/>
          <w:lang w:val="en-US"/>
        </w:rPr>
        <w:t>Taking</w:t>
      </w:r>
      <w:r w:rsidRPr="00516108">
        <w:rPr>
          <w:rFonts w:asciiTheme="majorBidi" w:hAnsiTheme="majorBidi" w:cstheme="majorBidi"/>
          <w:sz w:val="24"/>
          <w:szCs w:val="24"/>
          <w:lang w:val="en-US"/>
        </w:rPr>
        <w:t xml:space="preserve"> Change </w:t>
      </w:r>
      <w:r w:rsidR="00516108">
        <w:rPr>
          <w:rFonts w:asciiTheme="majorBidi" w:hAnsiTheme="majorBidi" w:cstheme="majorBidi"/>
          <w:sz w:val="24"/>
          <w:szCs w:val="24"/>
          <w:lang w:val="en-US"/>
        </w:rPr>
        <w:t>W</w:t>
      </w:r>
      <w:r w:rsidRPr="00516108">
        <w:rPr>
          <w:rFonts w:asciiTheme="majorBidi" w:hAnsiTheme="majorBidi" w:cstheme="majorBidi"/>
          <w:sz w:val="24"/>
          <w:szCs w:val="24"/>
          <w:lang w:val="en-US"/>
        </w:rPr>
        <w:t>ith Age?</w:t>
      </w:r>
    </w:p>
    <w:p w14:paraId="48DBA56B" w14:textId="77777777" w:rsidR="00C7015D" w:rsidRPr="00516108" w:rsidRDefault="00C7015D" w:rsidP="00B55C69">
      <w:pPr>
        <w:spacing w:after="0" w:line="480" w:lineRule="auto"/>
        <w:jc w:val="center"/>
        <w:rPr>
          <w:rFonts w:asciiTheme="majorBidi" w:hAnsiTheme="majorBidi" w:cstheme="majorBidi"/>
          <w:sz w:val="24"/>
          <w:szCs w:val="24"/>
          <w:lang w:val="en-US"/>
        </w:rPr>
      </w:pPr>
    </w:p>
    <w:p w14:paraId="3FD61F74" w14:textId="0450E9C0" w:rsidR="00A93B6B" w:rsidRDefault="00A93B6B" w:rsidP="00417A90">
      <w:pPr>
        <w:spacing w:after="0" w:line="480" w:lineRule="auto"/>
        <w:rPr>
          <w:rFonts w:asciiTheme="majorBidi" w:hAnsiTheme="majorBidi" w:cstheme="majorBidi"/>
          <w:sz w:val="24"/>
          <w:szCs w:val="24"/>
          <w:lang w:val="en-US"/>
        </w:rPr>
      </w:pPr>
    </w:p>
    <w:p w14:paraId="2CC89C96" w14:textId="77777777" w:rsidR="00762EB6" w:rsidRDefault="00762EB6" w:rsidP="00417A90">
      <w:pPr>
        <w:spacing w:after="0" w:line="480" w:lineRule="auto"/>
        <w:rPr>
          <w:rFonts w:asciiTheme="majorBidi" w:hAnsiTheme="majorBidi" w:cstheme="majorBidi"/>
          <w:sz w:val="24"/>
          <w:szCs w:val="24"/>
          <w:lang w:val="en-US"/>
        </w:rPr>
      </w:pPr>
    </w:p>
    <w:p w14:paraId="272BE6DC" w14:textId="77777777" w:rsidR="00762EB6" w:rsidRDefault="00762EB6" w:rsidP="00417A90">
      <w:pPr>
        <w:spacing w:after="0" w:line="480" w:lineRule="auto"/>
        <w:rPr>
          <w:rFonts w:asciiTheme="majorBidi" w:hAnsiTheme="majorBidi" w:cstheme="majorBidi"/>
          <w:sz w:val="24"/>
          <w:szCs w:val="24"/>
          <w:lang w:val="en-US"/>
        </w:rPr>
      </w:pPr>
    </w:p>
    <w:p w14:paraId="5A443A85" w14:textId="77777777" w:rsidR="00762EB6" w:rsidRDefault="00762EB6" w:rsidP="00417A90">
      <w:pPr>
        <w:spacing w:after="0" w:line="480" w:lineRule="auto"/>
        <w:rPr>
          <w:rFonts w:asciiTheme="majorBidi" w:hAnsiTheme="majorBidi" w:cstheme="majorBidi"/>
          <w:sz w:val="24"/>
          <w:szCs w:val="24"/>
          <w:lang w:val="en-US"/>
        </w:rPr>
      </w:pPr>
    </w:p>
    <w:p w14:paraId="0685EDCA" w14:textId="77777777" w:rsidR="00762EB6" w:rsidRDefault="00762EB6" w:rsidP="00417A90">
      <w:pPr>
        <w:spacing w:after="0" w:line="480" w:lineRule="auto"/>
        <w:rPr>
          <w:rFonts w:asciiTheme="majorBidi" w:hAnsiTheme="majorBidi" w:cstheme="majorBidi"/>
          <w:sz w:val="24"/>
          <w:szCs w:val="24"/>
          <w:lang w:val="en-US"/>
        </w:rPr>
      </w:pPr>
    </w:p>
    <w:p w14:paraId="5B002052" w14:textId="77777777" w:rsidR="00762EB6" w:rsidRDefault="00762EB6" w:rsidP="00417A90">
      <w:pPr>
        <w:spacing w:after="0" w:line="480" w:lineRule="auto"/>
        <w:rPr>
          <w:rFonts w:asciiTheme="majorBidi" w:hAnsiTheme="majorBidi" w:cstheme="majorBidi"/>
          <w:sz w:val="24"/>
          <w:szCs w:val="24"/>
          <w:lang w:val="en-US"/>
        </w:rPr>
      </w:pPr>
    </w:p>
    <w:p w14:paraId="2EE4BDA3" w14:textId="77777777" w:rsidR="00762EB6" w:rsidRDefault="00762EB6" w:rsidP="00417A90">
      <w:pPr>
        <w:spacing w:after="0" w:line="480" w:lineRule="auto"/>
        <w:rPr>
          <w:rFonts w:asciiTheme="majorBidi" w:hAnsiTheme="majorBidi" w:cstheme="majorBidi"/>
          <w:sz w:val="24"/>
          <w:szCs w:val="24"/>
          <w:lang w:val="en-US"/>
        </w:rPr>
      </w:pPr>
    </w:p>
    <w:p w14:paraId="184BD382" w14:textId="77777777" w:rsidR="00762EB6" w:rsidRDefault="00762EB6" w:rsidP="00417A90">
      <w:pPr>
        <w:spacing w:after="0" w:line="480" w:lineRule="auto"/>
        <w:rPr>
          <w:rFonts w:asciiTheme="majorBidi" w:hAnsiTheme="majorBidi" w:cstheme="majorBidi"/>
          <w:sz w:val="24"/>
          <w:szCs w:val="24"/>
          <w:lang w:val="en-US"/>
        </w:rPr>
      </w:pPr>
    </w:p>
    <w:p w14:paraId="2FFDEC08" w14:textId="77777777" w:rsidR="00762EB6" w:rsidRDefault="00762EB6" w:rsidP="00417A90">
      <w:pPr>
        <w:spacing w:after="0" w:line="480" w:lineRule="auto"/>
        <w:rPr>
          <w:rFonts w:asciiTheme="majorBidi" w:hAnsiTheme="majorBidi" w:cstheme="majorBidi"/>
          <w:sz w:val="24"/>
          <w:szCs w:val="24"/>
          <w:lang w:val="en-US"/>
        </w:rPr>
      </w:pPr>
    </w:p>
    <w:p w14:paraId="3B54C586" w14:textId="77777777" w:rsidR="00762EB6" w:rsidRDefault="00762EB6" w:rsidP="00417A90">
      <w:pPr>
        <w:spacing w:after="0" w:line="480" w:lineRule="auto"/>
        <w:rPr>
          <w:rFonts w:asciiTheme="majorBidi" w:hAnsiTheme="majorBidi" w:cstheme="majorBidi"/>
          <w:sz w:val="24"/>
          <w:szCs w:val="24"/>
          <w:lang w:val="en-US"/>
        </w:rPr>
      </w:pPr>
    </w:p>
    <w:p w14:paraId="3E2A7E9F" w14:textId="77777777" w:rsidR="00762EB6" w:rsidRDefault="00762EB6" w:rsidP="00417A90">
      <w:pPr>
        <w:spacing w:after="0" w:line="480" w:lineRule="auto"/>
        <w:rPr>
          <w:rFonts w:asciiTheme="majorBidi" w:hAnsiTheme="majorBidi" w:cstheme="majorBidi"/>
          <w:sz w:val="24"/>
          <w:szCs w:val="24"/>
          <w:lang w:val="en-US"/>
        </w:rPr>
      </w:pPr>
    </w:p>
    <w:p w14:paraId="7F486489" w14:textId="77777777" w:rsidR="00762EB6" w:rsidRDefault="00762EB6" w:rsidP="00417A90">
      <w:pPr>
        <w:spacing w:after="0" w:line="480" w:lineRule="auto"/>
        <w:rPr>
          <w:rFonts w:asciiTheme="majorBidi" w:hAnsiTheme="majorBidi" w:cstheme="majorBidi"/>
          <w:sz w:val="24"/>
          <w:szCs w:val="24"/>
          <w:lang w:val="en-US"/>
        </w:rPr>
      </w:pPr>
    </w:p>
    <w:p w14:paraId="1745E69D" w14:textId="77777777" w:rsidR="00762EB6" w:rsidRDefault="00762EB6" w:rsidP="00417A90">
      <w:pPr>
        <w:spacing w:after="0" w:line="480" w:lineRule="auto"/>
        <w:rPr>
          <w:rFonts w:asciiTheme="majorBidi" w:hAnsiTheme="majorBidi" w:cstheme="majorBidi"/>
          <w:sz w:val="24"/>
          <w:szCs w:val="24"/>
          <w:lang w:val="en-US"/>
        </w:rPr>
      </w:pPr>
    </w:p>
    <w:p w14:paraId="6FACDED6" w14:textId="77777777" w:rsidR="00762EB6" w:rsidRDefault="00762EB6" w:rsidP="00417A90">
      <w:pPr>
        <w:spacing w:after="0" w:line="480" w:lineRule="auto"/>
        <w:rPr>
          <w:rFonts w:asciiTheme="majorBidi" w:hAnsiTheme="majorBidi" w:cstheme="majorBidi"/>
          <w:sz w:val="24"/>
          <w:szCs w:val="24"/>
          <w:lang w:val="en-US"/>
        </w:rPr>
      </w:pPr>
    </w:p>
    <w:p w14:paraId="2BCA9A98" w14:textId="77777777" w:rsidR="008B08CD" w:rsidRDefault="008B08CD" w:rsidP="008B08CD">
      <w:pPr>
        <w:spacing w:after="0" w:line="480" w:lineRule="auto"/>
        <w:rPr>
          <w:rFonts w:asciiTheme="majorBidi" w:hAnsiTheme="majorBidi" w:cstheme="majorBidi"/>
          <w:bCs/>
          <w:sz w:val="24"/>
          <w:szCs w:val="24"/>
          <w:lang w:val="en-US"/>
        </w:rPr>
      </w:pPr>
    </w:p>
    <w:p w14:paraId="42D6EC1D" w14:textId="77777777" w:rsidR="009C5E02" w:rsidRPr="00516108" w:rsidRDefault="009C5E02" w:rsidP="008B08CD">
      <w:pPr>
        <w:spacing w:after="0" w:line="480" w:lineRule="auto"/>
        <w:rPr>
          <w:rFonts w:asciiTheme="majorBidi" w:hAnsiTheme="majorBidi" w:cstheme="majorBidi"/>
          <w:bCs/>
          <w:sz w:val="24"/>
          <w:szCs w:val="24"/>
          <w:lang w:val="en-US"/>
        </w:rPr>
      </w:pPr>
    </w:p>
    <w:p w14:paraId="46F134DB" w14:textId="77777777" w:rsidR="00A93B6B" w:rsidRPr="00516108" w:rsidRDefault="00A93B6B" w:rsidP="00A93B6B">
      <w:pPr>
        <w:spacing w:after="0" w:line="480" w:lineRule="auto"/>
        <w:rPr>
          <w:rFonts w:asciiTheme="majorBidi" w:hAnsiTheme="majorBidi" w:cstheme="majorBidi"/>
          <w:sz w:val="24"/>
          <w:szCs w:val="24"/>
          <w:lang w:val="en-US"/>
        </w:rPr>
      </w:pPr>
    </w:p>
    <w:p w14:paraId="0B7AA2C3" w14:textId="2806B1BF" w:rsidR="000F591A" w:rsidRPr="00516108" w:rsidRDefault="007C7BAC" w:rsidP="007C7BAC">
      <w:pPr>
        <w:spacing w:after="0" w:line="480" w:lineRule="auto"/>
        <w:rPr>
          <w:rFonts w:asciiTheme="majorBidi" w:hAnsiTheme="majorBidi" w:cstheme="majorBidi"/>
          <w:b/>
          <w:sz w:val="24"/>
          <w:szCs w:val="24"/>
          <w:lang w:val="en-US"/>
        </w:rPr>
      </w:pPr>
      <w:r w:rsidRPr="00E9619D">
        <w:rPr>
          <w:rFonts w:ascii="Times New Roman" w:hAnsi="Times New Roman" w:cs="Times New Roman"/>
          <w:b/>
          <w:sz w:val="24"/>
          <w:szCs w:val="24"/>
        </w:rPr>
        <w:t>A</w:t>
      </w:r>
      <w:r>
        <w:rPr>
          <w:rFonts w:ascii="Times New Roman" w:hAnsi="Times New Roman" w:cs="Times New Roman"/>
          <w:b/>
          <w:sz w:val="24"/>
          <w:szCs w:val="24"/>
        </w:rPr>
        <w:t>BSTRACT</w:t>
      </w:r>
    </w:p>
    <w:p w14:paraId="036681E5" w14:textId="7EEC2B12" w:rsidR="000F591A" w:rsidRPr="004D4259" w:rsidRDefault="00062D0C" w:rsidP="00270771">
      <w:pPr>
        <w:autoSpaceDE w:val="0"/>
        <w:autoSpaceDN w:val="0"/>
        <w:adjustRightInd w:val="0"/>
        <w:spacing w:after="0" w:line="480" w:lineRule="auto"/>
        <w:rPr>
          <w:rFonts w:ascii="Times New Roman" w:hAnsi="Times New Roman" w:cs="Times New Roman"/>
          <w:sz w:val="24"/>
          <w:szCs w:val="24"/>
          <w:lang w:val="en-US"/>
        </w:rPr>
      </w:pPr>
      <w:r w:rsidRPr="00516108">
        <w:rPr>
          <w:rFonts w:asciiTheme="majorBidi" w:hAnsiTheme="majorBidi" w:cstheme="majorBidi"/>
          <w:bCs/>
          <w:iCs/>
          <w:sz w:val="24"/>
          <w:szCs w:val="24"/>
          <w:lang w:val="en-US"/>
        </w:rPr>
        <w:t xml:space="preserve">Across adulthood, people face increasingly more </w:t>
      </w:r>
      <w:r w:rsidR="00B752EE">
        <w:rPr>
          <w:rFonts w:asciiTheme="majorBidi" w:hAnsiTheme="majorBidi" w:cstheme="majorBidi"/>
          <w:bCs/>
          <w:iCs/>
          <w:sz w:val="24"/>
          <w:szCs w:val="24"/>
          <w:lang w:val="en-US"/>
        </w:rPr>
        <w:t xml:space="preserve">risky </w:t>
      </w:r>
      <w:r w:rsidR="003B2629" w:rsidRPr="00516108">
        <w:rPr>
          <w:rFonts w:asciiTheme="majorBidi" w:eastAsia="TimesLTStd-Roman" w:hAnsiTheme="majorBidi" w:cstheme="majorBidi"/>
          <w:sz w:val="24"/>
          <w:szCs w:val="24"/>
          <w:lang w:val="en-US"/>
        </w:rPr>
        <w:t>medical</w:t>
      </w:r>
      <w:r w:rsidRPr="00516108">
        <w:rPr>
          <w:rFonts w:asciiTheme="majorBidi" w:eastAsia="TimesLTStd-Roman" w:hAnsiTheme="majorBidi" w:cstheme="majorBidi"/>
          <w:sz w:val="24"/>
          <w:szCs w:val="24"/>
          <w:lang w:val="en-US"/>
        </w:rPr>
        <w:t xml:space="preserve"> problems</w:t>
      </w:r>
      <w:r w:rsidR="00E444E0" w:rsidRPr="00516108">
        <w:rPr>
          <w:rFonts w:asciiTheme="majorBidi" w:eastAsia="TimesLTStd-Roman" w:hAnsiTheme="majorBidi" w:cstheme="majorBidi"/>
          <w:sz w:val="24"/>
          <w:szCs w:val="24"/>
          <w:lang w:val="en-US"/>
        </w:rPr>
        <w:t xml:space="preserve"> and decisions. However</w:t>
      </w:r>
      <w:r w:rsidRPr="00516108">
        <w:rPr>
          <w:rFonts w:asciiTheme="majorBidi" w:eastAsia="TimesLTStd-Roman" w:hAnsiTheme="majorBidi" w:cstheme="majorBidi"/>
          <w:sz w:val="24"/>
          <w:szCs w:val="24"/>
          <w:lang w:val="en-US"/>
        </w:rPr>
        <w:t>, little is</w:t>
      </w:r>
      <w:r w:rsidR="00B81449" w:rsidRPr="00516108">
        <w:rPr>
          <w:rFonts w:asciiTheme="majorBidi" w:eastAsia="TimesLTStd-Roman" w:hAnsiTheme="majorBidi" w:cstheme="majorBidi"/>
          <w:sz w:val="24"/>
          <w:szCs w:val="24"/>
          <w:lang w:val="en-US"/>
        </w:rPr>
        <w:t xml:space="preserve"> know</w:t>
      </w:r>
      <w:r w:rsidRPr="00516108">
        <w:rPr>
          <w:rFonts w:asciiTheme="majorBidi" w:eastAsia="TimesLTStd-Roman" w:hAnsiTheme="majorBidi" w:cstheme="majorBidi"/>
          <w:sz w:val="24"/>
          <w:szCs w:val="24"/>
          <w:lang w:val="en-US"/>
        </w:rPr>
        <w:t>n</w:t>
      </w:r>
      <w:r w:rsidR="00B81449" w:rsidRPr="00516108">
        <w:rPr>
          <w:rFonts w:asciiTheme="majorBidi" w:eastAsia="TimesLTStd-Roman" w:hAnsiTheme="majorBidi" w:cstheme="majorBidi"/>
          <w:sz w:val="24"/>
          <w:szCs w:val="24"/>
          <w:lang w:val="en-US"/>
        </w:rPr>
        <w:t xml:space="preserve"> about changes in medical risk</w:t>
      </w:r>
      <w:r w:rsidR="00A22D07">
        <w:rPr>
          <w:rFonts w:asciiTheme="majorBidi" w:eastAsia="TimesLTStd-Roman" w:hAnsiTheme="majorBidi" w:cstheme="majorBidi"/>
          <w:sz w:val="24"/>
          <w:szCs w:val="24"/>
          <w:lang w:val="en-US"/>
        </w:rPr>
        <w:t xml:space="preserve"> </w:t>
      </w:r>
      <w:r w:rsidR="00B81449" w:rsidRPr="00516108">
        <w:rPr>
          <w:rFonts w:asciiTheme="majorBidi" w:eastAsia="TimesLTStd-Roman" w:hAnsiTheme="majorBidi" w:cstheme="majorBidi"/>
          <w:sz w:val="24"/>
          <w:szCs w:val="24"/>
          <w:lang w:val="en-US"/>
        </w:rPr>
        <w:t>taking</w:t>
      </w:r>
      <w:r w:rsidRPr="00516108">
        <w:rPr>
          <w:rFonts w:asciiTheme="majorBidi" w:eastAsia="TimesLTStd-Roman" w:hAnsiTheme="majorBidi" w:cstheme="majorBidi"/>
          <w:sz w:val="24"/>
          <w:szCs w:val="24"/>
          <w:lang w:val="en-US"/>
        </w:rPr>
        <w:t xml:space="preserve"> across adulthood</w:t>
      </w:r>
      <w:r w:rsidR="00B81449" w:rsidRPr="00516108">
        <w:rPr>
          <w:rFonts w:asciiTheme="majorBidi" w:eastAsia="TimesLTStd-Roman" w:hAnsiTheme="majorBidi" w:cstheme="majorBidi"/>
          <w:sz w:val="24"/>
          <w:szCs w:val="24"/>
          <w:lang w:val="en-US"/>
        </w:rPr>
        <w:t xml:space="preserve">. </w:t>
      </w:r>
      <w:r w:rsidR="002A5BA9">
        <w:rPr>
          <w:rFonts w:asciiTheme="majorBidi" w:eastAsia="TimesLTStd-Roman" w:hAnsiTheme="majorBidi" w:cstheme="majorBidi"/>
          <w:sz w:val="24"/>
          <w:szCs w:val="24"/>
          <w:lang w:val="en-US"/>
        </w:rPr>
        <w:t xml:space="preserve">Therefore, the </w:t>
      </w:r>
      <w:r w:rsidR="002A5BA9">
        <w:rPr>
          <w:rFonts w:asciiTheme="majorBidi" w:eastAsia="TimesLTStd-Roman" w:hAnsiTheme="majorBidi" w:cstheme="majorBidi"/>
          <w:sz w:val="24"/>
          <w:szCs w:val="24"/>
          <w:lang w:val="en-US"/>
        </w:rPr>
        <w:lastRenderedPageBreak/>
        <w:t xml:space="preserve">current </w:t>
      </w:r>
      <w:r w:rsidR="002A5BA9" w:rsidRPr="00516108">
        <w:rPr>
          <w:rFonts w:asciiTheme="majorBidi" w:eastAsia="TimesLTStd-Roman" w:hAnsiTheme="majorBidi" w:cstheme="majorBidi"/>
          <w:sz w:val="24"/>
          <w:szCs w:val="24"/>
          <w:lang w:val="en-US"/>
        </w:rPr>
        <w:t>cross-sectional</w:t>
      </w:r>
      <w:r w:rsidR="002A5BA9">
        <w:rPr>
          <w:rFonts w:asciiTheme="majorBidi" w:eastAsia="TimesLTStd-Roman" w:hAnsiTheme="majorBidi" w:cstheme="majorBidi"/>
          <w:sz w:val="24"/>
          <w:szCs w:val="24"/>
          <w:lang w:val="en-US"/>
        </w:rPr>
        <w:t xml:space="preserve"> study </w:t>
      </w:r>
      <w:r w:rsidRPr="00516108">
        <w:rPr>
          <w:rFonts w:asciiTheme="majorBidi" w:eastAsia="TimesLTStd-Roman" w:hAnsiTheme="majorBidi" w:cstheme="majorBidi"/>
          <w:sz w:val="24"/>
          <w:szCs w:val="24"/>
          <w:lang w:val="en-US"/>
        </w:rPr>
        <w:t>investigat</w:t>
      </w:r>
      <w:r w:rsidR="00E444E0" w:rsidRPr="00516108">
        <w:rPr>
          <w:rFonts w:asciiTheme="majorBidi" w:eastAsia="TimesLTStd-Roman" w:hAnsiTheme="majorBidi" w:cstheme="majorBidi"/>
          <w:sz w:val="24"/>
          <w:szCs w:val="24"/>
          <w:lang w:val="en-US"/>
        </w:rPr>
        <w:t xml:space="preserve">ed </w:t>
      </w:r>
      <w:r w:rsidR="00B81449" w:rsidRPr="00516108">
        <w:rPr>
          <w:rFonts w:asciiTheme="majorBidi" w:eastAsia="TimesLTStd-Roman" w:hAnsiTheme="majorBidi" w:cstheme="majorBidi"/>
          <w:sz w:val="24"/>
          <w:szCs w:val="24"/>
          <w:lang w:val="en-US"/>
        </w:rPr>
        <w:t>age</w:t>
      </w:r>
      <w:r w:rsidRPr="00516108">
        <w:rPr>
          <w:rFonts w:asciiTheme="majorBidi" w:eastAsia="TimesLTStd-Roman" w:hAnsiTheme="majorBidi" w:cstheme="majorBidi"/>
          <w:sz w:val="24"/>
          <w:szCs w:val="24"/>
          <w:lang w:val="en-US"/>
        </w:rPr>
        <w:t>-related</w:t>
      </w:r>
      <w:r w:rsidR="00B81449" w:rsidRPr="00516108">
        <w:rPr>
          <w:rFonts w:asciiTheme="majorBidi" w:eastAsia="TimesLTStd-Roman" w:hAnsiTheme="majorBidi" w:cstheme="majorBidi"/>
          <w:sz w:val="24"/>
          <w:szCs w:val="24"/>
          <w:lang w:val="en-US"/>
        </w:rPr>
        <w:t xml:space="preserve"> differences in medical risk</w:t>
      </w:r>
      <w:r w:rsidR="00A22D07">
        <w:rPr>
          <w:rFonts w:asciiTheme="majorBidi" w:eastAsia="TimesLTStd-Roman" w:hAnsiTheme="majorBidi" w:cstheme="majorBidi"/>
          <w:sz w:val="24"/>
          <w:szCs w:val="24"/>
          <w:lang w:val="en-US"/>
        </w:rPr>
        <w:t xml:space="preserve"> </w:t>
      </w:r>
      <w:r w:rsidR="00B81449" w:rsidRPr="00516108">
        <w:rPr>
          <w:rFonts w:asciiTheme="majorBidi" w:eastAsia="TimesLTStd-Roman" w:hAnsiTheme="majorBidi" w:cstheme="majorBidi"/>
          <w:sz w:val="24"/>
          <w:szCs w:val="24"/>
          <w:lang w:val="en-US"/>
        </w:rPr>
        <w:t>taking</w:t>
      </w:r>
      <w:r w:rsidR="002A5BA9">
        <w:rPr>
          <w:rFonts w:asciiTheme="majorBidi" w:eastAsia="TimesLTStd-Roman" w:hAnsiTheme="majorBidi" w:cstheme="majorBidi"/>
          <w:sz w:val="24"/>
          <w:szCs w:val="24"/>
          <w:lang w:val="en-US"/>
        </w:rPr>
        <w:t xml:space="preserve"> with </w:t>
      </w:r>
      <w:r w:rsidR="002A5BA9">
        <w:rPr>
          <w:rFonts w:asciiTheme="majorBidi" w:eastAsia="TimesLTStd-Roman" w:hAnsiTheme="majorBidi" w:cstheme="majorBidi"/>
          <w:i/>
          <w:sz w:val="24"/>
          <w:szCs w:val="24"/>
          <w:lang w:val="en-US"/>
        </w:rPr>
        <w:t>N</w:t>
      </w:r>
      <w:r w:rsidR="002A5BA9">
        <w:rPr>
          <w:rFonts w:asciiTheme="majorBidi" w:eastAsia="TimesLTStd-Roman" w:hAnsiTheme="majorBidi" w:cstheme="majorBidi"/>
          <w:sz w:val="24"/>
          <w:szCs w:val="24"/>
          <w:lang w:val="en-US"/>
        </w:rPr>
        <w:t xml:space="preserve"> = </w:t>
      </w:r>
      <w:r w:rsidRPr="00516108">
        <w:rPr>
          <w:rFonts w:asciiTheme="majorBidi" w:eastAsia="TimesLTStd-Roman" w:hAnsiTheme="majorBidi" w:cstheme="majorBidi"/>
          <w:sz w:val="24"/>
          <w:szCs w:val="24"/>
          <w:lang w:val="en-US"/>
        </w:rPr>
        <w:t xml:space="preserve">317 adults aged </w:t>
      </w:r>
      <w:r w:rsidR="00CD0805" w:rsidRPr="00516108">
        <w:rPr>
          <w:rFonts w:asciiTheme="majorBidi" w:eastAsia="TimesLTStd-Roman" w:hAnsiTheme="majorBidi" w:cstheme="majorBidi"/>
          <w:sz w:val="24"/>
          <w:szCs w:val="24"/>
          <w:lang w:val="en-US"/>
        </w:rPr>
        <w:t>20</w:t>
      </w:r>
      <w:r w:rsidR="00A22D07">
        <w:rPr>
          <w:rFonts w:asciiTheme="majorBidi" w:eastAsia="TimesLTStd-Roman" w:hAnsiTheme="majorBidi" w:cstheme="majorBidi"/>
          <w:sz w:val="24"/>
          <w:szCs w:val="24"/>
          <w:lang w:val="en-US"/>
        </w:rPr>
        <w:t>–</w:t>
      </w:r>
      <w:r w:rsidR="00CD0805" w:rsidRPr="00516108">
        <w:rPr>
          <w:rFonts w:asciiTheme="majorBidi" w:eastAsia="TimesLTStd-Roman" w:hAnsiTheme="majorBidi" w:cstheme="majorBidi"/>
          <w:sz w:val="24"/>
          <w:szCs w:val="24"/>
          <w:lang w:val="en-US"/>
        </w:rPr>
        <w:t xml:space="preserve">77 </w:t>
      </w:r>
      <w:r w:rsidRPr="00516108">
        <w:rPr>
          <w:rFonts w:asciiTheme="majorBidi" w:eastAsia="TimesLTStd-Roman" w:hAnsiTheme="majorBidi" w:cstheme="majorBidi"/>
          <w:sz w:val="24"/>
          <w:szCs w:val="24"/>
          <w:lang w:val="en-US"/>
        </w:rPr>
        <w:t xml:space="preserve">years using newly developed scenarios </w:t>
      </w:r>
      <w:r w:rsidR="00A22D07">
        <w:rPr>
          <w:rFonts w:asciiTheme="majorBidi" w:eastAsia="TimesLTStd-Roman" w:hAnsiTheme="majorBidi" w:cstheme="majorBidi"/>
          <w:sz w:val="24"/>
          <w:szCs w:val="24"/>
          <w:lang w:val="en-US"/>
        </w:rPr>
        <w:t>to assess</w:t>
      </w:r>
      <w:r w:rsidR="00A22D07" w:rsidRPr="00516108">
        <w:rPr>
          <w:rFonts w:asciiTheme="majorBidi" w:eastAsia="TimesLTStd-Roman" w:hAnsiTheme="majorBidi" w:cstheme="majorBidi"/>
          <w:sz w:val="24"/>
          <w:szCs w:val="24"/>
          <w:lang w:val="en-US"/>
        </w:rPr>
        <w:t xml:space="preserve"> </w:t>
      </w:r>
      <w:r w:rsidRPr="00516108">
        <w:rPr>
          <w:rFonts w:asciiTheme="majorBidi" w:eastAsia="TimesLTStd-Roman" w:hAnsiTheme="majorBidi" w:cstheme="majorBidi"/>
          <w:sz w:val="24"/>
          <w:szCs w:val="24"/>
          <w:lang w:val="en-US"/>
        </w:rPr>
        <w:t>medical risk taking</w:t>
      </w:r>
      <w:r w:rsidR="00B752EE">
        <w:rPr>
          <w:rFonts w:asciiTheme="majorBidi" w:eastAsia="TimesLTStd-Roman" w:hAnsiTheme="majorBidi" w:cstheme="majorBidi"/>
          <w:sz w:val="24"/>
          <w:szCs w:val="24"/>
          <w:lang w:val="en-US"/>
        </w:rPr>
        <w:t xml:space="preserve">, and additional </w:t>
      </w:r>
      <w:r w:rsidR="003B2629" w:rsidRPr="00516108">
        <w:rPr>
          <w:rFonts w:asciiTheme="majorBidi" w:eastAsia="TimesLTStd-Roman" w:hAnsiTheme="majorBidi" w:cstheme="majorBidi"/>
          <w:sz w:val="24"/>
          <w:szCs w:val="24"/>
          <w:lang w:val="en-US"/>
        </w:rPr>
        <w:t>measures</w:t>
      </w:r>
      <w:r w:rsidR="00994788" w:rsidRPr="00516108">
        <w:rPr>
          <w:rFonts w:asciiTheme="majorBidi" w:eastAsia="TimesLTStd-Roman" w:hAnsiTheme="majorBidi" w:cstheme="majorBidi"/>
          <w:sz w:val="24"/>
          <w:szCs w:val="24"/>
          <w:lang w:val="en-US"/>
        </w:rPr>
        <w:t xml:space="preserve"> designed to evaluate risk</w:t>
      </w:r>
      <w:r w:rsidR="00A22D07">
        <w:rPr>
          <w:rFonts w:asciiTheme="majorBidi" w:eastAsia="TimesLTStd-Roman" w:hAnsiTheme="majorBidi" w:cstheme="majorBidi"/>
          <w:sz w:val="24"/>
          <w:szCs w:val="24"/>
          <w:lang w:val="en-US"/>
        </w:rPr>
        <w:t>-</w:t>
      </w:r>
      <w:r w:rsidR="00994788" w:rsidRPr="00516108">
        <w:rPr>
          <w:rFonts w:asciiTheme="majorBidi" w:eastAsia="TimesLTStd-Roman" w:hAnsiTheme="majorBidi" w:cstheme="majorBidi"/>
          <w:sz w:val="24"/>
          <w:szCs w:val="24"/>
          <w:lang w:val="en-US"/>
        </w:rPr>
        <w:t xml:space="preserve">taking behavior </w:t>
      </w:r>
      <w:r w:rsidR="00A22D07">
        <w:rPr>
          <w:rFonts w:asciiTheme="majorBidi" w:eastAsia="TimesLTStd-Roman" w:hAnsiTheme="majorBidi" w:cstheme="majorBidi"/>
          <w:sz w:val="24"/>
          <w:szCs w:val="24"/>
          <w:lang w:val="en-US"/>
        </w:rPr>
        <w:t>in</w:t>
      </w:r>
      <w:r w:rsidR="00A22D07" w:rsidRPr="00516108">
        <w:rPr>
          <w:rFonts w:asciiTheme="majorBidi" w:eastAsia="TimesLTStd-Roman" w:hAnsiTheme="majorBidi" w:cstheme="majorBidi"/>
          <w:sz w:val="24"/>
          <w:szCs w:val="24"/>
          <w:lang w:val="en-US"/>
        </w:rPr>
        <w:t xml:space="preserve"> </w:t>
      </w:r>
      <w:r w:rsidR="00994788" w:rsidRPr="00516108">
        <w:rPr>
          <w:rFonts w:asciiTheme="majorBidi" w:eastAsia="TimesLTStd-Roman" w:hAnsiTheme="majorBidi" w:cstheme="majorBidi"/>
          <w:sz w:val="24"/>
          <w:szCs w:val="24"/>
          <w:lang w:val="en-US"/>
        </w:rPr>
        <w:t xml:space="preserve">the medical domain. </w:t>
      </w:r>
      <w:r w:rsidR="00E444E0" w:rsidRPr="00516108">
        <w:rPr>
          <w:rFonts w:ascii="Times New Roman" w:hAnsi="Times New Roman" w:cs="Times New Roman"/>
          <w:sz w:val="24"/>
          <w:szCs w:val="24"/>
          <w:lang w:val="en-US"/>
        </w:rPr>
        <w:t xml:space="preserve">Greater expected benefits on the </w:t>
      </w:r>
      <w:r w:rsidR="00CD0805" w:rsidRPr="00516108">
        <w:rPr>
          <w:rFonts w:ascii="Times New Roman" w:hAnsi="Times New Roman" w:cs="Times New Roman"/>
          <w:sz w:val="24"/>
          <w:szCs w:val="24"/>
          <w:lang w:val="en-US"/>
        </w:rPr>
        <w:t>Domain</w:t>
      </w:r>
      <w:r w:rsidR="000142A7">
        <w:rPr>
          <w:rFonts w:ascii="Times New Roman" w:hAnsi="Times New Roman" w:cs="Times New Roman"/>
          <w:sz w:val="24"/>
          <w:szCs w:val="24"/>
          <w:lang w:val="en-US"/>
        </w:rPr>
        <w:t>-</w:t>
      </w:r>
      <w:r w:rsidR="00B752EE">
        <w:rPr>
          <w:rFonts w:ascii="Times New Roman" w:hAnsi="Times New Roman" w:cs="Times New Roman"/>
          <w:sz w:val="24"/>
          <w:szCs w:val="24"/>
          <w:lang w:val="en-US"/>
        </w:rPr>
        <w:t xml:space="preserve">Specific </w:t>
      </w:r>
      <w:r w:rsidR="00CD0805" w:rsidRPr="00516108">
        <w:rPr>
          <w:rFonts w:ascii="Times New Roman" w:hAnsi="Times New Roman" w:cs="Times New Roman"/>
          <w:sz w:val="24"/>
          <w:szCs w:val="24"/>
          <w:lang w:val="en-US"/>
        </w:rPr>
        <w:t>Risk</w:t>
      </w:r>
      <w:r w:rsidR="000142A7">
        <w:rPr>
          <w:rFonts w:ascii="Times New Roman" w:hAnsi="Times New Roman" w:cs="Times New Roman"/>
          <w:sz w:val="24"/>
          <w:szCs w:val="24"/>
          <w:lang w:val="en-US"/>
        </w:rPr>
        <w:t>-</w:t>
      </w:r>
      <w:r w:rsidR="00CD0805" w:rsidRPr="00516108">
        <w:rPr>
          <w:rFonts w:ascii="Times New Roman" w:hAnsi="Times New Roman" w:cs="Times New Roman"/>
          <w:sz w:val="24"/>
          <w:szCs w:val="24"/>
          <w:lang w:val="en-US"/>
        </w:rPr>
        <w:t>Taking</w:t>
      </w:r>
      <w:r w:rsidR="000142A7" w:rsidRPr="000142A7">
        <w:rPr>
          <w:rFonts w:ascii="Times New Roman" w:hAnsi="Times New Roman" w:cs="Times New Roman"/>
          <w:sz w:val="24"/>
          <w:szCs w:val="24"/>
          <w:lang w:val="en-US"/>
        </w:rPr>
        <w:t xml:space="preserve"> </w:t>
      </w:r>
      <w:r w:rsidR="000142A7">
        <w:rPr>
          <w:rFonts w:ascii="Times New Roman" w:hAnsi="Times New Roman" w:cs="Times New Roman"/>
          <w:sz w:val="24"/>
          <w:szCs w:val="24"/>
          <w:lang w:val="en-US"/>
        </w:rPr>
        <w:t>S</w:t>
      </w:r>
      <w:r w:rsidR="000142A7" w:rsidRPr="00516108">
        <w:rPr>
          <w:rFonts w:ascii="Times New Roman" w:hAnsi="Times New Roman" w:cs="Times New Roman"/>
          <w:sz w:val="24"/>
          <w:szCs w:val="24"/>
          <w:lang w:val="en-US"/>
        </w:rPr>
        <w:t>cale</w:t>
      </w:r>
      <w:r w:rsidR="00A22D07">
        <w:rPr>
          <w:rFonts w:ascii="Times New Roman" w:hAnsi="Times New Roman" w:cs="Times New Roman"/>
          <w:sz w:val="24"/>
          <w:szCs w:val="24"/>
          <w:lang w:val="en-US"/>
        </w:rPr>
        <w:t>—</w:t>
      </w:r>
      <w:r w:rsidR="00CD0805" w:rsidRPr="00516108">
        <w:rPr>
          <w:rFonts w:ascii="Times New Roman" w:hAnsi="Times New Roman" w:cs="Times New Roman"/>
          <w:sz w:val="24"/>
          <w:szCs w:val="24"/>
          <w:lang w:val="en-US"/>
        </w:rPr>
        <w:t>Medical (</w:t>
      </w:r>
      <w:r w:rsidR="00E444E0" w:rsidRPr="00516108">
        <w:rPr>
          <w:rFonts w:ascii="Times New Roman" w:hAnsi="Times New Roman" w:cs="Times New Roman"/>
          <w:sz w:val="24"/>
          <w:szCs w:val="24"/>
          <w:lang w:val="en-US"/>
        </w:rPr>
        <w:t>DOSPERT-M</w:t>
      </w:r>
      <w:r w:rsidR="00CD0805" w:rsidRPr="00516108">
        <w:rPr>
          <w:rFonts w:ascii="Times New Roman" w:hAnsi="Times New Roman" w:cs="Times New Roman"/>
          <w:sz w:val="24"/>
          <w:szCs w:val="24"/>
          <w:lang w:val="en-US"/>
        </w:rPr>
        <w:t xml:space="preserve">) </w:t>
      </w:r>
      <w:r w:rsidR="00E444E0" w:rsidRPr="00516108">
        <w:rPr>
          <w:rFonts w:ascii="Times New Roman" w:hAnsi="Times New Roman" w:cs="Times New Roman"/>
          <w:sz w:val="24"/>
          <w:szCs w:val="24"/>
          <w:lang w:val="en-US"/>
        </w:rPr>
        <w:t xml:space="preserve">predicted </w:t>
      </w:r>
      <w:r w:rsidR="00A22D07">
        <w:rPr>
          <w:rFonts w:ascii="Times New Roman" w:hAnsi="Times New Roman" w:cs="Times New Roman"/>
          <w:sz w:val="24"/>
          <w:szCs w:val="24"/>
          <w:lang w:val="en-US"/>
        </w:rPr>
        <w:t>more</w:t>
      </w:r>
      <w:r w:rsidR="00A22D07" w:rsidRPr="00516108">
        <w:rPr>
          <w:rFonts w:ascii="Times New Roman" w:hAnsi="Times New Roman" w:cs="Times New Roman"/>
          <w:sz w:val="24"/>
          <w:szCs w:val="24"/>
          <w:lang w:val="en-US"/>
        </w:rPr>
        <w:t xml:space="preserve"> </w:t>
      </w:r>
      <w:r w:rsidR="00E444E0" w:rsidRPr="00516108">
        <w:rPr>
          <w:rFonts w:ascii="Times New Roman" w:hAnsi="Times New Roman" w:cs="Times New Roman"/>
          <w:sz w:val="24"/>
          <w:szCs w:val="24"/>
          <w:lang w:val="en-US"/>
        </w:rPr>
        <w:t>active risk</w:t>
      </w:r>
      <w:r w:rsidR="00A22D07">
        <w:rPr>
          <w:rFonts w:ascii="Times New Roman" w:hAnsi="Times New Roman" w:cs="Times New Roman"/>
          <w:sz w:val="24"/>
          <w:szCs w:val="24"/>
          <w:lang w:val="en-US"/>
        </w:rPr>
        <w:t xml:space="preserve"> </w:t>
      </w:r>
      <w:r w:rsidR="00E444E0" w:rsidRPr="00516108">
        <w:rPr>
          <w:rFonts w:ascii="Times New Roman" w:hAnsi="Times New Roman" w:cs="Times New Roman"/>
          <w:sz w:val="24"/>
          <w:szCs w:val="24"/>
          <w:lang w:val="en-US"/>
        </w:rPr>
        <w:t>taking, whereas higher perceived risk predicted less active risk</w:t>
      </w:r>
      <w:r w:rsidR="00A22D07">
        <w:rPr>
          <w:rFonts w:ascii="Times New Roman" w:hAnsi="Times New Roman" w:cs="Times New Roman"/>
          <w:sz w:val="24"/>
          <w:szCs w:val="24"/>
          <w:lang w:val="en-US"/>
        </w:rPr>
        <w:t xml:space="preserve"> </w:t>
      </w:r>
      <w:r w:rsidR="00E444E0" w:rsidRPr="00516108">
        <w:rPr>
          <w:rFonts w:ascii="Times New Roman" w:hAnsi="Times New Roman" w:cs="Times New Roman"/>
          <w:sz w:val="24"/>
          <w:szCs w:val="24"/>
          <w:lang w:val="en-US"/>
        </w:rPr>
        <w:t xml:space="preserve">taking. </w:t>
      </w:r>
      <w:r w:rsidR="00270771">
        <w:rPr>
          <w:rFonts w:ascii="Times New Roman" w:hAnsi="Times New Roman" w:cs="Times New Roman"/>
          <w:sz w:val="24"/>
          <w:szCs w:val="24"/>
          <w:lang w:val="en-US"/>
        </w:rPr>
        <w:t xml:space="preserve">Next, we examined differences in active and passive risk taking, where passive risk taking refers to risk taking that is associated with inaction. </w:t>
      </w:r>
      <w:r w:rsidR="00E444E0" w:rsidRPr="00516108">
        <w:rPr>
          <w:rFonts w:ascii="Times New Roman" w:hAnsi="Times New Roman" w:cs="Times New Roman"/>
          <w:sz w:val="24"/>
          <w:szCs w:val="24"/>
          <w:lang w:val="en-US"/>
        </w:rPr>
        <w:t>Age was associated with less passive risk</w:t>
      </w:r>
      <w:r w:rsidR="00A22D07">
        <w:rPr>
          <w:rFonts w:ascii="Times New Roman" w:hAnsi="Times New Roman" w:cs="Times New Roman"/>
          <w:sz w:val="24"/>
          <w:szCs w:val="24"/>
          <w:lang w:val="en-US"/>
        </w:rPr>
        <w:t xml:space="preserve"> </w:t>
      </w:r>
      <w:r w:rsidR="00E444E0" w:rsidRPr="00516108">
        <w:rPr>
          <w:rFonts w:ascii="Times New Roman" w:hAnsi="Times New Roman" w:cs="Times New Roman"/>
          <w:sz w:val="24"/>
          <w:szCs w:val="24"/>
          <w:lang w:val="en-US"/>
        </w:rPr>
        <w:t xml:space="preserve">taking, but not </w:t>
      </w:r>
      <w:r w:rsidR="008F6426">
        <w:rPr>
          <w:rFonts w:ascii="Times New Roman" w:hAnsi="Times New Roman" w:cs="Times New Roman"/>
          <w:sz w:val="24"/>
          <w:szCs w:val="24"/>
          <w:lang w:val="en-US"/>
        </w:rPr>
        <w:t xml:space="preserve">with </w:t>
      </w:r>
      <w:r w:rsidR="00E444E0" w:rsidRPr="00516108">
        <w:rPr>
          <w:rFonts w:ascii="Times New Roman" w:hAnsi="Times New Roman" w:cs="Times New Roman"/>
          <w:sz w:val="24"/>
          <w:szCs w:val="24"/>
          <w:lang w:val="en-US"/>
        </w:rPr>
        <w:t>active risk</w:t>
      </w:r>
      <w:r w:rsidR="00A22D07">
        <w:rPr>
          <w:rFonts w:ascii="Times New Roman" w:hAnsi="Times New Roman" w:cs="Times New Roman"/>
          <w:sz w:val="24"/>
          <w:szCs w:val="24"/>
          <w:lang w:val="en-US"/>
        </w:rPr>
        <w:t xml:space="preserve"> </w:t>
      </w:r>
      <w:r w:rsidR="00E444E0" w:rsidRPr="00516108">
        <w:rPr>
          <w:rFonts w:ascii="Times New Roman" w:hAnsi="Times New Roman" w:cs="Times New Roman"/>
          <w:sz w:val="24"/>
          <w:szCs w:val="24"/>
          <w:lang w:val="en-US"/>
        </w:rPr>
        <w:t xml:space="preserve">taking, risk perception, or expected benefits on the DOSPERT-M. Participants were overall more likely to opt for taking medical action than </w:t>
      </w:r>
      <w:r w:rsidR="00A22D07">
        <w:rPr>
          <w:rFonts w:ascii="Times New Roman" w:hAnsi="Times New Roman" w:cs="Times New Roman"/>
          <w:sz w:val="24"/>
          <w:szCs w:val="24"/>
          <w:lang w:val="en-US"/>
        </w:rPr>
        <w:t>not</w:t>
      </w:r>
      <w:r w:rsidR="00E444E0" w:rsidRPr="00516108">
        <w:rPr>
          <w:rFonts w:ascii="Times New Roman" w:hAnsi="Times New Roman" w:cs="Times New Roman"/>
          <w:sz w:val="24"/>
          <w:szCs w:val="24"/>
          <w:lang w:val="en-US"/>
        </w:rPr>
        <w:t xml:space="preserve">, even more so </w:t>
      </w:r>
      <w:r w:rsidR="00CD0805" w:rsidRPr="00516108">
        <w:rPr>
          <w:rFonts w:ascii="Times New Roman" w:hAnsi="Times New Roman" w:cs="Times New Roman"/>
          <w:sz w:val="24"/>
          <w:szCs w:val="24"/>
          <w:lang w:val="en-US"/>
        </w:rPr>
        <w:t>for</w:t>
      </w:r>
      <w:r w:rsidR="00E444E0" w:rsidRPr="00516108">
        <w:rPr>
          <w:rFonts w:ascii="Times New Roman" w:hAnsi="Times New Roman" w:cs="Times New Roman"/>
          <w:sz w:val="24"/>
          <w:szCs w:val="24"/>
          <w:lang w:val="en-US"/>
        </w:rPr>
        <w:t xml:space="preserve"> </w:t>
      </w:r>
      <w:r w:rsidR="008F6426">
        <w:rPr>
          <w:rFonts w:ascii="Times New Roman" w:hAnsi="Times New Roman" w:cs="Times New Roman"/>
          <w:sz w:val="24"/>
          <w:szCs w:val="24"/>
          <w:lang w:val="en-US"/>
        </w:rPr>
        <w:t>a scenario about a</w:t>
      </w:r>
      <w:r w:rsidR="008F6426" w:rsidRPr="00516108">
        <w:rPr>
          <w:rFonts w:ascii="Times New Roman" w:hAnsi="Times New Roman" w:cs="Times New Roman"/>
          <w:sz w:val="24"/>
          <w:szCs w:val="24"/>
          <w:lang w:val="en-US"/>
        </w:rPr>
        <w:t xml:space="preserve"> </w:t>
      </w:r>
      <w:r w:rsidR="00E444E0" w:rsidRPr="00516108">
        <w:rPr>
          <w:rFonts w:ascii="Times New Roman" w:hAnsi="Times New Roman" w:cs="Times New Roman"/>
          <w:sz w:val="24"/>
          <w:szCs w:val="24"/>
          <w:lang w:val="en-US"/>
        </w:rPr>
        <w:t xml:space="preserve">vaccine </w:t>
      </w:r>
      <w:r w:rsidR="008F6426">
        <w:rPr>
          <w:rFonts w:ascii="Times New Roman" w:hAnsi="Times New Roman" w:cs="Times New Roman"/>
          <w:sz w:val="24"/>
          <w:szCs w:val="24"/>
          <w:lang w:val="en-US"/>
        </w:rPr>
        <w:t xml:space="preserve">for a deadly flu </w:t>
      </w:r>
      <w:r w:rsidR="00E444E0" w:rsidRPr="00516108">
        <w:rPr>
          <w:rFonts w:ascii="Times New Roman" w:hAnsi="Times New Roman" w:cs="Times New Roman"/>
          <w:sz w:val="24"/>
          <w:szCs w:val="24"/>
          <w:lang w:val="en-US"/>
        </w:rPr>
        <w:t xml:space="preserve">than </w:t>
      </w:r>
      <w:r w:rsidR="009B6C00">
        <w:rPr>
          <w:rFonts w:ascii="Times New Roman" w:hAnsi="Times New Roman" w:cs="Times New Roman"/>
          <w:sz w:val="24"/>
          <w:szCs w:val="24"/>
          <w:lang w:val="en-US"/>
        </w:rPr>
        <w:t xml:space="preserve">for </w:t>
      </w:r>
      <w:r w:rsidR="008F6426">
        <w:rPr>
          <w:rFonts w:ascii="Times New Roman" w:hAnsi="Times New Roman" w:cs="Times New Roman"/>
          <w:sz w:val="24"/>
          <w:szCs w:val="24"/>
          <w:lang w:val="en-US"/>
        </w:rPr>
        <w:t xml:space="preserve">a scenario about a </w:t>
      </w:r>
      <w:r w:rsidR="00E444E0" w:rsidRPr="00516108">
        <w:rPr>
          <w:rFonts w:ascii="Times New Roman" w:hAnsi="Times New Roman" w:cs="Times New Roman"/>
          <w:sz w:val="24"/>
          <w:szCs w:val="24"/>
          <w:lang w:val="en-US"/>
        </w:rPr>
        <w:t>chemotherapy treatment</w:t>
      </w:r>
      <w:r w:rsidR="008F6426">
        <w:rPr>
          <w:rFonts w:ascii="Times New Roman" w:hAnsi="Times New Roman" w:cs="Times New Roman"/>
          <w:sz w:val="24"/>
          <w:szCs w:val="24"/>
          <w:lang w:val="en-US"/>
        </w:rPr>
        <w:t xml:space="preserve"> for cancer</w:t>
      </w:r>
      <w:r w:rsidR="00E444E0" w:rsidRPr="00516108">
        <w:rPr>
          <w:rFonts w:ascii="Times New Roman" w:hAnsi="Times New Roman" w:cs="Times New Roman"/>
          <w:sz w:val="24"/>
          <w:szCs w:val="24"/>
          <w:lang w:val="en-US"/>
        </w:rPr>
        <w:t xml:space="preserve">. Overall, participants were more likely to accept </w:t>
      </w:r>
      <w:r w:rsidR="008F6426">
        <w:rPr>
          <w:rFonts w:ascii="Times New Roman" w:hAnsi="Times New Roman" w:cs="Times New Roman"/>
          <w:sz w:val="24"/>
          <w:szCs w:val="24"/>
          <w:lang w:val="en-US"/>
        </w:rPr>
        <w:t xml:space="preserve">medication (vaccine or chemotherapy) </w:t>
      </w:r>
      <w:r w:rsidR="00E444E0" w:rsidRPr="00516108">
        <w:rPr>
          <w:rFonts w:ascii="Times New Roman" w:hAnsi="Times New Roman" w:cs="Times New Roman"/>
          <w:sz w:val="24"/>
          <w:szCs w:val="24"/>
          <w:lang w:val="en-US"/>
        </w:rPr>
        <w:t>for their child than for themselves. Increasing age was associated with a lower likelihood of accepting the treatment or vaccine</w:t>
      </w:r>
      <w:r w:rsidR="00464A59">
        <w:rPr>
          <w:rFonts w:ascii="Times New Roman" w:hAnsi="Times New Roman" w:cs="Times New Roman"/>
          <w:sz w:val="24"/>
          <w:szCs w:val="24"/>
          <w:lang w:val="en-US"/>
        </w:rPr>
        <w:t xml:space="preserve"> for oneself</w:t>
      </w:r>
      <w:r w:rsidR="00E444E0" w:rsidRPr="00516108">
        <w:rPr>
          <w:rFonts w:ascii="Times New Roman" w:hAnsi="Times New Roman" w:cs="Times New Roman"/>
          <w:sz w:val="24"/>
          <w:szCs w:val="24"/>
          <w:lang w:val="en-US"/>
        </w:rPr>
        <w:t>.</w:t>
      </w:r>
      <w:r w:rsidR="007C7BAC">
        <w:rPr>
          <w:rFonts w:ascii="Times New Roman" w:hAnsi="Times New Roman" w:cs="Times New Roman"/>
          <w:sz w:val="24"/>
          <w:szCs w:val="24"/>
          <w:lang w:val="en-US"/>
        </w:rPr>
        <w:t xml:space="preserve"> </w:t>
      </w:r>
      <w:r w:rsidR="00464A59">
        <w:rPr>
          <w:rFonts w:ascii="Times New Roman" w:hAnsi="Times New Roman" w:cs="Times New Roman"/>
          <w:sz w:val="24"/>
          <w:szCs w:val="24"/>
          <w:lang w:val="en-US"/>
        </w:rPr>
        <w:t xml:space="preserve">Taken together, </w:t>
      </w:r>
      <w:r w:rsidR="00464A59">
        <w:rPr>
          <w:rFonts w:asciiTheme="majorBidi" w:eastAsia="TimesLTStd-Roman" w:hAnsiTheme="majorBidi" w:cstheme="majorBidi"/>
          <w:sz w:val="24"/>
          <w:szCs w:val="24"/>
          <w:lang w:val="en-US"/>
        </w:rPr>
        <w:t>o</w:t>
      </w:r>
      <w:r w:rsidR="003B2629" w:rsidRPr="00516108">
        <w:rPr>
          <w:rFonts w:asciiTheme="majorBidi" w:eastAsia="TimesLTStd-Roman" w:hAnsiTheme="majorBidi" w:cstheme="majorBidi"/>
          <w:sz w:val="24"/>
          <w:szCs w:val="24"/>
          <w:lang w:val="en-US"/>
        </w:rPr>
        <w:t xml:space="preserve">ur study provides important insights about changes </w:t>
      </w:r>
      <w:r w:rsidR="009B6C00">
        <w:rPr>
          <w:rFonts w:asciiTheme="majorBidi" w:eastAsia="TimesLTStd-Roman" w:hAnsiTheme="majorBidi" w:cstheme="majorBidi"/>
          <w:sz w:val="24"/>
          <w:szCs w:val="24"/>
          <w:lang w:val="en-US"/>
        </w:rPr>
        <w:t>in</w:t>
      </w:r>
      <w:r w:rsidR="009B6C00" w:rsidRPr="00516108">
        <w:rPr>
          <w:rFonts w:asciiTheme="majorBidi" w:eastAsia="TimesLTStd-Roman" w:hAnsiTheme="majorBidi" w:cstheme="majorBidi"/>
          <w:sz w:val="24"/>
          <w:szCs w:val="24"/>
          <w:lang w:val="en-US"/>
        </w:rPr>
        <w:t xml:space="preserve"> </w:t>
      </w:r>
      <w:r w:rsidR="003B2629" w:rsidRPr="00516108">
        <w:rPr>
          <w:rFonts w:asciiTheme="majorBidi" w:eastAsia="TimesLTStd-Roman" w:hAnsiTheme="majorBidi" w:cstheme="majorBidi"/>
          <w:sz w:val="24"/>
          <w:szCs w:val="24"/>
          <w:lang w:val="en-US"/>
        </w:rPr>
        <w:t>medical risk taking</w:t>
      </w:r>
      <w:r w:rsidR="00464A59">
        <w:rPr>
          <w:rFonts w:asciiTheme="majorBidi" w:eastAsia="TimesLTStd-Roman" w:hAnsiTheme="majorBidi" w:cstheme="majorBidi"/>
          <w:sz w:val="24"/>
          <w:szCs w:val="24"/>
          <w:lang w:val="en-US"/>
        </w:rPr>
        <w:t xml:space="preserve"> across a</w:t>
      </w:r>
      <w:r w:rsidR="00464A59" w:rsidRPr="00516108">
        <w:rPr>
          <w:rFonts w:asciiTheme="majorBidi" w:eastAsia="TimesLTStd-Roman" w:hAnsiTheme="majorBidi" w:cstheme="majorBidi"/>
          <w:sz w:val="24"/>
          <w:szCs w:val="24"/>
          <w:lang w:val="en-US"/>
        </w:rPr>
        <w:t>dult</w:t>
      </w:r>
      <w:r w:rsidR="00464A59">
        <w:rPr>
          <w:rFonts w:asciiTheme="majorBidi" w:eastAsia="TimesLTStd-Roman" w:hAnsiTheme="majorBidi" w:cstheme="majorBidi"/>
          <w:sz w:val="24"/>
          <w:szCs w:val="24"/>
          <w:lang w:val="en-US"/>
        </w:rPr>
        <w:t xml:space="preserve">hood when people </w:t>
      </w:r>
      <w:r w:rsidR="00464A59" w:rsidRPr="00516108">
        <w:rPr>
          <w:rFonts w:asciiTheme="majorBidi" w:eastAsia="TimesLTStd-Roman" w:hAnsiTheme="majorBidi" w:cstheme="majorBidi"/>
          <w:sz w:val="24"/>
          <w:szCs w:val="24"/>
          <w:lang w:val="en-US"/>
        </w:rPr>
        <w:t xml:space="preserve">face </w:t>
      </w:r>
      <w:r w:rsidR="00464A59">
        <w:rPr>
          <w:rFonts w:asciiTheme="majorBidi" w:eastAsia="TimesLTStd-Roman" w:hAnsiTheme="majorBidi" w:cstheme="majorBidi"/>
          <w:sz w:val="24"/>
          <w:szCs w:val="24"/>
          <w:lang w:val="en-US"/>
        </w:rPr>
        <w:t>an increasing number of</w:t>
      </w:r>
      <w:r w:rsidR="00464A59" w:rsidRPr="00516108">
        <w:rPr>
          <w:rFonts w:asciiTheme="majorBidi" w:eastAsia="TimesLTStd-Roman" w:hAnsiTheme="majorBidi" w:cstheme="majorBidi"/>
          <w:sz w:val="24"/>
          <w:szCs w:val="24"/>
          <w:lang w:val="en-US"/>
        </w:rPr>
        <w:t xml:space="preserve"> complex and risky medical</w:t>
      </w:r>
      <w:r w:rsidR="008F71EF">
        <w:rPr>
          <w:rFonts w:asciiTheme="majorBidi" w:eastAsia="TimesLTStd-Roman" w:hAnsiTheme="majorBidi" w:cstheme="majorBidi"/>
          <w:sz w:val="24"/>
          <w:szCs w:val="24"/>
          <w:lang w:val="en-US"/>
        </w:rPr>
        <w:t xml:space="preserve"> decisions</w:t>
      </w:r>
      <w:r w:rsidR="003B2629" w:rsidRPr="00516108">
        <w:rPr>
          <w:rFonts w:asciiTheme="majorBidi" w:eastAsia="TimesLTStd-Roman" w:hAnsiTheme="majorBidi" w:cstheme="majorBidi"/>
          <w:sz w:val="24"/>
          <w:szCs w:val="24"/>
          <w:lang w:val="en-US"/>
        </w:rPr>
        <w:t xml:space="preserve">.  </w:t>
      </w:r>
    </w:p>
    <w:p w14:paraId="428996E6" w14:textId="77777777" w:rsidR="00431487" w:rsidRDefault="00431487" w:rsidP="00B55C69">
      <w:pPr>
        <w:spacing w:after="0" w:line="480" w:lineRule="auto"/>
        <w:rPr>
          <w:rFonts w:asciiTheme="majorBidi" w:hAnsiTheme="majorBidi" w:cstheme="majorBidi"/>
          <w:b/>
          <w:sz w:val="24"/>
          <w:szCs w:val="24"/>
          <w:lang w:val="en-US"/>
        </w:rPr>
      </w:pPr>
    </w:p>
    <w:p w14:paraId="4288056B" w14:textId="363FD0A2" w:rsidR="00DB33A5" w:rsidRPr="00516108" w:rsidRDefault="00B81449" w:rsidP="00D93E5E">
      <w:pPr>
        <w:spacing w:after="0" w:line="480" w:lineRule="auto"/>
        <w:rPr>
          <w:rFonts w:asciiTheme="majorBidi" w:hAnsiTheme="majorBidi" w:cstheme="majorBidi"/>
          <w:bCs/>
          <w:sz w:val="24"/>
          <w:szCs w:val="24"/>
          <w:lang w:val="en-US"/>
        </w:rPr>
      </w:pPr>
      <w:r w:rsidRPr="00516108">
        <w:rPr>
          <w:rFonts w:asciiTheme="majorBidi" w:hAnsiTheme="majorBidi" w:cstheme="majorBidi"/>
          <w:i/>
          <w:sz w:val="24"/>
          <w:szCs w:val="24"/>
          <w:lang w:val="en-US"/>
        </w:rPr>
        <w:t>Keywords:</w:t>
      </w:r>
      <w:r w:rsidRPr="00516108">
        <w:rPr>
          <w:rFonts w:asciiTheme="majorBidi" w:hAnsiTheme="majorBidi" w:cstheme="majorBidi"/>
          <w:b/>
          <w:sz w:val="24"/>
          <w:szCs w:val="24"/>
          <w:lang w:val="en-US"/>
        </w:rPr>
        <w:t xml:space="preserve"> </w:t>
      </w:r>
      <w:r w:rsidRPr="00516108">
        <w:rPr>
          <w:rFonts w:asciiTheme="majorBidi" w:hAnsiTheme="majorBidi" w:cstheme="majorBidi"/>
          <w:bCs/>
          <w:sz w:val="24"/>
          <w:szCs w:val="24"/>
          <w:lang w:val="en-US"/>
        </w:rPr>
        <w:t xml:space="preserve">DOSPERT-M; Medical; </w:t>
      </w:r>
      <w:r w:rsidR="008F71EF">
        <w:rPr>
          <w:rFonts w:asciiTheme="majorBidi" w:hAnsiTheme="majorBidi" w:cstheme="majorBidi"/>
          <w:bCs/>
          <w:sz w:val="24"/>
          <w:szCs w:val="24"/>
          <w:lang w:val="en-US"/>
        </w:rPr>
        <w:t>Adulthood and Aging</w:t>
      </w:r>
      <w:r w:rsidRPr="00516108">
        <w:rPr>
          <w:rFonts w:asciiTheme="majorBidi" w:hAnsiTheme="majorBidi" w:cstheme="majorBidi"/>
          <w:bCs/>
          <w:sz w:val="24"/>
          <w:szCs w:val="24"/>
          <w:lang w:val="en-US"/>
        </w:rPr>
        <w:t xml:space="preserve">; </w:t>
      </w:r>
      <w:r w:rsidR="00F51B81" w:rsidRPr="00516108">
        <w:rPr>
          <w:rFonts w:asciiTheme="majorBidi" w:hAnsiTheme="majorBidi" w:cstheme="majorBidi"/>
          <w:bCs/>
          <w:sz w:val="24"/>
          <w:szCs w:val="24"/>
          <w:lang w:val="en-US"/>
        </w:rPr>
        <w:t xml:space="preserve">Omission; </w:t>
      </w:r>
      <w:r w:rsidRPr="00516108">
        <w:rPr>
          <w:rFonts w:asciiTheme="majorBidi" w:hAnsiTheme="majorBidi" w:cstheme="majorBidi"/>
          <w:bCs/>
          <w:sz w:val="24"/>
          <w:szCs w:val="24"/>
          <w:lang w:val="en-US"/>
        </w:rPr>
        <w:t xml:space="preserve">Risk taking. </w:t>
      </w:r>
    </w:p>
    <w:p w14:paraId="7744B8CD" w14:textId="3302C0EB" w:rsidR="009B6C00" w:rsidRDefault="009B6C00">
      <w:pPr>
        <w:rPr>
          <w:rFonts w:asciiTheme="majorBidi" w:hAnsiTheme="majorBidi" w:cstheme="majorBidi"/>
          <w:b/>
          <w:sz w:val="24"/>
          <w:szCs w:val="24"/>
          <w:lang w:val="en-US"/>
        </w:rPr>
      </w:pPr>
      <w:r>
        <w:rPr>
          <w:rFonts w:asciiTheme="majorBidi" w:hAnsiTheme="majorBidi" w:cstheme="majorBidi"/>
          <w:b/>
          <w:sz w:val="24"/>
          <w:szCs w:val="24"/>
          <w:lang w:val="en-US"/>
        </w:rPr>
        <w:br w:type="page"/>
      </w:r>
    </w:p>
    <w:p w14:paraId="16F35F67" w14:textId="207F338F" w:rsidR="00071F8A" w:rsidRPr="004D4259" w:rsidRDefault="008F71EF" w:rsidP="004D4259">
      <w:pPr>
        <w:pStyle w:val="ListParagraph"/>
        <w:numPr>
          <w:ilvl w:val="0"/>
          <w:numId w:val="10"/>
        </w:numPr>
        <w:spacing w:after="0" w:line="480" w:lineRule="auto"/>
        <w:rPr>
          <w:rFonts w:asciiTheme="majorBidi" w:hAnsiTheme="majorBidi" w:cstheme="majorBidi"/>
          <w:b/>
          <w:bCs/>
          <w:sz w:val="24"/>
          <w:szCs w:val="24"/>
          <w:lang w:val="en-US"/>
        </w:rPr>
      </w:pPr>
      <w:r w:rsidRPr="004D4259">
        <w:rPr>
          <w:rFonts w:asciiTheme="majorBidi" w:hAnsiTheme="majorBidi" w:cstheme="majorBidi"/>
          <w:b/>
          <w:bCs/>
          <w:sz w:val="24"/>
          <w:szCs w:val="24"/>
          <w:lang w:val="en-US"/>
        </w:rPr>
        <w:lastRenderedPageBreak/>
        <w:t>I</w:t>
      </w:r>
      <w:r w:rsidR="00071F8A" w:rsidRPr="004D4259">
        <w:rPr>
          <w:rFonts w:asciiTheme="majorBidi" w:hAnsiTheme="majorBidi" w:cstheme="majorBidi"/>
          <w:b/>
          <w:bCs/>
          <w:sz w:val="24"/>
          <w:szCs w:val="24"/>
          <w:lang w:val="en-US"/>
        </w:rPr>
        <w:t>ntroduction</w:t>
      </w:r>
    </w:p>
    <w:p w14:paraId="091A8EB9" w14:textId="7B35069F" w:rsidR="00726504" w:rsidRDefault="001E5AD9" w:rsidP="00262BC8">
      <w:pPr>
        <w:spacing w:after="0" w:line="480" w:lineRule="auto"/>
        <w:ind w:firstLine="720"/>
        <w:rPr>
          <w:rFonts w:asciiTheme="majorBidi" w:hAnsiTheme="majorBidi" w:cstheme="majorBidi"/>
          <w:sz w:val="24"/>
          <w:szCs w:val="24"/>
          <w:lang w:val="en-US"/>
        </w:rPr>
      </w:pPr>
      <w:r w:rsidRPr="00516108">
        <w:rPr>
          <w:rFonts w:asciiTheme="majorBidi" w:hAnsiTheme="majorBidi" w:cstheme="majorBidi"/>
          <w:sz w:val="24"/>
          <w:szCs w:val="24"/>
          <w:lang w:val="en-US"/>
        </w:rPr>
        <w:t>Nearly half of lifetime health</w:t>
      </w:r>
      <w:r w:rsidR="00092377">
        <w:rPr>
          <w:rFonts w:asciiTheme="majorBidi" w:hAnsiTheme="majorBidi" w:cstheme="majorBidi"/>
          <w:sz w:val="24"/>
          <w:szCs w:val="24"/>
          <w:lang w:val="en-US"/>
        </w:rPr>
        <w:t>-</w:t>
      </w:r>
      <w:r w:rsidRPr="00516108">
        <w:rPr>
          <w:rFonts w:asciiTheme="majorBidi" w:hAnsiTheme="majorBidi" w:cstheme="majorBidi"/>
          <w:sz w:val="24"/>
          <w:szCs w:val="24"/>
          <w:lang w:val="en-US"/>
        </w:rPr>
        <w:t xml:space="preserve">related expenditure </w:t>
      </w:r>
      <w:r w:rsidR="00092377">
        <w:rPr>
          <w:rFonts w:asciiTheme="majorBidi" w:hAnsiTheme="majorBidi" w:cstheme="majorBidi"/>
          <w:sz w:val="24"/>
          <w:szCs w:val="24"/>
          <w:lang w:val="en-US"/>
        </w:rPr>
        <w:t>is incurred</w:t>
      </w:r>
      <w:r w:rsidR="00092377" w:rsidRPr="00516108">
        <w:rPr>
          <w:rFonts w:asciiTheme="majorBidi" w:hAnsiTheme="majorBidi" w:cstheme="majorBidi"/>
          <w:sz w:val="24"/>
          <w:szCs w:val="24"/>
          <w:lang w:val="en-US"/>
        </w:rPr>
        <w:t xml:space="preserve"> </w:t>
      </w:r>
      <w:r w:rsidR="0011053F" w:rsidRPr="00516108">
        <w:rPr>
          <w:rFonts w:asciiTheme="majorBidi" w:hAnsiTheme="majorBidi" w:cstheme="majorBidi"/>
          <w:sz w:val="24"/>
          <w:szCs w:val="24"/>
          <w:lang w:val="en-US"/>
        </w:rPr>
        <w:t>in old age: T</w:t>
      </w:r>
      <w:r w:rsidRPr="00516108">
        <w:rPr>
          <w:rFonts w:asciiTheme="majorBidi" w:hAnsiTheme="majorBidi" w:cstheme="majorBidi"/>
          <w:sz w:val="24"/>
          <w:szCs w:val="24"/>
          <w:lang w:val="en-US"/>
        </w:rPr>
        <w:t>he average 85</w:t>
      </w:r>
      <w:r w:rsidR="00092377">
        <w:rPr>
          <w:rFonts w:asciiTheme="majorBidi" w:hAnsiTheme="majorBidi" w:cstheme="majorBidi"/>
          <w:sz w:val="24"/>
          <w:szCs w:val="24"/>
          <w:lang w:val="en-US"/>
        </w:rPr>
        <w:t>-</w:t>
      </w:r>
      <w:r w:rsidRPr="00516108">
        <w:rPr>
          <w:rFonts w:asciiTheme="majorBidi" w:hAnsiTheme="majorBidi" w:cstheme="majorBidi"/>
          <w:sz w:val="24"/>
          <w:szCs w:val="24"/>
          <w:lang w:val="en-US"/>
        </w:rPr>
        <w:t>year</w:t>
      </w:r>
      <w:r w:rsidR="00092377">
        <w:rPr>
          <w:rFonts w:asciiTheme="majorBidi" w:hAnsiTheme="majorBidi" w:cstheme="majorBidi"/>
          <w:sz w:val="24"/>
          <w:szCs w:val="24"/>
          <w:lang w:val="en-US"/>
        </w:rPr>
        <w:t>-</w:t>
      </w:r>
      <w:r w:rsidRPr="00516108">
        <w:rPr>
          <w:rFonts w:asciiTheme="majorBidi" w:hAnsiTheme="majorBidi" w:cstheme="majorBidi"/>
          <w:sz w:val="24"/>
          <w:szCs w:val="24"/>
          <w:lang w:val="en-US"/>
        </w:rPr>
        <w:t xml:space="preserve">old </w:t>
      </w:r>
      <w:r w:rsidR="0011053F" w:rsidRPr="00516108">
        <w:rPr>
          <w:rFonts w:asciiTheme="majorBidi" w:hAnsiTheme="majorBidi" w:cstheme="majorBidi"/>
          <w:sz w:val="24"/>
          <w:szCs w:val="24"/>
          <w:lang w:val="en-US"/>
        </w:rPr>
        <w:t xml:space="preserve">in the </w:t>
      </w:r>
      <w:r w:rsidR="00092377">
        <w:rPr>
          <w:rFonts w:asciiTheme="majorBidi" w:hAnsiTheme="majorBidi" w:cstheme="majorBidi"/>
          <w:sz w:val="24"/>
          <w:szCs w:val="24"/>
          <w:lang w:val="en-US"/>
        </w:rPr>
        <w:t>United States</w:t>
      </w:r>
      <w:r w:rsidR="00092377" w:rsidRPr="00516108">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spend</w:t>
      </w:r>
      <w:r w:rsidR="0011053F" w:rsidRPr="00516108">
        <w:rPr>
          <w:rFonts w:asciiTheme="majorBidi" w:hAnsiTheme="majorBidi" w:cstheme="majorBidi"/>
          <w:sz w:val="24"/>
          <w:szCs w:val="24"/>
          <w:lang w:val="en-US"/>
        </w:rPr>
        <w:t>s</w:t>
      </w:r>
      <w:r w:rsidRPr="00516108">
        <w:rPr>
          <w:rFonts w:asciiTheme="majorBidi" w:hAnsiTheme="majorBidi" w:cstheme="majorBidi"/>
          <w:sz w:val="24"/>
          <w:szCs w:val="24"/>
          <w:lang w:val="en-US"/>
        </w:rPr>
        <w:t xml:space="preserve"> about $17,000 per year </w:t>
      </w:r>
      <w:r w:rsidR="0011053F" w:rsidRPr="00516108">
        <w:rPr>
          <w:rFonts w:asciiTheme="majorBidi" w:hAnsiTheme="majorBidi" w:cstheme="majorBidi"/>
          <w:sz w:val="24"/>
          <w:szCs w:val="24"/>
          <w:lang w:val="en-US"/>
        </w:rPr>
        <w:t xml:space="preserve">on </w:t>
      </w:r>
      <w:r w:rsidR="00092377">
        <w:rPr>
          <w:rFonts w:asciiTheme="majorBidi" w:hAnsiTheme="majorBidi" w:cstheme="majorBidi"/>
          <w:sz w:val="24"/>
          <w:szCs w:val="24"/>
          <w:lang w:val="en-US"/>
        </w:rPr>
        <w:t>his or her</w:t>
      </w:r>
      <w:r w:rsidR="00092377" w:rsidRPr="00516108">
        <w:rPr>
          <w:rFonts w:asciiTheme="majorBidi" w:hAnsiTheme="majorBidi" w:cstheme="majorBidi"/>
          <w:sz w:val="24"/>
          <w:szCs w:val="24"/>
          <w:lang w:val="en-US"/>
        </w:rPr>
        <w:t xml:space="preserve"> </w:t>
      </w:r>
      <w:r w:rsidR="0011053F" w:rsidRPr="00516108">
        <w:rPr>
          <w:rFonts w:asciiTheme="majorBidi" w:hAnsiTheme="majorBidi" w:cstheme="majorBidi"/>
          <w:sz w:val="24"/>
          <w:szCs w:val="24"/>
          <w:lang w:val="en-US"/>
        </w:rPr>
        <w:t>health</w:t>
      </w:r>
      <w:r w:rsidR="00092377">
        <w:rPr>
          <w:rFonts w:asciiTheme="majorBidi" w:hAnsiTheme="majorBidi" w:cstheme="majorBidi"/>
          <w:sz w:val="24"/>
          <w:szCs w:val="24"/>
          <w:lang w:val="en-US"/>
        </w:rPr>
        <w:t>,</w:t>
      </w:r>
      <w:r w:rsidR="0011053F" w:rsidRPr="00516108">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 xml:space="preserve">while those in their </w:t>
      </w:r>
      <w:r w:rsidR="00937234">
        <w:rPr>
          <w:rFonts w:asciiTheme="majorBidi" w:hAnsiTheme="majorBidi" w:cstheme="majorBidi"/>
          <w:sz w:val="24"/>
          <w:szCs w:val="24"/>
          <w:lang w:val="en-US"/>
        </w:rPr>
        <w:t>20s</w:t>
      </w:r>
      <w:r w:rsidR="00937234" w:rsidRPr="00516108">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 xml:space="preserve">spend less </w:t>
      </w:r>
      <w:r w:rsidR="00937234">
        <w:rPr>
          <w:rFonts w:asciiTheme="majorBidi" w:hAnsiTheme="majorBidi" w:cstheme="majorBidi"/>
          <w:sz w:val="24"/>
          <w:szCs w:val="24"/>
          <w:lang w:val="en-US"/>
        </w:rPr>
        <w:t xml:space="preserve">than </w:t>
      </w:r>
      <w:r w:rsidRPr="00516108">
        <w:rPr>
          <w:rFonts w:asciiTheme="majorBidi" w:hAnsiTheme="majorBidi" w:cstheme="majorBidi"/>
          <w:sz w:val="24"/>
          <w:szCs w:val="24"/>
          <w:lang w:val="en-US"/>
        </w:rPr>
        <w:t>one tenth of that su</w:t>
      </w:r>
      <w:r w:rsidR="004E5A92" w:rsidRPr="00516108">
        <w:rPr>
          <w:rFonts w:asciiTheme="majorBidi" w:hAnsiTheme="majorBidi" w:cstheme="majorBidi"/>
          <w:sz w:val="24"/>
          <w:szCs w:val="24"/>
          <w:lang w:val="en-US"/>
        </w:rPr>
        <w:t>m</w:t>
      </w:r>
      <w:r w:rsidRPr="00516108">
        <w:rPr>
          <w:rFonts w:asciiTheme="majorBidi" w:hAnsiTheme="majorBidi" w:cstheme="majorBidi"/>
          <w:sz w:val="24"/>
          <w:szCs w:val="24"/>
          <w:lang w:val="en-US"/>
        </w:rPr>
        <w:t xml:space="preserve"> ($1,448</w:t>
      </w:r>
      <w:r w:rsidR="005735EB">
        <w:rPr>
          <w:rFonts w:asciiTheme="majorBidi" w:hAnsiTheme="majorBidi" w:cstheme="majorBidi"/>
          <w:sz w:val="24"/>
          <w:szCs w:val="24"/>
          <w:lang w:val="en-US"/>
        </w:rPr>
        <w:t>)</w:t>
      </w:r>
      <w:r w:rsidR="00431487">
        <w:rPr>
          <w:rFonts w:asciiTheme="majorBidi" w:hAnsiTheme="majorBidi" w:cstheme="majorBidi"/>
          <w:sz w:val="24"/>
          <w:szCs w:val="24"/>
          <w:vertAlign w:val="superscript"/>
          <w:lang w:val="en-US"/>
        </w:rPr>
        <w:t>(1)</w:t>
      </w:r>
      <w:r w:rsidRPr="00516108">
        <w:rPr>
          <w:rFonts w:asciiTheme="majorBidi" w:hAnsiTheme="majorBidi" w:cstheme="majorBidi"/>
          <w:sz w:val="24"/>
          <w:szCs w:val="24"/>
          <w:lang w:val="en-US"/>
        </w:rPr>
        <w:t xml:space="preserve">. </w:t>
      </w:r>
      <w:r w:rsidR="004C181C" w:rsidRPr="00516108">
        <w:rPr>
          <w:rFonts w:asciiTheme="majorBidi" w:hAnsiTheme="majorBidi" w:cstheme="majorBidi"/>
          <w:sz w:val="24"/>
          <w:szCs w:val="24"/>
          <w:lang w:val="en-US"/>
        </w:rPr>
        <w:t xml:space="preserve">One of the reasons for </w:t>
      </w:r>
      <w:r w:rsidR="00EE3CE7" w:rsidRPr="00516108">
        <w:rPr>
          <w:rFonts w:asciiTheme="majorBidi" w:hAnsiTheme="majorBidi" w:cstheme="majorBidi"/>
          <w:sz w:val="24"/>
          <w:szCs w:val="24"/>
          <w:lang w:val="en-US"/>
        </w:rPr>
        <w:t xml:space="preserve">the </w:t>
      </w:r>
      <w:r w:rsidR="003D29F3" w:rsidRPr="00516108">
        <w:rPr>
          <w:rFonts w:asciiTheme="majorBidi" w:hAnsiTheme="majorBidi" w:cstheme="majorBidi"/>
          <w:sz w:val="24"/>
          <w:szCs w:val="24"/>
          <w:lang w:val="en-US"/>
        </w:rPr>
        <w:t xml:space="preserve">sharp increase </w:t>
      </w:r>
      <w:r w:rsidR="004E40D4">
        <w:rPr>
          <w:rFonts w:asciiTheme="majorBidi" w:hAnsiTheme="majorBidi" w:cstheme="majorBidi"/>
          <w:sz w:val="24"/>
          <w:szCs w:val="24"/>
          <w:lang w:val="en-US"/>
        </w:rPr>
        <w:t>is</w:t>
      </w:r>
      <w:r w:rsidR="003D29F3" w:rsidRPr="00516108">
        <w:rPr>
          <w:rFonts w:asciiTheme="majorBidi" w:hAnsiTheme="majorBidi" w:cstheme="majorBidi"/>
          <w:sz w:val="24"/>
          <w:szCs w:val="24"/>
          <w:lang w:val="en-US"/>
        </w:rPr>
        <w:t xml:space="preserve"> the rise of</w:t>
      </w:r>
      <w:r w:rsidR="004C181C" w:rsidRPr="00516108">
        <w:rPr>
          <w:rFonts w:asciiTheme="majorBidi" w:hAnsiTheme="majorBidi" w:cstheme="majorBidi"/>
          <w:sz w:val="24"/>
          <w:szCs w:val="24"/>
          <w:lang w:val="en-US"/>
        </w:rPr>
        <w:t xml:space="preserve"> multimorbidity </w:t>
      </w:r>
      <w:r w:rsidR="004E40D4">
        <w:rPr>
          <w:rFonts w:asciiTheme="majorBidi" w:hAnsiTheme="majorBidi" w:cstheme="majorBidi"/>
          <w:sz w:val="24"/>
          <w:szCs w:val="24"/>
          <w:lang w:val="en-US"/>
        </w:rPr>
        <w:t xml:space="preserve">(i.e., multiple chronic conditions) </w:t>
      </w:r>
      <w:r w:rsidR="004C181C" w:rsidRPr="00516108">
        <w:rPr>
          <w:rFonts w:asciiTheme="majorBidi" w:hAnsiTheme="majorBidi" w:cstheme="majorBidi"/>
          <w:sz w:val="24"/>
          <w:szCs w:val="24"/>
          <w:lang w:val="en-US"/>
        </w:rPr>
        <w:t xml:space="preserve">with age. </w:t>
      </w:r>
      <w:r w:rsidR="008D244A" w:rsidRPr="00516108">
        <w:rPr>
          <w:rFonts w:asciiTheme="majorBidi" w:hAnsiTheme="majorBidi" w:cstheme="majorBidi"/>
          <w:sz w:val="24"/>
          <w:szCs w:val="24"/>
          <w:lang w:val="en-US"/>
        </w:rPr>
        <w:t>Compared to younger adults, o</w:t>
      </w:r>
      <w:r w:rsidRPr="00516108">
        <w:rPr>
          <w:rFonts w:asciiTheme="majorBidi" w:hAnsiTheme="majorBidi" w:cstheme="majorBidi"/>
          <w:sz w:val="24"/>
          <w:szCs w:val="24"/>
          <w:lang w:val="en-US"/>
        </w:rPr>
        <w:t>lder adults</w:t>
      </w:r>
      <w:r w:rsidR="008D244A" w:rsidRPr="00516108">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are far more likely to have</w:t>
      </w:r>
      <w:r w:rsidR="004B61DD" w:rsidRPr="00516108">
        <w:rPr>
          <w:rFonts w:asciiTheme="majorBidi" w:hAnsiTheme="majorBidi" w:cstheme="majorBidi"/>
          <w:sz w:val="24"/>
          <w:szCs w:val="24"/>
          <w:lang w:val="en-US"/>
        </w:rPr>
        <w:t xml:space="preserve"> </w:t>
      </w:r>
      <w:r w:rsidR="00261521" w:rsidRPr="00516108">
        <w:rPr>
          <w:rFonts w:asciiTheme="majorBidi" w:hAnsiTheme="majorBidi" w:cstheme="majorBidi"/>
          <w:sz w:val="24"/>
          <w:szCs w:val="24"/>
          <w:lang w:val="en-US"/>
        </w:rPr>
        <w:t>multiple</w:t>
      </w:r>
      <w:r w:rsidR="004B61DD" w:rsidRPr="00516108">
        <w:rPr>
          <w:rFonts w:asciiTheme="majorBidi" w:hAnsiTheme="majorBidi" w:cstheme="majorBidi"/>
          <w:sz w:val="24"/>
          <w:szCs w:val="24"/>
          <w:lang w:val="en-US"/>
        </w:rPr>
        <w:t xml:space="preserve"> chronic disease</w:t>
      </w:r>
      <w:r w:rsidR="00261521" w:rsidRPr="00516108">
        <w:rPr>
          <w:rFonts w:asciiTheme="majorBidi" w:hAnsiTheme="majorBidi" w:cstheme="majorBidi"/>
          <w:sz w:val="24"/>
          <w:szCs w:val="24"/>
          <w:lang w:val="en-US"/>
        </w:rPr>
        <w:t>s</w:t>
      </w:r>
      <w:r w:rsidR="008D244A" w:rsidRPr="00516108">
        <w:rPr>
          <w:rFonts w:asciiTheme="majorBidi" w:hAnsiTheme="majorBidi" w:cstheme="majorBidi"/>
          <w:sz w:val="24"/>
          <w:szCs w:val="24"/>
          <w:lang w:val="en-US"/>
        </w:rPr>
        <w:t xml:space="preserve">, </w:t>
      </w:r>
      <w:r w:rsidR="00EE3CE7" w:rsidRPr="00516108">
        <w:rPr>
          <w:rFonts w:asciiTheme="majorBidi" w:hAnsiTheme="majorBidi" w:cstheme="majorBidi"/>
          <w:sz w:val="24"/>
          <w:szCs w:val="24"/>
          <w:lang w:val="en-US"/>
        </w:rPr>
        <w:t xml:space="preserve">such </w:t>
      </w:r>
      <w:r w:rsidR="004F1E0B" w:rsidRPr="00516108">
        <w:rPr>
          <w:rFonts w:asciiTheme="majorBidi" w:hAnsiTheme="majorBidi" w:cstheme="majorBidi"/>
          <w:sz w:val="24"/>
          <w:szCs w:val="24"/>
          <w:lang w:val="en-US"/>
        </w:rPr>
        <w:t xml:space="preserve">as </w:t>
      </w:r>
      <w:r w:rsidR="004F1E0B" w:rsidRPr="00516108">
        <w:rPr>
          <w:rFonts w:asciiTheme="majorBidi" w:eastAsia="Times New Roman" w:hAnsiTheme="majorBidi" w:cstheme="majorBidi"/>
          <w:sz w:val="24"/>
          <w:szCs w:val="24"/>
          <w:lang w:val="en-US" w:eastAsia="en-GB"/>
        </w:rPr>
        <w:t xml:space="preserve">hypertension, heart disease, </w:t>
      </w:r>
      <w:r w:rsidR="000735A5">
        <w:rPr>
          <w:rFonts w:asciiTheme="majorBidi" w:eastAsia="Times New Roman" w:hAnsiTheme="majorBidi" w:cstheme="majorBidi"/>
          <w:sz w:val="24"/>
          <w:szCs w:val="24"/>
          <w:lang w:val="en-US" w:eastAsia="en-GB"/>
        </w:rPr>
        <w:t xml:space="preserve">and </w:t>
      </w:r>
      <w:r w:rsidR="004F1E0B" w:rsidRPr="00516108">
        <w:rPr>
          <w:rFonts w:asciiTheme="majorBidi" w:eastAsia="Times New Roman" w:hAnsiTheme="majorBidi" w:cstheme="majorBidi"/>
          <w:sz w:val="24"/>
          <w:szCs w:val="24"/>
          <w:lang w:val="en-US" w:eastAsia="en-GB"/>
        </w:rPr>
        <w:t>diabetes</w:t>
      </w:r>
      <w:r w:rsidR="00431487">
        <w:rPr>
          <w:rFonts w:asciiTheme="majorBidi" w:hAnsiTheme="majorBidi" w:cstheme="majorBidi"/>
          <w:sz w:val="24"/>
          <w:szCs w:val="24"/>
          <w:vertAlign w:val="superscript"/>
          <w:lang w:val="en-US"/>
        </w:rPr>
        <w:t>(2)</w:t>
      </w:r>
      <w:r w:rsidR="008F71EF">
        <w:rPr>
          <w:rFonts w:asciiTheme="majorBidi" w:hAnsiTheme="majorBidi" w:cstheme="majorBidi"/>
          <w:sz w:val="24"/>
          <w:szCs w:val="24"/>
          <w:lang w:val="en-US"/>
        </w:rPr>
        <w:t xml:space="preserve">, requiring more complex and risky decisions regarding treatments and medication than single, more short-term diseases. </w:t>
      </w:r>
      <w:r w:rsidR="004C181C" w:rsidRPr="00516108">
        <w:rPr>
          <w:rFonts w:asciiTheme="majorBidi" w:hAnsiTheme="majorBidi" w:cstheme="majorBidi"/>
          <w:sz w:val="24"/>
          <w:szCs w:val="24"/>
          <w:lang w:val="en-US"/>
        </w:rPr>
        <w:t>Thus, o</w:t>
      </w:r>
      <w:r w:rsidR="0073667F" w:rsidRPr="00516108">
        <w:rPr>
          <w:rFonts w:asciiTheme="majorBidi" w:hAnsiTheme="majorBidi" w:cstheme="majorBidi"/>
          <w:sz w:val="24"/>
          <w:szCs w:val="24"/>
          <w:lang w:val="en-US"/>
        </w:rPr>
        <w:t>lder adults</w:t>
      </w:r>
      <w:r w:rsidR="004C181C" w:rsidRPr="00516108">
        <w:rPr>
          <w:rFonts w:asciiTheme="majorBidi" w:hAnsiTheme="majorBidi" w:cstheme="majorBidi"/>
          <w:sz w:val="24"/>
          <w:szCs w:val="24"/>
          <w:lang w:val="en-US"/>
        </w:rPr>
        <w:t xml:space="preserve"> </w:t>
      </w:r>
      <w:r w:rsidR="009F0B9D" w:rsidRPr="00516108">
        <w:rPr>
          <w:rFonts w:asciiTheme="majorBidi" w:hAnsiTheme="majorBidi" w:cstheme="majorBidi"/>
          <w:sz w:val="24"/>
          <w:szCs w:val="24"/>
          <w:lang w:val="en-US"/>
        </w:rPr>
        <w:t xml:space="preserve">tend </w:t>
      </w:r>
      <w:r w:rsidR="00261521" w:rsidRPr="00516108">
        <w:rPr>
          <w:rFonts w:asciiTheme="majorBidi" w:hAnsiTheme="majorBidi" w:cstheme="majorBidi"/>
          <w:sz w:val="24"/>
          <w:szCs w:val="24"/>
          <w:lang w:val="en-US"/>
        </w:rPr>
        <w:t xml:space="preserve">to </w:t>
      </w:r>
      <w:r w:rsidR="0073667F" w:rsidRPr="00516108">
        <w:rPr>
          <w:rFonts w:asciiTheme="majorBidi" w:hAnsiTheme="majorBidi" w:cstheme="majorBidi"/>
          <w:sz w:val="24"/>
          <w:szCs w:val="24"/>
          <w:lang w:val="en-US"/>
        </w:rPr>
        <w:t xml:space="preserve">face more </w:t>
      </w:r>
      <w:r w:rsidR="00B77766" w:rsidRPr="00516108">
        <w:rPr>
          <w:rFonts w:asciiTheme="majorBidi" w:hAnsiTheme="majorBidi" w:cstheme="majorBidi"/>
          <w:sz w:val="24"/>
          <w:szCs w:val="24"/>
          <w:lang w:val="en-US"/>
        </w:rPr>
        <w:t xml:space="preserve">costly </w:t>
      </w:r>
      <w:r w:rsidR="0073667F" w:rsidRPr="00516108">
        <w:rPr>
          <w:rFonts w:asciiTheme="majorBidi" w:hAnsiTheme="majorBidi" w:cstheme="majorBidi"/>
          <w:sz w:val="24"/>
          <w:szCs w:val="24"/>
          <w:lang w:val="en-US"/>
        </w:rPr>
        <w:t xml:space="preserve">and risky medical decisions. </w:t>
      </w:r>
    </w:p>
    <w:p w14:paraId="040209D7" w14:textId="3DE12620" w:rsidR="00071F8A" w:rsidRPr="00071F8A" w:rsidRDefault="00071F8A" w:rsidP="00071F8A">
      <w:pPr>
        <w:pStyle w:val="ListParagraph"/>
        <w:numPr>
          <w:ilvl w:val="1"/>
          <w:numId w:val="6"/>
        </w:numPr>
        <w:spacing w:after="0" w:line="480" w:lineRule="auto"/>
        <w:ind w:left="426"/>
        <w:rPr>
          <w:rFonts w:asciiTheme="majorBidi" w:hAnsiTheme="majorBidi" w:cstheme="majorBidi"/>
          <w:b/>
          <w:bCs/>
          <w:sz w:val="24"/>
          <w:szCs w:val="24"/>
          <w:lang w:val="en-US"/>
        </w:rPr>
      </w:pPr>
      <w:r w:rsidRPr="00071F8A">
        <w:rPr>
          <w:rFonts w:asciiTheme="majorBidi" w:hAnsiTheme="majorBidi" w:cstheme="majorBidi"/>
          <w:b/>
          <w:bCs/>
          <w:sz w:val="24"/>
          <w:szCs w:val="24"/>
          <w:lang w:val="en-US"/>
        </w:rPr>
        <w:t>Age, Risk taking and risk perception</w:t>
      </w:r>
    </w:p>
    <w:p w14:paraId="79E211F2" w14:textId="7D74FDE4" w:rsidR="00E83F8C" w:rsidRDefault="009C5E02" w:rsidP="00307B7C">
      <w:pPr>
        <w:spacing w:after="0" w:line="480" w:lineRule="auto"/>
        <w:ind w:firstLine="720"/>
        <w:rPr>
          <w:rFonts w:asciiTheme="majorBidi" w:eastAsia="Times New Roman" w:hAnsiTheme="majorBidi" w:cstheme="majorBidi"/>
          <w:sz w:val="24"/>
          <w:szCs w:val="24"/>
          <w:lang w:val="en-US" w:eastAsia="en-GB"/>
        </w:rPr>
      </w:pPr>
      <w:r>
        <w:rPr>
          <w:rFonts w:asciiTheme="majorBidi" w:hAnsiTheme="majorBidi" w:cstheme="majorBidi"/>
          <w:sz w:val="24"/>
          <w:szCs w:val="24"/>
          <w:lang w:val="en-US"/>
        </w:rPr>
        <w:t>T</w:t>
      </w:r>
      <w:r w:rsidR="004E5A92" w:rsidRPr="00516108">
        <w:rPr>
          <w:rFonts w:asciiTheme="majorBidi" w:eastAsia="Times New Roman" w:hAnsiTheme="majorBidi" w:cstheme="majorBidi"/>
          <w:sz w:val="24"/>
          <w:szCs w:val="24"/>
          <w:lang w:val="en-US" w:eastAsia="en-GB"/>
        </w:rPr>
        <w:t xml:space="preserve">here is </w:t>
      </w:r>
      <w:r w:rsidR="008D244A" w:rsidRPr="00516108">
        <w:rPr>
          <w:rFonts w:asciiTheme="majorBidi" w:eastAsia="Times New Roman" w:hAnsiTheme="majorBidi" w:cstheme="majorBidi"/>
          <w:sz w:val="24"/>
          <w:szCs w:val="24"/>
          <w:lang w:val="en-US" w:eastAsia="en-GB"/>
        </w:rPr>
        <w:t xml:space="preserve">surprisingly </w:t>
      </w:r>
      <w:r w:rsidR="004E5A92" w:rsidRPr="00516108">
        <w:rPr>
          <w:rFonts w:asciiTheme="majorBidi" w:eastAsia="Times New Roman" w:hAnsiTheme="majorBidi" w:cstheme="majorBidi"/>
          <w:sz w:val="24"/>
          <w:szCs w:val="24"/>
          <w:lang w:val="en-US" w:eastAsia="en-GB"/>
        </w:rPr>
        <w:t xml:space="preserve">little data on </w:t>
      </w:r>
      <w:r w:rsidR="006D2326" w:rsidRPr="00516108">
        <w:rPr>
          <w:rFonts w:asciiTheme="majorBidi" w:eastAsia="Times New Roman" w:hAnsiTheme="majorBidi" w:cstheme="majorBidi"/>
          <w:sz w:val="24"/>
          <w:szCs w:val="24"/>
          <w:lang w:val="en-US" w:eastAsia="en-GB"/>
        </w:rPr>
        <w:t xml:space="preserve">how </w:t>
      </w:r>
      <w:r w:rsidR="006B5976" w:rsidRPr="00516108">
        <w:rPr>
          <w:rFonts w:asciiTheme="majorBidi" w:eastAsia="Times New Roman" w:hAnsiTheme="majorBidi" w:cstheme="majorBidi"/>
          <w:sz w:val="24"/>
          <w:szCs w:val="24"/>
          <w:lang w:val="en-US" w:eastAsia="en-GB"/>
        </w:rPr>
        <w:t xml:space="preserve">age </w:t>
      </w:r>
      <w:r w:rsidR="00322C0A" w:rsidRPr="00516108">
        <w:rPr>
          <w:rFonts w:asciiTheme="majorBidi" w:eastAsia="Times New Roman" w:hAnsiTheme="majorBidi" w:cstheme="majorBidi"/>
          <w:sz w:val="24"/>
          <w:szCs w:val="24"/>
          <w:lang w:val="en-US" w:eastAsia="en-GB"/>
        </w:rPr>
        <w:t>affects</w:t>
      </w:r>
      <w:r w:rsidR="006D2326" w:rsidRPr="00516108">
        <w:rPr>
          <w:rFonts w:asciiTheme="majorBidi" w:eastAsia="Times New Roman" w:hAnsiTheme="majorBidi" w:cstheme="majorBidi"/>
          <w:sz w:val="24"/>
          <w:szCs w:val="24"/>
          <w:lang w:val="en-US" w:eastAsia="en-GB"/>
        </w:rPr>
        <w:t xml:space="preserve"> </w:t>
      </w:r>
      <w:r w:rsidR="00B0376E" w:rsidRPr="00516108">
        <w:rPr>
          <w:rFonts w:asciiTheme="majorBidi" w:eastAsia="Times New Roman" w:hAnsiTheme="majorBidi" w:cstheme="majorBidi"/>
          <w:sz w:val="24"/>
          <w:szCs w:val="24"/>
          <w:lang w:val="en-US" w:eastAsia="en-GB"/>
        </w:rPr>
        <w:t xml:space="preserve">risk </w:t>
      </w:r>
      <w:r w:rsidR="00F57DCF" w:rsidRPr="00516108">
        <w:rPr>
          <w:rFonts w:asciiTheme="majorBidi" w:eastAsia="Times New Roman" w:hAnsiTheme="majorBidi" w:cstheme="majorBidi"/>
          <w:sz w:val="24"/>
          <w:szCs w:val="24"/>
          <w:lang w:val="en-US" w:eastAsia="en-GB"/>
        </w:rPr>
        <w:t>attitude</w:t>
      </w:r>
      <w:r w:rsidR="00563A02" w:rsidRPr="00516108">
        <w:rPr>
          <w:rFonts w:asciiTheme="majorBidi" w:eastAsia="Times New Roman" w:hAnsiTheme="majorBidi" w:cstheme="majorBidi"/>
          <w:sz w:val="24"/>
          <w:szCs w:val="24"/>
          <w:lang w:val="en-US" w:eastAsia="en-GB"/>
        </w:rPr>
        <w:t>s</w:t>
      </w:r>
      <w:r w:rsidR="00F57DCF" w:rsidRPr="00516108">
        <w:rPr>
          <w:rFonts w:asciiTheme="majorBidi" w:eastAsia="Times New Roman" w:hAnsiTheme="majorBidi" w:cstheme="majorBidi"/>
          <w:sz w:val="24"/>
          <w:szCs w:val="24"/>
          <w:lang w:val="en-US" w:eastAsia="en-GB"/>
        </w:rPr>
        <w:t xml:space="preserve"> and </w:t>
      </w:r>
      <w:r w:rsidR="00C36B6A" w:rsidRPr="00516108">
        <w:rPr>
          <w:rFonts w:asciiTheme="majorBidi" w:eastAsia="Times New Roman" w:hAnsiTheme="majorBidi" w:cstheme="majorBidi"/>
          <w:sz w:val="24"/>
          <w:szCs w:val="24"/>
          <w:lang w:val="en-US" w:eastAsia="en-GB"/>
        </w:rPr>
        <w:t>perception</w:t>
      </w:r>
      <w:r w:rsidR="00563A02" w:rsidRPr="00516108">
        <w:rPr>
          <w:rFonts w:asciiTheme="majorBidi" w:eastAsia="Times New Roman" w:hAnsiTheme="majorBidi" w:cstheme="majorBidi"/>
          <w:sz w:val="24"/>
          <w:szCs w:val="24"/>
          <w:lang w:val="en-US" w:eastAsia="en-GB"/>
        </w:rPr>
        <w:t>s</w:t>
      </w:r>
      <w:r w:rsidR="00C36B6A" w:rsidRPr="00516108">
        <w:rPr>
          <w:rFonts w:asciiTheme="majorBidi" w:eastAsia="Times New Roman" w:hAnsiTheme="majorBidi" w:cstheme="majorBidi"/>
          <w:sz w:val="24"/>
          <w:szCs w:val="24"/>
          <w:lang w:val="en-US" w:eastAsia="en-GB"/>
        </w:rPr>
        <w:t xml:space="preserve"> </w:t>
      </w:r>
      <w:r w:rsidR="00322C0A" w:rsidRPr="00516108">
        <w:rPr>
          <w:rFonts w:asciiTheme="majorBidi" w:eastAsia="Times New Roman" w:hAnsiTheme="majorBidi" w:cstheme="majorBidi"/>
          <w:sz w:val="24"/>
          <w:szCs w:val="24"/>
          <w:lang w:val="en-US" w:eastAsia="en-GB"/>
        </w:rPr>
        <w:t>in the medi</w:t>
      </w:r>
      <w:r w:rsidR="004E40D4">
        <w:rPr>
          <w:rFonts w:asciiTheme="majorBidi" w:eastAsia="Times New Roman" w:hAnsiTheme="majorBidi" w:cstheme="majorBidi"/>
          <w:sz w:val="24"/>
          <w:szCs w:val="24"/>
          <w:lang w:val="en-US" w:eastAsia="en-GB"/>
        </w:rPr>
        <w:t>c</w:t>
      </w:r>
      <w:r w:rsidR="00322C0A" w:rsidRPr="00516108">
        <w:rPr>
          <w:rFonts w:asciiTheme="majorBidi" w:eastAsia="Times New Roman" w:hAnsiTheme="majorBidi" w:cstheme="majorBidi"/>
          <w:sz w:val="24"/>
          <w:szCs w:val="24"/>
          <w:lang w:val="en-US" w:eastAsia="en-GB"/>
        </w:rPr>
        <w:t>al domain.</w:t>
      </w:r>
      <w:r w:rsidR="004E5A92" w:rsidRPr="00516108">
        <w:rPr>
          <w:rFonts w:asciiTheme="majorBidi" w:eastAsia="Times New Roman" w:hAnsiTheme="majorBidi" w:cstheme="majorBidi"/>
          <w:sz w:val="24"/>
          <w:szCs w:val="24"/>
          <w:lang w:val="en-US" w:eastAsia="en-GB"/>
        </w:rPr>
        <w:t xml:space="preserve">  </w:t>
      </w:r>
      <w:r w:rsidR="00726504">
        <w:rPr>
          <w:rFonts w:asciiTheme="majorBidi" w:eastAsia="Times New Roman" w:hAnsiTheme="majorBidi" w:cstheme="majorBidi"/>
          <w:sz w:val="24"/>
          <w:szCs w:val="24"/>
          <w:lang w:val="en-US" w:eastAsia="en-GB"/>
        </w:rPr>
        <w:t xml:space="preserve">In contrast, </w:t>
      </w:r>
      <w:r w:rsidR="00AD5CC9" w:rsidRPr="00516108">
        <w:rPr>
          <w:rFonts w:asciiTheme="majorBidi" w:eastAsia="Times New Roman" w:hAnsiTheme="majorBidi" w:cstheme="majorBidi"/>
          <w:sz w:val="24"/>
          <w:szCs w:val="24"/>
          <w:lang w:val="en-US" w:eastAsia="en-GB"/>
        </w:rPr>
        <w:t xml:space="preserve">there is </w:t>
      </w:r>
      <w:r w:rsidR="006D2326" w:rsidRPr="00516108">
        <w:rPr>
          <w:rFonts w:asciiTheme="majorBidi" w:eastAsia="Times New Roman" w:hAnsiTheme="majorBidi" w:cstheme="majorBidi"/>
          <w:sz w:val="24"/>
          <w:szCs w:val="24"/>
          <w:lang w:val="en-US" w:eastAsia="en-GB"/>
        </w:rPr>
        <w:t xml:space="preserve">a </w:t>
      </w:r>
      <w:r w:rsidR="00AD5CC9" w:rsidRPr="00516108">
        <w:rPr>
          <w:rFonts w:asciiTheme="majorBidi" w:eastAsia="Times New Roman" w:hAnsiTheme="majorBidi" w:cstheme="majorBidi"/>
          <w:sz w:val="24"/>
          <w:szCs w:val="24"/>
          <w:lang w:val="en-US" w:eastAsia="en-GB"/>
        </w:rPr>
        <w:t>large</w:t>
      </w:r>
      <w:r w:rsidR="005A3B86" w:rsidRPr="00516108">
        <w:rPr>
          <w:rFonts w:asciiTheme="majorBidi" w:eastAsia="Times New Roman" w:hAnsiTheme="majorBidi" w:cstheme="majorBidi"/>
          <w:sz w:val="24"/>
          <w:szCs w:val="24"/>
          <w:lang w:val="en-US" w:eastAsia="en-GB"/>
        </w:rPr>
        <w:t xml:space="preserve"> corpus </w:t>
      </w:r>
      <w:r w:rsidR="00AD5CC9" w:rsidRPr="00516108">
        <w:rPr>
          <w:rFonts w:asciiTheme="majorBidi" w:eastAsia="Times New Roman" w:hAnsiTheme="majorBidi" w:cstheme="majorBidi"/>
          <w:sz w:val="24"/>
          <w:szCs w:val="24"/>
          <w:lang w:val="en-US" w:eastAsia="en-GB"/>
        </w:rPr>
        <w:t xml:space="preserve">of </w:t>
      </w:r>
      <w:r w:rsidR="005146A6" w:rsidRPr="00516108">
        <w:rPr>
          <w:rFonts w:asciiTheme="majorBidi" w:eastAsia="Times New Roman" w:hAnsiTheme="majorBidi" w:cstheme="majorBidi"/>
          <w:sz w:val="24"/>
          <w:szCs w:val="24"/>
          <w:lang w:val="en-US" w:eastAsia="en-GB"/>
        </w:rPr>
        <w:t>evidence</w:t>
      </w:r>
      <w:r w:rsidR="00AD5CC9" w:rsidRPr="00516108">
        <w:rPr>
          <w:rFonts w:asciiTheme="majorBidi" w:eastAsia="Times New Roman" w:hAnsiTheme="majorBidi" w:cstheme="majorBidi"/>
          <w:sz w:val="24"/>
          <w:szCs w:val="24"/>
          <w:lang w:val="en-US" w:eastAsia="en-GB"/>
        </w:rPr>
        <w:t xml:space="preserve"> on</w:t>
      </w:r>
      <w:r w:rsidR="008D244A" w:rsidRPr="00516108">
        <w:rPr>
          <w:rFonts w:asciiTheme="majorBidi" w:eastAsia="Times New Roman" w:hAnsiTheme="majorBidi" w:cstheme="majorBidi"/>
          <w:sz w:val="24"/>
          <w:szCs w:val="24"/>
          <w:lang w:val="en-US" w:eastAsia="en-GB"/>
        </w:rPr>
        <w:t xml:space="preserve"> the relation of age and </w:t>
      </w:r>
      <w:r w:rsidR="00AD5CC9" w:rsidRPr="00516108">
        <w:rPr>
          <w:rFonts w:asciiTheme="majorBidi" w:eastAsia="Times New Roman" w:hAnsiTheme="majorBidi" w:cstheme="majorBidi"/>
          <w:sz w:val="24"/>
          <w:szCs w:val="24"/>
          <w:lang w:val="en-US" w:eastAsia="en-GB"/>
        </w:rPr>
        <w:t xml:space="preserve">financial </w:t>
      </w:r>
      <w:r w:rsidR="00BD4515" w:rsidRPr="00516108">
        <w:rPr>
          <w:rFonts w:asciiTheme="majorBidi" w:eastAsia="Times New Roman" w:hAnsiTheme="majorBidi" w:cstheme="majorBidi"/>
          <w:sz w:val="24"/>
          <w:szCs w:val="24"/>
          <w:lang w:val="en-US" w:eastAsia="en-GB"/>
        </w:rPr>
        <w:t>risk taking</w:t>
      </w:r>
      <w:r w:rsidR="00AD5CC9" w:rsidRPr="00516108">
        <w:rPr>
          <w:rFonts w:asciiTheme="majorBidi" w:eastAsia="Times New Roman" w:hAnsiTheme="majorBidi" w:cstheme="majorBidi"/>
          <w:sz w:val="24"/>
          <w:szCs w:val="24"/>
          <w:lang w:val="en-US" w:eastAsia="en-GB"/>
        </w:rPr>
        <w:t xml:space="preserve">. </w:t>
      </w:r>
      <w:r w:rsidR="008D244A" w:rsidRPr="00516108">
        <w:rPr>
          <w:rFonts w:asciiTheme="majorBidi" w:eastAsia="Times New Roman" w:hAnsiTheme="majorBidi" w:cstheme="majorBidi"/>
          <w:sz w:val="24"/>
          <w:szCs w:val="24"/>
          <w:lang w:val="en-US" w:eastAsia="en-GB"/>
        </w:rPr>
        <w:t>T</w:t>
      </w:r>
      <w:r w:rsidR="00AD5CC9" w:rsidRPr="00516108">
        <w:rPr>
          <w:rFonts w:asciiTheme="majorBidi" w:eastAsia="Times New Roman" w:hAnsiTheme="majorBidi" w:cstheme="majorBidi"/>
          <w:sz w:val="24"/>
          <w:szCs w:val="24"/>
          <w:lang w:val="en-US" w:eastAsia="en-GB"/>
        </w:rPr>
        <w:t xml:space="preserve">he bulk of </w:t>
      </w:r>
      <w:r w:rsidR="00944F18" w:rsidRPr="00516108">
        <w:rPr>
          <w:rFonts w:asciiTheme="majorBidi" w:eastAsia="Times New Roman" w:hAnsiTheme="majorBidi" w:cstheme="majorBidi"/>
          <w:sz w:val="24"/>
          <w:szCs w:val="24"/>
          <w:lang w:val="en-US" w:eastAsia="en-GB"/>
        </w:rPr>
        <w:t>our knowl</w:t>
      </w:r>
      <w:r w:rsidR="00967977" w:rsidRPr="00516108">
        <w:rPr>
          <w:rFonts w:asciiTheme="majorBidi" w:eastAsia="Times New Roman" w:hAnsiTheme="majorBidi" w:cstheme="majorBidi"/>
          <w:sz w:val="24"/>
          <w:szCs w:val="24"/>
          <w:lang w:val="en-US" w:eastAsia="en-GB"/>
        </w:rPr>
        <w:t>e</w:t>
      </w:r>
      <w:r w:rsidR="00944F18" w:rsidRPr="00516108">
        <w:rPr>
          <w:rFonts w:asciiTheme="majorBidi" w:eastAsia="Times New Roman" w:hAnsiTheme="majorBidi" w:cstheme="majorBidi"/>
          <w:sz w:val="24"/>
          <w:szCs w:val="24"/>
          <w:lang w:val="en-US" w:eastAsia="en-GB"/>
        </w:rPr>
        <w:t>dge</w:t>
      </w:r>
      <w:r w:rsidR="005D76AF">
        <w:rPr>
          <w:rFonts w:asciiTheme="majorBidi" w:eastAsia="Times New Roman" w:hAnsiTheme="majorBidi" w:cstheme="majorBidi"/>
          <w:sz w:val="24"/>
          <w:szCs w:val="24"/>
          <w:lang w:val="en-US" w:eastAsia="en-GB"/>
        </w:rPr>
        <w:t xml:space="preserve"> on age-related changes in decision making</w:t>
      </w:r>
      <w:r w:rsidR="008776B4" w:rsidRPr="00516108">
        <w:rPr>
          <w:rFonts w:asciiTheme="majorBidi" w:eastAsia="Times New Roman" w:hAnsiTheme="majorBidi" w:cstheme="majorBidi"/>
          <w:sz w:val="24"/>
          <w:szCs w:val="24"/>
          <w:lang w:val="en-US" w:eastAsia="en-GB"/>
        </w:rPr>
        <w:t>, as Mata</w:t>
      </w:r>
      <w:r w:rsidR="005735EB">
        <w:rPr>
          <w:rFonts w:asciiTheme="majorBidi" w:eastAsia="Times New Roman" w:hAnsiTheme="majorBidi" w:cstheme="majorBidi"/>
          <w:sz w:val="24"/>
          <w:szCs w:val="24"/>
          <w:lang w:val="en-US" w:eastAsia="en-GB"/>
        </w:rPr>
        <w:t xml:space="preserve"> and colleagues</w:t>
      </w:r>
      <w:r w:rsidR="00431487">
        <w:rPr>
          <w:rFonts w:asciiTheme="majorBidi" w:eastAsia="Times New Roman" w:hAnsiTheme="majorBidi" w:cstheme="majorBidi"/>
          <w:sz w:val="24"/>
          <w:szCs w:val="24"/>
          <w:vertAlign w:val="superscript"/>
          <w:lang w:val="en-US" w:eastAsia="en-GB"/>
        </w:rPr>
        <w:t>(3)</w:t>
      </w:r>
      <w:r w:rsidR="008776B4" w:rsidRPr="00516108">
        <w:rPr>
          <w:rFonts w:asciiTheme="majorBidi" w:eastAsia="Times New Roman" w:hAnsiTheme="majorBidi" w:cstheme="majorBidi"/>
          <w:sz w:val="24"/>
          <w:szCs w:val="24"/>
          <w:lang w:val="en-US" w:eastAsia="en-GB"/>
        </w:rPr>
        <w:t xml:space="preserve"> </w:t>
      </w:r>
      <w:r w:rsidR="005735EB" w:rsidRPr="00516108">
        <w:rPr>
          <w:rFonts w:asciiTheme="majorBidi" w:eastAsia="Times New Roman" w:hAnsiTheme="majorBidi" w:cstheme="majorBidi"/>
          <w:sz w:val="24"/>
          <w:szCs w:val="24"/>
          <w:lang w:val="en-US" w:eastAsia="en-GB"/>
        </w:rPr>
        <w:t>demonstrate</w:t>
      </w:r>
      <w:r w:rsidR="005735EB">
        <w:rPr>
          <w:rFonts w:asciiTheme="majorBidi" w:eastAsia="Times New Roman" w:hAnsiTheme="majorBidi" w:cstheme="majorBidi"/>
          <w:sz w:val="24"/>
          <w:szCs w:val="24"/>
          <w:lang w:val="en-US" w:eastAsia="en-GB"/>
        </w:rPr>
        <w:t>d</w:t>
      </w:r>
      <w:r w:rsidR="00AD5CC9" w:rsidRPr="00516108">
        <w:rPr>
          <w:rFonts w:asciiTheme="majorBidi" w:eastAsia="Times New Roman" w:hAnsiTheme="majorBidi" w:cstheme="majorBidi"/>
          <w:sz w:val="24"/>
          <w:szCs w:val="24"/>
          <w:lang w:val="en-US" w:eastAsia="en-GB"/>
        </w:rPr>
        <w:t>, ha</w:t>
      </w:r>
      <w:r w:rsidR="00944F18" w:rsidRPr="00516108">
        <w:rPr>
          <w:rFonts w:asciiTheme="majorBidi" w:eastAsia="Times New Roman" w:hAnsiTheme="majorBidi" w:cstheme="majorBidi"/>
          <w:sz w:val="24"/>
          <w:szCs w:val="24"/>
          <w:lang w:val="en-US" w:eastAsia="en-GB"/>
        </w:rPr>
        <w:t>s</w:t>
      </w:r>
      <w:r w:rsidR="00AD5CC9" w:rsidRPr="00516108">
        <w:rPr>
          <w:rFonts w:asciiTheme="majorBidi" w:eastAsia="Times New Roman" w:hAnsiTheme="majorBidi" w:cstheme="majorBidi"/>
          <w:sz w:val="24"/>
          <w:szCs w:val="24"/>
          <w:lang w:val="en-US" w:eastAsia="en-GB"/>
        </w:rPr>
        <w:t xml:space="preserve"> </w:t>
      </w:r>
      <w:r w:rsidR="00967977" w:rsidRPr="00516108">
        <w:rPr>
          <w:rFonts w:asciiTheme="majorBidi" w:eastAsia="Times New Roman" w:hAnsiTheme="majorBidi" w:cstheme="majorBidi"/>
          <w:sz w:val="24"/>
          <w:szCs w:val="24"/>
          <w:lang w:val="en-US" w:eastAsia="en-GB"/>
        </w:rPr>
        <w:t xml:space="preserve">emerged from </w:t>
      </w:r>
      <w:r w:rsidR="00632BE5">
        <w:rPr>
          <w:rFonts w:asciiTheme="majorBidi" w:eastAsia="Times New Roman" w:hAnsiTheme="majorBidi" w:cstheme="majorBidi"/>
          <w:sz w:val="24"/>
          <w:szCs w:val="24"/>
          <w:lang w:val="en-US" w:eastAsia="en-GB"/>
        </w:rPr>
        <w:t xml:space="preserve">behavioral </w:t>
      </w:r>
      <w:r w:rsidR="00967977" w:rsidRPr="00516108">
        <w:rPr>
          <w:rFonts w:asciiTheme="majorBidi" w:eastAsia="Times New Roman" w:hAnsiTheme="majorBidi" w:cstheme="majorBidi"/>
          <w:sz w:val="24"/>
          <w:szCs w:val="24"/>
          <w:lang w:val="en-US" w:eastAsia="en-GB"/>
        </w:rPr>
        <w:t xml:space="preserve">studies using </w:t>
      </w:r>
      <w:r w:rsidR="00AD5CC9" w:rsidRPr="00516108">
        <w:rPr>
          <w:rFonts w:asciiTheme="majorBidi" w:eastAsia="Times New Roman" w:hAnsiTheme="majorBidi" w:cstheme="majorBidi"/>
          <w:sz w:val="24"/>
          <w:szCs w:val="24"/>
          <w:lang w:val="en-US" w:eastAsia="en-GB"/>
        </w:rPr>
        <w:t xml:space="preserve">financial </w:t>
      </w:r>
      <w:r w:rsidR="005146A6" w:rsidRPr="00516108">
        <w:rPr>
          <w:rFonts w:asciiTheme="majorBidi" w:eastAsia="Times New Roman" w:hAnsiTheme="majorBidi" w:cstheme="majorBidi"/>
          <w:sz w:val="24"/>
          <w:szCs w:val="24"/>
          <w:lang w:val="en-US" w:eastAsia="en-GB"/>
        </w:rPr>
        <w:t>tasks</w:t>
      </w:r>
      <w:r w:rsidR="00CF46DD" w:rsidRPr="00516108">
        <w:rPr>
          <w:rFonts w:asciiTheme="majorBidi" w:eastAsia="Times New Roman" w:hAnsiTheme="majorBidi" w:cstheme="majorBidi"/>
          <w:sz w:val="24"/>
          <w:szCs w:val="24"/>
          <w:lang w:val="en-US" w:eastAsia="en-GB"/>
        </w:rPr>
        <w:t xml:space="preserve"> (e.g., hypothetical or actual gambles for money)</w:t>
      </w:r>
      <w:r w:rsidR="00AD5CC9" w:rsidRPr="00516108">
        <w:rPr>
          <w:rFonts w:asciiTheme="majorBidi" w:eastAsia="Times New Roman" w:hAnsiTheme="majorBidi" w:cstheme="majorBidi"/>
          <w:sz w:val="24"/>
          <w:szCs w:val="24"/>
          <w:lang w:val="en-US" w:eastAsia="en-GB"/>
        </w:rPr>
        <w:t>.</w:t>
      </w:r>
      <w:r w:rsidR="001F7378" w:rsidRPr="00516108">
        <w:rPr>
          <w:rFonts w:asciiTheme="majorBidi" w:eastAsia="Times New Roman" w:hAnsiTheme="majorBidi" w:cstheme="majorBidi"/>
          <w:sz w:val="24"/>
          <w:szCs w:val="24"/>
          <w:lang w:val="en-US" w:eastAsia="en-GB"/>
        </w:rPr>
        <w:t xml:space="preserve"> </w:t>
      </w:r>
      <w:r w:rsidR="007C4B0C">
        <w:rPr>
          <w:rFonts w:asciiTheme="majorBidi" w:eastAsia="Times New Roman" w:hAnsiTheme="majorBidi" w:cstheme="majorBidi"/>
          <w:sz w:val="24"/>
          <w:szCs w:val="24"/>
          <w:lang w:val="en-US" w:eastAsia="en-GB"/>
        </w:rPr>
        <w:t xml:space="preserve">Based on analysis of 29 previous </w:t>
      </w:r>
      <w:r w:rsidR="00E83F8C">
        <w:rPr>
          <w:rFonts w:asciiTheme="majorBidi" w:eastAsia="Times New Roman" w:hAnsiTheme="majorBidi" w:cstheme="majorBidi"/>
          <w:sz w:val="24"/>
          <w:szCs w:val="24"/>
          <w:lang w:val="en-US" w:eastAsia="en-GB"/>
        </w:rPr>
        <w:t xml:space="preserve">behavioral </w:t>
      </w:r>
      <w:r w:rsidR="007C4B0C">
        <w:rPr>
          <w:rFonts w:asciiTheme="majorBidi" w:eastAsia="Times New Roman" w:hAnsiTheme="majorBidi" w:cstheme="majorBidi"/>
          <w:sz w:val="24"/>
          <w:szCs w:val="24"/>
          <w:lang w:val="en-US" w:eastAsia="en-GB"/>
        </w:rPr>
        <w:t>studies, Mata et al.</w:t>
      </w:r>
      <w:r w:rsidR="00E036D6">
        <w:rPr>
          <w:rFonts w:asciiTheme="majorBidi" w:eastAsia="Times New Roman" w:hAnsiTheme="majorBidi" w:cstheme="majorBidi"/>
          <w:sz w:val="24"/>
          <w:szCs w:val="24"/>
          <w:vertAlign w:val="superscript"/>
          <w:lang w:val="en-US" w:eastAsia="en-GB"/>
        </w:rPr>
        <w:t>(3)</w:t>
      </w:r>
      <w:r w:rsidR="007C4B0C">
        <w:rPr>
          <w:rFonts w:asciiTheme="majorBidi" w:eastAsia="Times New Roman" w:hAnsiTheme="majorBidi" w:cstheme="majorBidi"/>
          <w:sz w:val="24"/>
          <w:szCs w:val="24"/>
          <w:lang w:val="en-US" w:eastAsia="en-GB"/>
        </w:rPr>
        <w:t xml:space="preserve"> </w:t>
      </w:r>
      <w:r w:rsidR="00E83F8C">
        <w:rPr>
          <w:rFonts w:asciiTheme="majorBidi" w:eastAsia="Times New Roman" w:hAnsiTheme="majorBidi" w:cstheme="majorBidi"/>
          <w:sz w:val="24"/>
          <w:szCs w:val="24"/>
          <w:lang w:val="en-US" w:eastAsia="en-GB"/>
        </w:rPr>
        <w:t>found</w:t>
      </w:r>
      <w:r w:rsidR="007C4B0C">
        <w:rPr>
          <w:rFonts w:asciiTheme="majorBidi" w:eastAsia="Times New Roman" w:hAnsiTheme="majorBidi" w:cstheme="majorBidi"/>
          <w:sz w:val="24"/>
          <w:szCs w:val="24"/>
          <w:lang w:val="en-US" w:eastAsia="en-GB"/>
        </w:rPr>
        <w:t xml:space="preserve"> that </w:t>
      </w:r>
      <w:r w:rsidR="00841A9A">
        <w:rPr>
          <w:rFonts w:asciiTheme="majorBidi" w:eastAsia="Times New Roman" w:hAnsiTheme="majorBidi" w:cstheme="majorBidi"/>
          <w:sz w:val="24"/>
          <w:szCs w:val="24"/>
          <w:lang w:val="en-US" w:eastAsia="en-GB"/>
        </w:rPr>
        <w:t>age</w:t>
      </w:r>
      <w:r w:rsidR="005D76AF">
        <w:rPr>
          <w:rFonts w:asciiTheme="majorBidi" w:eastAsia="Times New Roman" w:hAnsiTheme="majorBidi" w:cstheme="majorBidi"/>
          <w:sz w:val="24"/>
          <w:szCs w:val="24"/>
          <w:lang w:val="en-US" w:eastAsia="en-GB"/>
        </w:rPr>
        <w:t>-related</w:t>
      </w:r>
      <w:r w:rsidR="00841A9A">
        <w:rPr>
          <w:rFonts w:asciiTheme="majorBidi" w:eastAsia="Times New Roman" w:hAnsiTheme="majorBidi" w:cstheme="majorBidi"/>
          <w:sz w:val="24"/>
          <w:szCs w:val="24"/>
          <w:lang w:val="en-US" w:eastAsia="en-GB"/>
        </w:rPr>
        <w:t xml:space="preserve"> differences depend on </w:t>
      </w:r>
      <w:r w:rsidR="007C4B0C">
        <w:rPr>
          <w:rFonts w:asciiTheme="majorBidi" w:eastAsia="Times New Roman" w:hAnsiTheme="majorBidi" w:cstheme="majorBidi"/>
          <w:sz w:val="24"/>
          <w:szCs w:val="24"/>
          <w:lang w:val="en-US" w:eastAsia="en-GB"/>
        </w:rPr>
        <w:t xml:space="preserve">the nature of </w:t>
      </w:r>
      <w:r w:rsidR="00841A9A">
        <w:rPr>
          <w:rFonts w:asciiTheme="majorBidi" w:eastAsia="Times New Roman" w:hAnsiTheme="majorBidi" w:cstheme="majorBidi"/>
          <w:sz w:val="24"/>
          <w:szCs w:val="24"/>
          <w:lang w:val="en-US" w:eastAsia="en-GB"/>
        </w:rPr>
        <w:t xml:space="preserve">the </w:t>
      </w:r>
      <w:r w:rsidR="007C4B0C">
        <w:rPr>
          <w:rFonts w:asciiTheme="majorBidi" w:eastAsia="Times New Roman" w:hAnsiTheme="majorBidi" w:cstheme="majorBidi"/>
          <w:sz w:val="24"/>
          <w:szCs w:val="24"/>
          <w:lang w:val="en-US" w:eastAsia="en-GB"/>
        </w:rPr>
        <w:t>risk task</w:t>
      </w:r>
      <w:r w:rsidR="00841A9A">
        <w:rPr>
          <w:rFonts w:asciiTheme="majorBidi" w:eastAsia="Times New Roman" w:hAnsiTheme="majorBidi" w:cstheme="majorBidi"/>
          <w:sz w:val="24"/>
          <w:szCs w:val="24"/>
          <w:lang w:val="en-US" w:eastAsia="en-GB"/>
        </w:rPr>
        <w:t xml:space="preserve">, in particular, </w:t>
      </w:r>
      <w:r w:rsidR="003F57AC">
        <w:rPr>
          <w:rFonts w:asciiTheme="majorBidi" w:eastAsia="Times New Roman" w:hAnsiTheme="majorBidi" w:cstheme="majorBidi"/>
          <w:sz w:val="24"/>
          <w:szCs w:val="24"/>
          <w:lang w:val="en-US" w:eastAsia="en-GB"/>
        </w:rPr>
        <w:t>16)</w:t>
      </w:r>
      <w:r w:rsidR="009049F0">
        <w:rPr>
          <w:rFonts w:asciiTheme="majorBidi" w:eastAsia="Times New Roman" w:hAnsiTheme="majorBidi" w:cstheme="majorBidi"/>
          <w:sz w:val="24"/>
          <w:szCs w:val="24"/>
          <w:lang w:val="en-US" w:eastAsia="en-GB"/>
        </w:rPr>
        <w:t xml:space="preserve"> </w:t>
      </w:r>
      <w:r w:rsidR="007C4B0C">
        <w:rPr>
          <w:rFonts w:asciiTheme="majorBidi" w:eastAsia="Times New Roman" w:hAnsiTheme="majorBidi" w:cstheme="majorBidi"/>
          <w:sz w:val="24"/>
          <w:szCs w:val="24"/>
          <w:lang w:val="en-US" w:eastAsia="en-GB"/>
        </w:rPr>
        <w:t xml:space="preserve">whether the decision is based on experience or description. In tasks </w:t>
      </w:r>
      <w:r w:rsidR="00E83F8C">
        <w:rPr>
          <w:rFonts w:asciiTheme="majorBidi" w:eastAsia="Times New Roman" w:hAnsiTheme="majorBidi" w:cstheme="majorBidi"/>
          <w:sz w:val="24"/>
          <w:szCs w:val="24"/>
          <w:lang w:val="en-US" w:eastAsia="en-GB"/>
        </w:rPr>
        <w:t>that</w:t>
      </w:r>
      <w:r w:rsidR="00A22DF4">
        <w:rPr>
          <w:rFonts w:asciiTheme="majorBidi" w:eastAsia="Times New Roman" w:hAnsiTheme="majorBidi" w:cstheme="majorBidi"/>
          <w:sz w:val="24"/>
          <w:szCs w:val="24"/>
          <w:lang w:val="en-US" w:eastAsia="en-GB"/>
        </w:rPr>
        <w:t xml:space="preserve"> involve decision</w:t>
      </w:r>
      <w:r w:rsidR="00841A9A">
        <w:rPr>
          <w:rFonts w:asciiTheme="majorBidi" w:eastAsia="Times New Roman" w:hAnsiTheme="majorBidi" w:cstheme="majorBidi"/>
          <w:sz w:val="24"/>
          <w:szCs w:val="24"/>
          <w:lang w:val="en-US" w:eastAsia="en-GB"/>
        </w:rPr>
        <w:t>s</w:t>
      </w:r>
      <w:r w:rsidR="00A22DF4">
        <w:rPr>
          <w:rFonts w:asciiTheme="majorBidi" w:eastAsia="Times New Roman" w:hAnsiTheme="majorBidi" w:cstheme="majorBidi"/>
          <w:sz w:val="24"/>
          <w:szCs w:val="24"/>
          <w:lang w:val="en-US" w:eastAsia="en-GB"/>
        </w:rPr>
        <w:t xml:space="preserve"> from experience</w:t>
      </w:r>
      <w:r w:rsidR="00841A9A">
        <w:rPr>
          <w:rFonts w:asciiTheme="majorBidi" w:eastAsia="Times New Roman" w:hAnsiTheme="majorBidi" w:cstheme="majorBidi"/>
          <w:sz w:val="24"/>
          <w:szCs w:val="24"/>
          <w:lang w:val="en-US" w:eastAsia="en-GB"/>
        </w:rPr>
        <w:t>,</w:t>
      </w:r>
      <w:r w:rsidR="00A22DF4">
        <w:rPr>
          <w:rFonts w:asciiTheme="majorBidi" w:eastAsia="Times New Roman" w:hAnsiTheme="majorBidi" w:cstheme="majorBidi"/>
          <w:sz w:val="24"/>
          <w:szCs w:val="24"/>
          <w:lang w:val="en-US" w:eastAsia="en-GB"/>
        </w:rPr>
        <w:t xml:space="preserve"> older adults seem to be more risk seeking</w:t>
      </w:r>
      <w:r w:rsidR="00841A9A">
        <w:rPr>
          <w:rFonts w:asciiTheme="majorBidi" w:eastAsia="Times New Roman" w:hAnsiTheme="majorBidi" w:cstheme="majorBidi"/>
          <w:sz w:val="24"/>
          <w:szCs w:val="24"/>
          <w:lang w:val="en-US" w:eastAsia="en-GB"/>
        </w:rPr>
        <w:t xml:space="preserve"> than younger adults</w:t>
      </w:r>
      <w:r w:rsidR="00A22DF4">
        <w:rPr>
          <w:rFonts w:asciiTheme="majorBidi" w:eastAsia="Times New Roman" w:hAnsiTheme="majorBidi" w:cstheme="majorBidi"/>
          <w:sz w:val="24"/>
          <w:szCs w:val="24"/>
          <w:lang w:val="en-US" w:eastAsia="en-GB"/>
        </w:rPr>
        <w:t xml:space="preserve">. In contrast, in risk </w:t>
      </w:r>
      <w:r w:rsidR="00E83F8C">
        <w:rPr>
          <w:rFonts w:asciiTheme="majorBidi" w:eastAsia="Times New Roman" w:hAnsiTheme="majorBidi" w:cstheme="majorBidi"/>
          <w:sz w:val="24"/>
          <w:szCs w:val="24"/>
          <w:lang w:val="en-US" w:eastAsia="en-GB"/>
        </w:rPr>
        <w:t>task</w:t>
      </w:r>
      <w:r w:rsidR="00FB59B6">
        <w:rPr>
          <w:rFonts w:asciiTheme="majorBidi" w:eastAsia="Times New Roman" w:hAnsiTheme="majorBidi" w:cstheme="majorBidi"/>
          <w:sz w:val="24"/>
          <w:szCs w:val="24"/>
          <w:lang w:val="en-US" w:eastAsia="en-GB"/>
        </w:rPr>
        <w:t>s</w:t>
      </w:r>
      <w:r w:rsidR="00E83F8C">
        <w:rPr>
          <w:rFonts w:asciiTheme="majorBidi" w:eastAsia="Times New Roman" w:hAnsiTheme="majorBidi" w:cstheme="majorBidi"/>
          <w:sz w:val="24"/>
          <w:szCs w:val="24"/>
          <w:lang w:val="en-US" w:eastAsia="en-GB"/>
        </w:rPr>
        <w:t xml:space="preserve"> </w:t>
      </w:r>
      <w:r w:rsidR="00A22DF4">
        <w:rPr>
          <w:rFonts w:asciiTheme="majorBidi" w:eastAsia="Times New Roman" w:hAnsiTheme="majorBidi" w:cstheme="majorBidi"/>
          <w:sz w:val="24"/>
          <w:szCs w:val="24"/>
          <w:lang w:val="en-US" w:eastAsia="en-GB"/>
        </w:rPr>
        <w:t xml:space="preserve">that are based on description, older adults seem to be risk averse. </w:t>
      </w:r>
      <w:r w:rsidR="000B599A">
        <w:rPr>
          <w:rFonts w:asciiTheme="majorBidi" w:eastAsia="Times New Roman" w:hAnsiTheme="majorBidi" w:cstheme="majorBidi"/>
          <w:sz w:val="24"/>
          <w:szCs w:val="24"/>
          <w:lang w:val="en-US" w:eastAsia="en-GB"/>
        </w:rPr>
        <w:t>A</w:t>
      </w:r>
      <w:r w:rsidR="00A22DF4">
        <w:rPr>
          <w:rFonts w:asciiTheme="majorBidi" w:eastAsia="Times New Roman" w:hAnsiTheme="majorBidi" w:cstheme="majorBidi"/>
          <w:sz w:val="24"/>
          <w:szCs w:val="24"/>
          <w:lang w:val="en-US" w:eastAsia="en-GB"/>
        </w:rPr>
        <w:t xml:space="preserve"> large cross cultural study</w:t>
      </w:r>
      <w:r w:rsidR="000B599A">
        <w:rPr>
          <w:rFonts w:asciiTheme="majorBidi" w:eastAsia="Times New Roman" w:hAnsiTheme="majorBidi" w:cstheme="majorBidi"/>
          <w:sz w:val="24"/>
          <w:szCs w:val="24"/>
          <w:vertAlign w:val="superscript"/>
          <w:lang w:val="en-US" w:eastAsia="en-GB"/>
        </w:rPr>
        <w:t>(4)</w:t>
      </w:r>
      <w:r w:rsidR="00A22DF4">
        <w:rPr>
          <w:rFonts w:asciiTheme="majorBidi" w:eastAsia="Times New Roman" w:hAnsiTheme="majorBidi" w:cstheme="majorBidi"/>
          <w:sz w:val="24"/>
          <w:szCs w:val="24"/>
          <w:lang w:val="en-US" w:eastAsia="en-GB"/>
        </w:rPr>
        <w:t>, which focused on people’s attitude towards</w:t>
      </w:r>
      <w:r w:rsidR="007C4B0C">
        <w:rPr>
          <w:rFonts w:asciiTheme="majorBidi" w:eastAsia="Times New Roman" w:hAnsiTheme="majorBidi" w:cstheme="majorBidi"/>
          <w:sz w:val="24"/>
          <w:szCs w:val="24"/>
          <w:lang w:val="en-US" w:eastAsia="en-GB"/>
        </w:rPr>
        <w:t xml:space="preserve"> </w:t>
      </w:r>
      <w:r w:rsidR="00A22DF4">
        <w:rPr>
          <w:rFonts w:asciiTheme="majorBidi" w:eastAsia="Times New Roman" w:hAnsiTheme="majorBidi" w:cstheme="majorBidi"/>
          <w:sz w:val="24"/>
          <w:szCs w:val="24"/>
          <w:lang w:val="en-US" w:eastAsia="en-GB"/>
        </w:rPr>
        <w:t xml:space="preserve">risk, </w:t>
      </w:r>
      <w:r w:rsidR="00517A6C">
        <w:rPr>
          <w:rFonts w:asciiTheme="majorBidi" w:eastAsia="Times New Roman" w:hAnsiTheme="majorBidi" w:cstheme="majorBidi"/>
          <w:sz w:val="24"/>
          <w:szCs w:val="24"/>
          <w:lang w:val="en-US" w:eastAsia="en-GB"/>
        </w:rPr>
        <w:t>revealed</w:t>
      </w:r>
      <w:r w:rsidR="00A22DF4">
        <w:rPr>
          <w:rFonts w:asciiTheme="majorBidi" w:eastAsia="Times New Roman" w:hAnsiTheme="majorBidi" w:cstheme="majorBidi"/>
          <w:sz w:val="24"/>
          <w:szCs w:val="24"/>
          <w:lang w:val="en-US" w:eastAsia="en-GB"/>
        </w:rPr>
        <w:t xml:space="preserve"> that increase in age </w:t>
      </w:r>
      <w:r w:rsidR="00517A6C">
        <w:rPr>
          <w:rFonts w:asciiTheme="majorBidi" w:eastAsia="Times New Roman" w:hAnsiTheme="majorBidi" w:cstheme="majorBidi"/>
          <w:sz w:val="24"/>
          <w:szCs w:val="24"/>
          <w:lang w:val="en-US" w:eastAsia="en-GB"/>
        </w:rPr>
        <w:t>was</w:t>
      </w:r>
      <w:r w:rsidR="00A22DF4">
        <w:rPr>
          <w:rFonts w:asciiTheme="majorBidi" w:eastAsia="Times New Roman" w:hAnsiTheme="majorBidi" w:cstheme="majorBidi"/>
          <w:sz w:val="24"/>
          <w:szCs w:val="24"/>
          <w:lang w:val="en-US" w:eastAsia="en-GB"/>
        </w:rPr>
        <w:t xml:space="preserve"> associated with decline in risk taking propensity. </w:t>
      </w:r>
      <w:r w:rsidR="000B599A">
        <w:rPr>
          <w:rFonts w:asciiTheme="majorBidi" w:eastAsia="Times New Roman" w:hAnsiTheme="majorBidi" w:cstheme="majorBidi"/>
          <w:sz w:val="24"/>
          <w:szCs w:val="24"/>
          <w:lang w:val="en-US" w:eastAsia="en-GB"/>
        </w:rPr>
        <w:t>L</w:t>
      </w:r>
      <w:r w:rsidR="00517A6C" w:rsidRPr="00517A6C">
        <w:rPr>
          <w:rFonts w:ascii="Times New Roman" w:hAnsi="Times New Roman" w:cs="Times New Roman"/>
          <w:sz w:val="24"/>
          <w:szCs w:val="24"/>
        </w:rPr>
        <w:t>ongitudinal</w:t>
      </w:r>
      <w:r w:rsidR="00517A6C">
        <w:rPr>
          <w:rFonts w:ascii="Times New Roman" w:hAnsi="Times New Roman" w:cs="Times New Roman"/>
          <w:b/>
          <w:bCs/>
          <w:i/>
          <w:iCs/>
          <w:sz w:val="24"/>
          <w:szCs w:val="24"/>
        </w:rPr>
        <w:t xml:space="preserve"> </w:t>
      </w:r>
      <w:r w:rsidR="00517A6C" w:rsidRPr="00E83F8C">
        <w:rPr>
          <w:rFonts w:ascii="Times New Roman" w:hAnsi="Times New Roman" w:cs="Times New Roman"/>
          <w:sz w:val="24"/>
          <w:szCs w:val="24"/>
        </w:rPr>
        <w:t>data from the</w:t>
      </w:r>
      <w:r w:rsidR="00517A6C">
        <w:rPr>
          <w:rFonts w:ascii="Times New Roman" w:hAnsi="Times New Roman" w:cs="Times New Roman"/>
          <w:b/>
          <w:bCs/>
          <w:i/>
          <w:iCs/>
          <w:sz w:val="24"/>
          <w:szCs w:val="24"/>
        </w:rPr>
        <w:t xml:space="preserve"> </w:t>
      </w:r>
      <w:r w:rsidR="00A22DF4">
        <w:rPr>
          <w:rFonts w:ascii="Times New Roman" w:hAnsi="Times New Roman" w:cs="Times New Roman"/>
          <w:sz w:val="24"/>
          <w:szCs w:val="24"/>
        </w:rPr>
        <w:t>German Socio-Economic Panel Study (SOEP)</w:t>
      </w:r>
      <w:r w:rsidR="00FA393F">
        <w:rPr>
          <w:rFonts w:ascii="Times New Roman" w:hAnsi="Times New Roman" w:cs="Times New Roman"/>
          <w:sz w:val="24"/>
          <w:szCs w:val="24"/>
          <w:vertAlign w:val="superscript"/>
        </w:rPr>
        <w:t>(5)</w:t>
      </w:r>
      <w:r w:rsidR="00517A6C">
        <w:rPr>
          <w:rFonts w:ascii="Times New Roman" w:hAnsi="Times New Roman" w:cs="Times New Roman"/>
          <w:sz w:val="24"/>
          <w:szCs w:val="24"/>
          <w:vertAlign w:val="superscript"/>
        </w:rPr>
        <w:t xml:space="preserve"> </w:t>
      </w:r>
      <w:r w:rsidR="000B599A">
        <w:rPr>
          <w:rFonts w:asciiTheme="majorBidi" w:eastAsia="Times New Roman" w:hAnsiTheme="majorBidi" w:cstheme="majorBidi"/>
          <w:sz w:val="24"/>
          <w:szCs w:val="24"/>
          <w:lang w:val="en-US" w:eastAsia="en-GB"/>
        </w:rPr>
        <w:t xml:space="preserve">on </w:t>
      </w:r>
      <w:r w:rsidR="00A22DF4">
        <w:rPr>
          <w:rFonts w:asciiTheme="majorBidi" w:eastAsia="Times New Roman" w:hAnsiTheme="majorBidi" w:cstheme="majorBidi"/>
          <w:sz w:val="24"/>
          <w:szCs w:val="24"/>
          <w:lang w:val="en-US" w:eastAsia="en-GB"/>
        </w:rPr>
        <w:t>both attitude</w:t>
      </w:r>
      <w:r w:rsidR="00E83F8C">
        <w:rPr>
          <w:rFonts w:asciiTheme="majorBidi" w:eastAsia="Times New Roman" w:hAnsiTheme="majorBidi" w:cstheme="majorBidi"/>
          <w:sz w:val="24"/>
          <w:szCs w:val="24"/>
          <w:lang w:val="en-US" w:eastAsia="en-GB"/>
        </w:rPr>
        <w:t>s (self-report measures)</w:t>
      </w:r>
      <w:r w:rsidR="00A22DF4">
        <w:rPr>
          <w:rFonts w:asciiTheme="majorBidi" w:eastAsia="Times New Roman" w:hAnsiTheme="majorBidi" w:cstheme="majorBidi"/>
          <w:sz w:val="24"/>
          <w:szCs w:val="24"/>
          <w:lang w:val="en-US" w:eastAsia="en-GB"/>
        </w:rPr>
        <w:t xml:space="preserve"> and behavioral </w:t>
      </w:r>
      <w:r w:rsidR="00FB59B6">
        <w:rPr>
          <w:rFonts w:asciiTheme="majorBidi" w:eastAsia="Times New Roman" w:hAnsiTheme="majorBidi" w:cstheme="majorBidi"/>
          <w:sz w:val="24"/>
          <w:szCs w:val="24"/>
          <w:lang w:val="en-US" w:eastAsia="en-GB"/>
        </w:rPr>
        <w:t xml:space="preserve">(gambles) </w:t>
      </w:r>
      <w:r w:rsidR="00A22DF4">
        <w:rPr>
          <w:rFonts w:asciiTheme="majorBidi" w:eastAsia="Times New Roman" w:hAnsiTheme="majorBidi" w:cstheme="majorBidi"/>
          <w:sz w:val="24"/>
          <w:szCs w:val="24"/>
          <w:lang w:val="en-US" w:eastAsia="en-GB"/>
        </w:rPr>
        <w:t>risk taking propensities</w:t>
      </w:r>
      <w:r w:rsidR="00E83F8C">
        <w:rPr>
          <w:rFonts w:asciiTheme="majorBidi" w:eastAsia="Times New Roman" w:hAnsiTheme="majorBidi" w:cstheme="majorBidi"/>
          <w:sz w:val="24"/>
          <w:szCs w:val="24"/>
          <w:lang w:val="en-US" w:eastAsia="en-GB"/>
        </w:rPr>
        <w:t xml:space="preserve"> </w:t>
      </w:r>
      <w:r w:rsidR="00A22DF4">
        <w:rPr>
          <w:rFonts w:asciiTheme="majorBidi" w:eastAsia="Times New Roman" w:hAnsiTheme="majorBidi" w:cstheme="majorBidi"/>
          <w:sz w:val="24"/>
          <w:szCs w:val="24"/>
          <w:lang w:val="en-US" w:eastAsia="en-GB"/>
        </w:rPr>
        <w:t>across the lifespan</w:t>
      </w:r>
      <w:r w:rsidR="000B599A">
        <w:rPr>
          <w:rFonts w:asciiTheme="majorBidi" w:eastAsia="Times New Roman" w:hAnsiTheme="majorBidi" w:cstheme="majorBidi"/>
          <w:sz w:val="24"/>
          <w:szCs w:val="24"/>
          <w:lang w:val="en-US" w:eastAsia="en-GB"/>
        </w:rPr>
        <w:t xml:space="preserve"> </w:t>
      </w:r>
      <w:r w:rsidR="00517A6C">
        <w:rPr>
          <w:rFonts w:asciiTheme="majorBidi" w:eastAsia="Times New Roman" w:hAnsiTheme="majorBidi" w:cstheme="majorBidi"/>
          <w:sz w:val="24"/>
          <w:szCs w:val="24"/>
          <w:lang w:val="en-US" w:eastAsia="en-GB"/>
        </w:rPr>
        <w:t>show</w:t>
      </w:r>
      <w:r w:rsidR="009D697A">
        <w:rPr>
          <w:rFonts w:asciiTheme="majorBidi" w:eastAsia="Times New Roman" w:hAnsiTheme="majorBidi" w:cstheme="majorBidi"/>
          <w:sz w:val="24"/>
          <w:szCs w:val="24"/>
          <w:lang w:val="en-US" w:eastAsia="en-GB"/>
        </w:rPr>
        <w:t>ed</w:t>
      </w:r>
      <w:r w:rsidR="00517A6C">
        <w:rPr>
          <w:rFonts w:asciiTheme="majorBidi" w:eastAsia="Times New Roman" w:hAnsiTheme="majorBidi" w:cstheme="majorBidi"/>
          <w:sz w:val="24"/>
          <w:szCs w:val="24"/>
          <w:lang w:val="en-US" w:eastAsia="en-GB"/>
        </w:rPr>
        <w:t xml:space="preserve"> that risk taking</w:t>
      </w:r>
      <w:r w:rsidR="000B599A">
        <w:rPr>
          <w:rFonts w:asciiTheme="majorBidi" w:eastAsia="Times New Roman" w:hAnsiTheme="majorBidi" w:cstheme="majorBidi"/>
          <w:sz w:val="24"/>
          <w:szCs w:val="24"/>
          <w:lang w:val="en-US" w:eastAsia="en-GB"/>
        </w:rPr>
        <w:t xml:space="preserve"> </w:t>
      </w:r>
      <w:r w:rsidR="00517A6C">
        <w:rPr>
          <w:rFonts w:asciiTheme="majorBidi" w:eastAsia="Times New Roman" w:hAnsiTheme="majorBidi" w:cstheme="majorBidi"/>
          <w:sz w:val="24"/>
          <w:szCs w:val="24"/>
          <w:lang w:val="en-US" w:eastAsia="en-GB"/>
        </w:rPr>
        <w:t xml:space="preserve">tends to diminish with age. </w:t>
      </w:r>
      <w:r w:rsidR="00CE23D1">
        <w:rPr>
          <w:rFonts w:asciiTheme="majorBidi" w:eastAsia="Times New Roman" w:hAnsiTheme="majorBidi" w:cstheme="majorBidi"/>
          <w:sz w:val="24"/>
          <w:szCs w:val="24"/>
          <w:lang w:val="en-US" w:eastAsia="en-GB"/>
        </w:rPr>
        <w:t>T</w:t>
      </w:r>
      <w:r w:rsidR="003E454B">
        <w:rPr>
          <w:rFonts w:asciiTheme="majorBidi" w:eastAsia="Times New Roman" w:hAnsiTheme="majorBidi" w:cstheme="majorBidi"/>
          <w:sz w:val="24"/>
          <w:szCs w:val="24"/>
          <w:lang w:val="en-US" w:eastAsia="en-GB"/>
        </w:rPr>
        <w:t>he</w:t>
      </w:r>
      <w:r w:rsidR="00CE23D1">
        <w:rPr>
          <w:rFonts w:asciiTheme="majorBidi" w:eastAsia="Times New Roman" w:hAnsiTheme="majorBidi" w:cstheme="majorBidi"/>
          <w:sz w:val="24"/>
          <w:szCs w:val="24"/>
          <w:lang w:val="en-US" w:eastAsia="en-GB"/>
        </w:rPr>
        <w:t xml:space="preserve"> authors also found </w:t>
      </w:r>
      <w:r w:rsidR="000B599A">
        <w:rPr>
          <w:rFonts w:asciiTheme="majorBidi" w:eastAsia="Times New Roman" w:hAnsiTheme="majorBidi" w:cstheme="majorBidi"/>
          <w:sz w:val="24"/>
          <w:szCs w:val="24"/>
          <w:lang w:val="en-US" w:eastAsia="en-GB"/>
        </w:rPr>
        <w:t xml:space="preserve">positive </w:t>
      </w:r>
      <w:r w:rsidR="00632BE5">
        <w:rPr>
          <w:rFonts w:asciiTheme="majorBidi" w:eastAsia="Times New Roman" w:hAnsiTheme="majorBidi" w:cstheme="majorBidi"/>
          <w:sz w:val="24"/>
          <w:szCs w:val="24"/>
          <w:lang w:val="en-US" w:eastAsia="en-GB"/>
        </w:rPr>
        <w:t xml:space="preserve">correlations </w:t>
      </w:r>
      <w:r w:rsidR="00521FDB">
        <w:rPr>
          <w:rFonts w:asciiTheme="majorBidi" w:eastAsia="Times New Roman" w:hAnsiTheme="majorBidi" w:cstheme="majorBidi"/>
          <w:sz w:val="24"/>
          <w:szCs w:val="24"/>
          <w:lang w:val="en-US" w:eastAsia="en-GB"/>
        </w:rPr>
        <w:t>between gambling and self-report</w:t>
      </w:r>
      <w:r w:rsidR="00841A9A">
        <w:rPr>
          <w:rFonts w:asciiTheme="majorBidi" w:eastAsia="Times New Roman" w:hAnsiTheme="majorBidi" w:cstheme="majorBidi"/>
          <w:sz w:val="24"/>
          <w:szCs w:val="24"/>
          <w:lang w:val="en-US" w:eastAsia="en-GB"/>
        </w:rPr>
        <w:t>ed</w:t>
      </w:r>
      <w:r w:rsidR="00521FDB">
        <w:rPr>
          <w:rFonts w:asciiTheme="majorBidi" w:eastAsia="Times New Roman" w:hAnsiTheme="majorBidi" w:cstheme="majorBidi"/>
          <w:sz w:val="24"/>
          <w:szCs w:val="24"/>
          <w:lang w:val="en-US" w:eastAsia="en-GB"/>
        </w:rPr>
        <w:t xml:space="preserve"> general risk</w:t>
      </w:r>
      <w:r w:rsidR="00E83F8C">
        <w:rPr>
          <w:rFonts w:asciiTheme="majorBidi" w:eastAsia="Times New Roman" w:hAnsiTheme="majorBidi" w:cstheme="majorBidi"/>
          <w:sz w:val="24"/>
          <w:szCs w:val="24"/>
          <w:lang w:val="en-US" w:eastAsia="en-GB"/>
        </w:rPr>
        <w:t xml:space="preserve"> attitude</w:t>
      </w:r>
      <w:r w:rsidR="00521FDB">
        <w:rPr>
          <w:rFonts w:asciiTheme="majorBidi" w:eastAsia="Times New Roman" w:hAnsiTheme="majorBidi" w:cstheme="majorBidi"/>
          <w:sz w:val="24"/>
          <w:szCs w:val="24"/>
          <w:lang w:val="en-US" w:eastAsia="en-GB"/>
        </w:rPr>
        <w:t>.</w:t>
      </w:r>
      <w:r w:rsidR="00E83F8C">
        <w:rPr>
          <w:rFonts w:asciiTheme="majorBidi" w:eastAsia="Times New Roman" w:hAnsiTheme="majorBidi" w:cstheme="majorBidi"/>
          <w:sz w:val="24"/>
          <w:szCs w:val="24"/>
          <w:lang w:val="en-US" w:eastAsia="en-GB"/>
        </w:rPr>
        <w:t xml:space="preserve"> </w:t>
      </w:r>
      <w:r w:rsidR="00DC6723">
        <w:rPr>
          <w:rFonts w:asciiTheme="majorBidi" w:eastAsia="Times New Roman" w:hAnsiTheme="majorBidi" w:cstheme="majorBidi"/>
          <w:sz w:val="24"/>
          <w:szCs w:val="24"/>
          <w:lang w:val="en-US" w:eastAsia="en-GB"/>
        </w:rPr>
        <w:t xml:space="preserve">Overall, </w:t>
      </w:r>
      <w:r w:rsidR="00E32447">
        <w:rPr>
          <w:rFonts w:asciiTheme="majorBidi" w:eastAsia="Times New Roman" w:hAnsiTheme="majorBidi" w:cstheme="majorBidi"/>
          <w:sz w:val="24"/>
          <w:szCs w:val="24"/>
          <w:lang w:val="en-US" w:eastAsia="en-GB"/>
        </w:rPr>
        <w:t>the above studies</w:t>
      </w:r>
      <w:r w:rsidR="00DC6723">
        <w:rPr>
          <w:rFonts w:asciiTheme="majorBidi" w:eastAsia="Times New Roman" w:hAnsiTheme="majorBidi" w:cstheme="majorBidi"/>
          <w:sz w:val="24"/>
          <w:szCs w:val="24"/>
          <w:lang w:val="en-US" w:eastAsia="en-GB"/>
        </w:rPr>
        <w:t xml:space="preserve"> suggest</w:t>
      </w:r>
      <w:r w:rsidR="00E32447">
        <w:rPr>
          <w:rFonts w:asciiTheme="majorBidi" w:eastAsia="Times New Roman" w:hAnsiTheme="majorBidi" w:cstheme="majorBidi"/>
          <w:sz w:val="24"/>
          <w:szCs w:val="24"/>
          <w:lang w:val="en-US" w:eastAsia="en-GB"/>
        </w:rPr>
        <w:t xml:space="preserve"> </w:t>
      </w:r>
      <w:r w:rsidR="00DC6723">
        <w:rPr>
          <w:rFonts w:asciiTheme="majorBidi" w:eastAsia="Times New Roman" w:hAnsiTheme="majorBidi" w:cstheme="majorBidi"/>
          <w:sz w:val="24"/>
          <w:szCs w:val="24"/>
          <w:lang w:val="en-US" w:eastAsia="en-GB"/>
        </w:rPr>
        <w:t xml:space="preserve">that </w:t>
      </w:r>
      <w:r w:rsidR="00E83F8C">
        <w:rPr>
          <w:rFonts w:asciiTheme="majorBidi" w:eastAsia="Times New Roman" w:hAnsiTheme="majorBidi" w:cstheme="majorBidi"/>
          <w:sz w:val="24"/>
          <w:szCs w:val="24"/>
          <w:lang w:val="en-US" w:eastAsia="en-GB"/>
        </w:rPr>
        <w:t xml:space="preserve">risk taking behavior depends, at least partially, on the nature of the </w:t>
      </w:r>
      <w:r w:rsidR="00CE23D1">
        <w:rPr>
          <w:rFonts w:asciiTheme="majorBidi" w:eastAsia="Times New Roman" w:hAnsiTheme="majorBidi" w:cstheme="majorBidi"/>
          <w:sz w:val="24"/>
          <w:szCs w:val="24"/>
          <w:lang w:val="en-US" w:eastAsia="en-GB"/>
        </w:rPr>
        <w:t>risk</w:t>
      </w:r>
      <w:r w:rsidR="00E83F8C">
        <w:rPr>
          <w:rFonts w:asciiTheme="majorBidi" w:eastAsia="Times New Roman" w:hAnsiTheme="majorBidi" w:cstheme="majorBidi"/>
          <w:sz w:val="24"/>
          <w:szCs w:val="24"/>
          <w:lang w:val="en-US" w:eastAsia="en-GB"/>
        </w:rPr>
        <w:t xml:space="preserve"> </w:t>
      </w:r>
      <w:r w:rsidR="00CE23D1">
        <w:rPr>
          <w:rFonts w:asciiTheme="majorBidi" w:eastAsia="Times New Roman" w:hAnsiTheme="majorBidi" w:cstheme="majorBidi"/>
          <w:sz w:val="24"/>
          <w:szCs w:val="24"/>
          <w:lang w:val="en-US" w:eastAsia="en-GB"/>
        </w:rPr>
        <w:t>measure used.</w:t>
      </w:r>
      <w:r w:rsidR="00DC6723">
        <w:rPr>
          <w:rFonts w:asciiTheme="majorBidi" w:eastAsia="Times New Roman" w:hAnsiTheme="majorBidi" w:cstheme="majorBidi"/>
          <w:sz w:val="24"/>
          <w:szCs w:val="24"/>
          <w:lang w:val="en-US" w:eastAsia="en-GB"/>
        </w:rPr>
        <w:t xml:space="preserve"> While there is a clear need to distinguish between self-report and behavioral measures</w:t>
      </w:r>
      <w:r w:rsidR="00FB59B6">
        <w:rPr>
          <w:rFonts w:asciiTheme="majorBidi" w:eastAsia="Times New Roman" w:hAnsiTheme="majorBidi" w:cstheme="majorBidi"/>
          <w:sz w:val="24"/>
          <w:szCs w:val="24"/>
          <w:lang w:val="en-US" w:eastAsia="en-GB"/>
        </w:rPr>
        <w:t xml:space="preserve"> of risk</w:t>
      </w:r>
      <w:r w:rsidR="00C07472">
        <w:rPr>
          <w:rFonts w:asciiTheme="majorBidi" w:eastAsia="Times New Roman" w:hAnsiTheme="majorBidi" w:cstheme="majorBidi"/>
          <w:sz w:val="24"/>
          <w:szCs w:val="24"/>
          <w:lang w:val="en-US" w:eastAsia="en-GB"/>
        </w:rPr>
        <w:t xml:space="preserve"> taking</w:t>
      </w:r>
      <w:r w:rsidR="00DC6723">
        <w:rPr>
          <w:rFonts w:asciiTheme="majorBidi" w:eastAsia="Times New Roman" w:hAnsiTheme="majorBidi" w:cstheme="majorBidi"/>
          <w:sz w:val="24"/>
          <w:szCs w:val="24"/>
          <w:lang w:val="en-US" w:eastAsia="en-GB"/>
        </w:rPr>
        <w:t xml:space="preserve">, </w:t>
      </w:r>
      <w:r w:rsidR="000A04AF">
        <w:rPr>
          <w:rFonts w:asciiTheme="majorBidi" w:eastAsia="Times New Roman" w:hAnsiTheme="majorBidi" w:cstheme="majorBidi"/>
          <w:sz w:val="24"/>
          <w:szCs w:val="24"/>
          <w:lang w:val="en-US" w:eastAsia="en-GB"/>
        </w:rPr>
        <w:t>some</w:t>
      </w:r>
      <w:r w:rsidR="00DC6723">
        <w:rPr>
          <w:rFonts w:asciiTheme="majorBidi" w:eastAsia="Times New Roman" w:hAnsiTheme="majorBidi" w:cstheme="majorBidi"/>
          <w:sz w:val="24"/>
          <w:szCs w:val="24"/>
          <w:lang w:val="en-US" w:eastAsia="en-GB"/>
        </w:rPr>
        <w:t xml:space="preserve"> evidence</w:t>
      </w:r>
      <w:r w:rsidR="00EA62E2">
        <w:rPr>
          <w:rFonts w:asciiTheme="majorBidi" w:eastAsia="Times New Roman" w:hAnsiTheme="majorBidi" w:cstheme="majorBidi"/>
          <w:sz w:val="24"/>
          <w:szCs w:val="24"/>
          <w:vertAlign w:val="superscript"/>
          <w:lang w:val="en-US" w:eastAsia="en-GB"/>
        </w:rPr>
        <w:t>(6</w:t>
      </w:r>
      <w:r w:rsidR="00307B7C">
        <w:rPr>
          <w:rFonts w:asciiTheme="majorBidi" w:eastAsia="Times New Roman" w:hAnsiTheme="majorBidi" w:cstheme="majorBidi"/>
          <w:sz w:val="24"/>
          <w:szCs w:val="24"/>
          <w:vertAlign w:val="superscript"/>
          <w:lang w:val="en-US" w:eastAsia="en-GB"/>
        </w:rPr>
        <w:t>-8</w:t>
      </w:r>
      <w:r w:rsidR="00EA62E2">
        <w:rPr>
          <w:rFonts w:asciiTheme="majorBidi" w:eastAsia="Times New Roman" w:hAnsiTheme="majorBidi" w:cstheme="majorBidi"/>
          <w:sz w:val="24"/>
          <w:szCs w:val="24"/>
          <w:vertAlign w:val="superscript"/>
          <w:lang w:val="en-US" w:eastAsia="en-GB"/>
        </w:rPr>
        <w:t>)</w:t>
      </w:r>
      <w:r w:rsidR="00DC6723">
        <w:rPr>
          <w:rFonts w:asciiTheme="majorBidi" w:eastAsia="Times New Roman" w:hAnsiTheme="majorBidi" w:cstheme="majorBidi"/>
          <w:sz w:val="24"/>
          <w:szCs w:val="24"/>
          <w:lang w:val="en-US" w:eastAsia="en-GB"/>
        </w:rPr>
        <w:t xml:space="preserve"> indicates that </w:t>
      </w:r>
      <w:r w:rsidR="00E83F8C">
        <w:rPr>
          <w:rFonts w:asciiTheme="majorBidi" w:eastAsia="Times New Roman" w:hAnsiTheme="majorBidi" w:cstheme="majorBidi"/>
          <w:sz w:val="24"/>
          <w:szCs w:val="24"/>
          <w:lang w:val="en-US" w:eastAsia="en-GB"/>
        </w:rPr>
        <w:t>behavioral task</w:t>
      </w:r>
      <w:r w:rsidR="00C07472">
        <w:rPr>
          <w:rFonts w:asciiTheme="majorBidi" w:eastAsia="Times New Roman" w:hAnsiTheme="majorBidi" w:cstheme="majorBidi"/>
          <w:sz w:val="24"/>
          <w:szCs w:val="24"/>
          <w:lang w:val="en-US" w:eastAsia="en-GB"/>
        </w:rPr>
        <w:t>s</w:t>
      </w:r>
      <w:r w:rsidR="00E83F8C">
        <w:rPr>
          <w:rFonts w:asciiTheme="majorBidi" w:eastAsia="Times New Roman" w:hAnsiTheme="majorBidi" w:cstheme="majorBidi"/>
          <w:sz w:val="24"/>
          <w:szCs w:val="24"/>
          <w:lang w:val="en-US" w:eastAsia="en-GB"/>
        </w:rPr>
        <w:t xml:space="preserve"> </w:t>
      </w:r>
      <w:r w:rsidR="00DC6723">
        <w:rPr>
          <w:rFonts w:asciiTheme="majorBidi" w:eastAsia="Times New Roman" w:hAnsiTheme="majorBidi" w:cstheme="majorBidi"/>
          <w:sz w:val="24"/>
          <w:szCs w:val="24"/>
          <w:lang w:val="en-US" w:eastAsia="en-GB"/>
        </w:rPr>
        <w:t>are</w:t>
      </w:r>
      <w:r w:rsidR="00E83F8C">
        <w:rPr>
          <w:rFonts w:asciiTheme="majorBidi" w:eastAsia="Times New Roman" w:hAnsiTheme="majorBidi" w:cstheme="majorBidi"/>
          <w:sz w:val="24"/>
          <w:szCs w:val="24"/>
          <w:lang w:val="en-US" w:eastAsia="en-GB"/>
        </w:rPr>
        <w:t xml:space="preserve"> related to self-report measures</w:t>
      </w:r>
      <w:r w:rsidR="00DC6723">
        <w:rPr>
          <w:rFonts w:asciiTheme="majorBidi" w:eastAsia="Times New Roman" w:hAnsiTheme="majorBidi" w:cstheme="majorBidi"/>
          <w:sz w:val="24"/>
          <w:szCs w:val="24"/>
          <w:lang w:val="en-US" w:eastAsia="en-GB"/>
        </w:rPr>
        <w:t xml:space="preserve">, and self-report measures are </w:t>
      </w:r>
      <w:r w:rsidR="000A386B">
        <w:rPr>
          <w:rFonts w:asciiTheme="majorBidi" w:eastAsia="Times New Roman" w:hAnsiTheme="majorBidi" w:cstheme="majorBidi"/>
          <w:sz w:val="24"/>
          <w:szCs w:val="24"/>
          <w:lang w:val="en-US" w:eastAsia="en-GB"/>
        </w:rPr>
        <w:t>correlated</w:t>
      </w:r>
      <w:r w:rsidR="00DC6723">
        <w:rPr>
          <w:rFonts w:asciiTheme="majorBidi" w:eastAsia="Times New Roman" w:hAnsiTheme="majorBidi" w:cstheme="majorBidi"/>
          <w:sz w:val="24"/>
          <w:szCs w:val="24"/>
          <w:lang w:val="en-US" w:eastAsia="en-GB"/>
        </w:rPr>
        <w:t xml:space="preserve"> with real life risk taking </w:t>
      </w:r>
      <w:r w:rsidR="000A386B">
        <w:rPr>
          <w:rFonts w:asciiTheme="majorBidi" w:eastAsia="Times New Roman" w:hAnsiTheme="majorBidi" w:cstheme="majorBidi"/>
          <w:sz w:val="24"/>
          <w:szCs w:val="24"/>
          <w:lang w:val="en-US" w:eastAsia="en-GB"/>
        </w:rPr>
        <w:t>such as gambling and smoking</w:t>
      </w:r>
      <w:r w:rsidR="00DC6723">
        <w:rPr>
          <w:rFonts w:asciiTheme="majorBidi" w:eastAsia="Times New Roman" w:hAnsiTheme="majorBidi" w:cstheme="majorBidi"/>
          <w:sz w:val="24"/>
          <w:szCs w:val="24"/>
          <w:lang w:val="en-US" w:eastAsia="en-GB"/>
        </w:rPr>
        <w:t xml:space="preserve">. </w:t>
      </w:r>
    </w:p>
    <w:p w14:paraId="50668DCA" w14:textId="13D6A6D9" w:rsidR="00413C0F" w:rsidRDefault="00632BE5" w:rsidP="00F22192">
      <w:pPr>
        <w:spacing w:after="0" w:line="480" w:lineRule="auto"/>
        <w:ind w:firstLine="720"/>
        <w:rPr>
          <w:rFonts w:asciiTheme="majorBidi" w:eastAsia="Times New Roman" w:hAnsiTheme="majorBidi" w:cstheme="majorBidi"/>
          <w:sz w:val="24"/>
          <w:szCs w:val="24"/>
          <w:lang w:val="en-US" w:eastAsia="en-GB"/>
        </w:rPr>
      </w:pPr>
      <w:r>
        <w:rPr>
          <w:rFonts w:asciiTheme="majorBidi" w:eastAsia="Times New Roman" w:hAnsiTheme="majorBidi" w:cstheme="majorBidi"/>
          <w:sz w:val="24"/>
          <w:szCs w:val="24"/>
          <w:lang w:val="en-US" w:eastAsia="en-GB"/>
        </w:rPr>
        <w:t xml:space="preserve"> </w:t>
      </w:r>
      <w:r w:rsidR="00CE23D1">
        <w:rPr>
          <w:rFonts w:asciiTheme="majorBidi" w:eastAsia="Times New Roman" w:hAnsiTheme="majorBidi" w:cstheme="majorBidi"/>
          <w:sz w:val="24"/>
          <w:szCs w:val="24"/>
          <w:lang w:val="en-US" w:eastAsia="en-GB"/>
        </w:rPr>
        <w:t xml:space="preserve">One area that has not received sufficient attention </w:t>
      </w:r>
      <w:r w:rsidR="009D697A">
        <w:rPr>
          <w:rFonts w:asciiTheme="majorBidi" w:eastAsia="Times New Roman" w:hAnsiTheme="majorBidi" w:cstheme="majorBidi"/>
          <w:sz w:val="24"/>
          <w:szCs w:val="24"/>
          <w:lang w:val="en-US" w:eastAsia="en-GB"/>
        </w:rPr>
        <w:t xml:space="preserve">in the field of aging and decision making </w:t>
      </w:r>
      <w:r w:rsidR="00CE23D1">
        <w:rPr>
          <w:rFonts w:asciiTheme="majorBidi" w:eastAsia="Times New Roman" w:hAnsiTheme="majorBidi" w:cstheme="majorBidi"/>
          <w:sz w:val="24"/>
          <w:szCs w:val="24"/>
          <w:lang w:val="en-US" w:eastAsia="en-GB"/>
        </w:rPr>
        <w:t xml:space="preserve">is the medical domain. Understanding medical risk taking </w:t>
      </w:r>
      <w:r w:rsidR="00514B68">
        <w:rPr>
          <w:rFonts w:asciiTheme="majorBidi" w:eastAsia="Times New Roman" w:hAnsiTheme="majorBidi" w:cstheme="majorBidi"/>
          <w:sz w:val="24"/>
          <w:szCs w:val="24"/>
          <w:lang w:val="en-US" w:eastAsia="en-GB"/>
        </w:rPr>
        <w:t xml:space="preserve">is of key importance </w:t>
      </w:r>
      <w:r w:rsidR="00413C0F">
        <w:rPr>
          <w:rFonts w:asciiTheme="majorBidi" w:eastAsia="Times New Roman" w:hAnsiTheme="majorBidi" w:cstheme="majorBidi"/>
          <w:sz w:val="24"/>
          <w:szCs w:val="24"/>
          <w:lang w:val="en-US" w:eastAsia="en-GB"/>
        </w:rPr>
        <w:t>for a number of reasons. Health expenditure represents one of the largest percentages out of the G</w:t>
      </w:r>
      <w:r w:rsidR="00CE23D1">
        <w:rPr>
          <w:rFonts w:asciiTheme="majorBidi" w:eastAsia="Times New Roman" w:hAnsiTheme="majorBidi" w:cstheme="majorBidi"/>
          <w:sz w:val="24"/>
          <w:szCs w:val="24"/>
          <w:lang w:val="en-US" w:eastAsia="en-GB"/>
        </w:rPr>
        <w:t>ross D</w:t>
      </w:r>
      <w:r w:rsidR="00CF4E71">
        <w:rPr>
          <w:rFonts w:asciiTheme="majorBidi" w:eastAsia="Times New Roman" w:hAnsiTheme="majorBidi" w:cstheme="majorBidi"/>
          <w:sz w:val="24"/>
          <w:szCs w:val="24"/>
          <w:lang w:val="en-US" w:eastAsia="en-GB"/>
        </w:rPr>
        <w:t xml:space="preserve">omestic </w:t>
      </w:r>
      <w:r w:rsidR="00CE23D1">
        <w:rPr>
          <w:rFonts w:asciiTheme="majorBidi" w:eastAsia="Times New Roman" w:hAnsiTheme="majorBidi" w:cstheme="majorBidi"/>
          <w:sz w:val="24"/>
          <w:szCs w:val="24"/>
          <w:lang w:val="en-US" w:eastAsia="en-GB"/>
        </w:rPr>
        <w:t>P</w:t>
      </w:r>
      <w:r w:rsidR="00CF4E71">
        <w:rPr>
          <w:rFonts w:asciiTheme="majorBidi" w:eastAsia="Times New Roman" w:hAnsiTheme="majorBidi" w:cstheme="majorBidi"/>
          <w:sz w:val="24"/>
          <w:szCs w:val="24"/>
          <w:lang w:val="en-US" w:eastAsia="en-GB"/>
        </w:rPr>
        <w:t>roduct</w:t>
      </w:r>
      <w:r w:rsidR="00CE23D1">
        <w:rPr>
          <w:rFonts w:asciiTheme="majorBidi" w:eastAsia="Times New Roman" w:hAnsiTheme="majorBidi" w:cstheme="majorBidi"/>
          <w:sz w:val="24"/>
          <w:szCs w:val="24"/>
          <w:lang w:val="en-US" w:eastAsia="en-GB"/>
        </w:rPr>
        <w:t xml:space="preserve"> (GDP)</w:t>
      </w:r>
      <w:r w:rsidR="00413C0F">
        <w:rPr>
          <w:rFonts w:asciiTheme="majorBidi" w:eastAsia="Times New Roman" w:hAnsiTheme="majorBidi" w:cstheme="majorBidi"/>
          <w:sz w:val="24"/>
          <w:szCs w:val="24"/>
          <w:lang w:val="en-US" w:eastAsia="en-GB"/>
        </w:rPr>
        <w:t>, with the U.S. spending over 17% of it</w:t>
      </w:r>
      <w:r w:rsidR="00514B68">
        <w:rPr>
          <w:rFonts w:asciiTheme="majorBidi" w:eastAsia="Times New Roman" w:hAnsiTheme="majorBidi" w:cstheme="majorBidi"/>
          <w:sz w:val="24"/>
          <w:szCs w:val="24"/>
          <w:lang w:val="en-US" w:eastAsia="en-GB"/>
        </w:rPr>
        <w:t>s</w:t>
      </w:r>
      <w:r w:rsidR="00413C0F">
        <w:rPr>
          <w:rFonts w:asciiTheme="majorBidi" w:eastAsia="Times New Roman" w:hAnsiTheme="majorBidi" w:cstheme="majorBidi"/>
          <w:sz w:val="24"/>
          <w:szCs w:val="24"/>
          <w:lang w:val="en-US" w:eastAsia="en-GB"/>
        </w:rPr>
        <w:t xml:space="preserve"> GDP on health. Adults 65</w:t>
      </w:r>
      <w:r w:rsidR="009D697A">
        <w:rPr>
          <w:rFonts w:asciiTheme="majorBidi" w:eastAsia="Times New Roman" w:hAnsiTheme="majorBidi" w:cstheme="majorBidi"/>
          <w:sz w:val="24"/>
          <w:szCs w:val="24"/>
          <w:lang w:val="en-US" w:eastAsia="en-GB"/>
        </w:rPr>
        <w:t xml:space="preserve"> years</w:t>
      </w:r>
      <w:r w:rsidR="00413C0F">
        <w:rPr>
          <w:rFonts w:asciiTheme="majorBidi" w:eastAsia="Times New Roman" w:hAnsiTheme="majorBidi" w:cstheme="majorBidi"/>
          <w:sz w:val="24"/>
          <w:szCs w:val="24"/>
          <w:lang w:val="en-US" w:eastAsia="en-GB"/>
        </w:rPr>
        <w:t xml:space="preserve"> and over far outspend their younger counterparts</w:t>
      </w:r>
      <w:r w:rsidR="00DB1168">
        <w:rPr>
          <w:rFonts w:asciiTheme="majorBidi" w:eastAsia="Times New Roman" w:hAnsiTheme="majorBidi" w:cstheme="majorBidi"/>
          <w:sz w:val="24"/>
          <w:szCs w:val="24"/>
          <w:lang w:val="en-US" w:eastAsia="en-GB"/>
        </w:rPr>
        <w:t>,</w:t>
      </w:r>
      <w:r w:rsidR="00E036D6" w:rsidRPr="00E036D6">
        <w:rPr>
          <w:rFonts w:asciiTheme="majorBidi" w:eastAsia="Times New Roman" w:hAnsiTheme="majorBidi" w:cstheme="majorBidi"/>
          <w:sz w:val="24"/>
          <w:szCs w:val="24"/>
          <w:vertAlign w:val="superscript"/>
          <w:lang w:val="en-US" w:eastAsia="en-GB"/>
        </w:rPr>
        <w:t>(</w:t>
      </w:r>
      <w:r w:rsidR="00F22192">
        <w:rPr>
          <w:rFonts w:asciiTheme="majorBidi" w:eastAsia="Times New Roman" w:hAnsiTheme="majorBidi" w:cstheme="majorBidi"/>
          <w:sz w:val="24"/>
          <w:szCs w:val="24"/>
          <w:vertAlign w:val="superscript"/>
          <w:lang w:val="en-US" w:eastAsia="en-GB"/>
        </w:rPr>
        <w:t>9</w:t>
      </w:r>
      <w:r w:rsidR="00E036D6" w:rsidRPr="00E036D6">
        <w:rPr>
          <w:rFonts w:asciiTheme="majorBidi" w:eastAsia="Times New Roman" w:hAnsiTheme="majorBidi" w:cstheme="majorBidi"/>
          <w:sz w:val="24"/>
          <w:szCs w:val="24"/>
          <w:vertAlign w:val="superscript"/>
          <w:lang w:val="en-US" w:eastAsia="en-GB"/>
        </w:rPr>
        <w:t>)</w:t>
      </w:r>
      <w:r w:rsidR="00DB1168">
        <w:rPr>
          <w:rFonts w:asciiTheme="majorBidi" w:eastAsia="Times New Roman" w:hAnsiTheme="majorBidi" w:cstheme="majorBidi"/>
          <w:sz w:val="24"/>
          <w:szCs w:val="24"/>
          <w:lang w:val="en-US" w:eastAsia="en-GB"/>
        </w:rPr>
        <w:t xml:space="preserve"> and they </w:t>
      </w:r>
      <w:r w:rsidR="00DD25C9">
        <w:rPr>
          <w:rFonts w:asciiTheme="majorBidi" w:eastAsia="Times New Roman" w:hAnsiTheme="majorBidi" w:cstheme="majorBidi"/>
          <w:sz w:val="24"/>
          <w:szCs w:val="24"/>
          <w:lang w:val="en-US" w:eastAsia="en-GB"/>
        </w:rPr>
        <w:t xml:space="preserve">are </w:t>
      </w:r>
      <w:r w:rsidR="00DB1168">
        <w:rPr>
          <w:rFonts w:asciiTheme="majorBidi" w:eastAsia="Times New Roman" w:hAnsiTheme="majorBidi" w:cstheme="majorBidi"/>
          <w:sz w:val="24"/>
          <w:szCs w:val="24"/>
          <w:lang w:val="en-US" w:eastAsia="en-GB"/>
        </w:rPr>
        <w:t xml:space="preserve">significantly </w:t>
      </w:r>
      <w:r w:rsidR="00DD25C9">
        <w:rPr>
          <w:rFonts w:asciiTheme="majorBidi" w:eastAsia="Times New Roman" w:hAnsiTheme="majorBidi" w:cstheme="majorBidi"/>
          <w:sz w:val="24"/>
          <w:szCs w:val="24"/>
          <w:lang w:val="en-US" w:eastAsia="en-GB"/>
        </w:rPr>
        <w:t xml:space="preserve">more likely to </w:t>
      </w:r>
      <w:r w:rsidR="00C07472">
        <w:rPr>
          <w:rFonts w:asciiTheme="majorBidi" w:eastAsia="Times New Roman" w:hAnsiTheme="majorBidi" w:cstheme="majorBidi"/>
          <w:sz w:val="24"/>
          <w:szCs w:val="24"/>
          <w:lang w:val="en-US" w:eastAsia="en-GB"/>
        </w:rPr>
        <w:t>suffer</w:t>
      </w:r>
      <w:r w:rsidR="00DD25C9">
        <w:rPr>
          <w:rFonts w:asciiTheme="majorBidi" w:eastAsia="Times New Roman" w:hAnsiTheme="majorBidi" w:cstheme="majorBidi"/>
          <w:sz w:val="24"/>
          <w:szCs w:val="24"/>
          <w:lang w:val="en-US" w:eastAsia="en-GB"/>
        </w:rPr>
        <w:t xml:space="preserve"> serious illness such as cancer. Indeed, a</w:t>
      </w:r>
      <w:r w:rsidR="00514B68">
        <w:rPr>
          <w:rFonts w:asciiTheme="majorBidi" w:eastAsia="Times New Roman" w:hAnsiTheme="majorBidi" w:cstheme="majorBidi"/>
          <w:sz w:val="24"/>
          <w:szCs w:val="24"/>
          <w:lang w:val="en-US" w:eastAsia="en-GB"/>
        </w:rPr>
        <w:t xml:space="preserve">dults 65 </w:t>
      </w:r>
      <w:r w:rsidR="00C07472">
        <w:rPr>
          <w:rFonts w:asciiTheme="majorBidi" w:eastAsia="Times New Roman" w:hAnsiTheme="majorBidi" w:cstheme="majorBidi"/>
          <w:sz w:val="24"/>
          <w:szCs w:val="24"/>
          <w:lang w:val="en-US" w:eastAsia="en-GB"/>
        </w:rPr>
        <w:t xml:space="preserve">years </w:t>
      </w:r>
      <w:r w:rsidR="00514B68">
        <w:rPr>
          <w:rFonts w:asciiTheme="majorBidi" w:eastAsia="Times New Roman" w:hAnsiTheme="majorBidi" w:cstheme="majorBidi"/>
          <w:sz w:val="24"/>
          <w:szCs w:val="24"/>
          <w:lang w:val="en-US" w:eastAsia="en-GB"/>
        </w:rPr>
        <w:t>and over are 3 times more likely to die from cancer (18.4 vs. 6.4 per 100,000)</w:t>
      </w:r>
      <w:r w:rsidR="00DD25C9">
        <w:rPr>
          <w:rFonts w:asciiTheme="majorBidi" w:eastAsia="Times New Roman" w:hAnsiTheme="majorBidi" w:cstheme="majorBidi"/>
          <w:sz w:val="24"/>
          <w:szCs w:val="24"/>
          <w:lang w:val="en-US" w:eastAsia="en-GB"/>
        </w:rPr>
        <w:t xml:space="preserve"> compare</w:t>
      </w:r>
      <w:r w:rsidR="00C07472">
        <w:rPr>
          <w:rFonts w:asciiTheme="majorBidi" w:eastAsia="Times New Roman" w:hAnsiTheme="majorBidi" w:cstheme="majorBidi"/>
          <w:sz w:val="24"/>
          <w:szCs w:val="24"/>
          <w:lang w:val="en-US" w:eastAsia="en-GB"/>
        </w:rPr>
        <w:t>d</w:t>
      </w:r>
      <w:r w:rsidR="00DD25C9">
        <w:rPr>
          <w:rFonts w:asciiTheme="majorBidi" w:eastAsia="Times New Roman" w:hAnsiTheme="majorBidi" w:cstheme="majorBidi"/>
          <w:sz w:val="24"/>
          <w:szCs w:val="24"/>
          <w:lang w:val="en-US" w:eastAsia="en-GB"/>
        </w:rPr>
        <w:t xml:space="preserve"> to those under 65</w:t>
      </w:r>
      <w:r w:rsidR="00514B68">
        <w:rPr>
          <w:rFonts w:asciiTheme="majorBidi" w:eastAsia="Times New Roman" w:hAnsiTheme="majorBidi" w:cstheme="majorBidi"/>
          <w:sz w:val="24"/>
          <w:szCs w:val="24"/>
          <w:lang w:val="en-US" w:eastAsia="en-GB"/>
        </w:rPr>
        <w:t>.</w:t>
      </w:r>
      <w:r w:rsidR="001B006A">
        <w:rPr>
          <w:rFonts w:asciiTheme="majorBidi" w:eastAsia="Times New Roman" w:hAnsiTheme="majorBidi" w:cstheme="majorBidi"/>
          <w:sz w:val="24"/>
          <w:szCs w:val="24"/>
          <w:vertAlign w:val="superscript"/>
          <w:lang w:val="en-US" w:eastAsia="en-GB"/>
        </w:rPr>
        <w:t>(</w:t>
      </w:r>
      <w:r w:rsidR="00F22192">
        <w:rPr>
          <w:rFonts w:asciiTheme="majorBidi" w:eastAsia="Times New Roman" w:hAnsiTheme="majorBidi" w:cstheme="majorBidi"/>
          <w:sz w:val="24"/>
          <w:szCs w:val="24"/>
          <w:vertAlign w:val="superscript"/>
          <w:lang w:val="en-US" w:eastAsia="en-GB"/>
        </w:rPr>
        <w:t>9</w:t>
      </w:r>
      <w:r w:rsidR="001B006A">
        <w:rPr>
          <w:rFonts w:asciiTheme="majorBidi" w:eastAsia="Times New Roman" w:hAnsiTheme="majorBidi" w:cstheme="majorBidi"/>
          <w:sz w:val="24"/>
          <w:szCs w:val="24"/>
          <w:vertAlign w:val="superscript"/>
          <w:lang w:val="en-US" w:eastAsia="en-GB"/>
        </w:rPr>
        <w:t>)</w:t>
      </w:r>
      <w:r w:rsidR="00514B68">
        <w:rPr>
          <w:rFonts w:asciiTheme="majorBidi" w:eastAsia="Times New Roman" w:hAnsiTheme="majorBidi" w:cstheme="majorBidi"/>
          <w:sz w:val="24"/>
          <w:szCs w:val="24"/>
          <w:lang w:val="en-US" w:eastAsia="en-GB"/>
        </w:rPr>
        <w:t xml:space="preserve"> Reducing cancer</w:t>
      </w:r>
      <w:r w:rsidR="00DD25C9">
        <w:rPr>
          <w:rFonts w:asciiTheme="majorBidi" w:eastAsia="Times New Roman" w:hAnsiTheme="majorBidi" w:cstheme="majorBidi"/>
          <w:sz w:val="24"/>
          <w:szCs w:val="24"/>
          <w:lang w:val="en-US" w:eastAsia="en-GB"/>
        </w:rPr>
        <w:t xml:space="preserve"> rates</w:t>
      </w:r>
      <w:r w:rsidR="00514B68">
        <w:rPr>
          <w:rFonts w:asciiTheme="majorBidi" w:eastAsia="Times New Roman" w:hAnsiTheme="majorBidi" w:cstheme="majorBidi"/>
          <w:sz w:val="24"/>
          <w:szCs w:val="24"/>
          <w:lang w:val="en-US" w:eastAsia="en-GB"/>
        </w:rPr>
        <w:t xml:space="preserve">, </w:t>
      </w:r>
      <w:r w:rsidR="00DD25C9">
        <w:rPr>
          <w:rFonts w:asciiTheme="majorBidi" w:eastAsia="Times New Roman" w:hAnsiTheme="majorBidi" w:cstheme="majorBidi"/>
          <w:sz w:val="24"/>
          <w:szCs w:val="24"/>
          <w:lang w:val="en-US" w:eastAsia="en-GB"/>
        </w:rPr>
        <w:t>thus</w:t>
      </w:r>
      <w:r w:rsidR="00514B68">
        <w:rPr>
          <w:rFonts w:asciiTheme="majorBidi" w:eastAsia="Times New Roman" w:hAnsiTheme="majorBidi" w:cstheme="majorBidi"/>
          <w:sz w:val="24"/>
          <w:szCs w:val="24"/>
          <w:lang w:val="en-US" w:eastAsia="en-GB"/>
        </w:rPr>
        <w:t xml:space="preserve">, can not only reduce mortality and morbidity but also reduce expenditure. </w:t>
      </w:r>
      <w:r w:rsidR="00C07472">
        <w:rPr>
          <w:rFonts w:asciiTheme="majorBidi" w:eastAsia="Times New Roman" w:hAnsiTheme="majorBidi" w:cstheme="majorBidi"/>
          <w:sz w:val="24"/>
          <w:szCs w:val="24"/>
          <w:lang w:val="en-US" w:eastAsia="en-GB"/>
        </w:rPr>
        <w:t>A</w:t>
      </w:r>
      <w:r w:rsidR="00DD25C9">
        <w:rPr>
          <w:rFonts w:asciiTheme="majorBidi" w:eastAsia="Times New Roman" w:hAnsiTheme="majorBidi" w:cstheme="majorBidi"/>
          <w:sz w:val="24"/>
          <w:szCs w:val="24"/>
          <w:lang w:val="en-US" w:eastAsia="en-GB"/>
        </w:rPr>
        <w:t xml:space="preserve"> large corpus of data has shown that risk perception is related to a range of medical related behaviors such as cancer screening and adherence to medication. A study</w:t>
      </w:r>
      <w:r w:rsidR="001B006A">
        <w:rPr>
          <w:rFonts w:asciiTheme="majorBidi" w:eastAsia="Times New Roman" w:hAnsiTheme="majorBidi" w:cstheme="majorBidi"/>
          <w:sz w:val="24"/>
          <w:szCs w:val="24"/>
          <w:vertAlign w:val="superscript"/>
          <w:lang w:val="en-US" w:eastAsia="en-GB"/>
        </w:rPr>
        <w:t>(</w:t>
      </w:r>
      <w:r w:rsidR="00F22192">
        <w:rPr>
          <w:rFonts w:asciiTheme="majorBidi" w:eastAsia="Times New Roman" w:hAnsiTheme="majorBidi" w:cstheme="majorBidi"/>
          <w:sz w:val="24"/>
          <w:szCs w:val="24"/>
          <w:vertAlign w:val="superscript"/>
          <w:lang w:val="en-US" w:eastAsia="en-GB"/>
        </w:rPr>
        <w:t>10</w:t>
      </w:r>
      <w:r w:rsidR="001B006A">
        <w:rPr>
          <w:rFonts w:asciiTheme="majorBidi" w:eastAsia="Times New Roman" w:hAnsiTheme="majorBidi" w:cstheme="majorBidi"/>
          <w:sz w:val="24"/>
          <w:szCs w:val="24"/>
          <w:vertAlign w:val="superscript"/>
          <w:lang w:val="en-US" w:eastAsia="en-GB"/>
        </w:rPr>
        <w:t>)</w:t>
      </w:r>
      <w:r w:rsidR="00DD25C9">
        <w:rPr>
          <w:rFonts w:asciiTheme="majorBidi" w:eastAsia="Times New Roman" w:hAnsiTheme="majorBidi" w:cstheme="majorBidi"/>
          <w:sz w:val="24"/>
          <w:szCs w:val="24"/>
          <w:lang w:val="en-US" w:eastAsia="en-GB"/>
        </w:rPr>
        <w:t xml:space="preserve"> of over 1000 older adults (ages 65-89</w:t>
      </w:r>
      <w:r w:rsidR="0074654B">
        <w:rPr>
          <w:rFonts w:asciiTheme="majorBidi" w:eastAsia="Times New Roman" w:hAnsiTheme="majorBidi" w:cstheme="majorBidi"/>
          <w:sz w:val="24"/>
          <w:szCs w:val="24"/>
          <w:lang w:val="en-US" w:eastAsia="en-GB"/>
        </w:rPr>
        <w:t xml:space="preserve"> years</w:t>
      </w:r>
      <w:r w:rsidR="00DD25C9">
        <w:rPr>
          <w:rFonts w:asciiTheme="majorBidi" w:eastAsia="Times New Roman" w:hAnsiTheme="majorBidi" w:cstheme="majorBidi"/>
          <w:sz w:val="24"/>
          <w:szCs w:val="24"/>
          <w:lang w:val="en-US" w:eastAsia="en-GB"/>
        </w:rPr>
        <w:t>) has shown that risk perception is related to colorectal cancer screening. A meta-analytic review</w:t>
      </w:r>
      <w:r w:rsidR="001B006A">
        <w:rPr>
          <w:rFonts w:asciiTheme="majorBidi" w:eastAsia="Times New Roman" w:hAnsiTheme="majorBidi" w:cstheme="majorBidi"/>
          <w:sz w:val="24"/>
          <w:szCs w:val="24"/>
          <w:vertAlign w:val="superscript"/>
          <w:lang w:val="en-US" w:eastAsia="en-GB"/>
        </w:rPr>
        <w:t>(</w:t>
      </w:r>
      <w:r w:rsidR="00F22192">
        <w:rPr>
          <w:rFonts w:asciiTheme="majorBidi" w:eastAsia="Times New Roman" w:hAnsiTheme="majorBidi" w:cstheme="majorBidi"/>
          <w:sz w:val="24"/>
          <w:szCs w:val="24"/>
          <w:vertAlign w:val="superscript"/>
          <w:lang w:val="en-US" w:eastAsia="en-GB"/>
        </w:rPr>
        <w:t>11</w:t>
      </w:r>
      <w:r w:rsidR="001B006A">
        <w:rPr>
          <w:rFonts w:asciiTheme="majorBidi" w:eastAsia="Times New Roman" w:hAnsiTheme="majorBidi" w:cstheme="majorBidi"/>
          <w:sz w:val="24"/>
          <w:szCs w:val="24"/>
          <w:vertAlign w:val="superscript"/>
          <w:lang w:val="en-US" w:eastAsia="en-GB"/>
        </w:rPr>
        <w:t>)</w:t>
      </w:r>
      <w:r w:rsidR="00DD25C9">
        <w:rPr>
          <w:rFonts w:asciiTheme="majorBidi" w:eastAsia="Times New Roman" w:hAnsiTheme="majorBidi" w:cstheme="majorBidi"/>
          <w:sz w:val="24"/>
          <w:szCs w:val="24"/>
          <w:lang w:val="en-US" w:eastAsia="en-GB"/>
        </w:rPr>
        <w:t xml:space="preserve"> reported that one of the key predictors of breast cancer screening was women</w:t>
      </w:r>
      <w:r w:rsidR="00DB1168">
        <w:rPr>
          <w:rFonts w:asciiTheme="majorBidi" w:eastAsia="Times New Roman" w:hAnsiTheme="majorBidi" w:cstheme="majorBidi"/>
          <w:sz w:val="24"/>
          <w:szCs w:val="24"/>
          <w:lang w:val="en-US" w:eastAsia="en-GB"/>
        </w:rPr>
        <w:t>’</w:t>
      </w:r>
      <w:r w:rsidR="00C07472">
        <w:rPr>
          <w:rFonts w:asciiTheme="majorBidi" w:eastAsia="Times New Roman" w:hAnsiTheme="majorBidi" w:cstheme="majorBidi"/>
          <w:sz w:val="24"/>
          <w:szCs w:val="24"/>
          <w:lang w:val="en-US" w:eastAsia="en-GB"/>
        </w:rPr>
        <w:t>s</w:t>
      </w:r>
      <w:r w:rsidR="00DD25C9">
        <w:rPr>
          <w:rFonts w:asciiTheme="majorBidi" w:eastAsia="Times New Roman" w:hAnsiTheme="majorBidi" w:cstheme="majorBidi"/>
          <w:sz w:val="24"/>
          <w:szCs w:val="24"/>
          <w:lang w:val="en-US" w:eastAsia="en-GB"/>
        </w:rPr>
        <w:t xml:space="preserve"> risk perception</w:t>
      </w:r>
      <w:r w:rsidR="00A87EA5">
        <w:rPr>
          <w:rFonts w:asciiTheme="majorBidi" w:eastAsia="Times New Roman" w:hAnsiTheme="majorBidi" w:cstheme="majorBidi"/>
          <w:sz w:val="24"/>
          <w:szCs w:val="24"/>
          <w:lang w:val="en-US" w:eastAsia="en-GB"/>
        </w:rPr>
        <w:t xml:space="preserve">, and that perceived risk was </w:t>
      </w:r>
      <w:r w:rsidR="0074654B">
        <w:rPr>
          <w:rFonts w:asciiTheme="majorBidi" w:eastAsia="Times New Roman" w:hAnsiTheme="majorBidi" w:cstheme="majorBidi"/>
          <w:sz w:val="24"/>
          <w:szCs w:val="24"/>
          <w:lang w:val="en-US" w:eastAsia="en-GB"/>
        </w:rPr>
        <w:t xml:space="preserve">(weakly) </w:t>
      </w:r>
      <w:r w:rsidR="00A87EA5">
        <w:rPr>
          <w:rFonts w:asciiTheme="majorBidi" w:eastAsia="Times New Roman" w:hAnsiTheme="majorBidi" w:cstheme="majorBidi"/>
          <w:sz w:val="24"/>
          <w:szCs w:val="24"/>
          <w:lang w:val="en-US" w:eastAsia="en-GB"/>
        </w:rPr>
        <w:t>related to age</w:t>
      </w:r>
      <w:r w:rsidR="00DD25C9">
        <w:rPr>
          <w:rFonts w:asciiTheme="majorBidi" w:eastAsia="Times New Roman" w:hAnsiTheme="majorBidi" w:cstheme="majorBidi"/>
          <w:sz w:val="24"/>
          <w:szCs w:val="24"/>
          <w:lang w:val="en-US" w:eastAsia="en-GB"/>
        </w:rPr>
        <w:t xml:space="preserve">. </w:t>
      </w:r>
      <w:r w:rsidR="00A87EA5">
        <w:rPr>
          <w:rFonts w:asciiTheme="majorBidi" w:eastAsia="Times New Roman" w:hAnsiTheme="majorBidi" w:cstheme="majorBidi"/>
          <w:sz w:val="24"/>
          <w:szCs w:val="24"/>
          <w:lang w:val="en-US" w:eastAsia="en-GB"/>
        </w:rPr>
        <w:t>Others</w:t>
      </w:r>
      <w:r w:rsidR="008C6ACF">
        <w:rPr>
          <w:rFonts w:asciiTheme="majorBidi" w:eastAsia="Times New Roman" w:hAnsiTheme="majorBidi" w:cstheme="majorBidi"/>
          <w:sz w:val="24"/>
          <w:szCs w:val="24"/>
          <w:vertAlign w:val="superscript"/>
          <w:lang w:val="en-US" w:eastAsia="en-GB"/>
        </w:rPr>
        <w:t>(1</w:t>
      </w:r>
      <w:r w:rsidR="00F22192">
        <w:rPr>
          <w:rFonts w:asciiTheme="majorBidi" w:eastAsia="Times New Roman" w:hAnsiTheme="majorBidi" w:cstheme="majorBidi"/>
          <w:sz w:val="24"/>
          <w:szCs w:val="24"/>
          <w:vertAlign w:val="superscript"/>
          <w:lang w:val="en-US" w:eastAsia="en-GB"/>
        </w:rPr>
        <w:t>2</w:t>
      </w:r>
      <w:r w:rsidR="008C6ACF">
        <w:rPr>
          <w:rFonts w:asciiTheme="majorBidi" w:eastAsia="Times New Roman" w:hAnsiTheme="majorBidi" w:cstheme="majorBidi"/>
          <w:sz w:val="24"/>
          <w:szCs w:val="24"/>
          <w:vertAlign w:val="superscript"/>
          <w:lang w:val="en-US" w:eastAsia="en-GB"/>
        </w:rPr>
        <w:t>)</w:t>
      </w:r>
      <w:r w:rsidR="00A87EA5">
        <w:rPr>
          <w:rFonts w:asciiTheme="majorBidi" w:eastAsia="Times New Roman" w:hAnsiTheme="majorBidi" w:cstheme="majorBidi"/>
          <w:sz w:val="24"/>
          <w:szCs w:val="24"/>
          <w:lang w:val="en-US" w:eastAsia="en-GB"/>
        </w:rPr>
        <w:t xml:space="preserve"> have found that risk per</w:t>
      </w:r>
      <w:r w:rsidR="00DB1168">
        <w:rPr>
          <w:rFonts w:asciiTheme="majorBidi" w:eastAsia="Times New Roman" w:hAnsiTheme="majorBidi" w:cstheme="majorBidi"/>
          <w:sz w:val="24"/>
          <w:szCs w:val="24"/>
          <w:lang w:val="en-US" w:eastAsia="en-GB"/>
        </w:rPr>
        <w:t xml:space="preserve">ception is associated with male’s likelihood of </w:t>
      </w:r>
      <w:r w:rsidR="00A87EA5">
        <w:rPr>
          <w:rFonts w:asciiTheme="majorBidi" w:eastAsia="Times New Roman" w:hAnsiTheme="majorBidi" w:cstheme="majorBidi"/>
          <w:sz w:val="24"/>
          <w:szCs w:val="24"/>
          <w:lang w:val="en-US" w:eastAsia="en-GB"/>
        </w:rPr>
        <w:t xml:space="preserve">undergoing genetic screening for prostate cancer. </w:t>
      </w:r>
      <w:r w:rsidR="00B66A1A">
        <w:rPr>
          <w:rFonts w:asciiTheme="majorBidi" w:eastAsia="Times New Roman" w:hAnsiTheme="majorBidi" w:cstheme="majorBidi"/>
          <w:sz w:val="24"/>
          <w:szCs w:val="24"/>
          <w:lang w:val="en-US" w:eastAsia="en-GB"/>
        </w:rPr>
        <w:t xml:space="preserve">While </w:t>
      </w:r>
      <w:r w:rsidR="00505986">
        <w:rPr>
          <w:rFonts w:asciiTheme="majorBidi" w:eastAsia="Times New Roman" w:hAnsiTheme="majorBidi" w:cstheme="majorBidi"/>
          <w:sz w:val="24"/>
          <w:szCs w:val="24"/>
          <w:lang w:val="en-US" w:eastAsia="en-GB"/>
        </w:rPr>
        <w:t>increasing cancer screening is crucial, somewhat similar concerns can</w:t>
      </w:r>
      <w:r w:rsidR="00C07472">
        <w:rPr>
          <w:rFonts w:asciiTheme="majorBidi" w:eastAsia="Times New Roman" w:hAnsiTheme="majorBidi" w:cstheme="majorBidi"/>
          <w:sz w:val="24"/>
          <w:szCs w:val="24"/>
          <w:lang w:val="en-US" w:eastAsia="en-GB"/>
        </w:rPr>
        <w:t xml:space="preserve"> be</w:t>
      </w:r>
      <w:r w:rsidR="00505986">
        <w:rPr>
          <w:rFonts w:asciiTheme="majorBidi" w:eastAsia="Times New Roman" w:hAnsiTheme="majorBidi" w:cstheme="majorBidi"/>
          <w:sz w:val="24"/>
          <w:szCs w:val="24"/>
          <w:lang w:val="en-US" w:eastAsia="en-GB"/>
        </w:rPr>
        <w:t xml:space="preserve"> found with </w:t>
      </w:r>
      <w:r w:rsidR="00DB1168">
        <w:rPr>
          <w:rFonts w:asciiTheme="majorBidi" w:eastAsia="Times New Roman" w:hAnsiTheme="majorBidi" w:cstheme="majorBidi"/>
          <w:sz w:val="24"/>
          <w:szCs w:val="24"/>
          <w:lang w:val="en-US" w:eastAsia="en-GB"/>
        </w:rPr>
        <w:t>other medial issues</w:t>
      </w:r>
      <w:r w:rsidR="00B66A1A">
        <w:rPr>
          <w:rFonts w:asciiTheme="majorBidi" w:eastAsia="Times New Roman" w:hAnsiTheme="majorBidi" w:cstheme="majorBidi"/>
          <w:sz w:val="24"/>
          <w:szCs w:val="24"/>
          <w:lang w:val="en-US" w:eastAsia="en-GB"/>
        </w:rPr>
        <w:t>.</w:t>
      </w:r>
      <w:r w:rsidR="00505986">
        <w:rPr>
          <w:rFonts w:asciiTheme="majorBidi" w:eastAsia="Times New Roman" w:hAnsiTheme="majorBidi" w:cstheme="majorBidi"/>
          <w:sz w:val="24"/>
          <w:szCs w:val="24"/>
          <w:lang w:val="en-US" w:eastAsia="en-GB"/>
        </w:rPr>
        <w:t xml:space="preserve"> Previous research has demonstrated that risk perception plays an important role in patients’ perception of disease severity. </w:t>
      </w:r>
      <w:r w:rsidR="00B66A1A">
        <w:rPr>
          <w:rFonts w:asciiTheme="majorBidi" w:eastAsia="Times New Roman" w:hAnsiTheme="majorBidi" w:cstheme="majorBidi"/>
          <w:sz w:val="24"/>
          <w:szCs w:val="24"/>
          <w:lang w:val="en-US" w:eastAsia="en-GB"/>
        </w:rPr>
        <w:t>A comprehensive review</w:t>
      </w:r>
      <w:r w:rsidR="00E250A1">
        <w:rPr>
          <w:rFonts w:asciiTheme="majorBidi" w:eastAsia="Times New Roman" w:hAnsiTheme="majorBidi" w:cstheme="majorBidi"/>
          <w:sz w:val="24"/>
          <w:szCs w:val="24"/>
          <w:vertAlign w:val="superscript"/>
          <w:lang w:val="en-US" w:eastAsia="en-GB"/>
        </w:rPr>
        <w:t>(1</w:t>
      </w:r>
      <w:r w:rsidR="00F22192">
        <w:rPr>
          <w:rFonts w:asciiTheme="majorBidi" w:eastAsia="Times New Roman" w:hAnsiTheme="majorBidi" w:cstheme="majorBidi"/>
          <w:sz w:val="24"/>
          <w:szCs w:val="24"/>
          <w:vertAlign w:val="superscript"/>
          <w:lang w:val="en-US" w:eastAsia="en-GB"/>
        </w:rPr>
        <w:t>3</w:t>
      </w:r>
      <w:r w:rsidR="00E250A1">
        <w:rPr>
          <w:rFonts w:asciiTheme="majorBidi" w:eastAsia="Times New Roman" w:hAnsiTheme="majorBidi" w:cstheme="majorBidi"/>
          <w:sz w:val="24"/>
          <w:szCs w:val="24"/>
          <w:vertAlign w:val="superscript"/>
          <w:lang w:val="en-US" w:eastAsia="en-GB"/>
        </w:rPr>
        <w:t>)</w:t>
      </w:r>
      <w:r w:rsidR="00B66A1A">
        <w:rPr>
          <w:rFonts w:asciiTheme="majorBidi" w:eastAsia="Times New Roman" w:hAnsiTheme="majorBidi" w:cstheme="majorBidi"/>
          <w:sz w:val="24"/>
          <w:szCs w:val="24"/>
          <w:lang w:val="en-US" w:eastAsia="en-GB"/>
        </w:rPr>
        <w:t xml:space="preserve"> has found similar trends with regard to adherence to medication, such that higher risk perception was associated with greater adherence. Furthermore, the review pointed out the need to better understand how patients</w:t>
      </w:r>
      <w:r w:rsidR="00DB1168">
        <w:rPr>
          <w:rFonts w:asciiTheme="majorBidi" w:eastAsia="Times New Roman" w:hAnsiTheme="majorBidi" w:cstheme="majorBidi"/>
          <w:sz w:val="24"/>
          <w:szCs w:val="24"/>
          <w:lang w:val="en-US" w:eastAsia="en-GB"/>
        </w:rPr>
        <w:t>’</w:t>
      </w:r>
      <w:r w:rsidR="00B66A1A">
        <w:rPr>
          <w:rFonts w:asciiTheme="majorBidi" w:eastAsia="Times New Roman" w:hAnsiTheme="majorBidi" w:cstheme="majorBidi"/>
          <w:sz w:val="24"/>
          <w:szCs w:val="24"/>
          <w:lang w:val="en-US" w:eastAsia="en-GB"/>
        </w:rPr>
        <w:t xml:space="preserve"> balance risks and benefits of medication.</w:t>
      </w:r>
      <w:r w:rsidR="00F869CE">
        <w:rPr>
          <w:rFonts w:asciiTheme="majorBidi" w:eastAsia="Times New Roman" w:hAnsiTheme="majorBidi" w:cstheme="majorBidi"/>
          <w:sz w:val="24"/>
          <w:szCs w:val="24"/>
          <w:lang w:val="en-US" w:eastAsia="en-GB"/>
        </w:rPr>
        <w:t xml:space="preserve"> Taken together understa</w:t>
      </w:r>
      <w:r w:rsidR="0074654B">
        <w:rPr>
          <w:rFonts w:asciiTheme="majorBidi" w:eastAsia="Times New Roman" w:hAnsiTheme="majorBidi" w:cstheme="majorBidi"/>
          <w:sz w:val="24"/>
          <w:szCs w:val="24"/>
          <w:lang w:val="en-US" w:eastAsia="en-GB"/>
        </w:rPr>
        <w:t>n</w:t>
      </w:r>
      <w:r w:rsidR="00F869CE">
        <w:rPr>
          <w:rFonts w:asciiTheme="majorBidi" w:eastAsia="Times New Roman" w:hAnsiTheme="majorBidi" w:cstheme="majorBidi"/>
          <w:sz w:val="24"/>
          <w:szCs w:val="24"/>
          <w:lang w:val="en-US" w:eastAsia="en-GB"/>
        </w:rPr>
        <w:t>d</w:t>
      </w:r>
      <w:r w:rsidR="0074654B">
        <w:rPr>
          <w:rFonts w:asciiTheme="majorBidi" w:eastAsia="Times New Roman" w:hAnsiTheme="majorBidi" w:cstheme="majorBidi"/>
          <w:sz w:val="24"/>
          <w:szCs w:val="24"/>
          <w:lang w:val="en-US" w:eastAsia="en-GB"/>
        </w:rPr>
        <w:t>i</w:t>
      </w:r>
      <w:r w:rsidR="00F869CE">
        <w:rPr>
          <w:rFonts w:asciiTheme="majorBidi" w:eastAsia="Times New Roman" w:hAnsiTheme="majorBidi" w:cstheme="majorBidi"/>
          <w:sz w:val="24"/>
          <w:szCs w:val="24"/>
          <w:lang w:val="en-US" w:eastAsia="en-GB"/>
        </w:rPr>
        <w:t xml:space="preserve">ng </w:t>
      </w:r>
      <w:r w:rsidR="00DB1168">
        <w:rPr>
          <w:rFonts w:asciiTheme="majorBidi" w:eastAsia="Times New Roman" w:hAnsiTheme="majorBidi" w:cstheme="majorBidi"/>
          <w:sz w:val="24"/>
          <w:szCs w:val="24"/>
          <w:lang w:val="en-US" w:eastAsia="en-GB"/>
        </w:rPr>
        <w:t xml:space="preserve">how age </w:t>
      </w:r>
      <w:r w:rsidR="00C07472">
        <w:rPr>
          <w:rFonts w:asciiTheme="majorBidi" w:eastAsia="Times New Roman" w:hAnsiTheme="majorBidi" w:cstheme="majorBidi"/>
          <w:sz w:val="24"/>
          <w:szCs w:val="24"/>
          <w:lang w:val="en-US" w:eastAsia="en-GB"/>
        </w:rPr>
        <w:t>a</w:t>
      </w:r>
      <w:r w:rsidR="00F869CE">
        <w:rPr>
          <w:rFonts w:asciiTheme="majorBidi" w:eastAsia="Times New Roman" w:hAnsiTheme="majorBidi" w:cstheme="majorBidi"/>
          <w:sz w:val="24"/>
          <w:szCs w:val="24"/>
          <w:lang w:val="en-US" w:eastAsia="en-GB"/>
        </w:rPr>
        <w:t>ffect</w:t>
      </w:r>
      <w:r w:rsidR="00C07472">
        <w:rPr>
          <w:rFonts w:asciiTheme="majorBidi" w:eastAsia="Times New Roman" w:hAnsiTheme="majorBidi" w:cstheme="majorBidi"/>
          <w:sz w:val="24"/>
          <w:szCs w:val="24"/>
          <w:lang w:val="en-US" w:eastAsia="en-GB"/>
        </w:rPr>
        <w:t>s</w:t>
      </w:r>
      <w:r w:rsidR="00F869CE">
        <w:rPr>
          <w:rFonts w:asciiTheme="majorBidi" w:eastAsia="Times New Roman" w:hAnsiTheme="majorBidi" w:cstheme="majorBidi"/>
          <w:sz w:val="24"/>
          <w:szCs w:val="24"/>
          <w:lang w:val="en-US" w:eastAsia="en-GB"/>
        </w:rPr>
        <w:t xml:space="preserve"> risk attitudes and risk perception in the medical domain has </w:t>
      </w:r>
      <w:r w:rsidR="0074654B">
        <w:rPr>
          <w:rFonts w:asciiTheme="majorBidi" w:eastAsia="Times New Roman" w:hAnsiTheme="majorBidi" w:cstheme="majorBidi"/>
          <w:sz w:val="24"/>
          <w:szCs w:val="24"/>
          <w:lang w:val="en-US" w:eastAsia="en-GB"/>
        </w:rPr>
        <w:t>important</w:t>
      </w:r>
      <w:r w:rsidR="00F869CE">
        <w:rPr>
          <w:rFonts w:asciiTheme="majorBidi" w:eastAsia="Times New Roman" w:hAnsiTheme="majorBidi" w:cstheme="majorBidi"/>
          <w:sz w:val="24"/>
          <w:szCs w:val="24"/>
          <w:lang w:val="en-US" w:eastAsia="en-GB"/>
        </w:rPr>
        <w:t xml:space="preserve"> financial and health implications.  </w:t>
      </w:r>
      <w:r w:rsidR="00B66A1A">
        <w:rPr>
          <w:rFonts w:asciiTheme="majorBidi" w:eastAsia="Times New Roman" w:hAnsiTheme="majorBidi" w:cstheme="majorBidi"/>
          <w:sz w:val="24"/>
          <w:szCs w:val="24"/>
          <w:lang w:val="en-US" w:eastAsia="en-GB"/>
        </w:rPr>
        <w:t xml:space="preserve">    </w:t>
      </w:r>
      <w:r w:rsidR="00A87EA5">
        <w:rPr>
          <w:rFonts w:asciiTheme="majorBidi" w:eastAsia="Times New Roman" w:hAnsiTheme="majorBidi" w:cstheme="majorBidi"/>
          <w:sz w:val="24"/>
          <w:szCs w:val="24"/>
          <w:lang w:val="en-US" w:eastAsia="en-GB"/>
        </w:rPr>
        <w:t xml:space="preserve"> </w:t>
      </w:r>
    </w:p>
    <w:p w14:paraId="56EC76AE" w14:textId="2A72E01A" w:rsidR="00F869CE" w:rsidRDefault="00F869CE" w:rsidP="008B6A9F">
      <w:pPr>
        <w:spacing w:after="0" w:line="480" w:lineRule="auto"/>
        <w:rPr>
          <w:rFonts w:asciiTheme="majorBidi" w:eastAsia="Times New Roman" w:hAnsiTheme="majorBidi" w:cstheme="majorBidi"/>
          <w:sz w:val="24"/>
          <w:szCs w:val="24"/>
          <w:lang w:val="en-US" w:eastAsia="en-GB"/>
        </w:rPr>
      </w:pPr>
      <w:r w:rsidRPr="004D4259">
        <w:rPr>
          <w:rFonts w:asciiTheme="majorBidi" w:eastAsia="Times New Roman" w:hAnsiTheme="majorBidi" w:cstheme="majorBidi"/>
          <w:b/>
          <w:sz w:val="24"/>
          <w:szCs w:val="24"/>
          <w:lang w:val="en-US" w:eastAsia="en-GB"/>
        </w:rPr>
        <w:t>1.3 Risk taking: A question of domain</w:t>
      </w:r>
      <w:r>
        <w:rPr>
          <w:rFonts w:asciiTheme="majorBidi" w:eastAsia="Times New Roman" w:hAnsiTheme="majorBidi" w:cstheme="majorBidi"/>
          <w:sz w:val="24"/>
          <w:szCs w:val="24"/>
          <w:lang w:val="en-US" w:eastAsia="en-GB"/>
        </w:rPr>
        <w:t>.</w:t>
      </w:r>
    </w:p>
    <w:p w14:paraId="66D4327F" w14:textId="153F71C8" w:rsidR="00C5278D" w:rsidRPr="00516108" w:rsidRDefault="001948F8" w:rsidP="00F22192">
      <w:pPr>
        <w:spacing w:after="0" w:line="480" w:lineRule="auto"/>
        <w:ind w:firstLine="720"/>
        <w:rPr>
          <w:rFonts w:asciiTheme="majorBidi" w:eastAsia="Times New Roman" w:hAnsiTheme="majorBidi" w:cstheme="majorBidi"/>
          <w:sz w:val="24"/>
          <w:szCs w:val="24"/>
          <w:lang w:val="en-US" w:eastAsia="en-GB"/>
        </w:rPr>
      </w:pPr>
      <w:r w:rsidRPr="00516108">
        <w:rPr>
          <w:rFonts w:asciiTheme="majorBidi" w:eastAsia="Times New Roman" w:hAnsiTheme="majorBidi" w:cstheme="majorBidi"/>
          <w:sz w:val="24"/>
          <w:szCs w:val="24"/>
          <w:lang w:val="en-US" w:eastAsia="en-GB"/>
        </w:rPr>
        <w:t>D</w:t>
      </w:r>
      <w:r w:rsidR="00635979" w:rsidRPr="00516108">
        <w:rPr>
          <w:rFonts w:asciiTheme="majorBidi" w:eastAsia="Times New Roman" w:hAnsiTheme="majorBidi" w:cstheme="majorBidi"/>
          <w:sz w:val="24"/>
          <w:szCs w:val="24"/>
          <w:lang w:val="en-US" w:eastAsia="en-GB"/>
        </w:rPr>
        <w:t>ating back to the early 1960s, Slovic</w:t>
      </w:r>
      <w:r w:rsidR="00431487">
        <w:rPr>
          <w:rFonts w:asciiTheme="majorBidi" w:eastAsia="Times New Roman" w:hAnsiTheme="majorBidi" w:cstheme="majorBidi"/>
          <w:sz w:val="24"/>
          <w:szCs w:val="24"/>
          <w:vertAlign w:val="superscript"/>
          <w:lang w:val="en-US" w:eastAsia="en-GB"/>
        </w:rPr>
        <w:t>(</w:t>
      </w:r>
      <w:r w:rsidR="00E250A1">
        <w:rPr>
          <w:rFonts w:asciiTheme="majorBidi" w:eastAsia="Times New Roman" w:hAnsiTheme="majorBidi" w:cstheme="majorBidi"/>
          <w:sz w:val="24"/>
          <w:szCs w:val="24"/>
          <w:vertAlign w:val="superscript"/>
          <w:lang w:val="en-US" w:eastAsia="en-GB"/>
        </w:rPr>
        <w:t>1</w:t>
      </w:r>
      <w:r w:rsidR="00F22192">
        <w:rPr>
          <w:rFonts w:asciiTheme="majorBidi" w:eastAsia="Times New Roman" w:hAnsiTheme="majorBidi" w:cstheme="majorBidi"/>
          <w:sz w:val="24"/>
          <w:szCs w:val="24"/>
          <w:vertAlign w:val="superscript"/>
          <w:lang w:val="en-US" w:eastAsia="en-GB"/>
        </w:rPr>
        <w:t>4</w:t>
      </w:r>
      <w:r w:rsidR="00431487">
        <w:rPr>
          <w:rFonts w:asciiTheme="majorBidi" w:eastAsia="Times New Roman" w:hAnsiTheme="majorBidi" w:cstheme="majorBidi"/>
          <w:sz w:val="24"/>
          <w:szCs w:val="24"/>
          <w:vertAlign w:val="superscript"/>
          <w:lang w:val="en-US" w:eastAsia="en-GB"/>
        </w:rPr>
        <w:t>)</w:t>
      </w:r>
      <w:r w:rsidR="00635979" w:rsidRPr="00516108">
        <w:rPr>
          <w:rFonts w:asciiTheme="majorBidi" w:eastAsia="Times New Roman" w:hAnsiTheme="majorBidi" w:cstheme="majorBidi"/>
          <w:sz w:val="24"/>
          <w:szCs w:val="24"/>
          <w:lang w:val="en-US" w:eastAsia="en-GB"/>
        </w:rPr>
        <w:t xml:space="preserve"> </w:t>
      </w:r>
      <w:r w:rsidR="00792294">
        <w:rPr>
          <w:rFonts w:asciiTheme="majorBidi" w:eastAsia="Times New Roman" w:hAnsiTheme="majorBidi" w:cstheme="majorBidi"/>
          <w:sz w:val="24"/>
          <w:szCs w:val="24"/>
          <w:lang w:val="en-US" w:eastAsia="en-GB"/>
        </w:rPr>
        <w:t xml:space="preserve">questioned </w:t>
      </w:r>
      <w:r w:rsidR="000227EF">
        <w:rPr>
          <w:rFonts w:asciiTheme="majorBidi" w:eastAsia="Times New Roman" w:hAnsiTheme="majorBidi" w:cstheme="majorBidi"/>
          <w:sz w:val="24"/>
          <w:szCs w:val="24"/>
          <w:lang w:val="en-US" w:eastAsia="en-GB"/>
        </w:rPr>
        <w:t>the idea that studying a person</w:t>
      </w:r>
      <w:r w:rsidR="000A386B">
        <w:rPr>
          <w:rFonts w:asciiTheme="majorBidi" w:eastAsia="Times New Roman" w:hAnsiTheme="majorBidi" w:cstheme="majorBidi"/>
          <w:sz w:val="24"/>
          <w:szCs w:val="24"/>
          <w:lang w:val="en-US" w:eastAsia="en-GB"/>
        </w:rPr>
        <w:t>’s</w:t>
      </w:r>
      <w:r w:rsidR="000227EF">
        <w:rPr>
          <w:rFonts w:asciiTheme="majorBidi" w:eastAsia="Times New Roman" w:hAnsiTheme="majorBidi" w:cstheme="majorBidi"/>
          <w:sz w:val="24"/>
          <w:szCs w:val="24"/>
          <w:lang w:val="en-US" w:eastAsia="en-GB"/>
        </w:rPr>
        <w:t xml:space="preserve"> financial risk taking </w:t>
      </w:r>
      <w:r w:rsidR="000A386B">
        <w:rPr>
          <w:rFonts w:asciiTheme="majorBidi" w:eastAsia="Times New Roman" w:hAnsiTheme="majorBidi" w:cstheme="majorBidi"/>
          <w:sz w:val="24"/>
          <w:szCs w:val="24"/>
          <w:lang w:val="en-US" w:eastAsia="en-GB"/>
        </w:rPr>
        <w:t xml:space="preserve">was </w:t>
      </w:r>
      <w:r w:rsidR="000227EF">
        <w:rPr>
          <w:rFonts w:asciiTheme="majorBidi" w:eastAsia="Times New Roman" w:hAnsiTheme="majorBidi" w:cstheme="majorBidi"/>
          <w:sz w:val="24"/>
          <w:szCs w:val="24"/>
          <w:lang w:val="en-US" w:eastAsia="en-GB"/>
        </w:rPr>
        <w:t xml:space="preserve">sufficient to predict </w:t>
      </w:r>
      <w:r w:rsidR="000A386B">
        <w:rPr>
          <w:rFonts w:asciiTheme="majorBidi" w:eastAsia="Times New Roman" w:hAnsiTheme="majorBidi" w:cstheme="majorBidi"/>
          <w:sz w:val="24"/>
          <w:szCs w:val="24"/>
          <w:lang w:val="en-US" w:eastAsia="en-GB"/>
        </w:rPr>
        <w:t xml:space="preserve">his or her </w:t>
      </w:r>
      <w:r w:rsidR="000227EF">
        <w:rPr>
          <w:rFonts w:asciiTheme="majorBidi" w:eastAsia="Times New Roman" w:hAnsiTheme="majorBidi" w:cstheme="majorBidi"/>
          <w:sz w:val="24"/>
          <w:szCs w:val="24"/>
          <w:lang w:val="en-US" w:eastAsia="en-GB"/>
        </w:rPr>
        <w:t xml:space="preserve">risk taking </w:t>
      </w:r>
      <w:r w:rsidR="000A386B">
        <w:rPr>
          <w:rFonts w:asciiTheme="majorBidi" w:eastAsia="Times New Roman" w:hAnsiTheme="majorBidi" w:cstheme="majorBidi"/>
          <w:sz w:val="24"/>
          <w:szCs w:val="24"/>
          <w:lang w:val="en-US" w:eastAsia="en-GB"/>
        </w:rPr>
        <w:t>i</w:t>
      </w:r>
      <w:r w:rsidR="000227EF">
        <w:rPr>
          <w:rFonts w:asciiTheme="majorBidi" w:eastAsia="Times New Roman" w:hAnsiTheme="majorBidi" w:cstheme="majorBidi"/>
          <w:sz w:val="24"/>
          <w:szCs w:val="24"/>
          <w:lang w:val="en-US" w:eastAsia="en-GB"/>
        </w:rPr>
        <w:t>n other domains.</w:t>
      </w:r>
      <w:r w:rsidR="00B71538">
        <w:rPr>
          <w:rFonts w:asciiTheme="majorBidi" w:eastAsia="Times New Roman" w:hAnsiTheme="majorBidi" w:cstheme="majorBidi"/>
          <w:sz w:val="24"/>
          <w:szCs w:val="24"/>
          <w:lang w:val="en-US" w:eastAsia="en-GB"/>
        </w:rPr>
        <w:t xml:space="preserve"> </w:t>
      </w:r>
      <w:r w:rsidR="00506291" w:rsidRPr="00516108">
        <w:rPr>
          <w:rFonts w:asciiTheme="majorBidi" w:eastAsia="Times New Roman" w:hAnsiTheme="majorBidi" w:cstheme="majorBidi"/>
          <w:sz w:val="24"/>
          <w:szCs w:val="24"/>
          <w:lang w:val="en-US" w:eastAsia="en-GB"/>
        </w:rPr>
        <w:t xml:space="preserve"> </w:t>
      </w:r>
      <w:r w:rsidR="00792294">
        <w:rPr>
          <w:rFonts w:asciiTheme="majorBidi" w:eastAsia="Times New Roman" w:hAnsiTheme="majorBidi" w:cstheme="majorBidi"/>
          <w:sz w:val="24"/>
          <w:szCs w:val="24"/>
          <w:lang w:val="en-US" w:eastAsia="en-GB"/>
        </w:rPr>
        <w:t>O</w:t>
      </w:r>
      <w:r w:rsidR="005735EB">
        <w:rPr>
          <w:rFonts w:asciiTheme="majorBidi" w:eastAsia="Times New Roman" w:hAnsiTheme="majorBidi" w:cstheme="majorBidi"/>
          <w:sz w:val="24"/>
          <w:szCs w:val="24"/>
          <w:lang w:val="en-US" w:eastAsia="en-GB"/>
        </w:rPr>
        <w:t>ther researchers</w:t>
      </w:r>
      <w:r w:rsidR="00431487">
        <w:rPr>
          <w:rFonts w:asciiTheme="majorBidi" w:eastAsia="Times New Roman" w:hAnsiTheme="majorBidi" w:cstheme="majorBidi"/>
          <w:sz w:val="24"/>
          <w:szCs w:val="24"/>
          <w:vertAlign w:val="superscript"/>
          <w:lang w:val="en-US" w:eastAsia="en-GB"/>
        </w:rPr>
        <w:t>(1</w:t>
      </w:r>
      <w:r w:rsidR="00F22192">
        <w:rPr>
          <w:rFonts w:asciiTheme="majorBidi" w:eastAsia="Times New Roman" w:hAnsiTheme="majorBidi" w:cstheme="majorBidi"/>
          <w:sz w:val="24"/>
          <w:szCs w:val="24"/>
          <w:vertAlign w:val="superscript"/>
          <w:lang w:val="en-US" w:eastAsia="en-GB"/>
        </w:rPr>
        <w:t>5</w:t>
      </w:r>
      <w:r w:rsidR="00431487">
        <w:rPr>
          <w:rFonts w:asciiTheme="majorBidi" w:eastAsia="Times New Roman" w:hAnsiTheme="majorBidi" w:cstheme="majorBidi"/>
          <w:sz w:val="24"/>
          <w:szCs w:val="24"/>
          <w:vertAlign w:val="superscript"/>
          <w:lang w:val="en-US" w:eastAsia="en-GB"/>
        </w:rPr>
        <w:t>)</w:t>
      </w:r>
      <w:r w:rsidR="005735EB">
        <w:rPr>
          <w:rFonts w:asciiTheme="majorBidi" w:eastAsia="Times New Roman" w:hAnsiTheme="majorBidi" w:cstheme="majorBidi"/>
          <w:sz w:val="24"/>
          <w:szCs w:val="24"/>
          <w:lang w:val="en-US" w:eastAsia="en-GB"/>
        </w:rPr>
        <w:t xml:space="preserve"> </w:t>
      </w:r>
      <w:r w:rsidR="00BD4515" w:rsidRPr="00516108">
        <w:rPr>
          <w:rFonts w:asciiTheme="majorBidi" w:eastAsia="Times New Roman" w:hAnsiTheme="majorBidi" w:cstheme="majorBidi"/>
          <w:sz w:val="24"/>
          <w:szCs w:val="24"/>
          <w:lang w:val="en-US" w:eastAsia="en-GB"/>
        </w:rPr>
        <w:t>ha</w:t>
      </w:r>
      <w:r w:rsidR="00506291" w:rsidRPr="00516108">
        <w:rPr>
          <w:rFonts w:asciiTheme="majorBidi" w:eastAsia="Times New Roman" w:hAnsiTheme="majorBidi" w:cstheme="majorBidi"/>
          <w:sz w:val="24"/>
          <w:szCs w:val="24"/>
          <w:lang w:val="en-US" w:eastAsia="en-GB"/>
        </w:rPr>
        <w:t>ve</w:t>
      </w:r>
      <w:r w:rsidR="00BD4515" w:rsidRPr="00516108">
        <w:rPr>
          <w:rFonts w:asciiTheme="majorBidi" w:eastAsia="Times New Roman" w:hAnsiTheme="majorBidi" w:cstheme="majorBidi"/>
          <w:sz w:val="24"/>
          <w:szCs w:val="24"/>
          <w:lang w:val="en-US" w:eastAsia="en-GB"/>
        </w:rPr>
        <w:t xml:space="preserve"> </w:t>
      </w:r>
      <w:r w:rsidR="00506291" w:rsidRPr="00516108">
        <w:rPr>
          <w:rFonts w:asciiTheme="majorBidi" w:eastAsia="Times New Roman" w:hAnsiTheme="majorBidi" w:cstheme="majorBidi"/>
          <w:sz w:val="24"/>
          <w:szCs w:val="24"/>
          <w:lang w:val="en-US" w:eastAsia="en-GB"/>
        </w:rPr>
        <w:t xml:space="preserve">provided empirical evidence to further substantiate the idea that </w:t>
      </w:r>
      <w:r w:rsidR="00DB1168">
        <w:rPr>
          <w:rFonts w:asciiTheme="majorBidi" w:eastAsia="Times New Roman" w:hAnsiTheme="majorBidi" w:cstheme="majorBidi"/>
          <w:sz w:val="24"/>
          <w:szCs w:val="24"/>
          <w:lang w:val="en-US" w:eastAsia="en-GB"/>
        </w:rPr>
        <w:t>we need to examine more than one risk domain</w:t>
      </w:r>
      <w:r w:rsidR="0006044E">
        <w:rPr>
          <w:rFonts w:asciiTheme="majorBidi" w:eastAsia="Times New Roman" w:hAnsiTheme="majorBidi" w:cstheme="majorBidi"/>
          <w:sz w:val="24"/>
          <w:szCs w:val="24"/>
          <w:lang w:val="en-US" w:eastAsia="en-GB"/>
        </w:rPr>
        <w:t>, while others</w:t>
      </w:r>
      <w:r w:rsidR="0006044E">
        <w:rPr>
          <w:rFonts w:asciiTheme="majorBidi" w:eastAsia="Times New Roman" w:hAnsiTheme="majorBidi" w:cstheme="majorBidi"/>
          <w:sz w:val="24"/>
          <w:szCs w:val="24"/>
          <w:vertAlign w:val="superscript"/>
          <w:lang w:val="en-US" w:eastAsia="en-GB"/>
        </w:rPr>
        <w:t>(1</w:t>
      </w:r>
      <w:r w:rsidR="00F22192">
        <w:rPr>
          <w:rFonts w:asciiTheme="majorBidi" w:eastAsia="Times New Roman" w:hAnsiTheme="majorBidi" w:cstheme="majorBidi"/>
          <w:sz w:val="24"/>
          <w:szCs w:val="24"/>
          <w:vertAlign w:val="superscript"/>
          <w:lang w:val="en-US" w:eastAsia="en-GB"/>
        </w:rPr>
        <w:t>6</w:t>
      </w:r>
      <w:r w:rsidR="0006044E">
        <w:rPr>
          <w:rFonts w:asciiTheme="majorBidi" w:eastAsia="Times New Roman" w:hAnsiTheme="majorBidi" w:cstheme="majorBidi"/>
          <w:sz w:val="24"/>
          <w:szCs w:val="24"/>
          <w:vertAlign w:val="superscript"/>
          <w:lang w:val="en-US" w:eastAsia="en-GB"/>
        </w:rPr>
        <w:t>)</w:t>
      </w:r>
      <w:r w:rsidR="0006044E">
        <w:rPr>
          <w:rFonts w:asciiTheme="majorBidi" w:eastAsia="Times New Roman" w:hAnsiTheme="majorBidi" w:cstheme="majorBidi"/>
          <w:sz w:val="24"/>
          <w:szCs w:val="24"/>
          <w:lang w:val="en-US" w:eastAsia="en-GB"/>
        </w:rPr>
        <w:t xml:space="preserve"> have argued that while domain specific framework is useful </w:t>
      </w:r>
      <w:r w:rsidR="0006044E">
        <w:rPr>
          <w:rFonts w:asciiTheme="majorBidi" w:eastAsia="Times New Roman" w:hAnsiTheme="majorBidi" w:cstheme="majorBidi"/>
          <w:sz w:val="24"/>
          <w:szCs w:val="24"/>
          <w:vertAlign w:val="superscript"/>
          <w:lang w:val="en-US" w:eastAsia="en-GB"/>
        </w:rPr>
        <w:t xml:space="preserve"> </w:t>
      </w:r>
      <w:r w:rsidR="0006044E" w:rsidRPr="0006044E">
        <w:rPr>
          <w:rFonts w:asciiTheme="majorBidi" w:eastAsia="Times New Roman" w:hAnsiTheme="majorBidi" w:cstheme="majorBidi"/>
          <w:sz w:val="24"/>
          <w:szCs w:val="24"/>
          <w:lang w:val="en-US" w:eastAsia="en-GB"/>
        </w:rPr>
        <w:t>there</w:t>
      </w:r>
      <w:r w:rsidR="0006044E">
        <w:rPr>
          <w:rFonts w:asciiTheme="majorBidi" w:eastAsia="Times New Roman" w:hAnsiTheme="majorBidi" w:cstheme="majorBidi"/>
          <w:sz w:val="24"/>
          <w:szCs w:val="24"/>
          <w:lang w:val="en-US" w:eastAsia="en-GB"/>
        </w:rPr>
        <w:t xml:space="preserve"> </w:t>
      </w:r>
      <w:r w:rsidR="0006044E" w:rsidRPr="0006044E">
        <w:rPr>
          <w:rFonts w:asciiTheme="majorBidi" w:eastAsia="Times New Roman" w:hAnsiTheme="majorBidi" w:cstheme="majorBidi"/>
          <w:sz w:val="24"/>
          <w:szCs w:val="24"/>
          <w:lang w:val="en-US" w:eastAsia="en-GB"/>
        </w:rPr>
        <w:t>is still a scope for a general risk taking disposition</w:t>
      </w:r>
      <w:r w:rsidR="0006044E">
        <w:rPr>
          <w:rFonts w:asciiTheme="majorBidi" w:eastAsia="Times New Roman" w:hAnsiTheme="majorBidi" w:cstheme="majorBidi"/>
          <w:sz w:val="24"/>
          <w:szCs w:val="24"/>
          <w:lang w:val="en-US" w:eastAsia="en-GB"/>
        </w:rPr>
        <w:t xml:space="preserve">. </w:t>
      </w:r>
      <w:r w:rsidR="004445CE">
        <w:rPr>
          <w:rFonts w:asciiTheme="majorBidi" w:eastAsia="Times New Roman" w:hAnsiTheme="majorBidi" w:cstheme="majorBidi"/>
          <w:sz w:val="24"/>
          <w:szCs w:val="24"/>
          <w:lang w:val="en-US" w:eastAsia="en-GB"/>
        </w:rPr>
        <w:t>One study</w:t>
      </w:r>
      <w:r w:rsidR="00731D6E">
        <w:rPr>
          <w:rFonts w:asciiTheme="majorBidi" w:eastAsia="Times New Roman" w:hAnsiTheme="majorBidi" w:cstheme="majorBidi"/>
          <w:sz w:val="24"/>
          <w:szCs w:val="24"/>
          <w:vertAlign w:val="superscript"/>
          <w:lang w:val="en-US" w:eastAsia="en-GB"/>
        </w:rPr>
        <w:t>(1</w:t>
      </w:r>
      <w:r w:rsidR="00F22192">
        <w:rPr>
          <w:rFonts w:asciiTheme="majorBidi" w:eastAsia="Times New Roman" w:hAnsiTheme="majorBidi" w:cstheme="majorBidi"/>
          <w:sz w:val="24"/>
          <w:szCs w:val="24"/>
          <w:vertAlign w:val="superscript"/>
          <w:lang w:val="en-US" w:eastAsia="en-GB"/>
        </w:rPr>
        <w:t>7</w:t>
      </w:r>
      <w:r w:rsidR="00731D6E">
        <w:rPr>
          <w:rFonts w:asciiTheme="majorBidi" w:eastAsia="Times New Roman" w:hAnsiTheme="majorBidi" w:cstheme="majorBidi"/>
          <w:sz w:val="24"/>
          <w:szCs w:val="24"/>
          <w:vertAlign w:val="superscript"/>
          <w:lang w:val="en-US" w:eastAsia="en-GB"/>
        </w:rPr>
        <w:t xml:space="preserve">) </w:t>
      </w:r>
      <w:r w:rsidR="004445CE">
        <w:rPr>
          <w:rFonts w:asciiTheme="majorBidi" w:eastAsia="Times New Roman" w:hAnsiTheme="majorBidi" w:cstheme="majorBidi"/>
          <w:sz w:val="24"/>
          <w:szCs w:val="24"/>
          <w:lang w:val="en-US" w:eastAsia="en-GB"/>
        </w:rPr>
        <w:t xml:space="preserve"> </w:t>
      </w:r>
      <w:r w:rsidR="00C13E1B">
        <w:rPr>
          <w:rFonts w:asciiTheme="majorBidi" w:eastAsia="Times New Roman" w:hAnsiTheme="majorBidi" w:cstheme="majorBidi"/>
          <w:sz w:val="24"/>
          <w:szCs w:val="24"/>
          <w:lang w:val="en-US" w:eastAsia="en-GB"/>
        </w:rPr>
        <w:t>found that gender differences are not consisted across risk domains</w:t>
      </w:r>
      <w:r w:rsidR="00FF7BEE">
        <w:rPr>
          <w:rFonts w:asciiTheme="majorBidi" w:eastAsia="Times New Roman" w:hAnsiTheme="majorBidi" w:cstheme="majorBidi"/>
          <w:sz w:val="24"/>
          <w:szCs w:val="24"/>
          <w:lang w:val="en-US" w:eastAsia="en-GB"/>
        </w:rPr>
        <w:t xml:space="preserve">. </w:t>
      </w:r>
      <w:r w:rsidR="00C13E1B">
        <w:rPr>
          <w:rFonts w:asciiTheme="majorBidi" w:eastAsia="Times New Roman" w:hAnsiTheme="majorBidi" w:cstheme="majorBidi"/>
          <w:sz w:val="24"/>
          <w:szCs w:val="24"/>
          <w:lang w:val="en-US" w:eastAsia="en-GB"/>
        </w:rPr>
        <w:t xml:space="preserve">They also reported that </w:t>
      </w:r>
      <w:r w:rsidR="00C13E1B" w:rsidRPr="00C13E1B">
        <w:rPr>
          <w:rFonts w:asciiTheme="majorBidi" w:hAnsiTheme="majorBidi" w:cstheme="majorBidi"/>
          <w:sz w:val="24"/>
          <w:szCs w:val="24"/>
        </w:rPr>
        <w:t>gender differences in some domains result from gender differences in risk perception (either likelihood or severity), not risk attitude.</w:t>
      </w:r>
      <w:r w:rsidR="007A5C56">
        <w:rPr>
          <w:rFonts w:asciiTheme="majorBidi" w:hAnsiTheme="majorBidi" w:cstheme="majorBidi"/>
          <w:sz w:val="24"/>
          <w:szCs w:val="24"/>
        </w:rPr>
        <w:t xml:space="preserve"> </w:t>
      </w:r>
      <w:r w:rsidR="00C07472">
        <w:rPr>
          <w:rFonts w:asciiTheme="majorBidi" w:eastAsia="Times New Roman" w:hAnsiTheme="majorBidi" w:cstheme="majorBidi"/>
          <w:sz w:val="24"/>
          <w:szCs w:val="24"/>
          <w:lang w:val="en-US" w:eastAsia="en-GB"/>
        </w:rPr>
        <w:t xml:space="preserve">Other </w:t>
      </w:r>
      <w:r w:rsidR="005735EB">
        <w:rPr>
          <w:rFonts w:asciiTheme="majorBidi" w:eastAsia="Times New Roman" w:hAnsiTheme="majorBidi" w:cstheme="majorBidi"/>
          <w:sz w:val="24"/>
          <w:szCs w:val="24"/>
          <w:lang w:val="en-US" w:eastAsia="en-GB"/>
        </w:rPr>
        <w:t>work</w:t>
      </w:r>
      <w:r w:rsidR="00431487">
        <w:rPr>
          <w:rFonts w:asciiTheme="majorBidi" w:eastAsia="Times New Roman" w:hAnsiTheme="majorBidi" w:cstheme="majorBidi"/>
          <w:sz w:val="24"/>
          <w:szCs w:val="24"/>
          <w:vertAlign w:val="superscript"/>
          <w:lang w:val="en-US" w:eastAsia="en-GB"/>
        </w:rPr>
        <w:t>(</w:t>
      </w:r>
      <w:r w:rsidR="005735EB">
        <w:rPr>
          <w:rFonts w:asciiTheme="majorBidi" w:eastAsia="Times New Roman" w:hAnsiTheme="majorBidi" w:cstheme="majorBidi"/>
          <w:sz w:val="24"/>
          <w:szCs w:val="24"/>
          <w:vertAlign w:val="superscript"/>
          <w:lang w:val="en-US" w:eastAsia="en-GB"/>
        </w:rPr>
        <w:t>1</w:t>
      </w:r>
      <w:r w:rsidR="00F22192">
        <w:rPr>
          <w:rFonts w:asciiTheme="majorBidi" w:eastAsia="Times New Roman" w:hAnsiTheme="majorBidi" w:cstheme="majorBidi"/>
          <w:sz w:val="24"/>
          <w:szCs w:val="24"/>
          <w:vertAlign w:val="superscript"/>
          <w:lang w:val="en-US" w:eastAsia="en-GB"/>
        </w:rPr>
        <w:t>8</w:t>
      </w:r>
      <w:r w:rsidR="00431487">
        <w:rPr>
          <w:rFonts w:asciiTheme="majorBidi" w:eastAsia="Times New Roman" w:hAnsiTheme="majorBidi" w:cstheme="majorBidi"/>
          <w:sz w:val="24"/>
          <w:szCs w:val="24"/>
          <w:vertAlign w:val="superscript"/>
          <w:lang w:val="en-US" w:eastAsia="en-GB"/>
        </w:rPr>
        <w:t>)</w:t>
      </w:r>
      <w:r w:rsidR="00EE3CE7" w:rsidRPr="00516108">
        <w:rPr>
          <w:rFonts w:asciiTheme="majorBidi" w:eastAsia="Times New Roman" w:hAnsiTheme="majorBidi" w:cstheme="majorBidi"/>
          <w:sz w:val="24"/>
          <w:szCs w:val="24"/>
          <w:lang w:val="en-US" w:eastAsia="en-GB"/>
        </w:rPr>
        <w:t xml:space="preserve"> </w:t>
      </w:r>
      <w:r w:rsidR="00506291" w:rsidRPr="00516108">
        <w:rPr>
          <w:rFonts w:asciiTheme="majorBidi" w:eastAsia="Times New Roman" w:hAnsiTheme="majorBidi" w:cstheme="majorBidi"/>
          <w:sz w:val="24"/>
          <w:szCs w:val="24"/>
          <w:lang w:val="en-US" w:eastAsia="en-GB"/>
        </w:rPr>
        <w:t>examine</w:t>
      </w:r>
      <w:r w:rsidR="00EE3CE7" w:rsidRPr="00516108">
        <w:rPr>
          <w:rFonts w:asciiTheme="majorBidi" w:eastAsia="Times New Roman" w:hAnsiTheme="majorBidi" w:cstheme="majorBidi"/>
          <w:sz w:val="24"/>
          <w:szCs w:val="24"/>
          <w:lang w:val="en-US" w:eastAsia="en-GB"/>
        </w:rPr>
        <w:t>d</w:t>
      </w:r>
      <w:r w:rsidR="00506291" w:rsidRPr="00516108">
        <w:rPr>
          <w:rFonts w:asciiTheme="majorBidi" w:eastAsia="Times New Roman" w:hAnsiTheme="majorBidi" w:cstheme="majorBidi"/>
          <w:sz w:val="24"/>
          <w:szCs w:val="24"/>
          <w:lang w:val="en-US" w:eastAsia="en-GB"/>
        </w:rPr>
        <w:t xml:space="preserve"> </w:t>
      </w:r>
      <w:r w:rsidR="0097551F" w:rsidRPr="00516108">
        <w:rPr>
          <w:rFonts w:asciiTheme="majorBidi" w:eastAsia="Times New Roman" w:hAnsiTheme="majorBidi" w:cstheme="majorBidi"/>
          <w:sz w:val="24"/>
          <w:szCs w:val="24"/>
          <w:lang w:val="en-US" w:eastAsia="en-GB"/>
        </w:rPr>
        <w:t xml:space="preserve">adult </w:t>
      </w:r>
      <w:r w:rsidR="00163B52" w:rsidRPr="00516108">
        <w:rPr>
          <w:rFonts w:asciiTheme="majorBidi" w:eastAsia="Times New Roman" w:hAnsiTheme="majorBidi" w:cstheme="majorBidi"/>
          <w:sz w:val="24"/>
          <w:szCs w:val="24"/>
          <w:lang w:val="en-US" w:eastAsia="en-GB"/>
        </w:rPr>
        <w:t xml:space="preserve">age-related </w:t>
      </w:r>
      <w:r w:rsidR="0097551F" w:rsidRPr="00516108">
        <w:rPr>
          <w:rFonts w:asciiTheme="majorBidi" w:eastAsia="Times New Roman" w:hAnsiTheme="majorBidi" w:cstheme="majorBidi"/>
          <w:sz w:val="24"/>
          <w:szCs w:val="24"/>
          <w:lang w:val="en-US" w:eastAsia="en-GB"/>
        </w:rPr>
        <w:t xml:space="preserve">differences </w:t>
      </w:r>
      <w:r w:rsidR="00506291" w:rsidRPr="00516108">
        <w:rPr>
          <w:rFonts w:asciiTheme="majorBidi" w:eastAsia="Times New Roman" w:hAnsiTheme="majorBidi" w:cstheme="majorBidi"/>
          <w:sz w:val="24"/>
          <w:szCs w:val="24"/>
          <w:lang w:val="en-US" w:eastAsia="en-GB"/>
        </w:rPr>
        <w:t xml:space="preserve">across five </w:t>
      </w:r>
      <w:r w:rsidR="00944F18" w:rsidRPr="00516108">
        <w:rPr>
          <w:rFonts w:asciiTheme="majorBidi" w:eastAsia="Times New Roman" w:hAnsiTheme="majorBidi" w:cstheme="majorBidi"/>
          <w:sz w:val="24"/>
          <w:szCs w:val="24"/>
          <w:lang w:val="en-US" w:eastAsia="en-GB"/>
        </w:rPr>
        <w:t xml:space="preserve">different </w:t>
      </w:r>
      <w:r w:rsidR="00506291" w:rsidRPr="00516108">
        <w:rPr>
          <w:rFonts w:asciiTheme="majorBidi" w:eastAsia="Times New Roman" w:hAnsiTheme="majorBidi" w:cstheme="majorBidi"/>
          <w:sz w:val="24"/>
          <w:szCs w:val="24"/>
          <w:lang w:val="en-US" w:eastAsia="en-GB"/>
        </w:rPr>
        <w:t>risk</w:t>
      </w:r>
      <w:r w:rsidR="00105BFE" w:rsidRPr="00516108">
        <w:rPr>
          <w:rFonts w:asciiTheme="majorBidi" w:eastAsia="Times New Roman" w:hAnsiTheme="majorBidi" w:cstheme="majorBidi"/>
          <w:sz w:val="24"/>
          <w:szCs w:val="24"/>
          <w:lang w:val="en-US" w:eastAsia="en-GB"/>
        </w:rPr>
        <w:t>-</w:t>
      </w:r>
      <w:r w:rsidR="00251218" w:rsidRPr="00516108">
        <w:rPr>
          <w:rFonts w:asciiTheme="majorBidi" w:eastAsia="Times New Roman" w:hAnsiTheme="majorBidi" w:cstheme="majorBidi"/>
          <w:sz w:val="24"/>
          <w:szCs w:val="24"/>
          <w:lang w:val="en-US" w:eastAsia="en-GB"/>
        </w:rPr>
        <w:t>taking</w:t>
      </w:r>
      <w:r w:rsidR="00506291" w:rsidRPr="00516108">
        <w:rPr>
          <w:rFonts w:asciiTheme="majorBidi" w:eastAsia="Times New Roman" w:hAnsiTheme="majorBidi" w:cstheme="majorBidi"/>
          <w:sz w:val="24"/>
          <w:szCs w:val="24"/>
          <w:lang w:val="en-US" w:eastAsia="en-GB"/>
        </w:rPr>
        <w:t xml:space="preserve"> domains</w:t>
      </w:r>
      <w:r w:rsidR="000A386B">
        <w:rPr>
          <w:rFonts w:asciiTheme="majorBidi" w:eastAsia="Times New Roman" w:hAnsiTheme="majorBidi" w:cstheme="majorBidi"/>
          <w:sz w:val="24"/>
          <w:szCs w:val="24"/>
          <w:lang w:val="en-US" w:eastAsia="en-GB"/>
        </w:rPr>
        <w:t>, u</w:t>
      </w:r>
      <w:r w:rsidR="00506291" w:rsidRPr="00516108">
        <w:rPr>
          <w:rFonts w:asciiTheme="majorBidi" w:eastAsia="Times New Roman" w:hAnsiTheme="majorBidi" w:cstheme="majorBidi"/>
          <w:sz w:val="24"/>
          <w:szCs w:val="24"/>
          <w:lang w:val="en-US" w:eastAsia="en-GB"/>
        </w:rPr>
        <w:t xml:space="preserve">sing the </w:t>
      </w:r>
      <w:r w:rsidR="000142A7" w:rsidRPr="003B2604">
        <w:rPr>
          <w:rFonts w:ascii="Times New Roman" w:hAnsi="Times New Roman" w:cs="Times New Roman"/>
          <w:color w:val="000000"/>
          <w:sz w:val="24"/>
          <w:szCs w:val="24"/>
        </w:rPr>
        <w:t>Do</w:t>
      </w:r>
      <w:r w:rsidR="000142A7" w:rsidRPr="002E066A">
        <w:rPr>
          <w:rFonts w:ascii="Times New Roman" w:hAnsi="Times New Roman" w:cs="Times New Roman"/>
          <w:color w:val="000000"/>
          <w:sz w:val="24"/>
          <w:szCs w:val="24"/>
        </w:rPr>
        <w:t>main-</w:t>
      </w:r>
      <w:r w:rsidR="000142A7" w:rsidRPr="003B2604">
        <w:rPr>
          <w:rFonts w:ascii="Times New Roman" w:hAnsi="Times New Roman" w:cs="Times New Roman"/>
          <w:color w:val="000000"/>
          <w:sz w:val="24"/>
          <w:szCs w:val="24"/>
        </w:rPr>
        <w:t>S</w:t>
      </w:r>
      <w:r w:rsidR="000142A7" w:rsidRPr="002E066A">
        <w:rPr>
          <w:rFonts w:ascii="Times New Roman" w:hAnsi="Times New Roman" w:cs="Times New Roman"/>
          <w:color w:val="000000"/>
          <w:sz w:val="24"/>
          <w:szCs w:val="24"/>
        </w:rPr>
        <w:t xml:space="preserve">pecific </w:t>
      </w:r>
      <w:r w:rsidR="000142A7" w:rsidRPr="003B2604">
        <w:rPr>
          <w:rFonts w:ascii="Times New Roman" w:hAnsi="Times New Roman" w:cs="Times New Roman"/>
          <w:color w:val="000000"/>
          <w:sz w:val="24"/>
          <w:szCs w:val="24"/>
        </w:rPr>
        <w:t>R</w:t>
      </w:r>
      <w:r w:rsidR="000142A7" w:rsidRPr="002E066A">
        <w:rPr>
          <w:rFonts w:ascii="Times New Roman" w:hAnsi="Times New Roman" w:cs="Times New Roman"/>
          <w:color w:val="000000"/>
          <w:sz w:val="24"/>
          <w:szCs w:val="24"/>
        </w:rPr>
        <w:t>isk</w:t>
      </w:r>
      <w:r w:rsidR="000142A7">
        <w:rPr>
          <w:rFonts w:ascii="Times New Roman" w:hAnsi="Times New Roman" w:cs="Times New Roman"/>
          <w:color w:val="000000"/>
          <w:sz w:val="24"/>
          <w:szCs w:val="24"/>
        </w:rPr>
        <w:t>-</w:t>
      </w:r>
      <w:r w:rsidR="000142A7" w:rsidRPr="003B2604">
        <w:rPr>
          <w:rFonts w:ascii="Times New Roman" w:hAnsi="Times New Roman" w:cs="Times New Roman"/>
          <w:color w:val="000000"/>
          <w:sz w:val="24"/>
          <w:szCs w:val="24"/>
        </w:rPr>
        <w:t>T</w:t>
      </w:r>
      <w:r w:rsidR="000142A7" w:rsidRPr="002E066A">
        <w:rPr>
          <w:rFonts w:ascii="Times New Roman" w:hAnsi="Times New Roman" w:cs="Times New Roman"/>
          <w:color w:val="000000"/>
          <w:sz w:val="24"/>
          <w:szCs w:val="24"/>
        </w:rPr>
        <w:t xml:space="preserve">aking </w:t>
      </w:r>
      <w:r w:rsidR="000142A7" w:rsidRPr="003B2604">
        <w:rPr>
          <w:rFonts w:ascii="Times New Roman" w:hAnsi="Times New Roman" w:cs="Times New Roman"/>
          <w:color w:val="000000"/>
          <w:sz w:val="24"/>
          <w:szCs w:val="24"/>
        </w:rPr>
        <w:t>S</w:t>
      </w:r>
      <w:r w:rsidR="000142A7" w:rsidRPr="002E066A">
        <w:rPr>
          <w:rFonts w:ascii="Times New Roman" w:hAnsi="Times New Roman" w:cs="Times New Roman"/>
          <w:color w:val="000000"/>
          <w:sz w:val="24"/>
          <w:szCs w:val="24"/>
        </w:rPr>
        <w:t>cale</w:t>
      </w:r>
      <w:r w:rsidR="000142A7" w:rsidRPr="00516108">
        <w:rPr>
          <w:rFonts w:asciiTheme="majorBidi" w:eastAsia="Times New Roman" w:hAnsiTheme="majorBidi" w:cstheme="majorBidi"/>
          <w:sz w:val="24"/>
          <w:szCs w:val="24"/>
          <w:lang w:val="en-US" w:eastAsia="en-GB"/>
        </w:rPr>
        <w:t xml:space="preserve"> </w:t>
      </w:r>
      <w:r w:rsidR="000142A7">
        <w:rPr>
          <w:rFonts w:asciiTheme="majorBidi" w:eastAsia="Times New Roman" w:hAnsiTheme="majorBidi" w:cstheme="majorBidi"/>
          <w:sz w:val="24"/>
          <w:szCs w:val="24"/>
          <w:lang w:val="en-US" w:eastAsia="en-GB"/>
        </w:rPr>
        <w:t>(</w:t>
      </w:r>
      <w:r w:rsidR="00506291" w:rsidRPr="00516108">
        <w:rPr>
          <w:rFonts w:asciiTheme="majorBidi" w:eastAsia="Times New Roman" w:hAnsiTheme="majorBidi" w:cstheme="majorBidi"/>
          <w:sz w:val="24"/>
          <w:szCs w:val="24"/>
          <w:lang w:val="en-US" w:eastAsia="en-GB"/>
        </w:rPr>
        <w:t>DOSPERT</w:t>
      </w:r>
      <w:r w:rsidR="000142A7">
        <w:rPr>
          <w:rFonts w:asciiTheme="majorBidi" w:eastAsia="Times New Roman" w:hAnsiTheme="majorBidi" w:cstheme="majorBidi"/>
          <w:sz w:val="24"/>
          <w:szCs w:val="24"/>
          <w:lang w:val="en-US" w:eastAsia="en-GB"/>
        </w:rPr>
        <w:t>)</w:t>
      </w:r>
      <w:r w:rsidR="00431487">
        <w:rPr>
          <w:rFonts w:asciiTheme="majorBidi" w:eastAsia="Times New Roman" w:hAnsiTheme="majorBidi" w:cstheme="majorBidi"/>
          <w:sz w:val="24"/>
          <w:szCs w:val="24"/>
          <w:vertAlign w:val="superscript"/>
          <w:lang w:val="en-US" w:eastAsia="en-GB"/>
        </w:rPr>
        <w:t>(1</w:t>
      </w:r>
      <w:r w:rsidR="00F22192">
        <w:rPr>
          <w:rFonts w:asciiTheme="majorBidi" w:eastAsia="Times New Roman" w:hAnsiTheme="majorBidi" w:cstheme="majorBidi"/>
          <w:sz w:val="24"/>
          <w:szCs w:val="24"/>
          <w:vertAlign w:val="superscript"/>
          <w:lang w:val="en-US" w:eastAsia="en-GB"/>
        </w:rPr>
        <w:t>9</w:t>
      </w:r>
      <w:r w:rsidR="00431487">
        <w:rPr>
          <w:rFonts w:asciiTheme="majorBidi" w:eastAsia="Times New Roman" w:hAnsiTheme="majorBidi" w:cstheme="majorBidi"/>
          <w:sz w:val="24"/>
          <w:szCs w:val="24"/>
          <w:vertAlign w:val="superscript"/>
          <w:lang w:val="en-US" w:eastAsia="en-GB"/>
        </w:rPr>
        <w:t>)</w:t>
      </w:r>
      <w:r w:rsidR="000A386B">
        <w:rPr>
          <w:rFonts w:asciiTheme="majorBidi" w:eastAsia="Times New Roman" w:hAnsiTheme="majorBidi" w:cstheme="majorBidi"/>
          <w:sz w:val="24"/>
          <w:szCs w:val="24"/>
          <w:vertAlign w:val="superscript"/>
          <w:lang w:val="en-US" w:eastAsia="en-GB"/>
        </w:rPr>
        <w:t>.</w:t>
      </w:r>
      <w:r w:rsidR="00262BC8">
        <w:rPr>
          <w:rFonts w:asciiTheme="majorBidi" w:eastAsia="Times New Roman" w:hAnsiTheme="majorBidi" w:cstheme="majorBidi"/>
          <w:sz w:val="24"/>
          <w:szCs w:val="24"/>
          <w:lang w:val="en-US" w:eastAsia="en-GB"/>
        </w:rPr>
        <w:t xml:space="preserve"> </w:t>
      </w:r>
      <w:r w:rsidR="00982905">
        <w:rPr>
          <w:rFonts w:asciiTheme="majorBidi" w:eastAsia="Times New Roman" w:hAnsiTheme="majorBidi" w:cstheme="majorBidi"/>
          <w:sz w:val="24"/>
          <w:szCs w:val="24"/>
          <w:lang w:val="en-US" w:eastAsia="en-GB"/>
        </w:rPr>
        <w:t xml:space="preserve"> Although</w:t>
      </w:r>
      <w:r w:rsidR="005735EB">
        <w:rPr>
          <w:rFonts w:asciiTheme="majorBidi" w:eastAsia="Times New Roman" w:hAnsiTheme="majorBidi" w:cstheme="majorBidi"/>
          <w:sz w:val="24"/>
          <w:szCs w:val="24"/>
          <w:lang w:val="en-US" w:eastAsia="en-GB"/>
        </w:rPr>
        <w:t xml:space="preserve"> </w:t>
      </w:r>
      <w:r w:rsidR="00506291" w:rsidRPr="00516108">
        <w:rPr>
          <w:rFonts w:asciiTheme="majorBidi" w:eastAsia="Times New Roman" w:hAnsiTheme="majorBidi" w:cstheme="majorBidi"/>
          <w:sz w:val="24"/>
          <w:szCs w:val="24"/>
          <w:lang w:val="en-US" w:eastAsia="en-GB"/>
        </w:rPr>
        <w:t xml:space="preserve">risk taking </w:t>
      </w:r>
      <w:r w:rsidR="00F9352C">
        <w:rPr>
          <w:rFonts w:asciiTheme="majorBidi" w:eastAsia="Times New Roman" w:hAnsiTheme="majorBidi" w:cstheme="majorBidi"/>
          <w:sz w:val="24"/>
          <w:szCs w:val="24"/>
          <w:lang w:val="en-US" w:eastAsia="en-GB"/>
        </w:rPr>
        <w:t xml:space="preserve">in the different domains was correlated, it </w:t>
      </w:r>
      <w:r w:rsidR="00506291" w:rsidRPr="00516108">
        <w:rPr>
          <w:rFonts w:asciiTheme="majorBidi" w:eastAsia="Times New Roman" w:hAnsiTheme="majorBidi" w:cstheme="majorBidi"/>
          <w:sz w:val="24"/>
          <w:szCs w:val="24"/>
          <w:lang w:val="en-US" w:eastAsia="en-GB"/>
        </w:rPr>
        <w:t>followed a different</w:t>
      </w:r>
      <w:r w:rsidR="00251218" w:rsidRPr="00516108">
        <w:rPr>
          <w:rFonts w:asciiTheme="majorBidi" w:eastAsia="Times New Roman" w:hAnsiTheme="majorBidi" w:cstheme="majorBidi"/>
          <w:sz w:val="24"/>
          <w:szCs w:val="24"/>
          <w:lang w:val="en-US" w:eastAsia="en-GB"/>
        </w:rPr>
        <w:t xml:space="preserve"> </w:t>
      </w:r>
      <w:r w:rsidR="00C4781C" w:rsidRPr="00516108">
        <w:rPr>
          <w:rFonts w:asciiTheme="majorBidi" w:eastAsia="Times New Roman" w:hAnsiTheme="majorBidi" w:cstheme="majorBidi"/>
          <w:sz w:val="24"/>
          <w:szCs w:val="24"/>
          <w:lang w:val="en-US" w:eastAsia="en-GB"/>
        </w:rPr>
        <w:t xml:space="preserve">age </w:t>
      </w:r>
      <w:r w:rsidR="00506291" w:rsidRPr="00516108">
        <w:rPr>
          <w:rFonts w:asciiTheme="majorBidi" w:eastAsia="Times New Roman" w:hAnsiTheme="majorBidi" w:cstheme="majorBidi"/>
          <w:sz w:val="24"/>
          <w:szCs w:val="24"/>
          <w:lang w:val="en-US" w:eastAsia="en-GB"/>
        </w:rPr>
        <w:t>trajectory</w:t>
      </w:r>
      <w:r w:rsidR="00F9352C">
        <w:rPr>
          <w:rFonts w:asciiTheme="majorBidi" w:eastAsia="Times New Roman" w:hAnsiTheme="majorBidi" w:cstheme="majorBidi"/>
          <w:sz w:val="24"/>
          <w:szCs w:val="24"/>
          <w:lang w:val="en-US" w:eastAsia="en-GB"/>
        </w:rPr>
        <w:t xml:space="preserve"> across the domains</w:t>
      </w:r>
      <w:r w:rsidR="00506291" w:rsidRPr="00516108">
        <w:rPr>
          <w:rFonts w:asciiTheme="majorBidi" w:eastAsia="Times New Roman" w:hAnsiTheme="majorBidi" w:cstheme="majorBidi"/>
          <w:sz w:val="24"/>
          <w:szCs w:val="24"/>
          <w:lang w:val="en-US" w:eastAsia="en-GB"/>
        </w:rPr>
        <w:t>.</w:t>
      </w:r>
      <w:r w:rsidR="00982905">
        <w:rPr>
          <w:rFonts w:asciiTheme="majorBidi" w:eastAsia="Times New Roman" w:hAnsiTheme="majorBidi" w:cstheme="majorBidi"/>
          <w:sz w:val="24"/>
          <w:szCs w:val="24"/>
          <w:vertAlign w:val="superscript"/>
          <w:lang w:val="en-US" w:eastAsia="en-GB"/>
        </w:rPr>
        <w:t>(1</w:t>
      </w:r>
      <w:r w:rsidR="00F22192">
        <w:rPr>
          <w:rFonts w:asciiTheme="majorBidi" w:eastAsia="Times New Roman" w:hAnsiTheme="majorBidi" w:cstheme="majorBidi"/>
          <w:sz w:val="24"/>
          <w:szCs w:val="24"/>
          <w:vertAlign w:val="superscript"/>
          <w:lang w:val="en-US" w:eastAsia="en-GB"/>
        </w:rPr>
        <w:t>8</w:t>
      </w:r>
      <w:r w:rsidR="00982905">
        <w:rPr>
          <w:rFonts w:asciiTheme="majorBidi" w:eastAsia="Times New Roman" w:hAnsiTheme="majorBidi" w:cstheme="majorBidi"/>
          <w:sz w:val="24"/>
          <w:szCs w:val="24"/>
          <w:vertAlign w:val="superscript"/>
          <w:lang w:val="en-US" w:eastAsia="en-GB"/>
        </w:rPr>
        <w:t>)</w:t>
      </w:r>
      <w:r w:rsidR="00506291" w:rsidRPr="00516108">
        <w:rPr>
          <w:rFonts w:asciiTheme="majorBidi" w:eastAsia="Times New Roman" w:hAnsiTheme="majorBidi" w:cstheme="majorBidi"/>
          <w:sz w:val="24"/>
          <w:szCs w:val="24"/>
          <w:lang w:val="en-US" w:eastAsia="en-GB"/>
        </w:rPr>
        <w:t xml:space="preserve"> While th</w:t>
      </w:r>
      <w:r w:rsidR="0037361B">
        <w:rPr>
          <w:rFonts w:asciiTheme="majorBidi" w:eastAsia="Times New Roman" w:hAnsiTheme="majorBidi" w:cstheme="majorBidi"/>
          <w:sz w:val="24"/>
          <w:szCs w:val="24"/>
          <w:lang w:val="en-US" w:eastAsia="en-GB"/>
        </w:rPr>
        <w:t xml:space="preserve">is </w:t>
      </w:r>
      <w:r w:rsidR="00506291" w:rsidRPr="00516108">
        <w:rPr>
          <w:rFonts w:asciiTheme="majorBidi" w:eastAsia="Times New Roman" w:hAnsiTheme="majorBidi" w:cstheme="majorBidi"/>
          <w:sz w:val="24"/>
          <w:szCs w:val="24"/>
          <w:lang w:val="en-US" w:eastAsia="en-GB"/>
        </w:rPr>
        <w:t xml:space="preserve">study did not examine medical risk taking, the results </w:t>
      </w:r>
      <w:r w:rsidR="007A0BB2">
        <w:rPr>
          <w:rFonts w:asciiTheme="majorBidi" w:eastAsia="Times New Roman" w:hAnsiTheme="majorBidi" w:cstheme="majorBidi"/>
          <w:sz w:val="24"/>
          <w:szCs w:val="24"/>
          <w:lang w:val="en-US" w:eastAsia="en-GB"/>
        </w:rPr>
        <w:t>sugges</w:t>
      </w:r>
      <w:r w:rsidR="003B2604">
        <w:rPr>
          <w:rFonts w:asciiTheme="majorBidi" w:eastAsia="Times New Roman" w:hAnsiTheme="majorBidi" w:cstheme="majorBidi"/>
          <w:sz w:val="24"/>
          <w:szCs w:val="24"/>
          <w:lang w:val="en-US" w:eastAsia="en-GB"/>
        </w:rPr>
        <w:t>t</w:t>
      </w:r>
      <w:r w:rsidR="007A0BB2" w:rsidRPr="00516108">
        <w:rPr>
          <w:rFonts w:asciiTheme="majorBidi" w:eastAsia="Times New Roman" w:hAnsiTheme="majorBidi" w:cstheme="majorBidi"/>
          <w:sz w:val="24"/>
          <w:szCs w:val="24"/>
          <w:lang w:val="en-US" w:eastAsia="en-GB"/>
        </w:rPr>
        <w:t xml:space="preserve"> </w:t>
      </w:r>
      <w:r w:rsidR="00506291" w:rsidRPr="00516108">
        <w:rPr>
          <w:rFonts w:asciiTheme="majorBidi" w:eastAsia="Times New Roman" w:hAnsiTheme="majorBidi" w:cstheme="majorBidi"/>
          <w:sz w:val="24"/>
          <w:szCs w:val="24"/>
          <w:lang w:val="en-US" w:eastAsia="en-GB"/>
        </w:rPr>
        <w:t xml:space="preserve">that there was a linear decline in risk taking </w:t>
      </w:r>
      <w:r w:rsidR="000142A7" w:rsidRPr="00516108">
        <w:rPr>
          <w:rFonts w:asciiTheme="majorBidi" w:eastAsia="Times New Roman" w:hAnsiTheme="majorBidi" w:cstheme="majorBidi"/>
          <w:sz w:val="24"/>
          <w:szCs w:val="24"/>
          <w:lang w:val="en-US" w:eastAsia="en-GB"/>
        </w:rPr>
        <w:t>(e.g., smoking, and drug use)</w:t>
      </w:r>
      <w:r w:rsidR="000142A7">
        <w:rPr>
          <w:rFonts w:asciiTheme="majorBidi" w:eastAsia="Times New Roman" w:hAnsiTheme="majorBidi" w:cstheme="majorBidi"/>
          <w:sz w:val="24"/>
          <w:szCs w:val="24"/>
          <w:lang w:val="en-US" w:eastAsia="en-GB"/>
        </w:rPr>
        <w:t xml:space="preserve"> </w:t>
      </w:r>
      <w:r w:rsidR="0037361B" w:rsidRPr="00516108">
        <w:rPr>
          <w:rFonts w:asciiTheme="majorBidi" w:eastAsia="Times New Roman" w:hAnsiTheme="majorBidi" w:cstheme="majorBidi"/>
          <w:sz w:val="24"/>
          <w:szCs w:val="24"/>
          <w:lang w:val="en-US" w:eastAsia="en-GB"/>
        </w:rPr>
        <w:t>in the health domain</w:t>
      </w:r>
      <w:r w:rsidR="0037361B">
        <w:rPr>
          <w:rFonts w:asciiTheme="majorBidi" w:eastAsia="Times New Roman" w:hAnsiTheme="majorBidi" w:cstheme="majorBidi"/>
          <w:sz w:val="24"/>
          <w:szCs w:val="24"/>
          <w:lang w:val="en-US" w:eastAsia="en-GB"/>
        </w:rPr>
        <w:t xml:space="preserve"> </w:t>
      </w:r>
      <w:r w:rsidR="00506291" w:rsidRPr="00516108">
        <w:rPr>
          <w:rFonts w:asciiTheme="majorBidi" w:eastAsia="Times New Roman" w:hAnsiTheme="majorBidi" w:cstheme="majorBidi"/>
          <w:sz w:val="24"/>
          <w:szCs w:val="24"/>
          <w:lang w:val="en-US" w:eastAsia="en-GB"/>
        </w:rPr>
        <w:t>across</w:t>
      </w:r>
      <w:r w:rsidR="0097551F" w:rsidRPr="00516108">
        <w:rPr>
          <w:rFonts w:asciiTheme="majorBidi" w:eastAsia="Times New Roman" w:hAnsiTheme="majorBidi" w:cstheme="majorBidi"/>
          <w:sz w:val="24"/>
          <w:szCs w:val="24"/>
          <w:lang w:val="en-US" w:eastAsia="en-GB"/>
        </w:rPr>
        <w:t xml:space="preserve"> adulthood</w:t>
      </w:r>
      <w:r w:rsidR="00506291" w:rsidRPr="00516108">
        <w:rPr>
          <w:rFonts w:asciiTheme="majorBidi" w:eastAsia="Times New Roman" w:hAnsiTheme="majorBidi" w:cstheme="majorBidi"/>
          <w:sz w:val="24"/>
          <w:szCs w:val="24"/>
          <w:lang w:val="en-US" w:eastAsia="en-GB"/>
        </w:rPr>
        <w:t xml:space="preserve">. </w:t>
      </w:r>
    </w:p>
    <w:p w14:paraId="75A2212D" w14:textId="7D6C7EA5" w:rsidR="000B0FAD" w:rsidRDefault="00E03773" w:rsidP="00F22192">
      <w:pPr>
        <w:autoSpaceDE w:val="0"/>
        <w:autoSpaceDN w:val="0"/>
        <w:adjustRightInd w:val="0"/>
        <w:spacing w:after="0" w:line="480" w:lineRule="auto"/>
        <w:ind w:firstLine="720"/>
        <w:rPr>
          <w:rFonts w:asciiTheme="majorBidi" w:hAnsiTheme="majorBidi" w:cstheme="majorBidi"/>
          <w:sz w:val="24"/>
          <w:szCs w:val="24"/>
          <w:lang w:val="en-US"/>
        </w:rPr>
      </w:pPr>
      <w:r>
        <w:rPr>
          <w:rFonts w:asciiTheme="majorBidi" w:eastAsia="Times New Roman" w:hAnsiTheme="majorBidi" w:cstheme="majorBidi"/>
          <w:sz w:val="24"/>
          <w:szCs w:val="24"/>
          <w:lang w:val="en-US" w:eastAsia="en-GB"/>
        </w:rPr>
        <w:t xml:space="preserve">While </w:t>
      </w:r>
      <w:r w:rsidR="008E49F3">
        <w:rPr>
          <w:rFonts w:asciiTheme="majorBidi" w:eastAsia="Times New Roman" w:hAnsiTheme="majorBidi" w:cstheme="majorBidi"/>
          <w:sz w:val="24"/>
          <w:szCs w:val="24"/>
          <w:lang w:val="en-US" w:eastAsia="en-GB"/>
        </w:rPr>
        <w:t xml:space="preserve">this </w:t>
      </w:r>
      <w:r w:rsidR="005735EB">
        <w:rPr>
          <w:rFonts w:asciiTheme="majorBidi" w:eastAsia="Times New Roman" w:hAnsiTheme="majorBidi" w:cstheme="majorBidi"/>
          <w:sz w:val="24"/>
          <w:szCs w:val="24"/>
          <w:lang w:val="en-US" w:eastAsia="en-GB"/>
        </w:rPr>
        <w:t>earlier stud</w:t>
      </w:r>
      <w:r w:rsidR="008E49F3">
        <w:rPr>
          <w:rFonts w:asciiTheme="majorBidi" w:eastAsia="Times New Roman" w:hAnsiTheme="majorBidi" w:cstheme="majorBidi"/>
          <w:sz w:val="24"/>
          <w:szCs w:val="24"/>
          <w:lang w:val="en-US" w:eastAsia="en-GB"/>
        </w:rPr>
        <w:t>y</w:t>
      </w:r>
      <w:r w:rsidR="00431487">
        <w:rPr>
          <w:rFonts w:asciiTheme="majorBidi" w:eastAsia="Times New Roman" w:hAnsiTheme="majorBidi" w:cstheme="majorBidi"/>
          <w:sz w:val="24"/>
          <w:szCs w:val="24"/>
          <w:vertAlign w:val="superscript"/>
          <w:lang w:val="en-US" w:eastAsia="en-GB"/>
        </w:rPr>
        <w:t>(</w:t>
      </w:r>
      <w:r w:rsidR="005735EB" w:rsidRPr="005735EB">
        <w:rPr>
          <w:rFonts w:asciiTheme="majorBidi" w:eastAsia="Times New Roman" w:hAnsiTheme="majorBidi" w:cstheme="majorBidi"/>
          <w:sz w:val="24"/>
          <w:szCs w:val="24"/>
          <w:vertAlign w:val="superscript"/>
          <w:lang w:val="en-US" w:eastAsia="en-GB"/>
        </w:rPr>
        <w:t>1</w:t>
      </w:r>
      <w:r w:rsidR="00F22192">
        <w:rPr>
          <w:rFonts w:asciiTheme="majorBidi" w:eastAsia="Times New Roman" w:hAnsiTheme="majorBidi" w:cstheme="majorBidi"/>
          <w:sz w:val="24"/>
          <w:szCs w:val="24"/>
          <w:vertAlign w:val="superscript"/>
          <w:lang w:val="en-US" w:eastAsia="en-GB"/>
        </w:rPr>
        <w:t>8</w:t>
      </w:r>
      <w:r w:rsidR="00431487">
        <w:rPr>
          <w:rFonts w:asciiTheme="majorBidi" w:eastAsia="Times New Roman" w:hAnsiTheme="majorBidi" w:cstheme="majorBidi"/>
          <w:sz w:val="24"/>
          <w:szCs w:val="24"/>
          <w:vertAlign w:val="superscript"/>
          <w:lang w:val="en-US" w:eastAsia="en-GB"/>
        </w:rPr>
        <w:t>)</w:t>
      </w:r>
      <w:r w:rsidR="00C5278D" w:rsidRPr="00516108">
        <w:rPr>
          <w:rFonts w:asciiTheme="majorBidi" w:eastAsia="Times New Roman" w:hAnsiTheme="majorBidi" w:cstheme="majorBidi"/>
          <w:sz w:val="24"/>
          <w:szCs w:val="24"/>
          <w:lang w:val="en-US" w:eastAsia="en-GB"/>
        </w:rPr>
        <w:t xml:space="preserve"> </w:t>
      </w:r>
      <w:r w:rsidR="00251218" w:rsidRPr="00516108">
        <w:rPr>
          <w:rFonts w:asciiTheme="majorBidi" w:eastAsia="Times New Roman" w:hAnsiTheme="majorBidi" w:cstheme="majorBidi"/>
          <w:sz w:val="24"/>
          <w:szCs w:val="24"/>
          <w:lang w:val="en-US" w:eastAsia="en-GB"/>
        </w:rPr>
        <w:t xml:space="preserve">provides </w:t>
      </w:r>
      <w:r w:rsidR="00967977" w:rsidRPr="00516108">
        <w:rPr>
          <w:rFonts w:asciiTheme="majorBidi" w:eastAsia="Times New Roman" w:hAnsiTheme="majorBidi" w:cstheme="majorBidi"/>
          <w:sz w:val="24"/>
          <w:szCs w:val="24"/>
          <w:lang w:val="en-US" w:eastAsia="en-GB"/>
        </w:rPr>
        <w:t xml:space="preserve">important </w:t>
      </w:r>
      <w:r w:rsidR="00C5278D" w:rsidRPr="00516108">
        <w:rPr>
          <w:rFonts w:asciiTheme="majorBidi" w:eastAsia="Times New Roman" w:hAnsiTheme="majorBidi" w:cstheme="majorBidi"/>
          <w:sz w:val="24"/>
          <w:szCs w:val="24"/>
          <w:lang w:val="en-US" w:eastAsia="en-GB"/>
        </w:rPr>
        <w:t>data</w:t>
      </w:r>
      <w:r>
        <w:rPr>
          <w:rFonts w:asciiTheme="majorBidi" w:eastAsia="Times New Roman" w:hAnsiTheme="majorBidi" w:cstheme="majorBidi"/>
          <w:sz w:val="24"/>
          <w:szCs w:val="24"/>
          <w:lang w:val="en-US" w:eastAsia="en-GB"/>
        </w:rPr>
        <w:t xml:space="preserve">, </w:t>
      </w:r>
      <w:r w:rsidR="008E49F3">
        <w:rPr>
          <w:rFonts w:asciiTheme="majorBidi" w:eastAsia="Times New Roman" w:hAnsiTheme="majorBidi" w:cstheme="majorBidi"/>
          <w:sz w:val="24"/>
          <w:szCs w:val="24"/>
          <w:lang w:val="en-US" w:eastAsia="en-GB"/>
        </w:rPr>
        <w:t xml:space="preserve">it focused </w:t>
      </w:r>
      <w:r w:rsidR="00C5278D" w:rsidRPr="00516108">
        <w:rPr>
          <w:rFonts w:asciiTheme="majorBidi" w:eastAsia="Times New Roman" w:hAnsiTheme="majorBidi" w:cstheme="majorBidi"/>
          <w:sz w:val="24"/>
          <w:szCs w:val="24"/>
          <w:lang w:val="en-US" w:eastAsia="en-GB"/>
        </w:rPr>
        <w:t xml:space="preserve">only </w:t>
      </w:r>
      <w:r w:rsidR="008E49F3">
        <w:rPr>
          <w:rFonts w:asciiTheme="majorBidi" w:eastAsia="Times New Roman" w:hAnsiTheme="majorBidi" w:cstheme="majorBidi"/>
          <w:sz w:val="24"/>
          <w:szCs w:val="24"/>
          <w:lang w:val="en-US" w:eastAsia="en-GB"/>
        </w:rPr>
        <w:t xml:space="preserve">on </w:t>
      </w:r>
      <w:r w:rsidR="00B77766" w:rsidRPr="00516108">
        <w:rPr>
          <w:rFonts w:asciiTheme="majorBidi" w:eastAsia="Times New Roman" w:hAnsiTheme="majorBidi" w:cstheme="majorBidi"/>
          <w:sz w:val="24"/>
          <w:szCs w:val="24"/>
          <w:lang w:val="en-US" w:eastAsia="en-GB"/>
        </w:rPr>
        <w:t>participants’</w:t>
      </w:r>
      <w:r w:rsidR="009F3EF1" w:rsidRPr="00516108">
        <w:rPr>
          <w:rFonts w:asciiTheme="majorBidi" w:eastAsia="Times New Roman" w:hAnsiTheme="majorBidi" w:cstheme="majorBidi"/>
          <w:sz w:val="24"/>
          <w:szCs w:val="24"/>
          <w:lang w:val="en-US" w:eastAsia="en-GB"/>
        </w:rPr>
        <w:t xml:space="preserve"> </w:t>
      </w:r>
      <w:r w:rsidR="00506291" w:rsidRPr="00516108">
        <w:rPr>
          <w:rFonts w:asciiTheme="majorBidi" w:eastAsia="Times New Roman" w:hAnsiTheme="majorBidi" w:cstheme="majorBidi"/>
          <w:sz w:val="24"/>
          <w:szCs w:val="24"/>
          <w:lang w:val="en-US" w:eastAsia="en-GB"/>
        </w:rPr>
        <w:t xml:space="preserve">willingness to engage in risky </w:t>
      </w:r>
      <w:r w:rsidR="00251218" w:rsidRPr="00516108">
        <w:rPr>
          <w:rFonts w:asciiTheme="majorBidi" w:eastAsia="Times New Roman" w:hAnsiTheme="majorBidi" w:cstheme="majorBidi"/>
          <w:sz w:val="24"/>
          <w:szCs w:val="24"/>
          <w:lang w:val="en-US" w:eastAsia="en-GB"/>
        </w:rPr>
        <w:t xml:space="preserve">activities and </w:t>
      </w:r>
      <w:r w:rsidR="00506291" w:rsidRPr="00516108">
        <w:rPr>
          <w:rFonts w:asciiTheme="majorBidi" w:eastAsia="Times New Roman" w:hAnsiTheme="majorBidi" w:cstheme="majorBidi"/>
          <w:sz w:val="24"/>
          <w:szCs w:val="24"/>
          <w:lang w:val="en-US" w:eastAsia="en-GB"/>
        </w:rPr>
        <w:t xml:space="preserve">did not examine </w:t>
      </w:r>
      <w:r w:rsidR="00B77766" w:rsidRPr="00516108">
        <w:rPr>
          <w:rFonts w:asciiTheme="majorBidi" w:eastAsia="Times New Roman" w:hAnsiTheme="majorBidi" w:cstheme="majorBidi"/>
          <w:sz w:val="24"/>
          <w:szCs w:val="24"/>
          <w:lang w:val="en-US" w:eastAsia="en-GB"/>
        </w:rPr>
        <w:t xml:space="preserve">their </w:t>
      </w:r>
      <w:r w:rsidR="00251218" w:rsidRPr="00516108">
        <w:rPr>
          <w:rFonts w:asciiTheme="majorBidi" w:eastAsia="Times New Roman" w:hAnsiTheme="majorBidi" w:cstheme="majorBidi"/>
          <w:sz w:val="24"/>
          <w:szCs w:val="24"/>
          <w:lang w:val="en-US" w:eastAsia="en-GB"/>
        </w:rPr>
        <w:t xml:space="preserve">perceived </w:t>
      </w:r>
      <w:r w:rsidR="00506291" w:rsidRPr="00516108">
        <w:rPr>
          <w:rFonts w:asciiTheme="majorBidi" w:eastAsia="Times New Roman" w:hAnsiTheme="majorBidi" w:cstheme="majorBidi"/>
          <w:sz w:val="24"/>
          <w:szCs w:val="24"/>
          <w:lang w:val="en-US" w:eastAsia="en-GB"/>
        </w:rPr>
        <w:t>risk</w:t>
      </w:r>
      <w:r w:rsidR="00251218" w:rsidRPr="00516108">
        <w:rPr>
          <w:rFonts w:asciiTheme="majorBidi" w:eastAsia="Times New Roman" w:hAnsiTheme="majorBidi" w:cstheme="majorBidi"/>
          <w:sz w:val="24"/>
          <w:szCs w:val="24"/>
          <w:lang w:val="en-US" w:eastAsia="en-GB"/>
        </w:rPr>
        <w:t>s</w:t>
      </w:r>
      <w:r w:rsidR="00506291" w:rsidRPr="00516108">
        <w:rPr>
          <w:rFonts w:asciiTheme="majorBidi" w:eastAsia="Times New Roman" w:hAnsiTheme="majorBidi" w:cstheme="majorBidi"/>
          <w:sz w:val="24"/>
          <w:szCs w:val="24"/>
          <w:lang w:val="en-US" w:eastAsia="en-GB"/>
        </w:rPr>
        <w:t xml:space="preserve"> and </w:t>
      </w:r>
      <w:r w:rsidR="00251218" w:rsidRPr="00516108">
        <w:rPr>
          <w:rFonts w:asciiTheme="majorBidi" w:eastAsia="Times New Roman" w:hAnsiTheme="majorBidi" w:cstheme="majorBidi"/>
          <w:sz w:val="24"/>
          <w:szCs w:val="24"/>
          <w:lang w:val="en-US" w:eastAsia="en-GB"/>
        </w:rPr>
        <w:t xml:space="preserve">expected </w:t>
      </w:r>
      <w:r w:rsidR="00506291" w:rsidRPr="00516108">
        <w:rPr>
          <w:rFonts w:asciiTheme="majorBidi" w:eastAsia="Times New Roman" w:hAnsiTheme="majorBidi" w:cstheme="majorBidi"/>
          <w:sz w:val="24"/>
          <w:szCs w:val="24"/>
          <w:lang w:val="en-US" w:eastAsia="en-GB"/>
        </w:rPr>
        <w:t>benefit</w:t>
      </w:r>
      <w:r w:rsidR="00251218" w:rsidRPr="00516108">
        <w:rPr>
          <w:rFonts w:asciiTheme="majorBidi" w:eastAsia="Times New Roman" w:hAnsiTheme="majorBidi" w:cstheme="majorBidi"/>
          <w:sz w:val="24"/>
          <w:szCs w:val="24"/>
          <w:lang w:val="en-US" w:eastAsia="en-GB"/>
        </w:rPr>
        <w:t>s</w:t>
      </w:r>
      <w:r w:rsidR="009F3EF1" w:rsidRPr="00516108">
        <w:rPr>
          <w:rFonts w:asciiTheme="majorBidi" w:eastAsia="Times New Roman" w:hAnsiTheme="majorBidi" w:cstheme="majorBidi"/>
          <w:sz w:val="24"/>
          <w:szCs w:val="24"/>
          <w:lang w:val="en-US" w:eastAsia="en-GB"/>
        </w:rPr>
        <w:t>. These</w:t>
      </w:r>
      <w:r w:rsidR="00251218" w:rsidRPr="00516108">
        <w:rPr>
          <w:rFonts w:asciiTheme="majorBidi" w:eastAsia="Times New Roman" w:hAnsiTheme="majorBidi" w:cstheme="majorBidi"/>
          <w:sz w:val="24"/>
          <w:szCs w:val="24"/>
          <w:lang w:val="en-US" w:eastAsia="en-GB"/>
        </w:rPr>
        <w:t xml:space="preserve"> </w:t>
      </w:r>
      <w:r w:rsidR="00C5278D" w:rsidRPr="00516108">
        <w:rPr>
          <w:rFonts w:asciiTheme="majorBidi" w:eastAsia="Times New Roman" w:hAnsiTheme="majorBidi" w:cstheme="majorBidi"/>
          <w:sz w:val="24"/>
          <w:szCs w:val="24"/>
          <w:lang w:val="en-US" w:eastAsia="en-GB"/>
        </w:rPr>
        <w:t xml:space="preserve">two </w:t>
      </w:r>
      <w:r w:rsidR="00CF4E71">
        <w:rPr>
          <w:rFonts w:asciiTheme="majorBidi" w:eastAsia="Times New Roman" w:hAnsiTheme="majorBidi" w:cstheme="majorBidi"/>
          <w:sz w:val="24"/>
          <w:szCs w:val="24"/>
          <w:lang w:val="en-US" w:eastAsia="en-GB"/>
        </w:rPr>
        <w:t>distinct constructs</w:t>
      </w:r>
      <w:r w:rsidR="00B017F2">
        <w:rPr>
          <w:rFonts w:asciiTheme="majorBidi" w:eastAsia="Times New Roman" w:hAnsiTheme="majorBidi" w:cstheme="majorBidi"/>
          <w:sz w:val="24"/>
          <w:szCs w:val="24"/>
          <w:lang w:val="en-US" w:eastAsia="en-GB"/>
        </w:rPr>
        <w:t xml:space="preserve"> </w:t>
      </w:r>
      <w:r w:rsidR="00920FFE">
        <w:rPr>
          <w:rFonts w:asciiTheme="majorBidi" w:eastAsia="Times New Roman" w:hAnsiTheme="majorBidi" w:cstheme="majorBidi"/>
          <w:sz w:val="24"/>
          <w:szCs w:val="24"/>
          <w:lang w:val="en-US" w:eastAsia="en-GB"/>
        </w:rPr>
        <w:t>—</w:t>
      </w:r>
      <w:r w:rsidR="009F3EF1" w:rsidRPr="00516108">
        <w:rPr>
          <w:rFonts w:asciiTheme="majorBidi" w:eastAsia="Times New Roman" w:hAnsiTheme="majorBidi" w:cstheme="majorBidi"/>
          <w:sz w:val="24"/>
          <w:szCs w:val="24"/>
          <w:lang w:val="en-US" w:eastAsia="en-GB"/>
        </w:rPr>
        <w:t>perceived risks and expected benefits</w:t>
      </w:r>
      <w:r w:rsidR="00920FFE">
        <w:rPr>
          <w:rFonts w:asciiTheme="majorBidi" w:eastAsia="Times New Roman" w:hAnsiTheme="majorBidi" w:cstheme="majorBidi"/>
          <w:sz w:val="24"/>
          <w:szCs w:val="24"/>
          <w:lang w:val="en-US" w:eastAsia="en-GB"/>
        </w:rPr>
        <w:t>—</w:t>
      </w:r>
      <w:r w:rsidR="00FC7039" w:rsidRPr="00516108">
        <w:rPr>
          <w:rFonts w:asciiTheme="majorBidi" w:eastAsia="Times New Roman" w:hAnsiTheme="majorBidi" w:cstheme="majorBidi"/>
          <w:sz w:val="24"/>
          <w:szCs w:val="24"/>
          <w:lang w:val="en-US" w:eastAsia="en-GB"/>
        </w:rPr>
        <w:t xml:space="preserve">are captured by </w:t>
      </w:r>
      <w:r w:rsidR="00C5278D" w:rsidRPr="00516108">
        <w:rPr>
          <w:rFonts w:asciiTheme="majorBidi" w:eastAsia="Times New Roman" w:hAnsiTheme="majorBidi" w:cstheme="majorBidi"/>
          <w:sz w:val="24"/>
          <w:szCs w:val="24"/>
          <w:lang w:val="en-US" w:eastAsia="en-GB"/>
        </w:rPr>
        <w:t>the DOSPERT</w:t>
      </w:r>
      <w:r w:rsidR="00920FFE">
        <w:rPr>
          <w:rFonts w:asciiTheme="majorBidi" w:eastAsia="Times New Roman" w:hAnsiTheme="majorBidi" w:cstheme="majorBidi"/>
          <w:sz w:val="24"/>
          <w:szCs w:val="24"/>
          <w:lang w:val="en-US" w:eastAsia="en-GB"/>
        </w:rPr>
        <w:t>,</w:t>
      </w:r>
      <w:r w:rsidR="00200DE0" w:rsidRPr="00516108">
        <w:rPr>
          <w:rFonts w:asciiTheme="majorBidi" w:eastAsia="Times New Roman" w:hAnsiTheme="majorBidi" w:cstheme="majorBidi"/>
          <w:sz w:val="24"/>
          <w:szCs w:val="24"/>
          <w:lang w:val="en-US" w:eastAsia="en-GB"/>
        </w:rPr>
        <w:t xml:space="preserve"> which was developed based on the idea that risk-taking behavior is best understood by perceptions of the risks and benefits ass</w:t>
      </w:r>
      <w:r w:rsidR="00181CC8">
        <w:rPr>
          <w:rFonts w:asciiTheme="majorBidi" w:eastAsia="Times New Roman" w:hAnsiTheme="majorBidi" w:cstheme="majorBidi"/>
          <w:sz w:val="24"/>
          <w:szCs w:val="24"/>
          <w:lang w:val="en-US" w:eastAsia="en-GB"/>
        </w:rPr>
        <w:t>ociated with the risky activity</w:t>
      </w:r>
      <w:r w:rsidR="00431487">
        <w:rPr>
          <w:rFonts w:asciiTheme="majorBidi" w:eastAsia="Times New Roman" w:hAnsiTheme="majorBidi" w:cstheme="majorBidi"/>
          <w:sz w:val="24"/>
          <w:szCs w:val="24"/>
          <w:vertAlign w:val="superscript"/>
          <w:lang w:val="en-US" w:eastAsia="en-GB"/>
        </w:rPr>
        <w:t>(1</w:t>
      </w:r>
      <w:r w:rsidR="00F22192">
        <w:rPr>
          <w:rFonts w:asciiTheme="majorBidi" w:eastAsia="Times New Roman" w:hAnsiTheme="majorBidi" w:cstheme="majorBidi"/>
          <w:sz w:val="24"/>
          <w:szCs w:val="24"/>
          <w:vertAlign w:val="superscript"/>
          <w:lang w:val="en-US" w:eastAsia="en-GB"/>
        </w:rPr>
        <w:t>9</w:t>
      </w:r>
      <w:r w:rsidR="00431487">
        <w:rPr>
          <w:rFonts w:asciiTheme="majorBidi" w:eastAsia="Times New Roman" w:hAnsiTheme="majorBidi" w:cstheme="majorBidi"/>
          <w:sz w:val="24"/>
          <w:szCs w:val="24"/>
          <w:vertAlign w:val="superscript"/>
          <w:lang w:val="en-US" w:eastAsia="en-GB"/>
        </w:rPr>
        <w:t>)</w:t>
      </w:r>
      <w:r w:rsidR="00262BC8">
        <w:rPr>
          <w:rFonts w:asciiTheme="majorBidi" w:eastAsia="Times New Roman" w:hAnsiTheme="majorBidi" w:cstheme="majorBidi"/>
          <w:sz w:val="24"/>
          <w:szCs w:val="24"/>
          <w:lang w:val="en-US" w:eastAsia="en-GB"/>
        </w:rPr>
        <w:t>.</w:t>
      </w:r>
      <w:r w:rsidR="00973F19">
        <w:rPr>
          <w:rStyle w:val="FootnoteReference"/>
          <w:rFonts w:asciiTheme="majorBidi" w:eastAsia="Times New Roman" w:hAnsiTheme="majorBidi" w:cstheme="majorBidi"/>
          <w:sz w:val="24"/>
          <w:szCs w:val="24"/>
          <w:lang w:val="en-US" w:eastAsia="en-GB"/>
        </w:rPr>
        <w:footnoteReference w:id="1"/>
      </w:r>
      <w:r w:rsidR="00262BC8">
        <w:rPr>
          <w:rFonts w:asciiTheme="majorBidi" w:eastAsia="Times New Roman" w:hAnsiTheme="majorBidi" w:cstheme="majorBidi"/>
          <w:sz w:val="24"/>
          <w:szCs w:val="24"/>
          <w:lang w:val="en-US" w:eastAsia="en-GB"/>
        </w:rPr>
        <w:t xml:space="preserve"> </w:t>
      </w:r>
      <w:r w:rsidR="00C9257A">
        <w:rPr>
          <w:rFonts w:asciiTheme="majorBidi" w:hAnsiTheme="majorBidi" w:cstheme="majorBidi"/>
          <w:sz w:val="24"/>
          <w:szCs w:val="24"/>
          <w:lang w:val="en-US"/>
        </w:rPr>
        <w:t>Others</w:t>
      </w:r>
      <w:r w:rsidR="00431487">
        <w:rPr>
          <w:rFonts w:asciiTheme="majorBidi" w:hAnsiTheme="majorBidi" w:cstheme="majorBidi"/>
          <w:sz w:val="24"/>
          <w:szCs w:val="24"/>
          <w:vertAlign w:val="superscript"/>
          <w:lang w:val="en-US"/>
        </w:rPr>
        <w:t>(</w:t>
      </w:r>
      <w:r w:rsidR="00F22192">
        <w:rPr>
          <w:rFonts w:asciiTheme="majorBidi" w:hAnsiTheme="majorBidi" w:cstheme="majorBidi"/>
          <w:sz w:val="24"/>
          <w:szCs w:val="24"/>
          <w:vertAlign w:val="superscript"/>
          <w:lang w:val="en-US"/>
        </w:rPr>
        <w:t>20</w:t>
      </w:r>
      <w:r w:rsidR="00431487">
        <w:rPr>
          <w:rFonts w:asciiTheme="majorBidi" w:hAnsiTheme="majorBidi" w:cstheme="majorBidi"/>
          <w:sz w:val="24"/>
          <w:szCs w:val="24"/>
          <w:vertAlign w:val="superscript"/>
          <w:lang w:val="en-US"/>
        </w:rPr>
        <w:t>)</w:t>
      </w:r>
      <w:r w:rsidR="00C9257A">
        <w:rPr>
          <w:rFonts w:asciiTheme="majorBidi" w:hAnsiTheme="majorBidi" w:cstheme="majorBidi"/>
          <w:sz w:val="24"/>
          <w:szCs w:val="24"/>
          <w:lang w:val="en-US"/>
        </w:rPr>
        <w:t xml:space="preserve"> have</w:t>
      </w:r>
      <w:r w:rsidR="0013058B" w:rsidRPr="00516108">
        <w:rPr>
          <w:rFonts w:asciiTheme="majorBidi" w:hAnsiTheme="majorBidi" w:cstheme="majorBidi"/>
          <w:b/>
          <w:sz w:val="24"/>
          <w:szCs w:val="24"/>
          <w:lang w:val="en-US"/>
        </w:rPr>
        <w:t xml:space="preserve"> </w:t>
      </w:r>
      <w:r w:rsidR="0013058B" w:rsidRPr="00516108">
        <w:rPr>
          <w:rFonts w:asciiTheme="majorBidi" w:hAnsiTheme="majorBidi" w:cstheme="majorBidi"/>
          <w:sz w:val="24"/>
          <w:szCs w:val="24"/>
          <w:lang w:val="en-US"/>
        </w:rPr>
        <w:t>argu</w:t>
      </w:r>
      <w:r w:rsidR="00B77766" w:rsidRPr="00516108">
        <w:rPr>
          <w:rFonts w:asciiTheme="majorBidi" w:hAnsiTheme="majorBidi" w:cstheme="majorBidi"/>
          <w:sz w:val="24"/>
          <w:szCs w:val="24"/>
          <w:lang w:val="en-US"/>
        </w:rPr>
        <w:t>e</w:t>
      </w:r>
      <w:r w:rsidR="003966D4" w:rsidRPr="00516108">
        <w:rPr>
          <w:rFonts w:asciiTheme="majorBidi" w:hAnsiTheme="majorBidi" w:cstheme="majorBidi"/>
          <w:sz w:val="24"/>
          <w:szCs w:val="24"/>
          <w:lang w:val="en-US"/>
        </w:rPr>
        <w:t>d</w:t>
      </w:r>
      <w:r w:rsidR="0013058B" w:rsidRPr="00516108">
        <w:rPr>
          <w:rFonts w:asciiTheme="majorBidi" w:hAnsiTheme="majorBidi" w:cstheme="majorBidi"/>
          <w:sz w:val="24"/>
          <w:szCs w:val="24"/>
          <w:lang w:val="en-US"/>
        </w:rPr>
        <w:t xml:space="preserve"> that any discussion </w:t>
      </w:r>
      <w:r w:rsidR="00D37B2B" w:rsidRPr="00516108">
        <w:rPr>
          <w:rFonts w:asciiTheme="majorBidi" w:hAnsiTheme="majorBidi" w:cstheme="majorBidi"/>
          <w:sz w:val="24"/>
          <w:szCs w:val="24"/>
          <w:lang w:val="en-US"/>
        </w:rPr>
        <w:t>about</w:t>
      </w:r>
      <w:r w:rsidR="0013058B" w:rsidRPr="00516108">
        <w:rPr>
          <w:rFonts w:asciiTheme="majorBidi" w:hAnsiTheme="majorBidi" w:cstheme="majorBidi"/>
          <w:sz w:val="24"/>
          <w:szCs w:val="24"/>
          <w:lang w:val="en-US"/>
        </w:rPr>
        <w:t xml:space="preserve"> risk taking must </w:t>
      </w:r>
      <w:r w:rsidR="00795CCD" w:rsidRPr="00516108">
        <w:rPr>
          <w:rFonts w:asciiTheme="majorBidi" w:hAnsiTheme="majorBidi" w:cstheme="majorBidi"/>
          <w:sz w:val="24"/>
          <w:szCs w:val="24"/>
          <w:lang w:val="en-US"/>
        </w:rPr>
        <w:t>incorporate</w:t>
      </w:r>
      <w:r w:rsidR="0013058B" w:rsidRPr="00516108">
        <w:rPr>
          <w:rFonts w:asciiTheme="majorBidi" w:hAnsiTheme="majorBidi" w:cstheme="majorBidi"/>
          <w:sz w:val="24"/>
          <w:szCs w:val="24"/>
          <w:lang w:val="en-US"/>
        </w:rPr>
        <w:t xml:space="preserve"> the trade-off between the expected (or perceived) benefits and the expected (or perceived) risks of </w:t>
      </w:r>
      <w:r w:rsidR="00251218" w:rsidRPr="00516108">
        <w:rPr>
          <w:rFonts w:asciiTheme="majorBidi" w:hAnsiTheme="majorBidi" w:cstheme="majorBidi"/>
          <w:sz w:val="24"/>
          <w:szCs w:val="24"/>
          <w:lang w:val="en-US"/>
        </w:rPr>
        <w:t xml:space="preserve">an </w:t>
      </w:r>
      <w:r w:rsidR="0013058B" w:rsidRPr="00516108">
        <w:rPr>
          <w:rFonts w:asciiTheme="majorBidi" w:hAnsiTheme="majorBidi" w:cstheme="majorBidi"/>
          <w:sz w:val="24"/>
          <w:szCs w:val="24"/>
          <w:lang w:val="en-US"/>
        </w:rPr>
        <w:t>activity.</w:t>
      </w:r>
      <w:r w:rsidR="002363F9" w:rsidRPr="00516108">
        <w:rPr>
          <w:rFonts w:asciiTheme="majorBidi" w:hAnsiTheme="majorBidi" w:cstheme="majorBidi"/>
          <w:sz w:val="24"/>
          <w:szCs w:val="24"/>
          <w:lang w:val="en-US"/>
        </w:rPr>
        <w:t xml:space="preserve"> </w:t>
      </w:r>
      <w:r w:rsidR="00B77766" w:rsidRPr="00516108">
        <w:rPr>
          <w:rFonts w:asciiTheme="majorBidi" w:hAnsiTheme="majorBidi" w:cstheme="majorBidi"/>
          <w:sz w:val="24"/>
          <w:szCs w:val="24"/>
          <w:lang w:val="en-US"/>
        </w:rPr>
        <w:t>Following this line of reasoning</w:t>
      </w:r>
      <w:r w:rsidR="002363F9" w:rsidRPr="00516108">
        <w:rPr>
          <w:rFonts w:asciiTheme="majorBidi" w:hAnsiTheme="majorBidi" w:cstheme="majorBidi"/>
          <w:sz w:val="24"/>
          <w:szCs w:val="24"/>
          <w:lang w:val="en-US"/>
        </w:rPr>
        <w:t>, a</w:t>
      </w:r>
      <w:r w:rsidR="00795CCD" w:rsidRPr="00516108">
        <w:rPr>
          <w:rFonts w:asciiTheme="majorBidi" w:hAnsiTheme="majorBidi" w:cstheme="majorBidi"/>
          <w:sz w:val="24"/>
          <w:szCs w:val="24"/>
          <w:lang w:val="en-US"/>
        </w:rPr>
        <w:t xml:space="preserve"> number of </w:t>
      </w:r>
      <w:r w:rsidR="002363F9" w:rsidRPr="00516108">
        <w:rPr>
          <w:rFonts w:asciiTheme="majorBidi" w:hAnsiTheme="majorBidi" w:cstheme="majorBidi"/>
          <w:sz w:val="24"/>
          <w:szCs w:val="24"/>
          <w:lang w:val="en-US"/>
        </w:rPr>
        <w:t>studies</w:t>
      </w:r>
      <w:r w:rsidR="00431487">
        <w:rPr>
          <w:rFonts w:asciiTheme="majorBidi" w:hAnsiTheme="majorBidi" w:cstheme="majorBidi"/>
          <w:sz w:val="24"/>
          <w:szCs w:val="24"/>
          <w:vertAlign w:val="superscript"/>
          <w:lang w:val="en-US"/>
        </w:rPr>
        <w:t>(</w:t>
      </w:r>
      <w:r w:rsidR="00F22192">
        <w:rPr>
          <w:rFonts w:asciiTheme="majorBidi" w:hAnsiTheme="majorBidi" w:cstheme="majorBidi"/>
          <w:sz w:val="24"/>
          <w:szCs w:val="24"/>
          <w:vertAlign w:val="superscript"/>
          <w:lang w:val="en-US"/>
        </w:rPr>
        <w:t>21-22</w:t>
      </w:r>
      <w:r w:rsidR="00431487">
        <w:rPr>
          <w:rFonts w:asciiTheme="majorBidi" w:hAnsiTheme="majorBidi" w:cstheme="majorBidi"/>
          <w:sz w:val="24"/>
          <w:szCs w:val="24"/>
          <w:vertAlign w:val="superscript"/>
          <w:lang w:val="en-US"/>
        </w:rPr>
        <w:t>)</w:t>
      </w:r>
      <w:r w:rsidR="002363F9" w:rsidRPr="00516108">
        <w:rPr>
          <w:rFonts w:asciiTheme="majorBidi" w:hAnsiTheme="majorBidi" w:cstheme="majorBidi"/>
          <w:sz w:val="24"/>
          <w:szCs w:val="24"/>
          <w:lang w:val="en-US"/>
        </w:rPr>
        <w:t xml:space="preserve"> </w:t>
      </w:r>
      <w:r w:rsidR="0013058B" w:rsidRPr="00516108">
        <w:rPr>
          <w:rFonts w:asciiTheme="majorBidi" w:hAnsiTheme="majorBidi" w:cstheme="majorBidi"/>
          <w:sz w:val="24"/>
          <w:szCs w:val="24"/>
          <w:lang w:val="en-US"/>
        </w:rPr>
        <w:t xml:space="preserve">have found a strong relation between perceived benefits and </w:t>
      </w:r>
      <w:r w:rsidR="00677C7C" w:rsidRPr="00516108">
        <w:rPr>
          <w:rFonts w:asciiTheme="majorBidi" w:hAnsiTheme="majorBidi" w:cstheme="majorBidi"/>
          <w:sz w:val="24"/>
          <w:szCs w:val="24"/>
          <w:lang w:val="en-US"/>
        </w:rPr>
        <w:t xml:space="preserve">the </w:t>
      </w:r>
      <w:r w:rsidR="0013058B" w:rsidRPr="00516108">
        <w:rPr>
          <w:rFonts w:asciiTheme="majorBidi" w:hAnsiTheme="majorBidi" w:cstheme="majorBidi"/>
          <w:sz w:val="24"/>
          <w:szCs w:val="24"/>
          <w:lang w:val="en-US"/>
        </w:rPr>
        <w:t>likelihood of engaging in risky activit</w:t>
      </w:r>
      <w:r w:rsidR="00677C7C" w:rsidRPr="00516108">
        <w:rPr>
          <w:rFonts w:asciiTheme="majorBidi" w:hAnsiTheme="majorBidi" w:cstheme="majorBidi"/>
          <w:sz w:val="24"/>
          <w:szCs w:val="24"/>
          <w:lang w:val="en-US"/>
        </w:rPr>
        <w:t>ies</w:t>
      </w:r>
      <w:r w:rsidR="0013058B" w:rsidRPr="00516108">
        <w:rPr>
          <w:rFonts w:asciiTheme="majorBidi" w:hAnsiTheme="majorBidi" w:cstheme="majorBidi"/>
          <w:sz w:val="24"/>
          <w:szCs w:val="24"/>
          <w:lang w:val="en-US"/>
        </w:rPr>
        <w:t xml:space="preserve">. </w:t>
      </w:r>
      <w:r w:rsidR="00944F18" w:rsidRPr="00516108">
        <w:rPr>
          <w:rFonts w:asciiTheme="majorBidi" w:hAnsiTheme="majorBidi" w:cstheme="majorBidi"/>
          <w:sz w:val="24"/>
          <w:szCs w:val="24"/>
          <w:lang w:val="en-US"/>
        </w:rPr>
        <w:t xml:space="preserve">Whether </w:t>
      </w:r>
      <w:r w:rsidR="00677C7C" w:rsidRPr="00516108">
        <w:rPr>
          <w:rFonts w:asciiTheme="majorBidi" w:hAnsiTheme="majorBidi" w:cstheme="majorBidi"/>
          <w:sz w:val="24"/>
          <w:szCs w:val="24"/>
          <w:lang w:val="en-US"/>
        </w:rPr>
        <w:t xml:space="preserve">the </w:t>
      </w:r>
      <w:r w:rsidR="00F828F7" w:rsidRPr="00516108">
        <w:rPr>
          <w:rFonts w:asciiTheme="majorBidi" w:hAnsiTheme="majorBidi" w:cstheme="majorBidi"/>
          <w:sz w:val="24"/>
          <w:szCs w:val="24"/>
          <w:lang w:val="en-US"/>
        </w:rPr>
        <w:t xml:space="preserve">perceived benefit plays a similar role among </w:t>
      </w:r>
      <w:r w:rsidR="00944F18" w:rsidRPr="00516108">
        <w:rPr>
          <w:rFonts w:asciiTheme="majorBidi" w:hAnsiTheme="majorBidi" w:cstheme="majorBidi"/>
          <w:sz w:val="24"/>
          <w:szCs w:val="24"/>
          <w:lang w:val="en-US"/>
        </w:rPr>
        <w:t>older adults</w:t>
      </w:r>
      <w:r w:rsidR="00920FFE">
        <w:rPr>
          <w:rFonts w:asciiTheme="majorBidi" w:hAnsiTheme="majorBidi" w:cstheme="majorBidi"/>
          <w:sz w:val="24"/>
          <w:szCs w:val="24"/>
          <w:lang w:val="en-US"/>
        </w:rPr>
        <w:t>’</w:t>
      </w:r>
      <w:r w:rsidR="00944F18" w:rsidRPr="00516108">
        <w:rPr>
          <w:rFonts w:asciiTheme="majorBidi" w:hAnsiTheme="majorBidi" w:cstheme="majorBidi"/>
          <w:sz w:val="24"/>
          <w:szCs w:val="24"/>
          <w:lang w:val="en-US"/>
        </w:rPr>
        <w:t xml:space="preserve"> </w:t>
      </w:r>
      <w:r w:rsidR="00F828F7" w:rsidRPr="00516108">
        <w:rPr>
          <w:rFonts w:asciiTheme="majorBidi" w:hAnsiTheme="majorBidi" w:cstheme="majorBidi"/>
          <w:sz w:val="24"/>
          <w:szCs w:val="24"/>
          <w:lang w:val="en-US"/>
        </w:rPr>
        <w:t>risk</w:t>
      </w:r>
      <w:r w:rsidR="00920FFE">
        <w:rPr>
          <w:rFonts w:asciiTheme="majorBidi" w:hAnsiTheme="majorBidi" w:cstheme="majorBidi"/>
          <w:sz w:val="24"/>
          <w:szCs w:val="24"/>
          <w:lang w:val="en-US"/>
        </w:rPr>
        <w:t>-</w:t>
      </w:r>
      <w:r w:rsidR="00F828F7" w:rsidRPr="00516108">
        <w:rPr>
          <w:rFonts w:asciiTheme="majorBidi" w:hAnsiTheme="majorBidi" w:cstheme="majorBidi"/>
          <w:sz w:val="24"/>
          <w:szCs w:val="24"/>
          <w:lang w:val="en-US"/>
        </w:rPr>
        <w:t xml:space="preserve">taking tendencies </w:t>
      </w:r>
      <w:r w:rsidR="00944F18" w:rsidRPr="00516108">
        <w:rPr>
          <w:rFonts w:asciiTheme="majorBidi" w:hAnsiTheme="majorBidi" w:cstheme="majorBidi"/>
          <w:sz w:val="24"/>
          <w:szCs w:val="24"/>
          <w:lang w:val="en-US"/>
        </w:rPr>
        <w:t>within the medical domain is</w:t>
      </w:r>
      <w:r w:rsidR="008811C3">
        <w:rPr>
          <w:rFonts w:asciiTheme="majorBidi" w:hAnsiTheme="majorBidi" w:cstheme="majorBidi"/>
          <w:sz w:val="24"/>
          <w:szCs w:val="24"/>
          <w:lang w:val="en-US"/>
        </w:rPr>
        <w:t xml:space="preserve"> </w:t>
      </w:r>
      <w:r w:rsidR="008412A6" w:rsidRPr="00516108">
        <w:rPr>
          <w:rFonts w:asciiTheme="majorBidi" w:hAnsiTheme="majorBidi" w:cstheme="majorBidi"/>
          <w:sz w:val="24"/>
          <w:szCs w:val="24"/>
          <w:lang w:val="en-US"/>
        </w:rPr>
        <w:t>an open question</w:t>
      </w:r>
      <w:r w:rsidR="00944F18" w:rsidRPr="00516108">
        <w:rPr>
          <w:rFonts w:asciiTheme="majorBidi" w:hAnsiTheme="majorBidi" w:cstheme="majorBidi"/>
          <w:sz w:val="24"/>
          <w:szCs w:val="24"/>
          <w:lang w:val="en-US"/>
        </w:rPr>
        <w:t xml:space="preserve">. </w:t>
      </w:r>
      <w:r w:rsidR="00795CCD" w:rsidRPr="00516108">
        <w:rPr>
          <w:rFonts w:asciiTheme="majorBidi" w:hAnsiTheme="majorBidi" w:cstheme="majorBidi"/>
          <w:sz w:val="24"/>
          <w:szCs w:val="24"/>
          <w:lang w:val="en-US"/>
        </w:rPr>
        <w:t xml:space="preserve"> </w:t>
      </w:r>
    </w:p>
    <w:p w14:paraId="455CB74D" w14:textId="0AF8905C" w:rsidR="00071F8A" w:rsidRPr="009049F0" w:rsidRDefault="00071F8A" w:rsidP="009049F0">
      <w:pPr>
        <w:pStyle w:val="ListParagraph"/>
        <w:numPr>
          <w:ilvl w:val="1"/>
          <w:numId w:val="9"/>
        </w:numPr>
        <w:autoSpaceDE w:val="0"/>
        <w:autoSpaceDN w:val="0"/>
        <w:adjustRightInd w:val="0"/>
        <w:spacing w:after="0" w:line="480" w:lineRule="auto"/>
        <w:rPr>
          <w:rFonts w:asciiTheme="majorBidi" w:hAnsiTheme="majorBidi" w:cstheme="majorBidi"/>
          <w:b/>
          <w:bCs/>
          <w:sz w:val="24"/>
          <w:szCs w:val="24"/>
          <w:lang w:val="en-US"/>
        </w:rPr>
      </w:pPr>
      <w:r w:rsidRPr="009049F0">
        <w:rPr>
          <w:rFonts w:asciiTheme="majorBidi" w:hAnsiTheme="majorBidi" w:cstheme="majorBidi"/>
          <w:b/>
          <w:bCs/>
          <w:sz w:val="24"/>
          <w:szCs w:val="24"/>
          <w:lang w:val="en-US"/>
        </w:rPr>
        <w:t>Omission and commission bias</w:t>
      </w:r>
    </w:p>
    <w:p w14:paraId="67DFC2E4" w14:textId="15B43DE5" w:rsidR="00220C42" w:rsidRPr="00516108" w:rsidRDefault="00DB1826" w:rsidP="00A15926">
      <w:pPr>
        <w:autoSpaceDE w:val="0"/>
        <w:autoSpaceDN w:val="0"/>
        <w:adjustRightInd w:val="0"/>
        <w:spacing w:after="0" w:line="480" w:lineRule="auto"/>
        <w:ind w:firstLine="720"/>
        <w:rPr>
          <w:rFonts w:asciiTheme="majorBidi" w:hAnsiTheme="majorBidi" w:cstheme="majorBidi"/>
          <w:sz w:val="24"/>
          <w:szCs w:val="24"/>
          <w:lang w:val="en-US"/>
        </w:rPr>
      </w:pPr>
      <w:r w:rsidRPr="00516108">
        <w:rPr>
          <w:rFonts w:asciiTheme="majorBidi" w:hAnsiTheme="majorBidi" w:cstheme="majorBidi"/>
          <w:sz w:val="24"/>
          <w:szCs w:val="24"/>
          <w:lang w:val="en-US"/>
        </w:rPr>
        <w:t>Survey tools</w:t>
      </w:r>
      <w:r w:rsidR="00017393" w:rsidRPr="00516108">
        <w:rPr>
          <w:rFonts w:asciiTheme="majorBidi" w:hAnsiTheme="majorBidi" w:cstheme="majorBidi"/>
          <w:sz w:val="24"/>
          <w:szCs w:val="24"/>
          <w:lang w:val="en-US"/>
        </w:rPr>
        <w:t xml:space="preserve"> have</w:t>
      </w:r>
      <w:r w:rsidR="009C1E12" w:rsidRPr="00516108">
        <w:rPr>
          <w:rFonts w:asciiTheme="majorBidi" w:hAnsiTheme="majorBidi" w:cstheme="majorBidi"/>
          <w:sz w:val="24"/>
          <w:szCs w:val="24"/>
          <w:lang w:val="en-US"/>
        </w:rPr>
        <w:t xml:space="preserve"> been useful in gauging </w:t>
      </w:r>
      <w:r w:rsidR="00507B8D" w:rsidRPr="00516108">
        <w:rPr>
          <w:rFonts w:asciiTheme="majorBidi" w:hAnsiTheme="majorBidi" w:cstheme="majorBidi"/>
          <w:sz w:val="24"/>
          <w:szCs w:val="24"/>
          <w:lang w:val="en-US"/>
        </w:rPr>
        <w:t xml:space="preserve">people’s </w:t>
      </w:r>
      <w:r w:rsidR="009C1E12" w:rsidRPr="00516108">
        <w:rPr>
          <w:rFonts w:asciiTheme="majorBidi" w:hAnsiTheme="majorBidi" w:cstheme="majorBidi"/>
          <w:sz w:val="24"/>
          <w:szCs w:val="24"/>
          <w:lang w:val="en-US"/>
        </w:rPr>
        <w:t>risk-taking attitude</w:t>
      </w:r>
      <w:r w:rsidR="00251218" w:rsidRPr="00516108">
        <w:rPr>
          <w:rFonts w:asciiTheme="majorBidi" w:hAnsiTheme="majorBidi" w:cstheme="majorBidi"/>
          <w:sz w:val="24"/>
          <w:szCs w:val="24"/>
          <w:lang w:val="en-US"/>
        </w:rPr>
        <w:t>s</w:t>
      </w:r>
      <w:r w:rsidR="00322030">
        <w:rPr>
          <w:rFonts w:asciiTheme="majorBidi" w:hAnsiTheme="majorBidi" w:cstheme="majorBidi"/>
          <w:sz w:val="24"/>
          <w:szCs w:val="24"/>
          <w:lang w:val="en-US"/>
        </w:rPr>
        <w:t>, especially in trying to capture risk taking across domains</w:t>
      </w:r>
      <w:r w:rsidR="009C1E12" w:rsidRPr="00516108">
        <w:rPr>
          <w:rFonts w:asciiTheme="majorBidi" w:hAnsiTheme="majorBidi" w:cstheme="majorBidi"/>
          <w:sz w:val="24"/>
          <w:szCs w:val="24"/>
          <w:lang w:val="en-US"/>
        </w:rPr>
        <w:t xml:space="preserve">. However, as </w:t>
      </w:r>
      <w:r w:rsidR="000B0FAD" w:rsidRPr="00516108">
        <w:rPr>
          <w:rFonts w:asciiTheme="majorBidi" w:hAnsiTheme="majorBidi" w:cstheme="majorBidi"/>
          <w:sz w:val="24"/>
          <w:szCs w:val="24"/>
          <w:lang w:val="en-US"/>
        </w:rPr>
        <w:t xml:space="preserve">age differences in risky </w:t>
      </w:r>
      <w:r w:rsidR="00D37B2B" w:rsidRPr="00516108">
        <w:rPr>
          <w:rFonts w:asciiTheme="majorBidi" w:hAnsiTheme="majorBidi" w:cstheme="majorBidi"/>
          <w:sz w:val="24"/>
          <w:szCs w:val="24"/>
          <w:lang w:val="en-US"/>
        </w:rPr>
        <w:t>behavior</w:t>
      </w:r>
      <w:r w:rsidR="000B0FAD" w:rsidRPr="00516108">
        <w:rPr>
          <w:rFonts w:asciiTheme="majorBidi" w:hAnsiTheme="majorBidi" w:cstheme="majorBidi"/>
          <w:sz w:val="24"/>
          <w:szCs w:val="24"/>
          <w:lang w:val="en-US"/>
        </w:rPr>
        <w:t xml:space="preserve"> </w:t>
      </w:r>
      <w:r w:rsidR="006A7045" w:rsidRPr="00516108">
        <w:rPr>
          <w:rFonts w:asciiTheme="majorBidi" w:hAnsiTheme="majorBidi" w:cstheme="majorBidi"/>
          <w:sz w:val="24"/>
          <w:szCs w:val="24"/>
          <w:lang w:val="en-US"/>
        </w:rPr>
        <w:t xml:space="preserve">may </w:t>
      </w:r>
      <w:r w:rsidR="009C1E12" w:rsidRPr="00516108">
        <w:rPr>
          <w:rFonts w:asciiTheme="majorBidi" w:hAnsiTheme="majorBidi" w:cstheme="majorBidi"/>
          <w:sz w:val="24"/>
          <w:szCs w:val="24"/>
          <w:lang w:val="en-US"/>
        </w:rPr>
        <w:t xml:space="preserve">also </w:t>
      </w:r>
      <w:r w:rsidR="000B0FAD" w:rsidRPr="00516108">
        <w:rPr>
          <w:rFonts w:asciiTheme="majorBidi" w:hAnsiTheme="majorBidi" w:cstheme="majorBidi"/>
          <w:sz w:val="24"/>
          <w:szCs w:val="24"/>
          <w:lang w:val="en-US"/>
        </w:rPr>
        <w:t>depend on</w:t>
      </w:r>
      <w:r w:rsidR="006714B7" w:rsidRPr="00516108">
        <w:rPr>
          <w:rFonts w:asciiTheme="majorBidi" w:hAnsiTheme="majorBidi" w:cstheme="majorBidi"/>
          <w:sz w:val="24"/>
          <w:szCs w:val="24"/>
          <w:lang w:val="en-US"/>
        </w:rPr>
        <w:t xml:space="preserve"> </w:t>
      </w:r>
      <w:r w:rsidR="00B77766" w:rsidRPr="00516108">
        <w:rPr>
          <w:rFonts w:asciiTheme="majorBidi" w:hAnsiTheme="majorBidi" w:cstheme="majorBidi"/>
          <w:sz w:val="24"/>
          <w:szCs w:val="24"/>
          <w:lang w:val="en-US"/>
        </w:rPr>
        <w:t xml:space="preserve">the </w:t>
      </w:r>
      <w:r w:rsidR="005E3B8B" w:rsidRPr="00516108">
        <w:rPr>
          <w:rFonts w:asciiTheme="majorBidi" w:hAnsiTheme="majorBidi" w:cstheme="majorBidi"/>
          <w:sz w:val="24"/>
          <w:szCs w:val="24"/>
          <w:lang w:val="en-US"/>
        </w:rPr>
        <w:t>measures used to evaluate risk taking</w:t>
      </w:r>
      <w:r w:rsidR="00431487">
        <w:rPr>
          <w:rFonts w:asciiTheme="majorBidi" w:hAnsiTheme="majorBidi" w:cstheme="majorBidi"/>
          <w:sz w:val="24"/>
          <w:szCs w:val="24"/>
          <w:vertAlign w:val="superscript"/>
          <w:lang w:val="en-US"/>
        </w:rPr>
        <w:t>(</w:t>
      </w:r>
      <w:r w:rsidR="00FB1E1D">
        <w:rPr>
          <w:rFonts w:asciiTheme="majorBidi" w:hAnsiTheme="majorBidi" w:cstheme="majorBidi"/>
          <w:sz w:val="24"/>
          <w:szCs w:val="24"/>
          <w:vertAlign w:val="superscript"/>
          <w:lang w:val="en-US"/>
        </w:rPr>
        <w:t>2</w:t>
      </w:r>
      <w:r w:rsidR="00F22192">
        <w:rPr>
          <w:rFonts w:asciiTheme="majorBidi" w:hAnsiTheme="majorBidi" w:cstheme="majorBidi"/>
          <w:sz w:val="24"/>
          <w:szCs w:val="24"/>
          <w:vertAlign w:val="superscript"/>
          <w:lang w:val="en-US"/>
        </w:rPr>
        <w:t>3</w:t>
      </w:r>
      <w:r w:rsidR="00431487">
        <w:rPr>
          <w:rFonts w:asciiTheme="majorBidi" w:hAnsiTheme="majorBidi" w:cstheme="majorBidi"/>
          <w:sz w:val="24"/>
          <w:szCs w:val="24"/>
          <w:vertAlign w:val="superscript"/>
          <w:lang w:val="en-US"/>
        </w:rPr>
        <w:t>)</w:t>
      </w:r>
      <w:r w:rsidR="00262BC8">
        <w:rPr>
          <w:rFonts w:asciiTheme="majorBidi" w:hAnsiTheme="majorBidi" w:cstheme="majorBidi"/>
          <w:sz w:val="24"/>
          <w:szCs w:val="24"/>
          <w:lang w:val="en-US"/>
        </w:rPr>
        <w:t xml:space="preserve">, </w:t>
      </w:r>
      <w:r w:rsidR="009C1E12" w:rsidRPr="00516108">
        <w:rPr>
          <w:rFonts w:asciiTheme="majorBidi" w:hAnsiTheme="majorBidi" w:cstheme="majorBidi"/>
          <w:sz w:val="24"/>
          <w:szCs w:val="24"/>
          <w:lang w:val="en-US"/>
        </w:rPr>
        <w:t xml:space="preserve">there is a need to employ </w:t>
      </w:r>
      <w:r w:rsidR="00B77766" w:rsidRPr="00516108">
        <w:rPr>
          <w:rFonts w:asciiTheme="majorBidi" w:hAnsiTheme="majorBidi" w:cstheme="majorBidi"/>
          <w:sz w:val="24"/>
          <w:szCs w:val="24"/>
          <w:lang w:val="en-US"/>
        </w:rPr>
        <w:t xml:space="preserve">a wide spectrum of instruments </w:t>
      </w:r>
      <w:r w:rsidR="00F0625D" w:rsidRPr="00516108">
        <w:rPr>
          <w:rFonts w:asciiTheme="majorBidi" w:hAnsiTheme="majorBidi" w:cstheme="majorBidi"/>
          <w:sz w:val="24"/>
          <w:szCs w:val="24"/>
          <w:lang w:val="en-US"/>
        </w:rPr>
        <w:t>to</w:t>
      </w:r>
      <w:r w:rsidR="009C1E12" w:rsidRPr="00516108">
        <w:rPr>
          <w:rFonts w:asciiTheme="majorBidi" w:hAnsiTheme="majorBidi" w:cstheme="majorBidi"/>
          <w:sz w:val="24"/>
          <w:szCs w:val="24"/>
          <w:lang w:val="en-US"/>
        </w:rPr>
        <w:t xml:space="preserve"> </w:t>
      </w:r>
      <w:r w:rsidR="00B77766" w:rsidRPr="00516108">
        <w:rPr>
          <w:rFonts w:asciiTheme="majorBidi" w:hAnsiTheme="majorBidi" w:cstheme="majorBidi"/>
          <w:sz w:val="24"/>
          <w:szCs w:val="24"/>
          <w:lang w:val="en-US"/>
        </w:rPr>
        <w:t xml:space="preserve">evaluate </w:t>
      </w:r>
      <w:r w:rsidR="00401197">
        <w:rPr>
          <w:rFonts w:asciiTheme="majorBidi" w:hAnsiTheme="majorBidi" w:cstheme="majorBidi"/>
          <w:sz w:val="24"/>
          <w:szCs w:val="24"/>
          <w:lang w:val="en-US"/>
        </w:rPr>
        <w:t>risk taking tendencies</w:t>
      </w:r>
      <w:r w:rsidR="009C1E12" w:rsidRPr="00920FFE">
        <w:rPr>
          <w:rFonts w:asciiTheme="majorBidi" w:hAnsiTheme="majorBidi" w:cstheme="majorBidi"/>
          <w:sz w:val="24"/>
          <w:szCs w:val="24"/>
          <w:lang w:val="en-US"/>
        </w:rPr>
        <w:t>.</w:t>
      </w:r>
      <w:r w:rsidR="009C1E12" w:rsidRPr="00516108">
        <w:rPr>
          <w:rFonts w:asciiTheme="majorBidi" w:hAnsiTheme="majorBidi" w:cstheme="majorBidi"/>
          <w:sz w:val="24"/>
          <w:szCs w:val="24"/>
          <w:lang w:val="en-US"/>
        </w:rPr>
        <w:t xml:space="preserve"> </w:t>
      </w:r>
      <w:r w:rsidR="00770BCA" w:rsidRPr="00516108">
        <w:rPr>
          <w:rFonts w:asciiTheme="majorBidi" w:hAnsiTheme="majorBidi" w:cstheme="majorBidi"/>
          <w:sz w:val="24"/>
          <w:szCs w:val="24"/>
          <w:lang w:val="en-US"/>
        </w:rPr>
        <w:t>One line of research</w:t>
      </w:r>
      <w:r w:rsidR="00431487" w:rsidRPr="00431487">
        <w:rPr>
          <w:rFonts w:asciiTheme="majorBidi" w:hAnsiTheme="majorBidi" w:cstheme="majorBidi"/>
          <w:sz w:val="24"/>
          <w:szCs w:val="24"/>
          <w:vertAlign w:val="superscript"/>
          <w:lang w:val="en-US"/>
        </w:rPr>
        <w:t>(</w:t>
      </w:r>
      <w:r w:rsidR="00FB1E1D">
        <w:rPr>
          <w:rFonts w:asciiTheme="majorBidi" w:hAnsiTheme="majorBidi" w:cstheme="majorBidi"/>
          <w:sz w:val="24"/>
          <w:szCs w:val="24"/>
          <w:vertAlign w:val="superscript"/>
          <w:lang w:val="en-US"/>
        </w:rPr>
        <w:t>2</w:t>
      </w:r>
      <w:r w:rsidR="00F22192">
        <w:rPr>
          <w:rFonts w:asciiTheme="majorBidi" w:hAnsiTheme="majorBidi" w:cstheme="majorBidi"/>
          <w:sz w:val="24"/>
          <w:szCs w:val="24"/>
          <w:vertAlign w:val="superscript"/>
          <w:lang w:val="en-US"/>
        </w:rPr>
        <w:t>4</w:t>
      </w:r>
      <w:r w:rsidR="00431487" w:rsidRPr="00431487">
        <w:rPr>
          <w:rFonts w:asciiTheme="majorBidi" w:hAnsiTheme="majorBidi" w:cstheme="majorBidi"/>
          <w:sz w:val="24"/>
          <w:szCs w:val="24"/>
          <w:vertAlign w:val="superscript"/>
          <w:lang w:val="en-US"/>
        </w:rPr>
        <w:t>)</w:t>
      </w:r>
      <w:r w:rsidR="00770BCA" w:rsidRPr="00516108">
        <w:rPr>
          <w:rFonts w:asciiTheme="majorBidi" w:hAnsiTheme="majorBidi" w:cstheme="majorBidi"/>
          <w:sz w:val="24"/>
          <w:szCs w:val="24"/>
          <w:lang w:val="en-US"/>
        </w:rPr>
        <w:t xml:space="preserve"> that could </w:t>
      </w:r>
      <w:r w:rsidR="00990F1A">
        <w:rPr>
          <w:rFonts w:asciiTheme="majorBidi" w:hAnsiTheme="majorBidi" w:cstheme="majorBidi"/>
          <w:sz w:val="24"/>
          <w:szCs w:val="24"/>
          <w:lang w:val="en-US"/>
        </w:rPr>
        <w:t xml:space="preserve">further </w:t>
      </w:r>
      <w:r w:rsidR="00B77766" w:rsidRPr="00516108">
        <w:rPr>
          <w:rFonts w:asciiTheme="majorBidi" w:hAnsiTheme="majorBidi" w:cstheme="majorBidi"/>
          <w:sz w:val="24"/>
          <w:szCs w:val="24"/>
          <w:lang w:val="en-US"/>
        </w:rPr>
        <w:t xml:space="preserve">elucidate </w:t>
      </w:r>
      <w:r w:rsidR="00990F1A">
        <w:rPr>
          <w:rFonts w:asciiTheme="majorBidi" w:hAnsiTheme="majorBidi" w:cstheme="majorBidi"/>
          <w:sz w:val="24"/>
          <w:szCs w:val="24"/>
          <w:lang w:val="en-US"/>
        </w:rPr>
        <w:t>age</w:t>
      </w:r>
      <w:r w:rsidR="0056708B">
        <w:rPr>
          <w:rFonts w:asciiTheme="majorBidi" w:hAnsiTheme="majorBidi" w:cstheme="majorBidi"/>
          <w:sz w:val="24"/>
          <w:szCs w:val="24"/>
          <w:lang w:val="en-US"/>
        </w:rPr>
        <w:t>-related</w:t>
      </w:r>
      <w:r w:rsidR="00990F1A">
        <w:rPr>
          <w:rFonts w:asciiTheme="majorBidi" w:hAnsiTheme="majorBidi" w:cstheme="majorBidi"/>
          <w:sz w:val="24"/>
          <w:szCs w:val="24"/>
          <w:lang w:val="en-US"/>
        </w:rPr>
        <w:t xml:space="preserve"> difference in risk taking attitude </w:t>
      </w:r>
      <w:r w:rsidR="00DA707D">
        <w:rPr>
          <w:rFonts w:asciiTheme="majorBidi" w:hAnsiTheme="majorBidi" w:cstheme="majorBidi"/>
          <w:sz w:val="24"/>
          <w:szCs w:val="24"/>
          <w:lang w:val="en-US"/>
        </w:rPr>
        <w:t>is</w:t>
      </w:r>
      <w:r w:rsidR="00F0625D" w:rsidRPr="00516108">
        <w:rPr>
          <w:rFonts w:asciiTheme="majorBidi" w:hAnsiTheme="majorBidi" w:cstheme="majorBidi"/>
          <w:sz w:val="24"/>
          <w:szCs w:val="24"/>
          <w:lang w:val="en-US"/>
        </w:rPr>
        <w:t xml:space="preserve"> </w:t>
      </w:r>
      <w:r w:rsidR="00DA707D">
        <w:rPr>
          <w:rFonts w:asciiTheme="majorBidi" w:hAnsiTheme="majorBidi" w:cstheme="majorBidi"/>
          <w:sz w:val="24"/>
          <w:szCs w:val="24"/>
          <w:lang w:val="en-US"/>
        </w:rPr>
        <w:t xml:space="preserve">work </w:t>
      </w:r>
      <w:r w:rsidR="00770BCA" w:rsidRPr="00516108">
        <w:rPr>
          <w:rFonts w:asciiTheme="majorBidi" w:hAnsiTheme="majorBidi" w:cstheme="majorBidi"/>
          <w:sz w:val="24"/>
          <w:szCs w:val="24"/>
          <w:lang w:val="en-US"/>
        </w:rPr>
        <w:t xml:space="preserve">on </w:t>
      </w:r>
      <w:r w:rsidR="009C1E12" w:rsidRPr="00516108">
        <w:rPr>
          <w:rFonts w:asciiTheme="majorBidi" w:hAnsiTheme="majorBidi" w:cstheme="majorBidi"/>
          <w:sz w:val="24"/>
          <w:szCs w:val="24"/>
          <w:lang w:val="en-US"/>
        </w:rPr>
        <w:t>omission</w:t>
      </w:r>
      <w:r w:rsidR="00C62E4F">
        <w:rPr>
          <w:rFonts w:asciiTheme="majorBidi" w:hAnsiTheme="majorBidi" w:cstheme="majorBidi"/>
          <w:sz w:val="24"/>
          <w:szCs w:val="24"/>
          <w:lang w:val="en-US"/>
        </w:rPr>
        <w:t>/</w:t>
      </w:r>
      <w:r w:rsidR="009C1E12" w:rsidRPr="00516108">
        <w:rPr>
          <w:rFonts w:asciiTheme="majorBidi" w:hAnsiTheme="majorBidi" w:cstheme="majorBidi"/>
          <w:sz w:val="24"/>
          <w:szCs w:val="24"/>
          <w:lang w:val="en-US"/>
        </w:rPr>
        <w:t>commission</w:t>
      </w:r>
      <w:r w:rsidR="00D37B2B" w:rsidRPr="00516108">
        <w:rPr>
          <w:rFonts w:asciiTheme="majorBidi" w:hAnsiTheme="majorBidi" w:cstheme="majorBidi"/>
          <w:sz w:val="24"/>
          <w:szCs w:val="24"/>
          <w:lang w:val="en-US"/>
        </w:rPr>
        <w:t xml:space="preserve"> </w:t>
      </w:r>
      <w:r w:rsidR="00251218" w:rsidRPr="00516108">
        <w:rPr>
          <w:rFonts w:asciiTheme="majorBidi" w:hAnsiTheme="majorBidi" w:cstheme="majorBidi"/>
          <w:sz w:val="24"/>
          <w:szCs w:val="24"/>
          <w:lang w:val="en-US"/>
        </w:rPr>
        <w:t>bias</w:t>
      </w:r>
      <w:r w:rsidR="00770BCA" w:rsidRPr="00516108">
        <w:rPr>
          <w:rFonts w:asciiTheme="majorBidi" w:hAnsiTheme="majorBidi" w:cstheme="majorBidi"/>
          <w:sz w:val="24"/>
          <w:szCs w:val="24"/>
          <w:lang w:val="en-US"/>
        </w:rPr>
        <w:t>.</w:t>
      </w:r>
      <w:r w:rsidR="00990F1A">
        <w:rPr>
          <w:rStyle w:val="FootnoteReference"/>
          <w:rFonts w:asciiTheme="majorBidi" w:hAnsiTheme="majorBidi" w:cstheme="majorBidi"/>
          <w:sz w:val="24"/>
          <w:szCs w:val="24"/>
          <w:lang w:val="en-US"/>
        </w:rPr>
        <w:footnoteReference w:id="2"/>
      </w:r>
      <w:r w:rsidR="00770BCA" w:rsidRPr="00516108">
        <w:rPr>
          <w:rFonts w:asciiTheme="majorBidi" w:hAnsiTheme="majorBidi" w:cstheme="majorBidi"/>
          <w:sz w:val="24"/>
          <w:szCs w:val="24"/>
          <w:lang w:val="en-US"/>
        </w:rPr>
        <w:t xml:space="preserve">  </w:t>
      </w:r>
      <w:r w:rsidR="00D61560">
        <w:rPr>
          <w:rFonts w:asciiTheme="majorBidi" w:hAnsiTheme="majorBidi" w:cstheme="majorBidi"/>
          <w:sz w:val="24"/>
          <w:szCs w:val="24"/>
          <w:lang w:val="en-US"/>
        </w:rPr>
        <w:t>T</w:t>
      </w:r>
      <w:r w:rsidR="00770BCA" w:rsidRPr="00516108">
        <w:rPr>
          <w:rFonts w:asciiTheme="majorBidi" w:hAnsiTheme="majorBidi" w:cstheme="majorBidi"/>
          <w:sz w:val="24"/>
          <w:szCs w:val="24"/>
          <w:lang w:val="en-US"/>
        </w:rPr>
        <w:t>he omission</w:t>
      </w:r>
      <w:r w:rsidR="00D61560">
        <w:rPr>
          <w:rFonts w:asciiTheme="majorBidi" w:hAnsiTheme="majorBidi" w:cstheme="majorBidi"/>
          <w:sz w:val="24"/>
          <w:szCs w:val="24"/>
          <w:lang w:val="en-US"/>
        </w:rPr>
        <w:t>/commission</w:t>
      </w:r>
      <w:r w:rsidR="00770BCA" w:rsidRPr="00516108">
        <w:rPr>
          <w:rFonts w:asciiTheme="majorBidi" w:hAnsiTheme="majorBidi" w:cstheme="majorBidi"/>
          <w:sz w:val="24"/>
          <w:szCs w:val="24"/>
          <w:lang w:val="en-US"/>
        </w:rPr>
        <w:t xml:space="preserve"> bias refers to people’s willingness to accept </w:t>
      </w:r>
      <w:r w:rsidR="00387A46" w:rsidRPr="00516108">
        <w:rPr>
          <w:rFonts w:asciiTheme="majorBidi" w:hAnsiTheme="majorBidi" w:cstheme="majorBidi"/>
          <w:sz w:val="24"/>
          <w:szCs w:val="24"/>
          <w:lang w:val="en-US"/>
        </w:rPr>
        <w:t xml:space="preserve">a </w:t>
      </w:r>
      <w:r w:rsidR="00770BCA" w:rsidRPr="00516108">
        <w:rPr>
          <w:rFonts w:asciiTheme="majorBidi" w:hAnsiTheme="majorBidi" w:cstheme="majorBidi"/>
          <w:sz w:val="24"/>
          <w:szCs w:val="24"/>
          <w:lang w:val="en-US"/>
        </w:rPr>
        <w:t xml:space="preserve">higher level of risk in order to avoid </w:t>
      </w:r>
      <w:r w:rsidR="00F0625D" w:rsidRPr="00516108">
        <w:rPr>
          <w:rFonts w:asciiTheme="majorBidi" w:hAnsiTheme="majorBidi" w:cstheme="majorBidi"/>
          <w:sz w:val="24"/>
          <w:szCs w:val="24"/>
          <w:lang w:val="en-US"/>
        </w:rPr>
        <w:t>be</w:t>
      </w:r>
      <w:r w:rsidR="00251218" w:rsidRPr="00516108">
        <w:rPr>
          <w:rFonts w:asciiTheme="majorBidi" w:hAnsiTheme="majorBidi" w:cstheme="majorBidi"/>
          <w:sz w:val="24"/>
          <w:szCs w:val="24"/>
          <w:lang w:val="en-US"/>
        </w:rPr>
        <w:t>ing</w:t>
      </w:r>
      <w:r w:rsidR="00F0625D" w:rsidRPr="00516108">
        <w:rPr>
          <w:rFonts w:asciiTheme="majorBidi" w:hAnsiTheme="majorBidi" w:cstheme="majorBidi"/>
          <w:sz w:val="24"/>
          <w:szCs w:val="24"/>
          <w:lang w:val="en-US"/>
        </w:rPr>
        <w:t xml:space="preserve"> the </w:t>
      </w:r>
      <w:r w:rsidR="00B4571C" w:rsidRPr="00516108">
        <w:rPr>
          <w:rFonts w:asciiTheme="majorBidi" w:hAnsiTheme="majorBidi" w:cstheme="majorBidi"/>
          <w:sz w:val="24"/>
          <w:szCs w:val="24"/>
          <w:lang w:val="en-US"/>
        </w:rPr>
        <w:t xml:space="preserve">responsible </w:t>
      </w:r>
      <w:r w:rsidR="00F0625D" w:rsidRPr="00516108">
        <w:rPr>
          <w:rFonts w:asciiTheme="majorBidi" w:hAnsiTheme="majorBidi" w:cstheme="majorBidi"/>
          <w:sz w:val="24"/>
          <w:szCs w:val="24"/>
          <w:lang w:val="en-US"/>
        </w:rPr>
        <w:t xml:space="preserve">agent for </w:t>
      </w:r>
      <w:r w:rsidR="00251218" w:rsidRPr="00516108">
        <w:rPr>
          <w:rFonts w:asciiTheme="majorBidi" w:hAnsiTheme="majorBidi" w:cstheme="majorBidi"/>
          <w:sz w:val="24"/>
          <w:szCs w:val="24"/>
          <w:lang w:val="en-US"/>
        </w:rPr>
        <w:t xml:space="preserve">an </w:t>
      </w:r>
      <w:r w:rsidR="00B4571C" w:rsidRPr="00516108">
        <w:rPr>
          <w:rFonts w:asciiTheme="majorBidi" w:hAnsiTheme="majorBidi" w:cstheme="majorBidi"/>
          <w:sz w:val="24"/>
          <w:szCs w:val="24"/>
          <w:lang w:val="en-US"/>
        </w:rPr>
        <w:t>action</w:t>
      </w:r>
      <w:r w:rsidR="00251218" w:rsidRPr="00516108">
        <w:rPr>
          <w:rFonts w:asciiTheme="majorBidi" w:hAnsiTheme="majorBidi" w:cstheme="majorBidi"/>
          <w:sz w:val="24"/>
          <w:szCs w:val="24"/>
          <w:lang w:val="en-US"/>
        </w:rPr>
        <w:t xml:space="preserve"> that could lead to </w:t>
      </w:r>
      <w:r w:rsidR="00F0625D" w:rsidRPr="00516108">
        <w:rPr>
          <w:rFonts w:asciiTheme="majorBidi" w:hAnsiTheme="majorBidi" w:cstheme="majorBidi"/>
          <w:sz w:val="24"/>
          <w:szCs w:val="24"/>
          <w:lang w:val="en-US"/>
        </w:rPr>
        <w:t>harm</w:t>
      </w:r>
      <w:r w:rsidR="00770BCA" w:rsidRPr="00516108">
        <w:rPr>
          <w:rFonts w:asciiTheme="majorBidi" w:hAnsiTheme="majorBidi" w:cstheme="majorBidi"/>
          <w:sz w:val="24"/>
          <w:szCs w:val="24"/>
          <w:lang w:val="en-US"/>
        </w:rPr>
        <w:t xml:space="preserve">. </w:t>
      </w:r>
      <w:r w:rsidR="00322030">
        <w:rPr>
          <w:rFonts w:asciiTheme="majorBidi" w:hAnsiTheme="majorBidi" w:cstheme="majorBidi"/>
          <w:sz w:val="24"/>
          <w:szCs w:val="24"/>
          <w:lang w:val="en-US"/>
        </w:rPr>
        <w:t xml:space="preserve">While the omission/communion bias can be applied to many risk domains, it has been </w:t>
      </w:r>
      <w:r w:rsidR="00AA6A27" w:rsidRPr="00516108">
        <w:rPr>
          <w:rFonts w:asciiTheme="majorBidi" w:hAnsiTheme="majorBidi" w:cstheme="majorBidi"/>
          <w:sz w:val="24"/>
          <w:szCs w:val="24"/>
          <w:lang w:val="en-US"/>
        </w:rPr>
        <w:t xml:space="preserve">especially useful </w:t>
      </w:r>
      <w:r w:rsidR="00322030">
        <w:rPr>
          <w:rFonts w:asciiTheme="majorBidi" w:hAnsiTheme="majorBidi" w:cstheme="majorBidi"/>
          <w:sz w:val="24"/>
          <w:szCs w:val="24"/>
          <w:lang w:val="en-US"/>
        </w:rPr>
        <w:t xml:space="preserve">in the medical/health domains in </w:t>
      </w:r>
      <w:r w:rsidR="00AA6A27" w:rsidRPr="00516108">
        <w:rPr>
          <w:rFonts w:asciiTheme="majorBidi" w:hAnsiTheme="majorBidi" w:cstheme="majorBidi"/>
          <w:sz w:val="24"/>
          <w:szCs w:val="24"/>
          <w:lang w:val="en-US"/>
        </w:rPr>
        <w:t xml:space="preserve">shedding light on people’s decision to </w:t>
      </w:r>
      <w:r w:rsidR="00B4571C" w:rsidRPr="00516108">
        <w:rPr>
          <w:rFonts w:asciiTheme="majorBidi" w:hAnsiTheme="majorBidi" w:cstheme="majorBidi"/>
          <w:sz w:val="24"/>
          <w:szCs w:val="24"/>
          <w:lang w:val="en-US"/>
        </w:rPr>
        <w:t>accept</w:t>
      </w:r>
      <w:r w:rsidR="00AA6A27" w:rsidRPr="00516108">
        <w:rPr>
          <w:rFonts w:asciiTheme="majorBidi" w:hAnsiTheme="majorBidi" w:cstheme="majorBidi"/>
          <w:sz w:val="24"/>
          <w:szCs w:val="24"/>
          <w:lang w:val="en-US"/>
        </w:rPr>
        <w:t xml:space="preserve"> (or reject)</w:t>
      </w:r>
      <w:r w:rsidR="00B4571C" w:rsidRPr="00516108">
        <w:rPr>
          <w:rFonts w:asciiTheme="majorBidi" w:hAnsiTheme="majorBidi" w:cstheme="majorBidi"/>
          <w:sz w:val="24"/>
          <w:szCs w:val="24"/>
          <w:lang w:val="en-US"/>
        </w:rPr>
        <w:t xml:space="preserve"> </w:t>
      </w:r>
      <w:r w:rsidR="00C6247A">
        <w:rPr>
          <w:rFonts w:asciiTheme="majorBidi" w:hAnsiTheme="majorBidi" w:cstheme="majorBidi"/>
          <w:sz w:val="24"/>
          <w:szCs w:val="24"/>
          <w:lang w:val="en-US"/>
        </w:rPr>
        <w:t xml:space="preserve">preventative treatments such as </w:t>
      </w:r>
      <w:r w:rsidR="00770BCA" w:rsidRPr="00516108">
        <w:rPr>
          <w:rFonts w:asciiTheme="majorBidi" w:hAnsiTheme="majorBidi" w:cstheme="majorBidi"/>
          <w:sz w:val="24"/>
          <w:szCs w:val="24"/>
          <w:lang w:val="en-US"/>
        </w:rPr>
        <w:t>vaccination</w:t>
      </w:r>
      <w:r w:rsidR="00B4571C" w:rsidRPr="00516108">
        <w:rPr>
          <w:rFonts w:asciiTheme="majorBidi" w:hAnsiTheme="majorBidi" w:cstheme="majorBidi"/>
          <w:sz w:val="24"/>
          <w:szCs w:val="24"/>
          <w:lang w:val="en-US"/>
        </w:rPr>
        <w:t xml:space="preserve">. A common finding is </w:t>
      </w:r>
      <w:r w:rsidR="00770BCA" w:rsidRPr="00516108">
        <w:rPr>
          <w:rFonts w:asciiTheme="majorBidi" w:hAnsiTheme="majorBidi" w:cstheme="majorBidi"/>
          <w:sz w:val="24"/>
          <w:szCs w:val="24"/>
          <w:lang w:val="en-US"/>
        </w:rPr>
        <w:t>that people avoid immuniz</w:t>
      </w:r>
      <w:r w:rsidR="00F0625D" w:rsidRPr="00516108">
        <w:rPr>
          <w:rFonts w:asciiTheme="majorBidi" w:hAnsiTheme="majorBidi" w:cstheme="majorBidi"/>
          <w:sz w:val="24"/>
          <w:szCs w:val="24"/>
          <w:lang w:val="en-US"/>
        </w:rPr>
        <w:t xml:space="preserve">ing </w:t>
      </w:r>
      <w:r w:rsidR="00770BCA" w:rsidRPr="00516108">
        <w:rPr>
          <w:rFonts w:asciiTheme="majorBidi" w:hAnsiTheme="majorBidi" w:cstheme="majorBidi"/>
          <w:sz w:val="24"/>
          <w:szCs w:val="24"/>
          <w:lang w:val="en-US"/>
        </w:rPr>
        <w:t>themselves or their children because “they would feel more responsible for the death caused by the decision to vaccinate than for the death caused by the decision to withhold vaccination” (</w:t>
      </w:r>
      <w:r w:rsidR="00D37B2B" w:rsidRPr="00516108">
        <w:rPr>
          <w:rFonts w:asciiTheme="majorBidi" w:hAnsiTheme="majorBidi" w:cstheme="majorBidi"/>
          <w:sz w:val="24"/>
          <w:szCs w:val="24"/>
          <w:lang w:val="en-US"/>
        </w:rPr>
        <w:t>p. 118</w:t>
      </w:r>
      <w:r w:rsidR="00770BCA" w:rsidRPr="00516108">
        <w:rPr>
          <w:rFonts w:asciiTheme="majorBidi" w:hAnsiTheme="majorBidi" w:cstheme="majorBidi"/>
          <w:sz w:val="24"/>
          <w:szCs w:val="24"/>
          <w:lang w:val="en-US"/>
        </w:rPr>
        <w:t>)</w:t>
      </w:r>
      <w:r w:rsidR="00431487">
        <w:rPr>
          <w:rFonts w:asciiTheme="majorBidi" w:hAnsiTheme="majorBidi" w:cstheme="majorBidi"/>
          <w:sz w:val="24"/>
          <w:szCs w:val="24"/>
          <w:vertAlign w:val="superscript"/>
          <w:lang w:val="en-US"/>
        </w:rPr>
        <w:t>(</w:t>
      </w:r>
      <w:r w:rsidR="00FB1E1D">
        <w:rPr>
          <w:rFonts w:asciiTheme="majorBidi" w:hAnsiTheme="majorBidi" w:cstheme="majorBidi"/>
          <w:sz w:val="24"/>
          <w:szCs w:val="24"/>
          <w:vertAlign w:val="superscript"/>
          <w:lang w:val="en-US"/>
        </w:rPr>
        <w:t>2</w:t>
      </w:r>
      <w:r w:rsidR="00A15926">
        <w:rPr>
          <w:rFonts w:asciiTheme="majorBidi" w:hAnsiTheme="majorBidi" w:cstheme="majorBidi"/>
          <w:sz w:val="24"/>
          <w:szCs w:val="24"/>
          <w:vertAlign w:val="superscript"/>
          <w:lang w:val="en-US"/>
        </w:rPr>
        <w:t>5</w:t>
      </w:r>
      <w:r w:rsidR="00431487">
        <w:rPr>
          <w:rFonts w:asciiTheme="majorBidi" w:hAnsiTheme="majorBidi" w:cstheme="majorBidi"/>
          <w:sz w:val="24"/>
          <w:szCs w:val="24"/>
          <w:vertAlign w:val="superscript"/>
          <w:lang w:val="en-US"/>
        </w:rPr>
        <w:t>)</w:t>
      </w:r>
      <w:r w:rsidR="00262BC8">
        <w:rPr>
          <w:rFonts w:asciiTheme="majorBidi" w:hAnsiTheme="majorBidi" w:cstheme="majorBidi"/>
          <w:sz w:val="24"/>
          <w:szCs w:val="24"/>
          <w:lang w:val="en-US"/>
        </w:rPr>
        <w:t xml:space="preserve">. </w:t>
      </w:r>
      <w:r w:rsidR="00860B3F" w:rsidRPr="00516108">
        <w:rPr>
          <w:rFonts w:asciiTheme="majorBidi" w:hAnsiTheme="majorBidi" w:cstheme="majorBidi"/>
          <w:sz w:val="24"/>
          <w:szCs w:val="24"/>
          <w:lang w:val="en-US"/>
        </w:rPr>
        <w:t xml:space="preserve">However, not doing everything </w:t>
      </w:r>
      <w:r w:rsidR="00552EC4" w:rsidRPr="00516108">
        <w:rPr>
          <w:rFonts w:asciiTheme="majorBidi" w:hAnsiTheme="majorBidi" w:cstheme="majorBidi"/>
          <w:sz w:val="24"/>
          <w:szCs w:val="24"/>
          <w:lang w:val="en-US"/>
        </w:rPr>
        <w:t>in one</w:t>
      </w:r>
      <w:r w:rsidR="00DE0C3E">
        <w:rPr>
          <w:rFonts w:asciiTheme="majorBidi" w:hAnsiTheme="majorBidi" w:cstheme="majorBidi"/>
          <w:sz w:val="24"/>
          <w:szCs w:val="24"/>
          <w:lang w:val="en-US"/>
        </w:rPr>
        <w:t>’</w:t>
      </w:r>
      <w:r w:rsidR="00552EC4" w:rsidRPr="00516108">
        <w:rPr>
          <w:rFonts w:asciiTheme="majorBidi" w:hAnsiTheme="majorBidi" w:cstheme="majorBidi"/>
          <w:sz w:val="24"/>
          <w:szCs w:val="24"/>
          <w:lang w:val="en-US"/>
        </w:rPr>
        <w:t xml:space="preserve">s power </w:t>
      </w:r>
      <w:r w:rsidR="00860B3F" w:rsidRPr="00516108">
        <w:rPr>
          <w:rFonts w:asciiTheme="majorBidi" w:hAnsiTheme="majorBidi" w:cstheme="majorBidi"/>
          <w:sz w:val="24"/>
          <w:szCs w:val="24"/>
          <w:lang w:val="en-US"/>
        </w:rPr>
        <w:t xml:space="preserve">to save </w:t>
      </w:r>
      <w:r w:rsidR="007E0DD2" w:rsidRPr="00516108">
        <w:rPr>
          <w:rFonts w:asciiTheme="majorBidi" w:hAnsiTheme="majorBidi" w:cstheme="majorBidi"/>
          <w:sz w:val="24"/>
          <w:szCs w:val="24"/>
          <w:lang w:val="en-US"/>
        </w:rPr>
        <w:t>the life of a person for whom one has assumed responsibility (e.g., one</w:t>
      </w:r>
      <w:r w:rsidR="00DE0C3E">
        <w:rPr>
          <w:rFonts w:asciiTheme="majorBidi" w:hAnsiTheme="majorBidi" w:cstheme="majorBidi"/>
          <w:sz w:val="24"/>
          <w:szCs w:val="24"/>
          <w:lang w:val="en-US"/>
        </w:rPr>
        <w:t>’</w:t>
      </w:r>
      <w:r w:rsidR="007E0DD2" w:rsidRPr="00516108">
        <w:rPr>
          <w:rFonts w:asciiTheme="majorBidi" w:hAnsiTheme="majorBidi" w:cstheme="majorBidi"/>
          <w:sz w:val="24"/>
          <w:szCs w:val="24"/>
          <w:lang w:val="en-US"/>
        </w:rPr>
        <w:t>s child) might be perceived as failing in the role of a caretaker. Given the increase in generativity across adulthood</w:t>
      </w:r>
      <w:r w:rsidR="000D654D" w:rsidRPr="00516108">
        <w:rPr>
          <w:rFonts w:asciiTheme="majorBidi" w:hAnsiTheme="majorBidi" w:cstheme="majorBidi"/>
          <w:sz w:val="24"/>
          <w:szCs w:val="24"/>
          <w:lang w:val="en-US"/>
        </w:rPr>
        <w:t>,</w:t>
      </w:r>
      <w:r w:rsidR="00431487">
        <w:rPr>
          <w:rFonts w:asciiTheme="majorBidi" w:hAnsiTheme="majorBidi" w:cstheme="majorBidi"/>
          <w:sz w:val="24"/>
          <w:szCs w:val="24"/>
          <w:vertAlign w:val="superscript"/>
          <w:lang w:val="en-US"/>
        </w:rPr>
        <w:t>(</w:t>
      </w:r>
      <w:r w:rsidR="00FB1E1D">
        <w:rPr>
          <w:rFonts w:asciiTheme="majorBidi" w:hAnsiTheme="majorBidi" w:cstheme="majorBidi"/>
          <w:sz w:val="24"/>
          <w:szCs w:val="24"/>
          <w:vertAlign w:val="superscript"/>
          <w:lang w:val="en-US"/>
        </w:rPr>
        <w:t>2</w:t>
      </w:r>
      <w:r w:rsidR="00A15926">
        <w:rPr>
          <w:rFonts w:asciiTheme="majorBidi" w:hAnsiTheme="majorBidi" w:cstheme="majorBidi"/>
          <w:sz w:val="24"/>
          <w:szCs w:val="24"/>
          <w:vertAlign w:val="superscript"/>
          <w:lang w:val="en-US"/>
        </w:rPr>
        <w:t>6</w:t>
      </w:r>
      <w:r w:rsidR="00431487">
        <w:rPr>
          <w:rFonts w:asciiTheme="majorBidi" w:hAnsiTheme="majorBidi" w:cstheme="majorBidi"/>
          <w:sz w:val="24"/>
          <w:szCs w:val="24"/>
          <w:vertAlign w:val="superscript"/>
          <w:lang w:val="en-US"/>
        </w:rPr>
        <w:t>)</w:t>
      </w:r>
      <w:r w:rsidR="000D654D" w:rsidRPr="00516108">
        <w:rPr>
          <w:rFonts w:asciiTheme="majorBidi" w:hAnsiTheme="majorBidi" w:cstheme="majorBidi"/>
          <w:sz w:val="24"/>
          <w:szCs w:val="24"/>
          <w:lang w:val="en-US"/>
        </w:rPr>
        <w:t xml:space="preserve"> one might expect older adults to show a stronger reversed omission bias than younger adults when the decision concerns their child rather than themselves</w:t>
      </w:r>
      <w:r w:rsidR="0045165D" w:rsidRPr="00516108">
        <w:rPr>
          <w:rFonts w:asciiTheme="majorBidi" w:hAnsiTheme="majorBidi" w:cstheme="majorBidi"/>
          <w:sz w:val="24"/>
          <w:szCs w:val="24"/>
          <w:lang w:val="en-US"/>
        </w:rPr>
        <w:t xml:space="preserve">. </w:t>
      </w:r>
      <w:r w:rsidR="007E0DD2" w:rsidRPr="00516108">
        <w:rPr>
          <w:rFonts w:asciiTheme="majorBidi" w:hAnsiTheme="majorBidi" w:cstheme="majorBidi"/>
          <w:sz w:val="24"/>
          <w:szCs w:val="24"/>
          <w:lang w:val="en-US"/>
        </w:rPr>
        <w:t xml:space="preserve"> </w:t>
      </w:r>
    </w:p>
    <w:p w14:paraId="0E44954D" w14:textId="16D53AF0" w:rsidR="006B0466" w:rsidRPr="00516108" w:rsidRDefault="007135DA" w:rsidP="009F0ECF">
      <w:pPr>
        <w:autoSpaceDE w:val="0"/>
        <w:autoSpaceDN w:val="0"/>
        <w:adjustRightInd w:val="0"/>
        <w:spacing w:after="0" w:line="480" w:lineRule="auto"/>
        <w:ind w:firstLine="720"/>
        <w:rPr>
          <w:rFonts w:asciiTheme="majorBidi" w:hAnsiTheme="majorBidi" w:cstheme="majorBidi"/>
          <w:sz w:val="24"/>
          <w:szCs w:val="24"/>
          <w:lang w:val="en-US"/>
        </w:rPr>
      </w:pPr>
      <w:r>
        <w:rPr>
          <w:rFonts w:asciiTheme="majorBidi" w:hAnsiTheme="majorBidi" w:cstheme="majorBidi"/>
          <w:sz w:val="24"/>
          <w:szCs w:val="24"/>
          <w:lang w:val="en-US"/>
        </w:rPr>
        <w:t>In one illustrative study</w:t>
      </w:r>
      <w:r w:rsidR="00C6247A">
        <w:rPr>
          <w:rFonts w:asciiTheme="majorBidi" w:hAnsiTheme="majorBidi" w:cstheme="majorBidi"/>
          <w:sz w:val="24"/>
          <w:szCs w:val="24"/>
          <w:lang w:val="en-US"/>
        </w:rPr>
        <w:t>,</w:t>
      </w:r>
      <w:r w:rsidR="00990F1A">
        <w:rPr>
          <w:rFonts w:asciiTheme="majorBidi" w:hAnsiTheme="majorBidi" w:cstheme="majorBidi"/>
          <w:sz w:val="24"/>
          <w:szCs w:val="24"/>
          <w:lang w:val="en-US"/>
        </w:rPr>
        <w:t xml:space="preserve"> </w:t>
      </w:r>
      <w:r w:rsidR="0047773B">
        <w:rPr>
          <w:rFonts w:asciiTheme="majorBidi" w:hAnsiTheme="majorBidi" w:cstheme="majorBidi"/>
          <w:sz w:val="24"/>
          <w:szCs w:val="24"/>
          <w:lang w:val="en-US"/>
        </w:rPr>
        <w:t>researchers</w:t>
      </w:r>
      <w:r w:rsidR="00431487">
        <w:rPr>
          <w:rFonts w:asciiTheme="majorBidi" w:hAnsiTheme="majorBidi" w:cstheme="majorBidi"/>
          <w:sz w:val="24"/>
          <w:szCs w:val="24"/>
          <w:vertAlign w:val="superscript"/>
          <w:lang w:val="en-US"/>
        </w:rPr>
        <w:t>(2</w:t>
      </w:r>
      <w:r w:rsidR="00A15926">
        <w:rPr>
          <w:rFonts w:asciiTheme="majorBidi" w:hAnsiTheme="majorBidi" w:cstheme="majorBidi"/>
          <w:sz w:val="24"/>
          <w:szCs w:val="24"/>
          <w:vertAlign w:val="superscript"/>
          <w:lang w:val="en-US"/>
        </w:rPr>
        <w:t>7</w:t>
      </w:r>
      <w:r w:rsidR="00431487">
        <w:rPr>
          <w:rFonts w:asciiTheme="majorBidi" w:hAnsiTheme="majorBidi" w:cstheme="majorBidi"/>
          <w:sz w:val="24"/>
          <w:szCs w:val="24"/>
          <w:vertAlign w:val="superscript"/>
          <w:lang w:val="en-US"/>
        </w:rPr>
        <w:t>)</w:t>
      </w:r>
      <w:r w:rsidR="000B0FAD" w:rsidRPr="00516108">
        <w:rPr>
          <w:rFonts w:asciiTheme="majorBidi" w:hAnsiTheme="majorBidi" w:cstheme="majorBidi"/>
          <w:sz w:val="24"/>
          <w:szCs w:val="24"/>
          <w:lang w:val="en-US"/>
        </w:rPr>
        <w:t xml:space="preserve"> </w:t>
      </w:r>
      <w:r w:rsidR="00F0625D" w:rsidRPr="00516108">
        <w:rPr>
          <w:rFonts w:asciiTheme="majorBidi" w:hAnsiTheme="majorBidi" w:cstheme="majorBidi"/>
          <w:sz w:val="24"/>
          <w:szCs w:val="24"/>
          <w:lang w:val="en-US"/>
        </w:rPr>
        <w:t>asked participants to imag</w:t>
      </w:r>
      <w:r w:rsidR="006512CF" w:rsidRPr="00516108">
        <w:rPr>
          <w:rFonts w:asciiTheme="majorBidi" w:hAnsiTheme="majorBidi" w:cstheme="majorBidi"/>
          <w:sz w:val="24"/>
          <w:szCs w:val="24"/>
          <w:lang w:val="en-US"/>
        </w:rPr>
        <w:t xml:space="preserve">ine </w:t>
      </w:r>
      <w:r w:rsidR="00F0625D" w:rsidRPr="00516108">
        <w:rPr>
          <w:rFonts w:asciiTheme="majorBidi" w:hAnsiTheme="majorBidi" w:cstheme="majorBidi"/>
          <w:sz w:val="24"/>
          <w:szCs w:val="24"/>
          <w:lang w:val="en-US"/>
        </w:rPr>
        <w:t xml:space="preserve">that they </w:t>
      </w:r>
      <w:r w:rsidR="00350BE2" w:rsidRPr="00516108">
        <w:rPr>
          <w:rFonts w:asciiTheme="majorBidi" w:hAnsiTheme="majorBidi" w:cstheme="majorBidi"/>
          <w:sz w:val="24"/>
          <w:szCs w:val="24"/>
          <w:lang w:val="en-US"/>
        </w:rPr>
        <w:t xml:space="preserve">were </w:t>
      </w:r>
      <w:r w:rsidR="00F0625D" w:rsidRPr="00516108">
        <w:rPr>
          <w:rFonts w:asciiTheme="majorBidi" w:hAnsiTheme="majorBidi" w:cstheme="majorBidi"/>
          <w:sz w:val="24"/>
          <w:szCs w:val="24"/>
          <w:lang w:val="en-US"/>
        </w:rPr>
        <w:t xml:space="preserve">either a patient, a physician treating a single patient, a medical director creating treatment guidelines, or </w:t>
      </w:r>
      <w:r w:rsidR="006B0466" w:rsidRPr="00516108">
        <w:rPr>
          <w:rFonts w:asciiTheme="majorBidi" w:hAnsiTheme="majorBidi" w:cstheme="majorBidi"/>
          <w:sz w:val="24"/>
          <w:szCs w:val="24"/>
          <w:lang w:val="en-US"/>
        </w:rPr>
        <w:t xml:space="preserve">a </w:t>
      </w:r>
      <w:r w:rsidR="00F0625D" w:rsidRPr="00516108">
        <w:rPr>
          <w:rFonts w:asciiTheme="majorBidi" w:hAnsiTheme="majorBidi" w:cstheme="majorBidi"/>
          <w:sz w:val="24"/>
          <w:szCs w:val="24"/>
          <w:lang w:val="en-US"/>
        </w:rPr>
        <w:t xml:space="preserve">parent deciding for a child. </w:t>
      </w:r>
      <w:r w:rsidR="006512CF" w:rsidRPr="00516108">
        <w:rPr>
          <w:rFonts w:asciiTheme="majorBidi" w:hAnsiTheme="majorBidi" w:cstheme="majorBidi"/>
          <w:sz w:val="24"/>
          <w:szCs w:val="24"/>
          <w:lang w:val="en-US"/>
        </w:rPr>
        <w:t>P</w:t>
      </w:r>
      <w:r w:rsidR="00F0625D" w:rsidRPr="00516108">
        <w:rPr>
          <w:rFonts w:asciiTheme="majorBidi" w:hAnsiTheme="majorBidi" w:cstheme="majorBidi"/>
          <w:sz w:val="24"/>
          <w:szCs w:val="24"/>
          <w:lang w:val="en-US"/>
        </w:rPr>
        <w:t xml:space="preserve">articipants </w:t>
      </w:r>
      <w:r w:rsidR="006512CF" w:rsidRPr="00516108">
        <w:rPr>
          <w:rFonts w:asciiTheme="majorBidi" w:hAnsiTheme="majorBidi" w:cstheme="majorBidi"/>
          <w:sz w:val="24"/>
          <w:szCs w:val="24"/>
          <w:lang w:val="en-US"/>
        </w:rPr>
        <w:t xml:space="preserve">were asked to </w:t>
      </w:r>
      <w:r w:rsidR="00F0625D" w:rsidRPr="00516108">
        <w:rPr>
          <w:rFonts w:asciiTheme="majorBidi" w:hAnsiTheme="majorBidi" w:cstheme="majorBidi"/>
          <w:sz w:val="24"/>
          <w:szCs w:val="24"/>
          <w:lang w:val="en-US"/>
        </w:rPr>
        <w:t xml:space="preserve">make treatment decisions about </w:t>
      </w:r>
      <w:r w:rsidR="00350BE2" w:rsidRPr="00516108">
        <w:rPr>
          <w:rFonts w:asciiTheme="majorBidi" w:hAnsiTheme="majorBidi" w:cstheme="majorBidi"/>
          <w:sz w:val="24"/>
          <w:szCs w:val="24"/>
          <w:lang w:val="en-US"/>
        </w:rPr>
        <w:t xml:space="preserve">a </w:t>
      </w:r>
      <w:r w:rsidR="00F0625D" w:rsidRPr="00516108">
        <w:rPr>
          <w:rFonts w:asciiTheme="majorBidi" w:hAnsiTheme="majorBidi" w:cstheme="majorBidi"/>
          <w:sz w:val="24"/>
          <w:szCs w:val="24"/>
          <w:lang w:val="en-US"/>
        </w:rPr>
        <w:t xml:space="preserve">vaccination </w:t>
      </w:r>
      <w:r w:rsidR="00350BE2" w:rsidRPr="00516108">
        <w:rPr>
          <w:rFonts w:asciiTheme="majorBidi" w:hAnsiTheme="majorBidi" w:cstheme="majorBidi"/>
          <w:sz w:val="24"/>
          <w:szCs w:val="24"/>
          <w:lang w:val="en-US"/>
        </w:rPr>
        <w:t xml:space="preserve">against </w:t>
      </w:r>
      <w:r w:rsidR="00F0625D" w:rsidRPr="00516108">
        <w:rPr>
          <w:rFonts w:asciiTheme="majorBidi" w:hAnsiTheme="majorBidi" w:cstheme="majorBidi"/>
          <w:sz w:val="24"/>
          <w:szCs w:val="24"/>
          <w:lang w:val="en-US"/>
        </w:rPr>
        <w:t xml:space="preserve">a deadly flu and </w:t>
      </w:r>
      <w:r w:rsidR="00175B4E" w:rsidRPr="00516108">
        <w:rPr>
          <w:rFonts w:asciiTheme="majorBidi" w:hAnsiTheme="majorBidi" w:cstheme="majorBidi"/>
          <w:sz w:val="24"/>
          <w:szCs w:val="24"/>
          <w:lang w:val="en-US"/>
        </w:rPr>
        <w:t xml:space="preserve">about </w:t>
      </w:r>
      <w:r w:rsidR="004C5B39" w:rsidRPr="00516108">
        <w:rPr>
          <w:rFonts w:asciiTheme="majorBidi" w:hAnsiTheme="majorBidi" w:cstheme="majorBidi"/>
          <w:sz w:val="24"/>
          <w:szCs w:val="24"/>
          <w:lang w:val="en-US"/>
        </w:rPr>
        <w:t xml:space="preserve">a </w:t>
      </w:r>
      <w:r w:rsidR="00F0625D" w:rsidRPr="00516108">
        <w:rPr>
          <w:rFonts w:asciiTheme="majorBidi" w:hAnsiTheme="majorBidi" w:cstheme="majorBidi"/>
          <w:sz w:val="24"/>
          <w:szCs w:val="24"/>
          <w:lang w:val="en-US"/>
        </w:rPr>
        <w:t xml:space="preserve">slow-growing cancer. </w:t>
      </w:r>
      <w:r w:rsidR="00220C42" w:rsidRPr="00516108">
        <w:rPr>
          <w:rFonts w:asciiTheme="majorBidi" w:hAnsiTheme="majorBidi" w:cstheme="majorBidi"/>
          <w:sz w:val="24"/>
          <w:szCs w:val="24"/>
          <w:lang w:val="en-US"/>
        </w:rPr>
        <w:t xml:space="preserve">Overall, participants were more likely to administer the vaccine and to choose a chemotherapy treatment when deciding for their child </w:t>
      </w:r>
      <w:r w:rsidR="00350BE2" w:rsidRPr="00516108">
        <w:rPr>
          <w:rFonts w:asciiTheme="majorBidi" w:hAnsiTheme="majorBidi" w:cstheme="majorBidi"/>
          <w:sz w:val="24"/>
          <w:szCs w:val="24"/>
          <w:lang w:val="en-US"/>
        </w:rPr>
        <w:t>than</w:t>
      </w:r>
      <w:r w:rsidR="00220C42" w:rsidRPr="00516108">
        <w:rPr>
          <w:rFonts w:asciiTheme="majorBidi" w:hAnsiTheme="majorBidi" w:cstheme="majorBidi"/>
          <w:sz w:val="24"/>
          <w:szCs w:val="24"/>
          <w:lang w:val="en-US"/>
        </w:rPr>
        <w:t xml:space="preserve"> when deciding for the</w:t>
      </w:r>
      <w:r w:rsidR="00350BE2" w:rsidRPr="00516108">
        <w:rPr>
          <w:rFonts w:asciiTheme="majorBidi" w:hAnsiTheme="majorBidi" w:cstheme="majorBidi"/>
          <w:sz w:val="24"/>
          <w:szCs w:val="24"/>
          <w:lang w:val="en-US"/>
        </w:rPr>
        <w:t>mselves</w:t>
      </w:r>
      <w:r w:rsidR="006B0466" w:rsidRPr="00516108">
        <w:rPr>
          <w:rFonts w:asciiTheme="majorBidi" w:hAnsiTheme="majorBidi" w:cstheme="majorBidi"/>
          <w:sz w:val="24"/>
          <w:szCs w:val="24"/>
          <w:lang w:val="en-US"/>
        </w:rPr>
        <w:t>. M</w:t>
      </w:r>
      <w:r w:rsidR="00220C42" w:rsidRPr="00516108">
        <w:rPr>
          <w:rFonts w:asciiTheme="majorBidi" w:hAnsiTheme="majorBidi" w:cstheme="majorBidi"/>
          <w:sz w:val="24"/>
          <w:szCs w:val="24"/>
          <w:lang w:val="en-US"/>
        </w:rPr>
        <w:t xml:space="preserve">ore importantly, those </w:t>
      </w:r>
      <w:r w:rsidR="00350BE2" w:rsidRPr="00516108">
        <w:rPr>
          <w:rFonts w:asciiTheme="majorBidi" w:hAnsiTheme="majorBidi" w:cstheme="majorBidi"/>
          <w:sz w:val="24"/>
          <w:szCs w:val="24"/>
          <w:lang w:val="en-US"/>
        </w:rPr>
        <w:t xml:space="preserve">aged </w:t>
      </w:r>
      <w:r w:rsidR="00220C42" w:rsidRPr="00516108">
        <w:rPr>
          <w:rFonts w:asciiTheme="majorBidi" w:hAnsiTheme="majorBidi" w:cstheme="majorBidi"/>
          <w:sz w:val="24"/>
          <w:szCs w:val="24"/>
          <w:lang w:val="en-US"/>
        </w:rPr>
        <w:t>65</w:t>
      </w:r>
      <w:r w:rsidR="006B0466" w:rsidRPr="00516108">
        <w:rPr>
          <w:rFonts w:asciiTheme="majorBidi" w:hAnsiTheme="majorBidi" w:cstheme="majorBidi"/>
          <w:sz w:val="24"/>
          <w:szCs w:val="24"/>
          <w:lang w:val="en-US"/>
        </w:rPr>
        <w:t xml:space="preserve"> years </w:t>
      </w:r>
      <w:r w:rsidR="00350BE2" w:rsidRPr="00516108">
        <w:rPr>
          <w:rFonts w:asciiTheme="majorBidi" w:hAnsiTheme="majorBidi" w:cstheme="majorBidi"/>
          <w:sz w:val="24"/>
          <w:szCs w:val="24"/>
          <w:lang w:val="en-US"/>
        </w:rPr>
        <w:t xml:space="preserve">and </w:t>
      </w:r>
      <w:r w:rsidR="006B0466" w:rsidRPr="00516108">
        <w:rPr>
          <w:rFonts w:asciiTheme="majorBidi" w:hAnsiTheme="majorBidi" w:cstheme="majorBidi"/>
          <w:sz w:val="24"/>
          <w:szCs w:val="24"/>
          <w:lang w:val="en-US"/>
        </w:rPr>
        <w:t>old</w:t>
      </w:r>
      <w:r w:rsidR="00350BE2" w:rsidRPr="00516108">
        <w:rPr>
          <w:rFonts w:asciiTheme="majorBidi" w:hAnsiTheme="majorBidi" w:cstheme="majorBidi"/>
          <w:sz w:val="24"/>
          <w:szCs w:val="24"/>
          <w:lang w:val="en-US"/>
        </w:rPr>
        <w:t>er</w:t>
      </w:r>
      <w:r w:rsidR="00220C42" w:rsidRPr="00516108">
        <w:rPr>
          <w:rFonts w:asciiTheme="majorBidi" w:hAnsiTheme="majorBidi" w:cstheme="majorBidi"/>
          <w:sz w:val="24"/>
          <w:szCs w:val="24"/>
          <w:lang w:val="en-US"/>
        </w:rPr>
        <w:t xml:space="preserve"> were less likely to accept the chemotherapy treatment for themselves</w:t>
      </w:r>
      <w:r w:rsidR="00225D1A">
        <w:rPr>
          <w:rFonts w:asciiTheme="majorBidi" w:hAnsiTheme="majorBidi" w:cstheme="majorBidi"/>
          <w:sz w:val="24"/>
          <w:szCs w:val="24"/>
          <w:lang w:val="en-US"/>
        </w:rPr>
        <w:t xml:space="preserve"> but </w:t>
      </w:r>
      <w:r w:rsidR="00220C42" w:rsidRPr="00516108">
        <w:rPr>
          <w:rFonts w:asciiTheme="majorBidi" w:hAnsiTheme="majorBidi" w:cstheme="majorBidi"/>
          <w:sz w:val="24"/>
          <w:szCs w:val="24"/>
          <w:lang w:val="en-US"/>
        </w:rPr>
        <w:t xml:space="preserve">more likely to </w:t>
      </w:r>
      <w:r w:rsidR="006B0466" w:rsidRPr="00516108">
        <w:rPr>
          <w:rFonts w:asciiTheme="majorBidi" w:hAnsiTheme="majorBidi" w:cstheme="majorBidi"/>
          <w:sz w:val="24"/>
          <w:szCs w:val="24"/>
          <w:lang w:val="en-US"/>
        </w:rPr>
        <w:t>accept</w:t>
      </w:r>
      <w:r w:rsidR="00220C42" w:rsidRPr="00516108">
        <w:rPr>
          <w:rFonts w:asciiTheme="majorBidi" w:hAnsiTheme="majorBidi" w:cstheme="majorBidi"/>
          <w:sz w:val="24"/>
          <w:szCs w:val="24"/>
          <w:lang w:val="en-US"/>
        </w:rPr>
        <w:t xml:space="preserve"> the </w:t>
      </w:r>
      <w:r w:rsidR="006B0466" w:rsidRPr="00516108">
        <w:rPr>
          <w:rFonts w:asciiTheme="majorBidi" w:hAnsiTheme="majorBidi" w:cstheme="majorBidi"/>
          <w:sz w:val="24"/>
          <w:szCs w:val="24"/>
          <w:lang w:val="en-US"/>
        </w:rPr>
        <w:t>flu</w:t>
      </w:r>
      <w:r w:rsidR="00220C42" w:rsidRPr="00516108">
        <w:rPr>
          <w:rFonts w:asciiTheme="majorBidi" w:hAnsiTheme="majorBidi" w:cstheme="majorBidi"/>
          <w:sz w:val="24"/>
          <w:szCs w:val="24"/>
          <w:lang w:val="en-US"/>
        </w:rPr>
        <w:t xml:space="preserve"> vaccine</w:t>
      </w:r>
      <w:r w:rsidR="006B0466" w:rsidRPr="00516108">
        <w:rPr>
          <w:rFonts w:asciiTheme="majorBidi" w:hAnsiTheme="majorBidi" w:cstheme="majorBidi"/>
          <w:sz w:val="24"/>
          <w:szCs w:val="24"/>
          <w:lang w:val="en-US"/>
        </w:rPr>
        <w:t xml:space="preserve">. </w:t>
      </w:r>
      <w:r w:rsidR="0047773B">
        <w:rPr>
          <w:rFonts w:asciiTheme="majorBidi" w:hAnsiTheme="majorBidi" w:cstheme="majorBidi"/>
          <w:sz w:val="24"/>
          <w:szCs w:val="24"/>
          <w:lang w:val="en-US"/>
        </w:rPr>
        <w:t xml:space="preserve">The </w:t>
      </w:r>
      <w:r w:rsidR="009F0ECF">
        <w:rPr>
          <w:rFonts w:asciiTheme="majorBidi" w:hAnsiTheme="majorBidi" w:cstheme="majorBidi"/>
          <w:sz w:val="24"/>
          <w:szCs w:val="24"/>
          <w:lang w:val="en-US"/>
        </w:rPr>
        <w:t>researcher’s</w:t>
      </w:r>
      <w:r w:rsidR="00F07A62">
        <w:rPr>
          <w:rFonts w:asciiTheme="majorBidi" w:hAnsiTheme="majorBidi" w:cstheme="majorBidi"/>
          <w:sz w:val="24"/>
          <w:szCs w:val="24"/>
          <w:vertAlign w:val="superscript"/>
          <w:lang w:val="en-US"/>
        </w:rPr>
        <w:t>(2</w:t>
      </w:r>
      <w:r w:rsidR="00A15926">
        <w:rPr>
          <w:rFonts w:asciiTheme="majorBidi" w:hAnsiTheme="majorBidi" w:cstheme="majorBidi"/>
          <w:sz w:val="24"/>
          <w:szCs w:val="24"/>
          <w:vertAlign w:val="superscript"/>
          <w:lang w:val="en-US"/>
        </w:rPr>
        <w:t>8</w:t>
      </w:r>
      <w:r w:rsidR="00F07A62">
        <w:rPr>
          <w:rFonts w:asciiTheme="majorBidi" w:hAnsiTheme="majorBidi" w:cstheme="majorBidi"/>
          <w:sz w:val="24"/>
          <w:szCs w:val="24"/>
          <w:vertAlign w:val="superscript"/>
          <w:lang w:val="en-US"/>
        </w:rPr>
        <w:t>)</w:t>
      </w:r>
      <w:r w:rsidR="001E7C19" w:rsidRPr="00516108">
        <w:rPr>
          <w:rFonts w:asciiTheme="majorBidi" w:hAnsiTheme="majorBidi" w:cstheme="majorBidi"/>
          <w:sz w:val="24"/>
          <w:szCs w:val="24"/>
          <w:lang w:val="en-US"/>
        </w:rPr>
        <w:t xml:space="preserve"> </w:t>
      </w:r>
      <w:r w:rsidR="00195920" w:rsidRPr="00516108">
        <w:rPr>
          <w:rFonts w:asciiTheme="majorBidi" w:hAnsiTheme="majorBidi" w:cstheme="majorBidi"/>
          <w:sz w:val="24"/>
          <w:szCs w:val="24"/>
          <w:lang w:val="en-US"/>
        </w:rPr>
        <w:t xml:space="preserve">choice of flu vaccination and cancer </w:t>
      </w:r>
      <w:r w:rsidR="00225D1A">
        <w:rPr>
          <w:rFonts w:asciiTheme="majorBidi" w:hAnsiTheme="majorBidi" w:cstheme="majorBidi"/>
          <w:sz w:val="24"/>
          <w:szCs w:val="24"/>
          <w:lang w:val="en-US"/>
        </w:rPr>
        <w:t xml:space="preserve">treatment </w:t>
      </w:r>
      <w:r w:rsidR="008412A6" w:rsidRPr="00516108">
        <w:rPr>
          <w:rFonts w:asciiTheme="majorBidi" w:hAnsiTheme="majorBidi" w:cstheme="majorBidi"/>
          <w:sz w:val="24"/>
          <w:szCs w:val="24"/>
          <w:lang w:val="en-US"/>
        </w:rPr>
        <w:t xml:space="preserve">could potentially </w:t>
      </w:r>
      <w:r w:rsidR="001E7C19" w:rsidRPr="00516108">
        <w:rPr>
          <w:rFonts w:asciiTheme="majorBidi" w:hAnsiTheme="majorBidi" w:cstheme="majorBidi"/>
          <w:sz w:val="24"/>
          <w:szCs w:val="24"/>
          <w:lang w:val="en-US"/>
        </w:rPr>
        <w:t>c</w:t>
      </w:r>
      <w:r w:rsidR="00195920" w:rsidRPr="00516108">
        <w:rPr>
          <w:rFonts w:asciiTheme="majorBidi" w:hAnsiTheme="majorBidi" w:cstheme="majorBidi"/>
          <w:sz w:val="24"/>
          <w:szCs w:val="24"/>
          <w:lang w:val="en-US"/>
        </w:rPr>
        <w:t xml:space="preserve">orrespond </w:t>
      </w:r>
      <w:r w:rsidR="001E7C19" w:rsidRPr="00516108">
        <w:rPr>
          <w:rFonts w:asciiTheme="majorBidi" w:hAnsiTheme="majorBidi" w:cstheme="majorBidi"/>
          <w:sz w:val="24"/>
          <w:szCs w:val="24"/>
          <w:lang w:val="en-US"/>
        </w:rPr>
        <w:t xml:space="preserve">to </w:t>
      </w:r>
      <w:r w:rsidR="0047773B">
        <w:rPr>
          <w:rFonts w:asciiTheme="majorBidi" w:hAnsiTheme="majorBidi" w:cstheme="majorBidi"/>
          <w:sz w:val="24"/>
          <w:szCs w:val="24"/>
          <w:lang w:val="en-US"/>
        </w:rPr>
        <w:t>others</w:t>
      </w:r>
      <w:r w:rsidR="004C3782">
        <w:rPr>
          <w:rFonts w:asciiTheme="majorBidi" w:hAnsiTheme="majorBidi" w:cstheme="majorBidi"/>
          <w:sz w:val="24"/>
          <w:szCs w:val="24"/>
          <w:lang w:val="en-US"/>
        </w:rPr>
        <w:t>’</w:t>
      </w:r>
      <w:r w:rsidR="00F07A62">
        <w:rPr>
          <w:rFonts w:asciiTheme="majorBidi" w:hAnsiTheme="majorBidi" w:cstheme="majorBidi"/>
          <w:sz w:val="24"/>
          <w:szCs w:val="24"/>
          <w:vertAlign w:val="superscript"/>
          <w:lang w:val="en-US"/>
        </w:rPr>
        <w:t>(3)</w:t>
      </w:r>
      <w:r w:rsidR="001E7C19" w:rsidRPr="00516108">
        <w:rPr>
          <w:rFonts w:asciiTheme="majorBidi" w:hAnsiTheme="majorBidi" w:cstheme="majorBidi"/>
          <w:sz w:val="24"/>
          <w:szCs w:val="24"/>
          <w:lang w:val="en-US"/>
        </w:rPr>
        <w:t xml:space="preserve"> argument </w:t>
      </w:r>
      <w:r w:rsidR="00C26EA7" w:rsidRPr="00516108">
        <w:rPr>
          <w:rFonts w:asciiTheme="majorBidi" w:hAnsiTheme="majorBidi" w:cstheme="majorBidi"/>
          <w:sz w:val="24"/>
          <w:szCs w:val="24"/>
          <w:lang w:val="en-US"/>
        </w:rPr>
        <w:t xml:space="preserve">that older adults </w:t>
      </w:r>
      <w:r w:rsidR="00A6139D" w:rsidRPr="00516108">
        <w:rPr>
          <w:rFonts w:asciiTheme="majorBidi" w:hAnsiTheme="majorBidi" w:cstheme="majorBidi"/>
          <w:sz w:val="24"/>
          <w:szCs w:val="24"/>
          <w:lang w:val="en-US"/>
        </w:rPr>
        <w:t xml:space="preserve">sometimes </w:t>
      </w:r>
      <w:r w:rsidR="00C26EA7" w:rsidRPr="00516108">
        <w:rPr>
          <w:rFonts w:asciiTheme="majorBidi" w:hAnsiTheme="majorBidi" w:cstheme="majorBidi"/>
          <w:sz w:val="24"/>
          <w:szCs w:val="24"/>
          <w:lang w:val="en-US"/>
        </w:rPr>
        <w:t>have difficult</w:t>
      </w:r>
      <w:r w:rsidR="008412A6" w:rsidRPr="00516108">
        <w:rPr>
          <w:rFonts w:asciiTheme="majorBidi" w:hAnsiTheme="majorBidi" w:cstheme="majorBidi"/>
          <w:sz w:val="24"/>
          <w:szCs w:val="24"/>
          <w:lang w:val="en-US"/>
        </w:rPr>
        <w:t>ies</w:t>
      </w:r>
      <w:r w:rsidR="00C26EA7" w:rsidRPr="00516108">
        <w:rPr>
          <w:rFonts w:asciiTheme="majorBidi" w:hAnsiTheme="majorBidi" w:cstheme="majorBidi"/>
          <w:sz w:val="24"/>
          <w:szCs w:val="24"/>
          <w:lang w:val="en-US"/>
        </w:rPr>
        <w:t xml:space="preserve"> learn</w:t>
      </w:r>
      <w:r w:rsidR="00A6139D" w:rsidRPr="00516108">
        <w:rPr>
          <w:rFonts w:asciiTheme="majorBidi" w:hAnsiTheme="majorBidi" w:cstheme="majorBidi"/>
          <w:sz w:val="24"/>
          <w:szCs w:val="24"/>
          <w:lang w:val="en-US"/>
        </w:rPr>
        <w:t>ing from feedback about their risk taking</w:t>
      </w:r>
      <w:r w:rsidR="00C26EA7" w:rsidRPr="00516108">
        <w:rPr>
          <w:rFonts w:asciiTheme="majorBidi" w:hAnsiTheme="majorBidi" w:cstheme="majorBidi"/>
          <w:sz w:val="24"/>
          <w:szCs w:val="24"/>
          <w:lang w:val="en-US"/>
        </w:rPr>
        <w:t xml:space="preserve"> and, therefore, show different decision patterns than younger adults when the decisions are based on newly learned associations. Applied to flu vaccinations and cancer treatments, this would lead to different expectations regarding age-related differences in risky decisions: G</w:t>
      </w:r>
      <w:r w:rsidR="00195920" w:rsidRPr="00516108">
        <w:rPr>
          <w:rFonts w:asciiTheme="majorBidi" w:hAnsiTheme="majorBidi" w:cstheme="majorBidi"/>
          <w:sz w:val="24"/>
          <w:szCs w:val="24"/>
          <w:lang w:val="en-US"/>
        </w:rPr>
        <w:t xml:space="preserve">iven </w:t>
      </w:r>
      <w:r w:rsidR="00561713">
        <w:rPr>
          <w:rFonts w:asciiTheme="majorBidi" w:hAnsiTheme="majorBidi" w:cstheme="majorBidi"/>
          <w:sz w:val="24"/>
          <w:szCs w:val="24"/>
          <w:lang w:val="en-US"/>
        </w:rPr>
        <w:t>the flu’s</w:t>
      </w:r>
      <w:r w:rsidR="00561713" w:rsidRPr="00516108">
        <w:rPr>
          <w:rFonts w:asciiTheme="majorBidi" w:hAnsiTheme="majorBidi" w:cstheme="majorBidi"/>
          <w:sz w:val="24"/>
          <w:szCs w:val="24"/>
          <w:lang w:val="en-US"/>
        </w:rPr>
        <w:t xml:space="preserve"> </w:t>
      </w:r>
      <w:r w:rsidR="00195920" w:rsidRPr="00516108">
        <w:rPr>
          <w:rFonts w:asciiTheme="majorBidi" w:hAnsiTheme="majorBidi" w:cstheme="majorBidi"/>
          <w:sz w:val="24"/>
          <w:szCs w:val="24"/>
          <w:lang w:val="en-US"/>
        </w:rPr>
        <w:t xml:space="preserve">yearly occurrence, one would expect </w:t>
      </w:r>
      <w:r w:rsidR="001E7C19" w:rsidRPr="00516108">
        <w:rPr>
          <w:rFonts w:asciiTheme="majorBidi" w:hAnsiTheme="majorBidi" w:cstheme="majorBidi"/>
          <w:sz w:val="24"/>
          <w:szCs w:val="24"/>
          <w:lang w:val="en-US"/>
        </w:rPr>
        <w:t xml:space="preserve">older adults </w:t>
      </w:r>
      <w:r w:rsidR="00195920" w:rsidRPr="00516108">
        <w:rPr>
          <w:rFonts w:asciiTheme="majorBidi" w:hAnsiTheme="majorBidi" w:cstheme="majorBidi"/>
          <w:sz w:val="24"/>
          <w:szCs w:val="24"/>
          <w:lang w:val="en-US"/>
        </w:rPr>
        <w:t xml:space="preserve">to have greater experience </w:t>
      </w:r>
      <w:r w:rsidR="001E7C19" w:rsidRPr="00516108">
        <w:rPr>
          <w:rFonts w:asciiTheme="majorBidi" w:hAnsiTheme="majorBidi" w:cstheme="majorBidi"/>
          <w:sz w:val="24"/>
          <w:szCs w:val="24"/>
          <w:lang w:val="en-US"/>
        </w:rPr>
        <w:t>with flu vaccination</w:t>
      </w:r>
      <w:r w:rsidR="0053588C" w:rsidRPr="00516108">
        <w:rPr>
          <w:rFonts w:asciiTheme="majorBidi" w:hAnsiTheme="majorBidi" w:cstheme="majorBidi"/>
          <w:sz w:val="24"/>
          <w:szCs w:val="24"/>
          <w:lang w:val="en-US"/>
        </w:rPr>
        <w:t xml:space="preserve"> than younger adults because the</w:t>
      </w:r>
      <w:r w:rsidR="008531E9" w:rsidRPr="00516108">
        <w:rPr>
          <w:rFonts w:asciiTheme="majorBidi" w:hAnsiTheme="majorBidi" w:cstheme="majorBidi"/>
          <w:sz w:val="24"/>
          <w:szCs w:val="24"/>
          <w:lang w:val="en-US"/>
        </w:rPr>
        <w:t>y</w:t>
      </w:r>
      <w:r w:rsidR="0053588C" w:rsidRPr="00516108">
        <w:rPr>
          <w:rFonts w:asciiTheme="majorBidi" w:hAnsiTheme="majorBidi" w:cstheme="majorBidi"/>
          <w:sz w:val="24"/>
          <w:szCs w:val="24"/>
          <w:lang w:val="en-US"/>
        </w:rPr>
        <w:t xml:space="preserve"> </w:t>
      </w:r>
      <w:r w:rsidR="00561713">
        <w:rPr>
          <w:rFonts w:asciiTheme="majorBidi" w:hAnsiTheme="majorBidi" w:cstheme="majorBidi"/>
          <w:sz w:val="24"/>
          <w:szCs w:val="24"/>
          <w:lang w:val="en-US"/>
        </w:rPr>
        <w:t xml:space="preserve">have </w:t>
      </w:r>
      <w:r w:rsidR="0053588C" w:rsidRPr="00516108">
        <w:rPr>
          <w:rFonts w:asciiTheme="majorBidi" w:hAnsiTheme="majorBidi" w:cstheme="majorBidi"/>
          <w:sz w:val="24"/>
          <w:szCs w:val="24"/>
          <w:lang w:val="en-US"/>
        </w:rPr>
        <w:t>experienced a greater number of flu seasons</w:t>
      </w:r>
      <w:r w:rsidR="00266D90" w:rsidRPr="00516108">
        <w:rPr>
          <w:rFonts w:asciiTheme="majorBidi" w:hAnsiTheme="majorBidi" w:cstheme="majorBidi"/>
          <w:sz w:val="24"/>
          <w:szCs w:val="24"/>
          <w:lang w:val="en-US"/>
        </w:rPr>
        <w:t xml:space="preserve">. In contrast, </w:t>
      </w:r>
      <w:r w:rsidR="00195920" w:rsidRPr="00516108">
        <w:rPr>
          <w:rFonts w:asciiTheme="majorBidi" w:hAnsiTheme="majorBidi" w:cstheme="majorBidi"/>
          <w:sz w:val="24"/>
          <w:szCs w:val="24"/>
          <w:lang w:val="en-US"/>
        </w:rPr>
        <w:t>given the rarity</w:t>
      </w:r>
      <w:r w:rsidR="00C26EA7" w:rsidRPr="00516108">
        <w:rPr>
          <w:rFonts w:asciiTheme="majorBidi" w:hAnsiTheme="majorBidi" w:cstheme="majorBidi"/>
          <w:sz w:val="24"/>
          <w:szCs w:val="24"/>
          <w:lang w:val="en-US"/>
        </w:rPr>
        <w:t xml:space="preserve"> and the heterogeneity</w:t>
      </w:r>
      <w:r w:rsidR="00195920" w:rsidRPr="00516108">
        <w:rPr>
          <w:rFonts w:asciiTheme="majorBidi" w:hAnsiTheme="majorBidi" w:cstheme="majorBidi"/>
          <w:sz w:val="24"/>
          <w:szCs w:val="24"/>
          <w:lang w:val="en-US"/>
        </w:rPr>
        <w:t xml:space="preserve"> of</w:t>
      </w:r>
      <w:r w:rsidR="00C26EA7" w:rsidRPr="00516108">
        <w:rPr>
          <w:rFonts w:asciiTheme="majorBidi" w:hAnsiTheme="majorBidi" w:cstheme="majorBidi"/>
          <w:sz w:val="24"/>
          <w:szCs w:val="24"/>
          <w:lang w:val="en-US"/>
        </w:rPr>
        <w:t xml:space="preserve"> different kinds of</w:t>
      </w:r>
      <w:r w:rsidR="00195920" w:rsidRPr="00516108">
        <w:rPr>
          <w:rFonts w:asciiTheme="majorBidi" w:hAnsiTheme="majorBidi" w:cstheme="majorBidi"/>
          <w:sz w:val="24"/>
          <w:szCs w:val="24"/>
          <w:lang w:val="en-US"/>
        </w:rPr>
        <w:t xml:space="preserve"> cancer, </w:t>
      </w:r>
      <w:r w:rsidR="00D03F17">
        <w:rPr>
          <w:rFonts w:asciiTheme="majorBidi" w:hAnsiTheme="majorBidi" w:cstheme="majorBidi"/>
          <w:sz w:val="24"/>
          <w:szCs w:val="24"/>
          <w:lang w:val="en-US"/>
        </w:rPr>
        <w:t xml:space="preserve">young and even </w:t>
      </w:r>
      <w:r w:rsidR="00195920" w:rsidRPr="00516108">
        <w:rPr>
          <w:rFonts w:asciiTheme="majorBidi" w:hAnsiTheme="majorBidi" w:cstheme="majorBidi"/>
          <w:sz w:val="24"/>
          <w:szCs w:val="24"/>
          <w:lang w:val="en-US"/>
        </w:rPr>
        <w:t xml:space="preserve">older adults </w:t>
      </w:r>
      <w:r w:rsidR="00C26EA7" w:rsidRPr="00516108">
        <w:rPr>
          <w:rFonts w:asciiTheme="majorBidi" w:hAnsiTheme="majorBidi" w:cstheme="majorBidi"/>
          <w:sz w:val="24"/>
          <w:szCs w:val="24"/>
          <w:lang w:val="en-US"/>
        </w:rPr>
        <w:t xml:space="preserve">are more likely to </w:t>
      </w:r>
      <w:r w:rsidR="00195920" w:rsidRPr="00516108">
        <w:rPr>
          <w:rFonts w:asciiTheme="majorBidi" w:hAnsiTheme="majorBidi" w:cstheme="majorBidi"/>
          <w:sz w:val="24"/>
          <w:szCs w:val="24"/>
          <w:lang w:val="en-US"/>
        </w:rPr>
        <w:t xml:space="preserve">have had limited </w:t>
      </w:r>
      <w:r w:rsidR="00350BE2" w:rsidRPr="00516108">
        <w:rPr>
          <w:rFonts w:asciiTheme="majorBidi" w:hAnsiTheme="majorBidi" w:cstheme="majorBidi"/>
          <w:sz w:val="24"/>
          <w:szCs w:val="24"/>
          <w:lang w:val="en-US"/>
        </w:rPr>
        <w:t xml:space="preserve">(to no) </w:t>
      </w:r>
      <w:r w:rsidR="00195920" w:rsidRPr="00516108">
        <w:rPr>
          <w:rFonts w:asciiTheme="majorBidi" w:hAnsiTheme="majorBidi" w:cstheme="majorBidi"/>
          <w:sz w:val="24"/>
          <w:szCs w:val="24"/>
          <w:lang w:val="en-US"/>
        </w:rPr>
        <w:t>experience with cancer</w:t>
      </w:r>
      <w:r w:rsidR="00C26EA7" w:rsidRPr="00516108">
        <w:rPr>
          <w:rFonts w:asciiTheme="majorBidi" w:hAnsiTheme="majorBidi" w:cstheme="majorBidi"/>
          <w:sz w:val="24"/>
          <w:szCs w:val="24"/>
          <w:lang w:val="en-US"/>
        </w:rPr>
        <w:t xml:space="preserve"> treatments</w:t>
      </w:r>
      <w:r w:rsidR="00195920" w:rsidRPr="00516108">
        <w:rPr>
          <w:rFonts w:asciiTheme="majorBidi" w:hAnsiTheme="majorBidi" w:cstheme="majorBidi"/>
          <w:sz w:val="24"/>
          <w:szCs w:val="24"/>
          <w:lang w:val="en-US"/>
        </w:rPr>
        <w:t xml:space="preserve">.   </w:t>
      </w:r>
      <w:r w:rsidR="001E7C19" w:rsidRPr="00516108">
        <w:rPr>
          <w:rFonts w:asciiTheme="majorBidi" w:hAnsiTheme="majorBidi" w:cstheme="majorBidi"/>
          <w:sz w:val="24"/>
          <w:szCs w:val="24"/>
          <w:lang w:val="en-US"/>
        </w:rPr>
        <w:t xml:space="preserve"> </w:t>
      </w:r>
    </w:p>
    <w:p w14:paraId="782050BC" w14:textId="417CB45B" w:rsidR="00593863" w:rsidRPr="00516108" w:rsidRDefault="001E29D2" w:rsidP="009F0ECF">
      <w:pPr>
        <w:autoSpaceDE w:val="0"/>
        <w:autoSpaceDN w:val="0"/>
        <w:adjustRightInd w:val="0"/>
        <w:spacing w:after="0" w:line="480" w:lineRule="auto"/>
        <w:ind w:firstLine="720"/>
        <w:rPr>
          <w:rFonts w:asciiTheme="majorBidi" w:hAnsiTheme="majorBidi" w:cstheme="majorBidi"/>
          <w:sz w:val="24"/>
          <w:szCs w:val="24"/>
          <w:lang w:val="en-US"/>
        </w:rPr>
      </w:pPr>
      <w:r w:rsidRPr="00516108">
        <w:rPr>
          <w:rFonts w:asciiTheme="majorBidi" w:hAnsiTheme="majorBidi" w:cstheme="majorBidi"/>
          <w:sz w:val="24"/>
          <w:szCs w:val="24"/>
          <w:lang w:val="en-US"/>
        </w:rPr>
        <w:t>The</w:t>
      </w:r>
      <w:r w:rsidR="006B0466" w:rsidRPr="00516108">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o</w:t>
      </w:r>
      <w:r w:rsidR="00653FE1" w:rsidRPr="00516108">
        <w:rPr>
          <w:rFonts w:asciiTheme="majorBidi" w:hAnsiTheme="majorBidi" w:cstheme="majorBidi"/>
          <w:sz w:val="24"/>
          <w:szCs w:val="24"/>
          <w:lang w:val="en-US"/>
        </w:rPr>
        <w:t>mission bias has also been linked to the status-quo bias</w:t>
      </w:r>
      <w:r w:rsidR="00F07A62">
        <w:rPr>
          <w:rFonts w:asciiTheme="majorBidi" w:hAnsiTheme="majorBidi" w:cstheme="majorBidi"/>
          <w:sz w:val="24"/>
          <w:szCs w:val="24"/>
          <w:vertAlign w:val="superscript"/>
          <w:lang w:val="en-US"/>
        </w:rPr>
        <w:t>(2</w:t>
      </w:r>
      <w:r w:rsidR="009F0ECF">
        <w:rPr>
          <w:rFonts w:asciiTheme="majorBidi" w:hAnsiTheme="majorBidi" w:cstheme="majorBidi"/>
          <w:sz w:val="24"/>
          <w:szCs w:val="24"/>
          <w:vertAlign w:val="superscript"/>
          <w:lang w:val="en-US"/>
        </w:rPr>
        <w:t>9</w:t>
      </w:r>
      <w:r w:rsidR="00F07A62">
        <w:rPr>
          <w:rFonts w:asciiTheme="majorBidi" w:hAnsiTheme="majorBidi" w:cstheme="majorBidi"/>
          <w:sz w:val="24"/>
          <w:szCs w:val="24"/>
          <w:vertAlign w:val="superscript"/>
          <w:lang w:val="en-US"/>
        </w:rPr>
        <w:t>)</w:t>
      </w:r>
      <w:r w:rsidR="00653FE1" w:rsidRPr="00516108">
        <w:rPr>
          <w:rFonts w:asciiTheme="majorBidi" w:hAnsiTheme="majorBidi" w:cstheme="majorBidi"/>
          <w:sz w:val="24"/>
          <w:szCs w:val="24"/>
          <w:lang w:val="en-US"/>
        </w:rPr>
        <w:t>—</w:t>
      </w:r>
      <w:r w:rsidR="00FF45CD" w:rsidRPr="00516108">
        <w:rPr>
          <w:rFonts w:asciiTheme="majorBidi" w:hAnsiTheme="majorBidi" w:cstheme="majorBidi"/>
          <w:sz w:val="24"/>
          <w:szCs w:val="24"/>
          <w:lang w:val="en-US"/>
        </w:rPr>
        <w:t>a</w:t>
      </w:r>
      <w:r w:rsidR="00653FE1" w:rsidRPr="00516108">
        <w:rPr>
          <w:rFonts w:asciiTheme="majorBidi" w:hAnsiTheme="majorBidi" w:cstheme="majorBidi"/>
          <w:sz w:val="24"/>
          <w:szCs w:val="24"/>
          <w:lang w:val="en-US"/>
        </w:rPr>
        <w:t xml:space="preserve"> tendency to do nothing or maintain </w:t>
      </w:r>
      <w:r w:rsidR="00FF45CD" w:rsidRPr="00516108">
        <w:rPr>
          <w:rFonts w:asciiTheme="majorBidi" w:hAnsiTheme="majorBidi" w:cstheme="majorBidi"/>
          <w:sz w:val="24"/>
          <w:szCs w:val="24"/>
          <w:lang w:val="en-US"/>
        </w:rPr>
        <w:t>one’s</w:t>
      </w:r>
      <w:r w:rsidR="00653FE1" w:rsidRPr="00516108">
        <w:rPr>
          <w:rFonts w:asciiTheme="majorBidi" w:hAnsiTheme="majorBidi" w:cstheme="majorBidi"/>
          <w:sz w:val="24"/>
          <w:szCs w:val="24"/>
          <w:lang w:val="en-US"/>
        </w:rPr>
        <w:t xml:space="preserve"> current state of affairs.</w:t>
      </w:r>
      <w:r w:rsidR="00CE4F2B" w:rsidRPr="00516108">
        <w:rPr>
          <w:rFonts w:asciiTheme="majorBidi" w:hAnsiTheme="majorBidi" w:cstheme="majorBidi"/>
          <w:sz w:val="24"/>
          <w:szCs w:val="24"/>
          <w:lang w:val="en-US"/>
        </w:rPr>
        <w:t xml:space="preserve"> </w:t>
      </w:r>
      <w:r w:rsidR="0060298F" w:rsidRPr="00516108">
        <w:rPr>
          <w:rFonts w:asciiTheme="majorBidi" w:hAnsiTheme="majorBidi" w:cstheme="majorBidi"/>
          <w:sz w:val="24"/>
          <w:szCs w:val="24"/>
          <w:lang w:val="en-US"/>
        </w:rPr>
        <w:t xml:space="preserve">Inspired by these findings, </w:t>
      </w:r>
      <w:r w:rsidR="0047773B">
        <w:rPr>
          <w:rFonts w:asciiTheme="majorBidi" w:hAnsiTheme="majorBidi" w:cstheme="majorBidi"/>
          <w:sz w:val="24"/>
          <w:szCs w:val="24"/>
          <w:lang w:val="en-US"/>
        </w:rPr>
        <w:t>researchers</w:t>
      </w:r>
      <w:r w:rsidR="00F07A62">
        <w:rPr>
          <w:rFonts w:asciiTheme="majorBidi" w:hAnsiTheme="majorBidi" w:cstheme="majorBidi"/>
          <w:sz w:val="24"/>
          <w:szCs w:val="24"/>
          <w:vertAlign w:val="superscript"/>
          <w:lang w:val="en-US"/>
        </w:rPr>
        <w:t>(</w:t>
      </w:r>
      <w:r w:rsidR="009F0ECF">
        <w:rPr>
          <w:rFonts w:asciiTheme="majorBidi" w:hAnsiTheme="majorBidi" w:cstheme="majorBidi"/>
          <w:sz w:val="24"/>
          <w:szCs w:val="24"/>
          <w:vertAlign w:val="superscript"/>
          <w:lang w:val="en-US"/>
        </w:rPr>
        <w:t>30</w:t>
      </w:r>
      <w:r w:rsidR="00F07A62">
        <w:rPr>
          <w:rFonts w:asciiTheme="majorBidi" w:hAnsiTheme="majorBidi" w:cstheme="majorBidi"/>
          <w:sz w:val="24"/>
          <w:szCs w:val="24"/>
          <w:vertAlign w:val="superscript"/>
          <w:lang w:val="en-US"/>
        </w:rPr>
        <w:t>)</w:t>
      </w:r>
      <w:r w:rsidR="00561713">
        <w:rPr>
          <w:rFonts w:asciiTheme="majorBidi" w:hAnsiTheme="majorBidi" w:cstheme="majorBidi"/>
          <w:sz w:val="24"/>
          <w:szCs w:val="24"/>
          <w:lang w:val="en-US"/>
        </w:rPr>
        <w:t xml:space="preserve"> </w:t>
      </w:r>
      <w:r w:rsidR="00CE4F2B" w:rsidRPr="00516108">
        <w:rPr>
          <w:rFonts w:asciiTheme="majorBidi" w:hAnsiTheme="majorBidi" w:cstheme="majorBidi"/>
          <w:sz w:val="24"/>
          <w:szCs w:val="24"/>
          <w:lang w:val="en-US"/>
        </w:rPr>
        <w:t>developed a passive risk</w:t>
      </w:r>
      <w:r w:rsidR="00561713">
        <w:rPr>
          <w:rFonts w:asciiTheme="majorBidi" w:hAnsiTheme="majorBidi" w:cstheme="majorBidi"/>
          <w:sz w:val="24"/>
          <w:szCs w:val="24"/>
          <w:lang w:val="en-US"/>
        </w:rPr>
        <w:t>-</w:t>
      </w:r>
      <w:r w:rsidR="00CE4F2B" w:rsidRPr="00516108">
        <w:rPr>
          <w:rFonts w:asciiTheme="majorBidi" w:hAnsiTheme="majorBidi" w:cstheme="majorBidi"/>
          <w:sz w:val="24"/>
          <w:szCs w:val="24"/>
          <w:lang w:val="en-US"/>
        </w:rPr>
        <w:t xml:space="preserve">taking scale </w:t>
      </w:r>
      <w:r w:rsidR="00350BE2" w:rsidRPr="00516108">
        <w:rPr>
          <w:rFonts w:asciiTheme="majorBidi" w:hAnsiTheme="majorBidi" w:cstheme="majorBidi"/>
          <w:sz w:val="24"/>
          <w:szCs w:val="24"/>
          <w:lang w:val="en-US"/>
        </w:rPr>
        <w:t xml:space="preserve">to </w:t>
      </w:r>
      <w:r w:rsidR="00CE4F2B" w:rsidRPr="00516108">
        <w:rPr>
          <w:rFonts w:asciiTheme="majorBidi" w:hAnsiTheme="majorBidi" w:cstheme="majorBidi"/>
          <w:sz w:val="24"/>
          <w:szCs w:val="24"/>
          <w:lang w:val="en-US"/>
        </w:rPr>
        <w:t>capture people</w:t>
      </w:r>
      <w:r w:rsidR="0054624C" w:rsidRPr="00516108">
        <w:rPr>
          <w:rFonts w:asciiTheme="majorBidi" w:hAnsiTheme="majorBidi" w:cstheme="majorBidi"/>
          <w:sz w:val="24"/>
          <w:szCs w:val="24"/>
          <w:lang w:val="en-US"/>
        </w:rPr>
        <w:t>’</w:t>
      </w:r>
      <w:r w:rsidR="00CE4F2B" w:rsidRPr="00516108">
        <w:rPr>
          <w:rFonts w:asciiTheme="majorBidi" w:hAnsiTheme="majorBidi" w:cstheme="majorBidi"/>
          <w:sz w:val="24"/>
          <w:szCs w:val="24"/>
          <w:lang w:val="en-US"/>
        </w:rPr>
        <w:t>s</w:t>
      </w:r>
      <w:r w:rsidR="0054624C" w:rsidRPr="00516108">
        <w:rPr>
          <w:rFonts w:asciiTheme="majorBidi" w:hAnsiTheme="majorBidi" w:cstheme="majorBidi"/>
          <w:sz w:val="24"/>
          <w:szCs w:val="24"/>
          <w:lang w:val="en-US"/>
        </w:rPr>
        <w:t xml:space="preserve"> inaction or</w:t>
      </w:r>
      <w:r w:rsidR="00CE4F2B" w:rsidRPr="00516108">
        <w:rPr>
          <w:rFonts w:asciiTheme="majorBidi" w:hAnsiTheme="majorBidi" w:cstheme="majorBidi"/>
          <w:sz w:val="24"/>
          <w:szCs w:val="24"/>
          <w:lang w:val="en-US"/>
        </w:rPr>
        <w:t xml:space="preserve"> failure to take action in a number of risky domains. That is, unlike other instruments</w:t>
      </w:r>
      <w:r w:rsidR="00350BE2" w:rsidRPr="00516108">
        <w:rPr>
          <w:rFonts w:asciiTheme="majorBidi" w:hAnsiTheme="majorBidi" w:cstheme="majorBidi"/>
          <w:sz w:val="24"/>
          <w:szCs w:val="24"/>
          <w:lang w:val="en-US"/>
        </w:rPr>
        <w:t>,</w:t>
      </w:r>
      <w:r w:rsidR="00CE4F2B" w:rsidRPr="00516108">
        <w:rPr>
          <w:rFonts w:asciiTheme="majorBidi" w:hAnsiTheme="majorBidi" w:cstheme="majorBidi"/>
          <w:sz w:val="24"/>
          <w:szCs w:val="24"/>
          <w:lang w:val="en-US"/>
        </w:rPr>
        <w:t xml:space="preserve"> which measure a person’s tendency to engage in risky acti</w:t>
      </w:r>
      <w:r w:rsidR="0054624C" w:rsidRPr="00516108">
        <w:rPr>
          <w:rFonts w:asciiTheme="majorBidi" w:hAnsiTheme="majorBidi" w:cstheme="majorBidi"/>
          <w:sz w:val="24"/>
          <w:szCs w:val="24"/>
          <w:lang w:val="en-US"/>
        </w:rPr>
        <w:t>ons</w:t>
      </w:r>
      <w:r w:rsidR="00CE4F2B" w:rsidRPr="00516108">
        <w:rPr>
          <w:rFonts w:asciiTheme="majorBidi" w:hAnsiTheme="majorBidi" w:cstheme="majorBidi"/>
          <w:sz w:val="24"/>
          <w:szCs w:val="24"/>
          <w:lang w:val="en-US"/>
        </w:rPr>
        <w:t>, the passive risk</w:t>
      </w:r>
      <w:r w:rsidR="00D9538D" w:rsidRPr="00516108">
        <w:rPr>
          <w:rFonts w:asciiTheme="majorBidi" w:hAnsiTheme="majorBidi" w:cstheme="majorBidi"/>
          <w:sz w:val="24"/>
          <w:szCs w:val="24"/>
          <w:lang w:val="en-US"/>
        </w:rPr>
        <w:t>-</w:t>
      </w:r>
      <w:r w:rsidR="00CE4F2B" w:rsidRPr="00516108">
        <w:rPr>
          <w:rFonts w:asciiTheme="majorBidi" w:hAnsiTheme="majorBidi" w:cstheme="majorBidi"/>
          <w:sz w:val="24"/>
          <w:szCs w:val="24"/>
          <w:lang w:val="en-US"/>
        </w:rPr>
        <w:t xml:space="preserve">taking scale </w:t>
      </w:r>
      <w:r w:rsidR="00D9538D" w:rsidRPr="00516108">
        <w:rPr>
          <w:rFonts w:asciiTheme="majorBidi" w:hAnsiTheme="majorBidi" w:cstheme="majorBidi"/>
          <w:sz w:val="24"/>
          <w:szCs w:val="24"/>
          <w:lang w:val="en-US"/>
        </w:rPr>
        <w:t>evaluates</w:t>
      </w:r>
      <w:r w:rsidR="00CE4F2B" w:rsidRPr="00516108">
        <w:rPr>
          <w:rFonts w:asciiTheme="majorBidi" w:hAnsiTheme="majorBidi" w:cstheme="majorBidi"/>
          <w:sz w:val="24"/>
          <w:szCs w:val="24"/>
          <w:lang w:val="en-US"/>
        </w:rPr>
        <w:t xml:space="preserve"> </w:t>
      </w:r>
      <w:r w:rsidR="00C9220A" w:rsidRPr="00516108">
        <w:rPr>
          <w:rFonts w:asciiTheme="majorBidi" w:hAnsiTheme="majorBidi" w:cstheme="majorBidi"/>
          <w:sz w:val="24"/>
          <w:szCs w:val="24"/>
          <w:lang w:val="en-US"/>
        </w:rPr>
        <w:t>the decision not</w:t>
      </w:r>
      <w:r w:rsidR="00CE4F2B" w:rsidRPr="00516108">
        <w:rPr>
          <w:rFonts w:asciiTheme="majorBidi" w:hAnsiTheme="majorBidi" w:cstheme="majorBidi"/>
          <w:sz w:val="24"/>
          <w:szCs w:val="24"/>
          <w:lang w:val="en-US"/>
        </w:rPr>
        <w:t xml:space="preserve"> to take action, such as </w:t>
      </w:r>
      <w:r w:rsidR="008412A6" w:rsidRPr="00516108">
        <w:rPr>
          <w:rFonts w:asciiTheme="majorBidi" w:hAnsiTheme="majorBidi" w:cstheme="majorBidi"/>
          <w:sz w:val="24"/>
          <w:szCs w:val="24"/>
          <w:lang w:val="en-US"/>
        </w:rPr>
        <w:t xml:space="preserve">not </w:t>
      </w:r>
      <w:r w:rsidR="00B46923" w:rsidRPr="00516108">
        <w:rPr>
          <w:rFonts w:asciiTheme="majorBidi" w:hAnsiTheme="majorBidi" w:cstheme="majorBidi"/>
          <w:sz w:val="24"/>
          <w:szCs w:val="24"/>
          <w:lang w:val="en-US"/>
        </w:rPr>
        <w:t>a</w:t>
      </w:r>
      <w:r w:rsidR="00993428" w:rsidRPr="00516108">
        <w:rPr>
          <w:rFonts w:asciiTheme="majorBidi" w:hAnsiTheme="majorBidi" w:cstheme="majorBidi"/>
          <w:sz w:val="24"/>
          <w:szCs w:val="24"/>
          <w:lang w:val="en-US"/>
        </w:rPr>
        <w:t>ttend</w:t>
      </w:r>
      <w:r w:rsidR="00942B04" w:rsidRPr="00516108">
        <w:rPr>
          <w:rFonts w:asciiTheme="majorBidi" w:hAnsiTheme="majorBidi" w:cstheme="majorBidi"/>
          <w:sz w:val="24"/>
          <w:szCs w:val="24"/>
          <w:lang w:val="en-US"/>
        </w:rPr>
        <w:t>ing</w:t>
      </w:r>
      <w:r w:rsidR="004F3C41" w:rsidRPr="00516108">
        <w:rPr>
          <w:rFonts w:asciiTheme="majorBidi" w:hAnsiTheme="majorBidi" w:cstheme="majorBidi"/>
          <w:sz w:val="24"/>
          <w:szCs w:val="24"/>
          <w:lang w:val="en-US"/>
        </w:rPr>
        <w:t xml:space="preserve"> a medical screening</w:t>
      </w:r>
      <w:r w:rsidR="00942B04" w:rsidRPr="00516108">
        <w:rPr>
          <w:rFonts w:asciiTheme="majorBidi" w:hAnsiTheme="majorBidi" w:cstheme="majorBidi"/>
          <w:sz w:val="24"/>
          <w:szCs w:val="24"/>
          <w:lang w:val="en-US"/>
        </w:rPr>
        <w:t xml:space="preserve">. </w:t>
      </w:r>
      <w:r w:rsidR="00967B5A">
        <w:rPr>
          <w:rFonts w:asciiTheme="majorBidi" w:hAnsiTheme="majorBidi" w:cstheme="majorBidi"/>
          <w:sz w:val="24"/>
          <w:szCs w:val="24"/>
          <w:lang w:val="en-US"/>
        </w:rPr>
        <w:t>As</w:t>
      </w:r>
      <w:r w:rsidR="002A06AB" w:rsidRPr="00516108">
        <w:rPr>
          <w:rFonts w:asciiTheme="majorBidi" w:hAnsiTheme="majorBidi" w:cstheme="majorBidi"/>
          <w:sz w:val="24"/>
          <w:szCs w:val="24"/>
          <w:lang w:val="en-US"/>
        </w:rPr>
        <w:t xml:space="preserve"> </w:t>
      </w:r>
      <w:r w:rsidR="00D0640D" w:rsidRPr="00516108">
        <w:rPr>
          <w:rFonts w:asciiTheme="majorBidi" w:hAnsiTheme="majorBidi" w:cstheme="majorBidi"/>
          <w:sz w:val="24"/>
          <w:szCs w:val="24"/>
          <w:lang w:val="en-US"/>
        </w:rPr>
        <w:t xml:space="preserve">age is </w:t>
      </w:r>
      <w:r w:rsidR="002A06AB" w:rsidRPr="00516108">
        <w:rPr>
          <w:rFonts w:asciiTheme="majorBidi" w:hAnsiTheme="majorBidi" w:cstheme="majorBidi"/>
          <w:sz w:val="24"/>
          <w:szCs w:val="24"/>
          <w:lang w:val="en-US"/>
        </w:rPr>
        <w:t xml:space="preserve">typically </w:t>
      </w:r>
      <w:r w:rsidR="00D0640D" w:rsidRPr="00516108">
        <w:rPr>
          <w:rFonts w:asciiTheme="majorBidi" w:hAnsiTheme="majorBidi" w:cstheme="majorBidi"/>
          <w:sz w:val="24"/>
          <w:szCs w:val="24"/>
          <w:lang w:val="en-US"/>
        </w:rPr>
        <w:t xml:space="preserve">associated with increased attendance </w:t>
      </w:r>
      <w:r w:rsidR="00227CB7">
        <w:rPr>
          <w:rFonts w:asciiTheme="majorBidi" w:hAnsiTheme="majorBidi" w:cstheme="majorBidi"/>
          <w:sz w:val="24"/>
          <w:szCs w:val="24"/>
          <w:lang w:val="en-US"/>
        </w:rPr>
        <w:t>at</w:t>
      </w:r>
      <w:r w:rsidR="00227CB7" w:rsidRPr="00516108">
        <w:rPr>
          <w:rFonts w:asciiTheme="majorBidi" w:hAnsiTheme="majorBidi" w:cstheme="majorBidi"/>
          <w:sz w:val="24"/>
          <w:szCs w:val="24"/>
          <w:lang w:val="en-US"/>
        </w:rPr>
        <w:t xml:space="preserve"> </w:t>
      </w:r>
      <w:r w:rsidR="00D0640D" w:rsidRPr="00516108">
        <w:rPr>
          <w:rFonts w:asciiTheme="majorBidi" w:hAnsiTheme="majorBidi" w:cstheme="majorBidi"/>
          <w:sz w:val="24"/>
          <w:szCs w:val="24"/>
          <w:lang w:val="en-US"/>
        </w:rPr>
        <w:t xml:space="preserve">annual medical </w:t>
      </w:r>
      <w:r w:rsidR="00350BE2" w:rsidRPr="00516108">
        <w:rPr>
          <w:rFonts w:asciiTheme="majorBidi" w:hAnsiTheme="majorBidi" w:cstheme="majorBidi"/>
          <w:sz w:val="24"/>
          <w:szCs w:val="24"/>
          <w:lang w:val="en-US"/>
        </w:rPr>
        <w:t>health checks</w:t>
      </w:r>
      <w:r w:rsidR="00F07A62">
        <w:rPr>
          <w:rFonts w:asciiTheme="majorBidi" w:hAnsiTheme="majorBidi" w:cstheme="majorBidi"/>
          <w:sz w:val="24"/>
          <w:szCs w:val="24"/>
          <w:vertAlign w:val="superscript"/>
          <w:lang w:val="en-US"/>
        </w:rPr>
        <w:t>(</w:t>
      </w:r>
      <w:r w:rsidR="009F0ECF">
        <w:rPr>
          <w:rFonts w:asciiTheme="majorBidi" w:hAnsiTheme="majorBidi" w:cstheme="majorBidi"/>
          <w:sz w:val="24"/>
          <w:szCs w:val="24"/>
          <w:vertAlign w:val="superscript"/>
          <w:lang w:val="en-US"/>
        </w:rPr>
        <w:t>31</w:t>
      </w:r>
      <w:r w:rsidR="00F07A62">
        <w:rPr>
          <w:rFonts w:asciiTheme="majorBidi" w:hAnsiTheme="majorBidi" w:cstheme="majorBidi"/>
          <w:sz w:val="24"/>
          <w:szCs w:val="24"/>
          <w:vertAlign w:val="superscript"/>
          <w:lang w:val="en-US"/>
        </w:rPr>
        <w:t>)</w:t>
      </w:r>
      <w:r w:rsidR="00B00450">
        <w:rPr>
          <w:rFonts w:asciiTheme="majorBidi" w:hAnsiTheme="majorBidi" w:cstheme="majorBidi"/>
          <w:sz w:val="24"/>
          <w:szCs w:val="24"/>
          <w:lang w:val="en-US"/>
        </w:rPr>
        <w:t xml:space="preserve">, </w:t>
      </w:r>
      <w:r w:rsidR="002A06AB" w:rsidRPr="00516108">
        <w:rPr>
          <w:rFonts w:asciiTheme="majorBidi" w:hAnsiTheme="majorBidi" w:cstheme="majorBidi"/>
          <w:sz w:val="24"/>
          <w:szCs w:val="24"/>
          <w:lang w:val="en-US"/>
        </w:rPr>
        <w:t xml:space="preserve">one might expect </w:t>
      </w:r>
      <w:r w:rsidR="004F3C41" w:rsidRPr="00516108">
        <w:rPr>
          <w:rFonts w:asciiTheme="majorBidi" w:hAnsiTheme="majorBidi" w:cstheme="majorBidi"/>
          <w:sz w:val="24"/>
          <w:szCs w:val="24"/>
          <w:lang w:val="en-US"/>
        </w:rPr>
        <w:t>older adults</w:t>
      </w:r>
      <w:r w:rsidR="002A06AB" w:rsidRPr="00516108">
        <w:rPr>
          <w:rFonts w:asciiTheme="majorBidi" w:hAnsiTheme="majorBidi" w:cstheme="majorBidi"/>
          <w:sz w:val="24"/>
          <w:szCs w:val="24"/>
          <w:lang w:val="en-US"/>
        </w:rPr>
        <w:t xml:space="preserve"> to</w:t>
      </w:r>
      <w:r w:rsidR="004F3C41" w:rsidRPr="00516108">
        <w:rPr>
          <w:rFonts w:asciiTheme="majorBidi" w:hAnsiTheme="majorBidi" w:cstheme="majorBidi"/>
          <w:sz w:val="24"/>
          <w:szCs w:val="24"/>
          <w:lang w:val="en-US"/>
        </w:rPr>
        <w:t xml:space="preserve"> exhibit </w:t>
      </w:r>
      <w:r w:rsidR="002A06AB" w:rsidRPr="00516108">
        <w:rPr>
          <w:rFonts w:asciiTheme="majorBidi" w:hAnsiTheme="majorBidi" w:cstheme="majorBidi"/>
          <w:sz w:val="24"/>
          <w:szCs w:val="24"/>
          <w:lang w:val="en-US"/>
        </w:rPr>
        <w:t xml:space="preserve">reduced </w:t>
      </w:r>
      <w:r w:rsidR="004F3C41" w:rsidRPr="00516108">
        <w:rPr>
          <w:rFonts w:asciiTheme="majorBidi" w:hAnsiTheme="majorBidi" w:cstheme="majorBidi"/>
          <w:sz w:val="24"/>
          <w:szCs w:val="24"/>
          <w:lang w:val="en-US"/>
        </w:rPr>
        <w:t xml:space="preserve">passive risk taking. </w:t>
      </w:r>
      <w:r w:rsidR="008A44EB" w:rsidRPr="00516108">
        <w:rPr>
          <w:rFonts w:asciiTheme="majorBidi" w:hAnsiTheme="majorBidi" w:cstheme="majorBidi"/>
          <w:sz w:val="24"/>
          <w:szCs w:val="24"/>
          <w:lang w:val="en-US"/>
        </w:rPr>
        <w:t xml:space="preserve"> </w:t>
      </w:r>
    </w:p>
    <w:p w14:paraId="7C19BE81" w14:textId="0CFE9565" w:rsidR="00071F8A" w:rsidRPr="00071F8A" w:rsidRDefault="00071F8A" w:rsidP="00071F8A">
      <w:pPr>
        <w:autoSpaceDE w:val="0"/>
        <w:autoSpaceDN w:val="0"/>
        <w:adjustRightInd w:val="0"/>
        <w:spacing w:after="0" w:line="480" w:lineRule="auto"/>
        <w:rPr>
          <w:rFonts w:asciiTheme="majorBidi" w:hAnsiTheme="majorBidi" w:cstheme="majorBidi"/>
          <w:b/>
          <w:bCs/>
          <w:sz w:val="24"/>
          <w:szCs w:val="24"/>
          <w:lang w:val="en-US"/>
        </w:rPr>
      </w:pPr>
      <w:r w:rsidRPr="00071F8A">
        <w:rPr>
          <w:rFonts w:asciiTheme="majorBidi" w:hAnsiTheme="majorBidi" w:cstheme="majorBidi"/>
          <w:b/>
          <w:bCs/>
          <w:sz w:val="24"/>
          <w:szCs w:val="24"/>
          <w:lang w:val="en-US"/>
        </w:rPr>
        <w:t>1.</w:t>
      </w:r>
      <w:r w:rsidR="009049F0">
        <w:rPr>
          <w:rFonts w:asciiTheme="majorBidi" w:hAnsiTheme="majorBidi" w:cstheme="majorBidi"/>
          <w:b/>
          <w:bCs/>
          <w:sz w:val="24"/>
          <w:szCs w:val="24"/>
          <w:lang w:val="en-US"/>
        </w:rPr>
        <w:t>5</w:t>
      </w:r>
      <w:r w:rsidRPr="00071F8A">
        <w:rPr>
          <w:rFonts w:asciiTheme="majorBidi" w:hAnsiTheme="majorBidi" w:cstheme="majorBidi"/>
          <w:b/>
          <w:bCs/>
          <w:sz w:val="24"/>
          <w:szCs w:val="24"/>
          <w:lang w:val="en-US"/>
        </w:rPr>
        <w:t xml:space="preserve"> Numeracy</w:t>
      </w:r>
    </w:p>
    <w:p w14:paraId="722FED8A" w14:textId="4D9506D5" w:rsidR="00071F8A" w:rsidRDefault="000A1EC0" w:rsidP="00CE764C">
      <w:pPr>
        <w:autoSpaceDE w:val="0"/>
        <w:autoSpaceDN w:val="0"/>
        <w:adjustRightInd w:val="0"/>
        <w:spacing w:after="0" w:line="480" w:lineRule="auto"/>
        <w:ind w:firstLine="720"/>
        <w:rPr>
          <w:rFonts w:asciiTheme="majorBidi" w:hAnsiTheme="majorBidi" w:cstheme="majorBidi"/>
          <w:sz w:val="24"/>
          <w:szCs w:val="24"/>
          <w:lang w:val="en-US"/>
        </w:rPr>
      </w:pPr>
      <w:r w:rsidRPr="00516108">
        <w:rPr>
          <w:rFonts w:asciiTheme="majorBidi" w:hAnsiTheme="majorBidi" w:cstheme="majorBidi"/>
          <w:sz w:val="24"/>
          <w:szCs w:val="24"/>
          <w:lang w:val="en-US"/>
        </w:rPr>
        <w:t>One factor that has gai</w:t>
      </w:r>
      <w:r w:rsidR="00205B4F" w:rsidRPr="00516108">
        <w:rPr>
          <w:rFonts w:asciiTheme="majorBidi" w:hAnsiTheme="majorBidi" w:cstheme="majorBidi"/>
          <w:sz w:val="24"/>
          <w:szCs w:val="24"/>
          <w:lang w:val="en-US"/>
        </w:rPr>
        <w:t>n</w:t>
      </w:r>
      <w:r w:rsidR="00350BE2" w:rsidRPr="00516108">
        <w:rPr>
          <w:rFonts w:asciiTheme="majorBidi" w:hAnsiTheme="majorBidi" w:cstheme="majorBidi"/>
          <w:sz w:val="24"/>
          <w:szCs w:val="24"/>
          <w:lang w:val="en-US"/>
        </w:rPr>
        <w:t>ed</w:t>
      </w:r>
      <w:r w:rsidR="00205B4F" w:rsidRPr="00516108">
        <w:rPr>
          <w:rFonts w:asciiTheme="majorBidi" w:hAnsiTheme="majorBidi" w:cstheme="majorBidi"/>
          <w:sz w:val="24"/>
          <w:szCs w:val="24"/>
          <w:lang w:val="en-US"/>
        </w:rPr>
        <w:t xml:space="preserve"> prominent attention in the risk</w:t>
      </w:r>
      <w:r w:rsidR="007D6434" w:rsidRPr="00516108">
        <w:rPr>
          <w:rFonts w:asciiTheme="majorBidi" w:hAnsiTheme="majorBidi" w:cstheme="majorBidi"/>
          <w:sz w:val="24"/>
          <w:szCs w:val="24"/>
          <w:lang w:val="en-US"/>
        </w:rPr>
        <w:t>-</w:t>
      </w:r>
      <w:r w:rsidR="00350BE2" w:rsidRPr="00516108">
        <w:rPr>
          <w:rFonts w:asciiTheme="majorBidi" w:hAnsiTheme="majorBidi" w:cstheme="majorBidi"/>
          <w:sz w:val="24"/>
          <w:szCs w:val="24"/>
          <w:lang w:val="en-US"/>
        </w:rPr>
        <w:t xml:space="preserve">taking </w:t>
      </w:r>
      <w:r w:rsidRPr="00516108">
        <w:rPr>
          <w:rFonts w:asciiTheme="majorBidi" w:hAnsiTheme="majorBidi" w:cstheme="majorBidi"/>
          <w:sz w:val="24"/>
          <w:szCs w:val="24"/>
          <w:lang w:val="en-US"/>
        </w:rPr>
        <w:t>literature is numeracy.</w:t>
      </w:r>
      <w:r w:rsidR="00205B4F" w:rsidRPr="00516108">
        <w:rPr>
          <w:rFonts w:asciiTheme="majorBidi" w:hAnsiTheme="majorBidi" w:cstheme="majorBidi"/>
          <w:sz w:val="24"/>
          <w:szCs w:val="24"/>
          <w:lang w:val="en-US"/>
        </w:rPr>
        <w:t xml:space="preserve"> Referring to people</w:t>
      </w:r>
      <w:r w:rsidR="00561713">
        <w:rPr>
          <w:rFonts w:asciiTheme="majorBidi" w:hAnsiTheme="majorBidi" w:cstheme="majorBidi"/>
          <w:sz w:val="24"/>
          <w:szCs w:val="24"/>
          <w:lang w:val="en-US"/>
        </w:rPr>
        <w:t>’</w:t>
      </w:r>
      <w:r w:rsidR="00205B4F" w:rsidRPr="00516108">
        <w:rPr>
          <w:rFonts w:asciiTheme="majorBidi" w:hAnsiTheme="majorBidi" w:cstheme="majorBidi"/>
          <w:sz w:val="24"/>
          <w:szCs w:val="24"/>
          <w:lang w:val="en-US"/>
        </w:rPr>
        <w:t>s ability to process and understand numerical information</w:t>
      </w:r>
      <w:r w:rsidR="00F502F8">
        <w:rPr>
          <w:rFonts w:asciiTheme="majorBidi" w:hAnsiTheme="majorBidi" w:cstheme="majorBidi"/>
          <w:sz w:val="24"/>
          <w:szCs w:val="24"/>
          <w:vertAlign w:val="superscript"/>
          <w:lang w:val="en-US"/>
        </w:rPr>
        <w:t>(</w:t>
      </w:r>
      <w:r w:rsidR="009F0ECF">
        <w:rPr>
          <w:rFonts w:asciiTheme="majorBidi" w:hAnsiTheme="majorBidi" w:cstheme="majorBidi"/>
          <w:sz w:val="24"/>
          <w:szCs w:val="24"/>
          <w:vertAlign w:val="superscript"/>
          <w:lang w:val="en-US"/>
        </w:rPr>
        <w:t>32</w:t>
      </w:r>
      <w:r w:rsidR="00F502F8">
        <w:rPr>
          <w:rFonts w:asciiTheme="majorBidi" w:hAnsiTheme="majorBidi" w:cstheme="majorBidi"/>
          <w:sz w:val="24"/>
          <w:szCs w:val="24"/>
          <w:vertAlign w:val="superscript"/>
          <w:lang w:val="en-US"/>
        </w:rPr>
        <w:t>)</w:t>
      </w:r>
      <w:r w:rsidR="00B00450">
        <w:rPr>
          <w:rFonts w:asciiTheme="majorBidi" w:hAnsiTheme="majorBidi" w:cstheme="majorBidi"/>
          <w:sz w:val="24"/>
          <w:szCs w:val="24"/>
          <w:lang w:val="en-US"/>
        </w:rPr>
        <w:t xml:space="preserve">, </w:t>
      </w:r>
      <w:r w:rsidR="00205B4F" w:rsidRPr="00516108">
        <w:rPr>
          <w:rFonts w:asciiTheme="majorBidi" w:hAnsiTheme="majorBidi" w:cstheme="majorBidi"/>
          <w:sz w:val="24"/>
          <w:szCs w:val="24"/>
          <w:lang w:val="en-US"/>
        </w:rPr>
        <w:t>numeracy skills also include the capacity to evaluate risk magnitude, compare risks</w:t>
      </w:r>
      <w:r w:rsidR="00B6529F" w:rsidRPr="00516108">
        <w:rPr>
          <w:rFonts w:asciiTheme="majorBidi" w:hAnsiTheme="majorBidi" w:cstheme="majorBidi"/>
          <w:sz w:val="24"/>
          <w:szCs w:val="24"/>
          <w:lang w:val="en-US"/>
        </w:rPr>
        <w:t>,</w:t>
      </w:r>
      <w:r w:rsidR="00205B4F" w:rsidRPr="00516108">
        <w:rPr>
          <w:rFonts w:asciiTheme="majorBidi" w:hAnsiTheme="majorBidi" w:cstheme="majorBidi"/>
          <w:sz w:val="24"/>
          <w:szCs w:val="24"/>
          <w:lang w:val="en-US"/>
        </w:rPr>
        <w:t xml:space="preserve"> and asses</w:t>
      </w:r>
      <w:r w:rsidR="00561713">
        <w:rPr>
          <w:rFonts w:asciiTheme="majorBidi" w:hAnsiTheme="majorBidi" w:cstheme="majorBidi"/>
          <w:sz w:val="24"/>
          <w:szCs w:val="24"/>
          <w:lang w:val="en-US"/>
        </w:rPr>
        <w:t>s</w:t>
      </w:r>
      <w:r w:rsidR="00205B4F" w:rsidRPr="00516108">
        <w:rPr>
          <w:rFonts w:asciiTheme="majorBidi" w:hAnsiTheme="majorBidi" w:cstheme="majorBidi"/>
          <w:sz w:val="24"/>
          <w:szCs w:val="24"/>
          <w:lang w:val="en-US"/>
        </w:rPr>
        <w:t xml:space="preserve"> risk</w:t>
      </w:r>
      <w:r w:rsidR="00561713">
        <w:rPr>
          <w:rFonts w:asciiTheme="majorBidi" w:hAnsiTheme="majorBidi" w:cstheme="majorBidi"/>
          <w:sz w:val="24"/>
          <w:szCs w:val="24"/>
          <w:lang w:val="en-US"/>
        </w:rPr>
        <w:t>–</w:t>
      </w:r>
      <w:r w:rsidR="00B6529F" w:rsidRPr="00516108">
        <w:rPr>
          <w:rFonts w:asciiTheme="majorBidi" w:hAnsiTheme="majorBidi" w:cstheme="majorBidi"/>
          <w:sz w:val="24"/>
          <w:szCs w:val="24"/>
          <w:lang w:val="en-US"/>
        </w:rPr>
        <w:t>benefit</w:t>
      </w:r>
      <w:r w:rsidR="00205B4F" w:rsidRPr="00516108">
        <w:rPr>
          <w:rFonts w:asciiTheme="majorBidi" w:hAnsiTheme="majorBidi" w:cstheme="majorBidi"/>
          <w:sz w:val="24"/>
          <w:szCs w:val="24"/>
          <w:lang w:val="en-US"/>
        </w:rPr>
        <w:t xml:space="preserve"> trade-off</w:t>
      </w:r>
      <w:r w:rsidR="00561713">
        <w:rPr>
          <w:rFonts w:asciiTheme="majorBidi" w:hAnsiTheme="majorBidi" w:cstheme="majorBidi"/>
          <w:sz w:val="24"/>
          <w:szCs w:val="24"/>
          <w:lang w:val="en-US"/>
        </w:rPr>
        <w:t>s</w:t>
      </w:r>
      <w:r w:rsidR="00F502F8">
        <w:rPr>
          <w:rFonts w:asciiTheme="majorBidi" w:hAnsiTheme="majorBidi" w:cstheme="majorBidi"/>
          <w:sz w:val="24"/>
          <w:szCs w:val="24"/>
          <w:vertAlign w:val="superscript"/>
          <w:lang w:val="en-US"/>
        </w:rPr>
        <w:t>(</w:t>
      </w:r>
      <w:r w:rsidR="0013201C">
        <w:rPr>
          <w:rFonts w:asciiTheme="majorBidi" w:hAnsiTheme="majorBidi" w:cstheme="majorBidi"/>
          <w:sz w:val="24"/>
          <w:szCs w:val="24"/>
          <w:vertAlign w:val="superscript"/>
          <w:lang w:val="en-US"/>
        </w:rPr>
        <w:t>3</w:t>
      </w:r>
      <w:r w:rsidR="00CE764C">
        <w:rPr>
          <w:rFonts w:asciiTheme="majorBidi" w:hAnsiTheme="majorBidi" w:cstheme="majorBidi"/>
          <w:sz w:val="24"/>
          <w:szCs w:val="24"/>
          <w:vertAlign w:val="superscript"/>
          <w:lang w:val="en-US"/>
        </w:rPr>
        <w:t>3</w:t>
      </w:r>
      <w:r w:rsidR="003B2604">
        <w:rPr>
          <w:rFonts w:asciiTheme="majorBidi" w:hAnsiTheme="majorBidi" w:cstheme="majorBidi"/>
          <w:sz w:val="24"/>
          <w:szCs w:val="24"/>
          <w:vertAlign w:val="superscript"/>
          <w:lang w:val="en-US"/>
        </w:rPr>
        <w:t>, 3</w:t>
      </w:r>
      <w:r w:rsidR="00CE764C">
        <w:rPr>
          <w:rFonts w:asciiTheme="majorBidi" w:hAnsiTheme="majorBidi" w:cstheme="majorBidi"/>
          <w:sz w:val="24"/>
          <w:szCs w:val="24"/>
          <w:vertAlign w:val="superscript"/>
          <w:lang w:val="en-US"/>
        </w:rPr>
        <w:t>4</w:t>
      </w:r>
      <w:r w:rsidR="00F502F8">
        <w:rPr>
          <w:rFonts w:asciiTheme="majorBidi" w:hAnsiTheme="majorBidi" w:cstheme="majorBidi"/>
          <w:sz w:val="24"/>
          <w:szCs w:val="24"/>
          <w:vertAlign w:val="superscript"/>
          <w:lang w:val="en-US"/>
        </w:rPr>
        <w:t>)</w:t>
      </w:r>
      <w:r w:rsidR="00B00450">
        <w:rPr>
          <w:rFonts w:asciiTheme="majorBidi" w:hAnsiTheme="majorBidi" w:cstheme="majorBidi"/>
          <w:sz w:val="24"/>
          <w:szCs w:val="24"/>
          <w:lang w:val="en-US"/>
        </w:rPr>
        <w:t xml:space="preserve">. </w:t>
      </w:r>
      <w:r w:rsidR="00B6529F" w:rsidRPr="00516108">
        <w:rPr>
          <w:rFonts w:asciiTheme="majorBidi" w:hAnsiTheme="majorBidi" w:cstheme="majorBidi"/>
          <w:sz w:val="24"/>
          <w:szCs w:val="24"/>
          <w:lang w:val="en-US"/>
        </w:rPr>
        <w:t xml:space="preserve">Low numeracy </w:t>
      </w:r>
      <w:r w:rsidR="001F7D64" w:rsidRPr="00516108">
        <w:rPr>
          <w:rFonts w:asciiTheme="majorBidi" w:hAnsiTheme="majorBidi" w:cstheme="majorBidi"/>
          <w:sz w:val="24"/>
          <w:szCs w:val="24"/>
          <w:lang w:val="en-US"/>
        </w:rPr>
        <w:t>is associated with difficultie</w:t>
      </w:r>
      <w:r w:rsidR="00B00450">
        <w:rPr>
          <w:rFonts w:asciiTheme="majorBidi" w:hAnsiTheme="majorBidi" w:cstheme="majorBidi"/>
          <w:sz w:val="24"/>
          <w:szCs w:val="24"/>
          <w:lang w:val="en-US"/>
        </w:rPr>
        <w:t>s interpreting risk information.</w:t>
      </w:r>
      <w:r w:rsidR="0013201C">
        <w:rPr>
          <w:rFonts w:asciiTheme="majorBidi" w:hAnsiTheme="majorBidi" w:cstheme="majorBidi"/>
          <w:sz w:val="24"/>
          <w:szCs w:val="24"/>
          <w:vertAlign w:val="superscript"/>
          <w:lang w:val="en-US"/>
        </w:rPr>
        <w:t>(3</w:t>
      </w:r>
      <w:r w:rsidR="00CE764C">
        <w:rPr>
          <w:rFonts w:asciiTheme="majorBidi" w:hAnsiTheme="majorBidi" w:cstheme="majorBidi"/>
          <w:sz w:val="24"/>
          <w:szCs w:val="24"/>
          <w:vertAlign w:val="superscript"/>
          <w:lang w:val="en-US"/>
        </w:rPr>
        <w:t>5</w:t>
      </w:r>
      <w:r w:rsidR="0013201C">
        <w:rPr>
          <w:rFonts w:asciiTheme="majorBidi" w:hAnsiTheme="majorBidi" w:cstheme="majorBidi"/>
          <w:sz w:val="24"/>
          <w:szCs w:val="24"/>
          <w:vertAlign w:val="superscript"/>
          <w:lang w:val="en-US"/>
        </w:rPr>
        <w:t>)</w:t>
      </w:r>
      <w:r w:rsidR="00B00450">
        <w:rPr>
          <w:rFonts w:asciiTheme="majorBidi" w:hAnsiTheme="majorBidi" w:cstheme="majorBidi"/>
          <w:sz w:val="24"/>
          <w:szCs w:val="24"/>
          <w:lang w:val="en-US"/>
        </w:rPr>
        <w:t xml:space="preserve"> </w:t>
      </w:r>
      <w:r w:rsidR="00635EA1" w:rsidRPr="00516108">
        <w:rPr>
          <w:rFonts w:asciiTheme="majorBidi" w:hAnsiTheme="majorBidi" w:cstheme="majorBidi"/>
          <w:sz w:val="24"/>
          <w:szCs w:val="24"/>
          <w:lang w:val="en-US"/>
        </w:rPr>
        <w:t>T</w:t>
      </w:r>
      <w:r w:rsidR="001F7D64" w:rsidRPr="00516108">
        <w:rPr>
          <w:rFonts w:asciiTheme="majorBidi" w:hAnsiTheme="majorBidi" w:cstheme="majorBidi"/>
          <w:sz w:val="24"/>
          <w:szCs w:val="24"/>
          <w:lang w:val="en-US"/>
        </w:rPr>
        <w:t xml:space="preserve">here is </w:t>
      </w:r>
      <w:r w:rsidR="00635EA1" w:rsidRPr="00516108">
        <w:rPr>
          <w:rFonts w:asciiTheme="majorBidi" w:hAnsiTheme="majorBidi" w:cstheme="majorBidi"/>
          <w:sz w:val="24"/>
          <w:szCs w:val="24"/>
          <w:lang w:val="en-US"/>
        </w:rPr>
        <w:t xml:space="preserve">also </w:t>
      </w:r>
      <w:r w:rsidR="001F7D64" w:rsidRPr="00516108">
        <w:rPr>
          <w:rFonts w:asciiTheme="majorBidi" w:hAnsiTheme="majorBidi" w:cstheme="majorBidi"/>
          <w:sz w:val="24"/>
          <w:szCs w:val="24"/>
          <w:lang w:val="en-US"/>
        </w:rPr>
        <w:t xml:space="preserve">growing evidence that </w:t>
      </w:r>
      <w:r w:rsidR="00205B4F" w:rsidRPr="00516108">
        <w:rPr>
          <w:rFonts w:asciiTheme="majorBidi" w:hAnsiTheme="majorBidi" w:cstheme="majorBidi"/>
          <w:sz w:val="24"/>
          <w:szCs w:val="24"/>
          <w:lang w:val="en-US" w:eastAsia="zh-TW"/>
        </w:rPr>
        <w:t xml:space="preserve">numerical </w:t>
      </w:r>
      <w:r w:rsidR="001F7D64" w:rsidRPr="00516108">
        <w:rPr>
          <w:rFonts w:asciiTheme="majorBidi" w:hAnsiTheme="majorBidi" w:cstheme="majorBidi"/>
          <w:sz w:val="24"/>
          <w:szCs w:val="24"/>
          <w:lang w:val="en-US" w:eastAsia="zh-TW"/>
        </w:rPr>
        <w:t>ability declines</w:t>
      </w:r>
      <w:r w:rsidR="00B6529F" w:rsidRPr="00516108">
        <w:rPr>
          <w:rFonts w:asciiTheme="majorBidi" w:hAnsiTheme="majorBidi" w:cstheme="majorBidi"/>
          <w:sz w:val="24"/>
          <w:szCs w:val="24"/>
          <w:lang w:val="en-US" w:eastAsia="zh-TW"/>
        </w:rPr>
        <w:t xml:space="preserve"> with age</w:t>
      </w:r>
      <w:r w:rsidR="00F502F8">
        <w:rPr>
          <w:rFonts w:asciiTheme="majorBidi" w:hAnsiTheme="majorBidi" w:cstheme="majorBidi"/>
          <w:sz w:val="24"/>
          <w:szCs w:val="24"/>
          <w:vertAlign w:val="superscript"/>
          <w:lang w:val="en-US" w:eastAsia="zh-TW"/>
        </w:rPr>
        <w:t>(</w:t>
      </w:r>
      <w:r w:rsidR="0013201C">
        <w:rPr>
          <w:rFonts w:asciiTheme="majorBidi" w:hAnsiTheme="majorBidi" w:cstheme="majorBidi"/>
          <w:sz w:val="24"/>
          <w:szCs w:val="24"/>
          <w:vertAlign w:val="superscript"/>
          <w:lang w:val="en-US" w:eastAsia="zh-TW"/>
        </w:rPr>
        <w:t>1</w:t>
      </w:r>
      <w:r w:rsidR="00CE764C">
        <w:rPr>
          <w:rFonts w:asciiTheme="majorBidi" w:hAnsiTheme="majorBidi" w:cstheme="majorBidi"/>
          <w:sz w:val="24"/>
          <w:szCs w:val="24"/>
          <w:vertAlign w:val="superscript"/>
          <w:lang w:val="en-US" w:eastAsia="zh-TW"/>
        </w:rPr>
        <w:t>8</w:t>
      </w:r>
      <w:r w:rsidR="00F502F8">
        <w:rPr>
          <w:rFonts w:asciiTheme="majorBidi" w:hAnsiTheme="majorBidi" w:cstheme="majorBidi"/>
          <w:sz w:val="24"/>
          <w:szCs w:val="24"/>
          <w:vertAlign w:val="superscript"/>
          <w:lang w:val="en-US" w:eastAsia="zh-TW"/>
        </w:rPr>
        <w:t>)</w:t>
      </w:r>
      <w:r w:rsidR="001F7D64" w:rsidRPr="00516108">
        <w:rPr>
          <w:rFonts w:asciiTheme="majorBidi" w:hAnsiTheme="majorBidi" w:cstheme="majorBidi"/>
          <w:sz w:val="24"/>
          <w:szCs w:val="24"/>
          <w:lang w:val="en-US" w:eastAsia="zh-TW"/>
        </w:rPr>
        <w:t xml:space="preserve"> </w:t>
      </w:r>
      <w:r w:rsidR="00B00450">
        <w:rPr>
          <w:rFonts w:asciiTheme="majorBidi" w:hAnsiTheme="majorBidi" w:cstheme="majorBidi"/>
          <w:sz w:val="24"/>
          <w:szCs w:val="24"/>
          <w:lang w:val="en-US" w:eastAsia="zh-TW"/>
        </w:rPr>
        <w:t xml:space="preserve">, </w:t>
      </w:r>
      <w:r w:rsidR="001F7D64" w:rsidRPr="00516108">
        <w:rPr>
          <w:rFonts w:asciiTheme="majorBidi" w:hAnsiTheme="majorBidi" w:cstheme="majorBidi"/>
          <w:sz w:val="24"/>
          <w:szCs w:val="24"/>
          <w:lang w:val="en-US" w:eastAsia="zh-TW"/>
        </w:rPr>
        <w:t xml:space="preserve">leading, among other things, </w:t>
      </w:r>
      <w:r w:rsidR="00384B74" w:rsidRPr="00516108">
        <w:rPr>
          <w:rFonts w:asciiTheme="majorBidi" w:hAnsiTheme="majorBidi" w:cstheme="majorBidi"/>
          <w:sz w:val="24"/>
          <w:szCs w:val="24"/>
          <w:lang w:val="en-US" w:eastAsia="zh-TW"/>
        </w:rPr>
        <w:t xml:space="preserve">to </w:t>
      </w:r>
      <w:r w:rsidR="00350BE2" w:rsidRPr="00516108">
        <w:rPr>
          <w:rFonts w:asciiTheme="majorBidi" w:hAnsiTheme="majorBidi" w:cstheme="majorBidi"/>
          <w:sz w:val="24"/>
          <w:szCs w:val="24"/>
          <w:lang w:val="en-US" w:eastAsia="zh-TW"/>
        </w:rPr>
        <w:t xml:space="preserve">poorer </w:t>
      </w:r>
      <w:r w:rsidR="00205B4F" w:rsidRPr="00516108">
        <w:rPr>
          <w:rFonts w:asciiTheme="majorBidi" w:hAnsiTheme="majorBidi" w:cstheme="majorBidi"/>
          <w:sz w:val="24"/>
          <w:szCs w:val="24"/>
          <w:lang w:val="en-US" w:eastAsia="zh-TW"/>
        </w:rPr>
        <w:t>decision making</w:t>
      </w:r>
      <w:r w:rsidR="00986854" w:rsidRPr="00516108">
        <w:rPr>
          <w:rFonts w:asciiTheme="majorBidi" w:hAnsiTheme="majorBidi" w:cstheme="majorBidi"/>
          <w:sz w:val="24"/>
          <w:szCs w:val="24"/>
          <w:lang w:val="en-US" w:eastAsia="zh-TW"/>
        </w:rPr>
        <w:t>.</w:t>
      </w:r>
      <w:r w:rsidR="00205B4F" w:rsidRPr="00516108">
        <w:rPr>
          <w:rFonts w:asciiTheme="majorBidi" w:hAnsiTheme="majorBidi" w:cstheme="majorBidi"/>
          <w:sz w:val="24"/>
          <w:szCs w:val="24"/>
          <w:lang w:val="en-US" w:eastAsia="zh-TW"/>
        </w:rPr>
        <w:t xml:space="preserve"> For example, </w:t>
      </w:r>
      <w:r w:rsidR="0047773B">
        <w:rPr>
          <w:rFonts w:asciiTheme="majorBidi" w:hAnsiTheme="majorBidi" w:cstheme="majorBidi"/>
          <w:sz w:val="24"/>
          <w:szCs w:val="24"/>
          <w:lang w:val="en-US" w:eastAsia="zh-TW"/>
        </w:rPr>
        <w:t>investigators</w:t>
      </w:r>
      <w:r w:rsidR="00F502F8">
        <w:rPr>
          <w:rFonts w:asciiTheme="majorBidi" w:hAnsiTheme="majorBidi" w:cstheme="majorBidi"/>
          <w:sz w:val="24"/>
          <w:szCs w:val="24"/>
          <w:vertAlign w:val="superscript"/>
          <w:lang w:val="en-US" w:eastAsia="zh-TW"/>
        </w:rPr>
        <w:t>(</w:t>
      </w:r>
      <w:r w:rsidR="0013201C">
        <w:rPr>
          <w:rFonts w:asciiTheme="majorBidi" w:hAnsiTheme="majorBidi" w:cstheme="majorBidi"/>
          <w:sz w:val="24"/>
          <w:szCs w:val="24"/>
          <w:vertAlign w:val="superscript"/>
          <w:lang w:val="en-US" w:eastAsia="zh-TW"/>
        </w:rPr>
        <w:t>3</w:t>
      </w:r>
      <w:r w:rsidR="00CE764C">
        <w:rPr>
          <w:rFonts w:asciiTheme="majorBidi" w:hAnsiTheme="majorBidi" w:cstheme="majorBidi"/>
          <w:sz w:val="24"/>
          <w:szCs w:val="24"/>
          <w:vertAlign w:val="superscript"/>
          <w:lang w:val="en-US" w:eastAsia="zh-TW"/>
        </w:rPr>
        <w:t>6</w:t>
      </w:r>
      <w:r w:rsidR="00F502F8">
        <w:rPr>
          <w:rFonts w:asciiTheme="majorBidi" w:hAnsiTheme="majorBidi" w:cstheme="majorBidi"/>
          <w:sz w:val="24"/>
          <w:szCs w:val="24"/>
          <w:vertAlign w:val="superscript"/>
          <w:lang w:val="en-US" w:eastAsia="zh-TW"/>
        </w:rPr>
        <w:t>)</w:t>
      </w:r>
      <w:r w:rsidR="00205B4F" w:rsidRPr="00516108">
        <w:rPr>
          <w:rFonts w:asciiTheme="majorBidi" w:hAnsiTheme="majorBidi" w:cstheme="majorBidi"/>
          <w:sz w:val="24"/>
          <w:szCs w:val="24"/>
          <w:lang w:val="en-US" w:eastAsia="zh-TW"/>
        </w:rPr>
        <w:t xml:space="preserve"> reported that older adults fared worse both </w:t>
      </w:r>
      <w:r w:rsidR="008D089E" w:rsidRPr="00516108">
        <w:rPr>
          <w:rFonts w:asciiTheme="majorBidi" w:hAnsiTheme="majorBidi" w:cstheme="majorBidi"/>
          <w:sz w:val="24"/>
          <w:szCs w:val="24"/>
          <w:lang w:val="en-US" w:eastAsia="zh-TW"/>
        </w:rPr>
        <w:t xml:space="preserve">on </w:t>
      </w:r>
      <w:r w:rsidR="00205B4F" w:rsidRPr="00516108">
        <w:rPr>
          <w:rFonts w:asciiTheme="majorBidi" w:hAnsiTheme="majorBidi" w:cstheme="majorBidi"/>
          <w:sz w:val="24"/>
          <w:szCs w:val="24"/>
          <w:lang w:val="en-US" w:eastAsia="zh-TW"/>
        </w:rPr>
        <w:t xml:space="preserve">numeracy tasks and </w:t>
      </w:r>
      <w:r w:rsidR="00986854" w:rsidRPr="00516108">
        <w:rPr>
          <w:rFonts w:asciiTheme="majorBidi" w:hAnsiTheme="majorBidi" w:cstheme="majorBidi"/>
          <w:sz w:val="24"/>
          <w:szCs w:val="24"/>
          <w:lang w:val="en-US" w:eastAsia="zh-TW"/>
        </w:rPr>
        <w:t>i</w:t>
      </w:r>
      <w:r w:rsidR="00205B4F" w:rsidRPr="00516108">
        <w:rPr>
          <w:rFonts w:asciiTheme="majorBidi" w:hAnsiTheme="majorBidi" w:cstheme="majorBidi"/>
          <w:sz w:val="24"/>
          <w:szCs w:val="24"/>
          <w:lang w:val="en-US" w:eastAsia="zh-TW"/>
        </w:rPr>
        <w:t>n interpreting medical risk and insuran</w:t>
      </w:r>
      <w:r w:rsidR="0047773B">
        <w:rPr>
          <w:rFonts w:asciiTheme="majorBidi" w:hAnsiTheme="majorBidi" w:cstheme="majorBidi"/>
          <w:sz w:val="24"/>
          <w:szCs w:val="24"/>
          <w:lang w:val="en-US" w:eastAsia="zh-TW"/>
        </w:rPr>
        <w:t>ce information</w:t>
      </w:r>
      <w:r w:rsidR="00205B4F" w:rsidRPr="00516108">
        <w:rPr>
          <w:rFonts w:asciiTheme="majorBidi" w:hAnsiTheme="majorBidi" w:cstheme="majorBidi"/>
          <w:sz w:val="24"/>
          <w:szCs w:val="24"/>
          <w:lang w:val="en-US" w:eastAsia="zh-TW"/>
        </w:rPr>
        <w:t>.</w:t>
      </w:r>
      <w:r w:rsidR="00205B4F" w:rsidRPr="00516108">
        <w:rPr>
          <w:rFonts w:asciiTheme="majorBidi" w:hAnsiTheme="majorBidi" w:cstheme="majorBidi"/>
          <w:sz w:val="24"/>
          <w:szCs w:val="24"/>
          <w:lang w:val="en-US"/>
        </w:rPr>
        <w:t xml:space="preserve"> </w:t>
      </w:r>
      <w:r w:rsidR="00350BE2" w:rsidRPr="00516108">
        <w:rPr>
          <w:rFonts w:asciiTheme="majorBidi" w:hAnsiTheme="majorBidi" w:cstheme="majorBidi"/>
          <w:sz w:val="24"/>
          <w:szCs w:val="24"/>
          <w:lang w:val="en-US"/>
        </w:rPr>
        <w:t xml:space="preserve">In a </w:t>
      </w:r>
      <w:r w:rsidR="00B6529F" w:rsidRPr="00516108">
        <w:rPr>
          <w:rFonts w:asciiTheme="majorBidi" w:hAnsiTheme="majorBidi" w:cstheme="majorBidi"/>
          <w:sz w:val="24"/>
          <w:szCs w:val="24"/>
          <w:lang w:val="en-US"/>
        </w:rPr>
        <w:t>review</w:t>
      </w:r>
      <w:r w:rsidR="00350BE2" w:rsidRPr="00516108">
        <w:rPr>
          <w:rFonts w:asciiTheme="majorBidi" w:hAnsiTheme="majorBidi" w:cstheme="majorBidi"/>
          <w:sz w:val="24"/>
          <w:szCs w:val="24"/>
          <w:lang w:val="en-US"/>
        </w:rPr>
        <w:t xml:space="preserve"> of the numeracy</w:t>
      </w:r>
      <w:r w:rsidR="00B6529F" w:rsidRPr="00516108">
        <w:rPr>
          <w:rFonts w:asciiTheme="majorBidi" w:hAnsiTheme="majorBidi" w:cstheme="majorBidi"/>
          <w:sz w:val="24"/>
          <w:szCs w:val="24"/>
          <w:lang w:val="en-US"/>
        </w:rPr>
        <w:t xml:space="preserve"> literature, </w:t>
      </w:r>
      <w:r w:rsidR="0047773B">
        <w:rPr>
          <w:rFonts w:asciiTheme="majorBidi" w:hAnsiTheme="majorBidi" w:cstheme="majorBidi"/>
          <w:sz w:val="24"/>
          <w:szCs w:val="24"/>
          <w:lang w:val="en-US"/>
        </w:rPr>
        <w:t>researchers</w:t>
      </w:r>
      <w:r w:rsidR="00F502F8">
        <w:rPr>
          <w:rFonts w:asciiTheme="majorBidi" w:hAnsiTheme="majorBidi" w:cstheme="majorBidi"/>
          <w:sz w:val="24"/>
          <w:szCs w:val="24"/>
          <w:vertAlign w:val="superscript"/>
          <w:lang w:val="en-US"/>
        </w:rPr>
        <w:t>(</w:t>
      </w:r>
      <w:r w:rsidR="0013201C">
        <w:rPr>
          <w:rFonts w:asciiTheme="majorBidi" w:hAnsiTheme="majorBidi" w:cstheme="majorBidi"/>
          <w:sz w:val="24"/>
          <w:szCs w:val="24"/>
          <w:vertAlign w:val="superscript"/>
          <w:lang w:val="en-US"/>
        </w:rPr>
        <w:t>3</w:t>
      </w:r>
      <w:r w:rsidR="00CE764C">
        <w:rPr>
          <w:rFonts w:asciiTheme="majorBidi" w:hAnsiTheme="majorBidi" w:cstheme="majorBidi"/>
          <w:sz w:val="24"/>
          <w:szCs w:val="24"/>
          <w:vertAlign w:val="superscript"/>
          <w:lang w:val="en-US"/>
        </w:rPr>
        <w:t>7</w:t>
      </w:r>
      <w:r w:rsidR="00F502F8">
        <w:rPr>
          <w:rFonts w:asciiTheme="majorBidi" w:hAnsiTheme="majorBidi" w:cstheme="majorBidi"/>
          <w:sz w:val="24"/>
          <w:szCs w:val="24"/>
          <w:vertAlign w:val="superscript"/>
          <w:lang w:val="en-US"/>
        </w:rPr>
        <w:t>)</w:t>
      </w:r>
      <w:r w:rsidR="0047773B">
        <w:rPr>
          <w:rFonts w:asciiTheme="majorBidi" w:hAnsiTheme="majorBidi" w:cstheme="majorBidi"/>
          <w:sz w:val="24"/>
          <w:szCs w:val="24"/>
          <w:lang w:val="en-US"/>
        </w:rPr>
        <w:t xml:space="preserve"> have</w:t>
      </w:r>
      <w:r w:rsidR="00B6529F" w:rsidRPr="00516108">
        <w:rPr>
          <w:rFonts w:asciiTheme="majorBidi" w:hAnsiTheme="majorBidi" w:cstheme="majorBidi"/>
          <w:sz w:val="24"/>
          <w:szCs w:val="24"/>
          <w:lang w:val="en-US"/>
        </w:rPr>
        <w:t xml:space="preserve"> argue</w:t>
      </w:r>
      <w:r w:rsidR="00234C48" w:rsidRPr="00516108">
        <w:rPr>
          <w:rFonts w:asciiTheme="majorBidi" w:hAnsiTheme="majorBidi" w:cstheme="majorBidi"/>
          <w:sz w:val="24"/>
          <w:szCs w:val="24"/>
          <w:lang w:val="en-US"/>
        </w:rPr>
        <w:t>d</w:t>
      </w:r>
      <w:r w:rsidR="00B6529F" w:rsidRPr="00516108">
        <w:rPr>
          <w:rFonts w:asciiTheme="majorBidi" w:hAnsiTheme="majorBidi" w:cstheme="majorBidi"/>
          <w:sz w:val="24"/>
          <w:szCs w:val="24"/>
          <w:lang w:val="en-US"/>
        </w:rPr>
        <w:t xml:space="preserve"> that “low numeracy distorts perceptions of </w:t>
      </w:r>
      <w:r w:rsidR="00234C48" w:rsidRPr="00516108">
        <w:rPr>
          <w:rFonts w:asciiTheme="majorBidi" w:hAnsiTheme="majorBidi" w:cstheme="majorBidi"/>
          <w:sz w:val="24"/>
          <w:szCs w:val="24"/>
          <w:lang w:val="en-US"/>
        </w:rPr>
        <w:t xml:space="preserve">the </w:t>
      </w:r>
      <w:r w:rsidR="00B6529F" w:rsidRPr="00516108">
        <w:rPr>
          <w:rFonts w:asciiTheme="majorBidi" w:hAnsiTheme="majorBidi" w:cstheme="majorBidi"/>
          <w:sz w:val="24"/>
          <w:szCs w:val="24"/>
          <w:lang w:val="en-US"/>
        </w:rPr>
        <w:t xml:space="preserve">risks and benefits of screening, reduces medical compliance, impedes access to treatments, impairs risk communication (limiting prevention efforts among the most vulnerable), and …appears to adversely affect medical outcomes” (p. 943). </w:t>
      </w:r>
      <w:r w:rsidR="001F7D64" w:rsidRPr="00516108">
        <w:rPr>
          <w:rFonts w:asciiTheme="majorBidi" w:hAnsiTheme="majorBidi" w:cstheme="majorBidi"/>
          <w:sz w:val="24"/>
          <w:szCs w:val="24"/>
          <w:lang w:val="en-US"/>
        </w:rPr>
        <w:t xml:space="preserve">Building on this </w:t>
      </w:r>
      <w:r w:rsidR="004B6883" w:rsidRPr="00516108">
        <w:rPr>
          <w:rFonts w:asciiTheme="majorBidi" w:hAnsiTheme="majorBidi" w:cstheme="majorBidi"/>
          <w:sz w:val="24"/>
          <w:szCs w:val="24"/>
          <w:lang w:val="en-US"/>
        </w:rPr>
        <w:t>research</w:t>
      </w:r>
      <w:r w:rsidR="001F7D64" w:rsidRPr="00516108">
        <w:rPr>
          <w:rFonts w:asciiTheme="majorBidi" w:hAnsiTheme="majorBidi" w:cstheme="majorBidi"/>
          <w:sz w:val="24"/>
          <w:szCs w:val="24"/>
          <w:lang w:val="en-US"/>
        </w:rPr>
        <w:t xml:space="preserve">, </w:t>
      </w:r>
      <w:r w:rsidR="00227CB7">
        <w:rPr>
          <w:rFonts w:asciiTheme="majorBidi" w:hAnsiTheme="majorBidi" w:cstheme="majorBidi"/>
          <w:sz w:val="24"/>
          <w:szCs w:val="24"/>
          <w:lang w:val="en-US"/>
        </w:rPr>
        <w:t>we</w:t>
      </w:r>
      <w:r w:rsidR="00B6529F" w:rsidRPr="00516108">
        <w:rPr>
          <w:rFonts w:asciiTheme="majorBidi" w:hAnsiTheme="majorBidi" w:cstheme="majorBidi"/>
          <w:sz w:val="24"/>
          <w:szCs w:val="24"/>
          <w:lang w:val="en-US"/>
        </w:rPr>
        <w:t xml:space="preserve"> examine</w:t>
      </w:r>
      <w:r w:rsidR="00125AE7" w:rsidRPr="00516108">
        <w:rPr>
          <w:rFonts w:asciiTheme="majorBidi" w:hAnsiTheme="majorBidi" w:cstheme="majorBidi"/>
          <w:sz w:val="24"/>
          <w:szCs w:val="24"/>
          <w:lang w:val="en-US"/>
        </w:rPr>
        <w:t>d</w:t>
      </w:r>
      <w:r w:rsidR="00B6529F" w:rsidRPr="00516108">
        <w:rPr>
          <w:rFonts w:asciiTheme="majorBidi" w:hAnsiTheme="majorBidi" w:cstheme="majorBidi"/>
          <w:sz w:val="24"/>
          <w:szCs w:val="24"/>
          <w:lang w:val="en-US"/>
        </w:rPr>
        <w:t xml:space="preserve"> the link between age, numeracy</w:t>
      </w:r>
      <w:r w:rsidR="00234C48" w:rsidRPr="00516108">
        <w:rPr>
          <w:rFonts w:asciiTheme="majorBidi" w:hAnsiTheme="majorBidi" w:cstheme="majorBidi"/>
          <w:sz w:val="24"/>
          <w:szCs w:val="24"/>
          <w:lang w:val="en-US"/>
        </w:rPr>
        <w:t>,</w:t>
      </w:r>
      <w:r w:rsidR="00B6529F" w:rsidRPr="00516108">
        <w:rPr>
          <w:rFonts w:asciiTheme="majorBidi" w:hAnsiTheme="majorBidi" w:cstheme="majorBidi"/>
          <w:sz w:val="24"/>
          <w:szCs w:val="24"/>
          <w:lang w:val="en-US"/>
        </w:rPr>
        <w:t xml:space="preserve"> and medical </w:t>
      </w:r>
      <w:r w:rsidR="004B6883" w:rsidRPr="00516108">
        <w:rPr>
          <w:rFonts w:asciiTheme="majorBidi" w:hAnsiTheme="majorBidi" w:cstheme="majorBidi"/>
          <w:sz w:val="24"/>
          <w:szCs w:val="24"/>
          <w:lang w:val="en-US"/>
        </w:rPr>
        <w:t>risk</w:t>
      </w:r>
      <w:r w:rsidR="008D089E">
        <w:rPr>
          <w:rFonts w:asciiTheme="majorBidi" w:hAnsiTheme="majorBidi" w:cstheme="majorBidi"/>
          <w:sz w:val="24"/>
          <w:szCs w:val="24"/>
          <w:lang w:val="en-US"/>
        </w:rPr>
        <w:t xml:space="preserve"> </w:t>
      </w:r>
      <w:r w:rsidR="00B6529F" w:rsidRPr="00516108">
        <w:rPr>
          <w:rFonts w:asciiTheme="majorBidi" w:hAnsiTheme="majorBidi" w:cstheme="majorBidi"/>
          <w:sz w:val="24"/>
          <w:szCs w:val="24"/>
          <w:lang w:val="en-US"/>
        </w:rPr>
        <w:t>taking.</w:t>
      </w:r>
    </w:p>
    <w:p w14:paraId="6D70383B" w14:textId="77777777" w:rsidR="00E56472" w:rsidRDefault="00E56472">
      <w:pPr>
        <w:rPr>
          <w:rFonts w:asciiTheme="majorBidi" w:hAnsiTheme="majorBidi" w:cstheme="majorBidi"/>
          <w:b/>
          <w:bCs/>
          <w:sz w:val="24"/>
          <w:szCs w:val="24"/>
          <w:lang w:val="en-US"/>
        </w:rPr>
      </w:pPr>
      <w:r>
        <w:rPr>
          <w:rFonts w:asciiTheme="majorBidi" w:hAnsiTheme="majorBidi" w:cstheme="majorBidi"/>
          <w:b/>
          <w:bCs/>
          <w:sz w:val="24"/>
          <w:szCs w:val="24"/>
          <w:lang w:val="en-US"/>
        </w:rPr>
        <w:br w:type="page"/>
      </w:r>
    </w:p>
    <w:p w14:paraId="5370783B" w14:textId="35BB4C70" w:rsidR="00071F8A" w:rsidRPr="009049F0" w:rsidRDefault="009049F0" w:rsidP="009049F0">
      <w:pPr>
        <w:autoSpaceDE w:val="0"/>
        <w:autoSpaceDN w:val="0"/>
        <w:adjustRightInd w:val="0"/>
        <w:spacing w:after="0" w:line="48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1.6 </w:t>
      </w:r>
      <w:r w:rsidR="00071F8A" w:rsidRPr="009049F0">
        <w:rPr>
          <w:rFonts w:asciiTheme="majorBidi" w:hAnsiTheme="majorBidi" w:cstheme="majorBidi"/>
          <w:b/>
          <w:bCs/>
          <w:sz w:val="24"/>
          <w:szCs w:val="24"/>
          <w:lang w:val="en-US"/>
        </w:rPr>
        <w:t>The present study</w:t>
      </w:r>
    </w:p>
    <w:p w14:paraId="47FAB3A3" w14:textId="17552432" w:rsidR="00A42638" w:rsidRPr="00516108" w:rsidRDefault="00A42638" w:rsidP="00CE764C">
      <w:pPr>
        <w:autoSpaceDE w:val="0"/>
        <w:autoSpaceDN w:val="0"/>
        <w:adjustRightInd w:val="0"/>
        <w:spacing w:after="0" w:line="480" w:lineRule="auto"/>
        <w:ind w:firstLine="720"/>
        <w:rPr>
          <w:rFonts w:asciiTheme="majorBidi" w:hAnsiTheme="majorBidi" w:cstheme="majorBidi"/>
          <w:sz w:val="24"/>
          <w:szCs w:val="24"/>
          <w:lang w:val="en-US"/>
        </w:rPr>
      </w:pPr>
      <w:r>
        <w:rPr>
          <w:rFonts w:asciiTheme="majorBidi" w:hAnsiTheme="majorBidi" w:cstheme="majorBidi"/>
          <w:sz w:val="24"/>
          <w:szCs w:val="24"/>
          <w:lang w:val="en-US"/>
        </w:rPr>
        <w:t>In</w:t>
      </w:r>
      <w:r w:rsidRPr="00516108">
        <w:rPr>
          <w:rFonts w:asciiTheme="majorBidi" w:hAnsiTheme="majorBidi" w:cstheme="majorBidi"/>
          <w:sz w:val="24"/>
          <w:szCs w:val="24"/>
          <w:lang w:val="en-US"/>
        </w:rPr>
        <w:t xml:space="preserve"> the present study</w:t>
      </w:r>
      <w:r>
        <w:rPr>
          <w:rFonts w:asciiTheme="majorBidi" w:hAnsiTheme="majorBidi" w:cstheme="majorBidi"/>
          <w:sz w:val="24"/>
          <w:szCs w:val="24"/>
          <w:lang w:val="en-US"/>
        </w:rPr>
        <w:t>, our goals were</w:t>
      </w:r>
      <w:r w:rsidRPr="00516108">
        <w:rPr>
          <w:rFonts w:asciiTheme="majorBidi" w:hAnsiTheme="majorBidi" w:cstheme="majorBidi"/>
          <w:sz w:val="24"/>
          <w:szCs w:val="24"/>
          <w:lang w:val="en-US"/>
        </w:rPr>
        <w:t xml:space="preserve"> (i) </w:t>
      </w:r>
      <w:r>
        <w:rPr>
          <w:rFonts w:asciiTheme="majorBidi" w:hAnsiTheme="majorBidi" w:cstheme="majorBidi"/>
          <w:sz w:val="24"/>
          <w:szCs w:val="24"/>
          <w:lang w:val="en-US"/>
        </w:rPr>
        <w:t xml:space="preserve">to </w:t>
      </w:r>
      <w:r w:rsidRPr="00516108">
        <w:rPr>
          <w:rFonts w:asciiTheme="majorBidi" w:hAnsiTheme="majorBidi" w:cstheme="majorBidi"/>
          <w:sz w:val="24"/>
          <w:szCs w:val="24"/>
          <w:lang w:val="en-US"/>
        </w:rPr>
        <w:t xml:space="preserve">examine age-related differences in medical risk taking across adulthood; (ii) </w:t>
      </w:r>
      <w:r>
        <w:rPr>
          <w:rFonts w:asciiTheme="majorBidi" w:hAnsiTheme="majorBidi" w:cstheme="majorBidi"/>
          <w:sz w:val="24"/>
          <w:szCs w:val="24"/>
          <w:lang w:val="en-US"/>
        </w:rPr>
        <w:t xml:space="preserve">to </w:t>
      </w:r>
      <w:r w:rsidRPr="00516108">
        <w:rPr>
          <w:rFonts w:asciiTheme="majorBidi" w:hAnsiTheme="majorBidi" w:cstheme="majorBidi"/>
          <w:sz w:val="24"/>
          <w:szCs w:val="24"/>
          <w:lang w:val="en-US"/>
        </w:rPr>
        <w:t xml:space="preserve">evaluate the degree to which medical risk-taking behavior is driven by expected benefits and perceived risks; (iii) </w:t>
      </w:r>
      <w:r>
        <w:rPr>
          <w:rFonts w:asciiTheme="majorBidi" w:hAnsiTheme="majorBidi" w:cstheme="majorBidi"/>
          <w:sz w:val="24"/>
          <w:szCs w:val="24"/>
          <w:lang w:val="en-US"/>
        </w:rPr>
        <w:t xml:space="preserve">to </w:t>
      </w:r>
      <w:r w:rsidRPr="00516108">
        <w:rPr>
          <w:rFonts w:asciiTheme="majorBidi" w:hAnsiTheme="majorBidi" w:cstheme="majorBidi"/>
          <w:sz w:val="24"/>
          <w:szCs w:val="24"/>
          <w:lang w:val="en-US"/>
        </w:rPr>
        <w:t xml:space="preserve">study differences in </w:t>
      </w:r>
      <w:r w:rsidR="00E56472">
        <w:rPr>
          <w:rFonts w:asciiTheme="majorBidi" w:hAnsiTheme="majorBidi" w:cstheme="majorBidi"/>
          <w:sz w:val="24"/>
          <w:szCs w:val="24"/>
          <w:lang w:val="en-US"/>
        </w:rPr>
        <w:t xml:space="preserve">the </w:t>
      </w:r>
      <w:r w:rsidRPr="00516108">
        <w:rPr>
          <w:rFonts w:asciiTheme="majorBidi" w:hAnsiTheme="majorBidi" w:cstheme="majorBidi"/>
          <w:sz w:val="24"/>
          <w:szCs w:val="24"/>
          <w:lang w:val="en-US"/>
        </w:rPr>
        <w:t>omission</w:t>
      </w:r>
      <w:r w:rsidR="00E56472">
        <w:rPr>
          <w:rFonts w:asciiTheme="majorBidi" w:hAnsiTheme="majorBidi" w:cstheme="majorBidi"/>
          <w:sz w:val="24"/>
          <w:szCs w:val="24"/>
          <w:lang w:val="en-US"/>
        </w:rPr>
        <w:t>/commission</w:t>
      </w:r>
      <w:r w:rsidRPr="00516108">
        <w:rPr>
          <w:rFonts w:asciiTheme="majorBidi" w:hAnsiTheme="majorBidi" w:cstheme="majorBidi"/>
          <w:sz w:val="24"/>
          <w:szCs w:val="24"/>
          <w:lang w:val="en-US"/>
        </w:rPr>
        <w:t xml:space="preserve"> bias</w:t>
      </w:r>
      <w:r>
        <w:rPr>
          <w:rFonts w:asciiTheme="majorBidi" w:hAnsiTheme="majorBidi" w:cstheme="majorBidi"/>
          <w:sz w:val="24"/>
          <w:szCs w:val="24"/>
          <w:lang w:val="en-US"/>
        </w:rPr>
        <w:t xml:space="preserve"> among adults of different ages</w:t>
      </w:r>
      <w:r w:rsidRPr="00516108">
        <w:rPr>
          <w:rFonts w:asciiTheme="majorBidi" w:hAnsiTheme="majorBidi" w:cstheme="majorBidi"/>
          <w:sz w:val="24"/>
          <w:szCs w:val="24"/>
          <w:lang w:val="en-US"/>
        </w:rPr>
        <w:t xml:space="preserve">; (iv) </w:t>
      </w:r>
      <w:r>
        <w:rPr>
          <w:rFonts w:asciiTheme="majorBidi" w:hAnsiTheme="majorBidi" w:cstheme="majorBidi"/>
          <w:sz w:val="24"/>
          <w:szCs w:val="24"/>
          <w:lang w:val="en-US"/>
        </w:rPr>
        <w:t xml:space="preserve">to </w:t>
      </w:r>
      <w:r w:rsidRPr="00516108">
        <w:rPr>
          <w:rFonts w:asciiTheme="majorBidi" w:hAnsiTheme="majorBidi" w:cstheme="majorBidi"/>
          <w:sz w:val="24"/>
          <w:szCs w:val="24"/>
          <w:lang w:val="en-US"/>
        </w:rPr>
        <w:t>investigate age-related differences in passive risk</w:t>
      </w:r>
      <w:r>
        <w:rPr>
          <w:rFonts w:asciiTheme="majorBidi" w:hAnsiTheme="majorBidi" w:cstheme="majorBidi"/>
          <w:sz w:val="24"/>
          <w:szCs w:val="24"/>
          <w:lang w:val="en-US"/>
        </w:rPr>
        <w:t>-</w:t>
      </w:r>
      <w:r w:rsidRPr="00516108">
        <w:rPr>
          <w:rFonts w:asciiTheme="majorBidi" w:hAnsiTheme="majorBidi" w:cstheme="majorBidi"/>
          <w:sz w:val="24"/>
          <w:szCs w:val="24"/>
          <w:lang w:val="en-US"/>
        </w:rPr>
        <w:t>taking tendencies</w:t>
      </w:r>
      <w:r>
        <w:rPr>
          <w:rFonts w:asciiTheme="majorBidi" w:hAnsiTheme="majorBidi" w:cstheme="majorBidi"/>
          <w:sz w:val="24"/>
          <w:szCs w:val="24"/>
          <w:lang w:val="en-US"/>
        </w:rPr>
        <w:t>;</w:t>
      </w:r>
      <w:r w:rsidRPr="00516108">
        <w:rPr>
          <w:rFonts w:asciiTheme="majorBidi" w:hAnsiTheme="majorBidi" w:cstheme="majorBidi"/>
          <w:sz w:val="24"/>
          <w:szCs w:val="24"/>
          <w:lang w:val="en-US"/>
        </w:rPr>
        <w:t xml:space="preserve"> (v) </w:t>
      </w:r>
      <w:r>
        <w:rPr>
          <w:rFonts w:asciiTheme="majorBidi" w:hAnsiTheme="majorBidi" w:cstheme="majorBidi"/>
          <w:sz w:val="24"/>
          <w:szCs w:val="24"/>
          <w:lang w:val="en-US"/>
        </w:rPr>
        <w:t xml:space="preserve">to </w:t>
      </w:r>
      <w:r w:rsidRPr="00516108">
        <w:rPr>
          <w:rFonts w:asciiTheme="majorBidi" w:hAnsiTheme="majorBidi" w:cstheme="majorBidi"/>
          <w:sz w:val="24"/>
          <w:szCs w:val="24"/>
          <w:lang w:val="en-US"/>
        </w:rPr>
        <w:t>explore how the age of the target of the decision (own age vs. child</w:t>
      </w:r>
      <w:r>
        <w:rPr>
          <w:rFonts w:asciiTheme="majorBidi" w:hAnsiTheme="majorBidi" w:cstheme="majorBidi"/>
          <w:sz w:val="24"/>
          <w:szCs w:val="24"/>
          <w:lang w:val="en-US"/>
        </w:rPr>
        <w:t>’s</w:t>
      </w:r>
      <w:r w:rsidRPr="00516108">
        <w:rPr>
          <w:rFonts w:asciiTheme="majorBidi" w:hAnsiTheme="majorBidi" w:cstheme="majorBidi"/>
          <w:sz w:val="24"/>
          <w:szCs w:val="24"/>
          <w:lang w:val="en-US"/>
        </w:rPr>
        <w:t>) affects medical risk-taking decisions</w:t>
      </w:r>
      <w:r>
        <w:rPr>
          <w:rFonts w:asciiTheme="majorBidi" w:hAnsiTheme="majorBidi" w:cstheme="majorBidi"/>
          <w:sz w:val="24"/>
          <w:szCs w:val="24"/>
          <w:lang w:val="en-US"/>
        </w:rPr>
        <w:t>; and to (vi) examine the link between numeracy and risk taking propensity</w:t>
      </w:r>
      <w:r w:rsidRPr="00516108">
        <w:rPr>
          <w:rFonts w:asciiTheme="majorBidi" w:hAnsiTheme="majorBidi" w:cstheme="majorBidi"/>
          <w:sz w:val="24"/>
          <w:szCs w:val="24"/>
          <w:lang w:val="en-US"/>
        </w:rPr>
        <w:t xml:space="preserve">. Specifically, we predicted that age </w:t>
      </w:r>
      <w:r w:rsidR="00FD492E">
        <w:rPr>
          <w:rFonts w:asciiTheme="majorBidi" w:hAnsiTheme="majorBidi" w:cstheme="majorBidi"/>
          <w:sz w:val="24"/>
          <w:szCs w:val="24"/>
          <w:lang w:val="en-US"/>
        </w:rPr>
        <w:t xml:space="preserve">is </w:t>
      </w:r>
      <w:r w:rsidRPr="00516108">
        <w:rPr>
          <w:rFonts w:asciiTheme="majorBidi" w:hAnsiTheme="majorBidi" w:cstheme="majorBidi"/>
          <w:sz w:val="24"/>
          <w:szCs w:val="24"/>
          <w:lang w:val="en-US"/>
        </w:rPr>
        <w:t>associated with reduced risk taking in the medical domain. We also assumed that for all age groups</w:t>
      </w:r>
      <w:r>
        <w:rPr>
          <w:rFonts w:asciiTheme="majorBidi" w:hAnsiTheme="majorBidi" w:cstheme="majorBidi"/>
          <w:sz w:val="24"/>
          <w:szCs w:val="24"/>
          <w:lang w:val="en-US"/>
        </w:rPr>
        <w:t>,</w:t>
      </w:r>
      <w:r w:rsidRPr="00516108">
        <w:rPr>
          <w:rFonts w:asciiTheme="majorBidi" w:hAnsiTheme="majorBidi" w:cstheme="majorBidi"/>
          <w:sz w:val="24"/>
          <w:szCs w:val="24"/>
          <w:lang w:val="en-US"/>
        </w:rPr>
        <w:t xml:space="preserve"> perceived benefit play</w:t>
      </w:r>
      <w:r w:rsidR="00FD492E">
        <w:rPr>
          <w:rFonts w:asciiTheme="majorBidi" w:hAnsiTheme="majorBidi" w:cstheme="majorBidi"/>
          <w:sz w:val="24"/>
          <w:szCs w:val="24"/>
          <w:lang w:val="en-US"/>
        </w:rPr>
        <w:t>s</w:t>
      </w:r>
      <w:r w:rsidRPr="00516108">
        <w:rPr>
          <w:rFonts w:asciiTheme="majorBidi" w:hAnsiTheme="majorBidi" w:cstheme="majorBidi"/>
          <w:sz w:val="24"/>
          <w:szCs w:val="24"/>
          <w:lang w:val="en-US"/>
        </w:rPr>
        <w:t xml:space="preserve"> a more important role in the self-reported willingness to engage in medical risk taking </w:t>
      </w:r>
      <w:r>
        <w:rPr>
          <w:rFonts w:asciiTheme="majorBidi" w:hAnsiTheme="majorBidi" w:cstheme="majorBidi"/>
          <w:sz w:val="24"/>
          <w:szCs w:val="24"/>
          <w:lang w:val="en-US"/>
        </w:rPr>
        <w:t>than</w:t>
      </w:r>
      <w:r w:rsidRPr="00516108">
        <w:rPr>
          <w:rFonts w:asciiTheme="majorBidi" w:hAnsiTheme="majorBidi" w:cstheme="majorBidi"/>
          <w:sz w:val="24"/>
          <w:szCs w:val="24"/>
          <w:lang w:val="en-US"/>
        </w:rPr>
        <w:t xml:space="preserve"> perceived risk. </w:t>
      </w:r>
      <w:r>
        <w:rPr>
          <w:rFonts w:asciiTheme="majorBidi" w:hAnsiTheme="majorBidi" w:cstheme="majorBidi"/>
          <w:sz w:val="24"/>
          <w:szCs w:val="24"/>
          <w:lang w:val="en-US"/>
        </w:rPr>
        <w:t>W</w:t>
      </w:r>
      <w:r w:rsidRPr="00516108">
        <w:rPr>
          <w:rFonts w:asciiTheme="majorBidi" w:hAnsiTheme="majorBidi" w:cstheme="majorBidi"/>
          <w:sz w:val="24"/>
          <w:szCs w:val="24"/>
          <w:lang w:val="en-US"/>
        </w:rPr>
        <w:t>e hypothesized that</w:t>
      </w:r>
      <w:r>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 xml:space="preserve">older adults </w:t>
      </w:r>
      <w:r w:rsidR="00FD492E">
        <w:rPr>
          <w:rFonts w:asciiTheme="majorBidi" w:hAnsiTheme="majorBidi" w:cstheme="majorBidi"/>
          <w:sz w:val="24"/>
          <w:szCs w:val="24"/>
          <w:lang w:val="en-US"/>
        </w:rPr>
        <w:t>are</w:t>
      </w:r>
      <w:r w:rsidRPr="00516108">
        <w:rPr>
          <w:rFonts w:asciiTheme="majorBidi" w:hAnsiTheme="majorBidi" w:cstheme="majorBidi"/>
          <w:sz w:val="24"/>
          <w:szCs w:val="24"/>
          <w:lang w:val="en-US"/>
        </w:rPr>
        <w:t xml:space="preserve"> more willing than younger adults to vaccinate but not to undergo chemotherapy for cancer treatment. We also predicted that older adults </w:t>
      </w:r>
      <w:r w:rsidR="00FD492E">
        <w:rPr>
          <w:rFonts w:asciiTheme="majorBidi" w:hAnsiTheme="majorBidi" w:cstheme="majorBidi"/>
          <w:sz w:val="24"/>
          <w:szCs w:val="24"/>
          <w:lang w:val="en-US"/>
        </w:rPr>
        <w:t xml:space="preserve">are </w:t>
      </w:r>
      <w:r w:rsidRPr="00516108">
        <w:rPr>
          <w:rFonts w:asciiTheme="majorBidi" w:hAnsiTheme="majorBidi" w:cstheme="majorBidi"/>
          <w:sz w:val="24"/>
          <w:szCs w:val="24"/>
          <w:lang w:val="en-US"/>
        </w:rPr>
        <w:t>more likely to accept the flu vaccin</w:t>
      </w:r>
      <w:r>
        <w:rPr>
          <w:rFonts w:asciiTheme="majorBidi" w:hAnsiTheme="majorBidi" w:cstheme="majorBidi"/>
          <w:sz w:val="24"/>
          <w:szCs w:val="24"/>
          <w:lang w:val="en-US"/>
        </w:rPr>
        <w:t>e</w:t>
      </w:r>
      <w:r w:rsidRPr="00516108">
        <w:rPr>
          <w:rFonts w:asciiTheme="majorBidi" w:hAnsiTheme="majorBidi" w:cstheme="majorBidi"/>
          <w:sz w:val="24"/>
          <w:szCs w:val="24"/>
          <w:lang w:val="en-US"/>
        </w:rPr>
        <w:t xml:space="preserve"> and chemotherapy for their child compared to younger adults</w:t>
      </w:r>
      <w:r>
        <w:rPr>
          <w:rFonts w:asciiTheme="majorBidi" w:hAnsiTheme="majorBidi" w:cstheme="majorBidi"/>
          <w:sz w:val="24"/>
          <w:szCs w:val="24"/>
          <w:lang w:val="en-US"/>
        </w:rPr>
        <w:t>,</w:t>
      </w:r>
      <w:r w:rsidRPr="00516108">
        <w:rPr>
          <w:rFonts w:asciiTheme="majorBidi" w:hAnsiTheme="majorBidi" w:cstheme="majorBidi"/>
          <w:sz w:val="24"/>
          <w:szCs w:val="24"/>
          <w:lang w:val="en-US"/>
        </w:rPr>
        <w:t xml:space="preserve"> as a form of reversed omission bias. We did not hold a priori hypotheses regarding potential age-related differences in passive risk</w:t>
      </w:r>
      <w:r>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 xml:space="preserve">taking. </w:t>
      </w:r>
      <w:r>
        <w:rPr>
          <w:rFonts w:asciiTheme="majorBidi" w:hAnsiTheme="majorBidi" w:cstheme="majorBidi"/>
          <w:sz w:val="24"/>
          <w:szCs w:val="24"/>
          <w:lang w:val="en-US"/>
        </w:rPr>
        <w:t xml:space="preserve">We also predicted that high numeracy </w:t>
      </w:r>
      <w:r w:rsidR="00FD492E">
        <w:rPr>
          <w:rFonts w:asciiTheme="majorBidi" w:hAnsiTheme="majorBidi" w:cstheme="majorBidi"/>
          <w:sz w:val="24"/>
          <w:szCs w:val="24"/>
          <w:lang w:val="en-US"/>
        </w:rPr>
        <w:t>is</w:t>
      </w:r>
      <w:r>
        <w:rPr>
          <w:rFonts w:asciiTheme="majorBidi" w:hAnsiTheme="majorBidi" w:cstheme="majorBidi"/>
          <w:sz w:val="24"/>
          <w:szCs w:val="24"/>
          <w:lang w:val="en-US"/>
        </w:rPr>
        <w:t xml:space="preserve"> associated with reduced risk taking tendencies. </w:t>
      </w:r>
      <w:r w:rsidRPr="00516108">
        <w:rPr>
          <w:rFonts w:asciiTheme="majorBidi" w:hAnsiTheme="majorBidi" w:cstheme="majorBidi"/>
          <w:sz w:val="24"/>
          <w:szCs w:val="24"/>
          <w:lang w:val="en-US"/>
        </w:rPr>
        <w:t xml:space="preserve">Finally, as earlier work has shown women </w:t>
      </w:r>
      <w:r>
        <w:rPr>
          <w:rFonts w:asciiTheme="majorBidi" w:hAnsiTheme="majorBidi" w:cstheme="majorBidi"/>
          <w:sz w:val="24"/>
          <w:szCs w:val="24"/>
          <w:lang w:val="en-US"/>
        </w:rPr>
        <w:t>take fewer risks</w:t>
      </w:r>
      <w:r w:rsidRPr="00516108">
        <w:rPr>
          <w:rFonts w:asciiTheme="majorBidi" w:hAnsiTheme="majorBidi" w:cstheme="majorBidi"/>
          <w:sz w:val="24"/>
          <w:szCs w:val="24"/>
          <w:lang w:val="en-US"/>
        </w:rPr>
        <w:t>,</w:t>
      </w:r>
      <w:r w:rsidR="00ED10CD">
        <w:rPr>
          <w:rFonts w:asciiTheme="majorBidi" w:hAnsiTheme="majorBidi" w:cstheme="majorBidi"/>
          <w:sz w:val="24"/>
          <w:szCs w:val="24"/>
          <w:vertAlign w:val="superscript"/>
          <w:lang w:val="en-US"/>
        </w:rPr>
        <w:t>(1</w:t>
      </w:r>
      <w:r w:rsidR="00CE764C">
        <w:rPr>
          <w:rFonts w:asciiTheme="majorBidi" w:hAnsiTheme="majorBidi" w:cstheme="majorBidi"/>
          <w:sz w:val="24"/>
          <w:szCs w:val="24"/>
          <w:vertAlign w:val="superscript"/>
          <w:lang w:val="en-US"/>
        </w:rPr>
        <w:t>8</w:t>
      </w:r>
      <w:r w:rsidRPr="00A42638">
        <w:rPr>
          <w:rFonts w:asciiTheme="majorBidi" w:hAnsiTheme="majorBidi" w:cstheme="majorBidi"/>
          <w:sz w:val="24"/>
          <w:szCs w:val="24"/>
          <w:vertAlign w:val="superscript"/>
          <w:lang w:val="en-US"/>
        </w:rPr>
        <w:t>,3</w:t>
      </w:r>
      <w:r w:rsidR="00CE764C">
        <w:rPr>
          <w:rFonts w:asciiTheme="majorBidi" w:hAnsiTheme="majorBidi" w:cstheme="majorBidi"/>
          <w:sz w:val="24"/>
          <w:szCs w:val="24"/>
          <w:vertAlign w:val="superscript"/>
          <w:lang w:val="en-US"/>
        </w:rPr>
        <w:t>9</w:t>
      </w:r>
      <w:r w:rsidR="00ED10CD">
        <w:rPr>
          <w:rFonts w:asciiTheme="majorBidi" w:hAnsiTheme="majorBidi" w:cstheme="majorBidi"/>
          <w:sz w:val="24"/>
          <w:szCs w:val="24"/>
          <w:vertAlign w:val="superscript"/>
          <w:lang w:val="en-US"/>
        </w:rPr>
        <w:t>)</w:t>
      </w:r>
      <w:r w:rsidRPr="00516108">
        <w:rPr>
          <w:rFonts w:asciiTheme="majorBidi" w:hAnsiTheme="majorBidi" w:cstheme="majorBidi"/>
          <w:sz w:val="24"/>
          <w:szCs w:val="24"/>
          <w:lang w:val="en-US"/>
        </w:rPr>
        <w:t xml:space="preserve"> we also </w:t>
      </w:r>
      <w:r>
        <w:rPr>
          <w:rFonts w:asciiTheme="majorBidi" w:hAnsiTheme="majorBidi" w:cstheme="majorBidi"/>
          <w:sz w:val="24"/>
          <w:szCs w:val="24"/>
          <w:lang w:val="en-US"/>
        </w:rPr>
        <w:t xml:space="preserve">assumed that women show </w:t>
      </w:r>
      <w:r w:rsidR="00FD492E">
        <w:rPr>
          <w:rFonts w:asciiTheme="majorBidi" w:hAnsiTheme="majorBidi" w:cstheme="majorBidi"/>
          <w:sz w:val="24"/>
          <w:szCs w:val="24"/>
          <w:lang w:val="en-US"/>
        </w:rPr>
        <w:t xml:space="preserve">lower </w:t>
      </w:r>
      <w:r>
        <w:rPr>
          <w:rFonts w:asciiTheme="majorBidi" w:hAnsiTheme="majorBidi" w:cstheme="majorBidi"/>
          <w:sz w:val="24"/>
          <w:szCs w:val="24"/>
          <w:lang w:val="en-US"/>
        </w:rPr>
        <w:t>risk taking tendencies</w:t>
      </w:r>
      <w:r w:rsidRPr="00516108">
        <w:rPr>
          <w:rFonts w:asciiTheme="majorBidi" w:hAnsiTheme="majorBidi" w:cstheme="majorBidi"/>
          <w:sz w:val="24"/>
          <w:szCs w:val="24"/>
          <w:lang w:val="en-US"/>
        </w:rPr>
        <w:t xml:space="preserve">. </w:t>
      </w:r>
    </w:p>
    <w:p w14:paraId="59D7769C" w14:textId="07499C4F" w:rsidR="00C7015D" w:rsidRPr="00071F8A" w:rsidRDefault="00FF17F5" w:rsidP="009049F0">
      <w:pPr>
        <w:pStyle w:val="ListParagraph"/>
        <w:numPr>
          <w:ilvl w:val="0"/>
          <w:numId w:val="9"/>
        </w:numPr>
        <w:spacing w:after="0" w:line="480" w:lineRule="auto"/>
        <w:ind w:left="426"/>
        <w:rPr>
          <w:rFonts w:asciiTheme="majorBidi" w:hAnsiTheme="majorBidi" w:cstheme="majorBidi"/>
          <w:b/>
          <w:sz w:val="24"/>
          <w:szCs w:val="24"/>
          <w:lang w:val="en-US"/>
        </w:rPr>
      </w:pPr>
      <w:r w:rsidRPr="00071F8A">
        <w:rPr>
          <w:rFonts w:asciiTheme="majorBidi" w:hAnsiTheme="majorBidi" w:cstheme="majorBidi"/>
          <w:b/>
          <w:sz w:val="24"/>
          <w:szCs w:val="24"/>
          <w:lang w:val="en-US"/>
        </w:rPr>
        <w:t>Method</w:t>
      </w:r>
    </w:p>
    <w:p w14:paraId="440D237C" w14:textId="57B9D267" w:rsidR="00972497" w:rsidRPr="00516108" w:rsidRDefault="00071F8A" w:rsidP="00071F8A">
      <w:pPr>
        <w:spacing w:after="0" w:line="48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2. 1 </w:t>
      </w:r>
      <w:r w:rsidR="00FF17F5" w:rsidRPr="00516108">
        <w:rPr>
          <w:rFonts w:asciiTheme="majorBidi" w:hAnsiTheme="majorBidi" w:cstheme="majorBidi"/>
          <w:b/>
          <w:bCs/>
          <w:sz w:val="24"/>
          <w:szCs w:val="24"/>
          <w:lang w:val="en-US"/>
        </w:rPr>
        <w:t>Participants</w:t>
      </w:r>
    </w:p>
    <w:p w14:paraId="0012158A" w14:textId="237B95BB" w:rsidR="00FD5EA1" w:rsidRPr="00516108" w:rsidRDefault="00FD492E" w:rsidP="00DD5626">
      <w:pPr>
        <w:spacing w:after="0" w:line="480" w:lineRule="auto"/>
        <w:ind w:firstLine="720"/>
        <w:rPr>
          <w:rFonts w:asciiTheme="majorBidi" w:hAnsiTheme="majorBidi" w:cstheme="majorBidi"/>
          <w:sz w:val="24"/>
          <w:szCs w:val="24"/>
          <w:lang w:val="en-US"/>
        </w:rPr>
      </w:pPr>
      <w:r>
        <w:rPr>
          <w:rFonts w:asciiTheme="majorBidi" w:eastAsia="TimesLTStd-Roman" w:hAnsiTheme="majorBidi" w:cstheme="majorBidi"/>
          <w:sz w:val="24"/>
          <w:szCs w:val="24"/>
          <w:lang w:val="en-US"/>
        </w:rPr>
        <w:t>T</w:t>
      </w:r>
      <w:r w:rsidR="006C12B9" w:rsidRPr="00516108">
        <w:rPr>
          <w:rFonts w:asciiTheme="majorBidi" w:eastAsia="TimesLTStd-Roman" w:hAnsiTheme="majorBidi" w:cstheme="majorBidi"/>
          <w:sz w:val="24"/>
          <w:szCs w:val="24"/>
          <w:lang w:val="en-US"/>
        </w:rPr>
        <w:t>he research protocol was</w:t>
      </w:r>
      <w:r>
        <w:rPr>
          <w:rFonts w:asciiTheme="majorBidi" w:eastAsia="TimesLTStd-Roman" w:hAnsiTheme="majorBidi" w:cstheme="majorBidi"/>
          <w:sz w:val="24"/>
          <w:szCs w:val="24"/>
          <w:lang w:val="en-US"/>
        </w:rPr>
        <w:t xml:space="preserve"> in accordance with </w:t>
      </w:r>
      <w:r w:rsidR="006C12B9" w:rsidRPr="00516108">
        <w:rPr>
          <w:rFonts w:asciiTheme="majorBidi" w:eastAsia="TimesLTStd-Roman" w:hAnsiTheme="majorBidi" w:cstheme="majorBidi"/>
          <w:sz w:val="24"/>
          <w:szCs w:val="24"/>
          <w:lang w:val="en-US"/>
        </w:rPr>
        <w:t xml:space="preserve">the </w:t>
      </w:r>
      <w:r w:rsidR="004E51AD" w:rsidRPr="00516108">
        <w:rPr>
          <w:rFonts w:asciiTheme="majorBidi" w:eastAsia="TimesLTStd-Roman" w:hAnsiTheme="majorBidi" w:cstheme="majorBidi"/>
          <w:sz w:val="24"/>
          <w:szCs w:val="24"/>
          <w:lang w:val="en-US"/>
        </w:rPr>
        <w:t xml:space="preserve">ethics committee </w:t>
      </w:r>
      <w:r w:rsidR="005143A5" w:rsidRPr="00516108">
        <w:rPr>
          <w:rFonts w:asciiTheme="majorBidi" w:eastAsia="TimesLTStd-Roman" w:hAnsiTheme="majorBidi" w:cstheme="majorBidi"/>
          <w:sz w:val="24"/>
          <w:szCs w:val="24"/>
          <w:lang w:val="en-US"/>
        </w:rPr>
        <w:t>at the University of Zurich</w:t>
      </w:r>
      <w:r w:rsidR="006C12B9" w:rsidRPr="00516108">
        <w:rPr>
          <w:rFonts w:asciiTheme="majorBidi" w:eastAsia="TimesLTStd-Roman" w:hAnsiTheme="majorBidi" w:cstheme="majorBidi"/>
          <w:sz w:val="24"/>
          <w:szCs w:val="24"/>
          <w:lang w:val="en-US"/>
        </w:rPr>
        <w:t xml:space="preserve">. </w:t>
      </w:r>
      <w:r w:rsidR="00C64F06">
        <w:rPr>
          <w:rFonts w:asciiTheme="majorBidi" w:eastAsia="TimesLTStd-Roman" w:hAnsiTheme="majorBidi" w:cstheme="majorBidi"/>
          <w:sz w:val="24"/>
          <w:szCs w:val="24"/>
          <w:lang w:val="en-US"/>
        </w:rPr>
        <w:t>A total of 355individuals took part in the study. However, several participants did not complete the survey, or completed it more than once. After removing them from the analysis, a</w:t>
      </w:r>
      <w:r w:rsidR="00D44579" w:rsidRPr="00516108">
        <w:rPr>
          <w:rFonts w:asciiTheme="majorBidi" w:eastAsia="TimesLTStd-Roman" w:hAnsiTheme="majorBidi" w:cstheme="majorBidi"/>
          <w:sz w:val="24"/>
          <w:szCs w:val="24"/>
          <w:lang w:val="en-US"/>
        </w:rPr>
        <w:t xml:space="preserve"> sample of </w:t>
      </w:r>
      <w:r w:rsidRPr="004D4259">
        <w:rPr>
          <w:rFonts w:asciiTheme="majorBidi" w:eastAsia="TimesLTStd-Roman" w:hAnsiTheme="majorBidi" w:cstheme="majorBidi"/>
          <w:i/>
          <w:sz w:val="24"/>
          <w:szCs w:val="24"/>
          <w:lang w:val="en-US"/>
        </w:rPr>
        <w:t>N</w:t>
      </w:r>
      <w:r>
        <w:rPr>
          <w:rFonts w:asciiTheme="majorBidi" w:eastAsia="TimesLTStd-Roman" w:hAnsiTheme="majorBidi" w:cstheme="majorBidi"/>
          <w:sz w:val="24"/>
          <w:szCs w:val="24"/>
          <w:lang w:val="en-US"/>
        </w:rPr>
        <w:t xml:space="preserve"> = </w:t>
      </w:r>
      <w:r w:rsidR="00D44579" w:rsidRPr="00516108">
        <w:rPr>
          <w:rFonts w:asciiTheme="majorBidi" w:eastAsia="TimesLTStd-Roman" w:hAnsiTheme="majorBidi" w:cstheme="majorBidi"/>
          <w:sz w:val="24"/>
          <w:szCs w:val="24"/>
          <w:lang w:val="en-US"/>
        </w:rPr>
        <w:t xml:space="preserve">309 adults </w:t>
      </w:r>
      <w:r w:rsidR="00D44579" w:rsidRPr="00516108">
        <w:rPr>
          <w:rFonts w:asciiTheme="majorBidi" w:hAnsiTheme="majorBidi" w:cstheme="majorBidi"/>
          <w:sz w:val="24"/>
          <w:szCs w:val="24"/>
          <w:lang w:val="en-US"/>
        </w:rPr>
        <w:t>aged 20 to 77 years (</w:t>
      </w:r>
      <w:r w:rsidR="00D44579" w:rsidRPr="00516108">
        <w:rPr>
          <w:rFonts w:asciiTheme="majorBidi" w:hAnsiTheme="majorBidi" w:cstheme="majorBidi"/>
          <w:i/>
          <w:sz w:val="24"/>
          <w:szCs w:val="24"/>
          <w:lang w:val="en-US"/>
        </w:rPr>
        <w:t>M</w:t>
      </w:r>
      <w:r w:rsidR="00D44579" w:rsidRPr="00516108">
        <w:rPr>
          <w:rFonts w:asciiTheme="majorBidi" w:hAnsiTheme="majorBidi" w:cstheme="majorBidi"/>
          <w:sz w:val="24"/>
          <w:szCs w:val="24"/>
          <w:lang w:val="en-US"/>
        </w:rPr>
        <w:t xml:space="preserve"> = 48.90</w:t>
      </w:r>
      <w:r w:rsidR="004E6278">
        <w:rPr>
          <w:rFonts w:asciiTheme="majorBidi" w:hAnsiTheme="majorBidi" w:cstheme="majorBidi"/>
          <w:sz w:val="24"/>
          <w:szCs w:val="24"/>
          <w:lang w:val="en-US"/>
        </w:rPr>
        <w:t xml:space="preserve"> years</w:t>
      </w:r>
      <w:r w:rsidR="00D44579" w:rsidRPr="00516108">
        <w:rPr>
          <w:rFonts w:asciiTheme="majorBidi" w:hAnsiTheme="majorBidi" w:cstheme="majorBidi"/>
          <w:sz w:val="24"/>
          <w:szCs w:val="24"/>
          <w:lang w:val="en-US"/>
        </w:rPr>
        <w:t xml:space="preserve">, </w:t>
      </w:r>
      <w:r w:rsidR="00D44579" w:rsidRPr="00516108">
        <w:rPr>
          <w:rFonts w:asciiTheme="majorBidi" w:hAnsiTheme="majorBidi" w:cstheme="majorBidi"/>
          <w:i/>
          <w:iCs/>
          <w:sz w:val="24"/>
          <w:szCs w:val="24"/>
          <w:lang w:val="en-US"/>
        </w:rPr>
        <w:t>SD</w:t>
      </w:r>
      <w:r w:rsidR="00D44579" w:rsidRPr="00516108">
        <w:rPr>
          <w:rFonts w:asciiTheme="majorBidi" w:hAnsiTheme="majorBidi" w:cstheme="majorBidi"/>
          <w:sz w:val="24"/>
          <w:szCs w:val="24"/>
          <w:lang w:val="en-US"/>
        </w:rPr>
        <w:t xml:space="preserve"> =16.48; 63% female) </w:t>
      </w:r>
      <w:r w:rsidR="006C12B9" w:rsidRPr="00516108">
        <w:rPr>
          <w:rFonts w:asciiTheme="majorBidi" w:hAnsiTheme="majorBidi" w:cstheme="majorBidi"/>
          <w:sz w:val="24"/>
          <w:szCs w:val="24"/>
          <w:lang w:val="en-US"/>
        </w:rPr>
        <w:t xml:space="preserve">participated </w:t>
      </w:r>
      <w:r w:rsidR="00FD5EA1" w:rsidRPr="00516108">
        <w:rPr>
          <w:rFonts w:asciiTheme="majorBidi" w:hAnsiTheme="majorBidi" w:cstheme="majorBidi"/>
          <w:sz w:val="24"/>
          <w:szCs w:val="24"/>
          <w:lang w:val="en-US"/>
        </w:rPr>
        <w:t>i</w:t>
      </w:r>
      <w:r w:rsidR="00E26942" w:rsidRPr="00516108">
        <w:rPr>
          <w:rFonts w:asciiTheme="majorBidi" w:hAnsiTheme="majorBidi" w:cstheme="majorBidi"/>
          <w:sz w:val="24"/>
          <w:szCs w:val="24"/>
          <w:lang w:val="en-US"/>
        </w:rPr>
        <w:t>n the study</w:t>
      </w:r>
      <w:r w:rsidR="00FD5EA1" w:rsidRPr="00516108">
        <w:rPr>
          <w:rFonts w:asciiTheme="majorBidi" w:hAnsiTheme="majorBidi" w:cstheme="majorBidi"/>
          <w:sz w:val="24"/>
          <w:szCs w:val="24"/>
          <w:lang w:val="en-US"/>
        </w:rPr>
        <w:t xml:space="preserve">. </w:t>
      </w:r>
      <w:r w:rsidR="00DD5626">
        <w:rPr>
          <w:rFonts w:asciiTheme="majorBidi" w:hAnsiTheme="majorBidi" w:cstheme="majorBidi"/>
          <w:sz w:val="24"/>
          <w:szCs w:val="24"/>
          <w:lang w:val="en-US"/>
        </w:rPr>
        <w:t xml:space="preserve">We recruited only </w:t>
      </w:r>
      <w:r w:rsidR="00C64F06">
        <w:rPr>
          <w:rFonts w:asciiTheme="majorBidi" w:hAnsiTheme="majorBidi" w:cstheme="majorBidi"/>
          <w:sz w:val="24"/>
          <w:szCs w:val="24"/>
          <w:lang w:val="en-US"/>
        </w:rPr>
        <w:t>MTurk participants</w:t>
      </w:r>
      <w:r w:rsidR="00DD5626">
        <w:rPr>
          <w:rFonts w:asciiTheme="majorBidi" w:hAnsiTheme="majorBidi" w:cstheme="majorBidi"/>
          <w:sz w:val="24"/>
          <w:szCs w:val="24"/>
          <w:lang w:val="en-US"/>
        </w:rPr>
        <w:t xml:space="preserve"> with a </w:t>
      </w:r>
      <w:r w:rsidR="00C64F06">
        <w:rPr>
          <w:rFonts w:asciiTheme="majorBidi" w:hAnsiTheme="majorBidi" w:cstheme="majorBidi"/>
          <w:sz w:val="24"/>
          <w:szCs w:val="24"/>
          <w:lang w:val="en-US"/>
        </w:rPr>
        <w:t>HIT (</w:t>
      </w:r>
      <w:r w:rsidR="00C64F06" w:rsidRPr="00C64F06">
        <w:rPr>
          <w:rFonts w:asciiTheme="majorBidi" w:eastAsia="Times New Roman" w:hAnsiTheme="majorBidi" w:cstheme="majorBidi"/>
          <w:color w:val="222222"/>
          <w:sz w:val="24"/>
          <w:szCs w:val="24"/>
        </w:rPr>
        <w:t>human intelligence task</w:t>
      </w:r>
      <w:r w:rsidR="00C64F06">
        <w:rPr>
          <w:rFonts w:asciiTheme="majorBidi" w:hAnsiTheme="majorBidi" w:cstheme="majorBidi"/>
          <w:sz w:val="24"/>
          <w:szCs w:val="24"/>
        </w:rPr>
        <w:t>) approval rate equal or greater than 95%, and being located in the United States. On average, participants</w:t>
      </w:r>
      <w:r w:rsidR="00DD5626">
        <w:rPr>
          <w:rFonts w:asciiTheme="majorBidi" w:hAnsiTheme="majorBidi" w:cstheme="majorBidi"/>
          <w:sz w:val="24"/>
          <w:szCs w:val="24"/>
        </w:rPr>
        <w:t xml:space="preserve"> took 11.5 minutes to complete the study.</w:t>
      </w:r>
      <w:r w:rsidR="00C64F06">
        <w:rPr>
          <w:rFonts w:asciiTheme="majorBidi" w:hAnsiTheme="majorBidi" w:cstheme="majorBidi"/>
          <w:sz w:val="24"/>
          <w:szCs w:val="24"/>
        </w:rPr>
        <w:t xml:space="preserve"> </w:t>
      </w:r>
      <w:r w:rsidR="00FD5EA1" w:rsidRPr="00516108">
        <w:rPr>
          <w:rFonts w:asciiTheme="majorBidi" w:hAnsiTheme="majorBidi" w:cstheme="majorBidi"/>
          <w:sz w:val="24"/>
          <w:szCs w:val="24"/>
          <w:lang w:val="en-US"/>
        </w:rPr>
        <w:t xml:space="preserve">Concerning education, </w:t>
      </w:r>
      <w:r w:rsidR="00C53DE7" w:rsidRPr="00516108">
        <w:rPr>
          <w:rFonts w:asciiTheme="majorBidi" w:hAnsiTheme="majorBidi" w:cstheme="majorBidi"/>
          <w:sz w:val="24"/>
          <w:szCs w:val="24"/>
          <w:lang w:val="en-US"/>
        </w:rPr>
        <w:t xml:space="preserve">two participants </w:t>
      </w:r>
      <w:r w:rsidR="0085157F" w:rsidRPr="00516108">
        <w:rPr>
          <w:rFonts w:asciiTheme="majorBidi" w:hAnsiTheme="majorBidi" w:cstheme="majorBidi"/>
          <w:sz w:val="24"/>
          <w:szCs w:val="24"/>
          <w:lang w:val="en-US"/>
        </w:rPr>
        <w:t>had not completed</w:t>
      </w:r>
      <w:r w:rsidR="00FD5EA1" w:rsidRPr="00516108">
        <w:rPr>
          <w:rFonts w:asciiTheme="majorBidi" w:hAnsiTheme="majorBidi" w:cstheme="majorBidi"/>
          <w:sz w:val="24"/>
          <w:szCs w:val="24"/>
          <w:lang w:val="en-US"/>
        </w:rPr>
        <w:t xml:space="preserve"> secondary education, </w:t>
      </w:r>
      <w:r w:rsidR="00C53DE7" w:rsidRPr="00516108">
        <w:rPr>
          <w:rFonts w:asciiTheme="majorBidi" w:hAnsiTheme="majorBidi" w:cstheme="majorBidi"/>
          <w:sz w:val="24"/>
          <w:szCs w:val="24"/>
          <w:lang w:val="en-US"/>
        </w:rPr>
        <w:t>31</w:t>
      </w:r>
      <w:r w:rsidR="00FD5EA1" w:rsidRPr="00516108">
        <w:rPr>
          <w:rFonts w:asciiTheme="majorBidi" w:hAnsiTheme="majorBidi" w:cstheme="majorBidi"/>
          <w:sz w:val="24"/>
          <w:szCs w:val="24"/>
          <w:lang w:val="en-US"/>
        </w:rPr>
        <w:t xml:space="preserve">% </w:t>
      </w:r>
      <w:r w:rsidR="00526DBB" w:rsidRPr="00516108">
        <w:rPr>
          <w:rFonts w:asciiTheme="majorBidi" w:hAnsiTheme="majorBidi" w:cstheme="majorBidi"/>
          <w:sz w:val="24"/>
          <w:szCs w:val="24"/>
          <w:lang w:val="en-US"/>
        </w:rPr>
        <w:t xml:space="preserve">had </w:t>
      </w:r>
      <w:r w:rsidR="00FD5EA1" w:rsidRPr="00516108">
        <w:rPr>
          <w:rFonts w:asciiTheme="majorBidi" w:hAnsiTheme="majorBidi" w:cstheme="majorBidi"/>
          <w:sz w:val="24"/>
          <w:szCs w:val="24"/>
          <w:lang w:val="en-US"/>
        </w:rPr>
        <w:t xml:space="preserve">obtained a </w:t>
      </w:r>
      <w:r w:rsidR="004E6278">
        <w:rPr>
          <w:rFonts w:asciiTheme="majorBidi" w:hAnsiTheme="majorBidi" w:cstheme="majorBidi"/>
          <w:sz w:val="24"/>
          <w:szCs w:val="24"/>
          <w:lang w:val="en-US"/>
        </w:rPr>
        <w:t>c</w:t>
      </w:r>
      <w:r w:rsidR="00FD5EA1" w:rsidRPr="00516108">
        <w:rPr>
          <w:rFonts w:asciiTheme="majorBidi" w:hAnsiTheme="majorBidi" w:cstheme="majorBidi"/>
          <w:sz w:val="24"/>
          <w:szCs w:val="24"/>
          <w:lang w:val="en-US"/>
        </w:rPr>
        <w:t>ollege</w:t>
      </w:r>
      <w:r w:rsidR="0085157F" w:rsidRPr="00516108">
        <w:rPr>
          <w:rFonts w:asciiTheme="majorBidi" w:hAnsiTheme="majorBidi" w:cstheme="majorBidi"/>
          <w:sz w:val="24"/>
          <w:szCs w:val="24"/>
          <w:lang w:val="en-US"/>
        </w:rPr>
        <w:t xml:space="preserve"> or </w:t>
      </w:r>
      <w:r w:rsidR="004E6278">
        <w:rPr>
          <w:rFonts w:asciiTheme="majorBidi" w:hAnsiTheme="majorBidi" w:cstheme="majorBidi"/>
          <w:sz w:val="24"/>
          <w:szCs w:val="24"/>
          <w:lang w:val="en-US"/>
        </w:rPr>
        <w:t>b</w:t>
      </w:r>
      <w:r w:rsidR="00526DBB" w:rsidRPr="00516108">
        <w:rPr>
          <w:rFonts w:asciiTheme="majorBidi" w:hAnsiTheme="majorBidi" w:cstheme="majorBidi"/>
          <w:sz w:val="24"/>
          <w:szCs w:val="24"/>
          <w:lang w:val="en-US"/>
        </w:rPr>
        <w:t>achelor’s</w:t>
      </w:r>
      <w:r w:rsidR="00FD5EA1" w:rsidRPr="00516108">
        <w:rPr>
          <w:rFonts w:asciiTheme="majorBidi" w:hAnsiTheme="majorBidi" w:cstheme="majorBidi"/>
          <w:sz w:val="24"/>
          <w:szCs w:val="24"/>
          <w:lang w:val="en-US"/>
        </w:rPr>
        <w:t xml:space="preserve"> degree, </w:t>
      </w:r>
      <w:r w:rsidR="00C53DE7" w:rsidRPr="00516108">
        <w:rPr>
          <w:rFonts w:asciiTheme="majorBidi" w:hAnsiTheme="majorBidi" w:cstheme="majorBidi"/>
          <w:sz w:val="24"/>
          <w:szCs w:val="24"/>
          <w:lang w:val="en-US"/>
        </w:rPr>
        <w:t xml:space="preserve">and </w:t>
      </w:r>
      <w:r w:rsidR="0085157F" w:rsidRPr="00516108">
        <w:rPr>
          <w:rFonts w:asciiTheme="majorBidi" w:hAnsiTheme="majorBidi" w:cstheme="majorBidi"/>
          <w:sz w:val="24"/>
          <w:szCs w:val="24"/>
          <w:lang w:val="en-US"/>
        </w:rPr>
        <w:t>1</w:t>
      </w:r>
      <w:r w:rsidR="00C53DE7" w:rsidRPr="00516108">
        <w:rPr>
          <w:rFonts w:asciiTheme="majorBidi" w:hAnsiTheme="majorBidi" w:cstheme="majorBidi"/>
          <w:sz w:val="24"/>
          <w:szCs w:val="24"/>
          <w:lang w:val="en-US"/>
        </w:rPr>
        <w:t>6</w:t>
      </w:r>
      <w:r w:rsidR="00FD5EA1" w:rsidRPr="00516108">
        <w:rPr>
          <w:rFonts w:asciiTheme="majorBidi" w:hAnsiTheme="majorBidi" w:cstheme="majorBidi"/>
          <w:sz w:val="24"/>
          <w:szCs w:val="24"/>
          <w:lang w:val="en-US"/>
        </w:rPr>
        <w:t xml:space="preserve">% </w:t>
      </w:r>
      <w:r w:rsidR="00526DBB" w:rsidRPr="00516108">
        <w:rPr>
          <w:rFonts w:asciiTheme="majorBidi" w:hAnsiTheme="majorBidi" w:cstheme="majorBidi"/>
          <w:sz w:val="24"/>
          <w:szCs w:val="24"/>
          <w:lang w:val="en-US"/>
        </w:rPr>
        <w:t xml:space="preserve">had </w:t>
      </w:r>
      <w:r w:rsidR="00FD5EA1" w:rsidRPr="00516108">
        <w:rPr>
          <w:rFonts w:asciiTheme="majorBidi" w:hAnsiTheme="majorBidi" w:cstheme="majorBidi"/>
          <w:sz w:val="24"/>
          <w:szCs w:val="24"/>
          <w:lang w:val="en-US"/>
        </w:rPr>
        <w:t xml:space="preserve">obtained a </w:t>
      </w:r>
      <w:r w:rsidR="004E6278">
        <w:rPr>
          <w:rFonts w:asciiTheme="majorBidi" w:hAnsiTheme="majorBidi" w:cstheme="majorBidi"/>
          <w:sz w:val="24"/>
          <w:szCs w:val="24"/>
          <w:lang w:val="en-US"/>
        </w:rPr>
        <w:t>m</w:t>
      </w:r>
      <w:r w:rsidR="00FD5EA1" w:rsidRPr="00516108">
        <w:rPr>
          <w:rFonts w:asciiTheme="majorBidi" w:hAnsiTheme="majorBidi" w:cstheme="majorBidi"/>
          <w:sz w:val="24"/>
          <w:szCs w:val="24"/>
          <w:lang w:val="en-US"/>
        </w:rPr>
        <w:t>aster</w:t>
      </w:r>
      <w:r w:rsidR="00C53DE7" w:rsidRPr="00516108">
        <w:rPr>
          <w:rFonts w:asciiTheme="majorBidi" w:hAnsiTheme="majorBidi" w:cstheme="majorBidi"/>
          <w:sz w:val="24"/>
          <w:szCs w:val="24"/>
          <w:lang w:val="en-US"/>
        </w:rPr>
        <w:t xml:space="preserve">’s or </w:t>
      </w:r>
      <w:r w:rsidR="004E6278">
        <w:rPr>
          <w:rFonts w:asciiTheme="majorBidi" w:hAnsiTheme="majorBidi" w:cstheme="majorBidi"/>
          <w:sz w:val="24"/>
          <w:szCs w:val="24"/>
          <w:lang w:val="en-US"/>
        </w:rPr>
        <w:t>d</w:t>
      </w:r>
      <w:r w:rsidR="00FD5EA1" w:rsidRPr="00516108">
        <w:rPr>
          <w:rFonts w:asciiTheme="majorBidi" w:hAnsiTheme="majorBidi" w:cstheme="majorBidi"/>
          <w:sz w:val="24"/>
          <w:szCs w:val="24"/>
          <w:lang w:val="en-US"/>
        </w:rPr>
        <w:t>octorate degree. Participants were recruited from Amazon</w:t>
      </w:r>
      <w:r w:rsidR="004E6278">
        <w:rPr>
          <w:rFonts w:asciiTheme="majorBidi" w:hAnsiTheme="majorBidi" w:cstheme="majorBidi"/>
          <w:sz w:val="24"/>
          <w:szCs w:val="24"/>
          <w:lang w:val="en-US"/>
        </w:rPr>
        <w:t>’s</w:t>
      </w:r>
      <w:r w:rsidR="00FD5EA1" w:rsidRPr="00516108">
        <w:rPr>
          <w:rFonts w:asciiTheme="majorBidi" w:hAnsiTheme="majorBidi" w:cstheme="majorBidi"/>
          <w:sz w:val="24"/>
          <w:szCs w:val="24"/>
          <w:lang w:val="en-US"/>
        </w:rPr>
        <w:t xml:space="preserve"> Mechanical Turk </w:t>
      </w:r>
      <w:r w:rsidR="00E74B73">
        <w:rPr>
          <w:rFonts w:asciiTheme="majorBidi" w:hAnsiTheme="majorBidi" w:cstheme="majorBidi"/>
          <w:sz w:val="24"/>
          <w:szCs w:val="24"/>
          <w:lang w:val="en-US"/>
        </w:rPr>
        <w:t xml:space="preserve">(Mturk) </w:t>
      </w:r>
      <w:r w:rsidR="00FD5EA1" w:rsidRPr="00516108">
        <w:rPr>
          <w:rFonts w:asciiTheme="majorBidi" w:hAnsiTheme="majorBidi" w:cstheme="majorBidi"/>
          <w:sz w:val="24"/>
          <w:szCs w:val="24"/>
          <w:lang w:val="en-US"/>
        </w:rPr>
        <w:t xml:space="preserve">and received a token payment of </w:t>
      </w:r>
      <w:r w:rsidR="004E6278" w:rsidRPr="00516108">
        <w:rPr>
          <w:rFonts w:asciiTheme="majorBidi" w:hAnsiTheme="majorBidi" w:cstheme="majorBidi"/>
          <w:sz w:val="24"/>
          <w:szCs w:val="24"/>
          <w:lang w:val="en-US"/>
        </w:rPr>
        <w:t>U</w:t>
      </w:r>
      <w:r w:rsidR="004E6278">
        <w:rPr>
          <w:rFonts w:asciiTheme="majorBidi" w:hAnsiTheme="majorBidi" w:cstheme="majorBidi"/>
          <w:sz w:val="24"/>
          <w:szCs w:val="24"/>
          <w:lang w:val="en-US"/>
        </w:rPr>
        <w:t>.</w:t>
      </w:r>
      <w:r w:rsidR="004E6278" w:rsidRPr="00516108">
        <w:rPr>
          <w:rFonts w:asciiTheme="majorBidi" w:hAnsiTheme="majorBidi" w:cstheme="majorBidi"/>
          <w:sz w:val="24"/>
          <w:szCs w:val="24"/>
          <w:lang w:val="en-US"/>
        </w:rPr>
        <w:t>S</w:t>
      </w:r>
      <w:r w:rsidR="004E6278">
        <w:rPr>
          <w:rFonts w:asciiTheme="majorBidi" w:hAnsiTheme="majorBidi" w:cstheme="majorBidi"/>
          <w:sz w:val="24"/>
          <w:szCs w:val="24"/>
          <w:lang w:val="en-US"/>
        </w:rPr>
        <w:t>.</w:t>
      </w:r>
      <w:r w:rsidR="004E6278" w:rsidRPr="00516108">
        <w:rPr>
          <w:rFonts w:asciiTheme="majorBidi" w:hAnsiTheme="majorBidi" w:cstheme="majorBidi"/>
          <w:sz w:val="24"/>
          <w:szCs w:val="24"/>
          <w:lang w:val="en-US"/>
        </w:rPr>
        <w:t xml:space="preserve"> </w:t>
      </w:r>
      <w:r w:rsidR="004E6278">
        <w:rPr>
          <w:rFonts w:asciiTheme="majorBidi" w:hAnsiTheme="majorBidi" w:cstheme="majorBidi"/>
          <w:sz w:val="24"/>
          <w:szCs w:val="24"/>
          <w:lang w:val="en-US"/>
        </w:rPr>
        <w:t>$</w:t>
      </w:r>
      <w:r w:rsidR="00FD5EA1" w:rsidRPr="00516108">
        <w:rPr>
          <w:rFonts w:asciiTheme="majorBidi" w:hAnsiTheme="majorBidi" w:cstheme="majorBidi"/>
          <w:sz w:val="24"/>
          <w:szCs w:val="24"/>
          <w:lang w:val="en-US"/>
        </w:rPr>
        <w:t>0.</w:t>
      </w:r>
      <w:r w:rsidR="00DD5626">
        <w:rPr>
          <w:rFonts w:asciiTheme="majorBidi" w:hAnsiTheme="majorBidi" w:cstheme="majorBidi"/>
          <w:sz w:val="24"/>
          <w:szCs w:val="24"/>
          <w:lang w:val="en-US"/>
        </w:rPr>
        <w:t>75</w:t>
      </w:r>
      <w:r w:rsidR="00ED10CD">
        <w:rPr>
          <w:rFonts w:asciiTheme="majorBidi" w:hAnsiTheme="majorBidi" w:cstheme="majorBidi"/>
          <w:sz w:val="24"/>
          <w:szCs w:val="24"/>
          <w:vertAlign w:val="superscript"/>
          <w:lang w:val="en-US"/>
        </w:rPr>
        <w:t>(</w:t>
      </w:r>
      <w:r w:rsidR="00CE764C">
        <w:rPr>
          <w:rFonts w:asciiTheme="majorBidi" w:hAnsiTheme="majorBidi" w:cstheme="majorBidi"/>
          <w:sz w:val="24"/>
          <w:szCs w:val="24"/>
          <w:vertAlign w:val="superscript"/>
          <w:lang w:val="en-US"/>
        </w:rPr>
        <w:t>39-40</w:t>
      </w:r>
      <w:r w:rsidR="00ED10CD">
        <w:rPr>
          <w:rFonts w:asciiTheme="majorBidi" w:hAnsiTheme="majorBidi" w:cstheme="majorBidi"/>
          <w:sz w:val="24"/>
          <w:szCs w:val="24"/>
          <w:vertAlign w:val="superscript"/>
          <w:lang w:val="en-US"/>
        </w:rPr>
        <w:t>)</w:t>
      </w:r>
      <w:r w:rsidR="006439C2">
        <w:rPr>
          <w:rFonts w:asciiTheme="majorBidi" w:hAnsiTheme="majorBidi" w:cstheme="majorBidi"/>
          <w:sz w:val="24"/>
          <w:szCs w:val="24"/>
          <w:lang w:val="en-US"/>
        </w:rPr>
        <w:t>.</w:t>
      </w:r>
      <w:r w:rsidR="00C27AC9">
        <w:rPr>
          <w:rFonts w:asciiTheme="majorBidi" w:hAnsiTheme="majorBidi" w:cstheme="majorBidi"/>
          <w:sz w:val="24"/>
          <w:szCs w:val="24"/>
          <w:lang w:val="en-US"/>
        </w:rPr>
        <w:t xml:space="preserve"> </w:t>
      </w:r>
      <w:r w:rsidR="00EE1D77">
        <w:rPr>
          <w:rFonts w:asciiTheme="majorBidi" w:hAnsiTheme="majorBidi" w:cstheme="majorBidi"/>
          <w:sz w:val="24"/>
          <w:szCs w:val="24"/>
          <w:lang w:val="en-US"/>
        </w:rPr>
        <w:t xml:space="preserve"> </w:t>
      </w:r>
    </w:p>
    <w:p w14:paraId="50D1005C" w14:textId="428657AD" w:rsidR="00FF17F5" w:rsidRPr="00516108" w:rsidRDefault="00071F8A" w:rsidP="00972497">
      <w:pPr>
        <w:spacing w:after="0" w:line="480" w:lineRule="auto"/>
        <w:rPr>
          <w:rFonts w:asciiTheme="majorBidi" w:hAnsiTheme="majorBidi" w:cstheme="majorBidi"/>
          <w:b/>
          <w:bCs/>
          <w:sz w:val="24"/>
          <w:szCs w:val="24"/>
          <w:lang w:val="en-US"/>
        </w:rPr>
      </w:pPr>
      <w:r>
        <w:rPr>
          <w:rFonts w:asciiTheme="majorBidi" w:hAnsiTheme="majorBidi" w:cstheme="majorBidi"/>
          <w:b/>
          <w:bCs/>
          <w:sz w:val="24"/>
          <w:szCs w:val="24"/>
          <w:lang w:val="en-US"/>
        </w:rPr>
        <w:t>2.2 Materials</w:t>
      </w:r>
    </w:p>
    <w:p w14:paraId="7D07B039" w14:textId="19A45795" w:rsidR="006D07DF" w:rsidRPr="00516108" w:rsidRDefault="00071F8A" w:rsidP="00CE764C">
      <w:pPr>
        <w:pStyle w:val="Default"/>
        <w:spacing w:line="480" w:lineRule="auto"/>
        <w:ind w:firstLine="720"/>
        <w:rPr>
          <w:rFonts w:asciiTheme="majorBidi" w:hAnsiTheme="majorBidi" w:cstheme="majorBidi"/>
          <w:bCs/>
          <w:lang w:val="en-US"/>
        </w:rPr>
      </w:pPr>
      <w:r>
        <w:rPr>
          <w:rFonts w:asciiTheme="majorBidi" w:hAnsiTheme="majorBidi" w:cstheme="majorBidi"/>
          <w:b/>
          <w:bCs/>
          <w:iCs/>
          <w:lang w:val="en-US"/>
        </w:rPr>
        <w:t xml:space="preserve">2.2.1 </w:t>
      </w:r>
      <w:r w:rsidR="008E67A8" w:rsidRPr="00516108">
        <w:rPr>
          <w:rFonts w:asciiTheme="majorBidi" w:hAnsiTheme="majorBidi" w:cstheme="majorBidi"/>
          <w:b/>
          <w:bCs/>
          <w:iCs/>
          <w:lang w:val="en-US"/>
        </w:rPr>
        <w:t xml:space="preserve">Decision </w:t>
      </w:r>
      <w:r w:rsidR="004E6278">
        <w:rPr>
          <w:rFonts w:asciiTheme="majorBidi" w:hAnsiTheme="majorBidi" w:cstheme="majorBidi"/>
          <w:b/>
          <w:bCs/>
          <w:iCs/>
          <w:lang w:val="en-US"/>
        </w:rPr>
        <w:t>s</w:t>
      </w:r>
      <w:r w:rsidR="008E67A8" w:rsidRPr="00516108">
        <w:rPr>
          <w:rFonts w:asciiTheme="majorBidi" w:hAnsiTheme="majorBidi" w:cstheme="majorBidi"/>
          <w:b/>
          <w:bCs/>
          <w:iCs/>
          <w:lang w:val="en-US"/>
        </w:rPr>
        <w:t>cenario</w:t>
      </w:r>
      <w:r w:rsidR="007918B6" w:rsidRPr="00516108">
        <w:rPr>
          <w:rFonts w:asciiTheme="majorBidi" w:hAnsiTheme="majorBidi" w:cstheme="majorBidi"/>
          <w:b/>
          <w:bCs/>
          <w:iCs/>
          <w:lang w:val="en-US"/>
        </w:rPr>
        <w:t>s</w:t>
      </w:r>
      <w:r w:rsidR="007918B6" w:rsidRPr="00516108">
        <w:rPr>
          <w:rFonts w:asciiTheme="majorBidi" w:hAnsiTheme="majorBidi" w:cstheme="majorBidi"/>
          <w:b/>
          <w:bCs/>
          <w:lang w:val="en-US"/>
        </w:rPr>
        <w:t>.</w:t>
      </w:r>
      <w:r w:rsidR="008E67A8" w:rsidRPr="00516108">
        <w:rPr>
          <w:rFonts w:asciiTheme="majorBidi" w:hAnsiTheme="majorBidi" w:cstheme="majorBidi"/>
          <w:bCs/>
          <w:lang w:val="en-US"/>
        </w:rPr>
        <w:t xml:space="preserve"> </w:t>
      </w:r>
      <w:r w:rsidR="008E05BB" w:rsidRPr="00516108">
        <w:rPr>
          <w:rFonts w:asciiTheme="majorBidi" w:hAnsiTheme="majorBidi" w:cstheme="majorBidi"/>
          <w:bCs/>
          <w:lang w:val="en-US"/>
        </w:rPr>
        <w:t xml:space="preserve">The decision scenarios were </w:t>
      </w:r>
      <w:r w:rsidR="00FD492E">
        <w:rPr>
          <w:rFonts w:asciiTheme="majorBidi" w:hAnsiTheme="majorBidi" w:cstheme="majorBidi"/>
          <w:bCs/>
          <w:lang w:val="en-US"/>
        </w:rPr>
        <w:t xml:space="preserve">based on </w:t>
      </w:r>
      <w:r w:rsidR="004E6278">
        <w:rPr>
          <w:rFonts w:asciiTheme="majorBidi" w:hAnsiTheme="majorBidi" w:cstheme="majorBidi"/>
          <w:bCs/>
          <w:lang w:val="en-US"/>
        </w:rPr>
        <w:t>those</w:t>
      </w:r>
      <w:r w:rsidR="00B6499A" w:rsidRPr="00516108">
        <w:rPr>
          <w:rFonts w:asciiTheme="majorBidi" w:hAnsiTheme="majorBidi" w:cstheme="majorBidi"/>
          <w:bCs/>
          <w:lang w:val="en-US"/>
        </w:rPr>
        <w:t xml:space="preserve"> developed by </w:t>
      </w:r>
      <w:r w:rsidR="008E67A8" w:rsidRPr="00516108">
        <w:rPr>
          <w:rFonts w:asciiTheme="majorBidi" w:hAnsiTheme="majorBidi" w:cstheme="majorBidi"/>
          <w:bCs/>
          <w:lang w:val="en-US"/>
        </w:rPr>
        <w:t>Zikmund-Fisher</w:t>
      </w:r>
      <w:r w:rsidR="008C3731" w:rsidRPr="00516108">
        <w:rPr>
          <w:rFonts w:asciiTheme="majorBidi" w:hAnsiTheme="majorBidi" w:cstheme="majorBidi"/>
          <w:bCs/>
          <w:lang w:val="en-US"/>
        </w:rPr>
        <w:t xml:space="preserve"> et al</w:t>
      </w:r>
      <w:r w:rsidR="00ED10CD">
        <w:rPr>
          <w:rFonts w:asciiTheme="majorBidi" w:hAnsiTheme="majorBidi" w:cstheme="majorBidi"/>
          <w:bCs/>
          <w:vertAlign w:val="superscript"/>
          <w:lang w:val="en-US"/>
        </w:rPr>
        <w:t>(2</w:t>
      </w:r>
      <w:r w:rsidR="00CE764C">
        <w:rPr>
          <w:rFonts w:asciiTheme="majorBidi" w:hAnsiTheme="majorBidi" w:cstheme="majorBidi"/>
          <w:bCs/>
          <w:vertAlign w:val="superscript"/>
          <w:lang w:val="en-US"/>
        </w:rPr>
        <w:t>7</w:t>
      </w:r>
      <w:r w:rsidR="00ED10CD">
        <w:rPr>
          <w:rFonts w:asciiTheme="majorBidi" w:hAnsiTheme="majorBidi" w:cstheme="majorBidi"/>
          <w:bCs/>
          <w:vertAlign w:val="superscript"/>
          <w:lang w:val="en-US"/>
        </w:rPr>
        <w:t>)</w:t>
      </w:r>
      <w:r w:rsidR="006439C2">
        <w:rPr>
          <w:rFonts w:asciiTheme="majorBidi" w:hAnsiTheme="majorBidi" w:cstheme="majorBidi"/>
          <w:bCs/>
          <w:lang w:val="en-US"/>
        </w:rPr>
        <w:t xml:space="preserve">. </w:t>
      </w:r>
      <w:r w:rsidR="008E67A8" w:rsidRPr="00516108">
        <w:rPr>
          <w:rFonts w:asciiTheme="majorBidi" w:hAnsiTheme="majorBidi" w:cstheme="majorBidi"/>
          <w:bCs/>
          <w:lang w:val="en-US"/>
        </w:rPr>
        <w:t xml:space="preserve">Participants read four different scenarios in which they were told that either they or their child was in danger of a deadly flu or </w:t>
      </w:r>
      <w:r w:rsidR="004E6278">
        <w:rPr>
          <w:rFonts w:asciiTheme="majorBidi" w:hAnsiTheme="majorBidi" w:cstheme="majorBidi"/>
          <w:bCs/>
          <w:lang w:val="en-US"/>
        </w:rPr>
        <w:t>had been</w:t>
      </w:r>
      <w:r w:rsidR="004E6278" w:rsidRPr="00516108">
        <w:rPr>
          <w:rFonts w:asciiTheme="majorBidi" w:hAnsiTheme="majorBidi" w:cstheme="majorBidi"/>
          <w:bCs/>
          <w:lang w:val="en-US"/>
        </w:rPr>
        <w:t xml:space="preserve"> </w:t>
      </w:r>
      <w:r w:rsidR="008E67A8" w:rsidRPr="00516108">
        <w:rPr>
          <w:rFonts w:asciiTheme="majorBidi" w:hAnsiTheme="majorBidi" w:cstheme="majorBidi"/>
          <w:bCs/>
          <w:lang w:val="en-US"/>
        </w:rPr>
        <w:t>diagnosed wit</w:t>
      </w:r>
      <w:r w:rsidR="00F9353C" w:rsidRPr="00516108">
        <w:rPr>
          <w:rFonts w:asciiTheme="majorBidi" w:hAnsiTheme="majorBidi" w:cstheme="majorBidi"/>
          <w:bCs/>
          <w:lang w:val="en-US"/>
        </w:rPr>
        <w:t>h a deadly, slow</w:t>
      </w:r>
      <w:r w:rsidR="004E6278">
        <w:rPr>
          <w:rFonts w:asciiTheme="majorBidi" w:hAnsiTheme="majorBidi" w:cstheme="majorBidi"/>
          <w:bCs/>
          <w:lang w:val="en-US"/>
        </w:rPr>
        <w:t>-</w:t>
      </w:r>
      <w:r w:rsidR="00F9353C" w:rsidRPr="00516108">
        <w:rPr>
          <w:rFonts w:asciiTheme="majorBidi" w:hAnsiTheme="majorBidi" w:cstheme="majorBidi"/>
          <w:bCs/>
          <w:lang w:val="en-US"/>
        </w:rPr>
        <w:t>growing cancer</w:t>
      </w:r>
      <w:r w:rsidR="008E67A8" w:rsidRPr="00516108">
        <w:rPr>
          <w:rFonts w:asciiTheme="majorBidi" w:hAnsiTheme="majorBidi" w:cstheme="majorBidi"/>
          <w:bCs/>
          <w:lang w:val="en-US"/>
        </w:rPr>
        <w:t>. In the first two scenarios</w:t>
      </w:r>
      <w:r w:rsidR="008E05BB" w:rsidRPr="00516108">
        <w:rPr>
          <w:rFonts w:asciiTheme="majorBidi" w:hAnsiTheme="majorBidi" w:cstheme="majorBidi"/>
          <w:bCs/>
          <w:lang w:val="en-US"/>
        </w:rPr>
        <w:t>,</w:t>
      </w:r>
      <w:r w:rsidR="008E67A8" w:rsidRPr="00516108">
        <w:rPr>
          <w:rFonts w:asciiTheme="majorBidi" w:hAnsiTheme="majorBidi" w:cstheme="majorBidi"/>
          <w:bCs/>
          <w:lang w:val="en-US"/>
        </w:rPr>
        <w:t xml:space="preserve"> </w:t>
      </w:r>
      <w:r w:rsidR="008E05BB" w:rsidRPr="00516108">
        <w:rPr>
          <w:rFonts w:asciiTheme="majorBidi" w:hAnsiTheme="majorBidi" w:cstheme="majorBidi"/>
          <w:bCs/>
          <w:lang w:val="en-US"/>
        </w:rPr>
        <w:t xml:space="preserve">participants </w:t>
      </w:r>
      <w:r w:rsidR="008E67A8" w:rsidRPr="00516108">
        <w:rPr>
          <w:rFonts w:asciiTheme="majorBidi" w:hAnsiTheme="majorBidi" w:cstheme="majorBidi"/>
          <w:bCs/>
          <w:lang w:val="en-US"/>
        </w:rPr>
        <w:t xml:space="preserve">were </w:t>
      </w:r>
      <w:r w:rsidR="008E05BB" w:rsidRPr="00516108">
        <w:rPr>
          <w:rFonts w:asciiTheme="majorBidi" w:hAnsiTheme="majorBidi" w:cstheme="majorBidi"/>
          <w:bCs/>
          <w:lang w:val="en-US"/>
        </w:rPr>
        <w:t xml:space="preserve">asked to imagine that their local area had been sealed off due to a highly contagious and </w:t>
      </w:r>
      <w:r w:rsidR="008E67A8" w:rsidRPr="00516108">
        <w:rPr>
          <w:rFonts w:asciiTheme="majorBidi" w:hAnsiTheme="majorBidi" w:cstheme="majorBidi"/>
          <w:bCs/>
          <w:lang w:val="en-US"/>
        </w:rPr>
        <w:t>deadly flu. They were th</w:t>
      </w:r>
      <w:r w:rsidR="00A8753C" w:rsidRPr="00516108">
        <w:rPr>
          <w:rFonts w:asciiTheme="majorBidi" w:hAnsiTheme="majorBidi" w:cstheme="majorBidi"/>
          <w:bCs/>
          <w:lang w:val="en-US"/>
        </w:rPr>
        <w:t>e</w:t>
      </w:r>
      <w:r w:rsidR="008E67A8" w:rsidRPr="00516108">
        <w:rPr>
          <w:rFonts w:asciiTheme="majorBidi" w:hAnsiTheme="majorBidi" w:cstheme="majorBidi"/>
          <w:bCs/>
          <w:lang w:val="en-US"/>
        </w:rPr>
        <w:t>n told that either the</w:t>
      </w:r>
      <w:r w:rsidR="006D07DF" w:rsidRPr="00516108">
        <w:rPr>
          <w:rFonts w:asciiTheme="majorBidi" w:hAnsiTheme="majorBidi" w:cstheme="majorBidi"/>
          <w:bCs/>
          <w:lang w:val="en-US"/>
        </w:rPr>
        <w:t>y</w:t>
      </w:r>
      <w:r w:rsidR="008E67A8" w:rsidRPr="00516108">
        <w:rPr>
          <w:rFonts w:asciiTheme="majorBidi" w:hAnsiTheme="majorBidi" w:cstheme="majorBidi"/>
          <w:bCs/>
          <w:lang w:val="en-US"/>
        </w:rPr>
        <w:t xml:space="preserve"> (</w:t>
      </w:r>
      <w:r w:rsidR="004E6278" w:rsidRPr="00516108">
        <w:rPr>
          <w:rFonts w:asciiTheme="majorBidi" w:hAnsiTheme="majorBidi" w:cstheme="majorBidi"/>
          <w:bCs/>
          <w:lang w:val="en-US"/>
        </w:rPr>
        <w:t xml:space="preserve">Scenario </w:t>
      </w:r>
      <w:r w:rsidR="008E67A8" w:rsidRPr="00516108">
        <w:rPr>
          <w:rFonts w:asciiTheme="majorBidi" w:hAnsiTheme="majorBidi" w:cstheme="majorBidi"/>
          <w:bCs/>
          <w:lang w:val="en-US"/>
        </w:rPr>
        <w:t>1) or their child (</w:t>
      </w:r>
      <w:r w:rsidR="004E6278" w:rsidRPr="00516108">
        <w:rPr>
          <w:rFonts w:asciiTheme="majorBidi" w:hAnsiTheme="majorBidi" w:cstheme="majorBidi"/>
          <w:bCs/>
          <w:lang w:val="en-US"/>
        </w:rPr>
        <w:t xml:space="preserve">Scenario </w:t>
      </w:r>
      <w:r w:rsidR="008E67A8" w:rsidRPr="00516108">
        <w:rPr>
          <w:rFonts w:asciiTheme="majorBidi" w:hAnsiTheme="majorBidi" w:cstheme="majorBidi"/>
          <w:bCs/>
          <w:lang w:val="en-US"/>
        </w:rPr>
        <w:t xml:space="preserve">2) had a 10% chance (10 of 100 people) of dying from the flu. Next, they were informed that a vaccine </w:t>
      </w:r>
      <w:r w:rsidR="00F71C3D" w:rsidRPr="00516108">
        <w:rPr>
          <w:rFonts w:asciiTheme="majorBidi" w:hAnsiTheme="majorBidi" w:cstheme="majorBidi"/>
          <w:bCs/>
          <w:lang w:val="en-US"/>
        </w:rPr>
        <w:t>ha</w:t>
      </w:r>
      <w:r w:rsidR="00F71C3D">
        <w:rPr>
          <w:rFonts w:asciiTheme="majorBidi" w:hAnsiTheme="majorBidi" w:cstheme="majorBidi"/>
          <w:bCs/>
          <w:lang w:val="en-US"/>
        </w:rPr>
        <w:t>d</w:t>
      </w:r>
      <w:r w:rsidR="00F71C3D" w:rsidRPr="00516108">
        <w:rPr>
          <w:rFonts w:asciiTheme="majorBidi" w:hAnsiTheme="majorBidi" w:cstheme="majorBidi"/>
          <w:bCs/>
          <w:lang w:val="en-US"/>
        </w:rPr>
        <w:t xml:space="preserve"> </w:t>
      </w:r>
      <w:r w:rsidR="008E67A8" w:rsidRPr="00516108">
        <w:rPr>
          <w:rFonts w:asciiTheme="majorBidi" w:hAnsiTheme="majorBidi" w:cstheme="majorBidi"/>
          <w:bCs/>
          <w:lang w:val="en-US"/>
        </w:rPr>
        <w:t>been developed and tested</w:t>
      </w:r>
      <w:r w:rsidR="008E05BB" w:rsidRPr="00516108">
        <w:rPr>
          <w:rFonts w:asciiTheme="majorBidi" w:hAnsiTheme="majorBidi" w:cstheme="majorBidi"/>
          <w:bCs/>
          <w:lang w:val="en-US"/>
        </w:rPr>
        <w:t xml:space="preserve"> </w:t>
      </w:r>
      <w:r w:rsidR="00F71C3D">
        <w:rPr>
          <w:rFonts w:asciiTheme="majorBidi" w:hAnsiTheme="majorBidi" w:cstheme="majorBidi"/>
          <w:bCs/>
          <w:lang w:val="en-US"/>
        </w:rPr>
        <w:t>that</w:t>
      </w:r>
      <w:r w:rsidR="00F71C3D" w:rsidRPr="00516108">
        <w:rPr>
          <w:rFonts w:asciiTheme="majorBidi" w:hAnsiTheme="majorBidi" w:cstheme="majorBidi"/>
          <w:bCs/>
          <w:lang w:val="en-US"/>
        </w:rPr>
        <w:t xml:space="preserve"> </w:t>
      </w:r>
      <w:r w:rsidR="008E05BB" w:rsidRPr="00516108">
        <w:rPr>
          <w:rFonts w:asciiTheme="majorBidi" w:hAnsiTheme="majorBidi" w:cstheme="majorBidi"/>
          <w:bCs/>
          <w:lang w:val="en-US"/>
        </w:rPr>
        <w:t>would</w:t>
      </w:r>
      <w:r w:rsidR="008E67A8" w:rsidRPr="00516108">
        <w:rPr>
          <w:rFonts w:asciiTheme="majorBidi" w:hAnsiTheme="majorBidi" w:cstheme="majorBidi"/>
          <w:bCs/>
          <w:lang w:val="en-US"/>
        </w:rPr>
        <w:t xml:space="preserve"> prevent them (</w:t>
      </w:r>
      <w:r w:rsidR="00F71C3D" w:rsidRPr="00516108">
        <w:rPr>
          <w:rFonts w:asciiTheme="majorBidi" w:hAnsiTheme="majorBidi" w:cstheme="majorBidi"/>
          <w:bCs/>
          <w:lang w:val="en-US"/>
        </w:rPr>
        <w:t xml:space="preserve">Scenario </w:t>
      </w:r>
      <w:r w:rsidR="008E67A8" w:rsidRPr="00516108">
        <w:rPr>
          <w:rFonts w:asciiTheme="majorBidi" w:hAnsiTheme="majorBidi" w:cstheme="majorBidi"/>
          <w:bCs/>
          <w:lang w:val="en-US"/>
        </w:rPr>
        <w:t>1) or their child (</w:t>
      </w:r>
      <w:r w:rsidR="00F71C3D" w:rsidRPr="00516108">
        <w:rPr>
          <w:rFonts w:asciiTheme="majorBidi" w:hAnsiTheme="majorBidi" w:cstheme="majorBidi"/>
          <w:bCs/>
          <w:lang w:val="en-US"/>
        </w:rPr>
        <w:t xml:space="preserve">Scenario </w:t>
      </w:r>
      <w:r w:rsidR="008E67A8" w:rsidRPr="00516108">
        <w:rPr>
          <w:rFonts w:asciiTheme="majorBidi" w:hAnsiTheme="majorBidi" w:cstheme="majorBidi"/>
          <w:bCs/>
          <w:lang w:val="en-US"/>
        </w:rPr>
        <w:t>2) from contracting the flu</w:t>
      </w:r>
      <w:r w:rsidR="008E05BB" w:rsidRPr="00516108">
        <w:rPr>
          <w:rFonts w:asciiTheme="majorBidi" w:hAnsiTheme="majorBidi" w:cstheme="majorBidi"/>
          <w:bCs/>
          <w:lang w:val="en-US"/>
        </w:rPr>
        <w:t xml:space="preserve"> with absolute certainty</w:t>
      </w:r>
      <w:r w:rsidR="008E67A8" w:rsidRPr="00516108">
        <w:rPr>
          <w:rFonts w:asciiTheme="majorBidi" w:hAnsiTheme="majorBidi" w:cstheme="majorBidi"/>
          <w:bCs/>
          <w:lang w:val="en-US"/>
        </w:rPr>
        <w:t>. However, there was a 5% (5 of 100 people/children) risk of dying from the vaccine. After reading the scenarios</w:t>
      </w:r>
      <w:r w:rsidR="008E05BB" w:rsidRPr="00516108">
        <w:rPr>
          <w:rFonts w:asciiTheme="majorBidi" w:hAnsiTheme="majorBidi" w:cstheme="majorBidi"/>
          <w:bCs/>
          <w:lang w:val="en-US"/>
        </w:rPr>
        <w:t>, participants indicated</w:t>
      </w:r>
      <w:r w:rsidR="008E67A8" w:rsidRPr="00516108">
        <w:rPr>
          <w:rFonts w:asciiTheme="majorBidi" w:hAnsiTheme="majorBidi" w:cstheme="majorBidi"/>
          <w:bCs/>
          <w:lang w:val="en-US"/>
        </w:rPr>
        <w:t xml:space="preserve"> whether they w</w:t>
      </w:r>
      <w:r w:rsidR="008E05BB" w:rsidRPr="00516108">
        <w:rPr>
          <w:rFonts w:asciiTheme="majorBidi" w:hAnsiTheme="majorBidi" w:cstheme="majorBidi"/>
          <w:bCs/>
          <w:lang w:val="en-US"/>
        </w:rPr>
        <w:t>ould</w:t>
      </w:r>
      <w:r w:rsidR="008E67A8" w:rsidRPr="00516108">
        <w:rPr>
          <w:rFonts w:asciiTheme="majorBidi" w:hAnsiTheme="majorBidi" w:cstheme="majorBidi"/>
          <w:bCs/>
          <w:lang w:val="en-US"/>
        </w:rPr>
        <w:t xml:space="preserve"> </w:t>
      </w:r>
      <w:r w:rsidR="008E05BB" w:rsidRPr="00516108">
        <w:rPr>
          <w:rFonts w:asciiTheme="majorBidi" w:hAnsiTheme="majorBidi" w:cstheme="majorBidi"/>
          <w:bCs/>
          <w:lang w:val="en-US"/>
        </w:rPr>
        <w:t>accept</w:t>
      </w:r>
      <w:r w:rsidR="008E67A8" w:rsidRPr="00516108">
        <w:rPr>
          <w:rFonts w:asciiTheme="majorBidi" w:hAnsiTheme="majorBidi" w:cstheme="majorBidi"/>
          <w:bCs/>
          <w:lang w:val="en-US"/>
        </w:rPr>
        <w:t xml:space="preserve"> the vaccine for themselves (</w:t>
      </w:r>
      <w:r w:rsidR="00F71C3D" w:rsidRPr="00516108">
        <w:rPr>
          <w:rFonts w:asciiTheme="majorBidi" w:hAnsiTheme="majorBidi" w:cstheme="majorBidi"/>
          <w:bCs/>
          <w:lang w:val="en-US"/>
        </w:rPr>
        <w:t xml:space="preserve">Scenario </w:t>
      </w:r>
      <w:r w:rsidR="008E67A8" w:rsidRPr="00516108">
        <w:rPr>
          <w:rFonts w:asciiTheme="majorBidi" w:hAnsiTheme="majorBidi" w:cstheme="majorBidi"/>
          <w:bCs/>
          <w:lang w:val="en-US"/>
        </w:rPr>
        <w:t xml:space="preserve">1) or </w:t>
      </w:r>
      <w:r w:rsidR="00BA4616" w:rsidRPr="00516108">
        <w:rPr>
          <w:rFonts w:asciiTheme="majorBidi" w:hAnsiTheme="majorBidi" w:cstheme="majorBidi"/>
          <w:bCs/>
          <w:lang w:val="en-US"/>
        </w:rPr>
        <w:t xml:space="preserve">have </w:t>
      </w:r>
      <w:r w:rsidR="008E67A8" w:rsidRPr="00516108">
        <w:rPr>
          <w:rFonts w:asciiTheme="majorBidi" w:hAnsiTheme="majorBidi" w:cstheme="majorBidi"/>
          <w:bCs/>
          <w:lang w:val="en-US"/>
        </w:rPr>
        <w:t xml:space="preserve">the vaccine </w:t>
      </w:r>
      <w:r w:rsidR="00BA4616" w:rsidRPr="00516108">
        <w:rPr>
          <w:rFonts w:asciiTheme="majorBidi" w:hAnsiTheme="majorBidi" w:cstheme="majorBidi"/>
          <w:bCs/>
          <w:lang w:val="en-US"/>
        </w:rPr>
        <w:t xml:space="preserve">administered </w:t>
      </w:r>
      <w:r w:rsidR="008E67A8" w:rsidRPr="00516108">
        <w:rPr>
          <w:rFonts w:asciiTheme="majorBidi" w:hAnsiTheme="majorBidi" w:cstheme="majorBidi"/>
          <w:bCs/>
          <w:lang w:val="en-US"/>
        </w:rPr>
        <w:t>to their child (</w:t>
      </w:r>
      <w:r w:rsidR="00F71C3D" w:rsidRPr="00516108">
        <w:rPr>
          <w:rFonts w:asciiTheme="majorBidi" w:hAnsiTheme="majorBidi" w:cstheme="majorBidi"/>
          <w:bCs/>
          <w:lang w:val="en-US"/>
        </w:rPr>
        <w:t xml:space="preserve">Scenario </w:t>
      </w:r>
      <w:r w:rsidR="008E67A8" w:rsidRPr="00516108">
        <w:rPr>
          <w:rFonts w:asciiTheme="majorBidi" w:hAnsiTheme="majorBidi" w:cstheme="majorBidi"/>
          <w:bCs/>
          <w:lang w:val="en-US"/>
        </w:rPr>
        <w:t xml:space="preserve">2). </w:t>
      </w:r>
    </w:p>
    <w:p w14:paraId="2B006A47" w14:textId="7535674D" w:rsidR="008E67A8" w:rsidRPr="00516108" w:rsidRDefault="008E67A8" w:rsidP="00B55C69">
      <w:pPr>
        <w:pStyle w:val="Default"/>
        <w:spacing w:line="480" w:lineRule="auto"/>
        <w:ind w:firstLine="720"/>
        <w:rPr>
          <w:rFonts w:asciiTheme="majorBidi" w:hAnsiTheme="majorBidi" w:cstheme="majorBidi"/>
          <w:b/>
          <w:lang w:val="en-US"/>
        </w:rPr>
      </w:pPr>
      <w:r w:rsidRPr="00516108">
        <w:rPr>
          <w:rFonts w:asciiTheme="majorBidi" w:hAnsiTheme="majorBidi" w:cstheme="majorBidi"/>
          <w:bCs/>
          <w:lang w:val="en-US"/>
        </w:rPr>
        <w:t xml:space="preserve">Scenarios 3 and 4 followed </w:t>
      </w:r>
      <w:r w:rsidR="00315185" w:rsidRPr="00516108">
        <w:rPr>
          <w:rFonts w:asciiTheme="majorBidi" w:hAnsiTheme="majorBidi" w:cstheme="majorBidi"/>
          <w:bCs/>
          <w:lang w:val="en-US"/>
        </w:rPr>
        <w:t xml:space="preserve">a </w:t>
      </w:r>
      <w:r w:rsidRPr="00516108">
        <w:rPr>
          <w:rFonts w:asciiTheme="majorBidi" w:hAnsiTheme="majorBidi" w:cstheme="majorBidi"/>
          <w:bCs/>
          <w:lang w:val="en-US"/>
        </w:rPr>
        <w:t xml:space="preserve">similar design, </w:t>
      </w:r>
      <w:r w:rsidR="00FC74A6" w:rsidRPr="00516108">
        <w:rPr>
          <w:rFonts w:asciiTheme="majorBidi" w:hAnsiTheme="majorBidi" w:cstheme="majorBidi"/>
          <w:bCs/>
          <w:lang w:val="en-US"/>
        </w:rPr>
        <w:t>with the exception that participants were asked to imagine</w:t>
      </w:r>
      <w:r w:rsidRPr="00516108">
        <w:rPr>
          <w:rFonts w:asciiTheme="majorBidi" w:hAnsiTheme="majorBidi" w:cstheme="majorBidi"/>
          <w:bCs/>
          <w:lang w:val="en-US"/>
        </w:rPr>
        <w:t xml:space="preserve"> that either they (</w:t>
      </w:r>
      <w:r w:rsidR="00BD032D" w:rsidRPr="00516108">
        <w:rPr>
          <w:rFonts w:asciiTheme="majorBidi" w:hAnsiTheme="majorBidi" w:cstheme="majorBidi"/>
          <w:bCs/>
          <w:lang w:val="en-US"/>
        </w:rPr>
        <w:t xml:space="preserve">Scenario </w:t>
      </w:r>
      <w:r w:rsidRPr="00516108">
        <w:rPr>
          <w:rFonts w:asciiTheme="majorBidi" w:hAnsiTheme="majorBidi" w:cstheme="majorBidi"/>
          <w:bCs/>
          <w:lang w:val="en-US"/>
        </w:rPr>
        <w:t>3) or their child (</w:t>
      </w:r>
      <w:r w:rsidR="00BD032D" w:rsidRPr="00516108">
        <w:rPr>
          <w:rFonts w:asciiTheme="majorBidi" w:hAnsiTheme="majorBidi" w:cstheme="majorBidi"/>
          <w:bCs/>
          <w:lang w:val="en-US"/>
        </w:rPr>
        <w:t xml:space="preserve">Scenario </w:t>
      </w:r>
      <w:r w:rsidRPr="00516108">
        <w:rPr>
          <w:rFonts w:asciiTheme="majorBidi" w:hAnsiTheme="majorBidi" w:cstheme="majorBidi"/>
          <w:bCs/>
          <w:lang w:val="en-US"/>
        </w:rPr>
        <w:t xml:space="preserve">4) </w:t>
      </w:r>
      <w:r w:rsidR="00682D0B" w:rsidRPr="00516108">
        <w:rPr>
          <w:rFonts w:asciiTheme="majorBidi" w:hAnsiTheme="majorBidi" w:cstheme="majorBidi"/>
          <w:bCs/>
          <w:lang w:val="en-US"/>
        </w:rPr>
        <w:t>had been</w:t>
      </w:r>
      <w:r w:rsidRPr="00516108">
        <w:rPr>
          <w:rFonts w:asciiTheme="majorBidi" w:hAnsiTheme="majorBidi" w:cstheme="majorBidi"/>
          <w:bCs/>
          <w:lang w:val="en-US"/>
        </w:rPr>
        <w:t xml:space="preserve"> diagnosed with a deadly, slow</w:t>
      </w:r>
      <w:r w:rsidR="00BD032D">
        <w:rPr>
          <w:rFonts w:asciiTheme="majorBidi" w:hAnsiTheme="majorBidi" w:cstheme="majorBidi"/>
          <w:bCs/>
          <w:lang w:val="en-US"/>
        </w:rPr>
        <w:t>-</w:t>
      </w:r>
      <w:r w:rsidRPr="00516108">
        <w:rPr>
          <w:rFonts w:asciiTheme="majorBidi" w:hAnsiTheme="majorBidi" w:cstheme="majorBidi"/>
          <w:bCs/>
          <w:lang w:val="en-US"/>
        </w:rPr>
        <w:t xml:space="preserve">growing cancer. </w:t>
      </w:r>
      <w:r w:rsidR="00FC74A6" w:rsidRPr="00516108">
        <w:rPr>
          <w:rFonts w:asciiTheme="majorBidi" w:hAnsiTheme="majorBidi" w:cstheme="majorBidi"/>
          <w:bCs/>
          <w:lang w:val="en-US"/>
        </w:rPr>
        <w:t>They were told that if</w:t>
      </w:r>
      <w:r w:rsidRPr="00516108">
        <w:rPr>
          <w:rFonts w:asciiTheme="majorBidi" w:hAnsiTheme="majorBidi" w:cstheme="majorBidi"/>
          <w:bCs/>
          <w:lang w:val="en-US"/>
        </w:rPr>
        <w:t xml:space="preserve"> untreated,</w:t>
      </w:r>
      <w:r w:rsidR="00FC74A6" w:rsidRPr="00516108">
        <w:rPr>
          <w:rFonts w:asciiTheme="majorBidi" w:hAnsiTheme="majorBidi" w:cstheme="majorBidi"/>
          <w:bCs/>
          <w:lang w:val="en-US"/>
        </w:rPr>
        <w:t xml:space="preserve"> there was a </w:t>
      </w:r>
      <w:r w:rsidRPr="00516108">
        <w:rPr>
          <w:rFonts w:asciiTheme="majorBidi" w:hAnsiTheme="majorBidi" w:cstheme="majorBidi"/>
          <w:bCs/>
          <w:lang w:val="en-US"/>
        </w:rPr>
        <w:t xml:space="preserve">15% (15 of 100 people/children) </w:t>
      </w:r>
      <w:r w:rsidR="00FC74A6" w:rsidRPr="00516108">
        <w:rPr>
          <w:rFonts w:asciiTheme="majorBidi" w:hAnsiTheme="majorBidi" w:cstheme="majorBidi"/>
          <w:bCs/>
          <w:lang w:val="en-US"/>
        </w:rPr>
        <w:t>risk of</w:t>
      </w:r>
      <w:r w:rsidRPr="00516108">
        <w:rPr>
          <w:rFonts w:asciiTheme="majorBidi" w:hAnsiTheme="majorBidi" w:cstheme="majorBidi"/>
          <w:bCs/>
          <w:lang w:val="en-US"/>
        </w:rPr>
        <w:t xml:space="preserve"> </w:t>
      </w:r>
      <w:r w:rsidR="00FC74A6" w:rsidRPr="00516108">
        <w:rPr>
          <w:rFonts w:asciiTheme="majorBidi" w:hAnsiTheme="majorBidi" w:cstheme="majorBidi"/>
          <w:bCs/>
          <w:lang w:val="en-US"/>
        </w:rPr>
        <w:t>dying from</w:t>
      </w:r>
      <w:r w:rsidRPr="00516108">
        <w:rPr>
          <w:rFonts w:asciiTheme="majorBidi" w:hAnsiTheme="majorBidi" w:cstheme="majorBidi"/>
          <w:bCs/>
          <w:lang w:val="en-US"/>
        </w:rPr>
        <w:t xml:space="preserve"> the cancer within 5 years. </w:t>
      </w:r>
      <w:r w:rsidR="00682D0B" w:rsidRPr="00516108">
        <w:rPr>
          <w:rFonts w:asciiTheme="majorBidi" w:hAnsiTheme="majorBidi" w:cstheme="majorBidi"/>
          <w:bCs/>
          <w:lang w:val="en-US"/>
        </w:rPr>
        <w:t>T</w:t>
      </w:r>
      <w:r w:rsidRPr="00516108">
        <w:rPr>
          <w:rFonts w:asciiTheme="majorBidi" w:hAnsiTheme="majorBidi" w:cstheme="majorBidi"/>
          <w:bCs/>
          <w:lang w:val="en-US"/>
        </w:rPr>
        <w:t xml:space="preserve">hey were </w:t>
      </w:r>
      <w:r w:rsidR="00682D0B" w:rsidRPr="00516108">
        <w:rPr>
          <w:rFonts w:asciiTheme="majorBidi" w:hAnsiTheme="majorBidi" w:cstheme="majorBidi"/>
          <w:bCs/>
          <w:lang w:val="en-US"/>
        </w:rPr>
        <w:t xml:space="preserve">then </w:t>
      </w:r>
      <w:r w:rsidRPr="00516108">
        <w:rPr>
          <w:rFonts w:asciiTheme="majorBidi" w:hAnsiTheme="majorBidi" w:cstheme="majorBidi"/>
          <w:bCs/>
          <w:lang w:val="en-US"/>
        </w:rPr>
        <w:t xml:space="preserve">informed that they (or their child) had two options: Option </w:t>
      </w:r>
      <w:r w:rsidR="00BD032D">
        <w:rPr>
          <w:rFonts w:asciiTheme="majorBidi" w:hAnsiTheme="majorBidi" w:cstheme="majorBidi"/>
          <w:bCs/>
          <w:lang w:val="en-US"/>
        </w:rPr>
        <w:t>1</w:t>
      </w:r>
      <w:r w:rsidR="00BD032D" w:rsidRPr="00516108">
        <w:rPr>
          <w:rFonts w:asciiTheme="majorBidi" w:hAnsiTheme="majorBidi" w:cstheme="majorBidi"/>
          <w:bCs/>
          <w:lang w:val="en-US"/>
        </w:rPr>
        <w:t xml:space="preserve"> </w:t>
      </w:r>
      <w:r w:rsidRPr="00516108">
        <w:rPr>
          <w:rFonts w:asciiTheme="majorBidi" w:hAnsiTheme="majorBidi" w:cstheme="majorBidi"/>
          <w:bCs/>
          <w:lang w:val="en-US"/>
        </w:rPr>
        <w:t xml:space="preserve">was to wait and see what will happen with the knowledge that </w:t>
      </w:r>
      <w:r w:rsidR="00682D0B" w:rsidRPr="00516108">
        <w:rPr>
          <w:rFonts w:asciiTheme="majorBidi" w:hAnsiTheme="majorBidi" w:cstheme="majorBidi"/>
          <w:bCs/>
          <w:lang w:val="en-US"/>
        </w:rPr>
        <w:t xml:space="preserve">there will be nothing they can do </w:t>
      </w:r>
      <w:r w:rsidR="00E74B73">
        <w:rPr>
          <w:rFonts w:asciiTheme="majorBidi" w:hAnsiTheme="majorBidi" w:cstheme="majorBidi"/>
          <w:bCs/>
          <w:lang w:val="en-US"/>
        </w:rPr>
        <w:t xml:space="preserve">to </w:t>
      </w:r>
      <w:r w:rsidR="00682D0B" w:rsidRPr="00516108">
        <w:rPr>
          <w:rFonts w:asciiTheme="majorBidi" w:hAnsiTheme="majorBidi" w:cstheme="majorBidi"/>
          <w:bCs/>
          <w:lang w:val="en-US"/>
        </w:rPr>
        <w:t xml:space="preserve">prevent death </w:t>
      </w:r>
      <w:r w:rsidRPr="00516108">
        <w:rPr>
          <w:rFonts w:asciiTheme="majorBidi" w:hAnsiTheme="majorBidi" w:cstheme="majorBidi"/>
          <w:bCs/>
          <w:lang w:val="en-US"/>
        </w:rPr>
        <w:t>if</w:t>
      </w:r>
      <w:r w:rsidR="00682D0B" w:rsidRPr="00516108">
        <w:rPr>
          <w:rFonts w:asciiTheme="majorBidi" w:hAnsiTheme="majorBidi" w:cstheme="majorBidi"/>
          <w:bCs/>
          <w:lang w:val="en-US"/>
        </w:rPr>
        <w:t xml:space="preserve"> </w:t>
      </w:r>
      <w:r w:rsidRPr="00516108">
        <w:rPr>
          <w:rFonts w:asciiTheme="majorBidi" w:hAnsiTheme="majorBidi" w:cstheme="majorBidi"/>
          <w:bCs/>
          <w:lang w:val="en-US"/>
        </w:rPr>
        <w:t xml:space="preserve">the cancer spreads. The </w:t>
      </w:r>
      <w:r w:rsidR="00682D0B" w:rsidRPr="00516108">
        <w:rPr>
          <w:rFonts w:asciiTheme="majorBidi" w:hAnsiTheme="majorBidi" w:cstheme="majorBidi"/>
          <w:bCs/>
          <w:lang w:val="en-US"/>
        </w:rPr>
        <w:t>alternative was to accept</w:t>
      </w:r>
      <w:r w:rsidRPr="00516108">
        <w:rPr>
          <w:rFonts w:asciiTheme="majorBidi" w:hAnsiTheme="majorBidi" w:cstheme="majorBidi"/>
          <w:bCs/>
          <w:lang w:val="en-US"/>
        </w:rPr>
        <w:t xml:space="preserve"> chemotherapy that </w:t>
      </w:r>
      <w:r w:rsidR="00682D0B" w:rsidRPr="00516108">
        <w:rPr>
          <w:rFonts w:asciiTheme="majorBidi" w:hAnsiTheme="majorBidi" w:cstheme="majorBidi"/>
          <w:bCs/>
          <w:lang w:val="en-US"/>
        </w:rPr>
        <w:t xml:space="preserve">would </w:t>
      </w:r>
      <w:r w:rsidRPr="00516108">
        <w:rPr>
          <w:rFonts w:asciiTheme="majorBidi" w:hAnsiTheme="majorBidi" w:cstheme="majorBidi"/>
          <w:bCs/>
          <w:lang w:val="en-US"/>
        </w:rPr>
        <w:t>cure the</w:t>
      </w:r>
      <w:r w:rsidR="001D736F" w:rsidRPr="00516108">
        <w:rPr>
          <w:rFonts w:asciiTheme="majorBidi" w:hAnsiTheme="majorBidi" w:cstheme="majorBidi"/>
          <w:bCs/>
          <w:lang w:val="en-US"/>
        </w:rPr>
        <w:t xml:space="preserve">m or </w:t>
      </w:r>
      <w:r w:rsidR="00682D0B" w:rsidRPr="00516108">
        <w:rPr>
          <w:rFonts w:asciiTheme="majorBidi" w:hAnsiTheme="majorBidi" w:cstheme="majorBidi"/>
          <w:bCs/>
          <w:lang w:val="en-US"/>
        </w:rPr>
        <w:t xml:space="preserve">their </w:t>
      </w:r>
      <w:r w:rsidRPr="00516108">
        <w:rPr>
          <w:rFonts w:asciiTheme="majorBidi" w:hAnsiTheme="majorBidi" w:cstheme="majorBidi"/>
          <w:bCs/>
          <w:lang w:val="en-US"/>
        </w:rPr>
        <w:t>child</w:t>
      </w:r>
      <w:r w:rsidR="00682D0B" w:rsidRPr="00516108">
        <w:rPr>
          <w:rFonts w:asciiTheme="majorBidi" w:hAnsiTheme="majorBidi" w:cstheme="majorBidi"/>
          <w:bCs/>
          <w:lang w:val="en-US"/>
        </w:rPr>
        <w:t xml:space="preserve"> with certainty, but which had a 10% (10 of 100 people/children) risk of </w:t>
      </w:r>
      <w:r w:rsidRPr="00516108">
        <w:rPr>
          <w:rFonts w:asciiTheme="majorBidi" w:hAnsiTheme="majorBidi" w:cstheme="majorBidi"/>
          <w:bCs/>
          <w:lang w:val="en-US"/>
        </w:rPr>
        <w:t>caus</w:t>
      </w:r>
      <w:r w:rsidR="00682D0B" w:rsidRPr="00516108">
        <w:rPr>
          <w:rFonts w:asciiTheme="majorBidi" w:hAnsiTheme="majorBidi" w:cstheme="majorBidi"/>
          <w:bCs/>
          <w:lang w:val="en-US"/>
        </w:rPr>
        <w:t>ing</w:t>
      </w:r>
      <w:r w:rsidRPr="00516108">
        <w:rPr>
          <w:rFonts w:asciiTheme="majorBidi" w:hAnsiTheme="majorBidi" w:cstheme="majorBidi"/>
          <w:bCs/>
          <w:lang w:val="en-US"/>
        </w:rPr>
        <w:t xml:space="preserve"> myelodysplastic syndrome, a </w:t>
      </w:r>
      <w:r w:rsidR="00BD032D" w:rsidRPr="00516108">
        <w:rPr>
          <w:rFonts w:asciiTheme="majorBidi" w:hAnsiTheme="majorBidi" w:cstheme="majorBidi"/>
          <w:bCs/>
          <w:lang w:val="en-US"/>
        </w:rPr>
        <w:t>fictitious</w:t>
      </w:r>
      <w:r w:rsidR="00A10D04" w:rsidRPr="00516108">
        <w:rPr>
          <w:rFonts w:asciiTheme="majorBidi" w:hAnsiTheme="majorBidi" w:cstheme="majorBidi"/>
          <w:bCs/>
          <w:lang w:val="en-US"/>
        </w:rPr>
        <w:t xml:space="preserve"> </w:t>
      </w:r>
      <w:r w:rsidRPr="00516108">
        <w:rPr>
          <w:rFonts w:asciiTheme="majorBidi" w:hAnsiTheme="majorBidi" w:cstheme="majorBidi"/>
          <w:bCs/>
          <w:lang w:val="en-US"/>
        </w:rPr>
        <w:t xml:space="preserve">bone marrow cancer </w:t>
      </w:r>
      <w:r w:rsidR="00E74B73">
        <w:rPr>
          <w:rFonts w:asciiTheme="majorBidi" w:hAnsiTheme="majorBidi" w:cstheme="majorBidi"/>
          <w:bCs/>
          <w:lang w:val="en-US"/>
        </w:rPr>
        <w:t>that</w:t>
      </w:r>
      <w:r w:rsidR="00E74B73" w:rsidRPr="00516108">
        <w:rPr>
          <w:rFonts w:asciiTheme="majorBidi" w:hAnsiTheme="majorBidi" w:cstheme="majorBidi"/>
          <w:bCs/>
          <w:lang w:val="en-US"/>
        </w:rPr>
        <w:t xml:space="preserve"> </w:t>
      </w:r>
      <w:r w:rsidR="00682D0B" w:rsidRPr="00516108">
        <w:rPr>
          <w:rFonts w:asciiTheme="majorBidi" w:hAnsiTheme="majorBidi" w:cstheme="majorBidi"/>
          <w:bCs/>
          <w:lang w:val="en-US"/>
        </w:rPr>
        <w:t xml:space="preserve">would lead to </w:t>
      </w:r>
      <w:r w:rsidR="00E74B73">
        <w:rPr>
          <w:rFonts w:asciiTheme="majorBidi" w:hAnsiTheme="majorBidi" w:cstheme="majorBidi"/>
          <w:bCs/>
          <w:lang w:val="en-US"/>
        </w:rPr>
        <w:t xml:space="preserve">certain </w:t>
      </w:r>
      <w:r w:rsidR="00682D0B" w:rsidRPr="00516108">
        <w:rPr>
          <w:rFonts w:asciiTheme="majorBidi" w:hAnsiTheme="majorBidi" w:cstheme="majorBidi"/>
          <w:bCs/>
          <w:lang w:val="en-US"/>
        </w:rPr>
        <w:t xml:space="preserve">death </w:t>
      </w:r>
      <w:r w:rsidRPr="00516108">
        <w:rPr>
          <w:rFonts w:asciiTheme="majorBidi" w:hAnsiTheme="majorBidi" w:cstheme="majorBidi"/>
          <w:bCs/>
          <w:lang w:val="en-US"/>
        </w:rPr>
        <w:t xml:space="preserve">within </w:t>
      </w:r>
      <w:r w:rsidR="00BD032D">
        <w:rPr>
          <w:rFonts w:asciiTheme="majorBidi" w:hAnsiTheme="majorBidi" w:cstheme="majorBidi"/>
          <w:bCs/>
          <w:lang w:val="en-US"/>
        </w:rPr>
        <w:t>5</w:t>
      </w:r>
      <w:r w:rsidR="00BD032D" w:rsidRPr="00516108">
        <w:rPr>
          <w:rFonts w:asciiTheme="majorBidi" w:hAnsiTheme="majorBidi" w:cstheme="majorBidi"/>
          <w:bCs/>
          <w:lang w:val="en-US"/>
        </w:rPr>
        <w:t xml:space="preserve"> </w:t>
      </w:r>
      <w:r w:rsidRPr="00516108">
        <w:rPr>
          <w:rFonts w:asciiTheme="majorBidi" w:hAnsiTheme="majorBidi" w:cstheme="majorBidi"/>
          <w:bCs/>
          <w:lang w:val="en-US"/>
        </w:rPr>
        <w:t xml:space="preserve">years. </w:t>
      </w:r>
      <w:r w:rsidR="00682D0B" w:rsidRPr="00516108">
        <w:rPr>
          <w:rFonts w:asciiTheme="majorBidi" w:hAnsiTheme="majorBidi" w:cstheme="majorBidi"/>
          <w:bCs/>
          <w:lang w:val="en-US"/>
        </w:rPr>
        <w:t xml:space="preserve">Participants indicated </w:t>
      </w:r>
      <w:r w:rsidRPr="00516108">
        <w:rPr>
          <w:rFonts w:asciiTheme="majorBidi" w:hAnsiTheme="majorBidi" w:cstheme="majorBidi"/>
          <w:bCs/>
          <w:lang w:val="en-US"/>
        </w:rPr>
        <w:t xml:space="preserve">whether they </w:t>
      </w:r>
      <w:r w:rsidR="00682D0B" w:rsidRPr="00516108">
        <w:rPr>
          <w:rFonts w:asciiTheme="majorBidi" w:hAnsiTheme="majorBidi" w:cstheme="majorBidi"/>
          <w:bCs/>
          <w:lang w:val="en-US"/>
        </w:rPr>
        <w:t>would accept</w:t>
      </w:r>
      <w:r w:rsidRPr="00516108">
        <w:rPr>
          <w:rFonts w:asciiTheme="majorBidi" w:hAnsiTheme="majorBidi" w:cstheme="majorBidi"/>
          <w:bCs/>
          <w:lang w:val="en-US"/>
        </w:rPr>
        <w:t xml:space="preserve"> chemotherapy for themselves (</w:t>
      </w:r>
      <w:r w:rsidR="00BD032D" w:rsidRPr="00516108">
        <w:rPr>
          <w:rFonts w:asciiTheme="majorBidi" w:hAnsiTheme="majorBidi" w:cstheme="majorBidi"/>
          <w:bCs/>
          <w:lang w:val="en-US"/>
        </w:rPr>
        <w:t xml:space="preserve">Scenario </w:t>
      </w:r>
      <w:r w:rsidRPr="00516108">
        <w:rPr>
          <w:rFonts w:asciiTheme="majorBidi" w:hAnsiTheme="majorBidi" w:cstheme="majorBidi"/>
          <w:bCs/>
          <w:lang w:val="en-US"/>
        </w:rPr>
        <w:t>3) or their child (</w:t>
      </w:r>
      <w:r w:rsidR="00BD032D" w:rsidRPr="00516108">
        <w:rPr>
          <w:rFonts w:asciiTheme="majorBidi" w:hAnsiTheme="majorBidi" w:cstheme="majorBidi"/>
          <w:bCs/>
          <w:lang w:val="en-US"/>
        </w:rPr>
        <w:t xml:space="preserve">Scenario </w:t>
      </w:r>
      <w:r w:rsidRPr="00516108">
        <w:rPr>
          <w:rFonts w:asciiTheme="majorBidi" w:hAnsiTheme="majorBidi" w:cstheme="majorBidi"/>
          <w:bCs/>
          <w:lang w:val="en-US"/>
        </w:rPr>
        <w:t xml:space="preserve">4). </w:t>
      </w:r>
      <w:r w:rsidR="00682D0B" w:rsidRPr="00516108">
        <w:rPr>
          <w:rFonts w:asciiTheme="majorBidi" w:hAnsiTheme="majorBidi" w:cstheme="majorBidi"/>
          <w:bCs/>
          <w:lang w:val="en-US"/>
        </w:rPr>
        <w:t xml:space="preserve">The order of presentation was counterbalanced for the flu and cancer scenarios, and for </w:t>
      </w:r>
      <w:r w:rsidR="00D740A7" w:rsidRPr="00516108">
        <w:rPr>
          <w:rFonts w:asciiTheme="majorBidi" w:hAnsiTheme="majorBidi" w:cstheme="majorBidi"/>
          <w:bCs/>
          <w:lang w:val="en-US"/>
        </w:rPr>
        <w:t xml:space="preserve">the </w:t>
      </w:r>
      <w:r w:rsidR="00682D0B" w:rsidRPr="00516108">
        <w:rPr>
          <w:rFonts w:asciiTheme="majorBidi" w:hAnsiTheme="majorBidi" w:cstheme="majorBidi"/>
          <w:bCs/>
          <w:lang w:val="en-US"/>
        </w:rPr>
        <w:t xml:space="preserve">options relating to themselves and </w:t>
      </w:r>
      <w:r w:rsidR="00D740A7" w:rsidRPr="00516108">
        <w:rPr>
          <w:rFonts w:asciiTheme="majorBidi" w:hAnsiTheme="majorBidi" w:cstheme="majorBidi"/>
          <w:bCs/>
          <w:lang w:val="en-US"/>
        </w:rPr>
        <w:t>to their child</w:t>
      </w:r>
      <w:r w:rsidRPr="00516108">
        <w:rPr>
          <w:rFonts w:asciiTheme="majorBidi" w:hAnsiTheme="majorBidi" w:cstheme="majorBidi"/>
          <w:bCs/>
          <w:lang w:val="en-US"/>
        </w:rPr>
        <w:t xml:space="preserve">. </w:t>
      </w:r>
    </w:p>
    <w:p w14:paraId="13BD1EF6" w14:textId="15623587" w:rsidR="00FF17F5" w:rsidRPr="00516108" w:rsidRDefault="00071F8A" w:rsidP="0004797A">
      <w:pPr>
        <w:autoSpaceDE w:val="0"/>
        <w:autoSpaceDN w:val="0"/>
        <w:adjustRightInd w:val="0"/>
        <w:spacing w:after="0" w:line="480" w:lineRule="auto"/>
        <w:ind w:firstLine="720"/>
        <w:rPr>
          <w:rFonts w:asciiTheme="majorBidi" w:hAnsiTheme="majorBidi" w:cstheme="majorBidi"/>
          <w:sz w:val="24"/>
          <w:szCs w:val="24"/>
          <w:lang w:val="en-US" w:eastAsia="en-GB"/>
        </w:rPr>
      </w:pPr>
      <w:r>
        <w:rPr>
          <w:rFonts w:asciiTheme="majorBidi" w:hAnsiTheme="majorBidi" w:cstheme="majorBidi"/>
          <w:b/>
          <w:bCs/>
          <w:iCs/>
          <w:sz w:val="24"/>
          <w:szCs w:val="24"/>
          <w:lang w:val="en-US"/>
        </w:rPr>
        <w:t xml:space="preserve">2.2.2 </w:t>
      </w:r>
      <w:r w:rsidR="00AE7B41" w:rsidRPr="00516108">
        <w:rPr>
          <w:rFonts w:asciiTheme="majorBidi" w:hAnsiTheme="majorBidi" w:cstheme="majorBidi"/>
          <w:b/>
          <w:bCs/>
          <w:iCs/>
          <w:sz w:val="24"/>
          <w:szCs w:val="24"/>
          <w:lang w:val="en-US"/>
        </w:rPr>
        <w:t>DOSPERT-</w:t>
      </w:r>
      <w:r w:rsidR="00A13E5E" w:rsidRPr="00516108">
        <w:rPr>
          <w:rFonts w:asciiTheme="majorBidi" w:hAnsiTheme="majorBidi" w:cstheme="majorBidi"/>
          <w:b/>
          <w:bCs/>
          <w:iCs/>
          <w:sz w:val="24"/>
          <w:szCs w:val="24"/>
          <w:lang w:val="en-US"/>
        </w:rPr>
        <w:t>Medical</w:t>
      </w:r>
      <w:r w:rsidR="007918B6" w:rsidRPr="00516108">
        <w:rPr>
          <w:rFonts w:asciiTheme="majorBidi" w:hAnsiTheme="majorBidi" w:cstheme="majorBidi"/>
          <w:b/>
          <w:iCs/>
          <w:sz w:val="24"/>
          <w:szCs w:val="24"/>
          <w:lang w:val="en-US"/>
        </w:rPr>
        <w:t>.</w:t>
      </w:r>
      <w:r w:rsidR="00FF17F5" w:rsidRPr="00516108">
        <w:rPr>
          <w:rFonts w:asciiTheme="majorBidi" w:hAnsiTheme="majorBidi" w:cstheme="majorBidi"/>
          <w:i/>
          <w:sz w:val="24"/>
          <w:szCs w:val="24"/>
          <w:lang w:val="en-US"/>
        </w:rPr>
        <w:t xml:space="preserve"> </w:t>
      </w:r>
      <w:r w:rsidR="00FF17F5" w:rsidRPr="00516108">
        <w:rPr>
          <w:rFonts w:asciiTheme="majorBidi" w:hAnsiTheme="majorBidi" w:cstheme="majorBidi"/>
          <w:sz w:val="24"/>
          <w:szCs w:val="24"/>
          <w:lang w:val="en-US" w:eastAsia="en-GB"/>
        </w:rPr>
        <w:t>The DOSPERT</w:t>
      </w:r>
      <w:r w:rsidR="00AE7B41" w:rsidRPr="00516108">
        <w:rPr>
          <w:rFonts w:asciiTheme="majorBidi" w:hAnsiTheme="majorBidi" w:cstheme="majorBidi"/>
          <w:sz w:val="24"/>
          <w:szCs w:val="24"/>
          <w:lang w:val="en-US" w:eastAsia="en-GB"/>
        </w:rPr>
        <w:t>-M</w:t>
      </w:r>
      <w:r w:rsidR="00ED10CD">
        <w:rPr>
          <w:rFonts w:asciiTheme="majorBidi" w:hAnsiTheme="majorBidi" w:cstheme="majorBidi"/>
          <w:sz w:val="24"/>
          <w:szCs w:val="24"/>
          <w:vertAlign w:val="superscript"/>
          <w:lang w:val="en-US" w:eastAsia="en-GB"/>
        </w:rPr>
        <w:t>(</w:t>
      </w:r>
      <w:r w:rsidR="0077324F" w:rsidRPr="0077324F">
        <w:rPr>
          <w:rFonts w:asciiTheme="majorBidi" w:hAnsiTheme="majorBidi" w:cstheme="majorBidi"/>
          <w:sz w:val="24"/>
          <w:szCs w:val="24"/>
          <w:vertAlign w:val="superscript"/>
          <w:lang w:val="en-US" w:eastAsia="en-GB"/>
        </w:rPr>
        <w:t>4</w:t>
      </w:r>
      <w:r w:rsidR="0004797A">
        <w:rPr>
          <w:rFonts w:asciiTheme="majorBidi" w:hAnsiTheme="majorBidi" w:cstheme="majorBidi"/>
          <w:sz w:val="24"/>
          <w:szCs w:val="24"/>
          <w:vertAlign w:val="superscript"/>
          <w:lang w:val="en-US" w:eastAsia="en-GB"/>
        </w:rPr>
        <w:t>1-42</w:t>
      </w:r>
      <w:r w:rsidR="00ED10CD">
        <w:rPr>
          <w:rFonts w:asciiTheme="majorBidi" w:hAnsiTheme="majorBidi" w:cstheme="majorBidi"/>
          <w:sz w:val="24"/>
          <w:szCs w:val="24"/>
          <w:vertAlign w:val="superscript"/>
          <w:lang w:val="en-US" w:eastAsia="en-GB"/>
        </w:rPr>
        <w:t>)</w:t>
      </w:r>
      <w:r w:rsidR="00A13E5E" w:rsidRPr="00516108">
        <w:rPr>
          <w:rFonts w:asciiTheme="majorBidi" w:hAnsiTheme="majorBidi" w:cstheme="majorBidi"/>
          <w:sz w:val="24"/>
          <w:szCs w:val="24"/>
          <w:lang w:val="en-US" w:eastAsia="en-GB"/>
        </w:rPr>
        <w:t xml:space="preserve"> was designed to augment the original DOSPERT</w:t>
      </w:r>
      <w:r w:rsidR="0077324F" w:rsidRPr="0077324F">
        <w:rPr>
          <w:rFonts w:asciiTheme="majorBidi" w:hAnsiTheme="majorBidi" w:cstheme="majorBidi"/>
          <w:sz w:val="24"/>
          <w:szCs w:val="24"/>
          <w:vertAlign w:val="superscript"/>
          <w:lang w:val="en-US" w:eastAsia="en-GB"/>
        </w:rPr>
        <w:t>1</w:t>
      </w:r>
      <w:r w:rsidR="0004797A">
        <w:rPr>
          <w:rFonts w:asciiTheme="majorBidi" w:hAnsiTheme="majorBidi" w:cstheme="majorBidi"/>
          <w:sz w:val="24"/>
          <w:szCs w:val="24"/>
          <w:vertAlign w:val="superscript"/>
          <w:lang w:val="en-US" w:eastAsia="en-GB"/>
        </w:rPr>
        <w:t>9</w:t>
      </w:r>
      <w:r w:rsidR="00A13E5E" w:rsidRPr="00516108">
        <w:rPr>
          <w:rFonts w:asciiTheme="majorBidi" w:hAnsiTheme="majorBidi" w:cstheme="majorBidi"/>
          <w:sz w:val="24"/>
          <w:szCs w:val="24"/>
          <w:lang w:val="en-US" w:eastAsia="en-GB"/>
        </w:rPr>
        <w:t xml:space="preserve"> by including six items that focus on medical procedures (e.g., donating a kidney). </w:t>
      </w:r>
      <w:r w:rsidR="00FF17F5" w:rsidRPr="00516108">
        <w:rPr>
          <w:rFonts w:asciiTheme="majorBidi" w:hAnsiTheme="majorBidi" w:cstheme="majorBidi"/>
          <w:sz w:val="24"/>
          <w:szCs w:val="24"/>
          <w:lang w:val="en-US" w:eastAsia="en-GB"/>
        </w:rPr>
        <w:t>For each item</w:t>
      </w:r>
      <w:r w:rsidR="00995520" w:rsidRPr="00516108">
        <w:rPr>
          <w:rFonts w:asciiTheme="majorBidi" w:hAnsiTheme="majorBidi" w:cstheme="majorBidi"/>
          <w:sz w:val="24"/>
          <w:szCs w:val="24"/>
          <w:lang w:val="en-US" w:eastAsia="en-GB"/>
        </w:rPr>
        <w:t xml:space="preserve"> on the DOSPERT</w:t>
      </w:r>
      <w:r w:rsidR="00AE7B41" w:rsidRPr="00516108">
        <w:rPr>
          <w:rFonts w:asciiTheme="majorBidi" w:hAnsiTheme="majorBidi" w:cstheme="majorBidi"/>
          <w:sz w:val="24"/>
          <w:szCs w:val="24"/>
          <w:lang w:val="en-US" w:eastAsia="en-GB"/>
        </w:rPr>
        <w:t>-M</w:t>
      </w:r>
      <w:r w:rsidR="00FF17F5" w:rsidRPr="00516108">
        <w:rPr>
          <w:rFonts w:asciiTheme="majorBidi" w:hAnsiTheme="majorBidi" w:cstheme="majorBidi"/>
          <w:sz w:val="24"/>
          <w:szCs w:val="24"/>
          <w:lang w:val="en-US" w:eastAsia="en-GB"/>
        </w:rPr>
        <w:t xml:space="preserve">, participants indicated (1) their likelihood of engaging in the activity (risk taking), (2) how risky they perceived the </w:t>
      </w:r>
      <w:r w:rsidR="00D740A7" w:rsidRPr="00516108">
        <w:rPr>
          <w:rFonts w:asciiTheme="majorBidi" w:hAnsiTheme="majorBidi" w:cstheme="majorBidi"/>
          <w:sz w:val="24"/>
          <w:szCs w:val="24"/>
          <w:lang w:val="en-US" w:eastAsia="en-GB"/>
        </w:rPr>
        <w:t xml:space="preserve">activity </w:t>
      </w:r>
      <w:r w:rsidR="00FF17F5" w:rsidRPr="00516108">
        <w:rPr>
          <w:rFonts w:asciiTheme="majorBidi" w:hAnsiTheme="majorBidi" w:cstheme="majorBidi"/>
          <w:sz w:val="24"/>
          <w:szCs w:val="24"/>
          <w:lang w:val="en-US" w:eastAsia="en-GB"/>
        </w:rPr>
        <w:t xml:space="preserve">to be (risk perception), and (3) how much benefit they would expect to gain from participating in the activity (risk benefit). All </w:t>
      </w:r>
      <w:r w:rsidR="00D740A7" w:rsidRPr="00516108">
        <w:rPr>
          <w:rFonts w:asciiTheme="majorBidi" w:hAnsiTheme="majorBidi" w:cstheme="majorBidi"/>
          <w:sz w:val="24"/>
          <w:szCs w:val="24"/>
          <w:lang w:val="en-US" w:eastAsia="en-GB"/>
        </w:rPr>
        <w:t xml:space="preserve">responses </w:t>
      </w:r>
      <w:r w:rsidR="00FF17F5" w:rsidRPr="00516108">
        <w:rPr>
          <w:rFonts w:asciiTheme="majorBidi" w:hAnsiTheme="majorBidi" w:cstheme="majorBidi"/>
          <w:sz w:val="24"/>
          <w:szCs w:val="24"/>
          <w:lang w:val="en-US" w:eastAsia="en-GB"/>
        </w:rPr>
        <w:t>were made on a 7-point scale ranging from 1 (</w:t>
      </w:r>
      <w:r w:rsidR="00FF17F5" w:rsidRPr="00516108">
        <w:rPr>
          <w:rFonts w:asciiTheme="majorBidi" w:hAnsiTheme="majorBidi" w:cstheme="majorBidi"/>
          <w:i/>
          <w:sz w:val="24"/>
          <w:szCs w:val="24"/>
          <w:lang w:val="en-US" w:eastAsia="en-GB"/>
        </w:rPr>
        <w:t>extremely unlikely</w:t>
      </w:r>
      <w:r w:rsidR="00FF17F5" w:rsidRPr="00516108">
        <w:rPr>
          <w:rFonts w:asciiTheme="majorBidi" w:hAnsiTheme="majorBidi" w:cstheme="majorBidi"/>
          <w:sz w:val="24"/>
          <w:szCs w:val="24"/>
          <w:lang w:val="en-US" w:eastAsia="en-GB"/>
        </w:rPr>
        <w:t>) to 7 (</w:t>
      </w:r>
      <w:r w:rsidR="00FF17F5" w:rsidRPr="00516108">
        <w:rPr>
          <w:rFonts w:asciiTheme="majorBidi" w:hAnsiTheme="majorBidi" w:cstheme="majorBidi"/>
          <w:i/>
          <w:sz w:val="24"/>
          <w:szCs w:val="24"/>
          <w:lang w:val="en-US" w:eastAsia="en-GB"/>
        </w:rPr>
        <w:t>extremely likely</w:t>
      </w:r>
      <w:r w:rsidR="00FF17F5" w:rsidRPr="00516108">
        <w:rPr>
          <w:rFonts w:asciiTheme="majorBidi" w:hAnsiTheme="majorBidi" w:cstheme="majorBidi"/>
          <w:sz w:val="24"/>
          <w:szCs w:val="24"/>
          <w:lang w:val="en-US" w:eastAsia="en-GB"/>
        </w:rPr>
        <w:t xml:space="preserve">) for </w:t>
      </w:r>
      <w:r w:rsidR="002E066A">
        <w:rPr>
          <w:rFonts w:asciiTheme="majorBidi" w:hAnsiTheme="majorBidi" w:cstheme="majorBidi"/>
          <w:sz w:val="24"/>
          <w:szCs w:val="24"/>
          <w:lang w:val="en-US" w:eastAsia="en-GB"/>
        </w:rPr>
        <w:t>the</w:t>
      </w:r>
      <w:r w:rsidR="002E066A" w:rsidRPr="00516108">
        <w:rPr>
          <w:rFonts w:asciiTheme="majorBidi" w:hAnsiTheme="majorBidi" w:cstheme="majorBidi"/>
          <w:sz w:val="24"/>
          <w:szCs w:val="24"/>
          <w:lang w:val="en-US" w:eastAsia="en-GB"/>
        </w:rPr>
        <w:t xml:space="preserve"> </w:t>
      </w:r>
      <w:r w:rsidR="00D740A7" w:rsidRPr="00516108">
        <w:rPr>
          <w:rFonts w:asciiTheme="majorBidi" w:hAnsiTheme="majorBidi" w:cstheme="majorBidi"/>
          <w:sz w:val="24"/>
          <w:szCs w:val="24"/>
          <w:lang w:val="en-US" w:eastAsia="en-GB"/>
        </w:rPr>
        <w:t>likelihood ratings</w:t>
      </w:r>
      <w:r w:rsidR="00FF17F5" w:rsidRPr="00516108">
        <w:rPr>
          <w:rFonts w:asciiTheme="majorBidi" w:hAnsiTheme="majorBidi" w:cstheme="majorBidi"/>
          <w:sz w:val="24"/>
          <w:szCs w:val="24"/>
          <w:lang w:val="en-US" w:eastAsia="en-GB"/>
        </w:rPr>
        <w:t>, 1 (</w:t>
      </w:r>
      <w:r w:rsidR="00FF17F5" w:rsidRPr="00516108">
        <w:rPr>
          <w:rFonts w:asciiTheme="majorBidi" w:hAnsiTheme="majorBidi" w:cstheme="majorBidi"/>
          <w:i/>
          <w:sz w:val="24"/>
          <w:szCs w:val="24"/>
          <w:lang w:val="en-US" w:eastAsia="en-GB"/>
        </w:rPr>
        <w:t>not at all risky</w:t>
      </w:r>
      <w:r w:rsidR="00FF17F5" w:rsidRPr="00516108">
        <w:rPr>
          <w:rFonts w:asciiTheme="majorBidi" w:hAnsiTheme="majorBidi" w:cstheme="majorBidi"/>
          <w:sz w:val="24"/>
          <w:szCs w:val="24"/>
          <w:lang w:val="en-US" w:eastAsia="en-GB"/>
        </w:rPr>
        <w:t>) to 7 (</w:t>
      </w:r>
      <w:r w:rsidR="00FF17F5" w:rsidRPr="00516108">
        <w:rPr>
          <w:rFonts w:asciiTheme="majorBidi" w:hAnsiTheme="majorBidi" w:cstheme="majorBidi"/>
          <w:i/>
          <w:sz w:val="24"/>
          <w:szCs w:val="24"/>
          <w:lang w:val="en-US" w:eastAsia="en-GB"/>
        </w:rPr>
        <w:t>extremely risky</w:t>
      </w:r>
      <w:r w:rsidR="00FF17F5" w:rsidRPr="00516108">
        <w:rPr>
          <w:rFonts w:asciiTheme="majorBidi" w:hAnsiTheme="majorBidi" w:cstheme="majorBidi"/>
          <w:sz w:val="24"/>
          <w:szCs w:val="24"/>
          <w:lang w:val="en-US" w:eastAsia="en-GB"/>
        </w:rPr>
        <w:t xml:space="preserve">) for </w:t>
      </w:r>
      <w:r w:rsidR="002E066A">
        <w:rPr>
          <w:rFonts w:asciiTheme="majorBidi" w:hAnsiTheme="majorBidi" w:cstheme="majorBidi"/>
          <w:sz w:val="24"/>
          <w:szCs w:val="24"/>
          <w:lang w:val="en-US" w:eastAsia="en-GB"/>
        </w:rPr>
        <w:t>the</w:t>
      </w:r>
      <w:r w:rsidR="002E066A" w:rsidRPr="00516108">
        <w:rPr>
          <w:rFonts w:asciiTheme="majorBidi" w:hAnsiTheme="majorBidi" w:cstheme="majorBidi"/>
          <w:sz w:val="24"/>
          <w:szCs w:val="24"/>
          <w:lang w:val="en-US" w:eastAsia="en-GB"/>
        </w:rPr>
        <w:t xml:space="preserve"> </w:t>
      </w:r>
      <w:r w:rsidR="00D740A7" w:rsidRPr="00516108">
        <w:rPr>
          <w:rFonts w:asciiTheme="majorBidi" w:hAnsiTheme="majorBidi" w:cstheme="majorBidi"/>
          <w:sz w:val="24"/>
          <w:szCs w:val="24"/>
          <w:lang w:val="en-US" w:eastAsia="en-GB"/>
        </w:rPr>
        <w:t>risk perception ratings</w:t>
      </w:r>
      <w:r w:rsidR="00FF17F5" w:rsidRPr="00516108">
        <w:rPr>
          <w:rFonts w:asciiTheme="majorBidi" w:hAnsiTheme="majorBidi" w:cstheme="majorBidi"/>
          <w:sz w:val="24"/>
          <w:szCs w:val="24"/>
          <w:lang w:val="en-US" w:eastAsia="en-GB"/>
        </w:rPr>
        <w:t>, and 1 (</w:t>
      </w:r>
      <w:r w:rsidR="00FF17F5" w:rsidRPr="00516108">
        <w:rPr>
          <w:rFonts w:asciiTheme="majorBidi" w:hAnsiTheme="majorBidi" w:cstheme="majorBidi"/>
          <w:i/>
          <w:sz w:val="24"/>
          <w:szCs w:val="24"/>
          <w:lang w:val="en-US" w:eastAsia="en-GB"/>
        </w:rPr>
        <w:t>not beneficial at all</w:t>
      </w:r>
      <w:r w:rsidR="00FF17F5" w:rsidRPr="00516108">
        <w:rPr>
          <w:rFonts w:asciiTheme="majorBidi" w:hAnsiTheme="majorBidi" w:cstheme="majorBidi"/>
          <w:sz w:val="24"/>
          <w:szCs w:val="24"/>
          <w:lang w:val="en-US" w:eastAsia="en-GB"/>
        </w:rPr>
        <w:t>) to 7 (</w:t>
      </w:r>
      <w:r w:rsidR="00FF17F5" w:rsidRPr="00516108">
        <w:rPr>
          <w:rFonts w:asciiTheme="majorBidi" w:hAnsiTheme="majorBidi" w:cstheme="majorBidi"/>
          <w:i/>
          <w:sz w:val="24"/>
          <w:szCs w:val="24"/>
          <w:lang w:val="en-US" w:eastAsia="en-GB"/>
        </w:rPr>
        <w:t>extremely beneficial</w:t>
      </w:r>
      <w:r w:rsidR="00FF17F5" w:rsidRPr="00516108">
        <w:rPr>
          <w:rFonts w:asciiTheme="majorBidi" w:hAnsiTheme="majorBidi" w:cstheme="majorBidi"/>
          <w:sz w:val="24"/>
          <w:szCs w:val="24"/>
          <w:lang w:val="en-US" w:eastAsia="en-GB"/>
        </w:rPr>
        <w:t xml:space="preserve">) for </w:t>
      </w:r>
      <w:r w:rsidR="002E066A">
        <w:rPr>
          <w:rFonts w:asciiTheme="majorBidi" w:hAnsiTheme="majorBidi" w:cstheme="majorBidi"/>
          <w:sz w:val="24"/>
          <w:szCs w:val="24"/>
          <w:lang w:val="en-US" w:eastAsia="en-GB"/>
        </w:rPr>
        <w:t>the</w:t>
      </w:r>
      <w:r w:rsidR="002E066A" w:rsidRPr="00516108">
        <w:rPr>
          <w:rFonts w:asciiTheme="majorBidi" w:hAnsiTheme="majorBidi" w:cstheme="majorBidi"/>
          <w:sz w:val="24"/>
          <w:szCs w:val="24"/>
          <w:lang w:val="en-US" w:eastAsia="en-GB"/>
        </w:rPr>
        <w:t xml:space="preserve"> </w:t>
      </w:r>
      <w:r w:rsidR="00D740A7" w:rsidRPr="00516108">
        <w:rPr>
          <w:rFonts w:asciiTheme="majorBidi" w:hAnsiTheme="majorBidi" w:cstheme="majorBidi"/>
          <w:sz w:val="24"/>
          <w:szCs w:val="24"/>
          <w:lang w:val="en-US" w:eastAsia="en-GB"/>
        </w:rPr>
        <w:t>expected benefit ratings</w:t>
      </w:r>
      <w:r w:rsidR="00FF17F5" w:rsidRPr="00516108">
        <w:rPr>
          <w:rFonts w:asciiTheme="majorBidi" w:hAnsiTheme="majorBidi" w:cstheme="majorBidi"/>
          <w:sz w:val="24"/>
          <w:szCs w:val="24"/>
          <w:lang w:val="en-US" w:eastAsia="en-GB"/>
        </w:rPr>
        <w:t xml:space="preserve">. </w:t>
      </w:r>
      <w:r w:rsidR="004C363F" w:rsidRPr="00516108">
        <w:rPr>
          <w:rFonts w:asciiTheme="majorBidi" w:hAnsiTheme="majorBidi" w:cstheme="majorBidi"/>
          <w:sz w:val="24"/>
          <w:szCs w:val="24"/>
          <w:lang w:val="en-US" w:eastAsia="en-GB"/>
        </w:rPr>
        <w:t xml:space="preserve">The scale items indicated </w:t>
      </w:r>
      <w:r w:rsidR="00DB1EC4" w:rsidRPr="00516108">
        <w:rPr>
          <w:rFonts w:asciiTheme="majorBidi" w:hAnsiTheme="majorBidi" w:cstheme="majorBidi"/>
          <w:sz w:val="24"/>
          <w:szCs w:val="24"/>
          <w:lang w:val="en-US" w:eastAsia="en-GB"/>
        </w:rPr>
        <w:t xml:space="preserve">acceptable </w:t>
      </w:r>
      <w:r w:rsidR="004C363F" w:rsidRPr="00516108">
        <w:rPr>
          <w:rFonts w:asciiTheme="majorBidi" w:hAnsiTheme="majorBidi" w:cstheme="majorBidi"/>
          <w:sz w:val="24"/>
          <w:szCs w:val="24"/>
          <w:lang w:val="en-US" w:eastAsia="en-GB"/>
        </w:rPr>
        <w:t>reliability (Cronbach’s α</w:t>
      </w:r>
      <w:r w:rsidR="002E066A">
        <w:rPr>
          <w:rFonts w:asciiTheme="majorBidi" w:hAnsiTheme="majorBidi" w:cstheme="majorBidi"/>
          <w:sz w:val="24"/>
          <w:szCs w:val="24"/>
          <w:lang w:val="en-US" w:eastAsia="en-GB"/>
        </w:rPr>
        <w:t>:</w:t>
      </w:r>
      <w:r w:rsidR="002E066A" w:rsidRPr="00516108">
        <w:rPr>
          <w:rFonts w:asciiTheme="majorBidi" w:hAnsiTheme="majorBidi" w:cstheme="majorBidi"/>
          <w:sz w:val="24"/>
          <w:szCs w:val="24"/>
          <w:lang w:val="en-US" w:eastAsia="en-GB"/>
        </w:rPr>
        <w:t xml:space="preserve"> </w:t>
      </w:r>
      <w:r w:rsidR="004C363F" w:rsidRPr="00516108">
        <w:rPr>
          <w:rFonts w:asciiTheme="majorBidi" w:hAnsiTheme="majorBidi" w:cstheme="majorBidi"/>
          <w:sz w:val="24"/>
          <w:szCs w:val="24"/>
          <w:lang w:val="en-US" w:eastAsia="en-GB"/>
        </w:rPr>
        <w:t>active risk</w:t>
      </w:r>
      <w:r w:rsidR="002E066A">
        <w:rPr>
          <w:rFonts w:asciiTheme="majorBidi" w:hAnsiTheme="majorBidi" w:cstheme="majorBidi"/>
          <w:sz w:val="24"/>
          <w:szCs w:val="24"/>
          <w:lang w:val="en-US" w:eastAsia="en-GB"/>
        </w:rPr>
        <w:t xml:space="preserve"> </w:t>
      </w:r>
      <w:r w:rsidR="004C363F" w:rsidRPr="00516108">
        <w:rPr>
          <w:rFonts w:asciiTheme="majorBidi" w:hAnsiTheme="majorBidi" w:cstheme="majorBidi"/>
          <w:sz w:val="24"/>
          <w:szCs w:val="24"/>
          <w:lang w:val="en-US" w:eastAsia="en-GB"/>
        </w:rPr>
        <w:t xml:space="preserve">taking = .61, risk perception = .65; expected benefits = .64).  </w:t>
      </w:r>
    </w:p>
    <w:p w14:paraId="59598707" w14:textId="2F57569C" w:rsidR="00D05210" w:rsidRPr="00516108" w:rsidRDefault="00071F8A" w:rsidP="0004797A">
      <w:pPr>
        <w:pStyle w:val="Default"/>
        <w:spacing w:line="480" w:lineRule="auto"/>
        <w:ind w:firstLine="720"/>
        <w:rPr>
          <w:rFonts w:asciiTheme="majorBidi" w:hAnsiTheme="majorBidi" w:cstheme="majorBidi"/>
          <w:lang w:val="en-US"/>
        </w:rPr>
      </w:pPr>
      <w:r>
        <w:rPr>
          <w:rFonts w:asciiTheme="majorBidi" w:hAnsiTheme="majorBidi" w:cstheme="majorBidi"/>
          <w:b/>
          <w:bCs/>
          <w:iCs/>
          <w:lang w:val="en-US"/>
        </w:rPr>
        <w:t xml:space="preserve">2.2.3 </w:t>
      </w:r>
      <w:r w:rsidR="00D05210" w:rsidRPr="00516108">
        <w:rPr>
          <w:rFonts w:asciiTheme="majorBidi" w:hAnsiTheme="majorBidi" w:cstheme="majorBidi"/>
          <w:b/>
          <w:bCs/>
          <w:iCs/>
          <w:lang w:val="en-US"/>
        </w:rPr>
        <w:t>Passive Risk Taking Scale</w:t>
      </w:r>
      <w:r w:rsidR="007918B6" w:rsidRPr="00516108">
        <w:rPr>
          <w:rFonts w:asciiTheme="majorBidi" w:hAnsiTheme="majorBidi" w:cstheme="majorBidi"/>
          <w:b/>
          <w:bCs/>
          <w:lang w:val="en-US"/>
        </w:rPr>
        <w:t>.</w:t>
      </w:r>
      <w:r w:rsidR="00D05210" w:rsidRPr="00516108">
        <w:rPr>
          <w:rFonts w:asciiTheme="majorBidi" w:hAnsiTheme="majorBidi" w:cstheme="majorBidi"/>
          <w:bCs/>
          <w:lang w:val="en-US"/>
        </w:rPr>
        <w:t xml:space="preserve"> Developed by </w:t>
      </w:r>
      <w:r w:rsidR="00D05210" w:rsidRPr="00516108">
        <w:rPr>
          <w:rFonts w:asciiTheme="majorBidi" w:hAnsiTheme="majorBidi" w:cstheme="majorBidi"/>
          <w:lang w:val="en-US"/>
        </w:rPr>
        <w:t>Keinan and Bereby-Meyer</w:t>
      </w:r>
      <w:r w:rsidR="00F115A7">
        <w:rPr>
          <w:rFonts w:asciiTheme="majorBidi" w:hAnsiTheme="majorBidi" w:cstheme="majorBidi"/>
          <w:vertAlign w:val="superscript"/>
          <w:lang w:val="en-US"/>
        </w:rPr>
        <w:t>(</w:t>
      </w:r>
      <w:r w:rsidR="00FF3826">
        <w:rPr>
          <w:rFonts w:asciiTheme="majorBidi" w:hAnsiTheme="majorBidi" w:cstheme="majorBidi"/>
          <w:vertAlign w:val="superscript"/>
          <w:lang w:val="en-US"/>
        </w:rPr>
        <w:t>2</w:t>
      </w:r>
      <w:r w:rsidR="0004797A">
        <w:rPr>
          <w:rFonts w:asciiTheme="majorBidi" w:hAnsiTheme="majorBidi" w:cstheme="majorBidi"/>
          <w:vertAlign w:val="superscript"/>
          <w:lang w:val="en-US"/>
        </w:rPr>
        <w:t>9</w:t>
      </w:r>
      <w:r w:rsidR="00F115A7">
        <w:rPr>
          <w:rFonts w:asciiTheme="majorBidi" w:hAnsiTheme="majorBidi" w:cstheme="majorBidi"/>
          <w:vertAlign w:val="superscript"/>
          <w:lang w:val="en-US"/>
        </w:rPr>
        <w:t>)</w:t>
      </w:r>
      <w:r w:rsidR="006439C2">
        <w:rPr>
          <w:rFonts w:asciiTheme="majorBidi" w:hAnsiTheme="majorBidi" w:cstheme="majorBidi"/>
          <w:lang w:val="en-US"/>
        </w:rPr>
        <w:t xml:space="preserve">, </w:t>
      </w:r>
      <w:r w:rsidR="00D05210" w:rsidRPr="00516108">
        <w:rPr>
          <w:rFonts w:asciiTheme="majorBidi" w:hAnsiTheme="majorBidi" w:cstheme="majorBidi"/>
          <w:lang w:val="en-US"/>
        </w:rPr>
        <w:t xml:space="preserve">the </w:t>
      </w:r>
      <w:r w:rsidR="00E15BB4" w:rsidRPr="00516108">
        <w:rPr>
          <w:rFonts w:asciiTheme="majorBidi" w:hAnsiTheme="majorBidi" w:cstheme="majorBidi"/>
          <w:lang w:val="en-US"/>
        </w:rPr>
        <w:t>questionnaire measure</w:t>
      </w:r>
      <w:r w:rsidR="009469CC" w:rsidRPr="00516108">
        <w:rPr>
          <w:rFonts w:asciiTheme="majorBidi" w:hAnsiTheme="majorBidi" w:cstheme="majorBidi"/>
          <w:lang w:val="en-US"/>
        </w:rPr>
        <w:t>s</w:t>
      </w:r>
      <w:r w:rsidR="00E15BB4" w:rsidRPr="00516108">
        <w:rPr>
          <w:rFonts w:asciiTheme="majorBidi" w:hAnsiTheme="majorBidi" w:cstheme="majorBidi"/>
          <w:lang w:val="en-US"/>
        </w:rPr>
        <w:t xml:space="preserve"> </w:t>
      </w:r>
      <w:r w:rsidR="00D05210" w:rsidRPr="00516108">
        <w:rPr>
          <w:rFonts w:asciiTheme="majorBidi" w:hAnsiTheme="majorBidi" w:cstheme="majorBidi"/>
          <w:lang w:val="en-US"/>
        </w:rPr>
        <w:t>the tendency for passive risk taking</w:t>
      </w:r>
      <w:r w:rsidR="00E15BB4" w:rsidRPr="00516108">
        <w:rPr>
          <w:rFonts w:asciiTheme="majorBidi" w:hAnsiTheme="majorBidi" w:cstheme="majorBidi"/>
          <w:lang w:val="en-US"/>
        </w:rPr>
        <w:t xml:space="preserve"> </w:t>
      </w:r>
      <w:r w:rsidR="00D05210" w:rsidRPr="00516108">
        <w:rPr>
          <w:rFonts w:asciiTheme="majorBidi" w:hAnsiTheme="majorBidi" w:cstheme="majorBidi"/>
          <w:lang w:val="en-US"/>
        </w:rPr>
        <w:t xml:space="preserve">in three domains (resources, </w:t>
      </w:r>
      <w:r w:rsidR="00DB25E5" w:rsidRPr="00516108">
        <w:rPr>
          <w:rFonts w:asciiTheme="majorBidi" w:hAnsiTheme="majorBidi" w:cstheme="majorBidi"/>
          <w:lang w:val="en-US"/>
        </w:rPr>
        <w:t>medical</w:t>
      </w:r>
      <w:r w:rsidR="009469CC" w:rsidRPr="00516108">
        <w:rPr>
          <w:rFonts w:asciiTheme="majorBidi" w:hAnsiTheme="majorBidi" w:cstheme="majorBidi"/>
          <w:lang w:val="en-US"/>
        </w:rPr>
        <w:t>,</w:t>
      </w:r>
      <w:r w:rsidR="00D05210" w:rsidRPr="00516108">
        <w:rPr>
          <w:rFonts w:asciiTheme="majorBidi" w:hAnsiTheme="majorBidi" w:cstheme="majorBidi"/>
          <w:lang w:val="en-US"/>
        </w:rPr>
        <w:t xml:space="preserve"> and ethical). </w:t>
      </w:r>
      <w:r w:rsidR="00D740A7" w:rsidRPr="00516108">
        <w:rPr>
          <w:rFonts w:asciiTheme="majorBidi" w:hAnsiTheme="majorBidi" w:cstheme="majorBidi"/>
          <w:lang w:val="en-US"/>
        </w:rPr>
        <w:t>W</w:t>
      </w:r>
      <w:r w:rsidR="00D05210" w:rsidRPr="00516108">
        <w:rPr>
          <w:rFonts w:asciiTheme="majorBidi" w:hAnsiTheme="majorBidi" w:cstheme="majorBidi"/>
          <w:lang w:val="en-US"/>
        </w:rPr>
        <w:t xml:space="preserve">e </w:t>
      </w:r>
      <w:r w:rsidR="00B909C8">
        <w:rPr>
          <w:rFonts w:asciiTheme="majorBidi" w:hAnsiTheme="majorBidi" w:cstheme="majorBidi"/>
          <w:lang w:val="en-US"/>
        </w:rPr>
        <w:t>used</w:t>
      </w:r>
      <w:r w:rsidR="00B909C8" w:rsidRPr="00516108">
        <w:rPr>
          <w:rFonts w:asciiTheme="majorBidi" w:hAnsiTheme="majorBidi" w:cstheme="majorBidi"/>
          <w:lang w:val="en-US"/>
        </w:rPr>
        <w:t xml:space="preserve"> </w:t>
      </w:r>
      <w:r w:rsidR="00D740A7" w:rsidRPr="00516108">
        <w:rPr>
          <w:rFonts w:asciiTheme="majorBidi" w:hAnsiTheme="majorBidi" w:cstheme="majorBidi"/>
          <w:lang w:val="en-US"/>
        </w:rPr>
        <w:t xml:space="preserve">only the </w:t>
      </w:r>
      <w:r w:rsidR="00E70770">
        <w:rPr>
          <w:rFonts w:asciiTheme="majorBidi" w:hAnsiTheme="majorBidi" w:cstheme="majorBidi"/>
          <w:lang w:val="en-US"/>
        </w:rPr>
        <w:t>seven</w:t>
      </w:r>
      <w:r w:rsidR="00D740A7" w:rsidRPr="00516108">
        <w:rPr>
          <w:rFonts w:asciiTheme="majorBidi" w:hAnsiTheme="majorBidi" w:cstheme="majorBidi"/>
          <w:lang w:val="en-US"/>
        </w:rPr>
        <w:t xml:space="preserve">-item </w:t>
      </w:r>
      <w:r w:rsidR="00E5386D" w:rsidRPr="00516108">
        <w:rPr>
          <w:rFonts w:asciiTheme="majorBidi" w:hAnsiTheme="majorBidi" w:cstheme="majorBidi"/>
          <w:lang w:val="en-US"/>
        </w:rPr>
        <w:t>medical</w:t>
      </w:r>
      <w:r w:rsidR="00D740A7" w:rsidRPr="00516108">
        <w:rPr>
          <w:rFonts w:asciiTheme="majorBidi" w:hAnsiTheme="majorBidi" w:cstheme="majorBidi"/>
          <w:lang w:val="en-US"/>
        </w:rPr>
        <w:t xml:space="preserve"> domain component of the scale for the present purposes </w:t>
      </w:r>
      <w:r w:rsidR="00E15BB4" w:rsidRPr="00516108">
        <w:rPr>
          <w:rFonts w:asciiTheme="majorBidi" w:hAnsiTheme="majorBidi" w:cstheme="majorBidi"/>
          <w:lang w:val="en-US"/>
        </w:rPr>
        <w:t>(</w:t>
      </w:r>
      <w:r w:rsidR="009469CC" w:rsidRPr="00516108">
        <w:rPr>
          <w:rFonts w:asciiTheme="majorBidi" w:hAnsiTheme="majorBidi" w:cstheme="majorBidi"/>
          <w:lang w:val="en-US"/>
        </w:rPr>
        <w:t>e.g., “</w:t>
      </w:r>
      <w:r w:rsidR="00E15BB4" w:rsidRPr="00516108">
        <w:rPr>
          <w:rFonts w:asciiTheme="majorBidi" w:hAnsiTheme="majorBidi" w:cstheme="majorBidi"/>
          <w:lang w:val="en-US"/>
        </w:rPr>
        <w:t>Immediately go to the doctor’s when something in my body is aching or bothering me</w:t>
      </w:r>
      <w:r w:rsidR="009469CC" w:rsidRPr="00516108">
        <w:rPr>
          <w:rFonts w:asciiTheme="majorBidi" w:hAnsiTheme="majorBidi" w:cstheme="majorBidi"/>
          <w:lang w:val="en-US"/>
        </w:rPr>
        <w:t>”</w:t>
      </w:r>
      <w:r w:rsidR="00E15BB4" w:rsidRPr="00516108">
        <w:rPr>
          <w:rFonts w:asciiTheme="majorBidi" w:hAnsiTheme="majorBidi" w:cstheme="majorBidi"/>
          <w:lang w:val="en-US"/>
        </w:rPr>
        <w:t xml:space="preserve">). </w:t>
      </w:r>
      <w:r w:rsidR="00D740A7" w:rsidRPr="00516108">
        <w:rPr>
          <w:rFonts w:asciiTheme="majorBidi" w:hAnsiTheme="majorBidi" w:cstheme="majorBidi"/>
          <w:lang w:val="en-US"/>
        </w:rPr>
        <w:t xml:space="preserve">Responses </w:t>
      </w:r>
      <w:r w:rsidR="00E15BB4" w:rsidRPr="00516108">
        <w:rPr>
          <w:rFonts w:asciiTheme="majorBidi" w:hAnsiTheme="majorBidi" w:cstheme="majorBidi"/>
          <w:lang w:val="en-US" w:eastAsia="en-GB"/>
        </w:rPr>
        <w:t>were made on a 7-point scale ranging from 1 (</w:t>
      </w:r>
      <w:r w:rsidR="00E15BB4" w:rsidRPr="00516108">
        <w:rPr>
          <w:rFonts w:asciiTheme="majorBidi" w:hAnsiTheme="majorBidi" w:cstheme="majorBidi"/>
          <w:i/>
          <w:lang w:val="en-US" w:eastAsia="en-GB"/>
        </w:rPr>
        <w:t>very unlikely</w:t>
      </w:r>
      <w:r w:rsidR="00E15BB4" w:rsidRPr="00516108">
        <w:rPr>
          <w:rFonts w:asciiTheme="majorBidi" w:hAnsiTheme="majorBidi" w:cstheme="majorBidi"/>
          <w:lang w:val="en-US" w:eastAsia="en-GB"/>
        </w:rPr>
        <w:t>) to 7 (</w:t>
      </w:r>
      <w:r w:rsidR="00E15BB4" w:rsidRPr="00516108">
        <w:rPr>
          <w:rFonts w:asciiTheme="majorBidi" w:hAnsiTheme="majorBidi" w:cstheme="majorBidi"/>
          <w:i/>
          <w:lang w:val="en-US" w:eastAsia="en-GB"/>
        </w:rPr>
        <w:t>very likely</w:t>
      </w:r>
      <w:r w:rsidR="00E15BB4" w:rsidRPr="00516108">
        <w:rPr>
          <w:rFonts w:asciiTheme="majorBidi" w:hAnsiTheme="majorBidi" w:cstheme="majorBidi"/>
          <w:lang w:val="en-US" w:eastAsia="en-GB"/>
        </w:rPr>
        <w:t>)</w:t>
      </w:r>
      <w:r w:rsidR="008412A6" w:rsidRPr="00516108">
        <w:rPr>
          <w:rFonts w:asciiTheme="majorBidi" w:hAnsiTheme="majorBidi" w:cstheme="majorBidi"/>
          <w:lang w:val="en-US" w:eastAsia="en-GB"/>
        </w:rPr>
        <w:t xml:space="preserve"> and </w:t>
      </w:r>
      <w:r w:rsidR="00E70770">
        <w:rPr>
          <w:rFonts w:asciiTheme="majorBidi" w:hAnsiTheme="majorBidi" w:cstheme="majorBidi"/>
          <w:lang w:val="en-US" w:eastAsia="en-GB"/>
        </w:rPr>
        <w:t>were</w:t>
      </w:r>
      <w:r w:rsidR="00E70770" w:rsidRPr="00516108">
        <w:rPr>
          <w:rFonts w:asciiTheme="majorBidi" w:hAnsiTheme="majorBidi" w:cstheme="majorBidi"/>
          <w:lang w:val="en-US" w:eastAsia="en-GB"/>
        </w:rPr>
        <w:t xml:space="preserve"> </w:t>
      </w:r>
      <w:r w:rsidR="008412A6" w:rsidRPr="00516108">
        <w:rPr>
          <w:rFonts w:asciiTheme="majorBidi" w:hAnsiTheme="majorBidi" w:cstheme="majorBidi"/>
          <w:lang w:val="en-US" w:eastAsia="en-GB"/>
        </w:rPr>
        <w:t>reverse scored for the analysis</w:t>
      </w:r>
      <w:r w:rsidR="00E15BB4" w:rsidRPr="00516108">
        <w:rPr>
          <w:rFonts w:asciiTheme="majorBidi" w:hAnsiTheme="majorBidi" w:cstheme="majorBidi"/>
          <w:lang w:val="en-US"/>
        </w:rPr>
        <w:t>.</w:t>
      </w:r>
      <w:r w:rsidR="004C363F" w:rsidRPr="00516108">
        <w:rPr>
          <w:rFonts w:asciiTheme="majorBidi" w:hAnsiTheme="majorBidi" w:cstheme="majorBidi"/>
          <w:lang w:val="en-US" w:eastAsia="en-GB"/>
        </w:rPr>
        <w:t xml:space="preserve"> The scale items were reasonably reliable (Cronbach’s α = .65).  </w:t>
      </w:r>
    </w:p>
    <w:p w14:paraId="5A9DF234" w14:textId="27F04B86" w:rsidR="0055500A" w:rsidRDefault="00071F8A" w:rsidP="0004797A">
      <w:pPr>
        <w:pStyle w:val="Default"/>
        <w:spacing w:line="480" w:lineRule="auto"/>
        <w:ind w:firstLine="720"/>
        <w:rPr>
          <w:rFonts w:asciiTheme="majorBidi" w:hAnsiTheme="majorBidi" w:cstheme="majorBidi"/>
          <w:bCs/>
          <w:lang w:val="en-US"/>
        </w:rPr>
      </w:pPr>
      <w:r>
        <w:rPr>
          <w:rFonts w:asciiTheme="majorBidi" w:hAnsiTheme="majorBidi" w:cstheme="majorBidi"/>
          <w:b/>
          <w:iCs/>
          <w:lang w:val="en-US" w:eastAsia="en-GB"/>
        </w:rPr>
        <w:t xml:space="preserve">2.2.4 </w:t>
      </w:r>
      <w:r w:rsidR="0055500A" w:rsidRPr="00384B45">
        <w:rPr>
          <w:rFonts w:asciiTheme="majorBidi" w:hAnsiTheme="majorBidi" w:cstheme="majorBidi"/>
          <w:bCs/>
          <w:iCs/>
          <w:lang w:val="en-US" w:eastAsia="en-GB"/>
        </w:rPr>
        <w:t>Numeracy</w:t>
      </w:r>
      <w:r w:rsidR="007918B6" w:rsidRPr="00384B45">
        <w:rPr>
          <w:rFonts w:asciiTheme="majorBidi" w:hAnsiTheme="majorBidi" w:cstheme="majorBidi"/>
          <w:bCs/>
          <w:lang w:val="en-US" w:eastAsia="en-GB"/>
        </w:rPr>
        <w:t>.</w:t>
      </w:r>
      <w:r w:rsidR="0055500A" w:rsidRPr="00384B45">
        <w:rPr>
          <w:rFonts w:asciiTheme="majorBidi" w:hAnsiTheme="majorBidi" w:cstheme="majorBidi"/>
          <w:bCs/>
          <w:lang w:val="en-US" w:eastAsia="en-GB"/>
        </w:rPr>
        <w:t xml:space="preserve"> </w:t>
      </w:r>
      <w:r w:rsidR="0054561A" w:rsidRPr="00384B45">
        <w:rPr>
          <w:rFonts w:asciiTheme="majorBidi" w:hAnsiTheme="majorBidi" w:cstheme="majorBidi"/>
          <w:bCs/>
          <w:lang w:val="en-US"/>
        </w:rPr>
        <w:t xml:space="preserve">Participants completed the </w:t>
      </w:r>
      <w:r w:rsidR="00DB25E5" w:rsidRPr="00384B45">
        <w:rPr>
          <w:rFonts w:asciiTheme="majorBidi" w:hAnsiTheme="majorBidi" w:cstheme="majorBidi"/>
          <w:bCs/>
          <w:lang w:val="en-US"/>
        </w:rPr>
        <w:t>four</w:t>
      </w:r>
      <w:r w:rsidR="0054561A" w:rsidRPr="00384B45">
        <w:rPr>
          <w:rFonts w:asciiTheme="majorBidi" w:hAnsiTheme="majorBidi" w:cstheme="majorBidi"/>
          <w:bCs/>
          <w:lang w:val="en-US"/>
        </w:rPr>
        <w:t>-item objective numeracy scale</w:t>
      </w:r>
      <w:r w:rsidR="00F115A7" w:rsidRPr="00384B45">
        <w:rPr>
          <w:rFonts w:asciiTheme="majorBidi" w:hAnsiTheme="majorBidi" w:cstheme="majorBidi"/>
          <w:bCs/>
          <w:vertAlign w:val="superscript"/>
          <w:lang w:val="en-US"/>
        </w:rPr>
        <w:t>(</w:t>
      </w:r>
      <w:r w:rsidR="00FF3826">
        <w:rPr>
          <w:rFonts w:asciiTheme="majorBidi" w:hAnsiTheme="majorBidi" w:cstheme="majorBidi"/>
          <w:bCs/>
          <w:vertAlign w:val="superscript"/>
          <w:lang w:val="en-US"/>
        </w:rPr>
        <w:t>4</w:t>
      </w:r>
      <w:r w:rsidR="0004797A">
        <w:rPr>
          <w:rFonts w:asciiTheme="majorBidi" w:hAnsiTheme="majorBidi" w:cstheme="majorBidi"/>
          <w:bCs/>
          <w:vertAlign w:val="superscript"/>
          <w:lang w:val="en-US"/>
        </w:rPr>
        <w:t>3</w:t>
      </w:r>
      <w:r w:rsidR="00F115A7" w:rsidRPr="00384B45">
        <w:rPr>
          <w:rFonts w:asciiTheme="majorBidi" w:hAnsiTheme="majorBidi" w:cstheme="majorBidi"/>
          <w:bCs/>
          <w:vertAlign w:val="superscript"/>
          <w:lang w:val="en-US"/>
        </w:rPr>
        <w:t>)</w:t>
      </w:r>
      <w:r w:rsidR="006439C2" w:rsidRPr="00384B45">
        <w:rPr>
          <w:rFonts w:asciiTheme="majorBidi" w:hAnsiTheme="majorBidi" w:cstheme="majorBidi"/>
          <w:bCs/>
          <w:lang w:val="en-US"/>
        </w:rPr>
        <w:t xml:space="preserve">, </w:t>
      </w:r>
      <w:r w:rsidR="00A35C28" w:rsidRPr="00384B45">
        <w:rPr>
          <w:rFonts w:asciiTheme="majorBidi" w:hAnsiTheme="majorBidi" w:cstheme="majorBidi"/>
          <w:bCs/>
          <w:lang w:val="en-US"/>
        </w:rPr>
        <w:t xml:space="preserve">which </w:t>
      </w:r>
      <w:r w:rsidR="0054561A" w:rsidRPr="00384B45">
        <w:rPr>
          <w:rFonts w:asciiTheme="majorBidi" w:hAnsiTheme="majorBidi" w:cstheme="majorBidi"/>
          <w:bCs/>
          <w:lang w:val="en-US"/>
        </w:rPr>
        <w:t xml:space="preserve">examines individuals’ capacity to answer </w:t>
      </w:r>
      <w:r w:rsidR="00AB56BB" w:rsidRPr="00384B45">
        <w:rPr>
          <w:rFonts w:asciiTheme="majorBidi" w:hAnsiTheme="majorBidi" w:cstheme="majorBidi"/>
          <w:bCs/>
          <w:lang w:val="en-US"/>
        </w:rPr>
        <w:t xml:space="preserve">basic </w:t>
      </w:r>
      <w:r w:rsidR="00DA7647" w:rsidRPr="00384B45">
        <w:rPr>
          <w:rFonts w:asciiTheme="majorBidi" w:hAnsiTheme="majorBidi" w:cstheme="majorBidi"/>
          <w:bCs/>
          <w:lang w:val="en-US"/>
        </w:rPr>
        <w:t xml:space="preserve">questions of </w:t>
      </w:r>
      <w:r w:rsidR="00AB56BB" w:rsidRPr="00384B45">
        <w:rPr>
          <w:rFonts w:asciiTheme="majorBidi" w:hAnsiTheme="majorBidi" w:cstheme="majorBidi"/>
          <w:bCs/>
          <w:lang w:val="en-US"/>
        </w:rPr>
        <w:t>probability (Question 1: “Imagine that we role a fair, six</w:t>
      </w:r>
      <w:r w:rsidR="00DA7647" w:rsidRPr="00384B45">
        <w:rPr>
          <w:rFonts w:asciiTheme="majorBidi" w:hAnsiTheme="majorBidi" w:cstheme="majorBidi"/>
          <w:bCs/>
          <w:lang w:val="en-US"/>
        </w:rPr>
        <w:t>-</w:t>
      </w:r>
      <w:r w:rsidR="00AB56BB" w:rsidRPr="00384B45">
        <w:rPr>
          <w:rFonts w:asciiTheme="majorBidi" w:hAnsiTheme="majorBidi" w:cstheme="majorBidi"/>
          <w:bCs/>
          <w:lang w:val="en-US"/>
        </w:rPr>
        <w:t>sided die 1,000 times. Out of 1,000 roles, how many times do you think the die would come up even (2, 4, or 6)?”</w:t>
      </w:r>
      <w:r w:rsidR="00DA7647" w:rsidRPr="00384B45">
        <w:rPr>
          <w:rFonts w:asciiTheme="majorBidi" w:hAnsiTheme="majorBidi" w:cstheme="majorBidi"/>
          <w:bCs/>
          <w:lang w:val="en-US"/>
        </w:rPr>
        <w:t>; Question 2: “Imagine that we are throwing a five-sided die 50 times. On average, out of these 50 throws how many times would this five-sided die show an odd number (1, 3, or 5)?”) and percentages (Question 3: In the BIG BUCKS LOTTERY, the chances of winning a $10 prize are 1%. What is your best guess about how many people would win a $10 prize if 1,000 people each buy a single ticket from BIG BUCKS?”; Question 4: “In the ACME PUBLISHING SWEEPSTAKES, the chances of winning a car are 1 in 1,000. What percentage of tickets of the ACME PUBLISHING SWEEPSTAKES win a car?”).</w:t>
      </w:r>
      <w:r w:rsidR="0054561A" w:rsidRPr="00384B45">
        <w:rPr>
          <w:rFonts w:asciiTheme="majorBidi" w:hAnsiTheme="majorBidi" w:cstheme="majorBidi"/>
          <w:bCs/>
          <w:lang w:val="en-US"/>
        </w:rPr>
        <w:t xml:space="preserve"> Questions were scored as correct (coded “1”) or incorrect (coded “0”)</w:t>
      </w:r>
      <w:r w:rsidR="00D740A7" w:rsidRPr="00384B45">
        <w:rPr>
          <w:rFonts w:asciiTheme="majorBidi" w:hAnsiTheme="majorBidi" w:cstheme="majorBidi"/>
          <w:bCs/>
          <w:lang w:val="en-US"/>
        </w:rPr>
        <w:t xml:space="preserve">. Total numeracy scores were calculated by summing correct responses across the </w:t>
      </w:r>
      <w:r w:rsidR="0054561A" w:rsidRPr="00384B45">
        <w:rPr>
          <w:rFonts w:asciiTheme="majorBidi" w:hAnsiTheme="majorBidi" w:cstheme="majorBidi"/>
          <w:bCs/>
          <w:lang w:val="en-US"/>
        </w:rPr>
        <w:t xml:space="preserve">four </w:t>
      </w:r>
      <w:r w:rsidR="00D740A7" w:rsidRPr="00384B45">
        <w:rPr>
          <w:rFonts w:asciiTheme="majorBidi" w:hAnsiTheme="majorBidi" w:cstheme="majorBidi"/>
          <w:bCs/>
          <w:lang w:val="en-US"/>
        </w:rPr>
        <w:t>items</w:t>
      </w:r>
      <w:r w:rsidR="0054561A" w:rsidRPr="00384B45">
        <w:rPr>
          <w:rFonts w:asciiTheme="majorBidi" w:hAnsiTheme="majorBidi" w:cstheme="majorBidi"/>
          <w:bCs/>
          <w:lang w:val="en-US"/>
        </w:rPr>
        <w:t xml:space="preserve"> (</w:t>
      </w:r>
      <w:r w:rsidR="00D740A7" w:rsidRPr="00384B45">
        <w:rPr>
          <w:rFonts w:asciiTheme="majorBidi" w:hAnsiTheme="majorBidi" w:cstheme="majorBidi"/>
          <w:bCs/>
          <w:lang w:val="en-US"/>
        </w:rPr>
        <w:t xml:space="preserve">ranging </w:t>
      </w:r>
      <w:r w:rsidR="0054561A" w:rsidRPr="00384B45">
        <w:rPr>
          <w:rFonts w:asciiTheme="majorBidi" w:hAnsiTheme="majorBidi" w:cstheme="majorBidi"/>
          <w:bCs/>
          <w:lang w:val="en-US"/>
        </w:rPr>
        <w:t>from 0 to 4).</w:t>
      </w:r>
    </w:p>
    <w:p w14:paraId="2E2F8B57" w14:textId="77777777" w:rsidR="004D51EE" w:rsidRPr="00384B45" w:rsidRDefault="004D51EE" w:rsidP="004D4259">
      <w:pPr>
        <w:spacing w:after="0" w:line="480" w:lineRule="auto"/>
        <w:rPr>
          <w:rFonts w:asciiTheme="majorBidi" w:hAnsiTheme="majorBidi" w:cstheme="majorBidi"/>
          <w:sz w:val="24"/>
          <w:szCs w:val="24"/>
          <w:lang w:val="en-US"/>
        </w:rPr>
      </w:pPr>
      <w:r w:rsidRPr="00384B45">
        <w:rPr>
          <w:rFonts w:asciiTheme="majorBidi" w:hAnsiTheme="majorBidi" w:cstheme="majorBidi"/>
          <w:sz w:val="24"/>
          <w:szCs w:val="24"/>
          <w:lang w:val="en-US"/>
        </w:rPr>
        <w:t>On average, participants correctly answered 1.89 (</w:t>
      </w:r>
      <w:r w:rsidRPr="00384B45">
        <w:rPr>
          <w:rFonts w:asciiTheme="majorBidi" w:hAnsiTheme="majorBidi" w:cstheme="majorBidi"/>
          <w:i/>
          <w:sz w:val="24"/>
          <w:szCs w:val="24"/>
          <w:lang w:val="en-US"/>
        </w:rPr>
        <w:t>SD</w:t>
      </w:r>
      <w:r w:rsidRPr="00384B45">
        <w:rPr>
          <w:rFonts w:asciiTheme="majorBidi" w:hAnsiTheme="majorBidi" w:cstheme="majorBidi"/>
          <w:sz w:val="24"/>
          <w:szCs w:val="24"/>
          <w:lang w:val="en-US"/>
        </w:rPr>
        <w:t xml:space="preserve"> = 1.08; range = 0-4) of the four numeracy items. The majority provided correct responses to Question 1 (70%) and Question 3 (69%), whereas few responded correctly to Question 2 (19%) and Question 4 (32%).</w:t>
      </w:r>
    </w:p>
    <w:p w14:paraId="7861ACD9" w14:textId="05026182" w:rsidR="00C7015D" w:rsidRPr="00516108" w:rsidRDefault="00071F8A" w:rsidP="00B55C69">
      <w:pPr>
        <w:spacing w:after="0" w:line="480" w:lineRule="auto"/>
        <w:rPr>
          <w:rFonts w:asciiTheme="majorBidi" w:hAnsiTheme="majorBidi" w:cstheme="majorBidi"/>
          <w:b/>
          <w:sz w:val="24"/>
          <w:szCs w:val="24"/>
          <w:lang w:val="en-US"/>
        </w:rPr>
      </w:pPr>
      <w:r>
        <w:rPr>
          <w:rFonts w:asciiTheme="majorBidi" w:hAnsiTheme="majorBidi" w:cstheme="majorBidi"/>
          <w:b/>
          <w:sz w:val="24"/>
          <w:szCs w:val="24"/>
          <w:lang w:val="en-US"/>
        </w:rPr>
        <w:t xml:space="preserve">2.3 </w:t>
      </w:r>
      <w:r w:rsidR="003A3664" w:rsidRPr="00516108">
        <w:rPr>
          <w:rFonts w:asciiTheme="majorBidi" w:hAnsiTheme="majorBidi" w:cstheme="majorBidi"/>
          <w:b/>
          <w:sz w:val="24"/>
          <w:szCs w:val="24"/>
          <w:lang w:val="en-US"/>
        </w:rPr>
        <w:t>Procedure</w:t>
      </w:r>
    </w:p>
    <w:p w14:paraId="5630F99E" w14:textId="060E9D7D" w:rsidR="00661A84" w:rsidRPr="00516108" w:rsidRDefault="00761911" w:rsidP="007E2EFC">
      <w:pPr>
        <w:spacing w:after="0" w:line="480" w:lineRule="auto"/>
        <w:ind w:firstLine="720"/>
        <w:rPr>
          <w:rFonts w:asciiTheme="majorBidi" w:hAnsiTheme="majorBidi" w:cstheme="majorBidi"/>
          <w:b/>
          <w:sz w:val="24"/>
          <w:szCs w:val="24"/>
          <w:lang w:val="en-US"/>
        </w:rPr>
      </w:pPr>
      <w:r w:rsidRPr="00516108">
        <w:rPr>
          <w:rFonts w:asciiTheme="majorBidi" w:hAnsiTheme="majorBidi" w:cstheme="majorBidi"/>
          <w:sz w:val="24"/>
          <w:szCs w:val="24"/>
          <w:lang w:val="en-US"/>
        </w:rPr>
        <w:t xml:space="preserve">Participants completed the study online. </w:t>
      </w:r>
      <w:r w:rsidR="00E70770">
        <w:rPr>
          <w:rFonts w:asciiTheme="majorBidi" w:hAnsiTheme="majorBidi" w:cstheme="majorBidi"/>
          <w:sz w:val="24"/>
          <w:szCs w:val="24"/>
          <w:lang w:val="en-US"/>
        </w:rPr>
        <w:t>After</w:t>
      </w:r>
      <w:r w:rsidR="00E70770" w:rsidRPr="00516108">
        <w:rPr>
          <w:rFonts w:asciiTheme="majorBidi" w:hAnsiTheme="majorBidi" w:cstheme="majorBidi"/>
          <w:sz w:val="24"/>
          <w:szCs w:val="24"/>
          <w:lang w:val="en-US"/>
        </w:rPr>
        <w:t xml:space="preserve"> </w:t>
      </w:r>
      <w:r w:rsidR="00750B29" w:rsidRPr="00516108">
        <w:rPr>
          <w:rFonts w:asciiTheme="majorBidi" w:hAnsiTheme="majorBidi" w:cstheme="majorBidi"/>
          <w:sz w:val="24"/>
          <w:szCs w:val="24"/>
          <w:lang w:val="en-US"/>
        </w:rPr>
        <w:t xml:space="preserve">providing informed </w:t>
      </w:r>
      <w:r w:rsidRPr="00516108">
        <w:rPr>
          <w:rFonts w:asciiTheme="majorBidi" w:hAnsiTheme="majorBidi" w:cstheme="majorBidi"/>
          <w:sz w:val="24"/>
          <w:szCs w:val="24"/>
          <w:lang w:val="en-US"/>
        </w:rPr>
        <w:t xml:space="preserve">consent, they </w:t>
      </w:r>
      <w:r w:rsidR="00B821C9" w:rsidRPr="00516108">
        <w:rPr>
          <w:rFonts w:asciiTheme="majorBidi" w:hAnsiTheme="majorBidi" w:cstheme="majorBidi"/>
          <w:sz w:val="24"/>
          <w:szCs w:val="24"/>
          <w:lang w:val="en-US"/>
        </w:rPr>
        <w:t xml:space="preserve">completed the four </w:t>
      </w:r>
      <w:r w:rsidRPr="00516108">
        <w:rPr>
          <w:rFonts w:asciiTheme="majorBidi" w:hAnsiTheme="majorBidi" w:cstheme="majorBidi"/>
          <w:sz w:val="24"/>
          <w:szCs w:val="24"/>
          <w:lang w:val="en-US"/>
        </w:rPr>
        <w:t xml:space="preserve">medical </w:t>
      </w:r>
      <w:r w:rsidR="00B821C9" w:rsidRPr="00516108">
        <w:rPr>
          <w:rFonts w:asciiTheme="majorBidi" w:hAnsiTheme="majorBidi" w:cstheme="majorBidi"/>
          <w:sz w:val="24"/>
          <w:szCs w:val="24"/>
          <w:lang w:val="en-US"/>
        </w:rPr>
        <w:t>scenarios</w:t>
      </w:r>
      <w:r w:rsidR="00750B29" w:rsidRPr="00516108">
        <w:rPr>
          <w:rFonts w:asciiTheme="majorBidi" w:hAnsiTheme="majorBidi" w:cstheme="majorBidi"/>
          <w:sz w:val="24"/>
          <w:szCs w:val="24"/>
          <w:lang w:val="en-US"/>
        </w:rPr>
        <w:t xml:space="preserve"> that were presented either in the sequence of the two vaccination scenarios (self, child)</w:t>
      </w:r>
      <w:r w:rsidR="00961086" w:rsidRPr="00516108">
        <w:rPr>
          <w:rFonts w:asciiTheme="majorBidi" w:hAnsiTheme="majorBidi" w:cstheme="majorBidi"/>
          <w:sz w:val="24"/>
          <w:szCs w:val="24"/>
          <w:lang w:val="en-US"/>
        </w:rPr>
        <w:t xml:space="preserve"> following the two cancer scenarios (self, child) or the other way around.</w:t>
      </w:r>
      <w:r w:rsidR="00C56252" w:rsidRPr="00516108">
        <w:rPr>
          <w:rFonts w:asciiTheme="majorBidi" w:hAnsiTheme="majorBidi" w:cstheme="majorBidi"/>
          <w:sz w:val="24"/>
          <w:szCs w:val="24"/>
          <w:lang w:val="en-US"/>
        </w:rPr>
        <w:t xml:space="preserve"> The decision scenarios were</w:t>
      </w:r>
      <w:r w:rsidRPr="00516108">
        <w:rPr>
          <w:rFonts w:asciiTheme="majorBidi" w:hAnsiTheme="majorBidi" w:cstheme="majorBidi"/>
          <w:sz w:val="24"/>
          <w:szCs w:val="24"/>
          <w:lang w:val="en-US"/>
        </w:rPr>
        <w:t xml:space="preserve"> followed by the</w:t>
      </w:r>
      <w:r w:rsidR="00B821C9" w:rsidRPr="00516108">
        <w:rPr>
          <w:rFonts w:asciiTheme="majorBidi" w:hAnsiTheme="majorBidi" w:cstheme="majorBidi"/>
          <w:sz w:val="24"/>
          <w:szCs w:val="24"/>
          <w:lang w:val="en-US"/>
        </w:rPr>
        <w:t xml:space="preserve"> DOSPERT</w:t>
      </w:r>
      <w:r w:rsidR="008E67A8" w:rsidRPr="00516108">
        <w:rPr>
          <w:rFonts w:asciiTheme="majorBidi" w:hAnsiTheme="majorBidi" w:cstheme="majorBidi"/>
          <w:sz w:val="24"/>
          <w:szCs w:val="24"/>
          <w:lang w:val="en-US"/>
        </w:rPr>
        <w:t>-M</w:t>
      </w:r>
      <w:r w:rsidR="00B821C9" w:rsidRPr="00516108">
        <w:rPr>
          <w:rFonts w:asciiTheme="majorBidi" w:hAnsiTheme="majorBidi" w:cstheme="majorBidi"/>
          <w:sz w:val="24"/>
          <w:szCs w:val="24"/>
          <w:lang w:val="en-US"/>
        </w:rPr>
        <w:t xml:space="preserve">, </w:t>
      </w:r>
      <w:r w:rsidR="00160F0F" w:rsidRPr="00516108">
        <w:rPr>
          <w:rFonts w:asciiTheme="majorBidi" w:hAnsiTheme="majorBidi" w:cstheme="majorBidi"/>
          <w:sz w:val="24"/>
          <w:szCs w:val="24"/>
          <w:lang w:val="en-US"/>
        </w:rPr>
        <w:t xml:space="preserve">the </w:t>
      </w:r>
      <w:r w:rsidR="00160F0F" w:rsidRPr="00516108">
        <w:rPr>
          <w:rFonts w:asciiTheme="majorBidi" w:hAnsiTheme="majorBidi" w:cstheme="majorBidi"/>
          <w:bCs/>
          <w:sz w:val="24"/>
          <w:szCs w:val="24"/>
          <w:lang w:val="en-US"/>
        </w:rPr>
        <w:t>Passive Risk Taking Scale</w:t>
      </w:r>
      <w:r w:rsidR="00160F0F" w:rsidRPr="00516108">
        <w:rPr>
          <w:rFonts w:asciiTheme="majorBidi" w:hAnsiTheme="majorBidi" w:cstheme="majorBidi"/>
          <w:sz w:val="24"/>
          <w:szCs w:val="24"/>
          <w:lang w:val="en-US"/>
        </w:rPr>
        <w:t xml:space="preserve">, </w:t>
      </w:r>
      <w:r w:rsidR="00B821C9" w:rsidRPr="00516108">
        <w:rPr>
          <w:rFonts w:asciiTheme="majorBidi" w:hAnsiTheme="majorBidi" w:cstheme="majorBidi"/>
          <w:sz w:val="24"/>
          <w:szCs w:val="24"/>
          <w:lang w:val="en-US"/>
        </w:rPr>
        <w:t xml:space="preserve">and </w:t>
      </w:r>
      <w:r w:rsidR="00C56252" w:rsidRPr="00516108">
        <w:rPr>
          <w:rFonts w:asciiTheme="majorBidi" w:hAnsiTheme="majorBidi" w:cstheme="majorBidi"/>
          <w:sz w:val="24"/>
          <w:szCs w:val="24"/>
          <w:lang w:val="en-US"/>
        </w:rPr>
        <w:t xml:space="preserve">the </w:t>
      </w:r>
      <w:r w:rsidR="00B821C9" w:rsidRPr="00516108">
        <w:rPr>
          <w:rFonts w:asciiTheme="majorBidi" w:hAnsiTheme="majorBidi" w:cstheme="majorBidi"/>
          <w:sz w:val="24"/>
          <w:szCs w:val="24"/>
          <w:lang w:val="en-US"/>
        </w:rPr>
        <w:t xml:space="preserve">numeracy scale. </w:t>
      </w:r>
      <w:r w:rsidR="00C56252" w:rsidRPr="00516108">
        <w:rPr>
          <w:rFonts w:asciiTheme="majorBidi" w:hAnsiTheme="majorBidi" w:cstheme="majorBidi"/>
          <w:sz w:val="24"/>
          <w:szCs w:val="24"/>
          <w:lang w:val="en-US"/>
        </w:rPr>
        <w:t xml:space="preserve">At the end of the survey, participants </w:t>
      </w:r>
      <w:r w:rsidR="00B821C9" w:rsidRPr="00516108">
        <w:rPr>
          <w:rFonts w:asciiTheme="majorBidi" w:hAnsiTheme="majorBidi" w:cstheme="majorBidi"/>
          <w:sz w:val="24"/>
          <w:szCs w:val="24"/>
          <w:lang w:val="en-US"/>
        </w:rPr>
        <w:t xml:space="preserve">provided demographic information. </w:t>
      </w:r>
    </w:p>
    <w:p w14:paraId="2FE4F4BF" w14:textId="476364E2" w:rsidR="008E67A8" w:rsidRPr="00516108" w:rsidRDefault="00071F8A" w:rsidP="00B55C69">
      <w:pPr>
        <w:spacing w:after="0" w:line="480" w:lineRule="auto"/>
        <w:rPr>
          <w:rFonts w:asciiTheme="majorBidi" w:hAnsiTheme="majorBidi" w:cstheme="majorBidi"/>
          <w:b/>
          <w:sz w:val="24"/>
          <w:szCs w:val="24"/>
          <w:lang w:val="en-US"/>
        </w:rPr>
      </w:pPr>
      <w:r>
        <w:rPr>
          <w:rFonts w:asciiTheme="majorBidi" w:hAnsiTheme="majorBidi" w:cstheme="majorBidi"/>
          <w:b/>
          <w:sz w:val="24"/>
          <w:szCs w:val="24"/>
          <w:lang w:val="en-US"/>
        </w:rPr>
        <w:t xml:space="preserve">2.4 </w:t>
      </w:r>
      <w:r w:rsidR="008E67A8" w:rsidRPr="00516108">
        <w:rPr>
          <w:rFonts w:asciiTheme="majorBidi" w:hAnsiTheme="majorBidi" w:cstheme="majorBidi"/>
          <w:b/>
          <w:sz w:val="24"/>
          <w:szCs w:val="24"/>
          <w:lang w:val="en-US"/>
        </w:rPr>
        <w:t xml:space="preserve">Analytical </w:t>
      </w:r>
      <w:r w:rsidR="000162B4" w:rsidRPr="00516108">
        <w:rPr>
          <w:rFonts w:asciiTheme="majorBidi" w:hAnsiTheme="majorBidi" w:cstheme="majorBidi"/>
          <w:b/>
          <w:sz w:val="24"/>
          <w:szCs w:val="24"/>
          <w:lang w:val="en-US"/>
        </w:rPr>
        <w:t>Approach</w:t>
      </w:r>
    </w:p>
    <w:p w14:paraId="0AD8ABB8" w14:textId="07139DAE" w:rsidR="00F304E8" w:rsidRDefault="006C6844" w:rsidP="006439C2">
      <w:pPr>
        <w:spacing w:after="0" w:line="480" w:lineRule="auto"/>
        <w:ind w:firstLine="720"/>
        <w:rPr>
          <w:rFonts w:asciiTheme="majorBidi" w:hAnsiTheme="majorBidi" w:cstheme="majorBidi"/>
          <w:sz w:val="24"/>
          <w:szCs w:val="24"/>
          <w:lang w:val="en-US"/>
        </w:rPr>
      </w:pPr>
      <w:r w:rsidRPr="00516108">
        <w:rPr>
          <w:rFonts w:asciiTheme="majorBidi" w:hAnsiTheme="majorBidi" w:cstheme="majorBidi"/>
          <w:sz w:val="24"/>
          <w:szCs w:val="24"/>
          <w:lang w:val="en-US"/>
        </w:rPr>
        <w:t>Age</w:t>
      </w:r>
      <w:r w:rsidR="00104E1D" w:rsidRPr="00516108">
        <w:rPr>
          <w:rFonts w:asciiTheme="majorBidi" w:hAnsiTheme="majorBidi" w:cstheme="majorBidi"/>
          <w:sz w:val="24"/>
          <w:szCs w:val="24"/>
          <w:lang w:val="en-US"/>
        </w:rPr>
        <w:t>-related</w:t>
      </w:r>
      <w:r w:rsidRPr="00516108">
        <w:rPr>
          <w:rFonts w:asciiTheme="majorBidi" w:hAnsiTheme="majorBidi" w:cstheme="majorBidi"/>
          <w:sz w:val="24"/>
          <w:szCs w:val="24"/>
          <w:lang w:val="en-US"/>
        </w:rPr>
        <w:t xml:space="preserve"> differences in </w:t>
      </w:r>
      <w:r w:rsidR="007B0382" w:rsidRPr="00516108">
        <w:rPr>
          <w:rFonts w:asciiTheme="majorBidi" w:hAnsiTheme="majorBidi" w:cstheme="majorBidi"/>
          <w:sz w:val="24"/>
          <w:szCs w:val="24"/>
          <w:lang w:val="en-US"/>
        </w:rPr>
        <w:t xml:space="preserve">active and </w:t>
      </w:r>
      <w:r w:rsidR="00F853A2" w:rsidRPr="00516108">
        <w:rPr>
          <w:rFonts w:asciiTheme="majorBidi" w:hAnsiTheme="majorBidi" w:cstheme="majorBidi"/>
          <w:sz w:val="24"/>
          <w:szCs w:val="24"/>
          <w:lang w:val="en-US"/>
        </w:rPr>
        <w:t>passive risk</w:t>
      </w:r>
      <w:r w:rsidR="000162B4">
        <w:rPr>
          <w:rFonts w:asciiTheme="majorBidi" w:hAnsiTheme="majorBidi" w:cstheme="majorBidi"/>
          <w:sz w:val="24"/>
          <w:szCs w:val="24"/>
          <w:lang w:val="en-US"/>
        </w:rPr>
        <w:t xml:space="preserve"> </w:t>
      </w:r>
      <w:r w:rsidR="00F853A2" w:rsidRPr="00516108">
        <w:rPr>
          <w:rFonts w:asciiTheme="majorBidi" w:hAnsiTheme="majorBidi" w:cstheme="majorBidi"/>
          <w:sz w:val="24"/>
          <w:szCs w:val="24"/>
          <w:lang w:val="en-US"/>
        </w:rPr>
        <w:t>taking</w:t>
      </w:r>
      <w:r w:rsidRPr="00516108">
        <w:rPr>
          <w:rFonts w:asciiTheme="majorBidi" w:hAnsiTheme="majorBidi" w:cstheme="majorBidi"/>
          <w:sz w:val="24"/>
          <w:szCs w:val="24"/>
          <w:lang w:val="en-US"/>
        </w:rPr>
        <w:t xml:space="preserve">, risk perception, and expected benefits were </w:t>
      </w:r>
      <w:r w:rsidR="00104E1D" w:rsidRPr="00516108">
        <w:rPr>
          <w:rFonts w:asciiTheme="majorBidi" w:hAnsiTheme="majorBidi" w:cstheme="majorBidi"/>
          <w:sz w:val="24"/>
          <w:szCs w:val="24"/>
          <w:lang w:val="en-US"/>
        </w:rPr>
        <w:t xml:space="preserve">tested </w:t>
      </w:r>
      <w:r w:rsidRPr="00516108">
        <w:rPr>
          <w:rFonts w:asciiTheme="majorBidi" w:hAnsiTheme="majorBidi" w:cstheme="majorBidi"/>
          <w:sz w:val="24"/>
          <w:szCs w:val="24"/>
          <w:lang w:val="en-US"/>
        </w:rPr>
        <w:t>in separate regression analyses that included age as a continuous predictor in a first block and</w:t>
      </w:r>
      <w:r w:rsidR="00104E1D" w:rsidRPr="00516108">
        <w:rPr>
          <w:rFonts w:asciiTheme="majorBidi" w:hAnsiTheme="majorBidi" w:cstheme="majorBidi"/>
          <w:sz w:val="24"/>
          <w:szCs w:val="24"/>
          <w:lang w:val="en-US"/>
        </w:rPr>
        <w:t xml:space="preserve">, to explore </w:t>
      </w:r>
      <w:r w:rsidR="000934F6" w:rsidRPr="00516108">
        <w:rPr>
          <w:rFonts w:asciiTheme="majorBidi" w:hAnsiTheme="majorBidi" w:cstheme="majorBidi"/>
          <w:sz w:val="24"/>
          <w:szCs w:val="24"/>
          <w:lang w:val="en-US"/>
        </w:rPr>
        <w:t>nonlinear effects,</w:t>
      </w:r>
      <w:r w:rsidRPr="00516108">
        <w:rPr>
          <w:rFonts w:asciiTheme="majorBidi" w:hAnsiTheme="majorBidi" w:cstheme="majorBidi"/>
          <w:sz w:val="24"/>
          <w:szCs w:val="24"/>
          <w:lang w:val="en-US"/>
        </w:rPr>
        <w:t xml:space="preserve"> a quadratic term for age in a second block. </w:t>
      </w:r>
      <w:r w:rsidR="007773C1" w:rsidRPr="00516108">
        <w:rPr>
          <w:rFonts w:asciiTheme="majorBidi" w:hAnsiTheme="majorBidi" w:cstheme="majorBidi"/>
          <w:sz w:val="24"/>
          <w:szCs w:val="24"/>
          <w:lang w:val="en-US"/>
        </w:rPr>
        <w:t>Multiple regression analys</w:t>
      </w:r>
      <w:r w:rsidR="00D13180" w:rsidRPr="00516108">
        <w:rPr>
          <w:rFonts w:asciiTheme="majorBidi" w:hAnsiTheme="majorBidi" w:cstheme="majorBidi"/>
          <w:sz w:val="24"/>
          <w:szCs w:val="24"/>
          <w:lang w:val="en-US"/>
        </w:rPr>
        <w:t>e</w:t>
      </w:r>
      <w:r w:rsidR="007773C1" w:rsidRPr="00516108">
        <w:rPr>
          <w:rFonts w:asciiTheme="majorBidi" w:hAnsiTheme="majorBidi" w:cstheme="majorBidi"/>
          <w:sz w:val="24"/>
          <w:szCs w:val="24"/>
          <w:lang w:val="en-US"/>
        </w:rPr>
        <w:t>s w</w:t>
      </w:r>
      <w:r w:rsidR="00580D77" w:rsidRPr="00516108">
        <w:rPr>
          <w:rFonts w:asciiTheme="majorBidi" w:hAnsiTheme="majorBidi" w:cstheme="majorBidi"/>
          <w:sz w:val="24"/>
          <w:szCs w:val="24"/>
          <w:lang w:val="en-US"/>
        </w:rPr>
        <w:t>ere</w:t>
      </w:r>
      <w:r w:rsidR="007773C1" w:rsidRPr="00516108">
        <w:rPr>
          <w:rFonts w:asciiTheme="majorBidi" w:hAnsiTheme="majorBidi" w:cstheme="majorBidi"/>
          <w:sz w:val="24"/>
          <w:szCs w:val="24"/>
          <w:lang w:val="en-US"/>
        </w:rPr>
        <w:t xml:space="preserve"> conducted on </w:t>
      </w:r>
      <w:r w:rsidR="00C62D9C" w:rsidRPr="00516108">
        <w:rPr>
          <w:rFonts w:asciiTheme="majorBidi" w:hAnsiTheme="majorBidi" w:cstheme="majorBidi"/>
          <w:sz w:val="24"/>
          <w:szCs w:val="24"/>
          <w:lang w:val="en-US"/>
        </w:rPr>
        <w:t xml:space="preserve">active </w:t>
      </w:r>
      <w:r w:rsidR="007773C1" w:rsidRPr="00516108">
        <w:rPr>
          <w:rFonts w:asciiTheme="majorBidi" w:hAnsiTheme="majorBidi" w:cstheme="majorBidi"/>
          <w:sz w:val="24"/>
          <w:szCs w:val="24"/>
          <w:lang w:val="en-US"/>
        </w:rPr>
        <w:t>risk</w:t>
      </w:r>
      <w:r w:rsidR="000162B4">
        <w:rPr>
          <w:rFonts w:asciiTheme="majorBidi" w:hAnsiTheme="majorBidi" w:cstheme="majorBidi"/>
          <w:sz w:val="24"/>
          <w:szCs w:val="24"/>
          <w:lang w:val="en-US"/>
        </w:rPr>
        <w:t xml:space="preserve"> </w:t>
      </w:r>
      <w:r w:rsidR="007773C1" w:rsidRPr="00516108">
        <w:rPr>
          <w:rFonts w:asciiTheme="majorBidi" w:hAnsiTheme="majorBidi" w:cstheme="majorBidi"/>
          <w:sz w:val="24"/>
          <w:szCs w:val="24"/>
          <w:lang w:val="en-US"/>
        </w:rPr>
        <w:t xml:space="preserve">taking </w:t>
      </w:r>
      <w:r w:rsidR="00D13180" w:rsidRPr="00516108">
        <w:rPr>
          <w:rFonts w:asciiTheme="majorBidi" w:hAnsiTheme="majorBidi" w:cstheme="majorBidi"/>
          <w:sz w:val="24"/>
          <w:szCs w:val="24"/>
          <w:lang w:val="en-US"/>
        </w:rPr>
        <w:t>o</w:t>
      </w:r>
      <w:r w:rsidR="007773C1" w:rsidRPr="00516108">
        <w:rPr>
          <w:rFonts w:asciiTheme="majorBidi" w:hAnsiTheme="majorBidi" w:cstheme="majorBidi"/>
          <w:sz w:val="24"/>
          <w:szCs w:val="24"/>
          <w:lang w:val="en-US"/>
        </w:rPr>
        <w:t xml:space="preserve">n </w:t>
      </w:r>
      <w:r w:rsidR="00D13180" w:rsidRPr="00516108">
        <w:rPr>
          <w:rFonts w:asciiTheme="majorBidi" w:hAnsiTheme="majorBidi" w:cstheme="majorBidi"/>
          <w:sz w:val="24"/>
          <w:szCs w:val="24"/>
          <w:lang w:val="en-US"/>
        </w:rPr>
        <w:t xml:space="preserve">the </w:t>
      </w:r>
      <w:r w:rsidR="007773C1" w:rsidRPr="00516108">
        <w:rPr>
          <w:rFonts w:asciiTheme="majorBidi" w:hAnsiTheme="majorBidi" w:cstheme="majorBidi"/>
          <w:sz w:val="24"/>
          <w:szCs w:val="24"/>
          <w:lang w:val="en-US"/>
        </w:rPr>
        <w:t xml:space="preserve">DOSPERT-M to test for effects of </w:t>
      </w:r>
      <w:r w:rsidR="00F304E8" w:rsidRPr="00516108">
        <w:rPr>
          <w:rFonts w:asciiTheme="majorBidi" w:hAnsiTheme="majorBidi" w:cstheme="majorBidi"/>
          <w:sz w:val="24"/>
          <w:szCs w:val="24"/>
          <w:lang w:val="en-US"/>
        </w:rPr>
        <w:t xml:space="preserve">risk </w:t>
      </w:r>
      <w:r w:rsidR="007773C1" w:rsidRPr="00516108">
        <w:rPr>
          <w:rFonts w:asciiTheme="majorBidi" w:hAnsiTheme="majorBidi" w:cstheme="majorBidi"/>
          <w:sz w:val="24"/>
          <w:szCs w:val="24"/>
          <w:lang w:val="en-US"/>
        </w:rPr>
        <w:t>perceptions and expected benefits</w:t>
      </w:r>
      <w:r w:rsidR="00F304E8" w:rsidRPr="00516108">
        <w:rPr>
          <w:rFonts w:asciiTheme="majorBidi" w:hAnsiTheme="majorBidi" w:cstheme="majorBidi"/>
          <w:sz w:val="24"/>
          <w:szCs w:val="24"/>
          <w:lang w:val="en-US"/>
        </w:rPr>
        <w:t xml:space="preserve">. </w:t>
      </w:r>
      <w:r w:rsidR="00D13180" w:rsidRPr="00516108">
        <w:rPr>
          <w:rFonts w:asciiTheme="majorBidi" w:hAnsiTheme="majorBidi" w:cstheme="majorBidi"/>
          <w:sz w:val="24"/>
          <w:szCs w:val="24"/>
          <w:lang w:val="en-US"/>
        </w:rPr>
        <w:t>For this analysis, a</w:t>
      </w:r>
      <w:r w:rsidR="00F304E8" w:rsidRPr="00516108">
        <w:rPr>
          <w:rFonts w:asciiTheme="majorBidi" w:hAnsiTheme="majorBidi" w:cstheme="majorBidi"/>
          <w:sz w:val="24"/>
          <w:szCs w:val="24"/>
          <w:lang w:val="en-US"/>
        </w:rPr>
        <w:t xml:space="preserve">ge, </w:t>
      </w:r>
      <w:r w:rsidR="007B6BB3" w:rsidRPr="00516108">
        <w:rPr>
          <w:rFonts w:asciiTheme="majorBidi" w:hAnsiTheme="majorBidi" w:cstheme="majorBidi"/>
          <w:sz w:val="24"/>
          <w:szCs w:val="24"/>
          <w:lang w:val="en-US"/>
        </w:rPr>
        <w:t xml:space="preserve">gender, </w:t>
      </w:r>
      <w:r w:rsidR="00F304E8" w:rsidRPr="00516108">
        <w:rPr>
          <w:rFonts w:asciiTheme="majorBidi" w:hAnsiTheme="majorBidi" w:cstheme="majorBidi"/>
          <w:sz w:val="24"/>
          <w:szCs w:val="24"/>
          <w:lang w:val="en-US"/>
        </w:rPr>
        <w:t xml:space="preserve">risk perceptions, and expected benefits were included as predictors in </w:t>
      </w:r>
      <w:r w:rsidR="00D13180" w:rsidRPr="00516108">
        <w:rPr>
          <w:rFonts w:asciiTheme="majorBidi" w:hAnsiTheme="majorBidi" w:cstheme="majorBidi"/>
          <w:sz w:val="24"/>
          <w:szCs w:val="24"/>
          <w:lang w:val="en-US"/>
        </w:rPr>
        <w:t xml:space="preserve">a </w:t>
      </w:r>
      <w:r w:rsidR="00F304E8" w:rsidRPr="00516108">
        <w:rPr>
          <w:rFonts w:asciiTheme="majorBidi" w:hAnsiTheme="majorBidi" w:cstheme="majorBidi"/>
          <w:sz w:val="24"/>
          <w:szCs w:val="24"/>
          <w:lang w:val="en-US"/>
        </w:rPr>
        <w:t>first block. Two-way interaction terms between each of the predictors were included in a second block to test for moderating effects of age</w:t>
      </w:r>
      <w:r w:rsidR="007B6BB3" w:rsidRPr="00516108">
        <w:rPr>
          <w:rFonts w:asciiTheme="majorBidi" w:hAnsiTheme="majorBidi" w:cstheme="majorBidi"/>
          <w:sz w:val="24"/>
          <w:szCs w:val="24"/>
          <w:lang w:val="en-US"/>
        </w:rPr>
        <w:t xml:space="preserve"> and gender</w:t>
      </w:r>
      <w:r w:rsidR="00F304E8" w:rsidRPr="00516108">
        <w:rPr>
          <w:rFonts w:asciiTheme="majorBidi" w:hAnsiTheme="majorBidi" w:cstheme="majorBidi"/>
          <w:sz w:val="24"/>
          <w:szCs w:val="24"/>
          <w:lang w:val="en-US"/>
        </w:rPr>
        <w:t xml:space="preserve">. </w:t>
      </w:r>
    </w:p>
    <w:p w14:paraId="6695FFDC" w14:textId="0CE04DC2" w:rsidR="00F16EDD" w:rsidRPr="00384B45" w:rsidRDefault="000123C9" w:rsidP="0004797A">
      <w:pPr>
        <w:spacing w:after="0" w:line="480" w:lineRule="auto"/>
        <w:ind w:firstLine="720"/>
        <w:rPr>
          <w:rFonts w:asciiTheme="majorBidi" w:hAnsiTheme="majorBidi" w:cstheme="majorBidi"/>
          <w:sz w:val="24"/>
          <w:szCs w:val="24"/>
          <w:lang w:val="en-US"/>
        </w:rPr>
      </w:pPr>
      <w:r w:rsidRPr="00384B45">
        <w:rPr>
          <w:rFonts w:asciiTheme="majorBidi" w:hAnsiTheme="majorBidi" w:cstheme="majorBidi"/>
          <w:sz w:val="24"/>
          <w:szCs w:val="24"/>
          <w:lang w:val="en-US"/>
        </w:rPr>
        <w:t>W</w:t>
      </w:r>
      <w:r w:rsidR="00A25FCA" w:rsidRPr="00384B45">
        <w:rPr>
          <w:rFonts w:asciiTheme="majorBidi" w:hAnsiTheme="majorBidi" w:cstheme="majorBidi"/>
          <w:sz w:val="24"/>
          <w:szCs w:val="24"/>
          <w:lang w:val="en-US"/>
        </w:rPr>
        <w:t xml:space="preserve">e probed fine-grained aspects of age trends in active and passive risk taking, risk perception, and expected benefits by calculating mean ratings for a moving 10-year period across the entire age range. </w:t>
      </w:r>
      <w:r w:rsidRPr="00384B45">
        <w:rPr>
          <w:rFonts w:asciiTheme="majorBidi" w:hAnsiTheme="majorBidi" w:cstheme="majorBidi"/>
          <w:sz w:val="24"/>
          <w:szCs w:val="24"/>
          <w:lang w:val="en-US"/>
        </w:rPr>
        <w:t xml:space="preserve">The </w:t>
      </w:r>
      <w:r w:rsidR="00A25FCA" w:rsidRPr="00384B45">
        <w:rPr>
          <w:rFonts w:asciiTheme="majorBidi" w:hAnsiTheme="majorBidi" w:cstheme="majorBidi"/>
          <w:sz w:val="24"/>
          <w:szCs w:val="24"/>
          <w:lang w:val="en-US"/>
        </w:rPr>
        <w:t xml:space="preserve">first period </w:t>
      </w:r>
      <w:r w:rsidRPr="00384B45">
        <w:rPr>
          <w:rFonts w:asciiTheme="majorBidi" w:hAnsiTheme="majorBidi" w:cstheme="majorBidi"/>
          <w:sz w:val="24"/>
          <w:szCs w:val="24"/>
          <w:lang w:val="en-US"/>
        </w:rPr>
        <w:t xml:space="preserve">in our analysis produced the mean scores for </w:t>
      </w:r>
      <w:r w:rsidR="00A25FCA" w:rsidRPr="00384B45">
        <w:rPr>
          <w:rFonts w:asciiTheme="majorBidi" w:hAnsiTheme="majorBidi" w:cstheme="majorBidi"/>
          <w:sz w:val="24"/>
          <w:szCs w:val="24"/>
          <w:lang w:val="en-US"/>
        </w:rPr>
        <w:t>individuals in the 20–</w:t>
      </w:r>
      <w:r w:rsidRPr="00384B45">
        <w:rPr>
          <w:rFonts w:asciiTheme="majorBidi" w:hAnsiTheme="majorBidi" w:cstheme="majorBidi"/>
          <w:sz w:val="24"/>
          <w:szCs w:val="24"/>
          <w:lang w:val="en-US"/>
        </w:rPr>
        <w:t>29 year</w:t>
      </w:r>
      <w:r w:rsidR="00A25FCA" w:rsidRPr="00384B45">
        <w:rPr>
          <w:rFonts w:asciiTheme="majorBidi" w:hAnsiTheme="majorBidi" w:cstheme="majorBidi"/>
          <w:sz w:val="24"/>
          <w:szCs w:val="24"/>
          <w:lang w:val="en-US"/>
        </w:rPr>
        <w:t xml:space="preserve"> age </w:t>
      </w:r>
      <w:r w:rsidRPr="00384B45">
        <w:rPr>
          <w:rFonts w:asciiTheme="majorBidi" w:hAnsiTheme="majorBidi" w:cstheme="majorBidi"/>
          <w:sz w:val="24"/>
          <w:szCs w:val="24"/>
          <w:lang w:val="en-US"/>
        </w:rPr>
        <w:t>range. The second period shifted by 1-year to include individuals in the 21–30 year age range. Each consecutive period shifted by 1-year intervals (i.e.,</w:t>
      </w:r>
      <w:r w:rsidR="00A25FCA" w:rsidRPr="00384B45">
        <w:rPr>
          <w:rFonts w:asciiTheme="majorBidi" w:hAnsiTheme="majorBidi" w:cstheme="majorBidi"/>
          <w:sz w:val="24"/>
          <w:szCs w:val="24"/>
          <w:lang w:val="en-US"/>
        </w:rPr>
        <w:t xml:space="preserve"> 2</w:t>
      </w:r>
      <w:r w:rsidRPr="00384B45">
        <w:rPr>
          <w:rFonts w:asciiTheme="majorBidi" w:hAnsiTheme="majorBidi" w:cstheme="majorBidi"/>
          <w:sz w:val="24"/>
          <w:szCs w:val="24"/>
          <w:lang w:val="en-US"/>
        </w:rPr>
        <w:t>2</w:t>
      </w:r>
      <w:r w:rsidR="00A25FCA" w:rsidRPr="00384B45">
        <w:rPr>
          <w:rFonts w:asciiTheme="majorBidi" w:hAnsiTheme="majorBidi" w:cstheme="majorBidi"/>
          <w:sz w:val="24"/>
          <w:szCs w:val="24"/>
          <w:lang w:val="en-US"/>
        </w:rPr>
        <w:t>–3</w:t>
      </w:r>
      <w:r w:rsidRPr="00384B45">
        <w:rPr>
          <w:rFonts w:asciiTheme="majorBidi" w:hAnsiTheme="majorBidi" w:cstheme="majorBidi"/>
          <w:sz w:val="24"/>
          <w:szCs w:val="24"/>
          <w:lang w:val="en-US"/>
        </w:rPr>
        <w:t>1</w:t>
      </w:r>
      <w:r w:rsidR="00A25FCA" w:rsidRPr="00384B45">
        <w:rPr>
          <w:rFonts w:asciiTheme="majorBidi" w:hAnsiTheme="majorBidi" w:cstheme="majorBidi"/>
          <w:sz w:val="24"/>
          <w:szCs w:val="24"/>
          <w:lang w:val="en-US"/>
        </w:rPr>
        <w:t>, 2</w:t>
      </w:r>
      <w:r w:rsidRPr="00384B45">
        <w:rPr>
          <w:rFonts w:asciiTheme="majorBidi" w:hAnsiTheme="majorBidi" w:cstheme="majorBidi"/>
          <w:sz w:val="24"/>
          <w:szCs w:val="24"/>
          <w:lang w:val="en-US"/>
        </w:rPr>
        <w:t>3</w:t>
      </w:r>
      <w:r w:rsidR="00A25FCA" w:rsidRPr="00384B45">
        <w:rPr>
          <w:rFonts w:asciiTheme="majorBidi" w:hAnsiTheme="majorBidi" w:cstheme="majorBidi"/>
          <w:sz w:val="24"/>
          <w:szCs w:val="24"/>
          <w:lang w:val="en-US"/>
        </w:rPr>
        <w:t>–3</w:t>
      </w:r>
      <w:r w:rsidRPr="00384B45">
        <w:rPr>
          <w:rFonts w:asciiTheme="majorBidi" w:hAnsiTheme="majorBidi" w:cstheme="majorBidi"/>
          <w:sz w:val="24"/>
          <w:szCs w:val="24"/>
          <w:lang w:val="en-US"/>
        </w:rPr>
        <w:t>2</w:t>
      </w:r>
      <w:r w:rsidR="00A25FCA" w:rsidRPr="00384B45">
        <w:rPr>
          <w:rFonts w:asciiTheme="majorBidi" w:hAnsiTheme="majorBidi" w:cstheme="majorBidi"/>
          <w:sz w:val="24"/>
          <w:szCs w:val="24"/>
          <w:lang w:val="en-US"/>
        </w:rPr>
        <w:t>, and so on) until age 68–77 years</w:t>
      </w:r>
      <w:r w:rsidRPr="00384B45">
        <w:rPr>
          <w:rFonts w:asciiTheme="majorBidi" w:hAnsiTheme="majorBidi" w:cstheme="majorBidi"/>
          <w:sz w:val="24"/>
          <w:szCs w:val="24"/>
          <w:lang w:val="en-US"/>
        </w:rPr>
        <w:t>. This approach has been used to capture subtle trends in data</w:t>
      </w:r>
      <w:r w:rsidR="00A6603D" w:rsidRPr="00384B45">
        <w:rPr>
          <w:rFonts w:asciiTheme="majorBidi" w:hAnsiTheme="majorBidi" w:cstheme="majorBidi"/>
          <w:sz w:val="24"/>
          <w:szCs w:val="24"/>
          <w:lang w:val="en-US"/>
        </w:rPr>
        <w:t xml:space="preserve"> that can be missed by a single regression model</w:t>
      </w:r>
      <w:r w:rsidRPr="00384B45">
        <w:rPr>
          <w:rFonts w:asciiTheme="majorBidi" w:hAnsiTheme="majorBidi" w:cstheme="majorBidi"/>
          <w:sz w:val="24"/>
          <w:szCs w:val="24"/>
          <w:vertAlign w:val="superscript"/>
          <w:lang w:val="en-US"/>
        </w:rPr>
        <w:t>(</w:t>
      </w:r>
      <w:r w:rsidR="00FF3826">
        <w:rPr>
          <w:rFonts w:asciiTheme="majorBidi" w:hAnsiTheme="majorBidi" w:cstheme="majorBidi"/>
          <w:sz w:val="24"/>
          <w:szCs w:val="24"/>
          <w:vertAlign w:val="superscript"/>
          <w:lang w:val="en-US"/>
        </w:rPr>
        <w:t>4</w:t>
      </w:r>
      <w:r w:rsidR="0004797A">
        <w:rPr>
          <w:rFonts w:asciiTheme="majorBidi" w:hAnsiTheme="majorBidi" w:cstheme="majorBidi"/>
          <w:sz w:val="24"/>
          <w:szCs w:val="24"/>
          <w:vertAlign w:val="superscript"/>
          <w:lang w:val="en-US"/>
        </w:rPr>
        <w:t>4</w:t>
      </w:r>
      <w:r w:rsidRPr="00384B45">
        <w:rPr>
          <w:rFonts w:asciiTheme="majorBidi" w:hAnsiTheme="majorBidi" w:cstheme="majorBidi"/>
          <w:sz w:val="24"/>
          <w:szCs w:val="24"/>
          <w:vertAlign w:val="superscript"/>
          <w:lang w:val="en-US"/>
        </w:rPr>
        <w:t>)</w:t>
      </w:r>
      <w:r w:rsidR="00A6603D" w:rsidRPr="00384B45">
        <w:rPr>
          <w:rFonts w:asciiTheme="majorBidi" w:hAnsiTheme="majorBidi" w:cstheme="majorBidi"/>
          <w:sz w:val="24"/>
          <w:szCs w:val="24"/>
          <w:lang w:val="en-US"/>
        </w:rPr>
        <w:t>.</w:t>
      </w:r>
      <w:r w:rsidR="00F16EDD" w:rsidRPr="00384B45">
        <w:rPr>
          <w:rFonts w:asciiTheme="majorBidi" w:hAnsiTheme="majorBidi" w:cstheme="majorBidi"/>
          <w:sz w:val="24"/>
          <w:szCs w:val="24"/>
          <w:lang w:val="en-US"/>
        </w:rPr>
        <w:t xml:space="preserve"> </w:t>
      </w:r>
      <w:r w:rsidR="002265AE" w:rsidRPr="0004797A">
        <w:rPr>
          <w:rFonts w:asciiTheme="majorBidi" w:hAnsiTheme="majorBidi" w:cstheme="majorBidi"/>
          <w:sz w:val="24"/>
          <w:szCs w:val="24"/>
          <w:lang w:val="en-US"/>
        </w:rPr>
        <w:t>The smaller the period</w:t>
      </w:r>
      <w:r w:rsidR="00423DFA" w:rsidRPr="0004797A">
        <w:rPr>
          <w:rFonts w:asciiTheme="majorBidi" w:hAnsiTheme="majorBidi" w:cstheme="majorBidi"/>
          <w:sz w:val="24"/>
          <w:szCs w:val="24"/>
          <w:lang w:val="en-US"/>
        </w:rPr>
        <w:t xml:space="preserve"> (e.g., 20–29 vs. 20–49) the smaller the overlap across consecutive periods and </w:t>
      </w:r>
      <w:r w:rsidR="002265AE" w:rsidRPr="0004797A">
        <w:rPr>
          <w:rFonts w:asciiTheme="majorBidi" w:hAnsiTheme="majorBidi" w:cstheme="majorBidi"/>
          <w:sz w:val="24"/>
          <w:szCs w:val="24"/>
          <w:lang w:val="en-US"/>
        </w:rPr>
        <w:t xml:space="preserve">so </w:t>
      </w:r>
      <w:r w:rsidR="00423DFA" w:rsidRPr="0004797A">
        <w:rPr>
          <w:rFonts w:asciiTheme="majorBidi" w:hAnsiTheme="majorBidi" w:cstheme="majorBidi"/>
          <w:sz w:val="24"/>
          <w:szCs w:val="24"/>
          <w:lang w:val="en-US"/>
        </w:rPr>
        <w:t xml:space="preserve">the greater the detection of subtle age </w:t>
      </w:r>
      <w:r w:rsidR="002265AE" w:rsidRPr="0004797A">
        <w:rPr>
          <w:rFonts w:asciiTheme="majorBidi" w:hAnsiTheme="majorBidi" w:cstheme="majorBidi"/>
          <w:sz w:val="24"/>
          <w:szCs w:val="24"/>
          <w:lang w:val="en-US"/>
        </w:rPr>
        <w:t xml:space="preserve">trends. We struck a balance between the size of the period and its sample size, ensuring that the smallest sample contained no fewer than 34 participants </w:t>
      </w:r>
      <w:r w:rsidR="00F16EDD" w:rsidRPr="0004797A">
        <w:rPr>
          <w:rFonts w:asciiTheme="majorBidi" w:hAnsiTheme="majorBidi" w:cstheme="majorBidi"/>
          <w:sz w:val="24"/>
          <w:szCs w:val="24"/>
          <w:lang w:val="en-US"/>
        </w:rPr>
        <w:t xml:space="preserve">(min = 34, max = 95, </w:t>
      </w:r>
      <w:r w:rsidR="00F16EDD" w:rsidRPr="0004797A">
        <w:rPr>
          <w:rFonts w:asciiTheme="majorBidi" w:hAnsiTheme="majorBidi" w:cstheme="majorBidi"/>
          <w:i/>
          <w:sz w:val="24"/>
          <w:szCs w:val="24"/>
          <w:lang w:val="en-US"/>
        </w:rPr>
        <w:t>M</w:t>
      </w:r>
      <w:r w:rsidR="00F16EDD" w:rsidRPr="0004797A">
        <w:rPr>
          <w:rFonts w:asciiTheme="majorBidi" w:hAnsiTheme="majorBidi" w:cstheme="majorBidi"/>
          <w:sz w:val="24"/>
          <w:szCs w:val="24"/>
          <w:lang w:val="en-US"/>
        </w:rPr>
        <w:t xml:space="preserve"> = 54.63; </w:t>
      </w:r>
      <w:r w:rsidR="00F16EDD" w:rsidRPr="0004797A">
        <w:rPr>
          <w:rFonts w:asciiTheme="majorBidi" w:hAnsiTheme="majorBidi" w:cstheme="majorBidi"/>
          <w:i/>
          <w:sz w:val="24"/>
          <w:szCs w:val="24"/>
          <w:lang w:val="en-US"/>
        </w:rPr>
        <w:t>SD</w:t>
      </w:r>
      <w:r w:rsidR="002265AE" w:rsidRPr="0004797A">
        <w:rPr>
          <w:rFonts w:asciiTheme="majorBidi" w:hAnsiTheme="majorBidi" w:cstheme="majorBidi"/>
          <w:sz w:val="24"/>
          <w:szCs w:val="24"/>
          <w:lang w:val="en-US"/>
        </w:rPr>
        <w:t xml:space="preserve"> = 17.20)</w:t>
      </w:r>
      <w:r w:rsidR="00F16EDD" w:rsidRPr="0004797A">
        <w:rPr>
          <w:rFonts w:asciiTheme="majorBidi" w:hAnsiTheme="majorBidi" w:cstheme="majorBidi"/>
          <w:sz w:val="24"/>
          <w:szCs w:val="24"/>
          <w:lang w:val="en-US"/>
        </w:rPr>
        <w:t>.</w:t>
      </w:r>
    </w:p>
    <w:p w14:paraId="3FA58E4F" w14:textId="316D1146" w:rsidR="004A1AD3" w:rsidRPr="00384B45" w:rsidRDefault="00F16EDD" w:rsidP="004A1AD3">
      <w:pPr>
        <w:spacing w:after="0" w:line="480" w:lineRule="auto"/>
        <w:ind w:firstLine="720"/>
        <w:rPr>
          <w:rFonts w:asciiTheme="majorBidi" w:hAnsiTheme="majorBidi" w:cstheme="majorBidi"/>
          <w:sz w:val="24"/>
          <w:szCs w:val="24"/>
          <w:lang w:val="en-US"/>
        </w:rPr>
      </w:pPr>
      <w:r w:rsidRPr="00384B45">
        <w:rPr>
          <w:rFonts w:asciiTheme="majorBidi" w:hAnsiTheme="majorBidi" w:cstheme="majorBidi"/>
          <w:sz w:val="24"/>
          <w:szCs w:val="24"/>
          <w:lang w:val="en-US"/>
        </w:rPr>
        <w:t xml:space="preserve">We </w:t>
      </w:r>
      <w:r w:rsidR="007A299C" w:rsidRPr="00384B45">
        <w:rPr>
          <w:rFonts w:asciiTheme="majorBidi" w:hAnsiTheme="majorBidi" w:cstheme="majorBidi"/>
          <w:sz w:val="24"/>
          <w:szCs w:val="24"/>
          <w:lang w:val="en-US"/>
        </w:rPr>
        <w:t>used a rolling regression model to probe fine</w:t>
      </w:r>
      <w:r w:rsidR="00A25FCA" w:rsidRPr="00384B45">
        <w:rPr>
          <w:rFonts w:asciiTheme="majorBidi" w:hAnsiTheme="majorBidi" w:cstheme="majorBidi"/>
          <w:sz w:val="24"/>
          <w:szCs w:val="24"/>
          <w:lang w:val="en-US"/>
        </w:rPr>
        <w:t xml:space="preserve">-grained aspects </w:t>
      </w:r>
      <w:r w:rsidR="004A1AD3" w:rsidRPr="00384B45">
        <w:rPr>
          <w:rFonts w:asciiTheme="majorBidi" w:hAnsiTheme="majorBidi" w:cstheme="majorBidi"/>
          <w:sz w:val="24"/>
          <w:szCs w:val="24"/>
          <w:lang w:val="en-US"/>
        </w:rPr>
        <w:t xml:space="preserve">in </w:t>
      </w:r>
      <w:r w:rsidR="00A25FCA" w:rsidRPr="00384B45">
        <w:rPr>
          <w:rFonts w:asciiTheme="majorBidi" w:hAnsiTheme="majorBidi" w:cstheme="majorBidi"/>
          <w:sz w:val="24"/>
          <w:szCs w:val="24"/>
          <w:lang w:val="en-US"/>
        </w:rPr>
        <w:t>the effects of risk perceptions and expected benefits on risk taking</w:t>
      </w:r>
      <w:r w:rsidR="007A299C" w:rsidRPr="00384B45">
        <w:rPr>
          <w:rFonts w:asciiTheme="majorBidi" w:hAnsiTheme="majorBidi" w:cstheme="majorBidi"/>
          <w:sz w:val="24"/>
          <w:szCs w:val="24"/>
          <w:lang w:val="en-US"/>
        </w:rPr>
        <w:t xml:space="preserve">. </w:t>
      </w:r>
      <w:r w:rsidR="004A1AD3" w:rsidRPr="00384B45">
        <w:rPr>
          <w:rFonts w:asciiTheme="majorBidi" w:hAnsiTheme="majorBidi" w:cstheme="majorBidi"/>
          <w:sz w:val="24"/>
          <w:szCs w:val="24"/>
          <w:lang w:val="en-US"/>
        </w:rPr>
        <w:t>We employed the same age periods used to probe age differences in mean scores. The first regression model on risk taking, which included risk perceptions and expected benefits as predictors, was computed for the 20–29 year age range.</w:t>
      </w:r>
      <w:r w:rsidR="00BB5169" w:rsidRPr="00384B45">
        <w:rPr>
          <w:rFonts w:asciiTheme="majorBidi" w:hAnsiTheme="majorBidi" w:cstheme="majorBidi"/>
          <w:sz w:val="24"/>
          <w:szCs w:val="24"/>
          <w:lang w:val="en-US"/>
        </w:rPr>
        <w:t xml:space="preserve"> </w:t>
      </w:r>
      <w:r w:rsidR="004A1AD3" w:rsidRPr="00384B45">
        <w:rPr>
          <w:rFonts w:asciiTheme="majorBidi" w:hAnsiTheme="majorBidi" w:cstheme="majorBidi"/>
          <w:sz w:val="24"/>
          <w:szCs w:val="24"/>
          <w:lang w:val="en-US"/>
        </w:rPr>
        <w:t xml:space="preserve"> The second regression model was conducted on the 21–30 year age range</w:t>
      </w:r>
      <w:r w:rsidR="00060683">
        <w:rPr>
          <w:rFonts w:asciiTheme="majorBidi" w:hAnsiTheme="majorBidi" w:cstheme="majorBidi"/>
          <w:sz w:val="24"/>
          <w:szCs w:val="24"/>
          <w:lang w:val="en-US"/>
        </w:rPr>
        <w:t>, the third model on the 22 – 31 year age range, the fourth on the 23-32 year age range, the fifth on the 24-33 year age range,</w:t>
      </w:r>
      <w:r w:rsidR="004A1AD3" w:rsidRPr="00384B45">
        <w:rPr>
          <w:rFonts w:asciiTheme="majorBidi" w:hAnsiTheme="majorBidi" w:cstheme="majorBidi"/>
          <w:sz w:val="24"/>
          <w:szCs w:val="24"/>
          <w:lang w:val="en-US"/>
        </w:rPr>
        <w:t xml:space="preserve"> and so on. Hence, the regression model </w:t>
      </w:r>
      <w:r w:rsidR="00BA6F50">
        <w:rPr>
          <w:rFonts w:asciiTheme="majorBidi" w:hAnsiTheme="majorBidi" w:cstheme="majorBidi"/>
          <w:sz w:val="24"/>
          <w:szCs w:val="24"/>
          <w:lang w:val="en-US"/>
        </w:rPr>
        <w:t>‘</w:t>
      </w:r>
      <w:r w:rsidR="004A1AD3" w:rsidRPr="00384B45">
        <w:rPr>
          <w:rFonts w:asciiTheme="majorBidi" w:hAnsiTheme="majorBidi" w:cstheme="majorBidi"/>
          <w:sz w:val="24"/>
          <w:szCs w:val="24"/>
          <w:lang w:val="en-US"/>
        </w:rPr>
        <w:t>rolled</w:t>
      </w:r>
      <w:r w:rsidR="00BA6F50">
        <w:rPr>
          <w:rFonts w:asciiTheme="majorBidi" w:hAnsiTheme="majorBidi" w:cstheme="majorBidi"/>
          <w:sz w:val="24"/>
          <w:szCs w:val="24"/>
          <w:lang w:val="en-US"/>
        </w:rPr>
        <w:t>’</w:t>
      </w:r>
      <w:r w:rsidR="004A1AD3" w:rsidRPr="00384B45">
        <w:rPr>
          <w:rFonts w:asciiTheme="majorBidi" w:hAnsiTheme="majorBidi" w:cstheme="majorBidi"/>
          <w:sz w:val="24"/>
          <w:szCs w:val="24"/>
          <w:lang w:val="en-US"/>
        </w:rPr>
        <w:t xml:space="preserve"> across the age periods from youngest to oldest</w:t>
      </w:r>
      <w:r w:rsidR="00060683">
        <w:rPr>
          <w:rFonts w:asciiTheme="majorBidi" w:hAnsiTheme="majorBidi" w:cstheme="majorBidi"/>
          <w:sz w:val="24"/>
          <w:szCs w:val="24"/>
          <w:lang w:val="en-US"/>
        </w:rPr>
        <w:t xml:space="preserve">, allowing </w:t>
      </w:r>
      <w:r w:rsidR="00BA6F50">
        <w:rPr>
          <w:rFonts w:asciiTheme="majorBidi" w:hAnsiTheme="majorBidi" w:cstheme="majorBidi"/>
          <w:sz w:val="24"/>
          <w:szCs w:val="24"/>
          <w:lang w:val="en-US"/>
        </w:rPr>
        <w:t xml:space="preserve">us </w:t>
      </w:r>
      <w:r w:rsidR="00060683">
        <w:rPr>
          <w:rFonts w:asciiTheme="majorBidi" w:hAnsiTheme="majorBidi" w:cstheme="majorBidi"/>
          <w:sz w:val="24"/>
          <w:szCs w:val="24"/>
          <w:lang w:val="en-US"/>
        </w:rPr>
        <w:t>to investigate changes in the regression coefficients across the entire age range under study</w:t>
      </w:r>
      <w:r w:rsidR="004A1AD3" w:rsidRPr="00384B45">
        <w:rPr>
          <w:rFonts w:asciiTheme="majorBidi" w:hAnsiTheme="majorBidi" w:cstheme="majorBidi"/>
          <w:sz w:val="24"/>
          <w:szCs w:val="24"/>
          <w:lang w:val="en-US"/>
        </w:rPr>
        <w:t>.</w:t>
      </w:r>
      <w:r w:rsidR="00930899">
        <w:rPr>
          <w:rFonts w:asciiTheme="majorBidi" w:hAnsiTheme="majorBidi" w:cstheme="majorBidi"/>
          <w:sz w:val="24"/>
          <w:szCs w:val="24"/>
          <w:lang w:val="en-US"/>
        </w:rPr>
        <w:t xml:space="preserve"> Although adjacent age ranges in the rolling regression overlapped considerably, the full sequence of regressions from the youngest to oldest age ranges can reveal subtle fluctuations in behavior across adulthood that might be missed by a single regression model. </w:t>
      </w:r>
    </w:p>
    <w:p w14:paraId="2CA72216" w14:textId="77777777" w:rsidR="00FD4044" w:rsidRDefault="00B821D1" w:rsidP="00FD4044">
      <w:pPr>
        <w:spacing w:after="0" w:line="480" w:lineRule="auto"/>
        <w:ind w:firstLine="720"/>
        <w:rPr>
          <w:rFonts w:asciiTheme="majorBidi" w:hAnsiTheme="majorBidi" w:cstheme="majorBidi"/>
          <w:sz w:val="24"/>
          <w:szCs w:val="24"/>
          <w:lang w:val="en-US"/>
        </w:rPr>
      </w:pPr>
      <w:r w:rsidRPr="00516108">
        <w:rPr>
          <w:rFonts w:asciiTheme="majorBidi" w:hAnsiTheme="majorBidi" w:cstheme="majorBidi"/>
          <w:sz w:val="24"/>
          <w:szCs w:val="24"/>
          <w:lang w:val="en-US"/>
        </w:rPr>
        <w:t xml:space="preserve">A random effects logit model was conducted to </w:t>
      </w:r>
      <w:r w:rsidR="00F304E8" w:rsidRPr="00516108">
        <w:rPr>
          <w:rFonts w:asciiTheme="majorBidi" w:hAnsiTheme="majorBidi" w:cstheme="majorBidi"/>
          <w:sz w:val="24"/>
          <w:szCs w:val="24"/>
          <w:lang w:val="en-US"/>
        </w:rPr>
        <w:t xml:space="preserve">assess participants’ </w:t>
      </w:r>
      <w:r w:rsidR="007D725D">
        <w:rPr>
          <w:rFonts w:asciiTheme="majorBidi" w:hAnsiTheme="majorBidi" w:cstheme="majorBidi"/>
          <w:sz w:val="24"/>
          <w:szCs w:val="24"/>
          <w:lang w:val="en-US"/>
        </w:rPr>
        <w:t>decisions</w:t>
      </w:r>
      <w:r w:rsidR="007D725D" w:rsidRPr="00516108">
        <w:rPr>
          <w:rFonts w:asciiTheme="majorBidi" w:hAnsiTheme="majorBidi" w:cstheme="majorBidi"/>
          <w:sz w:val="24"/>
          <w:szCs w:val="24"/>
          <w:lang w:val="en-US"/>
        </w:rPr>
        <w:t xml:space="preserve"> </w:t>
      </w:r>
      <w:r w:rsidR="00F304E8" w:rsidRPr="00516108">
        <w:rPr>
          <w:rFonts w:asciiTheme="majorBidi" w:hAnsiTheme="majorBidi" w:cstheme="majorBidi"/>
          <w:sz w:val="24"/>
          <w:szCs w:val="24"/>
          <w:lang w:val="en-US"/>
        </w:rPr>
        <w:t>to accept the flu vaccine and chemotherapy trea</w:t>
      </w:r>
      <w:r w:rsidRPr="00516108">
        <w:rPr>
          <w:rFonts w:asciiTheme="majorBidi" w:hAnsiTheme="majorBidi" w:cstheme="majorBidi"/>
          <w:sz w:val="24"/>
          <w:szCs w:val="24"/>
          <w:lang w:val="en-US"/>
        </w:rPr>
        <w:t>tment in the medical scenarios. The random effects approach enabled us to account for the clustering within our data</w:t>
      </w:r>
      <w:r w:rsidR="007D725D">
        <w:rPr>
          <w:rFonts w:asciiTheme="majorBidi" w:hAnsiTheme="majorBidi" w:cstheme="majorBidi"/>
          <w:sz w:val="24"/>
          <w:szCs w:val="24"/>
          <w:lang w:val="en-US"/>
        </w:rPr>
        <w:t>,</w:t>
      </w:r>
      <w:r w:rsidRPr="00516108">
        <w:rPr>
          <w:rFonts w:asciiTheme="majorBidi" w:hAnsiTheme="majorBidi" w:cstheme="majorBidi"/>
          <w:sz w:val="24"/>
          <w:szCs w:val="24"/>
          <w:lang w:val="en-US"/>
        </w:rPr>
        <w:t xml:space="preserve"> as all participants responded to all types of scenarios</w:t>
      </w:r>
      <w:r w:rsidR="00084723" w:rsidRPr="00516108">
        <w:rPr>
          <w:rFonts w:asciiTheme="majorBidi" w:hAnsiTheme="majorBidi" w:cstheme="majorBidi"/>
          <w:sz w:val="24"/>
          <w:szCs w:val="24"/>
          <w:lang w:val="en-US"/>
        </w:rPr>
        <w:t xml:space="preserve"> and question</w:t>
      </w:r>
      <w:r w:rsidR="007D725D">
        <w:rPr>
          <w:rFonts w:asciiTheme="majorBidi" w:hAnsiTheme="majorBidi" w:cstheme="majorBidi"/>
          <w:sz w:val="24"/>
          <w:szCs w:val="24"/>
          <w:lang w:val="en-US"/>
        </w:rPr>
        <w:t>s</w:t>
      </w:r>
      <w:r w:rsidRPr="00516108">
        <w:rPr>
          <w:rFonts w:asciiTheme="majorBidi" w:hAnsiTheme="majorBidi" w:cstheme="majorBidi"/>
          <w:sz w:val="24"/>
          <w:szCs w:val="24"/>
          <w:lang w:val="en-US"/>
        </w:rPr>
        <w:t>. Scenario (chemotherapy vs. flu)</w:t>
      </w:r>
      <w:r w:rsidR="008C1B38">
        <w:rPr>
          <w:rFonts w:asciiTheme="majorBidi" w:hAnsiTheme="majorBidi" w:cstheme="majorBidi"/>
          <w:sz w:val="24"/>
          <w:szCs w:val="24"/>
          <w:lang w:val="en-US"/>
        </w:rPr>
        <w:t>,</w:t>
      </w:r>
      <w:r w:rsidRPr="00516108">
        <w:rPr>
          <w:rFonts w:asciiTheme="majorBidi" w:hAnsiTheme="majorBidi" w:cstheme="majorBidi"/>
          <w:sz w:val="24"/>
          <w:szCs w:val="24"/>
          <w:lang w:val="en-US"/>
        </w:rPr>
        <w:t xml:space="preserve"> question</w:t>
      </w:r>
      <w:r w:rsidR="007D725D">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type (child vs. self), and individual differences in age</w:t>
      </w:r>
      <w:r w:rsidR="00A43F10">
        <w:rPr>
          <w:rFonts w:asciiTheme="majorBidi" w:hAnsiTheme="majorBidi" w:cstheme="majorBidi"/>
          <w:sz w:val="24"/>
          <w:szCs w:val="24"/>
          <w:lang w:val="en-US"/>
        </w:rPr>
        <w:t xml:space="preserve"> and</w:t>
      </w:r>
      <w:r w:rsidRPr="00516108">
        <w:rPr>
          <w:rFonts w:asciiTheme="majorBidi" w:hAnsiTheme="majorBidi" w:cstheme="majorBidi"/>
          <w:sz w:val="24"/>
          <w:szCs w:val="24"/>
          <w:lang w:val="en-US"/>
        </w:rPr>
        <w:t xml:space="preserve"> gender were included </w:t>
      </w:r>
      <w:r w:rsidR="0039758F" w:rsidRPr="00516108">
        <w:rPr>
          <w:rFonts w:asciiTheme="majorBidi" w:hAnsiTheme="majorBidi" w:cstheme="majorBidi"/>
          <w:sz w:val="24"/>
          <w:szCs w:val="24"/>
          <w:lang w:val="en-US"/>
        </w:rPr>
        <w:t xml:space="preserve">in </w:t>
      </w:r>
      <w:r w:rsidRPr="00516108">
        <w:rPr>
          <w:rFonts w:asciiTheme="majorBidi" w:hAnsiTheme="majorBidi" w:cstheme="majorBidi"/>
          <w:sz w:val="24"/>
          <w:szCs w:val="24"/>
          <w:lang w:val="en-US"/>
        </w:rPr>
        <w:t>a first block. In a second block, two</w:t>
      </w:r>
      <w:r w:rsidR="00DB1EC4" w:rsidRPr="00516108">
        <w:rPr>
          <w:rFonts w:asciiTheme="majorBidi" w:hAnsiTheme="majorBidi" w:cstheme="majorBidi"/>
          <w:sz w:val="24"/>
          <w:szCs w:val="24"/>
          <w:lang w:val="en-US"/>
        </w:rPr>
        <w:t>-</w:t>
      </w:r>
      <w:r w:rsidRPr="00516108">
        <w:rPr>
          <w:rFonts w:asciiTheme="majorBidi" w:hAnsiTheme="majorBidi" w:cstheme="majorBidi"/>
          <w:sz w:val="24"/>
          <w:szCs w:val="24"/>
          <w:lang w:val="en-US"/>
        </w:rPr>
        <w:t xml:space="preserve">way interaction terms were included involving </w:t>
      </w:r>
      <w:r w:rsidR="00FD4044">
        <w:rPr>
          <w:rFonts w:asciiTheme="majorBidi" w:hAnsiTheme="majorBidi" w:cstheme="majorBidi"/>
          <w:sz w:val="24"/>
          <w:szCs w:val="24"/>
          <w:lang w:val="en-US"/>
        </w:rPr>
        <w:t>age and gender.</w:t>
      </w:r>
    </w:p>
    <w:p w14:paraId="4F4BA2AD" w14:textId="031362E6" w:rsidR="006C6844" w:rsidRPr="0004797A" w:rsidRDefault="004D4259" w:rsidP="00DC5015">
      <w:pPr>
        <w:spacing w:after="0" w:line="480" w:lineRule="auto"/>
        <w:rPr>
          <w:rFonts w:asciiTheme="majorBidi" w:hAnsiTheme="majorBidi" w:cstheme="majorBidi"/>
          <w:bCs/>
          <w:sz w:val="24"/>
          <w:szCs w:val="24"/>
          <w:lang w:val="en-US"/>
        </w:rPr>
      </w:pPr>
      <w:r w:rsidRPr="0004797A">
        <w:rPr>
          <w:rFonts w:asciiTheme="majorBidi" w:hAnsiTheme="majorBidi" w:cstheme="majorBidi"/>
          <w:bCs/>
          <w:sz w:val="24"/>
          <w:szCs w:val="24"/>
          <w:lang w:val="en-US"/>
        </w:rPr>
        <w:t>3 Results</w:t>
      </w:r>
    </w:p>
    <w:p w14:paraId="221541DF" w14:textId="54ECD8AC" w:rsidR="00972497" w:rsidRPr="0004797A" w:rsidRDefault="00071F8A" w:rsidP="00972497">
      <w:pPr>
        <w:spacing w:after="0" w:line="480" w:lineRule="auto"/>
        <w:rPr>
          <w:rFonts w:asciiTheme="majorBidi" w:hAnsiTheme="majorBidi" w:cstheme="majorBidi"/>
          <w:bCs/>
          <w:sz w:val="24"/>
          <w:szCs w:val="24"/>
          <w:lang w:val="en-US"/>
        </w:rPr>
      </w:pPr>
      <w:r w:rsidRPr="0004797A">
        <w:rPr>
          <w:rFonts w:asciiTheme="majorBidi" w:hAnsiTheme="majorBidi" w:cstheme="majorBidi"/>
          <w:bCs/>
          <w:sz w:val="24"/>
          <w:szCs w:val="24"/>
          <w:lang w:val="en-US"/>
        </w:rPr>
        <w:t xml:space="preserve">3.1 </w:t>
      </w:r>
      <w:r w:rsidR="0094708D" w:rsidRPr="0004797A">
        <w:rPr>
          <w:rFonts w:asciiTheme="majorBidi" w:hAnsiTheme="majorBidi" w:cstheme="majorBidi"/>
          <w:bCs/>
          <w:sz w:val="24"/>
          <w:szCs w:val="24"/>
          <w:lang w:val="en-US"/>
        </w:rPr>
        <w:t>DOSPERT-M and Passive Risk Taking</w:t>
      </w:r>
      <w:r w:rsidR="007D725D" w:rsidRPr="0004797A">
        <w:rPr>
          <w:rFonts w:asciiTheme="majorBidi" w:hAnsiTheme="majorBidi" w:cstheme="majorBidi"/>
          <w:bCs/>
          <w:sz w:val="24"/>
          <w:szCs w:val="24"/>
          <w:lang w:val="en-US"/>
        </w:rPr>
        <w:t xml:space="preserve"> Scale</w:t>
      </w:r>
    </w:p>
    <w:p w14:paraId="619E40FC" w14:textId="364B8F7A" w:rsidR="0038390B" w:rsidRPr="006138CD" w:rsidRDefault="0038390B" w:rsidP="0077324F">
      <w:pPr>
        <w:spacing w:after="0" w:line="480" w:lineRule="auto"/>
        <w:ind w:firstLine="567"/>
        <w:rPr>
          <w:rFonts w:asciiTheme="majorBidi" w:hAnsiTheme="majorBidi" w:cstheme="majorBidi"/>
          <w:b/>
          <w:bCs/>
          <w:sz w:val="24"/>
          <w:szCs w:val="24"/>
          <w:lang w:val="en-US"/>
        </w:rPr>
      </w:pPr>
      <w:r w:rsidRPr="0004797A">
        <w:rPr>
          <w:rFonts w:asciiTheme="majorBidi" w:hAnsiTheme="majorBidi" w:cstheme="majorBidi"/>
          <w:bCs/>
          <w:sz w:val="24"/>
          <w:szCs w:val="24"/>
          <w:lang w:val="en-US"/>
        </w:rPr>
        <w:t xml:space="preserve">Table 1 provides the intercorrelations between the variables. </w:t>
      </w:r>
      <w:r w:rsidR="006A43AA" w:rsidRPr="0004797A">
        <w:rPr>
          <w:rFonts w:asciiTheme="majorBidi" w:hAnsiTheme="majorBidi" w:cstheme="majorBidi"/>
          <w:bCs/>
          <w:sz w:val="24"/>
          <w:szCs w:val="24"/>
          <w:lang w:val="en-US"/>
        </w:rPr>
        <w:t>N</w:t>
      </w:r>
      <w:r w:rsidRPr="0004797A">
        <w:rPr>
          <w:rFonts w:asciiTheme="majorBidi" w:hAnsiTheme="majorBidi" w:cstheme="majorBidi"/>
          <w:bCs/>
          <w:sz w:val="24"/>
          <w:szCs w:val="24"/>
          <w:lang w:val="en-US"/>
        </w:rPr>
        <w:t xml:space="preserve">umeracy </w:t>
      </w:r>
      <w:r w:rsidR="006A43AA" w:rsidRPr="0004797A">
        <w:rPr>
          <w:rFonts w:asciiTheme="majorBidi" w:hAnsiTheme="majorBidi" w:cstheme="majorBidi"/>
          <w:bCs/>
          <w:sz w:val="24"/>
          <w:szCs w:val="24"/>
          <w:lang w:val="en-US"/>
        </w:rPr>
        <w:t xml:space="preserve">correlated </w:t>
      </w:r>
      <w:r w:rsidRPr="0004797A">
        <w:rPr>
          <w:rFonts w:asciiTheme="majorBidi" w:hAnsiTheme="majorBidi" w:cstheme="majorBidi"/>
          <w:bCs/>
          <w:sz w:val="24"/>
          <w:szCs w:val="24"/>
          <w:lang w:val="en-US"/>
        </w:rPr>
        <w:t xml:space="preserve">negatively with risk perception and positively </w:t>
      </w:r>
      <w:r w:rsidR="006A43AA" w:rsidRPr="0004797A">
        <w:rPr>
          <w:rFonts w:asciiTheme="majorBidi" w:hAnsiTheme="majorBidi" w:cstheme="majorBidi"/>
          <w:bCs/>
          <w:sz w:val="24"/>
          <w:szCs w:val="24"/>
          <w:lang w:val="en-US"/>
        </w:rPr>
        <w:t>w</w:t>
      </w:r>
      <w:r w:rsidRPr="0004797A">
        <w:rPr>
          <w:rFonts w:asciiTheme="majorBidi" w:hAnsiTheme="majorBidi" w:cstheme="majorBidi"/>
          <w:bCs/>
          <w:sz w:val="24"/>
          <w:szCs w:val="24"/>
          <w:lang w:val="en-US"/>
        </w:rPr>
        <w:t xml:space="preserve">ith passive risk taking. </w:t>
      </w:r>
      <w:r w:rsidR="006A43AA" w:rsidRPr="0004797A">
        <w:rPr>
          <w:rFonts w:asciiTheme="majorBidi" w:hAnsiTheme="majorBidi" w:cstheme="majorBidi"/>
          <w:bCs/>
          <w:sz w:val="24"/>
          <w:szCs w:val="24"/>
          <w:lang w:val="en-US"/>
        </w:rPr>
        <w:t>Higher perceived risk correlated with lower expected benefits and active risk taking and higher expected benefits correlated with higher active risk taking and lower passive risk taking. Finally, higher active risk taking was associated with lower passive risk taking.</w:t>
      </w:r>
    </w:p>
    <w:p w14:paraId="47607892" w14:textId="5DEBC3AE" w:rsidR="00BF3F90" w:rsidRPr="00384B45" w:rsidRDefault="006A43AA" w:rsidP="0077324F">
      <w:pPr>
        <w:spacing w:after="0" w:line="480" w:lineRule="auto"/>
        <w:ind w:firstLine="567"/>
        <w:rPr>
          <w:rFonts w:asciiTheme="majorBidi" w:hAnsiTheme="majorBidi" w:cstheme="majorBidi"/>
          <w:sz w:val="24"/>
          <w:szCs w:val="24"/>
          <w:lang w:val="en-US"/>
        </w:rPr>
      </w:pPr>
      <w:r>
        <w:rPr>
          <w:rFonts w:asciiTheme="majorBidi" w:hAnsiTheme="majorBidi" w:cstheme="majorBidi"/>
          <w:sz w:val="24"/>
          <w:szCs w:val="24"/>
          <w:lang w:val="en-US"/>
        </w:rPr>
        <w:t>Our regression analysis revealed that a</w:t>
      </w:r>
      <w:r w:rsidR="0077324F" w:rsidRPr="00516108">
        <w:rPr>
          <w:rFonts w:asciiTheme="majorBidi" w:hAnsiTheme="majorBidi" w:cstheme="majorBidi"/>
          <w:sz w:val="24"/>
          <w:szCs w:val="24"/>
          <w:lang w:val="en-US"/>
        </w:rPr>
        <w:t>ge was associated with less passive risk</w:t>
      </w:r>
      <w:r w:rsidR="0077324F">
        <w:rPr>
          <w:rFonts w:asciiTheme="majorBidi" w:hAnsiTheme="majorBidi" w:cstheme="majorBidi"/>
          <w:sz w:val="24"/>
          <w:szCs w:val="24"/>
          <w:lang w:val="en-US"/>
        </w:rPr>
        <w:t xml:space="preserve"> </w:t>
      </w:r>
      <w:r w:rsidR="0077324F" w:rsidRPr="00516108">
        <w:rPr>
          <w:rFonts w:asciiTheme="majorBidi" w:hAnsiTheme="majorBidi" w:cstheme="majorBidi"/>
          <w:sz w:val="24"/>
          <w:szCs w:val="24"/>
          <w:lang w:val="en-US"/>
        </w:rPr>
        <w:t xml:space="preserve">taking (linear, </w:t>
      </w:r>
      <w:r w:rsidR="0077324F" w:rsidRPr="00D90275">
        <w:rPr>
          <w:rFonts w:asciiTheme="majorBidi" w:hAnsiTheme="majorBidi" w:cstheme="majorBidi"/>
          <w:sz w:val="24"/>
          <w:szCs w:val="24"/>
          <w:lang w:val="en-US"/>
        </w:rPr>
        <w:t>β</w:t>
      </w:r>
      <w:r w:rsidR="0077324F" w:rsidRPr="00516108">
        <w:rPr>
          <w:rFonts w:asciiTheme="majorBidi" w:hAnsiTheme="majorBidi" w:cstheme="majorBidi"/>
          <w:sz w:val="24"/>
          <w:szCs w:val="24"/>
          <w:lang w:val="en-US"/>
        </w:rPr>
        <w:t xml:space="preserve"> = -.12, </w:t>
      </w:r>
      <w:r w:rsidR="0077324F" w:rsidRPr="00516108">
        <w:rPr>
          <w:rFonts w:asciiTheme="majorBidi" w:hAnsiTheme="majorBidi" w:cstheme="majorBidi"/>
          <w:i/>
          <w:sz w:val="24"/>
          <w:szCs w:val="24"/>
          <w:lang w:val="en-US"/>
        </w:rPr>
        <w:t xml:space="preserve">p </w:t>
      </w:r>
      <w:r w:rsidR="0077324F" w:rsidRPr="00516108">
        <w:rPr>
          <w:rFonts w:asciiTheme="majorBidi" w:hAnsiTheme="majorBidi" w:cstheme="majorBidi"/>
          <w:sz w:val="24"/>
          <w:szCs w:val="24"/>
          <w:lang w:val="en-US"/>
        </w:rPr>
        <w:t xml:space="preserve">= .04; quadratic, β = -.13, </w:t>
      </w:r>
      <w:r w:rsidR="0077324F" w:rsidRPr="00516108">
        <w:rPr>
          <w:rFonts w:asciiTheme="majorBidi" w:hAnsiTheme="majorBidi" w:cstheme="majorBidi"/>
          <w:i/>
          <w:sz w:val="24"/>
          <w:szCs w:val="24"/>
          <w:lang w:val="en-US"/>
        </w:rPr>
        <w:t xml:space="preserve">p </w:t>
      </w:r>
      <w:r w:rsidR="0077324F" w:rsidRPr="00516108">
        <w:rPr>
          <w:rFonts w:asciiTheme="majorBidi" w:hAnsiTheme="majorBidi" w:cstheme="majorBidi"/>
          <w:sz w:val="24"/>
          <w:szCs w:val="24"/>
          <w:lang w:val="en-US"/>
        </w:rPr>
        <w:t>= .746) but not active risk</w:t>
      </w:r>
      <w:r w:rsidR="0077324F">
        <w:rPr>
          <w:rFonts w:asciiTheme="majorBidi" w:hAnsiTheme="majorBidi" w:cstheme="majorBidi"/>
          <w:sz w:val="24"/>
          <w:szCs w:val="24"/>
          <w:lang w:val="en-US"/>
        </w:rPr>
        <w:t xml:space="preserve"> </w:t>
      </w:r>
      <w:r w:rsidR="0077324F" w:rsidRPr="00516108">
        <w:rPr>
          <w:rFonts w:asciiTheme="majorBidi" w:hAnsiTheme="majorBidi" w:cstheme="majorBidi"/>
          <w:sz w:val="24"/>
          <w:szCs w:val="24"/>
          <w:lang w:val="en-US"/>
        </w:rPr>
        <w:t xml:space="preserve">taking (linear, β = -.04, </w:t>
      </w:r>
      <w:r w:rsidR="0077324F" w:rsidRPr="00516108">
        <w:rPr>
          <w:rFonts w:asciiTheme="majorBidi" w:hAnsiTheme="majorBidi" w:cstheme="majorBidi"/>
          <w:i/>
          <w:sz w:val="24"/>
          <w:szCs w:val="24"/>
          <w:lang w:val="en-US"/>
        </w:rPr>
        <w:t xml:space="preserve">p </w:t>
      </w:r>
      <w:r w:rsidR="0077324F" w:rsidRPr="00516108">
        <w:rPr>
          <w:rFonts w:asciiTheme="majorBidi" w:hAnsiTheme="majorBidi" w:cstheme="majorBidi"/>
          <w:sz w:val="24"/>
          <w:szCs w:val="24"/>
          <w:lang w:val="en-US"/>
        </w:rPr>
        <w:t xml:space="preserve">= .50; quadratic, β = .18, </w:t>
      </w:r>
      <w:r w:rsidR="0077324F" w:rsidRPr="00516108">
        <w:rPr>
          <w:rFonts w:asciiTheme="majorBidi" w:hAnsiTheme="majorBidi" w:cstheme="majorBidi"/>
          <w:i/>
          <w:sz w:val="24"/>
          <w:szCs w:val="24"/>
          <w:lang w:val="en-US"/>
        </w:rPr>
        <w:t xml:space="preserve">p </w:t>
      </w:r>
      <w:r w:rsidR="0077324F" w:rsidRPr="00516108">
        <w:rPr>
          <w:rFonts w:asciiTheme="majorBidi" w:hAnsiTheme="majorBidi" w:cstheme="majorBidi"/>
          <w:sz w:val="24"/>
          <w:szCs w:val="24"/>
          <w:lang w:val="en-US"/>
        </w:rPr>
        <w:t xml:space="preserve">= .65), risk perception (linear, β = -.05, </w:t>
      </w:r>
      <w:r w:rsidR="0077324F" w:rsidRPr="00516108">
        <w:rPr>
          <w:rFonts w:asciiTheme="majorBidi" w:hAnsiTheme="majorBidi" w:cstheme="majorBidi"/>
          <w:i/>
          <w:sz w:val="24"/>
          <w:szCs w:val="24"/>
          <w:lang w:val="en-US"/>
        </w:rPr>
        <w:t xml:space="preserve">p </w:t>
      </w:r>
      <w:r w:rsidR="0077324F" w:rsidRPr="00516108">
        <w:rPr>
          <w:rFonts w:asciiTheme="majorBidi" w:hAnsiTheme="majorBidi" w:cstheme="majorBidi"/>
          <w:sz w:val="24"/>
          <w:szCs w:val="24"/>
          <w:lang w:val="en-US"/>
        </w:rPr>
        <w:t xml:space="preserve">= .37; quadratic, β = .29, </w:t>
      </w:r>
      <w:r w:rsidR="0077324F" w:rsidRPr="00516108">
        <w:rPr>
          <w:rFonts w:asciiTheme="majorBidi" w:hAnsiTheme="majorBidi" w:cstheme="majorBidi"/>
          <w:i/>
          <w:sz w:val="24"/>
          <w:szCs w:val="24"/>
          <w:lang w:val="en-US"/>
        </w:rPr>
        <w:t xml:space="preserve">p </w:t>
      </w:r>
      <w:r w:rsidR="0077324F" w:rsidRPr="00516108">
        <w:rPr>
          <w:rFonts w:asciiTheme="majorBidi" w:hAnsiTheme="majorBidi" w:cstheme="majorBidi"/>
          <w:sz w:val="24"/>
          <w:szCs w:val="24"/>
          <w:lang w:val="en-US"/>
        </w:rPr>
        <w:t xml:space="preserve">= .48), or expected benefits (linear, β = -.09, </w:t>
      </w:r>
      <w:r w:rsidR="0077324F" w:rsidRPr="00516108">
        <w:rPr>
          <w:rFonts w:asciiTheme="majorBidi" w:hAnsiTheme="majorBidi" w:cstheme="majorBidi"/>
          <w:i/>
          <w:sz w:val="24"/>
          <w:szCs w:val="24"/>
          <w:lang w:val="en-US"/>
        </w:rPr>
        <w:t xml:space="preserve">p </w:t>
      </w:r>
      <w:r w:rsidR="0077324F" w:rsidRPr="00516108">
        <w:rPr>
          <w:rFonts w:asciiTheme="majorBidi" w:hAnsiTheme="majorBidi" w:cstheme="majorBidi"/>
          <w:sz w:val="24"/>
          <w:szCs w:val="24"/>
          <w:lang w:val="en-US"/>
        </w:rPr>
        <w:t xml:space="preserve">= .13; quadratic, β = -.44, </w:t>
      </w:r>
      <w:r w:rsidR="0077324F" w:rsidRPr="00516108">
        <w:rPr>
          <w:rFonts w:asciiTheme="majorBidi" w:hAnsiTheme="majorBidi" w:cstheme="majorBidi"/>
          <w:i/>
          <w:sz w:val="24"/>
          <w:szCs w:val="24"/>
          <w:lang w:val="en-US"/>
        </w:rPr>
        <w:t xml:space="preserve">p </w:t>
      </w:r>
      <w:r w:rsidR="0077324F" w:rsidRPr="00516108">
        <w:rPr>
          <w:rFonts w:asciiTheme="majorBidi" w:hAnsiTheme="majorBidi" w:cstheme="majorBidi"/>
          <w:sz w:val="24"/>
          <w:szCs w:val="24"/>
          <w:lang w:val="en-US"/>
        </w:rPr>
        <w:t>= .28) on the DOSPERT-M.</w:t>
      </w:r>
      <w:r w:rsidR="00BF3F90" w:rsidRPr="00BF3F90">
        <w:rPr>
          <w:rFonts w:asciiTheme="majorBidi" w:hAnsiTheme="majorBidi" w:cstheme="majorBidi"/>
          <w:sz w:val="24"/>
          <w:szCs w:val="24"/>
          <w:lang w:val="en-US"/>
        </w:rPr>
        <w:t xml:space="preserve"> </w:t>
      </w:r>
      <w:r w:rsidR="00060683">
        <w:rPr>
          <w:rFonts w:asciiTheme="majorBidi" w:hAnsiTheme="majorBidi" w:cstheme="majorBidi"/>
          <w:sz w:val="24"/>
          <w:szCs w:val="24"/>
          <w:lang w:val="en-US"/>
        </w:rPr>
        <w:t>R</w:t>
      </w:r>
      <w:r w:rsidR="00BF3F90" w:rsidRPr="00384B45">
        <w:rPr>
          <w:rFonts w:asciiTheme="majorBidi" w:hAnsiTheme="majorBidi" w:cstheme="majorBidi"/>
          <w:sz w:val="24"/>
          <w:szCs w:val="24"/>
          <w:lang w:val="en-US"/>
        </w:rPr>
        <w:t xml:space="preserve">isk perceptions were negatively associated with expected benefits, indicating that activities perceived as risky were expected to yield fewer benefits. </w:t>
      </w:r>
      <w:r w:rsidR="00060683">
        <w:rPr>
          <w:rFonts w:asciiTheme="majorBidi" w:hAnsiTheme="majorBidi" w:cstheme="majorBidi"/>
          <w:sz w:val="24"/>
          <w:szCs w:val="24"/>
          <w:lang w:val="en-US"/>
        </w:rPr>
        <w:t>The</w:t>
      </w:r>
      <w:r w:rsidR="00060683" w:rsidRPr="00384B45">
        <w:rPr>
          <w:rFonts w:asciiTheme="majorBidi" w:hAnsiTheme="majorBidi" w:cstheme="majorBidi"/>
          <w:sz w:val="24"/>
          <w:szCs w:val="24"/>
          <w:lang w:val="en-US"/>
        </w:rPr>
        <w:t xml:space="preserve"> </w:t>
      </w:r>
      <w:r w:rsidR="00BF3F90" w:rsidRPr="00384B45">
        <w:rPr>
          <w:rFonts w:asciiTheme="majorBidi" w:hAnsiTheme="majorBidi" w:cstheme="majorBidi"/>
          <w:sz w:val="24"/>
          <w:szCs w:val="24"/>
          <w:lang w:val="en-US"/>
        </w:rPr>
        <w:t xml:space="preserve">regression analysis revealed </w:t>
      </w:r>
      <w:r w:rsidR="00060683">
        <w:rPr>
          <w:rFonts w:asciiTheme="majorBidi" w:hAnsiTheme="majorBidi" w:cstheme="majorBidi"/>
          <w:sz w:val="24"/>
          <w:szCs w:val="24"/>
          <w:lang w:val="en-US"/>
        </w:rPr>
        <w:t xml:space="preserve">a </w:t>
      </w:r>
      <w:r w:rsidR="00BF3F90" w:rsidRPr="00384B45">
        <w:rPr>
          <w:rFonts w:asciiTheme="majorBidi" w:hAnsiTheme="majorBidi" w:cstheme="majorBidi"/>
          <w:sz w:val="24"/>
          <w:szCs w:val="24"/>
          <w:lang w:val="en-US"/>
        </w:rPr>
        <w:t xml:space="preserve">moderating effect of age on this association </w:t>
      </w:r>
      <w:r w:rsidR="00C31E50" w:rsidRPr="00384B45">
        <w:rPr>
          <w:rFonts w:asciiTheme="majorBidi" w:hAnsiTheme="majorBidi" w:cstheme="majorBidi"/>
          <w:sz w:val="24"/>
          <w:szCs w:val="24"/>
          <w:lang w:val="en-US"/>
        </w:rPr>
        <w:t xml:space="preserve">(β = -.79, </w:t>
      </w:r>
      <w:r w:rsidR="00C31E50" w:rsidRPr="00384B45">
        <w:rPr>
          <w:rFonts w:asciiTheme="majorBidi" w:hAnsiTheme="majorBidi" w:cstheme="majorBidi"/>
          <w:i/>
          <w:sz w:val="24"/>
          <w:szCs w:val="24"/>
          <w:lang w:val="en-US"/>
        </w:rPr>
        <w:t xml:space="preserve">p </w:t>
      </w:r>
      <w:r w:rsidR="00C31E50" w:rsidRPr="00384B45">
        <w:rPr>
          <w:rFonts w:asciiTheme="majorBidi" w:hAnsiTheme="majorBidi" w:cstheme="majorBidi"/>
          <w:sz w:val="24"/>
          <w:szCs w:val="24"/>
          <w:lang w:val="en-US"/>
        </w:rPr>
        <w:t>&lt; .01)</w:t>
      </w:r>
      <w:r w:rsidR="00BF3F90" w:rsidRPr="00384B45">
        <w:rPr>
          <w:rFonts w:asciiTheme="majorBidi" w:hAnsiTheme="majorBidi" w:cstheme="majorBidi"/>
          <w:sz w:val="24"/>
          <w:szCs w:val="24"/>
          <w:lang w:val="en-US"/>
        </w:rPr>
        <w:t xml:space="preserve">. As age increased, the negative association between risk perception and expected benefits also increased. </w:t>
      </w:r>
    </w:p>
    <w:p w14:paraId="6E172633" w14:textId="523A9094" w:rsidR="0077324F" w:rsidRPr="00516108" w:rsidRDefault="00BF3F90" w:rsidP="0077324F">
      <w:pPr>
        <w:spacing w:after="0" w:line="480" w:lineRule="auto"/>
        <w:ind w:firstLine="567"/>
        <w:rPr>
          <w:rFonts w:asciiTheme="majorBidi" w:hAnsiTheme="majorBidi" w:cstheme="majorBidi"/>
          <w:sz w:val="24"/>
          <w:szCs w:val="24"/>
          <w:lang w:val="en-US"/>
        </w:rPr>
      </w:pPr>
      <w:r w:rsidRPr="00384B45">
        <w:rPr>
          <w:rFonts w:asciiTheme="majorBidi" w:hAnsiTheme="majorBidi" w:cstheme="majorBidi"/>
          <w:sz w:val="24"/>
          <w:szCs w:val="24"/>
          <w:lang w:val="en-US"/>
        </w:rPr>
        <w:t xml:space="preserve">Figure 1B shows the mean group ratings for a moving 10-year period and confirms </w:t>
      </w:r>
      <w:r w:rsidR="0077324F" w:rsidRPr="00384B45">
        <w:rPr>
          <w:rFonts w:asciiTheme="majorBidi" w:hAnsiTheme="majorBidi" w:cstheme="majorBidi"/>
          <w:sz w:val="24"/>
          <w:szCs w:val="24"/>
          <w:lang w:val="en-US"/>
        </w:rPr>
        <w:t>that</w:t>
      </w:r>
      <w:r w:rsidR="0077324F" w:rsidRPr="00516108">
        <w:rPr>
          <w:rFonts w:asciiTheme="majorBidi" w:hAnsiTheme="majorBidi" w:cstheme="majorBidi"/>
          <w:sz w:val="24"/>
          <w:szCs w:val="24"/>
          <w:lang w:val="en-US"/>
        </w:rPr>
        <w:t xml:space="preserve"> passive risk</w:t>
      </w:r>
      <w:r w:rsidR="0077324F">
        <w:rPr>
          <w:rFonts w:asciiTheme="majorBidi" w:hAnsiTheme="majorBidi" w:cstheme="majorBidi"/>
          <w:sz w:val="24"/>
          <w:szCs w:val="24"/>
          <w:lang w:val="en-US"/>
        </w:rPr>
        <w:t xml:space="preserve"> </w:t>
      </w:r>
      <w:r w:rsidR="0077324F" w:rsidRPr="00516108">
        <w:rPr>
          <w:rFonts w:asciiTheme="majorBidi" w:hAnsiTheme="majorBidi" w:cstheme="majorBidi"/>
          <w:sz w:val="24"/>
          <w:szCs w:val="24"/>
          <w:lang w:val="en-US"/>
        </w:rPr>
        <w:t>taking generally decreased from 20</w:t>
      </w:r>
      <w:r w:rsidR="0077324F">
        <w:rPr>
          <w:rFonts w:asciiTheme="majorBidi" w:hAnsiTheme="majorBidi" w:cstheme="majorBidi"/>
          <w:sz w:val="24"/>
          <w:szCs w:val="24"/>
          <w:lang w:val="en-US"/>
        </w:rPr>
        <w:t>–</w:t>
      </w:r>
      <w:r w:rsidR="0077324F" w:rsidRPr="00516108">
        <w:rPr>
          <w:rFonts w:asciiTheme="majorBidi" w:hAnsiTheme="majorBidi" w:cstheme="majorBidi"/>
          <w:sz w:val="24"/>
          <w:szCs w:val="24"/>
          <w:lang w:val="en-US"/>
        </w:rPr>
        <w:t>29 years (</w:t>
      </w:r>
      <w:r w:rsidR="0077324F" w:rsidRPr="00516108">
        <w:rPr>
          <w:rFonts w:asciiTheme="majorBidi" w:hAnsiTheme="majorBidi" w:cstheme="majorBidi"/>
          <w:i/>
          <w:sz w:val="24"/>
          <w:szCs w:val="24"/>
          <w:lang w:val="en-US"/>
        </w:rPr>
        <w:t>M</w:t>
      </w:r>
      <w:r w:rsidR="0077324F" w:rsidRPr="00516108">
        <w:rPr>
          <w:rFonts w:asciiTheme="majorBidi" w:hAnsiTheme="majorBidi" w:cstheme="majorBidi"/>
          <w:sz w:val="24"/>
          <w:szCs w:val="24"/>
          <w:lang w:val="en-US"/>
        </w:rPr>
        <w:t xml:space="preserve"> = 4.09) to young middle adulthood (33</w:t>
      </w:r>
      <w:r w:rsidR="0077324F">
        <w:rPr>
          <w:rFonts w:asciiTheme="majorBidi" w:hAnsiTheme="majorBidi" w:cstheme="majorBidi"/>
          <w:sz w:val="24"/>
          <w:szCs w:val="24"/>
          <w:lang w:val="en-US"/>
        </w:rPr>
        <w:t>–</w:t>
      </w:r>
      <w:r w:rsidR="0077324F" w:rsidRPr="00516108">
        <w:rPr>
          <w:rFonts w:asciiTheme="majorBidi" w:hAnsiTheme="majorBidi" w:cstheme="majorBidi"/>
          <w:sz w:val="24"/>
          <w:szCs w:val="24"/>
          <w:lang w:val="en-US"/>
        </w:rPr>
        <w:t xml:space="preserve">42 years: </w:t>
      </w:r>
      <w:r w:rsidR="0077324F" w:rsidRPr="00516108">
        <w:rPr>
          <w:rFonts w:asciiTheme="majorBidi" w:hAnsiTheme="majorBidi" w:cstheme="majorBidi"/>
          <w:i/>
          <w:sz w:val="24"/>
          <w:szCs w:val="24"/>
          <w:lang w:val="en-US"/>
        </w:rPr>
        <w:t>M</w:t>
      </w:r>
      <w:r w:rsidR="0077324F" w:rsidRPr="00516108">
        <w:rPr>
          <w:rFonts w:asciiTheme="majorBidi" w:hAnsiTheme="majorBidi" w:cstheme="majorBidi"/>
          <w:sz w:val="24"/>
          <w:szCs w:val="24"/>
          <w:lang w:val="en-US"/>
        </w:rPr>
        <w:t xml:space="preserve"> = 3.63) through to 68</w:t>
      </w:r>
      <w:r w:rsidR="0077324F">
        <w:rPr>
          <w:rFonts w:asciiTheme="majorBidi" w:hAnsiTheme="majorBidi" w:cstheme="majorBidi"/>
          <w:sz w:val="24"/>
          <w:szCs w:val="24"/>
          <w:lang w:val="en-US"/>
        </w:rPr>
        <w:t>–</w:t>
      </w:r>
      <w:r w:rsidR="0077324F" w:rsidRPr="00516108">
        <w:rPr>
          <w:rFonts w:asciiTheme="majorBidi" w:hAnsiTheme="majorBidi" w:cstheme="majorBidi"/>
          <w:sz w:val="24"/>
          <w:szCs w:val="24"/>
          <w:lang w:val="en-US"/>
        </w:rPr>
        <w:t>77 years (</w:t>
      </w:r>
      <w:r w:rsidR="0077324F" w:rsidRPr="00516108">
        <w:rPr>
          <w:rFonts w:asciiTheme="majorBidi" w:hAnsiTheme="majorBidi" w:cstheme="majorBidi"/>
          <w:i/>
          <w:sz w:val="24"/>
          <w:szCs w:val="24"/>
          <w:lang w:val="en-US"/>
        </w:rPr>
        <w:t>M</w:t>
      </w:r>
      <w:r w:rsidR="0077324F" w:rsidRPr="00516108">
        <w:rPr>
          <w:rFonts w:asciiTheme="majorBidi" w:hAnsiTheme="majorBidi" w:cstheme="majorBidi"/>
          <w:sz w:val="24"/>
          <w:szCs w:val="24"/>
          <w:lang w:val="en-US"/>
        </w:rPr>
        <w:t xml:space="preserve"> = 3.58)</w:t>
      </w:r>
      <w:r w:rsidR="0077324F">
        <w:rPr>
          <w:rFonts w:asciiTheme="majorBidi" w:hAnsiTheme="majorBidi" w:cstheme="majorBidi"/>
          <w:sz w:val="24"/>
          <w:szCs w:val="24"/>
          <w:lang w:val="en-US"/>
        </w:rPr>
        <w:t>,</w:t>
      </w:r>
      <w:r w:rsidR="0077324F" w:rsidRPr="00516108">
        <w:rPr>
          <w:rFonts w:asciiTheme="majorBidi" w:hAnsiTheme="majorBidi" w:cstheme="majorBidi"/>
          <w:sz w:val="24"/>
          <w:szCs w:val="24"/>
          <w:lang w:val="en-US"/>
        </w:rPr>
        <w:t xml:space="preserve"> with a jump in late middle adulthood (45</w:t>
      </w:r>
      <w:r w:rsidR="0077324F">
        <w:rPr>
          <w:rFonts w:asciiTheme="majorBidi" w:hAnsiTheme="majorBidi" w:cstheme="majorBidi"/>
          <w:sz w:val="24"/>
          <w:szCs w:val="24"/>
          <w:lang w:val="en-US"/>
        </w:rPr>
        <w:t>–</w:t>
      </w:r>
      <w:r w:rsidR="0077324F" w:rsidRPr="00516108">
        <w:rPr>
          <w:rFonts w:asciiTheme="majorBidi" w:hAnsiTheme="majorBidi" w:cstheme="majorBidi"/>
          <w:sz w:val="24"/>
          <w:szCs w:val="24"/>
          <w:lang w:val="en-US"/>
        </w:rPr>
        <w:t>54 years:</w:t>
      </w:r>
      <w:r w:rsidR="0077324F" w:rsidRPr="00516108" w:rsidDel="00972497">
        <w:rPr>
          <w:rFonts w:asciiTheme="majorBidi" w:hAnsiTheme="majorBidi" w:cstheme="majorBidi"/>
          <w:sz w:val="24"/>
          <w:szCs w:val="24"/>
          <w:lang w:val="en-US"/>
        </w:rPr>
        <w:t xml:space="preserve"> </w:t>
      </w:r>
      <w:r w:rsidR="0077324F" w:rsidRPr="00516108">
        <w:rPr>
          <w:rFonts w:asciiTheme="majorBidi" w:hAnsiTheme="majorBidi" w:cstheme="majorBidi"/>
          <w:i/>
          <w:sz w:val="24"/>
          <w:szCs w:val="24"/>
          <w:lang w:val="en-US"/>
        </w:rPr>
        <w:t>M</w:t>
      </w:r>
      <w:r w:rsidR="0077324F" w:rsidRPr="00516108">
        <w:rPr>
          <w:rFonts w:asciiTheme="majorBidi" w:hAnsiTheme="majorBidi" w:cstheme="majorBidi"/>
          <w:sz w:val="24"/>
          <w:szCs w:val="24"/>
          <w:lang w:val="en-US"/>
        </w:rPr>
        <w:t xml:space="preserve"> = 4.28) that, however, was not reflected in a quadratic effect.</w:t>
      </w:r>
    </w:p>
    <w:p w14:paraId="38C2BF13" w14:textId="095EEC03" w:rsidR="00823AB9" w:rsidRPr="00823AB9" w:rsidRDefault="00B6562E" w:rsidP="00823AB9">
      <w:pPr>
        <w:tabs>
          <w:tab w:val="left" w:pos="6298"/>
        </w:tabs>
        <w:spacing w:after="0" w:line="480" w:lineRule="auto"/>
        <w:ind w:firstLine="567"/>
        <w:rPr>
          <w:rFonts w:asciiTheme="majorBidi" w:hAnsiTheme="majorBidi" w:cstheme="majorBidi"/>
          <w:sz w:val="24"/>
          <w:szCs w:val="24"/>
          <w:lang w:val="en-US"/>
        </w:rPr>
      </w:pPr>
      <w:r w:rsidRPr="00516108">
        <w:rPr>
          <w:rFonts w:asciiTheme="majorBidi" w:hAnsiTheme="majorBidi" w:cstheme="majorBidi"/>
          <w:sz w:val="24"/>
          <w:szCs w:val="24"/>
          <w:lang w:val="en-US"/>
        </w:rPr>
        <w:t>As hypothesized, greater expected benefits on the DOSPERT-M predicted greater active risk</w:t>
      </w:r>
      <w:r w:rsidR="007D725D">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 xml:space="preserve">taking (β = .53, </w:t>
      </w:r>
      <w:r w:rsidRPr="00516108">
        <w:rPr>
          <w:rFonts w:asciiTheme="majorBidi" w:hAnsiTheme="majorBidi" w:cstheme="majorBidi"/>
          <w:i/>
          <w:sz w:val="24"/>
          <w:szCs w:val="24"/>
          <w:lang w:val="en-US"/>
        </w:rPr>
        <w:t xml:space="preserve">p </w:t>
      </w:r>
      <w:r w:rsidRPr="00516108">
        <w:rPr>
          <w:rFonts w:asciiTheme="majorBidi" w:hAnsiTheme="majorBidi" w:cstheme="majorBidi"/>
          <w:sz w:val="24"/>
          <w:szCs w:val="24"/>
          <w:lang w:val="en-US"/>
        </w:rPr>
        <w:t>&lt; .001), whereas higher perceived risk predicted less active risk</w:t>
      </w:r>
      <w:r w:rsidR="007D725D">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 xml:space="preserve">taking (β = -.30, </w:t>
      </w:r>
      <w:r w:rsidRPr="00516108">
        <w:rPr>
          <w:rFonts w:asciiTheme="majorBidi" w:hAnsiTheme="majorBidi" w:cstheme="majorBidi"/>
          <w:i/>
          <w:sz w:val="24"/>
          <w:szCs w:val="24"/>
          <w:lang w:val="en-US"/>
        </w:rPr>
        <w:t xml:space="preserve">p </w:t>
      </w:r>
      <w:r w:rsidRPr="00516108">
        <w:rPr>
          <w:rFonts w:asciiTheme="majorBidi" w:hAnsiTheme="majorBidi" w:cstheme="majorBidi"/>
          <w:sz w:val="24"/>
          <w:szCs w:val="24"/>
          <w:lang w:val="en-US"/>
        </w:rPr>
        <w:t xml:space="preserve">&lt; .001). Age (β = -.01, </w:t>
      </w:r>
      <w:r w:rsidRPr="00516108">
        <w:rPr>
          <w:rFonts w:asciiTheme="majorBidi" w:hAnsiTheme="majorBidi" w:cstheme="majorBidi"/>
          <w:i/>
          <w:sz w:val="24"/>
          <w:szCs w:val="24"/>
          <w:lang w:val="en-US"/>
        </w:rPr>
        <w:t xml:space="preserve">p </w:t>
      </w:r>
      <w:r w:rsidRPr="00516108">
        <w:rPr>
          <w:rFonts w:asciiTheme="majorBidi" w:hAnsiTheme="majorBidi" w:cstheme="majorBidi"/>
          <w:sz w:val="24"/>
          <w:szCs w:val="24"/>
          <w:lang w:val="en-US"/>
        </w:rPr>
        <w:t xml:space="preserve">= .91) and gender (β = .04, </w:t>
      </w:r>
      <w:r w:rsidRPr="00516108">
        <w:rPr>
          <w:rFonts w:asciiTheme="majorBidi" w:hAnsiTheme="majorBidi" w:cstheme="majorBidi"/>
          <w:i/>
          <w:sz w:val="24"/>
          <w:szCs w:val="24"/>
          <w:lang w:val="en-US"/>
        </w:rPr>
        <w:t xml:space="preserve">p </w:t>
      </w:r>
      <w:r w:rsidRPr="00516108">
        <w:rPr>
          <w:rFonts w:asciiTheme="majorBidi" w:hAnsiTheme="majorBidi" w:cstheme="majorBidi"/>
          <w:sz w:val="24"/>
          <w:szCs w:val="24"/>
          <w:lang w:val="en-US"/>
        </w:rPr>
        <w:t>= .39) were unrelated to active risk</w:t>
      </w:r>
      <w:r w:rsidR="00A32BD9">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 xml:space="preserve">taking (β = -.01, </w:t>
      </w:r>
      <w:r w:rsidRPr="00516108">
        <w:rPr>
          <w:rFonts w:asciiTheme="majorBidi" w:hAnsiTheme="majorBidi" w:cstheme="majorBidi"/>
          <w:i/>
          <w:sz w:val="24"/>
          <w:szCs w:val="24"/>
          <w:lang w:val="en-US"/>
        </w:rPr>
        <w:t xml:space="preserve">p </w:t>
      </w:r>
      <w:r w:rsidRPr="00516108">
        <w:rPr>
          <w:rFonts w:asciiTheme="majorBidi" w:hAnsiTheme="majorBidi" w:cstheme="majorBidi"/>
          <w:sz w:val="24"/>
          <w:szCs w:val="24"/>
          <w:lang w:val="en-US"/>
        </w:rPr>
        <w:t xml:space="preserve">= .91). </w:t>
      </w:r>
      <w:r w:rsidR="004D51EE">
        <w:rPr>
          <w:rFonts w:asciiTheme="majorBidi" w:hAnsiTheme="majorBidi" w:cstheme="majorBidi"/>
          <w:sz w:val="24"/>
          <w:szCs w:val="24"/>
          <w:lang w:val="en-US"/>
        </w:rPr>
        <w:t xml:space="preserve">The </w:t>
      </w:r>
      <w:r w:rsidRPr="00516108">
        <w:rPr>
          <w:rFonts w:asciiTheme="majorBidi" w:hAnsiTheme="majorBidi" w:cstheme="majorBidi"/>
          <w:sz w:val="24"/>
          <w:szCs w:val="24"/>
          <w:lang w:val="en-US"/>
        </w:rPr>
        <w:t>second block</w:t>
      </w:r>
      <w:r w:rsidR="004D51EE">
        <w:rPr>
          <w:rFonts w:asciiTheme="majorBidi" w:hAnsiTheme="majorBidi" w:cstheme="majorBidi"/>
          <w:sz w:val="24"/>
          <w:szCs w:val="24"/>
          <w:lang w:val="en-US"/>
        </w:rPr>
        <w:t xml:space="preserve"> in the regression analysis revealed that</w:t>
      </w:r>
      <w:r w:rsidRPr="00516108">
        <w:rPr>
          <w:rFonts w:asciiTheme="majorBidi" w:hAnsiTheme="majorBidi" w:cstheme="majorBidi"/>
          <w:sz w:val="24"/>
          <w:szCs w:val="24"/>
          <w:lang w:val="en-US"/>
        </w:rPr>
        <w:t xml:space="preserve"> age moderated the effects of risk perceptions (β = .55, </w:t>
      </w:r>
      <w:r w:rsidRPr="00516108">
        <w:rPr>
          <w:rFonts w:asciiTheme="majorBidi" w:hAnsiTheme="majorBidi" w:cstheme="majorBidi"/>
          <w:i/>
          <w:sz w:val="24"/>
          <w:szCs w:val="24"/>
          <w:lang w:val="en-US"/>
        </w:rPr>
        <w:t xml:space="preserve">p </w:t>
      </w:r>
      <w:r w:rsidRPr="00516108">
        <w:rPr>
          <w:rFonts w:asciiTheme="majorBidi" w:hAnsiTheme="majorBidi" w:cstheme="majorBidi"/>
          <w:sz w:val="24"/>
          <w:szCs w:val="24"/>
          <w:lang w:val="en-US"/>
        </w:rPr>
        <w:t xml:space="preserve">= .03) but not expected benefits (β = .18, </w:t>
      </w:r>
      <w:r w:rsidRPr="00516108">
        <w:rPr>
          <w:rFonts w:asciiTheme="majorBidi" w:hAnsiTheme="majorBidi" w:cstheme="majorBidi"/>
          <w:i/>
          <w:sz w:val="24"/>
          <w:szCs w:val="24"/>
          <w:lang w:val="en-US"/>
        </w:rPr>
        <w:t xml:space="preserve">p </w:t>
      </w:r>
      <w:r w:rsidRPr="00516108">
        <w:rPr>
          <w:rFonts w:asciiTheme="majorBidi" w:hAnsiTheme="majorBidi" w:cstheme="majorBidi"/>
          <w:sz w:val="24"/>
          <w:szCs w:val="24"/>
          <w:lang w:val="en-US"/>
        </w:rPr>
        <w:t>= .44). Inspection of the rolling regression analysis for a moving 10-year period (Figure 1</w:t>
      </w:r>
      <w:r w:rsidR="00E54F19">
        <w:rPr>
          <w:rFonts w:asciiTheme="majorBidi" w:hAnsiTheme="majorBidi" w:cstheme="majorBidi"/>
          <w:sz w:val="24"/>
          <w:szCs w:val="24"/>
          <w:lang w:val="en-US"/>
        </w:rPr>
        <w:t>A</w:t>
      </w:r>
      <w:r w:rsidRPr="00516108">
        <w:rPr>
          <w:rFonts w:asciiTheme="majorBidi" w:hAnsiTheme="majorBidi" w:cstheme="majorBidi"/>
          <w:sz w:val="24"/>
          <w:szCs w:val="24"/>
          <w:lang w:val="en-US"/>
        </w:rPr>
        <w:t>) confirms that risk perceptions influenced risk taking to a lesser degree with increasing age (β</w:t>
      </w:r>
      <w:r w:rsidRPr="00516108">
        <w:rPr>
          <w:rFonts w:asciiTheme="majorBidi" w:hAnsiTheme="majorBidi" w:cstheme="majorBidi"/>
          <w:sz w:val="24"/>
          <w:szCs w:val="24"/>
          <w:vertAlign w:val="subscript"/>
          <w:lang w:val="en-US"/>
        </w:rPr>
        <w:t>20</w:t>
      </w:r>
      <w:r w:rsidR="00A32BD9">
        <w:rPr>
          <w:rFonts w:asciiTheme="majorBidi" w:hAnsiTheme="majorBidi" w:cstheme="majorBidi"/>
          <w:sz w:val="24"/>
          <w:szCs w:val="24"/>
          <w:vertAlign w:val="subscript"/>
          <w:lang w:val="en-US"/>
        </w:rPr>
        <w:t>–</w:t>
      </w:r>
      <w:r w:rsidRPr="00516108">
        <w:rPr>
          <w:rFonts w:asciiTheme="majorBidi" w:hAnsiTheme="majorBidi" w:cstheme="majorBidi"/>
          <w:sz w:val="24"/>
          <w:szCs w:val="24"/>
          <w:vertAlign w:val="subscript"/>
          <w:lang w:val="en-US"/>
        </w:rPr>
        <w:t xml:space="preserve">29 </w:t>
      </w:r>
      <w:r w:rsidRPr="00516108">
        <w:rPr>
          <w:rFonts w:asciiTheme="majorBidi" w:hAnsiTheme="majorBidi" w:cstheme="majorBidi"/>
          <w:sz w:val="24"/>
          <w:szCs w:val="24"/>
          <w:lang w:val="en-US"/>
        </w:rPr>
        <w:t>= -.43; β</w:t>
      </w:r>
      <w:r w:rsidRPr="00516108">
        <w:rPr>
          <w:rFonts w:asciiTheme="majorBidi" w:hAnsiTheme="majorBidi" w:cstheme="majorBidi"/>
          <w:sz w:val="24"/>
          <w:szCs w:val="24"/>
          <w:vertAlign w:val="subscript"/>
          <w:lang w:val="en-US"/>
        </w:rPr>
        <w:t>68</w:t>
      </w:r>
      <w:r w:rsidR="00A32BD9">
        <w:rPr>
          <w:rFonts w:asciiTheme="majorBidi" w:hAnsiTheme="majorBidi" w:cstheme="majorBidi"/>
          <w:sz w:val="24"/>
          <w:szCs w:val="24"/>
          <w:vertAlign w:val="subscript"/>
          <w:lang w:val="en-US"/>
        </w:rPr>
        <w:t>–</w:t>
      </w:r>
      <w:r w:rsidRPr="00516108">
        <w:rPr>
          <w:rFonts w:asciiTheme="majorBidi" w:hAnsiTheme="majorBidi" w:cstheme="majorBidi"/>
          <w:sz w:val="24"/>
          <w:szCs w:val="24"/>
          <w:vertAlign w:val="subscript"/>
          <w:lang w:val="en-US"/>
        </w:rPr>
        <w:t xml:space="preserve">77 </w:t>
      </w:r>
      <w:r w:rsidRPr="00516108">
        <w:rPr>
          <w:rFonts w:asciiTheme="majorBidi" w:hAnsiTheme="majorBidi" w:cstheme="majorBidi"/>
          <w:sz w:val="24"/>
          <w:szCs w:val="24"/>
          <w:lang w:val="en-US"/>
        </w:rPr>
        <w:t>= -.23).</w:t>
      </w:r>
    </w:p>
    <w:p w14:paraId="4DD944B4" w14:textId="1A93F24A" w:rsidR="00C53DE7" w:rsidRPr="001E5509" w:rsidRDefault="00071F8A" w:rsidP="00B55C69">
      <w:pPr>
        <w:tabs>
          <w:tab w:val="left" w:pos="2430"/>
        </w:tabs>
        <w:spacing w:after="0" w:line="480" w:lineRule="auto"/>
        <w:rPr>
          <w:rFonts w:asciiTheme="majorBidi" w:hAnsiTheme="majorBidi" w:cstheme="majorBidi"/>
          <w:sz w:val="24"/>
          <w:szCs w:val="24"/>
          <w:lang w:val="en-US"/>
        </w:rPr>
      </w:pPr>
      <w:r>
        <w:rPr>
          <w:rFonts w:asciiTheme="majorBidi" w:hAnsiTheme="majorBidi" w:cstheme="majorBidi"/>
          <w:b/>
          <w:sz w:val="24"/>
          <w:szCs w:val="24"/>
          <w:lang w:val="en-US"/>
        </w:rPr>
        <w:t xml:space="preserve">3.2 </w:t>
      </w:r>
      <w:r w:rsidR="00C53DE7" w:rsidRPr="004D4259">
        <w:rPr>
          <w:rFonts w:asciiTheme="majorBidi" w:hAnsiTheme="majorBidi" w:cstheme="majorBidi"/>
          <w:b/>
          <w:sz w:val="24"/>
          <w:szCs w:val="24"/>
          <w:lang w:val="en-US"/>
        </w:rPr>
        <w:t xml:space="preserve">Decision </w:t>
      </w:r>
      <w:r w:rsidR="00C820A9" w:rsidRPr="004D4259">
        <w:rPr>
          <w:rFonts w:asciiTheme="majorBidi" w:hAnsiTheme="majorBidi" w:cstheme="majorBidi"/>
          <w:b/>
          <w:sz w:val="24"/>
          <w:szCs w:val="24"/>
          <w:lang w:val="en-US"/>
        </w:rPr>
        <w:t>Scenarios</w:t>
      </w:r>
    </w:p>
    <w:p w14:paraId="5E4D5A61" w14:textId="20ACF07D" w:rsidR="0077324F" w:rsidRPr="00622510" w:rsidRDefault="00A05934" w:rsidP="002D60A6">
      <w:pPr>
        <w:spacing w:after="0" w:line="480" w:lineRule="auto"/>
        <w:ind w:firstLine="567"/>
        <w:rPr>
          <w:rFonts w:asciiTheme="majorBidi" w:hAnsiTheme="majorBidi" w:cstheme="majorBidi"/>
          <w:sz w:val="24"/>
          <w:szCs w:val="24"/>
          <w:highlight w:val="yellow"/>
          <w:lang w:val="en-US"/>
        </w:rPr>
      </w:pPr>
      <w:r w:rsidRPr="00384B45">
        <w:rPr>
          <w:rFonts w:asciiTheme="majorBidi" w:hAnsiTheme="majorBidi" w:cstheme="majorBidi"/>
          <w:sz w:val="24"/>
          <w:szCs w:val="24"/>
          <w:lang w:val="en-US"/>
        </w:rPr>
        <w:t>Participants were more likely to opt for taking medical action (vaccine, cancer treatment) than for inaction, even more so in the flu vaccine conditions (themselves = 73%; child = 82%) than in the chemotherapy treatment conditions (themselves = 65%; child = 76%; Table 2</w:t>
      </w:r>
      <w:r w:rsidR="00FD4044" w:rsidRPr="00384B45">
        <w:rPr>
          <w:rFonts w:asciiTheme="majorBidi" w:hAnsiTheme="majorBidi" w:cstheme="majorBidi"/>
          <w:sz w:val="24"/>
          <w:szCs w:val="24"/>
          <w:lang w:val="en-US"/>
        </w:rPr>
        <w:t>: Model 1</w:t>
      </w:r>
      <w:r w:rsidRPr="00384B45">
        <w:rPr>
          <w:rFonts w:asciiTheme="majorBidi" w:hAnsiTheme="majorBidi" w:cstheme="majorBidi"/>
          <w:sz w:val="24"/>
          <w:szCs w:val="24"/>
          <w:lang w:val="en-US"/>
        </w:rPr>
        <w:t>). Overall, participants were more likely to accept the treatment or vaccine for their child than for themselves (</w:t>
      </w:r>
      <w:r w:rsidR="00FD4044" w:rsidRPr="00384B45">
        <w:rPr>
          <w:rFonts w:asciiTheme="majorBidi" w:hAnsiTheme="majorBidi" w:cstheme="majorBidi"/>
          <w:sz w:val="24"/>
          <w:szCs w:val="24"/>
          <w:lang w:val="en-US"/>
        </w:rPr>
        <w:t>Table 2: Model 1</w:t>
      </w:r>
      <w:r w:rsidRPr="00384B45">
        <w:rPr>
          <w:rFonts w:asciiTheme="majorBidi" w:hAnsiTheme="majorBidi" w:cstheme="majorBidi"/>
          <w:sz w:val="24"/>
          <w:szCs w:val="24"/>
          <w:lang w:val="en-US"/>
        </w:rPr>
        <w:t xml:space="preserve">). </w:t>
      </w:r>
      <w:r w:rsidR="0077324F" w:rsidRPr="00384B45">
        <w:rPr>
          <w:rFonts w:asciiTheme="majorBidi" w:hAnsiTheme="majorBidi" w:cstheme="majorBidi"/>
          <w:sz w:val="24"/>
          <w:szCs w:val="24"/>
          <w:lang w:val="en-US"/>
        </w:rPr>
        <w:t>Increasing age (</w:t>
      </w:r>
      <w:r w:rsidR="00FD4044" w:rsidRPr="00384B45">
        <w:rPr>
          <w:rFonts w:asciiTheme="majorBidi" w:hAnsiTheme="majorBidi" w:cstheme="majorBidi"/>
          <w:sz w:val="24"/>
          <w:szCs w:val="24"/>
          <w:lang w:val="en-US"/>
        </w:rPr>
        <w:t>Table 2: Model 1</w:t>
      </w:r>
      <w:r w:rsidR="00622510" w:rsidRPr="00384B45">
        <w:rPr>
          <w:rFonts w:asciiTheme="majorBidi" w:hAnsiTheme="majorBidi" w:cstheme="majorBidi"/>
          <w:sz w:val="24"/>
          <w:szCs w:val="24"/>
          <w:lang w:val="en-US"/>
        </w:rPr>
        <w:t>; estimated slope: 20 years = 85%; 77 years = 63%</w:t>
      </w:r>
      <w:r w:rsidR="0077324F" w:rsidRPr="00384B45">
        <w:rPr>
          <w:rFonts w:asciiTheme="majorBidi" w:hAnsiTheme="majorBidi" w:cstheme="majorBidi"/>
          <w:sz w:val="24"/>
          <w:szCs w:val="24"/>
          <w:lang w:val="en-US"/>
        </w:rPr>
        <w:t xml:space="preserve">) </w:t>
      </w:r>
      <w:r w:rsidR="00622510" w:rsidRPr="00384B45">
        <w:rPr>
          <w:rFonts w:asciiTheme="majorBidi" w:hAnsiTheme="majorBidi" w:cstheme="majorBidi"/>
          <w:sz w:val="24"/>
          <w:szCs w:val="24"/>
          <w:lang w:val="en-US"/>
        </w:rPr>
        <w:t xml:space="preserve">and </w:t>
      </w:r>
      <w:r w:rsidR="00DC5015">
        <w:rPr>
          <w:rFonts w:asciiTheme="majorBidi" w:hAnsiTheme="majorBidi" w:cstheme="majorBidi"/>
          <w:sz w:val="24"/>
          <w:szCs w:val="24"/>
          <w:lang w:val="en-US"/>
        </w:rPr>
        <w:t xml:space="preserve">being </w:t>
      </w:r>
      <w:r w:rsidR="00622510" w:rsidRPr="00384B45">
        <w:rPr>
          <w:rFonts w:asciiTheme="majorBidi" w:hAnsiTheme="majorBidi" w:cstheme="majorBidi"/>
          <w:sz w:val="24"/>
          <w:szCs w:val="24"/>
          <w:lang w:val="en-US"/>
        </w:rPr>
        <w:t>female (</w:t>
      </w:r>
      <w:r w:rsidR="00FD4044" w:rsidRPr="00384B45">
        <w:rPr>
          <w:rFonts w:asciiTheme="majorBidi" w:hAnsiTheme="majorBidi" w:cstheme="majorBidi"/>
          <w:sz w:val="24"/>
          <w:szCs w:val="24"/>
          <w:lang w:val="en-US"/>
        </w:rPr>
        <w:t>Table 2: Model 1</w:t>
      </w:r>
      <w:r w:rsidR="00622510" w:rsidRPr="00384B45">
        <w:rPr>
          <w:rFonts w:asciiTheme="majorBidi" w:hAnsiTheme="majorBidi" w:cstheme="majorBidi"/>
          <w:sz w:val="24"/>
          <w:szCs w:val="24"/>
          <w:lang w:val="en-US"/>
        </w:rPr>
        <w:t xml:space="preserve">; men = 86%; women = 61%) were associated with a lower likelihood of accepting the treatment or vaccine. </w:t>
      </w:r>
      <w:r w:rsidR="00EB39D4" w:rsidRPr="00384B45">
        <w:rPr>
          <w:rFonts w:asciiTheme="majorBidi" w:hAnsiTheme="majorBidi" w:cstheme="majorBidi"/>
          <w:sz w:val="24"/>
          <w:szCs w:val="24"/>
          <w:lang w:val="en-US"/>
        </w:rPr>
        <w:t xml:space="preserve">However, the effect of gender did not reach significance. </w:t>
      </w:r>
      <w:r w:rsidR="00693CFD" w:rsidRPr="00384B45">
        <w:rPr>
          <w:rFonts w:asciiTheme="majorBidi" w:hAnsiTheme="majorBidi" w:cstheme="majorBidi"/>
          <w:sz w:val="24"/>
          <w:szCs w:val="24"/>
          <w:lang w:val="en-US"/>
        </w:rPr>
        <w:t>Figure 2 provides the estimated effects of age and gender on acceptance across the chemotherapy and flu scenarios.</w:t>
      </w:r>
      <w:r w:rsidR="00FD4044" w:rsidRPr="00384B45">
        <w:rPr>
          <w:rFonts w:asciiTheme="majorBidi" w:hAnsiTheme="majorBidi" w:cstheme="majorBidi"/>
          <w:sz w:val="24"/>
          <w:szCs w:val="24"/>
          <w:lang w:val="en-US"/>
        </w:rPr>
        <w:t xml:space="preserve"> </w:t>
      </w:r>
      <w:r w:rsidR="0077324F" w:rsidRPr="00384B45">
        <w:rPr>
          <w:rFonts w:asciiTheme="majorBidi" w:hAnsiTheme="majorBidi" w:cstheme="majorBidi"/>
          <w:sz w:val="24"/>
          <w:szCs w:val="24"/>
          <w:lang w:val="en-US"/>
        </w:rPr>
        <w:t>Gender interacted with scenario (</w:t>
      </w:r>
      <w:r w:rsidR="00FD4044" w:rsidRPr="00384B45">
        <w:rPr>
          <w:rFonts w:asciiTheme="majorBidi" w:hAnsiTheme="majorBidi" w:cstheme="majorBidi"/>
          <w:sz w:val="24"/>
          <w:szCs w:val="24"/>
          <w:lang w:val="en-US"/>
        </w:rPr>
        <w:t>Table 2: Model 2</w:t>
      </w:r>
      <w:r w:rsidR="0077324F" w:rsidRPr="00384B45">
        <w:rPr>
          <w:rFonts w:asciiTheme="majorBidi" w:hAnsiTheme="majorBidi" w:cstheme="majorBidi"/>
          <w:sz w:val="24"/>
          <w:szCs w:val="24"/>
          <w:lang w:val="en-US"/>
        </w:rPr>
        <w:t xml:space="preserve">), </w:t>
      </w:r>
      <w:r w:rsidR="00DC5015">
        <w:rPr>
          <w:rFonts w:asciiTheme="majorBidi" w:hAnsiTheme="majorBidi" w:cstheme="majorBidi"/>
          <w:sz w:val="24"/>
          <w:szCs w:val="24"/>
          <w:lang w:val="en-US"/>
        </w:rPr>
        <w:t xml:space="preserve">such that </w:t>
      </w:r>
      <w:r w:rsidR="0077324F" w:rsidRPr="00384B45">
        <w:rPr>
          <w:rFonts w:asciiTheme="majorBidi" w:hAnsiTheme="majorBidi" w:cstheme="majorBidi"/>
          <w:sz w:val="24"/>
          <w:szCs w:val="24"/>
          <w:lang w:val="en-US"/>
        </w:rPr>
        <w:t>gender differences were larger for the flu scenario (male = 92%; female = 62%) than the chemotherapy scenario (male = 81%; female = 60%</w:t>
      </w:r>
      <w:r w:rsidR="00FD4044" w:rsidRPr="00384B45">
        <w:rPr>
          <w:rFonts w:asciiTheme="majorBidi" w:hAnsiTheme="majorBidi" w:cstheme="majorBidi"/>
          <w:sz w:val="24"/>
          <w:szCs w:val="24"/>
          <w:lang w:val="en-US"/>
        </w:rPr>
        <w:t>; Figure 2</w:t>
      </w:r>
      <w:r w:rsidR="0077324F" w:rsidRPr="00384B45">
        <w:rPr>
          <w:rFonts w:asciiTheme="majorBidi" w:hAnsiTheme="majorBidi" w:cstheme="majorBidi"/>
          <w:sz w:val="24"/>
          <w:szCs w:val="24"/>
          <w:lang w:val="en-US"/>
        </w:rPr>
        <w:t>).</w:t>
      </w:r>
    </w:p>
    <w:p w14:paraId="3844DF1B" w14:textId="5AF31FDD" w:rsidR="001C5591" w:rsidRPr="004D4259" w:rsidRDefault="00DC5015" w:rsidP="004D4259">
      <w:pPr>
        <w:tabs>
          <w:tab w:val="left" w:pos="2430"/>
        </w:tabs>
        <w:spacing w:line="480" w:lineRule="auto"/>
        <w:rPr>
          <w:rFonts w:asciiTheme="majorBidi" w:hAnsiTheme="majorBidi" w:cstheme="majorBidi"/>
          <w:b/>
          <w:bCs/>
          <w:sz w:val="24"/>
          <w:szCs w:val="24"/>
          <w:lang w:val="en-US"/>
        </w:rPr>
      </w:pPr>
      <w:r w:rsidRPr="004D4259">
        <w:rPr>
          <w:rFonts w:asciiTheme="majorBidi" w:hAnsiTheme="majorBidi" w:cstheme="majorBidi"/>
          <w:b/>
          <w:bCs/>
          <w:sz w:val="24"/>
          <w:szCs w:val="24"/>
          <w:lang w:val="en-US"/>
        </w:rPr>
        <w:t xml:space="preserve">4 </w:t>
      </w:r>
      <w:r w:rsidR="008E67A8" w:rsidRPr="004D4259">
        <w:rPr>
          <w:rFonts w:asciiTheme="majorBidi" w:hAnsiTheme="majorBidi" w:cstheme="majorBidi"/>
          <w:b/>
          <w:bCs/>
          <w:sz w:val="24"/>
          <w:szCs w:val="24"/>
          <w:lang w:val="en-US"/>
        </w:rPr>
        <w:t>Discussion</w:t>
      </w:r>
    </w:p>
    <w:p w14:paraId="7DFEE888" w14:textId="3923D65F" w:rsidR="00C10455" w:rsidRDefault="00C10455" w:rsidP="0004797A">
      <w:pPr>
        <w:tabs>
          <w:tab w:val="left" w:pos="567"/>
          <w:tab w:val="left" w:pos="2430"/>
        </w:tabs>
        <w:spacing w:after="0" w:line="480" w:lineRule="auto"/>
        <w:rPr>
          <w:rFonts w:asciiTheme="majorBidi" w:hAnsiTheme="majorBidi" w:cstheme="majorBidi"/>
          <w:sz w:val="24"/>
          <w:szCs w:val="24"/>
          <w:lang w:val="en-US"/>
        </w:rPr>
      </w:pPr>
      <w:r w:rsidRPr="00516108">
        <w:rPr>
          <w:rFonts w:asciiTheme="majorBidi" w:hAnsiTheme="majorBidi" w:cstheme="majorBidi"/>
          <w:sz w:val="24"/>
          <w:szCs w:val="24"/>
          <w:lang w:val="en-US"/>
        </w:rPr>
        <w:t>Given the high financial and personal costs associated with medical</w:t>
      </w:r>
      <w:r w:rsidR="00CA320C">
        <w:rPr>
          <w:rFonts w:asciiTheme="majorBidi" w:hAnsiTheme="majorBidi" w:cstheme="majorBidi"/>
          <w:sz w:val="24"/>
          <w:szCs w:val="24"/>
          <w:lang w:val="en-US"/>
        </w:rPr>
        <w:t>-</w:t>
      </w:r>
      <w:r w:rsidRPr="00516108">
        <w:rPr>
          <w:rFonts w:asciiTheme="majorBidi" w:hAnsiTheme="majorBidi" w:cstheme="majorBidi"/>
          <w:sz w:val="24"/>
          <w:szCs w:val="24"/>
          <w:lang w:val="en-US"/>
        </w:rPr>
        <w:t>related risk behavior, gaining better insights into adult lifespan changes in medical risk</w:t>
      </w:r>
      <w:r w:rsidR="009D2C1D">
        <w:rPr>
          <w:rFonts w:asciiTheme="majorBidi" w:hAnsiTheme="majorBidi" w:cstheme="majorBidi"/>
          <w:sz w:val="24"/>
          <w:szCs w:val="24"/>
          <w:lang w:val="en-US"/>
        </w:rPr>
        <w:t>-</w:t>
      </w:r>
      <w:r w:rsidRPr="00516108">
        <w:rPr>
          <w:rFonts w:asciiTheme="majorBidi" w:hAnsiTheme="majorBidi" w:cstheme="majorBidi"/>
          <w:sz w:val="24"/>
          <w:szCs w:val="24"/>
          <w:lang w:val="en-US"/>
        </w:rPr>
        <w:t>taking tendencies and perceptions is paramount.</w:t>
      </w:r>
      <w:r w:rsidR="007E2EFC">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Using the DOSPERT-M allowed us to examine risk</w:t>
      </w:r>
      <w:r w:rsidR="0090363D">
        <w:rPr>
          <w:rFonts w:asciiTheme="majorBidi" w:hAnsiTheme="majorBidi" w:cstheme="majorBidi"/>
          <w:sz w:val="24"/>
          <w:szCs w:val="24"/>
          <w:lang w:val="en-US"/>
        </w:rPr>
        <w:t>-</w:t>
      </w:r>
      <w:r w:rsidRPr="00516108">
        <w:rPr>
          <w:rFonts w:asciiTheme="majorBidi" w:hAnsiTheme="majorBidi" w:cstheme="majorBidi"/>
          <w:sz w:val="24"/>
          <w:szCs w:val="24"/>
          <w:lang w:val="en-US"/>
        </w:rPr>
        <w:t>taking tendencies and perception differences in the medical domain. Our data revealed no age</w:t>
      </w:r>
      <w:r w:rsidR="00BB732C">
        <w:rPr>
          <w:rFonts w:asciiTheme="majorBidi" w:hAnsiTheme="majorBidi" w:cstheme="majorBidi"/>
          <w:sz w:val="24"/>
          <w:szCs w:val="24"/>
          <w:lang w:val="en-US"/>
        </w:rPr>
        <w:t>-related</w:t>
      </w:r>
      <w:r w:rsidRPr="00516108">
        <w:rPr>
          <w:rFonts w:asciiTheme="majorBidi" w:hAnsiTheme="majorBidi" w:cstheme="majorBidi"/>
          <w:sz w:val="24"/>
          <w:szCs w:val="24"/>
          <w:lang w:val="en-US"/>
        </w:rPr>
        <w:t xml:space="preserve"> differences in medical risk</w:t>
      </w:r>
      <w:r w:rsidR="0090363D">
        <w:rPr>
          <w:rFonts w:asciiTheme="majorBidi" w:hAnsiTheme="majorBidi" w:cstheme="majorBidi"/>
          <w:sz w:val="24"/>
          <w:szCs w:val="24"/>
          <w:lang w:val="en-US"/>
        </w:rPr>
        <w:t>-</w:t>
      </w:r>
      <w:r w:rsidRPr="00516108">
        <w:rPr>
          <w:rFonts w:asciiTheme="majorBidi" w:hAnsiTheme="majorBidi" w:cstheme="majorBidi"/>
          <w:sz w:val="24"/>
          <w:szCs w:val="24"/>
          <w:lang w:val="en-US"/>
        </w:rPr>
        <w:t>taking tendencies</w:t>
      </w:r>
      <w:r w:rsidR="006439C2">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This result stands in contrast to the prevailing notion tha</w:t>
      </w:r>
      <w:r w:rsidR="008B7CCD">
        <w:rPr>
          <w:rFonts w:asciiTheme="majorBidi" w:hAnsiTheme="majorBidi" w:cstheme="majorBidi"/>
          <w:sz w:val="24"/>
          <w:szCs w:val="24"/>
          <w:lang w:val="en-US"/>
        </w:rPr>
        <w:t>t older adults are</w:t>
      </w:r>
      <w:r w:rsidR="007D79F2">
        <w:rPr>
          <w:rFonts w:asciiTheme="majorBidi" w:hAnsiTheme="majorBidi" w:cstheme="majorBidi"/>
          <w:sz w:val="24"/>
          <w:szCs w:val="24"/>
          <w:lang w:val="en-US"/>
        </w:rPr>
        <w:t xml:space="preserve"> more</w:t>
      </w:r>
      <w:r w:rsidR="008B7CCD">
        <w:rPr>
          <w:rFonts w:asciiTheme="majorBidi" w:hAnsiTheme="majorBidi" w:cstheme="majorBidi"/>
          <w:sz w:val="24"/>
          <w:szCs w:val="24"/>
          <w:lang w:val="en-US"/>
        </w:rPr>
        <w:t xml:space="preserve"> risk averse</w:t>
      </w:r>
      <w:r w:rsidR="007D79F2">
        <w:rPr>
          <w:rFonts w:asciiTheme="majorBidi" w:hAnsiTheme="majorBidi" w:cstheme="majorBidi"/>
          <w:sz w:val="24"/>
          <w:szCs w:val="24"/>
          <w:lang w:val="en-US"/>
        </w:rPr>
        <w:t xml:space="preserve"> than younger ones</w:t>
      </w:r>
      <w:r w:rsidR="00F115A7">
        <w:rPr>
          <w:rFonts w:asciiTheme="majorBidi" w:hAnsiTheme="majorBidi" w:cstheme="majorBidi"/>
          <w:sz w:val="24"/>
          <w:szCs w:val="24"/>
          <w:vertAlign w:val="superscript"/>
          <w:lang w:val="en-US"/>
        </w:rPr>
        <w:t>(</w:t>
      </w:r>
      <w:r w:rsidR="00F40EB3">
        <w:rPr>
          <w:rFonts w:asciiTheme="majorBidi" w:hAnsiTheme="majorBidi" w:cstheme="majorBidi"/>
          <w:sz w:val="24"/>
          <w:szCs w:val="24"/>
          <w:vertAlign w:val="superscript"/>
          <w:lang w:val="en-US"/>
        </w:rPr>
        <w:t>4</w:t>
      </w:r>
      <w:r w:rsidR="0004797A">
        <w:rPr>
          <w:rFonts w:asciiTheme="majorBidi" w:hAnsiTheme="majorBidi" w:cstheme="majorBidi"/>
          <w:sz w:val="24"/>
          <w:szCs w:val="24"/>
          <w:vertAlign w:val="superscript"/>
          <w:lang w:val="en-US"/>
        </w:rPr>
        <w:t>5</w:t>
      </w:r>
      <w:r w:rsidR="00F115A7">
        <w:rPr>
          <w:rFonts w:asciiTheme="majorBidi" w:hAnsiTheme="majorBidi" w:cstheme="majorBidi"/>
          <w:sz w:val="24"/>
          <w:szCs w:val="24"/>
          <w:vertAlign w:val="superscript"/>
          <w:lang w:val="en-US"/>
        </w:rPr>
        <w:t>)</w:t>
      </w:r>
      <w:r w:rsidR="006439C2" w:rsidRPr="006439C2">
        <w:rPr>
          <w:rFonts w:asciiTheme="majorBidi" w:hAnsiTheme="majorBidi" w:cstheme="majorBidi"/>
          <w:sz w:val="24"/>
          <w:szCs w:val="24"/>
          <w:lang w:val="en-US"/>
        </w:rPr>
        <w:t>.</w:t>
      </w:r>
      <w:r w:rsidRPr="00516108">
        <w:rPr>
          <w:rFonts w:asciiTheme="majorBidi" w:hAnsiTheme="majorBidi" w:cstheme="majorBidi"/>
          <w:sz w:val="24"/>
          <w:szCs w:val="24"/>
          <w:lang w:val="en-US"/>
        </w:rPr>
        <w:t xml:space="preserve"> Given that most empirical studies have used financial </w:t>
      </w:r>
      <w:r w:rsidR="00307611" w:rsidRPr="00516108">
        <w:rPr>
          <w:rFonts w:asciiTheme="majorBidi" w:hAnsiTheme="majorBidi" w:cstheme="majorBidi"/>
          <w:sz w:val="24"/>
          <w:szCs w:val="24"/>
          <w:lang w:val="en-US"/>
        </w:rPr>
        <w:t xml:space="preserve">scenarios </w:t>
      </w:r>
      <w:r w:rsidRPr="00516108">
        <w:rPr>
          <w:rFonts w:asciiTheme="majorBidi" w:hAnsiTheme="majorBidi" w:cstheme="majorBidi"/>
          <w:sz w:val="24"/>
          <w:szCs w:val="24"/>
          <w:lang w:val="en-US"/>
        </w:rPr>
        <w:t xml:space="preserve">or gambling </w:t>
      </w:r>
      <w:r w:rsidR="00307611" w:rsidRPr="00516108">
        <w:rPr>
          <w:rFonts w:asciiTheme="majorBidi" w:hAnsiTheme="majorBidi" w:cstheme="majorBidi"/>
          <w:sz w:val="24"/>
          <w:szCs w:val="24"/>
          <w:lang w:val="en-US"/>
        </w:rPr>
        <w:t xml:space="preserve">tasks </w:t>
      </w:r>
      <w:r w:rsidRPr="00516108">
        <w:rPr>
          <w:rFonts w:asciiTheme="majorBidi" w:hAnsiTheme="majorBidi" w:cstheme="majorBidi"/>
          <w:sz w:val="24"/>
          <w:szCs w:val="24"/>
          <w:lang w:val="en-US"/>
        </w:rPr>
        <w:t>to investigate age differences in risk taking</w:t>
      </w:r>
      <w:r w:rsidR="006439C2" w:rsidRPr="00F115A7">
        <w:rPr>
          <w:rFonts w:asciiTheme="majorBidi" w:hAnsiTheme="majorBidi" w:cstheme="majorBidi"/>
          <w:sz w:val="24"/>
          <w:szCs w:val="24"/>
          <w:vertAlign w:val="superscript"/>
          <w:lang w:val="en-US"/>
        </w:rPr>
        <w:t xml:space="preserve"> </w:t>
      </w:r>
      <w:r w:rsidR="00F115A7" w:rsidRPr="00F115A7">
        <w:rPr>
          <w:rFonts w:asciiTheme="majorBidi" w:hAnsiTheme="majorBidi" w:cstheme="majorBidi"/>
          <w:sz w:val="24"/>
          <w:szCs w:val="24"/>
          <w:vertAlign w:val="superscript"/>
          <w:lang w:val="en-US"/>
        </w:rPr>
        <w:t>(3)</w:t>
      </w:r>
      <w:r w:rsidR="006439C2" w:rsidRPr="006439C2">
        <w:rPr>
          <w:rFonts w:asciiTheme="majorBidi" w:hAnsiTheme="majorBidi" w:cstheme="majorBidi"/>
          <w:sz w:val="24"/>
          <w:szCs w:val="24"/>
          <w:lang w:val="en-US"/>
        </w:rPr>
        <w:t>,</w:t>
      </w:r>
      <w:r w:rsidRPr="00516108">
        <w:rPr>
          <w:rFonts w:asciiTheme="majorBidi" w:hAnsiTheme="majorBidi" w:cstheme="majorBidi"/>
          <w:sz w:val="24"/>
          <w:szCs w:val="24"/>
          <w:lang w:val="en-US"/>
        </w:rPr>
        <w:t xml:space="preserve"> they might have provided a limited picture with regard to other domains such as </w:t>
      </w:r>
      <w:r w:rsidR="0019278E" w:rsidRPr="00516108">
        <w:rPr>
          <w:rFonts w:asciiTheme="majorBidi" w:hAnsiTheme="majorBidi" w:cstheme="majorBidi"/>
          <w:sz w:val="24"/>
          <w:szCs w:val="24"/>
          <w:lang w:val="en-US"/>
        </w:rPr>
        <w:t xml:space="preserve">the </w:t>
      </w:r>
      <w:r w:rsidRPr="00516108">
        <w:rPr>
          <w:rFonts w:asciiTheme="majorBidi" w:hAnsiTheme="majorBidi" w:cstheme="majorBidi"/>
          <w:sz w:val="24"/>
          <w:szCs w:val="24"/>
          <w:lang w:val="en-US"/>
        </w:rPr>
        <w:t>medical</w:t>
      </w:r>
      <w:r w:rsidR="0019278E" w:rsidRPr="00516108">
        <w:rPr>
          <w:rFonts w:asciiTheme="majorBidi" w:hAnsiTheme="majorBidi" w:cstheme="majorBidi"/>
          <w:sz w:val="24"/>
          <w:szCs w:val="24"/>
          <w:lang w:val="en-US"/>
        </w:rPr>
        <w:t xml:space="preserve"> </w:t>
      </w:r>
      <w:r w:rsidR="007D79F2">
        <w:rPr>
          <w:rFonts w:asciiTheme="majorBidi" w:hAnsiTheme="majorBidi" w:cstheme="majorBidi"/>
          <w:sz w:val="24"/>
          <w:szCs w:val="24"/>
          <w:lang w:val="en-US"/>
        </w:rPr>
        <w:t>risk taking</w:t>
      </w:r>
      <w:r w:rsidRPr="00516108">
        <w:rPr>
          <w:rFonts w:asciiTheme="majorBidi" w:hAnsiTheme="majorBidi" w:cstheme="majorBidi"/>
          <w:sz w:val="24"/>
          <w:szCs w:val="24"/>
          <w:lang w:val="en-US"/>
        </w:rPr>
        <w:t xml:space="preserve">. </w:t>
      </w:r>
      <w:r w:rsidR="007D79F2">
        <w:rPr>
          <w:rFonts w:asciiTheme="majorBidi" w:hAnsiTheme="majorBidi" w:cstheme="majorBidi"/>
          <w:sz w:val="24"/>
          <w:szCs w:val="24"/>
          <w:lang w:val="en-US"/>
        </w:rPr>
        <w:t xml:space="preserve">In line with our findings, there exists evidence </w:t>
      </w:r>
      <w:r w:rsidR="00F115A7">
        <w:rPr>
          <w:rFonts w:asciiTheme="majorBidi" w:hAnsiTheme="majorBidi" w:cstheme="majorBidi"/>
          <w:sz w:val="24"/>
          <w:szCs w:val="24"/>
          <w:vertAlign w:val="superscript"/>
          <w:lang w:val="en-US"/>
        </w:rPr>
        <w:t>(</w:t>
      </w:r>
      <w:r w:rsidR="0004797A">
        <w:rPr>
          <w:rFonts w:asciiTheme="majorBidi" w:hAnsiTheme="majorBidi" w:cstheme="majorBidi"/>
          <w:sz w:val="24"/>
          <w:szCs w:val="24"/>
          <w:vertAlign w:val="superscript"/>
          <w:lang w:val="en-US"/>
        </w:rPr>
        <w:t>18</w:t>
      </w:r>
      <w:r w:rsidR="007D79F2">
        <w:rPr>
          <w:rFonts w:asciiTheme="majorBidi" w:hAnsiTheme="majorBidi" w:cstheme="majorBidi"/>
          <w:sz w:val="24"/>
          <w:szCs w:val="24"/>
          <w:vertAlign w:val="superscript"/>
          <w:lang w:val="en-US"/>
        </w:rPr>
        <w:t>)</w:t>
      </w:r>
      <w:r w:rsidR="00C45482">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that risk taking across adult</w:t>
      </w:r>
      <w:r w:rsidR="007D79F2">
        <w:rPr>
          <w:rFonts w:asciiTheme="majorBidi" w:hAnsiTheme="majorBidi" w:cstheme="majorBidi"/>
          <w:sz w:val="24"/>
          <w:szCs w:val="24"/>
          <w:lang w:val="en-US"/>
        </w:rPr>
        <w:t xml:space="preserve">hood </w:t>
      </w:r>
      <w:r w:rsidRPr="00516108">
        <w:rPr>
          <w:rFonts w:asciiTheme="majorBidi" w:hAnsiTheme="majorBidi" w:cstheme="majorBidi"/>
          <w:sz w:val="24"/>
          <w:szCs w:val="24"/>
          <w:lang w:val="en-US"/>
        </w:rPr>
        <w:t>does not take a uniform shape but varies according to domain. Our data, thus, not only highlight the importance of focu</w:t>
      </w:r>
      <w:r w:rsidR="008B7CCD">
        <w:rPr>
          <w:rFonts w:asciiTheme="majorBidi" w:hAnsiTheme="majorBidi" w:cstheme="majorBidi"/>
          <w:sz w:val="24"/>
          <w:szCs w:val="24"/>
          <w:lang w:val="en-US"/>
        </w:rPr>
        <w:t>sing on a specific risk domain</w:t>
      </w:r>
      <w:r w:rsidR="00F115A7">
        <w:rPr>
          <w:rFonts w:asciiTheme="majorBidi" w:hAnsiTheme="majorBidi" w:cstheme="majorBidi"/>
          <w:sz w:val="24"/>
          <w:szCs w:val="24"/>
          <w:vertAlign w:val="superscript"/>
          <w:lang w:val="en-US"/>
        </w:rPr>
        <w:t>(1</w:t>
      </w:r>
      <w:r w:rsidR="0004797A">
        <w:rPr>
          <w:rFonts w:asciiTheme="majorBidi" w:hAnsiTheme="majorBidi" w:cstheme="majorBidi"/>
          <w:sz w:val="24"/>
          <w:szCs w:val="24"/>
          <w:vertAlign w:val="superscript"/>
          <w:lang w:val="en-US"/>
        </w:rPr>
        <w:t>5</w:t>
      </w:r>
      <w:r w:rsidR="00F115A7">
        <w:rPr>
          <w:rFonts w:asciiTheme="majorBidi" w:hAnsiTheme="majorBidi" w:cstheme="majorBidi"/>
          <w:sz w:val="24"/>
          <w:szCs w:val="24"/>
          <w:vertAlign w:val="superscript"/>
          <w:lang w:val="en-US"/>
        </w:rPr>
        <w:t>)</w:t>
      </w:r>
      <w:r w:rsidRPr="00516108">
        <w:rPr>
          <w:rFonts w:asciiTheme="majorBidi" w:hAnsiTheme="majorBidi" w:cstheme="majorBidi"/>
          <w:sz w:val="24"/>
          <w:szCs w:val="24"/>
          <w:lang w:val="en-US"/>
        </w:rPr>
        <w:t xml:space="preserve"> but also question the </w:t>
      </w:r>
      <w:r w:rsidR="00E32F77">
        <w:rPr>
          <w:rFonts w:asciiTheme="majorBidi" w:hAnsiTheme="majorBidi" w:cstheme="majorBidi"/>
          <w:sz w:val="24"/>
          <w:szCs w:val="24"/>
          <w:lang w:val="en-US"/>
        </w:rPr>
        <w:t xml:space="preserve">exclusive </w:t>
      </w:r>
      <w:r w:rsidR="00AF7D6F" w:rsidRPr="00516108">
        <w:rPr>
          <w:rFonts w:asciiTheme="majorBidi" w:hAnsiTheme="majorBidi" w:cstheme="majorBidi"/>
          <w:sz w:val="24"/>
          <w:szCs w:val="24"/>
          <w:lang w:val="en-US"/>
        </w:rPr>
        <w:t xml:space="preserve">reliance on </w:t>
      </w:r>
      <w:r w:rsidRPr="00516108">
        <w:rPr>
          <w:rFonts w:asciiTheme="majorBidi" w:hAnsiTheme="majorBidi" w:cstheme="majorBidi"/>
          <w:sz w:val="24"/>
          <w:szCs w:val="24"/>
          <w:lang w:val="en-US"/>
        </w:rPr>
        <w:t>financial risk taking in predicting older adults</w:t>
      </w:r>
      <w:r w:rsidR="003A7FBA">
        <w:rPr>
          <w:rFonts w:asciiTheme="majorBidi" w:hAnsiTheme="majorBidi" w:cstheme="majorBidi"/>
          <w:sz w:val="24"/>
          <w:szCs w:val="24"/>
          <w:lang w:val="en-US"/>
        </w:rPr>
        <w:t>’</w:t>
      </w:r>
      <w:r w:rsidRPr="00516108">
        <w:rPr>
          <w:rFonts w:asciiTheme="majorBidi" w:hAnsiTheme="majorBidi" w:cstheme="majorBidi"/>
          <w:sz w:val="24"/>
          <w:szCs w:val="24"/>
          <w:lang w:val="en-US"/>
        </w:rPr>
        <w:t xml:space="preserve"> risk taking in other domains.</w:t>
      </w:r>
      <w:r w:rsidR="004706BA" w:rsidRPr="00516108">
        <w:rPr>
          <w:rFonts w:asciiTheme="majorBidi" w:hAnsiTheme="majorBidi" w:cstheme="majorBidi"/>
          <w:sz w:val="24"/>
          <w:szCs w:val="24"/>
          <w:lang w:val="en-US"/>
        </w:rPr>
        <w:t xml:space="preserve"> </w:t>
      </w:r>
    </w:p>
    <w:p w14:paraId="608447AF" w14:textId="559781A6" w:rsidR="00BC35B3" w:rsidRPr="00516108" w:rsidRDefault="00BC35B3" w:rsidP="0004797A">
      <w:pPr>
        <w:tabs>
          <w:tab w:val="left" w:pos="2430"/>
        </w:tabs>
        <w:spacing w:after="0" w:line="480" w:lineRule="auto"/>
        <w:ind w:firstLine="567"/>
        <w:rPr>
          <w:rFonts w:asciiTheme="majorBidi" w:hAnsiTheme="majorBidi" w:cstheme="majorBidi"/>
          <w:sz w:val="24"/>
          <w:szCs w:val="24"/>
          <w:lang w:val="en-US"/>
        </w:rPr>
      </w:pPr>
      <w:r>
        <w:rPr>
          <w:rFonts w:asciiTheme="majorBidi" w:hAnsiTheme="majorBidi" w:cstheme="majorBidi"/>
          <w:sz w:val="24"/>
          <w:szCs w:val="24"/>
          <w:lang w:val="en-US"/>
        </w:rPr>
        <w:t>That being said, earlier studies using the DOSPERT-M have reported mi</w:t>
      </w:r>
      <w:r w:rsidR="00023117">
        <w:rPr>
          <w:rFonts w:asciiTheme="majorBidi" w:hAnsiTheme="majorBidi" w:cstheme="majorBidi"/>
          <w:sz w:val="24"/>
          <w:szCs w:val="24"/>
          <w:lang w:val="en-US"/>
        </w:rPr>
        <w:t>x</w:t>
      </w:r>
      <w:r>
        <w:rPr>
          <w:rFonts w:asciiTheme="majorBidi" w:hAnsiTheme="majorBidi" w:cstheme="majorBidi"/>
          <w:sz w:val="24"/>
          <w:szCs w:val="24"/>
          <w:lang w:val="en-US"/>
        </w:rPr>
        <w:t>ed results. While one study</w:t>
      </w:r>
      <w:r w:rsidR="00F40EB3">
        <w:rPr>
          <w:rFonts w:asciiTheme="majorBidi" w:hAnsiTheme="majorBidi" w:cstheme="majorBidi"/>
          <w:sz w:val="24"/>
          <w:szCs w:val="24"/>
          <w:vertAlign w:val="superscript"/>
          <w:lang w:val="en-US"/>
        </w:rPr>
        <w:t>(4</w:t>
      </w:r>
      <w:r w:rsidR="0004797A">
        <w:rPr>
          <w:rFonts w:asciiTheme="majorBidi" w:hAnsiTheme="majorBidi" w:cstheme="majorBidi"/>
          <w:sz w:val="24"/>
          <w:szCs w:val="24"/>
          <w:vertAlign w:val="superscript"/>
          <w:lang w:val="en-US"/>
        </w:rPr>
        <w:t>8</w:t>
      </w:r>
      <w:r w:rsidR="00F40EB3">
        <w:rPr>
          <w:rFonts w:asciiTheme="majorBidi" w:hAnsiTheme="majorBidi" w:cstheme="majorBidi"/>
          <w:sz w:val="24"/>
          <w:szCs w:val="24"/>
          <w:vertAlign w:val="superscript"/>
          <w:lang w:val="en-US"/>
        </w:rPr>
        <w:t>)</w:t>
      </w:r>
      <w:r>
        <w:rPr>
          <w:rFonts w:asciiTheme="majorBidi" w:hAnsiTheme="majorBidi" w:cstheme="majorBidi"/>
          <w:sz w:val="24"/>
          <w:szCs w:val="24"/>
          <w:lang w:val="en-US"/>
        </w:rPr>
        <w:t xml:space="preserve"> found </w:t>
      </w:r>
      <w:r w:rsidR="00B52F94">
        <w:rPr>
          <w:rFonts w:asciiTheme="majorBidi" w:hAnsiTheme="majorBidi" w:cstheme="majorBidi"/>
          <w:sz w:val="24"/>
          <w:szCs w:val="24"/>
          <w:lang w:val="en-US"/>
        </w:rPr>
        <w:t>few</w:t>
      </w:r>
      <w:r>
        <w:rPr>
          <w:rFonts w:asciiTheme="majorBidi" w:hAnsiTheme="majorBidi" w:cstheme="majorBidi"/>
          <w:sz w:val="24"/>
          <w:szCs w:val="24"/>
          <w:lang w:val="en-US"/>
        </w:rPr>
        <w:t xml:space="preserve"> age</w:t>
      </w:r>
      <w:r w:rsidR="00B52F94">
        <w:rPr>
          <w:rFonts w:asciiTheme="majorBidi" w:hAnsiTheme="majorBidi" w:cstheme="majorBidi"/>
          <w:sz w:val="24"/>
          <w:szCs w:val="24"/>
          <w:lang w:val="en-US"/>
        </w:rPr>
        <w:t>-related</w:t>
      </w:r>
      <w:r>
        <w:rPr>
          <w:rFonts w:asciiTheme="majorBidi" w:hAnsiTheme="majorBidi" w:cstheme="majorBidi"/>
          <w:sz w:val="24"/>
          <w:szCs w:val="24"/>
          <w:lang w:val="en-US"/>
        </w:rPr>
        <w:t xml:space="preserve"> difference, </w:t>
      </w:r>
      <w:r w:rsidR="00023117">
        <w:rPr>
          <w:rFonts w:asciiTheme="majorBidi" w:hAnsiTheme="majorBidi" w:cstheme="majorBidi"/>
          <w:sz w:val="24"/>
          <w:szCs w:val="24"/>
          <w:lang w:val="en-US"/>
        </w:rPr>
        <w:t>others</w:t>
      </w:r>
      <w:r w:rsidR="00F40EB3">
        <w:rPr>
          <w:rFonts w:asciiTheme="majorBidi" w:hAnsiTheme="majorBidi" w:cstheme="majorBidi"/>
          <w:sz w:val="24"/>
          <w:szCs w:val="24"/>
          <w:vertAlign w:val="superscript"/>
          <w:lang w:val="en-US"/>
        </w:rPr>
        <w:t>(4</w:t>
      </w:r>
      <w:r w:rsidR="0004797A">
        <w:rPr>
          <w:rFonts w:asciiTheme="majorBidi" w:hAnsiTheme="majorBidi" w:cstheme="majorBidi"/>
          <w:sz w:val="24"/>
          <w:szCs w:val="24"/>
          <w:vertAlign w:val="superscript"/>
          <w:lang w:val="en-US"/>
        </w:rPr>
        <w:t>9</w:t>
      </w:r>
      <w:r w:rsidR="00F40EB3">
        <w:rPr>
          <w:rFonts w:asciiTheme="majorBidi" w:hAnsiTheme="majorBidi" w:cstheme="majorBidi"/>
          <w:sz w:val="24"/>
          <w:szCs w:val="24"/>
          <w:vertAlign w:val="superscript"/>
          <w:lang w:val="en-US"/>
        </w:rPr>
        <w:t>)</w:t>
      </w:r>
      <w:r>
        <w:rPr>
          <w:rFonts w:asciiTheme="majorBidi" w:hAnsiTheme="majorBidi" w:cstheme="majorBidi"/>
          <w:sz w:val="24"/>
          <w:szCs w:val="24"/>
          <w:lang w:val="en-US"/>
        </w:rPr>
        <w:t xml:space="preserve"> report</w:t>
      </w:r>
      <w:r w:rsidR="00023117">
        <w:rPr>
          <w:rFonts w:asciiTheme="majorBidi" w:hAnsiTheme="majorBidi" w:cstheme="majorBidi"/>
          <w:sz w:val="24"/>
          <w:szCs w:val="24"/>
          <w:lang w:val="en-US"/>
        </w:rPr>
        <w:t>ed heighten</w:t>
      </w:r>
      <w:r w:rsidR="001B0F87">
        <w:rPr>
          <w:rFonts w:asciiTheme="majorBidi" w:hAnsiTheme="majorBidi" w:cstheme="majorBidi"/>
          <w:sz w:val="24"/>
          <w:szCs w:val="24"/>
          <w:lang w:val="en-US"/>
        </w:rPr>
        <w:t>ed</w:t>
      </w:r>
      <w:r w:rsidR="00023117">
        <w:rPr>
          <w:rFonts w:asciiTheme="majorBidi" w:hAnsiTheme="majorBidi" w:cstheme="majorBidi"/>
          <w:sz w:val="24"/>
          <w:szCs w:val="24"/>
          <w:lang w:val="en-US"/>
        </w:rPr>
        <w:t xml:space="preserve"> risk taking among older adults.</w:t>
      </w:r>
      <w:r>
        <w:rPr>
          <w:rFonts w:asciiTheme="majorBidi" w:hAnsiTheme="majorBidi" w:cstheme="majorBidi"/>
          <w:sz w:val="24"/>
          <w:szCs w:val="24"/>
          <w:lang w:val="en-US"/>
        </w:rPr>
        <w:t xml:space="preserve"> It is possible that the </w:t>
      </w:r>
      <w:r w:rsidR="00A64E59">
        <w:rPr>
          <w:rFonts w:asciiTheme="majorBidi" w:hAnsiTheme="majorBidi" w:cstheme="majorBidi"/>
          <w:sz w:val="24"/>
          <w:szCs w:val="24"/>
          <w:lang w:val="en-US"/>
        </w:rPr>
        <w:t xml:space="preserve">specific content of the health-related </w:t>
      </w:r>
      <w:r>
        <w:rPr>
          <w:rFonts w:asciiTheme="majorBidi" w:hAnsiTheme="majorBidi" w:cstheme="majorBidi"/>
          <w:sz w:val="24"/>
          <w:szCs w:val="24"/>
          <w:lang w:val="en-US"/>
        </w:rPr>
        <w:t xml:space="preserve">questions </w:t>
      </w:r>
      <w:r w:rsidR="00023117">
        <w:rPr>
          <w:rFonts w:asciiTheme="majorBidi" w:hAnsiTheme="majorBidi" w:cstheme="majorBidi"/>
          <w:sz w:val="24"/>
          <w:szCs w:val="24"/>
          <w:lang w:val="en-US"/>
        </w:rPr>
        <w:t>in the DOSPERT-M</w:t>
      </w:r>
      <w:r>
        <w:rPr>
          <w:rFonts w:asciiTheme="majorBidi" w:hAnsiTheme="majorBidi" w:cstheme="majorBidi"/>
          <w:sz w:val="24"/>
          <w:szCs w:val="24"/>
          <w:lang w:val="en-US"/>
        </w:rPr>
        <w:t xml:space="preserve"> account for these differences. For example, older adults might </w:t>
      </w:r>
      <w:r w:rsidR="00023117">
        <w:rPr>
          <w:rFonts w:asciiTheme="majorBidi" w:hAnsiTheme="majorBidi" w:cstheme="majorBidi"/>
          <w:sz w:val="24"/>
          <w:szCs w:val="24"/>
          <w:lang w:val="en-US"/>
        </w:rPr>
        <w:t xml:space="preserve">exhibit more </w:t>
      </w:r>
      <w:r>
        <w:rPr>
          <w:rFonts w:asciiTheme="majorBidi" w:hAnsiTheme="majorBidi" w:cstheme="majorBidi"/>
          <w:sz w:val="24"/>
          <w:szCs w:val="24"/>
          <w:lang w:val="en-US"/>
        </w:rPr>
        <w:t>altruistic</w:t>
      </w:r>
      <w:r w:rsidR="00023117">
        <w:rPr>
          <w:rFonts w:asciiTheme="majorBidi" w:hAnsiTheme="majorBidi" w:cstheme="majorBidi"/>
          <w:sz w:val="24"/>
          <w:szCs w:val="24"/>
          <w:lang w:val="en-US"/>
        </w:rPr>
        <w:t xml:space="preserve"> tendencies</w:t>
      </w:r>
      <w:r>
        <w:rPr>
          <w:rFonts w:asciiTheme="majorBidi" w:hAnsiTheme="majorBidi" w:cstheme="majorBidi"/>
          <w:sz w:val="24"/>
          <w:szCs w:val="24"/>
          <w:lang w:val="en-US"/>
        </w:rPr>
        <w:t xml:space="preserve">, and hence </w:t>
      </w:r>
      <w:r w:rsidR="00B52F94">
        <w:rPr>
          <w:rFonts w:asciiTheme="majorBidi" w:hAnsiTheme="majorBidi" w:cstheme="majorBidi"/>
          <w:sz w:val="24"/>
          <w:szCs w:val="24"/>
          <w:lang w:val="en-US"/>
        </w:rPr>
        <w:t>be</w:t>
      </w:r>
      <w:r>
        <w:rPr>
          <w:rFonts w:asciiTheme="majorBidi" w:hAnsiTheme="majorBidi" w:cstheme="majorBidi"/>
          <w:sz w:val="24"/>
          <w:szCs w:val="24"/>
          <w:lang w:val="en-US"/>
        </w:rPr>
        <w:t xml:space="preserve"> more likely to donate blood. Indeed, in a series of studies, researcher</w:t>
      </w:r>
      <w:r w:rsidR="00023117">
        <w:rPr>
          <w:rFonts w:asciiTheme="majorBidi" w:hAnsiTheme="majorBidi" w:cstheme="majorBidi"/>
          <w:sz w:val="24"/>
          <w:szCs w:val="24"/>
          <w:lang w:val="en-US"/>
        </w:rPr>
        <w:t>s</w:t>
      </w:r>
      <w:r w:rsidR="00F40EB3">
        <w:rPr>
          <w:rFonts w:asciiTheme="majorBidi" w:hAnsiTheme="majorBidi" w:cstheme="majorBidi"/>
          <w:sz w:val="24"/>
          <w:szCs w:val="24"/>
          <w:vertAlign w:val="superscript"/>
          <w:lang w:val="en-US"/>
        </w:rPr>
        <w:t>(</w:t>
      </w:r>
      <w:r w:rsidR="0004797A">
        <w:rPr>
          <w:rFonts w:asciiTheme="majorBidi" w:hAnsiTheme="majorBidi" w:cstheme="majorBidi"/>
          <w:sz w:val="24"/>
          <w:szCs w:val="24"/>
          <w:vertAlign w:val="superscript"/>
          <w:lang w:val="en-US"/>
        </w:rPr>
        <w:t>50</w:t>
      </w:r>
      <w:r w:rsidR="00F40EB3">
        <w:rPr>
          <w:rFonts w:asciiTheme="majorBidi" w:hAnsiTheme="majorBidi" w:cstheme="majorBidi"/>
          <w:sz w:val="24"/>
          <w:szCs w:val="24"/>
          <w:vertAlign w:val="superscript"/>
          <w:lang w:val="en-US"/>
        </w:rPr>
        <w:t>)</w:t>
      </w:r>
      <w:r>
        <w:rPr>
          <w:rFonts w:asciiTheme="majorBidi" w:hAnsiTheme="majorBidi" w:cstheme="majorBidi"/>
          <w:sz w:val="24"/>
          <w:szCs w:val="24"/>
          <w:lang w:val="en-US"/>
        </w:rPr>
        <w:t xml:space="preserve"> reported that older adults </w:t>
      </w:r>
      <w:r w:rsidR="00023117">
        <w:rPr>
          <w:rFonts w:asciiTheme="majorBidi" w:hAnsiTheme="majorBidi" w:cstheme="majorBidi"/>
          <w:sz w:val="24"/>
          <w:szCs w:val="24"/>
          <w:lang w:val="en-US"/>
        </w:rPr>
        <w:t>not only view contributing to the greater good more favorably, but are more likely to act in this manner. Furthermore, some of the questions o</w:t>
      </w:r>
      <w:r w:rsidR="00B52F94">
        <w:rPr>
          <w:rFonts w:asciiTheme="majorBidi" w:hAnsiTheme="majorBidi" w:cstheme="majorBidi"/>
          <w:sz w:val="24"/>
          <w:szCs w:val="24"/>
          <w:lang w:val="en-US"/>
        </w:rPr>
        <w:t>f</w:t>
      </w:r>
      <w:r w:rsidR="00023117">
        <w:rPr>
          <w:rFonts w:asciiTheme="majorBidi" w:hAnsiTheme="majorBidi" w:cstheme="majorBidi"/>
          <w:sz w:val="24"/>
          <w:szCs w:val="24"/>
          <w:lang w:val="en-US"/>
        </w:rPr>
        <w:t xml:space="preserve"> the DOSPERT-</w:t>
      </w:r>
      <w:r w:rsidR="00B52F94">
        <w:rPr>
          <w:rFonts w:asciiTheme="majorBidi" w:hAnsiTheme="majorBidi" w:cstheme="majorBidi"/>
          <w:sz w:val="24"/>
          <w:szCs w:val="24"/>
          <w:lang w:val="en-US"/>
        </w:rPr>
        <w:t>M</w:t>
      </w:r>
      <w:r w:rsidR="00023117">
        <w:rPr>
          <w:rFonts w:asciiTheme="majorBidi" w:hAnsiTheme="majorBidi" w:cstheme="majorBidi"/>
          <w:sz w:val="24"/>
          <w:szCs w:val="24"/>
          <w:lang w:val="en-US"/>
        </w:rPr>
        <w:t xml:space="preserve"> might be age specific, such as requiring a knee replacement surgery. </w:t>
      </w:r>
    </w:p>
    <w:p w14:paraId="372B9F6B" w14:textId="5C966147" w:rsidR="00C10455" w:rsidRPr="00516108" w:rsidRDefault="009A1B45" w:rsidP="0004797A">
      <w:pPr>
        <w:tabs>
          <w:tab w:val="left" w:pos="2430"/>
        </w:tabs>
        <w:spacing w:after="0" w:line="480" w:lineRule="auto"/>
        <w:ind w:firstLine="567"/>
        <w:rPr>
          <w:rFonts w:asciiTheme="majorBidi" w:hAnsiTheme="majorBidi" w:cstheme="majorBidi"/>
          <w:sz w:val="24"/>
          <w:szCs w:val="24"/>
          <w:lang w:val="en-US"/>
        </w:rPr>
      </w:pPr>
      <w:r>
        <w:rPr>
          <w:rFonts w:asciiTheme="majorBidi" w:hAnsiTheme="majorBidi" w:cstheme="majorBidi"/>
          <w:sz w:val="24"/>
          <w:szCs w:val="24"/>
          <w:lang w:val="en-US"/>
        </w:rPr>
        <w:t>In line with</w:t>
      </w:r>
      <w:r w:rsidR="00613DC9" w:rsidRPr="00516108">
        <w:rPr>
          <w:rFonts w:asciiTheme="majorBidi" w:hAnsiTheme="majorBidi" w:cstheme="majorBidi"/>
          <w:sz w:val="24"/>
          <w:szCs w:val="24"/>
          <w:lang w:val="en-US"/>
        </w:rPr>
        <w:t xml:space="preserve"> </w:t>
      </w:r>
      <w:r w:rsidR="008B7CCD">
        <w:rPr>
          <w:rFonts w:asciiTheme="majorBidi" w:hAnsiTheme="majorBidi" w:cstheme="majorBidi"/>
          <w:sz w:val="24"/>
          <w:szCs w:val="24"/>
          <w:lang w:val="en-US"/>
        </w:rPr>
        <w:t>earlier work</w:t>
      </w:r>
      <w:r w:rsidR="006439C2">
        <w:rPr>
          <w:rFonts w:asciiTheme="majorBidi" w:hAnsiTheme="majorBidi" w:cstheme="majorBidi"/>
          <w:sz w:val="24"/>
          <w:szCs w:val="24"/>
          <w:vertAlign w:val="superscript"/>
          <w:lang w:val="en-US"/>
        </w:rPr>
        <w:t xml:space="preserve"> </w:t>
      </w:r>
      <w:r w:rsidR="00F115A7">
        <w:rPr>
          <w:rFonts w:asciiTheme="majorBidi" w:hAnsiTheme="majorBidi" w:cstheme="majorBidi"/>
          <w:sz w:val="24"/>
          <w:szCs w:val="24"/>
          <w:vertAlign w:val="superscript"/>
          <w:lang w:val="en-US"/>
        </w:rPr>
        <w:t>(1</w:t>
      </w:r>
      <w:r w:rsidR="0004797A">
        <w:rPr>
          <w:rFonts w:asciiTheme="majorBidi" w:hAnsiTheme="majorBidi" w:cstheme="majorBidi"/>
          <w:sz w:val="24"/>
          <w:szCs w:val="24"/>
          <w:vertAlign w:val="superscript"/>
          <w:lang w:val="en-US"/>
        </w:rPr>
        <w:t>9</w:t>
      </w:r>
      <w:r w:rsidR="008B7CCD" w:rsidRPr="008B7CCD">
        <w:rPr>
          <w:rFonts w:asciiTheme="majorBidi" w:hAnsiTheme="majorBidi" w:cstheme="majorBidi"/>
          <w:sz w:val="24"/>
          <w:szCs w:val="24"/>
          <w:vertAlign w:val="superscript"/>
          <w:lang w:val="en-US"/>
        </w:rPr>
        <w:t>-</w:t>
      </w:r>
      <w:r w:rsidR="0004797A">
        <w:rPr>
          <w:rFonts w:asciiTheme="majorBidi" w:hAnsiTheme="majorBidi" w:cstheme="majorBidi"/>
          <w:sz w:val="24"/>
          <w:szCs w:val="24"/>
          <w:vertAlign w:val="superscript"/>
          <w:lang w:val="en-US"/>
        </w:rPr>
        <w:t>20</w:t>
      </w:r>
      <w:r w:rsidR="00F115A7">
        <w:rPr>
          <w:rFonts w:asciiTheme="majorBidi" w:hAnsiTheme="majorBidi" w:cstheme="majorBidi"/>
          <w:sz w:val="24"/>
          <w:szCs w:val="24"/>
          <w:vertAlign w:val="superscript"/>
          <w:lang w:val="en-US"/>
        </w:rPr>
        <w:t>)</w:t>
      </w:r>
      <w:r w:rsidR="006439C2" w:rsidRPr="006439C2">
        <w:rPr>
          <w:rFonts w:asciiTheme="majorBidi" w:hAnsiTheme="majorBidi" w:cstheme="majorBidi"/>
          <w:sz w:val="24"/>
          <w:szCs w:val="24"/>
          <w:lang w:val="en-US"/>
        </w:rPr>
        <w:t>,</w:t>
      </w:r>
      <w:r w:rsidR="00C10455" w:rsidRPr="00516108">
        <w:rPr>
          <w:rFonts w:asciiTheme="majorBidi" w:hAnsiTheme="majorBidi" w:cstheme="majorBidi"/>
          <w:sz w:val="24"/>
          <w:szCs w:val="24"/>
          <w:lang w:val="en-US"/>
        </w:rPr>
        <w:t xml:space="preserve"> our data indicate that risk</w:t>
      </w:r>
      <w:r w:rsidR="0019278E" w:rsidRPr="00516108">
        <w:rPr>
          <w:rFonts w:asciiTheme="majorBidi" w:hAnsiTheme="majorBidi" w:cstheme="majorBidi"/>
          <w:sz w:val="24"/>
          <w:szCs w:val="24"/>
          <w:lang w:val="en-US"/>
        </w:rPr>
        <w:t>-</w:t>
      </w:r>
      <w:r w:rsidR="00C10455" w:rsidRPr="00516108">
        <w:rPr>
          <w:rFonts w:asciiTheme="majorBidi" w:hAnsiTheme="majorBidi" w:cstheme="majorBidi"/>
          <w:sz w:val="24"/>
          <w:szCs w:val="24"/>
          <w:lang w:val="en-US"/>
        </w:rPr>
        <w:t>taking behavior can be captured by participants’ risk and benefit perception of the given activity. Indeed, in line with our hypothesis, greater expected benefit was associated with greater likelihood of engaging in medical risk taking, and higher rating of risk perception was associated with reduced likelihood of engaging in medical risk taking. Interestingly, with increased age</w:t>
      </w:r>
      <w:r w:rsidR="0019278E" w:rsidRPr="00516108">
        <w:rPr>
          <w:rFonts w:asciiTheme="majorBidi" w:hAnsiTheme="majorBidi" w:cstheme="majorBidi"/>
          <w:sz w:val="24"/>
          <w:szCs w:val="24"/>
          <w:lang w:val="en-US"/>
        </w:rPr>
        <w:t>,</w:t>
      </w:r>
      <w:r w:rsidR="00C10455" w:rsidRPr="00516108">
        <w:rPr>
          <w:rFonts w:asciiTheme="majorBidi" w:hAnsiTheme="majorBidi" w:cstheme="majorBidi"/>
          <w:sz w:val="24"/>
          <w:szCs w:val="24"/>
          <w:lang w:val="en-US"/>
        </w:rPr>
        <w:t xml:space="preserve"> risk perception played a lesser role and perceived benefit assumed a more </w:t>
      </w:r>
      <w:r w:rsidR="00613DC9" w:rsidRPr="00516108">
        <w:rPr>
          <w:rFonts w:asciiTheme="majorBidi" w:hAnsiTheme="majorBidi" w:cstheme="majorBidi"/>
          <w:sz w:val="24"/>
          <w:szCs w:val="24"/>
          <w:lang w:val="en-US"/>
        </w:rPr>
        <w:t>prominent</w:t>
      </w:r>
      <w:r w:rsidR="00C10455" w:rsidRPr="00516108">
        <w:rPr>
          <w:rFonts w:asciiTheme="majorBidi" w:hAnsiTheme="majorBidi" w:cstheme="majorBidi"/>
          <w:sz w:val="24"/>
          <w:szCs w:val="24"/>
          <w:lang w:val="en-US"/>
        </w:rPr>
        <w:t xml:space="preserve"> one. </w:t>
      </w:r>
      <w:r w:rsidR="002160ED" w:rsidRPr="00516108">
        <w:rPr>
          <w:rFonts w:asciiTheme="majorBidi" w:hAnsiTheme="majorBidi" w:cstheme="majorBidi"/>
          <w:sz w:val="24"/>
          <w:szCs w:val="24"/>
          <w:lang w:val="en-US"/>
        </w:rPr>
        <w:t>Note, h</w:t>
      </w:r>
      <w:r w:rsidR="00C10455" w:rsidRPr="00516108">
        <w:rPr>
          <w:rFonts w:asciiTheme="majorBidi" w:hAnsiTheme="majorBidi" w:cstheme="majorBidi"/>
          <w:sz w:val="24"/>
          <w:szCs w:val="24"/>
          <w:lang w:val="en-US"/>
        </w:rPr>
        <w:t xml:space="preserve">owever, </w:t>
      </w:r>
      <w:r w:rsidR="002160ED" w:rsidRPr="00516108">
        <w:rPr>
          <w:rFonts w:asciiTheme="majorBidi" w:hAnsiTheme="majorBidi" w:cstheme="majorBidi"/>
          <w:sz w:val="24"/>
          <w:szCs w:val="24"/>
          <w:lang w:val="en-US"/>
        </w:rPr>
        <w:t xml:space="preserve">that </w:t>
      </w:r>
      <w:r w:rsidR="00613DC9" w:rsidRPr="00516108">
        <w:rPr>
          <w:rFonts w:asciiTheme="majorBidi" w:hAnsiTheme="majorBidi" w:cstheme="majorBidi"/>
          <w:sz w:val="24"/>
          <w:szCs w:val="24"/>
          <w:lang w:val="en-US"/>
        </w:rPr>
        <w:t xml:space="preserve">age was associated with </w:t>
      </w:r>
      <w:r w:rsidR="002160ED" w:rsidRPr="00516108">
        <w:rPr>
          <w:rFonts w:asciiTheme="majorBidi" w:hAnsiTheme="majorBidi" w:cstheme="majorBidi"/>
          <w:sz w:val="24"/>
          <w:szCs w:val="24"/>
          <w:lang w:val="en-US"/>
        </w:rPr>
        <w:t xml:space="preserve">a </w:t>
      </w:r>
      <w:r w:rsidR="00613DC9" w:rsidRPr="00516108">
        <w:rPr>
          <w:rFonts w:asciiTheme="majorBidi" w:hAnsiTheme="majorBidi" w:cstheme="majorBidi"/>
          <w:sz w:val="24"/>
          <w:szCs w:val="24"/>
          <w:lang w:val="en-US"/>
        </w:rPr>
        <w:t xml:space="preserve">reduced focus on risk perception and not </w:t>
      </w:r>
      <w:r w:rsidR="00B24365" w:rsidRPr="00516108">
        <w:rPr>
          <w:rFonts w:asciiTheme="majorBidi" w:hAnsiTheme="majorBidi" w:cstheme="majorBidi"/>
          <w:sz w:val="24"/>
          <w:szCs w:val="24"/>
          <w:lang w:val="en-US"/>
        </w:rPr>
        <w:t xml:space="preserve">with </w:t>
      </w:r>
      <w:r w:rsidR="00613DC9" w:rsidRPr="00516108">
        <w:rPr>
          <w:rFonts w:asciiTheme="majorBidi" w:hAnsiTheme="majorBidi" w:cstheme="majorBidi"/>
          <w:sz w:val="24"/>
          <w:szCs w:val="24"/>
          <w:lang w:val="en-US"/>
        </w:rPr>
        <w:t>overvaluing</w:t>
      </w:r>
      <w:r w:rsidR="00C10455" w:rsidRPr="00516108">
        <w:rPr>
          <w:rFonts w:asciiTheme="majorBidi" w:hAnsiTheme="majorBidi" w:cstheme="majorBidi"/>
          <w:sz w:val="24"/>
          <w:szCs w:val="24"/>
          <w:lang w:val="en-US"/>
        </w:rPr>
        <w:t xml:space="preserve"> the benefits. </w:t>
      </w:r>
    </w:p>
    <w:p w14:paraId="1F8FA902" w14:textId="31AF1D31" w:rsidR="00C10455" w:rsidRPr="00516108" w:rsidRDefault="00C80C6E" w:rsidP="00AE4C51">
      <w:pPr>
        <w:tabs>
          <w:tab w:val="left" w:pos="2430"/>
        </w:tabs>
        <w:spacing w:after="0" w:line="480" w:lineRule="auto"/>
        <w:ind w:firstLine="567"/>
        <w:rPr>
          <w:rFonts w:asciiTheme="majorBidi" w:hAnsiTheme="majorBidi" w:cstheme="majorBidi"/>
          <w:sz w:val="24"/>
          <w:szCs w:val="24"/>
          <w:lang w:val="en-US"/>
        </w:rPr>
      </w:pPr>
      <w:r>
        <w:rPr>
          <w:rFonts w:asciiTheme="majorBidi" w:hAnsiTheme="majorBidi" w:cstheme="majorBidi"/>
          <w:sz w:val="24"/>
          <w:szCs w:val="24"/>
          <w:lang w:val="en-US"/>
        </w:rPr>
        <w:t>E</w:t>
      </w:r>
      <w:r w:rsidR="00C10455" w:rsidRPr="00516108">
        <w:rPr>
          <w:rFonts w:asciiTheme="majorBidi" w:hAnsiTheme="majorBidi" w:cstheme="majorBidi"/>
          <w:sz w:val="24"/>
          <w:szCs w:val="24"/>
          <w:lang w:val="en-US"/>
        </w:rPr>
        <w:t>arlier work</w:t>
      </w:r>
      <w:r w:rsidR="00F115A7">
        <w:rPr>
          <w:rFonts w:asciiTheme="majorBidi" w:hAnsiTheme="majorBidi" w:cstheme="majorBidi"/>
          <w:sz w:val="24"/>
          <w:szCs w:val="24"/>
          <w:vertAlign w:val="superscript"/>
          <w:lang w:val="en-US"/>
        </w:rPr>
        <w:t>(</w:t>
      </w:r>
      <w:r w:rsidR="00AE4C51">
        <w:rPr>
          <w:rFonts w:asciiTheme="majorBidi" w:hAnsiTheme="majorBidi" w:cstheme="majorBidi"/>
          <w:sz w:val="24"/>
          <w:szCs w:val="24"/>
          <w:vertAlign w:val="superscript"/>
          <w:lang w:val="en-US"/>
        </w:rPr>
        <w:t>30</w:t>
      </w:r>
      <w:r w:rsidR="00F115A7">
        <w:rPr>
          <w:rFonts w:asciiTheme="majorBidi" w:hAnsiTheme="majorBidi" w:cstheme="majorBidi"/>
          <w:sz w:val="24"/>
          <w:szCs w:val="24"/>
          <w:vertAlign w:val="superscript"/>
          <w:lang w:val="en-US"/>
        </w:rPr>
        <w:t>)</w:t>
      </w:r>
      <w:r w:rsidR="00C10455" w:rsidRPr="00516108">
        <w:rPr>
          <w:rFonts w:asciiTheme="majorBidi" w:hAnsiTheme="majorBidi" w:cstheme="majorBidi"/>
          <w:sz w:val="24"/>
          <w:szCs w:val="24"/>
          <w:lang w:val="en-US"/>
        </w:rPr>
        <w:t xml:space="preserve"> has shown that </w:t>
      </w:r>
      <w:r w:rsidR="00A50143">
        <w:rPr>
          <w:rFonts w:asciiTheme="majorBidi" w:eastAsia="TimesLTStd-Roman" w:hAnsiTheme="majorBidi" w:cstheme="majorBidi"/>
          <w:color w:val="000000"/>
          <w:sz w:val="24"/>
          <w:szCs w:val="24"/>
          <w:lang w:val="en-US"/>
        </w:rPr>
        <w:t>adults</w:t>
      </w:r>
      <w:r w:rsidR="00A50143" w:rsidRPr="00516108">
        <w:rPr>
          <w:rFonts w:asciiTheme="majorBidi" w:eastAsia="TimesLTStd-Roman" w:hAnsiTheme="majorBidi" w:cstheme="majorBidi"/>
          <w:color w:val="000000"/>
          <w:sz w:val="24"/>
          <w:szCs w:val="24"/>
          <w:lang w:val="en-US"/>
        </w:rPr>
        <w:t xml:space="preserve"> </w:t>
      </w:r>
      <w:r w:rsidR="00C10455" w:rsidRPr="00516108">
        <w:rPr>
          <w:rFonts w:asciiTheme="majorBidi" w:eastAsia="TimesLTStd-Roman" w:hAnsiTheme="majorBidi" w:cstheme="majorBidi"/>
          <w:color w:val="000000"/>
          <w:sz w:val="24"/>
          <w:szCs w:val="24"/>
          <w:lang w:val="en-US"/>
        </w:rPr>
        <w:t xml:space="preserve">over 50 years attend regular health checks and seek health-related advice more often than their younger counterparts. </w:t>
      </w:r>
      <w:r w:rsidR="00C10455" w:rsidRPr="00516108">
        <w:rPr>
          <w:rFonts w:asciiTheme="majorBidi" w:hAnsiTheme="majorBidi" w:cstheme="majorBidi"/>
          <w:sz w:val="24"/>
          <w:szCs w:val="24"/>
          <w:lang w:val="en-US"/>
        </w:rPr>
        <w:t xml:space="preserve">Our data provide </w:t>
      </w:r>
      <w:r w:rsidR="00613DC9" w:rsidRPr="00516108">
        <w:rPr>
          <w:rFonts w:asciiTheme="majorBidi" w:hAnsiTheme="majorBidi" w:cstheme="majorBidi"/>
          <w:sz w:val="24"/>
          <w:szCs w:val="24"/>
          <w:lang w:val="en-US"/>
        </w:rPr>
        <w:t>novel</w:t>
      </w:r>
      <w:r w:rsidR="00C10455" w:rsidRPr="00516108">
        <w:rPr>
          <w:rFonts w:asciiTheme="majorBidi" w:hAnsiTheme="majorBidi" w:cstheme="majorBidi"/>
          <w:sz w:val="24"/>
          <w:szCs w:val="24"/>
          <w:lang w:val="en-US"/>
        </w:rPr>
        <w:t xml:space="preserve"> support for this </w:t>
      </w:r>
      <w:r w:rsidR="00613DC9" w:rsidRPr="00516108">
        <w:rPr>
          <w:rFonts w:asciiTheme="majorBidi" w:hAnsiTheme="majorBidi" w:cstheme="majorBidi"/>
          <w:sz w:val="24"/>
          <w:szCs w:val="24"/>
          <w:lang w:val="en-US"/>
        </w:rPr>
        <w:t>pattern</w:t>
      </w:r>
      <w:r w:rsidR="00C10455" w:rsidRPr="00516108">
        <w:rPr>
          <w:rFonts w:asciiTheme="majorBidi" w:hAnsiTheme="majorBidi" w:cstheme="majorBidi"/>
          <w:sz w:val="24"/>
          <w:szCs w:val="24"/>
          <w:lang w:val="en-US"/>
        </w:rPr>
        <w:t xml:space="preserve">, indicating that older adults </w:t>
      </w:r>
      <w:r w:rsidR="003D7A13" w:rsidRPr="00516108">
        <w:rPr>
          <w:rFonts w:asciiTheme="majorBidi" w:hAnsiTheme="majorBidi" w:cstheme="majorBidi"/>
          <w:sz w:val="24"/>
          <w:szCs w:val="24"/>
          <w:lang w:val="en-US"/>
        </w:rPr>
        <w:t xml:space="preserve">report </w:t>
      </w:r>
      <w:r w:rsidR="00C10455" w:rsidRPr="00516108">
        <w:rPr>
          <w:rFonts w:asciiTheme="majorBidi" w:hAnsiTheme="majorBidi" w:cstheme="majorBidi"/>
          <w:sz w:val="24"/>
          <w:szCs w:val="24"/>
          <w:lang w:val="en-US"/>
        </w:rPr>
        <w:t>reduced passive risk</w:t>
      </w:r>
      <w:r w:rsidR="00813A31">
        <w:rPr>
          <w:rFonts w:asciiTheme="majorBidi" w:hAnsiTheme="majorBidi" w:cstheme="majorBidi"/>
          <w:sz w:val="24"/>
          <w:szCs w:val="24"/>
          <w:lang w:val="en-US"/>
        </w:rPr>
        <w:t>-</w:t>
      </w:r>
      <w:r w:rsidR="00C10455" w:rsidRPr="00516108">
        <w:rPr>
          <w:rFonts w:asciiTheme="majorBidi" w:hAnsiTheme="majorBidi" w:cstheme="majorBidi"/>
          <w:sz w:val="24"/>
          <w:szCs w:val="24"/>
          <w:lang w:val="en-US"/>
        </w:rPr>
        <w:t>taking behavior. There are a number of possible explanations for our findings. First, as older adults tend to experience more comorbidity,</w:t>
      </w:r>
      <w:r w:rsidR="004D4259">
        <w:rPr>
          <w:rFonts w:asciiTheme="majorBidi" w:hAnsiTheme="majorBidi" w:cstheme="majorBidi"/>
          <w:sz w:val="24"/>
          <w:szCs w:val="24"/>
          <w:lang w:val="en-US"/>
        </w:rPr>
        <w:t xml:space="preserve"> and</w:t>
      </w:r>
      <w:r w:rsidR="00C10455" w:rsidRPr="00516108">
        <w:rPr>
          <w:rFonts w:asciiTheme="majorBidi" w:hAnsiTheme="majorBidi" w:cstheme="majorBidi"/>
          <w:sz w:val="24"/>
          <w:szCs w:val="24"/>
          <w:lang w:val="en-US"/>
        </w:rPr>
        <w:t xml:space="preserve"> they </w:t>
      </w:r>
      <w:r w:rsidR="004D4259">
        <w:rPr>
          <w:rFonts w:asciiTheme="majorBidi" w:hAnsiTheme="majorBidi" w:cstheme="majorBidi"/>
          <w:sz w:val="24"/>
          <w:szCs w:val="24"/>
          <w:lang w:val="en-US"/>
        </w:rPr>
        <w:t>might be</w:t>
      </w:r>
      <w:r w:rsidR="00C10455" w:rsidRPr="00516108">
        <w:rPr>
          <w:rFonts w:asciiTheme="majorBidi" w:hAnsiTheme="majorBidi" w:cstheme="majorBidi"/>
          <w:sz w:val="24"/>
          <w:szCs w:val="24"/>
          <w:lang w:val="en-US"/>
        </w:rPr>
        <w:t xml:space="preserve"> more likely to seek </w:t>
      </w:r>
      <w:r w:rsidR="003D7A13" w:rsidRPr="00516108">
        <w:rPr>
          <w:rFonts w:asciiTheme="majorBidi" w:hAnsiTheme="majorBidi" w:cstheme="majorBidi"/>
          <w:sz w:val="24"/>
          <w:szCs w:val="24"/>
          <w:lang w:val="en-US"/>
        </w:rPr>
        <w:t xml:space="preserve">out </w:t>
      </w:r>
      <w:r w:rsidR="00C10455" w:rsidRPr="00516108">
        <w:rPr>
          <w:rFonts w:asciiTheme="majorBidi" w:hAnsiTheme="majorBidi" w:cstheme="majorBidi"/>
          <w:sz w:val="24"/>
          <w:szCs w:val="24"/>
          <w:lang w:val="en-US"/>
        </w:rPr>
        <w:t>their physicians when feeling unwell. In addition, many health campaigns specifically target older individuals</w:t>
      </w:r>
      <w:r w:rsidR="00356EFE">
        <w:rPr>
          <w:rFonts w:asciiTheme="majorBidi" w:hAnsiTheme="majorBidi" w:cstheme="majorBidi"/>
          <w:sz w:val="24"/>
          <w:szCs w:val="24"/>
          <w:vertAlign w:val="superscript"/>
          <w:lang w:val="en-US"/>
        </w:rPr>
        <w:t xml:space="preserve"> </w:t>
      </w:r>
      <w:r w:rsidR="00F115A7">
        <w:rPr>
          <w:rFonts w:asciiTheme="majorBidi" w:hAnsiTheme="majorBidi" w:cstheme="majorBidi"/>
          <w:sz w:val="24"/>
          <w:szCs w:val="24"/>
          <w:vertAlign w:val="superscript"/>
          <w:lang w:val="en-US"/>
        </w:rPr>
        <w:t>(</w:t>
      </w:r>
      <w:r w:rsidR="001F480B">
        <w:rPr>
          <w:rFonts w:asciiTheme="majorBidi" w:hAnsiTheme="majorBidi" w:cstheme="majorBidi"/>
          <w:sz w:val="24"/>
          <w:szCs w:val="24"/>
          <w:vertAlign w:val="superscript"/>
          <w:lang w:val="en-US"/>
        </w:rPr>
        <w:t>4</w:t>
      </w:r>
      <w:r w:rsidR="00AE4C51">
        <w:rPr>
          <w:rFonts w:asciiTheme="majorBidi" w:hAnsiTheme="majorBidi" w:cstheme="majorBidi"/>
          <w:sz w:val="24"/>
          <w:szCs w:val="24"/>
          <w:vertAlign w:val="superscript"/>
          <w:lang w:val="en-US"/>
        </w:rPr>
        <w:t>7</w:t>
      </w:r>
      <w:r w:rsidR="00F115A7">
        <w:rPr>
          <w:rFonts w:asciiTheme="majorBidi" w:hAnsiTheme="majorBidi" w:cstheme="majorBidi"/>
          <w:sz w:val="24"/>
          <w:szCs w:val="24"/>
          <w:vertAlign w:val="superscript"/>
          <w:lang w:val="en-US"/>
        </w:rPr>
        <w:t>)</w:t>
      </w:r>
      <w:r w:rsidR="00356EFE" w:rsidRPr="00356EFE">
        <w:rPr>
          <w:rFonts w:asciiTheme="majorBidi" w:hAnsiTheme="majorBidi" w:cstheme="majorBidi"/>
          <w:sz w:val="24"/>
          <w:szCs w:val="24"/>
          <w:lang w:val="en-US"/>
        </w:rPr>
        <w:t>,</w:t>
      </w:r>
      <w:r w:rsidR="00613DC9" w:rsidRPr="00516108">
        <w:rPr>
          <w:rFonts w:asciiTheme="majorBidi" w:hAnsiTheme="majorBidi" w:cstheme="majorBidi"/>
          <w:sz w:val="24"/>
          <w:szCs w:val="24"/>
          <w:lang w:val="en-US"/>
        </w:rPr>
        <w:t xml:space="preserve"> which could help explain greater tendencies to attend screening procedures.</w:t>
      </w:r>
      <w:r w:rsidR="00C10455" w:rsidRPr="00516108">
        <w:rPr>
          <w:rFonts w:asciiTheme="majorBidi" w:hAnsiTheme="majorBidi" w:cstheme="majorBidi"/>
          <w:sz w:val="24"/>
          <w:szCs w:val="24"/>
          <w:lang w:val="en-US"/>
        </w:rPr>
        <w:t xml:space="preserve">   </w:t>
      </w:r>
    </w:p>
    <w:p w14:paraId="41829ABA" w14:textId="5AA4B2BB" w:rsidR="005E71FB" w:rsidRPr="00516108" w:rsidRDefault="00C10455" w:rsidP="00AE4C51">
      <w:pPr>
        <w:autoSpaceDE w:val="0"/>
        <w:autoSpaceDN w:val="0"/>
        <w:adjustRightInd w:val="0"/>
        <w:spacing w:after="0" w:line="480" w:lineRule="auto"/>
        <w:ind w:firstLine="567"/>
        <w:rPr>
          <w:rFonts w:asciiTheme="majorBidi" w:hAnsiTheme="majorBidi" w:cstheme="majorBidi"/>
          <w:sz w:val="24"/>
          <w:szCs w:val="24"/>
          <w:lang w:val="en-US"/>
        </w:rPr>
      </w:pPr>
      <w:r w:rsidRPr="00516108">
        <w:rPr>
          <w:rFonts w:asciiTheme="majorBidi" w:hAnsiTheme="majorBidi" w:cstheme="majorBidi"/>
          <w:sz w:val="24"/>
          <w:szCs w:val="24"/>
          <w:lang w:val="en-US"/>
        </w:rPr>
        <w:t>Ritov and B</w:t>
      </w:r>
      <w:r w:rsidR="008E0B5C" w:rsidRPr="00516108">
        <w:rPr>
          <w:rFonts w:asciiTheme="majorBidi" w:hAnsiTheme="majorBidi" w:cstheme="majorBidi"/>
          <w:sz w:val="24"/>
          <w:szCs w:val="24"/>
          <w:lang w:val="en-US"/>
        </w:rPr>
        <w:t>a</w:t>
      </w:r>
      <w:r w:rsidRPr="00516108">
        <w:rPr>
          <w:rFonts w:asciiTheme="majorBidi" w:hAnsiTheme="majorBidi" w:cstheme="majorBidi"/>
          <w:sz w:val="24"/>
          <w:szCs w:val="24"/>
          <w:lang w:val="en-US"/>
        </w:rPr>
        <w:t>ron’s</w:t>
      </w:r>
      <w:r w:rsidR="00F115A7">
        <w:rPr>
          <w:rFonts w:asciiTheme="majorBidi" w:hAnsiTheme="majorBidi" w:cstheme="majorBidi"/>
          <w:sz w:val="24"/>
          <w:szCs w:val="24"/>
          <w:vertAlign w:val="superscript"/>
          <w:lang w:val="en-US"/>
        </w:rPr>
        <w:t>(</w:t>
      </w:r>
      <w:r w:rsidR="001F480B">
        <w:rPr>
          <w:rFonts w:asciiTheme="majorBidi" w:hAnsiTheme="majorBidi" w:cstheme="majorBidi"/>
          <w:sz w:val="24"/>
          <w:szCs w:val="24"/>
          <w:vertAlign w:val="superscript"/>
          <w:lang w:val="en-US"/>
        </w:rPr>
        <w:t>2</w:t>
      </w:r>
      <w:r w:rsidR="00AE4C51">
        <w:rPr>
          <w:rFonts w:asciiTheme="majorBidi" w:hAnsiTheme="majorBidi" w:cstheme="majorBidi"/>
          <w:sz w:val="24"/>
          <w:szCs w:val="24"/>
          <w:vertAlign w:val="superscript"/>
          <w:lang w:val="en-US"/>
        </w:rPr>
        <w:t>4</w:t>
      </w:r>
      <w:r w:rsidR="00F115A7">
        <w:rPr>
          <w:rFonts w:asciiTheme="majorBidi" w:hAnsiTheme="majorBidi" w:cstheme="majorBidi"/>
          <w:sz w:val="24"/>
          <w:szCs w:val="24"/>
          <w:vertAlign w:val="superscript"/>
          <w:lang w:val="en-US"/>
        </w:rPr>
        <w:t>)</w:t>
      </w:r>
      <w:r w:rsidRPr="00516108">
        <w:rPr>
          <w:rFonts w:asciiTheme="majorBidi" w:hAnsiTheme="majorBidi" w:cstheme="majorBidi"/>
          <w:sz w:val="24"/>
          <w:szCs w:val="24"/>
          <w:lang w:val="en-US"/>
        </w:rPr>
        <w:t xml:space="preserve"> work on the omission and commission bias largely focused on young adults</w:t>
      </w:r>
      <w:r w:rsidR="00813A31">
        <w:rPr>
          <w:rFonts w:asciiTheme="majorBidi" w:hAnsiTheme="majorBidi" w:cstheme="majorBidi"/>
          <w:sz w:val="24"/>
          <w:szCs w:val="24"/>
          <w:lang w:val="en-US"/>
        </w:rPr>
        <w:t>;</w:t>
      </w:r>
      <w:r w:rsidRPr="00516108">
        <w:rPr>
          <w:rFonts w:asciiTheme="majorBidi" w:hAnsiTheme="majorBidi" w:cstheme="majorBidi"/>
          <w:sz w:val="24"/>
          <w:szCs w:val="24"/>
          <w:lang w:val="en-US"/>
        </w:rPr>
        <w:t xml:space="preserve"> to our knowledge, few studies have examined </w:t>
      </w:r>
      <w:r w:rsidR="008865E5" w:rsidRPr="00516108">
        <w:rPr>
          <w:rFonts w:asciiTheme="majorBidi" w:hAnsiTheme="majorBidi" w:cstheme="majorBidi"/>
          <w:sz w:val="24"/>
          <w:szCs w:val="24"/>
          <w:lang w:val="en-US"/>
        </w:rPr>
        <w:t xml:space="preserve">age-related </w:t>
      </w:r>
      <w:r w:rsidRPr="00516108">
        <w:rPr>
          <w:rFonts w:asciiTheme="majorBidi" w:hAnsiTheme="majorBidi" w:cstheme="majorBidi"/>
          <w:sz w:val="24"/>
          <w:szCs w:val="24"/>
          <w:lang w:val="en-US"/>
        </w:rPr>
        <w:t xml:space="preserve">changes in </w:t>
      </w:r>
      <w:r w:rsidR="00813A31">
        <w:rPr>
          <w:rFonts w:asciiTheme="majorBidi" w:hAnsiTheme="majorBidi" w:cstheme="majorBidi"/>
          <w:sz w:val="24"/>
          <w:szCs w:val="24"/>
          <w:lang w:val="en-US"/>
        </w:rPr>
        <w:t>th</w:t>
      </w:r>
      <w:r w:rsidR="002A00B3">
        <w:rPr>
          <w:rFonts w:asciiTheme="majorBidi" w:hAnsiTheme="majorBidi" w:cstheme="majorBidi"/>
          <w:sz w:val="24"/>
          <w:szCs w:val="24"/>
          <w:lang w:val="en-US"/>
        </w:rPr>
        <w:t>i</w:t>
      </w:r>
      <w:r w:rsidR="00813A31">
        <w:rPr>
          <w:rFonts w:asciiTheme="majorBidi" w:hAnsiTheme="majorBidi" w:cstheme="majorBidi"/>
          <w:sz w:val="24"/>
          <w:szCs w:val="24"/>
          <w:lang w:val="en-US"/>
        </w:rPr>
        <w:t>s</w:t>
      </w:r>
      <w:r w:rsidRPr="00516108">
        <w:rPr>
          <w:rFonts w:asciiTheme="majorBidi" w:hAnsiTheme="majorBidi" w:cstheme="majorBidi"/>
          <w:sz w:val="24"/>
          <w:szCs w:val="24"/>
          <w:lang w:val="en-US"/>
        </w:rPr>
        <w:t xml:space="preserve"> bias. Our results </w:t>
      </w:r>
      <w:r w:rsidR="007A0BB2">
        <w:rPr>
          <w:rFonts w:asciiTheme="majorBidi" w:hAnsiTheme="majorBidi" w:cstheme="majorBidi"/>
          <w:sz w:val="24"/>
          <w:szCs w:val="24"/>
          <w:lang w:val="en-US"/>
        </w:rPr>
        <w:t>reveal</w:t>
      </w:r>
      <w:r w:rsidR="007A0BB2" w:rsidRPr="00516108">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 xml:space="preserve">that age was associated with </w:t>
      </w:r>
      <w:r w:rsidR="00B23DE3" w:rsidRPr="00516108">
        <w:rPr>
          <w:rFonts w:asciiTheme="majorBidi" w:hAnsiTheme="majorBidi" w:cstheme="majorBidi"/>
          <w:sz w:val="24"/>
          <w:szCs w:val="24"/>
          <w:lang w:val="en-US"/>
        </w:rPr>
        <w:t xml:space="preserve">a lower </w:t>
      </w:r>
      <w:r w:rsidRPr="00516108">
        <w:rPr>
          <w:rFonts w:asciiTheme="majorBidi" w:hAnsiTheme="majorBidi" w:cstheme="majorBidi"/>
          <w:sz w:val="24"/>
          <w:szCs w:val="24"/>
          <w:lang w:val="en-US"/>
        </w:rPr>
        <w:t>likelihood of accepting both the flu vaccine and chemotherapy treatment for oneself. Furthermore, all age groups were less likely to accept the chemotherapy compare</w:t>
      </w:r>
      <w:r w:rsidR="00B23DE3" w:rsidRPr="00516108">
        <w:rPr>
          <w:rFonts w:asciiTheme="majorBidi" w:hAnsiTheme="majorBidi" w:cstheme="majorBidi"/>
          <w:sz w:val="24"/>
          <w:szCs w:val="24"/>
          <w:lang w:val="en-US"/>
        </w:rPr>
        <w:t>d</w:t>
      </w:r>
      <w:r w:rsidRPr="00516108">
        <w:rPr>
          <w:rFonts w:asciiTheme="majorBidi" w:hAnsiTheme="majorBidi" w:cstheme="majorBidi"/>
          <w:sz w:val="24"/>
          <w:szCs w:val="24"/>
          <w:lang w:val="en-US"/>
        </w:rPr>
        <w:t xml:space="preserve"> to the flu vaccine. Zikmund-Fisher et al.</w:t>
      </w:r>
      <w:r w:rsidR="00B752CA">
        <w:rPr>
          <w:rFonts w:asciiTheme="majorBidi" w:hAnsiTheme="majorBidi" w:cstheme="majorBidi"/>
          <w:sz w:val="24"/>
          <w:szCs w:val="24"/>
          <w:lang w:val="en-US"/>
        </w:rPr>
        <w:t>’s</w:t>
      </w:r>
      <w:r w:rsidR="00172638">
        <w:rPr>
          <w:rFonts w:asciiTheme="majorBidi" w:hAnsiTheme="majorBidi" w:cstheme="majorBidi"/>
          <w:sz w:val="24"/>
          <w:szCs w:val="24"/>
          <w:vertAlign w:val="superscript"/>
          <w:lang w:val="en-US"/>
        </w:rPr>
        <w:t>(</w:t>
      </w:r>
      <w:r w:rsidR="001F480B">
        <w:rPr>
          <w:rFonts w:asciiTheme="majorBidi" w:hAnsiTheme="majorBidi" w:cstheme="majorBidi"/>
          <w:sz w:val="24"/>
          <w:szCs w:val="24"/>
          <w:vertAlign w:val="superscript"/>
          <w:lang w:val="en-US"/>
        </w:rPr>
        <w:t>2</w:t>
      </w:r>
      <w:r w:rsidR="00AE4C51">
        <w:rPr>
          <w:rFonts w:asciiTheme="majorBidi" w:hAnsiTheme="majorBidi" w:cstheme="majorBidi"/>
          <w:sz w:val="24"/>
          <w:szCs w:val="24"/>
          <w:vertAlign w:val="superscript"/>
          <w:lang w:val="en-US"/>
        </w:rPr>
        <w:t>7</w:t>
      </w:r>
      <w:r w:rsidR="00172638">
        <w:rPr>
          <w:rFonts w:asciiTheme="majorBidi" w:hAnsiTheme="majorBidi" w:cstheme="majorBidi"/>
          <w:sz w:val="24"/>
          <w:szCs w:val="24"/>
          <w:vertAlign w:val="superscript"/>
          <w:lang w:val="en-US"/>
        </w:rPr>
        <w:t>)</w:t>
      </w:r>
      <w:r w:rsidRPr="00516108">
        <w:rPr>
          <w:rFonts w:asciiTheme="majorBidi" w:hAnsiTheme="majorBidi" w:cstheme="majorBidi"/>
          <w:sz w:val="24"/>
          <w:szCs w:val="24"/>
          <w:lang w:val="en-US"/>
        </w:rPr>
        <w:t xml:space="preserve"> </w:t>
      </w:r>
      <w:r w:rsidR="00B752CA">
        <w:rPr>
          <w:rFonts w:asciiTheme="majorBidi" w:hAnsiTheme="majorBidi" w:cstheme="majorBidi"/>
          <w:sz w:val="24"/>
          <w:szCs w:val="24"/>
          <w:lang w:val="en-US"/>
        </w:rPr>
        <w:t>findings were</w:t>
      </w:r>
      <w:r w:rsidRPr="00516108">
        <w:rPr>
          <w:rFonts w:asciiTheme="majorBidi" w:hAnsiTheme="majorBidi" w:cstheme="majorBidi"/>
          <w:sz w:val="24"/>
          <w:szCs w:val="24"/>
          <w:lang w:val="en-US"/>
        </w:rPr>
        <w:t xml:space="preserve"> similar</w:t>
      </w:r>
      <w:r w:rsidR="00B752CA">
        <w:rPr>
          <w:rFonts w:asciiTheme="majorBidi" w:hAnsiTheme="majorBidi" w:cstheme="majorBidi"/>
          <w:sz w:val="24"/>
          <w:szCs w:val="24"/>
          <w:lang w:val="en-US"/>
        </w:rPr>
        <w:t>:</w:t>
      </w:r>
      <w:r w:rsidRPr="00516108">
        <w:rPr>
          <w:rFonts w:asciiTheme="majorBidi" w:hAnsiTheme="majorBidi" w:cstheme="majorBidi"/>
          <w:sz w:val="24"/>
          <w:szCs w:val="24"/>
          <w:lang w:val="en-US"/>
        </w:rPr>
        <w:t xml:space="preserve"> </w:t>
      </w:r>
      <w:r w:rsidR="00B752CA">
        <w:rPr>
          <w:rFonts w:asciiTheme="majorBidi" w:hAnsiTheme="majorBidi" w:cstheme="majorBidi"/>
          <w:sz w:val="24"/>
          <w:szCs w:val="24"/>
          <w:lang w:val="en-US"/>
        </w:rPr>
        <w:t>O</w:t>
      </w:r>
      <w:r w:rsidRPr="00516108">
        <w:rPr>
          <w:rFonts w:asciiTheme="majorBidi" w:hAnsiTheme="majorBidi" w:cstheme="majorBidi"/>
          <w:sz w:val="24"/>
          <w:szCs w:val="24"/>
          <w:lang w:val="en-US"/>
        </w:rPr>
        <w:t xml:space="preserve">lder adults were less likely to accept chemotherapy </w:t>
      </w:r>
      <w:r w:rsidR="00B23DE3" w:rsidRPr="00516108">
        <w:rPr>
          <w:rFonts w:asciiTheme="majorBidi" w:hAnsiTheme="majorBidi" w:cstheme="majorBidi"/>
          <w:sz w:val="24"/>
          <w:szCs w:val="24"/>
          <w:lang w:val="en-US"/>
        </w:rPr>
        <w:t>than</w:t>
      </w:r>
      <w:r w:rsidRPr="00516108">
        <w:rPr>
          <w:rFonts w:asciiTheme="majorBidi" w:hAnsiTheme="majorBidi" w:cstheme="majorBidi"/>
          <w:sz w:val="24"/>
          <w:szCs w:val="24"/>
          <w:lang w:val="en-US"/>
        </w:rPr>
        <w:t xml:space="preserve"> younger age groups</w:t>
      </w:r>
      <w:r w:rsidR="00B23DE3" w:rsidRPr="00516108">
        <w:rPr>
          <w:rFonts w:asciiTheme="majorBidi" w:hAnsiTheme="majorBidi" w:cstheme="majorBidi"/>
          <w:sz w:val="24"/>
          <w:szCs w:val="24"/>
          <w:lang w:val="en-US"/>
        </w:rPr>
        <w:t>. H</w:t>
      </w:r>
      <w:r w:rsidRPr="00516108">
        <w:rPr>
          <w:rFonts w:asciiTheme="majorBidi" w:hAnsiTheme="majorBidi" w:cstheme="majorBidi"/>
          <w:sz w:val="24"/>
          <w:szCs w:val="24"/>
          <w:lang w:val="en-US"/>
        </w:rPr>
        <w:t>owever, their pattern of results differ</w:t>
      </w:r>
      <w:r w:rsidR="00D42BA2" w:rsidRPr="00516108">
        <w:rPr>
          <w:rFonts w:asciiTheme="majorBidi" w:hAnsiTheme="majorBidi" w:cstheme="majorBidi"/>
          <w:sz w:val="24"/>
          <w:szCs w:val="24"/>
          <w:lang w:val="en-US"/>
        </w:rPr>
        <w:t>s</w:t>
      </w:r>
      <w:r w:rsidRPr="00516108">
        <w:rPr>
          <w:rFonts w:asciiTheme="majorBidi" w:hAnsiTheme="majorBidi" w:cstheme="majorBidi"/>
          <w:sz w:val="24"/>
          <w:szCs w:val="24"/>
          <w:lang w:val="en-US"/>
        </w:rPr>
        <w:t xml:space="preserve"> from ours, as older adults in their study had higher rates of flu vaccine acceptance. We believe that differences in experimental design—Zikmund-Fisher et al.</w:t>
      </w:r>
      <w:r w:rsidR="00172638">
        <w:rPr>
          <w:rFonts w:asciiTheme="majorBidi" w:hAnsiTheme="majorBidi" w:cstheme="majorBidi"/>
          <w:sz w:val="24"/>
          <w:szCs w:val="24"/>
          <w:vertAlign w:val="superscript"/>
          <w:lang w:val="en-US"/>
        </w:rPr>
        <w:t>(</w:t>
      </w:r>
      <w:r w:rsidR="001F480B">
        <w:rPr>
          <w:rFonts w:asciiTheme="majorBidi" w:hAnsiTheme="majorBidi" w:cstheme="majorBidi"/>
          <w:sz w:val="24"/>
          <w:szCs w:val="24"/>
          <w:vertAlign w:val="superscript"/>
          <w:lang w:val="en-US"/>
        </w:rPr>
        <w:t>2</w:t>
      </w:r>
      <w:r w:rsidR="00AE4C51">
        <w:rPr>
          <w:rFonts w:asciiTheme="majorBidi" w:hAnsiTheme="majorBidi" w:cstheme="majorBidi"/>
          <w:sz w:val="24"/>
          <w:szCs w:val="24"/>
          <w:vertAlign w:val="superscript"/>
          <w:lang w:val="en-US"/>
        </w:rPr>
        <w:t>7</w:t>
      </w:r>
      <w:r w:rsidR="00172638">
        <w:rPr>
          <w:rFonts w:asciiTheme="majorBidi" w:hAnsiTheme="majorBidi" w:cstheme="majorBidi"/>
          <w:sz w:val="24"/>
          <w:szCs w:val="24"/>
          <w:vertAlign w:val="superscript"/>
          <w:lang w:val="en-US"/>
        </w:rPr>
        <w:t>)</w:t>
      </w:r>
      <w:r w:rsidRPr="00516108">
        <w:rPr>
          <w:rFonts w:asciiTheme="majorBidi" w:hAnsiTheme="majorBidi" w:cstheme="majorBidi"/>
          <w:sz w:val="24"/>
          <w:szCs w:val="24"/>
          <w:lang w:val="en-US"/>
        </w:rPr>
        <w:t xml:space="preserve"> used a between</w:t>
      </w:r>
      <w:r w:rsidR="00B752CA">
        <w:rPr>
          <w:rFonts w:asciiTheme="majorBidi" w:hAnsiTheme="majorBidi" w:cstheme="majorBidi"/>
          <w:sz w:val="24"/>
          <w:szCs w:val="24"/>
          <w:lang w:val="en-US"/>
        </w:rPr>
        <w:t>-</w:t>
      </w:r>
      <w:r w:rsidRPr="00516108">
        <w:rPr>
          <w:rFonts w:asciiTheme="majorBidi" w:hAnsiTheme="majorBidi" w:cstheme="majorBidi"/>
          <w:sz w:val="24"/>
          <w:szCs w:val="24"/>
          <w:lang w:val="en-US"/>
        </w:rPr>
        <w:t>subject</w:t>
      </w:r>
      <w:r w:rsidR="00B752CA">
        <w:rPr>
          <w:rFonts w:asciiTheme="majorBidi" w:hAnsiTheme="majorBidi" w:cstheme="majorBidi"/>
          <w:sz w:val="24"/>
          <w:szCs w:val="24"/>
          <w:lang w:val="en-US"/>
        </w:rPr>
        <w:t>s</w:t>
      </w:r>
      <w:r w:rsidRPr="00516108">
        <w:rPr>
          <w:rFonts w:asciiTheme="majorBidi" w:hAnsiTheme="majorBidi" w:cstheme="majorBidi"/>
          <w:sz w:val="24"/>
          <w:szCs w:val="24"/>
          <w:lang w:val="en-US"/>
        </w:rPr>
        <w:t xml:space="preserve"> </w:t>
      </w:r>
      <w:r w:rsidR="00B752CA" w:rsidRPr="00516108">
        <w:rPr>
          <w:rFonts w:asciiTheme="majorBidi" w:hAnsiTheme="majorBidi" w:cstheme="majorBidi"/>
          <w:sz w:val="24"/>
          <w:szCs w:val="24"/>
          <w:lang w:val="en-US"/>
        </w:rPr>
        <w:t xml:space="preserve">design </w:t>
      </w:r>
      <w:r w:rsidR="00B752CA">
        <w:rPr>
          <w:rFonts w:asciiTheme="majorBidi" w:hAnsiTheme="majorBidi" w:cstheme="majorBidi"/>
          <w:sz w:val="24"/>
          <w:szCs w:val="24"/>
          <w:lang w:val="en-US"/>
        </w:rPr>
        <w:t>whereas ours</w:t>
      </w:r>
      <w:r w:rsidR="00B752CA" w:rsidRPr="00516108">
        <w:rPr>
          <w:rFonts w:asciiTheme="majorBidi" w:hAnsiTheme="majorBidi" w:cstheme="majorBidi"/>
          <w:sz w:val="24"/>
          <w:szCs w:val="24"/>
          <w:lang w:val="en-US"/>
        </w:rPr>
        <w:t xml:space="preserve"> </w:t>
      </w:r>
      <w:r w:rsidR="00B752CA">
        <w:rPr>
          <w:rFonts w:asciiTheme="majorBidi" w:hAnsiTheme="majorBidi" w:cstheme="majorBidi"/>
          <w:sz w:val="24"/>
          <w:szCs w:val="24"/>
          <w:lang w:val="en-US"/>
        </w:rPr>
        <w:t>was</w:t>
      </w:r>
      <w:r w:rsidRPr="00516108">
        <w:rPr>
          <w:rFonts w:asciiTheme="majorBidi" w:hAnsiTheme="majorBidi" w:cstheme="majorBidi"/>
          <w:sz w:val="24"/>
          <w:szCs w:val="24"/>
          <w:lang w:val="en-US"/>
        </w:rPr>
        <w:t xml:space="preserve"> </w:t>
      </w:r>
      <w:r w:rsidR="006D66E7">
        <w:rPr>
          <w:rFonts w:asciiTheme="majorBidi" w:hAnsiTheme="majorBidi" w:cstheme="majorBidi"/>
          <w:sz w:val="24"/>
          <w:szCs w:val="24"/>
          <w:lang w:val="en-US"/>
        </w:rPr>
        <w:t xml:space="preserve">a </w:t>
      </w:r>
      <w:r w:rsidRPr="00516108">
        <w:rPr>
          <w:rFonts w:asciiTheme="majorBidi" w:hAnsiTheme="majorBidi" w:cstheme="majorBidi"/>
          <w:sz w:val="24"/>
          <w:szCs w:val="24"/>
          <w:lang w:val="en-US"/>
        </w:rPr>
        <w:t>within</w:t>
      </w:r>
      <w:r w:rsidR="00B752CA">
        <w:rPr>
          <w:rFonts w:asciiTheme="majorBidi" w:hAnsiTheme="majorBidi" w:cstheme="majorBidi"/>
          <w:sz w:val="24"/>
          <w:szCs w:val="24"/>
          <w:lang w:val="en-US"/>
        </w:rPr>
        <w:t>-</w:t>
      </w:r>
      <w:r w:rsidRPr="00516108">
        <w:rPr>
          <w:rFonts w:asciiTheme="majorBidi" w:hAnsiTheme="majorBidi" w:cstheme="majorBidi"/>
          <w:sz w:val="24"/>
          <w:szCs w:val="24"/>
          <w:lang w:val="en-US"/>
        </w:rPr>
        <w:t>subject</w:t>
      </w:r>
      <w:r w:rsidR="006D66E7">
        <w:rPr>
          <w:rFonts w:asciiTheme="majorBidi" w:hAnsiTheme="majorBidi" w:cstheme="majorBidi"/>
          <w:sz w:val="24"/>
          <w:szCs w:val="24"/>
          <w:lang w:val="en-US"/>
        </w:rPr>
        <w:t>s design</w:t>
      </w:r>
      <w:r w:rsidRPr="00516108">
        <w:rPr>
          <w:rFonts w:asciiTheme="majorBidi" w:hAnsiTheme="majorBidi" w:cstheme="majorBidi"/>
          <w:sz w:val="24"/>
          <w:szCs w:val="24"/>
          <w:lang w:val="en-US"/>
        </w:rPr>
        <w:t>—</w:t>
      </w:r>
      <w:r w:rsidR="00910519" w:rsidRPr="00516108">
        <w:rPr>
          <w:rFonts w:asciiTheme="majorBidi" w:hAnsiTheme="majorBidi" w:cstheme="majorBidi"/>
          <w:sz w:val="24"/>
          <w:szCs w:val="24"/>
          <w:lang w:val="en-US"/>
        </w:rPr>
        <w:t xml:space="preserve">contributed to </w:t>
      </w:r>
      <w:r w:rsidRPr="00516108">
        <w:rPr>
          <w:rFonts w:asciiTheme="majorBidi" w:hAnsiTheme="majorBidi" w:cstheme="majorBidi"/>
          <w:sz w:val="24"/>
          <w:szCs w:val="24"/>
          <w:lang w:val="en-US"/>
        </w:rPr>
        <w:t xml:space="preserve">differences in the results. </w:t>
      </w:r>
      <w:r w:rsidR="00B752CA">
        <w:rPr>
          <w:rFonts w:asciiTheme="majorBidi" w:hAnsiTheme="majorBidi" w:cstheme="majorBidi"/>
          <w:sz w:val="24"/>
          <w:szCs w:val="24"/>
          <w:lang w:val="en-US"/>
        </w:rPr>
        <w:t>Another difference</w:t>
      </w:r>
      <w:r w:rsidR="005E71FB" w:rsidRPr="00516108">
        <w:rPr>
          <w:rFonts w:asciiTheme="majorBidi" w:hAnsiTheme="majorBidi" w:cstheme="majorBidi"/>
          <w:sz w:val="24"/>
          <w:szCs w:val="24"/>
          <w:lang w:val="en-US"/>
        </w:rPr>
        <w:t xml:space="preserve"> </w:t>
      </w:r>
      <w:r w:rsidR="00B752CA">
        <w:rPr>
          <w:rFonts w:asciiTheme="majorBidi" w:hAnsiTheme="majorBidi" w:cstheme="majorBidi"/>
          <w:sz w:val="24"/>
          <w:szCs w:val="24"/>
          <w:lang w:val="en-US"/>
        </w:rPr>
        <w:t xml:space="preserve">is that </w:t>
      </w:r>
      <w:r w:rsidR="005E71FB" w:rsidRPr="00516108">
        <w:rPr>
          <w:rFonts w:asciiTheme="majorBidi" w:hAnsiTheme="majorBidi" w:cstheme="majorBidi"/>
          <w:sz w:val="24"/>
          <w:szCs w:val="24"/>
          <w:lang w:val="en-US"/>
        </w:rPr>
        <w:t>we changed the scenario in a way that described a complete lock-down of the flu-infected area to eliminate the possibility that participants would think that, in addition to not doing anything or accepting the vaccine, they had the third option of leaving the area and thereby avoid</w:t>
      </w:r>
      <w:r w:rsidR="00B752CA">
        <w:rPr>
          <w:rFonts w:asciiTheme="majorBidi" w:hAnsiTheme="majorBidi" w:cstheme="majorBidi"/>
          <w:sz w:val="24"/>
          <w:szCs w:val="24"/>
          <w:lang w:val="en-US"/>
        </w:rPr>
        <w:t>ing</w:t>
      </w:r>
      <w:r w:rsidR="005E71FB" w:rsidRPr="00516108">
        <w:rPr>
          <w:rFonts w:asciiTheme="majorBidi" w:hAnsiTheme="majorBidi" w:cstheme="majorBidi"/>
          <w:sz w:val="24"/>
          <w:szCs w:val="24"/>
          <w:lang w:val="en-US"/>
        </w:rPr>
        <w:t xml:space="preserve"> infection (for themselves or their child). </w:t>
      </w:r>
    </w:p>
    <w:p w14:paraId="58EA29BC" w14:textId="1C868A63" w:rsidR="00D42BA2" w:rsidRPr="00516108" w:rsidRDefault="00C10455" w:rsidP="001F480B">
      <w:pPr>
        <w:autoSpaceDE w:val="0"/>
        <w:autoSpaceDN w:val="0"/>
        <w:adjustRightInd w:val="0"/>
        <w:spacing w:after="0" w:line="480" w:lineRule="auto"/>
        <w:ind w:firstLine="567"/>
        <w:rPr>
          <w:rFonts w:asciiTheme="majorBidi" w:hAnsiTheme="majorBidi" w:cstheme="majorBidi"/>
          <w:sz w:val="24"/>
          <w:szCs w:val="24"/>
          <w:lang w:val="en-US"/>
        </w:rPr>
      </w:pPr>
      <w:r w:rsidRPr="00516108">
        <w:rPr>
          <w:rFonts w:asciiTheme="majorBidi" w:hAnsiTheme="majorBidi" w:cstheme="majorBidi"/>
          <w:sz w:val="24"/>
          <w:szCs w:val="24"/>
          <w:lang w:val="en-US"/>
        </w:rPr>
        <w:t>Older adults</w:t>
      </w:r>
      <w:r w:rsidR="00B752CA">
        <w:rPr>
          <w:rFonts w:asciiTheme="majorBidi" w:hAnsiTheme="majorBidi" w:cstheme="majorBidi"/>
          <w:sz w:val="24"/>
          <w:szCs w:val="24"/>
          <w:lang w:val="en-US"/>
        </w:rPr>
        <w:t>’</w:t>
      </w:r>
      <w:r w:rsidRPr="00516108">
        <w:rPr>
          <w:rFonts w:asciiTheme="majorBidi" w:hAnsiTheme="majorBidi" w:cstheme="majorBidi"/>
          <w:sz w:val="24"/>
          <w:szCs w:val="24"/>
          <w:lang w:val="en-US"/>
        </w:rPr>
        <w:t xml:space="preserve"> acceptance rate of </w:t>
      </w:r>
      <w:r w:rsidR="00644BB7" w:rsidRPr="00516108">
        <w:rPr>
          <w:rFonts w:asciiTheme="majorBidi" w:hAnsiTheme="majorBidi" w:cstheme="majorBidi"/>
          <w:sz w:val="24"/>
          <w:szCs w:val="24"/>
          <w:lang w:val="en-US"/>
        </w:rPr>
        <w:t xml:space="preserve">the </w:t>
      </w:r>
      <w:r w:rsidRPr="00516108">
        <w:rPr>
          <w:rFonts w:asciiTheme="majorBidi" w:hAnsiTheme="majorBidi" w:cstheme="majorBidi"/>
          <w:sz w:val="24"/>
          <w:szCs w:val="24"/>
          <w:lang w:val="en-US"/>
        </w:rPr>
        <w:t>flu vaccine in our study closely match</w:t>
      </w:r>
      <w:r w:rsidR="00B752CA">
        <w:rPr>
          <w:rFonts w:asciiTheme="majorBidi" w:hAnsiTheme="majorBidi" w:cstheme="majorBidi"/>
          <w:sz w:val="24"/>
          <w:szCs w:val="24"/>
          <w:lang w:val="en-US"/>
        </w:rPr>
        <w:t>es</w:t>
      </w:r>
      <w:r w:rsidRPr="00516108">
        <w:rPr>
          <w:rFonts w:asciiTheme="majorBidi" w:hAnsiTheme="majorBidi" w:cstheme="majorBidi"/>
          <w:sz w:val="24"/>
          <w:szCs w:val="24"/>
          <w:lang w:val="en-US"/>
        </w:rPr>
        <w:t xml:space="preserve"> real</w:t>
      </w:r>
      <w:r w:rsidR="00B752CA">
        <w:rPr>
          <w:rFonts w:asciiTheme="majorBidi" w:hAnsiTheme="majorBidi" w:cstheme="majorBidi"/>
          <w:sz w:val="24"/>
          <w:szCs w:val="24"/>
          <w:lang w:val="en-US"/>
        </w:rPr>
        <w:t>-</w:t>
      </w:r>
      <w:r w:rsidRPr="00516108">
        <w:rPr>
          <w:rFonts w:asciiTheme="majorBidi" w:hAnsiTheme="majorBidi" w:cstheme="majorBidi"/>
          <w:sz w:val="24"/>
          <w:szCs w:val="24"/>
          <w:lang w:val="en-US"/>
        </w:rPr>
        <w:t>world data</w:t>
      </w:r>
      <w:r w:rsidR="00910519" w:rsidRPr="00516108">
        <w:rPr>
          <w:rFonts w:asciiTheme="majorBidi" w:hAnsiTheme="majorBidi" w:cstheme="majorBidi"/>
          <w:sz w:val="24"/>
          <w:szCs w:val="24"/>
          <w:lang w:val="en-US"/>
        </w:rPr>
        <w:t xml:space="preserve">, </w:t>
      </w:r>
      <w:r w:rsidR="00B752CA">
        <w:rPr>
          <w:rFonts w:asciiTheme="majorBidi" w:hAnsiTheme="majorBidi" w:cstheme="majorBidi"/>
          <w:sz w:val="24"/>
          <w:szCs w:val="24"/>
          <w:lang w:val="en-US"/>
        </w:rPr>
        <w:t>whereas</w:t>
      </w:r>
      <w:r w:rsidR="00B752CA" w:rsidRPr="00516108">
        <w:rPr>
          <w:rFonts w:asciiTheme="majorBidi" w:hAnsiTheme="majorBidi" w:cstheme="majorBidi"/>
          <w:sz w:val="24"/>
          <w:szCs w:val="24"/>
          <w:lang w:val="en-US"/>
        </w:rPr>
        <w:t xml:space="preserve"> </w:t>
      </w:r>
      <w:r w:rsidR="00910519" w:rsidRPr="00516108">
        <w:rPr>
          <w:rFonts w:asciiTheme="majorBidi" w:hAnsiTheme="majorBidi" w:cstheme="majorBidi"/>
          <w:sz w:val="24"/>
          <w:szCs w:val="24"/>
          <w:lang w:val="en-US"/>
        </w:rPr>
        <w:t>our younger sample</w:t>
      </w:r>
      <w:r w:rsidR="00644BB7" w:rsidRPr="00516108">
        <w:rPr>
          <w:rFonts w:asciiTheme="majorBidi" w:hAnsiTheme="majorBidi" w:cstheme="majorBidi"/>
          <w:sz w:val="24"/>
          <w:szCs w:val="24"/>
          <w:lang w:val="en-US"/>
        </w:rPr>
        <w:t>’s</w:t>
      </w:r>
      <w:r w:rsidR="00910519" w:rsidRPr="00516108">
        <w:rPr>
          <w:rFonts w:asciiTheme="majorBidi" w:hAnsiTheme="majorBidi" w:cstheme="majorBidi"/>
          <w:sz w:val="24"/>
          <w:szCs w:val="24"/>
          <w:lang w:val="en-US"/>
        </w:rPr>
        <w:t xml:space="preserve"> acceptance of </w:t>
      </w:r>
      <w:r w:rsidR="00644BB7" w:rsidRPr="00516108">
        <w:rPr>
          <w:rFonts w:asciiTheme="majorBidi" w:hAnsiTheme="majorBidi" w:cstheme="majorBidi"/>
          <w:sz w:val="24"/>
          <w:szCs w:val="24"/>
          <w:lang w:val="en-US"/>
        </w:rPr>
        <w:t xml:space="preserve">the </w:t>
      </w:r>
      <w:r w:rsidR="00910519" w:rsidRPr="00516108">
        <w:rPr>
          <w:rFonts w:asciiTheme="majorBidi" w:hAnsiTheme="majorBidi" w:cstheme="majorBidi"/>
          <w:sz w:val="24"/>
          <w:szCs w:val="24"/>
          <w:lang w:val="en-US"/>
        </w:rPr>
        <w:t>f</w:t>
      </w:r>
      <w:r w:rsidR="00D42BA2" w:rsidRPr="00516108">
        <w:rPr>
          <w:rFonts w:asciiTheme="majorBidi" w:hAnsiTheme="majorBidi" w:cstheme="majorBidi"/>
          <w:sz w:val="24"/>
          <w:szCs w:val="24"/>
          <w:lang w:val="en-US"/>
        </w:rPr>
        <w:t>l</w:t>
      </w:r>
      <w:r w:rsidR="00910519" w:rsidRPr="00516108">
        <w:rPr>
          <w:rFonts w:asciiTheme="majorBidi" w:hAnsiTheme="majorBidi" w:cstheme="majorBidi"/>
          <w:sz w:val="24"/>
          <w:szCs w:val="24"/>
          <w:lang w:val="en-US"/>
        </w:rPr>
        <w:t>u vaccine was much higher than real</w:t>
      </w:r>
      <w:r w:rsidR="00B752CA">
        <w:rPr>
          <w:rFonts w:asciiTheme="majorBidi" w:hAnsiTheme="majorBidi" w:cstheme="majorBidi"/>
          <w:sz w:val="24"/>
          <w:szCs w:val="24"/>
          <w:lang w:val="en-US"/>
        </w:rPr>
        <w:t>-</w:t>
      </w:r>
      <w:r w:rsidR="00910519" w:rsidRPr="00516108">
        <w:rPr>
          <w:rFonts w:asciiTheme="majorBidi" w:hAnsiTheme="majorBidi" w:cstheme="majorBidi"/>
          <w:sz w:val="24"/>
          <w:szCs w:val="24"/>
          <w:lang w:val="en-US"/>
        </w:rPr>
        <w:t>world data</w:t>
      </w:r>
      <w:r w:rsidRPr="00516108">
        <w:rPr>
          <w:rFonts w:asciiTheme="majorBidi" w:hAnsiTheme="majorBidi" w:cstheme="majorBidi"/>
          <w:sz w:val="24"/>
          <w:szCs w:val="24"/>
          <w:lang w:val="en-US"/>
        </w:rPr>
        <w:t xml:space="preserve">. According to the </w:t>
      </w:r>
      <w:r w:rsidR="00A963FE">
        <w:rPr>
          <w:rFonts w:asciiTheme="majorBidi" w:hAnsiTheme="majorBidi" w:cstheme="majorBidi"/>
          <w:sz w:val="24"/>
          <w:szCs w:val="24"/>
          <w:lang w:val="en-US"/>
        </w:rPr>
        <w:t>CDC</w:t>
      </w:r>
      <w:r w:rsidR="00172638">
        <w:rPr>
          <w:rFonts w:asciiTheme="majorBidi" w:hAnsiTheme="majorBidi" w:cstheme="majorBidi"/>
          <w:sz w:val="24"/>
          <w:szCs w:val="24"/>
          <w:vertAlign w:val="superscript"/>
          <w:lang w:val="en-US"/>
        </w:rPr>
        <w:t>(</w:t>
      </w:r>
      <w:r w:rsidR="001F480B">
        <w:rPr>
          <w:rFonts w:asciiTheme="majorBidi" w:hAnsiTheme="majorBidi" w:cstheme="majorBidi"/>
          <w:sz w:val="24"/>
          <w:szCs w:val="24"/>
          <w:vertAlign w:val="superscript"/>
          <w:lang w:val="en-US"/>
        </w:rPr>
        <w:t>47</w:t>
      </w:r>
      <w:r w:rsidR="00172638">
        <w:rPr>
          <w:rFonts w:asciiTheme="majorBidi" w:hAnsiTheme="majorBidi" w:cstheme="majorBidi"/>
          <w:sz w:val="24"/>
          <w:szCs w:val="24"/>
          <w:vertAlign w:val="superscript"/>
          <w:lang w:val="en-US"/>
        </w:rPr>
        <w:t>)</w:t>
      </w:r>
      <w:r w:rsidR="008854EB" w:rsidRPr="00516108">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about 6</w:t>
      </w:r>
      <w:r w:rsidR="008854EB" w:rsidRPr="00516108">
        <w:rPr>
          <w:rFonts w:asciiTheme="majorBidi" w:hAnsiTheme="majorBidi" w:cstheme="majorBidi"/>
          <w:sz w:val="24"/>
          <w:szCs w:val="24"/>
          <w:lang w:val="en-US"/>
        </w:rPr>
        <w:t>7</w:t>
      </w:r>
      <w:r w:rsidRPr="00516108">
        <w:rPr>
          <w:rFonts w:asciiTheme="majorBidi" w:hAnsiTheme="majorBidi" w:cstheme="majorBidi"/>
          <w:sz w:val="24"/>
          <w:szCs w:val="24"/>
          <w:lang w:val="en-US"/>
        </w:rPr>
        <w:t>% of adults</w:t>
      </w:r>
      <w:r w:rsidR="00D42BA2" w:rsidRPr="00516108">
        <w:rPr>
          <w:rFonts w:asciiTheme="majorBidi" w:hAnsiTheme="majorBidi" w:cstheme="majorBidi"/>
          <w:sz w:val="24"/>
          <w:szCs w:val="24"/>
          <w:lang w:val="en-US"/>
        </w:rPr>
        <w:t xml:space="preserve"> aged</w:t>
      </w:r>
      <w:r w:rsidRPr="00516108">
        <w:rPr>
          <w:rFonts w:asciiTheme="majorBidi" w:hAnsiTheme="majorBidi" w:cstheme="majorBidi"/>
          <w:sz w:val="24"/>
          <w:szCs w:val="24"/>
          <w:lang w:val="en-US"/>
        </w:rPr>
        <w:t xml:space="preserve"> 65</w:t>
      </w:r>
      <w:r w:rsidR="00D42BA2" w:rsidRPr="00516108">
        <w:rPr>
          <w:rFonts w:asciiTheme="majorBidi" w:hAnsiTheme="majorBidi" w:cstheme="majorBidi"/>
          <w:sz w:val="24"/>
          <w:szCs w:val="24"/>
          <w:lang w:val="en-US"/>
        </w:rPr>
        <w:t xml:space="preserve"> years</w:t>
      </w:r>
      <w:r w:rsidRPr="00516108">
        <w:rPr>
          <w:rFonts w:asciiTheme="majorBidi" w:hAnsiTheme="majorBidi" w:cstheme="majorBidi"/>
          <w:sz w:val="24"/>
          <w:szCs w:val="24"/>
          <w:lang w:val="en-US"/>
        </w:rPr>
        <w:t xml:space="preserve"> and over are vaccinated. In contrast, the high rate of younger adults who accepted the flu vaccine in our study is much higher than reported by the CDC, standing at about 43% for individuals aged 50</w:t>
      </w:r>
      <w:r w:rsidR="00B752CA">
        <w:rPr>
          <w:rFonts w:asciiTheme="majorBidi" w:hAnsiTheme="majorBidi" w:cstheme="majorBidi"/>
          <w:sz w:val="24"/>
          <w:szCs w:val="24"/>
          <w:lang w:val="en-US"/>
        </w:rPr>
        <w:t>–</w:t>
      </w:r>
      <w:r w:rsidRPr="00516108">
        <w:rPr>
          <w:rFonts w:asciiTheme="majorBidi" w:hAnsiTheme="majorBidi" w:cstheme="majorBidi"/>
          <w:sz w:val="24"/>
          <w:szCs w:val="24"/>
          <w:lang w:val="en-US"/>
        </w:rPr>
        <w:t>64</w:t>
      </w:r>
      <w:r w:rsidR="00B752CA">
        <w:rPr>
          <w:rFonts w:asciiTheme="majorBidi" w:hAnsiTheme="majorBidi" w:cstheme="majorBidi"/>
          <w:sz w:val="24"/>
          <w:szCs w:val="24"/>
          <w:lang w:val="en-US"/>
        </w:rPr>
        <w:t xml:space="preserve"> years</w:t>
      </w:r>
      <w:r w:rsidRPr="00516108">
        <w:rPr>
          <w:rFonts w:asciiTheme="majorBidi" w:hAnsiTheme="majorBidi" w:cstheme="majorBidi"/>
          <w:sz w:val="24"/>
          <w:szCs w:val="24"/>
          <w:lang w:val="en-US"/>
        </w:rPr>
        <w:t xml:space="preserve"> and 25% for individuals aged 18</w:t>
      </w:r>
      <w:r w:rsidR="00B752CA">
        <w:rPr>
          <w:rFonts w:asciiTheme="majorBidi" w:hAnsiTheme="majorBidi" w:cstheme="majorBidi"/>
          <w:sz w:val="24"/>
          <w:szCs w:val="24"/>
          <w:lang w:val="en-US"/>
        </w:rPr>
        <w:t>–</w:t>
      </w:r>
      <w:r w:rsidRPr="00516108">
        <w:rPr>
          <w:rFonts w:asciiTheme="majorBidi" w:hAnsiTheme="majorBidi" w:cstheme="majorBidi"/>
          <w:sz w:val="24"/>
          <w:szCs w:val="24"/>
          <w:lang w:val="en-US"/>
        </w:rPr>
        <w:t>49</w:t>
      </w:r>
      <w:r w:rsidR="00B752CA">
        <w:rPr>
          <w:rFonts w:asciiTheme="majorBidi" w:hAnsiTheme="majorBidi" w:cstheme="majorBidi"/>
          <w:sz w:val="24"/>
          <w:szCs w:val="24"/>
          <w:lang w:val="en-US"/>
        </w:rPr>
        <w:t xml:space="preserve"> years</w:t>
      </w:r>
      <w:r w:rsidRPr="00516108">
        <w:rPr>
          <w:rFonts w:asciiTheme="majorBidi" w:hAnsiTheme="majorBidi" w:cstheme="majorBidi"/>
          <w:sz w:val="24"/>
          <w:szCs w:val="24"/>
          <w:lang w:val="en-US"/>
        </w:rPr>
        <w:t xml:space="preserve">. </w:t>
      </w:r>
      <w:r w:rsidR="006F0390" w:rsidRPr="00516108">
        <w:rPr>
          <w:rFonts w:asciiTheme="majorBidi" w:hAnsiTheme="majorBidi" w:cstheme="majorBidi"/>
          <w:sz w:val="24"/>
          <w:szCs w:val="24"/>
          <w:lang w:val="en-US"/>
        </w:rPr>
        <w:t>It is possible that older adults’ greater familiarity and experience with the flu vaccine and cancer treatments can account for our results. In other words, older adults’ decision</w:t>
      </w:r>
      <w:r w:rsidR="008574EF">
        <w:rPr>
          <w:rFonts w:asciiTheme="majorBidi" w:hAnsiTheme="majorBidi" w:cstheme="majorBidi"/>
          <w:sz w:val="24"/>
          <w:szCs w:val="24"/>
          <w:lang w:val="en-US"/>
        </w:rPr>
        <w:t>s</w:t>
      </w:r>
      <w:r w:rsidR="006F0390" w:rsidRPr="00516108">
        <w:rPr>
          <w:rFonts w:asciiTheme="majorBidi" w:hAnsiTheme="majorBidi" w:cstheme="majorBidi"/>
          <w:sz w:val="24"/>
          <w:szCs w:val="24"/>
          <w:lang w:val="en-US"/>
        </w:rPr>
        <w:t xml:space="preserve"> on our task might have been swayed by their personal experience, </w:t>
      </w:r>
      <w:r w:rsidR="008574EF">
        <w:rPr>
          <w:rFonts w:asciiTheme="majorBidi" w:hAnsiTheme="majorBidi" w:cstheme="majorBidi"/>
          <w:sz w:val="24"/>
          <w:szCs w:val="24"/>
          <w:lang w:val="en-US"/>
        </w:rPr>
        <w:t>whereas</w:t>
      </w:r>
      <w:r w:rsidR="008574EF" w:rsidRPr="00516108">
        <w:rPr>
          <w:rFonts w:asciiTheme="majorBidi" w:hAnsiTheme="majorBidi" w:cstheme="majorBidi"/>
          <w:sz w:val="24"/>
          <w:szCs w:val="24"/>
          <w:lang w:val="en-US"/>
        </w:rPr>
        <w:t xml:space="preserve"> </w:t>
      </w:r>
      <w:r w:rsidR="006F0390" w:rsidRPr="00516108">
        <w:rPr>
          <w:rFonts w:asciiTheme="majorBidi" w:hAnsiTheme="majorBidi" w:cstheme="majorBidi"/>
          <w:sz w:val="24"/>
          <w:szCs w:val="24"/>
          <w:lang w:val="en-US"/>
        </w:rPr>
        <w:t>the younger participants’ decision</w:t>
      </w:r>
      <w:r w:rsidR="008574EF">
        <w:rPr>
          <w:rFonts w:asciiTheme="majorBidi" w:hAnsiTheme="majorBidi" w:cstheme="majorBidi"/>
          <w:sz w:val="24"/>
          <w:szCs w:val="24"/>
          <w:lang w:val="en-US"/>
        </w:rPr>
        <w:t>s</w:t>
      </w:r>
      <w:r w:rsidR="006F0390" w:rsidRPr="00516108">
        <w:rPr>
          <w:rFonts w:asciiTheme="majorBidi" w:hAnsiTheme="majorBidi" w:cstheme="majorBidi"/>
          <w:sz w:val="24"/>
          <w:szCs w:val="24"/>
          <w:lang w:val="en-US"/>
        </w:rPr>
        <w:t xml:space="preserve"> might have largely stemmed from the information provided in the scenario.          </w:t>
      </w:r>
    </w:p>
    <w:p w14:paraId="4FD939F6" w14:textId="579BC94C" w:rsidR="00C10455" w:rsidRPr="00516108" w:rsidRDefault="00C10455" w:rsidP="00AE4C51">
      <w:pPr>
        <w:autoSpaceDE w:val="0"/>
        <w:autoSpaceDN w:val="0"/>
        <w:adjustRightInd w:val="0"/>
        <w:spacing w:after="0" w:line="480" w:lineRule="auto"/>
        <w:ind w:firstLine="567"/>
        <w:rPr>
          <w:rFonts w:asciiTheme="majorBidi" w:hAnsiTheme="majorBidi" w:cstheme="majorBidi"/>
          <w:sz w:val="24"/>
          <w:szCs w:val="24"/>
          <w:lang w:val="en-US"/>
        </w:rPr>
      </w:pPr>
      <w:r w:rsidRPr="00516108">
        <w:rPr>
          <w:rFonts w:asciiTheme="majorBidi" w:hAnsiTheme="majorBidi" w:cstheme="majorBidi"/>
          <w:sz w:val="24"/>
          <w:szCs w:val="24"/>
          <w:lang w:val="en-US"/>
        </w:rPr>
        <w:t>With regard to gender, a system</w:t>
      </w:r>
      <w:r w:rsidR="00D42BA2" w:rsidRPr="00516108">
        <w:rPr>
          <w:rFonts w:asciiTheme="majorBidi" w:hAnsiTheme="majorBidi" w:cstheme="majorBidi"/>
          <w:sz w:val="24"/>
          <w:szCs w:val="24"/>
          <w:lang w:val="en-US"/>
        </w:rPr>
        <w:t>at</w:t>
      </w:r>
      <w:r w:rsidR="00B473E3">
        <w:rPr>
          <w:rFonts w:asciiTheme="majorBidi" w:hAnsiTheme="majorBidi" w:cstheme="majorBidi"/>
          <w:sz w:val="24"/>
          <w:szCs w:val="24"/>
          <w:lang w:val="en-US"/>
        </w:rPr>
        <w:t>ic review</w:t>
      </w:r>
      <w:r w:rsidR="00172638">
        <w:rPr>
          <w:rFonts w:asciiTheme="majorBidi" w:hAnsiTheme="majorBidi" w:cstheme="majorBidi"/>
          <w:sz w:val="24"/>
          <w:szCs w:val="24"/>
          <w:vertAlign w:val="superscript"/>
          <w:lang w:val="en-US"/>
        </w:rPr>
        <w:t>(</w:t>
      </w:r>
      <w:r w:rsidR="00AE4C51">
        <w:rPr>
          <w:rFonts w:asciiTheme="majorBidi" w:hAnsiTheme="majorBidi" w:cstheme="majorBidi"/>
          <w:sz w:val="24"/>
          <w:szCs w:val="24"/>
          <w:vertAlign w:val="superscript"/>
          <w:lang w:val="en-US"/>
        </w:rPr>
        <w:t>51</w:t>
      </w:r>
      <w:r w:rsidR="00172638">
        <w:rPr>
          <w:rFonts w:asciiTheme="majorBidi" w:hAnsiTheme="majorBidi" w:cstheme="majorBidi"/>
          <w:sz w:val="24"/>
          <w:szCs w:val="24"/>
          <w:vertAlign w:val="superscript"/>
          <w:lang w:val="en-US"/>
        </w:rPr>
        <w:t>)</w:t>
      </w:r>
      <w:r w:rsidR="00B473E3">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reported that females are less likely to be vaccinated compared to males.</w:t>
      </w:r>
      <w:r w:rsidR="00910519" w:rsidRPr="00516108">
        <w:rPr>
          <w:rFonts w:asciiTheme="majorBidi" w:hAnsiTheme="majorBidi" w:cstheme="majorBidi"/>
          <w:sz w:val="24"/>
          <w:szCs w:val="24"/>
          <w:lang w:val="en-US"/>
        </w:rPr>
        <w:t xml:space="preserve"> Our data reveal similar patterns, such that females were significantly less likely to accept either the flu </w:t>
      </w:r>
      <w:r w:rsidR="00644BB7" w:rsidRPr="00516108">
        <w:rPr>
          <w:rFonts w:asciiTheme="majorBidi" w:hAnsiTheme="majorBidi" w:cstheme="majorBidi"/>
          <w:sz w:val="24"/>
          <w:szCs w:val="24"/>
          <w:lang w:val="en-US"/>
        </w:rPr>
        <w:t xml:space="preserve">vaccine </w:t>
      </w:r>
      <w:r w:rsidR="00910519" w:rsidRPr="00516108">
        <w:rPr>
          <w:rFonts w:asciiTheme="majorBidi" w:hAnsiTheme="majorBidi" w:cstheme="majorBidi"/>
          <w:sz w:val="24"/>
          <w:szCs w:val="24"/>
          <w:lang w:val="en-US"/>
        </w:rPr>
        <w:t xml:space="preserve">or </w:t>
      </w:r>
      <w:r w:rsidR="008574EF">
        <w:rPr>
          <w:rFonts w:asciiTheme="majorBidi" w:hAnsiTheme="majorBidi" w:cstheme="majorBidi"/>
          <w:sz w:val="24"/>
          <w:szCs w:val="24"/>
          <w:lang w:val="en-US"/>
        </w:rPr>
        <w:t xml:space="preserve">the </w:t>
      </w:r>
      <w:r w:rsidR="00910519" w:rsidRPr="00516108">
        <w:rPr>
          <w:rFonts w:asciiTheme="majorBidi" w:hAnsiTheme="majorBidi" w:cstheme="majorBidi"/>
          <w:sz w:val="24"/>
          <w:szCs w:val="24"/>
          <w:lang w:val="en-US"/>
        </w:rPr>
        <w:t>cancer treatment. Earlier studies</w:t>
      </w:r>
      <w:r w:rsidR="00172638">
        <w:rPr>
          <w:rFonts w:asciiTheme="majorBidi" w:hAnsiTheme="majorBidi" w:cstheme="majorBidi"/>
          <w:sz w:val="24"/>
          <w:szCs w:val="24"/>
          <w:vertAlign w:val="superscript"/>
          <w:lang w:val="en-US"/>
        </w:rPr>
        <w:t>(1</w:t>
      </w:r>
      <w:r w:rsidR="00AE4C51">
        <w:rPr>
          <w:rFonts w:asciiTheme="majorBidi" w:hAnsiTheme="majorBidi" w:cstheme="majorBidi"/>
          <w:sz w:val="24"/>
          <w:szCs w:val="24"/>
          <w:vertAlign w:val="superscript"/>
          <w:lang w:val="en-US"/>
        </w:rPr>
        <w:t>8</w:t>
      </w:r>
      <w:r w:rsidR="00172638">
        <w:rPr>
          <w:rFonts w:asciiTheme="majorBidi" w:hAnsiTheme="majorBidi" w:cstheme="majorBidi"/>
          <w:sz w:val="24"/>
          <w:szCs w:val="24"/>
          <w:vertAlign w:val="superscript"/>
          <w:lang w:val="en-US"/>
        </w:rPr>
        <w:t>)</w:t>
      </w:r>
      <w:r w:rsidR="00910519" w:rsidRPr="00516108">
        <w:rPr>
          <w:rFonts w:asciiTheme="majorBidi" w:hAnsiTheme="majorBidi" w:cstheme="majorBidi"/>
          <w:sz w:val="24"/>
          <w:szCs w:val="24"/>
          <w:lang w:val="en-US"/>
        </w:rPr>
        <w:t xml:space="preserve"> have reported that females are more risk averse, corresponding to our results. </w:t>
      </w:r>
    </w:p>
    <w:p w14:paraId="5B917113" w14:textId="1BE79676" w:rsidR="00C10455" w:rsidRPr="00516108" w:rsidRDefault="00C10455" w:rsidP="00AE4C51">
      <w:pPr>
        <w:autoSpaceDE w:val="0"/>
        <w:autoSpaceDN w:val="0"/>
        <w:adjustRightInd w:val="0"/>
        <w:spacing w:after="0" w:line="480" w:lineRule="auto"/>
        <w:ind w:firstLine="567"/>
        <w:rPr>
          <w:rFonts w:asciiTheme="majorBidi" w:hAnsiTheme="majorBidi" w:cstheme="majorBidi"/>
          <w:sz w:val="24"/>
          <w:szCs w:val="24"/>
          <w:lang w:val="en-US"/>
        </w:rPr>
      </w:pPr>
      <w:r w:rsidRPr="00516108">
        <w:rPr>
          <w:rFonts w:asciiTheme="majorBidi" w:hAnsiTheme="majorBidi" w:cstheme="majorBidi"/>
          <w:sz w:val="24"/>
          <w:szCs w:val="24"/>
          <w:lang w:val="en-US"/>
        </w:rPr>
        <w:t>When examining the relationship between age and willingness to treat one</w:t>
      </w:r>
      <w:r w:rsidR="008574EF">
        <w:rPr>
          <w:rFonts w:asciiTheme="majorBidi" w:hAnsiTheme="majorBidi" w:cstheme="majorBidi"/>
          <w:sz w:val="24"/>
          <w:szCs w:val="24"/>
          <w:lang w:val="en-US"/>
        </w:rPr>
        <w:t>’</w:t>
      </w:r>
      <w:r w:rsidRPr="00516108">
        <w:rPr>
          <w:rFonts w:asciiTheme="majorBidi" w:hAnsiTheme="majorBidi" w:cstheme="majorBidi"/>
          <w:sz w:val="24"/>
          <w:szCs w:val="24"/>
          <w:lang w:val="en-US"/>
        </w:rPr>
        <w:t xml:space="preserve">s child, we found, as expected, that the likelihood of accepting </w:t>
      </w:r>
      <w:r w:rsidR="00644BB7" w:rsidRPr="00516108">
        <w:rPr>
          <w:rFonts w:asciiTheme="majorBidi" w:hAnsiTheme="majorBidi" w:cstheme="majorBidi"/>
          <w:sz w:val="24"/>
          <w:szCs w:val="24"/>
          <w:lang w:val="en-US"/>
        </w:rPr>
        <w:t xml:space="preserve">a </w:t>
      </w:r>
      <w:r w:rsidRPr="00516108">
        <w:rPr>
          <w:rFonts w:asciiTheme="majorBidi" w:hAnsiTheme="majorBidi" w:cstheme="majorBidi"/>
          <w:sz w:val="24"/>
          <w:szCs w:val="24"/>
          <w:lang w:val="en-US"/>
        </w:rPr>
        <w:t>treatment</w:t>
      </w:r>
      <w:r w:rsidR="00644BB7" w:rsidRPr="00516108">
        <w:rPr>
          <w:rFonts w:asciiTheme="majorBidi" w:hAnsiTheme="majorBidi" w:cstheme="majorBidi"/>
          <w:sz w:val="24"/>
          <w:szCs w:val="24"/>
          <w:lang w:val="en-US"/>
        </w:rPr>
        <w:t xml:space="preserve"> or vaccine</w:t>
      </w:r>
      <w:r w:rsidR="006F0390" w:rsidRPr="00516108">
        <w:rPr>
          <w:rFonts w:asciiTheme="majorBidi" w:hAnsiTheme="majorBidi" w:cstheme="majorBidi"/>
          <w:sz w:val="24"/>
          <w:szCs w:val="24"/>
          <w:lang w:val="en-US"/>
        </w:rPr>
        <w:t xml:space="preserve"> was higher for all age groups</w:t>
      </w:r>
      <w:r w:rsidR="00644BB7" w:rsidRPr="00516108">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 xml:space="preserve">for their </w:t>
      </w:r>
      <w:r w:rsidR="005A6654" w:rsidRPr="00516108">
        <w:rPr>
          <w:rFonts w:asciiTheme="majorBidi" w:hAnsiTheme="majorBidi" w:cstheme="majorBidi"/>
          <w:sz w:val="24"/>
          <w:szCs w:val="24"/>
          <w:lang w:val="en-US"/>
        </w:rPr>
        <w:t xml:space="preserve">(hypothetical) </w:t>
      </w:r>
      <w:r w:rsidRPr="00516108">
        <w:rPr>
          <w:rFonts w:asciiTheme="majorBidi" w:hAnsiTheme="majorBidi" w:cstheme="majorBidi"/>
          <w:sz w:val="24"/>
          <w:szCs w:val="24"/>
          <w:lang w:val="en-US"/>
        </w:rPr>
        <w:t>child compare</w:t>
      </w:r>
      <w:r w:rsidR="006F0390" w:rsidRPr="00516108">
        <w:rPr>
          <w:rFonts w:asciiTheme="majorBidi" w:hAnsiTheme="majorBidi" w:cstheme="majorBidi"/>
          <w:sz w:val="24"/>
          <w:szCs w:val="24"/>
          <w:lang w:val="en-US"/>
        </w:rPr>
        <w:t>d</w:t>
      </w:r>
      <w:r w:rsidRPr="00516108">
        <w:rPr>
          <w:rFonts w:asciiTheme="majorBidi" w:hAnsiTheme="majorBidi" w:cstheme="majorBidi"/>
          <w:sz w:val="24"/>
          <w:szCs w:val="24"/>
          <w:lang w:val="en-US"/>
        </w:rPr>
        <w:t xml:space="preserve"> to themselves. Indeed, our results follow </w:t>
      </w:r>
      <w:r w:rsidR="00B33A12">
        <w:rPr>
          <w:rFonts w:asciiTheme="majorBidi" w:hAnsiTheme="majorBidi" w:cstheme="majorBidi"/>
          <w:sz w:val="24"/>
          <w:szCs w:val="24"/>
          <w:lang w:val="en-US"/>
        </w:rPr>
        <w:t>earlier work</w:t>
      </w:r>
      <w:r w:rsidR="00B33A12">
        <w:rPr>
          <w:rFonts w:asciiTheme="majorBidi" w:hAnsiTheme="majorBidi" w:cstheme="majorBidi"/>
          <w:sz w:val="24"/>
          <w:szCs w:val="24"/>
          <w:vertAlign w:val="superscript"/>
          <w:lang w:val="en-US"/>
        </w:rPr>
        <w:t>(2</w:t>
      </w:r>
      <w:r w:rsidR="001F480B">
        <w:rPr>
          <w:rFonts w:asciiTheme="majorBidi" w:hAnsiTheme="majorBidi" w:cstheme="majorBidi"/>
          <w:sz w:val="24"/>
          <w:szCs w:val="24"/>
          <w:vertAlign w:val="superscript"/>
          <w:lang w:val="en-US"/>
        </w:rPr>
        <w:t>5</w:t>
      </w:r>
      <w:r w:rsidR="00B33A12">
        <w:rPr>
          <w:rFonts w:asciiTheme="majorBidi" w:hAnsiTheme="majorBidi" w:cstheme="majorBidi"/>
          <w:sz w:val="24"/>
          <w:szCs w:val="24"/>
          <w:vertAlign w:val="superscript"/>
          <w:lang w:val="en-US"/>
        </w:rPr>
        <w:t>)</w:t>
      </w:r>
      <w:r w:rsidRPr="00516108">
        <w:rPr>
          <w:rFonts w:asciiTheme="majorBidi" w:hAnsiTheme="majorBidi" w:cstheme="majorBidi"/>
          <w:sz w:val="24"/>
          <w:szCs w:val="24"/>
          <w:lang w:val="en-US"/>
        </w:rPr>
        <w:t xml:space="preserve"> </w:t>
      </w:r>
      <w:r w:rsidR="00B33A12">
        <w:rPr>
          <w:rFonts w:asciiTheme="majorBidi" w:hAnsiTheme="majorBidi" w:cstheme="majorBidi"/>
          <w:sz w:val="24"/>
          <w:szCs w:val="24"/>
          <w:lang w:val="en-US"/>
        </w:rPr>
        <w:t xml:space="preserve">that </w:t>
      </w:r>
      <w:r w:rsidRPr="00516108">
        <w:rPr>
          <w:rFonts w:asciiTheme="majorBidi" w:hAnsiTheme="majorBidi" w:cstheme="majorBidi"/>
          <w:sz w:val="24"/>
          <w:szCs w:val="24"/>
          <w:lang w:val="en-US"/>
        </w:rPr>
        <w:t xml:space="preserve">also </w:t>
      </w:r>
      <w:r w:rsidR="00B33A12">
        <w:rPr>
          <w:rFonts w:asciiTheme="majorBidi" w:hAnsiTheme="majorBidi" w:cstheme="majorBidi"/>
          <w:sz w:val="24"/>
          <w:szCs w:val="24"/>
          <w:lang w:val="en-US"/>
        </w:rPr>
        <w:t>reported h</w:t>
      </w:r>
      <w:r w:rsidRPr="00516108">
        <w:rPr>
          <w:rFonts w:asciiTheme="majorBidi" w:hAnsiTheme="majorBidi" w:cstheme="majorBidi"/>
          <w:sz w:val="24"/>
          <w:szCs w:val="24"/>
          <w:lang w:val="en-US"/>
        </w:rPr>
        <w:t xml:space="preserve">igher willingness to take action when the agent was a child rather than </w:t>
      </w:r>
      <w:r w:rsidR="008574EF">
        <w:rPr>
          <w:rFonts w:asciiTheme="majorBidi" w:hAnsiTheme="majorBidi" w:cstheme="majorBidi"/>
          <w:sz w:val="24"/>
          <w:szCs w:val="24"/>
          <w:lang w:val="en-US"/>
        </w:rPr>
        <w:t>the participants themselves</w:t>
      </w:r>
      <w:r w:rsidRPr="00516108">
        <w:rPr>
          <w:rFonts w:asciiTheme="majorBidi" w:hAnsiTheme="majorBidi" w:cstheme="majorBidi"/>
          <w:sz w:val="24"/>
          <w:szCs w:val="24"/>
          <w:lang w:val="en-US"/>
        </w:rPr>
        <w:t>. Furthermore, a study</w:t>
      </w:r>
      <w:r w:rsidR="00B33A12">
        <w:rPr>
          <w:rFonts w:asciiTheme="majorBidi" w:hAnsiTheme="majorBidi" w:cstheme="majorBidi"/>
          <w:sz w:val="24"/>
          <w:szCs w:val="24"/>
          <w:vertAlign w:val="superscript"/>
          <w:lang w:val="en-US"/>
        </w:rPr>
        <w:t>(</w:t>
      </w:r>
      <w:r w:rsidR="00AE4C51">
        <w:rPr>
          <w:rFonts w:asciiTheme="majorBidi" w:hAnsiTheme="majorBidi" w:cstheme="majorBidi"/>
          <w:sz w:val="24"/>
          <w:szCs w:val="24"/>
          <w:vertAlign w:val="superscript"/>
          <w:lang w:val="en-US"/>
        </w:rPr>
        <w:t>52</w:t>
      </w:r>
      <w:r w:rsidR="00B33A12">
        <w:rPr>
          <w:rFonts w:asciiTheme="majorBidi" w:hAnsiTheme="majorBidi" w:cstheme="majorBidi"/>
          <w:sz w:val="24"/>
          <w:szCs w:val="24"/>
          <w:vertAlign w:val="superscript"/>
          <w:lang w:val="en-US"/>
        </w:rPr>
        <w:t>)</w:t>
      </w:r>
      <w:r w:rsidRPr="00516108">
        <w:rPr>
          <w:rFonts w:asciiTheme="majorBidi" w:hAnsiTheme="majorBidi" w:cstheme="majorBidi"/>
          <w:sz w:val="24"/>
          <w:szCs w:val="24"/>
          <w:lang w:val="en-US"/>
        </w:rPr>
        <w:t xml:space="preserve"> has shown that </w:t>
      </w:r>
      <w:r w:rsidR="002904AB" w:rsidRPr="00516108">
        <w:rPr>
          <w:rFonts w:asciiTheme="majorBidi" w:hAnsiTheme="majorBidi" w:cstheme="majorBidi"/>
          <w:sz w:val="24"/>
          <w:szCs w:val="24"/>
          <w:lang w:val="en-US"/>
        </w:rPr>
        <w:t xml:space="preserve">people </w:t>
      </w:r>
      <w:r w:rsidRPr="00516108">
        <w:rPr>
          <w:rFonts w:asciiTheme="majorBidi" w:hAnsiTheme="majorBidi" w:cstheme="majorBidi"/>
          <w:sz w:val="24"/>
          <w:szCs w:val="24"/>
          <w:lang w:val="en-US"/>
        </w:rPr>
        <w:t>are more likely to accept medical treatment for significant other</w:t>
      </w:r>
      <w:r w:rsidR="002904AB" w:rsidRPr="00516108">
        <w:rPr>
          <w:rFonts w:asciiTheme="majorBidi" w:hAnsiTheme="majorBidi" w:cstheme="majorBidi"/>
          <w:sz w:val="24"/>
          <w:szCs w:val="24"/>
          <w:lang w:val="en-US"/>
        </w:rPr>
        <w:t>s</w:t>
      </w:r>
      <w:r w:rsidRPr="00516108">
        <w:rPr>
          <w:rFonts w:asciiTheme="majorBidi" w:hAnsiTheme="majorBidi" w:cstheme="majorBidi"/>
          <w:sz w:val="24"/>
          <w:szCs w:val="24"/>
          <w:lang w:val="en-US"/>
        </w:rPr>
        <w:t xml:space="preserve"> than for themselves</w:t>
      </w:r>
      <w:r w:rsidR="002904AB" w:rsidRPr="00516108">
        <w:rPr>
          <w:rFonts w:asciiTheme="majorBidi" w:hAnsiTheme="majorBidi" w:cstheme="majorBidi"/>
          <w:sz w:val="24"/>
          <w:szCs w:val="24"/>
          <w:lang w:val="en-US"/>
        </w:rPr>
        <w:t>. O</w:t>
      </w:r>
      <w:r w:rsidR="00B473E3">
        <w:rPr>
          <w:rFonts w:asciiTheme="majorBidi" w:hAnsiTheme="majorBidi" w:cstheme="majorBidi"/>
          <w:sz w:val="24"/>
          <w:szCs w:val="24"/>
          <w:lang w:val="en-US"/>
        </w:rPr>
        <w:t>ther finding</w:t>
      </w:r>
      <w:r w:rsidR="00B33A12">
        <w:rPr>
          <w:rFonts w:asciiTheme="majorBidi" w:hAnsiTheme="majorBidi" w:cstheme="majorBidi"/>
          <w:sz w:val="24"/>
          <w:szCs w:val="24"/>
          <w:vertAlign w:val="superscript"/>
          <w:lang w:val="en-US"/>
        </w:rPr>
        <w:t>(</w:t>
      </w:r>
      <w:r w:rsidR="00AE4C51">
        <w:rPr>
          <w:rFonts w:asciiTheme="majorBidi" w:hAnsiTheme="majorBidi" w:cstheme="majorBidi"/>
          <w:sz w:val="24"/>
          <w:szCs w:val="24"/>
          <w:vertAlign w:val="superscript"/>
          <w:lang w:val="en-US"/>
        </w:rPr>
        <w:t>53</w:t>
      </w:r>
      <w:r w:rsidR="00B33A12">
        <w:rPr>
          <w:rFonts w:asciiTheme="majorBidi" w:hAnsiTheme="majorBidi" w:cstheme="majorBidi"/>
          <w:sz w:val="24"/>
          <w:szCs w:val="24"/>
          <w:vertAlign w:val="superscript"/>
          <w:lang w:val="en-US"/>
        </w:rPr>
        <w:t>)</w:t>
      </w:r>
      <w:r w:rsidRPr="00516108">
        <w:rPr>
          <w:rFonts w:asciiTheme="majorBidi" w:hAnsiTheme="majorBidi" w:cstheme="majorBidi"/>
          <w:sz w:val="24"/>
          <w:szCs w:val="24"/>
          <w:lang w:val="en-US"/>
        </w:rPr>
        <w:t xml:space="preserve"> suggest</w:t>
      </w:r>
      <w:r w:rsidR="002904AB" w:rsidRPr="00516108">
        <w:rPr>
          <w:rFonts w:asciiTheme="majorBidi" w:hAnsiTheme="majorBidi" w:cstheme="majorBidi"/>
          <w:sz w:val="24"/>
          <w:szCs w:val="24"/>
          <w:lang w:val="en-US"/>
        </w:rPr>
        <w:t>s</w:t>
      </w:r>
      <w:r w:rsidRPr="00516108">
        <w:rPr>
          <w:rFonts w:asciiTheme="majorBidi" w:hAnsiTheme="majorBidi" w:cstheme="majorBidi"/>
          <w:sz w:val="24"/>
          <w:szCs w:val="24"/>
          <w:lang w:val="en-US"/>
        </w:rPr>
        <w:t xml:space="preserve"> that decisions made by surrogates are often biased toward the side of accepting. This bias might be even more pronounced when the decision involve</w:t>
      </w:r>
      <w:r w:rsidR="00644BB7" w:rsidRPr="00516108">
        <w:rPr>
          <w:rFonts w:asciiTheme="majorBidi" w:hAnsiTheme="majorBidi" w:cstheme="majorBidi"/>
          <w:sz w:val="24"/>
          <w:szCs w:val="24"/>
          <w:lang w:val="en-US"/>
        </w:rPr>
        <w:t>s</w:t>
      </w:r>
      <w:r w:rsidRPr="00516108">
        <w:rPr>
          <w:rFonts w:asciiTheme="majorBidi" w:hAnsiTheme="majorBidi" w:cstheme="majorBidi"/>
          <w:sz w:val="24"/>
          <w:szCs w:val="24"/>
          <w:lang w:val="en-US"/>
        </w:rPr>
        <w:t xml:space="preserve"> children. Furthermore, participants</w:t>
      </w:r>
      <w:r w:rsidR="002904AB" w:rsidRPr="00516108">
        <w:rPr>
          <w:rFonts w:asciiTheme="majorBidi" w:hAnsiTheme="majorBidi" w:cstheme="majorBidi"/>
          <w:sz w:val="24"/>
          <w:szCs w:val="24"/>
          <w:lang w:val="en-US"/>
        </w:rPr>
        <w:t>’</w:t>
      </w:r>
      <w:r w:rsidRPr="00516108">
        <w:rPr>
          <w:rFonts w:asciiTheme="majorBidi" w:hAnsiTheme="majorBidi" w:cstheme="majorBidi"/>
          <w:sz w:val="24"/>
          <w:szCs w:val="24"/>
          <w:lang w:val="en-US"/>
        </w:rPr>
        <w:t xml:space="preserve"> decision</w:t>
      </w:r>
      <w:r w:rsidR="00644BB7" w:rsidRPr="00516108">
        <w:rPr>
          <w:rFonts w:asciiTheme="majorBidi" w:hAnsiTheme="majorBidi" w:cstheme="majorBidi"/>
          <w:sz w:val="24"/>
          <w:szCs w:val="24"/>
          <w:lang w:val="en-US"/>
        </w:rPr>
        <w:t>s</w:t>
      </w:r>
      <w:r w:rsidR="002904AB" w:rsidRPr="00516108">
        <w:rPr>
          <w:rFonts w:asciiTheme="majorBidi" w:hAnsiTheme="majorBidi" w:cstheme="majorBidi"/>
          <w:sz w:val="24"/>
          <w:szCs w:val="24"/>
          <w:lang w:val="en-US"/>
        </w:rPr>
        <w:t xml:space="preserve"> might have been</w:t>
      </w:r>
      <w:r w:rsidRPr="00516108">
        <w:rPr>
          <w:rFonts w:asciiTheme="majorBidi" w:hAnsiTheme="majorBidi" w:cstheme="majorBidi"/>
          <w:sz w:val="24"/>
          <w:szCs w:val="24"/>
          <w:lang w:val="en-US"/>
        </w:rPr>
        <w:t xml:space="preserve"> motivated by anticipated regret, as earlier studies</w:t>
      </w:r>
      <w:r w:rsidR="00B33A12">
        <w:rPr>
          <w:rFonts w:asciiTheme="majorBidi" w:hAnsiTheme="majorBidi" w:cstheme="majorBidi"/>
          <w:sz w:val="24"/>
          <w:szCs w:val="24"/>
          <w:vertAlign w:val="superscript"/>
          <w:lang w:val="en-US"/>
        </w:rPr>
        <w:t>(</w:t>
      </w:r>
      <w:r w:rsidR="001F480B">
        <w:rPr>
          <w:rFonts w:asciiTheme="majorBidi" w:hAnsiTheme="majorBidi" w:cstheme="majorBidi"/>
          <w:sz w:val="24"/>
          <w:szCs w:val="24"/>
          <w:vertAlign w:val="superscript"/>
          <w:lang w:val="en-US"/>
        </w:rPr>
        <w:t>5</w:t>
      </w:r>
      <w:r w:rsidR="00AE4C51">
        <w:rPr>
          <w:rFonts w:asciiTheme="majorBidi" w:hAnsiTheme="majorBidi" w:cstheme="majorBidi"/>
          <w:sz w:val="24"/>
          <w:szCs w:val="24"/>
          <w:vertAlign w:val="superscript"/>
          <w:lang w:val="en-US"/>
        </w:rPr>
        <w:t>4</w:t>
      </w:r>
      <w:r w:rsidR="00B33A12">
        <w:rPr>
          <w:rFonts w:asciiTheme="majorBidi" w:hAnsiTheme="majorBidi" w:cstheme="majorBidi"/>
          <w:sz w:val="24"/>
          <w:szCs w:val="24"/>
          <w:vertAlign w:val="superscript"/>
          <w:lang w:val="en-US"/>
        </w:rPr>
        <w:t>)</w:t>
      </w:r>
      <w:r w:rsidRPr="00516108">
        <w:rPr>
          <w:rFonts w:asciiTheme="majorBidi" w:hAnsiTheme="majorBidi" w:cstheme="majorBidi"/>
          <w:sz w:val="24"/>
          <w:szCs w:val="24"/>
          <w:lang w:val="en-US"/>
        </w:rPr>
        <w:t xml:space="preserve"> reported th</w:t>
      </w:r>
      <w:r w:rsidR="002904AB" w:rsidRPr="00516108">
        <w:rPr>
          <w:rFonts w:asciiTheme="majorBidi" w:hAnsiTheme="majorBidi" w:cstheme="majorBidi"/>
          <w:sz w:val="24"/>
          <w:szCs w:val="24"/>
          <w:lang w:val="en-US"/>
        </w:rPr>
        <w:t>at</w:t>
      </w:r>
      <w:r w:rsidRPr="00516108">
        <w:rPr>
          <w:rFonts w:asciiTheme="majorBidi" w:hAnsiTheme="majorBidi" w:cstheme="majorBidi"/>
          <w:sz w:val="24"/>
          <w:szCs w:val="24"/>
          <w:lang w:val="en-US"/>
        </w:rPr>
        <w:t xml:space="preserve"> anticipated regret was the most important predictor in </w:t>
      </w:r>
      <w:r w:rsidR="00644BB7" w:rsidRPr="00516108">
        <w:rPr>
          <w:rFonts w:asciiTheme="majorBidi" w:hAnsiTheme="majorBidi" w:cstheme="majorBidi"/>
          <w:sz w:val="24"/>
          <w:szCs w:val="24"/>
          <w:lang w:val="en-US"/>
        </w:rPr>
        <w:t xml:space="preserve">decisions to </w:t>
      </w:r>
      <w:r w:rsidRPr="00516108">
        <w:rPr>
          <w:rFonts w:asciiTheme="majorBidi" w:hAnsiTheme="majorBidi" w:cstheme="majorBidi"/>
          <w:sz w:val="24"/>
          <w:szCs w:val="24"/>
          <w:lang w:val="en-US"/>
        </w:rPr>
        <w:t>vaccinat</w:t>
      </w:r>
      <w:r w:rsidR="00644BB7" w:rsidRPr="00516108">
        <w:rPr>
          <w:rFonts w:asciiTheme="majorBidi" w:hAnsiTheme="majorBidi" w:cstheme="majorBidi"/>
          <w:sz w:val="24"/>
          <w:szCs w:val="24"/>
          <w:lang w:val="en-US"/>
        </w:rPr>
        <w:t>e</w:t>
      </w:r>
      <w:r w:rsidRPr="00516108">
        <w:rPr>
          <w:rFonts w:asciiTheme="majorBidi" w:hAnsiTheme="majorBidi" w:cstheme="majorBidi"/>
          <w:sz w:val="24"/>
          <w:szCs w:val="24"/>
          <w:lang w:val="en-US"/>
        </w:rPr>
        <w:t xml:space="preserve">. </w:t>
      </w:r>
    </w:p>
    <w:p w14:paraId="75ABD684" w14:textId="02E9E528" w:rsidR="00C10455" w:rsidRPr="00516108" w:rsidRDefault="00C10455" w:rsidP="00AE4C51">
      <w:pPr>
        <w:tabs>
          <w:tab w:val="left" w:pos="2430"/>
        </w:tabs>
        <w:spacing w:after="0" w:line="480" w:lineRule="auto"/>
        <w:ind w:firstLine="567"/>
        <w:rPr>
          <w:rFonts w:asciiTheme="majorBidi" w:hAnsiTheme="majorBidi" w:cstheme="majorBidi"/>
          <w:sz w:val="24"/>
          <w:szCs w:val="24"/>
          <w:lang w:val="en-US"/>
        </w:rPr>
      </w:pPr>
      <w:r w:rsidRPr="00516108">
        <w:rPr>
          <w:rFonts w:asciiTheme="majorBidi" w:hAnsiTheme="majorBidi" w:cstheme="majorBidi"/>
          <w:sz w:val="24"/>
          <w:szCs w:val="24"/>
          <w:lang w:val="en-US"/>
        </w:rPr>
        <w:t>Counter to our expectations, numeracy levels were unrelated to decision</w:t>
      </w:r>
      <w:r w:rsidR="00644BB7" w:rsidRPr="00516108">
        <w:rPr>
          <w:rFonts w:asciiTheme="majorBidi" w:hAnsiTheme="majorBidi" w:cstheme="majorBidi"/>
          <w:sz w:val="24"/>
          <w:szCs w:val="24"/>
          <w:lang w:val="en-US"/>
        </w:rPr>
        <w:t>s</w:t>
      </w:r>
      <w:r w:rsidRPr="00516108">
        <w:rPr>
          <w:rFonts w:asciiTheme="majorBidi" w:hAnsiTheme="majorBidi" w:cstheme="majorBidi"/>
          <w:sz w:val="24"/>
          <w:szCs w:val="24"/>
          <w:lang w:val="en-US"/>
        </w:rPr>
        <w:t xml:space="preserve"> </w:t>
      </w:r>
      <w:r w:rsidR="00644BB7" w:rsidRPr="00516108">
        <w:rPr>
          <w:rFonts w:asciiTheme="majorBidi" w:hAnsiTheme="majorBidi" w:cstheme="majorBidi"/>
          <w:sz w:val="24"/>
          <w:szCs w:val="24"/>
          <w:lang w:val="en-US"/>
        </w:rPr>
        <w:t xml:space="preserve">about </w:t>
      </w:r>
      <w:r w:rsidRPr="00516108">
        <w:rPr>
          <w:rFonts w:asciiTheme="majorBidi" w:hAnsiTheme="majorBidi" w:cstheme="majorBidi"/>
          <w:sz w:val="24"/>
          <w:szCs w:val="24"/>
          <w:lang w:val="en-US"/>
        </w:rPr>
        <w:t xml:space="preserve">whether to accept the flu </w:t>
      </w:r>
      <w:r w:rsidR="00644BB7" w:rsidRPr="00516108">
        <w:rPr>
          <w:rFonts w:asciiTheme="majorBidi" w:hAnsiTheme="majorBidi" w:cstheme="majorBidi"/>
          <w:sz w:val="24"/>
          <w:szCs w:val="24"/>
          <w:lang w:val="en-US"/>
        </w:rPr>
        <w:t xml:space="preserve">vaccine </w:t>
      </w:r>
      <w:r w:rsidRPr="00516108">
        <w:rPr>
          <w:rFonts w:asciiTheme="majorBidi" w:hAnsiTheme="majorBidi" w:cstheme="majorBidi"/>
          <w:sz w:val="24"/>
          <w:szCs w:val="24"/>
          <w:lang w:val="en-US"/>
        </w:rPr>
        <w:t xml:space="preserve">and cancer treatment. Earlier work has shown that </w:t>
      </w:r>
      <w:r w:rsidR="008574EF">
        <w:rPr>
          <w:rFonts w:asciiTheme="majorBidi" w:hAnsiTheme="majorBidi" w:cstheme="majorBidi"/>
          <w:sz w:val="24"/>
          <w:szCs w:val="24"/>
          <w:lang w:val="en-US"/>
        </w:rPr>
        <w:t>more numerate</w:t>
      </w:r>
      <w:r w:rsidRPr="00516108">
        <w:rPr>
          <w:rFonts w:asciiTheme="majorBidi" w:hAnsiTheme="majorBidi" w:cstheme="majorBidi"/>
          <w:sz w:val="24"/>
          <w:szCs w:val="24"/>
          <w:lang w:val="en-US"/>
        </w:rPr>
        <w:t xml:space="preserve"> individuals have more accurate risk perception</w:t>
      </w:r>
      <w:r w:rsidR="00644BB7" w:rsidRPr="00516108">
        <w:rPr>
          <w:rFonts w:asciiTheme="majorBidi" w:hAnsiTheme="majorBidi" w:cstheme="majorBidi"/>
          <w:sz w:val="24"/>
          <w:szCs w:val="24"/>
          <w:lang w:val="en-US"/>
        </w:rPr>
        <w:t>s</w:t>
      </w:r>
      <w:r w:rsidR="00356EFE">
        <w:rPr>
          <w:rFonts w:asciiTheme="majorBidi" w:hAnsiTheme="majorBidi" w:cstheme="majorBidi"/>
          <w:sz w:val="24"/>
          <w:szCs w:val="24"/>
          <w:vertAlign w:val="superscript"/>
          <w:lang w:val="en-US"/>
        </w:rPr>
        <w:t xml:space="preserve"> </w:t>
      </w:r>
      <w:r w:rsidR="00B33A12">
        <w:rPr>
          <w:rFonts w:asciiTheme="majorBidi" w:hAnsiTheme="majorBidi" w:cstheme="majorBidi"/>
          <w:sz w:val="24"/>
          <w:szCs w:val="24"/>
          <w:vertAlign w:val="superscript"/>
          <w:lang w:val="en-US"/>
        </w:rPr>
        <w:t>(</w:t>
      </w:r>
      <w:r w:rsidR="00AE4C51">
        <w:rPr>
          <w:rFonts w:asciiTheme="majorBidi" w:hAnsiTheme="majorBidi" w:cstheme="majorBidi"/>
          <w:sz w:val="24"/>
          <w:szCs w:val="24"/>
          <w:vertAlign w:val="superscript"/>
          <w:lang w:val="en-US"/>
        </w:rPr>
        <w:t>37</w:t>
      </w:r>
      <w:r w:rsidR="001F480B">
        <w:rPr>
          <w:rFonts w:asciiTheme="majorBidi" w:hAnsiTheme="majorBidi" w:cstheme="majorBidi"/>
          <w:sz w:val="24"/>
          <w:szCs w:val="24"/>
          <w:vertAlign w:val="superscript"/>
          <w:lang w:val="en-US"/>
        </w:rPr>
        <w:t>,5</w:t>
      </w:r>
      <w:r w:rsidR="00AE4C51">
        <w:rPr>
          <w:rFonts w:asciiTheme="majorBidi" w:hAnsiTheme="majorBidi" w:cstheme="majorBidi"/>
          <w:sz w:val="24"/>
          <w:szCs w:val="24"/>
          <w:vertAlign w:val="superscript"/>
          <w:lang w:val="en-US"/>
        </w:rPr>
        <w:t>5</w:t>
      </w:r>
      <w:r w:rsidR="00B33A12">
        <w:rPr>
          <w:rFonts w:asciiTheme="majorBidi" w:hAnsiTheme="majorBidi" w:cstheme="majorBidi"/>
          <w:sz w:val="24"/>
          <w:szCs w:val="24"/>
          <w:vertAlign w:val="superscript"/>
          <w:lang w:val="en-US"/>
        </w:rPr>
        <w:t>)</w:t>
      </w:r>
      <w:r w:rsidR="00356EFE" w:rsidRPr="00356EFE">
        <w:rPr>
          <w:rFonts w:asciiTheme="majorBidi" w:hAnsiTheme="majorBidi" w:cstheme="majorBidi"/>
          <w:sz w:val="24"/>
          <w:szCs w:val="24"/>
          <w:lang w:val="en-US"/>
        </w:rPr>
        <w:t>,</w:t>
      </w:r>
      <w:r w:rsidRPr="00516108">
        <w:rPr>
          <w:rFonts w:asciiTheme="majorBidi" w:hAnsiTheme="majorBidi" w:cstheme="majorBidi"/>
          <w:sz w:val="24"/>
          <w:szCs w:val="24"/>
          <w:lang w:val="en-US"/>
        </w:rPr>
        <w:t xml:space="preserve"> and that accurate risk perception is related to greater uptake of flu vaccine as well as mammography screening.</w:t>
      </w:r>
      <w:r w:rsidR="00B33A12">
        <w:rPr>
          <w:rFonts w:asciiTheme="majorBidi" w:hAnsiTheme="majorBidi" w:cstheme="majorBidi"/>
          <w:sz w:val="24"/>
          <w:szCs w:val="24"/>
          <w:vertAlign w:val="superscript"/>
          <w:lang w:val="en-US"/>
        </w:rPr>
        <w:t>(</w:t>
      </w:r>
      <w:r w:rsidR="001F480B">
        <w:rPr>
          <w:rFonts w:asciiTheme="majorBidi" w:hAnsiTheme="majorBidi" w:cstheme="majorBidi"/>
          <w:sz w:val="24"/>
          <w:szCs w:val="24"/>
          <w:vertAlign w:val="superscript"/>
          <w:lang w:val="en-US"/>
        </w:rPr>
        <w:t>5</w:t>
      </w:r>
      <w:r w:rsidR="00AE4C51">
        <w:rPr>
          <w:rFonts w:asciiTheme="majorBidi" w:hAnsiTheme="majorBidi" w:cstheme="majorBidi"/>
          <w:sz w:val="24"/>
          <w:szCs w:val="24"/>
          <w:vertAlign w:val="superscript"/>
          <w:lang w:val="en-US"/>
        </w:rPr>
        <w:t>6</w:t>
      </w:r>
      <w:r w:rsidR="00B33A12">
        <w:rPr>
          <w:rFonts w:asciiTheme="majorBidi" w:hAnsiTheme="majorBidi" w:cstheme="majorBidi"/>
          <w:sz w:val="24"/>
          <w:szCs w:val="24"/>
          <w:vertAlign w:val="superscript"/>
          <w:lang w:val="en-US"/>
        </w:rPr>
        <w:t>)</w:t>
      </w:r>
      <w:r w:rsidRPr="00516108">
        <w:rPr>
          <w:rFonts w:asciiTheme="majorBidi" w:hAnsiTheme="majorBidi" w:cstheme="majorBidi"/>
          <w:sz w:val="24"/>
          <w:szCs w:val="24"/>
          <w:lang w:val="en-US"/>
        </w:rPr>
        <w:t xml:space="preserve"> Earlier work</w:t>
      </w:r>
      <w:r w:rsidR="00356EFE">
        <w:rPr>
          <w:rFonts w:asciiTheme="majorBidi" w:hAnsiTheme="majorBidi" w:cstheme="majorBidi"/>
          <w:sz w:val="24"/>
          <w:szCs w:val="24"/>
          <w:vertAlign w:val="superscript"/>
          <w:lang w:val="en-US"/>
        </w:rPr>
        <w:t xml:space="preserve"> </w:t>
      </w:r>
      <w:r w:rsidR="00B33A12">
        <w:rPr>
          <w:rFonts w:asciiTheme="majorBidi" w:hAnsiTheme="majorBidi" w:cstheme="majorBidi"/>
          <w:sz w:val="24"/>
          <w:szCs w:val="24"/>
          <w:vertAlign w:val="superscript"/>
          <w:lang w:val="en-US"/>
        </w:rPr>
        <w:t>(</w:t>
      </w:r>
      <w:r w:rsidR="001F480B">
        <w:rPr>
          <w:rFonts w:asciiTheme="majorBidi" w:hAnsiTheme="majorBidi" w:cstheme="majorBidi"/>
          <w:sz w:val="24"/>
          <w:szCs w:val="24"/>
          <w:vertAlign w:val="superscript"/>
          <w:lang w:val="en-US"/>
        </w:rPr>
        <w:t>3</w:t>
      </w:r>
      <w:r w:rsidR="00AE4C51">
        <w:rPr>
          <w:rFonts w:asciiTheme="majorBidi" w:hAnsiTheme="majorBidi" w:cstheme="majorBidi"/>
          <w:sz w:val="24"/>
          <w:szCs w:val="24"/>
          <w:vertAlign w:val="superscript"/>
          <w:lang w:val="en-US"/>
        </w:rPr>
        <w:t>2</w:t>
      </w:r>
      <w:r w:rsidR="001F480B">
        <w:rPr>
          <w:rFonts w:asciiTheme="majorBidi" w:hAnsiTheme="majorBidi" w:cstheme="majorBidi"/>
          <w:sz w:val="24"/>
          <w:szCs w:val="24"/>
          <w:vertAlign w:val="superscript"/>
          <w:lang w:val="en-US"/>
        </w:rPr>
        <w:t>,</w:t>
      </w:r>
      <w:r w:rsidR="00AE4C51">
        <w:rPr>
          <w:rFonts w:asciiTheme="majorBidi" w:hAnsiTheme="majorBidi" w:cstheme="majorBidi"/>
          <w:sz w:val="24"/>
          <w:szCs w:val="24"/>
          <w:vertAlign w:val="superscript"/>
          <w:lang w:val="en-US"/>
        </w:rPr>
        <w:t>57</w:t>
      </w:r>
      <w:r w:rsidR="00B33A12">
        <w:rPr>
          <w:rFonts w:asciiTheme="majorBidi" w:hAnsiTheme="majorBidi" w:cstheme="majorBidi"/>
          <w:sz w:val="24"/>
          <w:szCs w:val="24"/>
          <w:vertAlign w:val="superscript"/>
          <w:lang w:val="en-US"/>
        </w:rPr>
        <w:t>)</w:t>
      </w:r>
      <w:r w:rsidR="00356EFE" w:rsidRPr="00356EFE">
        <w:rPr>
          <w:rFonts w:asciiTheme="majorBidi" w:hAnsiTheme="majorBidi" w:cstheme="majorBidi"/>
          <w:sz w:val="24"/>
          <w:szCs w:val="24"/>
          <w:lang w:val="en-US"/>
        </w:rPr>
        <w:t>,</w:t>
      </w:r>
      <w:r w:rsidRPr="00516108">
        <w:rPr>
          <w:rFonts w:asciiTheme="majorBidi" w:hAnsiTheme="majorBidi" w:cstheme="majorBidi"/>
          <w:sz w:val="24"/>
          <w:szCs w:val="24"/>
          <w:lang w:val="en-US"/>
        </w:rPr>
        <w:t xml:space="preserve"> in addition, has reported a decline in numeracy levels with age. Our data did not reveal similar trends</w:t>
      </w:r>
      <w:r w:rsidR="00BB4DD9">
        <w:rPr>
          <w:rFonts w:asciiTheme="majorBidi" w:hAnsiTheme="majorBidi" w:cstheme="majorBidi"/>
          <w:sz w:val="24"/>
          <w:szCs w:val="24"/>
          <w:lang w:val="en-US"/>
        </w:rPr>
        <w:t>;</w:t>
      </w:r>
      <w:r w:rsidRPr="00516108">
        <w:rPr>
          <w:rFonts w:asciiTheme="majorBidi" w:hAnsiTheme="majorBidi" w:cstheme="majorBidi"/>
          <w:sz w:val="24"/>
          <w:szCs w:val="24"/>
          <w:lang w:val="en-US"/>
        </w:rPr>
        <w:t xml:space="preserve"> </w:t>
      </w:r>
      <w:r w:rsidR="00BB4DD9">
        <w:rPr>
          <w:rFonts w:asciiTheme="majorBidi" w:hAnsiTheme="majorBidi" w:cstheme="majorBidi"/>
          <w:sz w:val="24"/>
          <w:szCs w:val="24"/>
          <w:lang w:val="en-US"/>
        </w:rPr>
        <w:t>in our study,</w:t>
      </w:r>
      <w:r w:rsidR="00BB4DD9" w:rsidRPr="00516108">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age was not associated with reduced numeracy ability. It is possible that older participants on Mturk are more numerate than those in the general population. Also, we used only 4 questions</w:t>
      </w:r>
      <w:r w:rsidR="00990F1A">
        <w:rPr>
          <w:rFonts w:asciiTheme="majorBidi" w:hAnsiTheme="majorBidi" w:cstheme="majorBidi"/>
          <w:sz w:val="24"/>
          <w:szCs w:val="24"/>
          <w:lang w:val="en-US"/>
        </w:rPr>
        <w:t xml:space="preserve">, </w:t>
      </w:r>
      <w:r w:rsidR="00990F1A" w:rsidRPr="001F480B">
        <w:rPr>
          <w:rFonts w:asciiTheme="majorBidi" w:hAnsiTheme="majorBidi" w:cstheme="majorBidi"/>
          <w:sz w:val="24"/>
          <w:szCs w:val="24"/>
          <w:lang w:val="en-US"/>
        </w:rPr>
        <w:t>rather than 11 in the full numeracy scale.</w:t>
      </w:r>
      <w:r w:rsidR="00990F1A">
        <w:rPr>
          <w:rFonts w:asciiTheme="majorBidi" w:hAnsiTheme="majorBidi" w:cstheme="majorBidi"/>
          <w:sz w:val="24"/>
          <w:szCs w:val="24"/>
          <w:lang w:val="en-US"/>
        </w:rPr>
        <w:t xml:space="preserve"> </w:t>
      </w:r>
      <w:r w:rsidR="00DB2BEC" w:rsidRPr="00516108">
        <w:rPr>
          <w:rFonts w:asciiTheme="majorBidi" w:hAnsiTheme="majorBidi" w:cstheme="majorBidi"/>
          <w:sz w:val="24"/>
          <w:szCs w:val="24"/>
          <w:lang w:val="en-US"/>
        </w:rPr>
        <w:t>U</w:t>
      </w:r>
      <w:r w:rsidRPr="00516108">
        <w:rPr>
          <w:rFonts w:asciiTheme="majorBidi" w:hAnsiTheme="majorBidi" w:cstheme="majorBidi"/>
          <w:sz w:val="24"/>
          <w:szCs w:val="24"/>
          <w:lang w:val="en-US"/>
        </w:rPr>
        <w:t>sing the extended numeracy scale</w:t>
      </w:r>
      <w:r w:rsidR="00BB4DD9">
        <w:rPr>
          <w:rFonts w:asciiTheme="majorBidi" w:hAnsiTheme="majorBidi" w:cstheme="majorBidi"/>
          <w:sz w:val="24"/>
          <w:szCs w:val="24"/>
          <w:lang w:val="en-US"/>
        </w:rPr>
        <w:t xml:space="preserve"> that contains</w:t>
      </w:r>
      <w:r w:rsidRPr="00516108">
        <w:rPr>
          <w:rFonts w:asciiTheme="majorBidi" w:hAnsiTheme="majorBidi" w:cstheme="majorBidi"/>
          <w:sz w:val="24"/>
          <w:szCs w:val="24"/>
          <w:lang w:val="en-US"/>
        </w:rPr>
        <w:t xml:space="preserve"> 11 questions might have produced different </w:t>
      </w:r>
      <w:r w:rsidR="003734B8" w:rsidRPr="00516108">
        <w:rPr>
          <w:rFonts w:asciiTheme="majorBidi" w:hAnsiTheme="majorBidi" w:cstheme="majorBidi"/>
          <w:sz w:val="24"/>
          <w:szCs w:val="24"/>
          <w:lang w:val="en-US"/>
        </w:rPr>
        <w:t>results</w:t>
      </w:r>
      <w:r w:rsidRPr="00516108">
        <w:rPr>
          <w:rFonts w:asciiTheme="majorBidi" w:hAnsiTheme="majorBidi" w:cstheme="majorBidi"/>
          <w:sz w:val="24"/>
          <w:szCs w:val="24"/>
          <w:lang w:val="en-US"/>
        </w:rPr>
        <w:t>.</w:t>
      </w:r>
    </w:p>
    <w:p w14:paraId="2F59AD57" w14:textId="554AADC8" w:rsidR="009360D2" w:rsidRDefault="00DB2BEC" w:rsidP="00AE4C51">
      <w:pPr>
        <w:tabs>
          <w:tab w:val="left" w:pos="2430"/>
        </w:tabs>
        <w:spacing w:after="0" w:line="480" w:lineRule="auto"/>
        <w:ind w:firstLine="567"/>
        <w:rPr>
          <w:rFonts w:asciiTheme="majorBidi" w:hAnsiTheme="majorBidi" w:cstheme="majorBidi"/>
          <w:sz w:val="24"/>
          <w:szCs w:val="24"/>
          <w:lang w:val="en-US"/>
        </w:rPr>
      </w:pPr>
      <w:r w:rsidRPr="00516108">
        <w:rPr>
          <w:rFonts w:asciiTheme="majorBidi" w:hAnsiTheme="majorBidi" w:cstheme="majorBidi"/>
          <w:sz w:val="24"/>
          <w:szCs w:val="24"/>
          <w:lang w:val="en-US"/>
        </w:rPr>
        <w:t xml:space="preserve">The current study has several </w:t>
      </w:r>
      <w:r w:rsidR="00C10455" w:rsidRPr="00516108">
        <w:rPr>
          <w:rFonts w:asciiTheme="majorBidi" w:hAnsiTheme="majorBidi" w:cstheme="majorBidi"/>
          <w:sz w:val="24"/>
          <w:szCs w:val="24"/>
          <w:lang w:val="en-US"/>
        </w:rPr>
        <w:t>limitations</w:t>
      </w:r>
      <w:r w:rsidRPr="00516108">
        <w:rPr>
          <w:rFonts w:asciiTheme="majorBidi" w:hAnsiTheme="majorBidi" w:cstheme="majorBidi"/>
          <w:sz w:val="24"/>
          <w:szCs w:val="24"/>
          <w:lang w:val="en-US"/>
        </w:rPr>
        <w:t xml:space="preserve"> worth discussing</w:t>
      </w:r>
      <w:r w:rsidR="00C10455" w:rsidRPr="00516108">
        <w:rPr>
          <w:rFonts w:asciiTheme="majorBidi" w:hAnsiTheme="majorBidi" w:cstheme="majorBidi"/>
          <w:sz w:val="24"/>
          <w:szCs w:val="24"/>
          <w:lang w:val="en-US"/>
        </w:rPr>
        <w:t>. First, the study is cross-section</w:t>
      </w:r>
      <w:r w:rsidRPr="00516108">
        <w:rPr>
          <w:rFonts w:asciiTheme="majorBidi" w:hAnsiTheme="majorBidi" w:cstheme="majorBidi"/>
          <w:sz w:val="24"/>
          <w:szCs w:val="24"/>
          <w:lang w:val="en-US"/>
        </w:rPr>
        <w:t>al</w:t>
      </w:r>
      <w:r w:rsidR="00D10418">
        <w:rPr>
          <w:rFonts w:asciiTheme="majorBidi" w:hAnsiTheme="majorBidi" w:cstheme="majorBidi"/>
          <w:sz w:val="24"/>
          <w:szCs w:val="24"/>
          <w:lang w:val="en-US"/>
        </w:rPr>
        <w:t>,</w:t>
      </w:r>
      <w:r w:rsidR="00C10455" w:rsidRPr="00516108">
        <w:rPr>
          <w:rFonts w:asciiTheme="majorBidi" w:hAnsiTheme="majorBidi" w:cstheme="majorBidi"/>
          <w:sz w:val="24"/>
          <w:szCs w:val="24"/>
          <w:lang w:val="en-US"/>
        </w:rPr>
        <w:t xml:space="preserve"> </w:t>
      </w:r>
      <w:r w:rsidR="0090575E">
        <w:rPr>
          <w:rFonts w:asciiTheme="majorBidi" w:hAnsiTheme="majorBidi" w:cstheme="majorBidi"/>
          <w:sz w:val="24"/>
          <w:szCs w:val="24"/>
          <w:lang w:val="en-US"/>
        </w:rPr>
        <w:t xml:space="preserve">so that the results </w:t>
      </w:r>
      <w:r w:rsidRPr="00516108">
        <w:rPr>
          <w:rFonts w:asciiTheme="majorBidi" w:hAnsiTheme="majorBidi" w:cstheme="majorBidi"/>
          <w:sz w:val="24"/>
          <w:szCs w:val="24"/>
          <w:lang w:val="en-US"/>
        </w:rPr>
        <w:t xml:space="preserve">might </w:t>
      </w:r>
      <w:r w:rsidR="00C10455" w:rsidRPr="00516108">
        <w:rPr>
          <w:rFonts w:asciiTheme="majorBidi" w:hAnsiTheme="majorBidi" w:cstheme="majorBidi"/>
          <w:sz w:val="24"/>
          <w:szCs w:val="24"/>
          <w:lang w:val="en-US"/>
        </w:rPr>
        <w:t xml:space="preserve">reflect cohort differences rather than developmental changes. </w:t>
      </w:r>
      <w:r w:rsidR="009B41B8" w:rsidRPr="00516108">
        <w:rPr>
          <w:rFonts w:asciiTheme="majorBidi" w:hAnsiTheme="majorBidi" w:cstheme="majorBidi"/>
          <w:sz w:val="24"/>
          <w:szCs w:val="24"/>
          <w:lang w:val="en-US"/>
        </w:rPr>
        <w:t xml:space="preserve">Cohort-sequential </w:t>
      </w:r>
      <w:r w:rsidR="00C10455" w:rsidRPr="00516108">
        <w:rPr>
          <w:rFonts w:asciiTheme="majorBidi" w:hAnsiTheme="majorBidi" w:cstheme="majorBidi"/>
          <w:sz w:val="24"/>
          <w:szCs w:val="24"/>
          <w:lang w:val="en-US"/>
        </w:rPr>
        <w:t>data examining life</w:t>
      </w:r>
      <w:r w:rsidR="00D10418">
        <w:rPr>
          <w:rFonts w:asciiTheme="majorBidi" w:hAnsiTheme="majorBidi" w:cstheme="majorBidi"/>
          <w:sz w:val="24"/>
          <w:szCs w:val="24"/>
          <w:lang w:val="en-US"/>
        </w:rPr>
        <w:t>-</w:t>
      </w:r>
      <w:r w:rsidR="00C10455" w:rsidRPr="00516108">
        <w:rPr>
          <w:rFonts w:asciiTheme="majorBidi" w:hAnsiTheme="majorBidi" w:cstheme="majorBidi"/>
          <w:sz w:val="24"/>
          <w:szCs w:val="24"/>
          <w:lang w:val="en-US"/>
        </w:rPr>
        <w:t xml:space="preserve">span changes in medical risk taking will provide better insights </w:t>
      </w:r>
      <w:r w:rsidR="00D10418">
        <w:rPr>
          <w:rFonts w:asciiTheme="majorBidi" w:hAnsiTheme="majorBidi" w:cstheme="majorBidi"/>
          <w:sz w:val="24"/>
          <w:szCs w:val="24"/>
          <w:lang w:val="en-US"/>
        </w:rPr>
        <w:t>into</w:t>
      </w:r>
      <w:r w:rsidR="00D10418" w:rsidRPr="00516108">
        <w:rPr>
          <w:rFonts w:asciiTheme="majorBidi" w:hAnsiTheme="majorBidi" w:cstheme="majorBidi"/>
          <w:sz w:val="24"/>
          <w:szCs w:val="24"/>
          <w:lang w:val="en-US"/>
        </w:rPr>
        <w:t xml:space="preserve"> </w:t>
      </w:r>
      <w:r w:rsidR="00C10455" w:rsidRPr="00516108">
        <w:rPr>
          <w:rFonts w:asciiTheme="majorBidi" w:hAnsiTheme="majorBidi" w:cstheme="majorBidi"/>
          <w:sz w:val="24"/>
          <w:szCs w:val="24"/>
          <w:lang w:val="en-US"/>
        </w:rPr>
        <w:t xml:space="preserve">how age relates to changes in medical risk taking. </w:t>
      </w:r>
      <w:r w:rsidR="009B41B8" w:rsidRPr="00516108">
        <w:rPr>
          <w:rFonts w:asciiTheme="majorBidi" w:hAnsiTheme="majorBidi" w:cstheme="majorBidi"/>
          <w:sz w:val="24"/>
          <w:szCs w:val="24"/>
          <w:lang w:val="en-US"/>
        </w:rPr>
        <w:t>Furthermore, a</w:t>
      </w:r>
      <w:r w:rsidR="00C10455" w:rsidRPr="00516108">
        <w:rPr>
          <w:rFonts w:asciiTheme="majorBidi" w:hAnsiTheme="majorBidi" w:cstheme="majorBidi"/>
          <w:sz w:val="24"/>
          <w:szCs w:val="24"/>
          <w:lang w:val="en-US"/>
        </w:rPr>
        <w:t>ll measures used in this study are based on self-reports. Including behavioral measures</w:t>
      </w:r>
      <w:r w:rsidR="009B41B8" w:rsidRPr="00516108">
        <w:rPr>
          <w:rFonts w:asciiTheme="majorBidi" w:hAnsiTheme="majorBidi" w:cstheme="majorBidi"/>
          <w:sz w:val="24"/>
          <w:szCs w:val="24"/>
          <w:lang w:val="en-US"/>
        </w:rPr>
        <w:t xml:space="preserve"> of actual medical risk</w:t>
      </w:r>
      <w:r w:rsidR="00D10418">
        <w:rPr>
          <w:rFonts w:asciiTheme="majorBidi" w:hAnsiTheme="majorBidi" w:cstheme="majorBidi"/>
          <w:sz w:val="24"/>
          <w:szCs w:val="24"/>
          <w:lang w:val="en-US"/>
        </w:rPr>
        <w:t xml:space="preserve"> </w:t>
      </w:r>
      <w:r w:rsidR="009B41B8" w:rsidRPr="00516108">
        <w:rPr>
          <w:rFonts w:asciiTheme="majorBidi" w:hAnsiTheme="majorBidi" w:cstheme="majorBidi"/>
          <w:sz w:val="24"/>
          <w:szCs w:val="24"/>
          <w:lang w:val="en-US"/>
        </w:rPr>
        <w:t>taking (e.g., vaccinations) would help to</w:t>
      </w:r>
      <w:r w:rsidR="00C10455" w:rsidRPr="00516108">
        <w:rPr>
          <w:rFonts w:asciiTheme="majorBidi" w:hAnsiTheme="majorBidi" w:cstheme="majorBidi"/>
          <w:sz w:val="24"/>
          <w:szCs w:val="24"/>
          <w:lang w:val="en-US"/>
        </w:rPr>
        <w:t xml:space="preserve"> further enhance our understanding about </w:t>
      </w:r>
      <w:r w:rsidR="009B41B8" w:rsidRPr="00516108">
        <w:rPr>
          <w:rFonts w:asciiTheme="majorBidi" w:hAnsiTheme="majorBidi" w:cstheme="majorBidi"/>
          <w:sz w:val="24"/>
          <w:szCs w:val="24"/>
          <w:lang w:val="en-US"/>
        </w:rPr>
        <w:t xml:space="preserve">the association of age </w:t>
      </w:r>
      <w:r w:rsidR="00C10455" w:rsidRPr="00516108">
        <w:rPr>
          <w:rFonts w:asciiTheme="majorBidi" w:hAnsiTheme="majorBidi" w:cstheme="majorBidi"/>
          <w:sz w:val="24"/>
          <w:szCs w:val="24"/>
          <w:lang w:val="en-US"/>
        </w:rPr>
        <w:t>and medical risk taking.</w:t>
      </w:r>
      <w:r w:rsidR="0090575E">
        <w:rPr>
          <w:rFonts w:asciiTheme="majorBidi" w:hAnsiTheme="majorBidi" w:cstheme="majorBidi"/>
          <w:sz w:val="24"/>
          <w:szCs w:val="24"/>
          <w:lang w:val="en-US"/>
        </w:rPr>
        <w:t xml:space="preserve"> Moreover, we used an MTurk-sample </w:t>
      </w:r>
      <w:r w:rsidR="009360D2">
        <w:rPr>
          <w:rFonts w:asciiTheme="majorBidi" w:hAnsiTheme="majorBidi" w:cstheme="majorBidi"/>
          <w:sz w:val="24"/>
          <w:szCs w:val="24"/>
          <w:lang w:val="en-US"/>
        </w:rPr>
        <w:t>which, alt</w:t>
      </w:r>
      <w:r w:rsidR="0090575E" w:rsidRPr="00516108">
        <w:rPr>
          <w:rFonts w:asciiTheme="majorBidi" w:hAnsiTheme="majorBidi" w:cstheme="majorBidi"/>
          <w:sz w:val="24"/>
          <w:szCs w:val="24"/>
          <w:lang w:val="en-US"/>
        </w:rPr>
        <w:t>h</w:t>
      </w:r>
      <w:r w:rsidR="009360D2">
        <w:rPr>
          <w:rFonts w:asciiTheme="majorBidi" w:hAnsiTheme="majorBidi" w:cstheme="majorBidi"/>
          <w:sz w:val="24"/>
          <w:szCs w:val="24"/>
          <w:lang w:val="en-US"/>
        </w:rPr>
        <w:t>ough these samples are typically not more selected than other convenience samples,</w:t>
      </w:r>
      <w:r w:rsidR="00DC42D5">
        <w:rPr>
          <w:rFonts w:asciiTheme="majorBidi" w:hAnsiTheme="majorBidi" w:cstheme="majorBidi"/>
          <w:sz w:val="24"/>
          <w:szCs w:val="24"/>
          <w:vertAlign w:val="superscript"/>
          <w:lang w:val="en-US"/>
        </w:rPr>
        <w:t>5</w:t>
      </w:r>
      <w:r w:rsidR="00AE4C51">
        <w:rPr>
          <w:rFonts w:asciiTheme="majorBidi" w:hAnsiTheme="majorBidi" w:cstheme="majorBidi"/>
          <w:sz w:val="24"/>
          <w:szCs w:val="24"/>
          <w:vertAlign w:val="superscript"/>
          <w:lang w:val="en-US"/>
        </w:rPr>
        <w:t>8</w:t>
      </w:r>
      <w:r w:rsidR="009360D2">
        <w:rPr>
          <w:rFonts w:asciiTheme="majorBidi" w:hAnsiTheme="majorBidi" w:cstheme="majorBidi"/>
          <w:sz w:val="24"/>
          <w:szCs w:val="24"/>
          <w:lang w:val="en-US"/>
        </w:rPr>
        <w:t xml:space="preserve"> other samples (and measures) should be used to replicate the findings and test for their robustness. </w:t>
      </w:r>
    </w:p>
    <w:p w14:paraId="5C518661" w14:textId="03191445" w:rsidR="00C10455" w:rsidRPr="00516108" w:rsidRDefault="007817BE" w:rsidP="008525A3">
      <w:pPr>
        <w:tabs>
          <w:tab w:val="left" w:pos="2430"/>
        </w:tabs>
        <w:spacing w:after="0" w:line="480" w:lineRule="auto"/>
        <w:ind w:firstLine="567"/>
        <w:rPr>
          <w:rFonts w:asciiTheme="majorBidi" w:hAnsiTheme="majorBidi" w:cstheme="majorBidi"/>
          <w:sz w:val="24"/>
          <w:szCs w:val="24"/>
          <w:lang w:val="en-US"/>
        </w:rPr>
      </w:pPr>
      <w:r>
        <w:rPr>
          <w:rFonts w:asciiTheme="majorBidi" w:hAnsiTheme="majorBidi" w:cstheme="majorBidi"/>
          <w:sz w:val="24"/>
          <w:szCs w:val="24"/>
          <w:lang w:val="en-US"/>
        </w:rPr>
        <w:t>Finally, there are a number of concerns regarding the DOSPERT-M. First, previous studies did find correlations between the DOSPERT-M and some of the other subscales of the DOSPERT. As indicated in the introduction, however, there is enough evidence to question whether knowing a person</w:t>
      </w:r>
      <w:r w:rsidR="001B0F87">
        <w:rPr>
          <w:rFonts w:asciiTheme="majorBidi" w:hAnsiTheme="majorBidi" w:cstheme="majorBidi"/>
          <w:sz w:val="24"/>
          <w:szCs w:val="24"/>
          <w:lang w:val="en-US"/>
        </w:rPr>
        <w:t>’s</w:t>
      </w:r>
      <w:r>
        <w:rPr>
          <w:rFonts w:asciiTheme="majorBidi" w:hAnsiTheme="majorBidi" w:cstheme="majorBidi"/>
          <w:sz w:val="24"/>
          <w:szCs w:val="24"/>
          <w:lang w:val="en-US"/>
        </w:rPr>
        <w:t xml:space="preserve"> fin</w:t>
      </w:r>
      <w:r w:rsidR="001B0F87">
        <w:rPr>
          <w:rFonts w:asciiTheme="majorBidi" w:hAnsiTheme="majorBidi" w:cstheme="majorBidi"/>
          <w:sz w:val="24"/>
          <w:szCs w:val="24"/>
          <w:lang w:val="en-US"/>
        </w:rPr>
        <w:t>anci</w:t>
      </w:r>
      <w:r>
        <w:rPr>
          <w:rFonts w:asciiTheme="majorBidi" w:hAnsiTheme="majorBidi" w:cstheme="majorBidi"/>
          <w:sz w:val="24"/>
          <w:szCs w:val="24"/>
          <w:lang w:val="en-US"/>
        </w:rPr>
        <w:t>al risk attitude is sufficient to predict their medical risk attitude.</w:t>
      </w:r>
      <w:r w:rsidR="003223C3">
        <w:rPr>
          <w:rFonts w:asciiTheme="majorBidi" w:hAnsiTheme="majorBidi" w:cstheme="majorBidi"/>
          <w:sz w:val="24"/>
          <w:szCs w:val="24"/>
          <w:lang w:val="en-US"/>
        </w:rPr>
        <w:t xml:space="preserve"> More importantly, there are some concerns about the content validity</w:t>
      </w:r>
      <w:r w:rsidR="00AA45E4">
        <w:rPr>
          <w:rFonts w:asciiTheme="majorBidi" w:hAnsiTheme="majorBidi" w:cstheme="majorBidi"/>
          <w:sz w:val="24"/>
          <w:szCs w:val="24"/>
          <w:lang w:val="en-US"/>
        </w:rPr>
        <w:t xml:space="preserve"> of the DOSPERT-M, especially as it </w:t>
      </w:r>
      <w:r w:rsidR="001B0F87">
        <w:rPr>
          <w:rFonts w:asciiTheme="majorBidi" w:hAnsiTheme="majorBidi" w:cstheme="majorBidi"/>
          <w:sz w:val="24"/>
          <w:szCs w:val="24"/>
          <w:lang w:val="en-US"/>
        </w:rPr>
        <w:t xml:space="preserve">is </w:t>
      </w:r>
      <w:r w:rsidR="00AA45E4">
        <w:rPr>
          <w:rFonts w:asciiTheme="majorBidi" w:hAnsiTheme="majorBidi" w:cstheme="majorBidi"/>
          <w:sz w:val="24"/>
          <w:szCs w:val="24"/>
          <w:lang w:val="en-US"/>
        </w:rPr>
        <w:t xml:space="preserve">applied to </w:t>
      </w:r>
      <w:r w:rsidR="001B0F87">
        <w:rPr>
          <w:rFonts w:asciiTheme="majorBidi" w:hAnsiTheme="majorBidi" w:cstheme="majorBidi"/>
          <w:sz w:val="24"/>
          <w:szCs w:val="24"/>
          <w:lang w:val="en-US"/>
        </w:rPr>
        <w:t xml:space="preserve">an </w:t>
      </w:r>
      <w:r w:rsidR="00AA45E4">
        <w:rPr>
          <w:rFonts w:asciiTheme="majorBidi" w:hAnsiTheme="majorBidi" w:cstheme="majorBidi"/>
          <w:sz w:val="24"/>
          <w:szCs w:val="24"/>
          <w:lang w:val="en-US"/>
        </w:rPr>
        <w:t>aging population whose medical or health need</w:t>
      </w:r>
      <w:r w:rsidR="001B0F87">
        <w:rPr>
          <w:rFonts w:asciiTheme="majorBidi" w:hAnsiTheme="majorBidi" w:cstheme="majorBidi"/>
          <w:sz w:val="24"/>
          <w:szCs w:val="24"/>
          <w:lang w:val="en-US"/>
        </w:rPr>
        <w:t>s</w:t>
      </w:r>
      <w:r w:rsidR="00AA45E4">
        <w:rPr>
          <w:rFonts w:asciiTheme="majorBidi" w:hAnsiTheme="majorBidi" w:cstheme="majorBidi"/>
          <w:sz w:val="24"/>
          <w:szCs w:val="24"/>
          <w:lang w:val="en-US"/>
        </w:rPr>
        <w:t xml:space="preserve"> might be changing. </w:t>
      </w:r>
      <w:r w:rsidR="00B12CE2">
        <w:rPr>
          <w:rFonts w:asciiTheme="majorBidi" w:hAnsiTheme="majorBidi" w:cstheme="majorBidi"/>
          <w:sz w:val="24"/>
          <w:szCs w:val="24"/>
          <w:lang w:val="en-US"/>
        </w:rPr>
        <w:t xml:space="preserve">Indeed, the majority of </w:t>
      </w:r>
      <w:r w:rsidR="008525A3">
        <w:rPr>
          <w:rFonts w:asciiTheme="majorBidi" w:hAnsiTheme="majorBidi" w:cstheme="majorBidi"/>
          <w:sz w:val="24"/>
          <w:szCs w:val="24"/>
          <w:lang w:val="en-US"/>
        </w:rPr>
        <w:t>the questions</w:t>
      </w:r>
      <w:r w:rsidR="00B12CE2">
        <w:rPr>
          <w:rFonts w:asciiTheme="majorBidi" w:hAnsiTheme="majorBidi" w:cstheme="majorBidi"/>
          <w:sz w:val="24"/>
          <w:szCs w:val="24"/>
          <w:lang w:val="en-US"/>
        </w:rPr>
        <w:t xml:space="preserve"> in the DOSPERT-M refer to not very risky medical procedures (giving blood), and </w:t>
      </w:r>
      <w:r w:rsidR="008525A3">
        <w:rPr>
          <w:rFonts w:asciiTheme="majorBidi" w:hAnsiTheme="majorBidi" w:cstheme="majorBidi"/>
          <w:sz w:val="24"/>
          <w:szCs w:val="24"/>
          <w:lang w:val="en-US"/>
        </w:rPr>
        <w:t xml:space="preserve">ones that </w:t>
      </w:r>
      <w:r w:rsidR="00B12CE2">
        <w:rPr>
          <w:rFonts w:asciiTheme="majorBidi" w:hAnsiTheme="majorBidi" w:cstheme="majorBidi"/>
          <w:sz w:val="24"/>
          <w:szCs w:val="24"/>
          <w:lang w:val="en-US"/>
        </w:rPr>
        <w:t>are elective (</w:t>
      </w:r>
      <w:r w:rsidR="008525A3">
        <w:rPr>
          <w:rFonts w:asciiTheme="majorBidi" w:hAnsiTheme="majorBidi" w:cstheme="majorBidi"/>
          <w:sz w:val="24"/>
          <w:szCs w:val="24"/>
          <w:lang w:val="en-US"/>
        </w:rPr>
        <w:t>d</w:t>
      </w:r>
      <w:r w:rsidR="00B12CE2">
        <w:rPr>
          <w:rFonts w:asciiTheme="majorBidi" w:hAnsiTheme="majorBidi" w:cstheme="majorBidi"/>
          <w:sz w:val="24"/>
          <w:szCs w:val="24"/>
          <w:lang w:val="en-US"/>
        </w:rPr>
        <w:t>onating a kidney). None of the question</w:t>
      </w:r>
      <w:r w:rsidR="001B0F87">
        <w:rPr>
          <w:rFonts w:asciiTheme="majorBidi" w:hAnsiTheme="majorBidi" w:cstheme="majorBidi"/>
          <w:sz w:val="24"/>
          <w:szCs w:val="24"/>
          <w:lang w:val="en-US"/>
        </w:rPr>
        <w:t>s</w:t>
      </w:r>
      <w:r w:rsidR="00B12CE2">
        <w:rPr>
          <w:rFonts w:asciiTheme="majorBidi" w:hAnsiTheme="majorBidi" w:cstheme="majorBidi"/>
          <w:sz w:val="24"/>
          <w:szCs w:val="24"/>
          <w:lang w:val="en-US"/>
        </w:rPr>
        <w:t xml:space="preserve">, for example, </w:t>
      </w:r>
      <w:r w:rsidR="009F0752">
        <w:rPr>
          <w:rFonts w:asciiTheme="majorBidi" w:hAnsiTheme="majorBidi" w:cstheme="majorBidi"/>
          <w:sz w:val="24"/>
          <w:szCs w:val="24"/>
          <w:lang w:val="en-US"/>
        </w:rPr>
        <w:t>capture</w:t>
      </w:r>
      <w:r w:rsidR="00B12CE2">
        <w:rPr>
          <w:rFonts w:asciiTheme="majorBidi" w:hAnsiTheme="majorBidi" w:cstheme="majorBidi"/>
          <w:sz w:val="24"/>
          <w:szCs w:val="24"/>
          <w:lang w:val="en-US"/>
        </w:rPr>
        <w:t xml:space="preserve"> the type</w:t>
      </w:r>
      <w:r w:rsidR="001B0F87">
        <w:rPr>
          <w:rFonts w:asciiTheme="majorBidi" w:hAnsiTheme="majorBidi" w:cstheme="majorBidi"/>
          <w:sz w:val="24"/>
          <w:szCs w:val="24"/>
          <w:lang w:val="en-US"/>
        </w:rPr>
        <w:t>s</w:t>
      </w:r>
      <w:r w:rsidR="00B12CE2">
        <w:rPr>
          <w:rFonts w:asciiTheme="majorBidi" w:hAnsiTheme="majorBidi" w:cstheme="majorBidi"/>
          <w:sz w:val="24"/>
          <w:szCs w:val="24"/>
          <w:lang w:val="en-US"/>
        </w:rPr>
        <w:t xml:space="preserve"> of risky decisions that many cancer patients face. </w:t>
      </w:r>
      <w:r w:rsidR="00AA45E4">
        <w:rPr>
          <w:rFonts w:asciiTheme="majorBidi" w:hAnsiTheme="majorBidi" w:cstheme="majorBidi"/>
          <w:sz w:val="24"/>
          <w:szCs w:val="24"/>
          <w:lang w:val="en-US"/>
        </w:rPr>
        <w:t>While we acknowledge the possible limitations of the DOSPERT-M, it is, at least at present, the only available instrument to measure medical risk attitude</w:t>
      </w:r>
      <w:r w:rsidR="00B12CE2">
        <w:rPr>
          <w:rFonts w:asciiTheme="majorBidi" w:hAnsiTheme="majorBidi" w:cstheme="majorBidi"/>
          <w:sz w:val="24"/>
          <w:szCs w:val="24"/>
          <w:lang w:val="en-US"/>
        </w:rPr>
        <w:t>. Indeed, we believe there is an urgent need to develop more comprehensive and possible disease specific risk taking instruments. The lack of wide</w:t>
      </w:r>
      <w:r w:rsidR="001B0F87">
        <w:rPr>
          <w:rFonts w:asciiTheme="majorBidi" w:hAnsiTheme="majorBidi" w:cstheme="majorBidi"/>
          <w:sz w:val="24"/>
          <w:szCs w:val="24"/>
          <w:lang w:val="en-US"/>
        </w:rPr>
        <w:t>ly</w:t>
      </w:r>
      <w:r w:rsidR="00B12CE2">
        <w:rPr>
          <w:rFonts w:asciiTheme="majorBidi" w:hAnsiTheme="majorBidi" w:cstheme="majorBidi"/>
          <w:sz w:val="24"/>
          <w:szCs w:val="24"/>
          <w:lang w:val="en-US"/>
        </w:rPr>
        <w:t xml:space="preserve"> available instruments served as </w:t>
      </w:r>
      <w:r w:rsidR="001B0F87">
        <w:rPr>
          <w:rFonts w:asciiTheme="majorBidi" w:hAnsiTheme="majorBidi" w:cstheme="majorBidi"/>
          <w:sz w:val="24"/>
          <w:szCs w:val="24"/>
          <w:lang w:val="en-US"/>
        </w:rPr>
        <w:t xml:space="preserve">a </w:t>
      </w:r>
      <w:r w:rsidR="00B12CE2">
        <w:rPr>
          <w:rFonts w:asciiTheme="majorBidi" w:hAnsiTheme="majorBidi" w:cstheme="majorBidi"/>
          <w:sz w:val="24"/>
          <w:szCs w:val="24"/>
          <w:lang w:val="en-US"/>
        </w:rPr>
        <w:t>partial rational for our inclusion of the omission/commission bias. Given the importan</w:t>
      </w:r>
      <w:r w:rsidR="001B0F87">
        <w:rPr>
          <w:rFonts w:asciiTheme="majorBidi" w:hAnsiTheme="majorBidi" w:cstheme="majorBidi"/>
          <w:sz w:val="24"/>
          <w:szCs w:val="24"/>
          <w:lang w:val="en-US"/>
        </w:rPr>
        <w:t>t</w:t>
      </w:r>
      <w:r w:rsidR="00B12CE2">
        <w:rPr>
          <w:rFonts w:asciiTheme="majorBidi" w:hAnsiTheme="majorBidi" w:cstheme="majorBidi"/>
          <w:sz w:val="24"/>
          <w:szCs w:val="24"/>
          <w:lang w:val="en-US"/>
        </w:rPr>
        <w:t xml:space="preserve"> and difficult decisions that millions of patients face, coupled with our aging society, there is a clear need to develop more instruments </w:t>
      </w:r>
      <w:r w:rsidR="001B0F87">
        <w:rPr>
          <w:rFonts w:asciiTheme="majorBidi" w:hAnsiTheme="majorBidi" w:cstheme="majorBidi"/>
          <w:sz w:val="24"/>
          <w:szCs w:val="24"/>
          <w:lang w:val="en-US"/>
        </w:rPr>
        <w:t>that</w:t>
      </w:r>
      <w:r w:rsidR="00B12CE2">
        <w:rPr>
          <w:rFonts w:asciiTheme="majorBidi" w:hAnsiTheme="majorBidi" w:cstheme="majorBidi"/>
          <w:sz w:val="24"/>
          <w:szCs w:val="24"/>
          <w:lang w:val="en-US"/>
        </w:rPr>
        <w:t xml:space="preserve"> will allow us to better capture patients’ attitude towards medical risky option</w:t>
      </w:r>
      <w:r w:rsidR="009F0752">
        <w:rPr>
          <w:rFonts w:asciiTheme="majorBidi" w:hAnsiTheme="majorBidi" w:cstheme="majorBidi"/>
          <w:sz w:val="24"/>
          <w:szCs w:val="24"/>
          <w:lang w:val="en-US"/>
        </w:rPr>
        <w:t>—in a similar way that financial institution</w:t>
      </w:r>
      <w:r w:rsidR="001B0F87">
        <w:rPr>
          <w:rFonts w:asciiTheme="majorBidi" w:hAnsiTheme="majorBidi" w:cstheme="majorBidi"/>
          <w:sz w:val="24"/>
          <w:szCs w:val="24"/>
          <w:lang w:val="en-US"/>
        </w:rPr>
        <w:t>s</w:t>
      </w:r>
      <w:r w:rsidR="009F0752">
        <w:rPr>
          <w:rFonts w:asciiTheme="majorBidi" w:hAnsiTheme="majorBidi" w:cstheme="majorBidi"/>
          <w:sz w:val="24"/>
          <w:szCs w:val="24"/>
          <w:lang w:val="en-US"/>
        </w:rPr>
        <w:t xml:space="preserve"> often gauge their clients’ risk profile when making recommendations. </w:t>
      </w:r>
      <w:r w:rsidR="00B12CE2">
        <w:rPr>
          <w:rFonts w:asciiTheme="majorBidi" w:hAnsiTheme="majorBidi" w:cstheme="majorBidi"/>
          <w:sz w:val="24"/>
          <w:szCs w:val="24"/>
          <w:lang w:val="en-US"/>
        </w:rPr>
        <w:t xml:space="preserve">   </w:t>
      </w:r>
      <w:r w:rsidR="00AA45E4">
        <w:rPr>
          <w:rFonts w:asciiTheme="majorBidi" w:hAnsiTheme="majorBidi" w:cstheme="majorBidi"/>
          <w:sz w:val="24"/>
          <w:szCs w:val="24"/>
          <w:lang w:val="en-US"/>
        </w:rPr>
        <w:t xml:space="preserve">     </w:t>
      </w:r>
    </w:p>
    <w:p w14:paraId="46F120D0" w14:textId="057FE565" w:rsidR="008B6A9F" w:rsidRDefault="00C10455" w:rsidP="005C12BC">
      <w:pPr>
        <w:spacing w:line="480" w:lineRule="auto"/>
        <w:rPr>
          <w:rFonts w:ascii="Times New Roman" w:hAnsi="Times New Roman" w:cs="Times New Roman"/>
          <w:b/>
          <w:bCs/>
          <w:sz w:val="24"/>
          <w:szCs w:val="24"/>
        </w:rPr>
      </w:pPr>
      <w:r w:rsidRPr="00516108">
        <w:rPr>
          <w:rFonts w:asciiTheme="majorBidi" w:hAnsiTheme="majorBidi" w:cstheme="majorBidi"/>
          <w:sz w:val="24"/>
          <w:szCs w:val="24"/>
          <w:lang w:val="en-US"/>
        </w:rPr>
        <w:t xml:space="preserve">As the </w:t>
      </w:r>
      <w:r w:rsidR="003734B8" w:rsidRPr="00516108">
        <w:rPr>
          <w:rFonts w:asciiTheme="majorBidi" w:hAnsiTheme="majorBidi" w:cstheme="majorBidi"/>
          <w:sz w:val="24"/>
          <w:szCs w:val="24"/>
          <w:lang w:val="en-US"/>
        </w:rPr>
        <w:t xml:space="preserve">proportion </w:t>
      </w:r>
      <w:r w:rsidRPr="00516108">
        <w:rPr>
          <w:rFonts w:asciiTheme="majorBidi" w:hAnsiTheme="majorBidi" w:cstheme="majorBidi"/>
          <w:sz w:val="24"/>
          <w:szCs w:val="24"/>
          <w:lang w:val="en-US"/>
        </w:rPr>
        <w:t xml:space="preserve">of older adults increases in the general population and people live longer than ever before, complex and risky medical procedures and treatments will become more ubiquitous. </w:t>
      </w:r>
      <w:r w:rsidR="003734B8" w:rsidRPr="00516108">
        <w:rPr>
          <w:rFonts w:asciiTheme="majorBidi" w:hAnsiTheme="majorBidi" w:cstheme="majorBidi"/>
          <w:sz w:val="24"/>
          <w:szCs w:val="24"/>
          <w:lang w:val="en-US"/>
        </w:rPr>
        <w:t>A</w:t>
      </w:r>
      <w:r w:rsidRPr="00516108">
        <w:rPr>
          <w:rFonts w:asciiTheme="majorBidi" w:hAnsiTheme="majorBidi" w:cstheme="majorBidi"/>
          <w:sz w:val="24"/>
          <w:szCs w:val="24"/>
          <w:lang w:val="en-US"/>
        </w:rPr>
        <w:t xml:space="preserve"> better understanding of </w:t>
      </w:r>
      <w:r w:rsidR="003734B8" w:rsidRPr="00516108">
        <w:rPr>
          <w:rFonts w:asciiTheme="majorBidi" w:hAnsiTheme="majorBidi" w:cstheme="majorBidi"/>
          <w:sz w:val="24"/>
          <w:szCs w:val="24"/>
          <w:lang w:val="en-US"/>
        </w:rPr>
        <w:t xml:space="preserve">how </w:t>
      </w:r>
      <w:r w:rsidRPr="00516108">
        <w:rPr>
          <w:rFonts w:asciiTheme="majorBidi" w:hAnsiTheme="majorBidi" w:cstheme="majorBidi"/>
          <w:sz w:val="24"/>
          <w:szCs w:val="24"/>
          <w:lang w:val="en-US"/>
        </w:rPr>
        <w:t xml:space="preserve">age relates to willingness to engage in medical risk taking has clear conceptual and applied ramifications. It is becoming evident that to investigate a complex phenomenon such as medical risk taking, there is a need to employ </w:t>
      </w:r>
      <w:r w:rsidR="00937536">
        <w:rPr>
          <w:rFonts w:asciiTheme="majorBidi" w:hAnsiTheme="majorBidi" w:cstheme="majorBidi"/>
          <w:sz w:val="24"/>
          <w:szCs w:val="24"/>
          <w:lang w:val="en-US"/>
        </w:rPr>
        <w:t>a variety of</w:t>
      </w:r>
      <w:r w:rsidR="00937536" w:rsidRPr="00516108">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 xml:space="preserve">tools and measures, </w:t>
      </w:r>
      <w:r w:rsidR="003734B8" w:rsidRPr="00516108">
        <w:rPr>
          <w:rFonts w:asciiTheme="majorBidi" w:hAnsiTheme="majorBidi" w:cstheme="majorBidi"/>
          <w:sz w:val="24"/>
          <w:szCs w:val="24"/>
          <w:lang w:val="en-US"/>
        </w:rPr>
        <w:t xml:space="preserve">especially </w:t>
      </w:r>
      <w:r w:rsidRPr="00516108">
        <w:rPr>
          <w:rFonts w:asciiTheme="majorBidi" w:hAnsiTheme="majorBidi" w:cstheme="majorBidi"/>
          <w:sz w:val="24"/>
          <w:szCs w:val="24"/>
          <w:lang w:val="en-US"/>
        </w:rPr>
        <w:t>one</w:t>
      </w:r>
      <w:r w:rsidR="003734B8" w:rsidRPr="00516108">
        <w:rPr>
          <w:rFonts w:asciiTheme="majorBidi" w:hAnsiTheme="majorBidi" w:cstheme="majorBidi"/>
          <w:sz w:val="24"/>
          <w:szCs w:val="24"/>
          <w:lang w:val="en-US"/>
        </w:rPr>
        <w:t>s</w:t>
      </w:r>
      <w:r w:rsidRPr="00516108">
        <w:rPr>
          <w:rFonts w:asciiTheme="majorBidi" w:hAnsiTheme="majorBidi" w:cstheme="majorBidi"/>
          <w:sz w:val="24"/>
          <w:szCs w:val="24"/>
          <w:lang w:val="en-US"/>
        </w:rPr>
        <w:t xml:space="preserve"> that focus on the medical domain and veer away from financial risk. Indeed, while financial advisers suggest that older adults </w:t>
      </w:r>
      <w:r w:rsidR="00937536">
        <w:rPr>
          <w:rFonts w:asciiTheme="majorBidi" w:hAnsiTheme="majorBidi" w:cstheme="majorBidi"/>
          <w:sz w:val="24"/>
          <w:szCs w:val="24"/>
          <w:lang w:val="en-US"/>
        </w:rPr>
        <w:t xml:space="preserve">should </w:t>
      </w:r>
      <w:r w:rsidRPr="00516108">
        <w:rPr>
          <w:rFonts w:asciiTheme="majorBidi" w:hAnsiTheme="majorBidi" w:cstheme="majorBidi"/>
          <w:sz w:val="24"/>
          <w:szCs w:val="24"/>
          <w:lang w:val="en-US"/>
        </w:rPr>
        <w:t xml:space="preserve">stay away from risky financial options, it is not clear whether </w:t>
      </w:r>
      <w:r w:rsidR="003734B8" w:rsidRPr="00516108">
        <w:rPr>
          <w:rFonts w:asciiTheme="majorBidi" w:hAnsiTheme="majorBidi" w:cstheme="majorBidi"/>
          <w:sz w:val="24"/>
          <w:szCs w:val="24"/>
          <w:lang w:val="en-US"/>
        </w:rPr>
        <w:t xml:space="preserve">a </w:t>
      </w:r>
      <w:r w:rsidRPr="00516108">
        <w:rPr>
          <w:rFonts w:asciiTheme="majorBidi" w:hAnsiTheme="majorBidi" w:cstheme="majorBidi"/>
          <w:sz w:val="24"/>
          <w:szCs w:val="24"/>
          <w:lang w:val="en-US"/>
        </w:rPr>
        <w:t>similar rational</w:t>
      </w:r>
      <w:r w:rsidR="003734B8" w:rsidRPr="00516108">
        <w:rPr>
          <w:rFonts w:asciiTheme="majorBidi" w:hAnsiTheme="majorBidi" w:cstheme="majorBidi"/>
          <w:sz w:val="24"/>
          <w:szCs w:val="24"/>
          <w:lang w:val="en-US"/>
        </w:rPr>
        <w:t>e</w:t>
      </w:r>
      <w:r w:rsidRPr="00516108">
        <w:rPr>
          <w:rFonts w:asciiTheme="majorBidi" w:hAnsiTheme="majorBidi" w:cstheme="majorBidi"/>
          <w:sz w:val="24"/>
          <w:szCs w:val="24"/>
          <w:lang w:val="en-US"/>
        </w:rPr>
        <w:t xml:space="preserve"> could be applied in the medical domain and </w:t>
      </w:r>
      <w:r w:rsidR="003734B8" w:rsidRPr="00516108">
        <w:rPr>
          <w:rFonts w:asciiTheme="majorBidi" w:hAnsiTheme="majorBidi" w:cstheme="majorBidi"/>
          <w:sz w:val="24"/>
          <w:szCs w:val="24"/>
          <w:lang w:val="en-US"/>
        </w:rPr>
        <w:t xml:space="preserve">it is </w:t>
      </w:r>
      <w:r w:rsidRPr="00516108">
        <w:rPr>
          <w:rFonts w:asciiTheme="majorBidi" w:hAnsiTheme="majorBidi" w:cstheme="majorBidi"/>
          <w:sz w:val="24"/>
          <w:szCs w:val="24"/>
          <w:lang w:val="en-US"/>
        </w:rPr>
        <w:t xml:space="preserve">even less clear whether older adults would follow such advice. </w:t>
      </w:r>
    </w:p>
    <w:p w14:paraId="140399DE" w14:textId="77777777" w:rsidR="00C13E1B" w:rsidRDefault="00C13E1B" w:rsidP="005C12BC">
      <w:pPr>
        <w:spacing w:line="480" w:lineRule="auto"/>
        <w:rPr>
          <w:rFonts w:ascii="Times New Roman" w:hAnsi="Times New Roman" w:cs="Times New Roman"/>
          <w:b/>
          <w:bCs/>
          <w:sz w:val="24"/>
          <w:szCs w:val="24"/>
        </w:rPr>
      </w:pPr>
    </w:p>
    <w:p w14:paraId="6932A28D" w14:textId="77777777" w:rsidR="00C13E1B" w:rsidRDefault="00C13E1B" w:rsidP="005C12BC">
      <w:pPr>
        <w:spacing w:line="480" w:lineRule="auto"/>
        <w:rPr>
          <w:rFonts w:ascii="Times New Roman" w:hAnsi="Times New Roman" w:cs="Times New Roman"/>
          <w:b/>
          <w:bCs/>
          <w:sz w:val="24"/>
          <w:szCs w:val="24"/>
        </w:rPr>
      </w:pPr>
    </w:p>
    <w:p w14:paraId="5692F14F" w14:textId="77777777" w:rsidR="00C13E1B" w:rsidRDefault="00C13E1B" w:rsidP="005C12BC">
      <w:pPr>
        <w:spacing w:line="480" w:lineRule="auto"/>
        <w:rPr>
          <w:rFonts w:ascii="Times New Roman" w:hAnsi="Times New Roman" w:cs="Times New Roman"/>
          <w:b/>
          <w:bCs/>
          <w:sz w:val="24"/>
          <w:szCs w:val="24"/>
        </w:rPr>
      </w:pPr>
    </w:p>
    <w:p w14:paraId="5E4047BA" w14:textId="77777777" w:rsidR="00C13E1B" w:rsidRDefault="00C13E1B" w:rsidP="005C12BC">
      <w:pPr>
        <w:spacing w:line="480" w:lineRule="auto"/>
        <w:rPr>
          <w:rFonts w:ascii="Times New Roman" w:hAnsi="Times New Roman" w:cs="Times New Roman"/>
          <w:b/>
          <w:bCs/>
          <w:sz w:val="24"/>
          <w:szCs w:val="24"/>
        </w:rPr>
      </w:pPr>
    </w:p>
    <w:p w14:paraId="630C9737" w14:textId="77777777" w:rsidR="00C13E1B" w:rsidRDefault="00C13E1B" w:rsidP="005C12BC">
      <w:pPr>
        <w:spacing w:line="480" w:lineRule="auto"/>
        <w:rPr>
          <w:rFonts w:ascii="Times New Roman" w:hAnsi="Times New Roman" w:cs="Times New Roman"/>
          <w:b/>
          <w:bCs/>
          <w:sz w:val="24"/>
          <w:szCs w:val="24"/>
        </w:rPr>
      </w:pPr>
    </w:p>
    <w:p w14:paraId="7512015A" w14:textId="77777777" w:rsidR="00C13E1B" w:rsidRDefault="00C13E1B" w:rsidP="005C12BC">
      <w:pPr>
        <w:spacing w:line="480" w:lineRule="auto"/>
        <w:rPr>
          <w:rFonts w:ascii="Times New Roman" w:hAnsi="Times New Roman" w:cs="Times New Roman"/>
          <w:b/>
          <w:bCs/>
          <w:sz w:val="24"/>
          <w:szCs w:val="24"/>
        </w:rPr>
      </w:pPr>
    </w:p>
    <w:p w14:paraId="4ECADADF" w14:textId="77777777" w:rsidR="00C13E1B" w:rsidRDefault="00C13E1B" w:rsidP="005C12BC">
      <w:pPr>
        <w:spacing w:line="480" w:lineRule="auto"/>
        <w:rPr>
          <w:rFonts w:ascii="Times New Roman" w:hAnsi="Times New Roman" w:cs="Times New Roman"/>
          <w:b/>
          <w:bCs/>
          <w:sz w:val="24"/>
          <w:szCs w:val="24"/>
        </w:rPr>
      </w:pPr>
    </w:p>
    <w:p w14:paraId="18C45D4E" w14:textId="77777777" w:rsidR="005C12BC" w:rsidRPr="00482548" w:rsidRDefault="005C12BC" w:rsidP="005C12BC">
      <w:pPr>
        <w:spacing w:line="480" w:lineRule="auto"/>
        <w:rPr>
          <w:rFonts w:ascii="Times New Roman" w:hAnsi="Times New Roman" w:cs="Times New Roman"/>
          <w:b/>
          <w:bCs/>
          <w:sz w:val="24"/>
          <w:szCs w:val="24"/>
        </w:rPr>
      </w:pPr>
      <w:r w:rsidRPr="00482548">
        <w:rPr>
          <w:rFonts w:ascii="Times New Roman" w:hAnsi="Times New Roman" w:cs="Times New Roman"/>
          <w:b/>
          <w:bCs/>
          <w:sz w:val="24"/>
          <w:szCs w:val="24"/>
        </w:rPr>
        <w:t>REFERENCES</w:t>
      </w:r>
    </w:p>
    <w:p w14:paraId="4C11D782" w14:textId="31AD7128" w:rsidR="00311933" w:rsidRPr="00EE355E" w:rsidRDefault="00F934B8" w:rsidP="00EE355E">
      <w:pPr>
        <w:pStyle w:val="ListParagraph"/>
        <w:numPr>
          <w:ilvl w:val="0"/>
          <w:numId w:val="4"/>
        </w:numPr>
        <w:autoSpaceDE w:val="0"/>
        <w:autoSpaceDN w:val="0"/>
        <w:adjustRightInd w:val="0"/>
        <w:spacing w:after="0" w:line="480" w:lineRule="auto"/>
        <w:rPr>
          <w:rStyle w:val="citation"/>
          <w:rFonts w:asciiTheme="majorBidi" w:hAnsiTheme="majorBidi" w:cstheme="majorBidi"/>
          <w:sz w:val="24"/>
          <w:szCs w:val="24"/>
          <w:lang w:val="en-US"/>
        </w:rPr>
      </w:pPr>
      <w:r w:rsidRPr="00EE355E">
        <w:rPr>
          <w:rStyle w:val="citation"/>
          <w:rFonts w:asciiTheme="majorBidi" w:hAnsiTheme="majorBidi" w:cstheme="majorBidi"/>
          <w:sz w:val="24"/>
          <w:szCs w:val="24"/>
        </w:rPr>
        <w:t xml:space="preserve">Alemayehu B,  Warner K E. The lifetime distribution of health care costs. </w:t>
      </w:r>
      <w:r w:rsidRPr="00EE355E">
        <w:rPr>
          <w:rStyle w:val="ref-journal"/>
          <w:rFonts w:asciiTheme="majorBidi" w:hAnsiTheme="majorBidi" w:cstheme="majorBidi"/>
          <w:sz w:val="24"/>
          <w:szCs w:val="24"/>
        </w:rPr>
        <w:t>Health Serv Res</w:t>
      </w:r>
      <w:r w:rsidR="005C12BC" w:rsidRPr="00EE355E">
        <w:rPr>
          <w:rStyle w:val="ref-journal"/>
          <w:rFonts w:asciiTheme="majorBidi" w:hAnsiTheme="majorBidi" w:cstheme="majorBidi"/>
          <w:i/>
          <w:iCs/>
          <w:sz w:val="24"/>
          <w:szCs w:val="24"/>
        </w:rPr>
        <w:t xml:space="preserve">. </w:t>
      </w:r>
      <w:r w:rsidR="005C12BC" w:rsidRPr="00EE355E">
        <w:rPr>
          <w:rStyle w:val="ref-journal"/>
          <w:rFonts w:asciiTheme="majorBidi" w:hAnsiTheme="majorBidi" w:cstheme="majorBidi"/>
          <w:sz w:val="24"/>
          <w:szCs w:val="24"/>
        </w:rPr>
        <w:t>2004;</w:t>
      </w:r>
      <w:r w:rsidRPr="00EE355E">
        <w:rPr>
          <w:rStyle w:val="ref-journal"/>
          <w:rFonts w:asciiTheme="majorBidi" w:hAnsiTheme="majorBidi" w:cstheme="majorBidi"/>
          <w:sz w:val="24"/>
          <w:szCs w:val="24"/>
        </w:rPr>
        <w:t xml:space="preserve"> </w:t>
      </w:r>
      <w:r w:rsidRPr="00EE355E">
        <w:rPr>
          <w:rStyle w:val="ref-vol"/>
          <w:rFonts w:asciiTheme="majorBidi" w:hAnsiTheme="majorBidi" w:cstheme="majorBidi"/>
          <w:sz w:val="24"/>
          <w:szCs w:val="24"/>
        </w:rPr>
        <w:t>39</w:t>
      </w:r>
      <w:r w:rsidR="005C12BC" w:rsidRPr="00EE355E">
        <w:rPr>
          <w:rStyle w:val="ref-vol"/>
          <w:rFonts w:asciiTheme="majorBidi" w:hAnsiTheme="majorBidi" w:cstheme="majorBidi"/>
          <w:sz w:val="24"/>
          <w:szCs w:val="24"/>
        </w:rPr>
        <w:t>:</w:t>
      </w:r>
      <w:r w:rsidRPr="00EE355E">
        <w:rPr>
          <w:rStyle w:val="ref-vol"/>
          <w:rFonts w:asciiTheme="majorBidi" w:hAnsiTheme="majorBidi" w:cstheme="majorBidi"/>
          <w:sz w:val="24"/>
          <w:szCs w:val="24"/>
        </w:rPr>
        <w:t xml:space="preserve"> </w:t>
      </w:r>
      <w:r w:rsidRPr="00EE355E">
        <w:rPr>
          <w:rStyle w:val="citation"/>
          <w:rFonts w:asciiTheme="majorBidi" w:hAnsiTheme="majorBidi" w:cstheme="majorBidi"/>
          <w:sz w:val="24"/>
          <w:szCs w:val="24"/>
        </w:rPr>
        <w:t>627–42</w:t>
      </w:r>
    </w:p>
    <w:p w14:paraId="7C2F691E" w14:textId="444FBBF2" w:rsidR="00311933" w:rsidRPr="00EE355E" w:rsidRDefault="005C12BC" w:rsidP="00EE355E">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sidRPr="00EE355E">
        <w:rPr>
          <w:rFonts w:asciiTheme="majorBidi" w:eastAsia="Times New Roman" w:hAnsiTheme="majorBidi" w:cstheme="majorBidi"/>
          <w:sz w:val="24"/>
          <w:szCs w:val="24"/>
          <w:lang w:val="de-DE" w:eastAsia="zh-CN"/>
        </w:rPr>
        <w:t>Freid</w:t>
      </w:r>
      <w:r w:rsidR="00F85CAC" w:rsidRPr="00EE355E">
        <w:rPr>
          <w:rFonts w:asciiTheme="majorBidi" w:eastAsia="Times New Roman" w:hAnsiTheme="majorBidi" w:cstheme="majorBidi"/>
          <w:sz w:val="24"/>
          <w:szCs w:val="24"/>
          <w:lang w:val="de-DE" w:eastAsia="zh-CN"/>
        </w:rPr>
        <w:t xml:space="preserve"> VM, Bernstein AB, Bush MA. </w:t>
      </w:r>
      <w:r w:rsidR="00F85CAC" w:rsidRPr="00EE355E">
        <w:rPr>
          <w:rFonts w:asciiTheme="majorBidi" w:eastAsia="Times New Roman" w:hAnsiTheme="majorBidi" w:cstheme="majorBidi"/>
          <w:sz w:val="24"/>
          <w:szCs w:val="24"/>
          <w:lang w:eastAsia="zh-CN"/>
        </w:rPr>
        <w:t xml:space="preserve">Multiple chronic conditions among adults aged 45 and older: trends over the past 10 years. Hyattsville (MD): National Center for Health Statistics. </w:t>
      </w:r>
      <w:r w:rsidRPr="00EE355E">
        <w:rPr>
          <w:rFonts w:asciiTheme="majorBidi" w:eastAsia="Times New Roman" w:hAnsiTheme="majorBidi" w:cstheme="majorBidi"/>
          <w:sz w:val="24"/>
          <w:szCs w:val="24"/>
          <w:lang w:eastAsia="zh-CN"/>
        </w:rPr>
        <w:t xml:space="preserve">2012; </w:t>
      </w:r>
      <w:r w:rsidR="00F85CAC" w:rsidRPr="00EE355E">
        <w:rPr>
          <w:rFonts w:asciiTheme="majorBidi" w:eastAsia="Times New Roman" w:hAnsiTheme="majorBidi" w:cstheme="majorBidi"/>
          <w:sz w:val="24"/>
          <w:szCs w:val="24"/>
          <w:lang w:eastAsia="zh-CN"/>
        </w:rPr>
        <w:t>NCHS Data Brief No. 100</w:t>
      </w:r>
    </w:p>
    <w:p w14:paraId="24696808" w14:textId="72414DF8" w:rsidR="00311933" w:rsidRPr="00FA393F" w:rsidRDefault="00F85CAC" w:rsidP="00EE355E">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sidRPr="00EE355E">
        <w:rPr>
          <w:rFonts w:asciiTheme="majorBidi" w:eastAsia="TimesLTStd-Roman" w:hAnsiTheme="majorBidi" w:cstheme="majorBidi"/>
          <w:color w:val="000000"/>
          <w:sz w:val="24"/>
          <w:szCs w:val="24"/>
          <w:lang w:val="en-US"/>
        </w:rPr>
        <w:t>Mata R, Josef AK, Samanez</w:t>
      </w:r>
      <w:r w:rsidRPr="00EE355E">
        <w:rPr>
          <w:rFonts w:ascii="Cambria Math" w:eastAsia="GandhariUnicode-Roman" w:hAnsi="Cambria Math" w:cs="Cambria Math"/>
          <w:color w:val="000000"/>
          <w:sz w:val="24"/>
          <w:szCs w:val="24"/>
          <w:lang w:val="en-US"/>
        </w:rPr>
        <w:t>‐</w:t>
      </w:r>
      <w:r w:rsidRPr="00EE355E">
        <w:rPr>
          <w:rFonts w:asciiTheme="majorBidi" w:eastAsia="TimesLTStd-Roman" w:hAnsiTheme="majorBidi" w:cstheme="majorBidi"/>
          <w:color w:val="000000"/>
          <w:sz w:val="24"/>
          <w:szCs w:val="24"/>
          <w:lang w:val="en-US"/>
        </w:rPr>
        <w:t>Larkin GR, Hertwig R. Age differences in risky choice: A meta</w:t>
      </w:r>
      <w:r w:rsidRPr="00EE355E">
        <w:rPr>
          <w:rFonts w:ascii="Cambria Math" w:eastAsia="GandhariUnicode-Roman" w:hAnsi="Cambria Math" w:cs="Cambria Math"/>
          <w:color w:val="000000"/>
          <w:sz w:val="24"/>
          <w:szCs w:val="24"/>
          <w:lang w:val="en-US"/>
        </w:rPr>
        <w:t>‐</w:t>
      </w:r>
      <w:r w:rsidRPr="00EE355E">
        <w:rPr>
          <w:rFonts w:asciiTheme="majorBidi" w:eastAsia="TimesLTStd-Roman" w:hAnsiTheme="majorBidi" w:cstheme="majorBidi"/>
          <w:color w:val="000000"/>
          <w:sz w:val="24"/>
          <w:szCs w:val="24"/>
          <w:lang w:val="en-US"/>
        </w:rPr>
        <w:t>analysis. Annal</w:t>
      </w:r>
      <w:r w:rsidR="00F4385B" w:rsidRPr="00EE355E">
        <w:rPr>
          <w:rFonts w:asciiTheme="majorBidi" w:eastAsia="TimesLTStd-Roman" w:hAnsiTheme="majorBidi" w:cstheme="majorBidi"/>
          <w:color w:val="000000"/>
          <w:sz w:val="24"/>
          <w:szCs w:val="24"/>
          <w:lang w:val="en-US"/>
        </w:rPr>
        <w:t xml:space="preserve"> </w:t>
      </w:r>
      <w:r w:rsidRPr="00EE355E">
        <w:rPr>
          <w:rFonts w:asciiTheme="majorBidi" w:eastAsia="TimesLTStd-Roman" w:hAnsiTheme="majorBidi" w:cstheme="majorBidi"/>
          <w:color w:val="000000"/>
          <w:sz w:val="24"/>
          <w:szCs w:val="24"/>
          <w:lang w:val="en-US"/>
        </w:rPr>
        <w:t>New York Acad</w:t>
      </w:r>
      <w:r w:rsidR="00F4385B" w:rsidRPr="00EE355E">
        <w:rPr>
          <w:rFonts w:asciiTheme="majorBidi" w:eastAsia="TimesLTStd-Roman" w:hAnsiTheme="majorBidi" w:cstheme="majorBidi"/>
          <w:color w:val="000000"/>
          <w:sz w:val="24"/>
          <w:szCs w:val="24"/>
          <w:lang w:val="en-US"/>
        </w:rPr>
        <w:t xml:space="preserve"> </w:t>
      </w:r>
      <w:r w:rsidRPr="00EE355E">
        <w:rPr>
          <w:rFonts w:asciiTheme="majorBidi" w:eastAsia="TimesLTStd-Roman" w:hAnsiTheme="majorBidi" w:cstheme="majorBidi"/>
          <w:color w:val="000000"/>
          <w:sz w:val="24"/>
          <w:szCs w:val="24"/>
          <w:lang w:val="en-US"/>
        </w:rPr>
        <w:t>Scien</w:t>
      </w:r>
      <w:r w:rsidR="00F4385B" w:rsidRPr="00EE355E">
        <w:rPr>
          <w:rFonts w:asciiTheme="majorBidi" w:eastAsia="TimesLTStd-Roman" w:hAnsiTheme="majorBidi" w:cstheme="majorBidi"/>
          <w:color w:val="000000"/>
          <w:sz w:val="24"/>
          <w:szCs w:val="24"/>
          <w:lang w:val="en-US"/>
        </w:rPr>
        <w:t xml:space="preserve">. 2011; </w:t>
      </w:r>
      <w:r w:rsidRPr="00EE355E">
        <w:rPr>
          <w:rFonts w:asciiTheme="majorBidi" w:eastAsia="TimesLTStd-Roman" w:hAnsiTheme="majorBidi" w:cstheme="majorBidi"/>
          <w:color w:val="000000"/>
          <w:sz w:val="24"/>
          <w:szCs w:val="24"/>
          <w:lang w:val="en-US"/>
        </w:rPr>
        <w:t>1235</w:t>
      </w:r>
      <w:r w:rsidR="00F4385B" w:rsidRPr="00EE355E">
        <w:rPr>
          <w:rFonts w:asciiTheme="majorBidi" w:eastAsia="TimesLTStd-Roman" w:hAnsiTheme="majorBidi" w:cstheme="majorBidi"/>
          <w:color w:val="000000"/>
          <w:sz w:val="24"/>
          <w:szCs w:val="24"/>
          <w:lang w:val="en-US"/>
        </w:rPr>
        <w:t xml:space="preserve">: </w:t>
      </w:r>
      <w:r w:rsidRPr="00EE355E">
        <w:rPr>
          <w:rFonts w:asciiTheme="majorBidi" w:eastAsia="TimesLTStd-Roman" w:hAnsiTheme="majorBidi" w:cstheme="majorBidi"/>
          <w:color w:val="000000"/>
          <w:sz w:val="24"/>
          <w:szCs w:val="24"/>
          <w:lang w:val="en-US"/>
        </w:rPr>
        <w:t>18–29. doi:</w:t>
      </w:r>
      <w:r w:rsidRPr="00EE355E">
        <w:rPr>
          <w:rFonts w:asciiTheme="majorBidi" w:eastAsia="TimesLTStd-Roman" w:hAnsiTheme="majorBidi" w:cstheme="majorBidi"/>
          <w:color w:val="0000FF"/>
          <w:sz w:val="24"/>
          <w:szCs w:val="24"/>
          <w:lang w:val="en-US"/>
        </w:rPr>
        <w:t>10.1111/j.1749-6632.2011.06200.x</w:t>
      </w:r>
    </w:p>
    <w:p w14:paraId="2972A7DF" w14:textId="795144D5" w:rsidR="00FA393F" w:rsidRPr="00FA393F" w:rsidRDefault="00FA393F" w:rsidP="00FA393F">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sidRPr="00FA393F">
        <w:rPr>
          <w:rFonts w:asciiTheme="majorBidi" w:hAnsiTheme="majorBidi" w:cstheme="majorBidi"/>
          <w:sz w:val="24"/>
          <w:szCs w:val="24"/>
        </w:rPr>
        <w:t xml:space="preserve">Mata R, Josef A K,  Hertwig R. Propensity for risk taking across the life span and around the globe. </w:t>
      </w:r>
      <w:r w:rsidRPr="00FA393F">
        <w:rPr>
          <w:rStyle w:val="Emphasis"/>
          <w:rFonts w:asciiTheme="majorBidi" w:hAnsiTheme="majorBidi" w:cstheme="majorBidi"/>
          <w:i w:val="0"/>
          <w:iCs w:val="0"/>
          <w:sz w:val="24"/>
          <w:szCs w:val="24"/>
        </w:rPr>
        <w:t xml:space="preserve">Psych Sci. 2016:  27: </w:t>
      </w:r>
      <w:r w:rsidRPr="00FA393F">
        <w:rPr>
          <w:rFonts w:asciiTheme="majorBidi" w:hAnsiTheme="majorBidi" w:cstheme="majorBidi"/>
          <w:i/>
          <w:iCs/>
          <w:sz w:val="24"/>
          <w:szCs w:val="24"/>
        </w:rPr>
        <w:t>231-243.</w:t>
      </w:r>
      <w:r w:rsidRPr="00FA393F">
        <w:rPr>
          <w:rStyle w:val="Emphasis"/>
          <w:rFonts w:asciiTheme="majorBidi" w:hAnsiTheme="majorBidi" w:cstheme="majorBidi"/>
          <w:sz w:val="24"/>
          <w:szCs w:val="24"/>
        </w:rPr>
        <w:t> </w:t>
      </w:r>
      <w:r w:rsidRPr="00FA393F">
        <w:rPr>
          <w:rFonts w:asciiTheme="majorBidi" w:hAnsiTheme="majorBidi" w:cstheme="majorBidi"/>
          <w:sz w:val="24"/>
          <w:szCs w:val="24"/>
        </w:rPr>
        <w:t>doi: 10.1177/0956797615617811</w:t>
      </w:r>
    </w:p>
    <w:p w14:paraId="1D92E2A9" w14:textId="3803CFC9" w:rsidR="00FA393F" w:rsidRPr="00EA62E2" w:rsidRDefault="00FA393F" w:rsidP="00FA393F">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sidRPr="00FA393F">
        <w:rPr>
          <w:rFonts w:asciiTheme="majorBidi" w:hAnsiTheme="majorBidi" w:cstheme="majorBidi"/>
          <w:sz w:val="24"/>
          <w:szCs w:val="24"/>
        </w:rPr>
        <w:t>Josef AK, Richter D, Samanez-Larkin GR, Wagner G, Hertwig R, Mata R. Stability and change in risk-taking propensity across the life span. </w:t>
      </w:r>
      <w:r w:rsidRPr="00FA393F">
        <w:rPr>
          <w:rStyle w:val="Emphasis"/>
          <w:rFonts w:asciiTheme="majorBidi" w:hAnsiTheme="majorBidi" w:cstheme="majorBidi"/>
          <w:i w:val="0"/>
          <w:iCs w:val="0"/>
          <w:sz w:val="24"/>
          <w:szCs w:val="24"/>
        </w:rPr>
        <w:t>J Pers</w:t>
      </w:r>
      <w:r>
        <w:rPr>
          <w:rStyle w:val="Emphasis"/>
          <w:rFonts w:asciiTheme="majorBidi" w:hAnsiTheme="majorBidi" w:cstheme="majorBidi"/>
          <w:i w:val="0"/>
          <w:iCs w:val="0"/>
          <w:sz w:val="24"/>
          <w:szCs w:val="24"/>
        </w:rPr>
        <w:t xml:space="preserve"> </w:t>
      </w:r>
      <w:r w:rsidRPr="00FA393F">
        <w:rPr>
          <w:rStyle w:val="Emphasis"/>
          <w:rFonts w:asciiTheme="majorBidi" w:hAnsiTheme="majorBidi" w:cstheme="majorBidi"/>
          <w:i w:val="0"/>
          <w:iCs w:val="0"/>
          <w:sz w:val="24"/>
          <w:szCs w:val="24"/>
        </w:rPr>
        <w:t>Soc Psy</w:t>
      </w:r>
      <w:r w:rsidRPr="00FA393F">
        <w:rPr>
          <w:rFonts w:asciiTheme="majorBidi" w:hAnsiTheme="majorBidi" w:cstheme="majorBidi"/>
          <w:sz w:val="24"/>
          <w:szCs w:val="24"/>
        </w:rPr>
        <w:t xml:space="preserve">. 2016; </w:t>
      </w:r>
      <w:hyperlink r:id="rId9" w:history="1">
        <w:r w:rsidR="00EA62E2" w:rsidRPr="00C53472">
          <w:rPr>
            <w:rStyle w:val="Hyperlink"/>
            <w:rFonts w:asciiTheme="majorBidi" w:hAnsiTheme="majorBidi" w:cstheme="majorBidi"/>
            <w:sz w:val="24"/>
            <w:szCs w:val="24"/>
          </w:rPr>
          <w:t>http://dx.doi.org/10.1037/pspp0000090</w:t>
        </w:r>
      </w:hyperlink>
    </w:p>
    <w:p w14:paraId="3244CD30" w14:textId="4A3EA967" w:rsidR="00EA62E2" w:rsidRPr="00FD6B02" w:rsidRDefault="00EA62E2" w:rsidP="00FD6B02">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sidRPr="00EA62E2">
        <w:rPr>
          <w:rStyle w:val="Strong"/>
          <w:rFonts w:asciiTheme="majorBidi" w:hAnsiTheme="majorBidi" w:cstheme="majorBidi"/>
          <w:b w:val="0"/>
          <w:bCs w:val="0"/>
          <w:sz w:val="24"/>
          <w:szCs w:val="24"/>
        </w:rPr>
        <w:t>Mishra S</w:t>
      </w:r>
      <w:r w:rsidRPr="00EA62E2">
        <w:rPr>
          <w:rFonts w:asciiTheme="majorBidi" w:hAnsiTheme="majorBidi" w:cstheme="majorBidi"/>
          <w:sz w:val="24"/>
          <w:szCs w:val="24"/>
        </w:rPr>
        <w:t>, Lalumière</w:t>
      </w:r>
      <w:r>
        <w:rPr>
          <w:rFonts w:asciiTheme="majorBidi" w:hAnsiTheme="majorBidi" w:cstheme="majorBidi"/>
          <w:sz w:val="24"/>
          <w:szCs w:val="24"/>
        </w:rPr>
        <w:t xml:space="preserve"> M</w:t>
      </w:r>
      <w:r w:rsidRPr="00EA62E2">
        <w:rPr>
          <w:rFonts w:asciiTheme="majorBidi" w:hAnsiTheme="majorBidi" w:cstheme="majorBidi"/>
          <w:sz w:val="24"/>
          <w:szCs w:val="24"/>
        </w:rPr>
        <w:t xml:space="preserve">L, Williams RJ. Gambling as a form of risk-taking: Individual differences in personality, risk-accepting attitudes, and behavioral preferences for risk. </w:t>
      </w:r>
      <w:r w:rsidRPr="00EA62E2">
        <w:rPr>
          <w:rStyle w:val="Emphasis"/>
          <w:rFonts w:asciiTheme="majorBidi" w:hAnsiTheme="majorBidi" w:cstheme="majorBidi"/>
          <w:i w:val="0"/>
          <w:iCs w:val="0"/>
          <w:sz w:val="24"/>
          <w:szCs w:val="24"/>
        </w:rPr>
        <w:t>Person</w:t>
      </w:r>
      <w:r w:rsidR="00FD6B02">
        <w:rPr>
          <w:rStyle w:val="Emphasis"/>
          <w:rFonts w:asciiTheme="majorBidi" w:hAnsiTheme="majorBidi" w:cstheme="majorBidi"/>
          <w:i w:val="0"/>
          <w:iCs w:val="0"/>
          <w:sz w:val="24"/>
          <w:szCs w:val="24"/>
        </w:rPr>
        <w:t xml:space="preserve"> </w:t>
      </w:r>
      <w:r w:rsidRPr="00EA62E2">
        <w:rPr>
          <w:rStyle w:val="Emphasis"/>
          <w:rFonts w:asciiTheme="majorBidi" w:hAnsiTheme="majorBidi" w:cstheme="majorBidi"/>
          <w:i w:val="0"/>
          <w:iCs w:val="0"/>
          <w:sz w:val="24"/>
          <w:szCs w:val="24"/>
        </w:rPr>
        <w:t>Individ Differ</w:t>
      </w:r>
      <w:r>
        <w:rPr>
          <w:rFonts w:asciiTheme="majorBidi" w:hAnsiTheme="majorBidi" w:cstheme="majorBidi"/>
          <w:sz w:val="24"/>
          <w:szCs w:val="24"/>
        </w:rPr>
        <w:t xml:space="preserve">. 2010; </w:t>
      </w:r>
      <w:r w:rsidRPr="00EA62E2">
        <w:rPr>
          <w:rStyle w:val="Emphasis"/>
          <w:rFonts w:asciiTheme="majorBidi" w:hAnsiTheme="majorBidi" w:cstheme="majorBidi"/>
          <w:i w:val="0"/>
          <w:iCs w:val="0"/>
          <w:sz w:val="24"/>
          <w:szCs w:val="24"/>
        </w:rPr>
        <w:t>49</w:t>
      </w:r>
      <w:r>
        <w:rPr>
          <w:rFonts w:asciiTheme="majorBidi" w:hAnsiTheme="majorBidi" w:cstheme="majorBidi"/>
          <w:sz w:val="24"/>
          <w:szCs w:val="24"/>
        </w:rPr>
        <w:t>:</w:t>
      </w:r>
      <w:r w:rsidRPr="00EA62E2">
        <w:rPr>
          <w:rFonts w:asciiTheme="majorBidi" w:hAnsiTheme="majorBidi" w:cstheme="majorBidi"/>
          <w:sz w:val="24"/>
          <w:szCs w:val="24"/>
        </w:rPr>
        <w:t xml:space="preserve"> 616–621</w:t>
      </w:r>
      <w:r>
        <w:rPr>
          <w:rFonts w:asciiTheme="majorBidi" w:hAnsiTheme="majorBidi" w:cstheme="majorBidi"/>
          <w:sz w:val="24"/>
          <w:szCs w:val="24"/>
        </w:rPr>
        <w:t xml:space="preserve">. </w:t>
      </w:r>
    </w:p>
    <w:p w14:paraId="4F3F43BE" w14:textId="6E08228D" w:rsidR="00FD6B02" w:rsidRPr="00FD6B02" w:rsidRDefault="00FD6B02" w:rsidP="00FD6B02">
      <w:pPr>
        <w:pStyle w:val="ListParagraph"/>
        <w:numPr>
          <w:ilvl w:val="0"/>
          <w:numId w:val="4"/>
        </w:numPr>
        <w:autoSpaceDE w:val="0"/>
        <w:autoSpaceDN w:val="0"/>
        <w:adjustRightInd w:val="0"/>
        <w:spacing w:after="0" w:line="480" w:lineRule="auto"/>
        <w:rPr>
          <w:rStyle w:val="Hyperlink"/>
          <w:rFonts w:asciiTheme="majorBidi" w:hAnsiTheme="majorBidi" w:cstheme="majorBidi"/>
          <w:color w:val="auto"/>
          <w:sz w:val="24"/>
          <w:szCs w:val="24"/>
          <w:u w:val="none"/>
          <w:lang w:val="en-US"/>
        </w:rPr>
      </w:pPr>
      <w:r w:rsidRPr="00FD6B02">
        <w:rPr>
          <w:rFonts w:asciiTheme="majorBidi" w:hAnsiTheme="majorBidi" w:cstheme="majorBidi"/>
          <w:sz w:val="24"/>
          <w:szCs w:val="24"/>
        </w:rPr>
        <w:t xml:space="preserve">Mishra </w:t>
      </w:r>
      <w:r w:rsidRPr="00FD6B02">
        <w:rPr>
          <w:rFonts w:asciiTheme="majorBidi" w:hAnsiTheme="majorBidi" w:cstheme="majorBidi"/>
          <w:color w:val="222222"/>
          <w:sz w:val="24"/>
          <w:szCs w:val="24"/>
          <w:shd w:val="clear" w:color="auto" w:fill="FFFFFF"/>
        </w:rPr>
        <w:t xml:space="preserve">S,  Lalumière ML. </w:t>
      </w:r>
      <w:r w:rsidRPr="004B0D19">
        <w:rPr>
          <w:rFonts w:asciiTheme="majorBidi" w:hAnsiTheme="majorBidi" w:cstheme="majorBidi"/>
          <w:color w:val="222222"/>
          <w:sz w:val="24"/>
          <w:szCs w:val="24"/>
          <w:shd w:val="clear" w:color="auto" w:fill="FFFFFF"/>
        </w:rPr>
        <w:t xml:space="preserve">Individual differences in risk-propensity: Associations between personality and behavioral measures of risk. </w:t>
      </w:r>
      <w:r w:rsidRPr="00EA62E2">
        <w:rPr>
          <w:rStyle w:val="Emphasis"/>
          <w:rFonts w:asciiTheme="majorBidi" w:hAnsiTheme="majorBidi" w:cstheme="majorBidi"/>
          <w:i w:val="0"/>
          <w:iCs w:val="0"/>
          <w:sz w:val="24"/>
          <w:szCs w:val="24"/>
        </w:rPr>
        <w:t>Person</w:t>
      </w:r>
      <w:r>
        <w:rPr>
          <w:rStyle w:val="Emphasis"/>
          <w:rFonts w:asciiTheme="majorBidi" w:hAnsiTheme="majorBidi" w:cstheme="majorBidi"/>
          <w:i w:val="0"/>
          <w:iCs w:val="0"/>
          <w:sz w:val="24"/>
          <w:szCs w:val="24"/>
        </w:rPr>
        <w:t xml:space="preserve"> </w:t>
      </w:r>
      <w:r w:rsidRPr="00EA62E2">
        <w:rPr>
          <w:rStyle w:val="Emphasis"/>
          <w:rFonts w:asciiTheme="majorBidi" w:hAnsiTheme="majorBidi" w:cstheme="majorBidi"/>
          <w:i w:val="0"/>
          <w:iCs w:val="0"/>
          <w:sz w:val="24"/>
          <w:szCs w:val="24"/>
        </w:rPr>
        <w:t>Individ Differ</w:t>
      </w:r>
      <w:r>
        <w:rPr>
          <w:rStyle w:val="Emphasis"/>
          <w:rFonts w:asciiTheme="majorBidi" w:hAnsiTheme="majorBidi" w:cstheme="majorBidi"/>
          <w:i w:val="0"/>
          <w:iCs w:val="0"/>
          <w:sz w:val="24"/>
          <w:szCs w:val="24"/>
        </w:rPr>
        <w:t xml:space="preserve">. 2011; </w:t>
      </w:r>
      <w:r w:rsidRPr="004B0D19">
        <w:rPr>
          <w:rFonts w:asciiTheme="majorBidi" w:hAnsiTheme="majorBidi" w:cstheme="majorBidi"/>
          <w:color w:val="222222"/>
          <w:sz w:val="24"/>
          <w:szCs w:val="24"/>
          <w:shd w:val="clear" w:color="auto" w:fill="FFFFFF"/>
        </w:rPr>
        <w:t>50(6)</w:t>
      </w:r>
      <w:r>
        <w:rPr>
          <w:rFonts w:asciiTheme="majorBidi" w:hAnsiTheme="majorBidi" w:cstheme="majorBidi"/>
          <w:color w:val="222222"/>
          <w:sz w:val="24"/>
          <w:szCs w:val="24"/>
          <w:shd w:val="clear" w:color="auto" w:fill="FFFFFF"/>
        </w:rPr>
        <w:t>:</w:t>
      </w:r>
      <w:r w:rsidRPr="004B0D19">
        <w:rPr>
          <w:rFonts w:asciiTheme="majorBidi" w:hAnsiTheme="majorBidi" w:cstheme="majorBidi"/>
          <w:color w:val="222222"/>
          <w:sz w:val="24"/>
          <w:szCs w:val="24"/>
          <w:shd w:val="clear" w:color="auto" w:fill="FFFFFF"/>
        </w:rPr>
        <w:t xml:space="preserve"> 869–873.</w:t>
      </w:r>
      <w:r w:rsidRPr="004B0D19">
        <w:rPr>
          <w:rStyle w:val="apple-converted-space"/>
          <w:rFonts w:asciiTheme="majorBidi" w:hAnsiTheme="majorBidi" w:cstheme="majorBidi"/>
          <w:color w:val="222222"/>
          <w:sz w:val="24"/>
          <w:szCs w:val="24"/>
          <w:shd w:val="clear" w:color="auto" w:fill="FFFFFF"/>
        </w:rPr>
        <w:t> </w:t>
      </w:r>
      <w:hyperlink r:id="rId10" w:tgtFrame="_blank" w:history="1">
        <w:r w:rsidRPr="004B0D19">
          <w:rPr>
            <w:rStyle w:val="Hyperlink"/>
            <w:rFonts w:asciiTheme="majorBidi" w:hAnsiTheme="majorBidi" w:cstheme="majorBidi"/>
            <w:color w:val="1155CC"/>
            <w:sz w:val="24"/>
            <w:szCs w:val="24"/>
            <w:shd w:val="clear" w:color="auto" w:fill="FFFFFF"/>
          </w:rPr>
          <w:t>http://doi.org/10.1016/j.paid.2010.11.037</w:t>
        </w:r>
      </w:hyperlink>
    </w:p>
    <w:p w14:paraId="49226219" w14:textId="7F12A30E" w:rsidR="00FD6B02" w:rsidRPr="00E036D6" w:rsidRDefault="00FD6B02" w:rsidP="00FD6B02">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sidRPr="00A8612D">
        <w:rPr>
          <w:rFonts w:asciiTheme="majorBidi" w:hAnsiTheme="majorBidi" w:cstheme="majorBidi"/>
          <w:color w:val="222222"/>
          <w:sz w:val="24"/>
          <w:szCs w:val="24"/>
          <w:shd w:val="clear" w:color="auto" w:fill="FFFFFF"/>
          <w:lang w:val="it-IT"/>
        </w:rPr>
        <w:t>Lauriola</w:t>
      </w:r>
      <w:r>
        <w:rPr>
          <w:rFonts w:asciiTheme="majorBidi" w:hAnsiTheme="majorBidi" w:cstheme="majorBidi"/>
          <w:color w:val="222222"/>
          <w:sz w:val="24"/>
          <w:szCs w:val="24"/>
          <w:shd w:val="clear" w:color="auto" w:fill="FFFFFF"/>
          <w:lang w:val="it-IT"/>
        </w:rPr>
        <w:t xml:space="preserve"> </w:t>
      </w:r>
      <w:r w:rsidRPr="00A8612D">
        <w:rPr>
          <w:rFonts w:asciiTheme="majorBidi" w:hAnsiTheme="majorBidi" w:cstheme="majorBidi"/>
          <w:color w:val="222222"/>
          <w:sz w:val="24"/>
          <w:szCs w:val="24"/>
          <w:shd w:val="clear" w:color="auto" w:fill="FFFFFF"/>
          <w:lang w:val="it-IT"/>
        </w:rPr>
        <w:t>Panno A, Levin IP</w:t>
      </w:r>
      <w:r>
        <w:rPr>
          <w:rFonts w:asciiTheme="majorBidi" w:hAnsiTheme="majorBidi" w:cstheme="majorBidi"/>
          <w:color w:val="222222"/>
          <w:sz w:val="24"/>
          <w:szCs w:val="24"/>
          <w:shd w:val="clear" w:color="auto" w:fill="FFFFFF"/>
          <w:lang w:val="it-IT"/>
        </w:rPr>
        <w:t>,</w:t>
      </w:r>
      <w:r w:rsidRPr="00A8612D">
        <w:rPr>
          <w:rFonts w:asciiTheme="majorBidi" w:hAnsiTheme="majorBidi" w:cstheme="majorBidi"/>
          <w:color w:val="222222"/>
          <w:sz w:val="24"/>
          <w:szCs w:val="24"/>
          <w:shd w:val="clear" w:color="auto" w:fill="FFFFFF"/>
          <w:lang w:val="it-IT"/>
        </w:rPr>
        <w:t xml:space="preserve">  Lejuez CW. </w:t>
      </w:r>
      <w:r w:rsidRPr="004B0D19">
        <w:rPr>
          <w:rFonts w:asciiTheme="majorBidi" w:hAnsiTheme="majorBidi" w:cstheme="majorBidi"/>
          <w:color w:val="222222"/>
          <w:sz w:val="24"/>
          <w:szCs w:val="24"/>
          <w:shd w:val="clear" w:color="auto" w:fill="FFFFFF"/>
        </w:rPr>
        <w:t>Individual differences in risky decision making: A meta-analysis of sensation seeking and impulsivity with the balloon analogue risk task. Journal of Behavioral Decision Making</w:t>
      </w:r>
      <w:r>
        <w:rPr>
          <w:rFonts w:asciiTheme="majorBidi" w:hAnsiTheme="majorBidi" w:cstheme="majorBidi"/>
          <w:color w:val="222222"/>
          <w:sz w:val="24"/>
          <w:szCs w:val="24"/>
          <w:shd w:val="clear" w:color="auto" w:fill="FFFFFF"/>
        </w:rPr>
        <w:t xml:space="preserve">. 2013; </w:t>
      </w:r>
      <w:r w:rsidRPr="004B0D19">
        <w:rPr>
          <w:rFonts w:asciiTheme="majorBidi" w:hAnsiTheme="majorBidi" w:cstheme="majorBidi"/>
          <w:color w:val="222222"/>
          <w:sz w:val="24"/>
          <w:szCs w:val="24"/>
          <w:shd w:val="clear" w:color="auto" w:fill="FFFFFF"/>
        </w:rPr>
        <w:t>27(1)</w:t>
      </w:r>
      <w:r>
        <w:rPr>
          <w:rFonts w:asciiTheme="majorBidi" w:hAnsiTheme="majorBidi" w:cstheme="majorBidi"/>
          <w:color w:val="222222"/>
          <w:sz w:val="24"/>
          <w:szCs w:val="24"/>
          <w:shd w:val="clear" w:color="auto" w:fill="FFFFFF"/>
        </w:rPr>
        <w:t>:</w:t>
      </w:r>
      <w:r w:rsidRPr="004B0D19">
        <w:rPr>
          <w:rFonts w:asciiTheme="majorBidi" w:hAnsiTheme="majorBidi" w:cstheme="majorBidi"/>
          <w:color w:val="222222"/>
          <w:sz w:val="24"/>
          <w:szCs w:val="24"/>
          <w:shd w:val="clear" w:color="auto" w:fill="FFFFFF"/>
        </w:rPr>
        <w:t xml:space="preserve"> 20–36</w:t>
      </w:r>
      <w:r>
        <w:rPr>
          <w:rFonts w:asciiTheme="majorBidi" w:hAnsiTheme="majorBidi" w:cstheme="majorBidi"/>
          <w:color w:val="222222"/>
          <w:sz w:val="24"/>
          <w:szCs w:val="24"/>
          <w:shd w:val="clear" w:color="auto" w:fill="FFFFFF"/>
        </w:rPr>
        <w:t xml:space="preserve">. </w:t>
      </w:r>
      <w:hyperlink r:id="rId11" w:tgtFrame="_blank" w:history="1">
        <w:r w:rsidRPr="004B0D19">
          <w:rPr>
            <w:rStyle w:val="Hyperlink"/>
            <w:rFonts w:asciiTheme="majorBidi" w:hAnsiTheme="majorBidi" w:cstheme="majorBidi"/>
            <w:color w:val="1155CC"/>
            <w:sz w:val="24"/>
            <w:szCs w:val="24"/>
            <w:shd w:val="clear" w:color="auto" w:fill="FFFFFF"/>
          </w:rPr>
          <w:t>http://doi.org/10.1002/bdm.1784</w:t>
        </w:r>
      </w:hyperlink>
    </w:p>
    <w:p w14:paraId="384FE0CB" w14:textId="671F8204" w:rsidR="00E036D6" w:rsidRPr="001B006A" w:rsidRDefault="00E036D6" w:rsidP="00E036D6">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Pr>
          <w:rFonts w:asciiTheme="majorBidi" w:hAnsiTheme="majorBidi" w:cstheme="majorBidi"/>
          <w:sz w:val="24"/>
          <w:szCs w:val="24"/>
        </w:rPr>
        <w:t xml:space="preserve">U.S. Department of Health and Human Services. Health, United States, 2014. With special feature on adults aged 55-64. </w:t>
      </w:r>
      <w:r w:rsidRPr="00D719A5">
        <w:rPr>
          <w:rFonts w:ascii="Times New Roman" w:eastAsia="Times New Roman" w:hAnsi="Times New Roman" w:cs="Times New Roman"/>
          <w:sz w:val="24"/>
          <w:szCs w:val="24"/>
          <w:lang w:eastAsia="en-GB"/>
        </w:rPr>
        <w:t xml:space="preserve">Available from </w:t>
      </w:r>
      <w:r>
        <w:rPr>
          <w:rFonts w:asciiTheme="majorBidi" w:eastAsia="Times New Roman" w:hAnsiTheme="majorBidi" w:cstheme="majorBidi"/>
          <w:sz w:val="24"/>
          <w:szCs w:val="24"/>
          <w:lang w:val="en-US" w:eastAsia="en-GB"/>
        </w:rPr>
        <w:t>(</w:t>
      </w:r>
      <w:hyperlink r:id="rId12" w:anchor="102" w:history="1">
        <w:r w:rsidRPr="00785BBE">
          <w:rPr>
            <w:rStyle w:val="Hyperlink"/>
            <w:rFonts w:asciiTheme="majorBidi" w:eastAsia="Times New Roman" w:hAnsiTheme="majorBidi" w:cstheme="majorBidi"/>
            <w:sz w:val="24"/>
            <w:szCs w:val="24"/>
            <w:lang w:val="en-US" w:eastAsia="en-GB"/>
          </w:rPr>
          <w:t>http://www.cdc.gov/nchs/data/hus/hus14.pdf#102</w:t>
        </w:r>
      </w:hyperlink>
      <w:r>
        <w:rPr>
          <w:rFonts w:asciiTheme="majorBidi" w:eastAsia="Times New Roman" w:hAnsiTheme="majorBidi" w:cstheme="majorBidi"/>
          <w:sz w:val="24"/>
          <w:szCs w:val="24"/>
          <w:lang w:val="en-US" w:eastAsia="en-GB"/>
        </w:rPr>
        <w:t>)</w:t>
      </w:r>
    </w:p>
    <w:p w14:paraId="1114446D" w14:textId="08187B66" w:rsidR="001B006A" w:rsidRPr="001B006A" w:rsidRDefault="001B006A" w:rsidP="001B006A">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sidRPr="001B006A">
        <w:rPr>
          <w:rFonts w:asciiTheme="majorBidi" w:eastAsia="Times New Roman" w:hAnsiTheme="majorBidi" w:cstheme="majorBidi"/>
          <w:sz w:val="24"/>
          <w:szCs w:val="24"/>
          <w:lang w:val="en-US" w:eastAsia="zh-CN"/>
        </w:rPr>
        <w:t xml:space="preserve">Berkowitz Z, Hawkins NA, Peipins LA, White MC, </w:t>
      </w:r>
      <w:r w:rsidRPr="001B006A">
        <w:rPr>
          <w:rFonts w:asciiTheme="majorBidi" w:eastAsia="Times New Roman" w:hAnsiTheme="majorBidi" w:cstheme="majorBidi"/>
          <w:sz w:val="24"/>
          <w:szCs w:val="24"/>
          <w:lang w:eastAsia="zh-CN"/>
        </w:rPr>
        <w:t>Nadel MR</w:t>
      </w:r>
      <w:r>
        <w:rPr>
          <w:rFonts w:asciiTheme="majorBidi" w:eastAsia="Times New Roman" w:hAnsiTheme="majorBidi" w:cstheme="majorBidi"/>
          <w:sz w:val="24"/>
          <w:szCs w:val="24"/>
          <w:lang w:eastAsia="zh-CN"/>
        </w:rPr>
        <w:t xml:space="preserve">. </w:t>
      </w:r>
      <w:r w:rsidRPr="001B006A">
        <w:rPr>
          <w:rFonts w:asciiTheme="majorBidi" w:eastAsia="Times New Roman" w:hAnsiTheme="majorBidi" w:cstheme="majorBidi"/>
          <w:sz w:val="24"/>
          <w:szCs w:val="24"/>
          <w:lang w:eastAsia="zh-CN"/>
        </w:rPr>
        <w:t>Beliefs, Risk Perceptions, and Gaps in Knowledge as Barriers to Colorectal Cancer Screening in Older Adults J Am Geriatr Soc. 2008;56(2):307-314</w:t>
      </w:r>
      <w:r>
        <w:rPr>
          <w:rFonts w:asciiTheme="majorBidi" w:eastAsia="Times New Roman" w:hAnsiTheme="majorBidi" w:cstheme="majorBidi"/>
          <w:sz w:val="24"/>
          <w:szCs w:val="24"/>
          <w:lang w:eastAsia="zh-CN"/>
        </w:rPr>
        <w:t>.</w:t>
      </w:r>
    </w:p>
    <w:p w14:paraId="0E01018A" w14:textId="77777777" w:rsidR="008C6ACF" w:rsidRPr="008C6ACF" w:rsidRDefault="001B006A" w:rsidP="008C6ACF">
      <w:pPr>
        <w:pStyle w:val="ListParagraph"/>
        <w:numPr>
          <w:ilvl w:val="0"/>
          <w:numId w:val="4"/>
        </w:numPr>
        <w:spacing w:after="0" w:line="480" w:lineRule="auto"/>
        <w:ind w:left="714" w:hanging="357"/>
        <w:outlineLvl w:val="0"/>
        <w:rPr>
          <w:sz w:val="24"/>
          <w:szCs w:val="24"/>
        </w:rPr>
      </w:pPr>
      <w:r w:rsidRPr="008C6ACF">
        <w:rPr>
          <w:rFonts w:ascii="Times New Roman" w:eastAsia="Times New Roman" w:hAnsi="Times New Roman" w:cs="Times New Roman"/>
          <w:kern w:val="36"/>
          <w:sz w:val="24"/>
          <w:szCs w:val="24"/>
          <w:lang w:val="pl-PL" w:eastAsia="zh-CN"/>
        </w:rPr>
        <w:t xml:space="preserve">Katapodi MC, Lee KA, Facione NC, Dodd MJ. </w:t>
      </w:r>
      <w:r w:rsidRPr="008C6ACF">
        <w:rPr>
          <w:rFonts w:ascii="Times New Roman" w:eastAsia="Times New Roman" w:hAnsi="Times New Roman" w:cs="Times New Roman"/>
          <w:kern w:val="36"/>
          <w:sz w:val="24"/>
          <w:szCs w:val="24"/>
          <w:lang w:eastAsia="zh-CN"/>
        </w:rPr>
        <w:t>Predictors of perceived breast cancer risk and the relation between perceived risk and breast cancer screening: a meta-analytic review. Preven Med</w:t>
      </w:r>
      <w:r w:rsidR="00A047A7" w:rsidRPr="008C6ACF">
        <w:rPr>
          <w:rFonts w:ascii="Times New Roman" w:eastAsia="Times New Roman" w:hAnsi="Times New Roman" w:cs="Times New Roman"/>
          <w:kern w:val="36"/>
          <w:sz w:val="24"/>
          <w:szCs w:val="24"/>
          <w:lang w:eastAsia="zh-CN"/>
        </w:rPr>
        <w:t>.</w:t>
      </w:r>
      <w:r w:rsidRPr="008C6ACF">
        <w:rPr>
          <w:rFonts w:ascii="Times New Roman" w:eastAsia="Times New Roman" w:hAnsi="Times New Roman" w:cs="Times New Roman"/>
          <w:kern w:val="36"/>
          <w:sz w:val="24"/>
          <w:szCs w:val="24"/>
          <w:lang w:eastAsia="zh-CN"/>
        </w:rPr>
        <w:t xml:space="preserve"> 2004; 38: 388-402</w:t>
      </w:r>
      <w:r w:rsidR="008C6ACF">
        <w:rPr>
          <w:rFonts w:ascii="Times New Roman" w:eastAsia="Times New Roman" w:hAnsi="Times New Roman" w:cs="Times New Roman"/>
          <w:kern w:val="36"/>
          <w:sz w:val="24"/>
          <w:szCs w:val="24"/>
          <w:lang w:eastAsia="zh-CN"/>
        </w:rPr>
        <w:t>.</w:t>
      </w:r>
    </w:p>
    <w:p w14:paraId="0B440136" w14:textId="535A3537" w:rsidR="00CD13CD" w:rsidRDefault="008C6ACF" w:rsidP="008C6ACF">
      <w:pPr>
        <w:pStyle w:val="ListParagraph"/>
        <w:numPr>
          <w:ilvl w:val="0"/>
          <w:numId w:val="4"/>
        </w:numPr>
        <w:spacing w:after="0" w:line="480" w:lineRule="auto"/>
        <w:ind w:left="714" w:hanging="357"/>
        <w:outlineLvl w:val="0"/>
        <w:rPr>
          <w:rFonts w:asciiTheme="majorBidi" w:hAnsiTheme="majorBidi" w:cstheme="majorBidi"/>
          <w:sz w:val="24"/>
          <w:szCs w:val="24"/>
        </w:rPr>
      </w:pPr>
      <w:r w:rsidRPr="00CD13CD">
        <w:rPr>
          <w:rFonts w:asciiTheme="majorBidi" w:hAnsiTheme="majorBidi" w:cstheme="majorBidi"/>
          <w:sz w:val="24"/>
          <w:szCs w:val="24"/>
        </w:rPr>
        <w:t xml:space="preserve">Bratt O, Damber JE, Emanuelsson M, Kristoffersson U, Lundgren R, Olsson H, Grönberg H. Risk perception, screening practice and interest in genetic testing among unaffected men in families with hereditary prostate cancer. Euro J Cancer. 2000; 36:235-241. </w:t>
      </w:r>
    </w:p>
    <w:p w14:paraId="772C6369" w14:textId="30F43660" w:rsidR="00CD13CD" w:rsidRPr="00CD13CD" w:rsidRDefault="00CD13CD" w:rsidP="00CD13CD">
      <w:pPr>
        <w:pStyle w:val="ListParagraph"/>
        <w:numPr>
          <w:ilvl w:val="0"/>
          <w:numId w:val="4"/>
        </w:numPr>
        <w:spacing w:after="0" w:line="480" w:lineRule="auto"/>
        <w:ind w:left="714" w:hanging="357"/>
        <w:outlineLvl w:val="0"/>
        <w:rPr>
          <w:rFonts w:asciiTheme="majorBidi" w:hAnsiTheme="majorBidi" w:cstheme="majorBidi"/>
          <w:sz w:val="24"/>
          <w:szCs w:val="24"/>
        </w:rPr>
      </w:pPr>
      <w:r w:rsidRPr="00CD13CD">
        <w:rPr>
          <w:rFonts w:asciiTheme="majorBidi" w:hAnsiTheme="majorBidi" w:cstheme="majorBidi"/>
          <w:sz w:val="24"/>
          <w:szCs w:val="24"/>
        </w:rPr>
        <w:t>Vermeire E, Hearnshaw H, van Royen P, Denekens J</w:t>
      </w:r>
      <w:r>
        <w:rPr>
          <w:rFonts w:asciiTheme="majorBidi" w:hAnsiTheme="majorBidi" w:cstheme="majorBidi"/>
          <w:sz w:val="24"/>
          <w:szCs w:val="24"/>
        </w:rPr>
        <w:t xml:space="preserve">. </w:t>
      </w:r>
      <w:r w:rsidRPr="00CD13CD">
        <w:rPr>
          <w:rFonts w:asciiTheme="majorBidi" w:hAnsiTheme="majorBidi" w:cstheme="majorBidi"/>
          <w:sz w:val="24"/>
          <w:szCs w:val="24"/>
        </w:rPr>
        <w:t xml:space="preserve">Patient adherence to treatment: Three decades of research. A comprehensive review. </w:t>
      </w:r>
      <w:r>
        <w:rPr>
          <w:rFonts w:asciiTheme="majorBidi" w:hAnsiTheme="majorBidi" w:cstheme="majorBidi"/>
          <w:sz w:val="24"/>
          <w:szCs w:val="24"/>
        </w:rPr>
        <w:t xml:space="preserve">2001. </w:t>
      </w:r>
      <w:r w:rsidRPr="00CD13CD">
        <w:rPr>
          <w:rFonts w:asciiTheme="majorBidi" w:hAnsiTheme="majorBidi" w:cstheme="majorBidi"/>
          <w:sz w:val="24"/>
          <w:szCs w:val="24"/>
        </w:rPr>
        <w:t>J Clin Pharmacol Ther</w:t>
      </w:r>
      <w:r>
        <w:rPr>
          <w:rFonts w:asciiTheme="majorBidi" w:hAnsiTheme="majorBidi" w:cstheme="majorBidi"/>
          <w:sz w:val="24"/>
          <w:szCs w:val="24"/>
        </w:rPr>
        <w:t>;</w:t>
      </w:r>
      <w:r w:rsidRPr="00CD13CD">
        <w:rPr>
          <w:rFonts w:asciiTheme="majorBidi" w:hAnsiTheme="majorBidi" w:cstheme="majorBidi"/>
          <w:sz w:val="24"/>
          <w:szCs w:val="24"/>
        </w:rPr>
        <w:t xml:space="preserve"> 26: 331–342.</w:t>
      </w:r>
    </w:p>
    <w:p w14:paraId="4670A808" w14:textId="2FC7E470" w:rsidR="00311933" w:rsidRDefault="00F45B60" w:rsidP="00EE355E">
      <w:pPr>
        <w:pStyle w:val="NormalWeb"/>
        <w:numPr>
          <w:ilvl w:val="0"/>
          <w:numId w:val="4"/>
        </w:numPr>
        <w:autoSpaceDE w:val="0"/>
        <w:autoSpaceDN w:val="0"/>
        <w:adjustRightInd w:val="0"/>
        <w:spacing w:before="0" w:beforeAutospacing="0" w:after="0" w:afterAutospacing="0" w:line="480" w:lineRule="auto"/>
        <w:contextualSpacing/>
        <w:rPr>
          <w:rFonts w:asciiTheme="majorBidi" w:hAnsiTheme="majorBidi" w:cstheme="majorBidi"/>
          <w:lang w:val="en-US"/>
        </w:rPr>
      </w:pPr>
      <w:r w:rsidRPr="00EE355E">
        <w:rPr>
          <w:rFonts w:asciiTheme="majorBidi" w:hAnsiTheme="majorBidi" w:cstheme="majorBidi"/>
          <w:lang w:val="en-US"/>
        </w:rPr>
        <w:t>Slovic P. Assessment of risk taking behavior. Psycho Bull</w:t>
      </w:r>
      <w:r w:rsidR="00B52C5D" w:rsidRPr="00EE355E">
        <w:rPr>
          <w:rFonts w:asciiTheme="majorBidi" w:hAnsiTheme="majorBidi" w:cstheme="majorBidi"/>
          <w:lang w:val="en-US"/>
        </w:rPr>
        <w:t>. 1964;</w:t>
      </w:r>
      <w:r w:rsidRPr="00EE355E">
        <w:rPr>
          <w:rFonts w:asciiTheme="majorBidi" w:hAnsiTheme="majorBidi" w:cstheme="majorBidi"/>
          <w:lang w:val="en-US"/>
        </w:rPr>
        <w:t xml:space="preserve"> 61</w:t>
      </w:r>
      <w:r w:rsidR="00B52C5D" w:rsidRPr="00EE355E">
        <w:rPr>
          <w:rFonts w:asciiTheme="majorBidi" w:hAnsiTheme="majorBidi" w:cstheme="majorBidi"/>
          <w:lang w:val="en-US"/>
        </w:rPr>
        <w:t>:</w:t>
      </w:r>
      <w:r w:rsidRPr="00EE355E">
        <w:rPr>
          <w:rFonts w:asciiTheme="majorBidi" w:hAnsiTheme="majorBidi" w:cstheme="majorBidi"/>
          <w:lang w:val="en-US"/>
        </w:rPr>
        <w:t xml:space="preserve"> 330–333.</w:t>
      </w:r>
    </w:p>
    <w:p w14:paraId="32CD7665" w14:textId="16173856" w:rsidR="00311933" w:rsidRPr="0006044E" w:rsidRDefault="00F45B60" w:rsidP="00EE355E">
      <w:pPr>
        <w:pStyle w:val="NormalWeb"/>
        <w:numPr>
          <w:ilvl w:val="0"/>
          <w:numId w:val="4"/>
        </w:numPr>
        <w:autoSpaceDE w:val="0"/>
        <w:autoSpaceDN w:val="0"/>
        <w:adjustRightInd w:val="0"/>
        <w:spacing w:before="0" w:beforeAutospacing="0" w:after="0" w:afterAutospacing="0" w:line="480" w:lineRule="auto"/>
        <w:contextualSpacing/>
        <w:rPr>
          <w:rFonts w:asciiTheme="majorBidi" w:hAnsiTheme="majorBidi" w:cstheme="majorBidi"/>
          <w:lang w:val="en-US"/>
        </w:rPr>
      </w:pPr>
      <w:r w:rsidRPr="00EE355E">
        <w:rPr>
          <w:rFonts w:asciiTheme="majorBidi" w:hAnsiTheme="majorBidi" w:cstheme="majorBidi"/>
          <w:lang w:val="en-US"/>
        </w:rPr>
        <w:t>Hanoch Y, Johnson</w:t>
      </w:r>
      <w:r w:rsidR="00B52C5D" w:rsidRPr="00EE355E">
        <w:rPr>
          <w:rFonts w:asciiTheme="majorBidi" w:hAnsiTheme="majorBidi" w:cstheme="majorBidi"/>
          <w:lang w:val="en-US"/>
        </w:rPr>
        <w:t xml:space="preserve"> </w:t>
      </w:r>
      <w:r w:rsidRPr="00EE355E">
        <w:rPr>
          <w:rFonts w:asciiTheme="majorBidi" w:hAnsiTheme="majorBidi" w:cstheme="majorBidi"/>
          <w:lang w:val="en-US"/>
        </w:rPr>
        <w:t xml:space="preserve">J, Wilke A. </w:t>
      </w:r>
      <w:r w:rsidRPr="00EE355E">
        <w:rPr>
          <w:rFonts w:asciiTheme="majorBidi" w:hAnsiTheme="majorBidi" w:cstheme="majorBidi"/>
        </w:rPr>
        <w:t xml:space="preserve">Domain-specificity in experimental measures and participant recruitment: An application to risk-taking behaviour. </w:t>
      </w:r>
      <w:r w:rsidRPr="00EE355E">
        <w:rPr>
          <w:rFonts w:asciiTheme="majorBidi" w:hAnsiTheme="majorBidi" w:cstheme="majorBidi"/>
          <w:iCs/>
        </w:rPr>
        <w:t>Psycho Scien</w:t>
      </w:r>
      <w:r w:rsidR="00B52C5D" w:rsidRPr="00EE355E">
        <w:rPr>
          <w:rFonts w:asciiTheme="majorBidi" w:hAnsiTheme="majorBidi" w:cstheme="majorBidi"/>
          <w:iCs/>
        </w:rPr>
        <w:t>. 2006;</w:t>
      </w:r>
      <w:r w:rsidRPr="00EE355E">
        <w:rPr>
          <w:rFonts w:asciiTheme="majorBidi" w:hAnsiTheme="majorBidi" w:cstheme="majorBidi"/>
          <w:iCs/>
        </w:rPr>
        <w:t xml:space="preserve"> </w:t>
      </w:r>
      <w:r w:rsidRPr="00EE355E">
        <w:rPr>
          <w:rFonts w:asciiTheme="majorBidi" w:hAnsiTheme="majorBidi" w:cstheme="majorBidi"/>
        </w:rPr>
        <w:t>17</w:t>
      </w:r>
      <w:r w:rsidR="00B52C5D" w:rsidRPr="00EE355E">
        <w:rPr>
          <w:rFonts w:asciiTheme="majorBidi" w:hAnsiTheme="majorBidi" w:cstheme="majorBidi"/>
        </w:rPr>
        <w:t>:</w:t>
      </w:r>
      <w:r w:rsidRPr="00EE355E">
        <w:rPr>
          <w:rFonts w:asciiTheme="majorBidi" w:hAnsiTheme="majorBidi" w:cstheme="majorBidi"/>
        </w:rPr>
        <w:t xml:space="preserve"> 300-304. </w:t>
      </w:r>
    </w:p>
    <w:p w14:paraId="727393D3" w14:textId="089B7342" w:rsidR="0006044E" w:rsidRPr="00BD4787" w:rsidRDefault="0006044E" w:rsidP="0006044E">
      <w:pPr>
        <w:pStyle w:val="NormalWeb"/>
        <w:numPr>
          <w:ilvl w:val="0"/>
          <w:numId w:val="4"/>
        </w:numPr>
        <w:autoSpaceDE w:val="0"/>
        <w:autoSpaceDN w:val="0"/>
        <w:adjustRightInd w:val="0"/>
        <w:spacing w:before="0" w:beforeAutospacing="0" w:after="0" w:afterAutospacing="0" w:line="480" w:lineRule="auto"/>
        <w:contextualSpacing/>
        <w:rPr>
          <w:rFonts w:asciiTheme="majorBidi" w:hAnsiTheme="majorBidi" w:cstheme="majorBidi"/>
          <w:lang w:val="en-US"/>
        </w:rPr>
      </w:pPr>
      <w:r>
        <w:rPr>
          <w:rFonts w:asciiTheme="majorBidi" w:hAnsiTheme="majorBidi" w:cstheme="majorBidi"/>
        </w:rPr>
        <w:t xml:space="preserve">Highouse </w:t>
      </w:r>
      <w:r w:rsidRPr="004B0D19">
        <w:rPr>
          <w:rFonts w:asciiTheme="majorBidi" w:hAnsiTheme="majorBidi" w:cstheme="majorBidi"/>
          <w:color w:val="222222"/>
          <w:shd w:val="clear" w:color="auto" w:fill="FFFFFF"/>
        </w:rPr>
        <w:t>S, Nye CD, Zhang DC, Rada TB. Structure of the Dospert: Is There Evidence for a General Risk Factor? Journal of Behavioral Decision Making</w:t>
      </w:r>
      <w:r>
        <w:rPr>
          <w:rFonts w:asciiTheme="majorBidi" w:hAnsiTheme="majorBidi" w:cstheme="majorBidi"/>
          <w:color w:val="222222"/>
          <w:shd w:val="clear" w:color="auto" w:fill="FFFFFF"/>
        </w:rPr>
        <w:t xml:space="preserve">; 2016. </w:t>
      </w:r>
      <w:r w:rsidRPr="0006044E">
        <w:rPr>
          <w:rStyle w:val="HTMLCite"/>
          <w:i w:val="0"/>
          <w:iCs w:val="0"/>
        </w:rPr>
        <w:t xml:space="preserve">doi: </w:t>
      </w:r>
      <w:hyperlink r:id="rId13" w:tooltip="Link to external resource: 10.1002/bdm.1953" w:history="1">
        <w:r w:rsidRPr="0006044E">
          <w:rPr>
            <w:rStyle w:val="Hyperlink"/>
          </w:rPr>
          <w:t>10.1002/bdm.1953</w:t>
        </w:r>
      </w:hyperlink>
      <w:r w:rsidRPr="0006044E">
        <w:rPr>
          <w:rStyle w:val="HTMLCite"/>
          <w:i w:val="0"/>
          <w:iCs w:val="0"/>
        </w:rPr>
        <w:t>.</w:t>
      </w:r>
    </w:p>
    <w:p w14:paraId="3E387B10" w14:textId="40E7B47B" w:rsidR="00BD4787" w:rsidRPr="00BD4787" w:rsidRDefault="00C13E1B" w:rsidP="005E02DE">
      <w:pPr>
        <w:pStyle w:val="ListParagraph"/>
        <w:numPr>
          <w:ilvl w:val="0"/>
          <w:numId w:val="4"/>
        </w:numPr>
        <w:spacing w:after="0" w:line="480" w:lineRule="auto"/>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Harris CR, Jenkins M, Glaser D</w:t>
      </w:r>
      <w:r w:rsidR="005E02DE">
        <w:rPr>
          <w:rFonts w:ascii="Times New Roman" w:eastAsia="Times New Roman" w:hAnsi="Times New Roman" w:cs="Times New Roman"/>
          <w:color w:val="000000" w:themeColor="text1"/>
          <w:sz w:val="24"/>
          <w:szCs w:val="24"/>
          <w:lang w:eastAsia="zh-CN"/>
        </w:rPr>
        <w:t>.</w:t>
      </w:r>
      <w:r>
        <w:rPr>
          <w:rFonts w:ascii="Times New Roman" w:eastAsia="Times New Roman" w:hAnsi="Times New Roman" w:cs="Times New Roman"/>
          <w:color w:val="000000" w:themeColor="text1"/>
          <w:sz w:val="24"/>
          <w:szCs w:val="24"/>
          <w:lang w:eastAsia="zh-CN"/>
        </w:rPr>
        <w:t xml:space="preserve"> Gender differecnes in risk assessemtn: Why do women take fewer risks than men. 2006. Jud Deci Mak; 1; 48-63</w:t>
      </w:r>
      <w:r w:rsidR="005E02DE">
        <w:rPr>
          <w:rFonts w:ascii="Times New Roman" w:eastAsia="Times New Roman" w:hAnsi="Times New Roman" w:cs="Times New Roman"/>
          <w:color w:val="000000" w:themeColor="text1"/>
          <w:sz w:val="24"/>
          <w:szCs w:val="24"/>
          <w:lang w:eastAsia="zh-CN"/>
        </w:rPr>
        <w:t xml:space="preserve"> </w:t>
      </w:r>
    </w:p>
    <w:p w14:paraId="138EEB5B" w14:textId="77EC88DC" w:rsidR="00311933" w:rsidRPr="00BD4787" w:rsidRDefault="009C0A54" w:rsidP="00BD4787">
      <w:pPr>
        <w:pStyle w:val="ListParagraph"/>
        <w:numPr>
          <w:ilvl w:val="0"/>
          <w:numId w:val="4"/>
        </w:numPr>
        <w:autoSpaceDE w:val="0"/>
        <w:autoSpaceDN w:val="0"/>
        <w:adjustRightInd w:val="0"/>
        <w:spacing w:after="0" w:line="480" w:lineRule="auto"/>
        <w:rPr>
          <w:rStyle w:val="slug-doi"/>
          <w:rFonts w:asciiTheme="majorBidi" w:hAnsiTheme="majorBidi" w:cstheme="majorBidi"/>
          <w:lang w:val="en-US"/>
        </w:rPr>
      </w:pPr>
      <w:r w:rsidRPr="00BD4787">
        <w:rPr>
          <w:rFonts w:asciiTheme="majorBidi" w:hAnsiTheme="majorBidi" w:cstheme="majorBidi"/>
          <w:lang w:val="en-US"/>
        </w:rPr>
        <w:t>Rolison J, Hanoch Y, Wood S, Liu P-J</w:t>
      </w:r>
      <w:r w:rsidR="000071AB" w:rsidRPr="00BD4787">
        <w:rPr>
          <w:rFonts w:asciiTheme="majorBidi" w:hAnsiTheme="majorBidi" w:cstheme="majorBidi"/>
          <w:lang w:val="en-US"/>
        </w:rPr>
        <w:t>.</w:t>
      </w:r>
      <w:r w:rsidRPr="00BD4787">
        <w:rPr>
          <w:rFonts w:asciiTheme="majorBidi" w:hAnsiTheme="majorBidi" w:cstheme="majorBidi"/>
          <w:lang w:val="en-US"/>
        </w:rPr>
        <w:t xml:space="preserve"> Risk taking differences across the adult lifespan: A question of age and domain. The J</w:t>
      </w:r>
      <w:r w:rsidR="000071AB" w:rsidRPr="00BD4787">
        <w:rPr>
          <w:rFonts w:asciiTheme="majorBidi" w:hAnsiTheme="majorBidi" w:cstheme="majorBidi"/>
          <w:lang w:val="en-US"/>
        </w:rPr>
        <w:t>.</w:t>
      </w:r>
      <w:r w:rsidRPr="00BD4787">
        <w:rPr>
          <w:rFonts w:asciiTheme="majorBidi" w:hAnsiTheme="majorBidi" w:cstheme="majorBidi"/>
          <w:lang w:val="en-US"/>
        </w:rPr>
        <w:t xml:space="preserve"> Geront Series B: Psycho Scien</w:t>
      </w:r>
      <w:r w:rsidR="000071AB" w:rsidRPr="00BD4787">
        <w:rPr>
          <w:rFonts w:asciiTheme="majorBidi" w:hAnsiTheme="majorBidi" w:cstheme="majorBidi"/>
          <w:lang w:val="en-US"/>
        </w:rPr>
        <w:t>. 2013;</w:t>
      </w:r>
      <w:r w:rsidRPr="00BD4787">
        <w:rPr>
          <w:rFonts w:asciiTheme="majorBidi" w:hAnsiTheme="majorBidi" w:cstheme="majorBidi"/>
          <w:lang w:val="en-US"/>
        </w:rPr>
        <w:t xml:space="preserve"> 69</w:t>
      </w:r>
      <w:r w:rsidR="000071AB" w:rsidRPr="00BD4787">
        <w:rPr>
          <w:rFonts w:asciiTheme="majorBidi" w:hAnsiTheme="majorBidi" w:cstheme="majorBidi"/>
          <w:lang w:val="en-US"/>
        </w:rPr>
        <w:t>:</w:t>
      </w:r>
      <w:r w:rsidRPr="00BD4787">
        <w:rPr>
          <w:rFonts w:asciiTheme="majorBidi" w:hAnsiTheme="majorBidi" w:cstheme="majorBidi"/>
          <w:lang w:val="en-US"/>
        </w:rPr>
        <w:t xml:space="preserve"> 870–890.</w:t>
      </w:r>
      <w:r w:rsidRPr="00BD4787">
        <w:rPr>
          <w:rFonts w:asciiTheme="majorBidi" w:hAnsiTheme="majorBidi" w:cstheme="majorBidi"/>
          <w:i/>
          <w:iCs/>
          <w:lang w:val="en-US"/>
        </w:rPr>
        <w:t xml:space="preserve"> </w:t>
      </w:r>
      <w:r w:rsidRPr="00BD4787">
        <w:rPr>
          <w:rStyle w:val="slug-doi-wrapper"/>
          <w:rFonts w:asciiTheme="majorBidi" w:hAnsiTheme="majorBidi" w:cstheme="majorBidi"/>
          <w:lang w:val="en-US"/>
        </w:rPr>
        <w:t>doi:</w:t>
      </w:r>
      <w:r w:rsidRPr="00BD4787">
        <w:rPr>
          <w:rStyle w:val="slug-doi"/>
          <w:rFonts w:asciiTheme="majorBidi" w:hAnsiTheme="majorBidi" w:cstheme="majorBidi"/>
          <w:lang w:val="en-US"/>
        </w:rPr>
        <w:t>10.1093/geronb/gbt081</w:t>
      </w:r>
    </w:p>
    <w:p w14:paraId="79E5F403" w14:textId="26E350CF" w:rsidR="00311933" w:rsidRPr="00EE355E" w:rsidRDefault="009C0A54" w:rsidP="00EE355E">
      <w:pPr>
        <w:pStyle w:val="ListParagraph"/>
        <w:numPr>
          <w:ilvl w:val="0"/>
          <w:numId w:val="4"/>
        </w:numPr>
        <w:autoSpaceDE w:val="0"/>
        <w:autoSpaceDN w:val="0"/>
        <w:adjustRightInd w:val="0"/>
        <w:spacing w:after="0" w:line="480" w:lineRule="auto"/>
        <w:rPr>
          <w:rFonts w:asciiTheme="majorBidi" w:eastAsia="Times New Roman" w:hAnsiTheme="majorBidi" w:cstheme="majorBidi"/>
          <w:sz w:val="24"/>
          <w:szCs w:val="24"/>
          <w:lang w:val="en-US" w:eastAsia="zh-CN"/>
        </w:rPr>
      </w:pPr>
      <w:r w:rsidRPr="00EE355E">
        <w:rPr>
          <w:rFonts w:asciiTheme="majorBidi" w:hAnsiTheme="majorBidi" w:cstheme="majorBidi"/>
          <w:sz w:val="24"/>
          <w:szCs w:val="24"/>
          <w:lang w:val="pt-BR"/>
        </w:rPr>
        <w:t xml:space="preserve">Weber EU, Blais AR, Betz NE. </w:t>
      </w:r>
      <w:r w:rsidRPr="00EE355E">
        <w:rPr>
          <w:rFonts w:asciiTheme="majorBidi" w:hAnsiTheme="majorBidi" w:cstheme="majorBidi"/>
          <w:sz w:val="24"/>
          <w:szCs w:val="24"/>
          <w:lang w:val="en-US"/>
        </w:rPr>
        <w:t>A domain-specific risk-attitude scale: Measuring risk perceptions and risk behaviors. J</w:t>
      </w:r>
      <w:r w:rsidR="000071AB" w:rsidRPr="00EE355E">
        <w:rPr>
          <w:rFonts w:asciiTheme="majorBidi" w:hAnsiTheme="majorBidi" w:cstheme="majorBidi"/>
          <w:sz w:val="24"/>
          <w:szCs w:val="24"/>
          <w:lang w:val="en-US"/>
        </w:rPr>
        <w:t xml:space="preserve"> </w:t>
      </w:r>
      <w:r w:rsidRPr="00EE355E">
        <w:rPr>
          <w:rFonts w:asciiTheme="majorBidi" w:hAnsiTheme="majorBidi" w:cstheme="majorBidi"/>
          <w:sz w:val="24"/>
          <w:szCs w:val="24"/>
          <w:lang w:val="en-US"/>
        </w:rPr>
        <w:t>Behavl Decis Mak</w:t>
      </w:r>
      <w:r w:rsidR="000071AB" w:rsidRPr="00EE355E">
        <w:rPr>
          <w:rFonts w:asciiTheme="majorBidi" w:hAnsiTheme="majorBidi" w:cstheme="majorBidi"/>
          <w:sz w:val="24"/>
          <w:szCs w:val="24"/>
          <w:lang w:val="en-US"/>
        </w:rPr>
        <w:t xml:space="preserve">. 2002; </w:t>
      </w:r>
      <w:r w:rsidRPr="00EE355E">
        <w:rPr>
          <w:rFonts w:asciiTheme="majorBidi" w:hAnsiTheme="majorBidi" w:cstheme="majorBidi"/>
          <w:sz w:val="24"/>
          <w:szCs w:val="24"/>
          <w:lang w:val="en-US"/>
        </w:rPr>
        <w:t>15</w:t>
      </w:r>
      <w:r w:rsidR="000071AB" w:rsidRPr="00EE355E">
        <w:rPr>
          <w:rFonts w:asciiTheme="majorBidi" w:hAnsiTheme="majorBidi" w:cstheme="majorBidi"/>
          <w:sz w:val="24"/>
          <w:szCs w:val="24"/>
          <w:lang w:val="en-US"/>
        </w:rPr>
        <w:t>:</w:t>
      </w:r>
      <w:r w:rsidRPr="00EE355E">
        <w:rPr>
          <w:rFonts w:asciiTheme="majorBidi" w:hAnsiTheme="majorBidi" w:cstheme="majorBidi"/>
          <w:sz w:val="24"/>
          <w:szCs w:val="24"/>
          <w:lang w:val="en-US"/>
        </w:rPr>
        <w:t xml:space="preserve"> 263–290. </w:t>
      </w:r>
      <w:r w:rsidRPr="00EE355E">
        <w:rPr>
          <w:rFonts w:asciiTheme="majorBidi" w:eastAsia="Times New Roman" w:hAnsiTheme="majorBidi" w:cstheme="majorBidi"/>
          <w:sz w:val="24"/>
          <w:szCs w:val="24"/>
          <w:lang w:val="en-US" w:eastAsia="zh-CN"/>
        </w:rPr>
        <w:t>doi:10.1002/bdm.414</w:t>
      </w:r>
    </w:p>
    <w:p w14:paraId="4BDC8B1D" w14:textId="05CF0071" w:rsidR="00311933" w:rsidRPr="00734606" w:rsidRDefault="009C0A54" w:rsidP="00EE355E">
      <w:pPr>
        <w:pStyle w:val="ListParagraph"/>
        <w:numPr>
          <w:ilvl w:val="0"/>
          <w:numId w:val="4"/>
        </w:numPr>
        <w:autoSpaceDE w:val="0"/>
        <w:autoSpaceDN w:val="0"/>
        <w:adjustRightInd w:val="0"/>
        <w:spacing w:after="0" w:line="480" w:lineRule="auto"/>
        <w:rPr>
          <w:rFonts w:asciiTheme="majorBidi" w:eastAsia="Times New Roman" w:hAnsiTheme="majorBidi" w:cstheme="majorBidi"/>
          <w:sz w:val="24"/>
          <w:szCs w:val="24"/>
          <w:lang w:val="en-US" w:eastAsia="zh-CN"/>
        </w:rPr>
      </w:pPr>
      <w:r w:rsidRPr="00734606">
        <w:rPr>
          <w:rFonts w:asciiTheme="majorBidi" w:hAnsiTheme="majorBidi" w:cstheme="majorBidi"/>
          <w:color w:val="000000"/>
          <w:sz w:val="24"/>
          <w:szCs w:val="24"/>
          <w:lang w:val="en-US"/>
        </w:rPr>
        <w:t xml:space="preserve">Slovic, P. (1992). Perception of risk: Reflections on the psychometric paradigm. In S. Krimsky &amp; D. Golding (Eds.), </w:t>
      </w:r>
      <w:r w:rsidRPr="00734606">
        <w:rPr>
          <w:rFonts w:asciiTheme="majorBidi" w:hAnsiTheme="majorBidi" w:cstheme="majorBidi"/>
          <w:i/>
          <w:iCs/>
          <w:color w:val="000000"/>
          <w:sz w:val="24"/>
          <w:szCs w:val="24"/>
          <w:lang w:val="en-US"/>
        </w:rPr>
        <w:t xml:space="preserve">Social theories of risk </w:t>
      </w:r>
      <w:r w:rsidRPr="00734606">
        <w:rPr>
          <w:rFonts w:asciiTheme="majorBidi" w:hAnsiTheme="majorBidi" w:cstheme="majorBidi"/>
          <w:color w:val="000000"/>
          <w:sz w:val="24"/>
          <w:szCs w:val="24"/>
          <w:lang w:val="en-US"/>
        </w:rPr>
        <w:t xml:space="preserve">(pp. 117–152). New York, NY: Praeger. </w:t>
      </w:r>
    </w:p>
    <w:p w14:paraId="1FC004EA" w14:textId="3D7F07AC" w:rsidR="00311933" w:rsidRPr="00EE355E" w:rsidRDefault="009C0A54" w:rsidP="00FB1E1D">
      <w:pPr>
        <w:pStyle w:val="ListParagraph"/>
        <w:numPr>
          <w:ilvl w:val="0"/>
          <w:numId w:val="4"/>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rPr>
          <w:rFonts w:asciiTheme="majorBidi" w:eastAsia="Times New Roman" w:hAnsiTheme="majorBidi" w:cstheme="majorBidi"/>
          <w:sz w:val="24"/>
          <w:szCs w:val="24"/>
          <w:lang w:val="en-US" w:eastAsia="zh-CN"/>
        </w:rPr>
      </w:pPr>
      <w:r w:rsidRPr="00EE355E">
        <w:rPr>
          <w:rFonts w:asciiTheme="majorBidi" w:hAnsiTheme="majorBidi" w:cstheme="majorBidi"/>
          <w:sz w:val="24"/>
          <w:szCs w:val="24"/>
        </w:rPr>
        <w:t xml:space="preserve">Fromme K, Katz EC, Rivet K. </w:t>
      </w:r>
      <w:r w:rsidRPr="00EE355E">
        <w:rPr>
          <w:rFonts w:asciiTheme="majorBidi" w:hAnsiTheme="majorBidi" w:cstheme="majorBidi"/>
          <w:sz w:val="24"/>
          <w:szCs w:val="24"/>
          <w:lang w:val="en-US"/>
        </w:rPr>
        <w:t xml:space="preserve">Outcome expectancies and risk-taking behaviour. </w:t>
      </w:r>
      <w:r w:rsidRPr="00EE355E">
        <w:rPr>
          <w:rFonts w:asciiTheme="majorBidi" w:hAnsiTheme="majorBidi" w:cstheme="majorBidi"/>
          <w:iCs/>
          <w:sz w:val="24"/>
          <w:szCs w:val="24"/>
          <w:lang w:val="en-US"/>
        </w:rPr>
        <w:t>Cog Ther Resea</w:t>
      </w:r>
      <w:r w:rsidR="003D1731" w:rsidRPr="00EE355E">
        <w:rPr>
          <w:rFonts w:asciiTheme="majorBidi" w:hAnsiTheme="majorBidi" w:cstheme="majorBidi"/>
          <w:iCs/>
          <w:sz w:val="24"/>
          <w:szCs w:val="24"/>
          <w:lang w:val="en-US"/>
        </w:rPr>
        <w:t>r. 1997;</w:t>
      </w:r>
      <w:r w:rsidRPr="00EE355E">
        <w:rPr>
          <w:rFonts w:asciiTheme="majorBidi" w:hAnsiTheme="majorBidi" w:cstheme="majorBidi"/>
          <w:iCs/>
          <w:sz w:val="24"/>
          <w:szCs w:val="24"/>
          <w:lang w:val="en-US"/>
        </w:rPr>
        <w:t xml:space="preserve"> 21</w:t>
      </w:r>
      <w:r w:rsidR="003D1731" w:rsidRPr="00EE355E">
        <w:rPr>
          <w:rFonts w:asciiTheme="majorBidi" w:hAnsiTheme="majorBidi" w:cstheme="majorBidi"/>
          <w:iCs/>
          <w:sz w:val="24"/>
          <w:szCs w:val="24"/>
          <w:lang w:val="en-US"/>
        </w:rPr>
        <w:t>:</w:t>
      </w:r>
      <w:r w:rsidRPr="00EE355E">
        <w:rPr>
          <w:rFonts w:asciiTheme="majorBidi" w:hAnsiTheme="majorBidi" w:cstheme="majorBidi"/>
          <w:sz w:val="24"/>
          <w:szCs w:val="24"/>
          <w:lang w:val="en-US"/>
        </w:rPr>
        <w:t xml:space="preserve"> 421–442. </w:t>
      </w:r>
    </w:p>
    <w:p w14:paraId="2062B0F0" w14:textId="5AF638D8" w:rsidR="00311933" w:rsidRPr="00EE355E" w:rsidRDefault="009C0A54" w:rsidP="00EE355E">
      <w:pPr>
        <w:pStyle w:val="ListParagraph"/>
        <w:numPr>
          <w:ilvl w:val="0"/>
          <w:numId w:val="4"/>
        </w:numPr>
        <w:autoSpaceDE w:val="0"/>
        <w:autoSpaceDN w:val="0"/>
        <w:adjustRightInd w:val="0"/>
        <w:spacing w:after="0" w:line="480" w:lineRule="auto"/>
        <w:rPr>
          <w:rFonts w:asciiTheme="majorBidi" w:eastAsia="Times New Roman" w:hAnsiTheme="majorBidi" w:cstheme="majorBidi"/>
          <w:sz w:val="24"/>
          <w:szCs w:val="24"/>
          <w:lang w:val="en-US" w:eastAsia="zh-CN"/>
        </w:rPr>
      </w:pPr>
      <w:r w:rsidRPr="00EE355E">
        <w:rPr>
          <w:rFonts w:asciiTheme="majorBidi" w:hAnsiTheme="majorBidi" w:cstheme="majorBidi"/>
          <w:color w:val="000000"/>
          <w:sz w:val="24"/>
          <w:szCs w:val="24"/>
          <w:lang w:val="en-US"/>
        </w:rPr>
        <w:t>Severson H, Slovic P, Hampson S, Schrader L. Adolescent risk perception: A measure to further our understanding of tobacco and drug use. Hygie</w:t>
      </w:r>
      <w:r w:rsidR="003D1731" w:rsidRPr="00EE355E">
        <w:rPr>
          <w:rFonts w:asciiTheme="majorBidi" w:hAnsiTheme="majorBidi" w:cstheme="majorBidi"/>
          <w:color w:val="000000"/>
          <w:sz w:val="24"/>
          <w:szCs w:val="24"/>
          <w:lang w:val="en-US"/>
        </w:rPr>
        <w:t>. 1990;</w:t>
      </w:r>
      <w:r w:rsidRPr="00EE355E">
        <w:rPr>
          <w:rFonts w:asciiTheme="majorBidi" w:hAnsiTheme="majorBidi" w:cstheme="majorBidi"/>
          <w:color w:val="000000"/>
          <w:sz w:val="24"/>
          <w:szCs w:val="24"/>
          <w:lang w:val="en-US"/>
        </w:rPr>
        <w:t xml:space="preserve"> </w:t>
      </w:r>
      <w:r w:rsidRPr="00EE355E">
        <w:rPr>
          <w:rFonts w:asciiTheme="majorBidi" w:hAnsiTheme="majorBidi" w:cstheme="majorBidi"/>
          <w:bCs/>
          <w:color w:val="000000"/>
          <w:sz w:val="24"/>
          <w:szCs w:val="24"/>
          <w:lang w:val="en-US"/>
        </w:rPr>
        <w:t>9</w:t>
      </w:r>
      <w:r w:rsidR="003D1731" w:rsidRPr="00EE355E">
        <w:rPr>
          <w:rFonts w:asciiTheme="majorBidi" w:hAnsiTheme="majorBidi" w:cstheme="majorBidi"/>
          <w:bCs/>
          <w:color w:val="000000"/>
          <w:sz w:val="24"/>
          <w:szCs w:val="24"/>
          <w:lang w:val="en-US"/>
        </w:rPr>
        <w:t>:</w:t>
      </w:r>
      <w:r w:rsidRPr="00EE355E">
        <w:rPr>
          <w:rFonts w:asciiTheme="majorBidi" w:hAnsiTheme="majorBidi" w:cstheme="majorBidi"/>
          <w:color w:val="000000"/>
          <w:sz w:val="24"/>
          <w:szCs w:val="24"/>
          <w:lang w:val="en-US"/>
        </w:rPr>
        <w:t xml:space="preserve"> 27–29. </w:t>
      </w:r>
    </w:p>
    <w:p w14:paraId="46CA0239" w14:textId="7B87B381" w:rsidR="00311933" w:rsidRPr="00EE355E" w:rsidRDefault="009C0A54" w:rsidP="00EE355E">
      <w:pPr>
        <w:pStyle w:val="ListParagraph"/>
        <w:numPr>
          <w:ilvl w:val="0"/>
          <w:numId w:val="4"/>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rPr>
          <w:rFonts w:asciiTheme="majorBidi" w:hAnsiTheme="majorBidi" w:cstheme="majorBidi"/>
          <w:sz w:val="24"/>
          <w:szCs w:val="24"/>
          <w:lang w:val="en-US"/>
        </w:rPr>
      </w:pPr>
      <w:r w:rsidRPr="00EE355E">
        <w:rPr>
          <w:rFonts w:asciiTheme="majorBidi" w:hAnsiTheme="majorBidi" w:cstheme="majorBidi"/>
          <w:color w:val="231F20"/>
          <w:sz w:val="24"/>
          <w:szCs w:val="24"/>
          <w:lang w:val="en-US"/>
        </w:rPr>
        <w:t>Finucane ML, Mertz CK, Slovic P, Scmidt ES. Task complexity and older adults’ decision-making competence. Psycho Aging</w:t>
      </w:r>
      <w:r w:rsidR="00DE0872" w:rsidRPr="00EE355E">
        <w:rPr>
          <w:rFonts w:asciiTheme="majorBidi" w:hAnsiTheme="majorBidi" w:cstheme="majorBidi"/>
          <w:color w:val="231F20"/>
          <w:sz w:val="24"/>
          <w:szCs w:val="24"/>
          <w:lang w:val="en-US"/>
        </w:rPr>
        <w:t xml:space="preserve">. 2005; </w:t>
      </w:r>
      <w:r w:rsidRPr="00EE355E">
        <w:rPr>
          <w:rFonts w:asciiTheme="majorBidi" w:hAnsiTheme="majorBidi" w:cstheme="majorBidi"/>
          <w:color w:val="231F20"/>
          <w:sz w:val="24"/>
          <w:szCs w:val="24"/>
          <w:lang w:val="en-US"/>
        </w:rPr>
        <w:t>20</w:t>
      </w:r>
      <w:r w:rsidR="00DE0872" w:rsidRPr="00EE355E">
        <w:rPr>
          <w:rFonts w:asciiTheme="majorBidi" w:hAnsiTheme="majorBidi" w:cstheme="majorBidi"/>
          <w:color w:val="231F20"/>
          <w:sz w:val="24"/>
          <w:szCs w:val="24"/>
          <w:lang w:val="en-US"/>
        </w:rPr>
        <w:t>:</w:t>
      </w:r>
      <w:r w:rsidRPr="00EE355E">
        <w:rPr>
          <w:rFonts w:asciiTheme="majorBidi" w:hAnsiTheme="majorBidi" w:cstheme="majorBidi"/>
          <w:i/>
          <w:iCs/>
          <w:color w:val="231F20"/>
          <w:sz w:val="24"/>
          <w:szCs w:val="24"/>
          <w:lang w:val="en-US"/>
        </w:rPr>
        <w:t xml:space="preserve"> </w:t>
      </w:r>
      <w:r w:rsidRPr="00EE355E">
        <w:rPr>
          <w:rFonts w:asciiTheme="majorBidi" w:hAnsiTheme="majorBidi" w:cstheme="majorBidi"/>
          <w:color w:val="231F20"/>
          <w:sz w:val="24"/>
          <w:szCs w:val="24"/>
          <w:lang w:val="en-US"/>
        </w:rPr>
        <w:t>71–84.</w:t>
      </w:r>
      <w:r w:rsidRPr="00EE355E">
        <w:rPr>
          <w:rFonts w:asciiTheme="majorBidi" w:hAnsiTheme="majorBidi" w:cstheme="majorBidi"/>
          <w:sz w:val="24"/>
          <w:szCs w:val="24"/>
          <w:lang w:val="en-US"/>
        </w:rPr>
        <w:t xml:space="preserve"> </w:t>
      </w:r>
    </w:p>
    <w:p w14:paraId="67BB89B5" w14:textId="4302B2C1" w:rsidR="00311933" w:rsidRPr="00EE355E" w:rsidRDefault="009C0A54" w:rsidP="00EE355E">
      <w:pPr>
        <w:pStyle w:val="ListParagraph"/>
        <w:numPr>
          <w:ilvl w:val="0"/>
          <w:numId w:val="4"/>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rPr>
          <w:rFonts w:asciiTheme="majorBidi" w:eastAsia="Times New Roman" w:hAnsiTheme="majorBidi" w:cstheme="majorBidi"/>
          <w:sz w:val="24"/>
          <w:szCs w:val="24"/>
          <w:lang w:val="en-US" w:eastAsia="zh-CN"/>
        </w:rPr>
      </w:pPr>
      <w:r w:rsidRPr="00EE355E">
        <w:rPr>
          <w:rFonts w:asciiTheme="majorBidi" w:eastAsia="Times New Roman" w:hAnsiTheme="majorBidi" w:cstheme="majorBidi"/>
          <w:sz w:val="24"/>
          <w:szCs w:val="24"/>
          <w:lang w:val="en-US" w:eastAsia="zh-CN"/>
        </w:rPr>
        <w:t>Ritov I, Baron J. Reluctance to vaccinate: Omission bias and ambiguity. J Behav Decis Mak</w:t>
      </w:r>
      <w:r w:rsidR="00DE0872" w:rsidRPr="00EE355E">
        <w:rPr>
          <w:rFonts w:asciiTheme="majorBidi" w:eastAsia="Times New Roman" w:hAnsiTheme="majorBidi" w:cstheme="majorBidi"/>
          <w:sz w:val="24"/>
          <w:szCs w:val="24"/>
          <w:lang w:val="en-US" w:eastAsia="zh-CN"/>
        </w:rPr>
        <w:t>. 1990;</w:t>
      </w:r>
      <w:r w:rsidRPr="00EE355E">
        <w:rPr>
          <w:rFonts w:asciiTheme="majorBidi" w:eastAsia="Times New Roman" w:hAnsiTheme="majorBidi" w:cstheme="majorBidi"/>
          <w:sz w:val="24"/>
          <w:szCs w:val="24"/>
          <w:lang w:val="en-US" w:eastAsia="zh-CN"/>
        </w:rPr>
        <w:t xml:space="preserve"> 3</w:t>
      </w:r>
      <w:r w:rsidR="00DE0872" w:rsidRPr="00EE355E">
        <w:rPr>
          <w:rFonts w:asciiTheme="majorBidi" w:eastAsia="Times New Roman" w:hAnsiTheme="majorBidi" w:cstheme="majorBidi"/>
          <w:sz w:val="24"/>
          <w:szCs w:val="24"/>
          <w:lang w:val="en-US" w:eastAsia="zh-CN"/>
        </w:rPr>
        <w:t>:</w:t>
      </w:r>
      <w:r w:rsidRPr="00EE355E">
        <w:rPr>
          <w:rFonts w:asciiTheme="majorBidi" w:eastAsia="Times New Roman" w:hAnsiTheme="majorBidi" w:cstheme="majorBidi"/>
          <w:sz w:val="24"/>
          <w:szCs w:val="24"/>
          <w:lang w:val="en-US" w:eastAsia="zh-CN"/>
        </w:rPr>
        <w:t xml:space="preserve"> 263–277.</w:t>
      </w:r>
    </w:p>
    <w:p w14:paraId="54F5BD5A" w14:textId="0A2D7360" w:rsidR="00311933" w:rsidRPr="00EE355E" w:rsidRDefault="00046030" w:rsidP="00EE355E">
      <w:pPr>
        <w:pStyle w:val="ListParagraph"/>
        <w:numPr>
          <w:ilvl w:val="0"/>
          <w:numId w:val="4"/>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rPr>
          <w:rFonts w:asciiTheme="majorBidi" w:eastAsia="Times New Roman" w:hAnsiTheme="majorBidi" w:cstheme="majorBidi"/>
          <w:sz w:val="24"/>
          <w:szCs w:val="24"/>
          <w:lang w:val="en-US" w:eastAsia="zh-CN"/>
        </w:rPr>
      </w:pPr>
      <w:r w:rsidRPr="00EE355E">
        <w:rPr>
          <w:rFonts w:asciiTheme="majorBidi" w:eastAsia="Times New Roman" w:hAnsiTheme="majorBidi" w:cstheme="majorBidi"/>
          <w:sz w:val="24"/>
          <w:szCs w:val="24"/>
          <w:lang w:val="en-US" w:eastAsia="zh-CN"/>
        </w:rPr>
        <w:t xml:space="preserve">Asch D, Baron J, Hershey JC, Kunreuther H, Meszaros J, Ritov I, Spranca M. Determinants of resistance to pertussis vaccination. </w:t>
      </w:r>
      <w:r w:rsidRPr="00EE355E">
        <w:rPr>
          <w:rFonts w:asciiTheme="majorBidi" w:eastAsia="Times New Roman" w:hAnsiTheme="majorBidi" w:cstheme="majorBidi"/>
          <w:iCs/>
          <w:sz w:val="24"/>
          <w:szCs w:val="24"/>
          <w:lang w:val="en-US" w:eastAsia="zh-CN"/>
        </w:rPr>
        <w:t>Med Decis Mak</w:t>
      </w:r>
      <w:r w:rsidR="00DE0872" w:rsidRPr="00EE355E">
        <w:rPr>
          <w:rFonts w:asciiTheme="majorBidi" w:eastAsia="Times New Roman" w:hAnsiTheme="majorBidi" w:cstheme="majorBidi"/>
          <w:iCs/>
          <w:sz w:val="24"/>
          <w:szCs w:val="24"/>
          <w:lang w:val="en-US" w:eastAsia="zh-CN"/>
        </w:rPr>
        <w:t>. 1994;</w:t>
      </w:r>
      <w:r w:rsidRPr="00EE355E">
        <w:rPr>
          <w:rFonts w:asciiTheme="majorBidi" w:eastAsia="Times New Roman" w:hAnsiTheme="majorBidi" w:cstheme="majorBidi"/>
          <w:iCs/>
          <w:sz w:val="24"/>
          <w:szCs w:val="24"/>
          <w:lang w:val="en-US" w:eastAsia="zh-CN"/>
        </w:rPr>
        <w:t xml:space="preserve"> 14</w:t>
      </w:r>
      <w:r w:rsidR="00DE0872" w:rsidRPr="00EE355E">
        <w:rPr>
          <w:rFonts w:asciiTheme="majorBidi" w:eastAsia="Times New Roman" w:hAnsiTheme="majorBidi" w:cstheme="majorBidi"/>
          <w:iCs/>
          <w:sz w:val="24"/>
          <w:szCs w:val="24"/>
          <w:lang w:val="en-US" w:eastAsia="zh-CN"/>
        </w:rPr>
        <w:t>:</w:t>
      </w:r>
      <w:r w:rsidRPr="00EE355E">
        <w:rPr>
          <w:rFonts w:asciiTheme="majorBidi" w:eastAsia="Times New Roman" w:hAnsiTheme="majorBidi" w:cstheme="majorBidi"/>
          <w:sz w:val="24"/>
          <w:szCs w:val="24"/>
          <w:lang w:val="en-US" w:eastAsia="zh-CN"/>
        </w:rPr>
        <w:t xml:space="preserve"> 118–123.</w:t>
      </w:r>
    </w:p>
    <w:p w14:paraId="5EF5FCCB" w14:textId="0BE10D32" w:rsidR="0077324F" w:rsidRPr="00EE355E" w:rsidRDefault="009C0A54" w:rsidP="00EE355E">
      <w:pPr>
        <w:pStyle w:val="ListParagraph"/>
        <w:numPr>
          <w:ilvl w:val="0"/>
          <w:numId w:val="4"/>
        </w:numPr>
        <w:autoSpaceDE w:val="0"/>
        <w:autoSpaceDN w:val="0"/>
        <w:adjustRightInd w:val="0"/>
        <w:spacing w:after="0" w:line="480" w:lineRule="auto"/>
        <w:rPr>
          <w:rStyle w:val="Hyperlink"/>
          <w:rFonts w:asciiTheme="majorBidi" w:hAnsiTheme="majorBidi" w:cstheme="majorBidi"/>
          <w:color w:val="auto"/>
          <w:sz w:val="24"/>
          <w:szCs w:val="24"/>
          <w:u w:val="none"/>
          <w:lang w:val="en-US"/>
        </w:rPr>
      </w:pPr>
      <w:r w:rsidRPr="00EE355E">
        <w:rPr>
          <w:rFonts w:asciiTheme="majorBidi" w:hAnsiTheme="majorBidi" w:cstheme="majorBidi"/>
          <w:sz w:val="24"/>
          <w:szCs w:val="24"/>
        </w:rPr>
        <w:t xml:space="preserve">Freund AM, Blanchard-Fields F. </w:t>
      </w:r>
      <w:r w:rsidRPr="00EE355E">
        <w:rPr>
          <w:rFonts w:asciiTheme="majorBidi" w:hAnsiTheme="majorBidi" w:cstheme="majorBidi"/>
          <w:sz w:val="24"/>
          <w:szCs w:val="24"/>
          <w:lang w:val="en-US"/>
        </w:rPr>
        <w:t xml:space="preserve">Age-related differences in altruism across adulthood: Making personal financial gain versus contributing to the public good. </w:t>
      </w:r>
      <w:r w:rsidR="00EE625F" w:rsidRPr="00EE355E">
        <w:rPr>
          <w:rFonts w:asciiTheme="majorBidi" w:eastAsia="Times New Roman" w:hAnsiTheme="majorBidi" w:cstheme="majorBidi"/>
          <w:iCs/>
          <w:sz w:val="24"/>
          <w:szCs w:val="24"/>
          <w:lang w:eastAsia="en-GB"/>
        </w:rPr>
        <w:t>Dev Psychol. 2014;</w:t>
      </w:r>
      <w:r w:rsidRPr="00EE355E">
        <w:rPr>
          <w:rFonts w:asciiTheme="majorBidi" w:hAnsiTheme="majorBidi" w:cstheme="majorBidi"/>
          <w:iCs/>
          <w:sz w:val="24"/>
          <w:szCs w:val="24"/>
          <w:lang w:val="en-US"/>
        </w:rPr>
        <w:t xml:space="preserve"> 50</w:t>
      </w:r>
      <w:r w:rsidR="00EE625F" w:rsidRPr="00EE355E">
        <w:rPr>
          <w:rFonts w:asciiTheme="majorBidi" w:hAnsiTheme="majorBidi" w:cstheme="majorBidi"/>
          <w:iCs/>
          <w:sz w:val="24"/>
          <w:szCs w:val="24"/>
          <w:lang w:val="en-US"/>
        </w:rPr>
        <w:t>:</w:t>
      </w:r>
      <w:r w:rsidRPr="00EE355E">
        <w:rPr>
          <w:rFonts w:asciiTheme="majorBidi" w:hAnsiTheme="majorBidi" w:cstheme="majorBidi"/>
          <w:sz w:val="24"/>
          <w:szCs w:val="24"/>
          <w:lang w:val="en-US"/>
        </w:rPr>
        <w:t xml:space="preserve"> 1125–1136. doi:</w:t>
      </w:r>
      <w:hyperlink r:id="rId14" w:tgtFrame="_blank" w:history="1">
        <w:r w:rsidRPr="00EE355E">
          <w:rPr>
            <w:rStyle w:val="Hyperlink"/>
            <w:rFonts w:asciiTheme="majorBidi" w:hAnsiTheme="majorBidi" w:cstheme="majorBidi"/>
            <w:color w:val="1D1B11" w:themeColor="background2" w:themeShade="1A"/>
            <w:sz w:val="24"/>
            <w:szCs w:val="24"/>
            <w:u w:val="none"/>
            <w:lang w:val="en-US"/>
          </w:rPr>
          <w:t>10.1037/a0034491</w:t>
        </w:r>
      </w:hyperlink>
    </w:p>
    <w:p w14:paraId="1B5C1C94" w14:textId="4FCFDC81" w:rsidR="0077324F" w:rsidRPr="00EE355E" w:rsidRDefault="00311933" w:rsidP="00EE355E">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sidRPr="00EE355E">
        <w:rPr>
          <w:rFonts w:asciiTheme="majorBidi" w:eastAsia="Times New Roman" w:hAnsiTheme="majorBidi" w:cstheme="majorBidi"/>
          <w:sz w:val="24"/>
          <w:szCs w:val="24"/>
          <w:lang w:val="en-US" w:eastAsia="zh-CN"/>
        </w:rPr>
        <w:t>Zikmund-Fisher BJ, Sarr B, Fagerlin A, Ubel PA. A matter of perspective: Choosing for others differs from choosing for yourself in making treatment decisions. J Gen Inter Med</w:t>
      </w:r>
      <w:r w:rsidR="00A40F09" w:rsidRPr="00EE355E">
        <w:rPr>
          <w:rFonts w:asciiTheme="majorBidi" w:eastAsia="Times New Roman" w:hAnsiTheme="majorBidi" w:cstheme="majorBidi"/>
          <w:sz w:val="24"/>
          <w:szCs w:val="24"/>
          <w:lang w:val="en-US" w:eastAsia="zh-CN"/>
        </w:rPr>
        <w:t>. 2006;</w:t>
      </w:r>
      <w:r w:rsidRPr="00EE355E">
        <w:rPr>
          <w:rFonts w:asciiTheme="majorBidi" w:eastAsia="Times New Roman" w:hAnsiTheme="majorBidi" w:cstheme="majorBidi"/>
          <w:sz w:val="24"/>
          <w:szCs w:val="24"/>
          <w:lang w:val="en-US" w:eastAsia="zh-CN"/>
        </w:rPr>
        <w:t xml:space="preserve"> 21</w:t>
      </w:r>
      <w:r w:rsidR="00A40F09" w:rsidRPr="00EE355E">
        <w:rPr>
          <w:rFonts w:asciiTheme="majorBidi" w:eastAsia="Times New Roman" w:hAnsiTheme="majorBidi" w:cstheme="majorBidi"/>
          <w:sz w:val="24"/>
          <w:szCs w:val="24"/>
          <w:lang w:val="en-US" w:eastAsia="zh-CN"/>
        </w:rPr>
        <w:t>:</w:t>
      </w:r>
      <w:r w:rsidRPr="00EE355E">
        <w:rPr>
          <w:rFonts w:asciiTheme="majorBidi" w:eastAsia="Times New Roman" w:hAnsiTheme="majorBidi" w:cstheme="majorBidi"/>
          <w:sz w:val="24"/>
          <w:szCs w:val="24"/>
          <w:lang w:val="en-US" w:eastAsia="zh-CN"/>
        </w:rPr>
        <w:t xml:space="preserve"> 618–622.</w:t>
      </w:r>
      <w:r w:rsidRPr="00EE355E">
        <w:rPr>
          <w:rFonts w:asciiTheme="majorBidi" w:hAnsiTheme="majorBidi" w:cstheme="majorBidi"/>
          <w:sz w:val="24"/>
          <w:szCs w:val="24"/>
          <w:lang w:val="en-US"/>
        </w:rPr>
        <w:t xml:space="preserve"> doi:10.1111/j.1525-1497.2006.00410.x</w:t>
      </w:r>
    </w:p>
    <w:p w14:paraId="09555949" w14:textId="0C590FAD" w:rsidR="0077324F" w:rsidRPr="00EE355E" w:rsidRDefault="00E926AA" w:rsidP="00EE355E">
      <w:pPr>
        <w:pStyle w:val="ListParagraph"/>
        <w:numPr>
          <w:ilvl w:val="0"/>
          <w:numId w:val="4"/>
        </w:numPr>
        <w:autoSpaceDE w:val="0"/>
        <w:autoSpaceDN w:val="0"/>
        <w:adjustRightInd w:val="0"/>
        <w:spacing w:after="0" w:line="480" w:lineRule="auto"/>
        <w:rPr>
          <w:rFonts w:asciiTheme="majorBidi" w:eastAsia="Times New Roman" w:hAnsiTheme="majorBidi" w:cstheme="majorBidi"/>
          <w:sz w:val="24"/>
          <w:szCs w:val="24"/>
          <w:lang w:val="en-US" w:eastAsia="zh-CN"/>
        </w:rPr>
      </w:pPr>
      <w:r w:rsidRPr="00EE355E">
        <w:rPr>
          <w:rFonts w:asciiTheme="majorBidi" w:hAnsiTheme="majorBidi" w:cstheme="majorBidi"/>
          <w:sz w:val="24"/>
          <w:szCs w:val="24"/>
          <w:lang w:val="sv-SE"/>
        </w:rPr>
        <w:t xml:space="preserve">Ritov I,  Baron J. Status-quo and omission bias. </w:t>
      </w:r>
      <w:r w:rsidRPr="00EE355E">
        <w:rPr>
          <w:rFonts w:asciiTheme="majorBidi" w:hAnsiTheme="majorBidi" w:cstheme="majorBidi"/>
          <w:sz w:val="24"/>
          <w:szCs w:val="24"/>
          <w:lang w:val="en-US"/>
        </w:rPr>
        <w:t>J</w:t>
      </w:r>
      <w:r w:rsidR="00A40F09" w:rsidRPr="00EE355E">
        <w:rPr>
          <w:rFonts w:asciiTheme="majorBidi" w:hAnsiTheme="majorBidi" w:cstheme="majorBidi"/>
          <w:sz w:val="24"/>
          <w:szCs w:val="24"/>
          <w:lang w:val="en-US"/>
        </w:rPr>
        <w:t xml:space="preserve">ournal of Risk and Uncertainty. 1992; </w:t>
      </w:r>
      <w:r w:rsidRPr="00EE355E">
        <w:rPr>
          <w:rFonts w:asciiTheme="majorBidi" w:hAnsiTheme="majorBidi" w:cstheme="majorBidi"/>
          <w:sz w:val="24"/>
          <w:szCs w:val="24"/>
          <w:lang w:val="en-US"/>
        </w:rPr>
        <w:t>5</w:t>
      </w:r>
      <w:r w:rsidR="00A40F09" w:rsidRPr="00EE355E">
        <w:rPr>
          <w:rFonts w:asciiTheme="majorBidi" w:hAnsiTheme="majorBidi" w:cstheme="majorBidi"/>
          <w:sz w:val="24"/>
          <w:szCs w:val="24"/>
          <w:lang w:val="en-US"/>
        </w:rPr>
        <w:t>:</w:t>
      </w:r>
      <w:r w:rsidRPr="00EE355E">
        <w:rPr>
          <w:rFonts w:asciiTheme="majorBidi" w:hAnsiTheme="majorBidi" w:cstheme="majorBidi"/>
          <w:sz w:val="24"/>
          <w:szCs w:val="24"/>
          <w:lang w:val="en-US"/>
        </w:rPr>
        <w:t xml:space="preserve"> 49–61.</w:t>
      </w:r>
    </w:p>
    <w:p w14:paraId="0E3FEDF4" w14:textId="67C82A49" w:rsidR="00311933" w:rsidRPr="00EE355E" w:rsidRDefault="00311933" w:rsidP="00EE355E">
      <w:pPr>
        <w:pStyle w:val="ListParagraph"/>
        <w:numPr>
          <w:ilvl w:val="0"/>
          <w:numId w:val="4"/>
        </w:numPr>
        <w:autoSpaceDE w:val="0"/>
        <w:autoSpaceDN w:val="0"/>
        <w:adjustRightInd w:val="0"/>
        <w:spacing w:after="0" w:line="480" w:lineRule="auto"/>
        <w:rPr>
          <w:rFonts w:asciiTheme="majorBidi" w:eastAsia="Times New Roman" w:hAnsiTheme="majorBidi" w:cstheme="majorBidi"/>
          <w:sz w:val="24"/>
          <w:szCs w:val="24"/>
          <w:lang w:val="en-US" w:eastAsia="zh-CN"/>
        </w:rPr>
      </w:pPr>
      <w:r w:rsidRPr="00EE355E">
        <w:rPr>
          <w:rFonts w:asciiTheme="majorBidi" w:hAnsiTheme="majorBidi" w:cstheme="majorBidi"/>
          <w:sz w:val="24"/>
          <w:szCs w:val="24"/>
        </w:rPr>
        <w:t xml:space="preserve">Keinan R, Bereby-Meyer Y. </w:t>
      </w:r>
      <w:r w:rsidRPr="00EE355E">
        <w:rPr>
          <w:rFonts w:asciiTheme="majorBidi" w:hAnsiTheme="majorBidi" w:cstheme="majorBidi"/>
          <w:sz w:val="24"/>
          <w:szCs w:val="24"/>
          <w:lang w:val="en-US"/>
        </w:rPr>
        <w:t>“Leaving it to chance”—Passive risk taking in everyday life. Judg Decis Mak</w:t>
      </w:r>
      <w:r w:rsidR="00A40F09" w:rsidRPr="00EE355E">
        <w:rPr>
          <w:rFonts w:asciiTheme="majorBidi" w:hAnsiTheme="majorBidi" w:cstheme="majorBidi"/>
          <w:sz w:val="24"/>
          <w:szCs w:val="24"/>
          <w:lang w:val="en-US"/>
        </w:rPr>
        <w:t>. 2012;</w:t>
      </w:r>
      <w:r w:rsidRPr="00EE355E">
        <w:rPr>
          <w:rFonts w:asciiTheme="majorBidi" w:hAnsiTheme="majorBidi" w:cstheme="majorBidi"/>
          <w:sz w:val="24"/>
          <w:szCs w:val="24"/>
          <w:lang w:val="en-US"/>
        </w:rPr>
        <w:t xml:space="preserve"> 7</w:t>
      </w:r>
      <w:r w:rsidR="00A40F09" w:rsidRPr="00EE355E">
        <w:rPr>
          <w:rFonts w:asciiTheme="majorBidi" w:hAnsiTheme="majorBidi" w:cstheme="majorBidi"/>
          <w:sz w:val="24"/>
          <w:szCs w:val="24"/>
          <w:lang w:val="en-US"/>
        </w:rPr>
        <w:t>:</w:t>
      </w:r>
      <w:r w:rsidRPr="00EE355E">
        <w:rPr>
          <w:rFonts w:asciiTheme="majorBidi" w:hAnsiTheme="majorBidi" w:cstheme="majorBidi"/>
          <w:sz w:val="24"/>
          <w:szCs w:val="24"/>
          <w:lang w:val="en-US"/>
        </w:rPr>
        <w:t xml:space="preserve"> 705–715.</w:t>
      </w:r>
    </w:p>
    <w:p w14:paraId="2078E0ED" w14:textId="2429270C" w:rsidR="00311933" w:rsidRPr="00EE355E" w:rsidRDefault="00311933" w:rsidP="00EE355E">
      <w:pPr>
        <w:pStyle w:val="ListParagraph"/>
        <w:numPr>
          <w:ilvl w:val="0"/>
          <w:numId w:val="4"/>
        </w:numPr>
        <w:autoSpaceDE w:val="0"/>
        <w:autoSpaceDN w:val="0"/>
        <w:adjustRightInd w:val="0"/>
        <w:spacing w:after="0" w:line="480" w:lineRule="auto"/>
        <w:rPr>
          <w:rFonts w:asciiTheme="majorBidi" w:eastAsia="Times New Roman" w:hAnsiTheme="majorBidi" w:cstheme="majorBidi"/>
          <w:sz w:val="24"/>
          <w:szCs w:val="24"/>
          <w:lang w:val="en-US" w:eastAsia="zh-CN"/>
        </w:rPr>
      </w:pPr>
      <w:r w:rsidRPr="00EE355E">
        <w:rPr>
          <w:rFonts w:asciiTheme="majorBidi" w:eastAsia="TimesLTStd-Roman" w:hAnsiTheme="majorBidi" w:cstheme="majorBidi"/>
          <w:sz w:val="24"/>
          <w:szCs w:val="24"/>
        </w:rPr>
        <w:t xml:space="preserve">Deeks A, Lombard C, Michelmore J, Teede H. </w:t>
      </w:r>
      <w:r w:rsidRPr="00EE355E">
        <w:rPr>
          <w:rFonts w:asciiTheme="majorBidi" w:eastAsia="TimesLTStd-Roman" w:hAnsiTheme="majorBidi" w:cstheme="majorBidi"/>
          <w:sz w:val="24"/>
          <w:szCs w:val="24"/>
          <w:lang w:val="en-US"/>
        </w:rPr>
        <w:t>The effects of gender and age on health related behaviors. BMC Pub Heal</w:t>
      </w:r>
      <w:r w:rsidR="00A40F09" w:rsidRPr="00EE355E">
        <w:rPr>
          <w:rFonts w:asciiTheme="majorBidi" w:eastAsia="TimesLTStd-Roman" w:hAnsiTheme="majorBidi" w:cstheme="majorBidi"/>
          <w:sz w:val="24"/>
          <w:szCs w:val="24"/>
          <w:lang w:val="en-US"/>
        </w:rPr>
        <w:t>t. 2009;</w:t>
      </w:r>
      <w:r w:rsidRPr="00EE355E">
        <w:rPr>
          <w:rFonts w:asciiTheme="majorBidi" w:eastAsia="TimesLTStd-Roman" w:hAnsiTheme="majorBidi" w:cstheme="majorBidi"/>
          <w:sz w:val="24"/>
          <w:szCs w:val="24"/>
          <w:lang w:val="en-US"/>
        </w:rPr>
        <w:t xml:space="preserve"> 9</w:t>
      </w:r>
      <w:r w:rsidR="00A40F09" w:rsidRPr="00EE355E">
        <w:rPr>
          <w:rFonts w:asciiTheme="majorBidi" w:eastAsia="TimesLTStd-Roman" w:hAnsiTheme="majorBidi" w:cstheme="majorBidi"/>
          <w:sz w:val="24"/>
          <w:szCs w:val="24"/>
          <w:lang w:val="en-US"/>
        </w:rPr>
        <w:t>:</w:t>
      </w:r>
      <w:r w:rsidRPr="00EE355E">
        <w:rPr>
          <w:rFonts w:asciiTheme="majorBidi" w:eastAsia="TimesLTStd-Roman" w:hAnsiTheme="majorBidi" w:cstheme="majorBidi"/>
          <w:sz w:val="24"/>
          <w:szCs w:val="24"/>
          <w:lang w:val="en-US"/>
        </w:rPr>
        <w:t xml:space="preserve"> 213.</w:t>
      </w:r>
      <w:r w:rsidRPr="00EE355E">
        <w:rPr>
          <w:rFonts w:asciiTheme="majorBidi" w:eastAsia="TimesLTStd-Roman" w:hAnsiTheme="majorBidi" w:cstheme="majorBidi"/>
          <w:color w:val="000000"/>
          <w:sz w:val="24"/>
          <w:szCs w:val="24"/>
          <w:lang w:val="en-US"/>
        </w:rPr>
        <w:t xml:space="preserve"> doi:</w:t>
      </w:r>
      <w:r w:rsidRPr="00EE355E">
        <w:rPr>
          <w:rFonts w:asciiTheme="majorBidi" w:hAnsiTheme="majorBidi" w:cstheme="majorBidi"/>
          <w:sz w:val="24"/>
          <w:szCs w:val="24"/>
          <w:lang w:val="en-US"/>
        </w:rPr>
        <w:t>10.1186/1471-2458-9-213.</w:t>
      </w:r>
    </w:p>
    <w:p w14:paraId="33237728" w14:textId="4830A932" w:rsidR="00311933" w:rsidRPr="00EE355E" w:rsidRDefault="00311933" w:rsidP="00EE355E">
      <w:pPr>
        <w:pStyle w:val="ListParagraph"/>
        <w:numPr>
          <w:ilvl w:val="0"/>
          <w:numId w:val="4"/>
        </w:numPr>
        <w:autoSpaceDE w:val="0"/>
        <w:autoSpaceDN w:val="0"/>
        <w:adjustRightInd w:val="0"/>
        <w:spacing w:after="0" w:line="480" w:lineRule="auto"/>
        <w:rPr>
          <w:rFonts w:asciiTheme="majorBidi" w:eastAsia="Times New Roman" w:hAnsiTheme="majorBidi" w:cstheme="majorBidi"/>
          <w:sz w:val="24"/>
          <w:szCs w:val="24"/>
          <w:lang w:val="en-US" w:eastAsia="zh-CN"/>
        </w:rPr>
      </w:pPr>
      <w:r w:rsidRPr="00EE355E">
        <w:rPr>
          <w:rFonts w:asciiTheme="majorBidi" w:eastAsia="Times New Roman" w:hAnsiTheme="majorBidi" w:cstheme="majorBidi"/>
          <w:sz w:val="24"/>
          <w:szCs w:val="24"/>
          <w:lang w:eastAsia="zh-CN"/>
        </w:rPr>
        <w:t>Rudd RE, Colton</w:t>
      </w:r>
      <w:r w:rsidR="00EC61F5" w:rsidRPr="00EE355E">
        <w:rPr>
          <w:rFonts w:asciiTheme="majorBidi" w:eastAsia="Times New Roman" w:hAnsiTheme="majorBidi" w:cstheme="majorBidi"/>
          <w:sz w:val="24"/>
          <w:szCs w:val="24"/>
          <w:lang w:eastAsia="zh-CN"/>
        </w:rPr>
        <w:t xml:space="preserve"> T</w:t>
      </w:r>
      <w:r w:rsidRPr="00EE355E">
        <w:rPr>
          <w:rFonts w:asciiTheme="majorBidi" w:eastAsia="Times New Roman" w:hAnsiTheme="majorBidi" w:cstheme="majorBidi"/>
          <w:sz w:val="24"/>
          <w:szCs w:val="24"/>
          <w:lang w:eastAsia="zh-CN"/>
        </w:rPr>
        <w:t>, Schacht R. An overview of medical and public health literature addressing literacy</w:t>
      </w:r>
      <w:r w:rsidR="00A52041" w:rsidRPr="00EE355E">
        <w:rPr>
          <w:rFonts w:asciiTheme="majorBidi" w:eastAsia="Times New Roman" w:hAnsiTheme="majorBidi" w:cstheme="majorBidi"/>
          <w:sz w:val="24"/>
          <w:szCs w:val="24"/>
          <w:lang w:eastAsia="zh-CN"/>
        </w:rPr>
        <w:t xml:space="preserve"> </w:t>
      </w:r>
      <w:r w:rsidRPr="00EE355E">
        <w:rPr>
          <w:rFonts w:asciiTheme="majorBidi" w:eastAsia="Times New Roman" w:hAnsiTheme="majorBidi" w:cstheme="majorBidi"/>
          <w:sz w:val="24"/>
          <w:szCs w:val="24"/>
          <w:lang w:eastAsia="zh-CN"/>
        </w:rPr>
        <w:t>issues: An annotated bibliography (NCSALL Report No. 14). Cambridge, MA: National Center for the Study of Adult Learning and Literacy; 2000.</w:t>
      </w:r>
    </w:p>
    <w:p w14:paraId="4E252616" w14:textId="0232F64F" w:rsidR="003B2604" w:rsidRPr="003B2604" w:rsidRDefault="00311933" w:rsidP="00AF34C2">
      <w:pPr>
        <w:pStyle w:val="ListParagraph"/>
        <w:numPr>
          <w:ilvl w:val="0"/>
          <w:numId w:val="4"/>
        </w:numPr>
        <w:autoSpaceDE w:val="0"/>
        <w:autoSpaceDN w:val="0"/>
        <w:adjustRightInd w:val="0"/>
        <w:spacing w:after="0" w:line="480" w:lineRule="auto"/>
        <w:rPr>
          <w:rFonts w:asciiTheme="majorBidi" w:eastAsia="Times New Roman" w:hAnsiTheme="majorBidi" w:cstheme="majorBidi"/>
          <w:sz w:val="24"/>
          <w:szCs w:val="24"/>
          <w:lang w:val="en-US" w:eastAsia="zh-CN"/>
        </w:rPr>
      </w:pPr>
      <w:r w:rsidRPr="003B2604">
        <w:rPr>
          <w:rFonts w:asciiTheme="majorBidi" w:eastAsia="Times New Roman" w:hAnsiTheme="majorBidi" w:cstheme="majorBidi"/>
          <w:sz w:val="24"/>
          <w:szCs w:val="24"/>
          <w:lang w:eastAsia="zh-CN"/>
        </w:rPr>
        <w:t>Burkell J. What are the chances? Evaluating risk and benefit information in consumer health materials. J Medic Libr Assoc</w:t>
      </w:r>
      <w:r w:rsidR="00EC61F5" w:rsidRPr="003B2604">
        <w:rPr>
          <w:rFonts w:asciiTheme="majorBidi" w:eastAsia="Times New Roman" w:hAnsiTheme="majorBidi" w:cstheme="majorBidi"/>
          <w:sz w:val="24"/>
          <w:szCs w:val="24"/>
          <w:lang w:eastAsia="zh-CN"/>
        </w:rPr>
        <w:t xml:space="preserve">. 2004; </w:t>
      </w:r>
      <w:r w:rsidRPr="003B2604">
        <w:rPr>
          <w:rFonts w:asciiTheme="majorBidi" w:eastAsia="Times New Roman" w:hAnsiTheme="majorBidi" w:cstheme="majorBidi"/>
          <w:sz w:val="24"/>
          <w:szCs w:val="24"/>
          <w:lang w:eastAsia="zh-CN"/>
        </w:rPr>
        <w:t>92</w:t>
      </w:r>
      <w:r w:rsidR="00EC61F5" w:rsidRPr="003B2604">
        <w:rPr>
          <w:rFonts w:asciiTheme="majorBidi" w:eastAsia="Times New Roman" w:hAnsiTheme="majorBidi" w:cstheme="majorBidi"/>
          <w:sz w:val="24"/>
          <w:szCs w:val="24"/>
          <w:lang w:eastAsia="zh-CN"/>
        </w:rPr>
        <w:t>:</w:t>
      </w:r>
      <w:r w:rsidRPr="003B2604">
        <w:rPr>
          <w:rFonts w:asciiTheme="majorBidi" w:eastAsia="Times New Roman" w:hAnsiTheme="majorBidi" w:cstheme="majorBidi"/>
          <w:sz w:val="24"/>
          <w:szCs w:val="24"/>
          <w:lang w:eastAsia="zh-CN"/>
        </w:rPr>
        <w:t xml:space="preserve"> 200–208.</w:t>
      </w:r>
    </w:p>
    <w:p w14:paraId="6F1095CD" w14:textId="4FBB9830" w:rsidR="00311933" w:rsidRPr="00AF34C2" w:rsidRDefault="00EC61F5" w:rsidP="003B2604">
      <w:pPr>
        <w:pStyle w:val="ListParagraph"/>
        <w:numPr>
          <w:ilvl w:val="0"/>
          <w:numId w:val="4"/>
        </w:numPr>
        <w:autoSpaceDE w:val="0"/>
        <w:autoSpaceDN w:val="0"/>
        <w:adjustRightInd w:val="0"/>
        <w:spacing w:after="0" w:line="480" w:lineRule="auto"/>
        <w:rPr>
          <w:rFonts w:asciiTheme="majorBidi" w:eastAsia="Times New Roman" w:hAnsiTheme="majorBidi" w:cstheme="majorBidi"/>
          <w:sz w:val="24"/>
          <w:szCs w:val="24"/>
          <w:lang w:val="en-US" w:eastAsia="zh-CN"/>
        </w:rPr>
      </w:pPr>
      <w:r w:rsidRPr="003B2604">
        <w:rPr>
          <w:rFonts w:asciiTheme="majorBidi" w:hAnsiTheme="majorBidi" w:cstheme="majorBidi"/>
          <w:sz w:val="24"/>
          <w:szCs w:val="24"/>
        </w:rPr>
        <w:t>Rolison</w:t>
      </w:r>
      <w:r w:rsidR="00311933" w:rsidRPr="003B2604">
        <w:rPr>
          <w:rFonts w:asciiTheme="majorBidi" w:hAnsiTheme="majorBidi" w:cstheme="majorBidi"/>
          <w:sz w:val="24"/>
          <w:szCs w:val="24"/>
        </w:rPr>
        <w:t xml:space="preserve"> JJ, Hanoch Y, Miron-Shatz T. </w:t>
      </w:r>
      <w:r w:rsidR="00311933" w:rsidRPr="003B2604">
        <w:rPr>
          <w:rFonts w:asciiTheme="majorBidi" w:hAnsiTheme="majorBidi" w:cstheme="majorBidi"/>
          <w:sz w:val="24"/>
          <w:szCs w:val="24"/>
          <w:lang w:val="en-US"/>
        </w:rPr>
        <w:t xml:space="preserve">Smokers: At risk for prostate cancer but unlikely to screen. </w:t>
      </w:r>
      <w:r w:rsidR="00311933" w:rsidRPr="00AF34C2">
        <w:rPr>
          <w:rFonts w:asciiTheme="majorBidi" w:hAnsiTheme="majorBidi" w:cstheme="majorBidi"/>
          <w:iCs/>
          <w:sz w:val="24"/>
          <w:szCs w:val="24"/>
          <w:lang w:val="en-US"/>
        </w:rPr>
        <w:t>Addict Behav</w:t>
      </w:r>
      <w:r w:rsidRPr="00AF34C2">
        <w:rPr>
          <w:rFonts w:asciiTheme="majorBidi" w:hAnsiTheme="majorBidi" w:cstheme="majorBidi"/>
          <w:iCs/>
          <w:sz w:val="24"/>
          <w:szCs w:val="24"/>
          <w:lang w:val="en-US"/>
        </w:rPr>
        <w:t>. 2012;</w:t>
      </w:r>
      <w:r w:rsidR="00311933" w:rsidRPr="00AF34C2">
        <w:rPr>
          <w:rFonts w:asciiTheme="majorBidi" w:hAnsiTheme="majorBidi" w:cstheme="majorBidi"/>
          <w:iCs/>
          <w:sz w:val="24"/>
          <w:szCs w:val="24"/>
          <w:lang w:val="en-US"/>
        </w:rPr>
        <w:t xml:space="preserve"> 37</w:t>
      </w:r>
      <w:r w:rsidRPr="00AF34C2">
        <w:rPr>
          <w:rFonts w:asciiTheme="majorBidi" w:hAnsiTheme="majorBidi" w:cstheme="majorBidi"/>
          <w:iCs/>
          <w:sz w:val="24"/>
          <w:szCs w:val="24"/>
          <w:lang w:val="en-US"/>
        </w:rPr>
        <w:t>:</w:t>
      </w:r>
      <w:r w:rsidR="00311933" w:rsidRPr="00AF34C2">
        <w:rPr>
          <w:rFonts w:asciiTheme="majorBidi" w:hAnsiTheme="majorBidi" w:cstheme="majorBidi"/>
          <w:sz w:val="24"/>
          <w:szCs w:val="24"/>
          <w:lang w:val="en-US"/>
        </w:rPr>
        <w:t xml:space="preserve"> 736–738. doi:10.1016/j.addbeh.2012.02.006</w:t>
      </w:r>
      <w:r w:rsidR="00311933" w:rsidRPr="00AF34C2">
        <w:rPr>
          <w:rFonts w:asciiTheme="majorBidi" w:eastAsia="TimesLTStd-Roman" w:hAnsiTheme="majorBidi" w:cstheme="majorBidi"/>
          <w:color w:val="000000"/>
          <w:sz w:val="24"/>
          <w:szCs w:val="24"/>
          <w:lang w:val="en-US"/>
        </w:rPr>
        <w:t xml:space="preserve"> </w:t>
      </w:r>
    </w:p>
    <w:p w14:paraId="198073D9" w14:textId="57AC70FC" w:rsidR="003B2604" w:rsidRPr="003B2604" w:rsidRDefault="003B2604" w:rsidP="003B2604">
      <w:pPr>
        <w:pStyle w:val="ListParagraph"/>
        <w:numPr>
          <w:ilvl w:val="0"/>
          <w:numId w:val="4"/>
        </w:numPr>
        <w:autoSpaceDE w:val="0"/>
        <w:autoSpaceDN w:val="0"/>
        <w:adjustRightInd w:val="0"/>
        <w:spacing w:after="0" w:line="480" w:lineRule="auto"/>
        <w:ind w:left="641" w:hanging="357"/>
        <w:rPr>
          <w:rFonts w:asciiTheme="majorBidi" w:hAnsiTheme="majorBidi" w:cstheme="majorBidi"/>
          <w:sz w:val="24"/>
          <w:szCs w:val="24"/>
        </w:rPr>
      </w:pPr>
      <w:r w:rsidRPr="003B2604">
        <w:rPr>
          <w:rFonts w:asciiTheme="majorBidi" w:hAnsiTheme="majorBidi" w:cstheme="majorBidi"/>
          <w:sz w:val="24"/>
          <w:szCs w:val="24"/>
        </w:rPr>
        <w:t xml:space="preserve">Weller, J. A., Dieckmann, N. F., Tusler, M., Mertz, C. K., Burns, W. J., &amp; Peters, E.  Development and testing of an abbreviated numeracy scale: A Rasch analysis approach. </w:t>
      </w:r>
      <w:r w:rsidRPr="003B2604">
        <w:rPr>
          <w:rFonts w:asciiTheme="majorBidi" w:hAnsiTheme="majorBidi" w:cstheme="majorBidi"/>
          <w:i/>
          <w:iCs/>
          <w:sz w:val="24"/>
          <w:szCs w:val="24"/>
        </w:rPr>
        <w:t>J Behav Decis Mak. 2012; 26:</w:t>
      </w:r>
      <w:r w:rsidRPr="003B2604">
        <w:rPr>
          <w:rFonts w:asciiTheme="majorBidi" w:hAnsiTheme="majorBidi" w:cstheme="majorBidi"/>
          <w:sz w:val="24"/>
          <w:szCs w:val="24"/>
        </w:rPr>
        <w:t xml:space="preserve"> 198–212. doi: 10.1002/bdm.1751</w:t>
      </w:r>
    </w:p>
    <w:p w14:paraId="36598A15" w14:textId="25650887" w:rsidR="00311933" w:rsidRPr="00EE355E" w:rsidRDefault="00311933" w:rsidP="00EE355E">
      <w:pPr>
        <w:pStyle w:val="ListParagraph"/>
        <w:numPr>
          <w:ilvl w:val="0"/>
          <w:numId w:val="4"/>
        </w:numPr>
        <w:autoSpaceDE w:val="0"/>
        <w:autoSpaceDN w:val="0"/>
        <w:adjustRightInd w:val="0"/>
        <w:spacing w:after="0" w:line="480" w:lineRule="auto"/>
        <w:rPr>
          <w:rStyle w:val="slug-doi"/>
          <w:rFonts w:asciiTheme="majorBidi" w:eastAsia="Times New Roman" w:hAnsiTheme="majorBidi" w:cstheme="majorBidi"/>
          <w:sz w:val="24"/>
          <w:szCs w:val="24"/>
          <w:lang w:val="en-US" w:eastAsia="zh-CN"/>
        </w:rPr>
      </w:pPr>
      <w:r w:rsidRPr="00EE355E">
        <w:rPr>
          <w:rFonts w:asciiTheme="majorBidi" w:hAnsiTheme="majorBidi" w:cstheme="majorBidi"/>
          <w:sz w:val="24"/>
          <w:szCs w:val="24"/>
        </w:rPr>
        <w:t>Galesic M, Gigerenzer</w:t>
      </w:r>
      <w:r w:rsidR="00EC61F5" w:rsidRPr="00EE355E">
        <w:rPr>
          <w:rFonts w:asciiTheme="majorBidi" w:hAnsiTheme="majorBidi" w:cstheme="majorBidi"/>
          <w:sz w:val="24"/>
          <w:szCs w:val="24"/>
        </w:rPr>
        <w:t xml:space="preserve"> G,</w:t>
      </w:r>
      <w:r w:rsidRPr="00EE355E">
        <w:rPr>
          <w:rFonts w:asciiTheme="majorBidi" w:hAnsiTheme="majorBidi" w:cstheme="majorBidi"/>
          <w:sz w:val="24"/>
          <w:szCs w:val="24"/>
        </w:rPr>
        <w:t xml:space="preserve"> Straubinger N. </w:t>
      </w:r>
      <w:r w:rsidRPr="00EE355E">
        <w:rPr>
          <w:rFonts w:asciiTheme="majorBidi" w:hAnsiTheme="majorBidi" w:cstheme="majorBidi"/>
          <w:sz w:val="24"/>
          <w:szCs w:val="24"/>
          <w:lang w:val="en-US"/>
        </w:rPr>
        <w:t>Natural frequencies help older adults and people with low numeracy to evaluate medical screening tests. Med Decis Mak</w:t>
      </w:r>
      <w:r w:rsidR="00EC61F5" w:rsidRPr="00EE355E">
        <w:rPr>
          <w:rFonts w:asciiTheme="majorBidi" w:hAnsiTheme="majorBidi" w:cstheme="majorBidi"/>
          <w:sz w:val="24"/>
          <w:szCs w:val="24"/>
          <w:lang w:val="en-US"/>
        </w:rPr>
        <w:t xml:space="preserve">. </w:t>
      </w:r>
      <w:r w:rsidR="00EC61F5" w:rsidRPr="00EE355E">
        <w:rPr>
          <w:rStyle w:val="nlmyear"/>
          <w:rFonts w:asciiTheme="majorBidi" w:hAnsiTheme="majorBidi" w:cstheme="majorBidi"/>
          <w:sz w:val="24"/>
          <w:szCs w:val="24"/>
        </w:rPr>
        <w:t>2009;</w:t>
      </w:r>
      <w:r w:rsidRPr="00EE355E">
        <w:rPr>
          <w:rFonts w:asciiTheme="majorBidi" w:hAnsiTheme="majorBidi" w:cstheme="majorBidi"/>
          <w:sz w:val="24"/>
          <w:szCs w:val="24"/>
          <w:lang w:val="en-US"/>
        </w:rPr>
        <w:t xml:space="preserve"> 29</w:t>
      </w:r>
      <w:r w:rsidR="00EC61F5" w:rsidRPr="00EE355E">
        <w:rPr>
          <w:rFonts w:asciiTheme="majorBidi" w:hAnsiTheme="majorBidi" w:cstheme="majorBidi"/>
          <w:sz w:val="24"/>
          <w:szCs w:val="24"/>
          <w:lang w:val="en-US"/>
        </w:rPr>
        <w:t>:</w:t>
      </w:r>
      <w:r w:rsidRPr="00EE355E">
        <w:rPr>
          <w:rFonts w:asciiTheme="majorBidi" w:hAnsiTheme="majorBidi" w:cstheme="majorBidi"/>
          <w:sz w:val="24"/>
          <w:szCs w:val="24"/>
          <w:lang w:val="en-US"/>
        </w:rPr>
        <w:t xml:space="preserve"> 368–371. </w:t>
      </w:r>
      <w:r w:rsidRPr="00EE355E">
        <w:rPr>
          <w:rStyle w:val="slug-metadata-note"/>
          <w:rFonts w:asciiTheme="majorBidi" w:hAnsiTheme="majorBidi" w:cstheme="majorBidi"/>
          <w:sz w:val="24"/>
          <w:szCs w:val="24"/>
          <w:lang w:val="en-US"/>
        </w:rPr>
        <w:t>doi:</w:t>
      </w:r>
      <w:r w:rsidRPr="00EE355E">
        <w:rPr>
          <w:rStyle w:val="slug-doi"/>
          <w:rFonts w:asciiTheme="majorBidi" w:hAnsiTheme="majorBidi" w:cstheme="majorBidi"/>
          <w:sz w:val="24"/>
          <w:szCs w:val="24"/>
          <w:lang w:val="en-US"/>
        </w:rPr>
        <w:t>10.1177/0272989X08329463</w:t>
      </w:r>
    </w:p>
    <w:p w14:paraId="71C05485" w14:textId="70D566B4" w:rsidR="00311933" w:rsidRPr="00EE355E" w:rsidRDefault="00311933" w:rsidP="00EE355E">
      <w:pPr>
        <w:pStyle w:val="ListParagraph"/>
        <w:numPr>
          <w:ilvl w:val="0"/>
          <w:numId w:val="4"/>
        </w:numPr>
        <w:autoSpaceDE w:val="0"/>
        <w:autoSpaceDN w:val="0"/>
        <w:adjustRightInd w:val="0"/>
        <w:spacing w:after="0" w:line="480" w:lineRule="auto"/>
        <w:rPr>
          <w:rFonts w:asciiTheme="majorBidi" w:eastAsia="Times New Roman" w:hAnsiTheme="majorBidi" w:cstheme="majorBidi"/>
          <w:sz w:val="24"/>
          <w:szCs w:val="24"/>
          <w:lang w:val="en-US" w:eastAsia="zh-CN"/>
        </w:rPr>
      </w:pPr>
      <w:r w:rsidRPr="00EE355E">
        <w:rPr>
          <w:rFonts w:asciiTheme="majorBidi" w:hAnsiTheme="majorBidi" w:cstheme="majorBidi"/>
          <w:sz w:val="24"/>
          <w:szCs w:val="24"/>
          <w:lang w:val="en-US"/>
        </w:rPr>
        <w:t>Wood S, Hanoch Y, Barnes A, Cummings</w:t>
      </w:r>
      <w:r w:rsidR="00EE355E" w:rsidRPr="00EE355E">
        <w:rPr>
          <w:rFonts w:asciiTheme="majorBidi" w:hAnsiTheme="majorBidi" w:cstheme="majorBidi"/>
          <w:sz w:val="24"/>
          <w:szCs w:val="24"/>
          <w:lang w:val="en-US"/>
        </w:rPr>
        <w:t xml:space="preserve"> </w:t>
      </w:r>
      <w:r w:rsidRPr="00EE355E">
        <w:rPr>
          <w:rFonts w:asciiTheme="majorBidi" w:hAnsiTheme="majorBidi" w:cstheme="majorBidi"/>
          <w:sz w:val="24"/>
          <w:szCs w:val="24"/>
          <w:lang w:val="en-US"/>
        </w:rPr>
        <w:t>J, Rice T. Choosing the right Medicare drug plan: The effects of age, choice size, and numeracy. Psycho Aging</w:t>
      </w:r>
      <w:r w:rsidR="00EE355E" w:rsidRPr="00EE355E">
        <w:rPr>
          <w:rFonts w:asciiTheme="majorBidi" w:hAnsiTheme="majorBidi" w:cstheme="majorBidi"/>
          <w:sz w:val="24"/>
          <w:szCs w:val="24"/>
          <w:lang w:val="en-US"/>
        </w:rPr>
        <w:t>. 2011;</w:t>
      </w:r>
      <w:r w:rsidRPr="00EE355E">
        <w:rPr>
          <w:rFonts w:asciiTheme="majorBidi" w:hAnsiTheme="majorBidi" w:cstheme="majorBidi"/>
          <w:sz w:val="24"/>
          <w:szCs w:val="24"/>
          <w:lang w:val="en-US"/>
        </w:rPr>
        <w:t xml:space="preserve"> 26</w:t>
      </w:r>
      <w:r w:rsidR="00EE355E" w:rsidRPr="00EE355E">
        <w:rPr>
          <w:rFonts w:asciiTheme="majorBidi" w:hAnsiTheme="majorBidi" w:cstheme="majorBidi"/>
          <w:sz w:val="24"/>
          <w:szCs w:val="24"/>
          <w:lang w:val="en-US"/>
        </w:rPr>
        <w:t>:</w:t>
      </w:r>
      <w:r w:rsidRPr="00EE355E">
        <w:rPr>
          <w:rFonts w:asciiTheme="majorBidi" w:hAnsiTheme="majorBidi" w:cstheme="majorBidi"/>
          <w:sz w:val="24"/>
          <w:szCs w:val="24"/>
          <w:lang w:val="en-US"/>
        </w:rPr>
        <w:t xml:space="preserve"> 295–307.</w:t>
      </w:r>
    </w:p>
    <w:p w14:paraId="1BC2A262" w14:textId="5E567805" w:rsidR="00311933" w:rsidRPr="00EE355E" w:rsidRDefault="00311933" w:rsidP="00EE355E">
      <w:pPr>
        <w:pStyle w:val="ListParagraph"/>
        <w:numPr>
          <w:ilvl w:val="0"/>
          <w:numId w:val="4"/>
        </w:numPr>
        <w:autoSpaceDE w:val="0"/>
        <w:autoSpaceDN w:val="0"/>
        <w:adjustRightInd w:val="0"/>
        <w:spacing w:after="0" w:line="480" w:lineRule="auto"/>
        <w:rPr>
          <w:rFonts w:asciiTheme="majorBidi" w:eastAsia="Times New Roman" w:hAnsiTheme="majorBidi" w:cstheme="majorBidi"/>
          <w:sz w:val="24"/>
          <w:szCs w:val="24"/>
          <w:lang w:val="en-US" w:eastAsia="zh-CN"/>
        </w:rPr>
      </w:pPr>
      <w:r w:rsidRPr="00EE355E">
        <w:rPr>
          <w:rFonts w:asciiTheme="majorBidi" w:hAnsiTheme="majorBidi" w:cstheme="majorBidi"/>
          <w:sz w:val="24"/>
          <w:szCs w:val="24"/>
          <w:lang w:val="en-US"/>
        </w:rPr>
        <w:t xml:space="preserve">Reyna VF, Nelson WL, Han PK,  Dieckmann NF. How numeracy influences risk comprehension and medical decision making. </w:t>
      </w:r>
      <w:r w:rsidRPr="00EE355E">
        <w:rPr>
          <w:rFonts w:asciiTheme="majorBidi" w:hAnsiTheme="majorBidi" w:cstheme="majorBidi"/>
          <w:iCs/>
          <w:sz w:val="24"/>
          <w:szCs w:val="24"/>
          <w:lang w:val="en-US"/>
        </w:rPr>
        <w:t>Psychological Bulletin</w:t>
      </w:r>
      <w:r w:rsidR="00EE355E" w:rsidRPr="00EE355E">
        <w:rPr>
          <w:rFonts w:asciiTheme="majorBidi" w:hAnsiTheme="majorBidi" w:cstheme="majorBidi"/>
          <w:iCs/>
          <w:sz w:val="24"/>
          <w:szCs w:val="24"/>
          <w:lang w:val="en-US"/>
        </w:rPr>
        <w:t>. 2009;</w:t>
      </w:r>
      <w:r w:rsidRPr="00EE355E">
        <w:rPr>
          <w:rFonts w:asciiTheme="majorBidi" w:hAnsiTheme="majorBidi" w:cstheme="majorBidi"/>
          <w:iCs/>
          <w:sz w:val="24"/>
          <w:szCs w:val="24"/>
          <w:lang w:val="en-US"/>
        </w:rPr>
        <w:t xml:space="preserve"> 135</w:t>
      </w:r>
      <w:r w:rsidR="00EE355E" w:rsidRPr="00EE355E">
        <w:rPr>
          <w:rFonts w:asciiTheme="majorBidi" w:hAnsiTheme="majorBidi" w:cstheme="majorBidi"/>
          <w:iCs/>
          <w:sz w:val="24"/>
          <w:szCs w:val="24"/>
          <w:lang w:val="en-US"/>
        </w:rPr>
        <w:t>:</w:t>
      </w:r>
      <w:r w:rsidRPr="00EE355E">
        <w:rPr>
          <w:rFonts w:asciiTheme="majorBidi" w:hAnsiTheme="majorBidi" w:cstheme="majorBidi"/>
          <w:sz w:val="24"/>
          <w:szCs w:val="24"/>
          <w:lang w:val="en-US"/>
        </w:rPr>
        <w:t xml:space="preserve"> 943–973. doi:10.1037/a0017327</w:t>
      </w:r>
    </w:p>
    <w:p w14:paraId="65FFA417" w14:textId="551BF5D1" w:rsidR="00A52041" w:rsidRPr="00EE355E" w:rsidRDefault="00311933" w:rsidP="00EE355E">
      <w:pPr>
        <w:pStyle w:val="ListParagraph"/>
        <w:numPr>
          <w:ilvl w:val="0"/>
          <w:numId w:val="4"/>
        </w:numPr>
        <w:autoSpaceDE w:val="0"/>
        <w:autoSpaceDN w:val="0"/>
        <w:adjustRightInd w:val="0"/>
        <w:spacing w:after="0" w:line="480" w:lineRule="auto"/>
        <w:rPr>
          <w:rFonts w:asciiTheme="majorBidi" w:eastAsia="Times New Roman" w:hAnsiTheme="majorBidi" w:cstheme="majorBidi"/>
          <w:sz w:val="24"/>
          <w:szCs w:val="24"/>
          <w:lang w:val="en-US" w:eastAsia="zh-CN"/>
        </w:rPr>
      </w:pPr>
      <w:r w:rsidRPr="00EE355E">
        <w:rPr>
          <w:rFonts w:asciiTheme="majorBidi" w:eastAsia="TimesLTStd-Roman" w:hAnsiTheme="majorBidi" w:cstheme="majorBidi"/>
          <w:color w:val="000000"/>
          <w:sz w:val="24"/>
          <w:szCs w:val="24"/>
          <w:lang w:val="de-DE"/>
        </w:rPr>
        <w:t xml:space="preserve">Byrnes JP, Miller DC, Schafer WD. </w:t>
      </w:r>
      <w:r w:rsidRPr="00EE355E">
        <w:rPr>
          <w:rFonts w:asciiTheme="majorBidi" w:eastAsia="TimesLTStd-Roman" w:hAnsiTheme="majorBidi" w:cstheme="majorBidi"/>
          <w:color w:val="000000"/>
          <w:sz w:val="24"/>
          <w:szCs w:val="24"/>
        </w:rPr>
        <w:t>Gender differences in risk taking: A meta-analysis. Psycho Bull</w:t>
      </w:r>
      <w:r w:rsidR="00EE355E" w:rsidRPr="00EE355E">
        <w:rPr>
          <w:rFonts w:asciiTheme="majorBidi" w:eastAsia="TimesLTStd-Roman" w:hAnsiTheme="majorBidi" w:cstheme="majorBidi"/>
          <w:color w:val="000000"/>
          <w:sz w:val="24"/>
          <w:szCs w:val="24"/>
        </w:rPr>
        <w:t xml:space="preserve">. 1999; </w:t>
      </w:r>
      <w:r w:rsidRPr="00EE355E">
        <w:rPr>
          <w:rFonts w:asciiTheme="majorBidi" w:eastAsia="TimesLTStd-Roman" w:hAnsiTheme="majorBidi" w:cstheme="majorBidi"/>
          <w:color w:val="000000"/>
          <w:sz w:val="24"/>
          <w:szCs w:val="24"/>
        </w:rPr>
        <w:t>125</w:t>
      </w:r>
      <w:r w:rsidR="00EE355E" w:rsidRPr="00EE355E">
        <w:rPr>
          <w:rFonts w:asciiTheme="majorBidi" w:eastAsia="TimesLTStd-Roman" w:hAnsiTheme="majorBidi" w:cstheme="majorBidi"/>
          <w:color w:val="000000"/>
          <w:sz w:val="24"/>
          <w:szCs w:val="24"/>
        </w:rPr>
        <w:t xml:space="preserve">: </w:t>
      </w:r>
      <w:r w:rsidRPr="00EE355E">
        <w:rPr>
          <w:rFonts w:asciiTheme="majorBidi" w:eastAsia="TimesLTStd-Roman" w:hAnsiTheme="majorBidi" w:cstheme="majorBidi"/>
          <w:color w:val="000000"/>
          <w:sz w:val="24"/>
          <w:szCs w:val="24"/>
        </w:rPr>
        <w:t xml:space="preserve">367–383. </w:t>
      </w:r>
      <w:hyperlink r:id="rId15" w:history="1">
        <w:r w:rsidR="00A52041" w:rsidRPr="00EE355E">
          <w:rPr>
            <w:rStyle w:val="Hyperlink"/>
            <w:rFonts w:asciiTheme="majorBidi" w:eastAsia="TimesLTStd-Roman" w:hAnsiTheme="majorBidi" w:cstheme="majorBidi"/>
            <w:sz w:val="24"/>
            <w:szCs w:val="24"/>
          </w:rPr>
          <w:t>http://dx.doi.org/10.1037/0033-2909.125.3.367</w:t>
        </w:r>
      </w:hyperlink>
    </w:p>
    <w:p w14:paraId="3682F561" w14:textId="01889868" w:rsidR="00A52041" w:rsidRPr="00EE355E" w:rsidRDefault="00A52041" w:rsidP="00EE355E">
      <w:pPr>
        <w:pStyle w:val="ListParagraph"/>
        <w:numPr>
          <w:ilvl w:val="0"/>
          <w:numId w:val="4"/>
        </w:numPr>
        <w:autoSpaceDE w:val="0"/>
        <w:autoSpaceDN w:val="0"/>
        <w:adjustRightInd w:val="0"/>
        <w:spacing w:after="0" w:line="480" w:lineRule="auto"/>
        <w:rPr>
          <w:rStyle w:val="slug-doi"/>
          <w:rFonts w:asciiTheme="majorBidi" w:hAnsiTheme="majorBidi" w:cstheme="majorBidi"/>
          <w:sz w:val="24"/>
          <w:szCs w:val="24"/>
          <w:lang w:val="en-US"/>
        </w:rPr>
      </w:pPr>
      <w:r w:rsidRPr="00EE355E">
        <w:rPr>
          <w:rFonts w:asciiTheme="majorBidi" w:eastAsia="Times New Roman" w:hAnsiTheme="majorBidi" w:cstheme="majorBidi"/>
          <w:color w:val="222222"/>
          <w:sz w:val="24"/>
          <w:szCs w:val="24"/>
          <w:lang w:val="en-US"/>
        </w:rPr>
        <w:t>Buhrmester M, Kwang T,  Gosling SD. Amazon’s Mechanical Turk: A new source of inexpensive, yet high-quality, data? Persp Psycho Scien</w:t>
      </w:r>
      <w:r w:rsidR="00EE355E">
        <w:rPr>
          <w:rFonts w:asciiTheme="majorBidi" w:eastAsia="Times New Roman" w:hAnsiTheme="majorBidi" w:cstheme="majorBidi"/>
          <w:color w:val="222222"/>
          <w:sz w:val="24"/>
          <w:szCs w:val="24"/>
          <w:lang w:val="en-US"/>
        </w:rPr>
        <w:t>. 2011;</w:t>
      </w:r>
      <w:r w:rsidRPr="00EE355E">
        <w:rPr>
          <w:rFonts w:asciiTheme="majorBidi" w:eastAsia="Times New Roman" w:hAnsiTheme="majorBidi" w:cstheme="majorBidi"/>
          <w:color w:val="222222"/>
          <w:sz w:val="24"/>
          <w:szCs w:val="24"/>
          <w:lang w:val="en-US"/>
        </w:rPr>
        <w:t xml:space="preserve"> 6</w:t>
      </w:r>
      <w:r w:rsidR="00EE355E">
        <w:rPr>
          <w:rFonts w:asciiTheme="majorBidi" w:eastAsia="Times New Roman" w:hAnsiTheme="majorBidi" w:cstheme="majorBidi"/>
          <w:color w:val="222222"/>
          <w:sz w:val="24"/>
          <w:szCs w:val="24"/>
          <w:lang w:val="en-US"/>
        </w:rPr>
        <w:t>:</w:t>
      </w:r>
      <w:r w:rsidRPr="00EE355E">
        <w:rPr>
          <w:rFonts w:asciiTheme="majorBidi" w:eastAsia="Times New Roman" w:hAnsiTheme="majorBidi" w:cstheme="majorBidi"/>
          <w:color w:val="222222"/>
          <w:sz w:val="24"/>
          <w:szCs w:val="24"/>
          <w:lang w:val="en-US"/>
        </w:rPr>
        <w:t xml:space="preserve"> 3–5.</w:t>
      </w:r>
      <w:r w:rsidRPr="00EE355E">
        <w:rPr>
          <w:rFonts w:asciiTheme="majorBidi" w:hAnsiTheme="majorBidi" w:cstheme="majorBidi"/>
          <w:sz w:val="24"/>
          <w:szCs w:val="24"/>
          <w:lang w:val="en-US"/>
        </w:rPr>
        <w:t xml:space="preserve"> doi:</w:t>
      </w:r>
      <w:r w:rsidRPr="00EE355E">
        <w:rPr>
          <w:rStyle w:val="slug-doi"/>
          <w:rFonts w:asciiTheme="majorBidi" w:hAnsiTheme="majorBidi" w:cstheme="majorBidi"/>
          <w:sz w:val="24"/>
          <w:szCs w:val="24"/>
          <w:lang w:val="en-US"/>
        </w:rPr>
        <w:t>10.1177/1745691610393980</w:t>
      </w:r>
    </w:p>
    <w:p w14:paraId="332DAD1B" w14:textId="528C759C" w:rsidR="00A52041" w:rsidRPr="00EE355E" w:rsidRDefault="00A52041" w:rsidP="00EE355E">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sidRPr="00EE355E">
        <w:rPr>
          <w:rFonts w:asciiTheme="majorBidi" w:hAnsiTheme="majorBidi" w:cstheme="majorBidi"/>
          <w:sz w:val="24"/>
          <w:szCs w:val="24"/>
          <w:lang w:val="en-US"/>
        </w:rPr>
        <w:t>Mason W, Suri S. Conducting behavioural research on Amazon’s Mechanical Turk. Behav Resear Meth</w:t>
      </w:r>
      <w:r w:rsidR="00EE355E">
        <w:rPr>
          <w:rFonts w:asciiTheme="majorBidi" w:hAnsiTheme="majorBidi" w:cstheme="majorBidi"/>
          <w:sz w:val="24"/>
          <w:szCs w:val="24"/>
          <w:lang w:val="en-US"/>
        </w:rPr>
        <w:t>. 2012;</w:t>
      </w:r>
      <w:r w:rsidRPr="00EE355E">
        <w:rPr>
          <w:rFonts w:asciiTheme="majorBidi" w:hAnsiTheme="majorBidi" w:cstheme="majorBidi"/>
          <w:sz w:val="24"/>
          <w:szCs w:val="24"/>
          <w:lang w:val="en-US"/>
        </w:rPr>
        <w:t xml:space="preserve"> 44</w:t>
      </w:r>
      <w:r w:rsidR="00EE355E">
        <w:rPr>
          <w:rFonts w:asciiTheme="majorBidi" w:hAnsiTheme="majorBidi" w:cstheme="majorBidi"/>
          <w:sz w:val="24"/>
          <w:szCs w:val="24"/>
          <w:lang w:val="en-US"/>
        </w:rPr>
        <w:t>:</w:t>
      </w:r>
      <w:r w:rsidRPr="00EE355E">
        <w:rPr>
          <w:rFonts w:asciiTheme="majorBidi" w:hAnsiTheme="majorBidi" w:cstheme="majorBidi"/>
          <w:sz w:val="24"/>
          <w:szCs w:val="24"/>
          <w:lang w:val="en-US"/>
        </w:rPr>
        <w:t xml:space="preserve"> 1–23. doi:10.3758/s13428-011-0124-6</w:t>
      </w:r>
    </w:p>
    <w:p w14:paraId="641C430D" w14:textId="370891E7" w:rsidR="00A52041" w:rsidRPr="00EE355E" w:rsidRDefault="00A52041" w:rsidP="00576E75">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sidRPr="00576E75">
        <w:rPr>
          <w:rFonts w:asciiTheme="majorBidi" w:hAnsiTheme="majorBidi" w:cstheme="majorBidi"/>
          <w:sz w:val="24"/>
          <w:szCs w:val="24"/>
        </w:rPr>
        <w:t xml:space="preserve">Butler S, Rosman A, Seleski S, Garcia M, Lee S, Barnes J,  Schwartz A. </w:t>
      </w:r>
      <w:r w:rsidRPr="00EE355E">
        <w:rPr>
          <w:rFonts w:asciiTheme="majorBidi" w:hAnsiTheme="majorBidi" w:cstheme="majorBidi"/>
          <w:sz w:val="24"/>
          <w:szCs w:val="24"/>
          <w:lang w:val="en-US"/>
        </w:rPr>
        <w:t xml:space="preserve">A medical risk attitude subscale for DOSPERT. </w:t>
      </w:r>
      <w:r w:rsidRPr="00576E75">
        <w:rPr>
          <w:rFonts w:asciiTheme="majorBidi" w:hAnsiTheme="majorBidi" w:cstheme="majorBidi"/>
          <w:sz w:val="24"/>
          <w:szCs w:val="24"/>
          <w:lang w:val="en-US"/>
        </w:rPr>
        <w:t>Judg Decis Mak</w:t>
      </w:r>
      <w:r w:rsidR="00576E75">
        <w:rPr>
          <w:rFonts w:asciiTheme="majorBidi" w:hAnsiTheme="majorBidi" w:cstheme="majorBidi"/>
          <w:sz w:val="24"/>
          <w:szCs w:val="24"/>
          <w:lang w:val="en-US"/>
        </w:rPr>
        <w:t>. 2012;</w:t>
      </w:r>
      <w:r w:rsidRPr="00576E75">
        <w:rPr>
          <w:rFonts w:asciiTheme="majorBidi" w:hAnsiTheme="majorBidi" w:cstheme="majorBidi"/>
          <w:sz w:val="24"/>
          <w:szCs w:val="24"/>
          <w:lang w:val="en-US"/>
        </w:rPr>
        <w:t xml:space="preserve"> 7</w:t>
      </w:r>
      <w:r w:rsidR="00576E75">
        <w:rPr>
          <w:rFonts w:asciiTheme="majorBidi" w:hAnsiTheme="majorBidi" w:cstheme="majorBidi"/>
          <w:sz w:val="24"/>
          <w:szCs w:val="24"/>
          <w:lang w:val="en-US"/>
        </w:rPr>
        <w:t>:</w:t>
      </w:r>
      <w:r w:rsidRPr="00EE355E">
        <w:rPr>
          <w:rFonts w:asciiTheme="majorBidi" w:hAnsiTheme="majorBidi" w:cstheme="majorBidi"/>
          <w:sz w:val="24"/>
          <w:szCs w:val="24"/>
          <w:lang w:val="en-US"/>
        </w:rPr>
        <w:t xml:space="preserve"> 189–195.</w:t>
      </w:r>
    </w:p>
    <w:p w14:paraId="69702AF9" w14:textId="36AF5FF0" w:rsidR="00A52041" w:rsidRPr="00EE355E" w:rsidRDefault="00A52041" w:rsidP="00576E75">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sidRPr="00576E75">
        <w:rPr>
          <w:rFonts w:asciiTheme="majorBidi" w:hAnsiTheme="majorBidi" w:cstheme="majorBidi"/>
          <w:sz w:val="24"/>
          <w:szCs w:val="24"/>
          <w:lang w:val="en-US"/>
        </w:rPr>
        <w:t xml:space="preserve">Rosman A, Garcia M, Lee S, Butler S, Schwartz A. </w:t>
      </w:r>
      <w:r w:rsidRPr="00EE355E">
        <w:rPr>
          <w:rFonts w:asciiTheme="majorBidi" w:hAnsiTheme="majorBidi" w:cstheme="majorBidi"/>
          <w:sz w:val="24"/>
          <w:szCs w:val="24"/>
          <w:lang w:val="en-US"/>
        </w:rPr>
        <w:t>DOSPERT+M: A survey of medical risk attitudes in the United States.</w:t>
      </w:r>
      <w:r w:rsidR="00576E75" w:rsidRPr="00576E75">
        <w:rPr>
          <w:rFonts w:asciiTheme="majorBidi" w:hAnsiTheme="majorBidi" w:cstheme="majorBidi"/>
          <w:sz w:val="24"/>
          <w:szCs w:val="24"/>
          <w:lang w:val="en-US"/>
        </w:rPr>
        <w:t xml:space="preserve"> Judg Decis Mak</w:t>
      </w:r>
      <w:r w:rsidR="00576E75">
        <w:rPr>
          <w:rFonts w:asciiTheme="majorBidi" w:hAnsiTheme="majorBidi" w:cstheme="majorBidi"/>
          <w:sz w:val="24"/>
          <w:szCs w:val="24"/>
          <w:lang w:val="en-US"/>
        </w:rPr>
        <w:t>. 2013; 8:</w:t>
      </w:r>
      <w:r w:rsidRPr="00EE355E">
        <w:rPr>
          <w:rFonts w:asciiTheme="majorBidi" w:hAnsiTheme="majorBidi" w:cstheme="majorBidi"/>
          <w:sz w:val="24"/>
          <w:szCs w:val="24"/>
          <w:lang w:val="en-US"/>
        </w:rPr>
        <w:t xml:space="preserve"> 470–481.</w:t>
      </w:r>
    </w:p>
    <w:p w14:paraId="55B2DC75" w14:textId="5D53BF45" w:rsidR="00A52041" w:rsidRPr="00EE355E" w:rsidRDefault="00A52041" w:rsidP="00576E75">
      <w:pPr>
        <w:pStyle w:val="NormalWeb"/>
        <w:numPr>
          <w:ilvl w:val="0"/>
          <w:numId w:val="4"/>
        </w:numPr>
        <w:spacing w:before="0" w:beforeAutospacing="0" w:after="0" w:afterAutospacing="0" w:line="480" w:lineRule="auto"/>
        <w:contextualSpacing/>
        <w:rPr>
          <w:rFonts w:asciiTheme="majorBidi" w:hAnsiTheme="majorBidi" w:cstheme="majorBidi"/>
          <w:lang w:val="en-US"/>
        </w:rPr>
      </w:pPr>
      <w:r w:rsidRPr="00EE355E">
        <w:rPr>
          <w:rFonts w:asciiTheme="majorBidi" w:hAnsiTheme="majorBidi" w:cstheme="majorBidi"/>
          <w:lang w:val="en-US"/>
        </w:rPr>
        <w:t xml:space="preserve">Lipkus M, Samsa G,  Rimer BK. General performance on a numeracy scale among highly educated samples. </w:t>
      </w:r>
      <w:r w:rsidRPr="00576E75">
        <w:rPr>
          <w:rFonts w:asciiTheme="majorBidi" w:hAnsiTheme="majorBidi" w:cstheme="majorBidi"/>
          <w:iCs/>
          <w:lang w:val="en-US"/>
        </w:rPr>
        <w:t>Medical Decision Making</w:t>
      </w:r>
      <w:r w:rsidR="00576E75">
        <w:rPr>
          <w:rFonts w:asciiTheme="majorBidi" w:hAnsiTheme="majorBidi" w:cstheme="majorBidi"/>
          <w:iCs/>
          <w:lang w:val="en-US"/>
        </w:rPr>
        <w:t xml:space="preserve">. </w:t>
      </w:r>
      <w:r w:rsidR="00576E75" w:rsidRPr="00EE355E">
        <w:rPr>
          <w:rFonts w:asciiTheme="majorBidi" w:hAnsiTheme="majorBidi" w:cstheme="majorBidi"/>
          <w:lang w:val="en-US"/>
        </w:rPr>
        <w:t>2001</w:t>
      </w:r>
      <w:r w:rsidR="00576E75">
        <w:rPr>
          <w:rFonts w:asciiTheme="majorBidi" w:hAnsiTheme="majorBidi" w:cstheme="majorBidi"/>
          <w:lang w:val="en-US"/>
        </w:rPr>
        <w:t>;</w:t>
      </w:r>
      <w:r w:rsidRPr="00576E75">
        <w:rPr>
          <w:rFonts w:asciiTheme="majorBidi" w:hAnsiTheme="majorBidi" w:cstheme="majorBidi"/>
          <w:iCs/>
          <w:lang w:val="en-US"/>
        </w:rPr>
        <w:t xml:space="preserve"> 21</w:t>
      </w:r>
      <w:r w:rsidR="00576E75">
        <w:rPr>
          <w:rFonts w:asciiTheme="majorBidi" w:hAnsiTheme="majorBidi" w:cstheme="majorBidi"/>
          <w:iCs/>
          <w:lang w:val="en-US"/>
        </w:rPr>
        <w:t>:</w:t>
      </w:r>
      <w:r w:rsidRPr="00EE355E">
        <w:rPr>
          <w:rFonts w:asciiTheme="majorBidi" w:hAnsiTheme="majorBidi" w:cstheme="majorBidi"/>
          <w:lang w:val="en-US"/>
        </w:rPr>
        <w:t xml:space="preserve"> 37–44.</w:t>
      </w:r>
    </w:p>
    <w:p w14:paraId="3CB47B61" w14:textId="70CE64EE" w:rsidR="00A52041" w:rsidRPr="00EE355E" w:rsidRDefault="00A52041" w:rsidP="006D7563">
      <w:pPr>
        <w:pStyle w:val="ListParagraph"/>
        <w:numPr>
          <w:ilvl w:val="0"/>
          <w:numId w:val="4"/>
        </w:numPr>
        <w:autoSpaceDE w:val="0"/>
        <w:autoSpaceDN w:val="0"/>
        <w:adjustRightInd w:val="0"/>
        <w:spacing w:after="0" w:line="480" w:lineRule="auto"/>
        <w:rPr>
          <w:rFonts w:asciiTheme="majorBidi" w:eastAsia="Times New Roman" w:hAnsiTheme="majorBidi" w:cstheme="majorBidi"/>
          <w:sz w:val="24"/>
          <w:szCs w:val="24"/>
          <w:lang w:val="en-US" w:eastAsia="zh-CN"/>
        </w:rPr>
      </w:pPr>
      <w:r w:rsidRPr="00EE355E">
        <w:rPr>
          <w:rFonts w:asciiTheme="majorBidi" w:hAnsiTheme="majorBidi" w:cstheme="majorBidi"/>
          <w:sz w:val="24"/>
          <w:szCs w:val="24"/>
        </w:rPr>
        <w:t xml:space="preserve">Rolison JJ, Evans J St. B.T, Walsh CR,  Dennis I. The role of working memory capacity in multiple-cue probability learning. </w:t>
      </w:r>
      <w:r w:rsidRPr="006D7563">
        <w:rPr>
          <w:rStyle w:val="Emphasis"/>
          <w:rFonts w:asciiTheme="majorBidi" w:hAnsiTheme="majorBidi" w:cstheme="majorBidi"/>
          <w:i w:val="0"/>
          <w:iCs w:val="0"/>
          <w:sz w:val="24"/>
          <w:szCs w:val="24"/>
        </w:rPr>
        <w:t>Quart J Exper</w:t>
      </w:r>
      <w:r w:rsidR="006D7563">
        <w:rPr>
          <w:rStyle w:val="Emphasis"/>
          <w:rFonts w:asciiTheme="majorBidi" w:hAnsiTheme="majorBidi" w:cstheme="majorBidi"/>
          <w:i w:val="0"/>
          <w:iCs w:val="0"/>
          <w:sz w:val="24"/>
          <w:szCs w:val="24"/>
        </w:rPr>
        <w:t xml:space="preserve"> </w:t>
      </w:r>
      <w:r w:rsidRPr="006D7563">
        <w:rPr>
          <w:rStyle w:val="Emphasis"/>
          <w:rFonts w:asciiTheme="majorBidi" w:hAnsiTheme="majorBidi" w:cstheme="majorBidi"/>
          <w:i w:val="0"/>
          <w:iCs w:val="0"/>
          <w:sz w:val="24"/>
          <w:szCs w:val="24"/>
        </w:rPr>
        <w:t>Psycho</w:t>
      </w:r>
      <w:r w:rsidR="006D7563">
        <w:rPr>
          <w:rStyle w:val="Emphasis"/>
          <w:rFonts w:asciiTheme="majorBidi" w:hAnsiTheme="majorBidi" w:cstheme="majorBidi"/>
          <w:i w:val="0"/>
          <w:iCs w:val="0"/>
          <w:sz w:val="24"/>
          <w:szCs w:val="24"/>
        </w:rPr>
        <w:t xml:space="preserve">. </w:t>
      </w:r>
      <w:r w:rsidR="006D7563" w:rsidRPr="00EE355E">
        <w:rPr>
          <w:rFonts w:asciiTheme="majorBidi" w:hAnsiTheme="majorBidi" w:cstheme="majorBidi"/>
          <w:sz w:val="24"/>
          <w:szCs w:val="24"/>
        </w:rPr>
        <w:t>2011</w:t>
      </w:r>
      <w:r w:rsidR="006D7563">
        <w:rPr>
          <w:rFonts w:asciiTheme="majorBidi" w:hAnsiTheme="majorBidi" w:cstheme="majorBidi"/>
          <w:sz w:val="24"/>
          <w:szCs w:val="24"/>
        </w:rPr>
        <w:t>;</w:t>
      </w:r>
      <w:r w:rsidRPr="006D7563">
        <w:rPr>
          <w:rStyle w:val="Emphasis"/>
          <w:rFonts w:asciiTheme="majorBidi" w:hAnsiTheme="majorBidi" w:cstheme="majorBidi"/>
          <w:i w:val="0"/>
          <w:iCs w:val="0"/>
          <w:sz w:val="24"/>
          <w:szCs w:val="24"/>
        </w:rPr>
        <w:t xml:space="preserve"> 64</w:t>
      </w:r>
      <w:r w:rsidR="006D7563">
        <w:rPr>
          <w:rStyle w:val="Emphasis"/>
          <w:rFonts w:asciiTheme="majorBidi" w:hAnsiTheme="majorBidi" w:cstheme="majorBidi"/>
          <w:i w:val="0"/>
          <w:iCs w:val="0"/>
          <w:sz w:val="24"/>
          <w:szCs w:val="24"/>
        </w:rPr>
        <w:t>:</w:t>
      </w:r>
      <w:r w:rsidRPr="00EE355E">
        <w:rPr>
          <w:rStyle w:val="Emphasis"/>
          <w:rFonts w:asciiTheme="majorBidi" w:hAnsiTheme="majorBidi" w:cstheme="majorBidi"/>
          <w:sz w:val="24"/>
          <w:szCs w:val="24"/>
        </w:rPr>
        <w:t xml:space="preserve"> </w:t>
      </w:r>
      <w:r w:rsidRPr="00EE355E">
        <w:rPr>
          <w:rFonts w:asciiTheme="majorBidi" w:hAnsiTheme="majorBidi" w:cstheme="majorBidi"/>
          <w:sz w:val="24"/>
          <w:szCs w:val="24"/>
        </w:rPr>
        <w:t>1494-1514.</w:t>
      </w:r>
    </w:p>
    <w:p w14:paraId="51412BC8" w14:textId="074639AB" w:rsidR="00A52041" w:rsidRPr="00762EB6" w:rsidRDefault="00A52041" w:rsidP="00E036D6">
      <w:pPr>
        <w:pStyle w:val="ListParagraph"/>
        <w:numPr>
          <w:ilvl w:val="0"/>
          <w:numId w:val="4"/>
        </w:numPr>
        <w:autoSpaceDE w:val="0"/>
        <w:autoSpaceDN w:val="0"/>
        <w:adjustRightInd w:val="0"/>
        <w:spacing w:after="0" w:line="480" w:lineRule="auto"/>
        <w:rPr>
          <w:rFonts w:asciiTheme="majorBidi" w:eastAsia="Times New Roman" w:hAnsiTheme="majorBidi" w:cstheme="majorBidi"/>
          <w:sz w:val="24"/>
          <w:szCs w:val="24"/>
          <w:lang w:val="fr-FR" w:eastAsia="zh-CN"/>
        </w:rPr>
      </w:pPr>
      <w:r w:rsidRPr="00EE355E">
        <w:rPr>
          <w:rFonts w:asciiTheme="majorBidi" w:eastAsia="TimesLTStd-Roman" w:hAnsiTheme="majorBidi" w:cstheme="majorBidi"/>
          <w:color w:val="000000"/>
          <w:sz w:val="24"/>
          <w:szCs w:val="24"/>
        </w:rPr>
        <w:t xml:space="preserve">Turner C, McClure R. Age and gender differences in risk taking behavior as an explanation for high incidence of motor vehicle crashes as a driver in young males. </w:t>
      </w:r>
      <w:r w:rsidRPr="00762EB6">
        <w:rPr>
          <w:rFonts w:asciiTheme="majorBidi" w:eastAsia="TimesLTStd-Roman" w:hAnsiTheme="majorBidi" w:cstheme="majorBidi"/>
          <w:color w:val="000000"/>
          <w:sz w:val="24"/>
          <w:szCs w:val="24"/>
          <w:lang w:val="fr-FR"/>
        </w:rPr>
        <w:t>Inter</w:t>
      </w:r>
      <w:r w:rsidR="006D7563" w:rsidRPr="00762EB6">
        <w:rPr>
          <w:rFonts w:asciiTheme="majorBidi" w:eastAsia="TimesLTStd-Roman" w:hAnsiTheme="majorBidi" w:cstheme="majorBidi"/>
          <w:color w:val="000000"/>
          <w:sz w:val="24"/>
          <w:szCs w:val="24"/>
          <w:lang w:val="fr-FR"/>
        </w:rPr>
        <w:t xml:space="preserve"> J </w:t>
      </w:r>
      <w:r w:rsidRPr="00762EB6">
        <w:rPr>
          <w:rFonts w:asciiTheme="majorBidi" w:eastAsia="TimesLTStd-Roman" w:hAnsiTheme="majorBidi" w:cstheme="majorBidi"/>
          <w:color w:val="000000"/>
          <w:sz w:val="24"/>
          <w:szCs w:val="24"/>
          <w:lang w:val="fr-FR"/>
        </w:rPr>
        <w:t xml:space="preserve"> Inju Cont Saf Promo</w:t>
      </w:r>
      <w:r w:rsidR="006D7563" w:rsidRPr="00762EB6">
        <w:rPr>
          <w:rFonts w:asciiTheme="majorBidi" w:eastAsia="TimesLTStd-Roman" w:hAnsiTheme="majorBidi" w:cstheme="majorBidi"/>
          <w:color w:val="000000"/>
          <w:sz w:val="24"/>
          <w:szCs w:val="24"/>
          <w:lang w:val="fr-FR"/>
        </w:rPr>
        <w:t>. 2003;</w:t>
      </w:r>
      <w:r w:rsidRPr="00762EB6">
        <w:rPr>
          <w:rFonts w:asciiTheme="majorBidi" w:eastAsia="TimesLTStd-Roman" w:hAnsiTheme="majorBidi" w:cstheme="majorBidi"/>
          <w:color w:val="000000"/>
          <w:sz w:val="24"/>
          <w:szCs w:val="24"/>
          <w:lang w:val="fr-FR"/>
        </w:rPr>
        <w:t xml:space="preserve"> 10</w:t>
      </w:r>
      <w:r w:rsidR="006D7563" w:rsidRPr="00762EB6">
        <w:rPr>
          <w:rFonts w:asciiTheme="majorBidi" w:eastAsia="TimesLTStd-Roman" w:hAnsiTheme="majorBidi" w:cstheme="majorBidi"/>
          <w:color w:val="000000"/>
          <w:sz w:val="24"/>
          <w:szCs w:val="24"/>
          <w:lang w:val="fr-FR"/>
        </w:rPr>
        <w:t>:</w:t>
      </w:r>
      <w:r w:rsidRPr="00762EB6">
        <w:rPr>
          <w:rFonts w:asciiTheme="majorBidi" w:eastAsia="TimesLTStd-Roman" w:hAnsiTheme="majorBidi" w:cstheme="majorBidi"/>
          <w:color w:val="000000"/>
          <w:sz w:val="24"/>
          <w:szCs w:val="24"/>
          <w:lang w:val="fr-FR"/>
        </w:rPr>
        <w:t xml:space="preserve"> 123–130. </w:t>
      </w:r>
    </w:p>
    <w:p w14:paraId="0C99824E" w14:textId="2C3EABE7" w:rsidR="00A52041" w:rsidRPr="00EE355E" w:rsidRDefault="00A52041" w:rsidP="006D7563">
      <w:pPr>
        <w:pStyle w:val="ListParagraph"/>
        <w:numPr>
          <w:ilvl w:val="0"/>
          <w:numId w:val="4"/>
        </w:numPr>
        <w:autoSpaceDE w:val="0"/>
        <w:autoSpaceDN w:val="0"/>
        <w:adjustRightInd w:val="0"/>
        <w:spacing w:after="0" w:line="480" w:lineRule="auto"/>
        <w:rPr>
          <w:rFonts w:asciiTheme="majorBidi" w:eastAsia="TimesLTStd-Roman" w:hAnsiTheme="majorBidi" w:cstheme="majorBidi"/>
          <w:color w:val="000000"/>
          <w:sz w:val="24"/>
          <w:szCs w:val="24"/>
          <w:lang w:val="en-US"/>
        </w:rPr>
      </w:pPr>
      <w:r w:rsidRPr="00EE355E">
        <w:rPr>
          <w:rFonts w:asciiTheme="majorBidi" w:eastAsia="TimesLTStd-Roman" w:hAnsiTheme="majorBidi" w:cstheme="majorBidi"/>
          <w:color w:val="000000"/>
          <w:sz w:val="24"/>
          <w:szCs w:val="24"/>
          <w:lang w:val="en-US"/>
        </w:rPr>
        <w:t xml:space="preserve">Chapman GB,  Coups EJ. Predictors of influenza vaccine acceptance among healthy adults. </w:t>
      </w:r>
      <w:r w:rsidRPr="006D7563">
        <w:rPr>
          <w:rFonts w:asciiTheme="majorBidi" w:eastAsia="TimesLTStd-Roman" w:hAnsiTheme="majorBidi" w:cstheme="majorBidi"/>
          <w:color w:val="000000"/>
          <w:sz w:val="24"/>
          <w:szCs w:val="24"/>
          <w:lang w:val="en-US"/>
        </w:rPr>
        <w:t>Preven Med</w:t>
      </w:r>
      <w:r w:rsidR="006D7563">
        <w:rPr>
          <w:rFonts w:asciiTheme="majorBidi" w:eastAsia="TimesLTStd-Roman" w:hAnsiTheme="majorBidi" w:cstheme="majorBidi"/>
          <w:color w:val="000000"/>
          <w:sz w:val="24"/>
          <w:szCs w:val="24"/>
          <w:lang w:val="en-US"/>
        </w:rPr>
        <w:t xml:space="preserve">. </w:t>
      </w:r>
      <w:r w:rsidR="006D7563" w:rsidRPr="00EE355E">
        <w:rPr>
          <w:rFonts w:asciiTheme="majorBidi" w:eastAsia="TimesLTStd-Roman" w:hAnsiTheme="majorBidi" w:cstheme="majorBidi"/>
          <w:color w:val="000000"/>
          <w:sz w:val="24"/>
          <w:szCs w:val="24"/>
          <w:lang w:val="en-US"/>
        </w:rPr>
        <w:t>1999</w:t>
      </w:r>
      <w:r w:rsidR="006D7563">
        <w:rPr>
          <w:rFonts w:asciiTheme="majorBidi" w:eastAsia="TimesLTStd-Roman" w:hAnsiTheme="majorBidi" w:cstheme="majorBidi"/>
          <w:color w:val="000000"/>
          <w:sz w:val="24"/>
          <w:szCs w:val="24"/>
          <w:lang w:val="en-US"/>
        </w:rPr>
        <w:t>;</w:t>
      </w:r>
      <w:r w:rsidRPr="006D7563">
        <w:rPr>
          <w:rFonts w:asciiTheme="majorBidi" w:eastAsia="TimesLTStd-Roman" w:hAnsiTheme="majorBidi" w:cstheme="majorBidi"/>
          <w:color w:val="000000"/>
          <w:sz w:val="24"/>
          <w:szCs w:val="24"/>
          <w:lang w:val="en-US"/>
        </w:rPr>
        <w:t xml:space="preserve"> 29</w:t>
      </w:r>
      <w:r w:rsidR="006D7563">
        <w:rPr>
          <w:rFonts w:asciiTheme="majorBidi" w:eastAsia="TimesLTStd-Roman" w:hAnsiTheme="majorBidi" w:cstheme="majorBidi"/>
          <w:color w:val="000000"/>
          <w:sz w:val="24"/>
          <w:szCs w:val="24"/>
          <w:lang w:val="en-US"/>
        </w:rPr>
        <w:t>:</w:t>
      </w:r>
      <w:r w:rsidRPr="00EE355E">
        <w:rPr>
          <w:rFonts w:asciiTheme="majorBidi" w:eastAsia="TimesLTStd-Roman" w:hAnsiTheme="majorBidi" w:cstheme="majorBidi"/>
          <w:color w:val="000000"/>
          <w:sz w:val="24"/>
          <w:szCs w:val="24"/>
          <w:lang w:val="en-US"/>
        </w:rPr>
        <w:t xml:space="preserve"> 249–262. </w:t>
      </w:r>
    </w:p>
    <w:p w14:paraId="3701CC8E" w14:textId="42802B24" w:rsidR="00A52041" w:rsidRPr="00F40EB3" w:rsidRDefault="00A52041" w:rsidP="006D7563">
      <w:pPr>
        <w:pStyle w:val="ListParagraph"/>
        <w:numPr>
          <w:ilvl w:val="0"/>
          <w:numId w:val="4"/>
        </w:numPr>
        <w:autoSpaceDE w:val="0"/>
        <w:autoSpaceDN w:val="0"/>
        <w:adjustRightInd w:val="0"/>
        <w:spacing w:after="0" w:line="480" w:lineRule="auto"/>
        <w:rPr>
          <w:rStyle w:val="Hyperlink"/>
          <w:rFonts w:asciiTheme="majorBidi" w:hAnsiTheme="majorBidi" w:cstheme="majorBidi"/>
          <w:color w:val="auto"/>
          <w:sz w:val="24"/>
          <w:szCs w:val="24"/>
          <w:u w:val="none"/>
          <w:lang w:val="en-US"/>
        </w:rPr>
      </w:pPr>
      <w:r w:rsidRPr="00EE355E">
        <w:rPr>
          <w:rFonts w:asciiTheme="majorBidi" w:hAnsiTheme="majorBidi" w:cstheme="majorBidi"/>
          <w:sz w:val="24"/>
          <w:szCs w:val="24"/>
          <w:lang w:val="en-US"/>
        </w:rPr>
        <w:t>Centers for Disease Control and Prevention</w:t>
      </w:r>
      <w:r w:rsidR="006D7563">
        <w:rPr>
          <w:rFonts w:asciiTheme="majorBidi" w:hAnsiTheme="majorBidi" w:cstheme="majorBidi"/>
          <w:sz w:val="24"/>
          <w:szCs w:val="24"/>
          <w:lang w:val="en-US"/>
        </w:rPr>
        <w:t xml:space="preserve">. </w:t>
      </w:r>
      <w:r w:rsidRPr="00EE355E">
        <w:rPr>
          <w:rFonts w:asciiTheme="majorBidi" w:hAnsiTheme="majorBidi" w:cstheme="majorBidi"/>
          <w:sz w:val="24"/>
          <w:szCs w:val="24"/>
          <w:lang w:val="en-US"/>
        </w:rPr>
        <w:t xml:space="preserve"> </w:t>
      </w:r>
      <w:r w:rsidRPr="006D7563">
        <w:rPr>
          <w:rFonts w:asciiTheme="majorBidi" w:hAnsiTheme="majorBidi" w:cstheme="majorBidi"/>
          <w:iCs/>
          <w:sz w:val="24"/>
          <w:szCs w:val="24"/>
          <w:lang w:val="en-US"/>
        </w:rPr>
        <w:t>Health, United States, 2013: With special features on prescription drugs</w:t>
      </w:r>
      <w:r w:rsidR="006D7563">
        <w:rPr>
          <w:rFonts w:asciiTheme="majorBidi" w:hAnsiTheme="majorBidi" w:cstheme="majorBidi"/>
          <w:iCs/>
          <w:sz w:val="24"/>
          <w:szCs w:val="24"/>
          <w:lang w:val="en-US"/>
        </w:rPr>
        <w:t xml:space="preserve"> [Internet]</w:t>
      </w:r>
      <w:r w:rsidRPr="00EE355E">
        <w:rPr>
          <w:rFonts w:asciiTheme="majorBidi" w:hAnsiTheme="majorBidi" w:cstheme="majorBidi"/>
          <w:i/>
          <w:sz w:val="24"/>
          <w:szCs w:val="24"/>
          <w:lang w:val="en-US"/>
        </w:rPr>
        <w:t>.</w:t>
      </w:r>
      <w:r w:rsidRPr="00EE355E">
        <w:rPr>
          <w:rFonts w:asciiTheme="majorBidi" w:hAnsiTheme="majorBidi" w:cstheme="majorBidi"/>
          <w:sz w:val="24"/>
          <w:szCs w:val="24"/>
          <w:lang w:val="en-US"/>
        </w:rPr>
        <w:t xml:space="preserve"> </w:t>
      </w:r>
      <w:r w:rsidR="006D7563" w:rsidRPr="00D719A5">
        <w:rPr>
          <w:rFonts w:ascii="Times New Roman" w:eastAsia="Times New Roman" w:hAnsi="Times New Roman" w:cs="Times New Roman"/>
          <w:sz w:val="24"/>
          <w:szCs w:val="24"/>
          <w:lang w:eastAsia="en-GB"/>
        </w:rPr>
        <w:t xml:space="preserve">Available from </w:t>
      </w:r>
      <w:hyperlink r:id="rId16" w:history="1">
        <w:r w:rsidRPr="00EE355E">
          <w:rPr>
            <w:rStyle w:val="Hyperlink"/>
            <w:rFonts w:asciiTheme="majorBidi" w:hAnsiTheme="majorBidi" w:cstheme="majorBidi"/>
            <w:sz w:val="24"/>
            <w:szCs w:val="24"/>
            <w:lang w:val="en-US"/>
          </w:rPr>
          <w:t>http://www.cdc.gov/nchs/data/hus/hus13.pdf</w:t>
        </w:r>
      </w:hyperlink>
    </w:p>
    <w:p w14:paraId="7946C073" w14:textId="58AA7C96" w:rsidR="001A52AB" w:rsidRDefault="00F40EB3" w:rsidP="001A52AB">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Pr>
          <w:rFonts w:asciiTheme="majorBidi" w:hAnsiTheme="majorBidi" w:cstheme="majorBidi"/>
          <w:sz w:val="24"/>
          <w:szCs w:val="24"/>
          <w:lang w:val="en-US"/>
        </w:rPr>
        <w:t xml:space="preserve">Rosman, A, Garcia, M, Lee, S, Shoshana B, Schwartz A. DOSPERT+M: A survey of medical risk attitude in the United States. </w:t>
      </w:r>
      <w:r w:rsidR="001A52AB">
        <w:rPr>
          <w:rFonts w:asciiTheme="majorBidi" w:hAnsiTheme="majorBidi" w:cstheme="majorBidi"/>
          <w:sz w:val="24"/>
          <w:szCs w:val="24"/>
          <w:lang w:val="en-US"/>
        </w:rPr>
        <w:t xml:space="preserve">2013. </w:t>
      </w:r>
      <w:r>
        <w:rPr>
          <w:rFonts w:asciiTheme="majorBidi" w:hAnsiTheme="majorBidi" w:cstheme="majorBidi"/>
          <w:sz w:val="24"/>
          <w:szCs w:val="24"/>
          <w:lang w:val="en-US"/>
        </w:rPr>
        <w:t>Jud</w:t>
      </w:r>
      <w:r w:rsidR="001A52AB">
        <w:rPr>
          <w:rFonts w:asciiTheme="majorBidi" w:hAnsiTheme="majorBidi" w:cstheme="majorBidi"/>
          <w:sz w:val="24"/>
          <w:szCs w:val="24"/>
          <w:lang w:val="en-US"/>
        </w:rPr>
        <w:t>g</w:t>
      </w:r>
      <w:r>
        <w:rPr>
          <w:rFonts w:asciiTheme="majorBidi" w:hAnsiTheme="majorBidi" w:cstheme="majorBidi"/>
          <w:sz w:val="24"/>
          <w:szCs w:val="24"/>
          <w:lang w:val="en-US"/>
        </w:rPr>
        <w:t xml:space="preserve"> Dec Mak</w:t>
      </w:r>
      <w:r w:rsidR="001A52AB">
        <w:rPr>
          <w:rFonts w:asciiTheme="majorBidi" w:hAnsiTheme="majorBidi" w:cstheme="majorBidi"/>
          <w:sz w:val="24"/>
          <w:szCs w:val="24"/>
          <w:lang w:val="en-US"/>
        </w:rPr>
        <w:t>; 8:470-481.</w:t>
      </w:r>
    </w:p>
    <w:p w14:paraId="24DBCD07" w14:textId="1EFE1EA7" w:rsidR="001A52AB" w:rsidRPr="00233FA0" w:rsidRDefault="001A52AB" w:rsidP="001A52AB">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sidRPr="001A52AB">
        <w:rPr>
          <w:rFonts w:ascii="Times New Roman" w:eastAsia="Times New Roman" w:hAnsi="Times New Roman" w:cs="Times New Roman"/>
          <w:sz w:val="24"/>
          <w:szCs w:val="24"/>
          <w:lang w:eastAsia="zh-CN"/>
        </w:rPr>
        <w:t xml:space="preserve">Schwartz A, Yamagishi K, Hirahara N, Onishi H, Barnes JI, Garcia M, ... Butler S. Risk perception n and risk attitudes in Tokyo: A report of the first administration of  DOSPERT+M in Japan. </w:t>
      </w:r>
      <w:r>
        <w:rPr>
          <w:rFonts w:ascii="Times New Roman" w:eastAsia="Times New Roman" w:hAnsi="Times New Roman" w:cs="Times New Roman"/>
          <w:sz w:val="24"/>
          <w:szCs w:val="24"/>
          <w:lang w:eastAsia="zh-CN"/>
        </w:rPr>
        <w:t>2013.</w:t>
      </w:r>
      <w:r w:rsidRPr="001A52AB">
        <w:rPr>
          <w:rFonts w:asciiTheme="majorBidi" w:hAnsiTheme="majorBidi" w:cstheme="majorBidi"/>
          <w:sz w:val="24"/>
          <w:szCs w:val="24"/>
          <w:lang w:val="en-US"/>
        </w:rPr>
        <w:t xml:space="preserve"> </w:t>
      </w:r>
      <w:r>
        <w:rPr>
          <w:rFonts w:asciiTheme="majorBidi" w:hAnsiTheme="majorBidi" w:cstheme="majorBidi"/>
          <w:sz w:val="24"/>
          <w:szCs w:val="24"/>
          <w:lang w:val="en-US"/>
        </w:rPr>
        <w:t>Judg Dec Mak;</w:t>
      </w:r>
      <w:r w:rsidRPr="001A52AB">
        <w:rPr>
          <w:rFonts w:ascii="Times New Roman" w:eastAsia="Times New Roman" w:hAnsi="Times New Roman" w:cs="Times New Roman"/>
          <w:sz w:val="24"/>
          <w:szCs w:val="24"/>
          <w:lang w:eastAsia="zh-CN"/>
        </w:rPr>
        <w:t xml:space="preserve"> 8</w:t>
      </w:r>
      <w:r>
        <w:rPr>
          <w:rFonts w:ascii="Times New Roman" w:eastAsia="Times New Roman" w:hAnsi="Times New Roman" w:cs="Times New Roman"/>
          <w:sz w:val="24"/>
          <w:szCs w:val="24"/>
          <w:lang w:eastAsia="zh-CN"/>
        </w:rPr>
        <w:t>:</w:t>
      </w:r>
      <w:r w:rsidRPr="001A52AB">
        <w:rPr>
          <w:rFonts w:ascii="Times New Roman" w:eastAsia="Times New Roman" w:hAnsi="Times New Roman" w:cs="Times New Roman"/>
          <w:sz w:val="24"/>
          <w:szCs w:val="24"/>
          <w:lang w:eastAsia="zh-CN"/>
        </w:rPr>
        <w:t xml:space="preserve"> 691–699</w:t>
      </w:r>
      <w:r w:rsidR="00233FA0">
        <w:rPr>
          <w:rFonts w:ascii="Times New Roman" w:eastAsia="Times New Roman" w:hAnsi="Times New Roman" w:cs="Times New Roman"/>
          <w:sz w:val="24"/>
          <w:szCs w:val="24"/>
          <w:lang w:eastAsia="zh-CN"/>
        </w:rPr>
        <w:t xml:space="preserve">. </w:t>
      </w:r>
    </w:p>
    <w:p w14:paraId="15EAB0DB" w14:textId="07A1C8D6" w:rsidR="00233FA0" w:rsidRPr="00233FA0" w:rsidRDefault="00233FA0" w:rsidP="003B2604">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sidRPr="00233FA0">
        <w:rPr>
          <w:rFonts w:asciiTheme="majorBidi" w:hAnsiTheme="majorBidi" w:cstheme="majorBidi"/>
          <w:sz w:val="24"/>
          <w:szCs w:val="24"/>
        </w:rPr>
        <w:t xml:space="preserve">Freund AM, Blanchard-Fields F. Age-related differences in altruism across adulthood: Making personal financial gain versus contributing to the public good. </w:t>
      </w:r>
      <w:r>
        <w:rPr>
          <w:rFonts w:asciiTheme="majorBidi" w:hAnsiTheme="majorBidi" w:cstheme="majorBidi"/>
          <w:sz w:val="24"/>
          <w:szCs w:val="24"/>
        </w:rPr>
        <w:t xml:space="preserve">2014. </w:t>
      </w:r>
      <w:r w:rsidRPr="00233FA0">
        <w:rPr>
          <w:rStyle w:val="Emphasis"/>
          <w:rFonts w:asciiTheme="majorBidi" w:hAnsiTheme="majorBidi" w:cstheme="majorBidi"/>
          <w:i w:val="0"/>
          <w:iCs w:val="0"/>
          <w:sz w:val="24"/>
          <w:szCs w:val="24"/>
        </w:rPr>
        <w:t>Develop Psych</w:t>
      </w:r>
      <w:r w:rsidRPr="00233FA0">
        <w:rPr>
          <w:rFonts w:asciiTheme="majorBidi" w:hAnsiTheme="majorBidi" w:cstheme="majorBidi"/>
          <w:sz w:val="24"/>
          <w:szCs w:val="24"/>
        </w:rPr>
        <w:t>;</w:t>
      </w:r>
      <w:r w:rsidRPr="00233FA0">
        <w:rPr>
          <w:rFonts w:asciiTheme="majorBidi" w:hAnsiTheme="majorBidi" w:cstheme="majorBidi"/>
          <w:i/>
          <w:iCs/>
          <w:sz w:val="24"/>
          <w:szCs w:val="24"/>
        </w:rPr>
        <w:t xml:space="preserve"> </w:t>
      </w:r>
      <w:r w:rsidRPr="00233FA0">
        <w:rPr>
          <w:rStyle w:val="Emphasis"/>
          <w:rFonts w:asciiTheme="majorBidi" w:hAnsiTheme="majorBidi" w:cstheme="majorBidi"/>
          <w:i w:val="0"/>
          <w:iCs w:val="0"/>
          <w:sz w:val="24"/>
          <w:szCs w:val="24"/>
        </w:rPr>
        <w:t>50:</w:t>
      </w:r>
      <w:r w:rsidRPr="00233FA0">
        <w:rPr>
          <w:rFonts w:asciiTheme="majorBidi" w:hAnsiTheme="majorBidi" w:cstheme="majorBidi"/>
          <w:sz w:val="24"/>
          <w:szCs w:val="24"/>
        </w:rPr>
        <w:t xml:space="preserve"> 1125-1136. doi:10.1037/a0034491</w:t>
      </w:r>
    </w:p>
    <w:p w14:paraId="49B282C2" w14:textId="1F55592A" w:rsidR="00157BAC" w:rsidRPr="001A52AB" w:rsidRDefault="00157BAC" w:rsidP="006D7563">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sidRPr="001A52AB">
        <w:rPr>
          <w:rFonts w:asciiTheme="majorBidi" w:hAnsiTheme="majorBidi" w:cstheme="majorBidi"/>
          <w:sz w:val="24"/>
          <w:szCs w:val="24"/>
          <w:lang w:val="en-US"/>
        </w:rPr>
        <w:t xml:space="preserve">Bish A, Yardley L, Nicoll A, Michie S. Factors associated with uptake of vaccination against pandemic influenza: </w:t>
      </w:r>
      <w:r w:rsidR="00DA2A9A" w:rsidRPr="001A52AB">
        <w:rPr>
          <w:rFonts w:asciiTheme="majorBidi" w:hAnsiTheme="majorBidi" w:cstheme="majorBidi"/>
          <w:sz w:val="24"/>
          <w:szCs w:val="24"/>
          <w:lang w:val="en-US"/>
        </w:rPr>
        <w:t xml:space="preserve">A </w:t>
      </w:r>
      <w:r w:rsidRPr="001A52AB">
        <w:rPr>
          <w:rFonts w:asciiTheme="majorBidi" w:hAnsiTheme="majorBidi" w:cstheme="majorBidi"/>
          <w:sz w:val="24"/>
          <w:szCs w:val="24"/>
          <w:lang w:val="en-US"/>
        </w:rPr>
        <w:t xml:space="preserve">systematic review. </w:t>
      </w:r>
      <w:r w:rsidRPr="001A52AB">
        <w:rPr>
          <w:rFonts w:asciiTheme="majorBidi" w:hAnsiTheme="majorBidi" w:cstheme="majorBidi"/>
          <w:iCs/>
          <w:sz w:val="24"/>
          <w:szCs w:val="24"/>
          <w:lang w:val="en-US"/>
        </w:rPr>
        <w:t>Vaccine</w:t>
      </w:r>
      <w:r w:rsidR="006D7563" w:rsidRPr="001A52AB">
        <w:rPr>
          <w:rFonts w:asciiTheme="majorBidi" w:hAnsiTheme="majorBidi" w:cstheme="majorBidi"/>
          <w:iCs/>
          <w:sz w:val="24"/>
          <w:szCs w:val="24"/>
          <w:lang w:val="en-US"/>
        </w:rPr>
        <w:t>. 2011;</w:t>
      </w:r>
      <w:r w:rsidRPr="001A52AB">
        <w:rPr>
          <w:rFonts w:asciiTheme="majorBidi" w:hAnsiTheme="majorBidi" w:cstheme="majorBidi"/>
          <w:iCs/>
          <w:sz w:val="24"/>
          <w:szCs w:val="24"/>
          <w:lang w:val="en-US"/>
        </w:rPr>
        <w:t xml:space="preserve"> 29</w:t>
      </w:r>
      <w:r w:rsidR="006D7563" w:rsidRPr="001A52AB">
        <w:rPr>
          <w:rFonts w:asciiTheme="majorBidi" w:hAnsiTheme="majorBidi" w:cstheme="majorBidi"/>
          <w:iCs/>
          <w:sz w:val="24"/>
          <w:szCs w:val="24"/>
          <w:lang w:val="en-US"/>
        </w:rPr>
        <w:t>:</w:t>
      </w:r>
      <w:r w:rsidRPr="001A52AB">
        <w:rPr>
          <w:rFonts w:asciiTheme="majorBidi" w:hAnsiTheme="majorBidi" w:cstheme="majorBidi"/>
          <w:sz w:val="24"/>
          <w:szCs w:val="24"/>
          <w:lang w:val="en-US"/>
        </w:rPr>
        <w:t xml:space="preserve"> 6472–6484. </w:t>
      </w:r>
      <w:r w:rsidR="00797E62" w:rsidRPr="001A52AB">
        <w:rPr>
          <w:rFonts w:asciiTheme="majorBidi" w:hAnsiTheme="majorBidi" w:cstheme="majorBidi"/>
          <w:sz w:val="24"/>
          <w:szCs w:val="24"/>
          <w:lang w:val="en-US"/>
        </w:rPr>
        <w:t>doi:</w:t>
      </w:r>
      <w:r w:rsidRPr="001A52AB">
        <w:rPr>
          <w:rFonts w:asciiTheme="majorBidi" w:hAnsiTheme="majorBidi" w:cstheme="majorBidi"/>
          <w:sz w:val="24"/>
          <w:szCs w:val="24"/>
          <w:lang w:val="en-US"/>
        </w:rPr>
        <w:t>10.1016/j.vaccine.2011.06.107</w:t>
      </w:r>
    </w:p>
    <w:p w14:paraId="4CB59F8F" w14:textId="5BF0D759" w:rsidR="00A52041" w:rsidRPr="00EE355E" w:rsidRDefault="00A52041" w:rsidP="006D7563">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sidRPr="00EE355E">
        <w:rPr>
          <w:rFonts w:asciiTheme="majorBidi" w:hAnsiTheme="majorBidi" w:cstheme="majorBidi"/>
          <w:sz w:val="24"/>
          <w:szCs w:val="24"/>
          <w:lang w:val="en-US"/>
        </w:rPr>
        <w:t xml:space="preserve">Raymark P. Accepting or rejecting medical treatment: A comparison of decisions made for self versus those made for significant other. </w:t>
      </w:r>
      <w:r w:rsidRPr="006D7563">
        <w:rPr>
          <w:rFonts w:asciiTheme="majorBidi" w:hAnsiTheme="majorBidi" w:cstheme="majorBidi"/>
          <w:sz w:val="24"/>
          <w:szCs w:val="24"/>
          <w:lang w:val="en-US"/>
        </w:rPr>
        <w:t>J Appl Soc Psycho</w:t>
      </w:r>
      <w:r w:rsidR="006D7563">
        <w:rPr>
          <w:rFonts w:asciiTheme="majorBidi" w:hAnsiTheme="majorBidi" w:cstheme="majorBidi"/>
          <w:sz w:val="24"/>
          <w:szCs w:val="24"/>
          <w:lang w:val="en-US"/>
        </w:rPr>
        <w:t xml:space="preserve">. 2000; </w:t>
      </w:r>
      <w:r w:rsidRPr="006D7563">
        <w:rPr>
          <w:rFonts w:asciiTheme="majorBidi" w:hAnsiTheme="majorBidi" w:cstheme="majorBidi"/>
          <w:sz w:val="24"/>
          <w:szCs w:val="24"/>
          <w:lang w:val="en-US"/>
        </w:rPr>
        <w:t>30</w:t>
      </w:r>
      <w:r w:rsidR="006D7563">
        <w:rPr>
          <w:rFonts w:asciiTheme="majorBidi" w:hAnsiTheme="majorBidi" w:cstheme="majorBidi"/>
          <w:sz w:val="24"/>
          <w:szCs w:val="24"/>
          <w:lang w:val="en-US"/>
        </w:rPr>
        <w:t>:</w:t>
      </w:r>
      <w:r w:rsidRPr="00EE355E">
        <w:rPr>
          <w:rFonts w:asciiTheme="majorBidi" w:hAnsiTheme="majorBidi" w:cstheme="majorBidi"/>
          <w:sz w:val="24"/>
          <w:szCs w:val="24"/>
          <w:lang w:val="en-US"/>
        </w:rPr>
        <w:t xml:space="preserve"> 2409-2436. doi:10.1111/j.1559-1816.2000.tb02443.x</w:t>
      </w:r>
    </w:p>
    <w:p w14:paraId="424211F6" w14:textId="1B7E1157" w:rsidR="00A52041" w:rsidRPr="00EE355E" w:rsidRDefault="00694862" w:rsidP="00694862">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Pr>
          <w:rFonts w:asciiTheme="majorBidi" w:hAnsiTheme="majorBidi" w:cstheme="majorBidi"/>
          <w:sz w:val="24"/>
          <w:szCs w:val="24"/>
          <w:lang w:val="en-US"/>
        </w:rPr>
        <w:t>Suhl</w:t>
      </w:r>
      <w:r w:rsidR="00A52041" w:rsidRPr="00EE355E">
        <w:rPr>
          <w:rFonts w:asciiTheme="majorBidi" w:hAnsiTheme="majorBidi" w:cstheme="majorBidi"/>
          <w:sz w:val="24"/>
          <w:szCs w:val="24"/>
          <w:lang w:val="en-US"/>
        </w:rPr>
        <w:t xml:space="preserve"> J, Simons P, Reedy T, Ganick T. Myth of substituted judgment: Surrogate decision making regarding life support is unreliable. </w:t>
      </w:r>
      <w:r w:rsidR="00A52041" w:rsidRPr="00694862">
        <w:rPr>
          <w:rFonts w:asciiTheme="majorBidi" w:hAnsiTheme="majorBidi" w:cstheme="majorBidi"/>
          <w:sz w:val="24"/>
          <w:szCs w:val="24"/>
          <w:lang w:val="en-US"/>
        </w:rPr>
        <w:t>Archiv</w:t>
      </w:r>
      <w:r>
        <w:rPr>
          <w:rFonts w:asciiTheme="majorBidi" w:hAnsiTheme="majorBidi" w:cstheme="majorBidi"/>
          <w:sz w:val="24"/>
          <w:szCs w:val="24"/>
          <w:lang w:val="en-US"/>
        </w:rPr>
        <w:t xml:space="preserve"> </w:t>
      </w:r>
      <w:r w:rsidR="00A52041" w:rsidRPr="00694862">
        <w:rPr>
          <w:rFonts w:asciiTheme="majorBidi" w:hAnsiTheme="majorBidi" w:cstheme="majorBidi"/>
          <w:sz w:val="24"/>
          <w:szCs w:val="24"/>
          <w:lang w:val="en-US"/>
        </w:rPr>
        <w:t>Inter Med</w:t>
      </w:r>
      <w:r>
        <w:rPr>
          <w:rFonts w:asciiTheme="majorBidi" w:hAnsiTheme="majorBidi" w:cstheme="majorBidi"/>
          <w:sz w:val="24"/>
          <w:szCs w:val="24"/>
          <w:lang w:val="en-US"/>
        </w:rPr>
        <w:t>. 1994:</w:t>
      </w:r>
      <w:r w:rsidR="00A52041" w:rsidRPr="00694862">
        <w:rPr>
          <w:rFonts w:asciiTheme="majorBidi" w:hAnsiTheme="majorBidi" w:cstheme="majorBidi"/>
          <w:sz w:val="24"/>
          <w:szCs w:val="24"/>
          <w:lang w:val="en-US"/>
        </w:rPr>
        <w:t xml:space="preserve"> 154</w:t>
      </w:r>
      <w:r>
        <w:rPr>
          <w:rFonts w:asciiTheme="majorBidi" w:hAnsiTheme="majorBidi" w:cstheme="majorBidi"/>
          <w:sz w:val="24"/>
          <w:szCs w:val="24"/>
          <w:lang w:val="en-US"/>
        </w:rPr>
        <w:t>:</w:t>
      </w:r>
      <w:r w:rsidR="00A52041" w:rsidRPr="00EE355E">
        <w:rPr>
          <w:rFonts w:asciiTheme="majorBidi" w:hAnsiTheme="majorBidi" w:cstheme="majorBidi"/>
          <w:sz w:val="24"/>
          <w:szCs w:val="24"/>
          <w:lang w:val="en-US"/>
        </w:rPr>
        <w:t xml:space="preserve"> 90–96. </w:t>
      </w:r>
    </w:p>
    <w:p w14:paraId="64B9F4F9" w14:textId="240427F0" w:rsidR="00A52041" w:rsidRPr="00EE355E" w:rsidRDefault="00A52041" w:rsidP="00694862">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sidRPr="00EE355E">
        <w:rPr>
          <w:rFonts w:asciiTheme="majorBidi" w:hAnsiTheme="majorBidi" w:cstheme="majorBidi"/>
          <w:sz w:val="24"/>
          <w:szCs w:val="24"/>
          <w:lang w:val="en-US"/>
        </w:rPr>
        <w:t xml:space="preserve">Weinstein ND, Kwitel A, McCaul K, Magnan RE, Gerrard M, Gibbons FX. Risk perceptions: Assessment and relationship to influenza vaccination. </w:t>
      </w:r>
      <w:r w:rsidRPr="00694862">
        <w:rPr>
          <w:rFonts w:asciiTheme="majorBidi" w:hAnsiTheme="majorBidi" w:cstheme="majorBidi"/>
          <w:sz w:val="24"/>
          <w:szCs w:val="24"/>
          <w:lang w:val="en-US"/>
        </w:rPr>
        <w:t>Heal Psycho</w:t>
      </w:r>
      <w:r w:rsidR="00694862">
        <w:rPr>
          <w:rFonts w:asciiTheme="majorBidi" w:hAnsiTheme="majorBidi" w:cstheme="majorBidi"/>
          <w:sz w:val="24"/>
          <w:szCs w:val="24"/>
          <w:lang w:val="en-US"/>
        </w:rPr>
        <w:t>. 2007;</w:t>
      </w:r>
      <w:r w:rsidRPr="00694862">
        <w:rPr>
          <w:rFonts w:asciiTheme="majorBidi" w:hAnsiTheme="majorBidi" w:cstheme="majorBidi"/>
          <w:sz w:val="24"/>
          <w:szCs w:val="24"/>
          <w:lang w:val="en-US"/>
        </w:rPr>
        <w:t xml:space="preserve"> 26</w:t>
      </w:r>
      <w:r w:rsidR="00694862">
        <w:rPr>
          <w:rFonts w:asciiTheme="majorBidi" w:hAnsiTheme="majorBidi" w:cstheme="majorBidi"/>
          <w:sz w:val="24"/>
          <w:szCs w:val="24"/>
          <w:lang w:val="en-US"/>
        </w:rPr>
        <w:t>:</w:t>
      </w:r>
      <w:r w:rsidRPr="00EE355E">
        <w:rPr>
          <w:rFonts w:asciiTheme="majorBidi" w:hAnsiTheme="majorBidi" w:cstheme="majorBidi"/>
          <w:sz w:val="24"/>
          <w:szCs w:val="24"/>
          <w:lang w:val="en-US"/>
        </w:rPr>
        <w:t xml:space="preserve"> 146–151. doi:10.1037/0278-6133.26.2.146</w:t>
      </w:r>
    </w:p>
    <w:p w14:paraId="1BFCC482" w14:textId="3A3887B9" w:rsidR="00A52041" w:rsidRPr="00EE355E" w:rsidRDefault="00A52041" w:rsidP="00DF3EDF">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sidRPr="00DF3EDF">
        <w:rPr>
          <w:rFonts w:asciiTheme="majorBidi" w:hAnsiTheme="majorBidi" w:cstheme="majorBidi"/>
          <w:sz w:val="24"/>
          <w:szCs w:val="24"/>
          <w:lang w:val="en-US"/>
        </w:rPr>
        <w:t xml:space="preserve">Gigerenzer G, Gaissmaier W, Kurz-Milcke E, Schwartz LM,  Woloshin S. </w:t>
      </w:r>
      <w:r w:rsidRPr="00EE355E">
        <w:rPr>
          <w:rFonts w:asciiTheme="majorBidi" w:hAnsiTheme="majorBidi" w:cstheme="majorBidi"/>
          <w:sz w:val="24"/>
          <w:szCs w:val="24"/>
          <w:lang w:val="en-US"/>
        </w:rPr>
        <w:t xml:space="preserve">Helping doctors and patients make sense of health statistics. </w:t>
      </w:r>
      <w:r w:rsidRPr="00DF3EDF">
        <w:rPr>
          <w:rFonts w:asciiTheme="majorBidi" w:hAnsiTheme="majorBidi" w:cstheme="majorBidi"/>
          <w:iCs/>
          <w:sz w:val="24"/>
          <w:szCs w:val="24"/>
          <w:lang w:val="en-US"/>
        </w:rPr>
        <w:t>Psycholo Scien Pub Inter</w:t>
      </w:r>
      <w:r w:rsidR="00DF3EDF">
        <w:rPr>
          <w:rFonts w:asciiTheme="majorBidi" w:hAnsiTheme="majorBidi" w:cstheme="majorBidi"/>
          <w:iCs/>
          <w:sz w:val="24"/>
          <w:szCs w:val="24"/>
          <w:lang w:val="en-US"/>
        </w:rPr>
        <w:t xml:space="preserve">. 2007; </w:t>
      </w:r>
      <w:r w:rsidRPr="00DF3EDF">
        <w:rPr>
          <w:rFonts w:asciiTheme="majorBidi" w:hAnsiTheme="majorBidi" w:cstheme="majorBidi"/>
          <w:iCs/>
          <w:sz w:val="24"/>
          <w:szCs w:val="24"/>
          <w:lang w:val="en-US"/>
        </w:rPr>
        <w:t>8</w:t>
      </w:r>
      <w:r w:rsidR="00DF3EDF">
        <w:rPr>
          <w:rFonts w:asciiTheme="majorBidi" w:hAnsiTheme="majorBidi" w:cstheme="majorBidi"/>
          <w:iCs/>
          <w:sz w:val="24"/>
          <w:szCs w:val="24"/>
          <w:lang w:val="en-US"/>
        </w:rPr>
        <w:t>:</w:t>
      </w:r>
      <w:r w:rsidRPr="00EE355E">
        <w:rPr>
          <w:rFonts w:asciiTheme="majorBidi" w:hAnsiTheme="majorBidi" w:cstheme="majorBidi"/>
          <w:sz w:val="24"/>
          <w:szCs w:val="24"/>
          <w:lang w:val="en-US"/>
        </w:rPr>
        <w:t xml:space="preserve"> 53–96. doi:</w:t>
      </w:r>
      <w:r w:rsidRPr="00EE355E">
        <w:rPr>
          <w:rStyle w:val="slug-doi"/>
          <w:rFonts w:asciiTheme="majorBidi" w:hAnsiTheme="majorBidi" w:cstheme="majorBidi"/>
          <w:sz w:val="24"/>
          <w:szCs w:val="24"/>
          <w:lang w:val="en-US"/>
        </w:rPr>
        <w:t>10.1111/j.1539-6053.2008.00033.x</w:t>
      </w:r>
    </w:p>
    <w:p w14:paraId="61A644F7" w14:textId="4046765C" w:rsidR="00A52041" w:rsidRPr="00EE355E" w:rsidRDefault="00A52041" w:rsidP="00AD141C">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sidRPr="00EE355E">
        <w:rPr>
          <w:rFonts w:asciiTheme="majorBidi" w:hAnsiTheme="majorBidi" w:cstheme="majorBidi"/>
          <w:sz w:val="24"/>
          <w:szCs w:val="24"/>
          <w:lang w:val="en-US"/>
        </w:rPr>
        <w:t>Carman, K. G., &amp; Kooreman, P.</w:t>
      </w:r>
      <w:r w:rsidR="00AD141C">
        <w:rPr>
          <w:rFonts w:asciiTheme="majorBidi" w:hAnsiTheme="majorBidi" w:cstheme="majorBidi"/>
          <w:sz w:val="24"/>
          <w:szCs w:val="24"/>
          <w:lang w:val="en-US"/>
        </w:rPr>
        <w:t xml:space="preserve"> (2011)</w:t>
      </w:r>
      <w:r w:rsidRPr="00EE355E">
        <w:rPr>
          <w:rFonts w:asciiTheme="majorBidi" w:hAnsiTheme="majorBidi" w:cstheme="majorBidi"/>
          <w:sz w:val="24"/>
          <w:szCs w:val="24"/>
          <w:lang w:val="en-US"/>
        </w:rPr>
        <w:t xml:space="preserve">. </w:t>
      </w:r>
      <w:r w:rsidRPr="00AD141C">
        <w:rPr>
          <w:rFonts w:asciiTheme="majorBidi" w:hAnsiTheme="majorBidi" w:cstheme="majorBidi"/>
          <w:iCs/>
          <w:sz w:val="24"/>
          <w:szCs w:val="24"/>
          <w:lang w:val="en-US"/>
        </w:rPr>
        <w:t xml:space="preserve">Flu shots, mammograms, and the perception of probabilities </w:t>
      </w:r>
      <w:r w:rsidRPr="00EE355E">
        <w:rPr>
          <w:rFonts w:asciiTheme="majorBidi" w:hAnsiTheme="majorBidi" w:cstheme="majorBidi"/>
          <w:sz w:val="24"/>
          <w:szCs w:val="24"/>
          <w:lang w:val="en-US"/>
        </w:rPr>
        <w:t xml:space="preserve">(IZA Discussion Paper No. 5739). </w:t>
      </w:r>
      <w:r w:rsidR="00AD141C">
        <w:rPr>
          <w:rFonts w:asciiTheme="majorBidi" w:hAnsiTheme="majorBidi" w:cstheme="majorBidi"/>
          <w:sz w:val="24"/>
          <w:szCs w:val="24"/>
          <w:lang w:val="en-US"/>
        </w:rPr>
        <w:t>Available from</w:t>
      </w:r>
      <w:r w:rsidRPr="00EE355E">
        <w:rPr>
          <w:rFonts w:asciiTheme="majorBidi" w:hAnsiTheme="majorBidi" w:cstheme="majorBidi"/>
          <w:sz w:val="24"/>
          <w:szCs w:val="24"/>
          <w:lang w:val="en-US"/>
        </w:rPr>
        <w:t xml:space="preserve"> http://ftp.iza.org/dp5739.pdf </w:t>
      </w:r>
    </w:p>
    <w:p w14:paraId="1B051FE9" w14:textId="77777777" w:rsidR="00DC42D5" w:rsidRPr="00DC42D5" w:rsidRDefault="00E926AA" w:rsidP="00BA4EBE">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sidRPr="00BA4EBE">
        <w:rPr>
          <w:rFonts w:asciiTheme="majorBidi" w:hAnsiTheme="majorBidi" w:cstheme="majorBidi"/>
          <w:sz w:val="24"/>
          <w:szCs w:val="24"/>
          <w:lang w:val="en-US"/>
        </w:rPr>
        <w:t xml:space="preserve">Rolison JR, Wood S, Hanoch Y, Liu P.-J. Subjective numeracy scale as a tool for assessing statistical numeracy in older adult populations. </w:t>
      </w:r>
      <w:r w:rsidRPr="00BA4EBE">
        <w:rPr>
          <w:rFonts w:asciiTheme="majorBidi" w:hAnsiTheme="majorBidi" w:cstheme="majorBidi"/>
          <w:iCs/>
          <w:sz w:val="24"/>
          <w:szCs w:val="24"/>
        </w:rPr>
        <w:t>Gerontology</w:t>
      </w:r>
      <w:r w:rsidR="00C66ADD" w:rsidRPr="00BA4EBE">
        <w:rPr>
          <w:rFonts w:asciiTheme="majorBidi" w:hAnsiTheme="majorBidi" w:cstheme="majorBidi"/>
          <w:iCs/>
          <w:sz w:val="24"/>
          <w:szCs w:val="24"/>
        </w:rPr>
        <w:t>. 2013;</w:t>
      </w:r>
      <w:r w:rsidRPr="00BA4EBE">
        <w:rPr>
          <w:rFonts w:asciiTheme="majorBidi" w:hAnsiTheme="majorBidi" w:cstheme="majorBidi"/>
          <w:iCs/>
          <w:sz w:val="24"/>
          <w:szCs w:val="24"/>
        </w:rPr>
        <w:t xml:space="preserve"> 59</w:t>
      </w:r>
      <w:r w:rsidR="00C66ADD" w:rsidRPr="00BA4EBE">
        <w:rPr>
          <w:rFonts w:asciiTheme="majorBidi" w:hAnsiTheme="majorBidi" w:cstheme="majorBidi"/>
          <w:iCs/>
          <w:sz w:val="24"/>
          <w:szCs w:val="24"/>
        </w:rPr>
        <w:t>:</w:t>
      </w:r>
      <w:r w:rsidRPr="00BA4EBE">
        <w:rPr>
          <w:rFonts w:asciiTheme="majorBidi" w:hAnsiTheme="majorBidi" w:cstheme="majorBidi"/>
          <w:sz w:val="24"/>
          <w:szCs w:val="24"/>
        </w:rPr>
        <w:t xml:space="preserve"> 283–288. doi:10.1159/000345797</w:t>
      </w:r>
    </w:p>
    <w:p w14:paraId="61770E11" w14:textId="1CE12C50" w:rsidR="00DC42D5" w:rsidRPr="00DC42D5" w:rsidRDefault="00DC42D5" w:rsidP="00DC42D5">
      <w:pPr>
        <w:pStyle w:val="ListParagraph"/>
        <w:widowControl w:val="0"/>
        <w:numPr>
          <w:ilvl w:val="0"/>
          <w:numId w:val="4"/>
        </w:numPr>
        <w:autoSpaceDE w:val="0"/>
        <w:autoSpaceDN w:val="0"/>
        <w:adjustRightInd w:val="0"/>
        <w:spacing w:after="0" w:line="480" w:lineRule="auto"/>
        <w:ind w:left="714" w:hanging="357"/>
        <w:rPr>
          <w:sz w:val="24"/>
          <w:szCs w:val="24"/>
        </w:rPr>
      </w:pPr>
      <w:r w:rsidRPr="00DC42D5">
        <w:rPr>
          <w:rFonts w:ascii="Times New Roman" w:hAnsi="Times New Roman" w:cs="Times New Roman"/>
          <w:sz w:val="24"/>
          <w:szCs w:val="24"/>
          <w:lang w:val="en-US"/>
        </w:rPr>
        <w:t xml:space="preserve"> Huff</w:t>
      </w:r>
      <w:r>
        <w:rPr>
          <w:rFonts w:ascii="Times New Roman" w:hAnsi="Times New Roman" w:cs="Times New Roman"/>
          <w:sz w:val="24"/>
          <w:szCs w:val="24"/>
          <w:lang w:val="en-US"/>
        </w:rPr>
        <w:t xml:space="preserve"> C, </w:t>
      </w:r>
      <w:r w:rsidRPr="00DC42D5">
        <w:rPr>
          <w:rFonts w:ascii="Times New Roman" w:hAnsi="Times New Roman" w:cs="Times New Roman"/>
          <w:sz w:val="24"/>
          <w:szCs w:val="24"/>
          <w:lang w:val="en-US"/>
        </w:rPr>
        <w:t xml:space="preserve"> Tingley</w:t>
      </w:r>
      <w:r>
        <w:rPr>
          <w:rFonts w:ascii="Times New Roman" w:hAnsi="Times New Roman" w:cs="Times New Roman"/>
          <w:sz w:val="24"/>
          <w:szCs w:val="24"/>
          <w:lang w:val="en-US"/>
        </w:rPr>
        <w:t xml:space="preserve"> D.</w:t>
      </w:r>
      <w:r w:rsidRPr="00DC42D5">
        <w:rPr>
          <w:rFonts w:ascii="Times New Roman" w:hAnsi="Times New Roman" w:cs="Times New Roman"/>
          <w:sz w:val="24"/>
          <w:szCs w:val="24"/>
          <w:lang w:val="en-US"/>
        </w:rPr>
        <w:t xml:space="preserve"> . “Who are these people?” Evaluatingthe demographic characteristics and political preferences of MTurk survey respondents. </w:t>
      </w:r>
      <w:r>
        <w:rPr>
          <w:rFonts w:ascii="Times New Roman" w:hAnsi="Times New Roman" w:cs="Times New Roman"/>
          <w:sz w:val="24"/>
          <w:szCs w:val="24"/>
          <w:lang w:val="en-US"/>
        </w:rPr>
        <w:t xml:space="preserve">2015. </w:t>
      </w:r>
      <w:r w:rsidRPr="00DC42D5">
        <w:rPr>
          <w:rFonts w:ascii="Times New Roman" w:hAnsi="Times New Roman" w:cs="Times New Roman"/>
          <w:sz w:val="24"/>
          <w:szCs w:val="24"/>
          <w:lang w:val="en-US"/>
        </w:rPr>
        <w:t>Research and Politics</w:t>
      </w:r>
      <w:r>
        <w:rPr>
          <w:rFonts w:ascii="Times New Roman" w:hAnsi="Times New Roman" w:cs="Times New Roman"/>
          <w:sz w:val="24"/>
          <w:szCs w:val="24"/>
          <w:lang w:val="en-US"/>
        </w:rPr>
        <w:t>;</w:t>
      </w:r>
      <w:r w:rsidRPr="00DC42D5">
        <w:rPr>
          <w:rFonts w:ascii="Times New Roman" w:hAnsi="Times New Roman" w:cs="Times New Roman"/>
          <w:sz w:val="24"/>
          <w:szCs w:val="24"/>
          <w:lang w:val="en-US"/>
        </w:rPr>
        <w:t xml:space="preserve"> 1–12. DOI: 10.1177/2053168015604648</w:t>
      </w:r>
    </w:p>
    <w:p w14:paraId="58182648" w14:textId="2EA5E8D7" w:rsidR="00FF4D7F" w:rsidRPr="00DC42D5" w:rsidRDefault="00FF4D7F" w:rsidP="00BA4EBE">
      <w:pPr>
        <w:pStyle w:val="ListParagraph"/>
        <w:numPr>
          <w:ilvl w:val="0"/>
          <w:numId w:val="4"/>
        </w:numPr>
        <w:autoSpaceDE w:val="0"/>
        <w:autoSpaceDN w:val="0"/>
        <w:adjustRightInd w:val="0"/>
        <w:spacing w:after="0" w:line="480" w:lineRule="auto"/>
        <w:rPr>
          <w:rFonts w:asciiTheme="majorBidi" w:hAnsiTheme="majorBidi" w:cstheme="majorBidi"/>
          <w:sz w:val="24"/>
          <w:szCs w:val="24"/>
          <w:lang w:val="en-US"/>
        </w:rPr>
      </w:pPr>
      <w:r w:rsidRPr="00DC42D5">
        <w:rPr>
          <w:rFonts w:asciiTheme="majorBidi" w:hAnsiTheme="majorBidi" w:cstheme="majorBidi"/>
          <w:sz w:val="24"/>
          <w:szCs w:val="24"/>
          <w:lang w:val="en-US"/>
        </w:rPr>
        <w:br w:type="page"/>
      </w:r>
    </w:p>
    <w:p w14:paraId="0B10DED0" w14:textId="674A6BA1" w:rsidR="00DA669C" w:rsidRPr="00DA669C" w:rsidRDefault="00FF4D7F" w:rsidP="00622510">
      <w:pPr>
        <w:tabs>
          <w:tab w:val="left" w:pos="2430"/>
        </w:tabs>
        <w:spacing w:after="0"/>
        <w:ind w:firstLine="567"/>
        <w:rPr>
          <w:rFonts w:ascii="Times New Roman" w:hAnsi="Times New Roman"/>
          <w:sz w:val="24"/>
          <w:szCs w:val="24"/>
          <w:lang w:val="en-US"/>
        </w:rPr>
      </w:pPr>
      <w:r w:rsidRPr="008910B4">
        <w:rPr>
          <w:rFonts w:ascii="Times New Roman" w:hAnsi="Times New Roman"/>
          <w:sz w:val="24"/>
          <w:szCs w:val="24"/>
          <w:lang w:val="en-US"/>
        </w:rPr>
        <w:t>Table 1</w:t>
      </w:r>
    </w:p>
    <w:p w14:paraId="056DBB7A" w14:textId="01DB2601" w:rsidR="00C97186" w:rsidRPr="008910B4" w:rsidRDefault="00FF4D7F" w:rsidP="00622510">
      <w:pPr>
        <w:tabs>
          <w:tab w:val="left" w:pos="2430"/>
        </w:tabs>
        <w:spacing w:after="0"/>
        <w:ind w:firstLine="567"/>
        <w:rPr>
          <w:rFonts w:asciiTheme="majorBidi" w:hAnsiTheme="majorBidi" w:cstheme="majorBidi"/>
          <w:i/>
          <w:sz w:val="24"/>
          <w:szCs w:val="24"/>
          <w:lang w:val="en-US"/>
        </w:rPr>
      </w:pPr>
      <w:r w:rsidRPr="008910B4">
        <w:rPr>
          <w:rFonts w:ascii="Times New Roman" w:hAnsi="Times New Roman"/>
          <w:i/>
          <w:sz w:val="24"/>
          <w:szCs w:val="24"/>
          <w:lang w:val="en-US"/>
        </w:rPr>
        <w:t xml:space="preserve">Pearson </w:t>
      </w:r>
      <w:r w:rsidR="00DA669C" w:rsidRPr="00DA669C">
        <w:rPr>
          <w:rFonts w:ascii="Times New Roman" w:hAnsi="Times New Roman"/>
          <w:i/>
          <w:sz w:val="24"/>
          <w:szCs w:val="24"/>
          <w:lang w:val="en-US"/>
        </w:rPr>
        <w:t>Correlations</w:t>
      </w:r>
    </w:p>
    <w:tbl>
      <w:tblPr>
        <w:tblW w:w="8470" w:type="dxa"/>
        <w:jc w:val="center"/>
        <w:tblLayout w:type="fixed"/>
        <w:tblLook w:val="04A0" w:firstRow="1" w:lastRow="0" w:firstColumn="1" w:lastColumn="0" w:noHBand="0" w:noVBand="1"/>
      </w:tblPr>
      <w:tblGrid>
        <w:gridCol w:w="2185"/>
        <w:gridCol w:w="1245"/>
        <w:gridCol w:w="1260"/>
        <w:gridCol w:w="1260"/>
        <w:gridCol w:w="1260"/>
        <w:gridCol w:w="1260"/>
      </w:tblGrid>
      <w:tr w:rsidR="00C91386" w:rsidRPr="00516108" w14:paraId="1136503A" w14:textId="77777777" w:rsidTr="008910B4">
        <w:trPr>
          <w:trHeight w:val="70"/>
          <w:tblHeader/>
          <w:jc w:val="center"/>
        </w:trPr>
        <w:tc>
          <w:tcPr>
            <w:tcW w:w="2185" w:type="dxa"/>
            <w:tcBorders>
              <w:top w:val="single" w:sz="4" w:space="0" w:color="auto"/>
              <w:bottom w:val="single" w:sz="4" w:space="0" w:color="000000"/>
            </w:tcBorders>
            <w:shd w:val="clear" w:color="auto" w:fill="auto"/>
          </w:tcPr>
          <w:p w14:paraId="2DF4F648" w14:textId="49CFDB5E" w:rsidR="00C91386" w:rsidRPr="00516108" w:rsidRDefault="00C820A9" w:rsidP="00622510">
            <w:pPr>
              <w:spacing w:after="0"/>
              <w:rPr>
                <w:rFonts w:ascii="Times New Roman" w:hAnsi="Times New Roman"/>
                <w:sz w:val="24"/>
                <w:szCs w:val="24"/>
                <w:lang w:val="en-US"/>
              </w:rPr>
            </w:pPr>
            <w:r>
              <w:rPr>
                <w:rFonts w:ascii="Times New Roman" w:hAnsi="Times New Roman"/>
                <w:sz w:val="24"/>
                <w:szCs w:val="24"/>
                <w:lang w:val="en-US"/>
              </w:rPr>
              <w:t>Measure</w:t>
            </w:r>
          </w:p>
        </w:tc>
        <w:tc>
          <w:tcPr>
            <w:tcW w:w="1245" w:type="dxa"/>
            <w:tcBorders>
              <w:top w:val="single" w:sz="4" w:space="0" w:color="000000"/>
              <w:bottom w:val="single" w:sz="4" w:space="0" w:color="000000"/>
            </w:tcBorders>
            <w:shd w:val="clear" w:color="auto" w:fill="auto"/>
          </w:tcPr>
          <w:p w14:paraId="2998E440"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Age</w:t>
            </w:r>
          </w:p>
        </w:tc>
        <w:tc>
          <w:tcPr>
            <w:tcW w:w="1260" w:type="dxa"/>
            <w:tcBorders>
              <w:top w:val="single" w:sz="4" w:space="0" w:color="000000"/>
              <w:bottom w:val="single" w:sz="4" w:space="0" w:color="000000"/>
            </w:tcBorders>
          </w:tcPr>
          <w:p w14:paraId="697938A6"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Numeracy</w:t>
            </w:r>
          </w:p>
        </w:tc>
        <w:tc>
          <w:tcPr>
            <w:tcW w:w="1260" w:type="dxa"/>
            <w:tcBorders>
              <w:top w:val="single" w:sz="4" w:space="0" w:color="000000"/>
              <w:bottom w:val="single" w:sz="4" w:space="0" w:color="000000"/>
            </w:tcBorders>
            <w:shd w:val="clear" w:color="auto" w:fill="auto"/>
          </w:tcPr>
          <w:p w14:paraId="6A7F2A7E"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Risk perception</w:t>
            </w:r>
          </w:p>
        </w:tc>
        <w:tc>
          <w:tcPr>
            <w:tcW w:w="1260" w:type="dxa"/>
            <w:tcBorders>
              <w:top w:val="single" w:sz="4" w:space="0" w:color="000000"/>
              <w:bottom w:val="single" w:sz="4" w:space="0" w:color="000000"/>
            </w:tcBorders>
            <w:shd w:val="clear" w:color="auto" w:fill="auto"/>
          </w:tcPr>
          <w:p w14:paraId="2B8E1D15"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Expected benefits</w:t>
            </w:r>
          </w:p>
        </w:tc>
        <w:tc>
          <w:tcPr>
            <w:tcW w:w="1260" w:type="dxa"/>
            <w:tcBorders>
              <w:top w:val="single" w:sz="4" w:space="0" w:color="000000"/>
              <w:bottom w:val="single" w:sz="4" w:space="0" w:color="000000"/>
            </w:tcBorders>
            <w:shd w:val="clear" w:color="auto" w:fill="auto"/>
          </w:tcPr>
          <w:p w14:paraId="05FE8B65" w14:textId="2D0FF55A"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Active risk</w:t>
            </w:r>
            <w:r w:rsidR="00C820A9">
              <w:rPr>
                <w:rFonts w:ascii="Times New Roman" w:hAnsi="Times New Roman"/>
                <w:sz w:val="24"/>
                <w:szCs w:val="24"/>
                <w:lang w:val="en-US"/>
              </w:rPr>
              <w:t xml:space="preserve"> </w:t>
            </w:r>
            <w:r w:rsidRPr="00516108">
              <w:rPr>
                <w:rFonts w:ascii="Times New Roman" w:hAnsi="Times New Roman"/>
                <w:sz w:val="24"/>
                <w:szCs w:val="24"/>
                <w:lang w:val="en-US"/>
              </w:rPr>
              <w:t>taking</w:t>
            </w:r>
          </w:p>
        </w:tc>
      </w:tr>
      <w:tr w:rsidR="00C91386" w:rsidRPr="00516108" w14:paraId="0950852A" w14:textId="77777777" w:rsidTr="00C0574B">
        <w:trPr>
          <w:jc w:val="center"/>
        </w:trPr>
        <w:tc>
          <w:tcPr>
            <w:tcW w:w="2185" w:type="dxa"/>
            <w:tcBorders>
              <w:top w:val="single" w:sz="4" w:space="0" w:color="000000"/>
            </w:tcBorders>
            <w:shd w:val="clear" w:color="auto" w:fill="auto"/>
          </w:tcPr>
          <w:p w14:paraId="6BB06CD3" w14:textId="77777777" w:rsidR="00C91386" w:rsidRPr="00516108" w:rsidRDefault="00C91386" w:rsidP="00622510">
            <w:pPr>
              <w:spacing w:after="0"/>
              <w:rPr>
                <w:rFonts w:ascii="Times New Roman" w:hAnsi="Times New Roman"/>
                <w:sz w:val="24"/>
                <w:szCs w:val="24"/>
                <w:lang w:val="en-US"/>
              </w:rPr>
            </w:pPr>
            <w:r w:rsidRPr="00516108">
              <w:rPr>
                <w:rFonts w:ascii="Times New Roman" w:hAnsi="Times New Roman"/>
                <w:sz w:val="24"/>
                <w:szCs w:val="24"/>
                <w:lang w:val="en-US"/>
              </w:rPr>
              <w:t>Age</w:t>
            </w:r>
          </w:p>
        </w:tc>
        <w:tc>
          <w:tcPr>
            <w:tcW w:w="1245" w:type="dxa"/>
            <w:tcBorders>
              <w:top w:val="single" w:sz="4" w:space="0" w:color="000000"/>
            </w:tcBorders>
            <w:shd w:val="clear" w:color="auto" w:fill="auto"/>
            <w:vAlign w:val="center"/>
          </w:tcPr>
          <w:p w14:paraId="6A4BDDD9"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w:t>
            </w:r>
          </w:p>
        </w:tc>
        <w:tc>
          <w:tcPr>
            <w:tcW w:w="1260" w:type="dxa"/>
            <w:tcBorders>
              <w:top w:val="single" w:sz="4" w:space="0" w:color="000000"/>
            </w:tcBorders>
            <w:vAlign w:val="center"/>
          </w:tcPr>
          <w:p w14:paraId="7B8AD021" w14:textId="77777777" w:rsidR="00C91386" w:rsidRPr="00516108" w:rsidRDefault="00C91386" w:rsidP="00622510">
            <w:pPr>
              <w:spacing w:after="0"/>
              <w:jc w:val="center"/>
              <w:rPr>
                <w:rFonts w:ascii="Times New Roman" w:hAnsi="Times New Roman"/>
                <w:sz w:val="24"/>
                <w:szCs w:val="24"/>
                <w:lang w:val="en-US"/>
              </w:rPr>
            </w:pPr>
          </w:p>
        </w:tc>
        <w:tc>
          <w:tcPr>
            <w:tcW w:w="1260" w:type="dxa"/>
            <w:tcBorders>
              <w:top w:val="single" w:sz="4" w:space="0" w:color="000000"/>
            </w:tcBorders>
            <w:shd w:val="clear" w:color="auto" w:fill="auto"/>
          </w:tcPr>
          <w:p w14:paraId="175F7D53" w14:textId="77777777" w:rsidR="00C91386" w:rsidRPr="00516108" w:rsidRDefault="00C91386" w:rsidP="00622510">
            <w:pPr>
              <w:spacing w:after="0"/>
              <w:rPr>
                <w:rFonts w:ascii="Times New Roman" w:hAnsi="Times New Roman"/>
                <w:sz w:val="24"/>
                <w:szCs w:val="24"/>
                <w:lang w:val="en-US"/>
              </w:rPr>
            </w:pPr>
          </w:p>
        </w:tc>
        <w:tc>
          <w:tcPr>
            <w:tcW w:w="1260" w:type="dxa"/>
            <w:tcBorders>
              <w:top w:val="single" w:sz="4" w:space="0" w:color="000000"/>
            </w:tcBorders>
            <w:shd w:val="clear" w:color="auto" w:fill="auto"/>
            <w:vAlign w:val="center"/>
          </w:tcPr>
          <w:p w14:paraId="45578C07" w14:textId="77777777" w:rsidR="00C91386" w:rsidRPr="00516108" w:rsidRDefault="00C91386" w:rsidP="00622510">
            <w:pPr>
              <w:spacing w:after="0"/>
              <w:jc w:val="center"/>
              <w:rPr>
                <w:rFonts w:ascii="Times New Roman" w:hAnsi="Times New Roman"/>
                <w:color w:val="000000"/>
                <w:sz w:val="24"/>
                <w:szCs w:val="24"/>
                <w:lang w:val="en-US"/>
              </w:rPr>
            </w:pPr>
          </w:p>
        </w:tc>
        <w:tc>
          <w:tcPr>
            <w:tcW w:w="1260" w:type="dxa"/>
            <w:tcBorders>
              <w:top w:val="single" w:sz="4" w:space="0" w:color="000000"/>
            </w:tcBorders>
            <w:shd w:val="clear" w:color="auto" w:fill="auto"/>
            <w:vAlign w:val="center"/>
          </w:tcPr>
          <w:p w14:paraId="4AA3CF32" w14:textId="77777777" w:rsidR="00C91386" w:rsidRPr="00516108" w:rsidRDefault="00C91386" w:rsidP="00622510">
            <w:pPr>
              <w:spacing w:after="0"/>
              <w:jc w:val="center"/>
              <w:rPr>
                <w:rFonts w:ascii="Times New Roman" w:hAnsi="Times New Roman"/>
                <w:color w:val="000000"/>
                <w:sz w:val="24"/>
                <w:szCs w:val="24"/>
                <w:lang w:val="en-US"/>
              </w:rPr>
            </w:pPr>
          </w:p>
        </w:tc>
      </w:tr>
      <w:tr w:rsidR="00C91386" w:rsidRPr="00516108" w14:paraId="49CB0ADB" w14:textId="77777777" w:rsidTr="00C0574B">
        <w:trPr>
          <w:jc w:val="center"/>
        </w:trPr>
        <w:tc>
          <w:tcPr>
            <w:tcW w:w="2185" w:type="dxa"/>
            <w:shd w:val="clear" w:color="auto" w:fill="auto"/>
          </w:tcPr>
          <w:p w14:paraId="7111411F" w14:textId="77777777" w:rsidR="00C91386" w:rsidRPr="00516108" w:rsidRDefault="00C91386" w:rsidP="00622510">
            <w:pPr>
              <w:spacing w:after="0"/>
              <w:rPr>
                <w:rFonts w:ascii="Times New Roman" w:hAnsi="Times New Roman"/>
                <w:sz w:val="24"/>
                <w:szCs w:val="24"/>
                <w:lang w:val="en-US"/>
              </w:rPr>
            </w:pPr>
            <w:r w:rsidRPr="00516108">
              <w:rPr>
                <w:rFonts w:ascii="Times New Roman" w:hAnsi="Times New Roman"/>
                <w:sz w:val="24"/>
                <w:szCs w:val="24"/>
                <w:lang w:val="en-US"/>
              </w:rPr>
              <w:t>Numeracy</w:t>
            </w:r>
          </w:p>
        </w:tc>
        <w:tc>
          <w:tcPr>
            <w:tcW w:w="1245" w:type="dxa"/>
            <w:shd w:val="clear" w:color="auto" w:fill="auto"/>
            <w:vAlign w:val="center"/>
          </w:tcPr>
          <w:p w14:paraId="3DFC2A30"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-.04</w:t>
            </w:r>
          </w:p>
        </w:tc>
        <w:tc>
          <w:tcPr>
            <w:tcW w:w="1260" w:type="dxa"/>
            <w:vAlign w:val="center"/>
          </w:tcPr>
          <w:p w14:paraId="0DEB4AE2"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w:t>
            </w:r>
          </w:p>
        </w:tc>
        <w:tc>
          <w:tcPr>
            <w:tcW w:w="1260" w:type="dxa"/>
            <w:shd w:val="clear" w:color="auto" w:fill="auto"/>
          </w:tcPr>
          <w:p w14:paraId="16A4729B" w14:textId="77777777" w:rsidR="00C91386" w:rsidRPr="00516108" w:rsidRDefault="00C91386" w:rsidP="00622510">
            <w:pPr>
              <w:spacing w:after="0"/>
              <w:rPr>
                <w:rFonts w:ascii="Times New Roman" w:hAnsi="Times New Roman"/>
                <w:sz w:val="24"/>
                <w:szCs w:val="24"/>
                <w:lang w:val="en-US"/>
              </w:rPr>
            </w:pPr>
          </w:p>
        </w:tc>
        <w:tc>
          <w:tcPr>
            <w:tcW w:w="1260" w:type="dxa"/>
            <w:shd w:val="clear" w:color="auto" w:fill="auto"/>
            <w:vAlign w:val="center"/>
          </w:tcPr>
          <w:p w14:paraId="3DCD681F" w14:textId="77777777" w:rsidR="00C91386" w:rsidRPr="00516108" w:rsidRDefault="00C91386" w:rsidP="00622510">
            <w:pPr>
              <w:spacing w:after="0"/>
              <w:jc w:val="center"/>
              <w:rPr>
                <w:rFonts w:ascii="Times New Roman" w:hAnsi="Times New Roman"/>
                <w:color w:val="000000"/>
                <w:sz w:val="24"/>
                <w:szCs w:val="24"/>
                <w:lang w:val="en-US"/>
              </w:rPr>
            </w:pPr>
          </w:p>
        </w:tc>
        <w:tc>
          <w:tcPr>
            <w:tcW w:w="1260" w:type="dxa"/>
            <w:shd w:val="clear" w:color="auto" w:fill="auto"/>
            <w:vAlign w:val="center"/>
          </w:tcPr>
          <w:p w14:paraId="0C202F80" w14:textId="77777777" w:rsidR="00C91386" w:rsidRPr="00516108" w:rsidRDefault="00C91386" w:rsidP="00622510">
            <w:pPr>
              <w:spacing w:after="0"/>
              <w:jc w:val="center"/>
              <w:rPr>
                <w:rFonts w:ascii="Times New Roman" w:hAnsi="Times New Roman"/>
                <w:color w:val="000000"/>
                <w:sz w:val="24"/>
                <w:szCs w:val="24"/>
                <w:lang w:val="en-US"/>
              </w:rPr>
            </w:pPr>
          </w:p>
        </w:tc>
      </w:tr>
      <w:tr w:rsidR="00C91386" w:rsidRPr="00516108" w14:paraId="2E10A976" w14:textId="77777777" w:rsidTr="00C0574B">
        <w:trPr>
          <w:jc w:val="center"/>
        </w:trPr>
        <w:tc>
          <w:tcPr>
            <w:tcW w:w="2185" w:type="dxa"/>
            <w:shd w:val="clear" w:color="auto" w:fill="auto"/>
          </w:tcPr>
          <w:p w14:paraId="0D6C46BB" w14:textId="77777777" w:rsidR="00C91386" w:rsidRPr="00516108" w:rsidRDefault="00C91386" w:rsidP="00622510">
            <w:pPr>
              <w:spacing w:after="0"/>
              <w:rPr>
                <w:rFonts w:ascii="Times New Roman" w:hAnsi="Times New Roman"/>
                <w:sz w:val="24"/>
                <w:szCs w:val="24"/>
                <w:lang w:val="en-US"/>
              </w:rPr>
            </w:pPr>
            <w:r w:rsidRPr="00516108">
              <w:rPr>
                <w:rFonts w:ascii="Times New Roman" w:hAnsi="Times New Roman"/>
                <w:sz w:val="24"/>
                <w:szCs w:val="24"/>
                <w:lang w:val="en-US"/>
              </w:rPr>
              <w:t>Risk perception</w:t>
            </w:r>
          </w:p>
        </w:tc>
        <w:tc>
          <w:tcPr>
            <w:tcW w:w="1245" w:type="dxa"/>
            <w:shd w:val="clear" w:color="auto" w:fill="auto"/>
            <w:vAlign w:val="center"/>
          </w:tcPr>
          <w:p w14:paraId="0DE23F3D"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-.05</w:t>
            </w:r>
          </w:p>
        </w:tc>
        <w:tc>
          <w:tcPr>
            <w:tcW w:w="1260" w:type="dxa"/>
            <w:vAlign w:val="center"/>
          </w:tcPr>
          <w:p w14:paraId="3BA0CFB1"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-.15*</w:t>
            </w:r>
          </w:p>
        </w:tc>
        <w:tc>
          <w:tcPr>
            <w:tcW w:w="1260" w:type="dxa"/>
            <w:shd w:val="clear" w:color="auto" w:fill="auto"/>
          </w:tcPr>
          <w:p w14:paraId="234C8C8C"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w:t>
            </w:r>
          </w:p>
        </w:tc>
        <w:tc>
          <w:tcPr>
            <w:tcW w:w="1260" w:type="dxa"/>
            <w:shd w:val="clear" w:color="auto" w:fill="auto"/>
            <w:vAlign w:val="center"/>
          </w:tcPr>
          <w:p w14:paraId="4AB8A921" w14:textId="77777777" w:rsidR="00C91386" w:rsidRPr="00516108" w:rsidRDefault="00C91386" w:rsidP="00622510">
            <w:pPr>
              <w:spacing w:after="0"/>
              <w:jc w:val="center"/>
              <w:rPr>
                <w:rFonts w:ascii="Times New Roman" w:hAnsi="Times New Roman"/>
                <w:color w:val="000000"/>
                <w:sz w:val="24"/>
                <w:szCs w:val="24"/>
                <w:lang w:val="en-US"/>
              </w:rPr>
            </w:pPr>
          </w:p>
        </w:tc>
        <w:tc>
          <w:tcPr>
            <w:tcW w:w="1260" w:type="dxa"/>
            <w:shd w:val="clear" w:color="auto" w:fill="auto"/>
            <w:vAlign w:val="center"/>
          </w:tcPr>
          <w:p w14:paraId="293D41C3" w14:textId="77777777" w:rsidR="00C91386" w:rsidRPr="00516108" w:rsidRDefault="00C91386" w:rsidP="00622510">
            <w:pPr>
              <w:spacing w:after="0"/>
              <w:jc w:val="center"/>
              <w:rPr>
                <w:rFonts w:ascii="Times New Roman" w:hAnsi="Times New Roman"/>
                <w:color w:val="000000"/>
                <w:sz w:val="24"/>
                <w:szCs w:val="24"/>
                <w:lang w:val="en-US"/>
              </w:rPr>
            </w:pPr>
          </w:p>
        </w:tc>
      </w:tr>
      <w:tr w:rsidR="00C91386" w:rsidRPr="00516108" w14:paraId="26703810" w14:textId="77777777" w:rsidTr="00C0574B">
        <w:trPr>
          <w:jc w:val="center"/>
        </w:trPr>
        <w:tc>
          <w:tcPr>
            <w:tcW w:w="2185" w:type="dxa"/>
            <w:shd w:val="clear" w:color="auto" w:fill="auto"/>
          </w:tcPr>
          <w:p w14:paraId="5041E29E" w14:textId="77777777" w:rsidR="00C91386" w:rsidRPr="00516108" w:rsidRDefault="00C91386" w:rsidP="00622510">
            <w:pPr>
              <w:spacing w:after="0"/>
              <w:rPr>
                <w:rFonts w:ascii="Times New Roman" w:hAnsi="Times New Roman"/>
                <w:sz w:val="24"/>
                <w:szCs w:val="24"/>
                <w:lang w:val="en-US"/>
              </w:rPr>
            </w:pPr>
            <w:r w:rsidRPr="00516108">
              <w:rPr>
                <w:rFonts w:ascii="Times New Roman" w:hAnsi="Times New Roman"/>
                <w:sz w:val="24"/>
                <w:szCs w:val="24"/>
                <w:lang w:val="en-US"/>
              </w:rPr>
              <w:t>Expected benefits</w:t>
            </w:r>
          </w:p>
        </w:tc>
        <w:tc>
          <w:tcPr>
            <w:tcW w:w="1245" w:type="dxa"/>
            <w:shd w:val="clear" w:color="auto" w:fill="auto"/>
            <w:vAlign w:val="center"/>
          </w:tcPr>
          <w:p w14:paraId="0A9F9D92"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-.09</w:t>
            </w:r>
          </w:p>
        </w:tc>
        <w:tc>
          <w:tcPr>
            <w:tcW w:w="1260" w:type="dxa"/>
            <w:vAlign w:val="center"/>
          </w:tcPr>
          <w:p w14:paraId="286C992C"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-.06</w:t>
            </w:r>
          </w:p>
        </w:tc>
        <w:tc>
          <w:tcPr>
            <w:tcW w:w="1260" w:type="dxa"/>
            <w:shd w:val="clear" w:color="auto" w:fill="auto"/>
          </w:tcPr>
          <w:p w14:paraId="693CEA20"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-.26**</w:t>
            </w:r>
          </w:p>
        </w:tc>
        <w:tc>
          <w:tcPr>
            <w:tcW w:w="1260" w:type="dxa"/>
            <w:shd w:val="clear" w:color="auto" w:fill="auto"/>
            <w:vAlign w:val="center"/>
          </w:tcPr>
          <w:p w14:paraId="60EEAFDB" w14:textId="77777777" w:rsidR="00C91386" w:rsidRPr="00516108" w:rsidRDefault="00C91386" w:rsidP="00622510">
            <w:pPr>
              <w:spacing w:after="0"/>
              <w:jc w:val="center"/>
              <w:rPr>
                <w:rFonts w:ascii="Times New Roman" w:hAnsi="Times New Roman"/>
                <w:color w:val="000000"/>
                <w:sz w:val="24"/>
                <w:szCs w:val="24"/>
                <w:lang w:val="en-US"/>
              </w:rPr>
            </w:pPr>
            <w:r w:rsidRPr="00516108">
              <w:rPr>
                <w:rFonts w:ascii="Times New Roman" w:hAnsi="Times New Roman"/>
                <w:sz w:val="24"/>
                <w:szCs w:val="24"/>
                <w:lang w:val="en-US"/>
              </w:rPr>
              <w:t>–</w:t>
            </w:r>
          </w:p>
        </w:tc>
        <w:tc>
          <w:tcPr>
            <w:tcW w:w="1260" w:type="dxa"/>
            <w:shd w:val="clear" w:color="auto" w:fill="auto"/>
            <w:vAlign w:val="center"/>
          </w:tcPr>
          <w:p w14:paraId="3FDD436B" w14:textId="77777777" w:rsidR="00C91386" w:rsidRPr="00516108" w:rsidRDefault="00C91386" w:rsidP="00622510">
            <w:pPr>
              <w:spacing w:after="0"/>
              <w:jc w:val="center"/>
              <w:rPr>
                <w:rFonts w:ascii="Times New Roman" w:hAnsi="Times New Roman"/>
                <w:color w:val="000000"/>
                <w:sz w:val="24"/>
                <w:szCs w:val="24"/>
                <w:lang w:val="en-US"/>
              </w:rPr>
            </w:pPr>
          </w:p>
        </w:tc>
      </w:tr>
      <w:tr w:rsidR="00C91386" w:rsidRPr="00516108" w14:paraId="4FD2454F" w14:textId="77777777" w:rsidTr="00C0574B">
        <w:trPr>
          <w:jc w:val="center"/>
        </w:trPr>
        <w:tc>
          <w:tcPr>
            <w:tcW w:w="2185" w:type="dxa"/>
            <w:shd w:val="clear" w:color="auto" w:fill="auto"/>
          </w:tcPr>
          <w:p w14:paraId="3A238FA3" w14:textId="58444CD2" w:rsidR="00C91386" w:rsidRPr="00516108" w:rsidRDefault="00C91386" w:rsidP="00622510">
            <w:pPr>
              <w:spacing w:after="0"/>
              <w:rPr>
                <w:rFonts w:ascii="Times New Roman" w:hAnsi="Times New Roman"/>
                <w:sz w:val="24"/>
                <w:szCs w:val="24"/>
                <w:lang w:val="en-US"/>
              </w:rPr>
            </w:pPr>
            <w:r w:rsidRPr="00516108">
              <w:rPr>
                <w:rFonts w:ascii="Times New Roman" w:hAnsi="Times New Roman"/>
                <w:sz w:val="24"/>
                <w:szCs w:val="24"/>
                <w:lang w:val="en-US"/>
              </w:rPr>
              <w:t>Active risk</w:t>
            </w:r>
            <w:r w:rsidR="00C820A9">
              <w:rPr>
                <w:rFonts w:ascii="Times New Roman" w:hAnsi="Times New Roman"/>
                <w:sz w:val="24"/>
                <w:szCs w:val="24"/>
                <w:lang w:val="en-US"/>
              </w:rPr>
              <w:t xml:space="preserve"> </w:t>
            </w:r>
            <w:r w:rsidRPr="00516108">
              <w:rPr>
                <w:rFonts w:ascii="Times New Roman" w:hAnsi="Times New Roman"/>
                <w:sz w:val="24"/>
                <w:szCs w:val="24"/>
                <w:lang w:val="en-US"/>
              </w:rPr>
              <w:t>taking</w:t>
            </w:r>
          </w:p>
        </w:tc>
        <w:tc>
          <w:tcPr>
            <w:tcW w:w="1245" w:type="dxa"/>
            <w:shd w:val="clear" w:color="auto" w:fill="auto"/>
            <w:vAlign w:val="center"/>
          </w:tcPr>
          <w:p w14:paraId="014A212F"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-.04</w:t>
            </w:r>
          </w:p>
        </w:tc>
        <w:tc>
          <w:tcPr>
            <w:tcW w:w="1260" w:type="dxa"/>
            <w:vAlign w:val="center"/>
          </w:tcPr>
          <w:p w14:paraId="13E7A7B2"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-.06</w:t>
            </w:r>
          </w:p>
        </w:tc>
        <w:tc>
          <w:tcPr>
            <w:tcW w:w="1260" w:type="dxa"/>
            <w:shd w:val="clear" w:color="auto" w:fill="auto"/>
          </w:tcPr>
          <w:p w14:paraId="3919242B"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-.38**</w:t>
            </w:r>
          </w:p>
        </w:tc>
        <w:tc>
          <w:tcPr>
            <w:tcW w:w="1260" w:type="dxa"/>
            <w:shd w:val="clear" w:color="auto" w:fill="auto"/>
            <w:vAlign w:val="center"/>
          </w:tcPr>
          <w:p w14:paraId="148D560F"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.57**</w:t>
            </w:r>
          </w:p>
        </w:tc>
        <w:tc>
          <w:tcPr>
            <w:tcW w:w="1260" w:type="dxa"/>
            <w:shd w:val="clear" w:color="auto" w:fill="auto"/>
            <w:vAlign w:val="center"/>
          </w:tcPr>
          <w:p w14:paraId="0D2B43BC"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w:t>
            </w:r>
          </w:p>
        </w:tc>
      </w:tr>
      <w:tr w:rsidR="00C91386" w:rsidRPr="00516108" w14:paraId="5F2F4EF2" w14:textId="77777777" w:rsidTr="00C0574B">
        <w:trPr>
          <w:jc w:val="center"/>
        </w:trPr>
        <w:tc>
          <w:tcPr>
            <w:tcW w:w="2185" w:type="dxa"/>
            <w:tcBorders>
              <w:bottom w:val="single" w:sz="4" w:space="0" w:color="auto"/>
            </w:tcBorders>
            <w:shd w:val="clear" w:color="auto" w:fill="auto"/>
          </w:tcPr>
          <w:p w14:paraId="50B9C283" w14:textId="4F43E6EF" w:rsidR="00C91386" w:rsidRPr="00516108" w:rsidRDefault="00C91386" w:rsidP="00622510">
            <w:pPr>
              <w:spacing w:after="0"/>
              <w:ind w:hanging="5"/>
              <w:rPr>
                <w:rFonts w:ascii="Times New Roman" w:hAnsi="Times New Roman"/>
                <w:sz w:val="24"/>
                <w:szCs w:val="24"/>
                <w:lang w:val="en-US"/>
              </w:rPr>
            </w:pPr>
            <w:r w:rsidRPr="00516108">
              <w:rPr>
                <w:rFonts w:ascii="Times New Roman" w:hAnsi="Times New Roman"/>
                <w:sz w:val="24"/>
                <w:szCs w:val="24"/>
                <w:lang w:val="en-US"/>
              </w:rPr>
              <w:t>Passive risk</w:t>
            </w:r>
            <w:r w:rsidR="00C820A9">
              <w:rPr>
                <w:rFonts w:ascii="Times New Roman" w:hAnsi="Times New Roman"/>
                <w:sz w:val="24"/>
                <w:szCs w:val="24"/>
                <w:lang w:val="en-US"/>
              </w:rPr>
              <w:t xml:space="preserve"> </w:t>
            </w:r>
            <w:r w:rsidRPr="00516108">
              <w:rPr>
                <w:rFonts w:ascii="Times New Roman" w:hAnsi="Times New Roman"/>
                <w:sz w:val="24"/>
                <w:szCs w:val="24"/>
                <w:lang w:val="en-US"/>
              </w:rPr>
              <w:t>taking</w:t>
            </w:r>
          </w:p>
        </w:tc>
        <w:tc>
          <w:tcPr>
            <w:tcW w:w="1245" w:type="dxa"/>
            <w:tcBorders>
              <w:bottom w:val="single" w:sz="4" w:space="0" w:color="auto"/>
            </w:tcBorders>
            <w:shd w:val="clear" w:color="auto" w:fill="auto"/>
            <w:vAlign w:val="center"/>
          </w:tcPr>
          <w:p w14:paraId="0167FB21"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-.12*</w:t>
            </w:r>
          </w:p>
        </w:tc>
        <w:tc>
          <w:tcPr>
            <w:tcW w:w="1260" w:type="dxa"/>
            <w:tcBorders>
              <w:bottom w:val="single" w:sz="4" w:space="0" w:color="auto"/>
            </w:tcBorders>
            <w:vAlign w:val="center"/>
          </w:tcPr>
          <w:p w14:paraId="0D19C4CF"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.15*</w:t>
            </w:r>
          </w:p>
        </w:tc>
        <w:tc>
          <w:tcPr>
            <w:tcW w:w="1260" w:type="dxa"/>
            <w:tcBorders>
              <w:bottom w:val="single" w:sz="4" w:space="0" w:color="auto"/>
            </w:tcBorders>
            <w:shd w:val="clear" w:color="auto" w:fill="auto"/>
          </w:tcPr>
          <w:p w14:paraId="309FE5EF" w14:textId="77777777" w:rsidR="00C91386" w:rsidRPr="00516108" w:rsidRDefault="00C91386" w:rsidP="00622510">
            <w:pPr>
              <w:spacing w:after="0"/>
              <w:ind w:hanging="5"/>
              <w:jc w:val="center"/>
              <w:rPr>
                <w:rFonts w:ascii="Times New Roman" w:hAnsi="Times New Roman"/>
                <w:sz w:val="24"/>
                <w:szCs w:val="24"/>
                <w:lang w:val="en-US"/>
              </w:rPr>
            </w:pPr>
            <w:r w:rsidRPr="00516108">
              <w:rPr>
                <w:rFonts w:ascii="Times New Roman" w:hAnsi="Times New Roman"/>
                <w:sz w:val="24"/>
                <w:szCs w:val="24"/>
                <w:lang w:val="en-US"/>
              </w:rPr>
              <w:t>-.02</w:t>
            </w:r>
          </w:p>
        </w:tc>
        <w:tc>
          <w:tcPr>
            <w:tcW w:w="1260" w:type="dxa"/>
            <w:tcBorders>
              <w:bottom w:val="single" w:sz="4" w:space="0" w:color="auto"/>
            </w:tcBorders>
            <w:shd w:val="clear" w:color="auto" w:fill="auto"/>
            <w:vAlign w:val="center"/>
          </w:tcPr>
          <w:p w14:paraId="0144D1AA"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-.23**</w:t>
            </w:r>
          </w:p>
        </w:tc>
        <w:tc>
          <w:tcPr>
            <w:tcW w:w="1260" w:type="dxa"/>
            <w:tcBorders>
              <w:bottom w:val="single" w:sz="4" w:space="0" w:color="auto"/>
            </w:tcBorders>
            <w:shd w:val="clear" w:color="auto" w:fill="auto"/>
            <w:vAlign w:val="center"/>
          </w:tcPr>
          <w:p w14:paraId="482C1BB2" w14:textId="77777777" w:rsidR="00C91386" w:rsidRPr="00516108" w:rsidRDefault="00C91386" w:rsidP="00622510">
            <w:pPr>
              <w:spacing w:after="0"/>
              <w:jc w:val="center"/>
              <w:rPr>
                <w:rFonts w:ascii="Times New Roman" w:hAnsi="Times New Roman"/>
                <w:sz w:val="24"/>
                <w:szCs w:val="24"/>
                <w:lang w:val="en-US"/>
              </w:rPr>
            </w:pPr>
            <w:r w:rsidRPr="00516108">
              <w:rPr>
                <w:rFonts w:ascii="Times New Roman" w:hAnsi="Times New Roman"/>
                <w:sz w:val="24"/>
                <w:szCs w:val="24"/>
                <w:lang w:val="en-US"/>
              </w:rPr>
              <w:t>-.26**</w:t>
            </w:r>
          </w:p>
        </w:tc>
      </w:tr>
    </w:tbl>
    <w:p w14:paraId="34F48E5B" w14:textId="7AFF4612" w:rsidR="00C91386" w:rsidRDefault="00C91386" w:rsidP="00622510">
      <w:pPr>
        <w:spacing w:after="0"/>
        <w:ind w:left="567"/>
        <w:rPr>
          <w:rFonts w:ascii="Times New Roman" w:hAnsi="Times New Roman"/>
          <w:sz w:val="24"/>
          <w:szCs w:val="24"/>
          <w:lang w:val="en-US"/>
        </w:rPr>
      </w:pPr>
      <w:r w:rsidRPr="00516108">
        <w:rPr>
          <w:rFonts w:ascii="Times New Roman" w:hAnsi="Times New Roman"/>
          <w:sz w:val="24"/>
          <w:szCs w:val="24"/>
          <w:lang w:val="en-US"/>
        </w:rPr>
        <w:t>*</w:t>
      </w:r>
      <w:r w:rsidRPr="00516108">
        <w:rPr>
          <w:rFonts w:ascii="Times New Roman" w:hAnsi="Times New Roman"/>
          <w:i/>
          <w:sz w:val="24"/>
          <w:szCs w:val="24"/>
          <w:lang w:val="en-US"/>
        </w:rPr>
        <w:t>p</w:t>
      </w:r>
      <w:r w:rsidRPr="00516108">
        <w:rPr>
          <w:rFonts w:ascii="Times New Roman" w:hAnsi="Times New Roman"/>
          <w:sz w:val="24"/>
          <w:szCs w:val="24"/>
          <w:lang w:val="en-US"/>
        </w:rPr>
        <w:t xml:space="preserve"> </w:t>
      </w:r>
      <w:r w:rsidRPr="00516108">
        <w:rPr>
          <w:rFonts w:ascii="Times New Roman" w:hAnsi="Times New Roman"/>
          <w:sz w:val="24"/>
          <w:szCs w:val="24"/>
          <w:u w:val="single"/>
          <w:lang w:val="en-US"/>
        </w:rPr>
        <w:t>&lt;</w:t>
      </w:r>
      <w:r w:rsidRPr="00516108">
        <w:rPr>
          <w:rFonts w:ascii="Times New Roman" w:hAnsi="Times New Roman"/>
          <w:sz w:val="24"/>
          <w:szCs w:val="24"/>
          <w:lang w:val="en-US"/>
        </w:rPr>
        <w:t xml:space="preserve"> .05</w:t>
      </w:r>
      <w:r w:rsidR="00C820A9">
        <w:rPr>
          <w:rFonts w:ascii="Times New Roman" w:hAnsi="Times New Roman"/>
          <w:sz w:val="24"/>
          <w:szCs w:val="24"/>
          <w:lang w:val="en-US"/>
        </w:rPr>
        <w:t>.</w:t>
      </w:r>
      <w:r w:rsidRPr="00516108">
        <w:rPr>
          <w:rFonts w:ascii="Times New Roman" w:hAnsi="Times New Roman"/>
          <w:sz w:val="24"/>
          <w:szCs w:val="24"/>
          <w:lang w:val="en-US"/>
        </w:rPr>
        <w:t xml:space="preserve"> **</w:t>
      </w:r>
      <w:r w:rsidRPr="00516108">
        <w:rPr>
          <w:rFonts w:ascii="Times New Roman" w:hAnsi="Times New Roman"/>
          <w:i/>
          <w:sz w:val="24"/>
          <w:szCs w:val="24"/>
          <w:lang w:val="en-US"/>
        </w:rPr>
        <w:t>p</w:t>
      </w:r>
      <w:r w:rsidRPr="00516108">
        <w:rPr>
          <w:rFonts w:ascii="Times New Roman" w:hAnsi="Times New Roman"/>
          <w:sz w:val="24"/>
          <w:szCs w:val="24"/>
          <w:lang w:val="en-US"/>
        </w:rPr>
        <w:t xml:space="preserve"> </w:t>
      </w:r>
      <w:r w:rsidRPr="00516108">
        <w:rPr>
          <w:rFonts w:ascii="Times New Roman" w:hAnsi="Times New Roman"/>
          <w:sz w:val="24"/>
          <w:szCs w:val="24"/>
          <w:u w:val="single"/>
          <w:lang w:val="en-US"/>
        </w:rPr>
        <w:t>&lt;</w:t>
      </w:r>
      <w:r w:rsidRPr="00516108">
        <w:rPr>
          <w:rFonts w:ascii="Times New Roman" w:hAnsi="Times New Roman"/>
          <w:sz w:val="24"/>
          <w:szCs w:val="24"/>
          <w:lang w:val="en-US"/>
        </w:rPr>
        <w:t xml:space="preserve"> .001.</w:t>
      </w:r>
    </w:p>
    <w:p w14:paraId="74FCB959" w14:textId="77777777" w:rsidR="00BE2F26" w:rsidRDefault="00BE2F26" w:rsidP="00622510">
      <w:pPr>
        <w:spacing w:after="0"/>
        <w:ind w:left="450"/>
        <w:rPr>
          <w:rFonts w:ascii="Times New Roman" w:hAnsi="Times New Roman"/>
          <w:sz w:val="24"/>
          <w:szCs w:val="24"/>
          <w:lang w:val="en-US"/>
        </w:rPr>
      </w:pPr>
    </w:p>
    <w:p w14:paraId="1E5F8970" w14:textId="77777777" w:rsidR="00BE2F26" w:rsidRDefault="00BE2F26" w:rsidP="00622510">
      <w:pPr>
        <w:spacing w:after="0"/>
        <w:ind w:left="450"/>
        <w:rPr>
          <w:rFonts w:ascii="Times New Roman" w:hAnsi="Times New Roman"/>
          <w:sz w:val="24"/>
          <w:szCs w:val="24"/>
          <w:lang w:val="en-US"/>
        </w:rPr>
      </w:pPr>
    </w:p>
    <w:p w14:paraId="52285C23" w14:textId="77777777" w:rsidR="00BE2F26" w:rsidRDefault="00BE2F26" w:rsidP="00622510">
      <w:pPr>
        <w:spacing w:after="0"/>
        <w:ind w:left="450"/>
        <w:rPr>
          <w:rFonts w:ascii="Times New Roman" w:hAnsi="Times New Roman"/>
          <w:sz w:val="24"/>
          <w:szCs w:val="24"/>
          <w:lang w:val="en-US"/>
        </w:rPr>
      </w:pPr>
    </w:p>
    <w:p w14:paraId="71638B5F" w14:textId="77777777" w:rsidR="00BE2F26" w:rsidRDefault="00BE2F26" w:rsidP="00622510">
      <w:pPr>
        <w:spacing w:after="0"/>
        <w:ind w:left="450"/>
        <w:rPr>
          <w:rFonts w:ascii="Times New Roman" w:hAnsi="Times New Roman"/>
          <w:sz w:val="24"/>
          <w:szCs w:val="24"/>
          <w:lang w:val="en-US"/>
        </w:rPr>
      </w:pPr>
    </w:p>
    <w:p w14:paraId="2BCDC96C" w14:textId="77777777" w:rsidR="00622510" w:rsidRDefault="00622510" w:rsidP="00622510">
      <w:pPr>
        <w:spacing w:after="0"/>
        <w:ind w:left="450"/>
        <w:rPr>
          <w:rFonts w:ascii="Times New Roman" w:hAnsi="Times New Roman"/>
          <w:sz w:val="24"/>
          <w:szCs w:val="24"/>
          <w:lang w:val="en-US"/>
        </w:rPr>
      </w:pPr>
    </w:p>
    <w:p w14:paraId="10B4FC78" w14:textId="77777777" w:rsidR="00622510" w:rsidRDefault="00622510" w:rsidP="00622510">
      <w:pPr>
        <w:spacing w:after="0"/>
        <w:ind w:left="450"/>
        <w:rPr>
          <w:rFonts w:ascii="Times New Roman" w:hAnsi="Times New Roman"/>
          <w:sz w:val="24"/>
          <w:szCs w:val="24"/>
          <w:lang w:val="en-US"/>
        </w:rPr>
      </w:pPr>
    </w:p>
    <w:p w14:paraId="0A463EF8" w14:textId="77777777" w:rsidR="00622510" w:rsidRDefault="00622510" w:rsidP="00622510">
      <w:pPr>
        <w:spacing w:after="0"/>
        <w:ind w:left="450"/>
        <w:rPr>
          <w:rFonts w:ascii="Times New Roman" w:hAnsi="Times New Roman"/>
          <w:sz w:val="24"/>
          <w:szCs w:val="24"/>
          <w:lang w:val="en-US"/>
        </w:rPr>
      </w:pPr>
    </w:p>
    <w:p w14:paraId="43EA6C7C" w14:textId="77777777" w:rsidR="00622510" w:rsidRDefault="00622510" w:rsidP="00622510">
      <w:pPr>
        <w:spacing w:after="0"/>
        <w:ind w:left="450"/>
        <w:rPr>
          <w:rFonts w:ascii="Times New Roman" w:hAnsi="Times New Roman"/>
          <w:sz w:val="24"/>
          <w:szCs w:val="24"/>
          <w:lang w:val="en-US"/>
        </w:rPr>
      </w:pPr>
    </w:p>
    <w:p w14:paraId="1350BA53" w14:textId="77777777" w:rsidR="00622510" w:rsidRDefault="00622510" w:rsidP="00622510">
      <w:pPr>
        <w:spacing w:after="0"/>
        <w:ind w:left="450"/>
        <w:rPr>
          <w:rFonts w:ascii="Times New Roman" w:hAnsi="Times New Roman"/>
          <w:sz w:val="24"/>
          <w:szCs w:val="24"/>
          <w:lang w:val="en-US"/>
        </w:rPr>
      </w:pPr>
    </w:p>
    <w:p w14:paraId="1B08BD80" w14:textId="77777777" w:rsidR="00622510" w:rsidRDefault="00622510" w:rsidP="00622510">
      <w:pPr>
        <w:spacing w:after="0"/>
        <w:ind w:left="450"/>
        <w:rPr>
          <w:rFonts w:ascii="Times New Roman" w:hAnsi="Times New Roman"/>
          <w:sz w:val="24"/>
          <w:szCs w:val="24"/>
          <w:lang w:val="en-US"/>
        </w:rPr>
      </w:pPr>
    </w:p>
    <w:p w14:paraId="395A8595" w14:textId="77777777" w:rsidR="00622510" w:rsidRDefault="00622510" w:rsidP="00622510">
      <w:pPr>
        <w:spacing w:after="0"/>
        <w:ind w:left="450"/>
        <w:rPr>
          <w:rFonts w:ascii="Times New Roman" w:hAnsi="Times New Roman"/>
          <w:sz w:val="24"/>
          <w:szCs w:val="24"/>
          <w:lang w:val="en-US"/>
        </w:rPr>
      </w:pPr>
    </w:p>
    <w:p w14:paraId="60C373CD" w14:textId="77777777" w:rsidR="00622510" w:rsidRDefault="00622510" w:rsidP="00622510">
      <w:pPr>
        <w:spacing w:after="0"/>
        <w:ind w:left="450"/>
        <w:rPr>
          <w:rFonts w:ascii="Times New Roman" w:hAnsi="Times New Roman"/>
          <w:sz w:val="24"/>
          <w:szCs w:val="24"/>
          <w:lang w:val="en-US"/>
        </w:rPr>
      </w:pPr>
    </w:p>
    <w:p w14:paraId="453E7509" w14:textId="77777777" w:rsidR="00622510" w:rsidRDefault="00622510" w:rsidP="00622510">
      <w:pPr>
        <w:spacing w:after="0"/>
        <w:ind w:left="450"/>
        <w:rPr>
          <w:rFonts w:ascii="Times New Roman" w:hAnsi="Times New Roman"/>
          <w:sz w:val="24"/>
          <w:szCs w:val="24"/>
          <w:lang w:val="en-US"/>
        </w:rPr>
      </w:pPr>
    </w:p>
    <w:p w14:paraId="081CB3E3" w14:textId="77777777" w:rsidR="00622510" w:rsidRDefault="00622510" w:rsidP="00622510">
      <w:pPr>
        <w:spacing w:after="0"/>
        <w:ind w:left="450"/>
        <w:rPr>
          <w:rFonts w:ascii="Times New Roman" w:hAnsi="Times New Roman"/>
          <w:sz w:val="24"/>
          <w:szCs w:val="24"/>
          <w:lang w:val="en-US"/>
        </w:rPr>
      </w:pPr>
    </w:p>
    <w:p w14:paraId="502DC83B" w14:textId="77777777" w:rsidR="00622510" w:rsidRDefault="00622510" w:rsidP="00622510">
      <w:pPr>
        <w:spacing w:after="0"/>
        <w:ind w:left="450"/>
        <w:rPr>
          <w:rFonts w:ascii="Times New Roman" w:hAnsi="Times New Roman"/>
          <w:sz w:val="24"/>
          <w:szCs w:val="24"/>
          <w:lang w:val="en-US"/>
        </w:rPr>
      </w:pPr>
    </w:p>
    <w:p w14:paraId="07676531" w14:textId="77777777" w:rsidR="00622510" w:rsidRDefault="00622510" w:rsidP="00622510">
      <w:pPr>
        <w:spacing w:after="0"/>
        <w:ind w:left="450"/>
        <w:rPr>
          <w:rFonts w:ascii="Times New Roman" w:hAnsi="Times New Roman"/>
          <w:sz w:val="24"/>
          <w:szCs w:val="24"/>
          <w:lang w:val="en-US"/>
        </w:rPr>
      </w:pPr>
    </w:p>
    <w:p w14:paraId="24A1AF8A" w14:textId="77777777" w:rsidR="00622510" w:rsidRDefault="00622510" w:rsidP="00622510">
      <w:pPr>
        <w:spacing w:after="0"/>
        <w:ind w:left="450"/>
        <w:rPr>
          <w:rFonts w:ascii="Times New Roman" w:hAnsi="Times New Roman"/>
          <w:sz w:val="24"/>
          <w:szCs w:val="24"/>
          <w:lang w:val="en-US"/>
        </w:rPr>
      </w:pPr>
    </w:p>
    <w:p w14:paraId="69D81773" w14:textId="77777777" w:rsidR="00622510" w:rsidRDefault="00622510" w:rsidP="00622510">
      <w:pPr>
        <w:spacing w:after="0"/>
        <w:ind w:left="450"/>
        <w:rPr>
          <w:rFonts w:ascii="Times New Roman" w:hAnsi="Times New Roman"/>
          <w:sz w:val="24"/>
          <w:szCs w:val="24"/>
          <w:lang w:val="en-US"/>
        </w:rPr>
      </w:pPr>
    </w:p>
    <w:p w14:paraId="22087A36" w14:textId="77777777" w:rsidR="00622510" w:rsidRDefault="00622510" w:rsidP="00622510">
      <w:pPr>
        <w:spacing w:after="0"/>
        <w:ind w:left="450"/>
        <w:rPr>
          <w:rFonts w:ascii="Times New Roman" w:hAnsi="Times New Roman"/>
          <w:sz w:val="24"/>
          <w:szCs w:val="24"/>
          <w:lang w:val="en-US"/>
        </w:rPr>
      </w:pPr>
    </w:p>
    <w:p w14:paraId="3A451E84" w14:textId="77777777" w:rsidR="00622510" w:rsidRDefault="00622510" w:rsidP="00622510">
      <w:pPr>
        <w:spacing w:after="0"/>
        <w:ind w:left="450"/>
        <w:rPr>
          <w:rFonts w:ascii="Times New Roman" w:hAnsi="Times New Roman"/>
          <w:sz w:val="24"/>
          <w:szCs w:val="24"/>
          <w:lang w:val="en-US"/>
        </w:rPr>
      </w:pPr>
    </w:p>
    <w:p w14:paraId="08B090F0" w14:textId="77777777" w:rsidR="00622510" w:rsidRDefault="00622510" w:rsidP="00622510">
      <w:pPr>
        <w:spacing w:after="0"/>
        <w:ind w:left="450"/>
        <w:rPr>
          <w:rFonts w:ascii="Times New Roman" w:hAnsi="Times New Roman"/>
          <w:sz w:val="24"/>
          <w:szCs w:val="24"/>
          <w:lang w:val="en-US"/>
        </w:rPr>
      </w:pPr>
    </w:p>
    <w:p w14:paraId="78B4F8A3" w14:textId="77777777" w:rsidR="00622510" w:rsidRDefault="00622510" w:rsidP="00622510">
      <w:pPr>
        <w:spacing w:after="0"/>
        <w:ind w:left="450"/>
        <w:rPr>
          <w:rFonts w:ascii="Times New Roman" w:hAnsi="Times New Roman"/>
          <w:sz w:val="24"/>
          <w:szCs w:val="24"/>
          <w:lang w:val="en-US"/>
        </w:rPr>
      </w:pPr>
    </w:p>
    <w:p w14:paraId="51B380EC" w14:textId="77777777" w:rsidR="00622510" w:rsidRDefault="00622510" w:rsidP="00622510">
      <w:pPr>
        <w:spacing w:after="0"/>
        <w:ind w:left="450"/>
        <w:rPr>
          <w:rFonts w:ascii="Times New Roman" w:hAnsi="Times New Roman"/>
          <w:sz w:val="24"/>
          <w:szCs w:val="24"/>
          <w:lang w:val="en-US"/>
        </w:rPr>
      </w:pPr>
    </w:p>
    <w:p w14:paraId="6E65B360" w14:textId="77777777" w:rsidR="00622510" w:rsidRDefault="00622510" w:rsidP="00622510">
      <w:pPr>
        <w:spacing w:after="0"/>
        <w:ind w:left="450"/>
        <w:rPr>
          <w:rFonts w:ascii="Times New Roman" w:hAnsi="Times New Roman"/>
          <w:sz w:val="24"/>
          <w:szCs w:val="24"/>
          <w:lang w:val="en-US"/>
        </w:rPr>
      </w:pPr>
    </w:p>
    <w:p w14:paraId="4E9F5B51" w14:textId="77777777" w:rsidR="00622510" w:rsidRDefault="00622510" w:rsidP="00622510">
      <w:pPr>
        <w:spacing w:after="0"/>
        <w:ind w:left="450"/>
        <w:rPr>
          <w:rFonts w:ascii="Times New Roman" w:hAnsi="Times New Roman"/>
          <w:sz w:val="24"/>
          <w:szCs w:val="24"/>
          <w:lang w:val="en-US"/>
        </w:rPr>
      </w:pPr>
    </w:p>
    <w:p w14:paraId="527F0C6A" w14:textId="77777777" w:rsidR="00622510" w:rsidRDefault="00622510" w:rsidP="00622510">
      <w:pPr>
        <w:spacing w:after="0"/>
        <w:ind w:left="450"/>
        <w:rPr>
          <w:rFonts w:ascii="Times New Roman" w:hAnsi="Times New Roman"/>
          <w:sz w:val="24"/>
          <w:szCs w:val="24"/>
          <w:lang w:val="en-US"/>
        </w:rPr>
      </w:pPr>
    </w:p>
    <w:p w14:paraId="6F0C1E1D" w14:textId="77777777" w:rsidR="00622510" w:rsidRDefault="00622510" w:rsidP="00622510">
      <w:pPr>
        <w:spacing w:after="0"/>
        <w:ind w:left="450"/>
        <w:rPr>
          <w:rFonts w:ascii="Times New Roman" w:hAnsi="Times New Roman"/>
          <w:sz w:val="24"/>
          <w:szCs w:val="24"/>
          <w:lang w:val="en-US"/>
        </w:rPr>
      </w:pPr>
    </w:p>
    <w:p w14:paraId="3EEC360C" w14:textId="77777777" w:rsidR="00622510" w:rsidRPr="00622510" w:rsidRDefault="00622510" w:rsidP="00622510">
      <w:pPr>
        <w:spacing w:after="0"/>
        <w:ind w:left="450"/>
        <w:rPr>
          <w:rFonts w:ascii="Times New Roman" w:hAnsi="Times New Roman"/>
          <w:sz w:val="24"/>
          <w:szCs w:val="24"/>
          <w:lang w:val="en-US"/>
        </w:rPr>
      </w:pPr>
    </w:p>
    <w:p w14:paraId="431074AF" w14:textId="77777777" w:rsidR="00622510" w:rsidRPr="00622510" w:rsidRDefault="00622510" w:rsidP="00622510">
      <w:pPr>
        <w:spacing w:after="0"/>
        <w:ind w:left="720" w:hanging="720"/>
        <w:rPr>
          <w:rFonts w:ascii="Times New Roman" w:eastAsia="SimSun" w:hAnsi="Times New Roman" w:cs="Times New Roman"/>
          <w:sz w:val="24"/>
          <w:szCs w:val="24"/>
        </w:rPr>
      </w:pPr>
    </w:p>
    <w:tbl>
      <w:tblPr>
        <w:tblW w:w="0" w:type="auto"/>
        <w:jc w:val="center"/>
        <w:tblLook w:val="00A0" w:firstRow="1" w:lastRow="0" w:firstColumn="1" w:lastColumn="0" w:noHBand="0" w:noVBand="0"/>
      </w:tblPr>
      <w:tblGrid>
        <w:gridCol w:w="2803"/>
        <w:gridCol w:w="1865"/>
        <w:gridCol w:w="1270"/>
        <w:gridCol w:w="1417"/>
        <w:gridCol w:w="1418"/>
      </w:tblGrid>
      <w:tr w:rsidR="00800492" w:rsidRPr="00622510" w14:paraId="369CDE24" w14:textId="77777777" w:rsidTr="00887F21">
        <w:trPr>
          <w:jc w:val="center"/>
        </w:trPr>
        <w:tc>
          <w:tcPr>
            <w:tcW w:w="8773" w:type="dxa"/>
            <w:gridSpan w:val="5"/>
            <w:tcBorders>
              <w:right w:val="single" w:sz="12" w:space="0" w:color="FFFFFF"/>
            </w:tcBorders>
          </w:tcPr>
          <w:p w14:paraId="7BB97559" w14:textId="77777777" w:rsidR="00800492" w:rsidRDefault="00800492" w:rsidP="00887F21">
            <w:pPr>
              <w:spacing w:after="0"/>
              <w:rPr>
                <w:rFonts w:ascii="Times New Roman" w:hAnsi="Times New Roman" w:cs="Times New Roman"/>
                <w:sz w:val="24"/>
                <w:szCs w:val="24"/>
              </w:rPr>
            </w:pPr>
            <w:r w:rsidRPr="00622510">
              <w:rPr>
                <w:rFonts w:ascii="Times New Roman" w:hAnsi="Times New Roman" w:cs="Times New Roman"/>
                <w:sz w:val="24"/>
                <w:szCs w:val="24"/>
              </w:rPr>
              <w:t xml:space="preserve">Table </w:t>
            </w:r>
            <w:r>
              <w:rPr>
                <w:rFonts w:ascii="Times New Roman" w:hAnsi="Times New Roman" w:cs="Times New Roman"/>
                <w:sz w:val="24"/>
                <w:szCs w:val="24"/>
              </w:rPr>
              <w:t>2</w:t>
            </w:r>
          </w:p>
          <w:p w14:paraId="14D7D1EB" w14:textId="77777777" w:rsidR="00800492" w:rsidRPr="00622510" w:rsidRDefault="00800492" w:rsidP="00887F21">
            <w:pPr>
              <w:spacing w:after="0"/>
              <w:rPr>
                <w:rFonts w:ascii="Times New Roman" w:hAnsi="Times New Roman" w:cs="Times New Roman"/>
                <w:i/>
                <w:sz w:val="24"/>
                <w:szCs w:val="24"/>
              </w:rPr>
            </w:pPr>
            <w:r w:rsidRPr="00622510">
              <w:rPr>
                <w:rFonts w:ascii="Times New Roman" w:hAnsi="Times New Roman" w:cs="Times New Roman"/>
                <w:i/>
                <w:sz w:val="24"/>
                <w:szCs w:val="24"/>
              </w:rPr>
              <w:t>Logistic regression model used to predict likelihood of accepting the treatment or vaccine</w:t>
            </w:r>
          </w:p>
        </w:tc>
      </w:tr>
      <w:tr w:rsidR="00800492" w:rsidRPr="00622510" w14:paraId="2B1F190B" w14:textId="77777777" w:rsidTr="00887F21">
        <w:trPr>
          <w:jc w:val="center"/>
        </w:trPr>
        <w:tc>
          <w:tcPr>
            <w:tcW w:w="2803" w:type="dxa"/>
            <w:tcBorders>
              <w:top w:val="single" w:sz="12" w:space="0" w:color="auto"/>
            </w:tcBorders>
          </w:tcPr>
          <w:p w14:paraId="3B02E6A4" w14:textId="77777777" w:rsidR="00800492" w:rsidRPr="00622510" w:rsidRDefault="00800492" w:rsidP="00887F21">
            <w:pPr>
              <w:spacing w:after="0"/>
              <w:rPr>
                <w:rFonts w:ascii="Times New Roman" w:hAnsi="Times New Roman" w:cs="Times New Roman"/>
                <w:i/>
                <w:sz w:val="24"/>
                <w:szCs w:val="24"/>
              </w:rPr>
            </w:pPr>
          </w:p>
        </w:tc>
        <w:tc>
          <w:tcPr>
            <w:tcW w:w="1865" w:type="dxa"/>
            <w:tcBorders>
              <w:top w:val="single" w:sz="12" w:space="0" w:color="auto"/>
            </w:tcBorders>
          </w:tcPr>
          <w:p w14:paraId="7956FA11" w14:textId="77777777" w:rsidR="00800492" w:rsidRPr="00622510" w:rsidRDefault="00800492" w:rsidP="00887F21">
            <w:pPr>
              <w:spacing w:after="0"/>
              <w:jc w:val="center"/>
              <w:rPr>
                <w:rFonts w:ascii="Times New Roman" w:hAnsi="Times New Roman" w:cs="Times New Roman"/>
                <w:i/>
                <w:sz w:val="24"/>
                <w:szCs w:val="24"/>
              </w:rPr>
            </w:pPr>
          </w:p>
        </w:tc>
        <w:tc>
          <w:tcPr>
            <w:tcW w:w="1270" w:type="dxa"/>
            <w:tcBorders>
              <w:top w:val="single" w:sz="12" w:space="0" w:color="auto"/>
            </w:tcBorders>
          </w:tcPr>
          <w:p w14:paraId="18C44BE0" w14:textId="77777777" w:rsidR="00800492" w:rsidRPr="00622510" w:rsidRDefault="00800492" w:rsidP="00887F21">
            <w:pPr>
              <w:spacing w:after="0"/>
              <w:jc w:val="center"/>
              <w:rPr>
                <w:rFonts w:ascii="Times New Roman" w:hAnsi="Times New Roman" w:cs="Times New Roman"/>
                <w:sz w:val="24"/>
                <w:szCs w:val="24"/>
              </w:rPr>
            </w:pPr>
          </w:p>
        </w:tc>
        <w:tc>
          <w:tcPr>
            <w:tcW w:w="2835" w:type="dxa"/>
            <w:gridSpan w:val="2"/>
            <w:tcBorders>
              <w:top w:val="single" w:sz="12" w:space="0" w:color="auto"/>
            </w:tcBorders>
          </w:tcPr>
          <w:p w14:paraId="3D9F80DB" w14:textId="77777777" w:rsidR="00800492" w:rsidRPr="00622510"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95% CI for Odds Ratio</w:t>
            </w:r>
          </w:p>
        </w:tc>
      </w:tr>
      <w:tr w:rsidR="00800492" w:rsidRPr="00622510" w14:paraId="3E433F5D" w14:textId="77777777" w:rsidTr="00887F21">
        <w:trPr>
          <w:jc w:val="center"/>
        </w:trPr>
        <w:tc>
          <w:tcPr>
            <w:tcW w:w="2803" w:type="dxa"/>
            <w:tcBorders>
              <w:bottom w:val="single" w:sz="4" w:space="0" w:color="auto"/>
            </w:tcBorders>
          </w:tcPr>
          <w:p w14:paraId="63107969" w14:textId="77777777" w:rsidR="00800492" w:rsidRPr="00622510" w:rsidRDefault="00800492" w:rsidP="00887F21">
            <w:pPr>
              <w:spacing w:after="0"/>
              <w:rPr>
                <w:rFonts w:ascii="Times New Roman" w:hAnsi="Times New Roman" w:cs="Times New Roman"/>
                <w:sz w:val="24"/>
                <w:szCs w:val="24"/>
              </w:rPr>
            </w:pPr>
            <w:r w:rsidRPr="00622510">
              <w:rPr>
                <w:rFonts w:ascii="Times New Roman" w:hAnsi="Times New Roman" w:cs="Times New Roman"/>
                <w:sz w:val="24"/>
                <w:szCs w:val="24"/>
              </w:rPr>
              <w:t>Included</w:t>
            </w:r>
          </w:p>
        </w:tc>
        <w:tc>
          <w:tcPr>
            <w:tcW w:w="1865" w:type="dxa"/>
            <w:tcBorders>
              <w:bottom w:val="single" w:sz="4" w:space="0" w:color="auto"/>
            </w:tcBorders>
          </w:tcPr>
          <w:p w14:paraId="0A0E96C0" w14:textId="77777777" w:rsidR="00800492" w:rsidRPr="00622510" w:rsidRDefault="00800492" w:rsidP="00887F21">
            <w:pPr>
              <w:spacing w:after="0"/>
              <w:jc w:val="center"/>
              <w:rPr>
                <w:rFonts w:ascii="Times New Roman" w:hAnsi="Times New Roman" w:cs="Times New Roman"/>
                <w:i/>
                <w:sz w:val="24"/>
                <w:szCs w:val="24"/>
              </w:rPr>
            </w:pPr>
            <w:r w:rsidRPr="00622510">
              <w:rPr>
                <w:rFonts w:ascii="Times New Roman" w:hAnsi="Times New Roman" w:cs="Times New Roman"/>
                <w:i/>
                <w:sz w:val="24"/>
                <w:szCs w:val="24"/>
              </w:rPr>
              <w:t>b (</w:t>
            </w:r>
            <w:r>
              <w:rPr>
                <w:rFonts w:ascii="Times New Roman" w:hAnsi="Times New Roman" w:cs="Times New Roman"/>
                <w:i/>
                <w:sz w:val="24"/>
                <w:szCs w:val="24"/>
              </w:rPr>
              <w:t>β</w:t>
            </w:r>
            <w:r w:rsidRPr="00622510">
              <w:rPr>
                <w:rFonts w:ascii="Times New Roman" w:hAnsi="Times New Roman" w:cs="Times New Roman"/>
                <w:i/>
                <w:sz w:val="24"/>
                <w:szCs w:val="24"/>
              </w:rPr>
              <w:t>)</w:t>
            </w:r>
          </w:p>
        </w:tc>
        <w:tc>
          <w:tcPr>
            <w:tcW w:w="1270" w:type="dxa"/>
            <w:tcBorders>
              <w:bottom w:val="single" w:sz="4" w:space="0" w:color="auto"/>
            </w:tcBorders>
          </w:tcPr>
          <w:p w14:paraId="6CBA02EA" w14:textId="77777777" w:rsidR="00800492" w:rsidRPr="00622510"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Odds Ratio</w:t>
            </w:r>
          </w:p>
        </w:tc>
        <w:tc>
          <w:tcPr>
            <w:tcW w:w="1417" w:type="dxa"/>
            <w:tcBorders>
              <w:top w:val="single" w:sz="4" w:space="0" w:color="auto"/>
              <w:bottom w:val="single" w:sz="4" w:space="0" w:color="auto"/>
            </w:tcBorders>
          </w:tcPr>
          <w:p w14:paraId="370EA991" w14:textId="77777777" w:rsidR="00800492" w:rsidRPr="00622510"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Lower</w:t>
            </w:r>
          </w:p>
        </w:tc>
        <w:tc>
          <w:tcPr>
            <w:tcW w:w="1418" w:type="dxa"/>
            <w:tcBorders>
              <w:top w:val="single" w:sz="4" w:space="0" w:color="auto"/>
              <w:bottom w:val="single" w:sz="4" w:space="0" w:color="auto"/>
              <w:right w:val="single" w:sz="4" w:space="0" w:color="FFFFFF"/>
            </w:tcBorders>
          </w:tcPr>
          <w:p w14:paraId="488C025B" w14:textId="77777777" w:rsidR="00800492" w:rsidRPr="00622510"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Upper</w:t>
            </w:r>
          </w:p>
        </w:tc>
      </w:tr>
      <w:tr w:rsidR="00800492" w:rsidRPr="00622510" w14:paraId="6CEB800C" w14:textId="77777777" w:rsidTr="00887F21">
        <w:trPr>
          <w:jc w:val="center"/>
        </w:trPr>
        <w:tc>
          <w:tcPr>
            <w:tcW w:w="2803" w:type="dxa"/>
            <w:tcBorders>
              <w:top w:val="single" w:sz="4" w:space="0" w:color="auto"/>
              <w:right w:val="single" w:sz="4" w:space="0" w:color="FFFFFF" w:themeColor="background1"/>
            </w:tcBorders>
          </w:tcPr>
          <w:p w14:paraId="34E2B89D" w14:textId="77777777" w:rsidR="00800492" w:rsidRPr="00622510" w:rsidRDefault="00800492" w:rsidP="00887F21">
            <w:pPr>
              <w:spacing w:after="0"/>
              <w:rPr>
                <w:rFonts w:ascii="Times New Roman" w:hAnsi="Times New Roman" w:cs="Times New Roman"/>
                <w:sz w:val="24"/>
                <w:szCs w:val="24"/>
              </w:rPr>
            </w:pPr>
            <w:r>
              <w:rPr>
                <w:rFonts w:ascii="Times New Roman" w:hAnsi="Times New Roman" w:cs="Times New Roman"/>
                <w:sz w:val="24"/>
                <w:szCs w:val="24"/>
              </w:rPr>
              <w:t>Model 1</w:t>
            </w:r>
          </w:p>
        </w:tc>
        <w:tc>
          <w:tcPr>
            <w:tcW w:w="1865" w:type="dxa"/>
            <w:tcBorders>
              <w:top w:val="single" w:sz="4" w:space="0" w:color="auto"/>
              <w:left w:val="single" w:sz="4" w:space="0" w:color="FFFFFF" w:themeColor="background1"/>
              <w:bottom w:val="single" w:sz="4" w:space="0" w:color="FFFFFF" w:themeColor="background1"/>
            </w:tcBorders>
          </w:tcPr>
          <w:p w14:paraId="78D1331A" w14:textId="77777777" w:rsidR="00800492" w:rsidRDefault="00800492" w:rsidP="00887F21">
            <w:pPr>
              <w:spacing w:after="0"/>
              <w:jc w:val="center"/>
              <w:rPr>
                <w:rFonts w:ascii="Times New Roman" w:hAnsi="Times New Roman" w:cs="Times New Roman"/>
                <w:sz w:val="24"/>
                <w:szCs w:val="24"/>
              </w:rPr>
            </w:pPr>
          </w:p>
        </w:tc>
        <w:tc>
          <w:tcPr>
            <w:tcW w:w="1270" w:type="dxa"/>
            <w:tcBorders>
              <w:top w:val="single" w:sz="4" w:space="0" w:color="auto"/>
              <w:bottom w:val="single" w:sz="4" w:space="0" w:color="FFFFFF" w:themeColor="background1"/>
            </w:tcBorders>
          </w:tcPr>
          <w:p w14:paraId="0CA26502" w14:textId="77777777" w:rsidR="00800492" w:rsidRPr="00622510" w:rsidRDefault="00800492" w:rsidP="00887F21">
            <w:pPr>
              <w:spacing w:after="0"/>
              <w:jc w:val="center"/>
              <w:rPr>
                <w:rFonts w:ascii="Times New Roman" w:hAnsi="Times New Roman" w:cs="Times New Roman"/>
                <w:sz w:val="24"/>
                <w:szCs w:val="24"/>
              </w:rPr>
            </w:pPr>
          </w:p>
        </w:tc>
        <w:tc>
          <w:tcPr>
            <w:tcW w:w="1417" w:type="dxa"/>
            <w:tcBorders>
              <w:top w:val="single" w:sz="4" w:space="0" w:color="auto"/>
              <w:bottom w:val="single" w:sz="4" w:space="0" w:color="FFFFFF" w:themeColor="background1"/>
            </w:tcBorders>
          </w:tcPr>
          <w:p w14:paraId="4D09BB3E" w14:textId="77777777" w:rsidR="00800492" w:rsidRPr="00622510" w:rsidRDefault="00800492" w:rsidP="00887F21">
            <w:pPr>
              <w:spacing w:after="0"/>
              <w:jc w:val="center"/>
              <w:rPr>
                <w:rFonts w:ascii="Times New Roman" w:hAnsi="Times New Roman" w:cs="Times New Roman"/>
                <w:sz w:val="24"/>
                <w:szCs w:val="24"/>
              </w:rPr>
            </w:pPr>
          </w:p>
        </w:tc>
        <w:tc>
          <w:tcPr>
            <w:tcW w:w="1418" w:type="dxa"/>
            <w:tcBorders>
              <w:top w:val="single" w:sz="4" w:space="0" w:color="auto"/>
              <w:bottom w:val="single" w:sz="4" w:space="0" w:color="FFFFFF" w:themeColor="background1"/>
              <w:right w:val="single" w:sz="4" w:space="0" w:color="FFFFFF"/>
            </w:tcBorders>
          </w:tcPr>
          <w:p w14:paraId="0961183D" w14:textId="77777777" w:rsidR="00800492" w:rsidRPr="00622510" w:rsidRDefault="00800492" w:rsidP="00887F21">
            <w:pPr>
              <w:spacing w:after="0"/>
              <w:jc w:val="center"/>
              <w:rPr>
                <w:rFonts w:ascii="Times New Roman" w:hAnsi="Times New Roman" w:cs="Times New Roman"/>
                <w:sz w:val="24"/>
                <w:szCs w:val="24"/>
              </w:rPr>
            </w:pPr>
          </w:p>
        </w:tc>
      </w:tr>
      <w:tr w:rsidR="00800492" w:rsidRPr="00622510" w14:paraId="365B5F0A" w14:textId="77777777" w:rsidTr="00887F21">
        <w:trPr>
          <w:jc w:val="center"/>
        </w:trPr>
        <w:tc>
          <w:tcPr>
            <w:tcW w:w="2803" w:type="dxa"/>
            <w:tcBorders>
              <w:top w:val="single" w:sz="4" w:space="0" w:color="auto"/>
              <w:right w:val="single" w:sz="4" w:space="0" w:color="FFFFFF" w:themeColor="background1"/>
            </w:tcBorders>
          </w:tcPr>
          <w:p w14:paraId="219C4CCA" w14:textId="77777777" w:rsidR="00800492" w:rsidRDefault="00800492" w:rsidP="00887F21">
            <w:pPr>
              <w:spacing w:after="0"/>
              <w:rPr>
                <w:rFonts w:ascii="Times New Roman" w:hAnsi="Times New Roman" w:cs="Times New Roman"/>
                <w:sz w:val="24"/>
                <w:szCs w:val="24"/>
              </w:rPr>
            </w:pPr>
            <w:r w:rsidRPr="00622510">
              <w:rPr>
                <w:rFonts w:ascii="Times New Roman" w:hAnsi="Times New Roman" w:cs="Times New Roman"/>
                <w:sz w:val="24"/>
                <w:szCs w:val="24"/>
              </w:rPr>
              <w:t>Intercept</w:t>
            </w:r>
          </w:p>
        </w:tc>
        <w:tc>
          <w:tcPr>
            <w:tcW w:w="1865" w:type="dxa"/>
            <w:tcBorders>
              <w:top w:val="single" w:sz="4" w:space="0" w:color="FFFFFF" w:themeColor="background1"/>
              <w:left w:val="single" w:sz="4" w:space="0" w:color="FFFFFF" w:themeColor="background1"/>
              <w:bottom w:val="single" w:sz="4" w:space="0" w:color="FFFFFF" w:themeColor="background1"/>
            </w:tcBorders>
          </w:tcPr>
          <w:p w14:paraId="043AA19A"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2.348</w:t>
            </w:r>
            <w:r w:rsidRPr="00622510">
              <w:rPr>
                <w:rFonts w:ascii="Times New Roman" w:hAnsi="Times New Roman" w:cs="Times New Roman"/>
                <w:sz w:val="24"/>
                <w:szCs w:val="24"/>
              </w:rPr>
              <w:t xml:space="preserve"> (</w:t>
            </w:r>
            <w:r>
              <w:rPr>
                <w:rFonts w:ascii="Times New Roman" w:hAnsi="Times New Roman" w:cs="Times New Roman"/>
                <w:sz w:val="24"/>
                <w:szCs w:val="24"/>
              </w:rPr>
              <w:t>1.229</w:t>
            </w:r>
            <w:r w:rsidRPr="00622510">
              <w:rPr>
                <w:rFonts w:ascii="Times New Roman" w:hAnsi="Times New Roman" w:cs="Times New Roman"/>
                <w:sz w:val="24"/>
                <w:szCs w:val="24"/>
              </w:rPr>
              <w:t>)</w:t>
            </w:r>
          </w:p>
        </w:tc>
        <w:tc>
          <w:tcPr>
            <w:tcW w:w="1270" w:type="dxa"/>
            <w:tcBorders>
              <w:top w:val="single" w:sz="4" w:space="0" w:color="FFFFFF" w:themeColor="background1"/>
              <w:bottom w:val="single" w:sz="4" w:space="0" w:color="FFFFFF" w:themeColor="background1"/>
            </w:tcBorders>
          </w:tcPr>
          <w:p w14:paraId="5856379B" w14:textId="77777777" w:rsidR="00800492" w:rsidRPr="00622510" w:rsidRDefault="00800492" w:rsidP="00887F21">
            <w:pPr>
              <w:spacing w:after="0"/>
              <w:jc w:val="center"/>
              <w:rPr>
                <w:rFonts w:ascii="Times New Roman" w:hAnsi="Times New Roman" w:cs="Times New Roman"/>
                <w:sz w:val="24"/>
                <w:szCs w:val="24"/>
              </w:rPr>
            </w:pPr>
          </w:p>
        </w:tc>
        <w:tc>
          <w:tcPr>
            <w:tcW w:w="1417" w:type="dxa"/>
            <w:tcBorders>
              <w:top w:val="single" w:sz="4" w:space="0" w:color="FFFFFF" w:themeColor="background1"/>
              <w:bottom w:val="single" w:sz="4" w:space="0" w:color="FFFFFF" w:themeColor="background1"/>
            </w:tcBorders>
          </w:tcPr>
          <w:p w14:paraId="7EA02B04" w14:textId="77777777" w:rsidR="00800492" w:rsidRPr="00622510" w:rsidRDefault="00800492" w:rsidP="00887F21">
            <w:pPr>
              <w:spacing w:after="0"/>
              <w:jc w:val="center"/>
              <w:rPr>
                <w:rFonts w:ascii="Times New Roman" w:hAnsi="Times New Roman" w:cs="Times New Roman"/>
                <w:sz w:val="24"/>
                <w:szCs w:val="24"/>
              </w:rPr>
            </w:pPr>
          </w:p>
        </w:tc>
        <w:tc>
          <w:tcPr>
            <w:tcW w:w="1418" w:type="dxa"/>
            <w:tcBorders>
              <w:top w:val="single" w:sz="4" w:space="0" w:color="FFFFFF" w:themeColor="background1"/>
              <w:bottom w:val="single" w:sz="4" w:space="0" w:color="FFFFFF" w:themeColor="background1"/>
              <w:right w:val="single" w:sz="4" w:space="0" w:color="FFFFFF"/>
            </w:tcBorders>
          </w:tcPr>
          <w:p w14:paraId="619F465E" w14:textId="77777777" w:rsidR="00800492" w:rsidRPr="00622510" w:rsidRDefault="00800492" w:rsidP="00887F21">
            <w:pPr>
              <w:spacing w:after="0"/>
              <w:jc w:val="center"/>
              <w:rPr>
                <w:rFonts w:ascii="Times New Roman" w:hAnsi="Times New Roman" w:cs="Times New Roman"/>
                <w:sz w:val="24"/>
                <w:szCs w:val="24"/>
              </w:rPr>
            </w:pPr>
          </w:p>
        </w:tc>
      </w:tr>
      <w:tr w:rsidR="00800492" w:rsidRPr="00622510" w14:paraId="28D1525C" w14:textId="77777777" w:rsidTr="00887F21">
        <w:trPr>
          <w:jc w:val="center"/>
        </w:trPr>
        <w:tc>
          <w:tcPr>
            <w:tcW w:w="2803" w:type="dxa"/>
          </w:tcPr>
          <w:p w14:paraId="6A59C2C5" w14:textId="77777777" w:rsidR="00800492" w:rsidRDefault="00800492" w:rsidP="00887F21">
            <w:pPr>
              <w:spacing w:after="0"/>
              <w:rPr>
                <w:rFonts w:ascii="Times New Roman" w:hAnsi="Times New Roman" w:cs="Times New Roman"/>
                <w:sz w:val="24"/>
                <w:szCs w:val="24"/>
              </w:rPr>
            </w:pPr>
            <w:r>
              <w:rPr>
                <w:rFonts w:ascii="Times New Roman" w:hAnsi="Times New Roman" w:cs="Times New Roman"/>
                <w:sz w:val="24"/>
                <w:szCs w:val="24"/>
              </w:rPr>
              <w:t xml:space="preserve">Scenario </w:t>
            </w:r>
          </w:p>
          <w:p w14:paraId="1091EBFE" w14:textId="77777777" w:rsidR="00800492" w:rsidRPr="00622510" w:rsidRDefault="00800492" w:rsidP="00887F21">
            <w:pPr>
              <w:spacing w:after="0"/>
              <w:ind w:left="165"/>
              <w:rPr>
                <w:rFonts w:ascii="Times New Roman" w:hAnsi="Times New Roman" w:cs="Times New Roman"/>
                <w:sz w:val="24"/>
                <w:szCs w:val="24"/>
              </w:rPr>
            </w:pPr>
            <w:r>
              <w:rPr>
                <w:rFonts w:ascii="Times New Roman" w:hAnsi="Times New Roman" w:cs="Times New Roman"/>
                <w:sz w:val="24"/>
                <w:szCs w:val="24"/>
              </w:rPr>
              <w:t>chemotherapy vs. flu</w:t>
            </w:r>
          </w:p>
        </w:tc>
        <w:tc>
          <w:tcPr>
            <w:tcW w:w="1865" w:type="dxa"/>
          </w:tcPr>
          <w:p w14:paraId="49171C61" w14:textId="77777777" w:rsidR="00800492" w:rsidRDefault="00800492" w:rsidP="00887F21">
            <w:pPr>
              <w:spacing w:after="0"/>
              <w:jc w:val="center"/>
              <w:rPr>
                <w:rFonts w:ascii="Times New Roman" w:hAnsi="Times New Roman" w:cs="Times New Roman"/>
                <w:sz w:val="24"/>
                <w:szCs w:val="24"/>
              </w:rPr>
            </w:pPr>
          </w:p>
          <w:p w14:paraId="16A89C6B" w14:textId="77777777" w:rsidR="00800492" w:rsidRPr="00622510"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w:t>
            </w:r>
            <w:r>
              <w:rPr>
                <w:rFonts w:ascii="Times New Roman" w:hAnsi="Times New Roman" w:cs="Times New Roman"/>
                <w:sz w:val="24"/>
                <w:szCs w:val="24"/>
              </w:rPr>
              <w:t>0</w:t>
            </w:r>
            <w:r w:rsidRPr="00622510">
              <w:rPr>
                <w:rFonts w:ascii="Times New Roman" w:hAnsi="Times New Roman" w:cs="Times New Roman"/>
                <w:sz w:val="24"/>
                <w:szCs w:val="24"/>
              </w:rPr>
              <w:t>.</w:t>
            </w:r>
            <w:r>
              <w:rPr>
                <w:rFonts w:ascii="Times New Roman" w:hAnsi="Times New Roman" w:cs="Times New Roman"/>
                <w:sz w:val="24"/>
                <w:szCs w:val="24"/>
              </w:rPr>
              <w:t>447</w:t>
            </w:r>
            <w:r w:rsidRPr="00622510">
              <w:rPr>
                <w:rFonts w:ascii="Times New Roman" w:hAnsi="Times New Roman" w:cs="Times New Roman"/>
                <w:sz w:val="24"/>
                <w:szCs w:val="24"/>
              </w:rPr>
              <w:t xml:space="preserve"> (</w:t>
            </w:r>
            <w:r>
              <w:rPr>
                <w:rFonts w:ascii="Times New Roman" w:hAnsi="Times New Roman" w:cs="Times New Roman"/>
                <w:sz w:val="24"/>
                <w:szCs w:val="24"/>
              </w:rPr>
              <w:t>-0.224</w:t>
            </w:r>
            <w:r w:rsidRPr="00622510">
              <w:rPr>
                <w:rFonts w:ascii="Times New Roman" w:hAnsi="Times New Roman" w:cs="Times New Roman"/>
                <w:sz w:val="24"/>
                <w:szCs w:val="24"/>
              </w:rPr>
              <w:t>)</w:t>
            </w:r>
            <w:r>
              <w:rPr>
                <w:rFonts w:ascii="Times New Roman" w:hAnsi="Times New Roman" w:cs="Times New Roman"/>
                <w:sz w:val="24"/>
                <w:szCs w:val="24"/>
              </w:rPr>
              <w:t>*</w:t>
            </w:r>
          </w:p>
        </w:tc>
        <w:tc>
          <w:tcPr>
            <w:tcW w:w="1270" w:type="dxa"/>
          </w:tcPr>
          <w:p w14:paraId="5D856CEA" w14:textId="77777777" w:rsidR="00800492" w:rsidRDefault="00800492" w:rsidP="00887F21">
            <w:pPr>
              <w:spacing w:after="0"/>
              <w:jc w:val="center"/>
              <w:rPr>
                <w:rFonts w:ascii="Times New Roman" w:hAnsi="Times New Roman" w:cs="Times New Roman"/>
                <w:sz w:val="24"/>
                <w:szCs w:val="24"/>
              </w:rPr>
            </w:pPr>
          </w:p>
          <w:p w14:paraId="62B0481D" w14:textId="77777777" w:rsidR="00800492" w:rsidRPr="00622510"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0.640</w:t>
            </w:r>
          </w:p>
        </w:tc>
        <w:tc>
          <w:tcPr>
            <w:tcW w:w="1417" w:type="dxa"/>
          </w:tcPr>
          <w:p w14:paraId="1FCB6B16" w14:textId="77777777" w:rsidR="00800492" w:rsidRDefault="00800492" w:rsidP="00887F21">
            <w:pPr>
              <w:spacing w:after="0"/>
              <w:jc w:val="center"/>
              <w:rPr>
                <w:rFonts w:ascii="Times New Roman" w:hAnsi="Times New Roman" w:cs="Times New Roman"/>
                <w:sz w:val="24"/>
                <w:szCs w:val="24"/>
              </w:rPr>
            </w:pPr>
          </w:p>
          <w:p w14:paraId="59D7E9B5" w14:textId="77777777" w:rsidR="00800492" w:rsidRPr="00622510"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0.</w:t>
            </w:r>
            <w:r>
              <w:rPr>
                <w:rFonts w:ascii="Times New Roman" w:hAnsi="Times New Roman" w:cs="Times New Roman"/>
                <w:sz w:val="24"/>
                <w:szCs w:val="24"/>
              </w:rPr>
              <w:t>470</w:t>
            </w:r>
          </w:p>
        </w:tc>
        <w:tc>
          <w:tcPr>
            <w:tcW w:w="1418" w:type="dxa"/>
          </w:tcPr>
          <w:p w14:paraId="4B2D9FDE" w14:textId="77777777" w:rsidR="00800492" w:rsidRDefault="00800492" w:rsidP="00887F21">
            <w:pPr>
              <w:spacing w:after="0"/>
              <w:jc w:val="center"/>
              <w:rPr>
                <w:rFonts w:ascii="Times New Roman" w:hAnsi="Times New Roman" w:cs="Times New Roman"/>
                <w:sz w:val="24"/>
                <w:szCs w:val="24"/>
              </w:rPr>
            </w:pPr>
          </w:p>
          <w:p w14:paraId="305ADCB1" w14:textId="77777777" w:rsidR="00800492" w:rsidRPr="00622510"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0.</w:t>
            </w:r>
            <w:r>
              <w:rPr>
                <w:rFonts w:ascii="Times New Roman" w:hAnsi="Times New Roman" w:cs="Times New Roman"/>
                <w:sz w:val="24"/>
                <w:szCs w:val="24"/>
              </w:rPr>
              <w:t>870</w:t>
            </w:r>
          </w:p>
        </w:tc>
      </w:tr>
      <w:tr w:rsidR="00800492" w:rsidRPr="00622510" w14:paraId="27E2FF3E" w14:textId="77777777" w:rsidTr="00887F21">
        <w:trPr>
          <w:jc w:val="center"/>
        </w:trPr>
        <w:tc>
          <w:tcPr>
            <w:tcW w:w="2803" w:type="dxa"/>
          </w:tcPr>
          <w:p w14:paraId="01516805" w14:textId="77777777" w:rsidR="00800492" w:rsidRDefault="00800492" w:rsidP="00887F21">
            <w:pPr>
              <w:spacing w:after="0"/>
              <w:rPr>
                <w:rFonts w:ascii="Times New Roman" w:hAnsi="Times New Roman" w:cs="Times New Roman"/>
                <w:sz w:val="24"/>
                <w:szCs w:val="24"/>
              </w:rPr>
            </w:pPr>
            <w:r>
              <w:rPr>
                <w:rFonts w:ascii="Times New Roman" w:hAnsi="Times New Roman" w:cs="Times New Roman"/>
                <w:sz w:val="24"/>
                <w:szCs w:val="24"/>
              </w:rPr>
              <w:t>Question type</w:t>
            </w:r>
          </w:p>
          <w:p w14:paraId="2B103E11" w14:textId="77777777" w:rsidR="00800492" w:rsidRPr="00622510" w:rsidRDefault="00800492" w:rsidP="00887F21">
            <w:pPr>
              <w:spacing w:after="0"/>
              <w:ind w:left="165"/>
              <w:rPr>
                <w:rFonts w:ascii="Times New Roman" w:hAnsi="Times New Roman" w:cs="Times New Roman"/>
                <w:sz w:val="24"/>
                <w:szCs w:val="24"/>
              </w:rPr>
            </w:pPr>
            <w:r>
              <w:rPr>
                <w:rFonts w:ascii="Times New Roman" w:hAnsi="Times New Roman" w:cs="Times New Roman"/>
                <w:sz w:val="24"/>
                <w:szCs w:val="24"/>
              </w:rPr>
              <w:t>Child vs. self</w:t>
            </w:r>
          </w:p>
        </w:tc>
        <w:tc>
          <w:tcPr>
            <w:tcW w:w="1865" w:type="dxa"/>
          </w:tcPr>
          <w:p w14:paraId="2929D923" w14:textId="77777777" w:rsidR="00800492" w:rsidRDefault="00800492" w:rsidP="00887F21">
            <w:pPr>
              <w:spacing w:after="0"/>
              <w:jc w:val="center"/>
              <w:rPr>
                <w:rFonts w:ascii="Times New Roman" w:hAnsi="Times New Roman" w:cs="Times New Roman"/>
                <w:sz w:val="24"/>
                <w:szCs w:val="24"/>
              </w:rPr>
            </w:pPr>
          </w:p>
          <w:p w14:paraId="457BD337" w14:textId="77777777" w:rsidR="00800492" w:rsidRPr="00622510"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0.615</w:t>
            </w:r>
            <w:r w:rsidRPr="00622510">
              <w:rPr>
                <w:rFonts w:ascii="Times New Roman" w:hAnsi="Times New Roman" w:cs="Times New Roman"/>
                <w:sz w:val="24"/>
                <w:szCs w:val="24"/>
              </w:rPr>
              <w:t xml:space="preserve"> (</w:t>
            </w:r>
            <w:r>
              <w:rPr>
                <w:rFonts w:ascii="Times New Roman" w:hAnsi="Times New Roman" w:cs="Times New Roman"/>
                <w:sz w:val="24"/>
                <w:szCs w:val="24"/>
              </w:rPr>
              <w:t>0.308</w:t>
            </w:r>
            <w:r w:rsidRPr="00622510">
              <w:rPr>
                <w:rFonts w:ascii="Times New Roman" w:hAnsi="Times New Roman" w:cs="Times New Roman"/>
                <w:sz w:val="24"/>
                <w:szCs w:val="24"/>
              </w:rPr>
              <w:t>)</w:t>
            </w:r>
            <w:r>
              <w:rPr>
                <w:rFonts w:ascii="Times New Roman" w:hAnsi="Times New Roman" w:cs="Times New Roman"/>
                <w:sz w:val="24"/>
                <w:szCs w:val="24"/>
              </w:rPr>
              <w:t>**</w:t>
            </w:r>
          </w:p>
        </w:tc>
        <w:tc>
          <w:tcPr>
            <w:tcW w:w="1270" w:type="dxa"/>
          </w:tcPr>
          <w:p w14:paraId="3A62CFB7" w14:textId="77777777" w:rsidR="00800492" w:rsidRDefault="00800492" w:rsidP="00887F21">
            <w:pPr>
              <w:spacing w:after="0"/>
              <w:jc w:val="center"/>
              <w:rPr>
                <w:rFonts w:ascii="Times New Roman" w:hAnsi="Times New Roman" w:cs="Times New Roman"/>
                <w:sz w:val="24"/>
                <w:szCs w:val="24"/>
              </w:rPr>
            </w:pPr>
          </w:p>
          <w:p w14:paraId="7BC782D5" w14:textId="77777777" w:rsidR="00800492" w:rsidRPr="00622510"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1.849</w:t>
            </w:r>
          </w:p>
        </w:tc>
        <w:tc>
          <w:tcPr>
            <w:tcW w:w="1417" w:type="dxa"/>
          </w:tcPr>
          <w:p w14:paraId="2FF3200A" w14:textId="77777777" w:rsidR="00800492" w:rsidRDefault="00800492" w:rsidP="00887F21">
            <w:pPr>
              <w:spacing w:after="0"/>
              <w:jc w:val="center"/>
              <w:rPr>
                <w:rFonts w:ascii="Times New Roman" w:hAnsi="Times New Roman" w:cs="Times New Roman"/>
                <w:sz w:val="24"/>
                <w:szCs w:val="24"/>
              </w:rPr>
            </w:pPr>
          </w:p>
          <w:p w14:paraId="1D20E073" w14:textId="77777777" w:rsidR="00800492" w:rsidRPr="00622510"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1.356</w:t>
            </w:r>
          </w:p>
        </w:tc>
        <w:tc>
          <w:tcPr>
            <w:tcW w:w="1418" w:type="dxa"/>
          </w:tcPr>
          <w:p w14:paraId="114F53D4" w14:textId="77777777" w:rsidR="00800492" w:rsidRDefault="00800492" w:rsidP="00887F21">
            <w:pPr>
              <w:spacing w:after="0"/>
              <w:jc w:val="center"/>
              <w:rPr>
                <w:rFonts w:ascii="Times New Roman" w:hAnsi="Times New Roman" w:cs="Times New Roman"/>
                <w:sz w:val="24"/>
                <w:szCs w:val="24"/>
              </w:rPr>
            </w:pPr>
          </w:p>
          <w:p w14:paraId="2B4F9A66" w14:textId="77777777" w:rsidR="00800492" w:rsidRPr="00622510"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2.522</w:t>
            </w:r>
          </w:p>
        </w:tc>
      </w:tr>
      <w:tr w:rsidR="00800492" w:rsidRPr="00622510" w14:paraId="768635F8" w14:textId="77777777" w:rsidTr="00887F21">
        <w:trPr>
          <w:jc w:val="center"/>
        </w:trPr>
        <w:tc>
          <w:tcPr>
            <w:tcW w:w="2803" w:type="dxa"/>
          </w:tcPr>
          <w:p w14:paraId="4A66AC3D" w14:textId="77777777" w:rsidR="00800492" w:rsidRPr="00622510" w:rsidRDefault="00800492" w:rsidP="00887F21">
            <w:pPr>
              <w:spacing w:after="0"/>
              <w:rPr>
                <w:rFonts w:ascii="Times New Roman" w:hAnsi="Times New Roman" w:cs="Times New Roman"/>
                <w:sz w:val="24"/>
                <w:szCs w:val="24"/>
              </w:rPr>
            </w:pPr>
            <w:r w:rsidRPr="00622510">
              <w:rPr>
                <w:rFonts w:ascii="Times New Roman" w:hAnsi="Times New Roman" w:cs="Times New Roman"/>
                <w:sz w:val="24"/>
                <w:szCs w:val="24"/>
              </w:rPr>
              <w:t>Age</w:t>
            </w:r>
          </w:p>
        </w:tc>
        <w:tc>
          <w:tcPr>
            <w:tcW w:w="1865" w:type="dxa"/>
          </w:tcPr>
          <w:p w14:paraId="5FEA7B45" w14:textId="77777777" w:rsidR="00800492" w:rsidRPr="00622510"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w:t>
            </w:r>
            <w:r>
              <w:rPr>
                <w:rFonts w:ascii="Times New Roman" w:hAnsi="Times New Roman" w:cs="Times New Roman"/>
                <w:sz w:val="24"/>
                <w:szCs w:val="24"/>
              </w:rPr>
              <w:t>0</w:t>
            </w:r>
            <w:r w:rsidRPr="00622510">
              <w:rPr>
                <w:rFonts w:ascii="Times New Roman" w:hAnsi="Times New Roman" w:cs="Times New Roman"/>
                <w:sz w:val="24"/>
                <w:szCs w:val="24"/>
              </w:rPr>
              <w:t>.02</w:t>
            </w:r>
            <w:r>
              <w:rPr>
                <w:rFonts w:ascii="Times New Roman" w:hAnsi="Times New Roman" w:cs="Times New Roman"/>
                <w:sz w:val="24"/>
                <w:szCs w:val="24"/>
              </w:rPr>
              <w:t>4</w:t>
            </w:r>
            <w:r w:rsidRPr="00622510">
              <w:rPr>
                <w:rFonts w:ascii="Times New Roman" w:hAnsi="Times New Roman" w:cs="Times New Roman"/>
                <w:sz w:val="24"/>
                <w:szCs w:val="24"/>
              </w:rPr>
              <w:t xml:space="preserve"> (</w:t>
            </w:r>
            <w:r>
              <w:rPr>
                <w:rFonts w:ascii="Times New Roman" w:hAnsi="Times New Roman" w:cs="Times New Roman"/>
                <w:sz w:val="24"/>
                <w:szCs w:val="24"/>
              </w:rPr>
              <w:t>-0.387</w:t>
            </w:r>
            <w:r w:rsidRPr="00622510">
              <w:rPr>
                <w:rFonts w:ascii="Times New Roman" w:hAnsi="Times New Roman" w:cs="Times New Roman"/>
                <w:sz w:val="24"/>
                <w:szCs w:val="24"/>
              </w:rPr>
              <w:t>)*</w:t>
            </w:r>
          </w:p>
        </w:tc>
        <w:tc>
          <w:tcPr>
            <w:tcW w:w="1270" w:type="dxa"/>
          </w:tcPr>
          <w:p w14:paraId="41880179" w14:textId="77777777" w:rsidR="00800492" w:rsidRPr="00622510"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0.</w:t>
            </w:r>
            <w:r>
              <w:rPr>
                <w:rFonts w:ascii="Times New Roman" w:hAnsi="Times New Roman" w:cs="Times New Roman"/>
                <w:sz w:val="24"/>
                <w:szCs w:val="24"/>
              </w:rPr>
              <w:t>977</w:t>
            </w:r>
          </w:p>
        </w:tc>
        <w:tc>
          <w:tcPr>
            <w:tcW w:w="1417" w:type="dxa"/>
          </w:tcPr>
          <w:p w14:paraId="19AD5F05" w14:textId="77777777" w:rsidR="00800492" w:rsidRPr="00622510"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0.</w:t>
            </w:r>
            <w:r>
              <w:rPr>
                <w:rFonts w:ascii="Times New Roman" w:hAnsi="Times New Roman" w:cs="Times New Roman"/>
                <w:sz w:val="24"/>
                <w:szCs w:val="24"/>
              </w:rPr>
              <w:t>960</w:t>
            </w:r>
          </w:p>
        </w:tc>
        <w:tc>
          <w:tcPr>
            <w:tcW w:w="1418" w:type="dxa"/>
          </w:tcPr>
          <w:p w14:paraId="2B22F10C" w14:textId="77777777" w:rsidR="00800492" w:rsidRPr="00622510"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0.</w:t>
            </w:r>
            <w:r>
              <w:rPr>
                <w:rFonts w:ascii="Times New Roman" w:hAnsi="Times New Roman" w:cs="Times New Roman"/>
                <w:sz w:val="24"/>
                <w:szCs w:val="24"/>
              </w:rPr>
              <w:t>994</w:t>
            </w:r>
          </w:p>
        </w:tc>
      </w:tr>
      <w:tr w:rsidR="00800492" w:rsidRPr="00622510" w14:paraId="56A7154F" w14:textId="77777777" w:rsidTr="00887F21">
        <w:trPr>
          <w:jc w:val="center"/>
        </w:trPr>
        <w:tc>
          <w:tcPr>
            <w:tcW w:w="2803" w:type="dxa"/>
          </w:tcPr>
          <w:p w14:paraId="15D1586B" w14:textId="77777777" w:rsidR="00800492" w:rsidRPr="00622510" w:rsidRDefault="00800492" w:rsidP="00887F21">
            <w:pPr>
              <w:spacing w:after="0"/>
              <w:rPr>
                <w:rFonts w:ascii="Times New Roman" w:hAnsi="Times New Roman" w:cs="Times New Roman"/>
                <w:sz w:val="24"/>
                <w:szCs w:val="24"/>
              </w:rPr>
            </w:pPr>
            <w:r w:rsidRPr="00622510">
              <w:rPr>
                <w:rFonts w:ascii="Times New Roman" w:hAnsi="Times New Roman" w:cs="Times New Roman"/>
                <w:sz w:val="24"/>
                <w:szCs w:val="24"/>
              </w:rPr>
              <w:t>Female gender</w:t>
            </w:r>
          </w:p>
        </w:tc>
        <w:tc>
          <w:tcPr>
            <w:tcW w:w="1865" w:type="dxa"/>
          </w:tcPr>
          <w:p w14:paraId="1B39B4F3" w14:textId="77777777" w:rsidR="00800492" w:rsidRPr="00622510"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w:t>
            </w:r>
            <w:r>
              <w:rPr>
                <w:rFonts w:ascii="Times New Roman" w:hAnsi="Times New Roman" w:cs="Times New Roman"/>
                <w:sz w:val="24"/>
                <w:szCs w:val="24"/>
              </w:rPr>
              <w:t>0</w:t>
            </w:r>
            <w:r w:rsidRPr="00622510">
              <w:rPr>
                <w:rFonts w:ascii="Times New Roman" w:hAnsi="Times New Roman" w:cs="Times New Roman"/>
                <w:sz w:val="24"/>
                <w:szCs w:val="24"/>
              </w:rPr>
              <w:t>.</w:t>
            </w:r>
            <w:r>
              <w:rPr>
                <w:rFonts w:ascii="Times New Roman" w:hAnsi="Times New Roman" w:cs="Times New Roman"/>
                <w:sz w:val="24"/>
                <w:szCs w:val="24"/>
              </w:rPr>
              <w:t>580</w:t>
            </w:r>
            <w:r w:rsidRPr="00622510">
              <w:rPr>
                <w:rFonts w:ascii="Times New Roman" w:hAnsi="Times New Roman" w:cs="Times New Roman"/>
                <w:sz w:val="24"/>
                <w:szCs w:val="24"/>
              </w:rPr>
              <w:t xml:space="preserve"> (</w:t>
            </w:r>
            <w:r>
              <w:rPr>
                <w:rFonts w:ascii="Times New Roman" w:hAnsi="Times New Roman" w:cs="Times New Roman"/>
                <w:sz w:val="24"/>
                <w:szCs w:val="24"/>
              </w:rPr>
              <w:t>-0.280</w:t>
            </w:r>
            <w:r w:rsidRPr="00622510">
              <w:rPr>
                <w:rFonts w:ascii="Times New Roman" w:hAnsi="Times New Roman" w:cs="Times New Roman"/>
                <w:sz w:val="24"/>
                <w:szCs w:val="24"/>
              </w:rPr>
              <w:t>)</w:t>
            </w:r>
          </w:p>
        </w:tc>
        <w:tc>
          <w:tcPr>
            <w:tcW w:w="1270" w:type="dxa"/>
          </w:tcPr>
          <w:p w14:paraId="0FDF8AF9" w14:textId="77777777" w:rsidR="00800492" w:rsidRPr="00622510"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0.</w:t>
            </w:r>
            <w:r>
              <w:rPr>
                <w:rFonts w:ascii="Times New Roman" w:hAnsi="Times New Roman" w:cs="Times New Roman"/>
                <w:sz w:val="24"/>
                <w:szCs w:val="24"/>
              </w:rPr>
              <w:t>560</w:t>
            </w:r>
          </w:p>
        </w:tc>
        <w:tc>
          <w:tcPr>
            <w:tcW w:w="1417" w:type="dxa"/>
          </w:tcPr>
          <w:p w14:paraId="0DE32AE2" w14:textId="77777777" w:rsidR="00800492" w:rsidRPr="00622510"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0.</w:t>
            </w:r>
            <w:r>
              <w:rPr>
                <w:rFonts w:ascii="Times New Roman" w:hAnsi="Times New Roman" w:cs="Times New Roman"/>
                <w:sz w:val="24"/>
                <w:szCs w:val="24"/>
              </w:rPr>
              <w:t>309</w:t>
            </w:r>
          </w:p>
        </w:tc>
        <w:tc>
          <w:tcPr>
            <w:tcW w:w="1418" w:type="dxa"/>
          </w:tcPr>
          <w:p w14:paraId="5EF0CAF6" w14:textId="77777777" w:rsidR="00800492" w:rsidRPr="00622510"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1.016</w:t>
            </w:r>
          </w:p>
        </w:tc>
      </w:tr>
      <w:tr w:rsidR="00800492" w:rsidRPr="00622510" w14:paraId="3AF18664" w14:textId="77777777" w:rsidTr="00887F21">
        <w:trPr>
          <w:jc w:val="center"/>
        </w:trPr>
        <w:tc>
          <w:tcPr>
            <w:tcW w:w="2803" w:type="dxa"/>
          </w:tcPr>
          <w:p w14:paraId="62E95EA6" w14:textId="77777777" w:rsidR="00800492" w:rsidRPr="00622510" w:rsidRDefault="00800492" w:rsidP="00887F21">
            <w:pPr>
              <w:spacing w:after="0"/>
              <w:rPr>
                <w:rFonts w:ascii="Times New Roman" w:hAnsi="Times New Roman" w:cs="Times New Roman"/>
                <w:sz w:val="24"/>
                <w:szCs w:val="24"/>
              </w:rPr>
            </w:pPr>
            <w:r>
              <w:rPr>
                <w:rFonts w:ascii="Times New Roman" w:hAnsi="Times New Roman" w:cs="Times New Roman"/>
                <w:sz w:val="24"/>
                <w:szCs w:val="24"/>
              </w:rPr>
              <w:t>Numeracy</w:t>
            </w:r>
          </w:p>
        </w:tc>
        <w:tc>
          <w:tcPr>
            <w:tcW w:w="1865" w:type="dxa"/>
          </w:tcPr>
          <w:p w14:paraId="2DE0F62D" w14:textId="77777777" w:rsidR="00800492" w:rsidRPr="00622510"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0.075 (0.081)</w:t>
            </w:r>
          </w:p>
        </w:tc>
        <w:tc>
          <w:tcPr>
            <w:tcW w:w="1270" w:type="dxa"/>
          </w:tcPr>
          <w:p w14:paraId="2A50D718" w14:textId="77777777" w:rsidR="00800492" w:rsidRPr="00622510"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1.078</w:t>
            </w:r>
          </w:p>
        </w:tc>
        <w:tc>
          <w:tcPr>
            <w:tcW w:w="1417" w:type="dxa"/>
          </w:tcPr>
          <w:p w14:paraId="7A5876C7" w14:textId="77777777" w:rsidR="00800492" w:rsidRPr="00622510"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0.828</w:t>
            </w:r>
          </w:p>
        </w:tc>
        <w:tc>
          <w:tcPr>
            <w:tcW w:w="1418" w:type="dxa"/>
          </w:tcPr>
          <w:p w14:paraId="2ED19FF0"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1.403</w:t>
            </w:r>
          </w:p>
        </w:tc>
      </w:tr>
      <w:tr w:rsidR="00800492" w:rsidRPr="00622510" w14:paraId="309290D2" w14:textId="77777777" w:rsidTr="00887F21">
        <w:trPr>
          <w:jc w:val="center"/>
        </w:trPr>
        <w:tc>
          <w:tcPr>
            <w:tcW w:w="2803" w:type="dxa"/>
          </w:tcPr>
          <w:p w14:paraId="5EBD79C0" w14:textId="77777777" w:rsidR="00800492" w:rsidRDefault="00800492" w:rsidP="00887F21">
            <w:pPr>
              <w:spacing w:after="0"/>
              <w:rPr>
                <w:rFonts w:ascii="Times New Roman" w:hAnsi="Times New Roman" w:cs="Times New Roman"/>
                <w:sz w:val="24"/>
                <w:szCs w:val="24"/>
              </w:rPr>
            </w:pPr>
          </w:p>
        </w:tc>
        <w:tc>
          <w:tcPr>
            <w:tcW w:w="1865" w:type="dxa"/>
          </w:tcPr>
          <w:p w14:paraId="25F4A945" w14:textId="77777777" w:rsidR="00800492" w:rsidRDefault="00800492" w:rsidP="00887F21">
            <w:pPr>
              <w:spacing w:after="0"/>
              <w:jc w:val="center"/>
              <w:rPr>
                <w:rFonts w:ascii="Times New Roman" w:hAnsi="Times New Roman" w:cs="Times New Roman"/>
                <w:sz w:val="24"/>
                <w:szCs w:val="24"/>
              </w:rPr>
            </w:pPr>
          </w:p>
        </w:tc>
        <w:tc>
          <w:tcPr>
            <w:tcW w:w="1270" w:type="dxa"/>
          </w:tcPr>
          <w:p w14:paraId="360E92D6" w14:textId="77777777" w:rsidR="00800492" w:rsidRDefault="00800492" w:rsidP="00887F21">
            <w:pPr>
              <w:spacing w:after="0"/>
              <w:jc w:val="center"/>
              <w:rPr>
                <w:rFonts w:ascii="Times New Roman" w:hAnsi="Times New Roman" w:cs="Times New Roman"/>
                <w:sz w:val="24"/>
                <w:szCs w:val="24"/>
              </w:rPr>
            </w:pPr>
          </w:p>
        </w:tc>
        <w:tc>
          <w:tcPr>
            <w:tcW w:w="1417" w:type="dxa"/>
          </w:tcPr>
          <w:p w14:paraId="6823DC41" w14:textId="77777777" w:rsidR="00800492" w:rsidRDefault="00800492" w:rsidP="00887F21">
            <w:pPr>
              <w:spacing w:after="0"/>
              <w:jc w:val="center"/>
              <w:rPr>
                <w:rFonts w:ascii="Times New Roman" w:hAnsi="Times New Roman" w:cs="Times New Roman"/>
                <w:sz w:val="24"/>
                <w:szCs w:val="24"/>
              </w:rPr>
            </w:pPr>
          </w:p>
        </w:tc>
        <w:tc>
          <w:tcPr>
            <w:tcW w:w="1418" w:type="dxa"/>
          </w:tcPr>
          <w:p w14:paraId="42C59283" w14:textId="77777777" w:rsidR="00800492" w:rsidRDefault="00800492" w:rsidP="00887F21">
            <w:pPr>
              <w:spacing w:after="0"/>
              <w:jc w:val="center"/>
              <w:rPr>
                <w:rFonts w:ascii="Times New Roman" w:hAnsi="Times New Roman" w:cs="Times New Roman"/>
                <w:sz w:val="24"/>
                <w:szCs w:val="24"/>
              </w:rPr>
            </w:pPr>
          </w:p>
        </w:tc>
      </w:tr>
      <w:tr w:rsidR="00800492" w:rsidRPr="00622510" w14:paraId="437483E6" w14:textId="77777777" w:rsidTr="00887F21">
        <w:trPr>
          <w:jc w:val="center"/>
        </w:trPr>
        <w:tc>
          <w:tcPr>
            <w:tcW w:w="2803" w:type="dxa"/>
            <w:tcBorders>
              <w:bottom w:val="single" w:sz="4" w:space="0" w:color="auto"/>
            </w:tcBorders>
          </w:tcPr>
          <w:p w14:paraId="01CA8AFB" w14:textId="77777777" w:rsidR="00800492" w:rsidRDefault="00800492" w:rsidP="00887F21">
            <w:pPr>
              <w:spacing w:after="0"/>
              <w:rPr>
                <w:rFonts w:ascii="Times New Roman" w:hAnsi="Times New Roman" w:cs="Times New Roman"/>
                <w:sz w:val="24"/>
                <w:szCs w:val="24"/>
              </w:rPr>
            </w:pPr>
            <w:r>
              <w:rPr>
                <w:rFonts w:ascii="Times New Roman" w:hAnsi="Times New Roman" w:cs="Times New Roman"/>
                <w:sz w:val="24"/>
                <w:szCs w:val="24"/>
              </w:rPr>
              <w:t>Model 2</w:t>
            </w:r>
          </w:p>
        </w:tc>
        <w:tc>
          <w:tcPr>
            <w:tcW w:w="1865" w:type="dxa"/>
          </w:tcPr>
          <w:p w14:paraId="5242659F" w14:textId="77777777" w:rsidR="00800492" w:rsidRDefault="00800492" w:rsidP="00887F21">
            <w:pPr>
              <w:spacing w:after="0"/>
              <w:jc w:val="center"/>
              <w:rPr>
                <w:rFonts w:ascii="Times New Roman" w:hAnsi="Times New Roman" w:cs="Times New Roman"/>
                <w:sz w:val="24"/>
                <w:szCs w:val="24"/>
              </w:rPr>
            </w:pPr>
          </w:p>
        </w:tc>
        <w:tc>
          <w:tcPr>
            <w:tcW w:w="1270" w:type="dxa"/>
          </w:tcPr>
          <w:p w14:paraId="58416592" w14:textId="77777777" w:rsidR="00800492" w:rsidRDefault="00800492" w:rsidP="00887F21">
            <w:pPr>
              <w:spacing w:after="0"/>
              <w:jc w:val="center"/>
              <w:rPr>
                <w:rFonts w:ascii="Times New Roman" w:hAnsi="Times New Roman" w:cs="Times New Roman"/>
                <w:sz w:val="24"/>
                <w:szCs w:val="24"/>
              </w:rPr>
            </w:pPr>
          </w:p>
        </w:tc>
        <w:tc>
          <w:tcPr>
            <w:tcW w:w="1417" w:type="dxa"/>
          </w:tcPr>
          <w:p w14:paraId="5FE27697" w14:textId="77777777" w:rsidR="00800492" w:rsidRDefault="00800492" w:rsidP="00887F21">
            <w:pPr>
              <w:spacing w:after="0"/>
              <w:jc w:val="center"/>
              <w:rPr>
                <w:rFonts w:ascii="Times New Roman" w:hAnsi="Times New Roman" w:cs="Times New Roman"/>
                <w:sz w:val="24"/>
                <w:szCs w:val="24"/>
              </w:rPr>
            </w:pPr>
          </w:p>
        </w:tc>
        <w:tc>
          <w:tcPr>
            <w:tcW w:w="1418" w:type="dxa"/>
          </w:tcPr>
          <w:p w14:paraId="0DEC75EB" w14:textId="77777777" w:rsidR="00800492" w:rsidRDefault="00800492" w:rsidP="00887F21">
            <w:pPr>
              <w:spacing w:after="0"/>
              <w:jc w:val="center"/>
              <w:rPr>
                <w:rFonts w:ascii="Times New Roman" w:hAnsi="Times New Roman" w:cs="Times New Roman"/>
                <w:sz w:val="24"/>
                <w:szCs w:val="24"/>
              </w:rPr>
            </w:pPr>
          </w:p>
        </w:tc>
      </w:tr>
      <w:tr w:rsidR="00800492" w:rsidRPr="00622510" w14:paraId="2293D205" w14:textId="77777777" w:rsidTr="00887F21">
        <w:trPr>
          <w:trHeight w:val="70"/>
          <w:jc w:val="center"/>
        </w:trPr>
        <w:tc>
          <w:tcPr>
            <w:tcW w:w="2803" w:type="dxa"/>
            <w:tcBorders>
              <w:top w:val="single" w:sz="4" w:space="0" w:color="auto"/>
            </w:tcBorders>
          </w:tcPr>
          <w:p w14:paraId="67F4EBFD" w14:textId="77777777" w:rsidR="00800492" w:rsidRDefault="00800492" w:rsidP="00887F21">
            <w:pPr>
              <w:spacing w:after="0"/>
              <w:rPr>
                <w:rFonts w:ascii="Times New Roman" w:hAnsi="Times New Roman" w:cs="Times New Roman"/>
                <w:sz w:val="24"/>
                <w:szCs w:val="24"/>
              </w:rPr>
            </w:pPr>
            <w:r w:rsidRPr="00622510">
              <w:rPr>
                <w:rFonts w:ascii="Times New Roman" w:hAnsi="Times New Roman" w:cs="Times New Roman"/>
                <w:sz w:val="24"/>
                <w:szCs w:val="24"/>
              </w:rPr>
              <w:t>Intercept</w:t>
            </w:r>
          </w:p>
        </w:tc>
        <w:tc>
          <w:tcPr>
            <w:tcW w:w="1865" w:type="dxa"/>
          </w:tcPr>
          <w:p w14:paraId="3A0E3628"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4.728</w:t>
            </w:r>
            <w:r w:rsidRPr="00622510">
              <w:rPr>
                <w:rFonts w:ascii="Times New Roman" w:hAnsi="Times New Roman" w:cs="Times New Roman"/>
                <w:sz w:val="24"/>
                <w:szCs w:val="24"/>
              </w:rPr>
              <w:t xml:space="preserve"> (</w:t>
            </w:r>
            <w:r>
              <w:rPr>
                <w:rFonts w:ascii="Times New Roman" w:hAnsi="Times New Roman" w:cs="Times New Roman"/>
                <w:sz w:val="24"/>
                <w:szCs w:val="24"/>
              </w:rPr>
              <w:t>-0.989</w:t>
            </w:r>
            <w:r w:rsidRPr="00622510">
              <w:rPr>
                <w:rFonts w:ascii="Times New Roman" w:hAnsi="Times New Roman" w:cs="Times New Roman"/>
                <w:sz w:val="24"/>
                <w:szCs w:val="24"/>
              </w:rPr>
              <w:t>)</w:t>
            </w:r>
          </w:p>
        </w:tc>
        <w:tc>
          <w:tcPr>
            <w:tcW w:w="1270" w:type="dxa"/>
          </w:tcPr>
          <w:p w14:paraId="4E406FED" w14:textId="77777777" w:rsidR="00800492" w:rsidRDefault="00800492" w:rsidP="00887F21">
            <w:pPr>
              <w:spacing w:after="0"/>
              <w:jc w:val="center"/>
              <w:rPr>
                <w:rFonts w:ascii="Times New Roman" w:hAnsi="Times New Roman" w:cs="Times New Roman"/>
                <w:sz w:val="24"/>
                <w:szCs w:val="24"/>
              </w:rPr>
            </w:pPr>
          </w:p>
        </w:tc>
        <w:tc>
          <w:tcPr>
            <w:tcW w:w="1417" w:type="dxa"/>
          </w:tcPr>
          <w:p w14:paraId="1912B74F" w14:textId="77777777" w:rsidR="00800492" w:rsidRDefault="00800492" w:rsidP="00887F21">
            <w:pPr>
              <w:spacing w:after="0"/>
              <w:jc w:val="center"/>
              <w:rPr>
                <w:rFonts w:ascii="Times New Roman" w:hAnsi="Times New Roman" w:cs="Times New Roman"/>
                <w:sz w:val="24"/>
                <w:szCs w:val="24"/>
              </w:rPr>
            </w:pPr>
          </w:p>
        </w:tc>
        <w:tc>
          <w:tcPr>
            <w:tcW w:w="1418" w:type="dxa"/>
          </w:tcPr>
          <w:p w14:paraId="7E0F0DDD" w14:textId="77777777" w:rsidR="00800492" w:rsidRDefault="00800492" w:rsidP="00887F21">
            <w:pPr>
              <w:spacing w:after="0"/>
              <w:jc w:val="center"/>
              <w:rPr>
                <w:rFonts w:ascii="Times New Roman" w:hAnsi="Times New Roman" w:cs="Times New Roman"/>
                <w:sz w:val="24"/>
                <w:szCs w:val="24"/>
              </w:rPr>
            </w:pPr>
          </w:p>
        </w:tc>
      </w:tr>
      <w:tr w:rsidR="00800492" w:rsidRPr="00622510" w14:paraId="1C5D166C" w14:textId="77777777" w:rsidTr="00887F21">
        <w:trPr>
          <w:jc w:val="center"/>
        </w:trPr>
        <w:tc>
          <w:tcPr>
            <w:tcW w:w="2803" w:type="dxa"/>
          </w:tcPr>
          <w:p w14:paraId="1BECD186" w14:textId="77777777" w:rsidR="00800492" w:rsidRDefault="00800492" w:rsidP="00887F21">
            <w:pPr>
              <w:spacing w:after="0"/>
              <w:rPr>
                <w:rFonts w:ascii="Times New Roman" w:hAnsi="Times New Roman" w:cs="Times New Roman"/>
                <w:sz w:val="24"/>
                <w:szCs w:val="24"/>
              </w:rPr>
            </w:pPr>
            <w:r>
              <w:rPr>
                <w:rFonts w:ascii="Times New Roman" w:hAnsi="Times New Roman" w:cs="Times New Roman"/>
                <w:sz w:val="24"/>
                <w:szCs w:val="24"/>
              </w:rPr>
              <w:t xml:space="preserve">Scenario </w:t>
            </w:r>
          </w:p>
          <w:p w14:paraId="672ED4FF" w14:textId="77777777" w:rsidR="00800492" w:rsidRDefault="00800492" w:rsidP="00887F21">
            <w:pPr>
              <w:spacing w:after="0"/>
              <w:ind w:left="165"/>
              <w:rPr>
                <w:rFonts w:ascii="Times New Roman" w:hAnsi="Times New Roman" w:cs="Times New Roman"/>
                <w:sz w:val="24"/>
                <w:szCs w:val="24"/>
              </w:rPr>
            </w:pPr>
            <w:r>
              <w:rPr>
                <w:rFonts w:ascii="Times New Roman" w:hAnsi="Times New Roman" w:cs="Times New Roman"/>
                <w:sz w:val="24"/>
                <w:szCs w:val="24"/>
              </w:rPr>
              <w:t>chemotherapy vs. flu</w:t>
            </w:r>
          </w:p>
        </w:tc>
        <w:tc>
          <w:tcPr>
            <w:tcW w:w="1865" w:type="dxa"/>
          </w:tcPr>
          <w:p w14:paraId="0AAE3A3E" w14:textId="77777777" w:rsidR="00800492" w:rsidRDefault="00800492" w:rsidP="00887F21">
            <w:pPr>
              <w:spacing w:after="0"/>
              <w:jc w:val="center"/>
              <w:rPr>
                <w:rFonts w:ascii="Times New Roman" w:hAnsi="Times New Roman" w:cs="Times New Roman"/>
                <w:sz w:val="24"/>
                <w:szCs w:val="24"/>
              </w:rPr>
            </w:pPr>
          </w:p>
          <w:p w14:paraId="58FD1CD0"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-1.435</w:t>
            </w:r>
            <w:r w:rsidRPr="00622510">
              <w:rPr>
                <w:rFonts w:ascii="Times New Roman" w:hAnsi="Times New Roman" w:cs="Times New Roman"/>
                <w:sz w:val="24"/>
                <w:szCs w:val="24"/>
              </w:rPr>
              <w:t xml:space="preserve"> (</w:t>
            </w:r>
            <w:r>
              <w:rPr>
                <w:rFonts w:ascii="Times New Roman" w:hAnsi="Times New Roman" w:cs="Times New Roman"/>
                <w:sz w:val="24"/>
                <w:szCs w:val="24"/>
              </w:rPr>
              <w:t>-0.718</w:t>
            </w:r>
            <w:r w:rsidRPr="00622510">
              <w:rPr>
                <w:rFonts w:ascii="Times New Roman" w:hAnsi="Times New Roman" w:cs="Times New Roman"/>
                <w:sz w:val="24"/>
                <w:szCs w:val="24"/>
              </w:rPr>
              <w:t>)</w:t>
            </w:r>
            <w:r>
              <w:rPr>
                <w:rFonts w:ascii="Times New Roman" w:hAnsi="Times New Roman" w:cs="Times New Roman"/>
                <w:sz w:val="24"/>
                <w:szCs w:val="24"/>
              </w:rPr>
              <w:t>*</w:t>
            </w:r>
          </w:p>
        </w:tc>
        <w:tc>
          <w:tcPr>
            <w:tcW w:w="1270" w:type="dxa"/>
          </w:tcPr>
          <w:p w14:paraId="01472B90" w14:textId="77777777" w:rsidR="00800492" w:rsidRDefault="00800492" w:rsidP="00887F21">
            <w:pPr>
              <w:spacing w:after="0"/>
              <w:jc w:val="center"/>
              <w:rPr>
                <w:rFonts w:ascii="Times New Roman" w:hAnsi="Times New Roman" w:cs="Times New Roman"/>
                <w:sz w:val="24"/>
                <w:szCs w:val="24"/>
              </w:rPr>
            </w:pPr>
          </w:p>
          <w:p w14:paraId="225ED82E"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0.238</w:t>
            </w:r>
          </w:p>
        </w:tc>
        <w:tc>
          <w:tcPr>
            <w:tcW w:w="1417" w:type="dxa"/>
          </w:tcPr>
          <w:p w14:paraId="2B981E47" w14:textId="77777777" w:rsidR="00800492" w:rsidRDefault="00800492" w:rsidP="00887F21">
            <w:pPr>
              <w:spacing w:after="0"/>
              <w:jc w:val="center"/>
              <w:rPr>
                <w:rFonts w:ascii="Times New Roman" w:hAnsi="Times New Roman" w:cs="Times New Roman"/>
                <w:sz w:val="24"/>
                <w:szCs w:val="24"/>
              </w:rPr>
            </w:pPr>
          </w:p>
          <w:p w14:paraId="05CE464D" w14:textId="77777777" w:rsidR="00800492"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0.</w:t>
            </w:r>
            <w:r>
              <w:rPr>
                <w:rFonts w:ascii="Times New Roman" w:hAnsi="Times New Roman" w:cs="Times New Roman"/>
                <w:sz w:val="24"/>
                <w:szCs w:val="24"/>
              </w:rPr>
              <w:t>077</w:t>
            </w:r>
          </w:p>
        </w:tc>
        <w:tc>
          <w:tcPr>
            <w:tcW w:w="1418" w:type="dxa"/>
          </w:tcPr>
          <w:p w14:paraId="556BB227" w14:textId="77777777" w:rsidR="00800492" w:rsidRDefault="00800492" w:rsidP="00887F21">
            <w:pPr>
              <w:spacing w:after="0"/>
              <w:jc w:val="center"/>
              <w:rPr>
                <w:rFonts w:ascii="Times New Roman" w:hAnsi="Times New Roman" w:cs="Times New Roman"/>
                <w:sz w:val="24"/>
                <w:szCs w:val="24"/>
              </w:rPr>
            </w:pPr>
          </w:p>
          <w:p w14:paraId="1F9E70E0" w14:textId="77777777" w:rsidR="00800492"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0.</w:t>
            </w:r>
            <w:r>
              <w:rPr>
                <w:rFonts w:ascii="Times New Roman" w:hAnsi="Times New Roman" w:cs="Times New Roman"/>
                <w:sz w:val="24"/>
                <w:szCs w:val="24"/>
              </w:rPr>
              <w:t>741</w:t>
            </w:r>
          </w:p>
        </w:tc>
      </w:tr>
      <w:tr w:rsidR="00800492" w:rsidRPr="00622510" w14:paraId="4F1B12FE" w14:textId="77777777" w:rsidTr="00887F21">
        <w:trPr>
          <w:trHeight w:val="70"/>
          <w:jc w:val="center"/>
        </w:trPr>
        <w:tc>
          <w:tcPr>
            <w:tcW w:w="2803" w:type="dxa"/>
          </w:tcPr>
          <w:p w14:paraId="3A31E6EE" w14:textId="77777777" w:rsidR="00800492" w:rsidRDefault="00800492" w:rsidP="00887F21">
            <w:pPr>
              <w:spacing w:after="0"/>
              <w:rPr>
                <w:rFonts w:ascii="Times New Roman" w:hAnsi="Times New Roman" w:cs="Times New Roman"/>
                <w:sz w:val="24"/>
                <w:szCs w:val="24"/>
              </w:rPr>
            </w:pPr>
            <w:r>
              <w:rPr>
                <w:rFonts w:ascii="Times New Roman" w:hAnsi="Times New Roman" w:cs="Times New Roman"/>
                <w:sz w:val="24"/>
                <w:szCs w:val="24"/>
              </w:rPr>
              <w:t>Question type</w:t>
            </w:r>
          </w:p>
          <w:p w14:paraId="27750D0F" w14:textId="77777777" w:rsidR="00800492" w:rsidRDefault="00800492" w:rsidP="00887F21">
            <w:pPr>
              <w:spacing w:after="0"/>
              <w:ind w:left="165"/>
              <w:rPr>
                <w:rFonts w:ascii="Times New Roman" w:hAnsi="Times New Roman" w:cs="Times New Roman"/>
                <w:sz w:val="24"/>
                <w:szCs w:val="24"/>
              </w:rPr>
            </w:pPr>
            <w:r>
              <w:rPr>
                <w:rFonts w:ascii="Times New Roman" w:hAnsi="Times New Roman" w:cs="Times New Roman"/>
                <w:sz w:val="24"/>
                <w:szCs w:val="24"/>
              </w:rPr>
              <w:t>Child vs. self</w:t>
            </w:r>
          </w:p>
        </w:tc>
        <w:tc>
          <w:tcPr>
            <w:tcW w:w="1865" w:type="dxa"/>
          </w:tcPr>
          <w:p w14:paraId="5082AEB2" w14:textId="77777777" w:rsidR="00800492" w:rsidRDefault="00800492" w:rsidP="00887F21">
            <w:pPr>
              <w:spacing w:after="0"/>
              <w:jc w:val="center"/>
              <w:rPr>
                <w:rFonts w:ascii="Times New Roman" w:hAnsi="Times New Roman" w:cs="Times New Roman"/>
                <w:sz w:val="24"/>
                <w:szCs w:val="24"/>
              </w:rPr>
            </w:pPr>
          </w:p>
          <w:p w14:paraId="4074CFFC"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0.061</w:t>
            </w:r>
            <w:r w:rsidRPr="00622510">
              <w:rPr>
                <w:rFonts w:ascii="Times New Roman" w:hAnsi="Times New Roman" w:cs="Times New Roman"/>
                <w:sz w:val="24"/>
                <w:szCs w:val="24"/>
              </w:rPr>
              <w:t xml:space="preserve"> (</w:t>
            </w:r>
            <w:r>
              <w:rPr>
                <w:rFonts w:ascii="Times New Roman" w:hAnsi="Times New Roman" w:cs="Times New Roman"/>
                <w:sz w:val="24"/>
                <w:szCs w:val="24"/>
              </w:rPr>
              <w:t>0.030</w:t>
            </w:r>
            <w:r w:rsidRPr="00622510">
              <w:rPr>
                <w:rFonts w:ascii="Times New Roman" w:hAnsi="Times New Roman" w:cs="Times New Roman"/>
                <w:sz w:val="24"/>
                <w:szCs w:val="24"/>
              </w:rPr>
              <w:t>)</w:t>
            </w:r>
          </w:p>
        </w:tc>
        <w:tc>
          <w:tcPr>
            <w:tcW w:w="1270" w:type="dxa"/>
          </w:tcPr>
          <w:p w14:paraId="5C5BD0E9" w14:textId="77777777" w:rsidR="00800492" w:rsidRDefault="00800492" w:rsidP="00887F21">
            <w:pPr>
              <w:spacing w:after="0"/>
              <w:jc w:val="center"/>
              <w:rPr>
                <w:rFonts w:ascii="Times New Roman" w:hAnsi="Times New Roman" w:cs="Times New Roman"/>
                <w:sz w:val="24"/>
                <w:szCs w:val="24"/>
              </w:rPr>
            </w:pPr>
          </w:p>
          <w:p w14:paraId="496A56BB"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1.063</w:t>
            </w:r>
          </w:p>
        </w:tc>
        <w:tc>
          <w:tcPr>
            <w:tcW w:w="1417" w:type="dxa"/>
          </w:tcPr>
          <w:p w14:paraId="0F8E26D8" w14:textId="77777777" w:rsidR="00800492" w:rsidRDefault="00800492" w:rsidP="00887F21">
            <w:pPr>
              <w:spacing w:after="0"/>
              <w:jc w:val="center"/>
              <w:rPr>
                <w:rFonts w:ascii="Times New Roman" w:hAnsi="Times New Roman" w:cs="Times New Roman"/>
                <w:sz w:val="24"/>
                <w:szCs w:val="24"/>
              </w:rPr>
            </w:pPr>
          </w:p>
          <w:p w14:paraId="5B74D6F4"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0.348</w:t>
            </w:r>
          </w:p>
        </w:tc>
        <w:tc>
          <w:tcPr>
            <w:tcW w:w="1418" w:type="dxa"/>
          </w:tcPr>
          <w:p w14:paraId="2C67281B" w14:textId="77777777" w:rsidR="00800492" w:rsidRDefault="00800492" w:rsidP="00887F21">
            <w:pPr>
              <w:spacing w:after="0"/>
              <w:jc w:val="center"/>
              <w:rPr>
                <w:rFonts w:ascii="Times New Roman" w:hAnsi="Times New Roman" w:cs="Times New Roman"/>
                <w:sz w:val="24"/>
                <w:szCs w:val="24"/>
              </w:rPr>
            </w:pPr>
          </w:p>
          <w:p w14:paraId="0C7A6901"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3.245</w:t>
            </w:r>
          </w:p>
        </w:tc>
      </w:tr>
      <w:tr w:rsidR="00800492" w:rsidRPr="00622510" w14:paraId="630584DD" w14:textId="77777777" w:rsidTr="00887F21">
        <w:trPr>
          <w:trHeight w:val="70"/>
          <w:jc w:val="center"/>
        </w:trPr>
        <w:tc>
          <w:tcPr>
            <w:tcW w:w="2803" w:type="dxa"/>
          </w:tcPr>
          <w:p w14:paraId="5CB48CFD" w14:textId="77777777" w:rsidR="00800492" w:rsidRDefault="00800492" w:rsidP="00887F21">
            <w:pPr>
              <w:spacing w:after="0"/>
              <w:rPr>
                <w:rFonts w:ascii="Times New Roman" w:hAnsi="Times New Roman" w:cs="Times New Roman"/>
                <w:sz w:val="24"/>
                <w:szCs w:val="24"/>
              </w:rPr>
            </w:pPr>
            <w:r w:rsidRPr="00622510">
              <w:rPr>
                <w:rFonts w:ascii="Times New Roman" w:hAnsi="Times New Roman" w:cs="Times New Roman"/>
                <w:sz w:val="24"/>
                <w:szCs w:val="24"/>
              </w:rPr>
              <w:t>Age</w:t>
            </w:r>
          </w:p>
        </w:tc>
        <w:tc>
          <w:tcPr>
            <w:tcW w:w="1865" w:type="dxa"/>
          </w:tcPr>
          <w:p w14:paraId="1591A346" w14:textId="77777777" w:rsidR="00800492"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w:t>
            </w:r>
            <w:r>
              <w:rPr>
                <w:rFonts w:ascii="Times New Roman" w:hAnsi="Times New Roman" w:cs="Times New Roman"/>
                <w:sz w:val="24"/>
                <w:szCs w:val="24"/>
              </w:rPr>
              <w:t>0</w:t>
            </w:r>
            <w:r w:rsidRPr="00622510">
              <w:rPr>
                <w:rFonts w:ascii="Times New Roman" w:hAnsi="Times New Roman" w:cs="Times New Roman"/>
                <w:sz w:val="24"/>
                <w:szCs w:val="24"/>
              </w:rPr>
              <w:t>.</w:t>
            </w:r>
            <w:r>
              <w:rPr>
                <w:rFonts w:ascii="Times New Roman" w:hAnsi="Times New Roman" w:cs="Times New Roman"/>
                <w:sz w:val="24"/>
                <w:szCs w:val="24"/>
              </w:rPr>
              <w:t>051</w:t>
            </w:r>
            <w:r w:rsidRPr="00622510">
              <w:rPr>
                <w:rFonts w:ascii="Times New Roman" w:hAnsi="Times New Roman" w:cs="Times New Roman"/>
                <w:sz w:val="24"/>
                <w:szCs w:val="24"/>
              </w:rPr>
              <w:t xml:space="preserve"> (</w:t>
            </w:r>
            <w:r>
              <w:rPr>
                <w:rFonts w:ascii="Times New Roman" w:hAnsi="Times New Roman" w:cs="Times New Roman"/>
                <w:sz w:val="24"/>
                <w:szCs w:val="24"/>
              </w:rPr>
              <w:t>-0.840</w:t>
            </w:r>
            <w:r w:rsidRPr="00622510">
              <w:rPr>
                <w:rFonts w:ascii="Times New Roman" w:hAnsi="Times New Roman" w:cs="Times New Roman"/>
                <w:sz w:val="24"/>
                <w:szCs w:val="24"/>
              </w:rPr>
              <w:t>)*</w:t>
            </w:r>
          </w:p>
        </w:tc>
        <w:tc>
          <w:tcPr>
            <w:tcW w:w="1270" w:type="dxa"/>
          </w:tcPr>
          <w:p w14:paraId="0F317459" w14:textId="77777777" w:rsidR="00800492"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0.</w:t>
            </w:r>
            <w:r>
              <w:rPr>
                <w:rFonts w:ascii="Times New Roman" w:hAnsi="Times New Roman" w:cs="Times New Roman"/>
                <w:sz w:val="24"/>
                <w:szCs w:val="24"/>
              </w:rPr>
              <w:t>950</w:t>
            </w:r>
          </w:p>
        </w:tc>
        <w:tc>
          <w:tcPr>
            <w:tcW w:w="1417" w:type="dxa"/>
          </w:tcPr>
          <w:p w14:paraId="77492B7B" w14:textId="77777777" w:rsidR="00800492"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0.</w:t>
            </w:r>
            <w:r>
              <w:rPr>
                <w:rFonts w:ascii="Times New Roman" w:hAnsi="Times New Roman" w:cs="Times New Roman"/>
                <w:sz w:val="24"/>
                <w:szCs w:val="24"/>
              </w:rPr>
              <w:t>909</w:t>
            </w:r>
          </w:p>
        </w:tc>
        <w:tc>
          <w:tcPr>
            <w:tcW w:w="1418" w:type="dxa"/>
          </w:tcPr>
          <w:p w14:paraId="4D1613E1" w14:textId="77777777" w:rsidR="00800492"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0.</w:t>
            </w:r>
            <w:r>
              <w:rPr>
                <w:rFonts w:ascii="Times New Roman" w:hAnsi="Times New Roman" w:cs="Times New Roman"/>
                <w:sz w:val="24"/>
                <w:szCs w:val="24"/>
              </w:rPr>
              <w:t>993</w:t>
            </w:r>
          </w:p>
        </w:tc>
      </w:tr>
      <w:tr w:rsidR="00800492" w:rsidRPr="00622510" w14:paraId="378607E7" w14:textId="77777777" w:rsidTr="00887F21">
        <w:trPr>
          <w:trHeight w:val="70"/>
          <w:jc w:val="center"/>
        </w:trPr>
        <w:tc>
          <w:tcPr>
            <w:tcW w:w="2803" w:type="dxa"/>
          </w:tcPr>
          <w:p w14:paraId="65C7023A" w14:textId="77777777" w:rsidR="00800492" w:rsidRDefault="00800492" w:rsidP="00887F21">
            <w:pPr>
              <w:spacing w:after="0"/>
              <w:rPr>
                <w:rFonts w:ascii="Times New Roman" w:hAnsi="Times New Roman" w:cs="Times New Roman"/>
                <w:sz w:val="24"/>
                <w:szCs w:val="24"/>
              </w:rPr>
            </w:pPr>
            <w:r w:rsidRPr="00622510">
              <w:rPr>
                <w:rFonts w:ascii="Times New Roman" w:hAnsi="Times New Roman" w:cs="Times New Roman"/>
                <w:sz w:val="24"/>
                <w:szCs w:val="24"/>
              </w:rPr>
              <w:t>Female gender</w:t>
            </w:r>
          </w:p>
        </w:tc>
        <w:tc>
          <w:tcPr>
            <w:tcW w:w="1865" w:type="dxa"/>
          </w:tcPr>
          <w:p w14:paraId="1EAD5326" w14:textId="77777777" w:rsidR="00800492"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w:t>
            </w:r>
            <w:r>
              <w:rPr>
                <w:rFonts w:ascii="Times New Roman" w:hAnsi="Times New Roman" w:cs="Times New Roman"/>
                <w:sz w:val="24"/>
                <w:szCs w:val="24"/>
              </w:rPr>
              <w:t>2</w:t>
            </w:r>
            <w:r w:rsidRPr="00622510">
              <w:rPr>
                <w:rFonts w:ascii="Times New Roman" w:hAnsi="Times New Roman" w:cs="Times New Roman"/>
                <w:sz w:val="24"/>
                <w:szCs w:val="24"/>
              </w:rPr>
              <w:t>.</w:t>
            </w:r>
            <w:r>
              <w:rPr>
                <w:rFonts w:ascii="Times New Roman" w:hAnsi="Times New Roman" w:cs="Times New Roman"/>
                <w:sz w:val="24"/>
                <w:szCs w:val="24"/>
              </w:rPr>
              <w:t>079</w:t>
            </w:r>
            <w:r w:rsidRPr="00622510">
              <w:rPr>
                <w:rFonts w:ascii="Times New Roman" w:hAnsi="Times New Roman" w:cs="Times New Roman"/>
                <w:sz w:val="24"/>
                <w:szCs w:val="24"/>
              </w:rPr>
              <w:t xml:space="preserve"> (</w:t>
            </w:r>
            <w:r>
              <w:rPr>
                <w:rFonts w:ascii="Times New Roman" w:hAnsi="Times New Roman" w:cs="Times New Roman"/>
                <w:sz w:val="24"/>
                <w:szCs w:val="24"/>
              </w:rPr>
              <w:t>-1.006</w:t>
            </w:r>
            <w:r w:rsidRPr="00622510">
              <w:rPr>
                <w:rFonts w:ascii="Times New Roman" w:hAnsi="Times New Roman" w:cs="Times New Roman"/>
                <w:sz w:val="24"/>
                <w:szCs w:val="24"/>
              </w:rPr>
              <w:t>)</w:t>
            </w:r>
            <w:r>
              <w:rPr>
                <w:rFonts w:ascii="Times New Roman" w:hAnsi="Times New Roman" w:cs="Times New Roman"/>
                <w:sz w:val="24"/>
                <w:szCs w:val="24"/>
              </w:rPr>
              <w:t>*</w:t>
            </w:r>
          </w:p>
        </w:tc>
        <w:tc>
          <w:tcPr>
            <w:tcW w:w="1270" w:type="dxa"/>
          </w:tcPr>
          <w:p w14:paraId="7A5B97BE" w14:textId="77777777" w:rsidR="00800492"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0.</w:t>
            </w:r>
            <w:r>
              <w:rPr>
                <w:rFonts w:ascii="Times New Roman" w:hAnsi="Times New Roman" w:cs="Times New Roman"/>
                <w:sz w:val="24"/>
                <w:szCs w:val="24"/>
              </w:rPr>
              <w:t>125</w:t>
            </w:r>
          </w:p>
        </w:tc>
        <w:tc>
          <w:tcPr>
            <w:tcW w:w="1417" w:type="dxa"/>
          </w:tcPr>
          <w:p w14:paraId="26D9440B" w14:textId="77777777" w:rsidR="00800492" w:rsidRDefault="00800492" w:rsidP="00887F21">
            <w:pPr>
              <w:spacing w:after="0"/>
              <w:jc w:val="center"/>
              <w:rPr>
                <w:rFonts w:ascii="Times New Roman" w:hAnsi="Times New Roman" w:cs="Times New Roman"/>
                <w:sz w:val="24"/>
                <w:szCs w:val="24"/>
              </w:rPr>
            </w:pPr>
            <w:r w:rsidRPr="00622510">
              <w:rPr>
                <w:rFonts w:ascii="Times New Roman" w:hAnsi="Times New Roman" w:cs="Times New Roman"/>
                <w:sz w:val="24"/>
                <w:szCs w:val="24"/>
              </w:rPr>
              <w:t>0.</w:t>
            </w:r>
            <w:r>
              <w:rPr>
                <w:rFonts w:ascii="Times New Roman" w:hAnsi="Times New Roman" w:cs="Times New Roman"/>
                <w:sz w:val="24"/>
                <w:szCs w:val="24"/>
              </w:rPr>
              <w:t>027</w:t>
            </w:r>
          </w:p>
        </w:tc>
        <w:tc>
          <w:tcPr>
            <w:tcW w:w="1418" w:type="dxa"/>
          </w:tcPr>
          <w:p w14:paraId="781422C0"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0.575</w:t>
            </w:r>
          </w:p>
        </w:tc>
      </w:tr>
      <w:tr w:rsidR="00800492" w:rsidRPr="00622510" w14:paraId="46A17591" w14:textId="77777777" w:rsidTr="00887F21">
        <w:trPr>
          <w:trHeight w:val="70"/>
          <w:jc w:val="center"/>
        </w:trPr>
        <w:tc>
          <w:tcPr>
            <w:tcW w:w="2803" w:type="dxa"/>
          </w:tcPr>
          <w:p w14:paraId="2BE9EED4" w14:textId="77777777" w:rsidR="00800492" w:rsidRDefault="00800492" w:rsidP="00887F21">
            <w:pPr>
              <w:spacing w:after="0"/>
              <w:rPr>
                <w:rFonts w:ascii="Times New Roman" w:hAnsi="Times New Roman" w:cs="Times New Roman"/>
                <w:sz w:val="24"/>
                <w:szCs w:val="24"/>
              </w:rPr>
            </w:pPr>
            <w:r>
              <w:rPr>
                <w:rFonts w:ascii="Times New Roman" w:hAnsi="Times New Roman" w:cs="Times New Roman"/>
                <w:sz w:val="24"/>
                <w:szCs w:val="24"/>
              </w:rPr>
              <w:t>Numeracy</w:t>
            </w:r>
          </w:p>
        </w:tc>
        <w:tc>
          <w:tcPr>
            <w:tcW w:w="1865" w:type="dxa"/>
          </w:tcPr>
          <w:p w14:paraId="487C008D"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0.077 (0.083)</w:t>
            </w:r>
          </w:p>
        </w:tc>
        <w:tc>
          <w:tcPr>
            <w:tcW w:w="1270" w:type="dxa"/>
          </w:tcPr>
          <w:p w14:paraId="582DEA47"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1.080</w:t>
            </w:r>
          </w:p>
        </w:tc>
        <w:tc>
          <w:tcPr>
            <w:tcW w:w="1417" w:type="dxa"/>
          </w:tcPr>
          <w:p w14:paraId="74818373"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0.826</w:t>
            </w:r>
          </w:p>
        </w:tc>
        <w:tc>
          <w:tcPr>
            <w:tcW w:w="1418" w:type="dxa"/>
          </w:tcPr>
          <w:p w14:paraId="279CD4EE"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1.413</w:t>
            </w:r>
          </w:p>
        </w:tc>
      </w:tr>
      <w:tr w:rsidR="00800492" w:rsidRPr="00622510" w14:paraId="4A154127" w14:textId="77777777" w:rsidTr="00887F21">
        <w:trPr>
          <w:trHeight w:val="70"/>
          <w:jc w:val="center"/>
        </w:trPr>
        <w:tc>
          <w:tcPr>
            <w:tcW w:w="2803" w:type="dxa"/>
          </w:tcPr>
          <w:p w14:paraId="3B2823FA" w14:textId="77777777" w:rsidR="00800492" w:rsidRDefault="00800492" w:rsidP="00887F21">
            <w:pPr>
              <w:spacing w:after="0"/>
              <w:rPr>
                <w:rFonts w:ascii="Times New Roman" w:hAnsi="Times New Roman" w:cs="Times New Roman"/>
                <w:sz w:val="24"/>
                <w:szCs w:val="24"/>
              </w:rPr>
            </w:pPr>
            <w:r>
              <w:rPr>
                <w:rFonts w:ascii="Times New Roman" w:hAnsi="Times New Roman" w:cs="Times New Roman"/>
                <w:sz w:val="24"/>
                <w:szCs w:val="24"/>
              </w:rPr>
              <w:t>Age X Scenario</w:t>
            </w:r>
          </w:p>
        </w:tc>
        <w:tc>
          <w:tcPr>
            <w:tcW w:w="1865" w:type="dxa"/>
          </w:tcPr>
          <w:p w14:paraId="0DF901AB"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0.006 (0.006)</w:t>
            </w:r>
          </w:p>
        </w:tc>
        <w:tc>
          <w:tcPr>
            <w:tcW w:w="1270" w:type="dxa"/>
          </w:tcPr>
          <w:p w14:paraId="24C1BA6A"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1.006</w:t>
            </w:r>
          </w:p>
        </w:tc>
        <w:tc>
          <w:tcPr>
            <w:tcW w:w="1417" w:type="dxa"/>
          </w:tcPr>
          <w:p w14:paraId="37193E50"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0.987</w:t>
            </w:r>
          </w:p>
        </w:tc>
        <w:tc>
          <w:tcPr>
            <w:tcW w:w="1418" w:type="dxa"/>
          </w:tcPr>
          <w:p w14:paraId="5E7859AE"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1.025</w:t>
            </w:r>
          </w:p>
        </w:tc>
      </w:tr>
      <w:tr w:rsidR="00800492" w:rsidRPr="00622510" w14:paraId="155909AA" w14:textId="77777777" w:rsidTr="00887F21">
        <w:trPr>
          <w:trHeight w:val="70"/>
          <w:jc w:val="center"/>
        </w:trPr>
        <w:tc>
          <w:tcPr>
            <w:tcW w:w="2803" w:type="dxa"/>
          </w:tcPr>
          <w:p w14:paraId="2C713FF3" w14:textId="77777777" w:rsidR="00800492" w:rsidRDefault="00800492" w:rsidP="00887F21">
            <w:pPr>
              <w:spacing w:after="0"/>
              <w:rPr>
                <w:rFonts w:ascii="Times New Roman" w:hAnsi="Times New Roman" w:cs="Times New Roman"/>
                <w:sz w:val="24"/>
                <w:szCs w:val="24"/>
              </w:rPr>
            </w:pPr>
            <w:r>
              <w:rPr>
                <w:rFonts w:ascii="Times New Roman" w:hAnsi="Times New Roman" w:cs="Times New Roman"/>
                <w:sz w:val="24"/>
                <w:szCs w:val="24"/>
              </w:rPr>
              <w:t>Age X Question type</w:t>
            </w:r>
          </w:p>
        </w:tc>
        <w:tc>
          <w:tcPr>
            <w:tcW w:w="1865" w:type="dxa"/>
          </w:tcPr>
          <w:p w14:paraId="0FAF0B65"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0.012 (0.012)</w:t>
            </w:r>
          </w:p>
        </w:tc>
        <w:tc>
          <w:tcPr>
            <w:tcW w:w="1270" w:type="dxa"/>
          </w:tcPr>
          <w:p w14:paraId="4954EB6C"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1.012</w:t>
            </w:r>
          </w:p>
        </w:tc>
        <w:tc>
          <w:tcPr>
            <w:tcW w:w="1417" w:type="dxa"/>
          </w:tcPr>
          <w:p w14:paraId="59D85DE2"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0.993</w:t>
            </w:r>
          </w:p>
        </w:tc>
        <w:tc>
          <w:tcPr>
            <w:tcW w:w="1418" w:type="dxa"/>
          </w:tcPr>
          <w:p w14:paraId="5C968429"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1.032</w:t>
            </w:r>
          </w:p>
        </w:tc>
      </w:tr>
      <w:tr w:rsidR="00800492" w:rsidRPr="00622510" w14:paraId="11352BDF" w14:textId="77777777" w:rsidTr="00887F21">
        <w:trPr>
          <w:trHeight w:val="70"/>
          <w:jc w:val="center"/>
        </w:trPr>
        <w:tc>
          <w:tcPr>
            <w:tcW w:w="2803" w:type="dxa"/>
          </w:tcPr>
          <w:p w14:paraId="13D48066" w14:textId="77777777" w:rsidR="00800492" w:rsidRDefault="00800492" w:rsidP="00887F21">
            <w:pPr>
              <w:spacing w:after="0"/>
              <w:rPr>
                <w:rFonts w:ascii="Times New Roman" w:hAnsi="Times New Roman" w:cs="Times New Roman"/>
                <w:sz w:val="24"/>
                <w:szCs w:val="24"/>
              </w:rPr>
            </w:pPr>
            <w:r>
              <w:rPr>
                <w:rFonts w:ascii="Times New Roman" w:hAnsi="Times New Roman" w:cs="Times New Roman"/>
                <w:sz w:val="24"/>
                <w:szCs w:val="24"/>
              </w:rPr>
              <w:t>Gender X Scenario</w:t>
            </w:r>
          </w:p>
        </w:tc>
        <w:tc>
          <w:tcPr>
            <w:tcW w:w="1865" w:type="dxa"/>
          </w:tcPr>
          <w:p w14:paraId="5A4E8106"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1.022 (1.022)*</w:t>
            </w:r>
          </w:p>
        </w:tc>
        <w:tc>
          <w:tcPr>
            <w:tcW w:w="1270" w:type="dxa"/>
          </w:tcPr>
          <w:p w14:paraId="10B8B752"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2.779</w:t>
            </w:r>
          </w:p>
        </w:tc>
        <w:tc>
          <w:tcPr>
            <w:tcW w:w="1417" w:type="dxa"/>
          </w:tcPr>
          <w:p w14:paraId="195D8D19"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1.425</w:t>
            </w:r>
          </w:p>
        </w:tc>
        <w:tc>
          <w:tcPr>
            <w:tcW w:w="1418" w:type="dxa"/>
          </w:tcPr>
          <w:p w14:paraId="34FAB66C"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5.419</w:t>
            </w:r>
          </w:p>
        </w:tc>
      </w:tr>
      <w:tr w:rsidR="00800492" w:rsidRPr="00622510" w14:paraId="3FD252FD" w14:textId="77777777" w:rsidTr="00887F21">
        <w:trPr>
          <w:trHeight w:val="70"/>
          <w:jc w:val="center"/>
        </w:trPr>
        <w:tc>
          <w:tcPr>
            <w:tcW w:w="2803" w:type="dxa"/>
            <w:tcBorders>
              <w:bottom w:val="single" w:sz="4" w:space="0" w:color="auto"/>
            </w:tcBorders>
          </w:tcPr>
          <w:p w14:paraId="3FE0CD4C" w14:textId="77777777" w:rsidR="00800492" w:rsidRDefault="00800492" w:rsidP="00887F21">
            <w:pPr>
              <w:spacing w:after="0"/>
              <w:rPr>
                <w:rFonts w:ascii="Times New Roman" w:hAnsi="Times New Roman" w:cs="Times New Roman"/>
                <w:sz w:val="24"/>
                <w:szCs w:val="24"/>
              </w:rPr>
            </w:pPr>
            <w:r>
              <w:rPr>
                <w:rFonts w:ascii="Times New Roman" w:hAnsi="Times New Roman" w:cs="Times New Roman"/>
                <w:sz w:val="24"/>
                <w:szCs w:val="24"/>
              </w:rPr>
              <w:t>Gender X Question type</w:t>
            </w:r>
          </w:p>
        </w:tc>
        <w:tc>
          <w:tcPr>
            <w:tcW w:w="1865" w:type="dxa"/>
            <w:tcBorders>
              <w:bottom w:val="single" w:sz="4" w:space="0" w:color="auto"/>
            </w:tcBorders>
          </w:tcPr>
          <w:p w14:paraId="2E30BACC"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-0.059 (-0.059)</w:t>
            </w:r>
          </w:p>
        </w:tc>
        <w:tc>
          <w:tcPr>
            <w:tcW w:w="1270" w:type="dxa"/>
            <w:tcBorders>
              <w:bottom w:val="single" w:sz="4" w:space="0" w:color="auto"/>
            </w:tcBorders>
          </w:tcPr>
          <w:p w14:paraId="1E7AE3F3"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0.943</w:t>
            </w:r>
          </w:p>
        </w:tc>
        <w:tc>
          <w:tcPr>
            <w:tcW w:w="1417" w:type="dxa"/>
            <w:tcBorders>
              <w:bottom w:val="single" w:sz="4" w:space="0" w:color="auto"/>
            </w:tcBorders>
          </w:tcPr>
          <w:p w14:paraId="6B87B1D3"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0.489</w:t>
            </w:r>
          </w:p>
        </w:tc>
        <w:tc>
          <w:tcPr>
            <w:tcW w:w="1418" w:type="dxa"/>
            <w:tcBorders>
              <w:bottom w:val="single" w:sz="4" w:space="0" w:color="auto"/>
            </w:tcBorders>
          </w:tcPr>
          <w:p w14:paraId="4FBDCF9B" w14:textId="77777777" w:rsidR="00800492" w:rsidRDefault="00800492" w:rsidP="00887F21">
            <w:pPr>
              <w:spacing w:after="0"/>
              <w:jc w:val="center"/>
              <w:rPr>
                <w:rFonts w:ascii="Times New Roman" w:hAnsi="Times New Roman" w:cs="Times New Roman"/>
                <w:sz w:val="24"/>
                <w:szCs w:val="24"/>
              </w:rPr>
            </w:pPr>
            <w:r>
              <w:rPr>
                <w:rFonts w:ascii="Times New Roman" w:hAnsi="Times New Roman" w:cs="Times New Roman"/>
                <w:sz w:val="24"/>
                <w:szCs w:val="24"/>
              </w:rPr>
              <w:t>1.818</w:t>
            </w:r>
          </w:p>
        </w:tc>
      </w:tr>
    </w:tbl>
    <w:p w14:paraId="02C67A0C" w14:textId="77777777" w:rsidR="00800492" w:rsidRPr="00097963" w:rsidRDefault="00800492" w:rsidP="00800492">
      <w:pPr>
        <w:spacing w:after="0"/>
        <w:ind w:left="426"/>
        <w:rPr>
          <w:rFonts w:ascii="Times New Roman" w:hAnsi="Times New Roman"/>
          <w:sz w:val="24"/>
          <w:szCs w:val="24"/>
          <w:lang w:val="en-US"/>
        </w:rPr>
      </w:pPr>
      <w:r w:rsidRPr="00516108">
        <w:rPr>
          <w:rFonts w:ascii="Times New Roman" w:hAnsi="Times New Roman"/>
          <w:sz w:val="24"/>
          <w:szCs w:val="24"/>
          <w:lang w:val="en-US"/>
        </w:rPr>
        <w:t>*</w:t>
      </w:r>
      <w:r w:rsidRPr="00516108">
        <w:rPr>
          <w:rFonts w:ascii="Times New Roman" w:hAnsi="Times New Roman"/>
          <w:i/>
          <w:sz w:val="24"/>
          <w:szCs w:val="24"/>
          <w:lang w:val="en-US"/>
        </w:rPr>
        <w:t>p</w:t>
      </w:r>
      <w:r w:rsidRPr="00516108">
        <w:rPr>
          <w:rFonts w:ascii="Times New Roman" w:hAnsi="Times New Roman"/>
          <w:sz w:val="24"/>
          <w:szCs w:val="24"/>
          <w:lang w:val="en-US"/>
        </w:rPr>
        <w:t xml:space="preserve"> </w:t>
      </w:r>
      <w:r w:rsidRPr="00516108">
        <w:rPr>
          <w:rFonts w:ascii="Times New Roman" w:hAnsi="Times New Roman"/>
          <w:sz w:val="24"/>
          <w:szCs w:val="24"/>
          <w:u w:val="single"/>
          <w:lang w:val="en-US"/>
        </w:rPr>
        <w:t>&lt;</w:t>
      </w:r>
      <w:r w:rsidRPr="00516108">
        <w:rPr>
          <w:rFonts w:ascii="Times New Roman" w:hAnsi="Times New Roman"/>
          <w:sz w:val="24"/>
          <w:szCs w:val="24"/>
          <w:lang w:val="en-US"/>
        </w:rPr>
        <w:t xml:space="preserve"> .05</w:t>
      </w:r>
      <w:r>
        <w:rPr>
          <w:rFonts w:ascii="Times New Roman" w:hAnsi="Times New Roman"/>
          <w:sz w:val="24"/>
          <w:szCs w:val="24"/>
          <w:lang w:val="en-US"/>
        </w:rPr>
        <w:t>.</w:t>
      </w:r>
      <w:r w:rsidRPr="00516108">
        <w:rPr>
          <w:rFonts w:ascii="Times New Roman" w:hAnsi="Times New Roman"/>
          <w:sz w:val="24"/>
          <w:szCs w:val="24"/>
          <w:lang w:val="en-US"/>
        </w:rPr>
        <w:t xml:space="preserve"> **</w:t>
      </w:r>
      <w:r w:rsidRPr="00516108">
        <w:rPr>
          <w:rFonts w:ascii="Times New Roman" w:hAnsi="Times New Roman"/>
          <w:i/>
          <w:sz w:val="24"/>
          <w:szCs w:val="24"/>
          <w:lang w:val="en-US"/>
        </w:rPr>
        <w:t>p</w:t>
      </w:r>
      <w:r w:rsidRPr="00516108">
        <w:rPr>
          <w:rFonts w:ascii="Times New Roman" w:hAnsi="Times New Roman"/>
          <w:sz w:val="24"/>
          <w:szCs w:val="24"/>
          <w:lang w:val="en-US"/>
        </w:rPr>
        <w:t xml:space="preserve"> </w:t>
      </w:r>
      <w:r w:rsidRPr="00516108">
        <w:rPr>
          <w:rFonts w:ascii="Times New Roman" w:hAnsi="Times New Roman"/>
          <w:sz w:val="24"/>
          <w:szCs w:val="24"/>
          <w:u w:val="single"/>
          <w:lang w:val="en-US"/>
        </w:rPr>
        <w:t>&lt;</w:t>
      </w:r>
      <w:r w:rsidRPr="00516108">
        <w:rPr>
          <w:rFonts w:ascii="Times New Roman" w:hAnsi="Times New Roman"/>
          <w:sz w:val="24"/>
          <w:szCs w:val="24"/>
          <w:lang w:val="en-US"/>
        </w:rPr>
        <w:t xml:space="preserve"> .001.</w:t>
      </w:r>
      <w:r>
        <w:rPr>
          <w:rFonts w:ascii="Times New Roman" w:hAnsi="Times New Roman"/>
          <w:sz w:val="24"/>
          <w:szCs w:val="24"/>
          <w:lang w:val="en-US"/>
        </w:rPr>
        <w:t xml:space="preserve"> </w:t>
      </w:r>
      <w:r w:rsidRPr="00800492">
        <w:rPr>
          <w:rFonts w:ascii="Times New Roman" w:hAnsi="Times New Roman"/>
          <w:sz w:val="24"/>
          <w:szCs w:val="24"/>
          <w:lang w:val="en-US"/>
        </w:rPr>
        <w:t>The standardized coefficients (</w:t>
      </w:r>
      <w:r w:rsidRPr="00800492">
        <w:rPr>
          <w:rFonts w:ascii="Times New Roman" w:hAnsi="Times New Roman" w:cs="Times New Roman"/>
          <w:i/>
          <w:sz w:val="24"/>
          <w:szCs w:val="24"/>
        </w:rPr>
        <w:t>β</w:t>
      </w:r>
      <w:r w:rsidRPr="00800492">
        <w:rPr>
          <w:rFonts w:ascii="Times New Roman" w:hAnsi="Times New Roman" w:cs="Times New Roman"/>
          <w:sz w:val="24"/>
          <w:szCs w:val="24"/>
        </w:rPr>
        <w:t>) were calculated by standardizing the predictors such that they had a mean of 0 and a standard deviation of 1.</w:t>
      </w:r>
    </w:p>
    <w:p w14:paraId="68B543F8" w14:textId="77777777" w:rsidR="00622510" w:rsidRPr="00622510" w:rsidRDefault="00622510" w:rsidP="00622510">
      <w:pPr>
        <w:tabs>
          <w:tab w:val="left" w:pos="5820"/>
        </w:tabs>
        <w:spacing w:after="0"/>
        <w:ind w:left="720" w:hanging="720"/>
        <w:rPr>
          <w:rFonts w:ascii="Times New Roman" w:eastAsia="SimSun" w:hAnsi="Times New Roman" w:cs="Times New Roman"/>
          <w:sz w:val="24"/>
          <w:szCs w:val="24"/>
        </w:rPr>
      </w:pPr>
    </w:p>
    <w:p w14:paraId="12E6A17E" w14:textId="77777777" w:rsidR="00BE2F26" w:rsidRDefault="00BE2F26" w:rsidP="00C91386">
      <w:pPr>
        <w:ind w:left="450"/>
        <w:rPr>
          <w:rFonts w:ascii="Times New Roman" w:hAnsi="Times New Roman"/>
          <w:sz w:val="24"/>
          <w:szCs w:val="24"/>
          <w:lang w:val="en-US"/>
        </w:rPr>
      </w:pPr>
    </w:p>
    <w:p w14:paraId="34CE1A7E" w14:textId="77777777" w:rsidR="00BE2F26" w:rsidRDefault="00BE2F26" w:rsidP="00C91386">
      <w:pPr>
        <w:ind w:left="450"/>
        <w:rPr>
          <w:rFonts w:ascii="Times New Roman" w:hAnsi="Times New Roman"/>
          <w:sz w:val="24"/>
          <w:szCs w:val="24"/>
          <w:lang w:val="en-US"/>
        </w:rPr>
      </w:pPr>
    </w:p>
    <w:p w14:paraId="61DB24B2" w14:textId="77777777" w:rsidR="00BE2F26" w:rsidRDefault="00BE2F26" w:rsidP="00C91386">
      <w:pPr>
        <w:ind w:left="450"/>
        <w:rPr>
          <w:rFonts w:ascii="Times New Roman" w:hAnsi="Times New Roman"/>
          <w:sz w:val="24"/>
          <w:szCs w:val="24"/>
          <w:lang w:val="en-US"/>
        </w:rPr>
      </w:pPr>
    </w:p>
    <w:p w14:paraId="2F1BA119" w14:textId="77777777" w:rsidR="00BE2F26" w:rsidRDefault="00BE2F26" w:rsidP="00C91386">
      <w:pPr>
        <w:ind w:left="450"/>
        <w:rPr>
          <w:rFonts w:ascii="Times New Roman" w:hAnsi="Times New Roman"/>
          <w:sz w:val="24"/>
          <w:szCs w:val="24"/>
          <w:lang w:val="en-US"/>
        </w:rPr>
      </w:pPr>
    </w:p>
    <w:p w14:paraId="52000D27" w14:textId="77777777" w:rsidR="00BE2F26" w:rsidRDefault="00BE2F26" w:rsidP="00C91386">
      <w:pPr>
        <w:ind w:left="450"/>
        <w:rPr>
          <w:rFonts w:ascii="Times New Roman" w:hAnsi="Times New Roman"/>
          <w:sz w:val="24"/>
          <w:szCs w:val="24"/>
          <w:lang w:val="en-US"/>
        </w:rPr>
      </w:pPr>
    </w:p>
    <w:p w14:paraId="67057F89" w14:textId="77777777" w:rsidR="00BE2F26" w:rsidRDefault="00BE2F26" w:rsidP="00C91386">
      <w:pPr>
        <w:ind w:left="450"/>
        <w:rPr>
          <w:rFonts w:ascii="Times New Roman" w:hAnsi="Times New Roman"/>
          <w:sz w:val="24"/>
          <w:szCs w:val="24"/>
          <w:lang w:val="en-US"/>
        </w:rPr>
      </w:pPr>
    </w:p>
    <w:p w14:paraId="12AEB0F2" w14:textId="77777777" w:rsidR="00BE2F26" w:rsidRPr="00516108" w:rsidRDefault="00BE2F26" w:rsidP="00BE2F26">
      <w:pPr>
        <w:tabs>
          <w:tab w:val="left" w:pos="2430"/>
        </w:tabs>
        <w:spacing w:line="480" w:lineRule="auto"/>
        <w:ind w:left="-810"/>
        <w:rPr>
          <w:rFonts w:asciiTheme="majorBidi" w:hAnsiTheme="majorBidi" w:cstheme="majorBidi"/>
          <w:sz w:val="24"/>
          <w:szCs w:val="24"/>
          <w:lang w:val="en-US"/>
        </w:rPr>
      </w:pPr>
      <w:r>
        <w:rPr>
          <w:rFonts w:asciiTheme="majorBidi" w:hAnsiTheme="majorBidi" w:cstheme="majorBidi"/>
          <w:noProof/>
          <w:sz w:val="24"/>
          <w:szCs w:val="24"/>
          <w:lang w:eastAsia="zh-CN"/>
        </w:rPr>
        <w:drawing>
          <wp:inline distT="0" distB="0" distL="0" distR="0" wp14:anchorId="17E0AB87" wp14:editId="21210A00">
            <wp:extent cx="7427595" cy="235444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48805" cy="2361170"/>
                    </a:xfrm>
                    <a:prstGeom prst="rect">
                      <a:avLst/>
                    </a:prstGeom>
                    <a:noFill/>
                  </pic:spPr>
                </pic:pic>
              </a:graphicData>
            </a:graphic>
          </wp:inline>
        </w:drawing>
      </w:r>
    </w:p>
    <w:p w14:paraId="52C6DC3A" w14:textId="77777777" w:rsidR="00BE2F26" w:rsidRPr="00516108" w:rsidRDefault="00BE2F26" w:rsidP="00BE2F26">
      <w:pPr>
        <w:tabs>
          <w:tab w:val="left" w:pos="2430"/>
        </w:tabs>
        <w:spacing w:line="480" w:lineRule="auto"/>
        <w:ind w:left="-90"/>
        <w:rPr>
          <w:rFonts w:asciiTheme="majorBidi" w:hAnsiTheme="majorBidi" w:cstheme="majorBidi"/>
          <w:sz w:val="24"/>
          <w:szCs w:val="24"/>
          <w:lang w:val="en-US"/>
        </w:rPr>
      </w:pPr>
      <w:r w:rsidRPr="008910B4">
        <w:rPr>
          <w:rFonts w:asciiTheme="majorBidi" w:hAnsiTheme="majorBidi" w:cstheme="majorBidi"/>
          <w:i/>
          <w:sz w:val="24"/>
          <w:szCs w:val="24"/>
          <w:lang w:val="en-US"/>
        </w:rPr>
        <w:t>Figure 1.</w:t>
      </w:r>
      <w:r w:rsidRPr="00E54F19">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(A) </w:t>
      </w:r>
      <w:r w:rsidRPr="00516108">
        <w:rPr>
          <w:rFonts w:asciiTheme="majorBidi" w:hAnsiTheme="majorBidi" w:cstheme="majorBidi"/>
          <w:sz w:val="24"/>
          <w:szCs w:val="24"/>
          <w:lang w:val="en-US"/>
        </w:rPr>
        <w:t xml:space="preserve">Effects </w:t>
      </w:r>
      <w:r>
        <w:rPr>
          <w:rFonts w:asciiTheme="majorBidi" w:hAnsiTheme="majorBidi" w:cstheme="majorBidi"/>
          <w:sz w:val="24"/>
          <w:szCs w:val="24"/>
          <w:lang w:val="en-US"/>
        </w:rPr>
        <w:t xml:space="preserve">of </w:t>
      </w:r>
      <w:r w:rsidRPr="00516108">
        <w:rPr>
          <w:rFonts w:asciiTheme="majorBidi" w:hAnsiTheme="majorBidi" w:cstheme="majorBidi"/>
          <w:sz w:val="24"/>
          <w:szCs w:val="24"/>
          <w:lang w:val="en-US"/>
        </w:rPr>
        <w:t>risk perception and expected benefits ratings on DOSPERT-M active risk-taking ratings based on a rolling regression with a 10-year period from age 20 to 77 years.</w:t>
      </w:r>
      <w:r w:rsidRPr="00E54F19">
        <w:rPr>
          <w:rFonts w:asciiTheme="majorBidi" w:hAnsiTheme="majorBidi" w:cstheme="majorBidi"/>
          <w:b/>
          <w:sz w:val="24"/>
          <w:szCs w:val="24"/>
          <w:lang w:val="en-US"/>
        </w:rPr>
        <w:t xml:space="preserve"> </w:t>
      </w:r>
      <w:r w:rsidRPr="00516108">
        <w:rPr>
          <w:rFonts w:asciiTheme="majorBidi" w:hAnsiTheme="majorBidi" w:cstheme="majorBidi"/>
          <w:sz w:val="24"/>
          <w:szCs w:val="24"/>
          <w:lang w:val="en-US"/>
        </w:rPr>
        <w:t>(</w:t>
      </w:r>
      <w:r>
        <w:rPr>
          <w:rFonts w:asciiTheme="majorBidi" w:hAnsiTheme="majorBidi" w:cstheme="majorBidi"/>
          <w:sz w:val="24"/>
          <w:szCs w:val="24"/>
          <w:lang w:val="en-US"/>
        </w:rPr>
        <w:t>B</w:t>
      </w:r>
      <w:r w:rsidRPr="00516108">
        <w:rPr>
          <w:rFonts w:asciiTheme="majorBidi" w:hAnsiTheme="majorBidi" w:cstheme="majorBidi"/>
          <w:sz w:val="24"/>
          <w:szCs w:val="24"/>
          <w:lang w:val="en-US"/>
        </w:rPr>
        <w:t xml:space="preserve">) Mean group </w:t>
      </w:r>
      <w:r>
        <w:rPr>
          <w:rFonts w:asciiTheme="majorBidi" w:hAnsiTheme="majorBidi" w:cstheme="majorBidi"/>
          <w:sz w:val="24"/>
          <w:szCs w:val="24"/>
          <w:lang w:val="en-US"/>
        </w:rPr>
        <w:t xml:space="preserve">scores on the medical subscale of the </w:t>
      </w:r>
      <w:r w:rsidRPr="00516108">
        <w:rPr>
          <w:rFonts w:ascii="Times New Roman" w:hAnsi="Times New Roman" w:cs="Times New Roman"/>
          <w:sz w:val="24"/>
          <w:szCs w:val="24"/>
          <w:lang w:val="en-US"/>
        </w:rPr>
        <w:t>Domain</w:t>
      </w:r>
      <w:r>
        <w:rPr>
          <w:rFonts w:ascii="Times New Roman" w:hAnsi="Times New Roman" w:cs="Times New Roman"/>
          <w:sz w:val="24"/>
          <w:szCs w:val="24"/>
          <w:lang w:val="en-US"/>
        </w:rPr>
        <w:t>-</w:t>
      </w:r>
      <w:r w:rsidRPr="00516108">
        <w:rPr>
          <w:rFonts w:ascii="Times New Roman" w:hAnsi="Times New Roman" w:cs="Times New Roman"/>
          <w:sz w:val="24"/>
          <w:szCs w:val="24"/>
          <w:lang w:val="en-US"/>
        </w:rPr>
        <w:t>Specific Risk</w:t>
      </w:r>
      <w:r>
        <w:rPr>
          <w:rFonts w:ascii="Times New Roman" w:hAnsi="Times New Roman" w:cs="Times New Roman"/>
          <w:sz w:val="24"/>
          <w:szCs w:val="24"/>
          <w:lang w:val="en-US"/>
        </w:rPr>
        <w:t>-</w:t>
      </w:r>
      <w:r w:rsidRPr="00516108">
        <w:rPr>
          <w:rFonts w:ascii="Times New Roman" w:hAnsi="Times New Roman" w:cs="Times New Roman"/>
          <w:sz w:val="24"/>
          <w:szCs w:val="24"/>
          <w:lang w:val="en-US"/>
        </w:rPr>
        <w:t>Taking</w:t>
      </w:r>
      <w:r>
        <w:rPr>
          <w:rFonts w:ascii="Times New Roman" w:hAnsi="Times New Roman" w:cs="Times New Roman"/>
          <w:sz w:val="24"/>
          <w:szCs w:val="24"/>
          <w:lang w:val="en-US"/>
        </w:rPr>
        <w:t xml:space="preserve"> Scale</w:t>
      </w:r>
      <w:r w:rsidRPr="00516108">
        <w:rPr>
          <w:rFonts w:asciiTheme="majorBidi" w:hAnsiTheme="majorBidi" w:cstheme="majorBidi"/>
          <w:sz w:val="24"/>
          <w:szCs w:val="24"/>
          <w:lang w:val="en-US"/>
        </w:rPr>
        <w:t xml:space="preserve"> </w:t>
      </w:r>
      <w:r>
        <w:rPr>
          <w:rFonts w:asciiTheme="majorBidi" w:hAnsiTheme="majorBidi" w:cstheme="majorBidi"/>
          <w:sz w:val="24"/>
          <w:szCs w:val="24"/>
          <w:lang w:val="en-US"/>
        </w:rPr>
        <w:t>(</w:t>
      </w:r>
      <w:r w:rsidRPr="00516108">
        <w:rPr>
          <w:rFonts w:asciiTheme="majorBidi" w:hAnsiTheme="majorBidi" w:cstheme="majorBidi"/>
          <w:sz w:val="24"/>
          <w:szCs w:val="24"/>
          <w:lang w:val="en-US"/>
        </w:rPr>
        <w:t>DOPSERT-M</w:t>
      </w:r>
      <w:r>
        <w:rPr>
          <w:rFonts w:asciiTheme="majorBidi" w:hAnsiTheme="majorBidi" w:cstheme="majorBidi"/>
          <w:sz w:val="24"/>
          <w:szCs w:val="24"/>
          <w:lang w:val="en-US"/>
        </w:rPr>
        <w:t>;</w:t>
      </w:r>
      <w:r w:rsidRPr="00516108">
        <w:rPr>
          <w:rFonts w:asciiTheme="majorBidi" w:hAnsiTheme="majorBidi" w:cstheme="majorBidi"/>
          <w:sz w:val="24"/>
          <w:szCs w:val="24"/>
          <w:lang w:val="en-US"/>
        </w:rPr>
        <w:t xml:space="preserve"> active risk</w:t>
      </w:r>
      <w:r>
        <w:rPr>
          <w:rFonts w:asciiTheme="majorBidi" w:hAnsiTheme="majorBidi" w:cstheme="majorBidi"/>
          <w:sz w:val="24"/>
          <w:szCs w:val="24"/>
          <w:lang w:val="en-US"/>
        </w:rPr>
        <w:t xml:space="preserve"> </w:t>
      </w:r>
      <w:r w:rsidRPr="00516108">
        <w:rPr>
          <w:rFonts w:asciiTheme="majorBidi" w:hAnsiTheme="majorBidi" w:cstheme="majorBidi"/>
          <w:sz w:val="24"/>
          <w:szCs w:val="24"/>
          <w:lang w:val="en-US"/>
        </w:rPr>
        <w:t>taking, risk perception, expected benefits) and passive risk-taking ratings for a moving average of a 10-year p</w:t>
      </w:r>
      <w:r>
        <w:rPr>
          <w:rFonts w:asciiTheme="majorBidi" w:hAnsiTheme="majorBidi" w:cstheme="majorBidi"/>
          <w:sz w:val="24"/>
          <w:szCs w:val="24"/>
          <w:lang w:val="en-US"/>
        </w:rPr>
        <w:t xml:space="preserve">eriod from age 20 to 77 years. </w:t>
      </w:r>
      <w:r w:rsidRPr="00516108">
        <w:rPr>
          <w:rFonts w:asciiTheme="majorBidi" w:hAnsiTheme="majorBidi" w:cstheme="majorBidi"/>
          <w:sz w:val="24"/>
          <w:szCs w:val="24"/>
          <w:lang w:val="en-US"/>
        </w:rPr>
        <w:t xml:space="preserve"> </w:t>
      </w:r>
    </w:p>
    <w:p w14:paraId="31FB6C45" w14:textId="77777777" w:rsidR="00BE2F26" w:rsidRDefault="00BE2F26" w:rsidP="00BE2F26">
      <w:pPr>
        <w:rPr>
          <w:rFonts w:asciiTheme="majorBidi" w:hAnsiTheme="majorBidi" w:cstheme="majorBidi"/>
          <w:sz w:val="24"/>
          <w:szCs w:val="24"/>
          <w:lang w:val="en-US"/>
        </w:rPr>
      </w:pPr>
      <w:r>
        <w:rPr>
          <w:rFonts w:asciiTheme="majorBidi" w:hAnsiTheme="majorBidi" w:cstheme="majorBidi"/>
          <w:sz w:val="24"/>
          <w:szCs w:val="24"/>
          <w:lang w:val="en-US"/>
        </w:rPr>
        <w:br w:type="page"/>
      </w:r>
    </w:p>
    <w:p w14:paraId="15756CAF" w14:textId="77777777" w:rsidR="00BE2F26" w:rsidRPr="00516108" w:rsidRDefault="00BE2F26" w:rsidP="00BE2F26">
      <w:pPr>
        <w:jc w:val="center"/>
        <w:rPr>
          <w:rFonts w:asciiTheme="majorBidi" w:hAnsiTheme="majorBidi" w:cstheme="majorBidi"/>
          <w:sz w:val="24"/>
          <w:szCs w:val="24"/>
          <w:lang w:val="en-US" w:eastAsia="en-GB"/>
        </w:rPr>
      </w:pPr>
      <w:r>
        <w:rPr>
          <w:rFonts w:asciiTheme="majorBidi" w:hAnsiTheme="majorBidi" w:cstheme="majorBidi"/>
          <w:noProof/>
          <w:sz w:val="24"/>
          <w:szCs w:val="24"/>
          <w:lang w:eastAsia="zh-CN"/>
        </w:rPr>
        <w:drawing>
          <wp:inline distT="0" distB="0" distL="0" distR="0" wp14:anchorId="0B895F12" wp14:editId="3010EA71">
            <wp:extent cx="5011420" cy="38866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7535" cy="3891435"/>
                    </a:xfrm>
                    <a:prstGeom prst="rect">
                      <a:avLst/>
                    </a:prstGeom>
                    <a:noFill/>
                  </pic:spPr>
                </pic:pic>
              </a:graphicData>
            </a:graphic>
          </wp:inline>
        </w:drawing>
      </w:r>
    </w:p>
    <w:p w14:paraId="54D73257" w14:textId="77777777" w:rsidR="00BE2F26" w:rsidRPr="00516108" w:rsidRDefault="00BE2F26" w:rsidP="00BE2F26">
      <w:pPr>
        <w:spacing w:line="480" w:lineRule="auto"/>
        <w:rPr>
          <w:rFonts w:ascii="Times" w:hAnsi="Times"/>
          <w:sz w:val="24"/>
          <w:szCs w:val="24"/>
          <w:lang w:val="en-US" w:eastAsia="en-GB"/>
        </w:rPr>
      </w:pPr>
      <w:r w:rsidRPr="00516108">
        <w:rPr>
          <w:rFonts w:ascii="Times" w:hAnsi="Times" w:cs="Times New Roman"/>
          <w:i/>
          <w:sz w:val="24"/>
          <w:szCs w:val="24"/>
          <w:lang w:val="en-US"/>
        </w:rPr>
        <w:t xml:space="preserve">Figure 2. </w:t>
      </w:r>
      <w:r w:rsidRPr="00516108">
        <w:rPr>
          <w:rFonts w:ascii="Times" w:hAnsi="Times" w:cs="Times New Roman"/>
          <w:sz w:val="24"/>
          <w:szCs w:val="24"/>
          <w:lang w:val="en-US"/>
        </w:rPr>
        <w:t xml:space="preserve">Estimated effects of age and gender on likelihood of </w:t>
      </w:r>
      <w:r>
        <w:rPr>
          <w:rFonts w:ascii="Times" w:hAnsi="Times" w:cs="Times New Roman"/>
          <w:sz w:val="24"/>
          <w:szCs w:val="24"/>
          <w:lang w:val="en-US"/>
        </w:rPr>
        <w:t xml:space="preserve">participants </w:t>
      </w:r>
      <w:r w:rsidRPr="00516108">
        <w:rPr>
          <w:rFonts w:ascii="Times" w:hAnsi="Times" w:cs="Times New Roman"/>
          <w:sz w:val="24"/>
          <w:szCs w:val="24"/>
          <w:lang w:val="en-US"/>
        </w:rPr>
        <w:t xml:space="preserve">accepting the flu vaccine </w:t>
      </w:r>
      <w:r>
        <w:rPr>
          <w:rFonts w:ascii="Times" w:hAnsi="Times" w:cs="Times New Roman"/>
          <w:sz w:val="24"/>
          <w:szCs w:val="24"/>
          <w:lang w:val="en-US"/>
        </w:rPr>
        <w:t xml:space="preserve">for (A) </w:t>
      </w:r>
      <w:r w:rsidRPr="00516108">
        <w:rPr>
          <w:rFonts w:ascii="Times" w:hAnsi="Times" w:cs="Times New Roman"/>
          <w:sz w:val="24"/>
          <w:szCs w:val="24"/>
          <w:lang w:val="en-US"/>
        </w:rPr>
        <w:t xml:space="preserve">themselves and </w:t>
      </w:r>
      <w:r>
        <w:rPr>
          <w:rFonts w:ascii="Times" w:hAnsi="Times" w:cs="Times New Roman"/>
          <w:sz w:val="24"/>
          <w:szCs w:val="24"/>
          <w:lang w:val="en-US"/>
        </w:rPr>
        <w:t>(B)</w:t>
      </w:r>
      <w:r w:rsidRPr="00516108">
        <w:rPr>
          <w:rFonts w:ascii="Times" w:hAnsi="Times" w:cs="Times New Roman"/>
          <w:sz w:val="24"/>
          <w:szCs w:val="24"/>
          <w:lang w:val="en-US"/>
        </w:rPr>
        <w:t xml:space="preserve"> their child</w:t>
      </w:r>
      <w:r>
        <w:rPr>
          <w:rFonts w:ascii="Times" w:hAnsi="Times" w:cs="Times New Roman"/>
          <w:sz w:val="24"/>
          <w:szCs w:val="24"/>
          <w:lang w:val="en-US"/>
        </w:rPr>
        <w:t xml:space="preserve"> and the </w:t>
      </w:r>
      <w:r w:rsidRPr="00516108">
        <w:rPr>
          <w:rFonts w:ascii="Times" w:hAnsi="Times" w:cs="Times New Roman"/>
          <w:sz w:val="24"/>
          <w:szCs w:val="24"/>
          <w:lang w:val="en-US"/>
        </w:rPr>
        <w:t>chemotherapy treatment for</w:t>
      </w:r>
      <w:r>
        <w:rPr>
          <w:rFonts w:ascii="Times" w:hAnsi="Times" w:cs="Times New Roman"/>
          <w:sz w:val="24"/>
          <w:szCs w:val="24"/>
          <w:lang w:val="en-US"/>
        </w:rPr>
        <w:t xml:space="preserve"> (C) </w:t>
      </w:r>
      <w:r w:rsidRPr="00516108">
        <w:rPr>
          <w:rFonts w:ascii="Times" w:hAnsi="Times" w:cs="Times New Roman"/>
          <w:sz w:val="24"/>
          <w:szCs w:val="24"/>
          <w:lang w:val="en-US"/>
        </w:rPr>
        <w:t xml:space="preserve">themselves and </w:t>
      </w:r>
      <w:r>
        <w:rPr>
          <w:rFonts w:ascii="Times" w:hAnsi="Times" w:cs="Times New Roman"/>
          <w:sz w:val="24"/>
          <w:szCs w:val="24"/>
          <w:lang w:val="en-US"/>
        </w:rPr>
        <w:t>(D)</w:t>
      </w:r>
      <w:r w:rsidRPr="00516108">
        <w:rPr>
          <w:rFonts w:ascii="Times" w:hAnsi="Times" w:cs="Times New Roman"/>
          <w:sz w:val="24"/>
          <w:szCs w:val="24"/>
          <w:lang w:val="en-US"/>
        </w:rPr>
        <w:t xml:space="preserve"> their child.</w:t>
      </w:r>
    </w:p>
    <w:p w14:paraId="5EB3195B" w14:textId="77777777" w:rsidR="00BE2F26" w:rsidRPr="00516108" w:rsidRDefault="00BE2F26" w:rsidP="00BE2F26">
      <w:pPr>
        <w:tabs>
          <w:tab w:val="left" w:pos="2430"/>
        </w:tabs>
        <w:spacing w:line="480" w:lineRule="auto"/>
        <w:ind w:firstLine="567"/>
        <w:rPr>
          <w:rFonts w:asciiTheme="majorBidi" w:hAnsiTheme="majorBidi" w:cstheme="majorBidi"/>
          <w:sz w:val="24"/>
          <w:szCs w:val="24"/>
          <w:lang w:val="en-US"/>
        </w:rPr>
      </w:pPr>
    </w:p>
    <w:p w14:paraId="232EA794" w14:textId="77777777" w:rsidR="00BE2F26" w:rsidRDefault="00BE2F26" w:rsidP="00C91386">
      <w:pPr>
        <w:ind w:left="450"/>
        <w:rPr>
          <w:rFonts w:ascii="Times New Roman" w:hAnsi="Times New Roman"/>
          <w:sz w:val="24"/>
          <w:szCs w:val="24"/>
          <w:lang w:val="en-US"/>
        </w:rPr>
      </w:pPr>
    </w:p>
    <w:p w14:paraId="4FDF9528" w14:textId="77777777" w:rsidR="00BE2F26" w:rsidRDefault="00BE2F26" w:rsidP="00C91386">
      <w:pPr>
        <w:ind w:left="450"/>
        <w:rPr>
          <w:rFonts w:ascii="Times New Roman" w:hAnsi="Times New Roman"/>
          <w:sz w:val="24"/>
          <w:szCs w:val="24"/>
          <w:lang w:val="en-US"/>
        </w:rPr>
      </w:pPr>
    </w:p>
    <w:p w14:paraId="4F6A08CE" w14:textId="77777777" w:rsidR="00BE2F26" w:rsidRPr="00516108" w:rsidRDefault="00BE2F26" w:rsidP="00C91386">
      <w:pPr>
        <w:ind w:left="450"/>
        <w:rPr>
          <w:lang w:val="en-US"/>
        </w:rPr>
      </w:pPr>
    </w:p>
    <w:sectPr w:rsidR="00BE2F26" w:rsidRPr="00516108" w:rsidSect="00105BFE">
      <w:headerReference w:type="even" r:id="rId19"/>
      <w:headerReference w:type="default" r:id="rId20"/>
      <w:pgSz w:w="12242" w:h="15842"/>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5263C" w14:textId="77777777" w:rsidR="005C39F5" w:rsidRDefault="005C39F5" w:rsidP="00010C44">
      <w:pPr>
        <w:spacing w:after="0" w:line="240" w:lineRule="auto"/>
      </w:pPr>
      <w:r>
        <w:separator/>
      </w:r>
    </w:p>
  </w:endnote>
  <w:endnote w:type="continuationSeparator" w:id="0">
    <w:p w14:paraId="1123150C" w14:textId="77777777" w:rsidR="005C39F5" w:rsidRDefault="005C39F5" w:rsidP="0001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imesLTStd-Roman">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GandhariUnicode-Roman">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ABFB6" w14:textId="77777777" w:rsidR="005C39F5" w:rsidRDefault="005C39F5" w:rsidP="00010C44">
      <w:pPr>
        <w:spacing w:after="0" w:line="240" w:lineRule="auto"/>
      </w:pPr>
      <w:r>
        <w:separator/>
      </w:r>
    </w:p>
  </w:footnote>
  <w:footnote w:type="continuationSeparator" w:id="0">
    <w:p w14:paraId="40D86038" w14:textId="77777777" w:rsidR="005C39F5" w:rsidRDefault="005C39F5" w:rsidP="00010C44">
      <w:pPr>
        <w:spacing w:after="0" w:line="240" w:lineRule="auto"/>
      </w:pPr>
      <w:r>
        <w:continuationSeparator/>
      </w:r>
    </w:p>
  </w:footnote>
  <w:footnote w:id="1">
    <w:p w14:paraId="4A60EF12" w14:textId="6CD0C76B" w:rsidR="0090575E" w:rsidRPr="00731D6E" w:rsidRDefault="0090575E" w:rsidP="00815579">
      <w:pPr>
        <w:pStyle w:val="FootnoteText"/>
        <w:rPr>
          <w:rFonts w:asciiTheme="majorBidi" w:hAnsiTheme="majorBidi" w:cstheme="majorBidi"/>
          <w:sz w:val="20"/>
          <w:szCs w:val="20"/>
        </w:rPr>
      </w:pPr>
      <w:r>
        <w:rPr>
          <w:rStyle w:val="FootnoteReference"/>
        </w:rPr>
        <w:footnoteRef/>
      </w:r>
      <w:r>
        <w:t xml:space="preserve"> </w:t>
      </w:r>
      <w:r w:rsidRPr="00731D6E">
        <w:rPr>
          <w:rFonts w:asciiTheme="majorBidi" w:eastAsia="Times New Roman" w:hAnsiTheme="majorBidi" w:cstheme="majorBidi"/>
          <w:sz w:val="20"/>
          <w:szCs w:val="20"/>
          <w:lang w:val="en-US" w:eastAsia="en-GB"/>
        </w:rPr>
        <w:t>Interestingly, the DOSPERT risk-return framework is partially grounded on financial risk taking. Unlike the more objective expected value that is used in the financial domain, risk-return framework is seen as a subjective construct</w:t>
      </w:r>
      <w:r>
        <w:rPr>
          <w:rFonts w:asciiTheme="majorBidi" w:eastAsia="Times New Roman" w:hAnsiTheme="majorBidi" w:cstheme="majorBidi"/>
          <w:sz w:val="20"/>
          <w:szCs w:val="20"/>
          <w:lang w:val="en-US" w:eastAsia="en-GB"/>
        </w:rPr>
        <w:t xml:space="preserve"> </w:t>
      </w:r>
      <w:r w:rsidRPr="00731D6E">
        <w:rPr>
          <w:rFonts w:asciiTheme="majorBidi" w:eastAsia="Times New Roman" w:hAnsiTheme="majorBidi" w:cstheme="majorBidi"/>
          <w:sz w:val="20"/>
          <w:szCs w:val="20"/>
          <w:lang w:val="en-US" w:eastAsia="en-GB"/>
        </w:rPr>
        <w:t xml:space="preserve">(and hence it is termed risk attitude) which is designed to capture individuals’ </w:t>
      </w:r>
      <w:r w:rsidRPr="00731D6E">
        <w:rPr>
          <w:rFonts w:asciiTheme="majorBidi" w:eastAsia="Times New Roman" w:hAnsiTheme="majorBidi" w:cstheme="majorBidi"/>
          <w:i/>
          <w:iCs/>
          <w:sz w:val="20"/>
          <w:szCs w:val="20"/>
          <w:lang w:val="en-US" w:eastAsia="en-GB"/>
        </w:rPr>
        <w:t>perceptions</w:t>
      </w:r>
      <w:r w:rsidRPr="00731D6E">
        <w:rPr>
          <w:rFonts w:asciiTheme="majorBidi" w:eastAsia="Times New Roman" w:hAnsiTheme="majorBidi" w:cstheme="majorBidi"/>
          <w:sz w:val="20"/>
          <w:szCs w:val="20"/>
          <w:lang w:val="en-US" w:eastAsia="en-GB"/>
        </w:rPr>
        <w:t xml:space="preserve"> of the risk and benefits associated with a given activity.       </w:t>
      </w:r>
    </w:p>
  </w:footnote>
  <w:footnote w:id="2">
    <w:p w14:paraId="50F3E2E2" w14:textId="67680ED8" w:rsidR="0090575E" w:rsidRPr="00731D6E" w:rsidRDefault="0090575E" w:rsidP="00990F1A">
      <w:pPr>
        <w:pStyle w:val="FootnoteText"/>
        <w:rPr>
          <w:rFonts w:asciiTheme="majorBidi" w:hAnsiTheme="majorBidi" w:cstheme="majorBidi"/>
          <w:sz w:val="20"/>
          <w:szCs w:val="20"/>
        </w:rPr>
      </w:pPr>
      <w:r w:rsidRPr="00731D6E">
        <w:rPr>
          <w:rStyle w:val="FootnoteReference"/>
          <w:rFonts w:asciiTheme="majorBidi" w:hAnsiTheme="majorBidi" w:cstheme="majorBidi"/>
          <w:sz w:val="20"/>
          <w:szCs w:val="20"/>
        </w:rPr>
        <w:footnoteRef/>
      </w:r>
      <w:r w:rsidRPr="00731D6E">
        <w:rPr>
          <w:rFonts w:asciiTheme="majorBidi" w:hAnsiTheme="majorBidi" w:cstheme="majorBidi"/>
          <w:sz w:val="20"/>
          <w:szCs w:val="20"/>
        </w:rPr>
        <w:t xml:space="preserve"> The omission/commission bias literature, however, has little to say about possible domain differences in decisions. Nonetheless, employing different tools to examine risk taking can provide a more holistic picture about the relationship between age and risk attitude.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C22BB" w14:textId="77777777" w:rsidR="0090575E" w:rsidRDefault="0090575E" w:rsidP="008D244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99F3E2" w14:textId="77777777" w:rsidR="0090575E" w:rsidRDefault="0090575E" w:rsidP="000C079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D4A7C" w14:textId="07ADFB62" w:rsidR="0090575E" w:rsidRPr="000C0791" w:rsidRDefault="0090575E" w:rsidP="008D244A">
    <w:pPr>
      <w:pStyle w:val="Header"/>
      <w:framePr w:wrap="around" w:vAnchor="text" w:hAnchor="margin" w:xAlign="right" w:y="1"/>
      <w:rPr>
        <w:rStyle w:val="PageNumber"/>
        <w:rFonts w:ascii="Times" w:hAnsi="Times"/>
        <w:sz w:val="24"/>
        <w:szCs w:val="24"/>
      </w:rPr>
    </w:pPr>
    <w:r w:rsidRPr="000C0791">
      <w:rPr>
        <w:rStyle w:val="PageNumber"/>
        <w:rFonts w:ascii="Times" w:hAnsi="Times"/>
        <w:sz w:val="24"/>
        <w:szCs w:val="24"/>
      </w:rPr>
      <w:fldChar w:fldCharType="begin"/>
    </w:r>
    <w:r w:rsidRPr="000C0791">
      <w:rPr>
        <w:rStyle w:val="PageNumber"/>
        <w:rFonts w:ascii="Times" w:hAnsi="Times"/>
        <w:sz w:val="24"/>
        <w:szCs w:val="24"/>
      </w:rPr>
      <w:instrText xml:space="preserve">PAGE  </w:instrText>
    </w:r>
    <w:r w:rsidRPr="000C0791">
      <w:rPr>
        <w:rStyle w:val="PageNumber"/>
        <w:rFonts w:ascii="Times" w:hAnsi="Times"/>
        <w:sz w:val="24"/>
        <w:szCs w:val="24"/>
      </w:rPr>
      <w:fldChar w:fldCharType="separate"/>
    </w:r>
    <w:r w:rsidR="00F75BE5">
      <w:rPr>
        <w:rStyle w:val="PageNumber"/>
        <w:rFonts w:ascii="Times" w:hAnsi="Times"/>
        <w:noProof/>
        <w:sz w:val="24"/>
        <w:szCs w:val="24"/>
      </w:rPr>
      <w:t>1</w:t>
    </w:r>
    <w:r w:rsidRPr="000C0791">
      <w:rPr>
        <w:rStyle w:val="PageNumber"/>
        <w:rFonts w:ascii="Times" w:hAnsi="Times"/>
        <w:sz w:val="24"/>
        <w:szCs w:val="24"/>
      </w:rPr>
      <w:fldChar w:fldCharType="end"/>
    </w:r>
  </w:p>
  <w:p w14:paraId="4E3FE8BC" w14:textId="0754A2FD" w:rsidR="0090575E" w:rsidRPr="007C7BAC" w:rsidRDefault="0090575E" w:rsidP="007C7BAC">
    <w:pPr>
      <w:pStyle w:val="Header"/>
      <w:ind w:right="360"/>
      <w:jc w:val="right"/>
      <w:rPr>
        <w:rFonts w:asciiTheme="majorBidi" w:hAnsiTheme="majorBidi" w:cstheme="majorBidi"/>
        <w:sz w:val="24"/>
        <w:szCs w:val="24"/>
      </w:rPr>
    </w:pPr>
    <w:r w:rsidRPr="007C7BAC">
      <w:rPr>
        <w:rFonts w:asciiTheme="majorBidi" w:hAnsiTheme="majorBidi" w:cstheme="majorBidi"/>
        <w:sz w:val="24"/>
        <w:szCs w:val="24"/>
      </w:rPr>
      <w:t xml:space="preserve">Medical Risk Taking and Age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2D8B"/>
    <w:multiLevelType w:val="hybridMultilevel"/>
    <w:tmpl w:val="561E58FE"/>
    <w:lvl w:ilvl="0" w:tplc="DAAC8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C0719"/>
    <w:multiLevelType w:val="multilevel"/>
    <w:tmpl w:val="763C6C88"/>
    <w:lvl w:ilvl="0">
      <w:start w:val="1"/>
      <w:numFmt w:val="decimal"/>
      <w:lvlText w:val="%1."/>
      <w:lvlJc w:val="left"/>
      <w:pPr>
        <w:ind w:left="144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E0306F6"/>
    <w:multiLevelType w:val="hybridMultilevel"/>
    <w:tmpl w:val="C7C694D6"/>
    <w:lvl w:ilvl="0" w:tplc="6B2A9D40">
      <w:start w:val="1"/>
      <w:numFmt w:val="decimal"/>
      <w:lvlText w:val="%1."/>
      <w:lvlJc w:val="left"/>
      <w:pPr>
        <w:ind w:left="720" w:hanging="360"/>
      </w:pPr>
      <w:rPr>
        <w:rFonts w:asciiTheme="majorBidi" w:hAnsiTheme="majorBidi" w:cstheme="majorBidi" w:hint="default"/>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63597A"/>
    <w:multiLevelType w:val="hybridMultilevel"/>
    <w:tmpl w:val="3DD0CBC4"/>
    <w:lvl w:ilvl="0" w:tplc="71D2F9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9FA3AE4"/>
    <w:multiLevelType w:val="hybridMultilevel"/>
    <w:tmpl w:val="C7C694D6"/>
    <w:lvl w:ilvl="0" w:tplc="6B2A9D40">
      <w:start w:val="1"/>
      <w:numFmt w:val="decimal"/>
      <w:lvlText w:val="%1."/>
      <w:lvlJc w:val="left"/>
      <w:pPr>
        <w:ind w:left="928" w:hanging="360"/>
      </w:pPr>
      <w:rPr>
        <w:rFonts w:asciiTheme="majorBidi" w:hAnsiTheme="majorBidi" w:cstheme="majorBidi" w:hint="default"/>
        <w:color w:val="auto"/>
        <w:sz w:val="24"/>
        <w:szCs w:val="24"/>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 w15:restartNumberingAfterBreak="0">
    <w:nsid w:val="576924BE"/>
    <w:multiLevelType w:val="multilevel"/>
    <w:tmpl w:val="8F900E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633EC3"/>
    <w:multiLevelType w:val="hybridMultilevel"/>
    <w:tmpl w:val="EFB6DF08"/>
    <w:lvl w:ilvl="0" w:tplc="6B2A9D40">
      <w:start w:val="1"/>
      <w:numFmt w:val="decimal"/>
      <w:lvlText w:val="%1."/>
      <w:lvlJc w:val="left"/>
      <w:pPr>
        <w:ind w:left="644" w:hanging="360"/>
      </w:pPr>
      <w:rPr>
        <w:rFonts w:asciiTheme="majorBidi" w:hAnsiTheme="majorBidi" w:cstheme="majorBidi"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2042DB"/>
    <w:multiLevelType w:val="hybridMultilevel"/>
    <w:tmpl w:val="4330D8E4"/>
    <w:lvl w:ilvl="0" w:tplc="2A58B9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D9B1D19"/>
    <w:multiLevelType w:val="hybridMultilevel"/>
    <w:tmpl w:val="F16E9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C56FEB"/>
    <w:multiLevelType w:val="multilevel"/>
    <w:tmpl w:val="9F3673D4"/>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8"/>
  </w:num>
  <w:num w:numId="2">
    <w:abstractNumId w:val="2"/>
  </w:num>
  <w:num w:numId="3">
    <w:abstractNumId w:val="4"/>
  </w:num>
  <w:num w:numId="4">
    <w:abstractNumId w:val="6"/>
  </w:num>
  <w:num w:numId="5">
    <w:abstractNumId w:val="3"/>
  </w:num>
  <w:num w:numId="6">
    <w:abstractNumId w:val="1"/>
  </w:num>
  <w:num w:numId="7">
    <w:abstractNumId w:val="7"/>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D93"/>
    <w:rsid w:val="00000A5E"/>
    <w:rsid w:val="00001F34"/>
    <w:rsid w:val="000070DF"/>
    <w:rsid w:val="000071AB"/>
    <w:rsid w:val="0000767E"/>
    <w:rsid w:val="00010C44"/>
    <w:rsid w:val="000123C9"/>
    <w:rsid w:val="00013364"/>
    <w:rsid w:val="000135DC"/>
    <w:rsid w:val="000142A7"/>
    <w:rsid w:val="000162B4"/>
    <w:rsid w:val="00017393"/>
    <w:rsid w:val="0002260E"/>
    <w:rsid w:val="000227EF"/>
    <w:rsid w:val="00023117"/>
    <w:rsid w:val="000278EC"/>
    <w:rsid w:val="0003337A"/>
    <w:rsid w:val="000404B8"/>
    <w:rsid w:val="00040C67"/>
    <w:rsid w:val="00041597"/>
    <w:rsid w:val="000416CB"/>
    <w:rsid w:val="00042F66"/>
    <w:rsid w:val="000447DA"/>
    <w:rsid w:val="00046030"/>
    <w:rsid w:val="000476D4"/>
    <w:rsid w:val="0004797A"/>
    <w:rsid w:val="000500B5"/>
    <w:rsid w:val="00050AC2"/>
    <w:rsid w:val="00050CE5"/>
    <w:rsid w:val="00051B13"/>
    <w:rsid w:val="00055010"/>
    <w:rsid w:val="00056433"/>
    <w:rsid w:val="0006044E"/>
    <w:rsid w:val="00060683"/>
    <w:rsid w:val="000617C7"/>
    <w:rsid w:val="00062D0C"/>
    <w:rsid w:val="00065977"/>
    <w:rsid w:val="000670F4"/>
    <w:rsid w:val="00071F8A"/>
    <w:rsid w:val="000735A5"/>
    <w:rsid w:val="00076487"/>
    <w:rsid w:val="0008141D"/>
    <w:rsid w:val="00084723"/>
    <w:rsid w:val="00092377"/>
    <w:rsid w:val="000934F6"/>
    <w:rsid w:val="00093E3C"/>
    <w:rsid w:val="000A03A3"/>
    <w:rsid w:val="000A04AF"/>
    <w:rsid w:val="000A0625"/>
    <w:rsid w:val="000A1EC0"/>
    <w:rsid w:val="000A2F3E"/>
    <w:rsid w:val="000A386B"/>
    <w:rsid w:val="000A677F"/>
    <w:rsid w:val="000A694E"/>
    <w:rsid w:val="000B0FAD"/>
    <w:rsid w:val="000B4319"/>
    <w:rsid w:val="000B599A"/>
    <w:rsid w:val="000C0791"/>
    <w:rsid w:val="000C183A"/>
    <w:rsid w:val="000D0543"/>
    <w:rsid w:val="000D654D"/>
    <w:rsid w:val="000E1A1B"/>
    <w:rsid w:val="000E3F83"/>
    <w:rsid w:val="000E498F"/>
    <w:rsid w:val="000F2973"/>
    <w:rsid w:val="000F3B8F"/>
    <w:rsid w:val="000F4B9B"/>
    <w:rsid w:val="000F591A"/>
    <w:rsid w:val="0010216F"/>
    <w:rsid w:val="00104E1D"/>
    <w:rsid w:val="0010577A"/>
    <w:rsid w:val="00105BFE"/>
    <w:rsid w:val="001103C2"/>
    <w:rsid w:val="0011053F"/>
    <w:rsid w:val="001133A2"/>
    <w:rsid w:val="00124E7B"/>
    <w:rsid w:val="00125AE7"/>
    <w:rsid w:val="001272EC"/>
    <w:rsid w:val="0013058B"/>
    <w:rsid w:val="0013201C"/>
    <w:rsid w:val="00135162"/>
    <w:rsid w:val="0013548F"/>
    <w:rsid w:val="0013645D"/>
    <w:rsid w:val="00140321"/>
    <w:rsid w:val="00147392"/>
    <w:rsid w:val="00147578"/>
    <w:rsid w:val="001538B3"/>
    <w:rsid w:val="001543C1"/>
    <w:rsid w:val="00155C76"/>
    <w:rsid w:val="00157BAC"/>
    <w:rsid w:val="00160F0F"/>
    <w:rsid w:val="00163B52"/>
    <w:rsid w:val="00166315"/>
    <w:rsid w:val="00172638"/>
    <w:rsid w:val="00175B4E"/>
    <w:rsid w:val="00180D39"/>
    <w:rsid w:val="00181CC8"/>
    <w:rsid w:val="00182086"/>
    <w:rsid w:val="00182D69"/>
    <w:rsid w:val="00184D60"/>
    <w:rsid w:val="0019278E"/>
    <w:rsid w:val="001946CC"/>
    <w:rsid w:val="001948F8"/>
    <w:rsid w:val="00195920"/>
    <w:rsid w:val="001A52AB"/>
    <w:rsid w:val="001B006A"/>
    <w:rsid w:val="001B0625"/>
    <w:rsid w:val="001B0F87"/>
    <w:rsid w:val="001B451B"/>
    <w:rsid w:val="001C2333"/>
    <w:rsid w:val="001C260C"/>
    <w:rsid w:val="001C3F99"/>
    <w:rsid w:val="001C5591"/>
    <w:rsid w:val="001D1E32"/>
    <w:rsid w:val="001D26A7"/>
    <w:rsid w:val="001D6E8A"/>
    <w:rsid w:val="001D736F"/>
    <w:rsid w:val="001D7CED"/>
    <w:rsid w:val="001E29D2"/>
    <w:rsid w:val="001E4008"/>
    <w:rsid w:val="001E5509"/>
    <w:rsid w:val="001E5AD9"/>
    <w:rsid w:val="001E7BEF"/>
    <w:rsid w:val="001E7C19"/>
    <w:rsid w:val="001F0DD4"/>
    <w:rsid w:val="001F480B"/>
    <w:rsid w:val="001F7378"/>
    <w:rsid w:val="001F7D64"/>
    <w:rsid w:val="00200DE0"/>
    <w:rsid w:val="0020173F"/>
    <w:rsid w:val="002035B7"/>
    <w:rsid w:val="00205B4F"/>
    <w:rsid w:val="002160ED"/>
    <w:rsid w:val="00217049"/>
    <w:rsid w:val="00217F86"/>
    <w:rsid w:val="00220C42"/>
    <w:rsid w:val="00222725"/>
    <w:rsid w:val="00222EBE"/>
    <w:rsid w:val="00225D1A"/>
    <w:rsid w:val="002265AE"/>
    <w:rsid w:val="00227CB7"/>
    <w:rsid w:val="0023344A"/>
    <w:rsid w:val="00233FA0"/>
    <w:rsid w:val="00234C48"/>
    <w:rsid w:val="00235D00"/>
    <w:rsid w:val="002363F9"/>
    <w:rsid w:val="00242B99"/>
    <w:rsid w:val="00242D3D"/>
    <w:rsid w:val="00243BDB"/>
    <w:rsid w:val="00245F25"/>
    <w:rsid w:val="002463A2"/>
    <w:rsid w:val="002479C3"/>
    <w:rsid w:val="00251218"/>
    <w:rsid w:val="0025394B"/>
    <w:rsid w:val="00261521"/>
    <w:rsid w:val="00262BC8"/>
    <w:rsid w:val="00262D0E"/>
    <w:rsid w:val="00263BDF"/>
    <w:rsid w:val="002667C3"/>
    <w:rsid w:val="00266D90"/>
    <w:rsid w:val="00270771"/>
    <w:rsid w:val="00275BF7"/>
    <w:rsid w:val="00276636"/>
    <w:rsid w:val="0027777A"/>
    <w:rsid w:val="00285A7F"/>
    <w:rsid w:val="0028604A"/>
    <w:rsid w:val="002870BD"/>
    <w:rsid w:val="00287613"/>
    <w:rsid w:val="002904AB"/>
    <w:rsid w:val="00293F2B"/>
    <w:rsid w:val="002944A6"/>
    <w:rsid w:val="00295310"/>
    <w:rsid w:val="002964AF"/>
    <w:rsid w:val="00297740"/>
    <w:rsid w:val="002A00B3"/>
    <w:rsid w:val="002A06AB"/>
    <w:rsid w:val="002A2E55"/>
    <w:rsid w:val="002A3AC3"/>
    <w:rsid w:val="002A5BA9"/>
    <w:rsid w:val="002A7E1D"/>
    <w:rsid w:val="002B1046"/>
    <w:rsid w:val="002B2441"/>
    <w:rsid w:val="002B3C28"/>
    <w:rsid w:val="002B4725"/>
    <w:rsid w:val="002C662C"/>
    <w:rsid w:val="002C6C34"/>
    <w:rsid w:val="002D43D1"/>
    <w:rsid w:val="002D52ED"/>
    <w:rsid w:val="002D60A6"/>
    <w:rsid w:val="002D69F1"/>
    <w:rsid w:val="002D7C01"/>
    <w:rsid w:val="002E066A"/>
    <w:rsid w:val="002E3FA6"/>
    <w:rsid w:val="002E5C34"/>
    <w:rsid w:val="002F290C"/>
    <w:rsid w:val="002F30F0"/>
    <w:rsid w:val="002F76E2"/>
    <w:rsid w:val="00307569"/>
    <w:rsid w:val="00307611"/>
    <w:rsid w:val="00307B7C"/>
    <w:rsid w:val="003103D1"/>
    <w:rsid w:val="00310B5B"/>
    <w:rsid w:val="00311933"/>
    <w:rsid w:val="00315185"/>
    <w:rsid w:val="00322030"/>
    <w:rsid w:val="003223C3"/>
    <w:rsid w:val="00322C0A"/>
    <w:rsid w:val="00323112"/>
    <w:rsid w:val="003365AB"/>
    <w:rsid w:val="00340395"/>
    <w:rsid w:val="00346458"/>
    <w:rsid w:val="00350BE2"/>
    <w:rsid w:val="003521B7"/>
    <w:rsid w:val="0035419A"/>
    <w:rsid w:val="00354AEB"/>
    <w:rsid w:val="00356EFE"/>
    <w:rsid w:val="00364A58"/>
    <w:rsid w:val="00364DFC"/>
    <w:rsid w:val="003734B8"/>
    <w:rsid w:val="0037361B"/>
    <w:rsid w:val="0037599B"/>
    <w:rsid w:val="00376CE0"/>
    <w:rsid w:val="00380A8C"/>
    <w:rsid w:val="0038390B"/>
    <w:rsid w:val="00383E74"/>
    <w:rsid w:val="00384B45"/>
    <w:rsid w:val="00384B74"/>
    <w:rsid w:val="00386C1E"/>
    <w:rsid w:val="00387A46"/>
    <w:rsid w:val="00393313"/>
    <w:rsid w:val="00394E0A"/>
    <w:rsid w:val="003966D4"/>
    <w:rsid w:val="003974F7"/>
    <w:rsid w:val="0039758F"/>
    <w:rsid w:val="003A3664"/>
    <w:rsid w:val="003A5AA3"/>
    <w:rsid w:val="003A7E02"/>
    <w:rsid w:val="003A7FBA"/>
    <w:rsid w:val="003B2604"/>
    <w:rsid w:val="003B2629"/>
    <w:rsid w:val="003C0F01"/>
    <w:rsid w:val="003C704B"/>
    <w:rsid w:val="003C7807"/>
    <w:rsid w:val="003D0628"/>
    <w:rsid w:val="003D1731"/>
    <w:rsid w:val="003D29F3"/>
    <w:rsid w:val="003D7A13"/>
    <w:rsid w:val="003E1783"/>
    <w:rsid w:val="003E1E93"/>
    <w:rsid w:val="003E356C"/>
    <w:rsid w:val="003E454B"/>
    <w:rsid w:val="003F00CF"/>
    <w:rsid w:val="003F57AC"/>
    <w:rsid w:val="003F5B67"/>
    <w:rsid w:val="00401083"/>
    <w:rsid w:val="00401197"/>
    <w:rsid w:val="00401E6F"/>
    <w:rsid w:val="004053BA"/>
    <w:rsid w:val="00406716"/>
    <w:rsid w:val="00413C0F"/>
    <w:rsid w:val="0041535F"/>
    <w:rsid w:val="004153FD"/>
    <w:rsid w:val="00416C41"/>
    <w:rsid w:val="00417A90"/>
    <w:rsid w:val="00422D14"/>
    <w:rsid w:val="00422DC2"/>
    <w:rsid w:val="00423DFA"/>
    <w:rsid w:val="00430650"/>
    <w:rsid w:val="00431487"/>
    <w:rsid w:val="004314D6"/>
    <w:rsid w:val="00434726"/>
    <w:rsid w:val="00435382"/>
    <w:rsid w:val="004360DA"/>
    <w:rsid w:val="00437370"/>
    <w:rsid w:val="004445CE"/>
    <w:rsid w:val="00445CDD"/>
    <w:rsid w:val="00450CDC"/>
    <w:rsid w:val="0045165D"/>
    <w:rsid w:val="00456681"/>
    <w:rsid w:val="00460949"/>
    <w:rsid w:val="004648B9"/>
    <w:rsid w:val="00464A59"/>
    <w:rsid w:val="0046770F"/>
    <w:rsid w:val="004706BA"/>
    <w:rsid w:val="00473168"/>
    <w:rsid w:val="004733F4"/>
    <w:rsid w:val="00475C58"/>
    <w:rsid w:val="00476DB7"/>
    <w:rsid w:val="0047773B"/>
    <w:rsid w:val="00480A5F"/>
    <w:rsid w:val="004969E0"/>
    <w:rsid w:val="004A1AD3"/>
    <w:rsid w:val="004A5B78"/>
    <w:rsid w:val="004A788D"/>
    <w:rsid w:val="004B0F93"/>
    <w:rsid w:val="004B3147"/>
    <w:rsid w:val="004B61DD"/>
    <w:rsid w:val="004B6883"/>
    <w:rsid w:val="004C181C"/>
    <w:rsid w:val="004C352A"/>
    <w:rsid w:val="004C363F"/>
    <w:rsid w:val="004C3782"/>
    <w:rsid w:val="004C4F63"/>
    <w:rsid w:val="004C5B39"/>
    <w:rsid w:val="004C7F68"/>
    <w:rsid w:val="004D4259"/>
    <w:rsid w:val="004D51EE"/>
    <w:rsid w:val="004E1B47"/>
    <w:rsid w:val="004E3F2E"/>
    <w:rsid w:val="004E40D4"/>
    <w:rsid w:val="004E51AD"/>
    <w:rsid w:val="004E5A92"/>
    <w:rsid w:val="004E6278"/>
    <w:rsid w:val="004E6616"/>
    <w:rsid w:val="004F1E0B"/>
    <w:rsid w:val="004F3C41"/>
    <w:rsid w:val="004F3F4C"/>
    <w:rsid w:val="004F683E"/>
    <w:rsid w:val="004F77BB"/>
    <w:rsid w:val="00504059"/>
    <w:rsid w:val="00505986"/>
    <w:rsid w:val="00506291"/>
    <w:rsid w:val="0050769E"/>
    <w:rsid w:val="00507B8D"/>
    <w:rsid w:val="00507EB6"/>
    <w:rsid w:val="0051163D"/>
    <w:rsid w:val="005122DB"/>
    <w:rsid w:val="00513376"/>
    <w:rsid w:val="005143A5"/>
    <w:rsid w:val="005146A6"/>
    <w:rsid w:val="00514ACA"/>
    <w:rsid w:val="00514B68"/>
    <w:rsid w:val="005155E1"/>
    <w:rsid w:val="00515AD0"/>
    <w:rsid w:val="00516108"/>
    <w:rsid w:val="00517A6C"/>
    <w:rsid w:val="00520262"/>
    <w:rsid w:val="00521FDB"/>
    <w:rsid w:val="00526343"/>
    <w:rsid w:val="00526DBB"/>
    <w:rsid w:val="00531112"/>
    <w:rsid w:val="00531CD6"/>
    <w:rsid w:val="0053588C"/>
    <w:rsid w:val="005424DE"/>
    <w:rsid w:val="00543AAA"/>
    <w:rsid w:val="0054561A"/>
    <w:rsid w:val="005457F4"/>
    <w:rsid w:val="0054624C"/>
    <w:rsid w:val="00552EC4"/>
    <w:rsid w:val="0055500A"/>
    <w:rsid w:val="00561713"/>
    <w:rsid w:val="00562655"/>
    <w:rsid w:val="00563A02"/>
    <w:rsid w:val="00563BB2"/>
    <w:rsid w:val="0056639A"/>
    <w:rsid w:val="0056708B"/>
    <w:rsid w:val="005735EB"/>
    <w:rsid w:val="00575EE5"/>
    <w:rsid w:val="00576E75"/>
    <w:rsid w:val="00580D77"/>
    <w:rsid w:val="00583E28"/>
    <w:rsid w:val="00593751"/>
    <w:rsid w:val="00593863"/>
    <w:rsid w:val="00594DB5"/>
    <w:rsid w:val="005967FF"/>
    <w:rsid w:val="005A094E"/>
    <w:rsid w:val="005A38C9"/>
    <w:rsid w:val="005A3B86"/>
    <w:rsid w:val="005A6654"/>
    <w:rsid w:val="005B3692"/>
    <w:rsid w:val="005B4192"/>
    <w:rsid w:val="005B7D8F"/>
    <w:rsid w:val="005C12BC"/>
    <w:rsid w:val="005C2C93"/>
    <w:rsid w:val="005C39F5"/>
    <w:rsid w:val="005C777A"/>
    <w:rsid w:val="005C7CE5"/>
    <w:rsid w:val="005D21C2"/>
    <w:rsid w:val="005D76AF"/>
    <w:rsid w:val="005E02DE"/>
    <w:rsid w:val="005E3B8B"/>
    <w:rsid w:val="005E3EFF"/>
    <w:rsid w:val="005E4F7F"/>
    <w:rsid w:val="005E71FB"/>
    <w:rsid w:val="005F284D"/>
    <w:rsid w:val="005F5A70"/>
    <w:rsid w:val="005F6159"/>
    <w:rsid w:val="005F6A75"/>
    <w:rsid w:val="0060298F"/>
    <w:rsid w:val="0061088B"/>
    <w:rsid w:val="00610989"/>
    <w:rsid w:val="006138CD"/>
    <w:rsid w:val="00613DC9"/>
    <w:rsid w:val="00620C37"/>
    <w:rsid w:val="00620C7F"/>
    <w:rsid w:val="00622510"/>
    <w:rsid w:val="006226A0"/>
    <w:rsid w:val="006231AC"/>
    <w:rsid w:val="00625F78"/>
    <w:rsid w:val="00626717"/>
    <w:rsid w:val="006300DA"/>
    <w:rsid w:val="00632BE5"/>
    <w:rsid w:val="00635979"/>
    <w:rsid w:val="00635EA1"/>
    <w:rsid w:val="0064353D"/>
    <w:rsid w:val="006439C2"/>
    <w:rsid w:val="00644BB7"/>
    <w:rsid w:val="006458B0"/>
    <w:rsid w:val="006512CF"/>
    <w:rsid w:val="00651702"/>
    <w:rsid w:val="00653FE1"/>
    <w:rsid w:val="0065668E"/>
    <w:rsid w:val="00656DA3"/>
    <w:rsid w:val="00661A84"/>
    <w:rsid w:val="00663D1D"/>
    <w:rsid w:val="006714B7"/>
    <w:rsid w:val="00677C5A"/>
    <w:rsid w:val="00677C7C"/>
    <w:rsid w:val="00682D0B"/>
    <w:rsid w:val="006845DF"/>
    <w:rsid w:val="006861AB"/>
    <w:rsid w:val="00693CFD"/>
    <w:rsid w:val="00694862"/>
    <w:rsid w:val="006A43AA"/>
    <w:rsid w:val="006A4966"/>
    <w:rsid w:val="006A7045"/>
    <w:rsid w:val="006B0466"/>
    <w:rsid w:val="006B5976"/>
    <w:rsid w:val="006C12B9"/>
    <w:rsid w:val="006C61AA"/>
    <w:rsid w:val="006C6844"/>
    <w:rsid w:val="006D07DF"/>
    <w:rsid w:val="006D1024"/>
    <w:rsid w:val="006D2326"/>
    <w:rsid w:val="006D4FED"/>
    <w:rsid w:val="006D66E7"/>
    <w:rsid w:val="006D7563"/>
    <w:rsid w:val="006D7F73"/>
    <w:rsid w:val="006E02BE"/>
    <w:rsid w:val="006E5C3C"/>
    <w:rsid w:val="006F0390"/>
    <w:rsid w:val="006F0A01"/>
    <w:rsid w:val="006F3076"/>
    <w:rsid w:val="006F4C58"/>
    <w:rsid w:val="00700284"/>
    <w:rsid w:val="00706FD8"/>
    <w:rsid w:val="007135DA"/>
    <w:rsid w:val="00717C70"/>
    <w:rsid w:val="00722E84"/>
    <w:rsid w:val="00724725"/>
    <w:rsid w:val="00725D2C"/>
    <w:rsid w:val="00726447"/>
    <w:rsid w:val="00726502"/>
    <w:rsid w:val="00726504"/>
    <w:rsid w:val="00726B97"/>
    <w:rsid w:val="00731D6E"/>
    <w:rsid w:val="00734606"/>
    <w:rsid w:val="0073667F"/>
    <w:rsid w:val="00742E16"/>
    <w:rsid w:val="0074352E"/>
    <w:rsid w:val="0074654B"/>
    <w:rsid w:val="00750B29"/>
    <w:rsid w:val="00756DC5"/>
    <w:rsid w:val="00757D9B"/>
    <w:rsid w:val="00761911"/>
    <w:rsid w:val="00761C85"/>
    <w:rsid w:val="00762EB6"/>
    <w:rsid w:val="00764121"/>
    <w:rsid w:val="007645A5"/>
    <w:rsid w:val="007649AE"/>
    <w:rsid w:val="00765769"/>
    <w:rsid w:val="00770BCA"/>
    <w:rsid w:val="0077324F"/>
    <w:rsid w:val="00773647"/>
    <w:rsid w:val="00776E4D"/>
    <w:rsid w:val="007773C1"/>
    <w:rsid w:val="007817BE"/>
    <w:rsid w:val="007908D1"/>
    <w:rsid w:val="007918B6"/>
    <w:rsid w:val="00792294"/>
    <w:rsid w:val="00795CCD"/>
    <w:rsid w:val="00796B77"/>
    <w:rsid w:val="00797CA1"/>
    <w:rsid w:val="00797E62"/>
    <w:rsid w:val="007A0BB2"/>
    <w:rsid w:val="007A299C"/>
    <w:rsid w:val="007A4F4E"/>
    <w:rsid w:val="007A5C56"/>
    <w:rsid w:val="007B0382"/>
    <w:rsid w:val="007B488B"/>
    <w:rsid w:val="007B6525"/>
    <w:rsid w:val="007B6BB3"/>
    <w:rsid w:val="007C0267"/>
    <w:rsid w:val="007C1DB5"/>
    <w:rsid w:val="007C45D0"/>
    <w:rsid w:val="007C4B0C"/>
    <w:rsid w:val="007C681D"/>
    <w:rsid w:val="007C7BAC"/>
    <w:rsid w:val="007D0791"/>
    <w:rsid w:val="007D6434"/>
    <w:rsid w:val="007D725D"/>
    <w:rsid w:val="007D79F2"/>
    <w:rsid w:val="007E0DD2"/>
    <w:rsid w:val="007E2EFC"/>
    <w:rsid w:val="007E3E98"/>
    <w:rsid w:val="007E6FFE"/>
    <w:rsid w:val="007E70B5"/>
    <w:rsid w:val="007F1E54"/>
    <w:rsid w:val="007F5AFB"/>
    <w:rsid w:val="007F7BF4"/>
    <w:rsid w:val="00800492"/>
    <w:rsid w:val="008013CC"/>
    <w:rsid w:val="00802B68"/>
    <w:rsid w:val="0080343D"/>
    <w:rsid w:val="00804090"/>
    <w:rsid w:val="00804A3A"/>
    <w:rsid w:val="00811880"/>
    <w:rsid w:val="00813677"/>
    <w:rsid w:val="00813A31"/>
    <w:rsid w:val="00814BAC"/>
    <w:rsid w:val="00815579"/>
    <w:rsid w:val="00823AB9"/>
    <w:rsid w:val="008244C9"/>
    <w:rsid w:val="008249CE"/>
    <w:rsid w:val="00827635"/>
    <w:rsid w:val="008310DB"/>
    <w:rsid w:val="0083147B"/>
    <w:rsid w:val="008338B4"/>
    <w:rsid w:val="0083666E"/>
    <w:rsid w:val="00836C7B"/>
    <w:rsid w:val="00837F49"/>
    <w:rsid w:val="008412A6"/>
    <w:rsid w:val="00841A9A"/>
    <w:rsid w:val="00842154"/>
    <w:rsid w:val="0085157F"/>
    <w:rsid w:val="008525A3"/>
    <w:rsid w:val="008531E9"/>
    <w:rsid w:val="008538D6"/>
    <w:rsid w:val="00854785"/>
    <w:rsid w:val="008574EF"/>
    <w:rsid w:val="00860B3F"/>
    <w:rsid w:val="008619A4"/>
    <w:rsid w:val="008649CC"/>
    <w:rsid w:val="008776B4"/>
    <w:rsid w:val="00880082"/>
    <w:rsid w:val="00880CD8"/>
    <w:rsid w:val="008811C3"/>
    <w:rsid w:val="008854EB"/>
    <w:rsid w:val="008865E5"/>
    <w:rsid w:val="008910B4"/>
    <w:rsid w:val="00894B77"/>
    <w:rsid w:val="0089538D"/>
    <w:rsid w:val="00896A74"/>
    <w:rsid w:val="008970AC"/>
    <w:rsid w:val="008A37CA"/>
    <w:rsid w:val="008A4424"/>
    <w:rsid w:val="008A44EB"/>
    <w:rsid w:val="008A591C"/>
    <w:rsid w:val="008B08CD"/>
    <w:rsid w:val="008B152B"/>
    <w:rsid w:val="008B1F92"/>
    <w:rsid w:val="008B2B4F"/>
    <w:rsid w:val="008B58EC"/>
    <w:rsid w:val="008B5D45"/>
    <w:rsid w:val="008B6189"/>
    <w:rsid w:val="008B6A9F"/>
    <w:rsid w:val="008B7CCD"/>
    <w:rsid w:val="008C1B38"/>
    <w:rsid w:val="008C358A"/>
    <w:rsid w:val="008C3731"/>
    <w:rsid w:val="008C4625"/>
    <w:rsid w:val="008C6ACF"/>
    <w:rsid w:val="008D05E1"/>
    <w:rsid w:val="008D089E"/>
    <w:rsid w:val="008D1087"/>
    <w:rsid w:val="008D244A"/>
    <w:rsid w:val="008D3F9B"/>
    <w:rsid w:val="008D3FE5"/>
    <w:rsid w:val="008E05BB"/>
    <w:rsid w:val="008E0B5C"/>
    <w:rsid w:val="008E49F3"/>
    <w:rsid w:val="008E5941"/>
    <w:rsid w:val="008E67A8"/>
    <w:rsid w:val="008F1EB0"/>
    <w:rsid w:val="008F3AB5"/>
    <w:rsid w:val="008F5F22"/>
    <w:rsid w:val="008F63BC"/>
    <w:rsid w:val="008F6426"/>
    <w:rsid w:val="008F71EF"/>
    <w:rsid w:val="0090203D"/>
    <w:rsid w:val="0090363D"/>
    <w:rsid w:val="009046D8"/>
    <w:rsid w:val="009049F0"/>
    <w:rsid w:val="0090575E"/>
    <w:rsid w:val="0090585E"/>
    <w:rsid w:val="00906177"/>
    <w:rsid w:val="00910519"/>
    <w:rsid w:val="0091607F"/>
    <w:rsid w:val="0092060D"/>
    <w:rsid w:val="00920717"/>
    <w:rsid w:val="00920D4F"/>
    <w:rsid w:val="00920FFE"/>
    <w:rsid w:val="00921D1A"/>
    <w:rsid w:val="00922A20"/>
    <w:rsid w:val="00930899"/>
    <w:rsid w:val="009360D2"/>
    <w:rsid w:val="00937234"/>
    <w:rsid w:val="00937536"/>
    <w:rsid w:val="00942B04"/>
    <w:rsid w:val="00944F18"/>
    <w:rsid w:val="009469CC"/>
    <w:rsid w:val="0094708D"/>
    <w:rsid w:val="00950B28"/>
    <w:rsid w:val="00950D35"/>
    <w:rsid w:val="00953239"/>
    <w:rsid w:val="00953AE0"/>
    <w:rsid w:val="00961086"/>
    <w:rsid w:val="00961D3C"/>
    <w:rsid w:val="00964AA7"/>
    <w:rsid w:val="00967977"/>
    <w:rsid w:val="00967B5A"/>
    <w:rsid w:val="00972497"/>
    <w:rsid w:val="00973F19"/>
    <w:rsid w:val="009749C9"/>
    <w:rsid w:val="0097551F"/>
    <w:rsid w:val="00981F80"/>
    <w:rsid w:val="00982905"/>
    <w:rsid w:val="00985B85"/>
    <w:rsid w:val="00986854"/>
    <w:rsid w:val="009902F7"/>
    <w:rsid w:val="00990F1A"/>
    <w:rsid w:val="00993428"/>
    <w:rsid w:val="00994788"/>
    <w:rsid w:val="00995520"/>
    <w:rsid w:val="009A02F9"/>
    <w:rsid w:val="009A1B45"/>
    <w:rsid w:val="009A77FF"/>
    <w:rsid w:val="009B2561"/>
    <w:rsid w:val="009B2E21"/>
    <w:rsid w:val="009B41B8"/>
    <w:rsid w:val="009B538B"/>
    <w:rsid w:val="009B6C00"/>
    <w:rsid w:val="009B6C1B"/>
    <w:rsid w:val="009C023D"/>
    <w:rsid w:val="009C0A54"/>
    <w:rsid w:val="009C1E12"/>
    <w:rsid w:val="009C36F9"/>
    <w:rsid w:val="009C5E02"/>
    <w:rsid w:val="009D19D7"/>
    <w:rsid w:val="009D1F9F"/>
    <w:rsid w:val="009D2C1D"/>
    <w:rsid w:val="009D356A"/>
    <w:rsid w:val="009D697A"/>
    <w:rsid w:val="009E169A"/>
    <w:rsid w:val="009E40D1"/>
    <w:rsid w:val="009E5653"/>
    <w:rsid w:val="009E7A20"/>
    <w:rsid w:val="009F0752"/>
    <w:rsid w:val="009F0B9D"/>
    <w:rsid w:val="009F0ECF"/>
    <w:rsid w:val="009F1AC8"/>
    <w:rsid w:val="009F3EF1"/>
    <w:rsid w:val="00A047A7"/>
    <w:rsid w:val="00A05934"/>
    <w:rsid w:val="00A10D04"/>
    <w:rsid w:val="00A11FAC"/>
    <w:rsid w:val="00A13E5E"/>
    <w:rsid w:val="00A15926"/>
    <w:rsid w:val="00A160F6"/>
    <w:rsid w:val="00A16281"/>
    <w:rsid w:val="00A17533"/>
    <w:rsid w:val="00A17E3B"/>
    <w:rsid w:val="00A21799"/>
    <w:rsid w:val="00A22D07"/>
    <w:rsid w:val="00A22DF4"/>
    <w:rsid w:val="00A24ABF"/>
    <w:rsid w:val="00A25FCA"/>
    <w:rsid w:val="00A26D16"/>
    <w:rsid w:val="00A3023B"/>
    <w:rsid w:val="00A32642"/>
    <w:rsid w:val="00A32BD9"/>
    <w:rsid w:val="00A32D86"/>
    <w:rsid w:val="00A34FC3"/>
    <w:rsid w:val="00A35C28"/>
    <w:rsid w:val="00A40F09"/>
    <w:rsid w:val="00A42638"/>
    <w:rsid w:val="00A43F10"/>
    <w:rsid w:val="00A44CD3"/>
    <w:rsid w:val="00A453E1"/>
    <w:rsid w:val="00A50143"/>
    <w:rsid w:val="00A52041"/>
    <w:rsid w:val="00A55FB8"/>
    <w:rsid w:val="00A6139D"/>
    <w:rsid w:val="00A62AD6"/>
    <w:rsid w:val="00A6394D"/>
    <w:rsid w:val="00A64E59"/>
    <w:rsid w:val="00A6603D"/>
    <w:rsid w:val="00A66188"/>
    <w:rsid w:val="00A676F3"/>
    <w:rsid w:val="00A726AF"/>
    <w:rsid w:val="00A73E5D"/>
    <w:rsid w:val="00A75AF7"/>
    <w:rsid w:val="00A75EAC"/>
    <w:rsid w:val="00A8102F"/>
    <w:rsid w:val="00A8143F"/>
    <w:rsid w:val="00A83BA3"/>
    <w:rsid w:val="00A8448F"/>
    <w:rsid w:val="00A8753C"/>
    <w:rsid w:val="00A87EA5"/>
    <w:rsid w:val="00A93B6B"/>
    <w:rsid w:val="00A94B78"/>
    <w:rsid w:val="00A963FE"/>
    <w:rsid w:val="00A9680D"/>
    <w:rsid w:val="00AA2FF4"/>
    <w:rsid w:val="00AA323A"/>
    <w:rsid w:val="00AA45E4"/>
    <w:rsid w:val="00AA6A27"/>
    <w:rsid w:val="00AB0A0B"/>
    <w:rsid w:val="00AB56BB"/>
    <w:rsid w:val="00AB6BDB"/>
    <w:rsid w:val="00AC03A4"/>
    <w:rsid w:val="00AC068E"/>
    <w:rsid w:val="00AC3DFE"/>
    <w:rsid w:val="00AC5DF6"/>
    <w:rsid w:val="00AC71BB"/>
    <w:rsid w:val="00AD141C"/>
    <w:rsid w:val="00AD25A6"/>
    <w:rsid w:val="00AD310A"/>
    <w:rsid w:val="00AD5CC9"/>
    <w:rsid w:val="00AE4732"/>
    <w:rsid w:val="00AE4C51"/>
    <w:rsid w:val="00AE7B41"/>
    <w:rsid w:val="00AF34C2"/>
    <w:rsid w:val="00AF7D6F"/>
    <w:rsid w:val="00B00450"/>
    <w:rsid w:val="00B017F2"/>
    <w:rsid w:val="00B0376E"/>
    <w:rsid w:val="00B05171"/>
    <w:rsid w:val="00B053B6"/>
    <w:rsid w:val="00B070FA"/>
    <w:rsid w:val="00B10E74"/>
    <w:rsid w:val="00B12CE2"/>
    <w:rsid w:val="00B171FF"/>
    <w:rsid w:val="00B223C3"/>
    <w:rsid w:val="00B233BB"/>
    <w:rsid w:val="00B23DE3"/>
    <w:rsid w:val="00B24365"/>
    <w:rsid w:val="00B2723D"/>
    <w:rsid w:val="00B33A12"/>
    <w:rsid w:val="00B40148"/>
    <w:rsid w:val="00B4014F"/>
    <w:rsid w:val="00B411FE"/>
    <w:rsid w:val="00B422EB"/>
    <w:rsid w:val="00B4571C"/>
    <w:rsid w:val="00B46923"/>
    <w:rsid w:val="00B473E3"/>
    <w:rsid w:val="00B525B1"/>
    <w:rsid w:val="00B52C5D"/>
    <w:rsid w:val="00B52F94"/>
    <w:rsid w:val="00B53DDE"/>
    <w:rsid w:val="00B55C69"/>
    <w:rsid w:val="00B61006"/>
    <w:rsid w:val="00B6499A"/>
    <w:rsid w:val="00B6529F"/>
    <w:rsid w:val="00B6559A"/>
    <w:rsid w:val="00B6562E"/>
    <w:rsid w:val="00B66A1A"/>
    <w:rsid w:val="00B674FC"/>
    <w:rsid w:val="00B6792C"/>
    <w:rsid w:val="00B71538"/>
    <w:rsid w:val="00B71CA3"/>
    <w:rsid w:val="00B752CA"/>
    <w:rsid w:val="00B752EE"/>
    <w:rsid w:val="00B77766"/>
    <w:rsid w:val="00B81449"/>
    <w:rsid w:val="00B821C9"/>
    <w:rsid w:val="00B821D1"/>
    <w:rsid w:val="00B909C8"/>
    <w:rsid w:val="00B90E05"/>
    <w:rsid w:val="00B91A0A"/>
    <w:rsid w:val="00B96337"/>
    <w:rsid w:val="00BA2954"/>
    <w:rsid w:val="00BA4616"/>
    <w:rsid w:val="00BA4EBE"/>
    <w:rsid w:val="00BA6F50"/>
    <w:rsid w:val="00BA7F83"/>
    <w:rsid w:val="00BB4A6F"/>
    <w:rsid w:val="00BB4DD9"/>
    <w:rsid w:val="00BB5169"/>
    <w:rsid w:val="00BB5564"/>
    <w:rsid w:val="00BB732C"/>
    <w:rsid w:val="00BC192E"/>
    <w:rsid w:val="00BC293E"/>
    <w:rsid w:val="00BC35B3"/>
    <w:rsid w:val="00BC53E8"/>
    <w:rsid w:val="00BC7823"/>
    <w:rsid w:val="00BD032D"/>
    <w:rsid w:val="00BD3402"/>
    <w:rsid w:val="00BD4515"/>
    <w:rsid w:val="00BD4787"/>
    <w:rsid w:val="00BD58EE"/>
    <w:rsid w:val="00BD675C"/>
    <w:rsid w:val="00BE066A"/>
    <w:rsid w:val="00BE08E7"/>
    <w:rsid w:val="00BE2F26"/>
    <w:rsid w:val="00BE5BB7"/>
    <w:rsid w:val="00BE717B"/>
    <w:rsid w:val="00BF11AC"/>
    <w:rsid w:val="00BF3F90"/>
    <w:rsid w:val="00C0574B"/>
    <w:rsid w:val="00C07472"/>
    <w:rsid w:val="00C10455"/>
    <w:rsid w:val="00C11560"/>
    <w:rsid w:val="00C11BA7"/>
    <w:rsid w:val="00C1209F"/>
    <w:rsid w:val="00C13654"/>
    <w:rsid w:val="00C13CC5"/>
    <w:rsid w:val="00C13E1B"/>
    <w:rsid w:val="00C143EE"/>
    <w:rsid w:val="00C17D88"/>
    <w:rsid w:val="00C22D48"/>
    <w:rsid w:val="00C26EA7"/>
    <w:rsid w:val="00C27AC9"/>
    <w:rsid w:val="00C31E50"/>
    <w:rsid w:val="00C327C2"/>
    <w:rsid w:val="00C36B6A"/>
    <w:rsid w:val="00C37123"/>
    <w:rsid w:val="00C403FD"/>
    <w:rsid w:val="00C43D75"/>
    <w:rsid w:val="00C44EC4"/>
    <w:rsid w:val="00C45482"/>
    <w:rsid w:val="00C4781C"/>
    <w:rsid w:val="00C5278D"/>
    <w:rsid w:val="00C53DE7"/>
    <w:rsid w:val="00C56252"/>
    <w:rsid w:val="00C6247A"/>
    <w:rsid w:val="00C62D9C"/>
    <w:rsid w:val="00C62E4F"/>
    <w:rsid w:val="00C62F6E"/>
    <w:rsid w:val="00C64F06"/>
    <w:rsid w:val="00C66ADD"/>
    <w:rsid w:val="00C7015D"/>
    <w:rsid w:val="00C80C6E"/>
    <w:rsid w:val="00C820A9"/>
    <w:rsid w:val="00C8375E"/>
    <w:rsid w:val="00C84CD6"/>
    <w:rsid w:val="00C85EAC"/>
    <w:rsid w:val="00C91386"/>
    <w:rsid w:val="00C9220A"/>
    <w:rsid w:val="00C9257A"/>
    <w:rsid w:val="00C94CE9"/>
    <w:rsid w:val="00C953C3"/>
    <w:rsid w:val="00C954C1"/>
    <w:rsid w:val="00C97186"/>
    <w:rsid w:val="00CA320C"/>
    <w:rsid w:val="00CA3519"/>
    <w:rsid w:val="00CA6E2E"/>
    <w:rsid w:val="00CB1FBD"/>
    <w:rsid w:val="00CB3D93"/>
    <w:rsid w:val="00CB4A97"/>
    <w:rsid w:val="00CB5170"/>
    <w:rsid w:val="00CB6935"/>
    <w:rsid w:val="00CC31AB"/>
    <w:rsid w:val="00CC4F84"/>
    <w:rsid w:val="00CD0805"/>
    <w:rsid w:val="00CD13CD"/>
    <w:rsid w:val="00CD1417"/>
    <w:rsid w:val="00CD62F5"/>
    <w:rsid w:val="00CD7559"/>
    <w:rsid w:val="00CE23D1"/>
    <w:rsid w:val="00CE4F2B"/>
    <w:rsid w:val="00CE764C"/>
    <w:rsid w:val="00CF36DF"/>
    <w:rsid w:val="00CF46DD"/>
    <w:rsid w:val="00CF4E71"/>
    <w:rsid w:val="00CF704C"/>
    <w:rsid w:val="00D03BDC"/>
    <w:rsid w:val="00D03F17"/>
    <w:rsid w:val="00D05210"/>
    <w:rsid w:val="00D0640D"/>
    <w:rsid w:val="00D07D31"/>
    <w:rsid w:val="00D10418"/>
    <w:rsid w:val="00D13180"/>
    <w:rsid w:val="00D13298"/>
    <w:rsid w:val="00D21E72"/>
    <w:rsid w:val="00D26AE7"/>
    <w:rsid w:val="00D32D24"/>
    <w:rsid w:val="00D33D1D"/>
    <w:rsid w:val="00D341FD"/>
    <w:rsid w:val="00D351F0"/>
    <w:rsid w:val="00D37615"/>
    <w:rsid w:val="00D37B2B"/>
    <w:rsid w:val="00D418F0"/>
    <w:rsid w:val="00D42BA2"/>
    <w:rsid w:val="00D44579"/>
    <w:rsid w:val="00D46D41"/>
    <w:rsid w:val="00D536C7"/>
    <w:rsid w:val="00D61560"/>
    <w:rsid w:val="00D66DC1"/>
    <w:rsid w:val="00D70CE5"/>
    <w:rsid w:val="00D73DB0"/>
    <w:rsid w:val="00D73ECE"/>
    <w:rsid w:val="00D740A7"/>
    <w:rsid w:val="00D7482B"/>
    <w:rsid w:val="00D77A6B"/>
    <w:rsid w:val="00D80B62"/>
    <w:rsid w:val="00D8103C"/>
    <w:rsid w:val="00D83C13"/>
    <w:rsid w:val="00D8736A"/>
    <w:rsid w:val="00D90275"/>
    <w:rsid w:val="00D93E5E"/>
    <w:rsid w:val="00D9538D"/>
    <w:rsid w:val="00D9795C"/>
    <w:rsid w:val="00DA0B8B"/>
    <w:rsid w:val="00DA1DA8"/>
    <w:rsid w:val="00DA2353"/>
    <w:rsid w:val="00DA2647"/>
    <w:rsid w:val="00DA2A9A"/>
    <w:rsid w:val="00DA3CBC"/>
    <w:rsid w:val="00DA669C"/>
    <w:rsid w:val="00DA68CE"/>
    <w:rsid w:val="00DA707D"/>
    <w:rsid w:val="00DA7647"/>
    <w:rsid w:val="00DB1168"/>
    <w:rsid w:val="00DB1826"/>
    <w:rsid w:val="00DB1EC4"/>
    <w:rsid w:val="00DB25E5"/>
    <w:rsid w:val="00DB2BEC"/>
    <w:rsid w:val="00DB33A5"/>
    <w:rsid w:val="00DB4251"/>
    <w:rsid w:val="00DB678A"/>
    <w:rsid w:val="00DB6A06"/>
    <w:rsid w:val="00DC2F97"/>
    <w:rsid w:val="00DC42D5"/>
    <w:rsid w:val="00DC45D4"/>
    <w:rsid w:val="00DC5015"/>
    <w:rsid w:val="00DC6723"/>
    <w:rsid w:val="00DD25C9"/>
    <w:rsid w:val="00DD5626"/>
    <w:rsid w:val="00DD6F54"/>
    <w:rsid w:val="00DE0872"/>
    <w:rsid w:val="00DE0C3E"/>
    <w:rsid w:val="00DE7370"/>
    <w:rsid w:val="00DF0B6F"/>
    <w:rsid w:val="00DF3EDF"/>
    <w:rsid w:val="00DF55D1"/>
    <w:rsid w:val="00DF6E52"/>
    <w:rsid w:val="00DF77D4"/>
    <w:rsid w:val="00E01A15"/>
    <w:rsid w:val="00E03480"/>
    <w:rsid w:val="00E036D6"/>
    <w:rsid w:val="00E03773"/>
    <w:rsid w:val="00E041A0"/>
    <w:rsid w:val="00E060E0"/>
    <w:rsid w:val="00E10F9F"/>
    <w:rsid w:val="00E113DE"/>
    <w:rsid w:val="00E15BB4"/>
    <w:rsid w:val="00E20FC7"/>
    <w:rsid w:val="00E250A1"/>
    <w:rsid w:val="00E26942"/>
    <w:rsid w:val="00E32447"/>
    <w:rsid w:val="00E32F77"/>
    <w:rsid w:val="00E346B9"/>
    <w:rsid w:val="00E401F9"/>
    <w:rsid w:val="00E4117C"/>
    <w:rsid w:val="00E444E0"/>
    <w:rsid w:val="00E453A0"/>
    <w:rsid w:val="00E45A0F"/>
    <w:rsid w:val="00E5375F"/>
    <w:rsid w:val="00E5386D"/>
    <w:rsid w:val="00E5439C"/>
    <w:rsid w:val="00E54E0C"/>
    <w:rsid w:val="00E54F19"/>
    <w:rsid w:val="00E55027"/>
    <w:rsid w:val="00E56472"/>
    <w:rsid w:val="00E66FB8"/>
    <w:rsid w:val="00E70770"/>
    <w:rsid w:val="00E729ED"/>
    <w:rsid w:val="00E73F13"/>
    <w:rsid w:val="00E74B73"/>
    <w:rsid w:val="00E75BA8"/>
    <w:rsid w:val="00E76DAA"/>
    <w:rsid w:val="00E83F8C"/>
    <w:rsid w:val="00E8760B"/>
    <w:rsid w:val="00E91329"/>
    <w:rsid w:val="00E926AA"/>
    <w:rsid w:val="00E9409B"/>
    <w:rsid w:val="00E9583D"/>
    <w:rsid w:val="00EA50DF"/>
    <w:rsid w:val="00EA5E39"/>
    <w:rsid w:val="00EA62E2"/>
    <w:rsid w:val="00EA67FB"/>
    <w:rsid w:val="00EB2931"/>
    <w:rsid w:val="00EB32F9"/>
    <w:rsid w:val="00EB39D4"/>
    <w:rsid w:val="00EC01CD"/>
    <w:rsid w:val="00EC0726"/>
    <w:rsid w:val="00EC585D"/>
    <w:rsid w:val="00EC61F5"/>
    <w:rsid w:val="00EC64BB"/>
    <w:rsid w:val="00ED10CD"/>
    <w:rsid w:val="00EE008B"/>
    <w:rsid w:val="00EE1D77"/>
    <w:rsid w:val="00EE3535"/>
    <w:rsid w:val="00EE355E"/>
    <w:rsid w:val="00EE3CE7"/>
    <w:rsid w:val="00EE625F"/>
    <w:rsid w:val="00EE70FA"/>
    <w:rsid w:val="00EF3F7E"/>
    <w:rsid w:val="00EF6505"/>
    <w:rsid w:val="00EF70B3"/>
    <w:rsid w:val="00F04270"/>
    <w:rsid w:val="00F046D0"/>
    <w:rsid w:val="00F04741"/>
    <w:rsid w:val="00F0625D"/>
    <w:rsid w:val="00F07A62"/>
    <w:rsid w:val="00F115A7"/>
    <w:rsid w:val="00F11C0D"/>
    <w:rsid w:val="00F12F4F"/>
    <w:rsid w:val="00F1691E"/>
    <w:rsid w:val="00F16EDD"/>
    <w:rsid w:val="00F22192"/>
    <w:rsid w:val="00F25FC2"/>
    <w:rsid w:val="00F274B5"/>
    <w:rsid w:val="00F303EB"/>
    <w:rsid w:val="00F304E8"/>
    <w:rsid w:val="00F31065"/>
    <w:rsid w:val="00F40EB3"/>
    <w:rsid w:val="00F4385B"/>
    <w:rsid w:val="00F445BF"/>
    <w:rsid w:val="00F45B60"/>
    <w:rsid w:val="00F502F8"/>
    <w:rsid w:val="00F51B81"/>
    <w:rsid w:val="00F55AF5"/>
    <w:rsid w:val="00F57DCF"/>
    <w:rsid w:val="00F61736"/>
    <w:rsid w:val="00F641CA"/>
    <w:rsid w:val="00F65508"/>
    <w:rsid w:val="00F66933"/>
    <w:rsid w:val="00F71882"/>
    <w:rsid w:val="00F71C3D"/>
    <w:rsid w:val="00F73D68"/>
    <w:rsid w:val="00F74A73"/>
    <w:rsid w:val="00F75B47"/>
    <w:rsid w:val="00F75BE5"/>
    <w:rsid w:val="00F8060A"/>
    <w:rsid w:val="00F828F7"/>
    <w:rsid w:val="00F853A2"/>
    <w:rsid w:val="00F85CAC"/>
    <w:rsid w:val="00F869CE"/>
    <w:rsid w:val="00F915CE"/>
    <w:rsid w:val="00F934B8"/>
    <w:rsid w:val="00F9352C"/>
    <w:rsid w:val="00F9353C"/>
    <w:rsid w:val="00FA393F"/>
    <w:rsid w:val="00FA41A0"/>
    <w:rsid w:val="00FB1E1D"/>
    <w:rsid w:val="00FB59B6"/>
    <w:rsid w:val="00FB5E1F"/>
    <w:rsid w:val="00FC2A03"/>
    <w:rsid w:val="00FC41F3"/>
    <w:rsid w:val="00FC45B5"/>
    <w:rsid w:val="00FC598B"/>
    <w:rsid w:val="00FC7039"/>
    <w:rsid w:val="00FC74A6"/>
    <w:rsid w:val="00FD2AFD"/>
    <w:rsid w:val="00FD4044"/>
    <w:rsid w:val="00FD492E"/>
    <w:rsid w:val="00FD5EA1"/>
    <w:rsid w:val="00FD6B02"/>
    <w:rsid w:val="00FF17F5"/>
    <w:rsid w:val="00FF3826"/>
    <w:rsid w:val="00FF45CD"/>
    <w:rsid w:val="00FF4D7F"/>
    <w:rsid w:val="00FF6025"/>
    <w:rsid w:val="00FF7934"/>
    <w:rsid w:val="00FF7B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502F74"/>
  <w15:docId w15:val="{DE0C52F3-64AF-4266-9867-F1F1992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B00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3">
    <w:name w:val="heading 3"/>
    <w:basedOn w:val="Normal"/>
    <w:next w:val="Normal"/>
    <w:link w:val="Heading3Char"/>
    <w:uiPriority w:val="9"/>
    <w:semiHidden/>
    <w:unhideWhenUsed/>
    <w:qFormat/>
    <w:rsid w:val="008C6A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3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D93"/>
    <w:rPr>
      <w:rFonts w:ascii="Tahoma" w:hAnsi="Tahoma" w:cs="Tahoma"/>
      <w:sz w:val="16"/>
      <w:szCs w:val="16"/>
    </w:rPr>
  </w:style>
  <w:style w:type="table" w:styleId="TableGrid">
    <w:name w:val="Table Grid"/>
    <w:basedOn w:val="TableNormal"/>
    <w:uiPriority w:val="59"/>
    <w:rsid w:val="00406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A92"/>
    <w:rPr>
      <w:color w:val="0000FF" w:themeColor="hyperlink"/>
      <w:u w:val="single"/>
    </w:rPr>
  </w:style>
  <w:style w:type="paragraph" w:styleId="NormalWeb">
    <w:name w:val="Normal (Web)"/>
    <w:basedOn w:val="Normal"/>
    <w:uiPriority w:val="99"/>
    <w:unhideWhenUsed/>
    <w:rsid w:val="009B538B"/>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rsid w:val="00D0521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10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C44"/>
  </w:style>
  <w:style w:type="paragraph" w:styleId="Footer">
    <w:name w:val="footer"/>
    <w:basedOn w:val="Normal"/>
    <w:link w:val="FooterChar"/>
    <w:uiPriority w:val="99"/>
    <w:unhideWhenUsed/>
    <w:rsid w:val="00010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C44"/>
  </w:style>
  <w:style w:type="character" w:styleId="CommentReference">
    <w:name w:val="annotation reference"/>
    <w:basedOn w:val="DefaultParagraphFont"/>
    <w:uiPriority w:val="99"/>
    <w:semiHidden/>
    <w:unhideWhenUsed/>
    <w:rsid w:val="00FD5EA1"/>
    <w:rPr>
      <w:sz w:val="16"/>
      <w:szCs w:val="16"/>
    </w:rPr>
  </w:style>
  <w:style w:type="paragraph" w:styleId="CommentText">
    <w:name w:val="annotation text"/>
    <w:basedOn w:val="Normal"/>
    <w:link w:val="CommentTextChar"/>
    <w:uiPriority w:val="99"/>
    <w:unhideWhenUsed/>
    <w:rsid w:val="00FD5EA1"/>
    <w:pPr>
      <w:spacing w:line="240" w:lineRule="auto"/>
    </w:pPr>
    <w:rPr>
      <w:sz w:val="20"/>
      <w:szCs w:val="20"/>
    </w:rPr>
  </w:style>
  <w:style w:type="character" w:customStyle="1" w:styleId="CommentTextChar">
    <w:name w:val="Comment Text Char"/>
    <w:basedOn w:val="DefaultParagraphFont"/>
    <w:link w:val="CommentText"/>
    <w:uiPriority w:val="99"/>
    <w:rsid w:val="00FD5EA1"/>
    <w:rPr>
      <w:sz w:val="20"/>
      <w:szCs w:val="20"/>
    </w:rPr>
  </w:style>
  <w:style w:type="paragraph" w:styleId="CommentSubject">
    <w:name w:val="annotation subject"/>
    <w:basedOn w:val="CommentText"/>
    <w:next w:val="CommentText"/>
    <w:link w:val="CommentSubjectChar"/>
    <w:uiPriority w:val="99"/>
    <w:semiHidden/>
    <w:unhideWhenUsed/>
    <w:rsid w:val="00FD5EA1"/>
    <w:rPr>
      <w:b/>
      <w:bCs/>
    </w:rPr>
  </w:style>
  <w:style w:type="character" w:customStyle="1" w:styleId="CommentSubjectChar">
    <w:name w:val="Comment Subject Char"/>
    <w:basedOn w:val="CommentTextChar"/>
    <w:link w:val="CommentSubject"/>
    <w:uiPriority w:val="99"/>
    <w:semiHidden/>
    <w:rsid w:val="00FD5EA1"/>
    <w:rPr>
      <w:b/>
      <w:bCs/>
      <w:sz w:val="20"/>
      <w:szCs w:val="20"/>
    </w:rPr>
  </w:style>
  <w:style w:type="character" w:styleId="FollowedHyperlink">
    <w:name w:val="FollowedHyperlink"/>
    <w:basedOn w:val="DefaultParagraphFont"/>
    <w:uiPriority w:val="99"/>
    <w:semiHidden/>
    <w:unhideWhenUsed/>
    <w:rsid w:val="00445CDD"/>
    <w:rPr>
      <w:color w:val="800080" w:themeColor="followedHyperlink"/>
      <w:u w:val="single"/>
    </w:rPr>
  </w:style>
  <w:style w:type="paragraph" w:styleId="Date">
    <w:name w:val="Date"/>
    <w:basedOn w:val="Normal"/>
    <w:next w:val="Normal"/>
    <w:link w:val="DateChar"/>
    <w:uiPriority w:val="99"/>
    <w:semiHidden/>
    <w:unhideWhenUsed/>
    <w:rsid w:val="00445CDD"/>
  </w:style>
  <w:style w:type="character" w:customStyle="1" w:styleId="DateChar">
    <w:name w:val="Date Char"/>
    <w:basedOn w:val="DefaultParagraphFont"/>
    <w:link w:val="Date"/>
    <w:uiPriority w:val="99"/>
    <w:semiHidden/>
    <w:rsid w:val="00445CDD"/>
  </w:style>
  <w:style w:type="paragraph" w:customStyle="1" w:styleId="ThesisTitle">
    <w:name w:val="Thesis Title"/>
    <w:basedOn w:val="Normal"/>
    <w:rsid w:val="00205B4F"/>
    <w:pPr>
      <w:spacing w:before="1200" w:after="0" w:line="240" w:lineRule="atLeast"/>
      <w:jc w:val="center"/>
    </w:pPr>
    <w:rPr>
      <w:rFonts w:ascii="Times New Roman" w:eastAsia="PMingLiU" w:hAnsi="Times New Roman" w:cs="Times New Roman"/>
      <w:caps/>
      <w:sz w:val="24"/>
      <w:szCs w:val="24"/>
      <w:lang w:val="en-US"/>
    </w:rPr>
  </w:style>
  <w:style w:type="character" w:styleId="PageNumber">
    <w:name w:val="page number"/>
    <w:basedOn w:val="DefaultParagraphFont"/>
    <w:uiPriority w:val="99"/>
    <w:semiHidden/>
    <w:unhideWhenUsed/>
    <w:rsid w:val="00062D0C"/>
  </w:style>
  <w:style w:type="character" w:styleId="LineNumber">
    <w:name w:val="line number"/>
    <w:basedOn w:val="DefaultParagraphFont"/>
    <w:uiPriority w:val="99"/>
    <w:semiHidden/>
    <w:unhideWhenUsed/>
    <w:rsid w:val="00062D0C"/>
  </w:style>
  <w:style w:type="paragraph" w:styleId="Revision">
    <w:name w:val="Revision"/>
    <w:hidden/>
    <w:uiPriority w:val="99"/>
    <w:semiHidden/>
    <w:rsid w:val="002A7E1D"/>
    <w:pPr>
      <w:spacing w:after="0" w:line="240" w:lineRule="auto"/>
    </w:pPr>
  </w:style>
  <w:style w:type="paragraph" w:customStyle="1" w:styleId="Referenzen">
    <w:name w:val="Referenzen"/>
    <w:basedOn w:val="FootnoteText"/>
    <w:rsid w:val="00F74A73"/>
    <w:pPr>
      <w:spacing w:before="240"/>
      <w:ind w:left="280" w:right="20" w:hanging="280"/>
    </w:pPr>
    <w:rPr>
      <w:rFonts w:ascii="Times" w:eastAsia="Times New Roman" w:hAnsi="Times" w:cs="Mangal"/>
      <w:szCs w:val="20"/>
      <w:lang w:val="en-US" w:bidi="hi-IN"/>
    </w:rPr>
  </w:style>
  <w:style w:type="paragraph" w:styleId="FootnoteText">
    <w:name w:val="footnote text"/>
    <w:basedOn w:val="Normal"/>
    <w:link w:val="FootnoteTextChar"/>
    <w:uiPriority w:val="99"/>
    <w:semiHidden/>
    <w:unhideWhenUsed/>
    <w:rsid w:val="00F74A73"/>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F74A73"/>
    <w:rPr>
      <w:sz w:val="24"/>
      <w:szCs w:val="24"/>
    </w:rPr>
  </w:style>
  <w:style w:type="paragraph" w:customStyle="1" w:styleId="APS-ref94">
    <w:name w:val="APS-ref(94)"/>
    <w:basedOn w:val="Normal"/>
    <w:rsid w:val="00245F25"/>
    <w:pPr>
      <w:spacing w:after="0" w:line="480" w:lineRule="atLeast"/>
      <w:ind w:right="-720" w:firstLine="620"/>
    </w:pPr>
    <w:rPr>
      <w:rFonts w:ascii="Times" w:eastAsia="Times New Roman" w:hAnsi="Times" w:cs="Times New Roman"/>
      <w:sz w:val="24"/>
      <w:szCs w:val="20"/>
      <w:lang w:val="en-US"/>
    </w:rPr>
  </w:style>
  <w:style w:type="character" w:customStyle="1" w:styleId="element-citation">
    <w:name w:val="element-citation"/>
    <w:basedOn w:val="DefaultParagraphFont"/>
    <w:rsid w:val="00DB4251"/>
  </w:style>
  <w:style w:type="character" w:customStyle="1" w:styleId="ref-journal">
    <w:name w:val="ref-journal"/>
    <w:basedOn w:val="DefaultParagraphFont"/>
    <w:rsid w:val="00DB4251"/>
  </w:style>
  <w:style w:type="character" w:customStyle="1" w:styleId="ref-vol">
    <w:name w:val="ref-vol"/>
    <w:basedOn w:val="DefaultParagraphFont"/>
    <w:rsid w:val="00DB4251"/>
  </w:style>
  <w:style w:type="character" w:customStyle="1" w:styleId="doi">
    <w:name w:val="doi"/>
    <w:basedOn w:val="DefaultParagraphFont"/>
    <w:rsid w:val="00E10F9F"/>
  </w:style>
  <w:style w:type="character" w:customStyle="1" w:styleId="slug-doi">
    <w:name w:val="slug-doi"/>
    <w:basedOn w:val="DefaultParagraphFont"/>
    <w:rsid w:val="002870BD"/>
  </w:style>
  <w:style w:type="paragraph" w:styleId="ListParagraph">
    <w:name w:val="List Paragraph"/>
    <w:basedOn w:val="Normal"/>
    <w:uiPriority w:val="34"/>
    <w:qFormat/>
    <w:rsid w:val="002870BD"/>
    <w:pPr>
      <w:ind w:left="720"/>
      <w:contextualSpacing/>
    </w:pPr>
  </w:style>
  <w:style w:type="character" w:customStyle="1" w:styleId="slug-doi-wrapper">
    <w:name w:val="slug-doi-wrapper"/>
    <w:basedOn w:val="DefaultParagraphFont"/>
    <w:rsid w:val="008D1087"/>
  </w:style>
  <w:style w:type="character" w:customStyle="1" w:styleId="nlmyear">
    <w:name w:val="nlm_year"/>
    <w:basedOn w:val="DefaultParagraphFont"/>
    <w:rsid w:val="00A26D16"/>
  </w:style>
  <w:style w:type="character" w:customStyle="1" w:styleId="slug-metadata-note">
    <w:name w:val="slug-metadata-note"/>
    <w:basedOn w:val="DefaultParagraphFont"/>
    <w:rsid w:val="005F6159"/>
  </w:style>
  <w:style w:type="character" w:styleId="Emphasis">
    <w:name w:val="Emphasis"/>
    <w:basedOn w:val="DefaultParagraphFont"/>
    <w:uiPriority w:val="20"/>
    <w:qFormat/>
    <w:rsid w:val="00575EE5"/>
    <w:rPr>
      <w:i/>
      <w:iCs/>
    </w:rPr>
  </w:style>
  <w:style w:type="character" w:customStyle="1" w:styleId="citation">
    <w:name w:val="citation"/>
    <w:basedOn w:val="DefaultParagraphFont"/>
    <w:rsid w:val="00F934B8"/>
  </w:style>
  <w:style w:type="character" w:styleId="FootnoteReference">
    <w:name w:val="footnote reference"/>
    <w:basedOn w:val="DefaultParagraphFont"/>
    <w:uiPriority w:val="99"/>
    <w:semiHidden/>
    <w:unhideWhenUsed/>
    <w:rsid w:val="00973F19"/>
    <w:rPr>
      <w:vertAlign w:val="superscript"/>
    </w:rPr>
  </w:style>
  <w:style w:type="character" w:styleId="Strong">
    <w:name w:val="Strong"/>
    <w:basedOn w:val="DefaultParagraphFont"/>
    <w:uiPriority w:val="22"/>
    <w:qFormat/>
    <w:rsid w:val="00EA62E2"/>
    <w:rPr>
      <w:b/>
      <w:bCs/>
    </w:rPr>
  </w:style>
  <w:style w:type="character" w:customStyle="1" w:styleId="Heading1Char">
    <w:name w:val="Heading 1 Char"/>
    <w:basedOn w:val="DefaultParagraphFont"/>
    <w:link w:val="Heading1"/>
    <w:uiPriority w:val="9"/>
    <w:rsid w:val="001B006A"/>
    <w:rPr>
      <w:rFonts w:ascii="Times New Roman" w:eastAsia="Times New Roman" w:hAnsi="Times New Roman" w:cs="Times New Roman"/>
      <w:b/>
      <w:bCs/>
      <w:kern w:val="36"/>
      <w:sz w:val="48"/>
      <w:szCs w:val="48"/>
      <w:lang w:eastAsia="zh-CN"/>
    </w:rPr>
  </w:style>
  <w:style w:type="character" w:customStyle="1" w:styleId="Heading3Char">
    <w:name w:val="Heading 3 Char"/>
    <w:basedOn w:val="DefaultParagraphFont"/>
    <w:link w:val="Heading3"/>
    <w:uiPriority w:val="9"/>
    <w:semiHidden/>
    <w:rsid w:val="008C6ACF"/>
    <w:rPr>
      <w:rFonts w:asciiTheme="majorHAnsi" w:eastAsiaTheme="majorEastAsia" w:hAnsiTheme="majorHAnsi" w:cstheme="majorBidi"/>
      <w:b/>
      <w:bCs/>
      <w:color w:val="4F81BD" w:themeColor="accent1"/>
    </w:rPr>
  </w:style>
  <w:style w:type="character" w:customStyle="1" w:styleId="st">
    <w:name w:val="st"/>
    <w:basedOn w:val="DefaultParagraphFont"/>
    <w:rsid w:val="00060683"/>
  </w:style>
  <w:style w:type="character" w:customStyle="1" w:styleId="apple-converted-space">
    <w:name w:val="apple-converted-space"/>
    <w:basedOn w:val="DefaultParagraphFont"/>
    <w:rsid w:val="00FD6B02"/>
  </w:style>
  <w:style w:type="character" w:styleId="HTMLCite">
    <w:name w:val="HTML Cite"/>
    <w:basedOn w:val="DefaultParagraphFont"/>
    <w:uiPriority w:val="99"/>
    <w:semiHidden/>
    <w:unhideWhenUsed/>
    <w:rsid w:val="000604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85545">
      <w:bodyDiv w:val="1"/>
      <w:marLeft w:val="0"/>
      <w:marRight w:val="0"/>
      <w:marTop w:val="0"/>
      <w:marBottom w:val="0"/>
      <w:divBdr>
        <w:top w:val="none" w:sz="0" w:space="0" w:color="auto"/>
        <w:left w:val="none" w:sz="0" w:space="0" w:color="auto"/>
        <w:bottom w:val="none" w:sz="0" w:space="0" w:color="auto"/>
        <w:right w:val="none" w:sz="0" w:space="0" w:color="auto"/>
      </w:divBdr>
    </w:div>
    <w:div w:id="218905107">
      <w:bodyDiv w:val="1"/>
      <w:marLeft w:val="0"/>
      <w:marRight w:val="0"/>
      <w:marTop w:val="0"/>
      <w:marBottom w:val="0"/>
      <w:divBdr>
        <w:top w:val="none" w:sz="0" w:space="0" w:color="auto"/>
        <w:left w:val="none" w:sz="0" w:space="0" w:color="auto"/>
        <w:bottom w:val="none" w:sz="0" w:space="0" w:color="auto"/>
        <w:right w:val="none" w:sz="0" w:space="0" w:color="auto"/>
      </w:divBdr>
      <w:divsChild>
        <w:div w:id="906963693">
          <w:marLeft w:val="0"/>
          <w:marRight w:val="0"/>
          <w:marTop w:val="0"/>
          <w:marBottom w:val="0"/>
          <w:divBdr>
            <w:top w:val="none" w:sz="0" w:space="0" w:color="auto"/>
            <w:left w:val="none" w:sz="0" w:space="0" w:color="auto"/>
            <w:bottom w:val="none" w:sz="0" w:space="0" w:color="auto"/>
            <w:right w:val="none" w:sz="0" w:space="0" w:color="auto"/>
          </w:divBdr>
        </w:div>
        <w:div w:id="1362121888">
          <w:marLeft w:val="0"/>
          <w:marRight w:val="0"/>
          <w:marTop w:val="0"/>
          <w:marBottom w:val="0"/>
          <w:divBdr>
            <w:top w:val="none" w:sz="0" w:space="0" w:color="auto"/>
            <w:left w:val="none" w:sz="0" w:space="0" w:color="auto"/>
            <w:bottom w:val="none" w:sz="0" w:space="0" w:color="auto"/>
            <w:right w:val="none" w:sz="0" w:space="0" w:color="auto"/>
          </w:divBdr>
        </w:div>
      </w:divsChild>
    </w:div>
    <w:div w:id="549149680">
      <w:bodyDiv w:val="1"/>
      <w:marLeft w:val="0"/>
      <w:marRight w:val="0"/>
      <w:marTop w:val="0"/>
      <w:marBottom w:val="0"/>
      <w:divBdr>
        <w:top w:val="none" w:sz="0" w:space="0" w:color="auto"/>
        <w:left w:val="none" w:sz="0" w:space="0" w:color="auto"/>
        <w:bottom w:val="none" w:sz="0" w:space="0" w:color="auto"/>
        <w:right w:val="none" w:sz="0" w:space="0" w:color="auto"/>
      </w:divBdr>
    </w:div>
    <w:div w:id="725102853">
      <w:bodyDiv w:val="1"/>
      <w:marLeft w:val="0"/>
      <w:marRight w:val="0"/>
      <w:marTop w:val="0"/>
      <w:marBottom w:val="0"/>
      <w:divBdr>
        <w:top w:val="none" w:sz="0" w:space="0" w:color="auto"/>
        <w:left w:val="none" w:sz="0" w:space="0" w:color="auto"/>
        <w:bottom w:val="none" w:sz="0" w:space="0" w:color="auto"/>
        <w:right w:val="none" w:sz="0" w:space="0" w:color="auto"/>
      </w:divBdr>
      <w:divsChild>
        <w:div w:id="83772619">
          <w:marLeft w:val="0"/>
          <w:marRight w:val="0"/>
          <w:marTop w:val="0"/>
          <w:marBottom w:val="0"/>
          <w:divBdr>
            <w:top w:val="none" w:sz="0" w:space="0" w:color="auto"/>
            <w:left w:val="none" w:sz="0" w:space="0" w:color="auto"/>
            <w:bottom w:val="none" w:sz="0" w:space="0" w:color="auto"/>
            <w:right w:val="none" w:sz="0" w:space="0" w:color="auto"/>
          </w:divBdr>
        </w:div>
        <w:div w:id="815728639">
          <w:marLeft w:val="0"/>
          <w:marRight w:val="0"/>
          <w:marTop w:val="0"/>
          <w:marBottom w:val="0"/>
          <w:divBdr>
            <w:top w:val="none" w:sz="0" w:space="0" w:color="auto"/>
            <w:left w:val="none" w:sz="0" w:space="0" w:color="auto"/>
            <w:bottom w:val="none" w:sz="0" w:space="0" w:color="auto"/>
            <w:right w:val="none" w:sz="0" w:space="0" w:color="auto"/>
          </w:divBdr>
        </w:div>
        <w:div w:id="1138496175">
          <w:marLeft w:val="0"/>
          <w:marRight w:val="0"/>
          <w:marTop w:val="0"/>
          <w:marBottom w:val="0"/>
          <w:divBdr>
            <w:top w:val="none" w:sz="0" w:space="0" w:color="auto"/>
            <w:left w:val="none" w:sz="0" w:space="0" w:color="auto"/>
            <w:bottom w:val="none" w:sz="0" w:space="0" w:color="auto"/>
            <w:right w:val="none" w:sz="0" w:space="0" w:color="auto"/>
          </w:divBdr>
        </w:div>
        <w:div w:id="1157957223">
          <w:marLeft w:val="0"/>
          <w:marRight w:val="0"/>
          <w:marTop w:val="0"/>
          <w:marBottom w:val="0"/>
          <w:divBdr>
            <w:top w:val="none" w:sz="0" w:space="0" w:color="auto"/>
            <w:left w:val="none" w:sz="0" w:space="0" w:color="auto"/>
            <w:bottom w:val="none" w:sz="0" w:space="0" w:color="auto"/>
            <w:right w:val="none" w:sz="0" w:space="0" w:color="auto"/>
          </w:divBdr>
        </w:div>
        <w:div w:id="428308306">
          <w:marLeft w:val="0"/>
          <w:marRight w:val="0"/>
          <w:marTop w:val="0"/>
          <w:marBottom w:val="0"/>
          <w:divBdr>
            <w:top w:val="none" w:sz="0" w:space="0" w:color="auto"/>
            <w:left w:val="none" w:sz="0" w:space="0" w:color="auto"/>
            <w:bottom w:val="none" w:sz="0" w:space="0" w:color="auto"/>
            <w:right w:val="none" w:sz="0" w:space="0" w:color="auto"/>
          </w:divBdr>
        </w:div>
      </w:divsChild>
    </w:div>
    <w:div w:id="746610501">
      <w:bodyDiv w:val="1"/>
      <w:marLeft w:val="0"/>
      <w:marRight w:val="0"/>
      <w:marTop w:val="0"/>
      <w:marBottom w:val="0"/>
      <w:divBdr>
        <w:top w:val="none" w:sz="0" w:space="0" w:color="auto"/>
        <w:left w:val="none" w:sz="0" w:space="0" w:color="auto"/>
        <w:bottom w:val="none" w:sz="0" w:space="0" w:color="auto"/>
        <w:right w:val="none" w:sz="0" w:space="0" w:color="auto"/>
      </w:divBdr>
      <w:divsChild>
        <w:div w:id="942541017">
          <w:marLeft w:val="0"/>
          <w:marRight w:val="0"/>
          <w:marTop w:val="0"/>
          <w:marBottom w:val="0"/>
          <w:divBdr>
            <w:top w:val="none" w:sz="0" w:space="0" w:color="auto"/>
            <w:left w:val="none" w:sz="0" w:space="0" w:color="auto"/>
            <w:bottom w:val="none" w:sz="0" w:space="0" w:color="auto"/>
            <w:right w:val="none" w:sz="0" w:space="0" w:color="auto"/>
          </w:divBdr>
        </w:div>
        <w:div w:id="1988582362">
          <w:marLeft w:val="0"/>
          <w:marRight w:val="0"/>
          <w:marTop w:val="0"/>
          <w:marBottom w:val="0"/>
          <w:divBdr>
            <w:top w:val="none" w:sz="0" w:space="0" w:color="auto"/>
            <w:left w:val="none" w:sz="0" w:space="0" w:color="auto"/>
            <w:bottom w:val="none" w:sz="0" w:space="0" w:color="auto"/>
            <w:right w:val="none" w:sz="0" w:space="0" w:color="auto"/>
          </w:divBdr>
        </w:div>
        <w:div w:id="1781685752">
          <w:marLeft w:val="0"/>
          <w:marRight w:val="0"/>
          <w:marTop w:val="0"/>
          <w:marBottom w:val="0"/>
          <w:divBdr>
            <w:top w:val="none" w:sz="0" w:space="0" w:color="auto"/>
            <w:left w:val="none" w:sz="0" w:space="0" w:color="auto"/>
            <w:bottom w:val="none" w:sz="0" w:space="0" w:color="auto"/>
            <w:right w:val="none" w:sz="0" w:space="0" w:color="auto"/>
          </w:divBdr>
        </w:div>
        <w:div w:id="138619124">
          <w:marLeft w:val="0"/>
          <w:marRight w:val="0"/>
          <w:marTop w:val="0"/>
          <w:marBottom w:val="0"/>
          <w:divBdr>
            <w:top w:val="none" w:sz="0" w:space="0" w:color="auto"/>
            <w:left w:val="none" w:sz="0" w:space="0" w:color="auto"/>
            <w:bottom w:val="none" w:sz="0" w:space="0" w:color="auto"/>
            <w:right w:val="none" w:sz="0" w:space="0" w:color="auto"/>
          </w:divBdr>
        </w:div>
        <w:div w:id="1009910095">
          <w:marLeft w:val="0"/>
          <w:marRight w:val="0"/>
          <w:marTop w:val="0"/>
          <w:marBottom w:val="0"/>
          <w:divBdr>
            <w:top w:val="none" w:sz="0" w:space="0" w:color="auto"/>
            <w:left w:val="none" w:sz="0" w:space="0" w:color="auto"/>
            <w:bottom w:val="none" w:sz="0" w:space="0" w:color="auto"/>
            <w:right w:val="none" w:sz="0" w:space="0" w:color="auto"/>
          </w:divBdr>
        </w:div>
      </w:divsChild>
    </w:div>
    <w:div w:id="747964265">
      <w:bodyDiv w:val="1"/>
      <w:marLeft w:val="0"/>
      <w:marRight w:val="0"/>
      <w:marTop w:val="0"/>
      <w:marBottom w:val="0"/>
      <w:divBdr>
        <w:top w:val="none" w:sz="0" w:space="0" w:color="auto"/>
        <w:left w:val="none" w:sz="0" w:space="0" w:color="auto"/>
        <w:bottom w:val="none" w:sz="0" w:space="0" w:color="auto"/>
        <w:right w:val="none" w:sz="0" w:space="0" w:color="auto"/>
      </w:divBdr>
      <w:divsChild>
        <w:div w:id="182087403">
          <w:marLeft w:val="0"/>
          <w:marRight w:val="0"/>
          <w:marTop w:val="0"/>
          <w:marBottom w:val="0"/>
          <w:divBdr>
            <w:top w:val="none" w:sz="0" w:space="0" w:color="auto"/>
            <w:left w:val="none" w:sz="0" w:space="0" w:color="auto"/>
            <w:bottom w:val="none" w:sz="0" w:space="0" w:color="auto"/>
            <w:right w:val="none" w:sz="0" w:space="0" w:color="auto"/>
          </w:divBdr>
        </w:div>
        <w:div w:id="1462379964">
          <w:marLeft w:val="0"/>
          <w:marRight w:val="0"/>
          <w:marTop w:val="0"/>
          <w:marBottom w:val="0"/>
          <w:divBdr>
            <w:top w:val="none" w:sz="0" w:space="0" w:color="auto"/>
            <w:left w:val="none" w:sz="0" w:space="0" w:color="auto"/>
            <w:bottom w:val="none" w:sz="0" w:space="0" w:color="auto"/>
            <w:right w:val="none" w:sz="0" w:space="0" w:color="auto"/>
          </w:divBdr>
        </w:div>
      </w:divsChild>
    </w:div>
    <w:div w:id="846331999">
      <w:bodyDiv w:val="1"/>
      <w:marLeft w:val="0"/>
      <w:marRight w:val="0"/>
      <w:marTop w:val="0"/>
      <w:marBottom w:val="0"/>
      <w:divBdr>
        <w:top w:val="none" w:sz="0" w:space="0" w:color="auto"/>
        <w:left w:val="none" w:sz="0" w:space="0" w:color="auto"/>
        <w:bottom w:val="none" w:sz="0" w:space="0" w:color="auto"/>
        <w:right w:val="none" w:sz="0" w:space="0" w:color="auto"/>
      </w:divBdr>
      <w:divsChild>
        <w:div w:id="54746710">
          <w:marLeft w:val="0"/>
          <w:marRight w:val="0"/>
          <w:marTop w:val="0"/>
          <w:marBottom w:val="0"/>
          <w:divBdr>
            <w:top w:val="none" w:sz="0" w:space="0" w:color="auto"/>
            <w:left w:val="none" w:sz="0" w:space="0" w:color="auto"/>
            <w:bottom w:val="none" w:sz="0" w:space="0" w:color="auto"/>
            <w:right w:val="none" w:sz="0" w:space="0" w:color="auto"/>
          </w:divBdr>
        </w:div>
        <w:div w:id="520052990">
          <w:marLeft w:val="0"/>
          <w:marRight w:val="0"/>
          <w:marTop w:val="0"/>
          <w:marBottom w:val="0"/>
          <w:divBdr>
            <w:top w:val="none" w:sz="0" w:space="0" w:color="auto"/>
            <w:left w:val="none" w:sz="0" w:space="0" w:color="auto"/>
            <w:bottom w:val="none" w:sz="0" w:space="0" w:color="auto"/>
            <w:right w:val="none" w:sz="0" w:space="0" w:color="auto"/>
          </w:divBdr>
        </w:div>
        <w:div w:id="540091908">
          <w:marLeft w:val="0"/>
          <w:marRight w:val="0"/>
          <w:marTop w:val="0"/>
          <w:marBottom w:val="0"/>
          <w:divBdr>
            <w:top w:val="none" w:sz="0" w:space="0" w:color="auto"/>
            <w:left w:val="none" w:sz="0" w:space="0" w:color="auto"/>
            <w:bottom w:val="none" w:sz="0" w:space="0" w:color="auto"/>
            <w:right w:val="none" w:sz="0" w:space="0" w:color="auto"/>
          </w:divBdr>
        </w:div>
        <w:div w:id="1937597110">
          <w:marLeft w:val="0"/>
          <w:marRight w:val="0"/>
          <w:marTop w:val="0"/>
          <w:marBottom w:val="0"/>
          <w:divBdr>
            <w:top w:val="none" w:sz="0" w:space="0" w:color="auto"/>
            <w:left w:val="none" w:sz="0" w:space="0" w:color="auto"/>
            <w:bottom w:val="none" w:sz="0" w:space="0" w:color="auto"/>
            <w:right w:val="none" w:sz="0" w:space="0" w:color="auto"/>
          </w:divBdr>
        </w:div>
        <w:div w:id="2129614895">
          <w:marLeft w:val="0"/>
          <w:marRight w:val="0"/>
          <w:marTop w:val="0"/>
          <w:marBottom w:val="0"/>
          <w:divBdr>
            <w:top w:val="none" w:sz="0" w:space="0" w:color="auto"/>
            <w:left w:val="none" w:sz="0" w:space="0" w:color="auto"/>
            <w:bottom w:val="none" w:sz="0" w:space="0" w:color="auto"/>
            <w:right w:val="none" w:sz="0" w:space="0" w:color="auto"/>
          </w:divBdr>
        </w:div>
      </w:divsChild>
    </w:div>
    <w:div w:id="877469896">
      <w:bodyDiv w:val="1"/>
      <w:marLeft w:val="0"/>
      <w:marRight w:val="0"/>
      <w:marTop w:val="0"/>
      <w:marBottom w:val="0"/>
      <w:divBdr>
        <w:top w:val="none" w:sz="0" w:space="0" w:color="auto"/>
        <w:left w:val="none" w:sz="0" w:space="0" w:color="auto"/>
        <w:bottom w:val="none" w:sz="0" w:space="0" w:color="auto"/>
        <w:right w:val="none" w:sz="0" w:space="0" w:color="auto"/>
      </w:divBdr>
    </w:div>
    <w:div w:id="950740785">
      <w:bodyDiv w:val="1"/>
      <w:marLeft w:val="0"/>
      <w:marRight w:val="0"/>
      <w:marTop w:val="0"/>
      <w:marBottom w:val="0"/>
      <w:divBdr>
        <w:top w:val="none" w:sz="0" w:space="0" w:color="auto"/>
        <w:left w:val="none" w:sz="0" w:space="0" w:color="auto"/>
        <w:bottom w:val="none" w:sz="0" w:space="0" w:color="auto"/>
        <w:right w:val="none" w:sz="0" w:space="0" w:color="auto"/>
      </w:divBdr>
    </w:div>
    <w:div w:id="1170219683">
      <w:bodyDiv w:val="1"/>
      <w:marLeft w:val="0"/>
      <w:marRight w:val="0"/>
      <w:marTop w:val="0"/>
      <w:marBottom w:val="0"/>
      <w:divBdr>
        <w:top w:val="none" w:sz="0" w:space="0" w:color="auto"/>
        <w:left w:val="none" w:sz="0" w:space="0" w:color="auto"/>
        <w:bottom w:val="none" w:sz="0" w:space="0" w:color="auto"/>
        <w:right w:val="none" w:sz="0" w:space="0" w:color="auto"/>
      </w:divBdr>
    </w:div>
    <w:div w:id="1283999921">
      <w:bodyDiv w:val="1"/>
      <w:marLeft w:val="0"/>
      <w:marRight w:val="0"/>
      <w:marTop w:val="0"/>
      <w:marBottom w:val="0"/>
      <w:divBdr>
        <w:top w:val="none" w:sz="0" w:space="0" w:color="auto"/>
        <w:left w:val="none" w:sz="0" w:space="0" w:color="auto"/>
        <w:bottom w:val="none" w:sz="0" w:space="0" w:color="auto"/>
        <w:right w:val="none" w:sz="0" w:space="0" w:color="auto"/>
      </w:divBdr>
    </w:div>
    <w:div w:id="1370298678">
      <w:bodyDiv w:val="1"/>
      <w:marLeft w:val="0"/>
      <w:marRight w:val="0"/>
      <w:marTop w:val="0"/>
      <w:marBottom w:val="0"/>
      <w:divBdr>
        <w:top w:val="none" w:sz="0" w:space="0" w:color="auto"/>
        <w:left w:val="none" w:sz="0" w:space="0" w:color="auto"/>
        <w:bottom w:val="none" w:sz="0" w:space="0" w:color="auto"/>
        <w:right w:val="none" w:sz="0" w:space="0" w:color="auto"/>
      </w:divBdr>
      <w:divsChild>
        <w:div w:id="1395009068">
          <w:marLeft w:val="0"/>
          <w:marRight w:val="0"/>
          <w:marTop w:val="0"/>
          <w:marBottom w:val="0"/>
          <w:divBdr>
            <w:top w:val="none" w:sz="0" w:space="0" w:color="auto"/>
            <w:left w:val="none" w:sz="0" w:space="0" w:color="auto"/>
            <w:bottom w:val="none" w:sz="0" w:space="0" w:color="auto"/>
            <w:right w:val="none" w:sz="0" w:space="0" w:color="auto"/>
          </w:divBdr>
        </w:div>
        <w:div w:id="1892879630">
          <w:marLeft w:val="0"/>
          <w:marRight w:val="0"/>
          <w:marTop w:val="0"/>
          <w:marBottom w:val="0"/>
          <w:divBdr>
            <w:top w:val="none" w:sz="0" w:space="0" w:color="auto"/>
            <w:left w:val="none" w:sz="0" w:space="0" w:color="auto"/>
            <w:bottom w:val="none" w:sz="0" w:space="0" w:color="auto"/>
            <w:right w:val="none" w:sz="0" w:space="0" w:color="auto"/>
          </w:divBdr>
        </w:div>
        <w:div w:id="1285884811">
          <w:marLeft w:val="0"/>
          <w:marRight w:val="0"/>
          <w:marTop w:val="0"/>
          <w:marBottom w:val="0"/>
          <w:divBdr>
            <w:top w:val="none" w:sz="0" w:space="0" w:color="auto"/>
            <w:left w:val="none" w:sz="0" w:space="0" w:color="auto"/>
            <w:bottom w:val="none" w:sz="0" w:space="0" w:color="auto"/>
            <w:right w:val="none" w:sz="0" w:space="0" w:color="auto"/>
          </w:divBdr>
        </w:div>
      </w:divsChild>
    </w:div>
    <w:div w:id="1456873195">
      <w:bodyDiv w:val="1"/>
      <w:marLeft w:val="0"/>
      <w:marRight w:val="0"/>
      <w:marTop w:val="0"/>
      <w:marBottom w:val="0"/>
      <w:divBdr>
        <w:top w:val="none" w:sz="0" w:space="0" w:color="auto"/>
        <w:left w:val="none" w:sz="0" w:space="0" w:color="auto"/>
        <w:bottom w:val="none" w:sz="0" w:space="0" w:color="auto"/>
        <w:right w:val="none" w:sz="0" w:space="0" w:color="auto"/>
      </w:divBdr>
    </w:div>
    <w:div w:id="1535996022">
      <w:bodyDiv w:val="1"/>
      <w:marLeft w:val="0"/>
      <w:marRight w:val="0"/>
      <w:marTop w:val="0"/>
      <w:marBottom w:val="0"/>
      <w:divBdr>
        <w:top w:val="none" w:sz="0" w:space="0" w:color="auto"/>
        <w:left w:val="none" w:sz="0" w:space="0" w:color="auto"/>
        <w:bottom w:val="none" w:sz="0" w:space="0" w:color="auto"/>
        <w:right w:val="none" w:sz="0" w:space="0" w:color="auto"/>
      </w:divBdr>
      <w:divsChild>
        <w:div w:id="201400682">
          <w:marLeft w:val="0"/>
          <w:marRight w:val="0"/>
          <w:marTop w:val="0"/>
          <w:marBottom w:val="0"/>
          <w:divBdr>
            <w:top w:val="none" w:sz="0" w:space="0" w:color="auto"/>
            <w:left w:val="none" w:sz="0" w:space="0" w:color="auto"/>
            <w:bottom w:val="none" w:sz="0" w:space="0" w:color="auto"/>
            <w:right w:val="none" w:sz="0" w:space="0" w:color="auto"/>
          </w:divBdr>
        </w:div>
        <w:div w:id="411200121">
          <w:marLeft w:val="0"/>
          <w:marRight w:val="0"/>
          <w:marTop w:val="0"/>
          <w:marBottom w:val="0"/>
          <w:divBdr>
            <w:top w:val="none" w:sz="0" w:space="0" w:color="auto"/>
            <w:left w:val="none" w:sz="0" w:space="0" w:color="auto"/>
            <w:bottom w:val="none" w:sz="0" w:space="0" w:color="auto"/>
            <w:right w:val="none" w:sz="0" w:space="0" w:color="auto"/>
          </w:divBdr>
        </w:div>
        <w:div w:id="426510143">
          <w:marLeft w:val="0"/>
          <w:marRight w:val="0"/>
          <w:marTop w:val="0"/>
          <w:marBottom w:val="0"/>
          <w:divBdr>
            <w:top w:val="none" w:sz="0" w:space="0" w:color="auto"/>
            <w:left w:val="none" w:sz="0" w:space="0" w:color="auto"/>
            <w:bottom w:val="none" w:sz="0" w:space="0" w:color="auto"/>
            <w:right w:val="none" w:sz="0" w:space="0" w:color="auto"/>
          </w:divBdr>
        </w:div>
        <w:div w:id="743643705">
          <w:marLeft w:val="0"/>
          <w:marRight w:val="0"/>
          <w:marTop w:val="0"/>
          <w:marBottom w:val="0"/>
          <w:divBdr>
            <w:top w:val="none" w:sz="0" w:space="0" w:color="auto"/>
            <w:left w:val="none" w:sz="0" w:space="0" w:color="auto"/>
            <w:bottom w:val="none" w:sz="0" w:space="0" w:color="auto"/>
            <w:right w:val="none" w:sz="0" w:space="0" w:color="auto"/>
          </w:divBdr>
        </w:div>
        <w:div w:id="1426342167">
          <w:marLeft w:val="0"/>
          <w:marRight w:val="0"/>
          <w:marTop w:val="0"/>
          <w:marBottom w:val="0"/>
          <w:divBdr>
            <w:top w:val="none" w:sz="0" w:space="0" w:color="auto"/>
            <w:left w:val="none" w:sz="0" w:space="0" w:color="auto"/>
            <w:bottom w:val="none" w:sz="0" w:space="0" w:color="auto"/>
            <w:right w:val="none" w:sz="0" w:space="0" w:color="auto"/>
          </w:divBdr>
        </w:div>
        <w:div w:id="1937595454">
          <w:marLeft w:val="0"/>
          <w:marRight w:val="0"/>
          <w:marTop w:val="0"/>
          <w:marBottom w:val="0"/>
          <w:divBdr>
            <w:top w:val="none" w:sz="0" w:space="0" w:color="auto"/>
            <w:left w:val="none" w:sz="0" w:space="0" w:color="auto"/>
            <w:bottom w:val="none" w:sz="0" w:space="0" w:color="auto"/>
            <w:right w:val="none" w:sz="0" w:space="0" w:color="auto"/>
          </w:divBdr>
        </w:div>
      </w:divsChild>
    </w:div>
    <w:div w:id="1563367555">
      <w:bodyDiv w:val="1"/>
      <w:marLeft w:val="0"/>
      <w:marRight w:val="0"/>
      <w:marTop w:val="0"/>
      <w:marBottom w:val="0"/>
      <w:divBdr>
        <w:top w:val="none" w:sz="0" w:space="0" w:color="auto"/>
        <w:left w:val="none" w:sz="0" w:space="0" w:color="auto"/>
        <w:bottom w:val="none" w:sz="0" w:space="0" w:color="auto"/>
        <w:right w:val="none" w:sz="0" w:space="0" w:color="auto"/>
      </w:divBdr>
      <w:divsChild>
        <w:div w:id="17395006">
          <w:marLeft w:val="0"/>
          <w:marRight w:val="0"/>
          <w:marTop w:val="0"/>
          <w:marBottom w:val="0"/>
          <w:divBdr>
            <w:top w:val="none" w:sz="0" w:space="0" w:color="auto"/>
            <w:left w:val="none" w:sz="0" w:space="0" w:color="auto"/>
            <w:bottom w:val="none" w:sz="0" w:space="0" w:color="auto"/>
            <w:right w:val="none" w:sz="0" w:space="0" w:color="auto"/>
          </w:divBdr>
        </w:div>
        <w:div w:id="37166044">
          <w:marLeft w:val="0"/>
          <w:marRight w:val="0"/>
          <w:marTop w:val="0"/>
          <w:marBottom w:val="0"/>
          <w:divBdr>
            <w:top w:val="none" w:sz="0" w:space="0" w:color="auto"/>
            <w:left w:val="none" w:sz="0" w:space="0" w:color="auto"/>
            <w:bottom w:val="none" w:sz="0" w:space="0" w:color="auto"/>
            <w:right w:val="none" w:sz="0" w:space="0" w:color="auto"/>
          </w:divBdr>
        </w:div>
        <w:div w:id="353043970">
          <w:marLeft w:val="0"/>
          <w:marRight w:val="0"/>
          <w:marTop w:val="0"/>
          <w:marBottom w:val="0"/>
          <w:divBdr>
            <w:top w:val="none" w:sz="0" w:space="0" w:color="auto"/>
            <w:left w:val="none" w:sz="0" w:space="0" w:color="auto"/>
            <w:bottom w:val="none" w:sz="0" w:space="0" w:color="auto"/>
            <w:right w:val="none" w:sz="0" w:space="0" w:color="auto"/>
          </w:divBdr>
        </w:div>
        <w:div w:id="774786887">
          <w:marLeft w:val="0"/>
          <w:marRight w:val="0"/>
          <w:marTop w:val="0"/>
          <w:marBottom w:val="0"/>
          <w:divBdr>
            <w:top w:val="none" w:sz="0" w:space="0" w:color="auto"/>
            <w:left w:val="none" w:sz="0" w:space="0" w:color="auto"/>
            <w:bottom w:val="none" w:sz="0" w:space="0" w:color="auto"/>
            <w:right w:val="none" w:sz="0" w:space="0" w:color="auto"/>
          </w:divBdr>
        </w:div>
      </w:divsChild>
    </w:div>
    <w:div w:id="1571378460">
      <w:bodyDiv w:val="1"/>
      <w:marLeft w:val="0"/>
      <w:marRight w:val="0"/>
      <w:marTop w:val="0"/>
      <w:marBottom w:val="0"/>
      <w:divBdr>
        <w:top w:val="none" w:sz="0" w:space="0" w:color="auto"/>
        <w:left w:val="none" w:sz="0" w:space="0" w:color="auto"/>
        <w:bottom w:val="none" w:sz="0" w:space="0" w:color="auto"/>
        <w:right w:val="none" w:sz="0" w:space="0" w:color="auto"/>
      </w:divBdr>
      <w:divsChild>
        <w:div w:id="1045914198">
          <w:marLeft w:val="0"/>
          <w:marRight w:val="0"/>
          <w:marTop w:val="0"/>
          <w:marBottom w:val="0"/>
          <w:divBdr>
            <w:top w:val="none" w:sz="0" w:space="0" w:color="auto"/>
            <w:left w:val="none" w:sz="0" w:space="0" w:color="auto"/>
            <w:bottom w:val="none" w:sz="0" w:space="0" w:color="auto"/>
            <w:right w:val="none" w:sz="0" w:space="0" w:color="auto"/>
          </w:divBdr>
        </w:div>
        <w:div w:id="313413969">
          <w:marLeft w:val="0"/>
          <w:marRight w:val="0"/>
          <w:marTop w:val="0"/>
          <w:marBottom w:val="0"/>
          <w:divBdr>
            <w:top w:val="none" w:sz="0" w:space="0" w:color="auto"/>
            <w:left w:val="none" w:sz="0" w:space="0" w:color="auto"/>
            <w:bottom w:val="none" w:sz="0" w:space="0" w:color="auto"/>
            <w:right w:val="none" w:sz="0" w:space="0" w:color="auto"/>
          </w:divBdr>
        </w:div>
        <w:div w:id="723528415">
          <w:marLeft w:val="0"/>
          <w:marRight w:val="0"/>
          <w:marTop w:val="0"/>
          <w:marBottom w:val="0"/>
          <w:divBdr>
            <w:top w:val="none" w:sz="0" w:space="0" w:color="auto"/>
            <w:left w:val="none" w:sz="0" w:space="0" w:color="auto"/>
            <w:bottom w:val="none" w:sz="0" w:space="0" w:color="auto"/>
            <w:right w:val="none" w:sz="0" w:space="0" w:color="auto"/>
          </w:divBdr>
        </w:div>
        <w:div w:id="1388527025">
          <w:marLeft w:val="0"/>
          <w:marRight w:val="0"/>
          <w:marTop w:val="0"/>
          <w:marBottom w:val="0"/>
          <w:divBdr>
            <w:top w:val="none" w:sz="0" w:space="0" w:color="auto"/>
            <w:left w:val="none" w:sz="0" w:space="0" w:color="auto"/>
            <w:bottom w:val="none" w:sz="0" w:space="0" w:color="auto"/>
            <w:right w:val="none" w:sz="0" w:space="0" w:color="auto"/>
          </w:divBdr>
        </w:div>
        <w:div w:id="1524705265">
          <w:marLeft w:val="0"/>
          <w:marRight w:val="0"/>
          <w:marTop w:val="0"/>
          <w:marBottom w:val="0"/>
          <w:divBdr>
            <w:top w:val="none" w:sz="0" w:space="0" w:color="auto"/>
            <w:left w:val="none" w:sz="0" w:space="0" w:color="auto"/>
            <w:bottom w:val="none" w:sz="0" w:space="0" w:color="auto"/>
            <w:right w:val="none" w:sz="0" w:space="0" w:color="auto"/>
          </w:divBdr>
        </w:div>
      </w:divsChild>
    </w:div>
    <w:div w:id="1628391354">
      <w:bodyDiv w:val="1"/>
      <w:marLeft w:val="0"/>
      <w:marRight w:val="0"/>
      <w:marTop w:val="0"/>
      <w:marBottom w:val="0"/>
      <w:divBdr>
        <w:top w:val="none" w:sz="0" w:space="0" w:color="auto"/>
        <w:left w:val="none" w:sz="0" w:space="0" w:color="auto"/>
        <w:bottom w:val="none" w:sz="0" w:space="0" w:color="auto"/>
        <w:right w:val="none" w:sz="0" w:space="0" w:color="auto"/>
      </w:divBdr>
    </w:div>
    <w:div w:id="1673214506">
      <w:bodyDiv w:val="1"/>
      <w:marLeft w:val="0"/>
      <w:marRight w:val="0"/>
      <w:marTop w:val="0"/>
      <w:marBottom w:val="0"/>
      <w:divBdr>
        <w:top w:val="none" w:sz="0" w:space="0" w:color="auto"/>
        <w:left w:val="none" w:sz="0" w:space="0" w:color="auto"/>
        <w:bottom w:val="none" w:sz="0" w:space="0" w:color="auto"/>
        <w:right w:val="none" w:sz="0" w:space="0" w:color="auto"/>
      </w:divBdr>
      <w:divsChild>
        <w:div w:id="628127214">
          <w:marLeft w:val="0"/>
          <w:marRight w:val="0"/>
          <w:marTop w:val="0"/>
          <w:marBottom w:val="0"/>
          <w:divBdr>
            <w:top w:val="none" w:sz="0" w:space="0" w:color="auto"/>
            <w:left w:val="none" w:sz="0" w:space="0" w:color="auto"/>
            <w:bottom w:val="none" w:sz="0" w:space="0" w:color="auto"/>
            <w:right w:val="none" w:sz="0" w:space="0" w:color="auto"/>
          </w:divBdr>
        </w:div>
        <w:div w:id="1920869326">
          <w:marLeft w:val="0"/>
          <w:marRight w:val="0"/>
          <w:marTop w:val="0"/>
          <w:marBottom w:val="0"/>
          <w:divBdr>
            <w:top w:val="none" w:sz="0" w:space="0" w:color="auto"/>
            <w:left w:val="none" w:sz="0" w:space="0" w:color="auto"/>
            <w:bottom w:val="none" w:sz="0" w:space="0" w:color="auto"/>
            <w:right w:val="none" w:sz="0" w:space="0" w:color="auto"/>
          </w:divBdr>
        </w:div>
      </w:divsChild>
    </w:div>
    <w:div w:id="1712612368">
      <w:bodyDiv w:val="1"/>
      <w:marLeft w:val="0"/>
      <w:marRight w:val="0"/>
      <w:marTop w:val="0"/>
      <w:marBottom w:val="0"/>
      <w:divBdr>
        <w:top w:val="none" w:sz="0" w:space="0" w:color="auto"/>
        <w:left w:val="none" w:sz="0" w:space="0" w:color="auto"/>
        <w:bottom w:val="none" w:sz="0" w:space="0" w:color="auto"/>
        <w:right w:val="none" w:sz="0" w:space="0" w:color="auto"/>
      </w:divBdr>
      <w:divsChild>
        <w:div w:id="1131558901">
          <w:marLeft w:val="0"/>
          <w:marRight w:val="0"/>
          <w:marTop w:val="0"/>
          <w:marBottom w:val="0"/>
          <w:divBdr>
            <w:top w:val="none" w:sz="0" w:space="0" w:color="auto"/>
            <w:left w:val="none" w:sz="0" w:space="0" w:color="auto"/>
            <w:bottom w:val="none" w:sz="0" w:space="0" w:color="auto"/>
            <w:right w:val="none" w:sz="0" w:space="0" w:color="auto"/>
          </w:divBdr>
        </w:div>
        <w:div w:id="1332415409">
          <w:marLeft w:val="0"/>
          <w:marRight w:val="0"/>
          <w:marTop w:val="0"/>
          <w:marBottom w:val="0"/>
          <w:divBdr>
            <w:top w:val="none" w:sz="0" w:space="0" w:color="auto"/>
            <w:left w:val="none" w:sz="0" w:space="0" w:color="auto"/>
            <w:bottom w:val="none" w:sz="0" w:space="0" w:color="auto"/>
            <w:right w:val="none" w:sz="0" w:space="0" w:color="auto"/>
          </w:divBdr>
        </w:div>
        <w:div w:id="228459948">
          <w:marLeft w:val="0"/>
          <w:marRight w:val="0"/>
          <w:marTop w:val="0"/>
          <w:marBottom w:val="0"/>
          <w:divBdr>
            <w:top w:val="none" w:sz="0" w:space="0" w:color="auto"/>
            <w:left w:val="none" w:sz="0" w:space="0" w:color="auto"/>
            <w:bottom w:val="none" w:sz="0" w:space="0" w:color="auto"/>
            <w:right w:val="none" w:sz="0" w:space="0" w:color="auto"/>
          </w:divBdr>
        </w:div>
        <w:div w:id="555968712">
          <w:marLeft w:val="0"/>
          <w:marRight w:val="0"/>
          <w:marTop w:val="0"/>
          <w:marBottom w:val="0"/>
          <w:divBdr>
            <w:top w:val="none" w:sz="0" w:space="0" w:color="auto"/>
            <w:left w:val="none" w:sz="0" w:space="0" w:color="auto"/>
            <w:bottom w:val="none" w:sz="0" w:space="0" w:color="auto"/>
            <w:right w:val="none" w:sz="0" w:space="0" w:color="auto"/>
          </w:divBdr>
        </w:div>
        <w:div w:id="1786579367">
          <w:marLeft w:val="0"/>
          <w:marRight w:val="0"/>
          <w:marTop w:val="0"/>
          <w:marBottom w:val="0"/>
          <w:divBdr>
            <w:top w:val="none" w:sz="0" w:space="0" w:color="auto"/>
            <w:left w:val="none" w:sz="0" w:space="0" w:color="auto"/>
            <w:bottom w:val="none" w:sz="0" w:space="0" w:color="auto"/>
            <w:right w:val="none" w:sz="0" w:space="0" w:color="auto"/>
          </w:divBdr>
        </w:div>
      </w:divsChild>
    </w:div>
    <w:div w:id="1800952949">
      <w:bodyDiv w:val="1"/>
      <w:marLeft w:val="0"/>
      <w:marRight w:val="0"/>
      <w:marTop w:val="0"/>
      <w:marBottom w:val="0"/>
      <w:divBdr>
        <w:top w:val="none" w:sz="0" w:space="0" w:color="auto"/>
        <w:left w:val="none" w:sz="0" w:space="0" w:color="auto"/>
        <w:bottom w:val="none" w:sz="0" w:space="0" w:color="auto"/>
        <w:right w:val="none" w:sz="0" w:space="0" w:color="auto"/>
      </w:divBdr>
      <w:divsChild>
        <w:div w:id="570508023">
          <w:marLeft w:val="0"/>
          <w:marRight w:val="0"/>
          <w:marTop w:val="0"/>
          <w:marBottom w:val="0"/>
          <w:divBdr>
            <w:top w:val="none" w:sz="0" w:space="0" w:color="auto"/>
            <w:left w:val="none" w:sz="0" w:space="0" w:color="auto"/>
            <w:bottom w:val="none" w:sz="0" w:space="0" w:color="auto"/>
            <w:right w:val="none" w:sz="0" w:space="0" w:color="auto"/>
          </w:divBdr>
        </w:div>
        <w:div w:id="570426621">
          <w:marLeft w:val="0"/>
          <w:marRight w:val="0"/>
          <w:marTop w:val="0"/>
          <w:marBottom w:val="0"/>
          <w:divBdr>
            <w:top w:val="none" w:sz="0" w:space="0" w:color="auto"/>
            <w:left w:val="none" w:sz="0" w:space="0" w:color="auto"/>
            <w:bottom w:val="none" w:sz="0" w:space="0" w:color="auto"/>
            <w:right w:val="none" w:sz="0" w:space="0" w:color="auto"/>
          </w:divBdr>
        </w:div>
        <w:div w:id="1938974300">
          <w:marLeft w:val="0"/>
          <w:marRight w:val="0"/>
          <w:marTop w:val="0"/>
          <w:marBottom w:val="0"/>
          <w:divBdr>
            <w:top w:val="none" w:sz="0" w:space="0" w:color="auto"/>
            <w:left w:val="none" w:sz="0" w:space="0" w:color="auto"/>
            <w:bottom w:val="none" w:sz="0" w:space="0" w:color="auto"/>
            <w:right w:val="none" w:sz="0" w:space="0" w:color="auto"/>
          </w:divBdr>
        </w:div>
        <w:div w:id="2016760584">
          <w:marLeft w:val="0"/>
          <w:marRight w:val="0"/>
          <w:marTop w:val="0"/>
          <w:marBottom w:val="0"/>
          <w:divBdr>
            <w:top w:val="none" w:sz="0" w:space="0" w:color="auto"/>
            <w:left w:val="none" w:sz="0" w:space="0" w:color="auto"/>
            <w:bottom w:val="none" w:sz="0" w:space="0" w:color="auto"/>
            <w:right w:val="none" w:sz="0" w:space="0" w:color="auto"/>
          </w:divBdr>
        </w:div>
      </w:divsChild>
    </w:div>
    <w:div w:id="1819608548">
      <w:bodyDiv w:val="1"/>
      <w:marLeft w:val="0"/>
      <w:marRight w:val="0"/>
      <w:marTop w:val="0"/>
      <w:marBottom w:val="0"/>
      <w:divBdr>
        <w:top w:val="none" w:sz="0" w:space="0" w:color="auto"/>
        <w:left w:val="none" w:sz="0" w:space="0" w:color="auto"/>
        <w:bottom w:val="none" w:sz="0" w:space="0" w:color="auto"/>
        <w:right w:val="none" w:sz="0" w:space="0" w:color="auto"/>
      </w:divBdr>
    </w:div>
    <w:div w:id="1897934155">
      <w:bodyDiv w:val="1"/>
      <w:marLeft w:val="0"/>
      <w:marRight w:val="0"/>
      <w:marTop w:val="0"/>
      <w:marBottom w:val="0"/>
      <w:divBdr>
        <w:top w:val="none" w:sz="0" w:space="0" w:color="auto"/>
        <w:left w:val="none" w:sz="0" w:space="0" w:color="auto"/>
        <w:bottom w:val="none" w:sz="0" w:space="0" w:color="auto"/>
        <w:right w:val="none" w:sz="0" w:space="0" w:color="auto"/>
      </w:divBdr>
      <w:divsChild>
        <w:div w:id="490683251">
          <w:marLeft w:val="0"/>
          <w:marRight w:val="0"/>
          <w:marTop w:val="0"/>
          <w:marBottom w:val="0"/>
          <w:divBdr>
            <w:top w:val="none" w:sz="0" w:space="0" w:color="auto"/>
            <w:left w:val="none" w:sz="0" w:space="0" w:color="auto"/>
            <w:bottom w:val="none" w:sz="0" w:space="0" w:color="auto"/>
            <w:right w:val="none" w:sz="0" w:space="0" w:color="auto"/>
          </w:divBdr>
        </w:div>
        <w:div w:id="1148473675">
          <w:marLeft w:val="0"/>
          <w:marRight w:val="0"/>
          <w:marTop w:val="0"/>
          <w:marBottom w:val="0"/>
          <w:divBdr>
            <w:top w:val="none" w:sz="0" w:space="0" w:color="auto"/>
            <w:left w:val="none" w:sz="0" w:space="0" w:color="auto"/>
            <w:bottom w:val="none" w:sz="0" w:space="0" w:color="auto"/>
            <w:right w:val="none" w:sz="0" w:space="0" w:color="auto"/>
          </w:divBdr>
        </w:div>
        <w:div w:id="1223054918">
          <w:marLeft w:val="0"/>
          <w:marRight w:val="0"/>
          <w:marTop w:val="0"/>
          <w:marBottom w:val="0"/>
          <w:divBdr>
            <w:top w:val="none" w:sz="0" w:space="0" w:color="auto"/>
            <w:left w:val="none" w:sz="0" w:space="0" w:color="auto"/>
            <w:bottom w:val="none" w:sz="0" w:space="0" w:color="auto"/>
            <w:right w:val="none" w:sz="0" w:space="0" w:color="auto"/>
          </w:divBdr>
        </w:div>
        <w:div w:id="1531531548">
          <w:marLeft w:val="0"/>
          <w:marRight w:val="0"/>
          <w:marTop w:val="0"/>
          <w:marBottom w:val="0"/>
          <w:divBdr>
            <w:top w:val="none" w:sz="0" w:space="0" w:color="auto"/>
            <w:left w:val="none" w:sz="0" w:space="0" w:color="auto"/>
            <w:bottom w:val="none" w:sz="0" w:space="0" w:color="auto"/>
            <w:right w:val="none" w:sz="0" w:space="0" w:color="auto"/>
          </w:divBdr>
        </w:div>
        <w:div w:id="1015307166">
          <w:marLeft w:val="0"/>
          <w:marRight w:val="0"/>
          <w:marTop w:val="0"/>
          <w:marBottom w:val="0"/>
          <w:divBdr>
            <w:top w:val="none" w:sz="0" w:space="0" w:color="auto"/>
            <w:left w:val="none" w:sz="0" w:space="0" w:color="auto"/>
            <w:bottom w:val="none" w:sz="0" w:space="0" w:color="auto"/>
            <w:right w:val="none" w:sz="0" w:space="0" w:color="auto"/>
          </w:divBdr>
        </w:div>
        <w:div w:id="1513035600">
          <w:marLeft w:val="0"/>
          <w:marRight w:val="0"/>
          <w:marTop w:val="0"/>
          <w:marBottom w:val="0"/>
          <w:divBdr>
            <w:top w:val="none" w:sz="0" w:space="0" w:color="auto"/>
            <w:left w:val="none" w:sz="0" w:space="0" w:color="auto"/>
            <w:bottom w:val="none" w:sz="0" w:space="0" w:color="auto"/>
            <w:right w:val="none" w:sz="0" w:space="0" w:color="auto"/>
          </w:divBdr>
        </w:div>
      </w:divsChild>
    </w:div>
    <w:div w:id="1942568353">
      <w:bodyDiv w:val="1"/>
      <w:marLeft w:val="0"/>
      <w:marRight w:val="0"/>
      <w:marTop w:val="0"/>
      <w:marBottom w:val="0"/>
      <w:divBdr>
        <w:top w:val="none" w:sz="0" w:space="0" w:color="auto"/>
        <w:left w:val="none" w:sz="0" w:space="0" w:color="auto"/>
        <w:bottom w:val="none" w:sz="0" w:space="0" w:color="auto"/>
        <w:right w:val="none" w:sz="0" w:space="0" w:color="auto"/>
      </w:divBdr>
    </w:div>
    <w:div w:id="1942759169">
      <w:bodyDiv w:val="1"/>
      <w:marLeft w:val="0"/>
      <w:marRight w:val="0"/>
      <w:marTop w:val="0"/>
      <w:marBottom w:val="0"/>
      <w:divBdr>
        <w:top w:val="none" w:sz="0" w:space="0" w:color="auto"/>
        <w:left w:val="none" w:sz="0" w:space="0" w:color="auto"/>
        <w:bottom w:val="none" w:sz="0" w:space="0" w:color="auto"/>
        <w:right w:val="none" w:sz="0" w:space="0" w:color="auto"/>
      </w:divBdr>
      <w:divsChild>
        <w:div w:id="2054572599">
          <w:marLeft w:val="0"/>
          <w:marRight w:val="0"/>
          <w:marTop w:val="0"/>
          <w:marBottom w:val="0"/>
          <w:divBdr>
            <w:top w:val="none" w:sz="0" w:space="0" w:color="auto"/>
            <w:left w:val="none" w:sz="0" w:space="0" w:color="auto"/>
            <w:bottom w:val="none" w:sz="0" w:space="0" w:color="auto"/>
            <w:right w:val="none" w:sz="0" w:space="0" w:color="auto"/>
          </w:divBdr>
        </w:div>
        <w:div w:id="865295449">
          <w:marLeft w:val="0"/>
          <w:marRight w:val="0"/>
          <w:marTop w:val="0"/>
          <w:marBottom w:val="0"/>
          <w:divBdr>
            <w:top w:val="none" w:sz="0" w:space="0" w:color="auto"/>
            <w:left w:val="none" w:sz="0" w:space="0" w:color="auto"/>
            <w:bottom w:val="none" w:sz="0" w:space="0" w:color="auto"/>
            <w:right w:val="none" w:sz="0" w:space="0" w:color="auto"/>
          </w:divBdr>
        </w:div>
        <w:div w:id="1726365679">
          <w:marLeft w:val="0"/>
          <w:marRight w:val="0"/>
          <w:marTop w:val="0"/>
          <w:marBottom w:val="0"/>
          <w:divBdr>
            <w:top w:val="none" w:sz="0" w:space="0" w:color="auto"/>
            <w:left w:val="none" w:sz="0" w:space="0" w:color="auto"/>
            <w:bottom w:val="none" w:sz="0" w:space="0" w:color="auto"/>
            <w:right w:val="none" w:sz="0" w:space="0" w:color="auto"/>
          </w:divBdr>
        </w:div>
        <w:div w:id="1599210805">
          <w:marLeft w:val="0"/>
          <w:marRight w:val="0"/>
          <w:marTop w:val="0"/>
          <w:marBottom w:val="0"/>
          <w:divBdr>
            <w:top w:val="none" w:sz="0" w:space="0" w:color="auto"/>
            <w:left w:val="none" w:sz="0" w:space="0" w:color="auto"/>
            <w:bottom w:val="none" w:sz="0" w:space="0" w:color="auto"/>
            <w:right w:val="none" w:sz="0" w:space="0" w:color="auto"/>
          </w:divBdr>
        </w:div>
        <w:div w:id="1147936234">
          <w:marLeft w:val="0"/>
          <w:marRight w:val="0"/>
          <w:marTop w:val="0"/>
          <w:marBottom w:val="0"/>
          <w:divBdr>
            <w:top w:val="none" w:sz="0" w:space="0" w:color="auto"/>
            <w:left w:val="none" w:sz="0" w:space="0" w:color="auto"/>
            <w:bottom w:val="none" w:sz="0" w:space="0" w:color="auto"/>
            <w:right w:val="none" w:sz="0" w:space="0" w:color="auto"/>
          </w:divBdr>
        </w:div>
        <w:div w:id="909464233">
          <w:marLeft w:val="0"/>
          <w:marRight w:val="0"/>
          <w:marTop w:val="0"/>
          <w:marBottom w:val="0"/>
          <w:divBdr>
            <w:top w:val="none" w:sz="0" w:space="0" w:color="auto"/>
            <w:left w:val="none" w:sz="0" w:space="0" w:color="auto"/>
            <w:bottom w:val="none" w:sz="0" w:space="0" w:color="auto"/>
            <w:right w:val="none" w:sz="0" w:space="0" w:color="auto"/>
          </w:divBdr>
        </w:div>
        <w:div w:id="1175151498">
          <w:marLeft w:val="0"/>
          <w:marRight w:val="0"/>
          <w:marTop w:val="0"/>
          <w:marBottom w:val="0"/>
          <w:divBdr>
            <w:top w:val="none" w:sz="0" w:space="0" w:color="auto"/>
            <w:left w:val="none" w:sz="0" w:space="0" w:color="auto"/>
            <w:bottom w:val="none" w:sz="0" w:space="0" w:color="auto"/>
            <w:right w:val="none" w:sz="0" w:space="0" w:color="auto"/>
          </w:divBdr>
        </w:div>
        <w:div w:id="955454101">
          <w:marLeft w:val="0"/>
          <w:marRight w:val="0"/>
          <w:marTop w:val="0"/>
          <w:marBottom w:val="0"/>
          <w:divBdr>
            <w:top w:val="none" w:sz="0" w:space="0" w:color="auto"/>
            <w:left w:val="none" w:sz="0" w:space="0" w:color="auto"/>
            <w:bottom w:val="none" w:sz="0" w:space="0" w:color="auto"/>
            <w:right w:val="none" w:sz="0" w:space="0" w:color="auto"/>
          </w:divBdr>
        </w:div>
        <w:div w:id="1556969944">
          <w:marLeft w:val="0"/>
          <w:marRight w:val="0"/>
          <w:marTop w:val="0"/>
          <w:marBottom w:val="0"/>
          <w:divBdr>
            <w:top w:val="none" w:sz="0" w:space="0" w:color="auto"/>
            <w:left w:val="none" w:sz="0" w:space="0" w:color="auto"/>
            <w:bottom w:val="none" w:sz="0" w:space="0" w:color="auto"/>
            <w:right w:val="none" w:sz="0" w:space="0" w:color="auto"/>
          </w:divBdr>
        </w:div>
        <w:div w:id="89588512">
          <w:marLeft w:val="0"/>
          <w:marRight w:val="0"/>
          <w:marTop w:val="0"/>
          <w:marBottom w:val="0"/>
          <w:divBdr>
            <w:top w:val="none" w:sz="0" w:space="0" w:color="auto"/>
            <w:left w:val="none" w:sz="0" w:space="0" w:color="auto"/>
            <w:bottom w:val="none" w:sz="0" w:space="0" w:color="auto"/>
            <w:right w:val="none" w:sz="0" w:space="0" w:color="auto"/>
          </w:divBdr>
        </w:div>
      </w:divsChild>
    </w:div>
    <w:div w:id="1947424602">
      <w:bodyDiv w:val="1"/>
      <w:marLeft w:val="0"/>
      <w:marRight w:val="0"/>
      <w:marTop w:val="0"/>
      <w:marBottom w:val="0"/>
      <w:divBdr>
        <w:top w:val="none" w:sz="0" w:space="0" w:color="auto"/>
        <w:left w:val="none" w:sz="0" w:space="0" w:color="auto"/>
        <w:bottom w:val="none" w:sz="0" w:space="0" w:color="auto"/>
        <w:right w:val="none" w:sz="0" w:space="0" w:color="auto"/>
      </w:divBdr>
    </w:div>
    <w:div w:id="2031684842">
      <w:bodyDiv w:val="1"/>
      <w:marLeft w:val="0"/>
      <w:marRight w:val="0"/>
      <w:marTop w:val="0"/>
      <w:marBottom w:val="0"/>
      <w:divBdr>
        <w:top w:val="none" w:sz="0" w:space="0" w:color="auto"/>
        <w:left w:val="none" w:sz="0" w:space="0" w:color="auto"/>
        <w:bottom w:val="none" w:sz="0" w:space="0" w:color="auto"/>
        <w:right w:val="none" w:sz="0" w:space="0" w:color="auto"/>
      </w:divBdr>
      <w:divsChild>
        <w:div w:id="1976983281">
          <w:marLeft w:val="0"/>
          <w:marRight w:val="0"/>
          <w:marTop w:val="0"/>
          <w:marBottom w:val="0"/>
          <w:divBdr>
            <w:top w:val="none" w:sz="0" w:space="0" w:color="auto"/>
            <w:left w:val="none" w:sz="0" w:space="0" w:color="auto"/>
            <w:bottom w:val="none" w:sz="0" w:space="0" w:color="auto"/>
            <w:right w:val="none" w:sz="0" w:space="0" w:color="auto"/>
          </w:divBdr>
        </w:div>
        <w:div w:id="1476751865">
          <w:marLeft w:val="0"/>
          <w:marRight w:val="0"/>
          <w:marTop w:val="0"/>
          <w:marBottom w:val="0"/>
          <w:divBdr>
            <w:top w:val="none" w:sz="0" w:space="0" w:color="auto"/>
            <w:left w:val="none" w:sz="0" w:space="0" w:color="auto"/>
            <w:bottom w:val="none" w:sz="0" w:space="0" w:color="auto"/>
            <w:right w:val="none" w:sz="0" w:space="0" w:color="auto"/>
          </w:divBdr>
        </w:div>
      </w:divsChild>
    </w:div>
    <w:div w:id="2105414552">
      <w:bodyDiv w:val="1"/>
      <w:marLeft w:val="0"/>
      <w:marRight w:val="0"/>
      <w:marTop w:val="0"/>
      <w:marBottom w:val="0"/>
      <w:divBdr>
        <w:top w:val="none" w:sz="0" w:space="0" w:color="auto"/>
        <w:left w:val="none" w:sz="0" w:space="0" w:color="auto"/>
        <w:bottom w:val="none" w:sz="0" w:space="0" w:color="auto"/>
        <w:right w:val="none" w:sz="0" w:space="0" w:color="auto"/>
      </w:divBdr>
      <w:divsChild>
        <w:div w:id="1361008073">
          <w:marLeft w:val="0"/>
          <w:marRight w:val="0"/>
          <w:marTop w:val="0"/>
          <w:marBottom w:val="0"/>
          <w:divBdr>
            <w:top w:val="none" w:sz="0" w:space="0" w:color="auto"/>
            <w:left w:val="none" w:sz="0" w:space="0" w:color="auto"/>
            <w:bottom w:val="none" w:sz="0" w:space="0" w:color="auto"/>
            <w:right w:val="none" w:sz="0" w:space="0" w:color="auto"/>
          </w:divBdr>
        </w:div>
        <w:div w:id="769198930">
          <w:marLeft w:val="0"/>
          <w:marRight w:val="0"/>
          <w:marTop w:val="0"/>
          <w:marBottom w:val="0"/>
          <w:divBdr>
            <w:top w:val="none" w:sz="0" w:space="0" w:color="auto"/>
            <w:left w:val="none" w:sz="0" w:space="0" w:color="auto"/>
            <w:bottom w:val="none" w:sz="0" w:space="0" w:color="auto"/>
            <w:right w:val="none" w:sz="0" w:space="0" w:color="auto"/>
          </w:divBdr>
        </w:div>
        <w:div w:id="1223827184">
          <w:marLeft w:val="0"/>
          <w:marRight w:val="0"/>
          <w:marTop w:val="0"/>
          <w:marBottom w:val="0"/>
          <w:divBdr>
            <w:top w:val="none" w:sz="0" w:space="0" w:color="auto"/>
            <w:left w:val="none" w:sz="0" w:space="0" w:color="auto"/>
            <w:bottom w:val="none" w:sz="0" w:space="0" w:color="auto"/>
            <w:right w:val="none" w:sz="0" w:space="0" w:color="auto"/>
          </w:divBdr>
        </w:div>
      </w:divsChild>
    </w:div>
    <w:div w:id="2106921300">
      <w:bodyDiv w:val="1"/>
      <w:marLeft w:val="0"/>
      <w:marRight w:val="0"/>
      <w:marTop w:val="0"/>
      <w:marBottom w:val="0"/>
      <w:divBdr>
        <w:top w:val="none" w:sz="0" w:space="0" w:color="auto"/>
        <w:left w:val="none" w:sz="0" w:space="0" w:color="auto"/>
        <w:bottom w:val="none" w:sz="0" w:space="0" w:color="auto"/>
        <w:right w:val="none" w:sz="0" w:space="0" w:color="auto"/>
      </w:divBdr>
    </w:div>
    <w:div w:id="2133398631">
      <w:bodyDiv w:val="1"/>
      <w:marLeft w:val="0"/>
      <w:marRight w:val="0"/>
      <w:marTop w:val="0"/>
      <w:marBottom w:val="0"/>
      <w:divBdr>
        <w:top w:val="none" w:sz="0" w:space="0" w:color="auto"/>
        <w:left w:val="none" w:sz="0" w:space="0" w:color="auto"/>
        <w:bottom w:val="none" w:sz="0" w:space="0" w:color="auto"/>
        <w:right w:val="none" w:sz="0" w:space="0" w:color="auto"/>
      </w:divBdr>
      <w:divsChild>
        <w:div w:id="226572697">
          <w:marLeft w:val="0"/>
          <w:marRight w:val="0"/>
          <w:marTop w:val="0"/>
          <w:marBottom w:val="0"/>
          <w:divBdr>
            <w:top w:val="none" w:sz="0" w:space="0" w:color="auto"/>
            <w:left w:val="none" w:sz="0" w:space="0" w:color="auto"/>
            <w:bottom w:val="none" w:sz="0" w:space="0" w:color="auto"/>
            <w:right w:val="none" w:sz="0" w:space="0" w:color="auto"/>
          </w:divBdr>
        </w:div>
        <w:div w:id="368452899">
          <w:marLeft w:val="0"/>
          <w:marRight w:val="0"/>
          <w:marTop w:val="0"/>
          <w:marBottom w:val="0"/>
          <w:divBdr>
            <w:top w:val="none" w:sz="0" w:space="0" w:color="auto"/>
            <w:left w:val="none" w:sz="0" w:space="0" w:color="auto"/>
            <w:bottom w:val="none" w:sz="0" w:space="0" w:color="auto"/>
            <w:right w:val="none" w:sz="0" w:space="0" w:color="auto"/>
          </w:divBdr>
        </w:div>
        <w:div w:id="588347674">
          <w:marLeft w:val="0"/>
          <w:marRight w:val="0"/>
          <w:marTop w:val="0"/>
          <w:marBottom w:val="0"/>
          <w:divBdr>
            <w:top w:val="none" w:sz="0" w:space="0" w:color="auto"/>
            <w:left w:val="none" w:sz="0" w:space="0" w:color="auto"/>
            <w:bottom w:val="none" w:sz="0" w:space="0" w:color="auto"/>
            <w:right w:val="none" w:sz="0" w:space="0" w:color="auto"/>
          </w:divBdr>
        </w:div>
        <w:div w:id="1207792457">
          <w:marLeft w:val="0"/>
          <w:marRight w:val="0"/>
          <w:marTop w:val="0"/>
          <w:marBottom w:val="0"/>
          <w:divBdr>
            <w:top w:val="none" w:sz="0" w:space="0" w:color="auto"/>
            <w:left w:val="none" w:sz="0" w:space="0" w:color="auto"/>
            <w:bottom w:val="none" w:sz="0" w:space="0" w:color="auto"/>
            <w:right w:val="none" w:sz="0" w:space="0" w:color="auto"/>
          </w:divBdr>
        </w:div>
        <w:div w:id="1223639081">
          <w:marLeft w:val="0"/>
          <w:marRight w:val="0"/>
          <w:marTop w:val="0"/>
          <w:marBottom w:val="0"/>
          <w:divBdr>
            <w:top w:val="none" w:sz="0" w:space="0" w:color="auto"/>
            <w:left w:val="none" w:sz="0" w:space="0" w:color="auto"/>
            <w:bottom w:val="none" w:sz="0" w:space="0" w:color="auto"/>
            <w:right w:val="none" w:sz="0" w:space="0" w:color="auto"/>
          </w:divBdr>
        </w:div>
        <w:div w:id="1313755160">
          <w:marLeft w:val="0"/>
          <w:marRight w:val="0"/>
          <w:marTop w:val="0"/>
          <w:marBottom w:val="0"/>
          <w:divBdr>
            <w:top w:val="none" w:sz="0" w:space="0" w:color="auto"/>
            <w:left w:val="none" w:sz="0" w:space="0" w:color="auto"/>
            <w:bottom w:val="none" w:sz="0" w:space="0" w:color="auto"/>
            <w:right w:val="none" w:sz="0" w:space="0" w:color="auto"/>
          </w:divBdr>
        </w:div>
        <w:div w:id="1729500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iv.hanoch@gmail.com" TargetMode="External"/><Relationship Id="rId13" Type="http://schemas.openxmlformats.org/officeDocument/2006/relationships/hyperlink" Target="http://dx.doi.org/10.1002/bdm.1953"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dc.gov/nchs/data/hus/hus14.pdf"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cdc.gov/nchs/data/hus/hus13.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002/bdm.1784" TargetMode="External"/><Relationship Id="rId5" Type="http://schemas.openxmlformats.org/officeDocument/2006/relationships/webSettings" Target="webSettings.xml"/><Relationship Id="rId15" Type="http://schemas.openxmlformats.org/officeDocument/2006/relationships/hyperlink" Target="http://dx.doi.org/10.1037/0033-2909.125.3.367" TargetMode="External"/><Relationship Id="rId10" Type="http://schemas.openxmlformats.org/officeDocument/2006/relationships/hyperlink" Target="http://doi.org/10.1016/j.paid.2010.11.03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1037/pspp0000090" TargetMode="External"/><Relationship Id="rId14" Type="http://schemas.openxmlformats.org/officeDocument/2006/relationships/hyperlink" Target="http://psycnet.apa.org/doi/10.1037/a003449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9BACD-E8B0-4CB6-9515-083E24A4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7809</Words>
  <Characters>44514</Characters>
  <Application>Microsoft Office Word</Application>
  <DocSecurity>4</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52219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Rolison</dc:creator>
  <cp:lastModifiedBy>Edwards L.</cp:lastModifiedBy>
  <cp:revision>2</cp:revision>
  <cp:lastPrinted>2016-06-28T13:42:00Z</cp:lastPrinted>
  <dcterms:created xsi:type="dcterms:W3CDTF">2019-09-09T12:03:00Z</dcterms:created>
  <dcterms:modified xsi:type="dcterms:W3CDTF">2019-09-09T12:03:00Z</dcterms:modified>
</cp:coreProperties>
</file>