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4F01D" w14:textId="77777777" w:rsidR="006675DE" w:rsidRDefault="006675DE" w:rsidP="005345EC">
      <w:pPr>
        <w:rPr>
          <w:sz w:val="32"/>
          <w:szCs w:val="32"/>
        </w:rPr>
      </w:pPr>
    </w:p>
    <w:p w14:paraId="59FC8511" w14:textId="77777777" w:rsidR="006675DE" w:rsidRDefault="006675DE" w:rsidP="005345EC">
      <w:pPr>
        <w:rPr>
          <w:sz w:val="32"/>
          <w:szCs w:val="32"/>
        </w:rPr>
      </w:pPr>
    </w:p>
    <w:p w14:paraId="48C84F4F" w14:textId="792E1E83" w:rsidR="005345EC" w:rsidRDefault="00683CEA" w:rsidP="005345EC">
      <w:pPr>
        <w:rPr>
          <w:sz w:val="32"/>
          <w:szCs w:val="32"/>
        </w:rPr>
      </w:pPr>
      <w:bookmarkStart w:id="0" w:name="_GoBack"/>
      <w:bookmarkEnd w:id="0"/>
      <w:r w:rsidRPr="006675DE">
        <w:rPr>
          <w:sz w:val="32"/>
          <w:szCs w:val="32"/>
        </w:rPr>
        <w:t>Seeking f</w:t>
      </w:r>
      <w:r w:rsidR="005345EC" w:rsidRPr="006675DE">
        <w:rPr>
          <w:sz w:val="32"/>
          <w:szCs w:val="32"/>
        </w:rPr>
        <w:t>reedom: a</w:t>
      </w:r>
      <w:r w:rsidR="00814091" w:rsidRPr="006675DE">
        <w:rPr>
          <w:sz w:val="32"/>
          <w:szCs w:val="32"/>
        </w:rPr>
        <w:t xml:space="preserve"> </w:t>
      </w:r>
      <w:r w:rsidR="00E07610" w:rsidRPr="006675DE">
        <w:rPr>
          <w:sz w:val="32"/>
          <w:szCs w:val="32"/>
        </w:rPr>
        <w:t>systematic</w:t>
      </w:r>
      <w:r w:rsidR="00814091" w:rsidRPr="006675DE">
        <w:rPr>
          <w:sz w:val="32"/>
          <w:szCs w:val="32"/>
        </w:rPr>
        <w:t xml:space="preserve"> review and</w:t>
      </w:r>
      <w:r w:rsidR="005345EC" w:rsidRPr="006675DE">
        <w:rPr>
          <w:sz w:val="32"/>
          <w:szCs w:val="32"/>
        </w:rPr>
        <w:t xml:space="preserve"> </w:t>
      </w:r>
      <w:r w:rsidR="00CC56C8" w:rsidRPr="006675DE">
        <w:rPr>
          <w:sz w:val="32"/>
          <w:szCs w:val="32"/>
        </w:rPr>
        <w:t xml:space="preserve">thematic </w:t>
      </w:r>
      <w:r w:rsidR="006F3DFF" w:rsidRPr="006675DE">
        <w:rPr>
          <w:sz w:val="32"/>
          <w:szCs w:val="32"/>
        </w:rPr>
        <w:t>synthesis</w:t>
      </w:r>
      <w:r w:rsidR="00CC56C8" w:rsidRPr="006675DE">
        <w:rPr>
          <w:sz w:val="32"/>
          <w:szCs w:val="32"/>
        </w:rPr>
        <w:t xml:space="preserve"> of </w:t>
      </w:r>
      <w:r w:rsidR="005345EC" w:rsidRPr="006675DE">
        <w:rPr>
          <w:sz w:val="32"/>
          <w:szCs w:val="32"/>
        </w:rPr>
        <w:t xml:space="preserve">the literature on </w:t>
      </w:r>
      <w:r w:rsidR="00814091" w:rsidRPr="006675DE">
        <w:rPr>
          <w:sz w:val="32"/>
          <w:szCs w:val="32"/>
        </w:rPr>
        <w:t>patient</w:t>
      </w:r>
      <w:r w:rsidR="005345EC" w:rsidRPr="006675DE">
        <w:rPr>
          <w:sz w:val="32"/>
          <w:szCs w:val="32"/>
        </w:rPr>
        <w:t>s’ experience of absconding from hospital</w:t>
      </w:r>
    </w:p>
    <w:p w14:paraId="4789B2D2" w14:textId="77777777" w:rsidR="006675DE" w:rsidRDefault="006675DE" w:rsidP="005345EC">
      <w:pPr>
        <w:rPr>
          <w:sz w:val="32"/>
          <w:szCs w:val="32"/>
        </w:rPr>
      </w:pPr>
    </w:p>
    <w:p w14:paraId="089DED5F" w14:textId="77777777" w:rsidR="006675DE" w:rsidRDefault="006675DE" w:rsidP="005345EC">
      <w:pPr>
        <w:rPr>
          <w:sz w:val="32"/>
          <w:szCs w:val="32"/>
        </w:rPr>
      </w:pPr>
    </w:p>
    <w:p w14:paraId="2DA80924" w14:textId="7248990A" w:rsidR="006675DE" w:rsidRDefault="006675DE" w:rsidP="005345EC">
      <w:pPr>
        <w:rPr>
          <w:sz w:val="32"/>
          <w:szCs w:val="32"/>
        </w:rPr>
      </w:pPr>
      <w:r>
        <w:rPr>
          <w:sz w:val="32"/>
          <w:szCs w:val="32"/>
        </w:rPr>
        <w:t>Voss, Isobel and Bartlett, Ruth</w:t>
      </w:r>
    </w:p>
    <w:p w14:paraId="6623F942" w14:textId="77777777" w:rsidR="006675DE" w:rsidRDefault="006675DE" w:rsidP="005345EC">
      <w:pPr>
        <w:rPr>
          <w:sz w:val="32"/>
          <w:szCs w:val="32"/>
        </w:rPr>
      </w:pPr>
    </w:p>
    <w:p w14:paraId="0D1E5716" w14:textId="77777777" w:rsidR="006675DE" w:rsidRDefault="006675DE" w:rsidP="005345EC">
      <w:pPr>
        <w:rPr>
          <w:sz w:val="32"/>
          <w:szCs w:val="32"/>
        </w:rPr>
      </w:pPr>
    </w:p>
    <w:p w14:paraId="5FFF8F01" w14:textId="77777777" w:rsidR="006675DE" w:rsidRDefault="006675DE" w:rsidP="005345EC">
      <w:pPr>
        <w:rPr>
          <w:sz w:val="32"/>
          <w:szCs w:val="32"/>
        </w:rPr>
      </w:pPr>
    </w:p>
    <w:p w14:paraId="6A1DF30D" w14:textId="1A0223D3" w:rsidR="006675DE" w:rsidRDefault="006675DE" w:rsidP="005345EC">
      <w:pPr>
        <w:rPr>
          <w:sz w:val="32"/>
          <w:szCs w:val="32"/>
        </w:rPr>
      </w:pPr>
      <w:r>
        <w:rPr>
          <w:sz w:val="32"/>
          <w:szCs w:val="32"/>
        </w:rPr>
        <w:t>Published in Journal of Psychiatric and Mental Health Nursing</w:t>
      </w:r>
    </w:p>
    <w:p w14:paraId="22736353" w14:textId="77777777" w:rsidR="006675DE" w:rsidRDefault="006675DE" w:rsidP="005345EC">
      <w:pPr>
        <w:rPr>
          <w:sz w:val="32"/>
          <w:szCs w:val="32"/>
        </w:rPr>
      </w:pPr>
    </w:p>
    <w:p w14:paraId="4C9AB0F2" w14:textId="77777777" w:rsidR="006675DE" w:rsidRPr="006675DE" w:rsidRDefault="006675DE" w:rsidP="005345EC">
      <w:pPr>
        <w:rPr>
          <w:sz w:val="32"/>
          <w:szCs w:val="32"/>
        </w:rPr>
      </w:pPr>
    </w:p>
    <w:p w14:paraId="6A874EC5" w14:textId="77777777" w:rsidR="006675DE" w:rsidRDefault="006675DE">
      <w:pPr>
        <w:rPr>
          <w:b/>
        </w:rPr>
      </w:pPr>
      <w:r>
        <w:rPr>
          <w:b/>
        </w:rPr>
        <w:br w:type="page"/>
      </w:r>
    </w:p>
    <w:p w14:paraId="7EEF12D8" w14:textId="1C8D0F0E" w:rsidR="005345EC" w:rsidRPr="006675DE" w:rsidRDefault="005345EC" w:rsidP="005345EC">
      <w:pPr>
        <w:rPr>
          <w:b/>
        </w:rPr>
      </w:pPr>
      <w:r w:rsidRPr="006675DE">
        <w:rPr>
          <w:b/>
        </w:rPr>
        <w:t>A</w:t>
      </w:r>
      <w:r w:rsidR="00CC56C8" w:rsidRPr="006675DE">
        <w:rPr>
          <w:b/>
        </w:rPr>
        <w:t>bstract</w:t>
      </w:r>
    </w:p>
    <w:p w14:paraId="34B2DFFB" w14:textId="014A8BA8" w:rsidR="005345EC" w:rsidRPr="006675DE" w:rsidRDefault="005345EC" w:rsidP="005345EC">
      <w:pPr>
        <w:rPr>
          <w:b/>
        </w:rPr>
      </w:pPr>
      <w:r w:rsidRPr="006675DE">
        <w:rPr>
          <w:b/>
        </w:rPr>
        <w:t>Intro</w:t>
      </w:r>
      <w:r w:rsidR="007F7E93" w:rsidRPr="006675DE">
        <w:rPr>
          <w:b/>
        </w:rPr>
        <w:t>duction</w:t>
      </w:r>
      <w:r w:rsidRPr="006675DE">
        <w:rPr>
          <w:b/>
        </w:rPr>
        <w:t xml:space="preserve">: </w:t>
      </w:r>
      <w:r w:rsidRPr="006675DE">
        <w:t>Absconding from psychiatric hospitals is</w:t>
      </w:r>
      <w:r w:rsidR="000611C7" w:rsidRPr="006675DE">
        <w:t xml:space="preserve"> </w:t>
      </w:r>
      <w:r w:rsidRPr="006675DE">
        <w:t>associated with significant risks</w:t>
      </w:r>
      <w:r w:rsidR="00D150E7" w:rsidRPr="006675DE">
        <w:t xml:space="preserve">, but </w:t>
      </w:r>
      <w:r w:rsidR="00CA3B1B" w:rsidRPr="006675DE">
        <w:t>is</w:t>
      </w:r>
      <w:r w:rsidR="00D150E7" w:rsidRPr="006675DE">
        <w:t xml:space="preserve"> difficult to assess</w:t>
      </w:r>
      <w:r w:rsidRPr="006675DE">
        <w:t xml:space="preserve">. </w:t>
      </w:r>
      <w:r w:rsidR="00683CEA" w:rsidRPr="006675DE">
        <w:t xml:space="preserve"> </w:t>
      </w:r>
      <w:r w:rsidRPr="006675DE">
        <w:t xml:space="preserve">It is often considered a form of challenging behaviour for </w:t>
      </w:r>
      <w:r w:rsidR="00683CEA" w:rsidRPr="006675DE">
        <w:t>mental health nurses</w:t>
      </w:r>
      <w:r w:rsidRPr="006675DE">
        <w:t xml:space="preserve">, yet there is </w:t>
      </w:r>
      <w:r w:rsidR="007F7E93" w:rsidRPr="006675DE">
        <w:t xml:space="preserve">little </w:t>
      </w:r>
      <w:r w:rsidRPr="006675DE">
        <w:t>evidence consider</w:t>
      </w:r>
      <w:r w:rsidR="00D150E7" w:rsidRPr="006675DE">
        <w:t>ing</w:t>
      </w:r>
      <w:r w:rsidRPr="006675DE">
        <w:t xml:space="preserve"> the behaviour from the </w:t>
      </w:r>
      <w:r w:rsidR="00814091" w:rsidRPr="006675DE">
        <w:t>patient</w:t>
      </w:r>
      <w:r w:rsidRPr="006675DE">
        <w:t xml:space="preserve"> perspective.</w:t>
      </w:r>
      <w:r w:rsidRPr="006675DE">
        <w:rPr>
          <w:b/>
        </w:rPr>
        <w:t xml:space="preserve"> </w:t>
      </w:r>
    </w:p>
    <w:p w14:paraId="4D476F3C" w14:textId="36691872" w:rsidR="005345EC" w:rsidRPr="006675DE" w:rsidRDefault="005345EC" w:rsidP="005345EC">
      <w:pPr>
        <w:rPr>
          <w:b/>
        </w:rPr>
      </w:pPr>
      <w:r w:rsidRPr="006675DE">
        <w:rPr>
          <w:b/>
        </w:rPr>
        <w:t xml:space="preserve">Aim: </w:t>
      </w:r>
      <w:r w:rsidRPr="006675DE">
        <w:t xml:space="preserve">To </w:t>
      </w:r>
      <w:r w:rsidR="00683CEA" w:rsidRPr="006675DE">
        <w:t xml:space="preserve">identify and review </w:t>
      </w:r>
      <w:r w:rsidRPr="006675DE">
        <w:t xml:space="preserve">evidence pertaining to the experience of </w:t>
      </w:r>
      <w:r w:rsidR="00814091" w:rsidRPr="006675DE">
        <w:t>patient</w:t>
      </w:r>
      <w:r w:rsidR="00683CEA" w:rsidRPr="006675DE">
        <w:t xml:space="preserve">s </w:t>
      </w:r>
      <w:r w:rsidRPr="006675DE">
        <w:t xml:space="preserve">who abscond from hospital, paying particular attention to their reasons for doing so. </w:t>
      </w:r>
    </w:p>
    <w:p w14:paraId="48831C79" w14:textId="49F57617" w:rsidR="005345EC" w:rsidRPr="006675DE" w:rsidRDefault="005345EC" w:rsidP="005345EC">
      <w:r w:rsidRPr="006675DE">
        <w:rPr>
          <w:b/>
        </w:rPr>
        <w:t xml:space="preserve">Method: </w:t>
      </w:r>
      <w:r w:rsidR="00683CEA" w:rsidRPr="006675DE">
        <w:t xml:space="preserve">A </w:t>
      </w:r>
      <w:r w:rsidR="00E07610" w:rsidRPr="006675DE">
        <w:t>systematic review and</w:t>
      </w:r>
      <w:r w:rsidR="00E07610" w:rsidRPr="006675DE">
        <w:rPr>
          <w:b/>
          <w:bCs/>
        </w:rPr>
        <w:t xml:space="preserve"> </w:t>
      </w:r>
      <w:r w:rsidR="00683CEA" w:rsidRPr="006675DE">
        <w:t>t</w:t>
      </w:r>
      <w:r w:rsidRPr="006675DE">
        <w:t xml:space="preserve">hematic </w:t>
      </w:r>
      <w:r w:rsidR="006F3DFF" w:rsidRPr="006675DE">
        <w:t>synthesis</w:t>
      </w:r>
      <w:r w:rsidRPr="006675DE">
        <w:t xml:space="preserve"> of </w:t>
      </w:r>
      <w:r w:rsidR="00C30A71" w:rsidRPr="006675DE">
        <w:t>eight</w:t>
      </w:r>
      <w:r w:rsidRPr="006675DE">
        <w:t xml:space="preserve"> peer-reviewed studies. </w:t>
      </w:r>
    </w:p>
    <w:p w14:paraId="68E83954" w14:textId="54F6D963" w:rsidR="005345EC" w:rsidRPr="006675DE" w:rsidRDefault="005345EC" w:rsidP="005345EC">
      <w:pPr>
        <w:spacing w:line="276" w:lineRule="auto"/>
      </w:pPr>
      <w:r w:rsidRPr="006675DE">
        <w:rPr>
          <w:b/>
        </w:rPr>
        <w:t xml:space="preserve">Results: </w:t>
      </w:r>
      <w:r w:rsidRPr="006675DE">
        <w:t xml:space="preserve">The meaning </w:t>
      </w:r>
      <w:r w:rsidR="00814091" w:rsidRPr="006675DE">
        <w:t>patient</w:t>
      </w:r>
      <w:r w:rsidR="004F038E" w:rsidRPr="006675DE">
        <w:t>s</w:t>
      </w:r>
      <w:r w:rsidRPr="006675DE">
        <w:t xml:space="preserve"> associate with absconding is best characterised as an act of seeking freedom. Within this, </w:t>
      </w:r>
      <w:r w:rsidR="00BD4A9E" w:rsidRPr="006675DE">
        <w:t>four</w:t>
      </w:r>
      <w:r w:rsidRPr="006675DE">
        <w:t xml:space="preserve"> sub-themes were identified: 1) seeking freedom to find relief, 2) to regain power and control over their lives</w:t>
      </w:r>
      <w:r w:rsidR="00BD4A9E" w:rsidRPr="006675DE">
        <w:t>,</w:t>
      </w:r>
      <w:r w:rsidRPr="006675DE">
        <w:t xml:space="preserve"> 3) to address unmet needs</w:t>
      </w:r>
      <w:r w:rsidR="00BD4A9E" w:rsidRPr="006675DE">
        <w:t xml:space="preserve"> and 4) opportunistically</w:t>
      </w:r>
      <w:r w:rsidRPr="006675DE">
        <w:t>.</w:t>
      </w:r>
    </w:p>
    <w:p w14:paraId="2FEC3085" w14:textId="4712A514" w:rsidR="005345EC" w:rsidRPr="006675DE" w:rsidRDefault="005345EC" w:rsidP="005345EC">
      <w:r w:rsidRPr="006675DE">
        <w:rPr>
          <w:b/>
        </w:rPr>
        <w:t xml:space="preserve">Discussion: </w:t>
      </w:r>
      <w:r w:rsidR="00683CEA" w:rsidRPr="006675DE">
        <w:t>P</w:t>
      </w:r>
      <w:r w:rsidRPr="006675DE">
        <w:t>erspectives o</w:t>
      </w:r>
      <w:r w:rsidR="00683CEA" w:rsidRPr="006675DE">
        <w:t xml:space="preserve">n </w:t>
      </w:r>
      <w:r w:rsidRPr="006675DE">
        <w:t xml:space="preserve">absconding </w:t>
      </w:r>
      <w:r w:rsidR="00683CEA" w:rsidRPr="006675DE">
        <w:t xml:space="preserve">are markedly different between </w:t>
      </w:r>
      <w:r w:rsidR="004F038E" w:rsidRPr="006675DE">
        <w:t>n</w:t>
      </w:r>
      <w:r w:rsidR="00683CEA" w:rsidRPr="006675DE">
        <w:t xml:space="preserve">urses and </w:t>
      </w:r>
      <w:r w:rsidR="00814091" w:rsidRPr="006675DE">
        <w:t>patient</w:t>
      </w:r>
      <w:r w:rsidR="00683CEA" w:rsidRPr="006675DE">
        <w:t xml:space="preserve">s.  Nurses </w:t>
      </w:r>
      <w:r w:rsidR="00F26DAF" w:rsidRPr="006675DE">
        <w:t>may</w:t>
      </w:r>
      <w:r w:rsidRPr="006675DE">
        <w:t xml:space="preserve"> </w:t>
      </w:r>
      <w:r w:rsidR="00683CEA" w:rsidRPr="006675DE">
        <w:t xml:space="preserve">view absconding as </w:t>
      </w:r>
      <w:r w:rsidRPr="006675DE">
        <w:t>challenging or deviant behaviour</w:t>
      </w:r>
      <w:r w:rsidR="00683CEA" w:rsidRPr="006675DE">
        <w:t xml:space="preserve">, whilst </w:t>
      </w:r>
      <w:r w:rsidR="00814091" w:rsidRPr="006675DE">
        <w:t>patient</w:t>
      </w:r>
      <w:r w:rsidR="00683CEA" w:rsidRPr="006675DE">
        <w:t>s</w:t>
      </w:r>
      <w:r w:rsidRPr="006675DE">
        <w:t xml:space="preserve"> understand it </w:t>
      </w:r>
      <w:r w:rsidR="004F038E" w:rsidRPr="006675DE">
        <w:t>as</w:t>
      </w:r>
      <w:r w:rsidR="00683CEA" w:rsidRPr="006675DE">
        <w:t xml:space="preserve"> </w:t>
      </w:r>
      <w:r w:rsidRPr="006675DE">
        <w:t xml:space="preserve">a positive </w:t>
      </w:r>
      <w:r w:rsidR="00683CEA" w:rsidRPr="006675DE">
        <w:t>experience</w:t>
      </w:r>
      <w:r w:rsidRPr="006675DE">
        <w:t xml:space="preserve">. </w:t>
      </w:r>
      <w:r w:rsidR="00683CEA" w:rsidRPr="006675DE">
        <w:t xml:space="preserve"> </w:t>
      </w:r>
      <w:r w:rsidR="00402C1A" w:rsidRPr="006675DE">
        <w:t xml:space="preserve">This is because </w:t>
      </w:r>
      <w:r w:rsidR="00683CEA" w:rsidRPr="006675DE">
        <w:t>t</w:t>
      </w:r>
      <w:r w:rsidRPr="006675DE">
        <w:t>he hospital environment</w:t>
      </w:r>
      <w:r w:rsidR="00402C1A" w:rsidRPr="006675DE">
        <w:t xml:space="preserve"> is not meeting their </w:t>
      </w:r>
      <w:r w:rsidR="00683CEA" w:rsidRPr="006675DE">
        <w:t xml:space="preserve">needs. </w:t>
      </w:r>
    </w:p>
    <w:p w14:paraId="130E3277" w14:textId="59A5CD0C" w:rsidR="005345EC" w:rsidRPr="006675DE" w:rsidRDefault="005345EC" w:rsidP="005345EC">
      <w:r w:rsidRPr="006675DE">
        <w:rPr>
          <w:b/>
        </w:rPr>
        <w:t>Implications</w:t>
      </w:r>
      <w:r w:rsidR="00D150E7" w:rsidRPr="006675DE">
        <w:rPr>
          <w:b/>
        </w:rPr>
        <w:t xml:space="preserve"> for practice</w:t>
      </w:r>
      <w:r w:rsidRPr="006675DE">
        <w:rPr>
          <w:b/>
        </w:rPr>
        <w:t xml:space="preserve">: </w:t>
      </w:r>
      <w:r w:rsidRPr="006675DE">
        <w:t xml:space="preserve"> </w:t>
      </w:r>
      <w:r w:rsidR="00F26DAF" w:rsidRPr="006675DE">
        <w:t xml:space="preserve">Patients </w:t>
      </w:r>
      <w:r w:rsidR="000300A0" w:rsidRPr="006675DE">
        <w:t>decide to</w:t>
      </w:r>
      <w:r w:rsidR="00F26DAF" w:rsidRPr="006675DE">
        <w:t xml:space="preserve"> abscond from hospital for valid and rational reasons. </w:t>
      </w:r>
      <w:r w:rsidRPr="006675DE">
        <w:t>Mental health nurses are in a position to</w:t>
      </w:r>
      <w:r w:rsidR="00F26DAF" w:rsidRPr="006675DE">
        <w:t xml:space="preserve"> understand and address the issues underpinning them with a view to reducing absconding</w:t>
      </w:r>
      <w:r w:rsidRPr="006675DE">
        <w:t xml:space="preserve">. </w:t>
      </w:r>
      <w:r w:rsidR="00402C1A" w:rsidRPr="006675DE">
        <w:t xml:space="preserve"> </w:t>
      </w:r>
      <w:r w:rsidRPr="006675DE">
        <w:t xml:space="preserve">Further research </w:t>
      </w:r>
      <w:r w:rsidR="00402C1A" w:rsidRPr="006675DE">
        <w:t xml:space="preserve">on absconding from hospital, </w:t>
      </w:r>
      <w:r w:rsidR="00D150E7" w:rsidRPr="006675DE">
        <w:t>taking</w:t>
      </w:r>
      <w:r w:rsidR="00402C1A" w:rsidRPr="006675DE">
        <w:t xml:space="preserve"> the </w:t>
      </w:r>
      <w:r w:rsidR="00814091" w:rsidRPr="006675DE">
        <w:t>patient</w:t>
      </w:r>
      <w:r w:rsidR="00402C1A" w:rsidRPr="006675DE">
        <w:t xml:space="preserve">’s perspective, is needed. </w:t>
      </w:r>
    </w:p>
    <w:p w14:paraId="2CC72A34" w14:textId="77777777" w:rsidR="00BD4F4F" w:rsidRPr="006675DE" w:rsidRDefault="00BD4F4F" w:rsidP="00D72EE4">
      <w:pPr>
        <w:spacing w:line="360" w:lineRule="auto"/>
        <w:rPr>
          <w:b/>
        </w:rPr>
      </w:pPr>
    </w:p>
    <w:p w14:paraId="5A608A8F" w14:textId="5C7C6F50" w:rsidR="00BD4F4F" w:rsidRPr="006675DE" w:rsidRDefault="00BD4F4F" w:rsidP="00D72EE4">
      <w:pPr>
        <w:spacing w:line="360" w:lineRule="auto"/>
        <w:rPr>
          <w:b/>
        </w:rPr>
      </w:pPr>
      <w:r w:rsidRPr="006675DE">
        <w:rPr>
          <w:b/>
        </w:rPr>
        <w:t>Relevance statement:</w:t>
      </w:r>
    </w:p>
    <w:p w14:paraId="2D93534C" w14:textId="70CB2A69" w:rsidR="00BD4F4F" w:rsidRPr="006675DE" w:rsidRDefault="00ED13D7" w:rsidP="00D72EE4">
      <w:pPr>
        <w:spacing w:line="360" w:lineRule="auto"/>
      </w:pPr>
      <w:r w:rsidRPr="006675DE">
        <w:t>To the best of the authors’ knowledge,</w:t>
      </w:r>
      <w:r w:rsidR="00525DF7" w:rsidRPr="006675DE">
        <w:t xml:space="preserve"> t</w:t>
      </w:r>
      <w:r w:rsidR="00BD4F4F" w:rsidRPr="006675DE">
        <w:t>his paper</w:t>
      </w:r>
      <w:r w:rsidR="006E7B0C" w:rsidRPr="006675DE">
        <w:t xml:space="preserve"> is the first to systematically review evidence regarding</w:t>
      </w:r>
      <w:r w:rsidR="00BD4F4F" w:rsidRPr="006675DE">
        <w:t xml:space="preserve"> </w:t>
      </w:r>
      <w:r w:rsidR="00814091" w:rsidRPr="006675DE">
        <w:t>patient</w:t>
      </w:r>
      <w:r w:rsidR="00BD4F4F" w:rsidRPr="006675DE">
        <w:t xml:space="preserve"> experiences of absconding from hospital and </w:t>
      </w:r>
      <w:r w:rsidR="00215075" w:rsidRPr="006675DE">
        <w:t>encourages</w:t>
      </w:r>
      <w:r w:rsidR="00BD4F4F" w:rsidRPr="006675DE">
        <w:t xml:space="preserve"> mental health nurses to consider the evidence as a whole. This insight can help mental health nurses to </w:t>
      </w:r>
      <w:r w:rsidR="008C43B0" w:rsidRPr="006675DE">
        <w:t xml:space="preserve">better </w:t>
      </w:r>
      <w:r w:rsidR="00BD4F4F" w:rsidRPr="006675DE">
        <w:t xml:space="preserve">understand </w:t>
      </w:r>
      <w:r w:rsidR="008C43B0" w:rsidRPr="006675DE">
        <w:t>the experience of hospital admission from the patient perspective</w:t>
      </w:r>
      <w:r w:rsidR="00BD4F4F" w:rsidRPr="006675DE">
        <w:t xml:space="preserve">; in doing so, they may improve standards of care and address the reasons </w:t>
      </w:r>
      <w:r w:rsidR="00814091" w:rsidRPr="006675DE">
        <w:t>patient</w:t>
      </w:r>
      <w:r w:rsidR="00BD4F4F" w:rsidRPr="006675DE">
        <w:t>s abscond.</w:t>
      </w:r>
    </w:p>
    <w:p w14:paraId="0796A5D0" w14:textId="77777777" w:rsidR="00BD4F4F" w:rsidRPr="006675DE" w:rsidRDefault="00BD4F4F" w:rsidP="00D72EE4">
      <w:pPr>
        <w:spacing w:line="360" w:lineRule="auto"/>
        <w:rPr>
          <w:b/>
        </w:rPr>
      </w:pPr>
    </w:p>
    <w:p w14:paraId="6ECD520C" w14:textId="6FAAD412" w:rsidR="00BD11D6" w:rsidRPr="006675DE" w:rsidRDefault="00BD11D6" w:rsidP="00D72EE4">
      <w:pPr>
        <w:spacing w:line="360" w:lineRule="auto"/>
        <w:rPr>
          <w:b/>
        </w:rPr>
      </w:pPr>
      <w:r w:rsidRPr="006675DE">
        <w:rPr>
          <w:b/>
        </w:rPr>
        <w:t>Accessible summary</w:t>
      </w:r>
    </w:p>
    <w:p w14:paraId="7562A90D" w14:textId="1B99525C" w:rsidR="00BD11D6" w:rsidRPr="006675DE" w:rsidRDefault="00BD11D6" w:rsidP="00D72EE4">
      <w:pPr>
        <w:spacing w:line="360" w:lineRule="auto"/>
      </w:pPr>
      <w:r w:rsidRPr="006675DE">
        <w:t>What is known on the subject:</w:t>
      </w:r>
    </w:p>
    <w:p w14:paraId="63F940FA" w14:textId="2AB3C3E9" w:rsidR="00670E8B" w:rsidRPr="006675DE" w:rsidRDefault="00670E8B" w:rsidP="00670E8B">
      <w:pPr>
        <w:pStyle w:val="ListParagraph"/>
        <w:numPr>
          <w:ilvl w:val="0"/>
          <w:numId w:val="2"/>
        </w:numPr>
        <w:spacing w:line="360" w:lineRule="auto"/>
      </w:pPr>
      <w:r w:rsidRPr="006675DE">
        <w:t xml:space="preserve">Absconding refers to </w:t>
      </w:r>
      <w:r w:rsidR="00814091" w:rsidRPr="006675DE">
        <w:t>patient</w:t>
      </w:r>
      <w:r w:rsidR="00402C1A" w:rsidRPr="006675DE">
        <w:t>s</w:t>
      </w:r>
      <w:r w:rsidRPr="006675DE">
        <w:t xml:space="preserve"> leaving psychiatric hospitals in an unexpected and/or unauthorised way and is often recognised as a form of challenging behaviour</w:t>
      </w:r>
    </w:p>
    <w:p w14:paraId="0E627F13" w14:textId="14DAA2D1" w:rsidR="00670E8B" w:rsidRPr="006675DE" w:rsidRDefault="00670E8B" w:rsidP="00670E8B">
      <w:pPr>
        <w:pStyle w:val="ListParagraph"/>
        <w:numPr>
          <w:ilvl w:val="0"/>
          <w:numId w:val="2"/>
        </w:numPr>
        <w:spacing w:line="360" w:lineRule="auto"/>
      </w:pPr>
      <w:r w:rsidRPr="006675DE">
        <w:t>There is some research about the rates of absconding, risks associated with it and interventions to try and reduce it</w:t>
      </w:r>
      <w:r w:rsidR="00402C1A" w:rsidRPr="006675DE">
        <w:t>;</w:t>
      </w:r>
      <w:r w:rsidRPr="006675DE">
        <w:t xml:space="preserve"> howeve</w:t>
      </w:r>
      <w:r w:rsidR="00402C1A" w:rsidRPr="006675DE">
        <w:t xml:space="preserve">r, </w:t>
      </w:r>
      <w:r w:rsidRPr="006675DE">
        <w:t xml:space="preserve">relatively little is known about the experience </w:t>
      </w:r>
      <w:r w:rsidRPr="006675DE">
        <w:lastRenderedPageBreak/>
        <w:t xml:space="preserve">from the perspective of </w:t>
      </w:r>
      <w:r w:rsidR="00814091" w:rsidRPr="006675DE">
        <w:t>patient</w:t>
      </w:r>
      <w:r w:rsidR="00402C1A" w:rsidRPr="006675DE">
        <w:t>s</w:t>
      </w:r>
      <w:r w:rsidR="009525D4" w:rsidRPr="006675DE">
        <w:t xml:space="preserve"> and this evidence has not previously been systematically reviewed</w:t>
      </w:r>
      <w:r w:rsidR="00402C1A" w:rsidRPr="006675DE">
        <w:t xml:space="preserve">. </w:t>
      </w:r>
    </w:p>
    <w:p w14:paraId="5459BD0C" w14:textId="6A6003BF" w:rsidR="00BD11D6" w:rsidRPr="006675DE" w:rsidRDefault="00BD11D6" w:rsidP="00D72EE4">
      <w:pPr>
        <w:spacing w:line="360" w:lineRule="auto"/>
      </w:pPr>
      <w:r w:rsidRPr="006675DE">
        <w:t>What th</w:t>
      </w:r>
      <w:r w:rsidR="00670E8B" w:rsidRPr="006675DE">
        <w:t xml:space="preserve">is </w:t>
      </w:r>
      <w:r w:rsidRPr="006675DE">
        <w:t>paper adds to existing knowledge:</w:t>
      </w:r>
    </w:p>
    <w:p w14:paraId="478EC40B" w14:textId="6AF1F39A" w:rsidR="00402C1A" w:rsidRPr="006675DE" w:rsidRDefault="00814091" w:rsidP="00670E8B">
      <w:pPr>
        <w:pStyle w:val="ListParagraph"/>
        <w:numPr>
          <w:ilvl w:val="0"/>
          <w:numId w:val="3"/>
        </w:numPr>
        <w:spacing w:line="360" w:lineRule="auto"/>
      </w:pPr>
      <w:r w:rsidRPr="006675DE">
        <w:t>Patient</w:t>
      </w:r>
      <w:r w:rsidR="00402C1A" w:rsidRPr="006675DE">
        <w:t xml:space="preserve">s abscond to find relief, to regain power and control over their lives and/or to address unmet needs. </w:t>
      </w:r>
    </w:p>
    <w:p w14:paraId="60B5F77D" w14:textId="797EA43E" w:rsidR="00670E8B" w:rsidRPr="006675DE" w:rsidRDefault="00402C1A" w:rsidP="00670E8B">
      <w:pPr>
        <w:pStyle w:val="ListParagraph"/>
        <w:numPr>
          <w:ilvl w:val="0"/>
          <w:numId w:val="3"/>
        </w:numPr>
        <w:spacing w:line="360" w:lineRule="auto"/>
      </w:pPr>
      <w:r w:rsidRPr="006675DE">
        <w:t>A</w:t>
      </w:r>
      <w:r w:rsidR="00670E8B" w:rsidRPr="006675DE">
        <w:t xml:space="preserve">bsconding </w:t>
      </w:r>
      <w:r w:rsidRPr="006675DE">
        <w:t xml:space="preserve">can therefore be </w:t>
      </w:r>
      <w:r w:rsidR="00F41307" w:rsidRPr="006675DE">
        <w:t>viewed as a means</w:t>
      </w:r>
      <w:r w:rsidR="00670E8B" w:rsidRPr="006675DE">
        <w:t xml:space="preserve"> of seeking freedom</w:t>
      </w:r>
      <w:r w:rsidRPr="006675DE">
        <w:t xml:space="preserve">. </w:t>
      </w:r>
    </w:p>
    <w:p w14:paraId="774F09F1" w14:textId="336BB798" w:rsidR="00BD11D6" w:rsidRPr="006675DE" w:rsidRDefault="00BD11D6" w:rsidP="00D72EE4">
      <w:pPr>
        <w:spacing w:line="360" w:lineRule="auto"/>
      </w:pPr>
      <w:r w:rsidRPr="006675DE">
        <w:t>What are the implications for practice:</w:t>
      </w:r>
    </w:p>
    <w:p w14:paraId="466F1876" w14:textId="4879B2E7" w:rsidR="00926FAE" w:rsidRPr="006675DE" w:rsidRDefault="00926FAE" w:rsidP="00926FAE">
      <w:pPr>
        <w:pStyle w:val="ListParagraph"/>
        <w:numPr>
          <w:ilvl w:val="0"/>
          <w:numId w:val="4"/>
        </w:numPr>
        <w:spacing w:line="360" w:lineRule="auto"/>
      </w:pPr>
      <w:r w:rsidRPr="006675DE">
        <w:t xml:space="preserve">Nurses </w:t>
      </w:r>
      <w:r w:rsidR="00402C1A" w:rsidRPr="006675DE">
        <w:t xml:space="preserve">need </w:t>
      </w:r>
      <w:r w:rsidRPr="006675DE">
        <w:t>to be aware that absconding is a positive a</w:t>
      </w:r>
      <w:r w:rsidR="00402C1A" w:rsidRPr="006675DE">
        <w:t xml:space="preserve">ct </w:t>
      </w:r>
      <w:r w:rsidR="008C43B0" w:rsidRPr="006675DE">
        <w:t>from the patient per</w:t>
      </w:r>
      <w:r w:rsidR="006E7B0C" w:rsidRPr="006675DE">
        <w:t>s</w:t>
      </w:r>
      <w:r w:rsidR="008C43B0" w:rsidRPr="006675DE">
        <w:t>pective</w:t>
      </w:r>
      <w:r w:rsidRPr="006675DE">
        <w:t xml:space="preserve">, </w:t>
      </w:r>
      <w:r w:rsidR="006367DE" w:rsidRPr="006675DE">
        <w:t>an</w:t>
      </w:r>
      <w:r w:rsidR="00410ED9" w:rsidRPr="006675DE">
        <w:t>d</w:t>
      </w:r>
      <w:r w:rsidR="006367DE" w:rsidRPr="006675DE">
        <w:t xml:space="preserve"> work collaboratively with them </w:t>
      </w:r>
      <w:r w:rsidR="00410ED9" w:rsidRPr="006675DE">
        <w:t>to reduce factors which motivate this behaviour</w:t>
      </w:r>
      <w:r w:rsidR="00402C1A" w:rsidRPr="006675DE">
        <w:t xml:space="preserve">. </w:t>
      </w:r>
    </w:p>
    <w:p w14:paraId="414617ED" w14:textId="23383236" w:rsidR="00410ED9" w:rsidRPr="006675DE" w:rsidRDefault="00410ED9" w:rsidP="00410ED9">
      <w:pPr>
        <w:pStyle w:val="ListParagraph"/>
        <w:numPr>
          <w:ilvl w:val="0"/>
          <w:numId w:val="4"/>
        </w:numPr>
        <w:spacing w:line="360" w:lineRule="auto"/>
      </w:pPr>
      <w:r w:rsidRPr="006675DE">
        <w:t xml:space="preserve">From the point of admission, nurses have an important role to play in reducing the sense of fear, isolation and powerlessness which </w:t>
      </w:r>
      <w:r w:rsidR="00402C1A" w:rsidRPr="006675DE">
        <w:t xml:space="preserve">motivates </w:t>
      </w:r>
      <w:r w:rsidR="00814091" w:rsidRPr="006675DE">
        <w:t>patient</w:t>
      </w:r>
      <w:r w:rsidR="00402C1A" w:rsidRPr="006675DE">
        <w:t>s</w:t>
      </w:r>
      <w:r w:rsidRPr="006675DE">
        <w:t xml:space="preserve"> to abscond</w:t>
      </w:r>
      <w:r w:rsidR="00402C1A" w:rsidRPr="006675DE">
        <w:t>.</w:t>
      </w:r>
    </w:p>
    <w:p w14:paraId="69FE5258" w14:textId="7D47632B" w:rsidR="006367DE" w:rsidRPr="006675DE" w:rsidRDefault="00410ED9" w:rsidP="00410ED9">
      <w:pPr>
        <w:pStyle w:val="ListParagraph"/>
        <w:numPr>
          <w:ilvl w:val="0"/>
          <w:numId w:val="4"/>
        </w:numPr>
        <w:spacing w:line="360" w:lineRule="auto"/>
      </w:pPr>
      <w:r w:rsidRPr="006675DE">
        <w:t xml:space="preserve">Practical interventions such as giving </w:t>
      </w:r>
      <w:r w:rsidR="00814091" w:rsidRPr="006675DE">
        <w:t>patient</w:t>
      </w:r>
      <w:r w:rsidR="00402C1A" w:rsidRPr="006675DE">
        <w:t>s</w:t>
      </w:r>
      <w:r w:rsidRPr="006675DE">
        <w:t xml:space="preserve"> the time and information necessary to be involved in decision-making, or asking about their</w:t>
      </w:r>
      <w:r w:rsidR="006367DE" w:rsidRPr="006675DE">
        <w:t xml:space="preserve"> responsibilities and commitments outside of hospital</w:t>
      </w:r>
      <w:r w:rsidRPr="006675DE">
        <w:t>, may have a significant impact on the experience of admission and reduce the risk of absconding</w:t>
      </w:r>
      <w:r w:rsidR="00402C1A" w:rsidRPr="006675DE">
        <w:t xml:space="preserve">. </w:t>
      </w:r>
    </w:p>
    <w:p w14:paraId="43AFB2A2" w14:textId="77777777" w:rsidR="00BD4F4F" w:rsidRPr="006675DE" w:rsidRDefault="00BD4F4F">
      <w:pPr>
        <w:rPr>
          <w:b/>
        </w:rPr>
      </w:pPr>
    </w:p>
    <w:p w14:paraId="6AD8170E" w14:textId="3963C600" w:rsidR="00D25468" w:rsidRPr="006675DE" w:rsidRDefault="00D25468">
      <w:pPr>
        <w:rPr>
          <w:b/>
        </w:rPr>
      </w:pPr>
      <w:r w:rsidRPr="006675DE">
        <w:rPr>
          <w:b/>
        </w:rPr>
        <w:t>Keywords:</w:t>
      </w:r>
    </w:p>
    <w:p w14:paraId="4D2DC1DB" w14:textId="67BD40BB" w:rsidR="00410ED9" w:rsidRPr="006675DE" w:rsidRDefault="00D25468">
      <w:pPr>
        <w:rPr>
          <w:b/>
        </w:rPr>
      </w:pPr>
      <w:r w:rsidRPr="006675DE">
        <w:t xml:space="preserve">mental health, thematic </w:t>
      </w:r>
      <w:r w:rsidR="006F3DFF" w:rsidRPr="006675DE">
        <w:t>synthesis</w:t>
      </w:r>
      <w:r w:rsidRPr="006675DE">
        <w:t xml:space="preserve">, </w:t>
      </w:r>
      <w:r w:rsidR="00C3174C" w:rsidRPr="006675DE">
        <w:t xml:space="preserve">systematic review, </w:t>
      </w:r>
      <w:r w:rsidRPr="006675DE">
        <w:t xml:space="preserve">absconding, psychiatric hospital </w:t>
      </w:r>
      <w:r w:rsidR="00410ED9" w:rsidRPr="006675DE">
        <w:rPr>
          <w:b/>
        </w:rPr>
        <w:br w:type="page"/>
      </w:r>
    </w:p>
    <w:p w14:paraId="3A354C5D" w14:textId="52C05464" w:rsidR="00D72EE4" w:rsidRPr="006675DE" w:rsidRDefault="00834285" w:rsidP="00097B53">
      <w:pPr>
        <w:spacing w:line="360" w:lineRule="auto"/>
        <w:rPr>
          <w:b/>
        </w:rPr>
      </w:pPr>
      <w:r w:rsidRPr="006675DE">
        <w:rPr>
          <w:b/>
        </w:rPr>
        <w:t xml:space="preserve">Introduction </w:t>
      </w:r>
    </w:p>
    <w:p w14:paraId="0DF498ED" w14:textId="096EE545" w:rsidR="00D72EE4" w:rsidRPr="006675DE" w:rsidRDefault="00D72EE4" w:rsidP="00097B53">
      <w:pPr>
        <w:spacing w:line="360" w:lineRule="auto"/>
      </w:pPr>
      <w:r w:rsidRPr="006675DE">
        <w:t>In recent years, there has been a paradigm shift in the way mental health care is delivered, as the number of psychiatric beds per capita and the average length of hospital admissions have reduced globally (Babalola et al</w:t>
      </w:r>
      <w:r w:rsidR="00D941DC" w:rsidRPr="006675DE">
        <w:t>.</w:t>
      </w:r>
      <w:r w:rsidRPr="006675DE">
        <w:t xml:space="preserve"> 2014</w:t>
      </w:r>
      <w:r w:rsidR="00541EAB" w:rsidRPr="006675DE">
        <w:t>; Muir-Cochrane et al. 2011</w:t>
      </w:r>
      <w:r w:rsidRPr="006675DE">
        <w:t xml:space="preserve">). </w:t>
      </w:r>
      <w:r w:rsidR="00167E49" w:rsidRPr="006675DE">
        <w:t xml:space="preserve"> </w:t>
      </w:r>
      <w:r w:rsidRPr="006675DE">
        <w:t xml:space="preserve">Consequently, the role of psychiatric hospitals has shifted from a mainstay in the provision of care to a </w:t>
      </w:r>
      <w:r w:rsidR="00402C1A" w:rsidRPr="006675DE">
        <w:t>‘</w:t>
      </w:r>
      <w:r w:rsidRPr="006675DE">
        <w:t xml:space="preserve">last </w:t>
      </w:r>
      <w:r w:rsidR="00402C1A" w:rsidRPr="006675DE">
        <w:t xml:space="preserve">resort’ </w:t>
      </w:r>
      <w:r w:rsidRPr="006675DE">
        <w:t xml:space="preserve">option for the highest risk and most unwell </w:t>
      </w:r>
      <w:r w:rsidR="00814091" w:rsidRPr="006675DE">
        <w:t>patient</w:t>
      </w:r>
      <w:r w:rsidR="00D7210F" w:rsidRPr="006675DE">
        <w:t>s.</w:t>
      </w:r>
      <w:r w:rsidRPr="006675DE">
        <w:t xml:space="preserve"> </w:t>
      </w:r>
      <w:r w:rsidR="00402C1A" w:rsidRPr="006675DE">
        <w:t xml:space="preserve"> This has </w:t>
      </w:r>
      <w:r w:rsidRPr="006675DE">
        <w:t xml:space="preserve">significant ramifications </w:t>
      </w:r>
      <w:r w:rsidR="00AF38FA" w:rsidRPr="006675DE">
        <w:t xml:space="preserve">for nursing staff </w:t>
      </w:r>
      <w:r w:rsidRPr="006675DE">
        <w:t xml:space="preserve">when </w:t>
      </w:r>
      <w:r w:rsidR="00AF38FA" w:rsidRPr="006675DE">
        <w:t xml:space="preserve">a </w:t>
      </w:r>
      <w:r w:rsidR="00814091" w:rsidRPr="006675DE">
        <w:t>patient</w:t>
      </w:r>
      <w:r w:rsidR="00AF38FA" w:rsidRPr="006675DE">
        <w:t xml:space="preserve"> </w:t>
      </w:r>
      <w:r w:rsidRPr="006675DE">
        <w:t>abscond</w:t>
      </w:r>
      <w:r w:rsidR="00AF38FA" w:rsidRPr="006675DE">
        <w:t xml:space="preserve">s </w:t>
      </w:r>
      <w:r w:rsidR="00167E49" w:rsidRPr="006675DE">
        <w:t>(leave</w:t>
      </w:r>
      <w:r w:rsidR="00AF38FA" w:rsidRPr="006675DE">
        <w:t>s</w:t>
      </w:r>
      <w:r w:rsidR="00167E49" w:rsidRPr="006675DE">
        <w:t xml:space="preserve"> hospital without permission)</w:t>
      </w:r>
      <w:r w:rsidR="00AF38FA" w:rsidRPr="006675DE">
        <w:t xml:space="preserve">, as their wellbeing is potentially at </w:t>
      </w:r>
      <w:r w:rsidR="00D7210F" w:rsidRPr="006675DE">
        <w:t xml:space="preserve">significant </w:t>
      </w:r>
      <w:r w:rsidR="00AF38FA" w:rsidRPr="006675DE">
        <w:t xml:space="preserve">risk.  </w:t>
      </w:r>
      <w:r w:rsidRPr="006675DE">
        <w:t xml:space="preserve">Despite this, surprisingly little is known about </w:t>
      </w:r>
      <w:r w:rsidR="00814091" w:rsidRPr="006675DE">
        <w:t>patient</w:t>
      </w:r>
      <w:r w:rsidR="00F23EEC" w:rsidRPr="006675DE">
        <w:t>s’</w:t>
      </w:r>
      <w:r w:rsidR="00AF38FA" w:rsidRPr="006675DE">
        <w:t xml:space="preserve"> </w:t>
      </w:r>
      <w:r w:rsidRPr="006675DE">
        <w:t>experience</w:t>
      </w:r>
      <w:r w:rsidR="00D7210F" w:rsidRPr="006675DE">
        <w:t>s</w:t>
      </w:r>
      <w:r w:rsidRPr="006675DE">
        <w:t xml:space="preserve"> of, or reasons for absconding. </w:t>
      </w:r>
      <w:r w:rsidR="00C44B7A" w:rsidRPr="006675DE">
        <w:t xml:space="preserve">The aim of this review is to identify and thematically </w:t>
      </w:r>
      <w:r w:rsidR="00C3174C" w:rsidRPr="006675DE">
        <w:t>synthesis</w:t>
      </w:r>
      <w:r w:rsidR="00C44B7A" w:rsidRPr="006675DE">
        <w:t xml:space="preserve">e studies which address patient perspectives on absconding. </w:t>
      </w:r>
    </w:p>
    <w:p w14:paraId="7B9B76EA" w14:textId="56CFD1D6" w:rsidR="00D72EE4" w:rsidRPr="006675DE" w:rsidRDefault="00167E49" w:rsidP="00097B53">
      <w:pPr>
        <w:spacing w:line="360" w:lineRule="auto"/>
      </w:pPr>
      <w:r w:rsidRPr="006675DE">
        <w:t>Absconding is a difficult matter to understand for several reasons.</w:t>
      </w:r>
      <w:r w:rsidR="00402C1A" w:rsidRPr="006675DE">
        <w:t xml:space="preserve"> </w:t>
      </w:r>
      <w:r w:rsidRPr="006675DE">
        <w:t xml:space="preserve"> </w:t>
      </w:r>
      <w:r w:rsidR="00D72EE4" w:rsidRPr="006675DE">
        <w:t xml:space="preserve">First, </w:t>
      </w:r>
      <w:r w:rsidRPr="006675DE">
        <w:t xml:space="preserve">there are different definitions of ‘absconding’ and ’absconders’, which causes variations in reporting and creates a methodological problem for researchers.  </w:t>
      </w:r>
      <w:r w:rsidR="00D72EE4" w:rsidRPr="006675DE">
        <w:t xml:space="preserve">For example, </w:t>
      </w:r>
      <w:r w:rsidRPr="006675DE">
        <w:t>Bowers et al. (2000:646) define</w:t>
      </w:r>
      <w:r w:rsidR="00D7210F" w:rsidRPr="006675DE">
        <w:t xml:space="preserve"> </w:t>
      </w:r>
      <w:r w:rsidRPr="006675DE">
        <w:t xml:space="preserve">an incident of absconding as </w:t>
      </w:r>
      <w:r w:rsidRPr="006675DE">
        <w:rPr>
          <w:i/>
        </w:rPr>
        <w:t>“the absence of a patient from the ward, without permission, for more than 1 hour”</w:t>
      </w:r>
      <w:r w:rsidRPr="006675DE">
        <w:t xml:space="preserve">, whereas Dickens &amp; Campbell (2001:545) do not </w:t>
      </w:r>
      <w:r w:rsidR="00D7210F" w:rsidRPr="006675DE">
        <w:t xml:space="preserve">specify a </w:t>
      </w:r>
      <w:r w:rsidRPr="006675DE">
        <w:t xml:space="preserve">timeframe, </w:t>
      </w:r>
      <w:r w:rsidR="00D7210F" w:rsidRPr="006675DE">
        <w:t xml:space="preserve">they simply say, </w:t>
      </w:r>
      <w:r w:rsidRPr="006675DE">
        <w:rPr>
          <w:i/>
        </w:rPr>
        <w:t xml:space="preserve">“when </w:t>
      </w:r>
      <w:r w:rsidR="00D7210F" w:rsidRPr="006675DE">
        <w:rPr>
          <w:i/>
        </w:rPr>
        <w:t xml:space="preserve">(a </w:t>
      </w:r>
      <w:r w:rsidR="00814091" w:rsidRPr="006675DE">
        <w:rPr>
          <w:i/>
        </w:rPr>
        <w:t>patient</w:t>
      </w:r>
      <w:r w:rsidR="00D7210F" w:rsidRPr="006675DE">
        <w:rPr>
          <w:i/>
        </w:rPr>
        <w:t xml:space="preserve">’s) </w:t>
      </w:r>
      <w:r w:rsidRPr="006675DE">
        <w:rPr>
          <w:i/>
        </w:rPr>
        <w:t>whereabouts cannot be ascertained”</w:t>
      </w:r>
      <w:r w:rsidRPr="006675DE">
        <w:t xml:space="preserve">. </w:t>
      </w:r>
      <w:r w:rsidR="00D7210F" w:rsidRPr="006675DE">
        <w:t xml:space="preserve"> </w:t>
      </w:r>
      <w:r w:rsidRPr="006675DE">
        <w:t xml:space="preserve">In other cases, absconding is reported when staff are sufficiently concerned about the </w:t>
      </w:r>
      <w:r w:rsidR="00814091" w:rsidRPr="006675DE">
        <w:t>patient</w:t>
      </w:r>
      <w:r w:rsidRPr="006675DE">
        <w:t xml:space="preserve"> involved (Stewart &amp; Bowers, 2010). </w:t>
      </w:r>
      <w:r w:rsidR="00D7210F" w:rsidRPr="006675DE">
        <w:t xml:space="preserve"> </w:t>
      </w:r>
      <w:r w:rsidR="005901E5" w:rsidRPr="006675DE">
        <w:t xml:space="preserve">Martin et al. (2018) have also highlighted that there is a difference between a patient truly absconding, and returning late from authorised leave; a distinction which is not </w:t>
      </w:r>
      <w:r w:rsidR="008D37AC" w:rsidRPr="006675DE">
        <w:t>consistentl</w:t>
      </w:r>
      <w:r w:rsidR="005901E5" w:rsidRPr="006675DE">
        <w:t>y observed</w:t>
      </w:r>
      <w:r w:rsidR="008D37AC" w:rsidRPr="006675DE">
        <w:t xml:space="preserve"> in the literature</w:t>
      </w:r>
      <w:r w:rsidR="005901E5" w:rsidRPr="006675DE">
        <w:t xml:space="preserve">. </w:t>
      </w:r>
      <w:r w:rsidR="008D37AC" w:rsidRPr="006675DE">
        <w:t>Furthermore</w:t>
      </w:r>
      <w:r w:rsidR="00D7210F" w:rsidRPr="006675DE">
        <w:t xml:space="preserve">, </w:t>
      </w:r>
      <w:r w:rsidR="00D72EE4" w:rsidRPr="006675DE">
        <w:t xml:space="preserve">some researchers distinguish between voluntary and detained </w:t>
      </w:r>
      <w:r w:rsidR="00814091" w:rsidRPr="006675DE">
        <w:t>patient</w:t>
      </w:r>
      <w:r w:rsidRPr="006675DE">
        <w:t xml:space="preserve">s </w:t>
      </w:r>
      <w:r w:rsidR="00D72EE4" w:rsidRPr="006675DE">
        <w:t>(Dickens &amp; Campbell</w:t>
      </w:r>
      <w:r w:rsidR="00D941DC" w:rsidRPr="006675DE">
        <w:t>,</w:t>
      </w:r>
      <w:r w:rsidR="00D72EE4" w:rsidRPr="006675DE">
        <w:t xml:space="preserve"> 2001)</w:t>
      </w:r>
      <w:r w:rsidR="00DE356D" w:rsidRPr="006675DE">
        <w:t>, w</w:t>
      </w:r>
      <w:r w:rsidR="00D72EE4" w:rsidRPr="006675DE">
        <w:t xml:space="preserve">hereas others exclude those who are in hospital voluntarily or focus on clinical areas where all </w:t>
      </w:r>
      <w:r w:rsidR="00814091" w:rsidRPr="006675DE">
        <w:t>patient</w:t>
      </w:r>
      <w:r w:rsidR="00D72EE4" w:rsidRPr="006675DE">
        <w:t>s are detained under mental health legislation, such as forensic units (Mosel et al</w:t>
      </w:r>
      <w:r w:rsidR="00D941DC" w:rsidRPr="006675DE">
        <w:t>.</w:t>
      </w:r>
      <w:r w:rsidR="00FF517C" w:rsidRPr="006675DE">
        <w:t>,</w:t>
      </w:r>
      <w:r w:rsidR="00D72EE4" w:rsidRPr="006675DE">
        <w:t xml:space="preserve"> 2010; Wilkies et al</w:t>
      </w:r>
      <w:r w:rsidR="00D941DC" w:rsidRPr="006675DE">
        <w:t>.</w:t>
      </w:r>
      <w:r w:rsidR="00FF517C" w:rsidRPr="006675DE">
        <w:t>,</w:t>
      </w:r>
      <w:r w:rsidR="00D72EE4" w:rsidRPr="006675DE">
        <w:t xml:space="preserve"> 2014). </w:t>
      </w:r>
      <w:r w:rsidR="008D37AC" w:rsidRPr="006675DE">
        <w:t>Lastly</w:t>
      </w:r>
      <w:r w:rsidR="00D72EE4" w:rsidRPr="006675DE">
        <w:t xml:space="preserve">, the legal frameworks, which determine the nature of voluntary and involuntary </w:t>
      </w:r>
      <w:r w:rsidR="00D7210F" w:rsidRPr="006675DE">
        <w:t>admissions,</w:t>
      </w:r>
      <w:r w:rsidR="00D72EE4" w:rsidRPr="006675DE">
        <w:t xml:space="preserve"> vary between countries</w:t>
      </w:r>
      <w:r w:rsidR="00D7210F" w:rsidRPr="006675DE">
        <w:t xml:space="preserve"> and regions</w:t>
      </w:r>
      <w:r w:rsidR="00D72EE4" w:rsidRPr="006675DE">
        <w:t xml:space="preserve"> (Zinkler </w:t>
      </w:r>
      <w:r w:rsidR="00F41307" w:rsidRPr="006675DE">
        <w:t>&amp;</w:t>
      </w:r>
      <w:r w:rsidR="00D72EE4" w:rsidRPr="006675DE">
        <w:t xml:space="preserve"> Priebe</w:t>
      </w:r>
      <w:r w:rsidR="00D941DC" w:rsidRPr="006675DE">
        <w:t>,</w:t>
      </w:r>
      <w:r w:rsidR="00D72EE4" w:rsidRPr="006675DE">
        <w:t xml:space="preserve"> 2002)</w:t>
      </w:r>
      <w:r w:rsidR="00D7210F" w:rsidRPr="006675DE">
        <w:t xml:space="preserve">.  </w:t>
      </w:r>
      <w:r w:rsidR="00C44B7A" w:rsidRPr="006675DE">
        <w:t>T</w:t>
      </w:r>
      <w:r w:rsidR="00D72EE4" w:rsidRPr="006675DE">
        <w:t>hese variations make the recording of incidents, and comparison of results difficult (Bowers et al</w:t>
      </w:r>
      <w:r w:rsidR="00D941DC" w:rsidRPr="006675DE">
        <w:t>.,</w:t>
      </w:r>
      <w:r w:rsidR="00D72EE4" w:rsidRPr="006675DE">
        <w:t xml:space="preserve"> 1998;</w:t>
      </w:r>
      <w:r w:rsidR="00541EAB" w:rsidRPr="006675DE">
        <w:t xml:space="preserve"> James &amp; Maude, 2015; </w:t>
      </w:r>
      <w:r w:rsidR="00D72EE4" w:rsidRPr="006675DE">
        <w:t>Muir-Cochrane &amp; Mosel</w:t>
      </w:r>
      <w:r w:rsidR="00D941DC" w:rsidRPr="006675DE">
        <w:t>,</w:t>
      </w:r>
      <w:r w:rsidR="00D72EE4" w:rsidRPr="006675DE">
        <w:t xml:space="preserve"> 2008; Stewart &amp; Bowers</w:t>
      </w:r>
      <w:r w:rsidR="00D150E7" w:rsidRPr="006675DE">
        <w:t>,</w:t>
      </w:r>
      <w:r w:rsidR="00D72EE4" w:rsidRPr="006675DE">
        <w:t xml:space="preserve"> 2010). </w:t>
      </w:r>
    </w:p>
    <w:p w14:paraId="162DDF67" w14:textId="56647A5B" w:rsidR="00D72EE4" w:rsidRPr="006675DE" w:rsidRDefault="00D72EE4" w:rsidP="00097B53">
      <w:pPr>
        <w:spacing w:line="360" w:lineRule="auto"/>
      </w:pPr>
      <w:r w:rsidRPr="006675DE">
        <w:t>Evidence is stronge</w:t>
      </w:r>
      <w:r w:rsidR="00D7210F" w:rsidRPr="006675DE">
        <w:t>st</w:t>
      </w:r>
      <w:r w:rsidRPr="006675DE">
        <w:t xml:space="preserve"> regarding the risks associated with absconding.   This research suggests that absconding poses a significant threat to patient safety and wellbeing. </w:t>
      </w:r>
      <w:r w:rsidR="00D7210F" w:rsidRPr="006675DE">
        <w:t xml:space="preserve"> </w:t>
      </w:r>
      <w:r w:rsidRPr="006675DE">
        <w:t>Bowers et al</w:t>
      </w:r>
      <w:r w:rsidR="00FF517C" w:rsidRPr="006675DE">
        <w:t>.</w:t>
      </w:r>
      <w:r w:rsidRPr="006675DE">
        <w:t xml:space="preserve"> (</w:t>
      </w:r>
      <w:r w:rsidR="00156548" w:rsidRPr="006675DE">
        <w:t>1999a</w:t>
      </w:r>
      <w:r w:rsidRPr="006675DE">
        <w:t xml:space="preserve">) considered the risks for </w:t>
      </w:r>
      <w:r w:rsidR="00814091" w:rsidRPr="006675DE">
        <w:t>patient</w:t>
      </w:r>
      <w:r w:rsidRPr="006675DE">
        <w:t xml:space="preserve">s who absconded and found significant percentages to have known risks of attempted suicide (21%), self-harm (32%), substance misuse (27%) and self-neglect (16%).  </w:t>
      </w:r>
      <w:r w:rsidR="00EF5E05" w:rsidRPr="006675DE">
        <w:t>More recently</w:t>
      </w:r>
      <w:r w:rsidRPr="006675DE">
        <w:t>, James &amp; Maude (2015) identified four areas of risk associated with absconding</w:t>
      </w:r>
      <w:r w:rsidR="00AB5A61" w:rsidRPr="006675DE">
        <w:t xml:space="preserve">: </w:t>
      </w:r>
      <w:r w:rsidRPr="006675DE">
        <w:t xml:space="preserve">(i) risk of suicide and self-harm, (ii) risk of aggression and violence, (iii) risk of self-neglect or death and (iv) loss of confidence in services or damage to the organisation.  A study conducted in Australia suggests that of inpatient </w:t>
      </w:r>
      <w:r w:rsidR="008D37AC" w:rsidRPr="006675DE">
        <w:t xml:space="preserve">deaths by </w:t>
      </w:r>
      <w:r w:rsidRPr="006675DE">
        <w:t xml:space="preserve">suicide, 20% occur after the person has absconded, although </w:t>
      </w:r>
      <w:r w:rsidR="00EF5E05" w:rsidRPr="006675DE">
        <w:t>it should be noted that this study</w:t>
      </w:r>
      <w:r w:rsidRPr="006675DE">
        <w:t xml:space="preserve"> included </w:t>
      </w:r>
      <w:r w:rsidR="00814091" w:rsidRPr="006675DE">
        <w:t>patient</w:t>
      </w:r>
      <w:r w:rsidRPr="006675DE">
        <w:t>s with a diagnosis of depression only, and may not be representative of all inpatients (Shah &amp; Ganesvaran</w:t>
      </w:r>
      <w:r w:rsidR="00FF517C" w:rsidRPr="006675DE">
        <w:t>,</w:t>
      </w:r>
      <w:r w:rsidRPr="006675DE">
        <w:t xml:space="preserve"> 2000). Other research has found that some will commit offences after absconding, although this occurs in relatively few cases, with suggested figures ranging from 1.4-4.6% (Wilkie et al</w:t>
      </w:r>
      <w:r w:rsidR="00FF517C" w:rsidRPr="006675DE">
        <w:t>.,</w:t>
      </w:r>
      <w:r w:rsidRPr="006675DE">
        <w:t xml:space="preserve"> 2014). </w:t>
      </w:r>
      <w:r w:rsidR="008174E7" w:rsidRPr="006675DE">
        <w:t xml:space="preserve">Absence from the ward may also result in interruption of treatment, and can result in consequently longer admissions (James &amp; Maude 2015). There are ramifications for staff, who may respond to a patient absconding with feelings of anxiety, anger, embarrassment, guilt and a sense of failure (Bowers et al., 2005; </w:t>
      </w:r>
      <w:r w:rsidR="00B5692A" w:rsidRPr="006675DE">
        <w:t xml:space="preserve">Grotto et al., 2015; </w:t>
      </w:r>
      <w:r w:rsidR="008174E7" w:rsidRPr="006675DE">
        <w:t>Meehan et al., 1999). Furthermore, the process of reporting incidents, conducting searches and efforts to return the patient requires resources from hospital staff and potentially police, which detracts from the care of other patients</w:t>
      </w:r>
      <w:r w:rsidR="003F49D5" w:rsidRPr="006675DE">
        <w:t>,</w:t>
      </w:r>
      <w:r w:rsidR="008174E7" w:rsidRPr="006675DE">
        <w:t xml:space="preserve"> and </w:t>
      </w:r>
      <w:r w:rsidR="003F49D5" w:rsidRPr="006675DE">
        <w:t>the disruption can have a deleterious effect on</w:t>
      </w:r>
      <w:r w:rsidR="008174E7" w:rsidRPr="006675DE">
        <w:t xml:space="preserve"> the social climate of the unit (</w:t>
      </w:r>
      <w:r w:rsidR="003F49D5" w:rsidRPr="006675DE">
        <w:t xml:space="preserve">Alexander, 2006; </w:t>
      </w:r>
      <w:r w:rsidR="008174E7" w:rsidRPr="006675DE">
        <w:t>Bowers et al., 2005; Meehan et al., 1999). Absconding can also result in a loss of confidence in the safety of mental health services by relatives and carers</w:t>
      </w:r>
      <w:r w:rsidR="003F49D5" w:rsidRPr="006675DE">
        <w:t>, and exacerbate stigma associated with mental illness</w:t>
      </w:r>
      <w:r w:rsidR="008174E7" w:rsidRPr="006675DE">
        <w:t xml:space="preserve"> (Bowers et al., 2005). </w:t>
      </w:r>
      <w:r w:rsidRPr="006675DE">
        <w:t xml:space="preserve">Overall, the potential harm </w:t>
      </w:r>
      <w:r w:rsidR="00D7210F" w:rsidRPr="006675DE">
        <w:t>because</w:t>
      </w:r>
      <w:r w:rsidRPr="006675DE">
        <w:t xml:space="preserve"> of absconding</w:t>
      </w:r>
      <w:r w:rsidR="00D7210F" w:rsidRPr="006675DE">
        <w:t xml:space="preserve">, </w:t>
      </w:r>
      <w:r w:rsidRPr="006675DE">
        <w:t>highlights the importance of enhancing understanding of this phenomenon.</w:t>
      </w:r>
    </w:p>
    <w:p w14:paraId="07FD2B1D" w14:textId="5E0D788E" w:rsidR="00834285" w:rsidRPr="006675DE" w:rsidRDefault="00D72EE4" w:rsidP="00097B53">
      <w:pPr>
        <w:spacing w:line="360" w:lineRule="auto"/>
      </w:pPr>
      <w:r w:rsidRPr="006675DE">
        <w:t>Discussions of absconding are often couched in a rhetoric of risk management and prevention</w:t>
      </w:r>
      <w:r w:rsidR="00EF5E05" w:rsidRPr="006675DE">
        <w:t>,</w:t>
      </w:r>
      <w:r w:rsidRPr="006675DE">
        <w:t xml:space="preserve"> characterising it as a challenging behaviour (</w:t>
      </w:r>
      <w:r w:rsidR="000202CB" w:rsidRPr="006675DE">
        <w:t>Cullen et al., 201</w:t>
      </w:r>
      <w:r w:rsidR="009A1965" w:rsidRPr="006675DE">
        <w:t>6</w:t>
      </w:r>
      <w:r w:rsidR="000202CB" w:rsidRPr="006675DE">
        <w:t xml:space="preserve">; </w:t>
      </w:r>
      <w:r w:rsidRPr="006675DE">
        <w:t>Muralidharan &amp; Fenton</w:t>
      </w:r>
      <w:r w:rsidR="00FF517C" w:rsidRPr="006675DE">
        <w:t>,</w:t>
      </w:r>
      <w:r w:rsidRPr="006675DE">
        <w:t xml:space="preserve"> 2006)</w:t>
      </w:r>
      <w:r w:rsidR="00C3174C" w:rsidRPr="006675DE">
        <w:t xml:space="preserve">. </w:t>
      </w:r>
      <w:r w:rsidR="007437F3" w:rsidRPr="006675DE">
        <w:t xml:space="preserve">Existing literature </w:t>
      </w:r>
      <w:r w:rsidR="00FE5020" w:rsidRPr="006675DE">
        <w:t xml:space="preserve">often </w:t>
      </w:r>
      <w:r w:rsidR="007437F3" w:rsidRPr="006675DE">
        <w:t xml:space="preserve">focuses on </w:t>
      </w:r>
      <w:r w:rsidR="00C3174C" w:rsidRPr="006675DE">
        <w:t xml:space="preserve">demographic and behavioural </w:t>
      </w:r>
      <w:r w:rsidR="00BA6F5D" w:rsidRPr="006675DE">
        <w:t>characteristics</w:t>
      </w:r>
      <w:r w:rsidR="00C3174C" w:rsidRPr="006675DE">
        <w:t xml:space="preserve"> of patients who abscond</w:t>
      </w:r>
      <w:r w:rsidR="00BA6F5D" w:rsidRPr="006675DE">
        <w:t xml:space="preserve">, </w:t>
      </w:r>
      <w:r w:rsidR="009A63C9" w:rsidRPr="006675DE">
        <w:t>e.g.</w:t>
      </w:r>
      <w:r w:rsidR="007437F3" w:rsidRPr="006675DE">
        <w:t xml:space="preserve"> age, ethnicity, gender</w:t>
      </w:r>
      <w:r w:rsidR="009A63C9" w:rsidRPr="006675DE">
        <w:t>,</w:t>
      </w:r>
      <w:r w:rsidR="007437F3" w:rsidRPr="006675DE">
        <w:t xml:space="preserve"> diagnosis</w:t>
      </w:r>
      <w:r w:rsidR="009A63C9" w:rsidRPr="006675DE">
        <w:t xml:space="preserve">, recent medication refusal, </w:t>
      </w:r>
      <w:r w:rsidR="007437F3" w:rsidRPr="006675DE">
        <w:t>seasonal variation or environmental disruption</w:t>
      </w:r>
      <w:r w:rsidR="009A63C9" w:rsidRPr="006675DE">
        <w:t xml:space="preserve"> (Bowers et al., 1998; Bowers et al., 2000; Gerace et al., 2015; James &amp; Maude, 2015</w:t>
      </w:r>
      <w:r w:rsidR="00611F2D" w:rsidRPr="006675DE">
        <w:t>; Martin et al., 2018</w:t>
      </w:r>
      <w:r w:rsidR="00FE5020" w:rsidRPr="006675DE">
        <w:t>; Meehan et al. 1999; Mezey et al., 2015; Mosel et al. 2010; Muir-Cochrane &amp; Mosel 2008; Muir-Cochrane et al. 2011; Wilkie et al., 2014</w:t>
      </w:r>
      <w:r w:rsidR="009A63C9" w:rsidRPr="006675DE">
        <w:t>)</w:t>
      </w:r>
      <w:r w:rsidR="00FE5020" w:rsidRPr="006675DE">
        <w:t>.</w:t>
      </w:r>
      <w:r w:rsidR="00BA6F5D" w:rsidRPr="006675DE">
        <w:t xml:space="preserve"> </w:t>
      </w:r>
      <w:r w:rsidR="00FE5020" w:rsidRPr="006675DE">
        <w:t xml:space="preserve">Some </w:t>
      </w:r>
      <w:r w:rsidRPr="006675DE">
        <w:t xml:space="preserve">of the literature </w:t>
      </w:r>
      <w:r w:rsidR="00FE5020" w:rsidRPr="006675DE">
        <w:t>also e</w:t>
      </w:r>
      <w:r w:rsidRPr="006675DE">
        <w:t xml:space="preserve">xamines measures to reduce absconding through </w:t>
      </w:r>
      <w:r w:rsidR="00EF5E05" w:rsidRPr="006675DE">
        <w:t xml:space="preserve">restrictive </w:t>
      </w:r>
      <w:r w:rsidR="008D37AC" w:rsidRPr="006675DE">
        <w:t>interventions</w:t>
      </w:r>
      <w:r w:rsidR="00D7210F" w:rsidRPr="006675DE">
        <w:t xml:space="preserve">, </w:t>
      </w:r>
      <w:r w:rsidRPr="006675DE">
        <w:t>such as locking ward doors (</w:t>
      </w:r>
      <w:r w:rsidR="00541EAB" w:rsidRPr="006675DE">
        <w:t xml:space="preserve">Nijman et al., 2011; </w:t>
      </w:r>
      <w:r w:rsidRPr="006675DE">
        <w:t>Stewart &amp; Bowers</w:t>
      </w:r>
      <w:r w:rsidR="00FF517C" w:rsidRPr="006675DE">
        <w:t>,</w:t>
      </w:r>
      <w:r w:rsidRPr="006675DE">
        <w:t xml:space="preserve"> 2011</w:t>
      </w:r>
      <w:r w:rsidR="00541EAB" w:rsidRPr="006675DE">
        <w:t>; Van der Merwe, 2009</w:t>
      </w:r>
      <w:r w:rsidRPr="006675DE">
        <w:t>), enhanced observations (Stewart et al</w:t>
      </w:r>
      <w:r w:rsidR="00FF517C" w:rsidRPr="006675DE">
        <w:t>.,</w:t>
      </w:r>
      <w:r w:rsidRPr="006675DE">
        <w:t xml:space="preserve"> 2012) and us</w:t>
      </w:r>
      <w:r w:rsidR="00D7210F" w:rsidRPr="006675DE">
        <w:t xml:space="preserve">ing </w:t>
      </w:r>
      <w:r w:rsidRPr="006675DE">
        <w:t xml:space="preserve">GPS location devices to monitor </w:t>
      </w:r>
      <w:r w:rsidR="00814091" w:rsidRPr="006675DE">
        <w:t>patient</w:t>
      </w:r>
      <w:r w:rsidRPr="006675DE">
        <w:t>s’ whereabouts (Hearn</w:t>
      </w:r>
      <w:r w:rsidR="00FF517C" w:rsidRPr="006675DE">
        <w:t>,</w:t>
      </w:r>
      <w:r w:rsidRPr="006675DE">
        <w:t xml:space="preserve"> 2013).  </w:t>
      </w:r>
      <w:r w:rsidR="00D7210F" w:rsidRPr="006675DE">
        <w:t xml:space="preserve">Other </w:t>
      </w:r>
      <w:r w:rsidRPr="006675DE">
        <w:t>studies approach the phenomenon through a more therapeutic lens</w:t>
      </w:r>
      <w:r w:rsidR="00D7210F" w:rsidRPr="006675DE">
        <w:t xml:space="preserve"> and focus on </w:t>
      </w:r>
      <w:r w:rsidRPr="006675DE">
        <w:t>models of care to reduce absconding</w:t>
      </w:r>
      <w:r w:rsidR="00D7210F" w:rsidRPr="006675DE">
        <w:t>,</w:t>
      </w:r>
      <w:r w:rsidRPr="006675DE">
        <w:t xml:space="preserve"> </w:t>
      </w:r>
      <w:r w:rsidR="00F56101" w:rsidRPr="006675DE">
        <w:t>as well as education</w:t>
      </w:r>
      <w:r w:rsidRPr="006675DE">
        <w:t xml:space="preserve"> and support (</w:t>
      </w:r>
      <w:r w:rsidR="00541EAB" w:rsidRPr="006675DE">
        <w:t xml:space="preserve">; Bailey et al., 2016; </w:t>
      </w:r>
      <w:r w:rsidRPr="006675DE">
        <w:t>Bowers et al</w:t>
      </w:r>
      <w:r w:rsidR="00FF517C" w:rsidRPr="006675DE">
        <w:t>.,</w:t>
      </w:r>
      <w:r w:rsidRPr="006675DE">
        <w:t xml:space="preserve"> 2003; Bowers et al</w:t>
      </w:r>
      <w:r w:rsidR="00FF517C" w:rsidRPr="006675DE">
        <w:t>.,</w:t>
      </w:r>
      <w:r w:rsidRPr="006675DE">
        <w:t xml:space="preserve"> 2005; Bowers et al</w:t>
      </w:r>
      <w:r w:rsidR="00FF517C" w:rsidRPr="006675DE">
        <w:t>.,</w:t>
      </w:r>
      <w:r w:rsidRPr="006675DE">
        <w:t xml:space="preserve"> 2006; Bowers et al</w:t>
      </w:r>
      <w:r w:rsidR="00FF517C" w:rsidRPr="006675DE">
        <w:t>.,</w:t>
      </w:r>
      <w:r w:rsidRPr="006675DE">
        <w:t xml:space="preserve"> 2014)</w:t>
      </w:r>
      <w:r w:rsidR="00D7210F" w:rsidRPr="006675DE">
        <w:t xml:space="preserve">.  </w:t>
      </w:r>
      <w:r w:rsidR="00F56101" w:rsidRPr="006675DE">
        <w:t xml:space="preserve">However, even </w:t>
      </w:r>
      <w:r w:rsidRPr="006675DE">
        <w:t>th</w:t>
      </w:r>
      <w:r w:rsidR="00D7210F" w:rsidRPr="006675DE">
        <w:t xml:space="preserve">is work </w:t>
      </w:r>
      <w:r w:rsidR="008D37AC" w:rsidRPr="006675DE">
        <w:t xml:space="preserve">often </w:t>
      </w:r>
      <w:r w:rsidR="00D7210F" w:rsidRPr="006675DE">
        <w:t>takes the pers</w:t>
      </w:r>
      <w:r w:rsidR="00F56101" w:rsidRPr="006675DE">
        <w:t>pective of nursing staff or the health care organisation,</w:t>
      </w:r>
      <w:r w:rsidR="00DD5CB6" w:rsidRPr="006675DE">
        <w:t xml:space="preserve"> rather than </w:t>
      </w:r>
      <w:r w:rsidR="00814091" w:rsidRPr="006675DE">
        <w:t>patient</w:t>
      </w:r>
      <w:r w:rsidR="00DD5CB6" w:rsidRPr="006675DE">
        <w:t xml:space="preserve">s. </w:t>
      </w:r>
      <w:r w:rsidRPr="006675DE">
        <w:t xml:space="preserve"> </w:t>
      </w:r>
      <w:r w:rsidR="00F56101" w:rsidRPr="006675DE">
        <w:t xml:space="preserve">As such, </w:t>
      </w:r>
      <w:r w:rsidR="00DD5CB6" w:rsidRPr="006675DE">
        <w:t xml:space="preserve">absconding is understood in a one-dimensional </w:t>
      </w:r>
      <w:r w:rsidR="00F56101" w:rsidRPr="006675DE">
        <w:t>way</w:t>
      </w:r>
      <w:r w:rsidR="00DD5CB6" w:rsidRPr="006675DE">
        <w:t xml:space="preserve">, as a negative act to be addressed.  </w:t>
      </w:r>
      <w:r w:rsidR="00B854DB" w:rsidRPr="006675DE">
        <w:t>To counterbalance this bias in the research literature, the aim of this review was to analyse absconding from the perspective of patients aged between 18 and 65 years of age, residing in a mental health inpatient service</w:t>
      </w:r>
      <w:r w:rsidR="00BA6F5D" w:rsidRPr="006675DE">
        <w:t>.</w:t>
      </w:r>
    </w:p>
    <w:p w14:paraId="3919BFF5" w14:textId="76B7B1C7" w:rsidR="00834285" w:rsidRPr="006675DE" w:rsidRDefault="00834285" w:rsidP="00097B53">
      <w:pPr>
        <w:spacing w:line="360" w:lineRule="auto"/>
        <w:rPr>
          <w:b/>
        </w:rPr>
      </w:pPr>
      <w:r w:rsidRPr="006675DE">
        <w:rPr>
          <w:b/>
        </w:rPr>
        <w:t>Methods</w:t>
      </w:r>
    </w:p>
    <w:p w14:paraId="002C0F3D" w14:textId="45BEE4B7" w:rsidR="009271C1" w:rsidRPr="006675DE" w:rsidRDefault="00EF5E05" w:rsidP="00097B53">
      <w:pPr>
        <w:spacing w:line="360" w:lineRule="auto"/>
        <w:rPr>
          <w:b/>
        </w:rPr>
      </w:pPr>
      <w:r w:rsidRPr="006675DE">
        <w:rPr>
          <w:b/>
        </w:rPr>
        <w:t>S</w:t>
      </w:r>
      <w:r w:rsidR="009271C1" w:rsidRPr="006675DE">
        <w:rPr>
          <w:b/>
        </w:rPr>
        <w:t>earch strategy</w:t>
      </w:r>
    </w:p>
    <w:p w14:paraId="53262092" w14:textId="00576991" w:rsidR="00692098" w:rsidRPr="006675DE" w:rsidRDefault="00DA4E4B" w:rsidP="006834FE">
      <w:pPr>
        <w:spacing w:line="360" w:lineRule="auto"/>
      </w:pPr>
      <w:r w:rsidRPr="006675DE">
        <w:t xml:space="preserve">A detailed search strategy was devised </w:t>
      </w:r>
      <w:r w:rsidR="00E07610" w:rsidRPr="006675DE">
        <w:t xml:space="preserve">in order to systematically identify all sources of available evidence, </w:t>
      </w:r>
      <w:r w:rsidRPr="006675DE">
        <w:t>and applied to CINAHL, MEDLINE, PsycINFO and the Cochrane Library. Title and abstract searches were conducted using the following keywords, which were combined with the Boolean operators ‘AND’ and ‘OR’:</w:t>
      </w:r>
      <w:r w:rsidRPr="006675DE">
        <w:rPr>
          <w:b/>
        </w:rPr>
        <w:t xml:space="preserve"> “</w:t>
      </w:r>
      <w:r w:rsidRPr="006675DE">
        <w:t xml:space="preserve">Abscond*”, “AWOL”, “absent without leave”, “Psychiatry”, “mental health”, “mental disorders”, Hospitals, Psychiatric”, “Psychiatric Department, Hospital”, “Inpatient*”, “hospital*”, “psychiatric unit”. </w:t>
      </w:r>
    </w:p>
    <w:p w14:paraId="534EB81D" w14:textId="520E022E" w:rsidR="00E90387" w:rsidRPr="006675DE" w:rsidRDefault="00DA4E4B" w:rsidP="006834FE">
      <w:pPr>
        <w:spacing w:line="360" w:lineRule="auto"/>
      </w:pPr>
      <w:r w:rsidRPr="006675DE">
        <w:t>Subject heading searches were conducted using the keywords “Absenteeism”, “Mental Disorders”, “Hospitals, Psychiatric” and “Psychiatric Department, Hospital”.</w:t>
      </w:r>
      <w:r w:rsidRPr="006675DE">
        <w:rPr>
          <w:b/>
        </w:rPr>
        <w:t xml:space="preserve"> </w:t>
      </w:r>
      <w:r w:rsidRPr="006675DE">
        <w:t xml:space="preserve">Where the functionality of the database allowed, these headings were ‘exploded’ and applied as umbrella terms to maximise the number of relevant papers identified. The subject heading searches were then combined with the title and abstract searches to create one pool of suitable results. </w:t>
      </w:r>
      <w:r w:rsidR="00E90387" w:rsidRPr="006675DE">
        <w:t>Reference lists of appropriate papers were hand-searched for additional, relevant studies.</w:t>
      </w:r>
    </w:p>
    <w:p w14:paraId="135B2A31" w14:textId="5DCA5197" w:rsidR="009271C1" w:rsidRPr="006675DE" w:rsidRDefault="002B4CA4" w:rsidP="00097B53">
      <w:pPr>
        <w:spacing w:line="360" w:lineRule="auto"/>
        <w:rPr>
          <w:b/>
        </w:rPr>
      </w:pPr>
      <w:r w:rsidRPr="006675DE">
        <w:rPr>
          <w:b/>
        </w:rPr>
        <w:t>Inclusion and exclusion</w:t>
      </w:r>
      <w:r w:rsidR="00692098" w:rsidRPr="006675DE">
        <w:rPr>
          <w:b/>
        </w:rPr>
        <w:t xml:space="preserve"> criteria</w:t>
      </w:r>
    </w:p>
    <w:p w14:paraId="0847CE75" w14:textId="77777777" w:rsidR="003E5B0C" w:rsidRPr="006675DE" w:rsidRDefault="00692098" w:rsidP="006834FE">
      <w:pPr>
        <w:spacing w:line="360" w:lineRule="auto"/>
      </w:pPr>
      <w:r w:rsidRPr="006675DE">
        <w:t xml:space="preserve">The </w:t>
      </w:r>
      <w:r w:rsidR="000A57D7" w:rsidRPr="006675DE">
        <w:t>focus of this review was</w:t>
      </w:r>
      <w:r w:rsidRPr="006675DE">
        <w:t xml:space="preserve"> </w:t>
      </w:r>
      <w:r w:rsidR="00814091" w:rsidRPr="006675DE">
        <w:t>patient</w:t>
      </w:r>
      <w:r w:rsidR="00DD5CB6" w:rsidRPr="006675DE">
        <w:t>s aged between 18 and 65 years of age, residing in a mental health inpatient servic</w:t>
      </w:r>
      <w:r w:rsidR="00722CD9" w:rsidRPr="006675DE">
        <w:t>e, including acute admissions wards, short and long stay treatment wards and forensic services</w:t>
      </w:r>
      <w:r w:rsidR="000A57D7" w:rsidRPr="006675DE">
        <w:t>, with experience of absconding</w:t>
      </w:r>
      <w:r w:rsidR="00DD5CB6" w:rsidRPr="006675DE">
        <w:t>.  Studies that</w:t>
      </w:r>
      <w:r w:rsidRPr="006675DE">
        <w:t xml:space="preserve"> </w:t>
      </w:r>
      <w:r w:rsidR="00843E43" w:rsidRPr="006675DE">
        <w:t xml:space="preserve">examined </w:t>
      </w:r>
      <w:r w:rsidRPr="006675DE">
        <w:t>absconding</w:t>
      </w:r>
      <w:r w:rsidR="00843E43" w:rsidRPr="006675DE">
        <w:t xml:space="preserve"> in the context of other </w:t>
      </w:r>
      <w:r w:rsidRPr="006675DE">
        <w:t xml:space="preserve">clinical settings such as </w:t>
      </w:r>
      <w:r w:rsidR="008D37AC" w:rsidRPr="006675DE">
        <w:t>e</w:t>
      </w:r>
      <w:r w:rsidR="00843E43" w:rsidRPr="006675DE">
        <w:t>mergency</w:t>
      </w:r>
      <w:r w:rsidRPr="006675DE">
        <w:t xml:space="preserve"> departments or </w:t>
      </w:r>
      <w:r w:rsidR="00843E43" w:rsidRPr="006675DE">
        <w:t>care</w:t>
      </w:r>
      <w:r w:rsidRPr="006675DE">
        <w:t xml:space="preserve"> </w:t>
      </w:r>
      <w:r w:rsidR="00843E43" w:rsidRPr="006675DE">
        <w:t xml:space="preserve">homes </w:t>
      </w:r>
      <w:r w:rsidRPr="006675DE">
        <w:t>were not included</w:t>
      </w:r>
      <w:r w:rsidR="00843E43" w:rsidRPr="006675DE">
        <w:t xml:space="preserve">, </w:t>
      </w:r>
      <w:r w:rsidRPr="006675DE">
        <w:t xml:space="preserve">as </w:t>
      </w:r>
      <w:r w:rsidR="00843E43" w:rsidRPr="006675DE">
        <w:t>this</w:t>
      </w:r>
      <w:r w:rsidRPr="006675DE">
        <w:t xml:space="preserve"> </w:t>
      </w:r>
      <w:r w:rsidR="00843E43" w:rsidRPr="006675DE">
        <w:t>would</w:t>
      </w:r>
      <w:r w:rsidRPr="006675DE">
        <w:t xml:space="preserve"> have broadened the scope of the review to the point where results would not have been comparable to a useful extent. </w:t>
      </w:r>
      <w:r w:rsidR="00843E43" w:rsidRPr="006675DE">
        <w:t xml:space="preserve"> </w:t>
      </w:r>
      <w:r w:rsidRPr="006675DE">
        <w:t xml:space="preserve">Similarly, a decision was taken to exclude research pertaining to children, adolescents and older adults as the care of these populations is more specialised and the contexts of the </w:t>
      </w:r>
      <w:r w:rsidR="00814091" w:rsidRPr="006675DE">
        <w:t>patient</w:t>
      </w:r>
      <w:r w:rsidRPr="006675DE">
        <w:t xml:space="preserve"> experience was felt to be too diverse compared with that of working-age adults. To be included in the review, papers needed to be published in the English language. </w:t>
      </w:r>
      <w:r w:rsidR="00C23519" w:rsidRPr="006675DE">
        <w:t>P</w:t>
      </w:r>
      <w:r w:rsidR="009A00B8" w:rsidRPr="006675DE">
        <w:t xml:space="preserve">apers published </w:t>
      </w:r>
      <w:r w:rsidR="003C5EF1" w:rsidRPr="006675DE">
        <w:t>between 1986 and 2018</w:t>
      </w:r>
      <w:r w:rsidR="009A00B8" w:rsidRPr="006675DE">
        <w:t xml:space="preserve"> were considered for inclusion; those published prior to this were considered too outdated to be of relevance.</w:t>
      </w:r>
    </w:p>
    <w:p w14:paraId="089B2FC0" w14:textId="45C8204A" w:rsidR="003E5B0C" w:rsidRPr="006675DE" w:rsidRDefault="003E5B0C" w:rsidP="006834FE">
      <w:pPr>
        <w:spacing w:line="360" w:lineRule="auto"/>
      </w:pPr>
      <w:r w:rsidRPr="006675DE">
        <w:t xml:space="preserve">The Critical Skills Appraisal Programme (CASP) tool for qualitative research was used to assess the quality of evidence and ensure relevance to the research question (CASP, 2015). CASP allows researchers to systematically and objectively analyse the validity, results and value of qualitative research. Detailed appraisals were undertaken and then summarised in Table 2. </w:t>
      </w:r>
    </w:p>
    <w:p w14:paraId="186B9BCB" w14:textId="1C6F8ED7" w:rsidR="00874CAA" w:rsidRPr="006675DE" w:rsidRDefault="00097B53" w:rsidP="00097B53">
      <w:pPr>
        <w:spacing w:line="360" w:lineRule="auto"/>
        <w:rPr>
          <w:b/>
        </w:rPr>
      </w:pPr>
      <w:r w:rsidRPr="006675DE">
        <w:rPr>
          <w:b/>
        </w:rPr>
        <w:t>Analysis</w:t>
      </w:r>
    </w:p>
    <w:p w14:paraId="4AC70414" w14:textId="3B0CE192" w:rsidR="00BF3B3E" w:rsidRPr="006675DE" w:rsidRDefault="00BF3B3E" w:rsidP="006834FE">
      <w:pPr>
        <w:spacing w:line="360" w:lineRule="auto"/>
      </w:pPr>
      <w:r w:rsidRPr="006675DE">
        <w:t xml:space="preserve">Thematic synthesis </w:t>
      </w:r>
      <w:r w:rsidR="008D37AC" w:rsidRPr="006675DE">
        <w:t xml:space="preserve">was employed to extract and analyse data. This approach </w:t>
      </w:r>
      <w:r w:rsidRPr="006675DE">
        <w:t>translates the methods used for thematic analysis of primary research for use in revi</w:t>
      </w:r>
      <w:r w:rsidR="00D150E6" w:rsidRPr="006675DE">
        <w:t>ews</w:t>
      </w:r>
      <w:r w:rsidR="00192611" w:rsidRPr="006675DE">
        <w:t xml:space="preserve"> which synthesise findings from qualitative research. </w:t>
      </w:r>
      <w:r w:rsidRPr="006675DE">
        <w:t>The techniques employed are commonly described as thematic analysis, however th</w:t>
      </w:r>
      <w:r w:rsidR="00D150E6" w:rsidRPr="006675DE">
        <w:t xml:space="preserve">e approach allows reviewers to ‘go beyond’ merely summarising collective findings, by translating relevant concepts between studies (Thomas &amp; Harden 2008). </w:t>
      </w:r>
    </w:p>
    <w:p w14:paraId="63743767" w14:textId="3CCD5FFF" w:rsidR="008F41F4" w:rsidRPr="006675DE" w:rsidRDefault="00715EA4" w:rsidP="006834FE">
      <w:pPr>
        <w:spacing w:line="360" w:lineRule="auto"/>
        <w:rPr>
          <w:b/>
        </w:rPr>
      </w:pPr>
      <w:r w:rsidRPr="006675DE">
        <w:t>Data were extracted from the papers in line with Vaismoradi et al.’s (2016) staged model of theme construction. The papers were initially read and re-read to ensure an understanding of the data.</w:t>
      </w:r>
      <w:r w:rsidR="00BA6F5D" w:rsidRPr="006675DE">
        <w:t xml:space="preserve"> </w:t>
      </w:r>
      <w:r w:rsidRPr="006675DE">
        <w:t xml:space="preserve">Meaning units, defined as </w:t>
      </w:r>
      <w:r w:rsidRPr="006675DE">
        <w:rPr>
          <w:i/>
        </w:rPr>
        <w:t>“words, sentences or paragraphs containing aspects related to each other, their content and context</w:t>
      </w:r>
      <w:r w:rsidRPr="006675DE">
        <w:t xml:space="preserve">” (Graneheim &amp; Lundman, 2004:106), were then highlighted and colour-coded to combine relevant data. These groups of data were recorded in an extraction table prior to theme identification. </w:t>
      </w:r>
    </w:p>
    <w:p w14:paraId="087E8DB0" w14:textId="2DE89A25" w:rsidR="00C87CA3" w:rsidRPr="006675DE" w:rsidRDefault="00715EA4" w:rsidP="006834FE">
      <w:pPr>
        <w:spacing w:line="360" w:lineRule="auto"/>
        <w:rPr>
          <w:b/>
        </w:rPr>
      </w:pPr>
      <w:r w:rsidRPr="006675DE">
        <w:t xml:space="preserve">The entirety of the data were analysed </w:t>
      </w:r>
      <w:r w:rsidR="00852F8C" w:rsidRPr="006675DE">
        <w:t xml:space="preserve">by the first author </w:t>
      </w:r>
      <w:r w:rsidRPr="006675DE">
        <w:t xml:space="preserve">before any decisions were made regarding the significance of codes, to ensure a broad focus and an inductive approach (Vaismoradi et al., 2016). The broad groups of colour-coded data were used to identify preliminary codes, which were compared and clustered into groups with a common meaning. This was an iterative process, whereby continual revision and comparison allowed for commonalities and connections between codes to be identified. In cases where the data was ambiguous, </w:t>
      </w:r>
      <w:r w:rsidR="00852F8C" w:rsidRPr="006675DE">
        <w:t xml:space="preserve">the first author used </w:t>
      </w:r>
      <w:r w:rsidRPr="006675DE">
        <w:t>intellectual judgement to identify a ‘best fit’. This stage of the process allowed recurrent unifying ideas to emerge as initial themes (Vaismoradi et al</w:t>
      </w:r>
      <w:r w:rsidR="00C87CA3" w:rsidRPr="006675DE">
        <w:t>.,</w:t>
      </w:r>
      <w:r w:rsidRPr="006675DE">
        <w:t xml:space="preserve"> 2016). Labels were subsequently devised for the emerging themes. </w:t>
      </w:r>
    </w:p>
    <w:p w14:paraId="2501B17E" w14:textId="77B801F1" w:rsidR="009271C1" w:rsidRPr="006675DE" w:rsidRDefault="00715EA4" w:rsidP="006834FE">
      <w:pPr>
        <w:spacing w:line="360" w:lineRule="auto"/>
        <w:rPr>
          <w:b/>
        </w:rPr>
      </w:pPr>
      <w:r w:rsidRPr="006675DE">
        <w:t>As noted by Vaismoradi et al</w:t>
      </w:r>
      <w:r w:rsidR="00C87CA3" w:rsidRPr="006675DE">
        <w:t xml:space="preserve">. </w:t>
      </w:r>
      <w:r w:rsidRPr="006675DE">
        <w:t>(2016), researchers must paradoxically be both immersed within the data to ensure a comprehensive understanding, yet maintain sufficient distance to allow a critical approach. In the rectification phase of analysis, they recommend</w:t>
      </w:r>
      <w:r w:rsidR="00C87CA3" w:rsidRPr="006675DE">
        <w:t xml:space="preserve"> that researchers </w:t>
      </w:r>
      <w:r w:rsidRPr="006675DE">
        <w:t>distance</w:t>
      </w:r>
      <w:r w:rsidR="003E465F" w:rsidRPr="006675DE">
        <w:t xml:space="preserve"> </w:t>
      </w:r>
      <w:r w:rsidRPr="006675DE">
        <w:t xml:space="preserve">themselves from the data for a period </w:t>
      </w:r>
      <w:r w:rsidR="003E465F" w:rsidRPr="006675DE">
        <w:t>before verifying the themes to allow greater certainty</w:t>
      </w:r>
      <w:r w:rsidR="005D1CB9" w:rsidRPr="006675DE">
        <w:t>.</w:t>
      </w:r>
      <w:r w:rsidR="00C87CA3" w:rsidRPr="006675DE">
        <w:rPr>
          <w:b/>
        </w:rPr>
        <w:t xml:space="preserve"> </w:t>
      </w:r>
      <w:r w:rsidRPr="006675DE">
        <w:t>Therefore,</w:t>
      </w:r>
      <w:r w:rsidR="00F965D5" w:rsidRPr="006675DE">
        <w:t xml:space="preserve"> following a period of distancing from the data,</w:t>
      </w:r>
      <w:r w:rsidRPr="006675DE">
        <w:t xml:space="preserve"> themes were reappraised for further verification in collaboration with </w:t>
      </w:r>
      <w:r w:rsidR="00F965D5" w:rsidRPr="006675DE">
        <w:t>the second author</w:t>
      </w:r>
      <w:r w:rsidRPr="006675DE">
        <w:t xml:space="preserve"> to ensure discussion of alternative interpretations, provide confirmability of themes and awareness of author bias. </w:t>
      </w:r>
    </w:p>
    <w:p w14:paraId="10FB2E4B" w14:textId="313FE574" w:rsidR="009271C1" w:rsidRPr="006675DE" w:rsidRDefault="009271C1" w:rsidP="006834FE">
      <w:pPr>
        <w:spacing w:line="360" w:lineRule="auto"/>
        <w:rPr>
          <w:b/>
        </w:rPr>
      </w:pPr>
      <w:r w:rsidRPr="006675DE">
        <w:rPr>
          <w:b/>
        </w:rPr>
        <w:t>Results</w:t>
      </w:r>
    </w:p>
    <w:p w14:paraId="7B525393" w14:textId="6A680CD1" w:rsidR="009271C1" w:rsidRPr="006675DE" w:rsidRDefault="009271C1" w:rsidP="006834FE">
      <w:pPr>
        <w:spacing w:line="360" w:lineRule="auto"/>
        <w:rPr>
          <w:b/>
        </w:rPr>
      </w:pPr>
      <w:r w:rsidRPr="006675DE">
        <w:rPr>
          <w:b/>
        </w:rPr>
        <w:t>Selection of studies</w:t>
      </w:r>
    </w:p>
    <w:p w14:paraId="37CDFD96" w14:textId="2326974C" w:rsidR="00E6480D" w:rsidRPr="006675DE" w:rsidRDefault="00E90387" w:rsidP="006834FE">
      <w:pPr>
        <w:spacing w:line="360" w:lineRule="auto"/>
      </w:pPr>
      <w:r w:rsidRPr="006675DE">
        <w:t>From the database searches, 38</w:t>
      </w:r>
      <w:r w:rsidR="00C30A71" w:rsidRPr="006675DE">
        <w:t>3</w:t>
      </w:r>
      <w:r w:rsidRPr="006675DE">
        <w:t xml:space="preserve"> papers were identified, once duplicates were removed. The abstracts of these were screened against the inclusion criteria and 322 </w:t>
      </w:r>
      <w:r w:rsidR="00F26545" w:rsidRPr="006675DE">
        <w:t xml:space="preserve">were </w:t>
      </w:r>
      <w:r w:rsidRPr="006675DE">
        <w:t>excluded. The remaining 60 papers were reviewed in-depth, and f</w:t>
      </w:r>
      <w:r w:rsidR="00C30A71" w:rsidRPr="006675DE">
        <w:t>ive</w:t>
      </w:r>
      <w:r w:rsidRPr="006675DE">
        <w:t xml:space="preserve"> were found to meet the criteria for inclusion. The reference lists of those 60 papers were hand-searched for additional titles and three further papers identified, resulting in </w:t>
      </w:r>
      <w:r w:rsidR="00C30A71" w:rsidRPr="006675DE">
        <w:t>eight</w:t>
      </w:r>
      <w:r w:rsidRPr="006675DE">
        <w:t xml:space="preserve"> papers for review. </w:t>
      </w:r>
      <w:r w:rsidR="00F23EEC" w:rsidRPr="006675DE">
        <w:t xml:space="preserve"> </w:t>
      </w:r>
      <w:r w:rsidR="0098553C" w:rsidRPr="006675DE">
        <w:t xml:space="preserve">Figure 1 depicts the results of the search strategy. </w:t>
      </w:r>
      <w:r w:rsidR="00F23EEC" w:rsidRPr="006675DE">
        <w:t>Table 1 highlights key information regarding the characteristics of each paper.</w:t>
      </w:r>
      <w:r w:rsidR="00E6480D" w:rsidRPr="006675DE">
        <w:t xml:space="preserve"> Details of the characteristics of the patient samples were not always available, nor consistently recorded. However, where stated there were more men than women in most of the samples. Schizophrenia, psychosis of some type (with or without comorbid substance use) and personality disorder were the most commonly stated diagnoses. Where information was available on the legal status of the sample, they were either all involuntary or a combination of voluntary and involuntary patients. Caucasian was the most common ethnic group in all studie</w:t>
      </w:r>
      <w:r w:rsidR="00252492" w:rsidRPr="006675DE">
        <w:t>s</w:t>
      </w:r>
      <w:r w:rsidR="00E6480D" w:rsidRPr="006675DE">
        <w:t xml:space="preserve"> providing this data, followed by African or African-Caribbean and then Asian. </w:t>
      </w:r>
    </w:p>
    <w:p w14:paraId="38F56A1F" w14:textId="5486E805" w:rsidR="00E90387" w:rsidRPr="006675DE" w:rsidRDefault="009271C1" w:rsidP="006834FE">
      <w:pPr>
        <w:spacing w:line="360" w:lineRule="auto"/>
        <w:rPr>
          <w:b/>
        </w:rPr>
      </w:pPr>
      <w:r w:rsidRPr="006675DE">
        <w:rPr>
          <w:b/>
        </w:rPr>
        <w:t>Quality of studies</w:t>
      </w:r>
    </w:p>
    <w:p w14:paraId="605B2FBD" w14:textId="70BDA924" w:rsidR="00D25468" w:rsidRPr="006675DE" w:rsidRDefault="00F26545" w:rsidP="006834FE">
      <w:pPr>
        <w:spacing w:line="360" w:lineRule="auto"/>
      </w:pPr>
      <w:r w:rsidRPr="006675DE">
        <w:t>T</w:t>
      </w:r>
      <w:r w:rsidR="00DF4D93" w:rsidRPr="006675DE">
        <w:t xml:space="preserve">he quality of the evidence </w:t>
      </w:r>
      <w:r w:rsidR="00BA6F5D" w:rsidRPr="006675DE">
        <w:t>was limited</w:t>
      </w:r>
      <w:r w:rsidR="00DF4D93" w:rsidRPr="006675DE">
        <w:t>.  There was no discussion of ethical approval or considerations in four of the papers (Bowers et al</w:t>
      </w:r>
      <w:r w:rsidR="00FF517C" w:rsidRPr="006675DE">
        <w:t>.,</w:t>
      </w:r>
      <w:r w:rsidR="00DF4D93" w:rsidRPr="006675DE">
        <w:t xml:space="preserve"> 1999</w:t>
      </w:r>
      <w:r w:rsidR="00FF517C" w:rsidRPr="006675DE">
        <w:t>;</w:t>
      </w:r>
      <w:r w:rsidR="00DF4D93" w:rsidRPr="006675DE">
        <w:t xml:space="preserve"> </w:t>
      </w:r>
      <w:r w:rsidR="00541EAB" w:rsidRPr="006675DE">
        <w:t xml:space="preserve">Falkowski et al., 1990; McIndoe, 1986; </w:t>
      </w:r>
      <w:r w:rsidR="00DF4D93" w:rsidRPr="006675DE">
        <w:t>Meehan et al</w:t>
      </w:r>
      <w:r w:rsidR="00FF517C" w:rsidRPr="006675DE">
        <w:t>.,</w:t>
      </w:r>
      <w:r w:rsidR="00DF4D93" w:rsidRPr="006675DE">
        <w:t xml:space="preserve"> 1999). Bowers et al</w:t>
      </w:r>
      <w:r w:rsidR="00FF517C" w:rsidRPr="006675DE">
        <w:t>.</w:t>
      </w:r>
      <w:r w:rsidR="00DF4D93" w:rsidRPr="006675DE">
        <w:t xml:space="preserve"> (1999) referred to </w:t>
      </w:r>
      <w:r w:rsidR="00E97204" w:rsidRPr="006675DE">
        <w:t>‘</w:t>
      </w:r>
      <w:r w:rsidR="00DF4D93" w:rsidRPr="006675DE">
        <w:t>ward staff</w:t>
      </w:r>
      <w:r w:rsidR="00E97204" w:rsidRPr="006675DE">
        <w:t>’</w:t>
      </w:r>
      <w:r w:rsidR="00DF4D93" w:rsidRPr="006675DE">
        <w:t xml:space="preserve"> being responsible for determining whether </w:t>
      </w:r>
      <w:r w:rsidR="00814091" w:rsidRPr="006675DE">
        <w:t>patient</w:t>
      </w:r>
      <w:r w:rsidR="00DF4D93" w:rsidRPr="006675DE">
        <w:t xml:space="preserve">s were </w:t>
      </w:r>
      <w:r w:rsidR="00E97204" w:rsidRPr="006675DE">
        <w:t>able to give informed consent to</w:t>
      </w:r>
      <w:r w:rsidR="00DF4D93" w:rsidRPr="006675DE">
        <w:t xml:space="preserve"> participate in the research, but d</w:t>
      </w:r>
      <w:r w:rsidR="00E97204" w:rsidRPr="006675DE">
        <w:t>id</w:t>
      </w:r>
      <w:r w:rsidR="00DF4D93" w:rsidRPr="006675DE">
        <w:t xml:space="preserve"> not specify which professional groups this included or whether those staff were sufficiently skilled to make such judgements. This omission is significant, particularly as one or two interviews were terminated prematurely as it transpired the participants were too unwell to participate. The more recent papers (</w:t>
      </w:r>
      <w:r w:rsidR="00541EAB" w:rsidRPr="006675DE">
        <w:t xml:space="preserve">Martin et al. 2018; Mezey et al., 2015; </w:t>
      </w:r>
      <w:r w:rsidR="00DF4D93" w:rsidRPr="006675DE">
        <w:t>Muir-Cochrane et al</w:t>
      </w:r>
      <w:r w:rsidR="00FF517C" w:rsidRPr="006675DE">
        <w:t>.,</w:t>
      </w:r>
      <w:r w:rsidR="00DF4D93" w:rsidRPr="006675DE">
        <w:t xml:space="preserve"> 2013; Wilkie et al</w:t>
      </w:r>
      <w:r w:rsidR="00FF517C" w:rsidRPr="006675DE">
        <w:t>.,</w:t>
      </w:r>
      <w:r w:rsidR="00DF4D93" w:rsidRPr="006675DE">
        <w:t xml:space="preserve"> 2014) showed greater consideration of ethical considerations. Furthermore, all of the papers lacked an explicit discussion of the potential role, bias or influence of the researchers</w:t>
      </w:r>
      <w:r w:rsidR="00C44E2A" w:rsidRPr="006675DE">
        <w:t xml:space="preserve"> in the research process</w:t>
      </w:r>
      <w:r w:rsidR="00DF4D93" w:rsidRPr="006675DE">
        <w:t>; this lack of transparency indicates a lack of reflexivity, which is fundamental to rigorous qualitative research (Engward &amp; Davis</w:t>
      </w:r>
      <w:r w:rsidR="00FF517C" w:rsidRPr="006675DE">
        <w:t>,</w:t>
      </w:r>
      <w:r w:rsidR="00DF4D93" w:rsidRPr="006675DE">
        <w:t xml:space="preserve"> 2015). </w:t>
      </w:r>
    </w:p>
    <w:p w14:paraId="0BAFD191" w14:textId="06BEEEE8" w:rsidR="00DF4D93" w:rsidRPr="006675DE" w:rsidRDefault="00AB01AB" w:rsidP="006834FE">
      <w:pPr>
        <w:spacing w:line="360" w:lineRule="auto"/>
      </w:pPr>
      <w:r w:rsidRPr="006675DE">
        <w:t>Five</w:t>
      </w:r>
      <w:r w:rsidR="00DF4D93" w:rsidRPr="006675DE">
        <w:t xml:space="preserve"> of the papers employed a semi-structured interview design (Bowers et al</w:t>
      </w:r>
      <w:r w:rsidR="00FF517C" w:rsidRPr="006675DE">
        <w:t>.,</w:t>
      </w:r>
      <w:r w:rsidR="00DF4D93" w:rsidRPr="006675DE">
        <w:t xml:space="preserve"> 1999; </w:t>
      </w:r>
      <w:r w:rsidR="00050725" w:rsidRPr="006675DE">
        <w:t xml:space="preserve">Falkowski et al., 1990; McIndoe, 1986; </w:t>
      </w:r>
      <w:r w:rsidR="00DF4D93" w:rsidRPr="006675DE">
        <w:t>Meehan et al</w:t>
      </w:r>
      <w:r w:rsidR="00FF517C" w:rsidRPr="006675DE">
        <w:t>.,</w:t>
      </w:r>
      <w:r w:rsidR="00DF4D93" w:rsidRPr="006675DE">
        <w:t xml:space="preserve"> 1999; Muir-Cochrane et al</w:t>
      </w:r>
      <w:r w:rsidR="00FF517C" w:rsidRPr="006675DE">
        <w:t>.,</w:t>
      </w:r>
      <w:r w:rsidR="00DF4D93" w:rsidRPr="006675DE">
        <w:t xml:space="preserve"> 2013), which allows for understanding of subjective</w:t>
      </w:r>
      <w:r w:rsidR="00CB5C76" w:rsidRPr="006675DE">
        <w:t>, individual perspectives and the meaning which people attach to their experiences</w:t>
      </w:r>
      <w:r w:rsidR="00DF4D93" w:rsidRPr="006675DE">
        <w:t xml:space="preserve"> (DiCicco-Bloom &amp; Crabtree</w:t>
      </w:r>
      <w:r w:rsidR="00FF517C" w:rsidRPr="006675DE">
        <w:t>,</w:t>
      </w:r>
      <w:r w:rsidR="00DF4D93" w:rsidRPr="006675DE">
        <w:t xml:space="preserve"> 2006).</w:t>
      </w:r>
      <w:r w:rsidR="00CB5C76" w:rsidRPr="006675DE">
        <w:t xml:space="preserve"> Semi-structured interviews are of particular value in offering a voice to those who may feel disempowered with regard</w:t>
      </w:r>
      <w:r w:rsidR="00193CC0" w:rsidRPr="006675DE">
        <w:t>s</w:t>
      </w:r>
      <w:r w:rsidR="00CB5C76" w:rsidRPr="006675DE">
        <w:t xml:space="preserve"> to their health and illness, and may otherwise have limited opportunity for involvement in research activities (Low, 2013). I</w:t>
      </w:r>
      <w:r w:rsidR="00DF4D93" w:rsidRPr="006675DE">
        <w:t>nterviews were generally recorded and transcribed verbatim, which enhances the reliability of the data (Jamshed</w:t>
      </w:r>
      <w:r w:rsidR="00FF517C" w:rsidRPr="006675DE">
        <w:t>,</w:t>
      </w:r>
      <w:r w:rsidR="00DF4D93" w:rsidRPr="006675DE">
        <w:t xml:space="preserve"> 2014). </w:t>
      </w:r>
      <w:r w:rsidRPr="006675DE">
        <w:t>The data resulting from these five papers was considered either quite valuable or highly valuable</w:t>
      </w:r>
      <w:r w:rsidR="007D0C33" w:rsidRPr="006675DE">
        <w:t xml:space="preserve"> in terms of its contribution to the review question</w:t>
      </w:r>
      <w:r w:rsidRPr="006675DE">
        <w:t xml:space="preserve">. </w:t>
      </w:r>
      <w:r w:rsidR="00DF4D93" w:rsidRPr="006675DE">
        <w:t xml:space="preserve">However, </w:t>
      </w:r>
      <w:r w:rsidRPr="006675DE">
        <w:t xml:space="preserve">the remaining </w:t>
      </w:r>
      <w:r w:rsidR="00DF4D93" w:rsidRPr="006675DE">
        <w:t>t</w:t>
      </w:r>
      <w:r w:rsidR="00A70998" w:rsidRPr="006675DE">
        <w:t>hree</w:t>
      </w:r>
      <w:r w:rsidR="00DF4D93" w:rsidRPr="006675DE">
        <w:t xml:space="preserve"> papers employed case note analysis (</w:t>
      </w:r>
      <w:r w:rsidRPr="006675DE">
        <w:t>Martin et al. 2018</w:t>
      </w:r>
      <w:r w:rsidR="00050725" w:rsidRPr="006675DE">
        <w:t>; Mezey et al., 2015; Wilkie et al., 2014</w:t>
      </w:r>
      <w:r w:rsidR="00DF4D93" w:rsidRPr="006675DE">
        <w:t>) which relied upon clinical documentation</w:t>
      </w:r>
      <w:r w:rsidR="00BA6F5D" w:rsidRPr="006675DE">
        <w:t xml:space="preserve"> of the </w:t>
      </w:r>
      <w:r w:rsidR="00814091" w:rsidRPr="006675DE">
        <w:t>patient</w:t>
      </w:r>
      <w:r w:rsidR="00DF4D93" w:rsidRPr="006675DE">
        <w:t xml:space="preserve">s’ reasons for absconding. These papers did not engage </w:t>
      </w:r>
      <w:r w:rsidR="00814091" w:rsidRPr="006675DE">
        <w:t>patient</w:t>
      </w:r>
      <w:r w:rsidR="00DF4D93" w:rsidRPr="006675DE">
        <w:t>s first-hand and may have been biased by the staff completing the documentation. Accessing such data retrospectively also preclude</w:t>
      </w:r>
      <w:r w:rsidR="00B55ADC" w:rsidRPr="006675DE">
        <w:t>d</w:t>
      </w:r>
      <w:r w:rsidR="00DF4D93" w:rsidRPr="006675DE">
        <w:t xml:space="preserve"> the researchers from clarifying points of ambiguity</w:t>
      </w:r>
      <w:r w:rsidR="00B55ADC" w:rsidRPr="006675DE">
        <w:t xml:space="preserve"> with </w:t>
      </w:r>
      <w:r w:rsidR="00DF4D93" w:rsidRPr="006675DE">
        <w:t xml:space="preserve">participants. </w:t>
      </w:r>
      <w:r w:rsidR="007D0C33" w:rsidRPr="006675DE">
        <w:t>Careful consideration was given to whether the papers contributed sufficient value to be included within the synthesis. Whilst the methodological limitations of doing so were noted, there is a dearth of primary qualitative research on this topic</w:t>
      </w:r>
      <w:r w:rsidR="00B55ADC" w:rsidRPr="006675DE">
        <w:t xml:space="preserve">, hence the importance of including all </w:t>
      </w:r>
      <w:r w:rsidR="000C1785" w:rsidRPr="006675DE">
        <w:t>studies which aimed to understand patient motivations for absconding</w:t>
      </w:r>
      <w:r w:rsidR="00B55ADC" w:rsidRPr="006675DE">
        <w:t xml:space="preserve"> was considered to outweigh the potential risks to the quality of the findings.</w:t>
      </w:r>
      <w:r w:rsidR="00BA6F5D" w:rsidRPr="006675DE">
        <w:t xml:space="preserve"> </w:t>
      </w:r>
      <w:r w:rsidR="00B55ADC" w:rsidRPr="006675DE">
        <w:t>Furthermore, these papers were all conducted in forensic services, hence the choice of methodology may reflect ethical or practical complexities in engaging directly with that population, although this was not explicitly addressed in the papers.</w:t>
      </w:r>
      <w:r w:rsidR="00BA6F5D" w:rsidRPr="006675DE">
        <w:t xml:space="preserve"> </w:t>
      </w:r>
    </w:p>
    <w:p w14:paraId="6EED24EE" w14:textId="27FDB043" w:rsidR="0023409A" w:rsidRPr="006675DE" w:rsidRDefault="00DF4D93" w:rsidP="006834FE">
      <w:pPr>
        <w:spacing w:line="360" w:lineRule="auto"/>
      </w:pPr>
      <w:r w:rsidRPr="006675DE">
        <w:t>The sample size of the papers included in the review ranged from five (McIndoe</w:t>
      </w:r>
      <w:r w:rsidR="00FF517C" w:rsidRPr="006675DE">
        <w:t>,</w:t>
      </w:r>
      <w:r w:rsidRPr="006675DE">
        <w:t xml:space="preserve"> 1986) to 76 (Falkowski et al</w:t>
      </w:r>
      <w:r w:rsidR="00FF517C" w:rsidRPr="006675DE">
        <w:t>.,</w:t>
      </w:r>
      <w:r w:rsidRPr="006675DE">
        <w:t xml:space="preserve"> 199</w:t>
      </w:r>
      <w:r w:rsidR="00193CC0" w:rsidRPr="006675DE">
        <w:t>0</w:t>
      </w:r>
      <w:r w:rsidRPr="006675DE">
        <w:t>). Muir-Cochrane et al</w:t>
      </w:r>
      <w:r w:rsidR="00FF517C" w:rsidRPr="006675DE">
        <w:t>.</w:t>
      </w:r>
      <w:r w:rsidRPr="006675DE">
        <w:t xml:space="preserve"> (2013) included 12 participants in their study, </w:t>
      </w:r>
      <w:r w:rsidR="00193CC0" w:rsidRPr="006675DE">
        <w:t>and explained clearly</w:t>
      </w:r>
      <w:r w:rsidRPr="006675DE">
        <w:t xml:space="preserve"> the process through which data saturation was reached. However, they fail</w:t>
      </w:r>
      <w:r w:rsidR="00B93D69" w:rsidRPr="006675DE">
        <w:t>ed</w:t>
      </w:r>
      <w:r w:rsidRPr="006675DE">
        <w:t xml:space="preserve"> to address the inherent limitations of their recruitment strategy, which involved advertising in a community-based no</w:t>
      </w:r>
      <w:r w:rsidR="00F26545" w:rsidRPr="006675DE">
        <w:t>t</w:t>
      </w:r>
      <w:r w:rsidRPr="006675DE">
        <w:t>-for-profit organisation; this method of purposive sampling exclude</w:t>
      </w:r>
      <w:r w:rsidR="00B93D69" w:rsidRPr="006675DE">
        <w:t>s</w:t>
      </w:r>
      <w:r w:rsidRPr="006675DE">
        <w:t xml:space="preserve"> participants who are not engaged with such community services and the findings may not be generalisable to the </w:t>
      </w:r>
      <w:r w:rsidR="00B93D69" w:rsidRPr="006675DE">
        <w:t xml:space="preserve">wider </w:t>
      </w:r>
      <w:r w:rsidRPr="006675DE">
        <w:t xml:space="preserve">population. </w:t>
      </w:r>
      <w:r w:rsidR="00811089" w:rsidRPr="006675DE">
        <w:t xml:space="preserve">Recruitment for all of the remaining papers involved data from participants </w:t>
      </w:r>
      <w:r w:rsidR="00B95B58" w:rsidRPr="006675DE">
        <w:t>with recent experience of having absconded</w:t>
      </w:r>
      <w:r w:rsidR="00DA05A7" w:rsidRPr="006675DE">
        <w:t xml:space="preserve"> during a contemporaneous hospital admission.</w:t>
      </w:r>
    </w:p>
    <w:p w14:paraId="6CD6753E" w14:textId="538AB0B7" w:rsidR="00DF4D93" w:rsidRPr="006675DE" w:rsidRDefault="0023409A" w:rsidP="006834FE">
      <w:pPr>
        <w:spacing w:line="360" w:lineRule="auto"/>
      </w:pPr>
      <w:r w:rsidRPr="006675DE">
        <w:t xml:space="preserve">Quality of data collection and analysis was variable. </w:t>
      </w:r>
      <w:r w:rsidR="00DF4D93" w:rsidRPr="006675DE">
        <w:t>Bowers et al</w:t>
      </w:r>
      <w:r w:rsidR="00FF517C" w:rsidRPr="006675DE">
        <w:t>.</w:t>
      </w:r>
      <w:r w:rsidR="00DF4D93" w:rsidRPr="006675DE">
        <w:t xml:space="preserve"> (1999) </w:t>
      </w:r>
      <w:r w:rsidR="00193CC0" w:rsidRPr="006675DE">
        <w:t>w</w:t>
      </w:r>
      <w:r w:rsidRPr="006675DE">
        <w:t>ere</w:t>
      </w:r>
      <w:r w:rsidR="00193CC0" w:rsidRPr="006675DE">
        <w:t xml:space="preserve"> rigorous, insofar as they interviewed participants shortly after each absconding event using an evidence-informed semi-structured interview schedule and the data were analysed using </w:t>
      </w:r>
      <w:r w:rsidR="00B93D69" w:rsidRPr="006675DE">
        <w:t>an appropriate software programme</w:t>
      </w:r>
      <w:r w:rsidR="00193CC0" w:rsidRPr="006675DE">
        <w:t xml:space="preserve">. </w:t>
      </w:r>
      <w:r w:rsidR="00B93D69" w:rsidRPr="006675DE">
        <w:t xml:space="preserve">Similarly, Muir-Cochrane et al. </w:t>
      </w:r>
      <w:r w:rsidR="00C44E2A" w:rsidRPr="006675DE">
        <w:t>(</w:t>
      </w:r>
      <w:r w:rsidR="00B93D69" w:rsidRPr="006675DE">
        <w:t>2013</w:t>
      </w:r>
      <w:r w:rsidR="00C44E2A" w:rsidRPr="006675DE">
        <w:t>)</w:t>
      </w:r>
      <w:r w:rsidR="00B93D69" w:rsidRPr="006675DE">
        <w:t xml:space="preserve"> adopted an evidence-based checklist of criteria to ensure the efficacy of their analysis and imported data into a programme, followed by a process of repeatedly cross-checking their themes between multiple authors. Conversely, several papers failed to provide a</w:t>
      </w:r>
      <w:r w:rsidR="00DF4D93" w:rsidRPr="006675DE">
        <w:t xml:space="preserve"> comprehensive account of how data were analysed</w:t>
      </w:r>
      <w:r w:rsidR="00C44E2A" w:rsidRPr="006675DE">
        <w:t xml:space="preserve">, </w:t>
      </w:r>
      <w:r w:rsidR="00B95B58" w:rsidRPr="006675DE">
        <w:t>or</w:t>
      </w:r>
      <w:r w:rsidR="00B93D69" w:rsidRPr="006675DE">
        <w:t xml:space="preserve"> steps taken to mitigate against researcher bias and influence (Falkowski et al. 1990; Martin et al. 2018; McIndoe, 1986; Meehan et al. 1999</w:t>
      </w:r>
      <w:r w:rsidR="00D04531" w:rsidRPr="006675DE">
        <w:t>; Mezey et al., 2015</w:t>
      </w:r>
      <w:r w:rsidR="005D7E54" w:rsidRPr="006675DE">
        <w:t xml:space="preserve">; </w:t>
      </w:r>
      <w:r w:rsidR="00D04531" w:rsidRPr="006675DE">
        <w:t>Wilkie et al. 2014</w:t>
      </w:r>
      <w:r w:rsidR="00B93D69" w:rsidRPr="006675DE">
        <w:t>)</w:t>
      </w:r>
      <w:r w:rsidR="00DF4D93" w:rsidRPr="006675DE">
        <w:t xml:space="preserve">. </w:t>
      </w:r>
    </w:p>
    <w:p w14:paraId="4184EB1F" w14:textId="2F98B02D" w:rsidR="009271C1" w:rsidRPr="006675DE" w:rsidRDefault="009271C1" w:rsidP="006834FE">
      <w:pPr>
        <w:spacing w:line="360" w:lineRule="auto"/>
        <w:rPr>
          <w:b/>
        </w:rPr>
      </w:pPr>
      <w:r w:rsidRPr="006675DE">
        <w:rPr>
          <w:b/>
        </w:rPr>
        <w:t>Analysis</w:t>
      </w:r>
    </w:p>
    <w:p w14:paraId="413B7AA1" w14:textId="7EA5F252" w:rsidR="00DF4D93" w:rsidRPr="006675DE" w:rsidRDefault="00DF4D93" w:rsidP="006834FE">
      <w:pPr>
        <w:spacing w:line="360" w:lineRule="auto"/>
      </w:pPr>
      <w:bookmarkStart w:id="1" w:name="_Hlk507506458"/>
      <w:r w:rsidRPr="006675DE">
        <w:t xml:space="preserve">Findings from these research papers were synthesised across one overarching theme of seeking freedom. Within this, </w:t>
      </w:r>
      <w:r w:rsidR="000C1785" w:rsidRPr="006675DE">
        <w:t>four</w:t>
      </w:r>
      <w:r w:rsidRPr="006675DE">
        <w:t xml:space="preserve"> sub-themes were identified:  1) seeking freedom to find relief, 2) to regain power and control over their lives</w:t>
      </w:r>
      <w:r w:rsidR="000C1785" w:rsidRPr="006675DE">
        <w:t>,</w:t>
      </w:r>
      <w:r w:rsidRPr="006675DE">
        <w:t xml:space="preserve"> 3) to address unmet needs</w:t>
      </w:r>
      <w:r w:rsidR="000C1785" w:rsidRPr="006675DE">
        <w:t xml:space="preserve"> and 4) </w:t>
      </w:r>
      <w:r w:rsidR="00BD4A9E" w:rsidRPr="006675DE">
        <w:t>opportunistically</w:t>
      </w:r>
      <w:r w:rsidR="000C1785" w:rsidRPr="006675DE">
        <w:t>.</w:t>
      </w:r>
    </w:p>
    <w:p w14:paraId="19CB43FE" w14:textId="77777777" w:rsidR="00DF4D93" w:rsidRPr="006675DE" w:rsidRDefault="00DF4D93" w:rsidP="006834FE">
      <w:pPr>
        <w:spacing w:line="360" w:lineRule="auto"/>
        <w:rPr>
          <w:b/>
        </w:rPr>
      </w:pPr>
      <w:bookmarkStart w:id="2" w:name="_Hlk12011176"/>
      <w:bookmarkEnd w:id="1"/>
      <w:r w:rsidRPr="006675DE">
        <w:rPr>
          <w:b/>
        </w:rPr>
        <w:t xml:space="preserve">Seeking freedom </w:t>
      </w:r>
    </w:p>
    <w:p w14:paraId="5FBD1B4E" w14:textId="23C6AEAA" w:rsidR="00E87DFA" w:rsidRPr="006675DE" w:rsidRDefault="00E87DFA" w:rsidP="006834FE">
      <w:pPr>
        <w:spacing w:line="360" w:lineRule="auto"/>
      </w:pPr>
      <w:r w:rsidRPr="006675DE">
        <w:t xml:space="preserve">The overarching theme identified was </w:t>
      </w:r>
      <w:r w:rsidRPr="006675DE">
        <w:rPr>
          <w:i/>
        </w:rPr>
        <w:t>seeking freedom</w:t>
      </w:r>
      <w:r w:rsidRPr="006675DE">
        <w:t xml:space="preserve">. The analysis identified that the word ‘abscond’ or variants thereof were not used by </w:t>
      </w:r>
      <w:r w:rsidR="00814091" w:rsidRPr="006675DE">
        <w:t>patient</w:t>
      </w:r>
      <w:r w:rsidRPr="006675DE">
        <w:t>s, and their understanding of absconding</w:t>
      </w:r>
      <w:r w:rsidR="00F26545" w:rsidRPr="006675DE">
        <w:t xml:space="preserve"> was</w:t>
      </w:r>
      <w:r w:rsidRPr="006675DE">
        <w:t xml:space="preserve"> best conceptualised as an act of </w:t>
      </w:r>
      <w:r w:rsidRPr="006675DE">
        <w:rPr>
          <w:i/>
        </w:rPr>
        <w:t xml:space="preserve">seeking freedom. </w:t>
      </w:r>
      <w:r w:rsidRPr="006675DE">
        <w:t xml:space="preserve">This reflected the meaning </w:t>
      </w:r>
      <w:r w:rsidR="00814091" w:rsidRPr="006675DE">
        <w:t>patient</w:t>
      </w:r>
      <w:r w:rsidRPr="006675DE">
        <w:t xml:space="preserve">s attached to the behaviour and validated their experience. For some, </w:t>
      </w:r>
      <w:r w:rsidRPr="006675DE">
        <w:rPr>
          <w:i/>
          <w:iCs/>
        </w:rPr>
        <w:t>seeking freedom</w:t>
      </w:r>
      <w:r w:rsidRPr="006675DE">
        <w:t xml:space="preserve"> related to having the ability to do what they wanted, when they wanted to. For example, when asked what stood out most in their mind about the time they spent away from the hospital, one participant in McIndoe’s (1986:20) paper, responded “The freedom to do what I wanted to do. Freedom to feed the chickens. Make bacon and toast. Eat real food.” For others, </w:t>
      </w:r>
      <w:r w:rsidRPr="006675DE">
        <w:rPr>
          <w:i/>
          <w:iCs/>
        </w:rPr>
        <w:t>seeking freedom</w:t>
      </w:r>
      <w:r w:rsidRPr="006675DE">
        <w:t xml:space="preserve"> described a drive to escape the psychological and physical restrictions of the hospital; a sense of needing to “leave this place” (Wilkie et al 2014:8). This </w:t>
      </w:r>
      <w:r w:rsidR="00D42E58" w:rsidRPr="006675DE">
        <w:t>motivations</w:t>
      </w:r>
      <w:r w:rsidRPr="006675DE">
        <w:t xml:space="preserve"> was also reflected in Bowers et al.’s (1999) categorisation of participants “angrily leaving” out of frustration at being restricted, vs.  “going to” </w:t>
      </w:r>
      <w:r w:rsidR="000C1785" w:rsidRPr="006675DE">
        <w:t>some</w:t>
      </w:r>
      <w:r w:rsidRPr="006675DE">
        <w:t xml:space="preserve">where they could be afforded greater liberty.  </w:t>
      </w:r>
    </w:p>
    <w:p w14:paraId="22E8CB32" w14:textId="33AF5177" w:rsidR="00DF4D93" w:rsidRPr="006675DE" w:rsidRDefault="00BF46E5" w:rsidP="006834FE">
      <w:pPr>
        <w:spacing w:line="360" w:lineRule="auto"/>
      </w:pPr>
      <w:r w:rsidRPr="006675DE">
        <w:t>M</w:t>
      </w:r>
      <w:r w:rsidR="00E87DFA" w:rsidRPr="006675DE">
        <w:t xml:space="preserve">otivations for </w:t>
      </w:r>
      <w:r w:rsidR="00E87DFA" w:rsidRPr="006675DE">
        <w:rPr>
          <w:i/>
          <w:iCs/>
        </w:rPr>
        <w:t>seeking freedo</w:t>
      </w:r>
      <w:r w:rsidRPr="006675DE">
        <w:rPr>
          <w:i/>
          <w:iCs/>
        </w:rPr>
        <w:t>m</w:t>
      </w:r>
      <w:r w:rsidR="00E87DFA" w:rsidRPr="006675DE">
        <w:rPr>
          <w:i/>
          <w:iCs/>
        </w:rPr>
        <w:t xml:space="preserve"> </w:t>
      </w:r>
      <w:r w:rsidR="00E87DFA" w:rsidRPr="006675DE">
        <w:t>were variable, and</w:t>
      </w:r>
      <w:r w:rsidR="00E87DFA" w:rsidRPr="006675DE">
        <w:rPr>
          <w:i/>
        </w:rPr>
        <w:t xml:space="preserve"> </w:t>
      </w:r>
      <w:r w:rsidR="00E87DFA" w:rsidRPr="006675DE">
        <w:t xml:space="preserve">four subthemes were identified that described these: </w:t>
      </w:r>
      <w:r w:rsidR="00E87DFA" w:rsidRPr="006675DE">
        <w:rPr>
          <w:i/>
        </w:rPr>
        <w:t>seeking freedom to find relief, to regain power and control over their lives,</w:t>
      </w:r>
      <w:r w:rsidR="00E87DFA" w:rsidRPr="006675DE">
        <w:t xml:space="preserve"> </w:t>
      </w:r>
      <w:r w:rsidR="00E87DFA" w:rsidRPr="006675DE">
        <w:rPr>
          <w:i/>
        </w:rPr>
        <w:t xml:space="preserve">to address an unmet need </w:t>
      </w:r>
      <w:r w:rsidR="00E87DFA" w:rsidRPr="006675DE">
        <w:rPr>
          <w:iCs/>
        </w:rPr>
        <w:t xml:space="preserve">and finally </w:t>
      </w:r>
      <w:r w:rsidR="00E87DFA" w:rsidRPr="006675DE">
        <w:rPr>
          <w:i/>
        </w:rPr>
        <w:t>seeking freedom</w:t>
      </w:r>
      <w:r w:rsidR="00E87DFA" w:rsidRPr="006675DE">
        <w:rPr>
          <w:iCs/>
        </w:rPr>
        <w:t xml:space="preserve"> </w:t>
      </w:r>
      <w:r w:rsidR="00E87DFA" w:rsidRPr="006675DE">
        <w:rPr>
          <w:i/>
        </w:rPr>
        <w:t xml:space="preserve">opportunistically. </w:t>
      </w:r>
      <w:r w:rsidR="00E87DFA" w:rsidRPr="006675DE">
        <w:t xml:space="preserve">The themes were interrelated in many ways and it was the complex interaction between them which ultimately motivated </w:t>
      </w:r>
      <w:r w:rsidR="00814091" w:rsidRPr="006675DE">
        <w:t>patient</w:t>
      </w:r>
      <w:r w:rsidR="00E87DFA" w:rsidRPr="006675DE">
        <w:t xml:space="preserve">s to seek freedom. </w:t>
      </w:r>
      <w:bookmarkEnd w:id="2"/>
    </w:p>
    <w:p w14:paraId="6924A870" w14:textId="443C6B20" w:rsidR="0045583C" w:rsidRPr="006675DE" w:rsidRDefault="00DF4D93" w:rsidP="006834FE">
      <w:pPr>
        <w:spacing w:line="360" w:lineRule="auto"/>
        <w:rPr>
          <w:b/>
        </w:rPr>
      </w:pPr>
      <w:r w:rsidRPr="006675DE">
        <w:rPr>
          <w:b/>
        </w:rPr>
        <w:t>Seeking freedom to find relief</w:t>
      </w:r>
    </w:p>
    <w:p w14:paraId="6D489C77" w14:textId="3EADEDFC" w:rsidR="0045583C" w:rsidRPr="006675DE" w:rsidRDefault="00DF4D93" w:rsidP="006834FE">
      <w:pPr>
        <w:spacing w:line="360" w:lineRule="auto"/>
      </w:pPr>
      <w:r w:rsidRPr="006675DE">
        <w:t xml:space="preserve">A theme identified in seven papers was seeking freedom to find relief from a place that </w:t>
      </w:r>
      <w:r w:rsidR="00814091" w:rsidRPr="006675DE">
        <w:t>patient</w:t>
      </w:r>
      <w:r w:rsidRPr="006675DE">
        <w:t xml:space="preserve">s found intolerable, namely a psychiatric hospital.  Each paper referred to aspects of the environment that they sought freedom from, including fear of other </w:t>
      </w:r>
      <w:r w:rsidR="00814091" w:rsidRPr="006675DE">
        <w:t>patient</w:t>
      </w:r>
      <w:r w:rsidRPr="006675DE">
        <w:t xml:space="preserve">s, unpleasant interactions with hospital staff or discomfort due to mental state. </w:t>
      </w:r>
    </w:p>
    <w:p w14:paraId="2896740B" w14:textId="65F11F58" w:rsidR="0045583C" w:rsidRPr="006675DE" w:rsidRDefault="00DF4D93" w:rsidP="006834FE">
      <w:pPr>
        <w:spacing w:line="360" w:lineRule="auto"/>
      </w:pPr>
      <w:r w:rsidRPr="006675DE">
        <w:t xml:space="preserve">Some </w:t>
      </w:r>
      <w:r w:rsidR="00814091" w:rsidRPr="006675DE">
        <w:t>patient</w:t>
      </w:r>
      <w:r w:rsidRPr="006675DE">
        <w:t>s sought</w:t>
      </w:r>
      <w:r w:rsidRPr="006675DE">
        <w:rPr>
          <w:i/>
        </w:rPr>
        <w:t xml:space="preserve"> </w:t>
      </w:r>
      <w:r w:rsidRPr="006675DE">
        <w:t>freedom to find relief from the hospital environment. This could involve the physical environment, such as the noise, temperature, food, décor, lack of privacy and stuffiness (Bowers et al</w:t>
      </w:r>
      <w:r w:rsidR="00FF517C" w:rsidRPr="006675DE">
        <w:t>.,</w:t>
      </w:r>
      <w:r w:rsidRPr="006675DE">
        <w:t xml:space="preserve"> </w:t>
      </w:r>
      <w:r w:rsidR="00156548" w:rsidRPr="006675DE">
        <w:t>1999b</w:t>
      </w:r>
      <w:r w:rsidRPr="006675DE">
        <w:t xml:space="preserve">; </w:t>
      </w:r>
      <w:r w:rsidR="0093361E" w:rsidRPr="006675DE">
        <w:t xml:space="preserve">Falkowski et al., 1990; </w:t>
      </w:r>
      <w:r w:rsidRPr="006675DE">
        <w:t>Muir-Cochrane et al</w:t>
      </w:r>
      <w:r w:rsidR="00FF517C" w:rsidRPr="006675DE">
        <w:t>.,</w:t>
      </w:r>
      <w:r w:rsidRPr="006675DE">
        <w:t xml:space="preserve"> 2013) but could also relate to the hospital atmosphere, which was considered alien, stressful, volatile and claustrophobic (Bowers et al</w:t>
      </w:r>
      <w:r w:rsidR="00FF517C" w:rsidRPr="006675DE">
        <w:t>.,</w:t>
      </w:r>
      <w:r w:rsidRPr="006675DE">
        <w:t xml:space="preserve"> </w:t>
      </w:r>
      <w:r w:rsidR="00156548" w:rsidRPr="006675DE">
        <w:t>1999b</w:t>
      </w:r>
      <w:r w:rsidRPr="006675DE">
        <w:t>; Meehan et al</w:t>
      </w:r>
      <w:r w:rsidR="00FF517C" w:rsidRPr="006675DE">
        <w:t>.,</w:t>
      </w:r>
      <w:r w:rsidRPr="006675DE">
        <w:t xml:space="preserve"> 1999; Muir-Cochrane et al</w:t>
      </w:r>
      <w:r w:rsidR="00FF517C" w:rsidRPr="006675DE">
        <w:t>.,</w:t>
      </w:r>
      <w:r w:rsidRPr="006675DE">
        <w:t xml:space="preserve"> 2013). Boredom was also raised, with </w:t>
      </w:r>
      <w:r w:rsidR="00814091" w:rsidRPr="006675DE">
        <w:t>patient</w:t>
      </w:r>
      <w:r w:rsidRPr="006675DE">
        <w:t>s finding it difficult to pass the time and finding little relief from hospital activity programmes (Bowers et al</w:t>
      </w:r>
      <w:r w:rsidR="00FF517C" w:rsidRPr="006675DE">
        <w:t>.,</w:t>
      </w:r>
      <w:r w:rsidRPr="006675DE">
        <w:t xml:space="preserve"> </w:t>
      </w:r>
      <w:r w:rsidR="00156548" w:rsidRPr="006675DE">
        <w:t>1999b</w:t>
      </w:r>
      <w:r w:rsidRPr="006675DE">
        <w:t>; Meehan et al</w:t>
      </w:r>
      <w:r w:rsidR="00FF517C" w:rsidRPr="006675DE">
        <w:t>.,</w:t>
      </w:r>
      <w:r w:rsidRPr="006675DE">
        <w:t xml:space="preserve"> 1999; Muir-Cochrane et al</w:t>
      </w:r>
      <w:r w:rsidR="00FF517C" w:rsidRPr="006675DE">
        <w:t>.,</w:t>
      </w:r>
      <w:r w:rsidRPr="006675DE">
        <w:t xml:space="preserve"> 2013). Overall, </w:t>
      </w:r>
      <w:r w:rsidR="00814091" w:rsidRPr="006675DE">
        <w:t>patient</w:t>
      </w:r>
      <w:r w:rsidRPr="006675DE">
        <w:t xml:space="preserve">s identified the hospital environment as intolerable, driving them to abscond and seek solace elsewhere. </w:t>
      </w:r>
    </w:p>
    <w:p w14:paraId="32FD9758" w14:textId="26AA516E" w:rsidR="0045583C" w:rsidRPr="006675DE" w:rsidRDefault="00DF4D93" w:rsidP="006834FE">
      <w:pPr>
        <w:spacing w:line="360" w:lineRule="auto"/>
      </w:pPr>
      <w:r w:rsidRPr="006675DE">
        <w:t xml:space="preserve">The stress of interacting with other </w:t>
      </w:r>
      <w:r w:rsidR="00814091" w:rsidRPr="006675DE">
        <w:t>patient</w:t>
      </w:r>
      <w:r w:rsidRPr="006675DE">
        <w:t xml:space="preserve">s in hospital was also </w:t>
      </w:r>
      <w:r w:rsidR="00F26545" w:rsidRPr="006675DE">
        <w:t>identified</w:t>
      </w:r>
      <w:r w:rsidRPr="006675DE">
        <w:t xml:space="preserve"> (Bowers et al</w:t>
      </w:r>
      <w:r w:rsidR="00FF517C" w:rsidRPr="006675DE">
        <w:t>.,</w:t>
      </w:r>
      <w:r w:rsidRPr="006675DE">
        <w:t xml:space="preserve"> </w:t>
      </w:r>
      <w:r w:rsidR="00156548" w:rsidRPr="006675DE">
        <w:t>1999b</w:t>
      </w:r>
      <w:r w:rsidRPr="006675DE">
        <w:t xml:space="preserve">; </w:t>
      </w:r>
      <w:r w:rsidR="0093361E" w:rsidRPr="006675DE">
        <w:t xml:space="preserve">Falkowski et al., 1990; </w:t>
      </w:r>
      <w:r w:rsidRPr="006675DE">
        <w:t>Meehan et al</w:t>
      </w:r>
      <w:r w:rsidR="00FF517C" w:rsidRPr="006675DE">
        <w:t>.,</w:t>
      </w:r>
      <w:r w:rsidRPr="006675DE">
        <w:t xml:space="preserve"> 1999; Muir-Cochrane et al</w:t>
      </w:r>
      <w:r w:rsidR="00FF517C" w:rsidRPr="006675DE">
        <w:t>.,</w:t>
      </w:r>
      <w:r w:rsidRPr="006675DE">
        <w:t xml:space="preserve"> 2013). Being around others was described as inconvenient, irritating or anxiety-provoking; </w:t>
      </w:r>
      <w:r w:rsidR="00814091" w:rsidRPr="006675DE">
        <w:t>patient</w:t>
      </w:r>
      <w:r w:rsidRPr="006675DE">
        <w:t>s recounted being disrupted at night or resenting the presence of others in groups where they were expected to discuss personal issues (Falkowski et al</w:t>
      </w:r>
      <w:r w:rsidR="00FF517C" w:rsidRPr="006675DE">
        <w:t>.,</w:t>
      </w:r>
      <w:r w:rsidRPr="006675DE">
        <w:t xml:space="preserve"> 1990; Meehan et al</w:t>
      </w:r>
      <w:r w:rsidR="00FF517C" w:rsidRPr="006675DE">
        <w:t>.,</w:t>
      </w:r>
      <w:r w:rsidRPr="006675DE">
        <w:t xml:space="preserve"> 1999). In other cases, the experience was frightening and traumatic. </w:t>
      </w:r>
      <w:r w:rsidR="00814091" w:rsidRPr="006675DE">
        <w:t>Patient</w:t>
      </w:r>
      <w:r w:rsidRPr="006675DE">
        <w:t>s felt fearful of others who seemed unpredictable or behaved strangely (Bowers et al</w:t>
      </w:r>
      <w:r w:rsidR="00FF517C" w:rsidRPr="006675DE">
        <w:t>.,</w:t>
      </w:r>
      <w:r w:rsidRPr="006675DE">
        <w:t xml:space="preserve"> 1999; Muir-Cochrane et al</w:t>
      </w:r>
      <w:r w:rsidR="00FF517C" w:rsidRPr="006675DE">
        <w:t>.,</w:t>
      </w:r>
      <w:r w:rsidRPr="006675DE">
        <w:t xml:space="preserve"> 2013), highlighting a possible lack of understanding of others’ experience</w:t>
      </w:r>
      <w:r w:rsidR="00847436" w:rsidRPr="006675DE">
        <w:t>s</w:t>
      </w:r>
      <w:r w:rsidRPr="006675DE">
        <w:t xml:space="preserve"> of mental illness. </w:t>
      </w:r>
      <w:r w:rsidR="00814091" w:rsidRPr="006675DE">
        <w:t>Patient</w:t>
      </w:r>
      <w:r w:rsidRPr="006675DE">
        <w:t>s also felt fearful of physical altercations, sexual harassment and bullying (Bowers et al</w:t>
      </w:r>
      <w:r w:rsidR="00FF517C" w:rsidRPr="006675DE">
        <w:t>.,</w:t>
      </w:r>
      <w:r w:rsidRPr="006675DE">
        <w:t xml:space="preserve"> </w:t>
      </w:r>
      <w:r w:rsidR="00156548" w:rsidRPr="006675DE">
        <w:t>1999b</w:t>
      </w:r>
      <w:r w:rsidRPr="006675DE">
        <w:t xml:space="preserve">; </w:t>
      </w:r>
      <w:r w:rsidR="0093361E" w:rsidRPr="006675DE">
        <w:t xml:space="preserve">Falkowski et al., 1990; </w:t>
      </w:r>
      <w:r w:rsidRPr="006675DE">
        <w:t>Muir-Cochrane et al</w:t>
      </w:r>
      <w:r w:rsidR="00FF517C" w:rsidRPr="006675DE">
        <w:t>.,</w:t>
      </w:r>
      <w:r w:rsidRPr="006675DE">
        <w:t xml:space="preserve"> 2013). One participant in Muir-Cochrane et al</w:t>
      </w:r>
      <w:r w:rsidR="00FF517C" w:rsidRPr="006675DE">
        <w:t>.</w:t>
      </w:r>
      <w:r w:rsidRPr="006675DE">
        <w:t xml:space="preserve">’s study (2013:308) had witnessed another </w:t>
      </w:r>
      <w:r w:rsidR="00814091" w:rsidRPr="006675DE">
        <w:t>patient</w:t>
      </w:r>
      <w:r w:rsidRPr="006675DE">
        <w:t xml:space="preserve"> returning to the ward after </w:t>
      </w:r>
      <w:r w:rsidR="00D42E58" w:rsidRPr="006675DE">
        <w:t>an attempt to end their life</w:t>
      </w:r>
      <w:r w:rsidRPr="006675DE">
        <w:t xml:space="preserve">. This sight compelled them to </w:t>
      </w:r>
      <w:r w:rsidR="00843E43" w:rsidRPr="006675DE">
        <w:t xml:space="preserve">leave </w:t>
      </w:r>
      <w:r w:rsidRPr="006675DE">
        <w:t>the hospital in case something similar happened to them</w:t>
      </w:r>
      <w:r w:rsidR="00512F31" w:rsidRPr="006675DE">
        <w:t>, stating “that really frightened me, freaked me out and I thought ‘hell I’m not going this way’, so I took off.”</w:t>
      </w:r>
      <w:r w:rsidRPr="006675DE">
        <w:t xml:space="preserve"> Interacting with other </w:t>
      </w:r>
      <w:r w:rsidR="00814091" w:rsidRPr="006675DE">
        <w:t>patient</w:t>
      </w:r>
      <w:r w:rsidRPr="006675DE">
        <w:t xml:space="preserve">s is inevitable in hospital, yet this evidence indicates that </w:t>
      </w:r>
      <w:r w:rsidR="00814091" w:rsidRPr="006675DE">
        <w:t>patient</w:t>
      </w:r>
      <w:r w:rsidRPr="006675DE">
        <w:t xml:space="preserve">s </w:t>
      </w:r>
      <w:r w:rsidR="00DC406F" w:rsidRPr="006675DE">
        <w:t>absconded</w:t>
      </w:r>
      <w:r w:rsidRPr="006675DE">
        <w:t xml:space="preserve"> to find relief from doing so when the experience </w:t>
      </w:r>
      <w:r w:rsidR="00DC406F" w:rsidRPr="006675DE">
        <w:t>wa</w:t>
      </w:r>
      <w:r w:rsidRPr="006675DE">
        <w:t>s aggravating or frightening.</w:t>
      </w:r>
      <w:r w:rsidR="00CA50DC" w:rsidRPr="006675DE">
        <w:t xml:space="preserve"> </w:t>
      </w:r>
    </w:p>
    <w:p w14:paraId="52D13697" w14:textId="56837962" w:rsidR="00CA50DC" w:rsidRPr="006675DE" w:rsidRDefault="00CA50DC" w:rsidP="006834FE">
      <w:pPr>
        <w:spacing w:line="360" w:lineRule="auto"/>
      </w:pPr>
      <w:r w:rsidRPr="006675DE">
        <w:t>Of note, the physical environment, hospital atmosphere, boredom and fear of other patients were not identified by participants in the studies undertaken in forensic settings (Martin et al., 2018; Mezey et al., 2015; Wilkie et al., 2014). However, in these settings patients were more likely to identify tribunals and hearings as contributing to the mental stress of the environment and motivating them to abscond; either the anticipation of impending events, or disappointment where results had been unfavourable (Mezey et al., 2015; Wilkie et al., 2014).</w:t>
      </w:r>
    </w:p>
    <w:p w14:paraId="52F08C9E" w14:textId="033D88CD" w:rsidR="0045583C" w:rsidRPr="006675DE" w:rsidRDefault="00DF4D93" w:rsidP="006834FE">
      <w:pPr>
        <w:spacing w:line="360" w:lineRule="auto"/>
      </w:pPr>
      <w:r w:rsidRPr="006675DE">
        <w:t xml:space="preserve">In some cases, </w:t>
      </w:r>
      <w:r w:rsidR="00814091" w:rsidRPr="006675DE">
        <w:t>patient</w:t>
      </w:r>
      <w:r w:rsidRPr="006675DE">
        <w:t>s left hospital to find relief from their interactions with staff (Falkowski et al</w:t>
      </w:r>
      <w:r w:rsidR="00FF517C" w:rsidRPr="006675DE">
        <w:t>.,</w:t>
      </w:r>
      <w:r w:rsidRPr="006675DE">
        <w:t xml:space="preserve"> 1990; Bowers et al</w:t>
      </w:r>
      <w:r w:rsidR="00FF517C" w:rsidRPr="006675DE">
        <w:t>.,</w:t>
      </w:r>
      <w:r w:rsidRPr="006675DE">
        <w:t xml:space="preserve"> </w:t>
      </w:r>
      <w:r w:rsidR="00156548" w:rsidRPr="006675DE">
        <w:t>1999b</w:t>
      </w:r>
      <w:r w:rsidRPr="006675DE">
        <w:t xml:space="preserve">; </w:t>
      </w:r>
      <w:r w:rsidR="0093361E" w:rsidRPr="006675DE">
        <w:t xml:space="preserve">McIndoe, 1986; Mezey et al., 2015; </w:t>
      </w:r>
      <w:r w:rsidRPr="006675DE">
        <w:t>Muir-Cochrane et al</w:t>
      </w:r>
      <w:r w:rsidR="00FF517C" w:rsidRPr="006675DE">
        <w:t>.,</w:t>
      </w:r>
      <w:r w:rsidRPr="006675DE">
        <w:t xml:space="preserve"> 2013). Nursing staff were the only professional group to be specifically identified and the phrases ‘staff’ and ‘nurses’ were used interchangeably. </w:t>
      </w:r>
      <w:r w:rsidR="00814091" w:rsidRPr="006675DE">
        <w:t>Patient</w:t>
      </w:r>
      <w:r w:rsidRPr="006675DE">
        <w:t>s described feeling neglected, ignored or belittled (Bowers et al</w:t>
      </w:r>
      <w:r w:rsidR="00FF517C" w:rsidRPr="006675DE">
        <w:t>.,</w:t>
      </w:r>
      <w:r w:rsidRPr="006675DE">
        <w:t xml:space="preserve"> </w:t>
      </w:r>
      <w:r w:rsidR="00156548" w:rsidRPr="006675DE">
        <w:t>1999b</w:t>
      </w:r>
      <w:r w:rsidRPr="006675DE">
        <w:t xml:space="preserve">; </w:t>
      </w:r>
      <w:r w:rsidR="002420A4" w:rsidRPr="006675DE">
        <w:t xml:space="preserve">McIndoe, 1986; Mezey, 2015; </w:t>
      </w:r>
      <w:r w:rsidRPr="006675DE">
        <w:t>Muir-Cochrane et al</w:t>
      </w:r>
      <w:r w:rsidR="00FF517C" w:rsidRPr="006675DE">
        <w:t>.,</w:t>
      </w:r>
      <w:r w:rsidRPr="006675DE">
        <w:t xml:space="preserve"> 2013). There was a sense of conflict between staff and </w:t>
      </w:r>
      <w:r w:rsidR="00814091" w:rsidRPr="006675DE">
        <w:t>patient</w:t>
      </w:r>
      <w:r w:rsidRPr="006675DE">
        <w:t>s and an ‘us and them’ dynamic was mentioned</w:t>
      </w:r>
      <w:r w:rsidR="00DC406F" w:rsidRPr="006675DE">
        <w:t>, with nurses being described as “the enemy” in “a garrison”</w:t>
      </w:r>
      <w:r w:rsidRPr="006675DE">
        <w:t xml:space="preserve"> (Muir-Cochrane et al</w:t>
      </w:r>
      <w:r w:rsidR="00FF517C" w:rsidRPr="006675DE">
        <w:t>.,</w:t>
      </w:r>
      <w:r w:rsidRPr="006675DE">
        <w:t xml:space="preserve"> 2013</w:t>
      </w:r>
      <w:r w:rsidR="00DC406F" w:rsidRPr="006675DE">
        <w:t>:308</w:t>
      </w:r>
      <w:r w:rsidRPr="006675DE">
        <w:t xml:space="preserve">). However, the dissatisfaction was also borne of ambiguity regarding the role of the nurse. Nurses were described as failing to meet expectations or being unable to help </w:t>
      </w:r>
      <w:r w:rsidR="00814091" w:rsidRPr="006675DE">
        <w:t>patient</w:t>
      </w:r>
      <w:r w:rsidRPr="006675DE">
        <w:t>s (Bowers et al</w:t>
      </w:r>
      <w:r w:rsidR="00FF517C" w:rsidRPr="006675DE">
        <w:t>.,</w:t>
      </w:r>
      <w:r w:rsidRPr="006675DE">
        <w:t xml:space="preserve"> </w:t>
      </w:r>
      <w:r w:rsidR="00156548" w:rsidRPr="006675DE">
        <w:t>1999b</w:t>
      </w:r>
      <w:r w:rsidRPr="006675DE">
        <w:t xml:space="preserve">; </w:t>
      </w:r>
      <w:r w:rsidR="00266A00" w:rsidRPr="006675DE">
        <w:t xml:space="preserve">McIndoe, 1986; </w:t>
      </w:r>
      <w:r w:rsidRPr="006675DE">
        <w:t>Muir-Cochrane et al</w:t>
      </w:r>
      <w:r w:rsidR="00FF517C" w:rsidRPr="006675DE">
        <w:t>.,</w:t>
      </w:r>
      <w:r w:rsidRPr="006675DE">
        <w:t xml:space="preserve"> 2013), yet </w:t>
      </w:r>
      <w:r w:rsidR="00814091" w:rsidRPr="006675DE">
        <w:t>patient</w:t>
      </w:r>
      <w:r w:rsidRPr="006675DE">
        <w:t xml:space="preserve">s were unclear about what nursing staff could or should be doing. McIndoe (1986:19) noted that </w:t>
      </w:r>
      <w:r w:rsidR="00814091" w:rsidRPr="006675DE">
        <w:t>patient</w:t>
      </w:r>
      <w:r w:rsidRPr="006675DE">
        <w:t xml:space="preserve">s </w:t>
      </w:r>
      <w:r w:rsidRPr="006675DE">
        <w:rPr>
          <w:iCs/>
        </w:rPr>
        <w:t>“felt clearer guidelines were needed as to what nurses could help them with.”</w:t>
      </w:r>
      <w:r w:rsidRPr="006675DE">
        <w:rPr>
          <w:i/>
        </w:rPr>
        <w:t xml:space="preserve"> </w:t>
      </w:r>
      <w:r w:rsidRPr="006675DE">
        <w:t xml:space="preserve">For various reasons, nursing staff made the experience of admission more difficult and contributed to the decision to abscond. </w:t>
      </w:r>
    </w:p>
    <w:p w14:paraId="68A71DBB" w14:textId="5B09F48A" w:rsidR="00DF4D93" w:rsidRPr="006675DE" w:rsidRDefault="00DF4D93" w:rsidP="006834FE">
      <w:pPr>
        <w:spacing w:line="360" w:lineRule="auto"/>
        <w:rPr>
          <w:b/>
        </w:rPr>
      </w:pPr>
      <w:r w:rsidRPr="006675DE">
        <w:t xml:space="preserve">Lastly, hospital was unbearable for some </w:t>
      </w:r>
      <w:r w:rsidR="00814091" w:rsidRPr="006675DE">
        <w:t>patient</w:t>
      </w:r>
      <w:r w:rsidRPr="006675DE">
        <w:t>s as a result of their mental state and they were driven to abscond by distressing thoughts or feelings</w:t>
      </w:r>
      <w:r w:rsidR="00A77200" w:rsidRPr="006675DE">
        <w:t xml:space="preserve"> which related specifically to the hospital environment</w:t>
      </w:r>
      <w:r w:rsidRPr="006675DE">
        <w:t xml:space="preserve"> (</w:t>
      </w:r>
      <w:r w:rsidR="002420A4" w:rsidRPr="006675DE">
        <w:t xml:space="preserve">Bowers et al., </w:t>
      </w:r>
      <w:r w:rsidR="00156548" w:rsidRPr="006675DE">
        <w:t>1999b</w:t>
      </w:r>
      <w:r w:rsidR="002420A4" w:rsidRPr="006675DE">
        <w:t xml:space="preserve">; </w:t>
      </w:r>
      <w:r w:rsidRPr="006675DE">
        <w:t>McIndoe</w:t>
      </w:r>
      <w:r w:rsidR="00FF517C" w:rsidRPr="006675DE">
        <w:t>,</w:t>
      </w:r>
      <w:r w:rsidRPr="006675DE">
        <w:t xml:space="preserve"> 1986; </w:t>
      </w:r>
      <w:r w:rsidR="002420A4" w:rsidRPr="006675DE">
        <w:t xml:space="preserve">Mezey et al., 2015; </w:t>
      </w:r>
      <w:r w:rsidRPr="006675DE">
        <w:t>Muir-Cochrane et al</w:t>
      </w:r>
      <w:r w:rsidR="00FF517C" w:rsidRPr="006675DE">
        <w:t>.,</w:t>
      </w:r>
      <w:r w:rsidRPr="006675DE">
        <w:t xml:space="preserve"> 2013; Wilkie et al</w:t>
      </w:r>
      <w:r w:rsidR="00FF517C" w:rsidRPr="006675DE">
        <w:t>.,</w:t>
      </w:r>
      <w:r w:rsidRPr="006675DE">
        <w:t xml:space="preserve"> 2014). These included paranoid delusions</w:t>
      </w:r>
      <w:r w:rsidR="00A77200" w:rsidRPr="006675DE">
        <w:t xml:space="preserve"> about the hospital environment, such as the presence of “harmful vapors” (Wilkie et al., 2014:98) or people being “after me” (Muir-Cochrane et al., 2013:307). Some also experienced </w:t>
      </w:r>
      <w:r w:rsidRPr="006675DE">
        <w:t xml:space="preserve">command hallucinations </w:t>
      </w:r>
      <w:r w:rsidR="00A77200" w:rsidRPr="006675DE">
        <w:t>“telling me to run away” (Wilkie et al., 2014:98)</w:t>
      </w:r>
      <w:r w:rsidRPr="006675DE">
        <w:t xml:space="preserve">.  </w:t>
      </w:r>
    </w:p>
    <w:p w14:paraId="34C31BDA" w14:textId="61ADDAD6" w:rsidR="0045583C" w:rsidRPr="006675DE" w:rsidRDefault="0045583C" w:rsidP="00BF0AB4">
      <w:pPr>
        <w:spacing w:line="360" w:lineRule="auto"/>
        <w:rPr>
          <w:b/>
        </w:rPr>
      </w:pPr>
      <w:r w:rsidRPr="006675DE">
        <w:rPr>
          <w:b/>
        </w:rPr>
        <w:t>Seeking freedom to regain power and control over their lives</w:t>
      </w:r>
    </w:p>
    <w:p w14:paraId="23E6C6ED" w14:textId="179BA7EC" w:rsidR="0045583C" w:rsidRPr="006675DE" w:rsidRDefault="0045583C" w:rsidP="00BF0AB4">
      <w:pPr>
        <w:spacing w:line="360" w:lineRule="auto"/>
      </w:pPr>
      <w:r w:rsidRPr="006675DE">
        <w:t xml:space="preserve">The subtheme of seeking freedom to regain power and control over their lives was identified in </w:t>
      </w:r>
      <w:r w:rsidR="002F20A9" w:rsidRPr="006675DE">
        <w:t>seven</w:t>
      </w:r>
      <w:r w:rsidRPr="006675DE">
        <w:t xml:space="preserve"> of the papers. </w:t>
      </w:r>
      <w:r w:rsidR="00814091" w:rsidRPr="006675DE">
        <w:t>Patient</w:t>
      </w:r>
      <w:r w:rsidRPr="006675DE">
        <w:t xml:space="preserve">s associated their absconding behaviour with a need to regain control when they felt disempowered. The source of this disempowerment was failing to recognise the necessity of admission, a sense of being confined and denied autonomy, exclusion from decision-making and the broader stigma associated with being in a psychiatric hospital. </w:t>
      </w:r>
    </w:p>
    <w:p w14:paraId="581154C8" w14:textId="6108B9D1" w:rsidR="0045583C" w:rsidRPr="006675DE" w:rsidRDefault="00814091" w:rsidP="00BF0AB4">
      <w:pPr>
        <w:spacing w:line="360" w:lineRule="auto"/>
      </w:pPr>
      <w:r w:rsidRPr="006675DE">
        <w:t>Patient</w:t>
      </w:r>
      <w:r w:rsidR="0045583C" w:rsidRPr="006675DE">
        <w:t>s did not identify as being ‘unwell’ or recognise the need for admission, which imbued in them a sense of futility regarding their hospital stay. Perceptions ranged from denial to ambivalence (</w:t>
      </w:r>
      <w:r w:rsidR="002420A4" w:rsidRPr="006675DE">
        <w:t xml:space="preserve">Bowers et al., </w:t>
      </w:r>
      <w:r w:rsidR="00156548" w:rsidRPr="006675DE">
        <w:t>1999b</w:t>
      </w:r>
      <w:r w:rsidR="002420A4" w:rsidRPr="006675DE">
        <w:t xml:space="preserve">; </w:t>
      </w:r>
      <w:r w:rsidR="0045583C" w:rsidRPr="006675DE">
        <w:t>McIndoe</w:t>
      </w:r>
      <w:r w:rsidR="00FF517C" w:rsidRPr="006675DE">
        <w:t>,</w:t>
      </w:r>
      <w:r w:rsidR="0045583C" w:rsidRPr="006675DE">
        <w:t xml:space="preserve"> 1986; Meehan et al</w:t>
      </w:r>
      <w:r w:rsidR="00FF517C" w:rsidRPr="006675DE">
        <w:t>.,</w:t>
      </w:r>
      <w:r w:rsidR="0045583C" w:rsidRPr="006675DE">
        <w:t xml:space="preserve"> 1999; Muir-Cochrane et al</w:t>
      </w:r>
      <w:r w:rsidR="00FF517C" w:rsidRPr="006675DE">
        <w:t>.,</w:t>
      </w:r>
      <w:r w:rsidR="0045583C" w:rsidRPr="006675DE">
        <w:t xml:space="preserve"> 2013). In some cases, </w:t>
      </w:r>
      <w:r w:rsidRPr="006675DE">
        <w:t>patient</w:t>
      </w:r>
      <w:r w:rsidR="0045583C" w:rsidRPr="006675DE">
        <w:t>s recognised they were experiencing difficulties, but did not recognise how admission might address their problems (Meehan et al</w:t>
      </w:r>
      <w:r w:rsidR="00FF517C" w:rsidRPr="006675DE">
        <w:t>.,</w:t>
      </w:r>
      <w:r w:rsidR="0045583C" w:rsidRPr="006675DE">
        <w:t xml:space="preserve"> 1999). McIndoe (1986) noted that </w:t>
      </w:r>
      <w:r w:rsidRPr="006675DE">
        <w:t>patient</w:t>
      </w:r>
      <w:r w:rsidR="0045583C" w:rsidRPr="006675DE">
        <w:t xml:space="preserve">s’ opinions diverged from that of professionals and family members involved in their admission, with </w:t>
      </w:r>
      <w:r w:rsidRPr="006675DE">
        <w:t>patient</w:t>
      </w:r>
      <w:r w:rsidR="0045583C" w:rsidRPr="006675DE">
        <w:t xml:space="preserve">s considering their issues as more ‘manageable’. </w:t>
      </w:r>
      <w:r w:rsidR="002F20A9" w:rsidRPr="006675DE">
        <w:t>Therefore</w:t>
      </w:r>
      <w:r w:rsidR="0045583C" w:rsidRPr="006675DE">
        <w:t>, the decision to abscond was driven by this sense of futility and frustration (Bowers et al</w:t>
      </w:r>
      <w:r w:rsidR="00FF517C" w:rsidRPr="006675DE">
        <w:t>.,</w:t>
      </w:r>
      <w:r w:rsidR="0045583C" w:rsidRPr="006675DE">
        <w:t xml:space="preserve"> </w:t>
      </w:r>
      <w:r w:rsidR="00156548" w:rsidRPr="006675DE">
        <w:t>1999b</w:t>
      </w:r>
      <w:r w:rsidR="0045583C" w:rsidRPr="006675DE">
        <w:t xml:space="preserve">; </w:t>
      </w:r>
      <w:r w:rsidR="002F20A9" w:rsidRPr="006675DE">
        <w:t xml:space="preserve">Martin et al., 2018; </w:t>
      </w:r>
      <w:r w:rsidR="002420A4" w:rsidRPr="006675DE">
        <w:t xml:space="preserve">McIndoe, 1986; </w:t>
      </w:r>
      <w:r w:rsidR="0045583C" w:rsidRPr="006675DE">
        <w:t>Meehan et al</w:t>
      </w:r>
      <w:r w:rsidR="00FF517C" w:rsidRPr="006675DE">
        <w:t>.,</w:t>
      </w:r>
      <w:r w:rsidR="0045583C" w:rsidRPr="006675DE">
        <w:t xml:space="preserve"> 1999; Muir-Cochrane et al</w:t>
      </w:r>
      <w:r w:rsidR="00FF517C" w:rsidRPr="006675DE">
        <w:t>.,</w:t>
      </w:r>
      <w:r w:rsidR="0045583C" w:rsidRPr="006675DE">
        <w:t xml:space="preserve"> 2013).</w:t>
      </w:r>
    </w:p>
    <w:p w14:paraId="41318BF1" w14:textId="3452C159" w:rsidR="0045583C" w:rsidRPr="006675DE" w:rsidRDefault="0045583C" w:rsidP="00BF0AB4">
      <w:pPr>
        <w:spacing w:line="360" w:lineRule="auto"/>
      </w:pPr>
      <w:r w:rsidRPr="006675DE">
        <w:t xml:space="preserve">Frustration was also directed at the confines of the hospital, which was considered ‘prison-like’, with </w:t>
      </w:r>
      <w:r w:rsidR="00814091" w:rsidRPr="006675DE">
        <w:t>patient</w:t>
      </w:r>
      <w:r w:rsidRPr="006675DE">
        <w:t>s identifying a need to overcome a sense of physical and psychological oppression (Muir-Cochrane et al</w:t>
      </w:r>
      <w:r w:rsidR="00FF517C" w:rsidRPr="006675DE">
        <w:t>.,</w:t>
      </w:r>
      <w:r w:rsidRPr="006675DE">
        <w:t xml:space="preserve"> 2013; Wilkie </w:t>
      </w:r>
      <w:r w:rsidR="00FF517C" w:rsidRPr="006675DE">
        <w:t>e</w:t>
      </w:r>
      <w:r w:rsidRPr="006675DE">
        <w:t>t al</w:t>
      </w:r>
      <w:r w:rsidR="00FF517C" w:rsidRPr="006675DE">
        <w:t>.,</w:t>
      </w:r>
      <w:r w:rsidRPr="006675DE">
        <w:t xml:space="preserve"> 2014). </w:t>
      </w:r>
      <w:r w:rsidR="008F7C48" w:rsidRPr="006675DE">
        <w:t xml:space="preserve">Feeling disempowered in the hospital environment was a combination of feeling literally confined but also infantilised by their treatment. One participant </w:t>
      </w:r>
      <w:r w:rsidR="002F20A9" w:rsidRPr="006675DE">
        <w:t>described</w:t>
      </w:r>
      <w:r w:rsidR="008F7C48" w:rsidRPr="006675DE">
        <w:t xml:space="preserve"> being made to “paint like a baby. You’ve go</w:t>
      </w:r>
      <w:r w:rsidR="00EF41E5" w:rsidRPr="006675DE">
        <w:t>t</w:t>
      </w:r>
      <w:r w:rsidR="008F7C48" w:rsidRPr="006675DE">
        <w:t xml:space="preserve"> to clean up all the time” (McIndoe 1988:19).</w:t>
      </w:r>
      <w:r w:rsidR="00EF41E5" w:rsidRPr="006675DE">
        <w:t xml:space="preserve"> Another also clearly stated “I feel often disempowered because no one listens to me” (Muir-Cochran</w:t>
      </w:r>
      <w:r w:rsidR="002F20A9" w:rsidRPr="006675DE">
        <w:t>e</w:t>
      </w:r>
      <w:r w:rsidR="00EF41E5" w:rsidRPr="006675DE">
        <w:t xml:space="preserve"> et al., 2013:307). Absconding was therefore “not just running away from the hospital, it’s telling the staff something too” (McIndoe 1986:20). </w:t>
      </w:r>
    </w:p>
    <w:p w14:paraId="6CE14AAF" w14:textId="6277D910" w:rsidR="0045583C" w:rsidRPr="006675DE" w:rsidRDefault="0045583C" w:rsidP="00BF0AB4">
      <w:pPr>
        <w:spacing w:line="360" w:lineRule="auto"/>
      </w:pPr>
      <w:r w:rsidRPr="006675DE">
        <w:t xml:space="preserve">The need to </w:t>
      </w:r>
      <w:r w:rsidRPr="006675DE">
        <w:rPr>
          <w:i/>
        </w:rPr>
        <w:t xml:space="preserve">regain power and control over their lives </w:t>
      </w:r>
      <w:r w:rsidRPr="006675DE">
        <w:t xml:space="preserve">also related to the way decisions were made and enacted in hospital, particularly regarding treatment. </w:t>
      </w:r>
      <w:r w:rsidR="00814091" w:rsidRPr="006675DE">
        <w:t>Patient</w:t>
      </w:r>
      <w:r w:rsidRPr="006675DE">
        <w:t>s who absconded often assigned a low value to their treatment and saw little meaning in decisions made about them; they identified a lack of agency and a sense of infantilization as motivating them to leave the hospital (</w:t>
      </w:r>
      <w:r w:rsidR="002420A4" w:rsidRPr="006675DE">
        <w:t xml:space="preserve">Bowers et al., </w:t>
      </w:r>
      <w:r w:rsidR="00156548" w:rsidRPr="006675DE">
        <w:t>1999b</w:t>
      </w:r>
      <w:r w:rsidR="002420A4" w:rsidRPr="006675DE">
        <w:t xml:space="preserve">; </w:t>
      </w:r>
      <w:r w:rsidRPr="006675DE">
        <w:t>McIndoe</w:t>
      </w:r>
      <w:r w:rsidR="00150D38" w:rsidRPr="006675DE">
        <w:t>,</w:t>
      </w:r>
      <w:r w:rsidRPr="006675DE">
        <w:t xml:space="preserve"> 1986; Meehan et al</w:t>
      </w:r>
      <w:r w:rsidR="00150D38" w:rsidRPr="006675DE">
        <w:t>.,</w:t>
      </w:r>
      <w:r w:rsidRPr="006675DE">
        <w:t xml:space="preserve"> 1999). Decisions regarding medications were of particular significance. One </w:t>
      </w:r>
      <w:r w:rsidR="00814091" w:rsidRPr="006675DE">
        <w:t>patient</w:t>
      </w:r>
      <w:r w:rsidRPr="006675DE">
        <w:t xml:space="preserve"> in Bowers et al</w:t>
      </w:r>
      <w:r w:rsidR="00150D38" w:rsidRPr="006675DE">
        <w:t>.</w:t>
      </w:r>
      <w:r w:rsidRPr="006675DE">
        <w:t>’s (</w:t>
      </w:r>
      <w:r w:rsidR="00156548" w:rsidRPr="006675DE">
        <w:t>1999b</w:t>
      </w:r>
      <w:r w:rsidRPr="006675DE">
        <w:t xml:space="preserve">:201) study epitomised this issue when they described being surrounded by staff and told to take medication; their response was “How do they know that these drugs do to people unless you take ‘em yourself?” For </w:t>
      </w:r>
      <w:r w:rsidR="00814091" w:rsidRPr="006675DE">
        <w:t>patient</w:t>
      </w:r>
      <w:r w:rsidRPr="006675DE">
        <w:t>s who absconded, hospital became associated with coercion and dehumanisation, whereby they were not in control of what happened to them and professionals held all the power. In this regard, absconding became a way of regaining autonomy and communicating a sense of intense dissatisfaction with their circumstances.</w:t>
      </w:r>
    </w:p>
    <w:p w14:paraId="086165B3" w14:textId="5D5A7FB6" w:rsidR="0045583C" w:rsidRPr="006675DE" w:rsidRDefault="0045583C" w:rsidP="00BF0AB4">
      <w:pPr>
        <w:spacing w:line="360" w:lineRule="auto"/>
      </w:pPr>
      <w:r w:rsidRPr="006675DE">
        <w:t xml:space="preserve">The sense of disempowerment felt by </w:t>
      </w:r>
      <w:r w:rsidR="00814091" w:rsidRPr="006675DE">
        <w:t>patient</w:t>
      </w:r>
      <w:r w:rsidRPr="006675DE">
        <w:t>s could also originate from their broader social experience of living with mental illness and the associated stigma. Two papers identified that long-term dissatisfaction with being a ‘psychiatric patient’ (</w:t>
      </w:r>
      <w:r w:rsidR="002420A4" w:rsidRPr="006675DE">
        <w:t xml:space="preserve">Bowers et al., </w:t>
      </w:r>
      <w:r w:rsidR="00156548" w:rsidRPr="006675DE">
        <w:t>1999b</w:t>
      </w:r>
      <w:r w:rsidR="002420A4" w:rsidRPr="006675DE">
        <w:t xml:space="preserve">; </w:t>
      </w:r>
      <w:r w:rsidRPr="006675DE">
        <w:t>Falkowski et al</w:t>
      </w:r>
      <w:r w:rsidR="00150D38" w:rsidRPr="006675DE">
        <w:t>.,</w:t>
      </w:r>
      <w:r w:rsidRPr="006675DE">
        <w:t xml:space="preserve"> 1990), could contribute to the decision to abscond. Falkowski et al</w:t>
      </w:r>
      <w:r w:rsidR="00150D38" w:rsidRPr="006675DE">
        <w:t>.</w:t>
      </w:r>
      <w:r w:rsidRPr="006675DE">
        <w:t xml:space="preserve"> (1990) found that 17% of their participants identified the stigma of being in psychiatric hospitals as contributing to their decision. These findings indicate that </w:t>
      </w:r>
      <w:r w:rsidR="00814091" w:rsidRPr="006675DE">
        <w:t>patient</w:t>
      </w:r>
      <w:r w:rsidRPr="006675DE">
        <w:t>s’ need to regain power and control over their lives can also be fuelled by longer term factors, and the behaviour may indicate a generalised sense of dissatisfaction and disempowerment.</w:t>
      </w:r>
    </w:p>
    <w:p w14:paraId="72C6DF45" w14:textId="482D6200" w:rsidR="0045583C" w:rsidRPr="006675DE" w:rsidRDefault="0045583C" w:rsidP="00BF0AB4">
      <w:pPr>
        <w:spacing w:line="360" w:lineRule="auto"/>
        <w:rPr>
          <w:b/>
        </w:rPr>
      </w:pPr>
      <w:r w:rsidRPr="006675DE">
        <w:rPr>
          <w:b/>
        </w:rPr>
        <w:t>Seeking freedom to address an unmet need</w:t>
      </w:r>
    </w:p>
    <w:p w14:paraId="451C8B08" w14:textId="351BB85B" w:rsidR="0045583C" w:rsidRPr="006675DE" w:rsidRDefault="0045583C" w:rsidP="00BF0AB4">
      <w:pPr>
        <w:spacing w:line="360" w:lineRule="auto"/>
      </w:pPr>
      <w:r w:rsidRPr="006675DE">
        <w:t>The subtheme of seeking</w:t>
      </w:r>
      <w:r w:rsidRPr="006675DE">
        <w:rPr>
          <w:i/>
        </w:rPr>
        <w:t xml:space="preserve"> </w:t>
      </w:r>
      <w:r w:rsidRPr="006675DE">
        <w:t xml:space="preserve">freedom to address an unmet need was identified in </w:t>
      </w:r>
      <w:r w:rsidR="002E3FA5" w:rsidRPr="006675DE">
        <w:t>seven of the</w:t>
      </w:r>
      <w:r w:rsidRPr="006675DE">
        <w:t xml:space="preserve"> papers. Where </w:t>
      </w:r>
      <w:r w:rsidR="00814091" w:rsidRPr="006675DE">
        <w:t>patient</w:t>
      </w:r>
      <w:r w:rsidRPr="006675DE">
        <w:t xml:space="preserve">s had needs </w:t>
      </w:r>
      <w:r w:rsidR="00F64AA2" w:rsidRPr="006675DE">
        <w:t xml:space="preserve">which </w:t>
      </w:r>
      <w:r w:rsidRPr="006675DE">
        <w:t xml:space="preserve">they were unable to meet in hospital, they sought freedom to do so elsewhere. These included tending to day-to-day responsibilities, having social contact with others or acting on impulses and desires. </w:t>
      </w:r>
    </w:p>
    <w:p w14:paraId="5BE089FE" w14:textId="7F5CA0F5" w:rsidR="0045583C" w:rsidRPr="006675DE" w:rsidRDefault="00814091" w:rsidP="00BF0AB4">
      <w:pPr>
        <w:spacing w:line="360" w:lineRule="auto"/>
      </w:pPr>
      <w:r w:rsidRPr="006675DE">
        <w:t>Patient</w:t>
      </w:r>
      <w:r w:rsidR="0045583C" w:rsidRPr="006675DE">
        <w:t>s were conscious of their usual responsibilities and obligations being neglected while they were in hospital. These were often everyday tasks, such as checking the security of their property, paying bills, checking on dependents and tending to pets (Bowers et al</w:t>
      </w:r>
      <w:r w:rsidR="00150D38" w:rsidRPr="006675DE">
        <w:t>.,</w:t>
      </w:r>
      <w:r w:rsidR="0045583C" w:rsidRPr="006675DE">
        <w:t xml:space="preserve"> </w:t>
      </w:r>
      <w:r w:rsidR="00156548" w:rsidRPr="006675DE">
        <w:t>1999b</w:t>
      </w:r>
      <w:r w:rsidR="0045583C" w:rsidRPr="006675DE">
        <w:t xml:space="preserve">; </w:t>
      </w:r>
      <w:r w:rsidR="002420A4" w:rsidRPr="006675DE">
        <w:t xml:space="preserve">Falkowski et al., 1990; McIndoe, 1986; </w:t>
      </w:r>
      <w:r w:rsidR="0045583C" w:rsidRPr="006675DE">
        <w:t>Meehan et al</w:t>
      </w:r>
      <w:r w:rsidR="00150D38" w:rsidRPr="006675DE">
        <w:t>.,</w:t>
      </w:r>
      <w:r w:rsidR="0045583C" w:rsidRPr="006675DE">
        <w:t xml:space="preserve"> 1999). </w:t>
      </w:r>
      <w:r w:rsidR="002E3FA5" w:rsidRPr="006675DE">
        <w:t>These motivations were rational and clearly goal-directed (Martin et al., 2018)</w:t>
      </w:r>
      <w:r w:rsidR="0045583C" w:rsidRPr="006675DE">
        <w:t xml:space="preserve">. </w:t>
      </w:r>
    </w:p>
    <w:p w14:paraId="5A1D503E" w14:textId="7D7CA7B3" w:rsidR="0045583C" w:rsidRPr="006675DE" w:rsidRDefault="00814091" w:rsidP="00BF0AB4">
      <w:pPr>
        <w:spacing w:line="360" w:lineRule="auto"/>
      </w:pPr>
      <w:r w:rsidRPr="006675DE">
        <w:t>Patient</w:t>
      </w:r>
      <w:r w:rsidR="0045583C" w:rsidRPr="006675DE">
        <w:t>s identified a need for social contact as a reason for absconding and often left in</w:t>
      </w:r>
      <w:r w:rsidR="00474649" w:rsidRPr="006675DE">
        <w:t xml:space="preserve"> </w:t>
      </w:r>
      <w:r w:rsidR="0045583C" w:rsidRPr="006675DE">
        <w:t xml:space="preserve">order to see friends or family. Hospital was described as a profoundly isolating place, where </w:t>
      </w:r>
      <w:r w:rsidRPr="006675DE">
        <w:t>patient</w:t>
      </w:r>
      <w:r w:rsidR="0045583C" w:rsidRPr="006675DE">
        <w:t>s felt homesick; cut off from usual networks of support (Bowers et al</w:t>
      </w:r>
      <w:r w:rsidR="00150D38" w:rsidRPr="006675DE">
        <w:t>.,</w:t>
      </w:r>
      <w:r w:rsidR="0045583C" w:rsidRPr="006675DE">
        <w:t xml:space="preserve"> </w:t>
      </w:r>
      <w:r w:rsidR="00156548" w:rsidRPr="006675DE">
        <w:t>1999b</w:t>
      </w:r>
      <w:r w:rsidR="0045583C" w:rsidRPr="006675DE">
        <w:t>; Mezey et al</w:t>
      </w:r>
      <w:r w:rsidR="00150D38" w:rsidRPr="006675DE">
        <w:t>.,</w:t>
      </w:r>
      <w:r w:rsidR="0045583C" w:rsidRPr="006675DE">
        <w:t xml:space="preserve"> 2015). Social needs were particularly salient when related to life events, such as the birth of a child or death within the family (Bowers et al</w:t>
      </w:r>
      <w:r w:rsidR="00150D38" w:rsidRPr="006675DE">
        <w:t>.,</w:t>
      </w:r>
      <w:r w:rsidR="0045583C" w:rsidRPr="006675DE">
        <w:t xml:space="preserve"> </w:t>
      </w:r>
      <w:r w:rsidR="00156548" w:rsidRPr="006675DE">
        <w:t>1999b</w:t>
      </w:r>
      <w:r w:rsidR="0045583C" w:rsidRPr="006675DE">
        <w:t>; Mezey et al</w:t>
      </w:r>
      <w:r w:rsidR="00150D38" w:rsidRPr="006675DE">
        <w:t>.,</w:t>
      </w:r>
      <w:r w:rsidR="0045583C" w:rsidRPr="006675DE">
        <w:t xml:space="preserve"> 2015). </w:t>
      </w:r>
    </w:p>
    <w:p w14:paraId="0F051E16" w14:textId="1F97DEC7" w:rsidR="005871A9" w:rsidRPr="006675DE" w:rsidRDefault="0045583C" w:rsidP="00BF0AB4">
      <w:pPr>
        <w:spacing w:line="360" w:lineRule="auto"/>
      </w:pPr>
      <w:r w:rsidRPr="006675DE">
        <w:t xml:space="preserve">A minority of </w:t>
      </w:r>
      <w:r w:rsidR="00814091" w:rsidRPr="006675DE">
        <w:t>patient</w:t>
      </w:r>
      <w:r w:rsidRPr="006675DE">
        <w:t>s sought freedom to act on an impulse or desire which could not be fulfilled in hospital. Such impulses included obtaining drugs or alcohol (Bowers et al</w:t>
      </w:r>
      <w:r w:rsidR="00150D38" w:rsidRPr="006675DE">
        <w:t>.,</w:t>
      </w:r>
      <w:r w:rsidRPr="006675DE">
        <w:t xml:space="preserve"> </w:t>
      </w:r>
      <w:r w:rsidR="00156548" w:rsidRPr="006675DE">
        <w:t>1999b</w:t>
      </w:r>
      <w:r w:rsidRPr="006675DE">
        <w:t>; Mezey et al</w:t>
      </w:r>
      <w:r w:rsidR="00150D38" w:rsidRPr="006675DE">
        <w:t>.,</w:t>
      </w:r>
      <w:r w:rsidRPr="006675DE">
        <w:t xml:space="preserve"> 2015</w:t>
      </w:r>
      <w:r w:rsidR="002420A4" w:rsidRPr="006675DE">
        <w:t>; Wilkie et al., 2014;</w:t>
      </w:r>
      <w:r w:rsidRPr="006675DE">
        <w:t>) and self-harming (McIndoe</w:t>
      </w:r>
      <w:r w:rsidR="00150D38" w:rsidRPr="006675DE">
        <w:t>,</w:t>
      </w:r>
      <w:r w:rsidRPr="006675DE">
        <w:t xml:space="preserve"> 1986; Mezey et al</w:t>
      </w:r>
      <w:r w:rsidR="00150D38" w:rsidRPr="006675DE">
        <w:t>.,</w:t>
      </w:r>
      <w:r w:rsidRPr="006675DE">
        <w:t xml:space="preserve"> 2015). The context of these behaviours was not explored in depth, but may reflect how </w:t>
      </w:r>
      <w:r w:rsidR="00814091" w:rsidRPr="006675DE">
        <w:t>patient</w:t>
      </w:r>
      <w:r w:rsidRPr="006675DE">
        <w:t xml:space="preserve">s can employ maladaptive coping mechanisms in efforts to self-manage their illness. As such unmet needs are not recognised as valid or appropriate by professionals, </w:t>
      </w:r>
      <w:r w:rsidR="00814091" w:rsidRPr="006675DE">
        <w:t>patient</w:t>
      </w:r>
      <w:r w:rsidRPr="006675DE">
        <w:t xml:space="preserve">s may seek freedom to achieve them. </w:t>
      </w:r>
      <w:r w:rsidR="005871A9" w:rsidRPr="006675DE">
        <w:t>Whilst this finding may seem to reinforce perceptions of absconding as a challenging or deviant behaviour, we argue that it highlights the opposite; that is, the importance of professionals acknowledging the validity of clients’ desires to abscond, and addressing them accordingly.</w:t>
      </w:r>
    </w:p>
    <w:p w14:paraId="204A30DE" w14:textId="3456B9AE" w:rsidR="002E3FA5" w:rsidRPr="006675DE" w:rsidRDefault="002E3FA5" w:rsidP="00BF0AB4">
      <w:pPr>
        <w:spacing w:line="360" w:lineRule="auto"/>
        <w:rPr>
          <w:b/>
          <w:bCs/>
        </w:rPr>
      </w:pPr>
      <w:r w:rsidRPr="006675DE">
        <w:rPr>
          <w:b/>
          <w:bCs/>
        </w:rPr>
        <w:t>Seeking freedom opportunistically</w:t>
      </w:r>
    </w:p>
    <w:p w14:paraId="7E1E22DF" w14:textId="616D9F95" w:rsidR="002E3FA5" w:rsidRPr="006675DE" w:rsidRDefault="002E3FA5" w:rsidP="00BF0AB4">
      <w:pPr>
        <w:spacing w:line="360" w:lineRule="auto"/>
      </w:pPr>
      <w:r w:rsidRPr="006675DE">
        <w:t xml:space="preserve">The final subtheme was identified </w:t>
      </w:r>
      <w:r w:rsidR="00F64AA2" w:rsidRPr="006675DE">
        <w:t xml:space="preserve">by a minority of the patient sample </w:t>
      </w:r>
      <w:r w:rsidRPr="006675DE">
        <w:t xml:space="preserve">in half of the papers </w:t>
      </w:r>
      <w:r w:rsidR="00AF49B2" w:rsidRPr="006675DE">
        <w:t>(Bowers et al., 1999b; Martin et al., 2018; Meehan et al., 1999; Mezey et al., 2015)</w:t>
      </w:r>
      <w:r w:rsidRPr="006675DE">
        <w:t>. These patients were anomalous insofar as they were not necessarily finding hospital unbearable or restrictive, although this may have also been the case, but were impulsively motivated by</w:t>
      </w:r>
      <w:r w:rsidR="00AF49B2" w:rsidRPr="006675DE">
        <w:t xml:space="preserve"> the “visible presentation of an opportunity to leave” (Bowers et al., 1999b:201). Martin et al. (2018) noted that these patients demonstrated very few concerning behaviour</w:t>
      </w:r>
      <w:r w:rsidR="00F64AA2" w:rsidRPr="006675DE">
        <w:t>s</w:t>
      </w:r>
      <w:r w:rsidR="00AF49B2" w:rsidRPr="006675DE">
        <w:t xml:space="preserve"> or clinical indicators in the weeks preceding their absconding, unlike others within their sample. The finding that some patients made the decision to abscond simply because the opportunity presented itself is significant and provides an insight into the decision-making of those patients when offered a choice regarding whether to remain in hospital or to abscond.</w:t>
      </w:r>
    </w:p>
    <w:p w14:paraId="7A9F2EF4" w14:textId="77777777" w:rsidR="00523BB0" w:rsidRPr="006675DE" w:rsidRDefault="00523BB0" w:rsidP="00523BB0">
      <w:pPr>
        <w:spacing w:line="360" w:lineRule="auto"/>
        <w:rPr>
          <w:b/>
        </w:rPr>
      </w:pPr>
      <w:r w:rsidRPr="006675DE">
        <w:rPr>
          <w:b/>
        </w:rPr>
        <w:t>Discussion</w:t>
      </w:r>
    </w:p>
    <w:p w14:paraId="47D93B61" w14:textId="77777777" w:rsidR="00523BB0" w:rsidRPr="006675DE" w:rsidRDefault="00523BB0" w:rsidP="00523BB0">
      <w:pPr>
        <w:spacing w:line="360" w:lineRule="auto"/>
      </w:pPr>
      <w:r w:rsidRPr="006675DE">
        <w:t>This review of eight papers was undertaken to enhance understanding of the reasons why patients abscond from psychiatric hospitals. The results of the thematic synthesis have identified that patients sought freedom from hospital to find relief, regain power or control, address unmet needs and opportunistically.</w:t>
      </w:r>
      <w:r w:rsidRPr="006675DE">
        <w:rPr>
          <w:i/>
        </w:rPr>
        <w:t xml:space="preserve"> </w:t>
      </w:r>
      <w:r w:rsidRPr="006675DE">
        <w:t>Critically, the review has found</w:t>
      </w:r>
      <w:r w:rsidRPr="006675DE">
        <w:rPr>
          <w:i/>
        </w:rPr>
        <w:t xml:space="preserve"> </w:t>
      </w:r>
      <w:r w:rsidRPr="006675DE">
        <w:t xml:space="preserve">that the phrase ‘absconding’ was absent from patients’ discourse; the behaviour may be better characterised from their perspective as an act of seeking freedom. Perceived lack of freedom by patients in psychiatric hospitals and associations with prison are not novel, nor limited to those who abscond (Andes &amp; Shattell, 2006; Gilburt et al., 2008; Lindgren et al., 2019; Valenti et al., 2013). However, this review indicates that the desire for freedom is complex, multifaceted and goes beyond an interpretation of the physical environment, but relates also to patients’ psychological experiences of admission, relationships with nursing staff and separation from their usual ways of existing and coping. The resulting desire for freedom ultimately motivates some patients to abscond from hospital. </w:t>
      </w:r>
    </w:p>
    <w:p w14:paraId="73C7D213" w14:textId="77777777" w:rsidR="00523BB0" w:rsidRPr="006675DE" w:rsidRDefault="00523BB0" w:rsidP="00523BB0">
      <w:pPr>
        <w:spacing w:line="360" w:lineRule="auto"/>
      </w:pPr>
      <w:r w:rsidRPr="006675DE">
        <w:t xml:space="preserve">The review identified that patients were often motivated to leave hospital by a need to find relief from the physical, psychological and social environment. The impact of the ward environment on patient experience is widely acknowledged in the literature (Donald et al., 2015; Kanerva et al., 2013; Mahoney et al., 2009;). Hence, it is unsurprising that where the environment is considered unpleasant or unsafe, it can contribute to absconding. Within the theme of seeking freedom to find relief, the role of both staff and other patients was significant. Previous studies have identified that patients may experience nursing staff as being too busy or unavailable (Donald et al., 2015; Walsh &amp; Boyle, 2009), yet the finding that their presence can actively make hospital more unbearable is significant and raises concerns about the adverse role of the nurse in the inpatient environment. It should be noted that papers which address patient experience in general, rather than that of those who abscond, have identified interaction with staff as a positive element of the hospital experience, offering companionship and support (Nolan et al., 2011; Walsh &amp; Boyle, 2009). This highlights that neither nursing staff nor patients can be considered as homogenous groups and subjective experiences of hospital will vary significantly. What this review has identified is that for the minority of patients who abscond, hospital is more likely to be viewed as an intolerable environment. </w:t>
      </w:r>
    </w:p>
    <w:p w14:paraId="53D31AF0" w14:textId="77777777" w:rsidR="00523BB0" w:rsidRPr="006675DE" w:rsidRDefault="00523BB0" w:rsidP="00523BB0">
      <w:pPr>
        <w:spacing w:line="360" w:lineRule="auto"/>
      </w:pPr>
      <w:r w:rsidRPr="006675DE">
        <w:t>The finding that patients may seek freedom from hospital in order to regain power and control indicates the longstanding issue of power imbalance in mental health care remains pertinent (Kumar, 2000). The review has found that patients feel disempowered as a result of the way decisions are made and the sense of confinement, but also because of the experience of being a ‘psychiatric patient’ and the stigma associated with this. It has long been considered the role of mental health nurses to be aware of power imbalances and potential coercion in mental health practice, and overcome these by empowering those in their care (Miller, 2017). However, there is evidence to suggest that nurses struggle to find a balance between using power appropriately and being unnecessarily coercive; considering the need to maintain safety in the hospital environment as being in conflict with the principles of individual autonomy and recovery-oriented practice (Gerace et al., 2018; Wyder et al., 2017). Henderson (2003) found that nurses considered the involvement of patients in decision-making as requiring them to give information and share power, which most were not willing to relinquish.  It is therefore unsurprising that patients interpret decision-making in hospital as paternalistic, coercive and indicative of their lack of freedom ((Andes &amp; Shattell, 2006; Gilburt et al., 2008; Lindgren et al., 2019; Valenti et al., 2013).</w:t>
      </w:r>
    </w:p>
    <w:p w14:paraId="64BD42BA" w14:textId="77777777" w:rsidR="00523BB0" w:rsidRPr="006675DE" w:rsidRDefault="00523BB0" w:rsidP="00523BB0">
      <w:pPr>
        <w:spacing w:line="360" w:lineRule="auto"/>
      </w:pPr>
      <w:r w:rsidRPr="006675DE">
        <w:t>The finding that services users sought freedom from hospital to address their unmet needs is an important one, which staff could easily overlook. Such unmet needs included attending to ones’ usual responsibilities (such as tending to property, addressing financial matters and supporting dependents) seeking contact with familiar social networks and acting on urges or desires (such as self-harming or obtaining illicit substances).  Walsh &amp; Boyle’s (2009:34-35) used-led research into how acute psychiatric services can be improved from patients’ perspectives identified a similar theme of “</w:t>
      </w:r>
      <w:r w:rsidRPr="006675DE">
        <w:rPr>
          <w:iCs/>
        </w:rPr>
        <w:t>Self-Help”, i.e. “a cognitive or behavioural strategy initiated to relieve mental or psychological distress”.</w:t>
      </w:r>
      <w:r w:rsidRPr="006675DE">
        <w:t xml:space="preserve">  They note that this could include maintaining contact with home, entertaining oneself through normal activities or more unconventional means of managing distress, such as self-harming, smoking and comfort-eating. They characterise behaviours as individual ways of coping, rather than challenging behaviours. In practice, whilst staff may be able to recognise the legitimacy of a need for social contact or tending to one’s home, the function of behaviours such as self-harm and substance misuse are more challenging to reconcile with the role of the nurse in maintaining the safety of those in their care. However, evidence suggests that by making the conscious effort to understand patients’ perspectives, the validity of their needs and their personhood beyond the inpatient unit, nurses can be empathetic even in conflictual situations (Gerace et al., 2018).</w:t>
      </w:r>
    </w:p>
    <w:p w14:paraId="4BB5B5BB" w14:textId="77777777" w:rsidR="00523BB0" w:rsidRPr="006675DE" w:rsidRDefault="00523BB0" w:rsidP="00523BB0">
      <w:pPr>
        <w:spacing w:line="360" w:lineRule="auto"/>
      </w:pPr>
      <w:r w:rsidRPr="006675DE">
        <w:t xml:space="preserve">The results of this review, considered in conjunction with existing evidence, allow further understanding of absconding as a means of regaining power and control for patients, in an environment where they may feel dehumanised, confined and frustrated. This understanding challenges the conceptualisation of absconding as a deviant behaviour and illustrates that more must be done to redress the imbalance of power that exists within psychiatric hospitals and empower patients who are admitted. As the recovery model, which emphasises the importance of collaboration and partnership working (Stenhouse &amp; Muirhead, 2017), continues to be operationalised within mental health services internationally, there is potential for progress to be made in this regard, and further research may consider the impact that the model is having.  </w:t>
      </w:r>
    </w:p>
    <w:p w14:paraId="1509B0CF" w14:textId="53515D3E" w:rsidR="00523BB0" w:rsidRPr="006675DE" w:rsidRDefault="00523BB0" w:rsidP="00523BB0">
      <w:pPr>
        <w:spacing w:line="360" w:lineRule="auto"/>
        <w:rPr>
          <w:rFonts w:cstheme="minorHAnsi"/>
        </w:rPr>
      </w:pPr>
      <w:r w:rsidRPr="006675DE">
        <w:t>It should also be noted that the results of this review indicate a contrast between patient reported motivations for absconding and current nursing practice in terms of assessing and managing the risks of absconding. Grotto et al. (2015) identified that mental hea</w:t>
      </w:r>
      <w:r w:rsidR="00F64AA2" w:rsidRPr="006675DE">
        <w:t>l</w:t>
      </w:r>
      <w:r w:rsidRPr="006675DE">
        <w:t xml:space="preserve">th nurses primarily consider patients’ past history of absconding and their current mental state, as observed through their conversation and behaviour, when assessing the risk of absconding. The greater the perceived risk of absconding, the more restrictive the management strategy, which may include seclusion, door-locking, increased observation and use of chemical restraint. This is at odds with the findings of this review, which suggest that such practices may in fact exacerbate a sense of powerlessness and increase a desire to seek freedom. It is also important to note that whilst some patients identified that their desire to leave hospital could be motivated by mental state factors, this referred to specific thoughts or feelings about hospital, such as voices directing them to leave. </w:t>
      </w:r>
      <w:r w:rsidR="00F64AA2" w:rsidRPr="006675DE">
        <w:t>T</w:t>
      </w:r>
      <w:r w:rsidRPr="006675DE">
        <w:rPr>
          <w:rFonts w:cstheme="minorHAnsi"/>
        </w:rPr>
        <w:t xml:space="preserve">he impact of mental state on decisions to abscond may well have been underreported in the research owing to lack of insight or a reluctance to discuss symptoms, </w:t>
      </w:r>
      <w:r w:rsidR="00F64AA2" w:rsidRPr="006675DE">
        <w:rPr>
          <w:rFonts w:cstheme="minorHAnsi"/>
        </w:rPr>
        <w:t xml:space="preserve">however </w:t>
      </w:r>
      <w:r w:rsidRPr="006675DE">
        <w:rPr>
          <w:rFonts w:cstheme="minorHAnsi"/>
        </w:rPr>
        <w:t>it</w:t>
      </w:r>
      <w:r w:rsidRPr="006675DE">
        <w:rPr>
          <w:rFonts w:cstheme="minorHAnsi"/>
          <w:i/>
          <w:iCs/>
        </w:rPr>
        <w:t xml:space="preserve"> </w:t>
      </w:r>
      <w:r w:rsidRPr="006675DE">
        <w:rPr>
          <w:rFonts w:cstheme="minorHAnsi"/>
        </w:rPr>
        <w:t>seems inadequate to base an assessment of absconding risk on a general “level of unwellness” (Grotto et al., 2015:15)</w:t>
      </w:r>
      <w:r w:rsidR="00F64AA2" w:rsidRPr="006675DE">
        <w:rPr>
          <w:rFonts w:cstheme="minorHAnsi"/>
        </w:rPr>
        <w:t>, but rather to consider whether the patient is having specific thoughts about the hospital</w:t>
      </w:r>
      <w:r w:rsidRPr="006675DE">
        <w:rPr>
          <w:rFonts w:cstheme="minorHAnsi"/>
        </w:rPr>
        <w:t xml:space="preserve">. Future research might consider the discrepancies between staff and patient perspective on absconding and the implications for clinical practice. </w:t>
      </w:r>
    </w:p>
    <w:p w14:paraId="2FD0C1ED" w14:textId="77777777" w:rsidR="00523BB0" w:rsidRPr="006675DE" w:rsidRDefault="00523BB0" w:rsidP="00523BB0">
      <w:pPr>
        <w:spacing w:line="360" w:lineRule="auto"/>
      </w:pPr>
      <w:r w:rsidRPr="006675DE">
        <w:rPr>
          <w:rFonts w:cstheme="minorHAnsi"/>
        </w:rPr>
        <w:t xml:space="preserve">This review incorporated evidence from three different countries: the UK, Canada and Australia. No major differences were found in terms of patient motivations from these three countries despite their geographical and contextual differences, suggesting the experience of inpatients in these places are relatively similar. However, the finding that certain factors were more or less prevalent in forensic settings raises the question of why the patient experience in these environments differ from those in general acute settings and suggests that there may be lessons to learn from each in terms of improving experience.  </w:t>
      </w:r>
    </w:p>
    <w:p w14:paraId="7C55C9FB" w14:textId="20B21A62" w:rsidR="009271C1" w:rsidRPr="006675DE" w:rsidRDefault="009271C1" w:rsidP="00BF0AB4">
      <w:pPr>
        <w:spacing w:line="360" w:lineRule="auto"/>
        <w:rPr>
          <w:b/>
        </w:rPr>
      </w:pPr>
      <w:r w:rsidRPr="006675DE">
        <w:rPr>
          <w:b/>
        </w:rPr>
        <w:t>Implications for practice</w:t>
      </w:r>
    </w:p>
    <w:p w14:paraId="3F7F2206" w14:textId="429279E8" w:rsidR="00236643" w:rsidRPr="006675DE" w:rsidRDefault="0054178F" w:rsidP="00BF0AB4">
      <w:pPr>
        <w:spacing w:line="360" w:lineRule="auto"/>
      </w:pPr>
      <w:r w:rsidRPr="006675DE">
        <w:t xml:space="preserve">This review has highlighted a stark difference between professionals’ and </w:t>
      </w:r>
      <w:r w:rsidR="00814091" w:rsidRPr="006675DE">
        <w:t>patient</w:t>
      </w:r>
      <w:r w:rsidRPr="006675DE">
        <w:t xml:space="preserve">s’ understanding of not only absconding, but the overall experience of psychiatric hospital. Yet these findings also offer an opportunity to improve the </w:t>
      </w:r>
      <w:r w:rsidR="00814091" w:rsidRPr="006675DE">
        <w:t>patient</w:t>
      </w:r>
      <w:r w:rsidRPr="006675DE">
        <w:t xml:space="preserve"> experience. From the point of admission, </w:t>
      </w:r>
      <w:r w:rsidR="00814091" w:rsidRPr="006675DE">
        <w:t>patient</w:t>
      </w:r>
      <w:r w:rsidRPr="006675DE">
        <w:t xml:space="preserve">s’ perceptions of the hospital environment should be assessed in order to identify concerns. In doing so, nurses have an opportunity to reduce the sense of fear, isolation and </w:t>
      </w:r>
      <w:r w:rsidR="00C1019C" w:rsidRPr="006675DE">
        <w:t>discomfort</w:t>
      </w:r>
      <w:r w:rsidRPr="006675DE">
        <w:t xml:space="preserve"> </w:t>
      </w:r>
      <w:r w:rsidR="000B3BA3" w:rsidRPr="006675DE">
        <w:t>that</w:t>
      </w:r>
      <w:r w:rsidRPr="006675DE">
        <w:t xml:space="preserve"> drives some </w:t>
      </w:r>
      <w:r w:rsidR="00814091" w:rsidRPr="006675DE">
        <w:t>patient</w:t>
      </w:r>
      <w:r w:rsidRPr="006675DE">
        <w:t xml:space="preserve">s to abscond. Nurses must recognise that </w:t>
      </w:r>
      <w:r w:rsidR="00814091" w:rsidRPr="006675DE">
        <w:t>patient</w:t>
      </w:r>
      <w:r w:rsidRPr="006675DE">
        <w:t xml:space="preserve">s are individuals with responsibilities and commitments outside of hospital; offering practical help to ensure these are being met during admission could have a significant impact. </w:t>
      </w:r>
      <w:r w:rsidR="00C1019C" w:rsidRPr="006675DE">
        <w:t xml:space="preserve">Lastly, there is a need for greater consideration of how mental health nurses, and indeed health services in general, can offer patients a greater sense of agency during a hospital admission and overcome the pervasive sense of disempowerment which so many associate with the experience. </w:t>
      </w:r>
    </w:p>
    <w:p w14:paraId="0CDEF180" w14:textId="77777777" w:rsidR="00236643" w:rsidRPr="006675DE" w:rsidRDefault="00236643" w:rsidP="00BF0AB4">
      <w:pPr>
        <w:spacing w:line="360" w:lineRule="auto"/>
        <w:rPr>
          <w:b/>
          <w:bCs/>
        </w:rPr>
      </w:pPr>
      <w:r w:rsidRPr="006675DE">
        <w:rPr>
          <w:b/>
          <w:bCs/>
        </w:rPr>
        <w:t>Conclusion</w:t>
      </w:r>
    </w:p>
    <w:p w14:paraId="7C91D178" w14:textId="535B8C98" w:rsidR="0054178F" w:rsidRPr="006675DE" w:rsidRDefault="0054178F" w:rsidP="00BF0AB4">
      <w:pPr>
        <w:spacing w:line="360" w:lineRule="auto"/>
      </w:pPr>
      <w:r w:rsidRPr="006675DE">
        <w:t xml:space="preserve">Overall, this review has highlighted that many of the reasons why </w:t>
      </w:r>
      <w:r w:rsidR="00814091" w:rsidRPr="006675DE">
        <w:t>patient</w:t>
      </w:r>
      <w:r w:rsidRPr="006675DE">
        <w:t xml:space="preserve">s abscond from hospital are </w:t>
      </w:r>
      <w:r w:rsidR="00843E43" w:rsidRPr="006675DE">
        <w:t>understandable</w:t>
      </w:r>
      <w:r w:rsidRPr="006675DE">
        <w:t xml:space="preserve">; mental health nurses are uniquely positioned to address many of these concerns and in doing so could improve standards of care for those at risk of absconding. </w:t>
      </w:r>
    </w:p>
    <w:p w14:paraId="0F315CAD" w14:textId="6A1ECD5D" w:rsidR="00834285" w:rsidRPr="006675DE" w:rsidRDefault="00CF2F5E" w:rsidP="00CF2F5E">
      <w:pPr>
        <w:spacing w:line="360" w:lineRule="auto"/>
        <w:rPr>
          <w:b/>
        </w:rPr>
      </w:pPr>
      <w:r w:rsidRPr="006675DE">
        <w:rPr>
          <w:b/>
        </w:rPr>
        <w:t>Declaration of interest</w:t>
      </w:r>
    </w:p>
    <w:p w14:paraId="1EEEF9A5" w14:textId="14C2E50C" w:rsidR="00CF2F5E" w:rsidRPr="006675DE" w:rsidRDefault="00CF2F5E" w:rsidP="00CF2F5E">
      <w:pPr>
        <w:spacing w:line="360" w:lineRule="auto"/>
      </w:pPr>
      <w:r w:rsidRPr="006675DE">
        <w:t xml:space="preserve">None. This review was carried out as part of a dissertation for the Masters in </w:t>
      </w:r>
      <w:r w:rsidR="00575352" w:rsidRPr="006675DE">
        <w:t>xxxxxxxxxx</w:t>
      </w:r>
      <w:r w:rsidRPr="006675DE">
        <w:t xml:space="preserve">, </w:t>
      </w:r>
      <w:r w:rsidR="00575352" w:rsidRPr="006675DE">
        <w:t>xxxxxxxxxx</w:t>
      </w:r>
      <w:r w:rsidRPr="006675DE">
        <w:t xml:space="preserve">. There were no conflicts of interest. </w:t>
      </w:r>
    </w:p>
    <w:p w14:paraId="70D8FED0" w14:textId="77777777" w:rsidR="00634161" w:rsidRPr="006675DE" w:rsidRDefault="00634161">
      <w:pPr>
        <w:rPr>
          <w:b/>
        </w:rPr>
      </w:pPr>
      <w:r w:rsidRPr="006675DE">
        <w:rPr>
          <w:b/>
        </w:rPr>
        <w:br w:type="page"/>
      </w:r>
    </w:p>
    <w:p w14:paraId="0FB9690D" w14:textId="67830AF5" w:rsidR="00634161" w:rsidRPr="006675DE" w:rsidRDefault="00634161" w:rsidP="00CF2F5E">
      <w:pPr>
        <w:spacing w:line="360" w:lineRule="auto"/>
        <w:rPr>
          <w:b/>
        </w:rPr>
      </w:pPr>
      <w:r w:rsidRPr="006675DE">
        <w:rPr>
          <w:b/>
        </w:rPr>
        <w:t>References</w:t>
      </w:r>
    </w:p>
    <w:p w14:paraId="50345278" w14:textId="0B004383" w:rsidR="00634161" w:rsidRPr="006675DE" w:rsidRDefault="00634161" w:rsidP="00634161">
      <w:pPr>
        <w:rPr>
          <w:rStyle w:val="Hyperlink"/>
          <w:color w:val="auto"/>
          <w:u w:val="none"/>
        </w:rPr>
      </w:pPr>
      <w:r w:rsidRPr="006675DE">
        <w:t xml:space="preserve">Alexander, J. (2006). Patients’ feelings about ward nursing regimes and involvement in rule construction. </w:t>
      </w:r>
      <w:r w:rsidRPr="006675DE">
        <w:rPr>
          <w:i/>
        </w:rPr>
        <w:t xml:space="preserve">Journal of Psychiatry and Mental Health Nursing, </w:t>
      </w:r>
      <w:r w:rsidRPr="006675DE">
        <w:t xml:space="preserve">13(5), 543-553. </w:t>
      </w:r>
      <w:hyperlink r:id="rId8" w:history="1">
        <w:r w:rsidRPr="006675DE">
          <w:rPr>
            <w:rStyle w:val="Hyperlink"/>
            <w:color w:val="auto"/>
            <w:u w:val="none"/>
          </w:rPr>
          <w:t>https://doi.org/10.1111/j.1365-2850.2006.00977.x</w:t>
        </w:r>
      </w:hyperlink>
    </w:p>
    <w:p w14:paraId="02539E73" w14:textId="1D3ABF25" w:rsidR="00826495" w:rsidRPr="006675DE" w:rsidRDefault="00826495" w:rsidP="00826495">
      <w:pPr>
        <w:rPr>
          <w:rStyle w:val="Hyperlink"/>
          <w:color w:val="auto"/>
          <w:u w:val="none"/>
        </w:rPr>
      </w:pPr>
      <w:r w:rsidRPr="006675DE">
        <w:rPr>
          <w:rStyle w:val="Hyperlink"/>
          <w:color w:val="auto"/>
          <w:u w:val="none"/>
        </w:rPr>
        <w:t xml:space="preserve">Andes, M. &amp; Shattell, M.M. (2006) An exploration of the meanings of space and place in acute psychiatric care. </w:t>
      </w:r>
      <w:r w:rsidRPr="006675DE">
        <w:rPr>
          <w:rStyle w:val="Hyperlink"/>
          <w:i/>
          <w:iCs/>
          <w:color w:val="auto"/>
          <w:u w:val="none"/>
        </w:rPr>
        <w:t xml:space="preserve">Issues in Mental Health Nursing, </w:t>
      </w:r>
      <w:r w:rsidRPr="006675DE">
        <w:rPr>
          <w:rStyle w:val="Hyperlink"/>
          <w:color w:val="auto"/>
          <w:u w:val="none"/>
        </w:rPr>
        <w:t xml:space="preserve">27(6), 699-707, </w:t>
      </w:r>
      <w:r w:rsidRPr="006675DE">
        <w:t>https://doi.org/10.1080/01612840600643057</w:t>
      </w:r>
    </w:p>
    <w:p w14:paraId="0C596A97" w14:textId="1DB8BB5C" w:rsidR="00634161" w:rsidRPr="006675DE" w:rsidRDefault="00634161" w:rsidP="00634161">
      <w:pPr>
        <w:spacing w:line="276" w:lineRule="auto"/>
      </w:pPr>
      <w:r w:rsidRPr="006675DE">
        <w:t>Babalola</w:t>
      </w:r>
      <w:r w:rsidR="009B6DA7" w:rsidRPr="006675DE">
        <w:t>,</w:t>
      </w:r>
      <w:r w:rsidRPr="006675DE">
        <w:t xml:space="preserve"> O</w:t>
      </w:r>
      <w:r w:rsidR="009B6DA7" w:rsidRPr="006675DE">
        <w:t>.</w:t>
      </w:r>
      <w:r w:rsidRPr="006675DE">
        <w:t>, Gormez</w:t>
      </w:r>
      <w:r w:rsidR="009B6DA7" w:rsidRPr="006675DE">
        <w:t>,</w:t>
      </w:r>
      <w:r w:rsidRPr="006675DE">
        <w:t xml:space="preserve"> V</w:t>
      </w:r>
      <w:r w:rsidR="009B6DA7" w:rsidRPr="006675DE">
        <w:t>.</w:t>
      </w:r>
      <w:r w:rsidRPr="006675DE">
        <w:t>, Alwan</w:t>
      </w:r>
      <w:r w:rsidR="009B6DA7" w:rsidRPr="006675DE">
        <w:t>,</w:t>
      </w:r>
      <w:r w:rsidRPr="006675DE">
        <w:t xml:space="preserve"> N</w:t>
      </w:r>
      <w:r w:rsidR="009B6DA7" w:rsidRPr="006675DE">
        <w:t>.</w:t>
      </w:r>
      <w:r w:rsidRPr="006675DE">
        <w:t>A</w:t>
      </w:r>
      <w:r w:rsidR="009B6DA7" w:rsidRPr="006675DE">
        <w:t>.</w:t>
      </w:r>
      <w:r w:rsidRPr="006675DE">
        <w:t>, Johnstone</w:t>
      </w:r>
      <w:r w:rsidR="009B6DA7" w:rsidRPr="006675DE">
        <w:t>,</w:t>
      </w:r>
      <w:r w:rsidRPr="006675DE">
        <w:t xml:space="preserve"> P</w:t>
      </w:r>
      <w:r w:rsidR="009B6DA7" w:rsidRPr="006675DE">
        <w:t>.</w:t>
      </w:r>
      <w:r w:rsidRPr="006675DE">
        <w:t xml:space="preserve">, </w:t>
      </w:r>
      <w:r w:rsidR="009B6DA7" w:rsidRPr="006675DE">
        <w:t xml:space="preserve">&amp; </w:t>
      </w:r>
      <w:r w:rsidRPr="006675DE">
        <w:t>Sampson</w:t>
      </w:r>
      <w:r w:rsidR="009B6DA7" w:rsidRPr="006675DE">
        <w:t>,</w:t>
      </w:r>
      <w:r w:rsidRPr="006675DE">
        <w:t xml:space="preserve"> S</w:t>
      </w:r>
      <w:r w:rsidR="009B6DA7" w:rsidRPr="006675DE">
        <w:t>.</w:t>
      </w:r>
      <w:r w:rsidRPr="006675DE">
        <w:t xml:space="preserve"> (2014)</w:t>
      </w:r>
      <w:r w:rsidR="009B6DA7" w:rsidRPr="006675DE">
        <w:t>.</w:t>
      </w:r>
      <w:r w:rsidRPr="006675DE">
        <w:t xml:space="preserve"> Length of hospitalisation for people with severe mental illness. </w:t>
      </w:r>
      <w:r w:rsidRPr="006675DE">
        <w:rPr>
          <w:i/>
        </w:rPr>
        <w:t>Cochrane Database of Systematic Reviews</w:t>
      </w:r>
      <w:r w:rsidRPr="006675DE">
        <w:t xml:space="preserve"> [Online] Available at </w:t>
      </w:r>
      <w:hyperlink r:id="rId9" w:history="1">
        <w:r w:rsidRPr="006675DE">
          <w:rPr>
            <w:rStyle w:val="Hyperlink"/>
            <w:color w:val="auto"/>
            <w:u w:val="none"/>
          </w:rPr>
          <w:t>http://onlinelibrary.wiley.com/doi/10.1002/14651858.CD000384.pub3/pdf</w:t>
        </w:r>
      </w:hyperlink>
      <w:r w:rsidRPr="006675DE">
        <w:t xml:space="preserve"> [Accessed 21st August 2017]</w:t>
      </w:r>
    </w:p>
    <w:p w14:paraId="5D5ADD86" w14:textId="443D2A59" w:rsidR="00634161" w:rsidRPr="006675DE" w:rsidRDefault="00634161" w:rsidP="00634161">
      <w:pPr>
        <w:rPr>
          <w:i/>
        </w:rPr>
      </w:pPr>
      <w:r w:rsidRPr="006675DE">
        <w:t>Bailey</w:t>
      </w:r>
      <w:r w:rsidR="00776BB1" w:rsidRPr="006675DE">
        <w:t>,</w:t>
      </w:r>
      <w:r w:rsidRPr="006675DE">
        <w:t xml:space="preserve"> J</w:t>
      </w:r>
      <w:r w:rsidR="00776BB1" w:rsidRPr="006675DE">
        <w:t>.</w:t>
      </w:r>
      <w:r w:rsidRPr="006675DE">
        <w:t>, Page</w:t>
      </w:r>
      <w:r w:rsidR="00776BB1" w:rsidRPr="006675DE">
        <w:t>,</w:t>
      </w:r>
      <w:r w:rsidRPr="006675DE">
        <w:t xml:space="preserve"> B</w:t>
      </w:r>
      <w:r w:rsidR="00776BB1" w:rsidRPr="006675DE">
        <w:t>.</w:t>
      </w:r>
      <w:r w:rsidRPr="006675DE">
        <w:t>, Ndimande</w:t>
      </w:r>
      <w:r w:rsidR="00776BB1" w:rsidRPr="006675DE">
        <w:t>,</w:t>
      </w:r>
      <w:r w:rsidRPr="006675DE">
        <w:t xml:space="preserve"> N</w:t>
      </w:r>
      <w:r w:rsidR="00776BB1" w:rsidRPr="006675DE">
        <w:t>.</w:t>
      </w:r>
      <w:r w:rsidRPr="006675DE">
        <w:t>, Connell</w:t>
      </w:r>
      <w:r w:rsidR="00776BB1" w:rsidRPr="006675DE">
        <w:t>,</w:t>
      </w:r>
      <w:r w:rsidRPr="006675DE">
        <w:t xml:space="preserve"> J</w:t>
      </w:r>
      <w:r w:rsidR="00776BB1" w:rsidRPr="006675DE">
        <w:t>.</w:t>
      </w:r>
      <w:r w:rsidRPr="006675DE">
        <w:t xml:space="preserve"> &amp; Vincent</w:t>
      </w:r>
      <w:r w:rsidR="00776BB1" w:rsidRPr="006675DE">
        <w:t>,</w:t>
      </w:r>
      <w:r w:rsidRPr="006675DE">
        <w:t xml:space="preserve"> C</w:t>
      </w:r>
      <w:r w:rsidR="00776BB1" w:rsidRPr="006675DE">
        <w:t>.</w:t>
      </w:r>
      <w:r w:rsidRPr="006675DE">
        <w:t xml:space="preserve"> (2016)</w:t>
      </w:r>
      <w:r w:rsidR="00776BB1" w:rsidRPr="006675DE">
        <w:t>.</w:t>
      </w:r>
      <w:r w:rsidRPr="006675DE">
        <w:t xml:space="preserve"> Absconding: reducing failure to return in adult mental health wards. </w:t>
      </w:r>
      <w:r w:rsidRPr="006675DE">
        <w:rPr>
          <w:i/>
        </w:rPr>
        <w:t xml:space="preserve">BMJ Quality Improvement Reports, </w:t>
      </w:r>
      <w:r w:rsidRPr="006675DE">
        <w:t xml:space="preserve">5. </w:t>
      </w:r>
      <w:r w:rsidR="00776BB1" w:rsidRPr="006675DE">
        <w:t>[Online] Available</w:t>
      </w:r>
      <w:r w:rsidRPr="006675DE">
        <w:t xml:space="preserve"> at </w:t>
      </w:r>
      <w:hyperlink r:id="rId10" w:history="1">
        <w:r w:rsidRPr="006675DE">
          <w:rPr>
            <w:rStyle w:val="Hyperlink"/>
            <w:color w:val="auto"/>
            <w:u w:val="none"/>
          </w:rPr>
          <w:t>http://qir.bmj.com/content/5/1/u209837.w5117.full.pdf</w:t>
        </w:r>
      </w:hyperlink>
      <w:r w:rsidRPr="006675DE">
        <w:t>. [Accessed 13</w:t>
      </w:r>
      <w:r w:rsidRPr="006675DE">
        <w:rPr>
          <w:vertAlign w:val="superscript"/>
        </w:rPr>
        <w:t>th</w:t>
      </w:r>
      <w:r w:rsidRPr="006675DE">
        <w:t xml:space="preserve"> February 2017]</w:t>
      </w:r>
      <w:r w:rsidRPr="006675DE">
        <w:rPr>
          <w:i/>
        </w:rPr>
        <w:t xml:space="preserve"> </w:t>
      </w:r>
    </w:p>
    <w:p w14:paraId="01F14024" w14:textId="16537D4D" w:rsidR="00634161" w:rsidRPr="006675DE" w:rsidRDefault="00634161" w:rsidP="00587E45">
      <w:r w:rsidRPr="006675DE">
        <w:t>Bowers</w:t>
      </w:r>
      <w:r w:rsidR="00A7136D" w:rsidRPr="006675DE">
        <w:t>,</w:t>
      </w:r>
      <w:r w:rsidRPr="006675DE">
        <w:t xml:space="preserve"> L</w:t>
      </w:r>
      <w:r w:rsidR="00A7136D" w:rsidRPr="006675DE">
        <w:t>.</w:t>
      </w:r>
      <w:r w:rsidRPr="006675DE">
        <w:t>, Jarrett</w:t>
      </w:r>
      <w:r w:rsidR="00A7136D" w:rsidRPr="006675DE">
        <w:t>,</w:t>
      </w:r>
      <w:r w:rsidRPr="006675DE">
        <w:t xml:space="preserve"> M</w:t>
      </w:r>
      <w:r w:rsidR="00A7136D" w:rsidRPr="006675DE">
        <w:t>.</w:t>
      </w:r>
      <w:r w:rsidRPr="006675DE">
        <w:t xml:space="preserve"> &amp; Clark</w:t>
      </w:r>
      <w:r w:rsidR="00A7136D" w:rsidRPr="006675DE">
        <w:t>,</w:t>
      </w:r>
      <w:r w:rsidRPr="006675DE">
        <w:t xml:space="preserve"> N</w:t>
      </w:r>
      <w:r w:rsidR="00A7136D" w:rsidRPr="006675DE">
        <w:t>.</w:t>
      </w:r>
      <w:r w:rsidRPr="006675DE">
        <w:t xml:space="preserve"> (1998). Absconding: a literature review.  </w:t>
      </w:r>
      <w:r w:rsidRPr="006675DE">
        <w:rPr>
          <w:i/>
        </w:rPr>
        <w:t>Journal of Psychiatric and Mental Health Nursing</w:t>
      </w:r>
      <w:r w:rsidRPr="006675DE">
        <w:t xml:space="preserve"> 5(5), 343-353.</w:t>
      </w:r>
      <w:r w:rsidR="00587E45" w:rsidRPr="006675DE">
        <w:t xml:space="preserve"> </w:t>
      </w:r>
      <w:hyperlink r:id="rId11" w:history="1">
        <w:r w:rsidR="00587E45" w:rsidRPr="006675DE">
          <w:rPr>
            <w:rStyle w:val="Hyperlink"/>
            <w:color w:val="auto"/>
            <w:u w:val="none"/>
          </w:rPr>
          <w:t>https://doi.org/10.1046/j.1365-2850.1998.00149.x</w:t>
        </w:r>
      </w:hyperlink>
    </w:p>
    <w:p w14:paraId="122C6B14" w14:textId="3AAED97F" w:rsidR="00156548" w:rsidRPr="006675DE" w:rsidRDefault="00156548" w:rsidP="00A7136D">
      <w:r w:rsidRPr="006675DE">
        <w:t xml:space="preserve">Bowers, L., Jarrett, M. &amp; Clark, N., Kiyimba, F. &amp; McFarlane, L.  (1999a). 3. Absconding: outcome and risk. </w:t>
      </w:r>
      <w:r w:rsidRPr="006675DE">
        <w:rPr>
          <w:i/>
        </w:rPr>
        <w:t xml:space="preserve">Journal of Psychiatric and Mental Health Nursing, </w:t>
      </w:r>
      <w:r w:rsidRPr="006675DE">
        <w:t>6(3), 213-218. https://doi.org/10.1046/j.1365-2850.1999.630213.x</w:t>
      </w:r>
    </w:p>
    <w:p w14:paraId="1F364C1E" w14:textId="1D1A20D6" w:rsidR="00634161" w:rsidRPr="006675DE" w:rsidRDefault="00A7136D" w:rsidP="00A7136D">
      <w:r w:rsidRPr="006675DE">
        <w:t>Bowers, L., Jarrett, M. &amp; Clark, N.</w:t>
      </w:r>
      <w:r w:rsidR="00634161" w:rsidRPr="006675DE">
        <w:t>, Kiyimba</w:t>
      </w:r>
      <w:r w:rsidRPr="006675DE">
        <w:t>,</w:t>
      </w:r>
      <w:r w:rsidR="00634161" w:rsidRPr="006675DE">
        <w:t xml:space="preserve"> F</w:t>
      </w:r>
      <w:r w:rsidRPr="006675DE">
        <w:t>.</w:t>
      </w:r>
      <w:r w:rsidR="00634161" w:rsidRPr="006675DE">
        <w:t xml:space="preserve"> &amp; McFarlane</w:t>
      </w:r>
      <w:r w:rsidRPr="006675DE">
        <w:t>,</w:t>
      </w:r>
      <w:r w:rsidR="00634161" w:rsidRPr="006675DE">
        <w:t xml:space="preserve"> L</w:t>
      </w:r>
      <w:r w:rsidRPr="006675DE">
        <w:t>.</w:t>
      </w:r>
      <w:r w:rsidR="00634161" w:rsidRPr="006675DE">
        <w:t xml:space="preserve"> (1999</w:t>
      </w:r>
      <w:r w:rsidR="00156548" w:rsidRPr="006675DE">
        <w:t>b</w:t>
      </w:r>
      <w:r w:rsidR="00634161" w:rsidRPr="006675DE">
        <w:t>)</w:t>
      </w:r>
      <w:r w:rsidRPr="006675DE">
        <w:t>.</w:t>
      </w:r>
      <w:r w:rsidR="00634161" w:rsidRPr="006675DE">
        <w:t xml:space="preserve"> 1. Absconding: why patients leave. </w:t>
      </w:r>
      <w:r w:rsidR="00634161" w:rsidRPr="006675DE">
        <w:rPr>
          <w:i/>
        </w:rPr>
        <w:t xml:space="preserve">Journal of Psychiatric and Mental Health Nursing, </w:t>
      </w:r>
      <w:r w:rsidR="00634161" w:rsidRPr="006675DE">
        <w:t>6(3), 199-205</w:t>
      </w:r>
      <w:r w:rsidRPr="006675DE">
        <w:t xml:space="preserve">. </w:t>
      </w:r>
      <w:r w:rsidRPr="006675DE">
        <w:rPr>
          <w:rStyle w:val="Hyperlink"/>
          <w:color w:val="auto"/>
          <w:u w:val="none"/>
        </w:rPr>
        <w:t>https://doi.org/10.1046/j.1365-2850.1999.630199.x</w:t>
      </w:r>
    </w:p>
    <w:p w14:paraId="12B21D48" w14:textId="0DFA785D" w:rsidR="00A7136D" w:rsidRPr="006675DE" w:rsidRDefault="00A7136D" w:rsidP="00A7136D">
      <w:r w:rsidRPr="006675DE">
        <w:t xml:space="preserve">Bowers, L., Jarrett, M. &amp; Clark, N., Kiyimba, F. &amp; McFarlane, L.  </w:t>
      </w:r>
      <w:r w:rsidR="00634161" w:rsidRPr="006675DE">
        <w:t>(2000)</w:t>
      </w:r>
      <w:r w:rsidRPr="006675DE">
        <w:t>.</w:t>
      </w:r>
      <w:r w:rsidR="00634161" w:rsidRPr="006675DE">
        <w:t xml:space="preserve"> Determinants of absconding by patients on acute psychiatric wards. </w:t>
      </w:r>
      <w:r w:rsidR="00634161" w:rsidRPr="006675DE">
        <w:rPr>
          <w:i/>
        </w:rPr>
        <w:t>Journal of Advanced Nursing</w:t>
      </w:r>
      <w:r w:rsidR="00634161" w:rsidRPr="006675DE">
        <w:t>, 32(3), 644-649</w:t>
      </w:r>
      <w:r w:rsidRPr="006675DE">
        <w:t>. https://doi.org/10.1046/j.1365-2648.2000.01523.x</w:t>
      </w:r>
    </w:p>
    <w:p w14:paraId="383C925B" w14:textId="6CEC3BF0" w:rsidR="00A7136D" w:rsidRPr="006675DE" w:rsidRDefault="00634161" w:rsidP="00A7136D">
      <w:r w:rsidRPr="006675DE">
        <w:t>Bowers</w:t>
      </w:r>
      <w:r w:rsidR="00A7136D" w:rsidRPr="006675DE">
        <w:t>,</w:t>
      </w:r>
      <w:r w:rsidRPr="006675DE">
        <w:t xml:space="preserve"> L</w:t>
      </w:r>
      <w:r w:rsidR="00A7136D" w:rsidRPr="006675DE">
        <w:t>.</w:t>
      </w:r>
      <w:r w:rsidRPr="006675DE">
        <w:t>, Alexander</w:t>
      </w:r>
      <w:r w:rsidR="00A7136D" w:rsidRPr="006675DE">
        <w:t>,</w:t>
      </w:r>
      <w:r w:rsidRPr="006675DE">
        <w:t xml:space="preserve"> J</w:t>
      </w:r>
      <w:r w:rsidR="00A7136D" w:rsidRPr="006675DE">
        <w:t>.</w:t>
      </w:r>
      <w:r w:rsidRPr="006675DE">
        <w:t xml:space="preserve"> &amp; Gaskell</w:t>
      </w:r>
      <w:r w:rsidR="00A7136D" w:rsidRPr="006675DE">
        <w:t>,</w:t>
      </w:r>
      <w:r w:rsidRPr="006675DE">
        <w:t xml:space="preserve"> C</w:t>
      </w:r>
      <w:r w:rsidR="00A7136D" w:rsidRPr="006675DE">
        <w:t>.</w:t>
      </w:r>
      <w:r w:rsidRPr="006675DE">
        <w:t xml:space="preserve"> (2003)</w:t>
      </w:r>
      <w:r w:rsidR="00A7136D" w:rsidRPr="006675DE">
        <w:t>.</w:t>
      </w:r>
      <w:r w:rsidRPr="006675DE">
        <w:t xml:space="preserve"> A trial of an anti-absconding intervention in acute psychiatric wards. </w:t>
      </w:r>
      <w:r w:rsidRPr="006675DE">
        <w:rPr>
          <w:i/>
        </w:rPr>
        <w:t>Journal of Psychiatric and Mental Health Nursing</w:t>
      </w:r>
      <w:r w:rsidR="00824A95" w:rsidRPr="006675DE">
        <w:rPr>
          <w:i/>
        </w:rPr>
        <w:t>,</w:t>
      </w:r>
      <w:r w:rsidRPr="006675DE">
        <w:rPr>
          <w:i/>
        </w:rPr>
        <w:t xml:space="preserve"> </w:t>
      </w:r>
      <w:r w:rsidRPr="006675DE">
        <w:t>10(4), 410-416</w:t>
      </w:r>
      <w:r w:rsidR="00A7136D" w:rsidRPr="006675DE">
        <w:t>. https://doi.org/10.1046/j.1365-2850.2003.00619.x</w:t>
      </w:r>
    </w:p>
    <w:p w14:paraId="5F739C77" w14:textId="503C4626" w:rsidR="00A7136D" w:rsidRPr="006675DE" w:rsidRDefault="00634161" w:rsidP="00A7136D">
      <w:r w:rsidRPr="006675DE">
        <w:t>Bowers</w:t>
      </w:r>
      <w:r w:rsidR="00A7136D" w:rsidRPr="006675DE">
        <w:t>,</w:t>
      </w:r>
      <w:r w:rsidRPr="006675DE">
        <w:t xml:space="preserve"> L</w:t>
      </w:r>
      <w:r w:rsidR="00A7136D" w:rsidRPr="006675DE">
        <w:t>.</w:t>
      </w:r>
      <w:r w:rsidRPr="006675DE">
        <w:t>, Simpson</w:t>
      </w:r>
      <w:r w:rsidR="00A7136D" w:rsidRPr="006675DE">
        <w:t>,</w:t>
      </w:r>
      <w:r w:rsidRPr="006675DE">
        <w:t xml:space="preserve"> A</w:t>
      </w:r>
      <w:r w:rsidR="00A7136D" w:rsidRPr="006675DE">
        <w:t>.</w:t>
      </w:r>
      <w:r w:rsidRPr="006675DE">
        <w:t>, &amp; Alexander</w:t>
      </w:r>
      <w:r w:rsidR="00A7136D" w:rsidRPr="006675DE">
        <w:t>,</w:t>
      </w:r>
      <w:r w:rsidRPr="006675DE">
        <w:t xml:space="preserve"> J</w:t>
      </w:r>
      <w:r w:rsidR="00A7136D" w:rsidRPr="006675DE">
        <w:t>.</w:t>
      </w:r>
      <w:r w:rsidRPr="006675DE">
        <w:t xml:space="preserve"> (2005)</w:t>
      </w:r>
      <w:r w:rsidR="00A7136D" w:rsidRPr="006675DE">
        <w:t>.</w:t>
      </w:r>
      <w:r w:rsidRPr="006675DE">
        <w:t xml:space="preserve"> Real world application of an intervention to reduce absconding. </w:t>
      </w:r>
      <w:r w:rsidRPr="006675DE">
        <w:rPr>
          <w:i/>
        </w:rPr>
        <w:t>Journal of Psychiatric and Mental Health Nursing</w:t>
      </w:r>
      <w:r w:rsidR="00824A95" w:rsidRPr="006675DE">
        <w:rPr>
          <w:i/>
        </w:rPr>
        <w:t>,</w:t>
      </w:r>
      <w:r w:rsidRPr="006675DE">
        <w:t xml:space="preserve"> 12(5), 598-602</w:t>
      </w:r>
      <w:r w:rsidR="00A7136D" w:rsidRPr="006675DE">
        <w:t>. https://doi.org/10.1111/j.1365-2850.2005.00879.x</w:t>
      </w:r>
    </w:p>
    <w:p w14:paraId="6E24D088" w14:textId="5C6E0183" w:rsidR="00634161" w:rsidRPr="006675DE" w:rsidRDefault="00634161" w:rsidP="00824A95">
      <w:r w:rsidRPr="006675DE">
        <w:t>Bowers</w:t>
      </w:r>
      <w:r w:rsidR="00824A95" w:rsidRPr="006675DE">
        <w:t>,</w:t>
      </w:r>
      <w:r w:rsidRPr="006675DE">
        <w:t xml:space="preserve"> L</w:t>
      </w:r>
      <w:r w:rsidR="00824A95" w:rsidRPr="006675DE">
        <w:t>.</w:t>
      </w:r>
      <w:r w:rsidRPr="006675DE">
        <w:t>, Brennan</w:t>
      </w:r>
      <w:r w:rsidR="00824A95" w:rsidRPr="006675DE">
        <w:t>,</w:t>
      </w:r>
      <w:r w:rsidRPr="006675DE">
        <w:t xml:space="preserve"> G</w:t>
      </w:r>
      <w:r w:rsidR="00824A95" w:rsidRPr="006675DE">
        <w:t>.</w:t>
      </w:r>
      <w:r w:rsidRPr="006675DE">
        <w:t>, Flood</w:t>
      </w:r>
      <w:r w:rsidR="00824A95" w:rsidRPr="006675DE">
        <w:t>,</w:t>
      </w:r>
      <w:r w:rsidRPr="006675DE">
        <w:t xml:space="preserve"> C</w:t>
      </w:r>
      <w:r w:rsidR="00824A95" w:rsidRPr="006675DE">
        <w:t>.</w:t>
      </w:r>
      <w:r w:rsidRPr="006675DE">
        <w:t>, Lipang</w:t>
      </w:r>
      <w:r w:rsidR="00824A95" w:rsidRPr="006675DE">
        <w:t>,</w:t>
      </w:r>
      <w:r w:rsidRPr="006675DE">
        <w:t xml:space="preserve"> M</w:t>
      </w:r>
      <w:r w:rsidR="00824A95" w:rsidRPr="006675DE">
        <w:t>.</w:t>
      </w:r>
      <w:r w:rsidRPr="006675DE">
        <w:t xml:space="preserve"> &amp; Oladapo</w:t>
      </w:r>
      <w:r w:rsidR="00824A95" w:rsidRPr="006675DE">
        <w:t>,</w:t>
      </w:r>
      <w:r w:rsidRPr="006675DE">
        <w:t xml:space="preserve"> P</w:t>
      </w:r>
      <w:r w:rsidR="00824A95" w:rsidRPr="006675DE">
        <w:t>.</w:t>
      </w:r>
      <w:r w:rsidRPr="006675DE">
        <w:t xml:space="preserve"> (2006)</w:t>
      </w:r>
      <w:r w:rsidR="00824A95" w:rsidRPr="006675DE">
        <w:t>.</w:t>
      </w:r>
      <w:r w:rsidRPr="006675DE">
        <w:t xml:space="preserve"> Preliminary outcomes of a trial to reduce conflict on acute psychiatric wards: City Nurses. </w:t>
      </w:r>
      <w:r w:rsidRPr="006675DE">
        <w:rPr>
          <w:i/>
        </w:rPr>
        <w:t>Journal of Psychiatric and Mental Health Nursing</w:t>
      </w:r>
      <w:r w:rsidR="00824A95" w:rsidRPr="006675DE">
        <w:rPr>
          <w:i/>
        </w:rPr>
        <w:t>,</w:t>
      </w:r>
      <w:r w:rsidRPr="006675DE">
        <w:t xml:space="preserve"> 13(2), 165-172</w:t>
      </w:r>
      <w:r w:rsidR="00824A95" w:rsidRPr="006675DE">
        <w:t>. https://doi.org/10.1111/j.1365-2850.2006.00931.x</w:t>
      </w:r>
    </w:p>
    <w:p w14:paraId="1560E3E6" w14:textId="27F0A4B9" w:rsidR="00634161" w:rsidRPr="006675DE" w:rsidRDefault="00634161" w:rsidP="00634161">
      <w:pPr>
        <w:rPr>
          <w:rStyle w:val="Hyperlink"/>
          <w:color w:val="auto"/>
          <w:u w:val="none"/>
        </w:rPr>
      </w:pPr>
      <w:r w:rsidRPr="006675DE">
        <w:t>Bowers</w:t>
      </w:r>
      <w:r w:rsidR="00824A95" w:rsidRPr="006675DE">
        <w:t>,</w:t>
      </w:r>
      <w:r w:rsidRPr="006675DE">
        <w:t xml:space="preserve"> L</w:t>
      </w:r>
      <w:r w:rsidR="00824A95" w:rsidRPr="006675DE">
        <w:t>.</w:t>
      </w:r>
      <w:r w:rsidRPr="006675DE">
        <w:t>, Alexander</w:t>
      </w:r>
      <w:r w:rsidR="00824A95" w:rsidRPr="006675DE">
        <w:t>,</w:t>
      </w:r>
      <w:r w:rsidRPr="006675DE">
        <w:t xml:space="preserve"> J</w:t>
      </w:r>
      <w:r w:rsidR="00824A95" w:rsidRPr="006675DE">
        <w:t>.</w:t>
      </w:r>
      <w:r w:rsidRPr="006675DE">
        <w:t>, Bilgin</w:t>
      </w:r>
      <w:r w:rsidR="00824A95" w:rsidRPr="006675DE">
        <w:t>,</w:t>
      </w:r>
      <w:r w:rsidRPr="006675DE">
        <w:t xml:space="preserve"> H</w:t>
      </w:r>
      <w:r w:rsidR="00824A95" w:rsidRPr="006675DE">
        <w:t>.</w:t>
      </w:r>
      <w:r w:rsidRPr="006675DE">
        <w:t>, Botha</w:t>
      </w:r>
      <w:r w:rsidR="00824A95" w:rsidRPr="006675DE">
        <w:t>,</w:t>
      </w:r>
      <w:r w:rsidRPr="006675DE">
        <w:t xml:space="preserve"> M</w:t>
      </w:r>
      <w:r w:rsidR="00824A95" w:rsidRPr="006675DE">
        <w:t>.</w:t>
      </w:r>
      <w:r w:rsidRPr="006675DE">
        <w:t>, Dack</w:t>
      </w:r>
      <w:r w:rsidR="00824A95" w:rsidRPr="006675DE">
        <w:t>,</w:t>
      </w:r>
      <w:r w:rsidRPr="006675DE">
        <w:t xml:space="preserve"> C</w:t>
      </w:r>
      <w:r w:rsidR="00824A95" w:rsidRPr="006675DE">
        <w:t>.</w:t>
      </w:r>
      <w:r w:rsidRPr="006675DE">
        <w:t>, James</w:t>
      </w:r>
      <w:r w:rsidR="00824A95" w:rsidRPr="006675DE">
        <w:t>,</w:t>
      </w:r>
      <w:r w:rsidRPr="006675DE">
        <w:t xml:space="preserve"> K</w:t>
      </w:r>
      <w:r w:rsidR="00824A95" w:rsidRPr="006675DE">
        <w:t>.</w:t>
      </w:r>
      <w:r w:rsidRPr="006675DE">
        <w:t>, Jarrett</w:t>
      </w:r>
      <w:r w:rsidR="00824A95" w:rsidRPr="006675DE">
        <w:t>,</w:t>
      </w:r>
      <w:r w:rsidRPr="006675DE">
        <w:t xml:space="preserve"> M</w:t>
      </w:r>
      <w:r w:rsidR="00824A95" w:rsidRPr="006675DE">
        <w:t>.</w:t>
      </w:r>
      <w:r w:rsidRPr="006675DE">
        <w:t>, Jeffery</w:t>
      </w:r>
      <w:r w:rsidR="00824A95" w:rsidRPr="006675DE">
        <w:t>,</w:t>
      </w:r>
      <w:r w:rsidRPr="006675DE">
        <w:t xml:space="preserve"> D</w:t>
      </w:r>
      <w:r w:rsidR="00824A95" w:rsidRPr="006675DE">
        <w:t>.</w:t>
      </w:r>
      <w:r w:rsidRPr="006675DE">
        <w:t>, Nijman</w:t>
      </w:r>
      <w:r w:rsidR="00824A95" w:rsidRPr="006675DE">
        <w:t>,</w:t>
      </w:r>
      <w:r w:rsidRPr="006675DE">
        <w:t xml:space="preserve"> H</w:t>
      </w:r>
      <w:r w:rsidR="00824A95" w:rsidRPr="006675DE">
        <w:t>.</w:t>
      </w:r>
      <w:r w:rsidRPr="006675DE">
        <w:t>, Owiti</w:t>
      </w:r>
      <w:r w:rsidR="00824A95" w:rsidRPr="006675DE">
        <w:t>,</w:t>
      </w:r>
      <w:r w:rsidRPr="006675DE">
        <w:t xml:space="preserve"> J</w:t>
      </w:r>
      <w:r w:rsidR="00824A95" w:rsidRPr="006675DE">
        <w:t>.</w:t>
      </w:r>
      <w:r w:rsidRPr="006675DE">
        <w:t>A</w:t>
      </w:r>
      <w:r w:rsidR="00824A95" w:rsidRPr="006675DE">
        <w:t>.</w:t>
      </w:r>
      <w:r w:rsidRPr="006675DE">
        <w:t>, Papadopolous</w:t>
      </w:r>
      <w:r w:rsidR="00824A95" w:rsidRPr="006675DE">
        <w:t>,</w:t>
      </w:r>
      <w:r w:rsidRPr="006675DE">
        <w:t xml:space="preserve"> C</w:t>
      </w:r>
      <w:r w:rsidR="00824A95" w:rsidRPr="006675DE">
        <w:t>.</w:t>
      </w:r>
      <w:r w:rsidRPr="006675DE">
        <w:t>, Ross</w:t>
      </w:r>
      <w:r w:rsidR="00824A95" w:rsidRPr="006675DE">
        <w:t>,</w:t>
      </w:r>
      <w:r w:rsidRPr="006675DE">
        <w:t xml:space="preserve"> J</w:t>
      </w:r>
      <w:r w:rsidR="00824A95" w:rsidRPr="006675DE">
        <w:t>.</w:t>
      </w:r>
      <w:r w:rsidRPr="006675DE">
        <w:t>, Wright</w:t>
      </w:r>
      <w:r w:rsidR="00824A95" w:rsidRPr="006675DE">
        <w:t>,</w:t>
      </w:r>
      <w:r w:rsidRPr="006675DE">
        <w:t xml:space="preserve"> S</w:t>
      </w:r>
      <w:r w:rsidR="00824A95" w:rsidRPr="006675DE">
        <w:t>.</w:t>
      </w:r>
      <w:r w:rsidRPr="006675DE">
        <w:t xml:space="preserve"> &amp; Stewart</w:t>
      </w:r>
      <w:r w:rsidR="00824A95" w:rsidRPr="006675DE">
        <w:t>,</w:t>
      </w:r>
      <w:r w:rsidRPr="006675DE">
        <w:t xml:space="preserve"> D</w:t>
      </w:r>
      <w:r w:rsidR="00824A95" w:rsidRPr="006675DE">
        <w:t>.</w:t>
      </w:r>
      <w:r w:rsidRPr="006675DE">
        <w:t xml:space="preserve"> (2014)</w:t>
      </w:r>
      <w:r w:rsidR="00824A95" w:rsidRPr="006675DE">
        <w:t>.</w:t>
      </w:r>
      <w:r w:rsidRPr="006675DE">
        <w:t xml:space="preserve"> Safewards: the empirical basis of the model and a critical appraisal. </w:t>
      </w:r>
      <w:r w:rsidRPr="006675DE">
        <w:rPr>
          <w:i/>
        </w:rPr>
        <w:t xml:space="preserve">Journal of Psychiatric and Mental Health Nursing, </w:t>
      </w:r>
      <w:r w:rsidRPr="006675DE">
        <w:t>21(4), 354-364</w:t>
      </w:r>
      <w:r w:rsidR="00824A95" w:rsidRPr="006675DE">
        <w:t xml:space="preserve">. </w:t>
      </w:r>
      <w:hyperlink r:id="rId12" w:history="1">
        <w:r w:rsidR="00824A95" w:rsidRPr="006675DE">
          <w:rPr>
            <w:rStyle w:val="Hyperlink"/>
            <w:color w:val="auto"/>
            <w:u w:val="none"/>
          </w:rPr>
          <w:t>https://doi.org/10.1111/jpm.12085</w:t>
        </w:r>
      </w:hyperlink>
    </w:p>
    <w:p w14:paraId="55EC20C1" w14:textId="09AFC198" w:rsidR="000202CB" w:rsidRPr="006675DE" w:rsidRDefault="000202CB" w:rsidP="00634161">
      <w:r w:rsidRPr="006675DE">
        <w:rPr>
          <w:rStyle w:val="Hyperlink"/>
          <w:color w:val="auto"/>
          <w:u w:val="none"/>
        </w:rPr>
        <w:t xml:space="preserve">Cullen, A.E., Bowers, L., Khondoker, M. &amp; Pettit, S. (2016) Factors associated with use of psychiatric intensie care and seclusion in adult inpatient mental health services. </w:t>
      </w:r>
      <w:r w:rsidRPr="006675DE">
        <w:rPr>
          <w:rStyle w:val="Hyperlink"/>
          <w:i/>
          <w:iCs/>
          <w:color w:val="auto"/>
          <w:u w:val="none"/>
        </w:rPr>
        <w:t xml:space="preserve">Epidemiology and Psychiatric Services, </w:t>
      </w:r>
      <w:r w:rsidRPr="006675DE">
        <w:rPr>
          <w:rStyle w:val="Hyperlink"/>
          <w:color w:val="auto"/>
          <w:u w:val="none"/>
        </w:rPr>
        <w:t xml:space="preserve">27(1). </w:t>
      </w:r>
      <w:r w:rsidRPr="006675DE">
        <w:t>https://doi.org/10.1017/S2045796016000731</w:t>
      </w:r>
    </w:p>
    <w:p w14:paraId="1163CE27" w14:textId="77777777" w:rsidR="00824A95" w:rsidRPr="006675DE" w:rsidRDefault="00634161" w:rsidP="00824A95">
      <w:r w:rsidRPr="006675DE">
        <w:t>Dickens</w:t>
      </w:r>
      <w:r w:rsidR="00824A95" w:rsidRPr="006675DE">
        <w:t>,</w:t>
      </w:r>
      <w:r w:rsidRPr="006675DE">
        <w:t xml:space="preserve"> G</w:t>
      </w:r>
      <w:r w:rsidR="00824A95" w:rsidRPr="006675DE">
        <w:t>.</w:t>
      </w:r>
      <w:r w:rsidRPr="006675DE">
        <w:t>L</w:t>
      </w:r>
      <w:r w:rsidR="00824A95" w:rsidRPr="006675DE">
        <w:t>.</w:t>
      </w:r>
      <w:r w:rsidRPr="006675DE">
        <w:t xml:space="preserve"> &amp; Campbell</w:t>
      </w:r>
      <w:r w:rsidR="00824A95" w:rsidRPr="006675DE">
        <w:t>,</w:t>
      </w:r>
      <w:r w:rsidRPr="006675DE">
        <w:t xml:space="preserve"> J</w:t>
      </w:r>
      <w:r w:rsidR="00824A95" w:rsidRPr="006675DE">
        <w:t>.</w:t>
      </w:r>
      <w:r w:rsidRPr="006675DE">
        <w:t xml:space="preserve"> (2001)</w:t>
      </w:r>
      <w:r w:rsidR="00824A95" w:rsidRPr="006675DE">
        <w:t>.</w:t>
      </w:r>
      <w:r w:rsidRPr="006675DE">
        <w:t xml:space="preserve"> Absconding of patients from an independent UK psychiatric hospital: a 3-year retrospective analysis of events and characteristics of absconders. </w:t>
      </w:r>
      <w:r w:rsidRPr="006675DE">
        <w:rPr>
          <w:i/>
        </w:rPr>
        <w:t>Journal of Psychiatric and Mental Health Nursing</w:t>
      </w:r>
      <w:r w:rsidR="00824A95" w:rsidRPr="006675DE">
        <w:rPr>
          <w:i/>
        </w:rPr>
        <w:t>,</w:t>
      </w:r>
      <w:r w:rsidRPr="006675DE">
        <w:rPr>
          <w:i/>
        </w:rPr>
        <w:t xml:space="preserve"> </w:t>
      </w:r>
      <w:r w:rsidRPr="006675DE">
        <w:t>8(6), 543-550</w:t>
      </w:r>
      <w:r w:rsidR="00824A95" w:rsidRPr="006675DE">
        <w:t xml:space="preserve">. </w:t>
      </w:r>
      <w:hyperlink r:id="rId13" w:history="1">
        <w:r w:rsidR="00824A95" w:rsidRPr="006675DE">
          <w:rPr>
            <w:rStyle w:val="Hyperlink"/>
            <w:color w:val="auto"/>
            <w:u w:val="none"/>
          </w:rPr>
          <w:t>https://doi.org/10.1046/j.1351-0126.2001.00426.x</w:t>
        </w:r>
      </w:hyperlink>
    </w:p>
    <w:p w14:paraId="2C60BA5E" w14:textId="6C1E0C9B" w:rsidR="00634161" w:rsidRPr="006675DE" w:rsidRDefault="00634161" w:rsidP="00634161">
      <w:pPr>
        <w:spacing w:line="276" w:lineRule="auto"/>
      </w:pPr>
      <w:r w:rsidRPr="006675DE">
        <w:t>Donald</w:t>
      </w:r>
      <w:r w:rsidR="00824A95" w:rsidRPr="006675DE">
        <w:t>,</w:t>
      </w:r>
      <w:r w:rsidRPr="006675DE">
        <w:t xml:space="preserve"> F</w:t>
      </w:r>
      <w:r w:rsidR="00824A95" w:rsidRPr="006675DE">
        <w:t>.</w:t>
      </w:r>
      <w:r w:rsidRPr="006675DE">
        <w:t>, Duff</w:t>
      </w:r>
      <w:r w:rsidR="00824A95" w:rsidRPr="006675DE">
        <w:t>,</w:t>
      </w:r>
      <w:r w:rsidRPr="006675DE">
        <w:t xml:space="preserve"> C</w:t>
      </w:r>
      <w:r w:rsidR="00824A95" w:rsidRPr="006675DE">
        <w:t>.,</w:t>
      </w:r>
      <w:r w:rsidRPr="006675DE">
        <w:t xml:space="preserve"> Lee</w:t>
      </w:r>
      <w:r w:rsidR="00824A95" w:rsidRPr="006675DE">
        <w:t>,</w:t>
      </w:r>
      <w:r w:rsidRPr="006675DE">
        <w:t xml:space="preserve"> S</w:t>
      </w:r>
      <w:r w:rsidR="00824A95" w:rsidRPr="006675DE">
        <w:t>.</w:t>
      </w:r>
      <w:r w:rsidRPr="006675DE">
        <w:t>, Kroschel</w:t>
      </w:r>
      <w:r w:rsidR="00824A95" w:rsidRPr="006675DE">
        <w:t>,</w:t>
      </w:r>
      <w:r w:rsidRPr="006675DE">
        <w:t xml:space="preserve"> J</w:t>
      </w:r>
      <w:r w:rsidR="00824A95" w:rsidRPr="006675DE">
        <w:t>.</w:t>
      </w:r>
      <w:r w:rsidRPr="006675DE">
        <w:t xml:space="preserve"> &amp; Kulkarni</w:t>
      </w:r>
      <w:r w:rsidR="00824A95" w:rsidRPr="006675DE">
        <w:t>,</w:t>
      </w:r>
      <w:r w:rsidRPr="006675DE">
        <w:t xml:space="preserve"> J</w:t>
      </w:r>
      <w:r w:rsidR="00824A95" w:rsidRPr="006675DE">
        <w:t>.</w:t>
      </w:r>
      <w:r w:rsidRPr="006675DE">
        <w:t xml:space="preserve"> (2015)</w:t>
      </w:r>
      <w:r w:rsidR="00824A95" w:rsidRPr="006675DE">
        <w:t>.</w:t>
      </w:r>
      <w:r w:rsidRPr="006675DE">
        <w:t xml:space="preserve"> Consumer perspectives on the therapeutic value of a psychiatric environment. </w:t>
      </w:r>
      <w:r w:rsidRPr="006675DE">
        <w:rPr>
          <w:i/>
        </w:rPr>
        <w:t xml:space="preserve">Journal of Mental Health, </w:t>
      </w:r>
      <w:r w:rsidRPr="006675DE">
        <w:t>24(2), 63-67</w:t>
      </w:r>
      <w:r w:rsidR="00824A95" w:rsidRPr="006675DE">
        <w:t xml:space="preserve">. </w:t>
      </w:r>
      <w:r w:rsidR="00824A95" w:rsidRPr="006675DE">
        <w:rPr>
          <w:rStyle w:val="absmetadatalabel"/>
        </w:rPr>
        <w:t>https://doi.org/</w:t>
      </w:r>
      <w:hyperlink r:id="rId14" w:history="1">
        <w:r w:rsidR="00824A95" w:rsidRPr="006675DE">
          <w:rPr>
            <w:rStyle w:val="Hyperlink"/>
            <w:color w:val="auto"/>
            <w:u w:val="none"/>
          </w:rPr>
          <w:t>10.3109/09638237.2014.954692</w:t>
        </w:r>
      </w:hyperlink>
    </w:p>
    <w:p w14:paraId="0DF6E26C" w14:textId="77777777" w:rsidR="00824A95" w:rsidRPr="006675DE" w:rsidRDefault="00634161" w:rsidP="00824A95">
      <w:r w:rsidRPr="006675DE">
        <w:t>Engward</w:t>
      </w:r>
      <w:r w:rsidR="00824A95" w:rsidRPr="006675DE">
        <w:t>,</w:t>
      </w:r>
      <w:r w:rsidRPr="006675DE">
        <w:t xml:space="preserve"> H</w:t>
      </w:r>
      <w:r w:rsidR="00824A95" w:rsidRPr="006675DE">
        <w:t>.</w:t>
      </w:r>
      <w:r w:rsidRPr="006675DE">
        <w:t xml:space="preserve"> &amp; Davis</w:t>
      </w:r>
      <w:r w:rsidR="00824A95" w:rsidRPr="006675DE">
        <w:t>,</w:t>
      </w:r>
      <w:r w:rsidRPr="006675DE">
        <w:t xml:space="preserve"> G</w:t>
      </w:r>
      <w:r w:rsidR="00824A95" w:rsidRPr="006675DE">
        <w:t>.</w:t>
      </w:r>
      <w:r w:rsidRPr="006675DE">
        <w:t xml:space="preserve"> (2015)</w:t>
      </w:r>
      <w:r w:rsidR="00824A95" w:rsidRPr="006675DE">
        <w:t>.</w:t>
      </w:r>
      <w:r w:rsidRPr="006675DE">
        <w:t xml:space="preserve"> Being reflexive in qualitative grounded theory: discussion and application of a model of reflexivity. </w:t>
      </w:r>
      <w:r w:rsidRPr="006675DE">
        <w:rPr>
          <w:i/>
        </w:rPr>
        <w:t>Journal of Advanced Nursing</w:t>
      </w:r>
      <w:r w:rsidR="00824A95" w:rsidRPr="006675DE">
        <w:rPr>
          <w:i/>
        </w:rPr>
        <w:t>,</w:t>
      </w:r>
      <w:r w:rsidRPr="006675DE">
        <w:t xml:space="preserve"> 71(7), 1530-1538</w:t>
      </w:r>
      <w:r w:rsidR="00824A95" w:rsidRPr="006675DE">
        <w:t xml:space="preserve">. </w:t>
      </w:r>
      <w:hyperlink r:id="rId15" w:history="1">
        <w:r w:rsidR="00824A95" w:rsidRPr="006675DE">
          <w:rPr>
            <w:rStyle w:val="Hyperlink"/>
            <w:color w:val="auto"/>
            <w:u w:val="none"/>
          </w:rPr>
          <w:t>https://doi.org/10.1111/jan.12653</w:t>
        </w:r>
      </w:hyperlink>
    </w:p>
    <w:p w14:paraId="7A355E87" w14:textId="260717DF" w:rsidR="00634161" w:rsidRPr="006675DE" w:rsidRDefault="00634161" w:rsidP="00824A95">
      <w:r w:rsidRPr="006675DE">
        <w:t>Falkowski</w:t>
      </w:r>
      <w:r w:rsidR="00824A95" w:rsidRPr="006675DE">
        <w:t>,</w:t>
      </w:r>
      <w:r w:rsidRPr="006675DE">
        <w:t xml:space="preserve"> J</w:t>
      </w:r>
      <w:r w:rsidR="00824A95" w:rsidRPr="006675DE">
        <w:t>.</w:t>
      </w:r>
      <w:r w:rsidRPr="006675DE">
        <w:t>, Watts</w:t>
      </w:r>
      <w:r w:rsidR="00824A95" w:rsidRPr="006675DE">
        <w:t>,</w:t>
      </w:r>
      <w:r w:rsidRPr="006675DE">
        <w:t xml:space="preserve"> V</w:t>
      </w:r>
      <w:r w:rsidR="00824A95" w:rsidRPr="006675DE">
        <w:t>.</w:t>
      </w:r>
      <w:r w:rsidRPr="006675DE">
        <w:t>, Falkowski</w:t>
      </w:r>
      <w:r w:rsidR="00824A95" w:rsidRPr="006675DE">
        <w:t>,</w:t>
      </w:r>
      <w:r w:rsidRPr="006675DE">
        <w:t xml:space="preserve"> W</w:t>
      </w:r>
      <w:r w:rsidR="00824A95" w:rsidRPr="006675DE">
        <w:t>.</w:t>
      </w:r>
      <w:r w:rsidRPr="006675DE">
        <w:t xml:space="preserve"> &amp; Dean</w:t>
      </w:r>
      <w:r w:rsidR="00824A95" w:rsidRPr="006675DE">
        <w:t>,</w:t>
      </w:r>
      <w:r w:rsidRPr="006675DE">
        <w:t xml:space="preserve"> T</w:t>
      </w:r>
      <w:r w:rsidR="00824A95" w:rsidRPr="006675DE">
        <w:t>.</w:t>
      </w:r>
      <w:r w:rsidRPr="006675DE">
        <w:t xml:space="preserve"> (1990)</w:t>
      </w:r>
      <w:r w:rsidR="00824A95" w:rsidRPr="006675DE">
        <w:t>.</w:t>
      </w:r>
      <w:r w:rsidRPr="006675DE">
        <w:t xml:space="preserve"> Patients Leaving Hospital Without the Knowledge of Permission of Staff – Absconding. </w:t>
      </w:r>
      <w:r w:rsidRPr="006675DE">
        <w:rPr>
          <w:i/>
        </w:rPr>
        <w:t xml:space="preserve">British Journal of Psychiatry, </w:t>
      </w:r>
      <w:r w:rsidRPr="006675DE">
        <w:t>156(4), 488-490</w:t>
      </w:r>
      <w:r w:rsidR="00824A95" w:rsidRPr="006675DE">
        <w:t xml:space="preserve">. </w:t>
      </w:r>
      <w:hyperlink r:id="rId16" w:history="1">
        <w:r w:rsidR="00824A95" w:rsidRPr="006675DE">
          <w:rPr>
            <w:rStyle w:val="Hyperlink"/>
            <w:color w:val="auto"/>
            <w:u w:val="none"/>
          </w:rPr>
          <w:t>https://doi.org/10.1192/bjp.156.4.488</w:t>
        </w:r>
      </w:hyperlink>
      <w:r w:rsidR="00824A95" w:rsidRPr="006675DE">
        <w:t xml:space="preserve"> </w:t>
      </w:r>
    </w:p>
    <w:p w14:paraId="69B894EB" w14:textId="5ADAF2D4" w:rsidR="007437F3" w:rsidRPr="006675DE" w:rsidRDefault="007437F3" w:rsidP="00824A95">
      <w:r w:rsidRPr="006675DE">
        <w:t xml:space="preserve">Gerace, A., Oster, C., Mosel, M., O’Kane, D., Ash, D. &amp; Muir-Cochrane, E. (2015) Five-year review of absconding in three acute psychiatric inpatient wards in Australia. </w:t>
      </w:r>
      <w:r w:rsidRPr="006675DE">
        <w:rPr>
          <w:i/>
          <w:iCs/>
        </w:rPr>
        <w:t xml:space="preserve">International Journal of Mental Health Nursing, </w:t>
      </w:r>
      <w:r w:rsidRPr="006675DE">
        <w:t>24</w:t>
      </w:r>
      <w:r w:rsidR="000A72A2" w:rsidRPr="006675DE">
        <w:t>(1)</w:t>
      </w:r>
      <w:r w:rsidRPr="006675DE">
        <w:t xml:space="preserve">, 28-37. </w:t>
      </w:r>
      <w:r w:rsidR="009C0B23" w:rsidRPr="006675DE">
        <w:t>https://doi.org/10.1111/inm.12100</w:t>
      </w:r>
    </w:p>
    <w:p w14:paraId="1657122B" w14:textId="5E099D08" w:rsidR="009C0B23" w:rsidRPr="006675DE" w:rsidRDefault="009C0B23" w:rsidP="00824A95">
      <w:r w:rsidRPr="006675DE">
        <w:t xml:space="preserve">Gerace, A., Oster, C., O’Kane, D., Hayman, C.L. &amp; Muir-Cochrane, E. (2018) Empathic processes during nurse-consumer situations in psychiatric inpatient units: A qualitative study. </w:t>
      </w:r>
      <w:r w:rsidRPr="006675DE">
        <w:rPr>
          <w:i/>
          <w:iCs/>
        </w:rPr>
        <w:t xml:space="preserve">International Journal of Mental Health Nuring, </w:t>
      </w:r>
      <w:r w:rsidRPr="006675DE">
        <w:t xml:space="preserve">27(), 92-105. </w:t>
      </w:r>
      <w:r w:rsidR="005E40E6" w:rsidRPr="006675DE">
        <w:t>https://doi.org/10.1111/inm.12298</w:t>
      </w:r>
    </w:p>
    <w:p w14:paraId="7DF2F9BD" w14:textId="3433976A" w:rsidR="005E40E6" w:rsidRPr="006675DE" w:rsidRDefault="005E40E6" w:rsidP="00824A95">
      <w:r w:rsidRPr="006675DE">
        <w:t xml:space="preserve">Gilburt, H., Rose, D. &amp; Slade, M. (2008) The importance of relationships in mental health care: A qualitative study of service users’ experiences of psychiatric hospital admission in the UK. </w:t>
      </w:r>
      <w:r w:rsidRPr="006675DE">
        <w:rPr>
          <w:i/>
          <w:iCs/>
        </w:rPr>
        <w:t xml:space="preserve">BMC Health Services Research, </w:t>
      </w:r>
      <w:r w:rsidRPr="006675DE">
        <w:t>8(92), https://doi.org/</w:t>
      </w:r>
      <w:r w:rsidRPr="006675DE">
        <w:rPr>
          <w:rStyle w:val="doi"/>
        </w:rPr>
        <w:t>10.1186/1472-6963-8-92</w:t>
      </w:r>
    </w:p>
    <w:p w14:paraId="6C785E8C" w14:textId="084C9260" w:rsidR="00634161" w:rsidRPr="006675DE" w:rsidRDefault="00634161" w:rsidP="00634161">
      <w:pPr>
        <w:spacing w:line="276" w:lineRule="auto"/>
      </w:pPr>
      <w:r w:rsidRPr="006675DE">
        <w:t>Graneheim</w:t>
      </w:r>
      <w:r w:rsidR="00824A95" w:rsidRPr="006675DE">
        <w:t>,</w:t>
      </w:r>
      <w:r w:rsidRPr="006675DE">
        <w:t xml:space="preserve"> U</w:t>
      </w:r>
      <w:r w:rsidR="00824A95" w:rsidRPr="006675DE">
        <w:t>.</w:t>
      </w:r>
      <w:r w:rsidRPr="006675DE">
        <w:t>H</w:t>
      </w:r>
      <w:r w:rsidR="00824A95" w:rsidRPr="006675DE">
        <w:t>.</w:t>
      </w:r>
      <w:r w:rsidRPr="006675DE">
        <w:t xml:space="preserve"> &amp; Lundman</w:t>
      </w:r>
      <w:r w:rsidR="00824A95" w:rsidRPr="006675DE">
        <w:t>,</w:t>
      </w:r>
      <w:r w:rsidRPr="006675DE">
        <w:t xml:space="preserve"> B</w:t>
      </w:r>
      <w:r w:rsidR="00824A95" w:rsidRPr="006675DE">
        <w:t>.</w:t>
      </w:r>
      <w:r w:rsidRPr="006675DE">
        <w:t xml:space="preserve"> (2004)</w:t>
      </w:r>
      <w:r w:rsidR="00824A95" w:rsidRPr="006675DE">
        <w:t>.</w:t>
      </w:r>
      <w:r w:rsidRPr="006675DE">
        <w:t xml:space="preserve"> Qualitative content analysis in nursing research: concepts, procedures and measures to achieve trustworthiness. </w:t>
      </w:r>
      <w:r w:rsidRPr="006675DE">
        <w:rPr>
          <w:i/>
        </w:rPr>
        <w:t xml:space="preserve">Nurse Education Today, </w:t>
      </w:r>
      <w:r w:rsidRPr="006675DE">
        <w:t>24(2), 105-112</w:t>
      </w:r>
      <w:r w:rsidR="00824A95" w:rsidRPr="006675DE">
        <w:t xml:space="preserve">. </w:t>
      </w:r>
      <w:r w:rsidR="00B5692A" w:rsidRPr="006675DE">
        <w:t>https://doi.org/10.1016/j.nedt.2003.10.001</w:t>
      </w:r>
    </w:p>
    <w:p w14:paraId="6B4BBDCD" w14:textId="15810E35" w:rsidR="00B5692A" w:rsidRPr="006675DE" w:rsidRDefault="00B5692A" w:rsidP="00634161">
      <w:pPr>
        <w:spacing w:line="276" w:lineRule="auto"/>
      </w:pPr>
      <w:r w:rsidRPr="006675DE">
        <w:t xml:space="preserve">Grotto, J., Gerace, A., O’Kane, D., Simpson, A., Oster, C. &amp; Muir-Cochrane, E. (2015) Risk assessment and absconding: perceptions, understandings and responses of mental health nurses, </w:t>
      </w:r>
      <w:r w:rsidRPr="006675DE">
        <w:rPr>
          <w:i/>
          <w:iCs/>
        </w:rPr>
        <w:t xml:space="preserve">Journal of Clinical Nursing, </w:t>
      </w:r>
      <w:r w:rsidRPr="006675DE">
        <w:t>24(5-6), 855-865. https://</w:t>
      </w:r>
      <w:r w:rsidRPr="006675DE">
        <w:rPr>
          <w:rFonts w:cstheme="minorHAnsi"/>
        </w:rPr>
        <w:t>doi.org/10.1111/jocn.12671</w:t>
      </w:r>
    </w:p>
    <w:p w14:paraId="60D0044A" w14:textId="0988F205" w:rsidR="00634161" w:rsidRPr="006675DE" w:rsidRDefault="00634161" w:rsidP="00634161">
      <w:r w:rsidRPr="006675DE">
        <w:t>Hearn</w:t>
      </w:r>
      <w:r w:rsidR="006E2241" w:rsidRPr="006675DE">
        <w:t>,</w:t>
      </w:r>
      <w:r w:rsidRPr="006675DE">
        <w:t xml:space="preserve"> D</w:t>
      </w:r>
      <w:r w:rsidR="006E2241" w:rsidRPr="006675DE">
        <w:t>.</w:t>
      </w:r>
      <w:r w:rsidRPr="006675DE">
        <w:t xml:space="preserve"> (2013)</w:t>
      </w:r>
      <w:r w:rsidR="006E2241" w:rsidRPr="006675DE">
        <w:t>.</w:t>
      </w:r>
      <w:r w:rsidRPr="006675DE">
        <w:t xml:space="preserve"> Tracking patients on leave from a secure setting. </w:t>
      </w:r>
      <w:r w:rsidRPr="006675DE">
        <w:rPr>
          <w:i/>
        </w:rPr>
        <w:t>Mental Health Practice</w:t>
      </w:r>
      <w:r w:rsidRPr="006675DE">
        <w:t>, 16(6), 17</w:t>
      </w:r>
      <w:r w:rsidR="006E2241" w:rsidRPr="006675DE">
        <w:t>. https://doi.org/10.7748/mhp2013.03.16.6.17.e813</w:t>
      </w:r>
    </w:p>
    <w:p w14:paraId="3C790958" w14:textId="77777777" w:rsidR="006E2241" w:rsidRPr="006675DE" w:rsidRDefault="00634161" w:rsidP="006E2241">
      <w:r w:rsidRPr="006675DE">
        <w:t>Henderson</w:t>
      </w:r>
      <w:r w:rsidR="006E2241" w:rsidRPr="006675DE">
        <w:t>,</w:t>
      </w:r>
      <w:r w:rsidRPr="006675DE">
        <w:t xml:space="preserve"> S</w:t>
      </w:r>
      <w:r w:rsidR="006E2241" w:rsidRPr="006675DE">
        <w:t>.</w:t>
      </w:r>
      <w:r w:rsidRPr="006675DE">
        <w:t xml:space="preserve"> (2003)</w:t>
      </w:r>
      <w:r w:rsidR="006E2241" w:rsidRPr="006675DE">
        <w:t>.</w:t>
      </w:r>
      <w:r w:rsidRPr="006675DE">
        <w:t xml:space="preserve"> Power imbalance between nurses and patients: a potential inhibitor of partnership in care. </w:t>
      </w:r>
      <w:r w:rsidRPr="006675DE">
        <w:rPr>
          <w:i/>
        </w:rPr>
        <w:t>Journal of Clinical Nursing,</w:t>
      </w:r>
      <w:r w:rsidRPr="006675DE">
        <w:t xml:space="preserve"> 12(4), 501-508</w:t>
      </w:r>
      <w:r w:rsidR="006E2241" w:rsidRPr="006675DE">
        <w:t xml:space="preserve">. </w:t>
      </w:r>
      <w:hyperlink r:id="rId17" w:history="1">
        <w:r w:rsidR="006E2241" w:rsidRPr="006675DE">
          <w:rPr>
            <w:rStyle w:val="Hyperlink"/>
            <w:color w:val="auto"/>
            <w:u w:val="none"/>
          </w:rPr>
          <w:t>https://doi.org/10.1046/j.1365-2702.2003.00757.x</w:t>
        </w:r>
      </w:hyperlink>
    </w:p>
    <w:p w14:paraId="12FB5C4C" w14:textId="20F6428A" w:rsidR="00634161" w:rsidRPr="006675DE" w:rsidRDefault="00634161" w:rsidP="00634161">
      <w:pPr>
        <w:autoSpaceDE w:val="0"/>
        <w:autoSpaceDN w:val="0"/>
        <w:adjustRightInd w:val="0"/>
        <w:spacing w:after="0" w:line="240" w:lineRule="auto"/>
      </w:pPr>
      <w:r w:rsidRPr="006675DE">
        <w:t>Hunt</w:t>
      </w:r>
      <w:r w:rsidR="006E2241" w:rsidRPr="006675DE">
        <w:t>,</w:t>
      </w:r>
      <w:r w:rsidRPr="006675DE">
        <w:t xml:space="preserve"> I</w:t>
      </w:r>
      <w:r w:rsidR="006E2241" w:rsidRPr="006675DE">
        <w:t>.</w:t>
      </w:r>
      <w:r w:rsidRPr="006675DE">
        <w:t>, Windfuhr</w:t>
      </w:r>
      <w:r w:rsidR="006E2241" w:rsidRPr="006675DE">
        <w:t>,</w:t>
      </w:r>
      <w:r w:rsidRPr="006675DE">
        <w:t xml:space="preserve"> K</w:t>
      </w:r>
      <w:r w:rsidR="006E2241" w:rsidRPr="006675DE">
        <w:t>.</w:t>
      </w:r>
      <w:r w:rsidRPr="006675DE">
        <w:t>, Swinson</w:t>
      </w:r>
      <w:r w:rsidR="006E2241" w:rsidRPr="006675DE">
        <w:t>,</w:t>
      </w:r>
      <w:r w:rsidRPr="006675DE">
        <w:t xml:space="preserve"> N</w:t>
      </w:r>
      <w:r w:rsidR="006E2241" w:rsidRPr="006675DE">
        <w:t>.</w:t>
      </w:r>
      <w:r w:rsidRPr="006675DE">
        <w:t>, Shaw</w:t>
      </w:r>
      <w:r w:rsidR="006E2241" w:rsidRPr="006675DE">
        <w:t>,</w:t>
      </w:r>
      <w:r w:rsidRPr="006675DE">
        <w:t xml:space="preserve"> J</w:t>
      </w:r>
      <w:r w:rsidR="006E2241" w:rsidRPr="006675DE">
        <w:t>.</w:t>
      </w:r>
      <w:r w:rsidRPr="006675DE">
        <w:t>, Appleby</w:t>
      </w:r>
      <w:r w:rsidR="006E2241" w:rsidRPr="006675DE">
        <w:t>,</w:t>
      </w:r>
      <w:r w:rsidRPr="006675DE">
        <w:t xml:space="preserve"> L</w:t>
      </w:r>
      <w:r w:rsidR="006E2241" w:rsidRPr="006675DE">
        <w:t>.</w:t>
      </w:r>
      <w:r w:rsidRPr="006675DE">
        <w:t>, Kapur</w:t>
      </w:r>
      <w:r w:rsidR="006E2241" w:rsidRPr="006675DE">
        <w:t>,</w:t>
      </w:r>
      <w:r w:rsidRPr="006675DE">
        <w:t xml:space="preserve"> N</w:t>
      </w:r>
      <w:r w:rsidR="006E2241" w:rsidRPr="006675DE">
        <w:t>.</w:t>
      </w:r>
      <w:r w:rsidRPr="006675DE">
        <w:t xml:space="preserve"> &amp; The National Confidential Inquiry into Suicide and Homicide by People with Mental Illness (2010)</w:t>
      </w:r>
      <w:r w:rsidR="006E2241" w:rsidRPr="006675DE">
        <w:t>.</w:t>
      </w:r>
      <w:r w:rsidRPr="006675DE">
        <w:t xml:space="preserve"> Suicide amongst psychiatric in-patients who abscond from the ward: a national clinical survey. </w:t>
      </w:r>
      <w:r w:rsidRPr="006675DE">
        <w:rPr>
          <w:i/>
        </w:rPr>
        <w:t>Bio-Med Central</w:t>
      </w:r>
      <w:r w:rsidRPr="006675DE">
        <w:t xml:space="preserve"> </w:t>
      </w:r>
      <w:r w:rsidRPr="006675DE">
        <w:rPr>
          <w:i/>
        </w:rPr>
        <w:t>Psychiatry</w:t>
      </w:r>
      <w:r w:rsidRPr="006675DE">
        <w:t>, 10(14), 1-6</w:t>
      </w:r>
      <w:r w:rsidR="006E2241" w:rsidRPr="006675DE">
        <w:t>. https://doi.org/10.1186/1471-244X-10-14</w:t>
      </w:r>
    </w:p>
    <w:p w14:paraId="50107CF1" w14:textId="77777777" w:rsidR="00634161" w:rsidRPr="006675DE" w:rsidRDefault="00634161" w:rsidP="00634161">
      <w:pPr>
        <w:autoSpaceDE w:val="0"/>
        <w:autoSpaceDN w:val="0"/>
        <w:adjustRightInd w:val="0"/>
        <w:spacing w:after="0" w:line="240" w:lineRule="auto"/>
      </w:pPr>
    </w:p>
    <w:p w14:paraId="2395FF45" w14:textId="12543846" w:rsidR="00634161" w:rsidRPr="006675DE" w:rsidRDefault="00634161" w:rsidP="00634161">
      <w:pPr>
        <w:spacing w:line="276" w:lineRule="auto"/>
      </w:pPr>
      <w:r w:rsidRPr="006675DE">
        <w:t>James</w:t>
      </w:r>
      <w:r w:rsidR="006E2241" w:rsidRPr="006675DE">
        <w:t>,</w:t>
      </w:r>
      <w:r w:rsidRPr="006675DE">
        <w:t xml:space="preserve"> R</w:t>
      </w:r>
      <w:r w:rsidR="006E2241" w:rsidRPr="006675DE">
        <w:t>.</w:t>
      </w:r>
      <w:r w:rsidRPr="006675DE">
        <w:t xml:space="preserve"> &amp; Maude</w:t>
      </w:r>
      <w:r w:rsidR="006E2241" w:rsidRPr="006675DE">
        <w:t>,</w:t>
      </w:r>
      <w:r w:rsidRPr="006675DE">
        <w:t xml:space="preserve"> P</w:t>
      </w:r>
      <w:r w:rsidR="006E2241" w:rsidRPr="006675DE">
        <w:t>.</w:t>
      </w:r>
      <w:r w:rsidRPr="006675DE">
        <w:t xml:space="preserve"> (2015)</w:t>
      </w:r>
      <w:r w:rsidR="006E2241" w:rsidRPr="006675DE">
        <w:t>.</w:t>
      </w:r>
      <w:r w:rsidRPr="006675DE">
        <w:t xml:space="preserve"> A Focus on Absconding in Mental Health: A Review of the Literature. </w:t>
      </w:r>
      <w:r w:rsidRPr="006675DE">
        <w:rPr>
          <w:i/>
        </w:rPr>
        <w:t xml:space="preserve">International Journal of Health Sciences and Research, </w:t>
      </w:r>
      <w:r w:rsidRPr="006675DE">
        <w:t>5(12), 400-409</w:t>
      </w:r>
    </w:p>
    <w:p w14:paraId="67A60ED0" w14:textId="77777777" w:rsidR="006E2241" w:rsidRPr="006675DE" w:rsidRDefault="00634161" w:rsidP="006E2241">
      <w:r w:rsidRPr="006675DE">
        <w:t>Kanerva</w:t>
      </w:r>
      <w:r w:rsidR="006E2241" w:rsidRPr="006675DE">
        <w:t>,</w:t>
      </w:r>
      <w:r w:rsidRPr="006675DE">
        <w:t xml:space="preserve"> A</w:t>
      </w:r>
      <w:r w:rsidR="006E2241" w:rsidRPr="006675DE">
        <w:t>.</w:t>
      </w:r>
      <w:r w:rsidRPr="006675DE">
        <w:t>, Lammintakanen</w:t>
      </w:r>
      <w:r w:rsidR="006E2241" w:rsidRPr="006675DE">
        <w:t>,</w:t>
      </w:r>
      <w:r w:rsidRPr="006675DE">
        <w:t xml:space="preserve"> J</w:t>
      </w:r>
      <w:r w:rsidR="006E2241" w:rsidRPr="006675DE">
        <w:t>.</w:t>
      </w:r>
      <w:r w:rsidRPr="006675DE">
        <w:t xml:space="preserve"> &amp; Kivinen</w:t>
      </w:r>
      <w:r w:rsidR="006E2241" w:rsidRPr="006675DE">
        <w:t>,</w:t>
      </w:r>
      <w:r w:rsidRPr="006675DE">
        <w:t xml:space="preserve"> T</w:t>
      </w:r>
      <w:r w:rsidR="006E2241" w:rsidRPr="006675DE">
        <w:t>.</w:t>
      </w:r>
      <w:r w:rsidRPr="006675DE">
        <w:t xml:space="preserve"> (2013)</w:t>
      </w:r>
      <w:r w:rsidR="006E2241" w:rsidRPr="006675DE">
        <w:t>.</w:t>
      </w:r>
      <w:r w:rsidRPr="006675DE">
        <w:t xml:space="preserve"> Patient safety in psychiatric inpatient care: a literature review. </w:t>
      </w:r>
      <w:r w:rsidRPr="006675DE">
        <w:rPr>
          <w:i/>
        </w:rPr>
        <w:t>Journal of Psychiatric and Mental Health Nursing</w:t>
      </w:r>
      <w:r w:rsidRPr="006675DE">
        <w:t>, 20(6), 541-548</w:t>
      </w:r>
      <w:r w:rsidR="006E2241" w:rsidRPr="006675DE">
        <w:t xml:space="preserve">. </w:t>
      </w:r>
      <w:hyperlink r:id="rId18" w:history="1">
        <w:r w:rsidR="006E2241" w:rsidRPr="006675DE">
          <w:rPr>
            <w:rStyle w:val="Hyperlink"/>
            <w:color w:val="auto"/>
            <w:u w:val="none"/>
          </w:rPr>
          <w:t>https://doi.org/10.1111/j.1365-2850.2012.01949.x</w:t>
        </w:r>
      </w:hyperlink>
    </w:p>
    <w:p w14:paraId="51994A67" w14:textId="28453161" w:rsidR="00634161" w:rsidRPr="006675DE" w:rsidRDefault="00634161" w:rsidP="00634161">
      <w:pPr>
        <w:spacing w:line="276" w:lineRule="auto"/>
        <w:rPr>
          <w:rStyle w:val="Hyperlink"/>
          <w:color w:val="auto"/>
          <w:u w:val="none"/>
        </w:rPr>
      </w:pPr>
      <w:r w:rsidRPr="006675DE">
        <w:t>Kumar</w:t>
      </w:r>
      <w:r w:rsidR="006E2241" w:rsidRPr="006675DE">
        <w:t>,</w:t>
      </w:r>
      <w:r w:rsidRPr="006675DE">
        <w:t xml:space="preserve"> S</w:t>
      </w:r>
      <w:r w:rsidR="006E2241" w:rsidRPr="006675DE">
        <w:t>.</w:t>
      </w:r>
      <w:r w:rsidRPr="006675DE">
        <w:t xml:space="preserve"> (2000)</w:t>
      </w:r>
      <w:r w:rsidR="006E2241" w:rsidRPr="006675DE">
        <w:t>.</w:t>
      </w:r>
      <w:r w:rsidRPr="006675DE">
        <w:t xml:space="preserve"> </w:t>
      </w:r>
      <w:r w:rsidR="00814091" w:rsidRPr="006675DE">
        <w:t>Patient</w:t>
      </w:r>
      <w:r w:rsidRPr="006675DE">
        <w:t xml:space="preserve"> Empowerment in Psychiatry and the Professional Abuse of </w:t>
      </w:r>
      <w:r w:rsidR="00814091" w:rsidRPr="006675DE">
        <w:t>Patient</w:t>
      </w:r>
      <w:r w:rsidRPr="006675DE">
        <w:t xml:space="preserve">s: Where Do We Stand? </w:t>
      </w:r>
      <w:r w:rsidRPr="006675DE">
        <w:rPr>
          <w:i/>
        </w:rPr>
        <w:t xml:space="preserve">The International Journal of Psychiatry in Medicine, </w:t>
      </w:r>
      <w:r w:rsidRPr="006675DE">
        <w:t>30(1), 61-70</w:t>
      </w:r>
      <w:r w:rsidR="006E2241" w:rsidRPr="006675DE">
        <w:t xml:space="preserve">. </w:t>
      </w:r>
      <w:hyperlink r:id="rId19" w:history="1">
        <w:r w:rsidR="006E2241" w:rsidRPr="006675DE">
          <w:rPr>
            <w:rStyle w:val="Hyperlink"/>
            <w:color w:val="auto"/>
            <w:u w:val="none"/>
          </w:rPr>
          <w:t>https://doi.org/10.2190/AC9N-YTLE-B639-M3P4</w:t>
        </w:r>
      </w:hyperlink>
    </w:p>
    <w:p w14:paraId="0184291D" w14:textId="3E09DA23" w:rsidR="00C62B66" w:rsidRPr="006675DE" w:rsidRDefault="00C62B66" w:rsidP="00634161">
      <w:pPr>
        <w:spacing w:line="276" w:lineRule="auto"/>
        <w:rPr>
          <w:rStyle w:val="Hyperlink"/>
          <w:color w:val="auto"/>
          <w:u w:val="none"/>
        </w:rPr>
      </w:pPr>
      <w:r w:rsidRPr="006675DE">
        <w:rPr>
          <w:rStyle w:val="Hyperlink"/>
          <w:color w:val="auto"/>
          <w:u w:val="none"/>
        </w:rPr>
        <w:t xml:space="preserve">Lindgren, B-M., </w:t>
      </w:r>
      <w:r w:rsidRPr="006675DE">
        <w:rPr>
          <w:rFonts w:ascii="AdvPSNLSI" w:hAnsi="AdvPSNLSI" w:cs="AdvPSNLSI"/>
        </w:rPr>
        <w:t>Ringner</w:t>
      </w:r>
      <w:r w:rsidRPr="006675DE">
        <w:rPr>
          <w:rStyle w:val="Hyperlink"/>
          <w:color w:val="auto"/>
          <w:u w:val="none"/>
        </w:rPr>
        <w:t xml:space="preserve">, A., Molin, J. &amp; Graneheim, U.H. (2019) Patients’ experiences of isolation in psychiatric inpatient care: Insights from a meta-ethnographic study. </w:t>
      </w:r>
      <w:r w:rsidRPr="006675DE">
        <w:rPr>
          <w:rStyle w:val="Hyperlink"/>
          <w:i/>
          <w:iCs/>
          <w:color w:val="auto"/>
          <w:u w:val="none"/>
        </w:rPr>
        <w:t xml:space="preserve">International Jounral of Mental Health Nursing, </w:t>
      </w:r>
      <w:r w:rsidRPr="006675DE">
        <w:rPr>
          <w:rStyle w:val="Hyperlink"/>
          <w:color w:val="auto"/>
          <w:u w:val="none"/>
        </w:rPr>
        <w:t>28(1), 7-21. https://doi.org/10.1111/inm.12519</w:t>
      </w:r>
    </w:p>
    <w:p w14:paraId="067EE7ED" w14:textId="4B47A2FB" w:rsidR="00CB5C76" w:rsidRPr="006675DE" w:rsidRDefault="00CB5C76" w:rsidP="00634161">
      <w:pPr>
        <w:spacing w:line="276" w:lineRule="auto"/>
      </w:pPr>
      <w:r w:rsidRPr="006675DE">
        <w:rPr>
          <w:rStyle w:val="Hyperlink"/>
          <w:color w:val="auto"/>
          <w:u w:val="none"/>
        </w:rPr>
        <w:t>Low, J. (2013) Unstructured and Semi-structured Interviews in Health Research</w:t>
      </w:r>
      <w:r w:rsidRPr="006675DE">
        <w:rPr>
          <w:noProof/>
        </w:rPr>
        <w:t xml:space="preserve">. In: Saks, M. &amp; Allsop, J. eds. </w:t>
      </w:r>
      <w:r w:rsidRPr="006675DE">
        <w:rPr>
          <w:i/>
          <w:iCs/>
          <w:noProof/>
        </w:rPr>
        <w:t xml:space="preserve">Researching Health. </w:t>
      </w:r>
      <w:r w:rsidRPr="006675DE">
        <w:rPr>
          <w:noProof/>
        </w:rPr>
        <w:t>2</w:t>
      </w:r>
      <w:r w:rsidRPr="006675DE">
        <w:rPr>
          <w:noProof/>
          <w:vertAlign w:val="superscript"/>
        </w:rPr>
        <w:t>nd</w:t>
      </w:r>
      <w:r w:rsidRPr="006675DE">
        <w:rPr>
          <w:noProof/>
        </w:rPr>
        <w:t xml:space="preserve"> edn. Cornwall: SAGE Publications, 87-105</w:t>
      </w:r>
    </w:p>
    <w:p w14:paraId="35E85E8D" w14:textId="727CAE2F" w:rsidR="006E2241" w:rsidRPr="006675DE" w:rsidRDefault="00634161" w:rsidP="006E2241">
      <w:pPr>
        <w:rPr>
          <w:rStyle w:val="Hyperlink"/>
          <w:color w:val="auto"/>
          <w:u w:val="none"/>
        </w:rPr>
      </w:pPr>
      <w:r w:rsidRPr="006675DE">
        <w:t>Mahoney</w:t>
      </w:r>
      <w:r w:rsidR="006E2241" w:rsidRPr="006675DE">
        <w:t>,</w:t>
      </w:r>
      <w:r w:rsidRPr="006675DE">
        <w:t xml:space="preserve"> J.S., Palyo</w:t>
      </w:r>
      <w:r w:rsidR="006E2241" w:rsidRPr="006675DE">
        <w:t>,</w:t>
      </w:r>
      <w:r w:rsidRPr="006675DE">
        <w:t xml:space="preserve"> N</w:t>
      </w:r>
      <w:r w:rsidR="006E2241" w:rsidRPr="006675DE">
        <w:t>.</w:t>
      </w:r>
      <w:r w:rsidRPr="006675DE">
        <w:t>, Napier</w:t>
      </w:r>
      <w:r w:rsidR="006E2241" w:rsidRPr="006675DE">
        <w:t>,</w:t>
      </w:r>
      <w:r w:rsidRPr="006675DE">
        <w:t xml:space="preserve"> G</w:t>
      </w:r>
      <w:r w:rsidR="006E2241" w:rsidRPr="006675DE">
        <w:t>.</w:t>
      </w:r>
      <w:r w:rsidRPr="006675DE">
        <w:t xml:space="preserve"> &amp; Giordano</w:t>
      </w:r>
      <w:r w:rsidR="006E2241" w:rsidRPr="006675DE">
        <w:t>,</w:t>
      </w:r>
      <w:r w:rsidRPr="006675DE">
        <w:t xml:space="preserve"> J</w:t>
      </w:r>
      <w:r w:rsidR="006E2241" w:rsidRPr="006675DE">
        <w:t>.</w:t>
      </w:r>
      <w:r w:rsidRPr="006675DE">
        <w:t xml:space="preserve"> (2009)</w:t>
      </w:r>
      <w:r w:rsidR="006E2241" w:rsidRPr="006675DE">
        <w:t>.</w:t>
      </w:r>
      <w:r w:rsidRPr="006675DE">
        <w:t xml:space="preserve"> The Therapeutic Milieu Reconceptualized for the 21</w:t>
      </w:r>
      <w:r w:rsidRPr="006675DE">
        <w:rPr>
          <w:vertAlign w:val="superscript"/>
        </w:rPr>
        <w:t>st</w:t>
      </w:r>
      <w:r w:rsidRPr="006675DE">
        <w:t xml:space="preserve"> Century. </w:t>
      </w:r>
      <w:r w:rsidRPr="006675DE">
        <w:rPr>
          <w:i/>
        </w:rPr>
        <w:t xml:space="preserve">Archives of Psychiatric Nursing, </w:t>
      </w:r>
      <w:r w:rsidRPr="006675DE">
        <w:t>23(6), 423-429</w:t>
      </w:r>
      <w:r w:rsidR="006E2241" w:rsidRPr="006675DE">
        <w:t>.</w:t>
      </w:r>
      <w:r w:rsidR="00CB5C76" w:rsidRPr="006675DE">
        <w:t xml:space="preserve"> https://doi.org/10.1016/j.apnu.2009.03.002</w:t>
      </w:r>
    </w:p>
    <w:p w14:paraId="408C62F6" w14:textId="31C1B503" w:rsidR="00B974BF" w:rsidRPr="006675DE" w:rsidRDefault="00B974BF" w:rsidP="006E2241">
      <w:pPr>
        <w:rPr>
          <w:rStyle w:val="Hyperlink"/>
          <w:color w:val="auto"/>
          <w:u w:val="none"/>
        </w:rPr>
      </w:pPr>
      <w:r w:rsidRPr="006675DE">
        <w:rPr>
          <w:rStyle w:val="Hyperlink"/>
          <w:color w:val="auto"/>
          <w:u w:val="none"/>
        </w:rPr>
        <w:t xml:space="preserve">Martin, K., McGeown, M., Whitehouse, M. &amp; Stanyon, W. (2018) Who’s going to leave? An examination of absconding events by forensic inpatients in a psychiatric hospital. </w:t>
      </w:r>
      <w:r w:rsidRPr="006675DE">
        <w:rPr>
          <w:rStyle w:val="Hyperlink"/>
          <w:i/>
          <w:iCs/>
          <w:color w:val="auto"/>
          <w:u w:val="none"/>
        </w:rPr>
        <w:t xml:space="preserve">The Journal of Forensic Psychiatry &amp; Psychology, </w:t>
      </w:r>
      <w:r w:rsidRPr="006675DE">
        <w:rPr>
          <w:rStyle w:val="Hyperlink"/>
          <w:color w:val="auto"/>
          <w:u w:val="none"/>
        </w:rPr>
        <w:t>29(5), 810-823. https://doi.org/10.1080/14789949.2018.1467948</w:t>
      </w:r>
    </w:p>
    <w:p w14:paraId="1B1C0A0C" w14:textId="67CBFAC3" w:rsidR="00634161" w:rsidRPr="006675DE" w:rsidRDefault="00634161" w:rsidP="00634161">
      <w:pPr>
        <w:spacing w:line="276" w:lineRule="auto"/>
      </w:pPr>
      <w:r w:rsidRPr="006675DE">
        <w:t>McIndoe</w:t>
      </w:r>
      <w:r w:rsidR="006E2241" w:rsidRPr="006675DE">
        <w:t>, K.I.</w:t>
      </w:r>
      <w:r w:rsidRPr="006675DE">
        <w:t xml:space="preserve"> (1986)</w:t>
      </w:r>
      <w:r w:rsidR="006E2241" w:rsidRPr="006675DE">
        <w:t>.</w:t>
      </w:r>
      <w:r w:rsidRPr="006675DE">
        <w:t xml:space="preserve"> Why psychiatric patients go AWOL. </w:t>
      </w:r>
      <w:r w:rsidRPr="006675DE">
        <w:rPr>
          <w:i/>
        </w:rPr>
        <w:t xml:space="preserve">Journal of Psychosocial Nursing and Mental Health Services, </w:t>
      </w:r>
      <w:r w:rsidRPr="006675DE">
        <w:t>24(1), 16-20</w:t>
      </w:r>
      <w:r w:rsidR="006E2241" w:rsidRPr="006675DE">
        <w:t xml:space="preserve">. </w:t>
      </w:r>
    </w:p>
    <w:p w14:paraId="01393E79" w14:textId="77777777" w:rsidR="00A622A0" w:rsidRPr="006675DE" w:rsidRDefault="00634161" w:rsidP="00634161">
      <w:pPr>
        <w:spacing w:line="276" w:lineRule="auto"/>
      </w:pPr>
      <w:r w:rsidRPr="006675DE">
        <w:t>Meehan</w:t>
      </w:r>
      <w:r w:rsidR="006D7B90" w:rsidRPr="006675DE">
        <w:t>,</w:t>
      </w:r>
      <w:r w:rsidRPr="006675DE">
        <w:t xml:space="preserve"> T</w:t>
      </w:r>
      <w:r w:rsidR="006D7B90" w:rsidRPr="006675DE">
        <w:t>.</w:t>
      </w:r>
      <w:r w:rsidRPr="006675DE">
        <w:t>, Morrison</w:t>
      </w:r>
      <w:r w:rsidR="006D7B90" w:rsidRPr="006675DE">
        <w:t>,</w:t>
      </w:r>
      <w:r w:rsidRPr="006675DE">
        <w:t xml:space="preserve"> P</w:t>
      </w:r>
      <w:r w:rsidR="006D7B90" w:rsidRPr="006675DE">
        <w:t>.</w:t>
      </w:r>
      <w:r w:rsidRPr="006675DE">
        <w:t xml:space="preserve"> &amp; McDougall</w:t>
      </w:r>
      <w:r w:rsidR="006D7B90" w:rsidRPr="006675DE">
        <w:t>,</w:t>
      </w:r>
      <w:r w:rsidRPr="006675DE">
        <w:t xml:space="preserve"> S</w:t>
      </w:r>
      <w:r w:rsidR="006D7B90" w:rsidRPr="006675DE">
        <w:t>.</w:t>
      </w:r>
      <w:r w:rsidRPr="006675DE">
        <w:t xml:space="preserve"> (1999)</w:t>
      </w:r>
      <w:r w:rsidR="006D7B90" w:rsidRPr="006675DE">
        <w:t>.</w:t>
      </w:r>
      <w:r w:rsidRPr="006675DE">
        <w:t xml:space="preserve"> Absconding behaviour: an exploratory investigation in an acute inpatient unit. </w:t>
      </w:r>
      <w:r w:rsidRPr="006675DE">
        <w:rPr>
          <w:i/>
        </w:rPr>
        <w:t xml:space="preserve">Australian and New Zealand Journal of Psychiatry, </w:t>
      </w:r>
      <w:r w:rsidRPr="006675DE">
        <w:t>33(4), 533-537</w:t>
      </w:r>
      <w:r w:rsidR="00A622A0" w:rsidRPr="006675DE">
        <w:t xml:space="preserve">. </w:t>
      </w:r>
      <w:hyperlink r:id="rId20" w:history="1">
        <w:r w:rsidR="00A622A0" w:rsidRPr="006675DE">
          <w:rPr>
            <w:rStyle w:val="Hyperlink"/>
            <w:color w:val="auto"/>
            <w:u w:val="none"/>
          </w:rPr>
          <w:t>https://doi.org/10.1080/j.1440-1614.1999.00603.x</w:t>
        </w:r>
      </w:hyperlink>
    </w:p>
    <w:p w14:paraId="3A9A2237" w14:textId="77777777" w:rsidR="00A622A0" w:rsidRPr="006675DE" w:rsidRDefault="00634161" w:rsidP="00A622A0">
      <w:r w:rsidRPr="006675DE">
        <w:t>Mezey</w:t>
      </w:r>
      <w:r w:rsidR="00A622A0" w:rsidRPr="006675DE">
        <w:t>,</w:t>
      </w:r>
      <w:r w:rsidRPr="006675DE">
        <w:t xml:space="preserve"> G</w:t>
      </w:r>
      <w:r w:rsidR="00A622A0" w:rsidRPr="006675DE">
        <w:t>.</w:t>
      </w:r>
      <w:r w:rsidRPr="006675DE">
        <w:t>, Durkin</w:t>
      </w:r>
      <w:r w:rsidR="00A622A0" w:rsidRPr="006675DE">
        <w:t>,</w:t>
      </w:r>
      <w:r w:rsidRPr="006675DE">
        <w:t xml:space="preserve"> C</w:t>
      </w:r>
      <w:r w:rsidR="00A622A0" w:rsidRPr="006675DE">
        <w:t>.</w:t>
      </w:r>
      <w:r w:rsidRPr="006675DE">
        <w:t>, Dodge</w:t>
      </w:r>
      <w:r w:rsidR="00A622A0" w:rsidRPr="006675DE">
        <w:t>,</w:t>
      </w:r>
      <w:r w:rsidRPr="006675DE">
        <w:t xml:space="preserve"> L</w:t>
      </w:r>
      <w:r w:rsidR="00A622A0" w:rsidRPr="006675DE">
        <w:t>.</w:t>
      </w:r>
      <w:r w:rsidRPr="006675DE">
        <w:t xml:space="preserve"> &amp; White</w:t>
      </w:r>
      <w:r w:rsidR="00A622A0" w:rsidRPr="006675DE">
        <w:t>,</w:t>
      </w:r>
      <w:r w:rsidRPr="006675DE">
        <w:t xml:space="preserve"> S</w:t>
      </w:r>
      <w:r w:rsidR="00A622A0" w:rsidRPr="006675DE">
        <w:t>.</w:t>
      </w:r>
      <w:r w:rsidRPr="006675DE">
        <w:t xml:space="preserve"> (2015)</w:t>
      </w:r>
      <w:r w:rsidR="00A622A0" w:rsidRPr="006675DE">
        <w:t>.</w:t>
      </w:r>
      <w:r w:rsidRPr="006675DE">
        <w:t xml:space="preserve"> Never ever? Characteristics, outcomes and motivations of patients who abscond or escape: A 5-year review of escapes and absconds from two medium and low secure forensic units. </w:t>
      </w:r>
      <w:r w:rsidRPr="006675DE">
        <w:rPr>
          <w:i/>
        </w:rPr>
        <w:t xml:space="preserve">Criminal Behaviour and Mental Health, </w:t>
      </w:r>
      <w:r w:rsidRPr="006675DE">
        <w:t>25(5), 440-450</w:t>
      </w:r>
      <w:r w:rsidR="00A622A0" w:rsidRPr="006675DE">
        <w:t xml:space="preserve">. </w:t>
      </w:r>
      <w:hyperlink r:id="rId21" w:history="1">
        <w:r w:rsidR="00A622A0" w:rsidRPr="006675DE">
          <w:rPr>
            <w:rStyle w:val="Hyperlink"/>
            <w:color w:val="auto"/>
            <w:u w:val="none"/>
          </w:rPr>
          <w:t>https://doi.org/10.1002/cbm.1982</w:t>
        </w:r>
      </w:hyperlink>
    </w:p>
    <w:p w14:paraId="27A565FD" w14:textId="7E1B221B" w:rsidR="00634161" w:rsidRPr="006675DE" w:rsidRDefault="00634161" w:rsidP="00634161">
      <w:pPr>
        <w:spacing w:line="276" w:lineRule="auto"/>
      </w:pPr>
      <w:r w:rsidRPr="006675DE">
        <w:t>Moher</w:t>
      </w:r>
      <w:r w:rsidR="00A622A0" w:rsidRPr="006675DE">
        <w:t>,</w:t>
      </w:r>
      <w:r w:rsidRPr="006675DE">
        <w:t xml:space="preserve"> D</w:t>
      </w:r>
      <w:r w:rsidR="00A622A0" w:rsidRPr="006675DE">
        <w:t>.</w:t>
      </w:r>
      <w:r w:rsidRPr="006675DE">
        <w:t>, Liberati</w:t>
      </w:r>
      <w:r w:rsidR="00A622A0" w:rsidRPr="006675DE">
        <w:t>,</w:t>
      </w:r>
      <w:r w:rsidRPr="006675DE">
        <w:t xml:space="preserve"> A</w:t>
      </w:r>
      <w:r w:rsidR="00A622A0" w:rsidRPr="006675DE">
        <w:t>.</w:t>
      </w:r>
      <w:r w:rsidRPr="006675DE">
        <w:t xml:space="preserve"> &amp; Tetzlaff</w:t>
      </w:r>
      <w:r w:rsidR="00A622A0" w:rsidRPr="006675DE">
        <w:t>,</w:t>
      </w:r>
      <w:r w:rsidRPr="006675DE">
        <w:t xml:space="preserve"> J</w:t>
      </w:r>
      <w:r w:rsidR="00A622A0" w:rsidRPr="006675DE">
        <w:t>.</w:t>
      </w:r>
      <w:r w:rsidRPr="006675DE">
        <w:t xml:space="preserve"> (2009)</w:t>
      </w:r>
      <w:r w:rsidR="00A622A0" w:rsidRPr="006675DE">
        <w:t>.</w:t>
      </w:r>
      <w:r w:rsidRPr="006675DE">
        <w:t xml:space="preserve"> Preferred reporting items for systematic reviews and meta-analyses: the PRISMA statement. </w:t>
      </w:r>
      <w:r w:rsidRPr="006675DE">
        <w:rPr>
          <w:i/>
        </w:rPr>
        <w:t xml:space="preserve">Annals of Internal Medicine, </w:t>
      </w:r>
      <w:r w:rsidRPr="006675DE">
        <w:t>151(4), 264-269</w:t>
      </w:r>
      <w:r w:rsidR="00A622A0" w:rsidRPr="006675DE">
        <w:t>. https://doi.org/10.7326/0003-4819-151-4-200908180-00135</w:t>
      </w:r>
    </w:p>
    <w:p w14:paraId="0F4665A8" w14:textId="154AAC96" w:rsidR="00634161" w:rsidRPr="006675DE" w:rsidRDefault="00634161" w:rsidP="00634161">
      <w:pPr>
        <w:spacing w:line="276" w:lineRule="auto"/>
      </w:pPr>
      <w:r w:rsidRPr="006675DE">
        <w:t>Mosel</w:t>
      </w:r>
      <w:r w:rsidR="00A622A0" w:rsidRPr="006675DE">
        <w:t>,</w:t>
      </w:r>
      <w:r w:rsidRPr="006675DE">
        <w:t xml:space="preserve"> K</w:t>
      </w:r>
      <w:r w:rsidR="00A622A0" w:rsidRPr="006675DE">
        <w:t>.</w:t>
      </w:r>
      <w:r w:rsidRPr="006675DE">
        <w:t>, Gerace</w:t>
      </w:r>
      <w:r w:rsidR="00A622A0" w:rsidRPr="006675DE">
        <w:t>,</w:t>
      </w:r>
      <w:r w:rsidRPr="006675DE">
        <w:t xml:space="preserve"> A</w:t>
      </w:r>
      <w:r w:rsidR="00A622A0" w:rsidRPr="006675DE">
        <w:t>.</w:t>
      </w:r>
      <w:r w:rsidRPr="006675DE">
        <w:t xml:space="preserve"> &amp; Muir-Cochrane</w:t>
      </w:r>
      <w:r w:rsidR="00A622A0" w:rsidRPr="006675DE">
        <w:t>,</w:t>
      </w:r>
      <w:r w:rsidRPr="006675DE">
        <w:t xml:space="preserve"> E</w:t>
      </w:r>
      <w:r w:rsidR="00A622A0" w:rsidRPr="006675DE">
        <w:t>.</w:t>
      </w:r>
      <w:r w:rsidRPr="006675DE">
        <w:t xml:space="preserve"> (2010)</w:t>
      </w:r>
      <w:r w:rsidR="00A622A0" w:rsidRPr="006675DE">
        <w:t>.</w:t>
      </w:r>
      <w:r w:rsidRPr="006675DE">
        <w:t xml:space="preserve"> Retrospective analysis of absconding behaviour by acute care consumers in one psychiatric hospital campus in Australia. </w:t>
      </w:r>
      <w:r w:rsidRPr="006675DE">
        <w:rPr>
          <w:i/>
        </w:rPr>
        <w:t>International Journal of Mental Health Nursing,</w:t>
      </w:r>
      <w:r w:rsidRPr="006675DE">
        <w:t xml:space="preserve"> 19(3), 177-185</w:t>
      </w:r>
      <w:r w:rsidR="00A622A0" w:rsidRPr="006675DE">
        <w:t>. https://doi.org/</w:t>
      </w:r>
      <w:r w:rsidR="00FE5020" w:rsidRPr="006675DE">
        <w:t xml:space="preserve"> 10.1111/j.1447-0349.2009.00660.x.</w:t>
      </w:r>
    </w:p>
    <w:p w14:paraId="44DE9AEB" w14:textId="77777777" w:rsidR="00A622A0" w:rsidRPr="006675DE" w:rsidRDefault="00634161" w:rsidP="00A622A0">
      <w:r w:rsidRPr="006675DE">
        <w:t>Muir-Cochrane</w:t>
      </w:r>
      <w:r w:rsidR="00A622A0" w:rsidRPr="006675DE">
        <w:t>,</w:t>
      </w:r>
      <w:r w:rsidRPr="006675DE">
        <w:t xml:space="preserve"> E</w:t>
      </w:r>
      <w:r w:rsidR="00A622A0" w:rsidRPr="006675DE">
        <w:t>.</w:t>
      </w:r>
      <w:r w:rsidRPr="006675DE">
        <w:t xml:space="preserve"> &amp; Mosel</w:t>
      </w:r>
      <w:r w:rsidR="00A622A0" w:rsidRPr="006675DE">
        <w:t>,</w:t>
      </w:r>
      <w:r w:rsidRPr="006675DE">
        <w:t xml:space="preserve"> K</w:t>
      </w:r>
      <w:r w:rsidR="00A622A0" w:rsidRPr="006675DE">
        <w:t>.</w:t>
      </w:r>
      <w:r w:rsidRPr="006675DE">
        <w:t xml:space="preserve"> (2008)</w:t>
      </w:r>
      <w:r w:rsidR="00A622A0" w:rsidRPr="006675DE">
        <w:t>.</w:t>
      </w:r>
      <w:r w:rsidRPr="006675DE">
        <w:t xml:space="preserve"> Absconding: A review of the literature 1996-2008. </w:t>
      </w:r>
      <w:r w:rsidRPr="006675DE">
        <w:rPr>
          <w:i/>
        </w:rPr>
        <w:t xml:space="preserve">International Journal of Mental Health Nursing, </w:t>
      </w:r>
      <w:r w:rsidRPr="006675DE">
        <w:t>17(5), 370-378</w:t>
      </w:r>
      <w:r w:rsidR="00A622A0" w:rsidRPr="006675DE">
        <w:t xml:space="preserve">. </w:t>
      </w:r>
      <w:hyperlink r:id="rId22" w:history="1">
        <w:r w:rsidR="00A622A0" w:rsidRPr="006675DE">
          <w:rPr>
            <w:rStyle w:val="Hyperlink"/>
            <w:color w:val="auto"/>
            <w:u w:val="none"/>
          </w:rPr>
          <w:t>https://doi.org/10.1111/j.1447-0349.2008.00562.x</w:t>
        </w:r>
      </w:hyperlink>
    </w:p>
    <w:p w14:paraId="75AABE8F" w14:textId="77777777" w:rsidR="00A622A0" w:rsidRPr="006675DE" w:rsidRDefault="00634161" w:rsidP="00A622A0">
      <w:r w:rsidRPr="006675DE">
        <w:t>Muir-Cochrane</w:t>
      </w:r>
      <w:r w:rsidR="00A622A0" w:rsidRPr="006675DE">
        <w:t>,</w:t>
      </w:r>
      <w:r w:rsidRPr="006675DE">
        <w:t xml:space="preserve"> E</w:t>
      </w:r>
      <w:r w:rsidR="00A622A0" w:rsidRPr="006675DE">
        <w:t>.</w:t>
      </w:r>
      <w:r w:rsidRPr="006675DE">
        <w:t>, Mosel</w:t>
      </w:r>
      <w:r w:rsidR="00A622A0" w:rsidRPr="006675DE">
        <w:t>,</w:t>
      </w:r>
      <w:r w:rsidRPr="006675DE">
        <w:t xml:space="preserve"> K</w:t>
      </w:r>
      <w:r w:rsidR="00A622A0" w:rsidRPr="006675DE">
        <w:t>.</w:t>
      </w:r>
      <w:r w:rsidRPr="006675DE">
        <w:t>, Gerace</w:t>
      </w:r>
      <w:r w:rsidR="00A622A0" w:rsidRPr="006675DE">
        <w:t>,</w:t>
      </w:r>
      <w:r w:rsidRPr="006675DE">
        <w:t xml:space="preserve"> A</w:t>
      </w:r>
      <w:r w:rsidR="00A622A0" w:rsidRPr="006675DE">
        <w:t>.</w:t>
      </w:r>
      <w:r w:rsidRPr="006675DE">
        <w:t>, Esterman</w:t>
      </w:r>
      <w:r w:rsidR="00A622A0" w:rsidRPr="006675DE">
        <w:t>,</w:t>
      </w:r>
      <w:r w:rsidRPr="006675DE">
        <w:t xml:space="preserve"> A</w:t>
      </w:r>
      <w:r w:rsidR="00A622A0" w:rsidRPr="006675DE">
        <w:t>.</w:t>
      </w:r>
      <w:r w:rsidRPr="006675DE">
        <w:t xml:space="preserve"> &amp; Bowers</w:t>
      </w:r>
      <w:r w:rsidR="00A622A0" w:rsidRPr="006675DE">
        <w:t>,</w:t>
      </w:r>
      <w:r w:rsidRPr="006675DE">
        <w:t xml:space="preserve"> L</w:t>
      </w:r>
      <w:r w:rsidR="00A622A0" w:rsidRPr="006675DE">
        <w:t>.</w:t>
      </w:r>
      <w:r w:rsidRPr="006675DE">
        <w:t xml:space="preserve"> (2011)</w:t>
      </w:r>
      <w:r w:rsidR="00A622A0" w:rsidRPr="006675DE">
        <w:t>.</w:t>
      </w:r>
      <w:r w:rsidRPr="006675DE">
        <w:t xml:space="preserve"> The profile of absconding patients in Australia. </w:t>
      </w:r>
      <w:r w:rsidRPr="006675DE">
        <w:rPr>
          <w:i/>
        </w:rPr>
        <w:t xml:space="preserve">Journal of Clinical Nursing, </w:t>
      </w:r>
      <w:r w:rsidRPr="006675DE">
        <w:t>20(5-6), 706-713</w:t>
      </w:r>
      <w:r w:rsidR="00A622A0" w:rsidRPr="006675DE">
        <w:t xml:space="preserve">. </w:t>
      </w:r>
      <w:hyperlink r:id="rId23" w:history="1">
        <w:r w:rsidR="00A622A0" w:rsidRPr="006675DE">
          <w:rPr>
            <w:rStyle w:val="Hyperlink"/>
            <w:color w:val="auto"/>
            <w:u w:val="none"/>
          </w:rPr>
          <w:t>https://doi.org/10.1111/j.1365-2702.2010.03553.x</w:t>
        </w:r>
      </w:hyperlink>
    </w:p>
    <w:p w14:paraId="0F72627F" w14:textId="6E93FC92" w:rsidR="00634161" w:rsidRPr="006675DE" w:rsidRDefault="00634161" w:rsidP="00634161">
      <w:pPr>
        <w:spacing w:line="276" w:lineRule="auto"/>
      </w:pPr>
      <w:r w:rsidRPr="006675DE">
        <w:t>Muir-Cochrane</w:t>
      </w:r>
      <w:r w:rsidR="00A622A0" w:rsidRPr="006675DE">
        <w:t>,</w:t>
      </w:r>
      <w:r w:rsidRPr="006675DE">
        <w:t xml:space="preserve"> E</w:t>
      </w:r>
      <w:r w:rsidR="00A622A0" w:rsidRPr="006675DE">
        <w:t>.</w:t>
      </w:r>
      <w:r w:rsidRPr="006675DE">
        <w:t>, Oster</w:t>
      </w:r>
      <w:r w:rsidR="00A622A0" w:rsidRPr="006675DE">
        <w:t>,</w:t>
      </w:r>
      <w:r w:rsidRPr="006675DE">
        <w:t xml:space="preserve"> C</w:t>
      </w:r>
      <w:r w:rsidR="00A622A0" w:rsidRPr="006675DE">
        <w:t>.,</w:t>
      </w:r>
      <w:r w:rsidRPr="006675DE">
        <w:t xml:space="preserve"> Grotto</w:t>
      </w:r>
      <w:r w:rsidR="00A622A0" w:rsidRPr="006675DE">
        <w:t>,</w:t>
      </w:r>
      <w:r w:rsidRPr="006675DE">
        <w:t xml:space="preserve"> J</w:t>
      </w:r>
      <w:r w:rsidR="00A622A0" w:rsidRPr="006675DE">
        <w:t>.</w:t>
      </w:r>
      <w:r w:rsidRPr="006675DE">
        <w:t>, Gerace</w:t>
      </w:r>
      <w:r w:rsidR="00A622A0" w:rsidRPr="006675DE">
        <w:t>,</w:t>
      </w:r>
      <w:r w:rsidRPr="006675DE">
        <w:t xml:space="preserve"> A</w:t>
      </w:r>
      <w:r w:rsidR="00A622A0" w:rsidRPr="006675DE">
        <w:t>.</w:t>
      </w:r>
      <w:r w:rsidRPr="006675DE">
        <w:t xml:space="preserve"> &amp; Jones</w:t>
      </w:r>
      <w:r w:rsidR="00A622A0" w:rsidRPr="006675DE">
        <w:t>,</w:t>
      </w:r>
      <w:r w:rsidRPr="006675DE">
        <w:t xml:space="preserve"> J</w:t>
      </w:r>
      <w:r w:rsidR="00A622A0" w:rsidRPr="006675DE">
        <w:t>.</w:t>
      </w:r>
      <w:r w:rsidRPr="006675DE">
        <w:t xml:space="preserve"> (2013)</w:t>
      </w:r>
      <w:r w:rsidR="00A622A0" w:rsidRPr="006675DE">
        <w:t>.</w:t>
      </w:r>
      <w:r w:rsidRPr="006675DE">
        <w:t xml:space="preserve"> The inpatient psychiatric unit as both a safe and unsafe place: Implications for absconding. </w:t>
      </w:r>
      <w:r w:rsidRPr="006675DE">
        <w:rPr>
          <w:i/>
        </w:rPr>
        <w:t xml:space="preserve">International Journal of Mental Health Nursing, </w:t>
      </w:r>
      <w:r w:rsidRPr="006675DE">
        <w:t>22(4), 304-312</w:t>
      </w:r>
      <w:r w:rsidR="00A622A0" w:rsidRPr="006675DE">
        <w:t>.</w:t>
      </w:r>
      <w:r w:rsidR="007B5661" w:rsidRPr="006675DE">
        <w:t xml:space="preserve"> https://doi.org/</w:t>
      </w:r>
      <w:hyperlink r:id="rId24" w:tgtFrame="_blank" w:history="1">
        <w:r w:rsidR="007B5661" w:rsidRPr="006675DE">
          <w:rPr>
            <w:rStyle w:val="Hyperlink"/>
            <w:color w:val="auto"/>
            <w:u w:val="none"/>
          </w:rPr>
          <w:t>10.1111/j.1447-0349.2012.00873.x</w:t>
        </w:r>
      </w:hyperlink>
    </w:p>
    <w:p w14:paraId="32395AA2" w14:textId="43525D01" w:rsidR="00634161" w:rsidRPr="006675DE" w:rsidRDefault="00634161" w:rsidP="00634161">
      <w:r w:rsidRPr="006675DE">
        <w:t>Muralidharan</w:t>
      </w:r>
      <w:r w:rsidR="007B5661" w:rsidRPr="006675DE">
        <w:t>,</w:t>
      </w:r>
      <w:r w:rsidRPr="006675DE">
        <w:t xml:space="preserve"> S</w:t>
      </w:r>
      <w:r w:rsidR="007B5661" w:rsidRPr="006675DE">
        <w:t>.</w:t>
      </w:r>
      <w:r w:rsidRPr="006675DE">
        <w:t xml:space="preserve"> &amp; Fenton</w:t>
      </w:r>
      <w:r w:rsidR="007B5661" w:rsidRPr="006675DE">
        <w:t>,</w:t>
      </w:r>
      <w:r w:rsidRPr="006675DE">
        <w:t xml:space="preserve"> M</w:t>
      </w:r>
      <w:r w:rsidR="007B5661" w:rsidRPr="006675DE">
        <w:t>.</w:t>
      </w:r>
      <w:r w:rsidRPr="006675DE">
        <w:t xml:space="preserve"> (2006)</w:t>
      </w:r>
      <w:r w:rsidR="007B5661" w:rsidRPr="006675DE">
        <w:t>.</w:t>
      </w:r>
      <w:r w:rsidRPr="006675DE">
        <w:t xml:space="preserve"> Containment strategies for people with serious mental illness (Review). </w:t>
      </w:r>
      <w:r w:rsidRPr="006675DE">
        <w:rPr>
          <w:i/>
        </w:rPr>
        <w:t xml:space="preserve">Cochrane Database of Systematic Reviews, </w:t>
      </w:r>
      <w:r w:rsidRPr="006675DE">
        <w:t>3</w:t>
      </w:r>
      <w:r w:rsidR="007B5661" w:rsidRPr="006675DE">
        <w:t xml:space="preserve">. </w:t>
      </w:r>
    </w:p>
    <w:p w14:paraId="3EF5757F" w14:textId="77777777" w:rsidR="002D0887" w:rsidRPr="006675DE" w:rsidRDefault="00634161" w:rsidP="002D0887">
      <w:r w:rsidRPr="006675DE">
        <w:t>Nijman</w:t>
      </w:r>
      <w:r w:rsidR="007B5661" w:rsidRPr="006675DE">
        <w:t>,</w:t>
      </w:r>
      <w:r w:rsidRPr="006675DE">
        <w:t xml:space="preserve"> H</w:t>
      </w:r>
      <w:r w:rsidR="007B5661" w:rsidRPr="006675DE">
        <w:t>.</w:t>
      </w:r>
      <w:r w:rsidRPr="006675DE">
        <w:t>, Bowers</w:t>
      </w:r>
      <w:r w:rsidR="007B5661" w:rsidRPr="006675DE">
        <w:t>,</w:t>
      </w:r>
      <w:r w:rsidRPr="006675DE">
        <w:t xml:space="preserve"> L</w:t>
      </w:r>
      <w:r w:rsidR="007B5661" w:rsidRPr="006675DE">
        <w:t>.</w:t>
      </w:r>
      <w:r w:rsidRPr="006675DE">
        <w:t>, Haglund</w:t>
      </w:r>
      <w:r w:rsidR="007B5661" w:rsidRPr="006675DE">
        <w:t>,</w:t>
      </w:r>
      <w:r w:rsidRPr="006675DE">
        <w:t xml:space="preserve"> K</w:t>
      </w:r>
      <w:r w:rsidR="007B5661" w:rsidRPr="006675DE">
        <w:t>.</w:t>
      </w:r>
      <w:r w:rsidRPr="006675DE">
        <w:t>, Muir-Cochrane</w:t>
      </w:r>
      <w:r w:rsidR="007B5661" w:rsidRPr="006675DE">
        <w:t>,</w:t>
      </w:r>
      <w:r w:rsidRPr="006675DE">
        <w:t xml:space="preserve"> E</w:t>
      </w:r>
      <w:r w:rsidR="007B5661" w:rsidRPr="006675DE">
        <w:t>.</w:t>
      </w:r>
      <w:r w:rsidRPr="006675DE">
        <w:t>, Simpson</w:t>
      </w:r>
      <w:r w:rsidR="007B5661" w:rsidRPr="006675DE">
        <w:t>,</w:t>
      </w:r>
      <w:r w:rsidRPr="006675DE">
        <w:t xml:space="preserve"> A</w:t>
      </w:r>
      <w:r w:rsidR="007B5661" w:rsidRPr="006675DE">
        <w:t xml:space="preserve">. </w:t>
      </w:r>
      <w:r w:rsidRPr="006675DE">
        <w:t>&amp; van der Merwe</w:t>
      </w:r>
      <w:r w:rsidR="007B5661" w:rsidRPr="006675DE">
        <w:t>,</w:t>
      </w:r>
      <w:r w:rsidRPr="006675DE">
        <w:t xml:space="preserve"> M</w:t>
      </w:r>
      <w:r w:rsidR="007B5661" w:rsidRPr="006675DE">
        <w:t>.</w:t>
      </w:r>
      <w:r w:rsidRPr="006675DE">
        <w:t xml:space="preserve"> (2011)</w:t>
      </w:r>
      <w:r w:rsidR="007B5661" w:rsidRPr="006675DE">
        <w:t>.</w:t>
      </w:r>
      <w:r w:rsidRPr="006675DE">
        <w:t xml:space="preserve"> Door locking and exit security measures on acute psychiatric admission wards. </w:t>
      </w:r>
      <w:r w:rsidRPr="006675DE">
        <w:rPr>
          <w:i/>
        </w:rPr>
        <w:t>Journal of Psychiatric and Mental Health Nursing</w:t>
      </w:r>
      <w:r w:rsidRPr="006675DE">
        <w:t>, 18(7), 614-621</w:t>
      </w:r>
      <w:r w:rsidR="007B5661" w:rsidRPr="006675DE">
        <w:t>.</w:t>
      </w:r>
      <w:r w:rsidR="002D0887" w:rsidRPr="006675DE">
        <w:t xml:space="preserve"> </w:t>
      </w:r>
      <w:hyperlink r:id="rId25" w:history="1">
        <w:r w:rsidR="002D0887" w:rsidRPr="006675DE">
          <w:rPr>
            <w:rStyle w:val="Hyperlink"/>
            <w:color w:val="auto"/>
            <w:u w:val="none"/>
          </w:rPr>
          <w:t>https://doi.org/10.1111/j.1365-2850.2011.01716.x</w:t>
        </w:r>
      </w:hyperlink>
    </w:p>
    <w:p w14:paraId="669E64D1" w14:textId="41C66FF3" w:rsidR="00634161" w:rsidRPr="006675DE" w:rsidRDefault="00634161" w:rsidP="00634161">
      <w:r w:rsidRPr="006675DE">
        <w:t>Nolan</w:t>
      </w:r>
      <w:r w:rsidR="002D0887" w:rsidRPr="006675DE">
        <w:t>,</w:t>
      </w:r>
      <w:r w:rsidRPr="006675DE">
        <w:t xml:space="preserve"> P</w:t>
      </w:r>
      <w:r w:rsidR="002D0887" w:rsidRPr="006675DE">
        <w:t>.</w:t>
      </w:r>
      <w:r w:rsidRPr="006675DE">
        <w:t>, Bradley</w:t>
      </w:r>
      <w:r w:rsidR="002D0887" w:rsidRPr="006675DE">
        <w:t>,</w:t>
      </w:r>
      <w:r w:rsidRPr="006675DE">
        <w:t xml:space="preserve"> E</w:t>
      </w:r>
      <w:r w:rsidR="002D0887" w:rsidRPr="006675DE">
        <w:t>.</w:t>
      </w:r>
      <w:r w:rsidRPr="006675DE">
        <w:t xml:space="preserve"> &amp; Brimblecome</w:t>
      </w:r>
      <w:r w:rsidR="002D0887" w:rsidRPr="006675DE">
        <w:t>,</w:t>
      </w:r>
      <w:r w:rsidRPr="006675DE">
        <w:t xml:space="preserve"> N</w:t>
      </w:r>
      <w:r w:rsidR="002D0887" w:rsidRPr="006675DE">
        <w:t>.</w:t>
      </w:r>
      <w:r w:rsidRPr="006675DE">
        <w:t xml:space="preserve"> (2011)</w:t>
      </w:r>
      <w:r w:rsidR="002D0887" w:rsidRPr="006675DE">
        <w:t>.</w:t>
      </w:r>
      <w:r w:rsidRPr="006675DE">
        <w:t xml:space="preserve"> Disengaging from acute inpatient psychiatric care: a description of </w:t>
      </w:r>
      <w:r w:rsidR="00814091" w:rsidRPr="006675DE">
        <w:t>patient</w:t>
      </w:r>
      <w:r w:rsidRPr="006675DE">
        <w:t xml:space="preserve">s’ experiences and views. </w:t>
      </w:r>
      <w:r w:rsidRPr="006675DE">
        <w:rPr>
          <w:i/>
        </w:rPr>
        <w:t xml:space="preserve">Journal of Psychiatric and Mental Health Nursing, </w:t>
      </w:r>
      <w:r w:rsidRPr="006675DE">
        <w:t>18(4), 359-367</w:t>
      </w:r>
      <w:r w:rsidR="002D0887" w:rsidRPr="006675DE">
        <w:t xml:space="preserve">. </w:t>
      </w:r>
      <w:hyperlink r:id="rId26" w:history="1">
        <w:r w:rsidR="002D0887" w:rsidRPr="006675DE">
          <w:rPr>
            <w:rStyle w:val="Hyperlink"/>
            <w:color w:val="auto"/>
            <w:u w:val="none"/>
          </w:rPr>
          <w:t>https://doi.org/10.1111/j.1365-2850.2010.01675.x</w:t>
        </w:r>
      </w:hyperlink>
    </w:p>
    <w:p w14:paraId="54AC9978" w14:textId="77777777" w:rsidR="002D0887" w:rsidRPr="006675DE" w:rsidRDefault="00634161" w:rsidP="002D0887">
      <w:r w:rsidRPr="006675DE">
        <w:t>Shah</w:t>
      </w:r>
      <w:r w:rsidR="002D0887" w:rsidRPr="006675DE">
        <w:t>,</w:t>
      </w:r>
      <w:r w:rsidRPr="006675DE">
        <w:t xml:space="preserve"> A</w:t>
      </w:r>
      <w:r w:rsidR="002D0887" w:rsidRPr="006675DE">
        <w:t>.</w:t>
      </w:r>
      <w:r w:rsidRPr="006675DE">
        <w:t xml:space="preserve"> &amp; Ganesvaran</w:t>
      </w:r>
      <w:r w:rsidR="002D0887" w:rsidRPr="006675DE">
        <w:t>,</w:t>
      </w:r>
      <w:r w:rsidRPr="006675DE">
        <w:t xml:space="preserve"> T</w:t>
      </w:r>
      <w:r w:rsidR="002D0887" w:rsidRPr="006675DE">
        <w:t>.</w:t>
      </w:r>
      <w:r w:rsidRPr="006675DE">
        <w:t xml:space="preserve"> (2000)</w:t>
      </w:r>
      <w:r w:rsidR="002D0887" w:rsidRPr="006675DE">
        <w:t>.</w:t>
      </w:r>
      <w:r w:rsidRPr="006675DE">
        <w:t xml:space="preserve"> Completed suicide among psychiatric in-patients with depression in an Australian mental hospital. </w:t>
      </w:r>
      <w:r w:rsidRPr="006675DE">
        <w:rPr>
          <w:i/>
        </w:rPr>
        <w:t xml:space="preserve">International Journal of Methods in Psychiatric Research, </w:t>
      </w:r>
      <w:r w:rsidRPr="006675DE">
        <w:t>9(1), 25-31</w:t>
      </w:r>
      <w:r w:rsidR="002D0887" w:rsidRPr="006675DE">
        <w:t xml:space="preserve">. </w:t>
      </w:r>
      <w:hyperlink r:id="rId27" w:history="1">
        <w:r w:rsidR="002D0887" w:rsidRPr="006675DE">
          <w:rPr>
            <w:rStyle w:val="Hyperlink"/>
            <w:color w:val="auto"/>
            <w:u w:val="none"/>
          </w:rPr>
          <w:t>https://doi.org/10.1002/mpr.77</w:t>
        </w:r>
      </w:hyperlink>
    </w:p>
    <w:p w14:paraId="28CDBC99" w14:textId="7769C848" w:rsidR="00634161" w:rsidRPr="006675DE" w:rsidRDefault="00634161" w:rsidP="00634161">
      <w:r w:rsidRPr="006675DE">
        <w:t>Stenhouse</w:t>
      </w:r>
      <w:r w:rsidR="002D0887" w:rsidRPr="006675DE">
        <w:t>,</w:t>
      </w:r>
      <w:r w:rsidRPr="006675DE">
        <w:t xml:space="preserve"> R</w:t>
      </w:r>
      <w:r w:rsidR="002D0887" w:rsidRPr="006675DE">
        <w:t>.</w:t>
      </w:r>
      <w:r w:rsidRPr="006675DE">
        <w:t xml:space="preserve"> &amp; Muirhead</w:t>
      </w:r>
      <w:r w:rsidR="002D0887" w:rsidRPr="006675DE">
        <w:t>,</w:t>
      </w:r>
      <w:r w:rsidRPr="006675DE">
        <w:t xml:space="preserve"> C</w:t>
      </w:r>
      <w:r w:rsidR="002D0887" w:rsidRPr="006675DE">
        <w:t>.</w:t>
      </w:r>
      <w:r w:rsidRPr="006675DE">
        <w:t xml:space="preserve"> (2017)</w:t>
      </w:r>
      <w:r w:rsidR="002D0887" w:rsidRPr="006675DE">
        <w:t>.</w:t>
      </w:r>
      <w:r w:rsidRPr="006675DE">
        <w:t xml:space="preserve"> ‘Developing and maintaining therapeutic relationships’ In: Chambers M ed. </w:t>
      </w:r>
      <w:r w:rsidRPr="006675DE">
        <w:rPr>
          <w:i/>
        </w:rPr>
        <w:t>Psychiatric and mental health nursing: The craft of caring 3</w:t>
      </w:r>
      <w:r w:rsidRPr="006675DE">
        <w:rPr>
          <w:i/>
          <w:vertAlign w:val="superscript"/>
        </w:rPr>
        <w:t>rd</w:t>
      </w:r>
      <w:r w:rsidRPr="006675DE">
        <w:rPr>
          <w:i/>
        </w:rPr>
        <w:t xml:space="preserve"> edition. </w:t>
      </w:r>
      <w:r w:rsidRPr="006675DE">
        <w:t>Oxon: Routledge. 29-38</w:t>
      </w:r>
      <w:r w:rsidR="002D0887" w:rsidRPr="006675DE">
        <w:t>.</w:t>
      </w:r>
    </w:p>
    <w:p w14:paraId="77C90615" w14:textId="033C9318" w:rsidR="00634161" w:rsidRPr="006675DE" w:rsidRDefault="00634161" w:rsidP="00634161">
      <w:r w:rsidRPr="006675DE">
        <w:t>Stewart</w:t>
      </w:r>
      <w:r w:rsidR="002D0887" w:rsidRPr="006675DE">
        <w:t>,</w:t>
      </w:r>
      <w:r w:rsidRPr="006675DE">
        <w:t xml:space="preserve"> D</w:t>
      </w:r>
      <w:r w:rsidR="002D0887" w:rsidRPr="006675DE">
        <w:t>.</w:t>
      </w:r>
      <w:r w:rsidRPr="006675DE">
        <w:t xml:space="preserve"> &amp; Bowers</w:t>
      </w:r>
      <w:r w:rsidR="002D0887" w:rsidRPr="006675DE">
        <w:t>,</w:t>
      </w:r>
      <w:r w:rsidRPr="006675DE">
        <w:t xml:space="preserve"> L</w:t>
      </w:r>
      <w:r w:rsidR="002D0887" w:rsidRPr="006675DE">
        <w:t>.</w:t>
      </w:r>
      <w:r w:rsidRPr="006675DE">
        <w:t xml:space="preserve"> (2010)</w:t>
      </w:r>
      <w:r w:rsidR="002D0887" w:rsidRPr="006675DE">
        <w:t>.</w:t>
      </w:r>
      <w:r w:rsidRPr="006675DE">
        <w:t xml:space="preserve"> </w:t>
      </w:r>
      <w:r w:rsidRPr="006675DE">
        <w:rPr>
          <w:i/>
        </w:rPr>
        <w:t xml:space="preserve">Absconding from psychiatric hospitals: a literature review. Report from the Conflict and Containment Reduction Research Programme. </w:t>
      </w:r>
      <w:r w:rsidRPr="006675DE">
        <w:t xml:space="preserve">London: Institute of Psychiatry [Online] Available at: </w:t>
      </w:r>
      <w:hyperlink r:id="rId28" w:history="1">
        <w:r w:rsidRPr="006675DE">
          <w:rPr>
            <w:rStyle w:val="Hyperlink"/>
            <w:color w:val="auto"/>
            <w:u w:val="none"/>
          </w:rPr>
          <w:t>https://www.kcl.ac.uk/ioppn/depts/hspr/research/ciemh/mhn/projects/litreview/LitRevAbsc.pdf</w:t>
        </w:r>
      </w:hyperlink>
      <w:r w:rsidRPr="006675DE">
        <w:t xml:space="preserve"> [Accessed 3rd February 2017]</w:t>
      </w:r>
      <w:r w:rsidR="002D0887" w:rsidRPr="006675DE">
        <w:t>.</w:t>
      </w:r>
    </w:p>
    <w:p w14:paraId="59981F07" w14:textId="77777777" w:rsidR="002D0887" w:rsidRPr="006675DE" w:rsidRDefault="00634161" w:rsidP="002D0887">
      <w:r w:rsidRPr="006675DE">
        <w:t>Stewart</w:t>
      </w:r>
      <w:r w:rsidR="002D0887" w:rsidRPr="006675DE">
        <w:t>,</w:t>
      </w:r>
      <w:r w:rsidRPr="006675DE">
        <w:t xml:space="preserve"> D</w:t>
      </w:r>
      <w:r w:rsidR="002D0887" w:rsidRPr="006675DE">
        <w:t>.</w:t>
      </w:r>
      <w:r w:rsidRPr="006675DE">
        <w:t xml:space="preserve"> &amp; Bowers</w:t>
      </w:r>
      <w:r w:rsidR="002D0887" w:rsidRPr="006675DE">
        <w:t>,</w:t>
      </w:r>
      <w:r w:rsidRPr="006675DE">
        <w:t xml:space="preserve"> L</w:t>
      </w:r>
      <w:r w:rsidR="002D0887" w:rsidRPr="006675DE">
        <w:t>.</w:t>
      </w:r>
      <w:r w:rsidRPr="006675DE">
        <w:t xml:space="preserve"> (2011)</w:t>
      </w:r>
      <w:r w:rsidR="002D0887" w:rsidRPr="006675DE">
        <w:t>.</w:t>
      </w:r>
      <w:r w:rsidRPr="006675DE">
        <w:t xml:space="preserve"> Absconding and locking ward doors: evidence from the literature. </w:t>
      </w:r>
      <w:r w:rsidRPr="006675DE">
        <w:rPr>
          <w:i/>
        </w:rPr>
        <w:t xml:space="preserve">Journal of Psychiatric and Mental Health Nursing, </w:t>
      </w:r>
      <w:r w:rsidRPr="006675DE">
        <w:t>18(1), 89-93</w:t>
      </w:r>
      <w:r w:rsidR="002D0887" w:rsidRPr="006675DE">
        <w:t xml:space="preserve">. </w:t>
      </w:r>
      <w:hyperlink r:id="rId29" w:history="1">
        <w:r w:rsidR="002D0887" w:rsidRPr="006675DE">
          <w:rPr>
            <w:rStyle w:val="Hyperlink"/>
            <w:color w:val="auto"/>
            <w:u w:val="none"/>
          </w:rPr>
          <w:t>https://doi.org/10.1111/j.1365-2850.2010.01622.x</w:t>
        </w:r>
      </w:hyperlink>
    </w:p>
    <w:p w14:paraId="62A6EEFF" w14:textId="6790AC49" w:rsidR="002D0887" w:rsidRPr="006675DE" w:rsidRDefault="00634161" w:rsidP="002D0887">
      <w:pPr>
        <w:rPr>
          <w:rStyle w:val="Hyperlink"/>
          <w:color w:val="auto"/>
          <w:u w:val="none"/>
        </w:rPr>
      </w:pPr>
      <w:r w:rsidRPr="006675DE">
        <w:t>Stewart</w:t>
      </w:r>
      <w:r w:rsidR="002D0887" w:rsidRPr="006675DE">
        <w:t>,</w:t>
      </w:r>
      <w:r w:rsidRPr="006675DE">
        <w:t xml:space="preserve"> D</w:t>
      </w:r>
      <w:r w:rsidR="002D0887" w:rsidRPr="006675DE">
        <w:t>.</w:t>
      </w:r>
      <w:r w:rsidRPr="006675DE">
        <w:t>, Bowers</w:t>
      </w:r>
      <w:r w:rsidR="002D0887" w:rsidRPr="006675DE">
        <w:t>,</w:t>
      </w:r>
      <w:r w:rsidRPr="006675DE">
        <w:t xml:space="preserve"> L</w:t>
      </w:r>
      <w:r w:rsidR="002D0887" w:rsidRPr="006675DE">
        <w:t>.</w:t>
      </w:r>
      <w:r w:rsidRPr="006675DE">
        <w:t xml:space="preserve"> &amp; Ross</w:t>
      </w:r>
      <w:r w:rsidR="002D0887" w:rsidRPr="006675DE">
        <w:t>,</w:t>
      </w:r>
      <w:r w:rsidRPr="006675DE">
        <w:t xml:space="preserve"> J</w:t>
      </w:r>
      <w:r w:rsidR="002D0887" w:rsidRPr="006675DE">
        <w:t>.</w:t>
      </w:r>
      <w:r w:rsidRPr="006675DE">
        <w:t xml:space="preserve"> (2012)</w:t>
      </w:r>
      <w:r w:rsidR="002D0887" w:rsidRPr="006675DE">
        <w:t>.</w:t>
      </w:r>
      <w:r w:rsidRPr="006675DE">
        <w:t xml:space="preserve"> Managing risk and conflict behaviours in acute psychiatry: the dual role of constant special observation. </w:t>
      </w:r>
      <w:r w:rsidRPr="006675DE">
        <w:rPr>
          <w:i/>
        </w:rPr>
        <w:t xml:space="preserve">Journal of Advanced Nursing, </w:t>
      </w:r>
      <w:r w:rsidRPr="006675DE">
        <w:t>68(6), 1340-1348</w:t>
      </w:r>
      <w:r w:rsidR="002D0887" w:rsidRPr="006675DE">
        <w:t xml:space="preserve">. </w:t>
      </w:r>
      <w:hyperlink r:id="rId30" w:history="1">
        <w:r w:rsidR="002D0887" w:rsidRPr="006675DE">
          <w:rPr>
            <w:rStyle w:val="Hyperlink"/>
            <w:color w:val="auto"/>
            <w:u w:val="none"/>
          </w:rPr>
          <w:t>https://doi.org/10.1111/j.1365-2648.2011.05844.x</w:t>
        </w:r>
      </w:hyperlink>
    </w:p>
    <w:p w14:paraId="342E67C7" w14:textId="48675C6D" w:rsidR="003F2EF3" w:rsidRPr="006675DE" w:rsidRDefault="003F2EF3" w:rsidP="002D0887">
      <w:r w:rsidRPr="006675DE">
        <w:rPr>
          <w:rStyle w:val="Hyperlink"/>
          <w:color w:val="auto"/>
          <w:u w:val="none"/>
        </w:rPr>
        <w:t xml:space="preserve">Thomas, J. &amp; Harden, A. (2008) Methods for the thematic synthesis of qualitative research in systematic reviews. </w:t>
      </w:r>
      <w:r w:rsidRPr="006675DE">
        <w:rPr>
          <w:rStyle w:val="Hyperlink"/>
          <w:i/>
          <w:iCs/>
          <w:color w:val="auto"/>
          <w:u w:val="none"/>
        </w:rPr>
        <w:t xml:space="preserve">BMC Medical Research Methodology, </w:t>
      </w:r>
      <w:r w:rsidRPr="006675DE">
        <w:rPr>
          <w:rStyle w:val="Hyperlink"/>
          <w:color w:val="auto"/>
          <w:u w:val="none"/>
        </w:rPr>
        <w:t xml:space="preserve">8(45), </w:t>
      </w:r>
    </w:p>
    <w:p w14:paraId="0B3B38B2" w14:textId="67625B25" w:rsidR="00634161" w:rsidRPr="006675DE" w:rsidRDefault="00634161" w:rsidP="00634161">
      <w:pPr>
        <w:rPr>
          <w:rStyle w:val="Hyperlink"/>
          <w:color w:val="auto"/>
          <w:u w:val="none"/>
        </w:rPr>
      </w:pPr>
      <w:r w:rsidRPr="006675DE">
        <w:t>Vaismoradi</w:t>
      </w:r>
      <w:r w:rsidR="002D0887" w:rsidRPr="006675DE">
        <w:t>,</w:t>
      </w:r>
      <w:r w:rsidRPr="006675DE">
        <w:t xml:space="preserve"> M</w:t>
      </w:r>
      <w:r w:rsidR="002D0887" w:rsidRPr="006675DE">
        <w:t>.,</w:t>
      </w:r>
      <w:r w:rsidRPr="006675DE">
        <w:t xml:space="preserve"> Jones</w:t>
      </w:r>
      <w:r w:rsidR="002D0887" w:rsidRPr="006675DE">
        <w:t>,</w:t>
      </w:r>
      <w:r w:rsidRPr="006675DE">
        <w:t xml:space="preserve"> J</w:t>
      </w:r>
      <w:r w:rsidR="002D0887" w:rsidRPr="006675DE">
        <w:t>.</w:t>
      </w:r>
      <w:r w:rsidRPr="006675DE">
        <w:t>, Turunen</w:t>
      </w:r>
      <w:r w:rsidR="002D0887" w:rsidRPr="006675DE">
        <w:t>,</w:t>
      </w:r>
      <w:r w:rsidRPr="006675DE">
        <w:t xml:space="preserve"> H</w:t>
      </w:r>
      <w:r w:rsidR="002D0887" w:rsidRPr="006675DE">
        <w:t>.</w:t>
      </w:r>
      <w:r w:rsidRPr="006675DE">
        <w:t xml:space="preserve"> &amp; Snelgrove</w:t>
      </w:r>
      <w:r w:rsidR="002D0887" w:rsidRPr="006675DE">
        <w:t>,</w:t>
      </w:r>
      <w:r w:rsidRPr="006675DE">
        <w:t xml:space="preserve"> S</w:t>
      </w:r>
      <w:r w:rsidR="002D0887" w:rsidRPr="006675DE">
        <w:t>.</w:t>
      </w:r>
      <w:r w:rsidRPr="006675DE">
        <w:t xml:space="preserve"> (2016)</w:t>
      </w:r>
      <w:r w:rsidR="002D0887" w:rsidRPr="006675DE">
        <w:t>.</w:t>
      </w:r>
      <w:r w:rsidRPr="006675DE">
        <w:t xml:space="preserve"> Theme development in qualitative content analysis and thematic analysis. </w:t>
      </w:r>
      <w:r w:rsidRPr="006675DE">
        <w:rPr>
          <w:i/>
        </w:rPr>
        <w:t xml:space="preserve">Journal of Nursing Education and Practice, </w:t>
      </w:r>
      <w:r w:rsidRPr="006675DE">
        <w:t>6(5), 100-110</w:t>
      </w:r>
      <w:r w:rsidR="002D0887" w:rsidRPr="006675DE">
        <w:t>. https://doi.org/</w:t>
      </w:r>
      <w:hyperlink r:id="rId31" w:tgtFrame="_blank" w:history="1">
        <w:r w:rsidR="002D0887" w:rsidRPr="006675DE">
          <w:rPr>
            <w:rStyle w:val="Hyperlink"/>
            <w:color w:val="auto"/>
            <w:u w:val="none"/>
          </w:rPr>
          <w:t>10.5430/jnep.v6n5p100</w:t>
        </w:r>
      </w:hyperlink>
    </w:p>
    <w:p w14:paraId="434F84B1" w14:textId="70407546" w:rsidR="00A05BBF" w:rsidRPr="006675DE" w:rsidRDefault="00A05BBF" w:rsidP="00634161">
      <w:r w:rsidRPr="006675DE">
        <w:rPr>
          <w:rStyle w:val="Hyperlink"/>
          <w:color w:val="auto"/>
          <w:u w:val="none"/>
        </w:rPr>
        <w:t xml:space="preserve">Valenti, E., Giacco, D., Katasakou, C. &amp; Priebe, S. (2013) Which values are important for patients during involuntary treatments?  A qualitative study with psychiatric inpatients. </w:t>
      </w:r>
      <w:r w:rsidRPr="006675DE">
        <w:rPr>
          <w:rStyle w:val="Hyperlink"/>
          <w:i/>
          <w:iCs/>
          <w:color w:val="auto"/>
          <w:u w:val="none"/>
        </w:rPr>
        <w:t xml:space="preserve">Journal of Medical Ethics, </w:t>
      </w:r>
      <w:r w:rsidRPr="006675DE">
        <w:rPr>
          <w:rStyle w:val="Hyperlink"/>
          <w:color w:val="auto"/>
          <w:u w:val="none"/>
        </w:rPr>
        <w:t xml:space="preserve">40(12), 832-836. </w:t>
      </w:r>
      <w:r w:rsidRPr="006675DE">
        <w:t>https://doi.org/10.1136/medethics-2011-100370</w:t>
      </w:r>
    </w:p>
    <w:p w14:paraId="2C2F15D4" w14:textId="77777777" w:rsidR="002D0887" w:rsidRPr="006675DE" w:rsidRDefault="00634161" w:rsidP="002D0887">
      <w:r w:rsidRPr="006675DE">
        <w:t>Van der Merwe</w:t>
      </w:r>
      <w:r w:rsidR="002D0887" w:rsidRPr="006675DE">
        <w:t>,</w:t>
      </w:r>
      <w:r w:rsidRPr="006675DE">
        <w:t xml:space="preserve"> M</w:t>
      </w:r>
      <w:r w:rsidR="002D0887" w:rsidRPr="006675DE">
        <w:t>.</w:t>
      </w:r>
      <w:r w:rsidRPr="006675DE">
        <w:t>, Bowers</w:t>
      </w:r>
      <w:r w:rsidR="002D0887" w:rsidRPr="006675DE">
        <w:t>,</w:t>
      </w:r>
      <w:r w:rsidRPr="006675DE">
        <w:t xml:space="preserve"> L</w:t>
      </w:r>
      <w:r w:rsidR="002D0887" w:rsidRPr="006675DE">
        <w:t>.</w:t>
      </w:r>
      <w:r w:rsidRPr="006675DE">
        <w:t>, Jones</w:t>
      </w:r>
      <w:r w:rsidR="002D0887" w:rsidRPr="006675DE">
        <w:t>,</w:t>
      </w:r>
      <w:r w:rsidRPr="006675DE">
        <w:t xml:space="preserve"> J</w:t>
      </w:r>
      <w:r w:rsidR="002D0887" w:rsidRPr="006675DE">
        <w:t>.</w:t>
      </w:r>
      <w:r w:rsidRPr="006675DE">
        <w:t>, Simpson</w:t>
      </w:r>
      <w:r w:rsidR="002D0887" w:rsidRPr="006675DE">
        <w:t>,</w:t>
      </w:r>
      <w:r w:rsidRPr="006675DE">
        <w:t xml:space="preserve"> A</w:t>
      </w:r>
      <w:r w:rsidR="002D0887" w:rsidRPr="006675DE">
        <w:t>.</w:t>
      </w:r>
      <w:r w:rsidRPr="006675DE">
        <w:t xml:space="preserve"> &amp; Haglund</w:t>
      </w:r>
      <w:r w:rsidR="002D0887" w:rsidRPr="006675DE">
        <w:t>,</w:t>
      </w:r>
      <w:r w:rsidRPr="006675DE">
        <w:t xml:space="preserve"> K</w:t>
      </w:r>
      <w:r w:rsidR="002D0887" w:rsidRPr="006675DE">
        <w:t>.</w:t>
      </w:r>
      <w:r w:rsidRPr="006675DE">
        <w:t xml:space="preserve"> (2009)</w:t>
      </w:r>
      <w:r w:rsidR="002D0887" w:rsidRPr="006675DE">
        <w:t>.</w:t>
      </w:r>
      <w:r w:rsidRPr="006675DE">
        <w:t xml:space="preserve"> Locked doors in acute inpatient psychiatry: a literature review. </w:t>
      </w:r>
      <w:r w:rsidRPr="006675DE">
        <w:rPr>
          <w:i/>
        </w:rPr>
        <w:t>Journal pf Psychiatric and Mental Health Nursing</w:t>
      </w:r>
      <w:r w:rsidRPr="006675DE">
        <w:t>, 16(3), 293-299</w:t>
      </w:r>
      <w:r w:rsidR="002D0887" w:rsidRPr="006675DE">
        <w:t xml:space="preserve">. </w:t>
      </w:r>
      <w:hyperlink r:id="rId32" w:history="1">
        <w:r w:rsidR="002D0887" w:rsidRPr="006675DE">
          <w:rPr>
            <w:rStyle w:val="Hyperlink"/>
            <w:color w:val="auto"/>
            <w:u w:val="none"/>
          </w:rPr>
          <w:t>https://doi.org/10.1111/j.1365-2850.2008.01378.x</w:t>
        </w:r>
      </w:hyperlink>
    </w:p>
    <w:p w14:paraId="235A2489" w14:textId="04E2D685" w:rsidR="00634161" w:rsidRPr="006675DE" w:rsidRDefault="00634161" w:rsidP="00634161">
      <w:r w:rsidRPr="006675DE">
        <w:t>Walsh</w:t>
      </w:r>
      <w:r w:rsidR="002D0887" w:rsidRPr="006675DE">
        <w:t>,</w:t>
      </w:r>
      <w:r w:rsidRPr="006675DE">
        <w:t xml:space="preserve"> J</w:t>
      </w:r>
      <w:r w:rsidR="002D0887" w:rsidRPr="006675DE">
        <w:t>.</w:t>
      </w:r>
      <w:r w:rsidRPr="006675DE">
        <w:t xml:space="preserve"> &amp; Boyle</w:t>
      </w:r>
      <w:r w:rsidR="002D0887" w:rsidRPr="006675DE">
        <w:t>,</w:t>
      </w:r>
      <w:r w:rsidRPr="006675DE">
        <w:t xml:space="preserve"> J</w:t>
      </w:r>
      <w:r w:rsidR="002D0887" w:rsidRPr="006675DE">
        <w:t>.</w:t>
      </w:r>
      <w:r w:rsidRPr="006675DE">
        <w:t xml:space="preserve"> (2009)</w:t>
      </w:r>
      <w:r w:rsidR="002D0887" w:rsidRPr="006675DE">
        <w:t>.</w:t>
      </w:r>
      <w:r w:rsidRPr="006675DE">
        <w:t xml:space="preserve"> Improving Acute Psychiatric Hospital Services According to Inpatient Experiences: A User-Led Piece of Research as a Means to Empowerment. </w:t>
      </w:r>
      <w:r w:rsidRPr="006675DE">
        <w:rPr>
          <w:i/>
        </w:rPr>
        <w:t xml:space="preserve">Issues in Mental Health Nursing, </w:t>
      </w:r>
      <w:r w:rsidRPr="006675DE">
        <w:t>30(1), 31-38</w:t>
      </w:r>
      <w:r w:rsidR="002D0887" w:rsidRPr="006675DE">
        <w:t>. https://doi.org/10.1080/01612840802500733</w:t>
      </w:r>
    </w:p>
    <w:p w14:paraId="54386293" w14:textId="0D4C6BA2" w:rsidR="00634161" w:rsidRPr="006675DE" w:rsidRDefault="00634161" w:rsidP="00634161">
      <w:pPr>
        <w:spacing w:line="276" w:lineRule="auto"/>
        <w:rPr>
          <w:b/>
        </w:rPr>
      </w:pPr>
      <w:r w:rsidRPr="006675DE">
        <w:t>Wilkie</w:t>
      </w:r>
      <w:r w:rsidR="002D0887" w:rsidRPr="006675DE">
        <w:t>,</w:t>
      </w:r>
      <w:r w:rsidRPr="006675DE">
        <w:t xml:space="preserve"> T</w:t>
      </w:r>
      <w:r w:rsidR="002D0887" w:rsidRPr="006675DE">
        <w:t>.</w:t>
      </w:r>
      <w:r w:rsidRPr="006675DE">
        <w:t>, Penney</w:t>
      </w:r>
      <w:r w:rsidR="002D0887" w:rsidRPr="006675DE">
        <w:t>,</w:t>
      </w:r>
      <w:r w:rsidRPr="006675DE">
        <w:t xml:space="preserve"> S</w:t>
      </w:r>
      <w:r w:rsidR="002D0887" w:rsidRPr="006675DE">
        <w:t>.</w:t>
      </w:r>
      <w:r w:rsidRPr="006675DE">
        <w:t>R</w:t>
      </w:r>
      <w:r w:rsidR="002D0887" w:rsidRPr="006675DE">
        <w:t>.</w:t>
      </w:r>
      <w:r w:rsidRPr="006675DE">
        <w:t>, Fernane</w:t>
      </w:r>
      <w:r w:rsidR="002D0887" w:rsidRPr="006675DE">
        <w:t>,</w:t>
      </w:r>
      <w:r w:rsidRPr="006675DE">
        <w:t xml:space="preserve"> S</w:t>
      </w:r>
      <w:r w:rsidR="002D0887" w:rsidRPr="006675DE">
        <w:t>.</w:t>
      </w:r>
      <w:r w:rsidRPr="006675DE">
        <w:t xml:space="preserve"> &amp; Simpson</w:t>
      </w:r>
      <w:r w:rsidR="002D0887" w:rsidRPr="006675DE">
        <w:t>,</w:t>
      </w:r>
      <w:r w:rsidRPr="006675DE">
        <w:t xml:space="preserve"> A</w:t>
      </w:r>
      <w:r w:rsidR="002D0887" w:rsidRPr="006675DE">
        <w:t>.</w:t>
      </w:r>
      <w:r w:rsidRPr="006675DE">
        <w:t>I</w:t>
      </w:r>
      <w:r w:rsidR="002D0887" w:rsidRPr="006675DE">
        <w:t>.</w:t>
      </w:r>
      <w:r w:rsidRPr="006675DE">
        <w:t>F</w:t>
      </w:r>
      <w:r w:rsidR="002D0887" w:rsidRPr="006675DE">
        <w:t>.</w:t>
      </w:r>
      <w:r w:rsidRPr="006675DE">
        <w:t xml:space="preserve"> (2014)</w:t>
      </w:r>
      <w:r w:rsidR="002D0887" w:rsidRPr="006675DE">
        <w:t>.</w:t>
      </w:r>
      <w:r w:rsidRPr="006675DE">
        <w:t xml:space="preserve"> Characteristics and motivations of absconders from forensic mental health services: a case-control study. </w:t>
      </w:r>
      <w:r w:rsidRPr="006675DE">
        <w:rPr>
          <w:i/>
        </w:rPr>
        <w:t xml:space="preserve">BMC Psychiatry, </w:t>
      </w:r>
      <w:r w:rsidRPr="006675DE">
        <w:t>14(91), 1-13</w:t>
      </w:r>
      <w:r w:rsidR="002D0887" w:rsidRPr="006675DE">
        <w:t>. https://doi.org/10.1186/1471-244X-14-91</w:t>
      </w:r>
    </w:p>
    <w:p w14:paraId="122A9432" w14:textId="4A56A9F9" w:rsidR="00634161" w:rsidRPr="006675DE" w:rsidRDefault="00634161" w:rsidP="00442D92">
      <w:r w:rsidRPr="006675DE">
        <w:t>Wyder</w:t>
      </w:r>
      <w:r w:rsidR="002D0887" w:rsidRPr="006675DE">
        <w:t>,</w:t>
      </w:r>
      <w:r w:rsidRPr="006675DE">
        <w:t xml:space="preserve"> M</w:t>
      </w:r>
      <w:r w:rsidR="002D0887" w:rsidRPr="006675DE">
        <w:t>.</w:t>
      </w:r>
      <w:r w:rsidRPr="006675DE">
        <w:t>, Ehrlich</w:t>
      </w:r>
      <w:r w:rsidR="002D0887" w:rsidRPr="006675DE">
        <w:t>,</w:t>
      </w:r>
      <w:r w:rsidRPr="006675DE">
        <w:t xml:space="preserve"> C</w:t>
      </w:r>
      <w:r w:rsidR="002D0887" w:rsidRPr="006675DE">
        <w:t>.</w:t>
      </w:r>
      <w:r w:rsidRPr="006675DE">
        <w:t>, Crompton</w:t>
      </w:r>
      <w:r w:rsidR="002D0887" w:rsidRPr="006675DE">
        <w:t>,</w:t>
      </w:r>
      <w:r w:rsidRPr="006675DE">
        <w:t xml:space="preserve"> D</w:t>
      </w:r>
      <w:r w:rsidR="002D0887" w:rsidRPr="006675DE">
        <w:t>.</w:t>
      </w:r>
      <w:r w:rsidRPr="006675DE">
        <w:t>, McArthurt</w:t>
      </w:r>
      <w:r w:rsidR="002D0887" w:rsidRPr="006675DE">
        <w:t>,</w:t>
      </w:r>
      <w:r w:rsidRPr="006675DE">
        <w:t xml:space="preserve"> L</w:t>
      </w:r>
      <w:r w:rsidR="002D0887" w:rsidRPr="006675DE">
        <w:t>.</w:t>
      </w:r>
      <w:r w:rsidRPr="006675DE">
        <w:t>, Delaforce</w:t>
      </w:r>
      <w:r w:rsidR="002D0887" w:rsidRPr="006675DE">
        <w:t>,</w:t>
      </w:r>
      <w:r w:rsidRPr="006675DE">
        <w:t xml:space="preserve"> C</w:t>
      </w:r>
      <w:r w:rsidR="002D0887" w:rsidRPr="006675DE">
        <w:t>.</w:t>
      </w:r>
      <w:r w:rsidRPr="006675DE">
        <w:t>, Dziopa</w:t>
      </w:r>
      <w:r w:rsidR="002D0887" w:rsidRPr="006675DE">
        <w:t>,</w:t>
      </w:r>
      <w:r w:rsidRPr="006675DE">
        <w:t xml:space="preserve"> F</w:t>
      </w:r>
      <w:r w:rsidR="002D0887" w:rsidRPr="006675DE">
        <w:t>.</w:t>
      </w:r>
      <w:r w:rsidRPr="006675DE">
        <w:t>, Ramon</w:t>
      </w:r>
      <w:r w:rsidR="002D0887" w:rsidRPr="006675DE">
        <w:t>,</w:t>
      </w:r>
      <w:r w:rsidRPr="006675DE">
        <w:t xml:space="preserve"> S</w:t>
      </w:r>
      <w:r w:rsidR="002D0887" w:rsidRPr="006675DE">
        <w:t>.</w:t>
      </w:r>
      <w:r w:rsidRPr="006675DE">
        <w:t xml:space="preserve"> &amp; Powell</w:t>
      </w:r>
      <w:r w:rsidR="002D0887" w:rsidRPr="006675DE">
        <w:t>,</w:t>
      </w:r>
      <w:r w:rsidRPr="006675DE">
        <w:t xml:space="preserve"> E</w:t>
      </w:r>
      <w:r w:rsidR="002D0887" w:rsidRPr="006675DE">
        <w:t>.</w:t>
      </w:r>
      <w:r w:rsidRPr="006675DE">
        <w:t xml:space="preserve"> (2017)</w:t>
      </w:r>
      <w:r w:rsidR="002D0887" w:rsidRPr="006675DE">
        <w:t>.</w:t>
      </w:r>
      <w:r w:rsidRPr="006675DE">
        <w:t xml:space="preserve"> Nurses experiences of delivering care in acute inpatient mental health settings: A narrative synthesis of the literature. </w:t>
      </w:r>
      <w:r w:rsidRPr="006675DE">
        <w:rPr>
          <w:i/>
        </w:rPr>
        <w:t xml:space="preserve">International Journal of Mental Health Nursing, </w:t>
      </w:r>
      <w:r w:rsidRPr="006675DE">
        <w:t>26(6), 527-540</w:t>
      </w:r>
      <w:r w:rsidR="00442D92" w:rsidRPr="006675DE">
        <w:t xml:space="preserve">. </w:t>
      </w:r>
      <w:hyperlink r:id="rId33" w:history="1">
        <w:r w:rsidR="00442D92" w:rsidRPr="006675DE">
          <w:rPr>
            <w:rStyle w:val="Hyperlink"/>
            <w:color w:val="auto"/>
            <w:u w:val="none"/>
          </w:rPr>
          <w:t>https://doi.org/10.1111/inm.12315</w:t>
        </w:r>
      </w:hyperlink>
    </w:p>
    <w:p w14:paraId="48397A41" w14:textId="77777777" w:rsidR="00442D92" w:rsidRPr="006675DE" w:rsidRDefault="00634161" w:rsidP="00442D92">
      <w:r w:rsidRPr="006675DE">
        <w:t>Zinkler</w:t>
      </w:r>
      <w:r w:rsidR="00442D92" w:rsidRPr="006675DE">
        <w:t>,</w:t>
      </w:r>
      <w:r w:rsidRPr="006675DE">
        <w:t xml:space="preserve"> M</w:t>
      </w:r>
      <w:r w:rsidR="00442D92" w:rsidRPr="006675DE">
        <w:t>.</w:t>
      </w:r>
      <w:r w:rsidRPr="006675DE">
        <w:t xml:space="preserve"> &amp; Priebe</w:t>
      </w:r>
      <w:r w:rsidR="00442D92" w:rsidRPr="006675DE">
        <w:t>,</w:t>
      </w:r>
      <w:r w:rsidRPr="006675DE">
        <w:t xml:space="preserve"> S</w:t>
      </w:r>
      <w:r w:rsidR="00442D92" w:rsidRPr="006675DE">
        <w:t>.</w:t>
      </w:r>
      <w:r w:rsidRPr="006675DE">
        <w:t xml:space="preserve"> (2002)</w:t>
      </w:r>
      <w:r w:rsidR="00442D92" w:rsidRPr="006675DE">
        <w:t>.</w:t>
      </w:r>
      <w:r w:rsidRPr="006675DE">
        <w:t xml:space="preserve"> Detention of the mentally ill in Europe – a review. </w:t>
      </w:r>
      <w:r w:rsidRPr="006675DE">
        <w:rPr>
          <w:i/>
        </w:rPr>
        <w:t>Acta Psychiatr Scandinavica</w:t>
      </w:r>
      <w:r w:rsidRPr="006675DE">
        <w:t>, 106(1), 3-8</w:t>
      </w:r>
      <w:r w:rsidR="00442D92" w:rsidRPr="006675DE">
        <w:t xml:space="preserve">. </w:t>
      </w:r>
      <w:hyperlink r:id="rId34" w:history="1">
        <w:r w:rsidR="00442D92" w:rsidRPr="006675DE">
          <w:rPr>
            <w:rStyle w:val="Hyperlink"/>
            <w:color w:val="auto"/>
            <w:u w:val="none"/>
          </w:rPr>
          <w:t>https://doi.org/10.1034/j.1600-0447.2002.02268.x</w:t>
        </w:r>
      </w:hyperlink>
    </w:p>
    <w:p w14:paraId="06840022" w14:textId="5DA0D28D" w:rsidR="00634161" w:rsidRPr="006675DE" w:rsidRDefault="00634161" w:rsidP="00634161"/>
    <w:p w14:paraId="294845F4" w14:textId="151FD5F8" w:rsidR="00D25468" w:rsidRPr="006675DE" w:rsidRDefault="00634161">
      <w:pPr>
        <w:rPr>
          <w:b/>
        </w:rPr>
      </w:pPr>
      <w:r w:rsidRPr="006675DE">
        <w:br w:type="page"/>
      </w:r>
    </w:p>
    <w:tbl>
      <w:tblPr>
        <w:tblStyle w:val="TableGrid"/>
        <w:tblpPr w:leftFromText="180" w:rightFromText="180" w:vertAnchor="page" w:horzAnchor="margin" w:tblpY="502"/>
        <w:tblW w:w="9634" w:type="dxa"/>
        <w:tblLook w:val="04A0" w:firstRow="1" w:lastRow="0" w:firstColumn="1" w:lastColumn="0" w:noHBand="0" w:noVBand="1"/>
      </w:tblPr>
      <w:tblGrid>
        <w:gridCol w:w="1004"/>
        <w:gridCol w:w="936"/>
        <w:gridCol w:w="1207"/>
        <w:gridCol w:w="961"/>
        <w:gridCol w:w="2031"/>
        <w:gridCol w:w="1065"/>
        <w:gridCol w:w="2430"/>
      </w:tblGrid>
      <w:tr w:rsidR="006675DE" w:rsidRPr="006675DE" w14:paraId="46C1F846" w14:textId="77777777" w:rsidTr="0093361E">
        <w:trPr>
          <w:cantSplit/>
          <w:trHeight w:val="354"/>
        </w:trPr>
        <w:tc>
          <w:tcPr>
            <w:tcW w:w="9634" w:type="dxa"/>
            <w:gridSpan w:val="7"/>
            <w:tcBorders>
              <w:top w:val="nil"/>
              <w:left w:val="nil"/>
              <w:bottom w:val="single" w:sz="4" w:space="0" w:color="auto"/>
              <w:right w:val="nil"/>
            </w:tcBorders>
          </w:tcPr>
          <w:p w14:paraId="43664DC3" w14:textId="77777777" w:rsidR="00D25468" w:rsidRPr="006675DE" w:rsidRDefault="00D25468" w:rsidP="0093361E">
            <w:pPr>
              <w:rPr>
                <w:b/>
                <w:sz w:val="20"/>
                <w:szCs w:val="20"/>
              </w:rPr>
            </w:pPr>
            <w:r w:rsidRPr="006675DE">
              <w:rPr>
                <w:b/>
              </w:rPr>
              <w:t>Table 1:</w:t>
            </w:r>
            <w:r w:rsidRPr="006675DE">
              <w:t xml:space="preserve"> key characteristics of studies analysed</w:t>
            </w:r>
          </w:p>
        </w:tc>
      </w:tr>
      <w:tr w:rsidR="006675DE" w:rsidRPr="006675DE" w14:paraId="23706F4B" w14:textId="77777777" w:rsidTr="0093361E">
        <w:trPr>
          <w:cantSplit/>
          <w:trHeight w:val="354"/>
        </w:trPr>
        <w:tc>
          <w:tcPr>
            <w:tcW w:w="1004" w:type="dxa"/>
            <w:tcBorders>
              <w:top w:val="single" w:sz="4" w:space="0" w:color="auto"/>
            </w:tcBorders>
          </w:tcPr>
          <w:p w14:paraId="1A5E6561" w14:textId="77777777" w:rsidR="00D25468" w:rsidRPr="006675DE" w:rsidRDefault="00D25468" w:rsidP="0093361E">
            <w:pPr>
              <w:rPr>
                <w:b/>
                <w:sz w:val="20"/>
                <w:szCs w:val="20"/>
              </w:rPr>
            </w:pPr>
            <w:r w:rsidRPr="006675DE">
              <w:rPr>
                <w:b/>
                <w:sz w:val="20"/>
                <w:szCs w:val="20"/>
              </w:rPr>
              <w:t xml:space="preserve">Study </w:t>
            </w:r>
          </w:p>
        </w:tc>
        <w:tc>
          <w:tcPr>
            <w:tcW w:w="936" w:type="dxa"/>
            <w:tcBorders>
              <w:top w:val="single" w:sz="4" w:space="0" w:color="auto"/>
            </w:tcBorders>
          </w:tcPr>
          <w:p w14:paraId="32640CCF" w14:textId="77777777" w:rsidR="00D25468" w:rsidRPr="006675DE" w:rsidRDefault="00D25468" w:rsidP="0093361E">
            <w:pPr>
              <w:rPr>
                <w:b/>
                <w:sz w:val="20"/>
                <w:szCs w:val="20"/>
              </w:rPr>
            </w:pPr>
            <w:r w:rsidRPr="006675DE">
              <w:rPr>
                <w:b/>
                <w:sz w:val="20"/>
                <w:szCs w:val="20"/>
              </w:rPr>
              <w:t>Country</w:t>
            </w:r>
          </w:p>
        </w:tc>
        <w:tc>
          <w:tcPr>
            <w:tcW w:w="1207" w:type="dxa"/>
            <w:tcBorders>
              <w:top w:val="single" w:sz="4" w:space="0" w:color="auto"/>
            </w:tcBorders>
          </w:tcPr>
          <w:p w14:paraId="434C417B" w14:textId="77777777" w:rsidR="00D25468" w:rsidRPr="006675DE" w:rsidRDefault="00D25468" w:rsidP="0093361E">
            <w:pPr>
              <w:rPr>
                <w:b/>
                <w:sz w:val="20"/>
                <w:szCs w:val="20"/>
              </w:rPr>
            </w:pPr>
            <w:r w:rsidRPr="006675DE">
              <w:rPr>
                <w:b/>
                <w:sz w:val="20"/>
                <w:szCs w:val="20"/>
              </w:rPr>
              <w:t>Participants</w:t>
            </w:r>
          </w:p>
        </w:tc>
        <w:tc>
          <w:tcPr>
            <w:tcW w:w="961" w:type="dxa"/>
            <w:tcBorders>
              <w:top w:val="single" w:sz="4" w:space="0" w:color="auto"/>
            </w:tcBorders>
          </w:tcPr>
          <w:p w14:paraId="5F78F52E" w14:textId="77777777" w:rsidR="00D25468" w:rsidRPr="006675DE" w:rsidRDefault="00D25468" w:rsidP="0093361E">
            <w:pPr>
              <w:rPr>
                <w:b/>
                <w:sz w:val="20"/>
                <w:szCs w:val="20"/>
              </w:rPr>
            </w:pPr>
            <w:r w:rsidRPr="006675DE">
              <w:rPr>
                <w:b/>
                <w:sz w:val="20"/>
                <w:szCs w:val="20"/>
              </w:rPr>
              <w:t>Setting</w:t>
            </w:r>
          </w:p>
        </w:tc>
        <w:tc>
          <w:tcPr>
            <w:tcW w:w="2031" w:type="dxa"/>
            <w:tcBorders>
              <w:top w:val="single" w:sz="4" w:space="0" w:color="auto"/>
            </w:tcBorders>
          </w:tcPr>
          <w:p w14:paraId="3E62DC53" w14:textId="77777777" w:rsidR="00D25468" w:rsidRPr="006675DE" w:rsidRDefault="00D25468" w:rsidP="0093361E">
            <w:pPr>
              <w:rPr>
                <w:b/>
                <w:sz w:val="20"/>
                <w:szCs w:val="20"/>
              </w:rPr>
            </w:pPr>
            <w:r w:rsidRPr="006675DE">
              <w:rPr>
                <w:b/>
                <w:sz w:val="20"/>
                <w:szCs w:val="20"/>
              </w:rPr>
              <w:t>Aim of study</w:t>
            </w:r>
          </w:p>
        </w:tc>
        <w:tc>
          <w:tcPr>
            <w:tcW w:w="1065" w:type="dxa"/>
            <w:tcBorders>
              <w:top w:val="single" w:sz="4" w:space="0" w:color="auto"/>
            </w:tcBorders>
          </w:tcPr>
          <w:p w14:paraId="71AB243B" w14:textId="77777777" w:rsidR="00D25468" w:rsidRPr="006675DE" w:rsidRDefault="00D25468" w:rsidP="0093361E">
            <w:pPr>
              <w:rPr>
                <w:b/>
                <w:sz w:val="20"/>
                <w:szCs w:val="20"/>
              </w:rPr>
            </w:pPr>
            <w:r w:rsidRPr="006675DE">
              <w:rPr>
                <w:b/>
                <w:sz w:val="20"/>
                <w:szCs w:val="20"/>
              </w:rPr>
              <w:t>Data collection</w:t>
            </w:r>
          </w:p>
        </w:tc>
        <w:tc>
          <w:tcPr>
            <w:tcW w:w="2430" w:type="dxa"/>
            <w:tcBorders>
              <w:top w:val="single" w:sz="4" w:space="0" w:color="auto"/>
            </w:tcBorders>
          </w:tcPr>
          <w:p w14:paraId="4D99E198" w14:textId="77777777" w:rsidR="00D25468" w:rsidRPr="006675DE" w:rsidRDefault="00D25468" w:rsidP="0093361E">
            <w:pPr>
              <w:rPr>
                <w:b/>
                <w:sz w:val="20"/>
                <w:szCs w:val="20"/>
              </w:rPr>
            </w:pPr>
            <w:r w:rsidRPr="006675DE">
              <w:rPr>
                <w:b/>
                <w:sz w:val="20"/>
                <w:szCs w:val="20"/>
              </w:rPr>
              <w:t>Key findings</w:t>
            </w:r>
          </w:p>
        </w:tc>
      </w:tr>
      <w:tr w:rsidR="006675DE" w:rsidRPr="006675DE" w14:paraId="55DB8141" w14:textId="77777777" w:rsidTr="0093361E">
        <w:trPr>
          <w:cantSplit/>
          <w:trHeight w:val="465"/>
        </w:trPr>
        <w:tc>
          <w:tcPr>
            <w:tcW w:w="1004" w:type="dxa"/>
          </w:tcPr>
          <w:p w14:paraId="2B6A5961" w14:textId="77777777" w:rsidR="00D25468" w:rsidRPr="006675DE" w:rsidRDefault="00D25468" w:rsidP="0093361E">
            <w:pPr>
              <w:rPr>
                <w:sz w:val="20"/>
                <w:szCs w:val="20"/>
              </w:rPr>
            </w:pPr>
            <w:r w:rsidRPr="006675DE">
              <w:rPr>
                <w:sz w:val="20"/>
                <w:szCs w:val="20"/>
              </w:rPr>
              <w:t>McIndoe (1986)</w:t>
            </w:r>
          </w:p>
          <w:p w14:paraId="29F39C81" w14:textId="77777777" w:rsidR="00D25468" w:rsidRPr="006675DE" w:rsidRDefault="00D25468" w:rsidP="0093361E">
            <w:pPr>
              <w:rPr>
                <w:sz w:val="20"/>
                <w:szCs w:val="20"/>
              </w:rPr>
            </w:pPr>
          </w:p>
          <w:p w14:paraId="01C7D889" w14:textId="77777777" w:rsidR="00D25468" w:rsidRPr="006675DE" w:rsidRDefault="00D25468" w:rsidP="0093361E">
            <w:pPr>
              <w:rPr>
                <w:sz w:val="20"/>
                <w:szCs w:val="20"/>
              </w:rPr>
            </w:pPr>
          </w:p>
        </w:tc>
        <w:tc>
          <w:tcPr>
            <w:tcW w:w="936" w:type="dxa"/>
          </w:tcPr>
          <w:p w14:paraId="6ACAA0D0" w14:textId="77777777" w:rsidR="00D25468" w:rsidRPr="006675DE" w:rsidRDefault="00D25468" w:rsidP="0093361E">
            <w:pPr>
              <w:rPr>
                <w:sz w:val="20"/>
                <w:szCs w:val="20"/>
              </w:rPr>
            </w:pPr>
            <w:r w:rsidRPr="006675DE">
              <w:rPr>
                <w:sz w:val="20"/>
                <w:szCs w:val="20"/>
              </w:rPr>
              <w:t>Canada</w:t>
            </w:r>
          </w:p>
        </w:tc>
        <w:tc>
          <w:tcPr>
            <w:tcW w:w="1207" w:type="dxa"/>
          </w:tcPr>
          <w:p w14:paraId="7A88295F" w14:textId="77777777" w:rsidR="00D25468" w:rsidRPr="006675DE" w:rsidRDefault="00D25468" w:rsidP="0093361E">
            <w:pPr>
              <w:rPr>
                <w:sz w:val="20"/>
                <w:szCs w:val="20"/>
              </w:rPr>
            </w:pPr>
            <w:r w:rsidRPr="006675DE">
              <w:rPr>
                <w:sz w:val="20"/>
                <w:szCs w:val="20"/>
              </w:rPr>
              <w:t>5</w:t>
            </w:r>
          </w:p>
        </w:tc>
        <w:tc>
          <w:tcPr>
            <w:tcW w:w="961" w:type="dxa"/>
          </w:tcPr>
          <w:p w14:paraId="54A82250" w14:textId="77777777" w:rsidR="00D25468" w:rsidRPr="006675DE" w:rsidRDefault="00D25468" w:rsidP="0093361E">
            <w:pPr>
              <w:rPr>
                <w:sz w:val="20"/>
                <w:szCs w:val="20"/>
              </w:rPr>
            </w:pPr>
            <w:r w:rsidRPr="006675DE">
              <w:rPr>
                <w:sz w:val="20"/>
                <w:szCs w:val="20"/>
              </w:rPr>
              <w:t>Acute care</w:t>
            </w:r>
          </w:p>
        </w:tc>
        <w:tc>
          <w:tcPr>
            <w:tcW w:w="2031" w:type="dxa"/>
          </w:tcPr>
          <w:p w14:paraId="51393A31" w14:textId="3B7D11E1" w:rsidR="00D25468" w:rsidRPr="006675DE" w:rsidRDefault="00B0520E" w:rsidP="0093361E">
            <w:pPr>
              <w:rPr>
                <w:sz w:val="20"/>
                <w:szCs w:val="20"/>
              </w:rPr>
            </w:pPr>
            <w:r w:rsidRPr="006675DE">
              <w:rPr>
                <w:sz w:val="20"/>
                <w:szCs w:val="20"/>
              </w:rPr>
              <w:t>“a study that examined elopement from the perspective of the patient”</w:t>
            </w:r>
          </w:p>
        </w:tc>
        <w:tc>
          <w:tcPr>
            <w:tcW w:w="1065" w:type="dxa"/>
          </w:tcPr>
          <w:p w14:paraId="1B7A4F8E" w14:textId="77777777" w:rsidR="00D25468" w:rsidRPr="006675DE" w:rsidRDefault="00D25468" w:rsidP="0093361E">
            <w:pPr>
              <w:rPr>
                <w:sz w:val="20"/>
                <w:szCs w:val="20"/>
              </w:rPr>
            </w:pPr>
            <w:r w:rsidRPr="006675DE">
              <w:rPr>
                <w:sz w:val="20"/>
                <w:szCs w:val="20"/>
              </w:rPr>
              <w:t>Interviews</w:t>
            </w:r>
          </w:p>
        </w:tc>
        <w:tc>
          <w:tcPr>
            <w:tcW w:w="2430" w:type="dxa"/>
          </w:tcPr>
          <w:p w14:paraId="3E4AC7B0" w14:textId="0A0E2724" w:rsidR="00D25468" w:rsidRPr="006675DE" w:rsidRDefault="00D25468" w:rsidP="0093361E">
            <w:pPr>
              <w:rPr>
                <w:sz w:val="20"/>
                <w:szCs w:val="20"/>
              </w:rPr>
            </w:pPr>
            <w:r w:rsidRPr="006675DE">
              <w:rPr>
                <w:sz w:val="20"/>
                <w:szCs w:val="20"/>
              </w:rPr>
              <w:t xml:space="preserve">Patients had a sense of “meaninglessness” regarding hospitalisation. Three broad themes </w:t>
            </w:r>
            <w:r w:rsidR="00B0520E" w:rsidRPr="006675DE">
              <w:rPr>
                <w:sz w:val="20"/>
                <w:szCs w:val="20"/>
              </w:rPr>
              <w:t xml:space="preserve">were </w:t>
            </w:r>
            <w:r w:rsidRPr="006675DE">
              <w:rPr>
                <w:sz w:val="20"/>
                <w:szCs w:val="20"/>
              </w:rPr>
              <w:t xml:space="preserve">identified: perception of </w:t>
            </w:r>
            <w:r w:rsidR="00B0520E" w:rsidRPr="006675DE">
              <w:rPr>
                <w:sz w:val="20"/>
                <w:szCs w:val="20"/>
              </w:rPr>
              <w:t xml:space="preserve">the </w:t>
            </w:r>
            <w:r w:rsidRPr="006675DE">
              <w:rPr>
                <w:sz w:val="20"/>
                <w:szCs w:val="20"/>
              </w:rPr>
              <w:t xml:space="preserve">need for hospitalisation, dissatisfaction with treatment/ward programme and </w:t>
            </w:r>
            <w:r w:rsidR="00B0520E" w:rsidRPr="006675DE">
              <w:rPr>
                <w:sz w:val="20"/>
                <w:szCs w:val="20"/>
              </w:rPr>
              <w:t xml:space="preserve">the </w:t>
            </w:r>
            <w:r w:rsidRPr="006675DE">
              <w:rPr>
                <w:sz w:val="20"/>
                <w:szCs w:val="20"/>
              </w:rPr>
              <w:t>role of the nurse</w:t>
            </w:r>
          </w:p>
        </w:tc>
      </w:tr>
      <w:tr w:rsidR="006675DE" w:rsidRPr="006675DE" w14:paraId="52D9EE2E" w14:textId="77777777" w:rsidTr="0093361E">
        <w:trPr>
          <w:cantSplit/>
          <w:trHeight w:val="826"/>
        </w:trPr>
        <w:tc>
          <w:tcPr>
            <w:tcW w:w="1004" w:type="dxa"/>
          </w:tcPr>
          <w:p w14:paraId="60FA7E0B" w14:textId="77777777" w:rsidR="00D25468" w:rsidRPr="006675DE" w:rsidRDefault="00D25468" w:rsidP="0093361E">
            <w:pPr>
              <w:rPr>
                <w:sz w:val="20"/>
                <w:szCs w:val="20"/>
              </w:rPr>
            </w:pPr>
            <w:r w:rsidRPr="006675DE">
              <w:rPr>
                <w:sz w:val="20"/>
                <w:szCs w:val="20"/>
              </w:rPr>
              <w:t>Falkowski et al. (1990)</w:t>
            </w:r>
          </w:p>
          <w:p w14:paraId="04C24743" w14:textId="77777777" w:rsidR="00D25468" w:rsidRPr="006675DE" w:rsidRDefault="00D25468" w:rsidP="0093361E">
            <w:pPr>
              <w:rPr>
                <w:sz w:val="20"/>
                <w:szCs w:val="20"/>
              </w:rPr>
            </w:pPr>
          </w:p>
          <w:p w14:paraId="2C3491F5" w14:textId="77777777" w:rsidR="00D25468" w:rsidRPr="006675DE" w:rsidRDefault="00D25468" w:rsidP="0093361E">
            <w:pPr>
              <w:rPr>
                <w:sz w:val="20"/>
                <w:szCs w:val="20"/>
              </w:rPr>
            </w:pPr>
          </w:p>
        </w:tc>
        <w:tc>
          <w:tcPr>
            <w:tcW w:w="936" w:type="dxa"/>
          </w:tcPr>
          <w:p w14:paraId="77D03BD1" w14:textId="77777777" w:rsidR="00D25468" w:rsidRPr="006675DE" w:rsidRDefault="00D25468" w:rsidP="0093361E">
            <w:pPr>
              <w:rPr>
                <w:sz w:val="20"/>
                <w:szCs w:val="20"/>
              </w:rPr>
            </w:pPr>
            <w:r w:rsidRPr="006675DE">
              <w:rPr>
                <w:sz w:val="20"/>
                <w:szCs w:val="20"/>
              </w:rPr>
              <w:t>UK</w:t>
            </w:r>
          </w:p>
        </w:tc>
        <w:tc>
          <w:tcPr>
            <w:tcW w:w="1207" w:type="dxa"/>
          </w:tcPr>
          <w:p w14:paraId="0A93BCA3" w14:textId="77777777" w:rsidR="00D25468" w:rsidRPr="006675DE" w:rsidRDefault="00D25468" w:rsidP="0093361E">
            <w:pPr>
              <w:rPr>
                <w:sz w:val="20"/>
                <w:szCs w:val="20"/>
              </w:rPr>
            </w:pPr>
            <w:r w:rsidRPr="006675DE">
              <w:rPr>
                <w:sz w:val="20"/>
                <w:szCs w:val="20"/>
              </w:rPr>
              <w:t>76</w:t>
            </w:r>
          </w:p>
        </w:tc>
        <w:tc>
          <w:tcPr>
            <w:tcW w:w="961" w:type="dxa"/>
          </w:tcPr>
          <w:p w14:paraId="60B8687E" w14:textId="77777777" w:rsidR="00D25468" w:rsidRPr="006675DE" w:rsidRDefault="00D25468" w:rsidP="0093361E">
            <w:pPr>
              <w:rPr>
                <w:sz w:val="20"/>
                <w:szCs w:val="20"/>
              </w:rPr>
            </w:pPr>
            <w:r w:rsidRPr="006675DE">
              <w:rPr>
                <w:sz w:val="20"/>
                <w:szCs w:val="20"/>
              </w:rPr>
              <w:t>Acute care and forensic services</w:t>
            </w:r>
          </w:p>
        </w:tc>
        <w:tc>
          <w:tcPr>
            <w:tcW w:w="2031" w:type="dxa"/>
          </w:tcPr>
          <w:p w14:paraId="1D8D9B38" w14:textId="77777777" w:rsidR="00D25468" w:rsidRPr="006675DE" w:rsidRDefault="00D25468" w:rsidP="0093361E">
            <w:pPr>
              <w:rPr>
                <w:sz w:val="20"/>
                <w:szCs w:val="20"/>
              </w:rPr>
            </w:pPr>
            <w:r w:rsidRPr="006675DE">
              <w:rPr>
                <w:sz w:val="20"/>
                <w:szCs w:val="20"/>
              </w:rPr>
              <w:t>“to study a new series of absconding patients in order to examine the extent of the problem, outline the patients’ characteristics, and determine the outcome of absconding and its management.”</w:t>
            </w:r>
          </w:p>
        </w:tc>
        <w:tc>
          <w:tcPr>
            <w:tcW w:w="1065" w:type="dxa"/>
          </w:tcPr>
          <w:p w14:paraId="5C8866F8" w14:textId="77777777" w:rsidR="00D25468" w:rsidRPr="006675DE" w:rsidRDefault="00D25468" w:rsidP="0093361E">
            <w:pPr>
              <w:rPr>
                <w:sz w:val="20"/>
                <w:szCs w:val="20"/>
              </w:rPr>
            </w:pPr>
            <w:r w:rsidRPr="006675DE">
              <w:rPr>
                <w:sz w:val="20"/>
                <w:szCs w:val="20"/>
              </w:rPr>
              <w:t>Interviews</w:t>
            </w:r>
          </w:p>
        </w:tc>
        <w:tc>
          <w:tcPr>
            <w:tcW w:w="2430" w:type="dxa"/>
          </w:tcPr>
          <w:p w14:paraId="77E317B3" w14:textId="64B6A7F5" w:rsidR="00D25468" w:rsidRPr="006675DE" w:rsidRDefault="0046143C" w:rsidP="0093361E">
            <w:pPr>
              <w:rPr>
                <w:sz w:val="20"/>
                <w:szCs w:val="20"/>
              </w:rPr>
            </w:pPr>
            <w:r w:rsidRPr="006675DE">
              <w:rPr>
                <w:sz w:val="20"/>
                <w:szCs w:val="20"/>
              </w:rPr>
              <w:t>Various reasons identified as important factors in decision to abscond. Many were concerned with the hospital itself e.g. stigma of admission, disliking staff, the ward, the food and the lack of privacy. Nineteen per cent felt disturbed by other patients. Worries about homes and families were also important. A few patients left due to abnormal beliefs, fears or command hallucinations.</w:t>
            </w:r>
          </w:p>
          <w:p w14:paraId="5E112589" w14:textId="77777777" w:rsidR="00D25468" w:rsidRPr="006675DE" w:rsidRDefault="00D25468" w:rsidP="0093361E">
            <w:pPr>
              <w:rPr>
                <w:sz w:val="20"/>
                <w:szCs w:val="20"/>
              </w:rPr>
            </w:pPr>
          </w:p>
        </w:tc>
      </w:tr>
      <w:tr w:rsidR="006675DE" w:rsidRPr="006675DE" w14:paraId="1D6CBC65" w14:textId="77777777" w:rsidTr="0093361E">
        <w:trPr>
          <w:cantSplit/>
          <w:trHeight w:val="825"/>
        </w:trPr>
        <w:tc>
          <w:tcPr>
            <w:tcW w:w="1004" w:type="dxa"/>
          </w:tcPr>
          <w:p w14:paraId="0D934CC1" w14:textId="77777777" w:rsidR="00D25468" w:rsidRPr="006675DE" w:rsidRDefault="00D25468" w:rsidP="0093361E">
            <w:pPr>
              <w:rPr>
                <w:sz w:val="20"/>
                <w:szCs w:val="20"/>
              </w:rPr>
            </w:pPr>
            <w:r w:rsidRPr="006675DE">
              <w:rPr>
                <w:sz w:val="20"/>
                <w:szCs w:val="20"/>
              </w:rPr>
              <w:t>Meehan et al. (1999)</w:t>
            </w:r>
          </w:p>
          <w:p w14:paraId="66F44D1F" w14:textId="77777777" w:rsidR="00D25468" w:rsidRPr="006675DE" w:rsidRDefault="00D25468" w:rsidP="0093361E">
            <w:pPr>
              <w:rPr>
                <w:sz w:val="20"/>
                <w:szCs w:val="20"/>
              </w:rPr>
            </w:pPr>
          </w:p>
          <w:p w14:paraId="453F8344" w14:textId="77777777" w:rsidR="00D25468" w:rsidRPr="006675DE" w:rsidRDefault="00D25468" w:rsidP="0093361E">
            <w:pPr>
              <w:rPr>
                <w:sz w:val="20"/>
                <w:szCs w:val="20"/>
              </w:rPr>
            </w:pPr>
          </w:p>
        </w:tc>
        <w:tc>
          <w:tcPr>
            <w:tcW w:w="936" w:type="dxa"/>
          </w:tcPr>
          <w:p w14:paraId="309B9BD9" w14:textId="77777777" w:rsidR="00D25468" w:rsidRPr="006675DE" w:rsidRDefault="00D25468" w:rsidP="0093361E">
            <w:pPr>
              <w:rPr>
                <w:sz w:val="20"/>
                <w:szCs w:val="20"/>
              </w:rPr>
            </w:pPr>
            <w:r w:rsidRPr="006675DE">
              <w:rPr>
                <w:sz w:val="20"/>
                <w:szCs w:val="20"/>
              </w:rPr>
              <w:t>Australia</w:t>
            </w:r>
          </w:p>
        </w:tc>
        <w:tc>
          <w:tcPr>
            <w:tcW w:w="1207" w:type="dxa"/>
          </w:tcPr>
          <w:p w14:paraId="5CB6ACFF" w14:textId="77777777" w:rsidR="00D25468" w:rsidRPr="006675DE" w:rsidRDefault="00D25468" w:rsidP="0093361E">
            <w:pPr>
              <w:rPr>
                <w:sz w:val="20"/>
                <w:szCs w:val="20"/>
              </w:rPr>
            </w:pPr>
            <w:r w:rsidRPr="006675DE">
              <w:rPr>
                <w:sz w:val="20"/>
                <w:szCs w:val="20"/>
              </w:rPr>
              <w:t>14</w:t>
            </w:r>
          </w:p>
        </w:tc>
        <w:tc>
          <w:tcPr>
            <w:tcW w:w="961" w:type="dxa"/>
          </w:tcPr>
          <w:p w14:paraId="67179251" w14:textId="77777777" w:rsidR="00D25468" w:rsidRPr="006675DE" w:rsidRDefault="00D25468" w:rsidP="0093361E">
            <w:pPr>
              <w:rPr>
                <w:sz w:val="20"/>
                <w:szCs w:val="20"/>
              </w:rPr>
            </w:pPr>
            <w:r w:rsidRPr="006675DE">
              <w:rPr>
                <w:sz w:val="20"/>
                <w:szCs w:val="20"/>
              </w:rPr>
              <w:t>Acute care</w:t>
            </w:r>
          </w:p>
          <w:p w14:paraId="0E552BE8" w14:textId="77777777" w:rsidR="00D25468" w:rsidRPr="006675DE" w:rsidRDefault="00D25468" w:rsidP="0093361E">
            <w:pPr>
              <w:rPr>
                <w:sz w:val="20"/>
                <w:szCs w:val="20"/>
              </w:rPr>
            </w:pPr>
          </w:p>
        </w:tc>
        <w:tc>
          <w:tcPr>
            <w:tcW w:w="2031" w:type="dxa"/>
          </w:tcPr>
          <w:p w14:paraId="74822E22" w14:textId="77777777" w:rsidR="00D25468" w:rsidRPr="006675DE" w:rsidRDefault="00D25468" w:rsidP="0093361E">
            <w:pPr>
              <w:rPr>
                <w:sz w:val="20"/>
                <w:szCs w:val="20"/>
              </w:rPr>
            </w:pPr>
            <w:r w:rsidRPr="006675DE">
              <w:rPr>
                <w:sz w:val="20"/>
                <w:szCs w:val="20"/>
              </w:rPr>
              <w:t>“The aim of this study is to identify patient and environmental characteristics associated with absconding behaviour, and to gain an understanding of the behaviour from the patients’ perspective.”</w:t>
            </w:r>
          </w:p>
        </w:tc>
        <w:tc>
          <w:tcPr>
            <w:tcW w:w="1065" w:type="dxa"/>
          </w:tcPr>
          <w:p w14:paraId="4130B9CD" w14:textId="77777777" w:rsidR="00D25468" w:rsidRPr="006675DE" w:rsidRDefault="00D25468" w:rsidP="0093361E">
            <w:pPr>
              <w:rPr>
                <w:sz w:val="20"/>
                <w:szCs w:val="20"/>
              </w:rPr>
            </w:pPr>
            <w:r w:rsidRPr="006675DE">
              <w:rPr>
                <w:sz w:val="20"/>
                <w:szCs w:val="20"/>
              </w:rPr>
              <w:t>Interviews</w:t>
            </w:r>
          </w:p>
        </w:tc>
        <w:tc>
          <w:tcPr>
            <w:tcW w:w="2430" w:type="dxa"/>
          </w:tcPr>
          <w:p w14:paraId="0554B33C" w14:textId="77777777" w:rsidR="00D25468" w:rsidRPr="006675DE" w:rsidRDefault="00D25468" w:rsidP="0093361E">
            <w:pPr>
              <w:rPr>
                <w:sz w:val="20"/>
                <w:szCs w:val="20"/>
              </w:rPr>
            </w:pPr>
            <w:r w:rsidRPr="006675DE">
              <w:rPr>
                <w:sz w:val="20"/>
                <w:szCs w:val="20"/>
              </w:rPr>
              <w:t>Six issues emerged from the study: boredom, lack of activities, disturbed ward environment, perception of need for hospitalisation, concerns about issues at home and perceived rewards from absconding</w:t>
            </w:r>
          </w:p>
        </w:tc>
      </w:tr>
      <w:tr w:rsidR="006675DE" w:rsidRPr="006675DE" w14:paraId="0358CD02" w14:textId="77777777" w:rsidTr="0093361E">
        <w:trPr>
          <w:cantSplit/>
          <w:trHeight w:val="729"/>
        </w:trPr>
        <w:tc>
          <w:tcPr>
            <w:tcW w:w="1004" w:type="dxa"/>
          </w:tcPr>
          <w:p w14:paraId="6F843FFC" w14:textId="77777777" w:rsidR="00D25468" w:rsidRPr="006675DE" w:rsidRDefault="00D25468" w:rsidP="0093361E">
            <w:pPr>
              <w:rPr>
                <w:sz w:val="20"/>
                <w:szCs w:val="20"/>
              </w:rPr>
            </w:pPr>
            <w:r w:rsidRPr="006675DE">
              <w:rPr>
                <w:sz w:val="20"/>
                <w:szCs w:val="20"/>
              </w:rPr>
              <w:t>Bowers et al. (1999)</w:t>
            </w:r>
          </w:p>
          <w:p w14:paraId="3F97A9D2" w14:textId="77777777" w:rsidR="00D25468" w:rsidRPr="006675DE" w:rsidRDefault="00D25468" w:rsidP="0093361E">
            <w:pPr>
              <w:rPr>
                <w:sz w:val="20"/>
                <w:szCs w:val="20"/>
              </w:rPr>
            </w:pPr>
          </w:p>
        </w:tc>
        <w:tc>
          <w:tcPr>
            <w:tcW w:w="936" w:type="dxa"/>
          </w:tcPr>
          <w:p w14:paraId="385AC01F" w14:textId="77777777" w:rsidR="00D25468" w:rsidRPr="006675DE" w:rsidRDefault="00D25468" w:rsidP="0093361E">
            <w:pPr>
              <w:rPr>
                <w:sz w:val="20"/>
                <w:szCs w:val="20"/>
              </w:rPr>
            </w:pPr>
            <w:r w:rsidRPr="006675DE">
              <w:rPr>
                <w:sz w:val="20"/>
                <w:szCs w:val="20"/>
              </w:rPr>
              <w:t>UK</w:t>
            </w:r>
          </w:p>
        </w:tc>
        <w:tc>
          <w:tcPr>
            <w:tcW w:w="1207" w:type="dxa"/>
          </w:tcPr>
          <w:p w14:paraId="0C892F25" w14:textId="77777777" w:rsidR="00D25468" w:rsidRPr="006675DE" w:rsidRDefault="00D25468" w:rsidP="0093361E">
            <w:pPr>
              <w:rPr>
                <w:sz w:val="20"/>
                <w:szCs w:val="20"/>
              </w:rPr>
            </w:pPr>
            <w:r w:rsidRPr="006675DE">
              <w:rPr>
                <w:sz w:val="20"/>
                <w:szCs w:val="20"/>
              </w:rPr>
              <w:t>52</w:t>
            </w:r>
          </w:p>
        </w:tc>
        <w:tc>
          <w:tcPr>
            <w:tcW w:w="961" w:type="dxa"/>
          </w:tcPr>
          <w:p w14:paraId="05E255AB" w14:textId="77777777" w:rsidR="00D25468" w:rsidRPr="006675DE" w:rsidRDefault="00D25468" w:rsidP="0093361E">
            <w:pPr>
              <w:rPr>
                <w:sz w:val="20"/>
                <w:szCs w:val="20"/>
              </w:rPr>
            </w:pPr>
            <w:r w:rsidRPr="006675DE">
              <w:rPr>
                <w:sz w:val="20"/>
                <w:szCs w:val="20"/>
              </w:rPr>
              <w:t>Acute care</w:t>
            </w:r>
          </w:p>
        </w:tc>
        <w:tc>
          <w:tcPr>
            <w:tcW w:w="2031" w:type="dxa"/>
          </w:tcPr>
          <w:p w14:paraId="56FD2F93" w14:textId="553096C3" w:rsidR="00D25468" w:rsidRPr="006675DE" w:rsidRDefault="006B6ADC" w:rsidP="0093361E">
            <w:pPr>
              <w:rPr>
                <w:sz w:val="20"/>
                <w:szCs w:val="20"/>
                <w:highlight w:val="yellow"/>
              </w:rPr>
            </w:pPr>
            <w:r w:rsidRPr="006675DE">
              <w:rPr>
                <w:sz w:val="20"/>
                <w:szCs w:val="20"/>
              </w:rPr>
              <w:t>“A prospective study of absconding was undertaken in three NHS Trusts in the East End of London.”</w:t>
            </w:r>
          </w:p>
        </w:tc>
        <w:tc>
          <w:tcPr>
            <w:tcW w:w="1065" w:type="dxa"/>
          </w:tcPr>
          <w:p w14:paraId="4A170BEB" w14:textId="77777777" w:rsidR="00D25468" w:rsidRPr="006675DE" w:rsidRDefault="00D25468" w:rsidP="0093361E">
            <w:pPr>
              <w:rPr>
                <w:sz w:val="20"/>
                <w:szCs w:val="20"/>
              </w:rPr>
            </w:pPr>
            <w:r w:rsidRPr="006675DE">
              <w:rPr>
                <w:sz w:val="20"/>
                <w:szCs w:val="20"/>
              </w:rPr>
              <w:t>Interviews</w:t>
            </w:r>
          </w:p>
        </w:tc>
        <w:tc>
          <w:tcPr>
            <w:tcW w:w="2430" w:type="dxa"/>
          </w:tcPr>
          <w:p w14:paraId="71311753" w14:textId="4823BFA0" w:rsidR="00D25468" w:rsidRPr="006675DE" w:rsidRDefault="00D25468" w:rsidP="0093361E">
            <w:pPr>
              <w:rPr>
                <w:sz w:val="20"/>
                <w:szCs w:val="20"/>
              </w:rPr>
            </w:pPr>
            <w:r w:rsidRPr="006675DE">
              <w:rPr>
                <w:sz w:val="20"/>
                <w:szCs w:val="20"/>
              </w:rPr>
              <w:t>Not always one, clear-cut reason. Often overlapping. Patients tended to either be “angrily leaving” or “going to” elsewhere when they absconded. Illness symptomatology alone is too simplistic to explain behaviour</w:t>
            </w:r>
            <w:r w:rsidR="00B0520E" w:rsidRPr="006675DE">
              <w:rPr>
                <w:sz w:val="20"/>
                <w:szCs w:val="20"/>
              </w:rPr>
              <w:t>.</w:t>
            </w:r>
          </w:p>
        </w:tc>
      </w:tr>
      <w:tr w:rsidR="006675DE" w:rsidRPr="006675DE" w14:paraId="1288437A" w14:textId="77777777" w:rsidTr="0093361E">
        <w:trPr>
          <w:cantSplit/>
          <w:trHeight w:val="715"/>
        </w:trPr>
        <w:tc>
          <w:tcPr>
            <w:tcW w:w="1004" w:type="dxa"/>
          </w:tcPr>
          <w:p w14:paraId="00BD70F7" w14:textId="77777777" w:rsidR="00D25468" w:rsidRPr="006675DE" w:rsidRDefault="00D25468" w:rsidP="0093361E">
            <w:pPr>
              <w:rPr>
                <w:sz w:val="20"/>
                <w:szCs w:val="20"/>
              </w:rPr>
            </w:pPr>
            <w:r w:rsidRPr="006675DE">
              <w:rPr>
                <w:sz w:val="20"/>
                <w:szCs w:val="20"/>
              </w:rPr>
              <w:t>Muir-Cochrane et al. (2013)</w:t>
            </w:r>
          </w:p>
        </w:tc>
        <w:tc>
          <w:tcPr>
            <w:tcW w:w="936" w:type="dxa"/>
          </w:tcPr>
          <w:p w14:paraId="7EA35FC9" w14:textId="77777777" w:rsidR="00D25468" w:rsidRPr="006675DE" w:rsidRDefault="00D25468" w:rsidP="0093361E">
            <w:pPr>
              <w:rPr>
                <w:sz w:val="20"/>
                <w:szCs w:val="20"/>
              </w:rPr>
            </w:pPr>
            <w:r w:rsidRPr="006675DE">
              <w:rPr>
                <w:sz w:val="20"/>
                <w:szCs w:val="20"/>
              </w:rPr>
              <w:t>Australia</w:t>
            </w:r>
          </w:p>
        </w:tc>
        <w:tc>
          <w:tcPr>
            <w:tcW w:w="1207" w:type="dxa"/>
          </w:tcPr>
          <w:p w14:paraId="5C9E9ABB" w14:textId="77777777" w:rsidR="00D25468" w:rsidRPr="006675DE" w:rsidRDefault="00D25468" w:rsidP="0093361E">
            <w:pPr>
              <w:rPr>
                <w:sz w:val="20"/>
                <w:szCs w:val="20"/>
              </w:rPr>
            </w:pPr>
            <w:r w:rsidRPr="006675DE">
              <w:rPr>
                <w:sz w:val="20"/>
                <w:szCs w:val="20"/>
              </w:rPr>
              <w:t>12</w:t>
            </w:r>
          </w:p>
        </w:tc>
        <w:tc>
          <w:tcPr>
            <w:tcW w:w="961" w:type="dxa"/>
          </w:tcPr>
          <w:p w14:paraId="4BA2CEED" w14:textId="77777777" w:rsidR="00D25468" w:rsidRPr="006675DE" w:rsidRDefault="00D25468" w:rsidP="0093361E">
            <w:pPr>
              <w:rPr>
                <w:sz w:val="20"/>
                <w:szCs w:val="20"/>
              </w:rPr>
            </w:pPr>
            <w:r w:rsidRPr="006675DE">
              <w:rPr>
                <w:sz w:val="20"/>
                <w:szCs w:val="20"/>
              </w:rPr>
              <w:t>Any inpatient mental health unit</w:t>
            </w:r>
          </w:p>
        </w:tc>
        <w:tc>
          <w:tcPr>
            <w:tcW w:w="2031" w:type="dxa"/>
          </w:tcPr>
          <w:p w14:paraId="3FE92F84" w14:textId="77777777" w:rsidR="00D25468" w:rsidRPr="006675DE" w:rsidRDefault="00D25468" w:rsidP="0093361E">
            <w:pPr>
              <w:rPr>
                <w:sz w:val="20"/>
                <w:szCs w:val="20"/>
              </w:rPr>
            </w:pPr>
            <w:r w:rsidRPr="006675DE">
              <w:rPr>
                <w:sz w:val="20"/>
                <w:szCs w:val="20"/>
              </w:rPr>
              <w:t>“In this paper we explore why people abscond from inpatient psychiatric units and how this is related to the notion of the psychiatric unit as a ‘risky’ environment”.</w:t>
            </w:r>
          </w:p>
        </w:tc>
        <w:tc>
          <w:tcPr>
            <w:tcW w:w="1065" w:type="dxa"/>
          </w:tcPr>
          <w:p w14:paraId="6FD0B77D" w14:textId="77777777" w:rsidR="00D25468" w:rsidRPr="006675DE" w:rsidRDefault="00D25468" w:rsidP="0093361E">
            <w:pPr>
              <w:rPr>
                <w:sz w:val="20"/>
                <w:szCs w:val="20"/>
              </w:rPr>
            </w:pPr>
            <w:r w:rsidRPr="006675DE">
              <w:rPr>
                <w:sz w:val="20"/>
                <w:szCs w:val="20"/>
              </w:rPr>
              <w:t>Interviews</w:t>
            </w:r>
          </w:p>
        </w:tc>
        <w:tc>
          <w:tcPr>
            <w:tcW w:w="2430" w:type="dxa"/>
          </w:tcPr>
          <w:p w14:paraId="351C1CC3" w14:textId="292E614D" w:rsidR="00D25468" w:rsidRPr="006675DE" w:rsidRDefault="00D25468" w:rsidP="0093361E">
            <w:pPr>
              <w:rPr>
                <w:sz w:val="20"/>
                <w:szCs w:val="20"/>
              </w:rPr>
            </w:pPr>
            <w:r w:rsidRPr="006675DE">
              <w:rPr>
                <w:sz w:val="20"/>
                <w:szCs w:val="20"/>
              </w:rPr>
              <w:t>Identified</w:t>
            </w:r>
            <w:r w:rsidR="00B0520E" w:rsidRPr="006675DE">
              <w:rPr>
                <w:sz w:val="20"/>
                <w:szCs w:val="20"/>
              </w:rPr>
              <w:t xml:space="preserve"> that</w:t>
            </w:r>
            <w:r w:rsidRPr="006675DE">
              <w:rPr>
                <w:sz w:val="20"/>
                <w:szCs w:val="20"/>
              </w:rPr>
              <w:t xml:space="preserve"> individual, social, symbolic and physical aspects of environment all contributed to absconding behaviour </w:t>
            </w:r>
          </w:p>
        </w:tc>
      </w:tr>
      <w:tr w:rsidR="006675DE" w:rsidRPr="006675DE" w14:paraId="7E5752C8" w14:textId="77777777" w:rsidTr="0093361E">
        <w:trPr>
          <w:cantSplit/>
          <w:trHeight w:val="713"/>
        </w:trPr>
        <w:tc>
          <w:tcPr>
            <w:tcW w:w="1004" w:type="dxa"/>
          </w:tcPr>
          <w:p w14:paraId="1091629C" w14:textId="77777777" w:rsidR="00D25468" w:rsidRPr="006675DE" w:rsidRDefault="00D25468" w:rsidP="0093361E">
            <w:pPr>
              <w:rPr>
                <w:sz w:val="20"/>
                <w:szCs w:val="20"/>
              </w:rPr>
            </w:pPr>
            <w:r w:rsidRPr="006675DE">
              <w:rPr>
                <w:sz w:val="20"/>
                <w:szCs w:val="20"/>
              </w:rPr>
              <w:t>Wilkie et al. (2014)</w:t>
            </w:r>
          </w:p>
        </w:tc>
        <w:tc>
          <w:tcPr>
            <w:tcW w:w="936" w:type="dxa"/>
          </w:tcPr>
          <w:p w14:paraId="3480B27F" w14:textId="77777777" w:rsidR="00D25468" w:rsidRPr="006675DE" w:rsidRDefault="00D25468" w:rsidP="0093361E">
            <w:pPr>
              <w:rPr>
                <w:sz w:val="20"/>
                <w:szCs w:val="20"/>
              </w:rPr>
            </w:pPr>
            <w:r w:rsidRPr="006675DE">
              <w:rPr>
                <w:sz w:val="20"/>
                <w:szCs w:val="20"/>
              </w:rPr>
              <w:t>Canada</w:t>
            </w:r>
          </w:p>
        </w:tc>
        <w:tc>
          <w:tcPr>
            <w:tcW w:w="1207" w:type="dxa"/>
          </w:tcPr>
          <w:p w14:paraId="484C71FA" w14:textId="77777777" w:rsidR="00D25468" w:rsidRPr="006675DE" w:rsidRDefault="00D25468" w:rsidP="0093361E">
            <w:pPr>
              <w:rPr>
                <w:sz w:val="20"/>
                <w:szCs w:val="20"/>
              </w:rPr>
            </w:pPr>
            <w:r w:rsidRPr="006675DE">
              <w:rPr>
                <w:sz w:val="20"/>
                <w:szCs w:val="20"/>
              </w:rPr>
              <w:t>57</w:t>
            </w:r>
          </w:p>
        </w:tc>
        <w:tc>
          <w:tcPr>
            <w:tcW w:w="961" w:type="dxa"/>
          </w:tcPr>
          <w:p w14:paraId="37BD545E" w14:textId="77777777" w:rsidR="00D25468" w:rsidRPr="006675DE" w:rsidRDefault="00D25468" w:rsidP="0093361E">
            <w:pPr>
              <w:rPr>
                <w:sz w:val="20"/>
                <w:szCs w:val="20"/>
              </w:rPr>
            </w:pPr>
            <w:r w:rsidRPr="006675DE">
              <w:rPr>
                <w:sz w:val="20"/>
                <w:szCs w:val="20"/>
              </w:rPr>
              <w:t>Forensic services</w:t>
            </w:r>
          </w:p>
        </w:tc>
        <w:tc>
          <w:tcPr>
            <w:tcW w:w="2031" w:type="dxa"/>
          </w:tcPr>
          <w:p w14:paraId="755A7E1A" w14:textId="77777777" w:rsidR="00D25468" w:rsidRPr="006675DE" w:rsidRDefault="00D25468" w:rsidP="0093361E">
            <w:pPr>
              <w:rPr>
                <w:sz w:val="20"/>
                <w:szCs w:val="20"/>
              </w:rPr>
            </w:pPr>
            <w:r w:rsidRPr="006675DE">
              <w:rPr>
                <w:sz w:val="20"/>
                <w:szCs w:val="20"/>
              </w:rPr>
              <w:t>“The current study expands upon the existing literature by describing the frequency, timing, characteristics and predictors of absconding behaviours among a sample of forensic patients within a larger psychiatric hospital in Toronto, Canada.”</w:t>
            </w:r>
          </w:p>
        </w:tc>
        <w:tc>
          <w:tcPr>
            <w:tcW w:w="1065" w:type="dxa"/>
          </w:tcPr>
          <w:p w14:paraId="2BA49120" w14:textId="77777777" w:rsidR="00D25468" w:rsidRPr="006675DE" w:rsidRDefault="00D25468" w:rsidP="0093361E">
            <w:pPr>
              <w:rPr>
                <w:sz w:val="20"/>
                <w:szCs w:val="20"/>
              </w:rPr>
            </w:pPr>
            <w:r w:rsidRPr="006675DE">
              <w:rPr>
                <w:sz w:val="20"/>
                <w:szCs w:val="20"/>
              </w:rPr>
              <w:t>Case note analysis</w:t>
            </w:r>
          </w:p>
        </w:tc>
        <w:tc>
          <w:tcPr>
            <w:tcW w:w="2430" w:type="dxa"/>
          </w:tcPr>
          <w:p w14:paraId="63603ED5" w14:textId="569FA9DF" w:rsidR="00D25468" w:rsidRPr="006675DE" w:rsidRDefault="00D25468" w:rsidP="0093361E">
            <w:pPr>
              <w:rPr>
                <w:sz w:val="20"/>
                <w:szCs w:val="20"/>
              </w:rPr>
            </w:pPr>
            <w:r w:rsidRPr="006675DE">
              <w:rPr>
                <w:sz w:val="20"/>
                <w:szCs w:val="20"/>
              </w:rPr>
              <w:t xml:space="preserve">Four profiles of behaviour </w:t>
            </w:r>
            <w:r w:rsidR="003170C3" w:rsidRPr="006675DE">
              <w:rPr>
                <w:sz w:val="20"/>
                <w:szCs w:val="20"/>
              </w:rPr>
              <w:t xml:space="preserve">were </w:t>
            </w:r>
            <w:r w:rsidRPr="006675DE">
              <w:rPr>
                <w:sz w:val="20"/>
                <w:szCs w:val="20"/>
              </w:rPr>
              <w:t>identified: frustration/boredom, goal directed, symptomatic/disorganised and accidental/no intent</w:t>
            </w:r>
            <w:r w:rsidR="003170C3" w:rsidRPr="006675DE">
              <w:rPr>
                <w:sz w:val="20"/>
                <w:szCs w:val="20"/>
              </w:rPr>
              <w:t>.</w:t>
            </w:r>
          </w:p>
        </w:tc>
      </w:tr>
      <w:tr w:rsidR="006675DE" w:rsidRPr="006675DE" w14:paraId="49ED16DA" w14:textId="77777777" w:rsidTr="0093361E">
        <w:trPr>
          <w:cantSplit/>
          <w:trHeight w:val="700"/>
        </w:trPr>
        <w:tc>
          <w:tcPr>
            <w:tcW w:w="1004" w:type="dxa"/>
          </w:tcPr>
          <w:p w14:paraId="770FC7F3" w14:textId="77777777" w:rsidR="00D25468" w:rsidRPr="006675DE" w:rsidRDefault="00D25468" w:rsidP="0093361E">
            <w:pPr>
              <w:rPr>
                <w:sz w:val="20"/>
                <w:szCs w:val="20"/>
              </w:rPr>
            </w:pPr>
            <w:r w:rsidRPr="006675DE">
              <w:rPr>
                <w:sz w:val="20"/>
                <w:szCs w:val="20"/>
              </w:rPr>
              <w:t>Mezey et al. (2015)</w:t>
            </w:r>
          </w:p>
        </w:tc>
        <w:tc>
          <w:tcPr>
            <w:tcW w:w="936" w:type="dxa"/>
          </w:tcPr>
          <w:p w14:paraId="3376BAE0" w14:textId="77777777" w:rsidR="00D25468" w:rsidRPr="006675DE" w:rsidRDefault="00D25468" w:rsidP="0093361E">
            <w:pPr>
              <w:rPr>
                <w:sz w:val="20"/>
                <w:szCs w:val="20"/>
              </w:rPr>
            </w:pPr>
            <w:r w:rsidRPr="006675DE">
              <w:rPr>
                <w:sz w:val="20"/>
                <w:szCs w:val="20"/>
              </w:rPr>
              <w:t>London</w:t>
            </w:r>
          </w:p>
        </w:tc>
        <w:tc>
          <w:tcPr>
            <w:tcW w:w="1207" w:type="dxa"/>
          </w:tcPr>
          <w:p w14:paraId="6CEBF81E" w14:textId="77777777" w:rsidR="00D25468" w:rsidRPr="006675DE" w:rsidRDefault="00D25468" w:rsidP="0093361E">
            <w:pPr>
              <w:rPr>
                <w:sz w:val="20"/>
                <w:szCs w:val="20"/>
              </w:rPr>
            </w:pPr>
            <w:r w:rsidRPr="006675DE">
              <w:rPr>
                <w:sz w:val="20"/>
                <w:szCs w:val="20"/>
              </w:rPr>
              <w:t>47</w:t>
            </w:r>
          </w:p>
        </w:tc>
        <w:tc>
          <w:tcPr>
            <w:tcW w:w="961" w:type="dxa"/>
          </w:tcPr>
          <w:p w14:paraId="339A8173" w14:textId="77777777" w:rsidR="00D25468" w:rsidRPr="006675DE" w:rsidRDefault="00D25468" w:rsidP="0093361E">
            <w:pPr>
              <w:rPr>
                <w:sz w:val="20"/>
                <w:szCs w:val="20"/>
              </w:rPr>
            </w:pPr>
            <w:r w:rsidRPr="006675DE">
              <w:rPr>
                <w:sz w:val="20"/>
                <w:szCs w:val="20"/>
              </w:rPr>
              <w:t>Forensic services</w:t>
            </w:r>
          </w:p>
        </w:tc>
        <w:tc>
          <w:tcPr>
            <w:tcW w:w="2031" w:type="dxa"/>
          </w:tcPr>
          <w:p w14:paraId="4964D7A4" w14:textId="77777777" w:rsidR="00D25468" w:rsidRPr="006675DE" w:rsidRDefault="00D25468" w:rsidP="0093361E">
            <w:pPr>
              <w:rPr>
                <w:sz w:val="20"/>
                <w:szCs w:val="20"/>
              </w:rPr>
            </w:pPr>
            <w:r w:rsidRPr="006675DE">
              <w:rPr>
                <w:sz w:val="20"/>
                <w:szCs w:val="20"/>
              </w:rPr>
              <w:t>“Our aim was to describe and differentiate factors associated with absconds</w:t>
            </w:r>
          </w:p>
          <w:p w14:paraId="3CB197A1" w14:textId="77777777" w:rsidR="00D25468" w:rsidRPr="006675DE" w:rsidRDefault="00D25468" w:rsidP="0093361E">
            <w:pPr>
              <w:rPr>
                <w:sz w:val="20"/>
                <w:szCs w:val="20"/>
              </w:rPr>
            </w:pPr>
            <w:r w:rsidRPr="006675DE">
              <w:rPr>
                <w:sz w:val="20"/>
                <w:szCs w:val="20"/>
              </w:rPr>
              <w:t>and escapes by patients from medium and low security hospital facilities.”</w:t>
            </w:r>
          </w:p>
        </w:tc>
        <w:tc>
          <w:tcPr>
            <w:tcW w:w="1065" w:type="dxa"/>
          </w:tcPr>
          <w:p w14:paraId="0412C84B" w14:textId="77777777" w:rsidR="00D25468" w:rsidRPr="006675DE" w:rsidRDefault="00D25468" w:rsidP="0093361E">
            <w:pPr>
              <w:rPr>
                <w:sz w:val="20"/>
                <w:szCs w:val="20"/>
              </w:rPr>
            </w:pPr>
            <w:r w:rsidRPr="006675DE">
              <w:rPr>
                <w:sz w:val="20"/>
                <w:szCs w:val="20"/>
              </w:rPr>
              <w:t>Case note analysis</w:t>
            </w:r>
          </w:p>
        </w:tc>
        <w:tc>
          <w:tcPr>
            <w:tcW w:w="2430" w:type="dxa"/>
          </w:tcPr>
          <w:p w14:paraId="5F9A9FB0" w14:textId="5C1B6A02" w:rsidR="00D25468" w:rsidRPr="006675DE" w:rsidRDefault="003170C3" w:rsidP="0093361E">
            <w:pPr>
              <w:rPr>
                <w:sz w:val="20"/>
                <w:szCs w:val="20"/>
              </w:rPr>
            </w:pPr>
            <w:r w:rsidRPr="006675DE">
              <w:rPr>
                <w:sz w:val="20"/>
                <w:szCs w:val="20"/>
              </w:rPr>
              <w:t>Nine participants</w:t>
            </w:r>
            <w:r w:rsidR="00D25468" w:rsidRPr="006675DE">
              <w:rPr>
                <w:sz w:val="20"/>
                <w:szCs w:val="20"/>
              </w:rPr>
              <w:t xml:space="preserve"> cited conflicts with staff and patients. </w:t>
            </w:r>
            <w:r w:rsidRPr="006675DE">
              <w:rPr>
                <w:sz w:val="20"/>
                <w:szCs w:val="20"/>
              </w:rPr>
              <w:t>Three</w:t>
            </w:r>
            <w:r w:rsidR="00D25468" w:rsidRPr="006675DE">
              <w:rPr>
                <w:sz w:val="20"/>
                <w:szCs w:val="20"/>
              </w:rPr>
              <w:t xml:space="preserve"> referred to outside events, </w:t>
            </w:r>
            <w:r w:rsidRPr="006675DE">
              <w:rPr>
                <w:sz w:val="20"/>
                <w:szCs w:val="20"/>
              </w:rPr>
              <w:t>three</w:t>
            </w:r>
            <w:r w:rsidR="00D25468" w:rsidRPr="006675DE">
              <w:rPr>
                <w:sz w:val="20"/>
                <w:szCs w:val="20"/>
              </w:rPr>
              <w:t xml:space="preserve"> </w:t>
            </w:r>
            <w:r w:rsidRPr="006675DE">
              <w:rPr>
                <w:sz w:val="20"/>
                <w:szCs w:val="20"/>
              </w:rPr>
              <w:t xml:space="preserve">identified </w:t>
            </w:r>
            <w:r w:rsidR="00D25468" w:rsidRPr="006675DE">
              <w:rPr>
                <w:sz w:val="20"/>
                <w:szCs w:val="20"/>
              </w:rPr>
              <w:t>stress</w:t>
            </w:r>
            <w:r w:rsidRPr="006675DE">
              <w:rPr>
                <w:sz w:val="20"/>
                <w:szCs w:val="20"/>
              </w:rPr>
              <w:t xml:space="preserve"> due to an impending </w:t>
            </w:r>
            <w:r w:rsidR="00D25468" w:rsidRPr="006675DE">
              <w:rPr>
                <w:sz w:val="20"/>
                <w:szCs w:val="20"/>
              </w:rPr>
              <w:t xml:space="preserve">tribunal, </w:t>
            </w:r>
            <w:r w:rsidRPr="006675DE">
              <w:rPr>
                <w:sz w:val="20"/>
                <w:szCs w:val="20"/>
              </w:rPr>
              <w:t>six were</w:t>
            </w:r>
            <w:r w:rsidR="00D25468" w:rsidRPr="006675DE">
              <w:rPr>
                <w:sz w:val="20"/>
                <w:szCs w:val="20"/>
              </w:rPr>
              <w:t xml:space="preserve"> driven by illness, </w:t>
            </w:r>
            <w:r w:rsidRPr="006675DE">
              <w:rPr>
                <w:sz w:val="20"/>
                <w:szCs w:val="20"/>
              </w:rPr>
              <w:t>three were</w:t>
            </w:r>
            <w:r w:rsidR="00D25468" w:rsidRPr="006675DE">
              <w:rPr>
                <w:sz w:val="20"/>
                <w:szCs w:val="20"/>
              </w:rPr>
              <w:t xml:space="preserve"> accidental</w:t>
            </w:r>
            <w:r w:rsidRPr="006675DE">
              <w:rPr>
                <w:sz w:val="20"/>
                <w:szCs w:val="20"/>
              </w:rPr>
              <w:t>.</w:t>
            </w:r>
          </w:p>
        </w:tc>
      </w:tr>
      <w:tr w:rsidR="006675DE" w:rsidRPr="006675DE" w14:paraId="67858BAD" w14:textId="77777777" w:rsidTr="0093361E">
        <w:trPr>
          <w:cantSplit/>
          <w:trHeight w:val="700"/>
        </w:trPr>
        <w:tc>
          <w:tcPr>
            <w:tcW w:w="1004" w:type="dxa"/>
          </w:tcPr>
          <w:p w14:paraId="477F4254" w14:textId="044FEE89" w:rsidR="00937E94" w:rsidRPr="006675DE" w:rsidRDefault="00937E94" w:rsidP="0093361E">
            <w:pPr>
              <w:rPr>
                <w:sz w:val="20"/>
                <w:szCs w:val="20"/>
              </w:rPr>
            </w:pPr>
            <w:r w:rsidRPr="006675DE">
              <w:rPr>
                <w:sz w:val="20"/>
                <w:szCs w:val="20"/>
              </w:rPr>
              <w:t>Martin et al. (2018)</w:t>
            </w:r>
          </w:p>
        </w:tc>
        <w:tc>
          <w:tcPr>
            <w:tcW w:w="936" w:type="dxa"/>
          </w:tcPr>
          <w:p w14:paraId="78207691" w14:textId="175E0559" w:rsidR="00937E94" w:rsidRPr="006675DE" w:rsidRDefault="00937E94" w:rsidP="0093361E">
            <w:pPr>
              <w:rPr>
                <w:sz w:val="20"/>
                <w:szCs w:val="20"/>
              </w:rPr>
            </w:pPr>
            <w:r w:rsidRPr="006675DE">
              <w:rPr>
                <w:sz w:val="20"/>
                <w:szCs w:val="20"/>
              </w:rPr>
              <w:t>Canada</w:t>
            </w:r>
          </w:p>
        </w:tc>
        <w:tc>
          <w:tcPr>
            <w:tcW w:w="1207" w:type="dxa"/>
          </w:tcPr>
          <w:p w14:paraId="107181A7" w14:textId="4131205C" w:rsidR="00937E94" w:rsidRPr="006675DE" w:rsidRDefault="00937E94" w:rsidP="0093361E">
            <w:pPr>
              <w:rPr>
                <w:sz w:val="20"/>
                <w:szCs w:val="20"/>
              </w:rPr>
            </w:pPr>
            <w:r w:rsidRPr="006675DE">
              <w:rPr>
                <w:sz w:val="20"/>
                <w:szCs w:val="20"/>
              </w:rPr>
              <w:t>33</w:t>
            </w:r>
          </w:p>
        </w:tc>
        <w:tc>
          <w:tcPr>
            <w:tcW w:w="961" w:type="dxa"/>
          </w:tcPr>
          <w:p w14:paraId="6D87A993" w14:textId="0440C4E1" w:rsidR="00937E94" w:rsidRPr="006675DE" w:rsidRDefault="00937E94" w:rsidP="0093361E">
            <w:pPr>
              <w:rPr>
                <w:sz w:val="20"/>
                <w:szCs w:val="20"/>
              </w:rPr>
            </w:pPr>
            <w:r w:rsidRPr="006675DE">
              <w:rPr>
                <w:sz w:val="20"/>
                <w:szCs w:val="20"/>
              </w:rPr>
              <w:t>Forensic services</w:t>
            </w:r>
          </w:p>
        </w:tc>
        <w:tc>
          <w:tcPr>
            <w:tcW w:w="2031" w:type="dxa"/>
          </w:tcPr>
          <w:p w14:paraId="3E0849B7" w14:textId="603078C0" w:rsidR="00937E94" w:rsidRPr="006675DE" w:rsidRDefault="00937E94" w:rsidP="00937E94">
            <w:pPr>
              <w:autoSpaceDE w:val="0"/>
              <w:autoSpaceDN w:val="0"/>
              <w:adjustRightInd w:val="0"/>
              <w:rPr>
                <w:rFonts w:ascii="MyriadPro-Regular" w:hAnsi="MyriadPro-Regular" w:cs="MyriadPro-Regular"/>
                <w:sz w:val="20"/>
                <w:szCs w:val="20"/>
              </w:rPr>
            </w:pPr>
            <w:r w:rsidRPr="006675DE">
              <w:rPr>
                <w:sz w:val="20"/>
                <w:szCs w:val="20"/>
              </w:rPr>
              <w:t>“</w:t>
            </w:r>
            <w:r w:rsidRPr="006675DE">
              <w:rPr>
                <w:rFonts w:ascii="MyriadPro-Regular" w:hAnsi="MyriadPro-Regular" w:cs="MyriadPro-Regular"/>
                <w:sz w:val="20"/>
                <w:szCs w:val="20"/>
              </w:rPr>
              <w:t>Therefore, the aim of this</w:t>
            </w:r>
          </w:p>
          <w:p w14:paraId="5F00C639" w14:textId="77777777" w:rsidR="00937E94" w:rsidRPr="006675DE" w:rsidRDefault="00937E94" w:rsidP="00937E94">
            <w:pPr>
              <w:autoSpaceDE w:val="0"/>
              <w:autoSpaceDN w:val="0"/>
              <w:adjustRightInd w:val="0"/>
              <w:rPr>
                <w:rFonts w:ascii="MyriadPro-Regular" w:hAnsi="MyriadPro-Regular" w:cs="MyriadPro-Regular"/>
                <w:sz w:val="20"/>
                <w:szCs w:val="20"/>
              </w:rPr>
            </w:pPr>
            <w:r w:rsidRPr="006675DE">
              <w:rPr>
                <w:rFonts w:ascii="MyriadPro-Regular" w:hAnsi="MyriadPro-Regular" w:cs="MyriadPro-Regular"/>
                <w:sz w:val="20"/>
                <w:szCs w:val="20"/>
              </w:rPr>
              <w:t>project was to characterize a sample of forensic inpatients who absconded in</w:t>
            </w:r>
          </w:p>
          <w:p w14:paraId="3BC16341" w14:textId="77777777" w:rsidR="00937E94" w:rsidRPr="006675DE" w:rsidRDefault="00937E94" w:rsidP="00937E94">
            <w:pPr>
              <w:autoSpaceDE w:val="0"/>
              <w:autoSpaceDN w:val="0"/>
              <w:adjustRightInd w:val="0"/>
              <w:rPr>
                <w:rFonts w:ascii="MyriadPro-Regular" w:hAnsi="MyriadPro-Regular" w:cs="MyriadPro-Regular"/>
                <w:sz w:val="20"/>
                <w:szCs w:val="20"/>
              </w:rPr>
            </w:pPr>
            <w:r w:rsidRPr="006675DE">
              <w:rPr>
                <w:rFonts w:ascii="MyriadPro-Regular" w:hAnsi="MyriadPro-Regular" w:cs="MyriadPro-Regular"/>
                <w:sz w:val="20"/>
                <w:szCs w:val="20"/>
              </w:rPr>
              <w:t>a specified time period and determine if risk factors could be identified that</w:t>
            </w:r>
          </w:p>
          <w:p w14:paraId="0881584E" w14:textId="3E4EF7D2" w:rsidR="00937E94" w:rsidRPr="006675DE" w:rsidRDefault="00937E94" w:rsidP="00937E94">
            <w:pPr>
              <w:rPr>
                <w:sz w:val="20"/>
                <w:szCs w:val="20"/>
              </w:rPr>
            </w:pPr>
            <w:r w:rsidRPr="006675DE">
              <w:rPr>
                <w:rFonts w:ascii="MyriadPro-Regular" w:hAnsi="MyriadPro-Regular" w:cs="MyriadPro-Regular"/>
                <w:sz w:val="20"/>
                <w:szCs w:val="20"/>
              </w:rPr>
              <w:t>predicted this behavior.”</w:t>
            </w:r>
          </w:p>
        </w:tc>
        <w:tc>
          <w:tcPr>
            <w:tcW w:w="1065" w:type="dxa"/>
          </w:tcPr>
          <w:p w14:paraId="65254B07" w14:textId="0B788E55" w:rsidR="00937E94" w:rsidRPr="006675DE" w:rsidRDefault="00937E94" w:rsidP="0093361E">
            <w:pPr>
              <w:rPr>
                <w:sz w:val="20"/>
                <w:szCs w:val="20"/>
              </w:rPr>
            </w:pPr>
            <w:r w:rsidRPr="006675DE">
              <w:rPr>
                <w:sz w:val="20"/>
                <w:szCs w:val="20"/>
              </w:rPr>
              <w:t>Case note analysis</w:t>
            </w:r>
          </w:p>
        </w:tc>
        <w:tc>
          <w:tcPr>
            <w:tcW w:w="2430" w:type="dxa"/>
          </w:tcPr>
          <w:p w14:paraId="62BC2934" w14:textId="732930D8" w:rsidR="00937E94" w:rsidRPr="006675DE" w:rsidRDefault="00937E94" w:rsidP="0093361E">
            <w:pPr>
              <w:rPr>
                <w:sz w:val="20"/>
                <w:szCs w:val="20"/>
              </w:rPr>
            </w:pPr>
            <w:r w:rsidRPr="006675DE">
              <w:rPr>
                <w:sz w:val="20"/>
                <w:szCs w:val="20"/>
              </w:rPr>
              <w:t>The majority of patients described motivations that were goal-directed. The second most common motivation was frustration. Symptomatic/disorganized and impulsive/opportunistic motivations were less common but still significant.</w:t>
            </w:r>
          </w:p>
        </w:tc>
      </w:tr>
    </w:tbl>
    <w:p w14:paraId="279282F6" w14:textId="77777777" w:rsidR="00D25468" w:rsidRPr="006675DE" w:rsidRDefault="00D25468" w:rsidP="00D25468">
      <w:pPr>
        <w:pStyle w:val="ListParagraph"/>
        <w:spacing w:line="360" w:lineRule="auto"/>
        <w:ind w:left="1080"/>
        <w:rPr>
          <w:b/>
        </w:rPr>
      </w:pPr>
    </w:p>
    <w:p w14:paraId="228780D6" w14:textId="24E4CDBC" w:rsidR="00D25468" w:rsidRPr="006675DE" w:rsidRDefault="00D25468">
      <w:pPr>
        <w:rPr>
          <w:b/>
        </w:rPr>
      </w:pPr>
      <w:r w:rsidRPr="006675DE">
        <w:rPr>
          <w:b/>
        </w:rPr>
        <w:br w:type="page"/>
      </w:r>
    </w:p>
    <w:tbl>
      <w:tblPr>
        <w:tblStyle w:val="TableGrid"/>
        <w:tblpPr w:leftFromText="180" w:rightFromText="180" w:vertAnchor="page" w:horzAnchor="margin" w:tblpXSpec="center" w:tblpY="916"/>
        <w:tblW w:w="10729" w:type="dxa"/>
        <w:tblLook w:val="04A0" w:firstRow="1" w:lastRow="0" w:firstColumn="1" w:lastColumn="0" w:noHBand="0" w:noVBand="1"/>
      </w:tblPr>
      <w:tblGrid>
        <w:gridCol w:w="870"/>
        <w:gridCol w:w="903"/>
        <w:gridCol w:w="1103"/>
        <w:gridCol w:w="1007"/>
        <w:gridCol w:w="1010"/>
        <w:gridCol w:w="899"/>
        <w:gridCol w:w="1022"/>
        <w:gridCol w:w="1201"/>
        <w:gridCol w:w="950"/>
        <w:gridCol w:w="903"/>
        <w:gridCol w:w="861"/>
      </w:tblGrid>
      <w:tr w:rsidR="006675DE" w:rsidRPr="006675DE" w14:paraId="25AC8DC0" w14:textId="77777777" w:rsidTr="0093361E">
        <w:tc>
          <w:tcPr>
            <w:tcW w:w="10729" w:type="dxa"/>
            <w:gridSpan w:val="11"/>
            <w:tcBorders>
              <w:top w:val="nil"/>
              <w:left w:val="nil"/>
              <w:bottom w:val="single" w:sz="4" w:space="0" w:color="auto"/>
              <w:right w:val="nil"/>
            </w:tcBorders>
          </w:tcPr>
          <w:p w14:paraId="63AAAC9A" w14:textId="77777777" w:rsidR="00D25468" w:rsidRPr="006675DE" w:rsidRDefault="00D25468" w:rsidP="0093361E">
            <w:pPr>
              <w:rPr>
                <w:rFonts w:cstheme="minorHAnsi"/>
              </w:rPr>
            </w:pPr>
            <w:r w:rsidRPr="006675DE">
              <w:rPr>
                <w:rFonts w:cstheme="minorHAnsi"/>
                <w:b/>
              </w:rPr>
              <w:t>Table 2:</w:t>
            </w:r>
            <w:r w:rsidRPr="006675DE">
              <w:rPr>
                <w:rFonts w:cstheme="minorHAnsi"/>
              </w:rPr>
              <w:t xml:space="preserve"> Summary of critical appraisal for studies analysed</w:t>
            </w:r>
          </w:p>
        </w:tc>
      </w:tr>
      <w:tr w:rsidR="006675DE" w:rsidRPr="006675DE" w14:paraId="62CBD554" w14:textId="77777777" w:rsidTr="0093361E">
        <w:tc>
          <w:tcPr>
            <w:tcW w:w="870" w:type="dxa"/>
            <w:tcBorders>
              <w:top w:val="single" w:sz="4" w:space="0" w:color="auto"/>
            </w:tcBorders>
          </w:tcPr>
          <w:p w14:paraId="67C6D79D" w14:textId="77777777" w:rsidR="00D25468" w:rsidRPr="006675DE" w:rsidRDefault="00D25468" w:rsidP="0093361E">
            <w:pPr>
              <w:rPr>
                <w:rFonts w:cstheme="minorHAnsi"/>
                <w:b/>
                <w:sz w:val="16"/>
                <w:szCs w:val="16"/>
              </w:rPr>
            </w:pPr>
            <w:bookmarkStart w:id="3" w:name="_Hlk1999792"/>
            <w:r w:rsidRPr="006675DE">
              <w:rPr>
                <w:rFonts w:cstheme="minorHAnsi"/>
                <w:b/>
                <w:sz w:val="16"/>
                <w:szCs w:val="16"/>
              </w:rPr>
              <w:t>Study</w:t>
            </w:r>
          </w:p>
        </w:tc>
        <w:tc>
          <w:tcPr>
            <w:tcW w:w="903" w:type="dxa"/>
            <w:tcBorders>
              <w:top w:val="single" w:sz="4" w:space="0" w:color="auto"/>
            </w:tcBorders>
          </w:tcPr>
          <w:p w14:paraId="524A8C35" w14:textId="77777777" w:rsidR="00D25468" w:rsidRPr="006675DE" w:rsidRDefault="00D25468" w:rsidP="0093361E">
            <w:pPr>
              <w:rPr>
                <w:rFonts w:cstheme="minorHAnsi"/>
                <w:b/>
                <w:sz w:val="16"/>
                <w:szCs w:val="16"/>
              </w:rPr>
            </w:pPr>
            <w:r w:rsidRPr="006675DE">
              <w:rPr>
                <w:rFonts w:cstheme="minorHAnsi"/>
                <w:b/>
                <w:sz w:val="16"/>
                <w:szCs w:val="16"/>
              </w:rPr>
              <w:t>Was there a clear statement of the aims of the research?</w:t>
            </w:r>
          </w:p>
        </w:tc>
        <w:tc>
          <w:tcPr>
            <w:tcW w:w="1103" w:type="dxa"/>
            <w:tcBorders>
              <w:top w:val="single" w:sz="4" w:space="0" w:color="auto"/>
            </w:tcBorders>
          </w:tcPr>
          <w:p w14:paraId="10F1B5DB" w14:textId="77777777" w:rsidR="00D25468" w:rsidRPr="006675DE" w:rsidRDefault="00D25468" w:rsidP="0093361E">
            <w:pPr>
              <w:rPr>
                <w:rFonts w:cstheme="minorHAnsi"/>
                <w:b/>
                <w:sz w:val="16"/>
                <w:szCs w:val="16"/>
              </w:rPr>
            </w:pPr>
            <w:r w:rsidRPr="006675DE">
              <w:rPr>
                <w:rFonts w:cstheme="minorHAnsi"/>
                <w:b/>
                <w:sz w:val="16"/>
                <w:szCs w:val="16"/>
              </w:rPr>
              <w:t xml:space="preserve">Is a qualitative methodology appropriate? </w:t>
            </w:r>
          </w:p>
        </w:tc>
        <w:tc>
          <w:tcPr>
            <w:tcW w:w="1007" w:type="dxa"/>
            <w:tcBorders>
              <w:top w:val="single" w:sz="4" w:space="0" w:color="auto"/>
            </w:tcBorders>
          </w:tcPr>
          <w:p w14:paraId="23DA5BEA" w14:textId="77777777" w:rsidR="00D25468" w:rsidRPr="006675DE" w:rsidRDefault="00D25468" w:rsidP="0093361E">
            <w:pPr>
              <w:rPr>
                <w:rFonts w:cstheme="minorHAnsi"/>
                <w:b/>
                <w:sz w:val="16"/>
                <w:szCs w:val="16"/>
              </w:rPr>
            </w:pPr>
            <w:r w:rsidRPr="006675DE">
              <w:rPr>
                <w:rFonts w:cstheme="minorHAnsi"/>
                <w:b/>
                <w:sz w:val="16"/>
                <w:szCs w:val="16"/>
              </w:rPr>
              <w:t>Was the research design appropriate to address the aims of the research?</w:t>
            </w:r>
          </w:p>
        </w:tc>
        <w:tc>
          <w:tcPr>
            <w:tcW w:w="1010" w:type="dxa"/>
            <w:tcBorders>
              <w:top w:val="single" w:sz="4" w:space="0" w:color="auto"/>
            </w:tcBorders>
          </w:tcPr>
          <w:p w14:paraId="0B04F32F" w14:textId="77777777" w:rsidR="00D25468" w:rsidRPr="006675DE" w:rsidRDefault="00D25468" w:rsidP="0093361E">
            <w:pPr>
              <w:rPr>
                <w:rFonts w:cstheme="minorHAnsi"/>
                <w:b/>
                <w:sz w:val="16"/>
                <w:szCs w:val="16"/>
              </w:rPr>
            </w:pPr>
            <w:r w:rsidRPr="006675DE">
              <w:rPr>
                <w:rFonts w:cstheme="minorHAnsi"/>
                <w:b/>
                <w:sz w:val="16"/>
                <w:szCs w:val="16"/>
              </w:rPr>
              <w:t>Was the recruitment strategy appropriate to the aims of the research?</w:t>
            </w:r>
          </w:p>
        </w:tc>
        <w:tc>
          <w:tcPr>
            <w:tcW w:w="899" w:type="dxa"/>
            <w:tcBorders>
              <w:top w:val="single" w:sz="4" w:space="0" w:color="auto"/>
            </w:tcBorders>
          </w:tcPr>
          <w:p w14:paraId="57F1F703" w14:textId="77777777" w:rsidR="00D25468" w:rsidRPr="006675DE" w:rsidRDefault="00D25468" w:rsidP="0093361E">
            <w:pPr>
              <w:rPr>
                <w:rFonts w:cstheme="minorHAnsi"/>
                <w:b/>
                <w:sz w:val="16"/>
                <w:szCs w:val="16"/>
              </w:rPr>
            </w:pPr>
            <w:r w:rsidRPr="006675DE">
              <w:rPr>
                <w:rFonts w:cstheme="minorHAnsi"/>
                <w:b/>
                <w:sz w:val="16"/>
                <w:szCs w:val="16"/>
              </w:rPr>
              <w:t>Was the data collected in a way that addressed the research issue?</w:t>
            </w:r>
          </w:p>
        </w:tc>
        <w:tc>
          <w:tcPr>
            <w:tcW w:w="1022" w:type="dxa"/>
            <w:tcBorders>
              <w:top w:val="single" w:sz="4" w:space="0" w:color="auto"/>
            </w:tcBorders>
          </w:tcPr>
          <w:p w14:paraId="789E1CFB" w14:textId="77777777" w:rsidR="00D25468" w:rsidRPr="006675DE" w:rsidRDefault="00D25468" w:rsidP="0093361E">
            <w:pPr>
              <w:rPr>
                <w:rFonts w:cstheme="minorHAnsi"/>
                <w:b/>
                <w:sz w:val="16"/>
                <w:szCs w:val="16"/>
              </w:rPr>
            </w:pPr>
            <w:r w:rsidRPr="006675DE">
              <w:rPr>
                <w:rFonts w:cstheme="minorHAnsi"/>
                <w:b/>
                <w:sz w:val="16"/>
                <w:szCs w:val="16"/>
              </w:rPr>
              <w:t>Has the relationship between researcher and participants been adequately considered?</w:t>
            </w:r>
          </w:p>
        </w:tc>
        <w:tc>
          <w:tcPr>
            <w:tcW w:w="1201" w:type="dxa"/>
            <w:tcBorders>
              <w:top w:val="single" w:sz="4" w:space="0" w:color="auto"/>
            </w:tcBorders>
          </w:tcPr>
          <w:p w14:paraId="64CAC2CA" w14:textId="77777777" w:rsidR="00D25468" w:rsidRPr="006675DE" w:rsidRDefault="00D25468" w:rsidP="0093361E">
            <w:pPr>
              <w:rPr>
                <w:rFonts w:cstheme="minorHAnsi"/>
                <w:b/>
                <w:sz w:val="16"/>
                <w:szCs w:val="16"/>
              </w:rPr>
            </w:pPr>
            <w:r w:rsidRPr="006675DE">
              <w:rPr>
                <w:rFonts w:cstheme="minorHAnsi"/>
                <w:b/>
                <w:sz w:val="16"/>
                <w:szCs w:val="16"/>
              </w:rPr>
              <w:t>Have ethical issues been taken into consideration?</w:t>
            </w:r>
          </w:p>
        </w:tc>
        <w:tc>
          <w:tcPr>
            <w:tcW w:w="950" w:type="dxa"/>
            <w:tcBorders>
              <w:top w:val="single" w:sz="4" w:space="0" w:color="auto"/>
            </w:tcBorders>
          </w:tcPr>
          <w:p w14:paraId="519FB817" w14:textId="77777777" w:rsidR="00D25468" w:rsidRPr="006675DE" w:rsidRDefault="00D25468" w:rsidP="0093361E">
            <w:pPr>
              <w:rPr>
                <w:rFonts w:cstheme="minorHAnsi"/>
                <w:b/>
                <w:sz w:val="16"/>
                <w:szCs w:val="16"/>
              </w:rPr>
            </w:pPr>
            <w:r w:rsidRPr="006675DE">
              <w:rPr>
                <w:rFonts w:cstheme="minorHAnsi"/>
                <w:b/>
                <w:sz w:val="16"/>
                <w:szCs w:val="16"/>
              </w:rPr>
              <w:t>Was the data analysis sufficiently rigorous?</w:t>
            </w:r>
          </w:p>
        </w:tc>
        <w:tc>
          <w:tcPr>
            <w:tcW w:w="903" w:type="dxa"/>
            <w:tcBorders>
              <w:top w:val="single" w:sz="4" w:space="0" w:color="auto"/>
            </w:tcBorders>
          </w:tcPr>
          <w:p w14:paraId="77663C18" w14:textId="77777777" w:rsidR="00D25468" w:rsidRPr="006675DE" w:rsidRDefault="00D25468" w:rsidP="0093361E">
            <w:pPr>
              <w:rPr>
                <w:rFonts w:cstheme="minorHAnsi"/>
                <w:b/>
                <w:sz w:val="16"/>
                <w:szCs w:val="16"/>
              </w:rPr>
            </w:pPr>
            <w:r w:rsidRPr="006675DE">
              <w:rPr>
                <w:rFonts w:cstheme="minorHAnsi"/>
                <w:b/>
                <w:sz w:val="16"/>
                <w:szCs w:val="16"/>
              </w:rPr>
              <w:t>Is there a clear statement of findings?</w:t>
            </w:r>
          </w:p>
        </w:tc>
        <w:tc>
          <w:tcPr>
            <w:tcW w:w="861" w:type="dxa"/>
            <w:tcBorders>
              <w:top w:val="single" w:sz="4" w:space="0" w:color="auto"/>
            </w:tcBorders>
          </w:tcPr>
          <w:p w14:paraId="281C5A95" w14:textId="77777777" w:rsidR="00D25468" w:rsidRPr="006675DE" w:rsidRDefault="00D25468" w:rsidP="0093361E">
            <w:pPr>
              <w:rPr>
                <w:rFonts w:cstheme="minorHAnsi"/>
                <w:b/>
                <w:sz w:val="16"/>
                <w:szCs w:val="16"/>
              </w:rPr>
            </w:pPr>
            <w:r w:rsidRPr="006675DE">
              <w:rPr>
                <w:rFonts w:cstheme="minorHAnsi"/>
                <w:b/>
                <w:sz w:val="16"/>
                <w:szCs w:val="16"/>
              </w:rPr>
              <w:t>How valuable is the research?</w:t>
            </w:r>
          </w:p>
        </w:tc>
      </w:tr>
      <w:tr w:rsidR="006675DE" w:rsidRPr="006675DE" w14:paraId="1D42693D" w14:textId="77777777" w:rsidTr="0093361E">
        <w:tc>
          <w:tcPr>
            <w:tcW w:w="870" w:type="dxa"/>
          </w:tcPr>
          <w:p w14:paraId="40C3D121" w14:textId="77777777" w:rsidR="00D25468" w:rsidRPr="006675DE" w:rsidRDefault="00D25468" w:rsidP="0093361E">
            <w:pPr>
              <w:rPr>
                <w:rFonts w:cstheme="minorHAnsi"/>
                <w:b/>
                <w:sz w:val="16"/>
                <w:szCs w:val="16"/>
              </w:rPr>
            </w:pPr>
            <w:r w:rsidRPr="006675DE">
              <w:rPr>
                <w:rFonts w:cstheme="minorHAnsi"/>
                <w:b/>
                <w:sz w:val="16"/>
                <w:szCs w:val="16"/>
              </w:rPr>
              <w:t>McIndoe (1986)</w:t>
            </w:r>
          </w:p>
        </w:tc>
        <w:tc>
          <w:tcPr>
            <w:tcW w:w="903" w:type="dxa"/>
          </w:tcPr>
          <w:p w14:paraId="333AC21F"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103" w:type="dxa"/>
          </w:tcPr>
          <w:p w14:paraId="7035DEA6"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007" w:type="dxa"/>
          </w:tcPr>
          <w:p w14:paraId="5DAB79C5"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010" w:type="dxa"/>
          </w:tcPr>
          <w:p w14:paraId="166B50F6" w14:textId="77777777" w:rsidR="00D25468" w:rsidRPr="006675DE" w:rsidRDefault="00D25468" w:rsidP="0093361E">
            <w:pPr>
              <w:rPr>
                <w:rFonts w:cstheme="minorHAnsi"/>
                <w:b/>
                <w:sz w:val="16"/>
                <w:szCs w:val="16"/>
              </w:rPr>
            </w:pPr>
            <w:r w:rsidRPr="006675DE">
              <w:rPr>
                <w:rFonts w:cstheme="minorHAnsi"/>
                <w:b/>
                <w:sz w:val="16"/>
                <w:szCs w:val="16"/>
              </w:rPr>
              <w:t>Can’t tell</w:t>
            </w:r>
          </w:p>
        </w:tc>
        <w:tc>
          <w:tcPr>
            <w:tcW w:w="899" w:type="dxa"/>
          </w:tcPr>
          <w:p w14:paraId="2E0DB167"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022" w:type="dxa"/>
          </w:tcPr>
          <w:p w14:paraId="5E5B938F" w14:textId="77777777" w:rsidR="00D25468" w:rsidRPr="006675DE" w:rsidRDefault="00D25468" w:rsidP="0093361E">
            <w:pPr>
              <w:rPr>
                <w:rFonts w:cstheme="minorHAnsi"/>
                <w:b/>
                <w:sz w:val="16"/>
                <w:szCs w:val="16"/>
              </w:rPr>
            </w:pPr>
            <w:r w:rsidRPr="006675DE">
              <w:rPr>
                <w:rFonts w:cstheme="minorHAnsi"/>
                <w:b/>
                <w:sz w:val="16"/>
                <w:szCs w:val="16"/>
              </w:rPr>
              <w:t>No</w:t>
            </w:r>
          </w:p>
        </w:tc>
        <w:tc>
          <w:tcPr>
            <w:tcW w:w="1201" w:type="dxa"/>
          </w:tcPr>
          <w:p w14:paraId="7A38B84D" w14:textId="77777777" w:rsidR="00D25468" w:rsidRPr="006675DE" w:rsidRDefault="00D25468" w:rsidP="0093361E">
            <w:pPr>
              <w:rPr>
                <w:rFonts w:cstheme="minorHAnsi"/>
                <w:b/>
                <w:sz w:val="16"/>
                <w:szCs w:val="16"/>
              </w:rPr>
            </w:pPr>
            <w:r w:rsidRPr="006675DE">
              <w:rPr>
                <w:rFonts w:cstheme="minorHAnsi"/>
                <w:b/>
                <w:sz w:val="16"/>
                <w:szCs w:val="16"/>
              </w:rPr>
              <w:t>Can’t tell</w:t>
            </w:r>
          </w:p>
        </w:tc>
        <w:tc>
          <w:tcPr>
            <w:tcW w:w="950" w:type="dxa"/>
          </w:tcPr>
          <w:p w14:paraId="6D035CA1" w14:textId="77777777" w:rsidR="00D25468" w:rsidRPr="006675DE" w:rsidRDefault="00D25468" w:rsidP="0093361E">
            <w:pPr>
              <w:rPr>
                <w:rFonts w:cstheme="minorHAnsi"/>
                <w:b/>
                <w:sz w:val="16"/>
                <w:szCs w:val="16"/>
              </w:rPr>
            </w:pPr>
            <w:r w:rsidRPr="006675DE">
              <w:rPr>
                <w:rFonts w:cstheme="minorHAnsi"/>
                <w:b/>
                <w:sz w:val="16"/>
                <w:szCs w:val="16"/>
              </w:rPr>
              <w:t>Can’t tell</w:t>
            </w:r>
          </w:p>
        </w:tc>
        <w:tc>
          <w:tcPr>
            <w:tcW w:w="903" w:type="dxa"/>
          </w:tcPr>
          <w:p w14:paraId="350573AA"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861" w:type="dxa"/>
          </w:tcPr>
          <w:p w14:paraId="2D331F3E" w14:textId="77777777" w:rsidR="00D25468" w:rsidRPr="006675DE" w:rsidRDefault="00D25468" w:rsidP="0093361E">
            <w:pPr>
              <w:rPr>
                <w:rFonts w:cstheme="minorHAnsi"/>
                <w:b/>
                <w:sz w:val="16"/>
                <w:szCs w:val="16"/>
              </w:rPr>
            </w:pPr>
            <w:r w:rsidRPr="006675DE">
              <w:rPr>
                <w:rFonts w:cstheme="minorHAnsi"/>
                <w:b/>
                <w:sz w:val="16"/>
                <w:szCs w:val="16"/>
              </w:rPr>
              <w:t>Quite valuable</w:t>
            </w:r>
          </w:p>
        </w:tc>
      </w:tr>
      <w:tr w:rsidR="006675DE" w:rsidRPr="006675DE" w14:paraId="4EF0071A" w14:textId="77777777" w:rsidTr="0093361E">
        <w:tc>
          <w:tcPr>
            <w:tcW w:w="870" w:type="dxa"/>
          </w:tcPr>
          <w:p w14:paraId="17CC093A" w14:textId="77777777" w:rsidR="00D25468" w:rsidRPr="006675DE" w:rsidRDefault="00D25468" w:rsidP="0093361E">
            <w:pPr>
              <w:rPr>
                <w:rFonts w:cstheme="minorHAnsi"/>
                <w:b/>
                <w:sz w:val="16"/>
                <w:szCs w:val="16"/>
              </w:rPr>
            </w:pPr>
            <w:r w:rsidRPr="006675DE">
              <w:rPr>
                <w:rFonts w:cstheme="minorHAnsi"/>
                <w:b/>
                <w:sz w:val="16"/>
                <w:szCs w:val="16"/>
              </w:rPr>
              <w:t>Falkowski et al. (1990)</w:t>
            </w:r>
          </w:p>
        </w:tc>
        <w:tc>
          <w:tcPr>
            <w:tcW w:w="903" w:type="dxa"/>
          </w:tcPr>
          <w:p w14:paraId="098AB52A"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103" w:type="dxa"/>
          </w:tcPr>
          <w:p w14:paraId="2954BD7D"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007" w:type="dxa"/>
          </w:tcPr>
          <w:p w14:paraId="32F624DA" w14:textId="77777777" w:rsidR="00D25468" w:rsidRPr="006675DE" w:rsidRDefault="00D25468" w:rsidP="0093361E">
            <w:pPr>
              <w:rPr>
                <w:rFonts w:cstheme="minorHAnsi"/>
                <w:b/>
                <w:sz w:val="16"/>
                <w:szCs w:val="16"/>
              </w:rPr>
            </w:pPr>
            <w:r w:rsidRPr="006675DE">
              <w:rPr>
                <w:rFonts w:cstheme="minorHAnsi"/>
                <w:b/>
                <w:sz w:val="16"/>
                <w:szCs w:val="16"/>
              </w:rPr>
              <w:t>Can’t tell</w:t>
            </w:r>
          </w:p>
        </w:tc>
        <w:tc>
          <w:tcPr>
            <w:tcW w:w="1010" w:type="dxa"/>
          </w:tcPr>
          <w:p w14:paraId="27F07AC4"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899" w:type="dxa"/>
          </w:tcPr>
          <w:p w14:paraId="4FA27430" w14:textId="77777777" w:rsidR="00D25468" w:rsidRPr="006675DE" w:rsidRDefault="00D25468" w:rsidP="0093361E">
            <w:pPr>
              <w:rPr>
                <w:rFonts w:cstheme="minorHAnsi"/>
                <w:b/>
                <w:sz w:val="16"/>
                <w:szCs w:val="16"/>
              </w:rPr>
            </w:pPr>
            <w:r w:rsidRPr="006675DE">
              <w:rPr>
                <w:rFonts w:cstheme="minorHAnsi"/>
                <w:b/>
                <w:sz w:val="16"/>
                <w:szCs w:val="16"/>
              </w:rPr>
              <w:t>Can’t tell</w:t>
            </w:r>
          </w:p>
        </w:tc>
        <w:tc>
          <w:tcPr>
            <w:tcW w:w="1022" w:type="dxa"/>
          </w:tcPr>
          <w:p w14:paraId="26503E1D" w14:textId="77777777" w:rsidR="00D25468" w:rsidRPr="006675DE" w:rsidRDefault="00D25468" w:rsidP="0093361E">
            <w:pPr>
              <w:rPr>
                <w:rFonts w:cstheme="minorHAnsi"/>
                <w:b/>
                <w:sz w:val="16"/>
                <w:szCs w:val="16"/>
              </w:rPr>
            </w:pPr>
            <w:r w:rsidRPr="006675DE">
              <w:rPr>
                <w:rFonts w:cstheme="minorHAnsi"/>
                <w:b/>
                <w:sz w:val="16"/>
                <w:szCs w:val="16"/>
              </w:rPr>
              <w:t>No</w:t>
            </w:r>
          </w:p>
        </w:tc>
        <w:tc>
          <w:tcPr>
            <w:tcW w:w="1201" w:type="dxa"/>
          </w:tcPr>
          <w:p w14:paraId="6F6BAEDB" w14:textId="77777777" w:rsidR="00D25468" w:rsidRPr="006675DE" w:rsidRDefault="00D25468" w:rsidP="0093361E">
            <w:pPr>
              <w:rPr>
                <w:rFonts w:cstheme="minorHAnsi"/>
                <w:b/>
                <w:sz w:val="16"/>
                <w:szCs w:val="16"/>
              </w:rPr>
            </w:pPr>
            <w:r w:rsidRPr="006675DE">
              <w:rPr>
                <w:rFonts w:cstheme="minorHAnsi"/>
                <w:b/>
                <w:sz w:val="16"/>
                <w:szCs w:val="16"/>
              </w:rPr>
              <w:t>Can’t tell</w:t>
            </w:r>
          </w:p>
        </w:tc>
        <w:tc>
          <w:tcPr>
            <w:tcW w:w="950" w:type="dxa"/>
          </w:tcPr>
          <w:p w14:paraId="111FFCF9" w14:textId="77777777" w:rsidR="00D25468" w:rsidRPr="006675DE" w:rsidRDefault="00D25468" w:rsidP="0093361E">
            <w:pPr>
              <w:rPr>
                <w:rFonts w:cstheme="minorHAnsi"/>
                <w:b/>
                <w:sz w:val="16"/>
                <w:szCs w:val="16"/>
              </w:rPr>
            </w:pPr>
            <w:r w:rsidRPr="006675DE">
              <w:rPr>
                <w:rFonts w:cstheme="minorHAnsi"/>
                <w:b/>
                <w:sz w:val="16"/>
                <w:szCs w:val="16"/>
              </w:rPr>
              <w:t>No</w:t>
            </w:r>
          </w:p>
        </w:tc>
        <w:tc>
          <w:tcPr>
            <w:tcW w:w="903" w:type="dxa"/>
          </w:tcPr>
          <w:p w14:paraId="1338A836"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861" w:type="dxa"/>
          </w:tcPr>
          <w:p w14:paraId="7F99EB97" w14:textId="77777777" w:rsidR="00D25468" w:rsidRPr="006675DE" w:rsidRDefault="00D25468" w:rsidP="0093361E">
            <w:pPr>
              <w:rPr>
                <w:rFonts w:cstheme="minorHAnsi"/>
                <w:b/>
                <w:sz w:val="16"/>
                <w:szCs w:val="16"/>
              </w:rPr>
            </w:pPr>
            <w:r w:rsidRPr="006675DE">
              <w:rPr>
                <w:rFonts w:cstheme="minorHAnsi"/>
                <w:b/>
                <w:sz w:val="16"/>
                <w:szCs w:val="16"/>
              </w:rPr>
              <w:t>Quite valuable</w:t>
            </w:r>
          </w:p>
        </w:tc>
      </w:tr>
      <w:tr w:rsidR="006675DE" w:rsidRPr="006675DE" w14:paraId="77B1AEB1" w14:textId="77777777" w:rsidTr="0093361E">
        <w:tc>
          <w:tcPr>
            <w:tcW w:w="870" w:type="dxa"/>
          </w:tcPr>
          <w:p w14:paraId="694D450A" w14:textId="77777777" w:rsidR="00D25468" w:rsidRPr="006675DE" w:rsidRDefault="00D25468" w:rsidP="0093361E">
            <w:pPr>
              <w:rPr>
                <w:rFonts w:cstheme="minorHAnsi"/>
                <w:b/>
                <w:sz w:val="16"/>
                <w:szCs w:val="16"/>
              </w:rPr>
            </w:pPr>
            <w:r w:rsidRPr="006675DE">
              <w:rPr>
                <w:rFonts w:cstheme="minorHAnsi"/>
                <w:b/>
                <w:sz w:val="16"/>
                <w:szCs w:val="16"/>
              </w:rPr>
              <w:t>Meehan et al. (1999)</w:t>
            </w:r>
          </w:p>
        </w:tc>
        <w:tc>
          <w:tcPr>
            <w:tcW w:w="903" w:type="dxa"/>
          </w:tcPr>
          <w:p w14:paraId="545E6D3E"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103" w:type="dxa"/>
          </w:tcPr>
          <w:p w14:paraId="4591D0D8"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007" w:type="dxa"/>
          </w:tcPr>
          <w:p w14:paraId="0605C8D6"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010" w:type="dxa"/>
          </w:tcPr>
          <w:p w14:paraId="26F66F78" w14:textId="77777777" w:rsidR="00D25468" w:rsidRPr="006675DE" w:rsidRDefault="00D25468" w:rsidP="0093361E">
            <w:pPr>
              <w:rPr>
                <w:rFonts w:cstheme="minorHAnsi"/>
                <w:b/>
                <w:sz w:val="16"/>
                <w:szCs w:val="16"/>
              </w:rPr>
            </w:pPr>
            <w:r w:rsidRPr="006675DE">
              <w:rPr>
                <w:rFonts w:cstheme="minorHAnsi"/>
                <w:b/>
                <w:sz w:val="16"/>
                <w:szCs w:val="16"/>
              </w:rPr>
              <w:t>Can’t tell</w:t>
            </w:r>
          </w:p>
        </w:tc>
        <w:tc>
          <w:tcPr>
            <w:tcW w:w="899" w:type="dxa"/>
          </w:tcPr>
          <w:p w14:paraId="571F0B22"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022" w:type="dxa"/>
          </w:tcPr>
          <w:p w14:paraId="5CFB0E90" w14:textId="77777777" w:rsidR="00D25468" w:rsidRPr="006675DE" w:rsidRDefault="00D25468" w:rsidP="0093361E">
            <w:pPr>
              <w:rPr>
                <w:rFonts w:cstheme="minorHAnsi"/>
                <w:b/>
                <w:sz w:val="16"/>
                <w:szCs w:val="16"/>
              </w:rPr>
            </w:pPr>
            <w:r w:rsidRPr="006675DE">
              <w:rPr>
                <w:rFonts w:cstheme="minorHAnsi"/>
                <w:b/>
                <w:sz w:val="16"/>
                <w:szCs w:val="16"/>
              </w:rPr>
              <w:t>No</w:t>
            </w:r>
          </w:p>
        </w:tc>
        <w:tc>
          <w:tcPr>
            <w:tcW w:w="1201" w:type="dxa"/>
          </w:tcPr>
          <w:p w14:paraId="266A83C7" w14:textId="77777777" w:rsidR="00D25468" w:rsidRPr="006675DE" w:rsidRDefault="00D25468" w:rsidP="0093361E">
            <w:pPr>
              <w:rPr>
                <w:rFonts w:cstheme="minorHAnsi"/>
                <w:b/>
                <w:sz w:val="16"/>
                <w:szCs w:val="16"/>
              </w:rPr>
            </w:pPr>
            <w:r w:rsidRPr="006675DE">
              <w:rPr>
                <w:rFonts w:cstheme="minorHAnsi"/>
                <w:b/>
                <w:sz w:val="16"/>
                <w:szCs w:val="16"/>
              </w:rPr>
              <w:t>Can’t tell</w:t>
            </w:r>
          </w:p>
        </w:tc>
        <w:tc>
          <w:tcPr>
            <w:tcW w:w="950" w:type="dxa"/>
          </w:tcPr>
          <w:p w14:paraId="5F4E3E7C" w14:textId="77777777" w:rsidR="00D25468" w:rsidRPr="006675DE" w:rsidRDefault="00D25468" w:rsidP="0093361E">
            <w:pPr>
              <w:rPr>
                <w:rFonts w:cstheme="minorHAnsi"/>
                <w:b/>
                <w:sz w:val="16"/>
                <w:szCs w:val="16"/>
              </w:rPr>
            </w:pPr>
            <w:r w:rsidRPr="006675DE">
              <w:rPr>
                <w:rFonts w:cstheme="minorHAnsi"/>
                <w:b/>
                <w:sz w:val="16"/>
                <w:szCs w:val="16"/>
              </w:rPr>
              <w:t>Can’t tell</w:t>
            </w:r>
          </w:p>
        </w:tc>
        <w:tc>
          <w:tcPr>
            <w:tcW w:w="903" w:type="dxa"/>
          </w:tcPr>
          <w:p w14:paraId="57C0090A"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861" w:type="dxa"/>
          </w:tcPr>
          <w:p w14:paraId="7D27B758" w14:textId="77777777" w:rsidR="00D25468" w:rsidRPr="006675DE" w:rsidRDefault="00D25468" w:rsidP="0093361E">
            <w:pPr>
              <w:rPr>
                <w:rFonts w:cstheme="minorHAnsi"/>
                <w:b/>
                <w:sz w:val="16"/>
                <w:szCs w:val="16"/>
              </w:rPr>
            </w:pPr>
            <w:r w:rsidRPr="006675DE">
              <w:rPr>
                <w:rFonts w:cstheme="minorHAnsi"/>
                <w:b/>
                <w:sz w:val="16"/>
                <w:szCs w:val="16"/>
              </w:rPr>
              <w:t>Highly valuable</w:t>
            </w:r>
          </w:p>
        </w:tc>
      </w:tr>
      <w:tr w:rsidR="006675DE" w:rsidRPr="006675DE" w14:paraId="31547556" w14:textId="77777777" w:rsidTr="0093361E">
        <w:tc>
          <w:tcPr>
            <w:tcW w:w="870" w:type="dxa"/>
          </w:tcPr>
          <w:p w14:paraId="7687A2BA" w14:textId="77777777" w:rsidR="00D25468" w:rsidRPr="006675DE" w:rsidRDefault="00D25468" w:rsidP="0093361E">
            <w:pPr>
              <w:rPr>
                <w:rFonts w:cstheme="minorHAnsi"/>
                <w:b/>
                <w:sz w:val="16"/>
                <w:szCs w:val="16"/>
              </w:rPr>
            </w:pPr>
            <w:r w:rsidRPr="006675DE">
              <w:rPr>
                <w:rFonts w:cstheme="minorHAnsi"/>
                <w:b/>
                <w:sz w:val="16"/>
                <w:szCs w:val="16"/>
              </w:rPr>
              <w:t>Bowers et al. (1999)</w:t>
            </w:r>
          </w:p>
        </w:tc>
        <w:tc>
          <w:tcPr>
            <w:tcW w:w="903" w:type="dxa"/>
          </w:tcPr>
          <w:p w14:paraId="4C7A9F19" w14:textId="77777777" w:rsidR="00D25468" w:rsidRPr="006675DE" w:rsidRDefault="00D25468" w:rsidP="0093361E">
            <w:pPr>
              <w:rPr>
                <w:rFonts w:cstheme="minorHAnsi"/>
                <w:b/>
                <w:sz w:val="16"/>
                <w:szCs w:val="16"/>
              </w:rPr>
            </w:pPr>
            <w:r w:rsidRPr="006675DE">
              <w:rPr>
                <w:rFonts w:cstheme="minorHAnsi"/>
                <w:b/>
                <w:sz w:val="16"/>
                <w:szCs w:val="16"/>
              </w:rPr>
              <w:t>No</w:t>
            </w:r>
          </w:p>
        </w:tc>
        <w:tc>
          <w:tcPr>
            <w:tcW w:w="1103" w:type="dxa"/>
          </w:tcPr>
          <w:p w14:paraId="173660B8"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007" w:type="dxa"/>
          </w:tcPr>
          <w:p w14:paraId="1C293622"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010" w:type="dxa"/>
          </w:tcPr>
          <w:p w14:paraId="740E6E2C" w14:textId="77777777" w:rsidR="00D25468" w:rsidRPr="006675DE" w:rsidRDefault="00D25468" w:rsidP="0093361E">
            <w:pPr>
              <w:rPr>
                <w:rFonts w:cstheme="minorHAnsi"/>
                <w:b/>
                <w:sz w:val="16"/>
                <w:szCs w:val="16"/>
              </w:rPr>
            </w:pPr>
            <w:r w:rsidRPr="006675DE">
              <w:rPr>
                <w:rFonts w:cstheme="minorHAnsi"/>
                <w:b/>
                <w:sz w:val="16"/>
                <w:szCs w:val="16"/>
              </w:rPr>
              <w:t>Can’t tell</w:t>
            </w:r>
          </w:p>
        </w:tc>
        <w:tc>
          <w:tcPr>
            <w:tcW w:w="899" w:type="dxa"/>
          </w:tcPr>
          <w:p w14:paraId="68A5742F"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022" w:type="dxa"/>
          </w:tcPr>
          <w:p w14:paraId="2E6725FD" w14:textId="77777777" w:rsidR="00D25468" w:rsidRPr="006675DE" w:rsidRDefault="00D25468" w:rsidP="0093361E">
            <w:pPr>
              <w:rPr>
                <w:rFonts w:cstheme="minorHAnsi"/>
                <w:b/>
                <w:sz w:val="16"/>
                <w:szCs w:val="16"/>
              </w:rPr>
            </w:pPr>
            <w:r w:rsidRPr="006675DE">
              <w:rPr>
                <w:rFonts w:cstheme="minorHAnsi"/>
                <w:b/>
                <w:sz w:val="16"/>
                <w:szCs w:val="16"/>
              </w:rPr>
              <w:t>No</w:t>
            </w:r>
          </w:p>
        </w:tc>
        <w:tc>
          <w:tcPr>
            <w:tcW w:w="1201" w:type="dxa"/>
          </w:tcPr>
          <w:p w14:paraId="46291880" w14:textId="77777777" w:rsidR="00D25468" w:rsidRPr="006675DE" w:rsidRDefault="00D25468" w:rsidP="0093361E">
            <w:pPr>
              <w:rPr>
                <w:rFonts w:cstheme="minorHAnsi"/>
                <w:b/>
                <w:sz w:val="16"/>
                <w:szCs w:val="16"/>
              </w:rPr>
            </w:pPr>
            <w:r w:rsidRPr="006675DE">
              <w:rPr>
                <w:rFonts w:cstheme="minorHAnsi"/>
                <w:b/>
                <w:sz w:val="16"/>
                <w:szCs w:val="16"/>
              </w:rPr>
              <w:t>No</w:t>
            </w:r>
          </w:p>
        </w:tc>
        <w:tc>
          <w:tcPr>
            <w:tcW w:w="950" w:type="dxa"/>
          </w:tcPr>
          <w:p w14:paraId="319DCC2E"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903" w:type="dxa"/>
          </w:tcPr>
          <w:p w14:paraId="0DAEC6D9"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861" w:type="dxa"/>
          </w:tcPr>
          <w:p w14:paraId="050F26E9" w14:textId="77777777" w:rsidR="00D25468" w:rsidRPr="006675DE" w:rsidRDefault="00D25468" w:rsidP="0093361E">
            <w:pPr>
              <w:rPr>
                <w:rFonts w:cstheme="minorHAnsi"/>
                <w:b/>
                <w:sz w:val="16"/>
                <w:szCs w:val="16"/>
              </w:rPr>
            </w:pPr>
            <w:r w:rsidRPr="006675DE">
              <w:rPr>
                <w:rFonts w:cstheme="minorHAnsi"/>
                <w:b/>
                <w:sz w:val="16"/>
                <w:szCs w:val="16"/>
              </w:rPr>
              <w:t>Quite valuable</w:t>
            </w:r>
          </w:p>
        </w:tc>
      </w:tr>
      <w:tr w:rsidR="006675DE" w:rsidRPr="006675DE" w14:paraId="41758267" w14:textId="77777777" w:rsidTr="0093361E">
        <w:tc>
          <w:tcPr>
            <w:tcW w:w="870" w:type="dxa"/>
          </w:tcPr>
          <w:p w14:paraId="10264308" w14:textId="77777777" w:rsidR="00D25468" w:rsidRPr="006675DE" w:rsidRDefault="00D25468" w:rsidP="0093361E">
            <w:pPr>
              <w:rPr>
                <w:rFonts w:cstheme="minorHAnsi"/>
                <w:b/>
                <w:sz w:val="16"/>
                <w:szCs w:val="16"/>
              </w:rPr>
            </w:pPr>
            <w:r w:rsidRPr="006675DE">
              <w:rPr>
                <w:rFonts w:cstheme="minorHAnsi"/>
                <w:b/>
                <w:sz w:val="16"/>
                <w:szCs w:val="16"/>
              </w:rPr>
              <w:t>Muir-Cochrane et al. (2013)</w:t>
            </w:r>
          </w:p>
        </w:tc>
        <w:tc>
          <w:tcPr>
            <w:tcW w:w="903" w:type="dxa"/>
          </w:tcPr>
          <w:p w14:paraId="26E634C4"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103" w:type="dxa"/>
          </w:tcPr>
          <w:p w14:paraId="68831925"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007" w:type="dxa"/>
          </w:tcPr>
          <w:p w14:paraId="08688766"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010" w:type="dxa"/>
          </w:tcPr>
          <w:p w14:paraId="2D1EF733"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899" w:type="dxa"/>
          </w:tcPr>
          <w:p w14:paraId="17FE1A46"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022" w:type="dxa"/>
          </w:tcPr>
          <w:p w14:paraId="0A42B27E" w14:textId="77777777" w:rsidR="00D25468" w:rsidRPr="006675DE" w:rsidRDefault="00D25468" w:rsidP="0093361E">
            <w:pPr>
              <w:rPr>
                <w:rFonts w:cstheme="minorHAnsi"/>
                <w:b/>
                <w:sz w:val="16"/>
                <w:szCs w:val="16"/>
              </w:rPr>
            </w:pPr>
            <w:r w:rsidRPr="006675DE">
              <w:rPr>
                <w:rFonts w:cstheme="minorHAnsi"/>
                <w:b/>
                <w:sz w:val="16"/>
                <w:szCs w:val="16"/>
              </w:rPr>
              <w:t>No</w:t>
            </w:r>
          </w:p>
        </w:tc>
        <w:tc>
          <w:tcPr>
            <w:tcW w:w="1201" w:type="dxa"/>
          </w:tcPr>
          <w:p w14:paraId="3BC6550E"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950" w:type="dxa"/>
          </w:tcPr>
          <w:p w14:paraId="42B9C64A"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903" w:type="dxa"/>
          </w:tcPr>
          <w:p w14:paraId="6BF8D44E"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861" w:type="dxa"/>
          </w:tcPr>
          <w:p w14:paraId="43F5A2DB" w14:textId="77777777" w:rsidR="00D25468" w:rsidRPr="006675DE" w:rsidRDefault="00D25468" w:rsidP="0093361E">
            <w:pPr>
              <w:rPr>
                <w:rFonts w:cstheme="minorHAnsi"/>
                <w:b/>
                <w:sz w:val="16"/>
                <w:szCs w:val="16"/>
              </w:rPr>
            </w:pPr>
            <w:r w:rsidRPr="006675DE">
              <w:rPr>
                <w:rFonts w:cstheme="minorHAnsi"/>
                <w:b/>
                <w:sz w:val="16"/>
                <w:szCs w:val="16"/>
              </w:rPr>
              <w:t>Quite valuable</w:t>
            </w:r>
          </w:p>
        </w:tc>
      </w:tr>
      <w:tr w:rsidR="006675DE" w:rsidRPr="006675DE" w14:paraId="20677F29" w14:textId="77777777" w:rsidTr="0093361E">
        <w:tc>
          <w:tcPr>
            <w:tcW w:w="870" w:type="dxa"/>
          </w:tcPr>
          <w:p w14:paraId="541870E6" w14:textId="77777777" w:rsidR="00D25468" w:rsidRPr="006675DE" w:rsidRDefault="00D25468" w:rsidP="0093361E">
            <w:pPr>
              <w:rPr>
                <w:rFonts w:cstheme="minorHAnsi"/>
                <w:b/>
                <w:sz w:val="16"/>
                <w:szCs w:val="16"/>
              </w:rPr>
            </w:pPr>
            <w:r w:rsidRPr="006675DE">
              <w:rPr>
                <w:rFonts w:cstheme="minorHAnsi"/>
                <w:b/>
                <w:sz w:val="16"/>
                <w:szCs w:val="16"/>
              </w:rPr>
              <w:t>Wilkie et al. (2014)</w:t>
            </w:r>
          </w:p>
        </w:tc>
        <w:tc>
          <w:tcPr>
            <w:tcW w:w="903" w:type="dxa"/>
          </w:tcPr>
          <w:p w14:paraId="48B00C55" w14:textId="77777777" w:rsidR="00D25468" w:rsidRPr="006675DE" w:rsidRDefault="00D25468" w:rsidP="0093361E">
            <w:pPr>
              <w:rPr>
                <w:rFonts w:cstheme="minorHAnsi"/>
                <w:b/>
                <w:sz w:val="16"/>
                <w:szCs w:val="16"/>
              </w:rPr>
            </w:pPr>
            <w:r w:rsidRPr="006675DE">
              <w:rPr>
                <w:rFonts w:cstheme="minorHAnsi"/>
                <w:b/>
                <w:sz w:val="16"/>
                <w:szCs w:val="16"/>
              </w:rPr>
              <w:t>No</w:t>
            </w:r>
          </w:p>
        </w:tc>
        <w:tc>
          <w:tcPr>
            <w:tcW w:w="1103" w:type="dxa"/>
          </w:tcPr>
          <w:p w14:paraId="24D5FE7C"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007" w:type="dxa"/>
          </w:tcPr>
          <w:p w14:paraId="40909A36"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010" w:type="dxa"/>
          </w:tcPr>
          <w:p w14:paraId="0678E82E"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899" w:type="dxa"/>
          </w:tcPr>
          <w:p w14:paraId="676FE907" w14:textId="77777777" w:rsidR="00D25468" w:rsidRPr="006675DE" w:rsidRDefault="00D25468" w:rsidP="0093361E">
            <w:pPr>
              <w:rPr>
                <w:rFonts w:cstheme="minorHAnsi"/>
                <w:b/>
                <w:sz w:val="16"/>
                <w:szCs w:val="16"/>
              </w:rPr>
            </w:pPr>
            <w:r w:rsidRPr="006675DE">
              <w:rPr>
                <w:rFonts w:cstheme="minorHAnsi"/>
                <w:b/>
                <w:sz w:val="16"/>
                <w:szCs w:val="16"/>
              </w:rPr>
              <w:t>Can’t tell</w:t>
            </w:r>
          </w:p>
        </w:tc>
        <w:tc>
          <w:tcPr>
            <w:tcW w:w="1022" w:type="dxa"/>
          </w:tcPr>
          <w:p w14:paraId="4B4B93D9" w14:textId="77777777" w:rsidR="00D25468" w:rsidRPr="006675DE" w:rsidRDefault="00D25468" w:rsidP="0093361E">
            <w:pPr>
              <w:rPr>
                <w:rFonts w:cstheme="minorHAnsi"/>
                <w:b/>
                <w:sz w:val="16"/>
                <w:szCs w:val="16"/>
              </w:rPr>
            </w:pPr>
            <w:r w:rsidRPr="006675DE">
              <w:rPr>
                <w:rFonts w:cstheme="minorHAnsi"/>
                <w:b/>
                <w:sz w:val="16"/>
                <w:szCs w:val="16"/>
              </w:rPr>
              <w:t>No</w:t>
            </w:r>
          </w:p>
        </w:tc>
        <w:tc>
          <w:tcPr>
            <w:tcW w:w="1201" w:type="dxa"/>
          </w:tcPr>
          <w:p w14:paraId="2D73D1A9"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950" w:type="dxa"/>
          </w:tcPr>
          <w:p w14:paraId="4F3F1477" w14:textId="77777777" w:rsidR="00D25468" w:rsidRPr="006675DE" w:rsidRDefault="00D25468" w:rsidP="0093361E">
            <w:pPr>
              <w:rPr>
                <w:rFonts w:cstheme="minorHAnsi"/>
                <w:b/>
                <w:sz w:val="16"/>
                <w:szCs w:val="16"/>
              </w:rPr>
            </w:pPr>
            <w:r w:rsidRPr="006675DE">
              <w:rPr>
                <w:rFonts w:cstheme="minorHAnsi"/>
                <w:b/>
                <w:sz w:val="16"/>
                <w:szCs w:val="16"/>
              </w:rPr>
              <w:t>No</w:t>
            </w:r>
          </w:p>
        </w:tc>
        <w:tc>
          <w:tcPr>
            <w:tcW w:w="903" w:type="dxa"/>
          </w:tcPr>
          <w:p w14:paraId="4200EB6D"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861" w:type="dxa"/>
          </w:tcPr>
          <w:p w14:paraId="38549867" w14:textId="77777777" w:rsidR="00D25468" w:rsidRPr="006675DE" w:rsidRDefault="00D25468" w:rsidP="0093361E">
            <w:pPr>
              <w:rPr>
                <w:rFonts w:cstheme="minorHAnsi"/>
                <w:b/>
                <w:sz w:val="16"/>
                <w:szCs w:val="16"/>
              </w:rPr>
            </w:pPr>
            <w:r w:rsidRPr="006675DE">
              <w:rPr>
                <w:rFonts w:cstheme="minorHAnsi"/>
                <w:b/>
                <w:sz w:val="16"/>
                <w:szCs w:val="16"/>
              </w:rPr>
              <w:t>Limited value</w:t>
            </w:r>
          </w:p>
        </w:tc>
      </w:tr>
      <w:tr w:rsidR="006675DE" w:rsidRPr="006675DE" w14:paraId="4C04DE7E" w14:textId="77777777" w:rsidTr="0093361E">
        <w:tc>
          <w:tcPr>
            <w:tcW w:w="870" w:type="dxa"/>
          </w:tcPr>
          <w:p w14:paraId="3D861645" w14:textId="77777777" w:rsidR="00D25468" w:rsidRPr="006675DE" w:rsidRDefault="00D25468" w:rsidP="0093361E">
            <w:pPr>
              <w:rPr>
                <w:rFonts w:cstheme="minorHAnsi"/>
                <w:b/>
                <w:sz w:val="16"/>
                <w:szCs w:val="16"/>
              </w:rPr>
            </w:pPr>
            <w:r w:rsidRPr="006675DE">
              <w:rPr>
                <w:rFonts w:cstheme="minorHAnsi"/>
                <w:b/>
                <w:sz w:val="16"/>
                <w:szCs w:val="16"/>
              </w:rPr>
              <w:t>Mezey et al. (2015)</w:t>
            </w:r>
          </w:p>
        </w:tc>
        <w:tc>
          <w:tcPr>
            <w:tcW w:w="903" w:type="dxa"/>
          </w:tcPr>
          <w:p w14:paraId="5C112EC1"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103" w:type="dxa"/>
          </w:tcPr>
          <w:p w14:paraId="1A3B8C37"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007" w:type="dxa"/>
          </w:tcPr>
          <w:p w14:paraId="797ED53F"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1010" w:type="dxa"/>
          </w:tcPr>
          <w:p w14:paraId="11C7C5BB"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899" w:type="dxa"/>
          </w:tcPr>
          <w:p w14:paraId="37F94384" w14:textId="77777777" w:rsidR="00D25468" w:rsidRPr="006675DE" w:rsidRDefault="00D25468" w:rsidP="0093361E">
            <w:pPr>
              <w:rPr>
                <w:rFonts w:cstheme="minorHAnsi"/>
                <w:b/>
                <w:sz w:val="16"/>
                <w:szCs w:val="16"/>
              </w:rPr>
            </w:pPr>
            <w:r w:rsidRPr="006675DE">
              <w:rPr>
                <w:rFonts w:cstheme="minorHAnsi"/>
                <w:b/>
                <w:sz w:val="16"/>
                <w:szCs w:val="16"/>
              </w:rPr>
              <w:t>Can’t tell</w:t>
            </w:r>
          </w:p>
        </w:tc>
        <w:tc>
          <w:tcPr>
            <w:tcW w:w="1022" w:type="dxa"/>
          </w:tcPr>
          <w:p w14:paraId="709FFBB6" w14:textId="77777777" w:rsidR="00D25468" w:rsidRPr="006675DE" w:rsidRDefault="00D25468" w:rsidP="0093361E">
            <w:pPr>
              <w:rPr>
                <w:rFonts w:cstheme="minorHAnsi"/>
                <w:b/>
                <w:sz w:val="16"/>
                <w:szCs w:val="16"/>
              </w:rPr>
            </w:pPr>
            <w:r w:rsidRPr="006675DE">
              <w:rPr>
                <w:rFonts w:cstheme="minorHAnsi"/>
                <w:b/>
                <w:sz w:val="16"/>
                <w:szCs w:val="16"/>
              </w:rPr>
              <w:t>No</w:t>
            </w:r>
          </w:p>
        </w:tc>
        <w:tc>
          <w:tcPr>
            <w:tcW w:w="1201" w:type="dxa"/>
          </w:tcPr>
          <w:p w14:paraId="44887060"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950" w:type="dxa"/>
          </w:tcPr>
          <w:p w14:paraId="414BE512" w14:textId="77777777" w:rsidR="00D25468" w:rsidRPr="006675DE" w:rsidRDefault="00D25468" w:rsidP="0093361E">
            <w:pPr>
              <w:rPr>
                <w:rFonts w:cstheme="minorHAnsi"/>
                <w:b/>
                <w:sz w:val="16"/>
                <w:szCs w:val="16"/>
              </w:rPr>
            </w:pPr>
            <w:r w:rsidRPr="006675DE">
              <w:rPr>
                <w:rFonts w:cstheme="minorHAnsi"/>
                <w:b/>
                <w:sz w:val="16"/>
                <w:szCs w:val="16"/>
              </w:rPr>
              <w:t>No</w:t>
            </w:r>
          </w:p>
        </w:tc>
        <w:tc>
          <w:tcPr>
            <w:tcW w:w="903" w:type="dxa"/>
          </w:tcPr>
          <w:p w14:paraId="179FC759" w14:textId="77777777" w:rsidR="00D25468" w:rsidRPr="006675DE" w:rsidRDefault="00D25468" w:rsidP="0093361E">
            <w:pPr>
              <w:rPr>
                <w:rFonts w:cstheme="minorHAnsi"/>
                <w:b/>
                <w:sz w:val="16"/>
                <w:szCs w:val="16"/>
              </w:rPr>
            </w:pPr>
            <w:r w:rsidRPr="006675DE">
              <w:rPr>
                <w:rFonts w:cstheme="minorHAnsi"/>
                <w:b/>
                <w:sz w:val="16"/>
                <w:szCs w:val="16"/>
              </w:rPr>
              <w:t>Yes</w:t>
            </w:r>
          </w:p>
        </w:tc>
        <w:tc>
          <w:tcPr>
            <w:tcW w:w="861" w:type="dxa"/>
          </w:tcPr>
          <w:p w14:paraId="67AF52B5" w14:textId="77777777" w:rsidR="00D25468" w:rsidRPr="006675DE" w:rsidRDefault="00D25468" w:rsidP="0093361E">
            <w:pPr>
              <w:rPr>
                <w:rFonts w:cstheme="minorHAnsi"/>
                <w:b/>
                <w:sz w:val="16"/>
                <w:szCs w:val="16"/>
              </w:rPr>
            </w:pPr>
            <w:r w:rsidRPr="006675DE">
              <w:rPr>
                <w:rFonts w:cstheme="minorHAnsi"/>
                <w:b/>
                <w:sz w:val="16"/>
                <w:szCs w:val="16"/>
              </w:rPr>
              <w:t>Limited value</w:t>
            </w:r>
          </w:p>
        </w:tc>
      </w:tr>
      <w:tr w:rsidR="006675DE" w:rsidRPr="006675DE" w14:paraId="51C8CBAC" w14:textId="77777777" w:rsidTr="0093361E">
        <w:tc>
          <w:tcPr>
            <w:tcW w:w="870" w:type="dxa"/>
          </w:tcPr>
          <w:p w14:paraId="642E8D90" w14:textId="768D00A1" w:rsidR="007E0E19" w:rsidRPr="006675DE" w:rsidRDefault="007E0E19" w:rsidP="0093361E">
            <w:pPr>
              <w:rPr>
                <w:rFonts w:cstheme="minorHAnsi"/>
                <w:b/>
                <w:sz w:val="16"/>
                <w:szCs w:val="16"/>
              </w:rPr>
            </w:pPr>
            <w:r w:rsidRPr="006675DE">
              <w:rPr>
                <w:rFonts w:cstheme="minorHAnsi"/>
                <w:b/>
                <w:sz w:val="16"/>
                <w:szCs w:val="16"/>
              </w:rPr>
              <w:t>Martin et al. (2018)</w:t>
            </w:r>
          </w:p>
        </w:tc>
        <w:tc>
          <w:tcPr>
            <w:tcW w:w="903" w:type="dxa"/>
          </w:tcPr>
          <w:p w14:paraId="68F9B7EF" w14:textId="747221C8" w:rsidR="007E0E19" w:rsidRPr="006675DE" w:rsidRDefault="007E0E19" w:rsidP="0093361E">
            <w:pPr>
              <w:rPr>
                <w:rFonts w:cstheme="minorHAnsi"/>
                <w:b/>
                <w:sz w:val="16"/>
                <w:szCs w:val="16"/>
              </w:rPr>
            </w:pPr>
            <w:r w:rsidRPr="006675DE">
              <w:rPr>
                <w:rFonts w:cstheme="minorHAnsi"/>
                <w:b/>
                <w:sz w:val="16"/>
                <w:szCs w:val="16"/>
              </w:rPr>
              <w:t>Yes</w:t>
            </w:r>
          </w:p>
        </w:tc>
        <w:tc>
          <w:tcPr>
            <w:tcW w:w="1103" w:type="dxa"/>
          </w:tcPr>
          <w:p w14:paraId="4F1237DF" w14:textId="5E660EC0" w:rsidR="007E0E19" w:rsidRPr="006675DE" w:rsidRDefault="007E0E19" w:rsidP="0093361E">
            <w:pPr>
              <w:rPr>
                <w:rFonts w:cstheme="minorHAnsi"/>
                <w:b/>
                <w:sz w:val="16"/>
                <w:szCs w:val="16"/>
              </w:rPr>
            </w:pPr>
            <w:r w:rsidRPr="006675DE">
              <w:rPr>
                <w:rFonts w:cstheme="minorHAnsi"/>
                <w:b/>
                <w:sz w:val="16"/>
                <w:szCs w:val="16"/>
              </w:rPr>
              <w:t>Yes</w:t>
            </w:r>
          </w:p>
        </w:tc>
        <w:tc>
          <w:tcPr>
            <w:tcW w:w="1007" w:type="dxa"/>
          </w:tcPr>
          <w:p w14:paraId="08F63D02" w14:textId="1155F3D2" w:rsidR="007E0E19" w:rsidRPr="006675DE" w:rsidRDefault="007E0E19" w:rsidP="0093361E">
            <w:pPr>
              <w:rPr>
                <w:rFonts w:cstheme="minorHAnsi"/>
                <w:b/>
                <w:sz w:val="16"/>
                <w:szCs w:val="16"/>
              </w:rPr>
            </w:pPr>
            <w:r w:rsidRPr="006675DE">
              <w:rPr>
                <w:rFonts w:cstheme="minorHAnsi"/>
                <w:b/>
                <w:sz w:val="16"/>
                <w:szCs w:val="16"/>
              </w:rPr>
              <w:t>Yes</w:t>
            </w:r>
          </w:p>
        </w:tc>
        <w:tc>
          <w:tcPr>
            <w:tcW w:w="1010" w:type="dxa"/>
          </w:tcPr>
          <w:p w14:paraId="698F24C8" w14:textId="63596996" w:rsidR="007E0E19" w:rsidRPr="006675DE" w:rsidRDefault="007E0E19" w:rsidP="0093361E">
            <w:pPr>
              <w:rPr>
                <w:rFonts w:cstheme="minorHAnsi"/>
                <w:b/>
                <w:sz w:val="16"/>
                <w:szCs w:val="16"/>
              </w:rPr>
            </w:pPr>
            <w:r w:rsidRPr="006675DE">
              <w:rPr>
                <w:rFonts w:cstheme="minorHAnsi"/>
                <w:b/>
                <w:sz w:val="16"/>
                <w:szCs w:val="16"/>
              </w:rPr>
              <w:t>Yes</w:t>
            </w:r>
          </w:p>
        </w:tc>
        <w:tc>
          <w:tcPr>
            <w:tcW w:w="899" w:type="dxa"/>
          </w:tcPr>
          <w:p w14:paraId="3382E932" w14:textId="34F3C014" w:rsidR="007E0E19" w:rsidRPr="006675DE" w:rsidRDefault="00BA4899" w:rsidP="0093361E">
            <w:pPr>
              <w:rPr>
                <w:rFonts w:cstheme="minorHAnsi"/>
                <w:b/>
                <w:sz w:val="16"/>
                <w:szCs w:val="16"/>
              </w:rPr>
            </w:pPr>
            <w:r w:rsidRPr="006675DE">
              <w:rPr>
                <w:rFonts w:cstheme="minorHAnsi"/>
                <w:b/>
                <w:sz w:val="16"/>
                <w:szCs w:val="16"/>
              </w:rPr>
              <w:t>Yes</w:t>
            </w:r>
          </w:p>
        </w:tc>
        <w:tc>
          <w:tcPr>
            <w:tcW w:w="1022" w:type="dxa"/>
          </w:tcPr>
          <w:p w14:paraId="4038E327" w14:textId="7C8A2E17" w:rsidR="007E0E19" w:rsidRPr="006675DE" w:rsidRDefault="007E0E19" w:rsidP="0093361E">
            <w:pPr>
              <w:rPr>
                <w:rFonts w:cstheme="minorHAnsi"/>
                <w:b/>
                <w:sz w:val="16"/>
                <w:szCs w:val="16"/>
              </w:rPr>
            </w:pPr>
            <w:r w:rsidRPr="006675DE">
              <w:rPr>
                <w:rFonts w:cstheme="minorHAnsi"/>
                <w:b/>
                <w:sz w:val="16"/>
                <w:szCs w:val="16"/>
              </w:rPr>
              <w:t>No</w:t>
            </w:r>
          </w:p>
        </w:tc>
        <w:tc>
          <w:tcPr>
            <w:tcW w:w="1201" w:type="dxa"/>
          </w:tcPr>
          <w:p w14:paraId="616F2DA7" w14:textId="47C5D1B1" w:rsidR="007E0E19" w:rsidRPr="006675DE" w:rsidRDefault="007E0E19" w:rsidP="0093361E">
            <w:pPr>
              <w:rPr>
                <w:rFonts w:cstheme="minorHAnsi"/>
                <w:b/>
                <w:sz w:val="16"/>
                <w:szCs w:val="16"/>
              </w:rPr>
            </w:pPr>
            <w:r w:rsidRPr="006675DE">
              <w:rPr>
                <w:rFonts w:cstheme="minorHAnsi"/>
                <w:b/>
                <w:sz w:val="16"/>
                <w:szCs w:val="16"/>
              </w:rPr>
              <w:t>Yes</w:t>
            </w:r>
          </w:p>
        </w:tc>
        <w:tc>
          <w:tcPr>
            <w:tcW w:w="950" w:type="dxa"/>
          </w:tcPr>
          <w:p w14:paraId="01373B62" w14:textId="16C50834" w:rsidR="007E0E19" w:rsidRPr="006675DE" w:rsidRDefault="007E0E19" w:rsidP="0093361E">
            <w:pPr>
              <w:rPr>
                <w:rFonts w:cstheme="minorHAnsi"/>
                <w:b/>
                <w:sz w:val="16"/>
                <w:szCs w:val="16"/>
              </w:rPr>
            </w:pPr>
            <w:r w:rsidRPr="006675DE">
              <w:rPr>
                <w:rFonts w:cstheme="minorHAnsi"/>
                <w:b/>
                <w:sz w:val="16"/>
                <w:szCs w:val="16"/>
              </w:rPr>
              <w:t>Can’t tell</w:t>
            </w:r>
          </w:p>
        </w:tc>
        <w:tc>
          <w:tcPr>
            <w:tcW w:w="903" w:type="dxa"/>
          </w:tcPr>
          <w:p w14:paraId="3EEDDEAA" w14:textId="4A9E8961" w:rsidR="007E0E19" w:rsidRPr="006675DE" w:rsidRDefault="007E0E19" w:rsidP="0093361E">
            <w:pPr>
              <w:rPr>
                <w:rFonts w:cstheme="minorHAnsi"/>
                <w:b/>
                <w:sz w:val="16"/>
                <w:szCs w:val="16"/>
              </w:rPr>
            </w:pPr>
            <w:r w:rsidRPr="006675DE">
              <w:rPr>
                <w:rFonts w:cstheme="minorHAnsi"/>
                <w:b/>
                <w:sz w:val="16"/>
                <w:szCs w:val="16"/>
              </w:rPr>
              <w:t>Yes</w:t>
            </w:r>
          </w:p>
        </w:tc>
        <w:tc>
          <w:tcPr>
            <w:tcW w:w="861" w:type="dxa"/>
          </w:tcPr>
          <w:p w14:paraId="46840536" w14:textId="7838C821" w:rsidR="007E0E19" w:rsidRPr="006675DE" w:rsidRDefault="00BA4899" w:rsidP="0093361E">
            <w:pPr>
              <w:rPr>
                <w:rFonts w:cstheme="minorHAnsi"/>
                <w:b/>
                <w:sz w:val="16"/>
                <w:szCs w:val="16"/>
              </w:rPr>
            </w:pPr>
            <w:r w:rsidRPr="006675DE">
              <w:rPr>
                <w:rFonts w:cstheme="minorHAnsi"/>
                <w:b/>
                <w:sz w:val="16"/>
                <w:szCs w:val="16"/>
              </w:rPr>
              <w:t>Limited value</w:t>
            </w:r>
          </w:p>
        </w:tc>
      </w:tr>
      <w:bookmarkEnd w:id="3"/>
    </w:tbl>
    <w:p w14:paraId="1659D710" w14:textId="6D1C342D" w:rsidR="00667720" w:rsidRPr="006675DE" w:rsidRDefault="00667720" w:rsidP="00730CA9">
      <w:pPr>
        <w:rPr>
          <w:b/>
        </w:rPr>
      </w:pPr>
    </w:p>
    <w:sectPr w:rsidR="00667720" w:rsidRPr="006675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F51D1" w14:textId="77777777" w:rsidR="00A20128" w:rsidRDefault="00A20128" w:rsidP="00EF5E05">
      <w:pPr>
        <w:spacing w:after="0" w:line="240" w:lineRule="auto"/>
      </w:pPr>
      <w:r>
        <w:separator/>
      </w:r>
    </w:p>
  </w:endnote>
  <w:endnote w:type="continuationSeparator" w:id="0">
    <w:p w14:paraId="0B00045A" w14:textId="77777777" w:rsidR="00A20128" w:rsidRDefault="00A20128" w:rsidP="00EF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PSNLSI">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7BE5" w14:textId="77777777" w:rsidR="00A20128" w:rsidRDefault="00A20128" w:rsidP="00EF5E05">
      <w:pPr>
        <w:spacing w:after="0" w:line="240" w:lineRule="auto"/>
      </w:pPr>
      <w:r>
        <w:separator/>
      </w:r>
    </w:p>
  </w:footnote>
  <w:footnote w:type="continuationSeparator" w:id="0">
    <w:p w14:paraId="744D4731" w14:textId="77777777" w:rsidR="00A20128" w:rsidRDefault="00A20128" w:rsidP="00EF5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53A61"/>
    <w:multiLevelType w:val="hybridMultilevel"/>
    <w:tmpl w:val="92B4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937C5"/>
    <w:multiLevelType w:val="hybridMultilevel"/>
    <w:tmpl w:val="74A4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12031"/>
    <w:multiLevelType w:val="multilevel"/>
    <w:tmpl w:val="438487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C3D39C3"/>
    <w:multiLevelType w:val="hybridMultilevel"/>
    <w:tmpl w:val="78E8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D6"/>
    <w:rsid w:val="000202CB"/>
    <w:rsid w:val="00025B40"/>
    <w:rsid w:val="000300A0"/>
    <w:rsid w:val="00032B89"/>
    <w:rsid w:val="00050725"/>
    <w:rsid w:val="000510A8"/>
    <w:rsid w:val="000611C7"/>
    <w:rsid w:val="00092179"/>
    <w:rsid w:val="00097B53"/>
    <w:rsid w:val="000A57D7"/>
    <w:rsid w:val="000A72A2"/>
    <w:rsid w:val="000B3BA3"/>
    <w:rsid w:val="000C1785"/>
    <w:rsid w:val="000E1224"/>
    <w:rsid w:val="00112EDC"/>
    <w:rsid w:val="00150D38"/>
    <w:rsid w:val="00152E93"/>
    <w:rsid w:val="001537C0"/>
    <w:rsid w:val="00156548"/>
    <w:rsid w:val="001609B6"/>
    <w:rsid w:val="00167E49"/>
    <w:rsid w:val="00192611"/>
    <w:rsid w:val="00193CC0"/>
    <w:rsid w:val="001B2B00"/>
    <w:rsid w:val="001B3F2F"/>
    <w:rsid w:val="001D3DD1"/>
    <w:rsid w:val="001D6878"/>
    <w:rsid w:val="00213C3A"/>
    <w:rsid w:val="00215075"/>
    <w:rsid w:val="0023409A"/>
    <w:rsid w:val="0023461E"/>
    <w:rsid w:val="00236643"/>
    <w:rsid w:val="002420A4"/>
    <w:rsid w:val="00252492"/>
    <w:rsid w:val="00255A67"/>
    <w:rsid w:val="00266A00"/>
    <w:rsid w:val="002B4CA4"/>
    <w:rsid w:val="002D0887"/>
    <w:rsid w:val="002E3FA5"/>
    <w:rsid w:val="002F20A9"/>
    <w:rsid w:val="00302F7D"/>
    <w:rsid w:val="00313370"/>
    <w:rsid w:val="003170C3"/>
    <w:rsid w:val="0035234E"/>
    <w:rsid w:val="00367C7F"/>
    <w:rsid w:val="003958B0"/>
    <w:rsid w:val="003A1BBE"/>
    <w:rsid w:val="003B5B9A"/>
    <w:rsid w:val="003C5EF1"/>
    <w:rsid w:val="003D47E5"/>
    <w:rsid w:val="003E465F"/>
    <w:rsid w:val="003E5B0C"/>
    <w:rsid w:val="003F2679"/>
    <w:rsid w:val="003F2EF3"/>
    <w:rsid w:val="003F49D5"/>
    <w:rsid w:val="00402C1A"/>
    <w:rsid w:val="00410ED9"/>
    <w:rsid w:val="00442D92"/>
    <w:rsid w:val="0045583C"/>
    <w:rsid w:val="0046143C"/>
    <w:rsid w:val="00474649"/>
    <w:rsid w:val="004954B0"/>
    <w:rsid w:val="004D2D3A"/>
    <w:rsid w:val="004F038E"/>
    <w:rsid w:val="00511D56"/>
    <w:rsid w:val="00512F31"/>
    <w:rsid w:val="00523BB0"/>
    <w:rsid w:val="00525DF7"/>
    <w:rsid w:val="005345EC"/>
    <w:rsid w:val="0054178F"/>
    <w:rsid w:val="00541EAB"/>
    <w:rsid w:val="005439C7"/>
    <w:rsid w:val="00575352"/>
    <w:rsid w:val="005871A9"/>
    <w:rsid w:val="00587E45"/>
    <w:rsid w:val="005901E5"/>
    <w:rsid w:val="005D1CB9"/>
    <w:rsid w:val="005D7E54"/>
    <w:rsid w:val="005E40E6"/>
    <w:rsid w:val="00605296"/>
    <w:rsid w:val="00611F2D"/>
    <w:rsid w:val="00634161"/>
    <w:rsid w:val="006350B4"/>
    <w:rsid w:val="006367DE"/>
    <w:rsid w:val="006675DE"/>
    <w:rsid w:val="00667720"/>
    <w:rsid w:val="00670E8B"/>
    <w:rsid w:val="006834FE"/>
    <w:rsid w:val="00683CEA"/>
    <w:rsid w:val="00692098"/>
    <w:rsid w:val="006B3E23"/>
    <w:rsid w:val="006B6ADC"/>
    <w:rsid w:val="006D7B90"/>
    <w:rsid w:val="006E2241"/>
    <w:rsid w:val="006E7B0C"/>
    <w:rsid w:val="006F3DFF"/>
    <w:rsid w:val="0071461E"/>
    <w:rsid w:val="00715EA4"/>
    <w:rsid w:val="00722CD9"/>
    <w:rsid w:val="00730CA9"/>
    <w:rsid w:val="007437F3"/>
    <w:rsid w:val="00773880"/>
    <w:rsid w:val="00776B42"/>
    <w:rsid w:val="00776BB1"/>
    <w:rsid w:val="007B5661"/>
    <w:rsid w:val="007C6907"/>
    <w:rsid w:val="007D0C33"/>
    <w:rsid w:val="007E0E19"/>
    <w:rsid w:val="007E5BBD"/>
    <w:rsid w:val="007F7E93"/>
    <w:rsid w:val="00811089"/>
    <w:rsid w:val="00814091"/>
    <w:rsid w:val="008174E7"/>
    <w:rsid w:val="00824A95"/>
    <w:rsid w:val="00826495"/>
    <w:rsid w:val="00826BF5"/>
    <w:rsid w:val="00834285"/>
    <w:rsid w:val="00843E43"/>
    <w:rsid w:val="00847436"/>
    <w:rsid w:val="00852F8C"/>
    <w:rsid w:val="00874CAA"/>
    <w:rsid w:val="00893D1E"/>
    <w:rsid w:val="008A1831"/>
    <w:rsid w:val="008C43B0"/>
    <w:rsid w:val="008D37AC"/>
    <w:rsid w:val="008F41F4"/>
    <w:rsid w:val="008F7C48"/>
    <w:rsid w:val="00905615"/>
    <w:rsid w:val="00926FAE"/>
    <w:rsid w:val="009271C1"/>
    <w:rsid w:val="00927889"/>
    <w:rsid w:val="0093361E"/>
    <w:rsid w:val="00935C63"/>
    <w:rsid w:val="00937E94"/>
    <w:rsid w:val="009525D4"/>
    <w:rsid w:val="0098553C"/>
    <w:rsid w:val="009A00B8"/>
    <w:rsid w:val="009A1965"/>
    <w:rsid w:val="009A63C9"/>
    <w:rsid w:val="009B14A6"/>
    <w:rsid w:val="009B6DA7"/>
    <w:rsid w:val="009C0B23"/>
    <w:rsid w:val="009C6C60"/>
    <w:rsid w:val="009D2394"/>
    <w:rsid w:val="00A05BBF"/>
    <w:rsid w:val="00A074A3"/>
    <w:rsid w:val="00A1384B"/>
    <w:rsid w:val="00A20128"/>
    <w:rsid w:val="00A53625"/>
    <w:rsid w:val="00A622A0"/>
    <w:rsid w:val="00A70998"/>
    <w:rsid w:val="00A7136D"/>
    <w:rsid w:val="00A77200"/>
    <w:rsid w:val="00A85B90"/>
    <w:rsid w:val="00AB01AB"/>
    <w:rsid w:val="00AB5A61"/>
    <w:rsid w:val="00AD2CDB"/>
    <w:rsid w:val="00AF38FA"/>
    <w:rsid w:val="00AF49B2"/>
    <w:rsid w:val="00B0520E"/>
    <w:rsid w:val="00B35FC4"/>
    <w:rsid w:val="00B46781"/>
    <w:rsid w:val="00B55ADC"/>
    <w:rsid w:val="00B5692A"/>
    <w:rsid w:val="00B854DB"/>
    <w:rsid w:val="00B9050D"/>
    <w:rsid w:val="00B93D69"/>
    <w:rsid w:val="00B95B58"/>
    <w:rsid w:val="00B974BF"/>
    <w:rsid w:val="00BA4899"/>
    <w:rsid w:val="00BA6F5D"/>
    <w:rsid w:val="00BD11D6"/>
    <w:rsid w:val="00BD4A9E"/>
    <w:rsid w:val="00BD4F4F"/>
    <w:rsid w:val="00BE516E"/>
    <w:rsid w:val="00BF0AB4"/>
    <w:rsid w:val="00BF3B3E"/>
    <w:rsid w:val="00BF4229"/>
    <w:rsid w:val="00BF46E5"/>
    <w:rsid w:val="00C1019C"/>
    <w:rsid w:val="00C23519"/>
    <w:rsid w:val="00C24853"/>
    <w:rsid w:val="00C264C4"/>
    <w:rsid w:val="00C30A71"/>
    <w:rsid w:val="00C3174C"/>
    <w:rsid w:val="00C44B7A"/>
    <w:rsid w:val="00C44E2A"/>
    <w:rsid w:val="00C62B66"/>
    <w:rsid w:val="00C724F4"/>
    <w:rsid w:val="00C85F8B"/>
    <w:rsid w:val="00C87CA3"/>
    <w:rsid w:val="00C92B71"/>
    <w:rsid w:val="00C963D5"/>
    <w:rsid w:val="00CA1E89"/>
    <w:rsid w:val="00CA3B1B"/>
    <w:rsid w:val="00CA50DC"/>
    <w:rsid w:val="00CB5C76"/>
    <w:rsid w:val="00CC56C8"/>
    <w:rsid w:val="00CD0639"/>
    <w:rsid w:val="00CF2F5E"/>
    <w:rsid w:val="00CF5680"/>
    <w:rsid w:val="00CF7922"/>
    <w:rsid w:val="00D04531"/>
    <w:rsid w:val="00D150E6"/>
    <w:rsid w:val="00D150E7"/>
    <w:rsid w:val="00D22004"/>
    <w:rsid w:val="00D25468"/>
    <w:rsid w:val="00D33093"/>
    <w:rsid w:val="00D42E58"/>
    <w:rsid w:val="00D45E49"/>
    <w:rsid w:val="00D7210F"/>
    <w:rsid w:val="00D72EE4"/>
    <w:rsid w:val="00D941DC"/>
    <w:rsid w:val="00DA05A7"/>
    <w:rsid w:val="00DA1AB2"/>
    <w:rsid w:val="00DA4E4B"/>
    <w:rsid w:val="00DB2EC1"/>
    <w:rsid w:val="00DC406F"/>
    <w:rsid w:val="00DD5CB6"/>
    <w:rsid w:val="00DD5E79"/>
    <w:rsid w:val="00DE356D"/>
    <w:rsid w:val="00DF2D04"/>
    <w:rsid w:val="00DF4D93"/>
    <w:rsid w:val="00E004FD"/>
    <w:rsid w:val="00E07610"/>
    <w:rsid w:val="00E50514"/>
    <w:rsid w:val="00E6480D"/>
    <w:rsid w:val="00E70215"/>
    <w:rsid w:val="00E84DF6"/>
    <w:rsid w:val="00E87DFA"/>
    <w:rsid w:val="00E90387"/>
    <w:rsid w:val="00E97204"/>
    <w:rsid w:val="00ED13D7"/>
    <w:rsid w:val="00EE311E"/>
    <w:rsid w:val="00EF41E5"/>
    <w:rsid w:val="00EF5E05"/>
    <w:rsid w:val="00F23EEC"/>
    <w:rsid w:val="00F26545"/>
    <w:rsid w:val="00F26DAF"/>
    <w:rsid w:val="00F368B0"/>
    <w:rsid w:val="00F41307"/>
    <w:rsid w:val="00F56101"/>
    <w:rsid w:val="00F64AA2"/>
    <w:rsid w:val="00F70A02"/>
    <w:rsid w:val="00F849AF"/>
    <w:rsid w:val="00F965D5"/>
    <w:rsid w:val="00FA3338"/>
    <w:rsid w:val="00FB1623"/>
    <w:rsid w:val="00FC1803"/>
    <w:rsid w:val="00FD47FA"/>
    <w:rsid w:val="00FD6A88"/>
    <w:rsid w:val="00FE5020"/>
    <w:rsid w:val="00FF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7296"/>
  <w15:chartTrackingRefBased/>
  <w15:docId w15:val="{D2C7EEF1-A88E-4C5E-B763-9C069E94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67720"/>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1C1"/>
    <w:pPr>
      <w:ind w:left="720"/>
      <w:contextualSpacing/>
    </w:pPr>
  </w:style>
  <w:style w:type="paragraph" w:styleId="Header">
    <w:name w:val="header"/>
    <w:basedOn w:val="Normal"/>
    <w:link w:val="HeaderChar"/>
    <w:unhideWhenUsed/>
    <w:rsid w:val="00EF5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E05"/>
  </w:style>
  <w:style w:type="paragraph" w:styleId="Footer">
    <w:name w:val="footer"/>
    <w:basedOn w:val="Normal"/>
    <w:link w:val="FooterChar"/>
    <w:uiPriority w:val="99"/>
    <w:unhideWhenUsed/>
    <w:rsid w:val="00EF5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E05"/>
  </w:style>
  <w:style w:type="character" w:styleId="Hyperlink">
    <w:name w:val="Hyperlink"/>
    <w:basedOn w:val="DefaultParagraphFont"/>
    <w:uiPriority w:val="99"/>
    <w:unhideWhenUsed/>
    <w:rsid w:val="00634161"/>
    <w:rPr>
      <w:color w:val="0000FF"/>
      <w:u w:val="single"/>
    </w:rPr>
  </w:style>
  <w:style w:type="table" w:styleId="TableGrid">
    <w:name w:val="Table Grid"/>
    <w:basedOn w:val="TableNormal"/>
    <w:uiPriority w:val="39"/>
    <w:rsid w:val="00CF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CEA"/>
    <w:rPr>
      <w:sz w:val="16"/>
      <w:szCs w:val="16"/>
    </w:rPr>
  </w:style>
  <w:style w:type="paragraph" w:styleId="CommentText">
    <w:name w:val="annotation text"/>
    <w:basedOn w:val="Normal"/>
    <w:link w:val="CommentTextChar"/>
    <w:uiPriority w:val="99"/>
    <w:semiHidden/>
    <w:unhideWhenUsed/>
    <w:rsid w:val="00683CEA"/>
    <w:pPr>
      <w:spacing w:line="240" w:lineRule="auto"/>
    </w:pPr>
    <w:rPr>
      <w:sz w:val="20"/>
      <w:szCs w:val="20"/>
    </w:rPr>
  </w:style>
  <w:style w:type="character" w:customStyle="1" w:styleId="CommentTextChar">
    <w:name w:val="Comment Text Char"/>
    <w:basedOn w:val="DefaultParagraphFont"/>
    <w:link w:val="CommentText"/>
    <w:uiPriority w:val="99"/>
    <w:semiHidden/>
    <w:rsid w:val="00683CEA"/>
    <w:rPr>
      <w:sz w:val="20"/>
      <w:szCs w:val="20"/>
    </w:rPr>
  </w:style>
  <w:style w:type="paragraph" w:styleId="CommentSubject">
    <w:name w:val="annotation subject"/>
    <w:basedOn w:val="CommentText"/>
    <w:next w:val="CommentText"/>
    <w:link w:val="CommentSubjectChar"/>
    <w:uiPriority w:val="99"/>
    <w:semiHidden/>
    <w:unhideWhenUsed/>
    <w:rsid w:val="00683CEA"/>
    <w:rPr>
      <w:b/>
      <w:bCs/>
    </w:rPr>
  </w:style>
  <w:style w:type="character" w:customStyle="1" w:styleId="CommentSubjectChar">
    <w:name w:val="Comment Subject Char"/>
    <w:basedOn w:val="CommentTextChar"/>
    <w:link w:val="CommentSubject"/>
    <w:uiPriority w:val="99"/>
    <w:semiHidden/>
    <w:rsid w:val="00683CEA"/>
    <w:rPr>
      <w:b/>
      <w:bCs/>
      <w:sz w:val="20"/>
      <w:szCs w:val="20"/>
    </w:rPr>
  </w:style>
  <w:style w:type="paragraph" w:styleId="BalloonText">
    <w:name w:val="Balloon Text"/>
    <w:basedOn w:val="Normal"/>
    <w:link w:val="BalloonTextChar"/>
    <w:uiPriority w:val="99"/>
    <w:semiHidden/>
    <w:unhideWhenUsed/>
    <w:rsid w:val="00683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EA"/>
    <w:rPr>
      <w:rFonts w:ascii="Segoe UI" w:hAnsi="Segoe UI" w:cs="Segoe UI"/>
      <w:sz w:val="18"/>
      <w:szCs w:val="18"/>
    </w:rPr>
  </w:style>
  <w:style w:type="character" w:customStyle="1" w:styleId="epub-date">
    <w:name w:val="epub-date"/>
    <w:basedOn w:val="DefaultParagraphFont"/>
    <w:rsid w:val="00A7136D"/>
  </w:style>
  <w:style w:type="character" w:customStyle="1" w:styleId="UnresolvedMention">
    <w:name w:val="Unresolved Mention"/>
    <w:basedOn w:val="DefaultParagraphFont"/>
    <w:uiPriority w:val="99"/>
    <w:semiHidden/>
    <w:unhideWhenUsed/>
    <w:rsid w:val="00A7136D"/>
    <w:rPr>
      <w:color w:val="605E5C"/>
      <w:shd w:val="clear" w:color="auto" w:fill="E1DFDD"/>
    </w:rPr>
  </w:style>
  <w:style w:type="character" w:customStyle="1" w:styleId="absmetadatalabel">
    <w:name w:val="abs_metadata_label"/>
    <w:basedOn w:val="DefaultParagraphFont"/>
    <w:rsid w:val="00824A95"/>
  </w:style>
  <w:style w:type="character" w:customStyle="1" w:styleId="subhead-sans">
    <w:name w:val="subhead-sans"/>
    <w:basedOn w:val="DefaultParagraphFont"/>
    <w:rsid w:val="00A622A0"/>
  </w:style>
  <w:style w:type="character" w:customStyle="1" w:styleId="doi">
    <w:name w:val="doi"/>
    <w:basedOn w:val="DefaultParagraphFont"/>
    <w:rsid w:val="00A622A0"/>
  </w:style>
  <w:style w:type="character" w:customStyle="1" w:styleId="Heading2Char">
    <w:name w:val="Heading 2 Char"/>
    <w:basedOn w:val="DefaultParagraphFont"/>
    <w:link w:val="Heading2"/>
    <w:rsid w:val="00667720"/>
    <w:rPr>
      <w:rFonts w:ascii="Times New Roman" w:eastAsia="Times New Roman" w:hAnsi="Times New Roman" w:cs="Times New Roman"/>
      <w:b/>
      <w:bCs/>
      <w:color w:val="000000"/>
      <w:kern w:val="28"/>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8725">
      <w:bodyDiv w:val="1"/>
      <w:marLeft w:val="0"/>
      <w:marRight w:val="0"/>
      <w:marTop w:val="0"/>
      <w:marBottom w:val="0"/>
      <w:divBdr>
        <w:top w:val="none" w:sz="0" w:space="0" w:color="auto"/>
        <w:left w:val="none" w:sz="0" w:space="0" w:color="auto"/>
        <w:bottom w:val="none" w:sz="0" w:space="0" w:color="auto"/>
        <w:right w:val="none" w:sz="0" w:space="0" w:color="auto"/>
      </w:divBdr>
      <w:divsChild>
        <w:div w:id="731732948">
          <w:marLeft w:val="0"/>
          <w:marRight w:val="0"/>
          <w:marTop w:val="0"/>
          <w:marBottom w:val="0"/>
          <w:divBdr>
            <w:top w:val="none" w:sz="0" w:space="0" w:color="auto"/>
            <w:left w:val="none" w:sz="0" w:space="0" w:color="auto"/>
            <w:bottom w:val="none" w:sz="0" w:space="0" w:color="auto"/>
            <w:right w:val="none" w:sz="0" w:space="0" w:color="auto"/>
          </w:divBdr>
        </w:div>
      </w:divsChild>
    </w:div>
    <w:div w:id="74863609">
      <w:bodyDiv w:val="1"/>
      <w:marLeft w:val="0"/>
      <w:marRight w:val="0"/>
      <w:marTop w:val="0"/>
      <w:marBottom w:val="0"/>
      <w:divBdr>
        <w:top w:val="none" w:sz="0" w:space="0" w:color="auto"/>
        <w:left w:val="none" w:sz="0" w:space="0" w:color="auto"/>
        <w:bottom w:val="none" w:sz="0" w:space="0" w:color="auto"/>
        <w:right w:val="none" w:sz="0" w:space="0" w:color="auto"/>
      </w:divBdr>
      <w:divsChild>
        <w:div w:id="812678666">
          <w:marLeft w:val="0"/>
          <w:marRight w:val="0"/>
          <w:marTop w:val="0"/>
          <w:marBottom w:val="0"/>
          <w:divBdr>
            <w:top w:val="none" w:sz="0" w:space="0" w:color="auto"/>
            <w:left w:val="none" w:sz="0" w:space="0" w:color="auto"/>
            <w:bottom w:val="none" w:sz="0" w:space="0" w:color="auto"/>
            <w:right w:val="none" w:sz="0" w:space="0" w:color="auto"/>
          </w:divBdr>
        </w:div>
      </w:divsChild>
    </w:div>
    <w:div w:id="122820324">
      <w:bodyDiv w:val="1"/>
      <w:marLeft w:val="0"/>
      <w:marRight w:val="0"/>
      <w:marTop w:val="0"/>
      <w:marBottom w:val="0"/>
      <w:divBdr>
        <w:top w:val="none" w:sz="0" w:space="0" w:color="auto"/>
        <w:left w:val="none" w:sz="0" w:space="0" w:color="auto"/>
        <w:bottom w:val="none" w:sz="0" w:space="0" w:color="auto"/>
        <w:right w:val="none" w:sz="0" w:space="0" w:color="auto"/>
      </w:divBdr>
      <w:divsChild>
        <w:div w:id="672147289">
          <w:marLeft w:val="0"/>
          <w:marRight w:val="0"/>
          <w:marTop w:val="0"/>
          <w:marBottom w:val="0"/>
          <w:divBdr>
            <w:top w:val="none" w:sz="0" w:space="0" w:color="auto"/>
            <w:left w:val="none" w:sz="0" w:space="0" w:color="auto"/>
            <w:bottom w:val="none" w:sz="0" w:space="0" w:color="auto"/>
            <w:right w:val="none" w:sz="0" w:space="0" w:color="auto"/>
          </w:divBdr>
        </w:div>
      </w:divsChild>
    </w:div>
    <w:div w:id="159198566">
      <w:bodyDiv w:val="1"/>
      <w:marLeft w:val="0"/>
      <w:marRight w:val="0"/>
      <w:marTop w:val="0"/>
      <w:marBottom w:val="0"/>
      <w:divBdr>
        <w:top w:val="none" w:sz="0" w:space="0" w:color="auto"/>
        <w:left w:val="none" w:sz="0" w:space="0" w:color="auto"/>
        <w:bottom w:val="none" w:sz="0" w:space="0" w:color="auto"/>
        <w:right w:val="none" w:sz="0" w:space="0" w:color="auto"/>
      </w:divBdr>
      <w:divsChild>
        <w:div w:id="599796172">
          <w:marLeft w:val="0"/>
          <w:marRight w:val="0"/>
          <w:marTop w:val="0"/>
          <w:marBottom w:val="0"/>
          <w:divBdr>
            <w:top w:val="none" w:sz="0" w:space="0" w:color="auto"/>
            <w:left w:val="none" w:sz="0" w:space="0" w:color="auto"/>
            <w:bottom w:val="none" w:sz="0" w:space="0" w:color="auto"/>
            <w:right w:val="none" w:sz="0" w:space="0" w:color="auto"/>
          </w:divBdr>
        </w:div>
      </w:divsChild>
    </w:div>
    <w:div w:id="221908787">
      <w:bodyDiv w:val="1"/>
      <w:marLeft w:val="0"/>
      <w:marRight w:val="0"/>
      <w:marTop w:val="0"/>
      <w:marBottom w:val="0"/>
      <w:divBdr>
        <w:top w:val="none" w:sz="0" w:space="0" w:color="auto"/>
        <w:left w:val="none" w:sz="0" w:space="0" w:color="auto"/>
        <w:bottom w:val="none" w:sz="0" w:space="0" w:color="auto"/>
        <w:right w:val="none" w:sz="0" w:space="0" w:color="auto"/>
      </w:divBdr>
      <w:divsChild>
        <w:div w:id="1476411040">
          <w:marLeft w:val="0"/>
          <w:marRight w:val="0"/>
          <w:marTop w:val="0"/>
          <w:marBottom w:val="0"/>
          <w:divBdr>
            <w:top w:val="none" w:sz="0" w:space="0" w:color="auto"/>
            <w:left w:val="none" w:sz="0" w:space="0" w:color="auto"/>
            <w:bottom w:val="none" w:sz="0" w:space="0" w:color="auto"/>
            <w:right w:val="none" w:sz="0" w:space="0" w:color="auto"/>
          </w:divBdr>
        </w:div>
      </w:divsChild>
    </w:div>
    <w:div w:id="235095381">
      <w:bodyDiv w:val="1"/>
      <w:marLeft w:val="0"/>
      <w:marRight w:val="0"/>
      <w:marTop w:val="0"/>
      <w:marBottom w:val="0"/>
      <w:divBdr>
        <w:top w:val="none" w:sz="0" w:space="0" w:color="auto"/>
        <w:left w:val="none" w:sz="0" w:space="0" w:color="auto"/>
        <w:bottom w:val="none" w:sz="0" w:space="0" w:color="auto"/>
        <w:right w:val="none" w:sz="0" w:space="0" w:color="auto"/>
      </w:divBdr>
      <w:divsChild>
        <w:div w:id="416054641">
          <w:marLeft w:val="0"/>
          <w:marRight w:val="0"/>
          <w:marTop w:val="0"/>
          <w:marBottom w:val="0"/>
          <w:divBdr>
            <w:top w:val="none" w:sz="0" w:space="0" w:color="auto"/>
            <w:left w:val="none" w:sz="0" w:space="0" w:color="auto"/>
            <w:bottom w:val="none" w:sz="0" w:space="0" w:color="auto"/>
            <w:right w:val="none" w:sz="0" w:space="0" w:color="auto"/>
          </w:divBdr>
        </w:div>
      </w:divsChild>
    </w:div>
    <w:div w:id="267782695">
      <w:bodyDiv w:val="1"/>
      <w:marLeft w:val="0"/>
      <w:marRight w:val="0"/>
      <w:marTop w:val="0"/>
      <w:marBottom w:val="0"/>
      <w:divBdr>
        <w:top w:val="none" w:sz="0" w:space="0" w:color="auto"/>
        <w:left w:val="none" w:sz="0" w:space="0" w:color="auto"/>
        <w:bottom w:val="none" w:sz="0" w:space="0" w:color="auto"/>
        <w:right w:val="none" w:sz="0" w:space="0" w:color="auto"/>
      </w:divBdr>
      <w:divsChild>
        <w:div w:id="1834251423">
          <w:marLeft w:val="0"/>
          <w:marRight w:val="0"/>
          <w:marTop w:val="0"/>
          <w:marBottom w:val="0"/>
          <w:divBdr>
            <w:top w:val="none" w:sz="0" w:space="0" w:color="auto"/>
            <w:left w:val="none" w:sz="0" w:space="0" w:color="auto"/>
            <w:bottom w:val="none" w:sz="0" w:space="0" w:color="auto"/>
            <w:right w:val="none" w:sz="0" w:space="0" w:color="auto"/>
          </w:divBdr>
        </w:div>
      </w:divsChild>
    </w:div>
    <w:div w:id="370224490">
      <w:bodyDiv w:val="1"/>
      <w:marLeft w:val="0"/>
      <w:marRight w:val="0"/>
      <w:marTop w:val="0"/>
      <w:marBottom w:val="0"/>
      <w:divBdr>
        <w:top w:val="none" w:sz="0" w:space="0" w:color="auto"/>
        <w:left w:val="none" w:sz="0" w:space="0" w:color="auto"/>
        <w:bottom w:val="none" w:sz="0" w:space="0" w:color="auto"/>
        <w:right w:val="none" w:sz="0" w:space="0" w:color="auto"/>
      </w:divBdr>
      <w:divsChild>
        <w:div w:id="1128545348">
          <w:marLeft w:val="0"/>
          <w:marRight w:val="0"/>
          <w:marTop w:val="0"/>
          <w:marBottom w:val="0"/>
          <w:divBdr>
            <w:top w:val="none" w:sz="0" w:space="0" w:color="auto"/>
            <w:left w:val="none" w:sz="0" w:space="0" w:color="auto"/>
            <w:bottom w:val="none" w:sz="0" w:space="0" w:color="auto"/>
            <w:right w:val="none" w:sz="0" w:space="0" w:color="auto"/>
          </w:divBdr>
        </w:div>
      </w:divsChild>
    </w:div>
    <w:div w:id="372075003">
      <w:bodyDiv w:val="1"/>
      <w:marLeft w:val="0"/>
      <w:marRight w:val="0"/>
      <w:marTop w:val="0"/>
      <w:marBottom w:val="0"/>
      <w:divBdr>
        <w:top w:val="none" w:sz="0" w:space="0" w:color="auto"/>
        <w:left w:val="none" w:sz="0" w:space="0" w:color="auto"/>
        <w:bottom w:val="none" w:sz="0" w:space="0" w:color="auto"/>
        <w:right w:val="none" w:sz="0" w:space="0" w:color="auto"/>
      </w:divBdr>
      <w:divsChild>
        <w:div w:id="1083452323">
          <w:marLeft w:val="0"/>
          <w:marRight w:val="0"/>
          <w:marTop w:val="0"/>
          <w:marBottom w:val="0"/>
          <w:divBdr>
            <w:top w:val="none" w:sz="0" w:space="0" w:color="auto"/>
            <w:left w:val="none" w:sz="0" w:space="0" w:color="auto"/>
            <w:bottom w:val="none" w:sz="0" w:space="0" w:color="auto"/>
            <w:right w:val="none" w:sz="0" w:space="0" w:color="auto"/>
          </w:divBdr>
        </w:div>
      </w:divsChild>
    </w:div>
    <w:div w:id="402414842">
      <w:bodyDiv w:val="1"/>
      <w:marLeft w:val="0"/>
      <w:marRight w:val="0"/>
      <w:marTop w:val="0"/>
      <w:marBottom w:val="0"/>
      <w:divBdr>
        <w:top w:val="none" w:sz="0" w:space="0" w:color="auto"/>
        <w:left w:val="none" w:sz="0" w:space="0" w:color="auto"/>
        <w:bottom w:val="none" w:sz="0" w:space="0" w:color="auto"/>
        <w:right w:val="none" w:sz="0" w:space="0" w:color="auto"/>
      </w:divBdr>
      <w:divsChild>
        <w:div w:id="42559729">
          <w:marLeft w:val="0"/>
          <w:marRight w:val="0"/>
          <w:marTop w:val="0"/>
          <w:marBottom w:val="0"/>
          <w:divBdr>
            <w:top w:val="none" w:sz="0" w:space="0" w:color="auto"/>
            <w:left w:val="none" w:sz="0" w:space="0" w:color="auto"/>
            <w:bottom w:val="none" w:sz="0" w:space="0" w:color="auto"/>
            <w:right w:val="none" w:sz="0" w:space="0" w:color="auto"/>
          </w:divBdr>
        </w:div>
      </w:divsChild>
    </w:div>
    <w:div w:id="409351201">
      <w:bodyDiv w:val="1"/>
      <w:marLeft w:val="0"/>
      <w:marRight w:val="0"/>
      <w:marTop w:val="0"/>
      <w:marBottom w:val="0"/>
      <w:divBdr>
        <w:top w:val="none" w:sz="0" w:space="0" w:color="auto"/>
        <w:left w:val="none" w:sz="0" w:space="0" w:color="auto"/>
        <w:bottom w:val="none" w:sz="0" w:space="0" w:color="auto"/>
        <w:right w:val="none" w:sz="0" w:space="0" w:color="auto"/>
      </w:divBdr>
      <w:divsChild>
        <w:div w:id="687633745">
          <w:marLeft w:val="0"/>
          <w:marRight w:val="0"/>
          <w:marTop w:val="0"/>
          <w:marBottom w:val="0"/>
          <w:divBdr>
            <w:top w:val="none" w:sz="0" w:space="0" w:color="auto"/>
            <w:left w:val="none" w:sz="0" w:space="0" w:color="auto"/>
            <w:bottom w:val="none" w:sz="0" w:space="0" w:color="auto"/>
            <w:right w:val="none" w:sz="0" w:space="0" w:color="auto"/>
          </w:divBdr>
        </w:div>
        <w:div w:id="1577782016">
          <w:marLeft w:val="0"/>
          <w:marRight w:val="0"/>
          <w:marTop w:val="0"/>
          <w:marBottom w:val="0"/>
          <w:divBdr>
            <w:top w:val="none" w:sz="0" w:space="0" w:color="auto"/>
            <w:left w:val="none" w:sz="0" w:space="0" w:color="auto"/>
            <w:bottom w:val="none" w:sz="0" w:space="0" w:color="auto"/>
            <w:right w:val="none" w:sz="0" w:space="0" w:color="auto"/>
          </w:divBdr>
        </w:div>
      </w:divsChild>
    </w:div>
    <w:div w:id="564729762">
      <w:bodyDiv w:val="1"/>
      <w:marLeft w:val="0"/>
      <w:marRight w:val="0"/>
      <w:marTop w:val="0"/>
      <w:marBottom w:val="0"/>
      <w:divBdr>
        <w:top w:val="none" w:sz="0" w:space="0" w:color="auto"/>
        <w:left w:val="none" w:sz="0" w:space="0" w:color="auto"/>
        <w:bottom w:val="none" w:sz="0" w:space="0" w:color="auto"/>
        <w:right w:val="none" w:sz="0" w:space="0" w:color="auto"/>
      </w:divBdr>
      <w:divsChild>
        <w:div w:id="2099060405">
          <w:marLeft w:val="0"/>
          <w:marRight w:val="0"/>
          <w:marTop w:val="0"/>
          <w:marBottom w:val="0"/>
          <w:divBdr>
            <w:top w:val="none" w:sz="0" w:space="0" w:color="auto"/>
            <w:left w:val="none" w:sz="0" w:space="0" w:color="auto"/>
            <w:bottom w:val="none" w:sz="0" w:space="0" w:color="auto"/>
            <w:right w:val="none" w:sz="0" w:space="0" w:color="auto"/>
          </w:divBdr>
        </w:div>
      </w:divsChild>
    </w:div>
    <w:div w:id="690451067">
      <w:bodyDiv w:val="1"/>
      <w:marLeft w:val="0"/>
      <w:marRight w:val="0"/>
      <w:marTop w:val="0"/>
      <w:marBottom w:val="0"/>
      <w:divBdr>
        <w:top w:val="none" w:sz="0" w:space="0" w:color="auto"/>
        <w:left w:val="none" w:sz="0" w:space="0" w:color="auto"/>
        <w:bottom w:val="none" w:sz="0" w:space="0" w:color="auto"/>
        <w:right w:val="none" w:sz="0" w:space="0" w:color="auto"/>
      </w:divBdr>
      <w:divsChild>
        <w:div w:id="1597591425">
          <w:marLeft w:val="0"/>
          <w:marRight w:val="0"/>
          <w:marTop w:val="0"/>
          <w:marBottom w:val="0"/>
          <w:divBdr>
            <w:top w:val="none" w:sz="0" w:space="0" w:color="auto"/>
            <w:left w:val="none" w:sz="0" w:space="0" w:color="auto"/>
            <w:bottom w:val="none" w:sz="0" w:space="0" w:color="auto"/>
            <w:right w:val="none" w:sz="0" w:space="0" w:color="auto"/>
          </w:divBdr>
        </w:div>
      </w:divsChild>
    </w:div>
    <w:div w:id="773553270">
      <w:bodyDiv w:val="1"/>
      <w:marLeft w:val="0"/>
      <w:marRight w:val="0"/>
      <w:marTop w:val="0"/>
      <w:marBottom w:val="0"/>
      <w:divBdr>
        <w:top w:val="none" w:sz="0" w:space="0" w:color="auto"/>
        <w:left w:val="none" w:sz="0" w:space="0" w:color="auto"/>
        <w:bottom w:val="none" w:sz="0" w:space="0" w:color="auto"/>
        <w:right w:val="none" w:sz="0" w:space="0" w:color="auto"/>
      </w:divBdr>
      <w:divsChild>
        <w:div w:id="239096078">
          <w:marLeft w:val="0"/>
          <w:marRight w:val="0"/>
          <w:marTop w:val="0"/>
          <w:marBottom w:val="0"/>
          <w:divBdr>
            <w:top w:val="none" w:sz="0" w:space="0" w:color="auto"/>
            <w:left w:val="none" w:sz="0" w:space="0" w:color="auto"/>
            <w:bottom w:val="none" w:sz="0" w:space="0" w:color="auto"/>
            <w:right w:val="none" w:sz="0" w:space="0" w:color="auto"/>
          </w:divBdr>
        </w:div>
      </w:divsChild>
    </w:div>
    <w:div w:id="818304606">
      <w:bodyDiv w:val="1"/>
      <w:marLeft w:val="0"/>
      <w:marRight w:val="0"/>
      <w:marTop w:val="0"/>
      <w:marBottom w:val="0"/>
      <w:divBdr>
        <w:top w:val="none" w:sz="0" w:space="0" w:color="auto"/>
        <w:left w:val="none" w:sz="0" w:space="0" w:color="auto"/>
        <w:bottom w:val="none" w:sz="0" w:space="0" w:color="auto"/>
        <w:right w:val="none" w:sz="0" w:space="0" w:color="auto"/>
      </w:divBdr>
      <w:divsChild>
        <w:div w:id="1430394426">
          <w:marLeft w:val="0"/>
          <w:marRight w:val="0"/>
          <w:marTop w:val="0"/>
          <w:marBottom w:val="0"/>
          <w:divBdr>
            <w:top w:val="none" w:sz="0" w:space="0" w:color="auto"/>
            <w:left w:val="none" w:sz="0" w:space="0" w:color="auto"/>
            <w:bottom w:val="none" w:sz="0" w:space="0" w:color="auto"/>
            <w:right w:val="none" w:sz="0" w:space="0" w:color="auto"/>
          </w:divBdr>
        </w:div>
      </w:divsChild>
    </w:div>
    <w:div w:id="939945858">
      <w:bodyDiv w:val="1"/>
      <w:marLeft w:val="0"/>
      <w:marRight w:val="0"/>
      <w:marTop w:val="0"/>
      <w:marBottom w:val="0"/>
      <w:divBdr>
        <w:top w:val="none" w:sz="0" w:space="0" w:color="auto"/>
        <w:left w:val="none" w:sz="0" w:space="0" w:color="auto"/>
        <w:bottom w:val="none" w:sz="0" w:space="0" w:color="auto"/>
        <w:right w:val="none" w:sz="0" w:space="0" w:color="auto"/>
      </w:divBdr>
      <w:divsChild>
        <w:div w:id="1488323642">
          <w:marLeft w:val="0"/>
          <w:marRight w:val="0"/>
          <w:marTop w:val="0"/>
          <w:marBottom w:val="0"/>
          <w:divBdr>
            <w:top w:val="none" w:sz="0" w:space="0" w:color="auto"/>
            <w:left w:val="none" w:sz="0" w:space="0" w:color="auto"/>
            <w:bottom w:val="none" w:sz="0" w:space="0" w:color="auto"/>
            <w:right w:val="none" w:sz="0" w:space="0" w:color="auto"/>
          </w:divBdr>
        </w:div>
      </w:divsChild>
    </w:div>
    <w:div w:id="1063869452">
      <w:bodyDiv w:val="1"/>
      <w:marLeft w:val="0"/>
      <w:marRight w:val="0"/>
      <w:marTop w:val="0"/>
      <w:marBottom w:val="0"/>
      <w:divBdr>
        <w:top w:val="none" w:sz="0" w:space="0" w:color="auto"/>
        <w:left w:val="none" w:sz="0" w:space="0" w:color="auto"/>
        <w:bottom w:val="none" w:sz="0" w:space="0" w:color="auto"/>
        <w:right w:val="none" w:sz="0" w:space="0" w:color="auto"/>
      </w:divBdr>
      <w:divsChild>
        <w:div w:id="1674256798">
          <w:marLeft w:val="0"/>
          <w:marRight w:val="0"/>
          <w:marTop w:val="0"/>
          <w:marBottom w:val="0"/>
          <w:divBdr>
            <w:top w:val="none" w:sz="0" w:space="0" w:color="auto"/>
            <w:left w:val="none" w:sz="0" w:space="0" w:color="auto"/>
            <w:bottom w:val="none" w:sz="0" w:space="0" w:color="auto"/>
            <w:right w:val="none" w:sz="0" w:space="0" w:color="auto"/>
          </w:divBdr>
        </w:div>
      </w:divsChild>
    </w:div>
    <w:div w:id="1125660159">
      <w:bodyDiv w:val="1"/>
      <w:marLeft w:val="0"/>
      <w:marRight w:val="0"/>
      <w:marTop w:val="0"/>
      <w:marBottom w:val="0"/>
      <w:divBdr>
        <w:top w:val="none" w:sz="0" w:space="0" w:color="auto"/>
        <w:left w:val="none" w:sz="0" w:space="0" w:color="auto"/>
        <w:bottom w:val="none" w:sz="0" w:space="0" w:color="auto"/>
        <w:right w:val="none" w:sz="0" w:space="0" w:color="auto"/>
      </w:divBdr>
      <w:divsChild>
        <w:div w:id="1404176806">
          <w:marLeft w:val="0"/>
          <w:marRight w:val="0"/>
          <w:marTop w:val="0"/>
          <w:marBottom w:val="0"/>
          <w:divBdr>
            <w:top w:val="none" w:sz="0" w:space="0" w:color="auto"/>
            <w:left w:val="none" w:sz="0" w:space="0" w:color="auto"/>
            <w:bottom w:val="none" w:sz="0" w:space="0" w:color="auto"/>
            <w:right w:val="none" w:sz="0" w:space="0" w:color="auto"/>
          </w:divBdr>
        </w:div>
      </w:divsChild>
    </w:div>
    <w:div w:id="1306083952">
      <w:bodyDiv w:val="1"/>
      <w:marLeft w:val="0"/>
      <w:marRight w:val="0"/>
      <w:marTop w:val="0"/>
      <w:marBottom w:val="0"/>
      <w:divBdr>
        <w:top w:val="none" w:sz="0" w:space="0" w:color="auto"/>
        <w:left w:val="none" w:sz="0" w:space="0" w:color="auto"/>
        <w:bottom w:val="none" w:sz="0" w:space="0" w:color="auto"/>
        <w:right w:val="none" w:sz="0" w:space="0" w:color="auto"/>
      </w:divBdr>
      <w:divsChild>
        <w:div w:id="1509709715">
          <w:marLeft w:val="0"/>
          <w:marRight w:val="0"/>
          <w:marTop w:val="0"/>
          <w:marBottom w:val="0"/>
          <w:divBdr>
            <w:top w:val="none" w:sz="0" w:space="0" w:color="auto"/>
            <w:left w:val="none" w:sz="0" w:space="0" w:color="auto"/>
            <w:bottom w:val="none" w:sz="0" w:space="0" w:color="auto"/>
            <w:right w:val="none" w:sz="0" w:space="0" w:color="auto"/>
          </w:divBdr>
        </w:div>
      </w:divsChild>
    </w:div>
    <w:div w:id="1527789074">
      <w:bodyDiv w:val="1"/>
      <w:marLeft w:val="0"/>
      <w:marRight w:val="0"/>
      <w:marTop w:val="0"/>
      <w:marBottom w:val="0"/>
      <w:divBdr>
        <w:top w:val="none" w:sz="0" w:space="0" w:color="auto"/>
        <w:left w:val="none" w:sz="0" w:space="0" w:color="auto"/>
        <w:bottom w:val="none" w:sz="0" w:space="0" w:color="auto"/>
        <w:right w:val="none" w:sz="0" w:space="0" w:color="auto"/>
      </w:divBdr>
      <w:divsChild>
        <w:div w:id="611673708">
          <w:marLeft w:val="0"/>
          <w:marRight w:val="0"/>
          <w:marTop w:val="0"/>
          <w:marBottom w:val="0"/>
          <w:divBdr>
            <w:top w:val="none" w:sz="0" w:space="0" w:color="auto"/>
            <w:left w:val="none" w:sz="0" w:space="0" w:color="auto"/>
            <w:bottom w:val="none" w:sz="0" w:space="0" w:color="auto"/>
            <w:right w:val="none" w:sz="0" w:space="0" w:color="auto"/>
          </w:divBdr>
        </w:div>
      </w:divsChild>
    </w:div>
    <w:div w:id="1713143655">
      <w:bodyDiv w:val="1"/>
      <w:marLeft w:val="0"/>
      <w:marRight w:val="0"/>
      <w:marTop w:val="0"/>
      <w:marBottom w:val="0"/>
      <w:divBdr>
        <w:top w:val="none" w:sz="0" w:space="0" w:color="auto"/>
        <w:left w:val="none" w:sz="0" w:space="0" w:color="auto"/>
        <w:bottom w:val="none" w:sz="0" w:space="0" w:color="auto"/>
        <w:right w:val="none" w:sz="0" w:space="0" w:color="auto"/>
      </w:divBdr>
      <w:divsChild>
        <w:div w:id="134878592">
          <w:marLeft w:val="0"/>
          <w:marRight w:val="0"/>
          <w:marTop w:val="0"/>
          <w:marBottom w:val="0"/>
          <w:divBdr>
            <w:top w:val="none" w:sz="0" w:space="0" w:color="auto"/>
            <w:left w:val="none" w:sz="0" w:space="0" w:color="auto"/>
            <w:bottom w:val="none" w:sz="0" w:space="0" w:color="auto"/>
            <w:right w:val="none" w:sz="0" w:space="0" w:color="auto"/>
          </w:divBdr>
        </w:div>
      </w:divsChild>
    </w:div>
    <w:div w:id="1771198337">
      <w:bodyDiv w:val="1"/>
      <w:marLeft w:val="0"/>
      <w:marRight w:val="0"/>
      <w:marTop w:val="0"/>
      <w:marBottom w:val="0"/>
      <w:divBdr>
        <w:top w:val="none" w:sz="0" w:space="0" w:color="auto"/>
        <w:left w:val="none" w:sz="0" w:space="0" w:color="auto"/>
        <w:bottom w:val="none" w:sz="0" w:space="0" w:color="auto"/>
        <w:right w:val="none" w:sz="0" w:space="0" w:color="auto"/>
      </w:divBdr>
      <w:divsChild>
        <w:div w:id="662393801">
          <w:marLeft w:val="0"/>
          <w:marRight w:val="0"/>
          <w:marTop w:val="0"/>
          <w:marBottom w:val="0"/>
          <w:divBdr>
            <w:top w:val="none" w:sz="0" w:space="0" w:color="auto"/>
            <w:left w:val="none" w:sz="0" w:space="0" w:color="auto"/>
            <w:bottom w:val="none" w:sz="0" w:space="0" w:color="auto"/>
            <w:right w:val="none" w:sz="0" w:space="0" w:color="auto"/>
          </w:divBdr>
        </w:div>
      </w:divsChild>
    </w:div>
    <w:div w:id="1939094583">
      <w:bodyDiv w:val="1"/>
      <w:marLeft w:val="0"/>
      <w:marRight w:val="0"/>
      <w:marTop w:val="0"/>
      <w:marBottom w:val="0"/>
      <w:divBdr>
        <w:top w:val="none" w:sz="0" w:space="0" w:color="auto"/>
        <w:left w:val="none" w:sz="0" w:space="0" w:color="auto"/>
        <w:bottom w:val="none" w:sz="0" w:space="0" w:color="auto"/>
        <w:right w:val="none" w:sz="0" w:space="0" w:color="auto"/>
      </w:divBdr>
      <w:divsChild>
        <w:div w:id="2005742398">
          <w:marLeft w:val="0"/>
          <w:marRight w:val="0"/>
          <w:marTop w:val="0"/>
          <w:marBottom w:val="0"/>
          <w:divBdr>
            <w:top w:val="none" w:sz="0" w:space="0" w:color="auto"/>
            <w:left w:val="none" w:sz="0" w:space="0" w:color="auto"/>
            <w:bottom w:val="none" w:sz="0" w:space="0" w:color="auto"/>
            <w:right w:val="none" w:sz="0" w:space="0" w:color="auto"/>
          </w:divBdr>
        </w:div>
      </w:divsChild>
    </w:div>
    <w:div w:id="2120104941">
      <w:bodyDiv w:val="1"/>
      <w:marLeft w:val="0"/>
      <w:marRight w:val="0"/>
      <w:marTop w:val="0"/>
      <w:marBottom w:val="0"/>
      <w:divBdr>
        <w:top w:val="none" w:sz="0" w:space="0" w:color="auto"/>
        <w:left w:val="none" w:sz="0" w:space="0" w:color="auto"/>
        <w:bottom w:val="none" w:sz="0" w:space="0" w:color="auto"/>
        <w:right w:val="none" w:sz="0" w:space="0" w:color="auto"/>
      </w:divBdr>
      <w:divsChild>
        <w:div w:id="359940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365-2850.2006.00977.x" TargetMode="External"/><Relationship Id="rId13" Type="http://schemas.openxmlformats.org/officeDocument/2006/relationships/hyperlink" Target="https://doi.org/10.1046/j.1351-0126.2001.00426.x" TargetMode="External"/><Relationship Id="rId18" Type="http://schemas.openxmlformats.org/officeDocument/2006/relationships/hyperlink" Target="https://doi.org/10.1111/j.1365-2850.2012.01949.x" TargetMode="External"/><Relationship Id="rId26" Type="http://schemas.openxmlformats.org/officeDocument/2006/relationships/hyperlink" Target="https://doi.org/10.1111/j.1365-2850.2010.01675.x" TargetMode="External"/><Relationship Id="rId3" Type="http://schemas.openxmlformats.org/officeDocument/2006/relationships/styles" Target="styles.xml"/><Relationship Id="rId21" Type="http://schemas.openxmlformats.org/officeDocument/2006/relationships/hyperlink" Target="https://doi.org/10.1002/cbm.1982" TargetMode="External"/><Relationship Id="rId34" Type="http://schemas.openxmlformats.org/officeDocument/2006/relationships/hyperlink" Target="https://doi.org/10.1034/j.1600-0447.2002.02268.x" TargetMode="External"/><Relationship Id="rId7" Type="http://schemas.openxmlformats.org/officeDocument/2006/relationships/endnotes" Target="endnotes.xml"/><Relationship Id="rId12" Type="http://schemas.openxmlformats.org/officeDocument/2006/relationships/hyperlink" Target="https://doi.org/10.1111/jpm.12085" TargetMode="External"/><Relationship Id="rId17" Type="http://schemas.openxmlformats.org/officeDocument/2006/relationships/hyperlink" Target="https://doi.org/10.1046/j.1365-2702.2003.00757.x" TargetMode="External"/><Relationship Id="rId25" Type="http://schemas.openxmlformats.org/officeDocument/2006/relationships/hyperlink" Target="https://doi.org/10.1111/j.1365-2850.2011.01716.x" TargetMode="External"/><Relationship Id="rId33" Type="http://schemas.openxmlformats.org/officeDocument/2006/relationships/hyperlink" Target="https://doi.org/10.1111/inm.12315" TargetMode="External"/><Relationship Id="rId2" Type="http://schemas.openxmlformats.org/officeDocument/2006/relationships/numbering" Target="numbering.xml"/><Relationship Id="rId16" Type="http://schemas.openxmlformats.org/officeDocument/2006/relationships/hyperlink" Target="https://doi.org/10.1192/bjp.156.4.488" TargetMode="External"/><Relationship Id="rId20" Type="http://schemas.openxmlformats.org/officeDocument/2006/relationships/hyperlink" Target="https://doi.org/10.1080%2Fj.1440-1614.1999.00603.x" TargetMode="External"/><Relationship Id="rId29" Type="http://schemas.openxmlformats.org/officeDocument/2006/relationships/hyperlink" Target="https://doi.org/10.1111/j.1365-2850.2010.01622.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46/j.1365-2850.1998.00149.x" TargetMode="External"/><Relationship Id="rId24" Type="http://schemas.openxmlformats.org/officeDocument/2006/relationships/hyperlink" Target="http://doi.org/10.1111/j.1447-0349.2012.00873.x" TargetMode="External"/><Relationship Id="rId32" Type="http://schemas.openxmlformats.org/officeDocument/2006/relationships/hyperlink" Target="https://doi.org/10.1111/j.1365-2850.2008.01378.x" TargetMode="External"/><Relationship Id="rId5" Type="http://schemas.openxmlformats.org/officeDocument/2006/relationships/webSettings" Target="webSettings.xml"/><Relationship Id="rId15" Type="http://schemas.openxmlformats.org/officeDocument/2006/relationships/hyperlink" Target="https://doi.org/10.1111/jan.12653" TargetMode="External"/><Relationship Id="rId23" Type="http://schemas.openxmlformats.org/officeDocument/2006/relationships/hyperlink" Target="https://doi.org/10.1111/j.1365-2702.2010.03553.x" TargetMode="External"/><Relationship Id="rId28" Type="http://schemas.openxmlformats.org/officeDocument/2006/relationships/hyperlink" Target="https://www.kcl.ac.uk/ioppn/depts/hspr/research/ciemh/mhn/projects/litreview/LitRevAbsc.pdf" TargetMode="External"/><Relationship Id="rId36" Type="http://schemas.openxmlformats.org/officeDocument/2006/relationships/theme" Target="theme/theme1.xml"/><Relationship Id="rId10" Type="http://schemas.openxmlformats.org/officeDocument/2006/relationships/hyperlink" Target="http://qir.bmj.com/content/5/1/u209837.w5117.full.pdf" TargetMode="External"/><Relationship Id="rId19" Type="http://schemas.openxmlformats.org/officeDocument/2006/relationships/hyperlink" Target="https://doi.org/10.2190%2FAC9N-YTLE-B639-M3P4" TargetMode="External"/><Relationship Id="rId31" Type="http://schemas.openxmlformats.org/officeDocument/2006/relationships/hyperlink" Target="http://dx.doi.org/10.5430/jnep.v6n5p100" TargetMode="External"/><Relationship Id="rId4" Type="http://schemas.openxmlformats.org/officeDocument/2006/relationships/settings" Target="settings.xml"/><Relationship Id="rId9" Type="http://schemas.openxmlformats.org/officeDocument/2006/relationships/hyperlink" Target="http://onlinelibrary.wiley.com/doi/10.1002/14651858.CD000384.pub3/pdf" TargetMode="External"/><Relationship Id="rId14" Type="http://schemas.openxmlformats.org/officeDocument/2006/relationships/hyperlink" Target="https://doi.org/10.3109/09638237.2014.954692" TargetMode="External"/><Relationship Id="rId22" Type="http://schemas.openxmlformats.org/officeDocument/2006/relationships/hyperlink" Target="https://doi.org/10.1111/j.1447-0349.2008.00562.x" TargetMode="External"/><Relationship Id="rId27" Type="http://schemas.openxmlformats.org/officeDocument/2006/relationships/hyperlink" Target="https://doi.org/10.1002/mpr.77" TargetMode="External"/><Relationship Id="rId30" Type="http://schemas.openxmlformats.org/officeDocument/2006/relationships/hyperlink" Target="https://doi.org/10.1111/j.1365-2648.2011.05844.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987EA-3F86-4B37-8E87-BF9DD0FD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9693</Words>
  <Characters>55256</Characters>
  <Application>Microsoft Office Word</Application>
  <DocSecurity>0</DocSecurity>
  <Lines>460</Lines>
  <Paragraphs>129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Voss</dc:creator>
  <cp:keywords/>
  <dc:description/>
  <cp:lastModifiedBy>Bartlett R.L.</cp:lastModifiedBy>
  <cp:revision>2</cp:revision>
  <dcterms:created xsi:type="dcterms:W3CDTF">2019-07-29T06:35:00Z</dcterms:created>
  <dcterms:modified xsi:type="dcterms:W3CDTF">2019-07-29T06:35:00Z</dcterms:modified>
</cp:coreProperties>
</file>