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24F3F" w14:textId="77777777" w:rsidR="00EA477F" w:rsidRPr="00EA477F" w:rsidRDefault="00EA477F" w:rsidP="00EA477F">
      <w:pPr>
        <w:ind w:left="720" w:hanging="720"/>
        <w:rPr>
          <w:b/>
          <w:bCs/>
          <w:color w:val="FF0000"/>
        </w:rPr>
      </w:pPr>
      <w:r w:rsidRPr="00EA477F">
        <w:rPr>
          <w:b/>
          <w:bCs/>
          <w:color w:val="FF0000"/>
          <w:lang w:val="pt-PT"/>
        </w:rPr>
        <w:t xml:space="preserve">Luo, Y. L. L., Sedikides, C., &amp; Cai, H. (2019). </w:t>
      </w:r>
      <w:r w:rsidRPr="00EA477F">
        <w:rPr>
          <w:b/>
          <w:bCs/>
          <w:color w:val="FF0000"/>
        </w:rPr>
        <w:t xml:space="preserve">On the genetics of self-enhancement and its association with wellbeing. </w:t>
      </w:r>
      <w:r w:rsidRPr="00EA477F">
        <w:rPr>
          <w:b/>
          <w:bCs/>
          <w:i/>
          <w:color w:val="FF0000"/>
        </w:rPr>
        <w:t>Social Psychological and Personality Science</w:t>
      </w:r>
      <w:r w:rsidRPr="00EA477F">
        <w:rPr>
          <w:b/>
          <w:bCs/>
          <w:color w:val="FF0000"/>
        </w:rPr>
        <w:t>. Advance online publication. doi:10.1177/1948550619877410</w:t>
      </w:r>
    </w:p>
    <w:p w14:paraId="7D278395" w14:textId="77777777" w:rsidR="006A391F" w:rsidRDefault="006A391F" w:rsidP="006A391F">
      <w:pPr>
        <w:spacing w:line="480" w:lineRule="exact"/>
        <w:jc w:val="center"/>
        <w:rPr>
          <w:bCs/>
        </w:rPr>
      </w:pPr>
    </w:p>
    <w:p w14:paraId="5EC5946C" w14:textId="1457270A" w:rsidR="006A391F" w:rsidRDefault="006A391F" w:rsidP="006A391F">
      <w:pPr>
        <w:spacing w:line="480" w:lineRule="exact"/>
        <w:jc w:val="center"/>
        <w:rPr>
          <w:bCs/>
        </w:rPr>
      </w:pPr>
    </w:p>
    <w:p w14:paraId="6E817017" w14:textId="77777777" w:rsidR="006A391F" w:rsidRDefault="006A391F" w:rsidP="006A391F">
      <w:pPr>
        <w:spacing w:line="480" w:lineRule="exact"/>
        <w:jc w:val="center"/>
        <w:rPr>
          <w:bCs/>
        </w:rPr>
      </w:pPr>
    </w:p>
    <w:p w14:paraId="08DEE2A2" w14:textId="77777777" w:rsidR="006A391F" w:rsidRDefault="006A391F" w:rsidP="006A391F">
      <w:pPr>
        <w:spacing w:line="480" w:lineRule="exact"/>
        <w:jc w:val="center"/>
        <w:rPr>
          <w:bCs/>
        </w:rPr>
      </w:pPr>
      <w:r>
        <w:rPr>
          <w:bCs/>
        </w:rPr>
        <w:t>On the Etiology of Self-Enhancement and Its Association</w:t>
      </w:r>
    </w:p>
    <w:p w14:paraId="7E1A626A" w14:textId="40C962C4" w:rsidR="006A391F" w:rsidRDefault="006A391F" w:rsidP="006A391F">
      <w:pPr>
        <w:spacing w:line="480" w:lineRule="exact"/>
        <w:jc w:val="center"/>
        <w:rPr>
          <w:bCs/>
        </w:rPr>
      </w:pPr>
      <w:r>
        <w:rPr>
          <w:bCs/>
        </w:rPr>
        <w:t>with Psychological Wellbeing</w:t>
      </w:r>
    </w:p>
    <w:p w14:paraId="553E7238" w14:textId="77777777" w:rsidR="006A391F" w:rsidRDefault="006A391F" w:rsidP="006A391F">
      <w:pPr>
        <w:spacing w:line="480" w:lineRule="exact"/>
        <w:jc w:val="center"/>
      </w:pPr>
    </w:p>
    <w:p w14:paraId="57B0B5F8" w14:textId="77777777" w:rsidR="006A391F" w:rsidRDefault="006A391F" w:rsidP="006A391F">
      <w:pPr>
        <w:spacing w:line="480" w:lineRule="exact"/>
        <w:jc w:val="center"/>
        <w:rPr>
          <w:vertAlign w:val="superscript"/>
        </w:rPr>
      </w:pPr>
      <w:r>
        <w:t>Yu L. L. Luo</w:t>
      </w:r>
      <w:r>
        <w:rPr>
          <w:vertAlign w:val="superscript"/>
        </w:rPr>
        <w:t>1, 2</w:t>
      </w:r>
      <w:r>
        <w:t>, Constantine Sedikides</w:t>
      </w:r>
      <w:r>
        <w:rPr>
          <w:vertAlign w:val="superscript"/>
        </w:rPr>
        <w:t>3</w:t>
      </w:r>
      <w:r>
        <w:t>, and Huajian Cai</w:t>
      </w:r>
      <w:r>
        <w:rPr>
          <w:vertAlign w:val="superscript"/>
        </w:rPr>
        <w:t>1, 2</w:t>
      </w:r>
    </w:p>
    <w:p w14:paraId="3141CCF4" w14:textId="77777777" w:rsidR="006A391F" w:rsidRDefault="006A391F" w:rsidP="006A391F">
      <w:pPr>
        <w:spacing w:line="480" w:lineRule="exact"/>
        <w:jc w:val="center"/>
      </w:pPr>
    </w:p>
    <w:p w14:paraId="446068A9" w14:textId="77777777" w:rsidR="006A391F" w:rsidRDefault="006A391F" w:rsidP="006A391F">
      <w:pPr>
        <w:spacing w:line="480" w:lineRule="exact"/>
      </w:pPr>
      <w:r>
        <w:rPr>
          <w:vertAlign w:val="superscript"/>
        </w:rPr>
        <w:t>1</w:t>
      </w:r>
      <w:r>
        <w:t>Key Laboratory of Behavioral Science, Institute of Psychology, Chinese Academy of Sciences, China</w:t>
      </w:r>
    </w:p>
    <w:p w14:paraId="419BE1D4" w14:textId="77777777" w:rsidR="006A391F" w:rsidRDefault="006A391F" w:rsidP="006A391F">
      <w:pPr>
        <w:spacing w:line="480" w:lineRule="exact"/>
        <w:rPr>
          <w:vertAlign w:val="superscript"/>
        </w:rPr>
      </w:pPr>
      <w:r>
        <w:rPr>
          <w:vertAlign w:val="superscript"/>
        </w:rPr>
        <w:t>2</w:t>
      </w:r>
      <w:r>
        <w:t>Department of Psychology, Chinese Academy of Sciences</w:t>
      </w:r>
    </w:p>
    <w:p w14:paraId="143351F8" w14:textId="77777777" w:rsidR="006A391F" w:rsidRDefault="006A391F" w:rsidP="006A391F">
      <w:pPr>
        <w:spacing w:line="480" w:lineRule="exact"/>
      </w:pPr>
      <w:r>
        <w:rPr>
          <w:vertAlign w:val="superscript"/>
        </w:rPr>
        <w:t>3</w:t>
      </w:r>
      <w:r>
        <w:t>Center for Research on Self and Identity, Psychology Department, University of Southampton, UK</w:t>
      </w:r>
    </w:p>
    <w:p w14:paraId="0FDC434E" w14:textId="77777777" w:rsidR="006A391F" w:rsidRDefault="006A391F" w:rsidP="006A391F">
      <w:pPr>
        <w:spacing w:line="480" w:lineRule="exact"/>
        <w:jc w:val="center"/>
      </w:pPr>
    </w:p>
    <w:p w14:paraId="100EC142" w14:textId="77777777" w:rsidR="006A391F" w:rsidRDefault="006A391F" w:rsidP="006A391F">
      <w:pPr>
        <w:spacing w:line="480" w:lineRule="exact"/>
      </w:pPr>
      <w:r>
        <w:t>Corresponding author: Huajian Cai, Institute of Psychology, Chinese Academy of Sciences, 16 Lincui Road, Beijing 100101, China; Email: caihj@psych.ac.cn.</w:t>
      </w:r>
    </w:p>
    <w:p w14:paraId="2118C41D" w14:textId="77777777" w:rsidR="006A391F" w:rsidRDefault="006A391F" w:rsidP="006A391F">
      <w:pPr>
        <w:spacing w:line="480" w:lineRule="exact"/>
      </w:pPr>
    </w:p>
    <w:p w14:paraId="4E285CC8" w14:textId="77777777" w:rsidR="006A391F" w:rsidRDefault="006A391F" w:rsidP="006A391F">
      <w:pPr>
        <w:spacing w:line="480" w:lineRule="exact"/>
      </w:pPr>
      <w:r>
        <w:t xml:space="preserve">Yu, L. L. Luo is Associate Professor at Institute of Psychology, Chinese Academy of Sciences, interested in the genetic basis and neural mechanism of self-positivity. Constantine Sedikides is Professor at Psychology Department, University of Southampton, interested in self and identity. Huajian Cai is Professor at Institute of Psychology, Chinese Academy of Sciences, interested in self-positivity, culture, and implicit social cognition. </w:t>
      </w:r>
    </w:p>
    <w:p w14:paraId="7D7C5319" w14:textId="77777777" w:rsidR="006A391F" w:rsidRDefault="006A391F" w:rsidP="006A391F">
      <w:pPr>
        <w:spacing w:line="480" w:lineRule="exact"/>
      </w:pPr>
    </w:p>
    <w:p w14:paraId="5C17B3B6" w14:textId="77777777" w:rsidR="006A391F" w:rsidRDefault="006A391F" w:rsidP="006A391F"/>
    <w:p w14:paraId="196C8EB5" w14:textId="77777777" w:rsidR="006A391F" w:rsidRDefault="006A391F">
      <w:pPr>
        <w:rPr>
          <w:bCs/>
          <w:lang w:val="en-GB"/>
        </w:rPr>
      </w:pPr>
      <w:r>
        <w:rPr>
          <w:bCs/>
          <w:lang w:val="en-GB"/>
        </w:rPr>
        <w:br w:type="page"/>
      </w:r>
    </w:p>
    <w:p w14:paraId="0575BA59" w14:textId="0A70835F" w:rsidR="009B244D" w:rsidRPr="00806972" w:rsidRDefault="00955DA5" w:rsidP="00955DA5">
      <w:pPr>
        <w:spacing w:line="480" w:lineRule="exact"/>
        <w:jc w:val="center"/>
        <w:outlineLvl w:val="0"/>
        <w:rPr>
          <w:bCs/>
          <w:lang w:val="en-GB"/>
        </w:rPr>
      </w:pPr>
      <w:bookmarkStart w:id="0" w:name="_GoBack"/>
      <w:bookmarkEnd w:id="0"/>
      <w:r>
        <w:rPr>
          <w:bCs/>
          <w:lang w:val="en-GB"/>
        </w:rPr>
        <w:lastRenderedPageBreak/>
        <w:t>A</w:t>
      </w:r>
      <w:r w:rsidR="00F4341B" w:rsidRPr="00806972">
        <w:rPr>
          <w:bCs/>
          <w:lang w:val="en-GB"/>
        </w:rPr>
        <w:t>bstract</w:t>
      </w:r>
    </w:p>
    <w:p w14:paraId="4730E646" w14:textId="6825487C" w:rsidR="00806972" w:rsidRDefault="00F4341B" w:rsidP="003E505C">
      <w:pPr>
        <w:spacing w:line="480" w:lineRule="exact"/>
        <w:ind w:firstLineChars="200" w:firstLine="480"/>
        <w:rPr>
          <w:bCs/>
          <w:i/>
        </w:rPr>
      </w:pPr>
      <w:r>
        <w:rPr>
          <w:lang w:val="en-GB"/>
        </w:rPr>
        <w:t>Self-enhancement, the motiv</w:t>
      </w:r>
      <w:r w:rsidR="00B84591">
        <w:rPr>
          <w:lang w:val="en-GB"/>
        </w:rPr>
        <w:t xml:space="preserve">e </w:t>
      </w:r>
      <w:r>
        <w:rPr>
          <w:lang w:val="en-GB"/>
        </w:rPr>
        <w:t>to</w:t>
      </w:r>
      <w:r w:rsidR="005A7A5C">
        <w:rPr>
          <w:lang w:val="en-GB"/>
        </w:rPr>
        <w:t xml:space="preserve"> </w:t>
      </w:r>
      <w:r w:rsidR="005A7A5C" w:rsidRPr="003A1D9E">
        <w:t xml:space="preserve">view oneself </w:t>
      </w:r>
      <w:r w:rsidR="003E505C">
        <w:t xml:space="preserve">in </w:t>
      </w:r>
      <w:r w:rsidR="005A7A5C" w:rsidRPr="003A1D9E">
        <w:t>positive</w:t>
      </w:r>
      <w:r w:rsidR="003E505C">
        <w:t xml:space="preserve"> light</w:t>
      </w:r>
      <w:r>
        <w:t>, and its manifestations have received wide attention in</w:t>
      </w:r>
      <w:r w:rsidR="00BE1364">
        <w:t xml:space="preserve"> </w:t>
      </w:r>
      <w:r>
        <w:t xml:space="preserve">behavioral sciences. The </w:t>
      </w:r>
      <w:r w:rsidR="00D4127F">
        <w:t xml:space="preserve">self-enhancement </w:t>
      </w:r>
      <w:r>
        <w:t xml:space="preserve">manifestations vary on a continuum from </w:t>
      </w:r>
      <w:r w:rsidR="00D81873">
        <w:t xml:space="preserve">a </w:t>
      </w:r>
      <w:r>
        <w:t xml:space="preserve">subjective level (agentic narcissism, communal narcissism, narcissistic grandiosity) through an intermediate level (better-than-average judgments) to an objective level (overclaiming one’s knowledge). Prior research has established the heritability of self-enhancement manifestations at the subjective and intermediate levels. </w:t>
      </w:r>
      <w:r w:rsidR="009F6301">
        <w:t xml:space="preserve">The present </w:t>
      </w:r>
      <w:r>
        <w:t>twin study</w:t>
      </w:r>
      <w:r w:rsidR="009F57E3">
        <w:t xml:space="preserve"> </w:t>
      </w:r>
      <w:r w:rsidR="00985A9F">
        <w:t>demonstrated</w:t>
      </w:r>
      <w:r w:rsidR="00D77CC0">
        <w:t xml:space="preserve"> that </w:t>
      </w:r>
      <w:r>
        <w:t xml:space="preserve">(1) </w:t>
      </w:r>
      <w:r w:rsidR="00BE1364">
        <w:t xml:space="preserve">the </w:t>
      </w:r>
      <w:r>
        <w:t xml:space="preserve">objective </w:t>
      </w:r>
      <w:r w:rsidR="00BE1364">
        <w:t>level</w:t>
      </w:r>
      <w:r>
        <w:t xml:space="preserve"> of self-enhancement </w:t>
      </w:r>
      <w:r w:rsidR="00BE1364">
        <w:t>manifestation is</w:t>
      </w:r>
      <w:r w:rsidR="007D578B">
        <w:t xml:space="preserve"> also heritable</w:t>
      </w:r>
      <w:r w:rsidR="00985A9F">
        <w:t>,</w:t>
      </w:r>
      <w:r>
        <w:t xml:space="preserve"> (2) a common core</w:t>
      </w:r>
      <w:r w:rsidR="00582AC7">
        <w:t>, which is moderately heritable,</w:t>
      </w:r>
      <w:r w:rsidR="00BE1364">
        <w:t xml:space="preserve"> </w:t>
      </w:r>
      <w:r>
        <w:t>underl</w:t>
      </w:r>
      <w:r w:rsidR="00BE1364">
        <w:t>ies</w:t>
      </w:r>
      <w:r>
        <w:t xml:space="preserve"> the three levels of self-enhancement</w:t>
      </w:r>
      <w:r w:rsidR="00C7002E">
        <w:t xml:space="preserve"> manifestations</w:t>
      </w:r>
      <w:r>
        <w:t xml:space="preserve">, (3) </w:t>
      </w:r>
      <w:r w:rsidR="00FB33EF">
        <w:t xml:space="preserve">the relation </w:t>
      </w:r>
      <w:r>
        <w:t xml:space="preserve">between self-enhancement (manifested at all three levels) and </w:t>
      </w:r>
      <w:r w:rsidR="005B70B9">
        <w:t xml:space="preserve">psychological </w:t>
      </w:r>
      <w:r>
        <w:t>wellbeing</w:t>
      </w:r>
      <w:r w:rsidR="00FB33EF">
        <w:t xml:space="preserve"> </w:t>
      </w:r>
      <w:r w:rsidR="00BE1364">
        <w:t xml:space="preserve">is partly </w:t>
      </w:r>
      <w:r w:rsidR="00FB33EF">
        <w:t>heritable</w:t>
      </w:r>
      <w:r w:rsidR="00837971">
        <w:t xml:space="preserve">, and (4) </w:t>
      </w:r>
      <w:r w:rsidR="00582AC7">
        <w:t>environmental influence</w:t>
      </w:r>
      <w:r w:rsidR="003E1C25">
        <w:t>s</w:t>
      </w:r>
      <w:r w:rsidR="00837971">
        <w:t>,</w:t>
      </w:r>
      <w:r w:rsidR="00582AC7">
        <w:t xml:space="preserve"> either shared by or unique to family members</w:t>
      </w:r>
      <w:r w:rsidR="00837971">
        <w:t>,</w:t>
      </w:r>
      <w:r w:rsidR="00FE42CE">
        <w:t xml:space="preserve"> are evident through</w:t>
      </w:r>
      <w:r w:rsidR="0054103F">
        <w:t xml:space="preserve"> (1), (2), and (3)</w:t>
      </w:r>
      <w:r w:rsidR="00582AC7">
        <w:t xml:space="preserve">. </w:t>
      </w:r>
      <w:r w:rsidR="0093174D">
        <w:t xml:space="preserve">The findings deepen understanding </w:t>
      </w:r>
      <w:r w:rsidR="00C7002E">
        <w:t>of</w:t>
      </w:r>
      <w:r w:rsidR="0093174D">
        <w:t xml:space="preserve"> the </w:t>
      </w:r>
      <w:r w:rsidR="003E505C">
        <w:t>etiology</w:t>
      </w:r>
      <w:r w:rsidR="001811ED">
        <w:t xml:space="preserve"> </w:t>
      </w:r>
      <w:r w:rsidR="00FD2BE5">
        <w:t xml:space="preserve">of individual </w:t>
      </w:r>
      <w:r w:rsidR="00D94BE9">
        <w:t>difference</w:t>
      </w:r>
      <w:r w:rsidR="00C7002E">
        <w:t>s</w:t>
      </w:r>
      <w:r w:rsidR="00D94BE9">
        <w:t xml:space="preserve"> in self-enhancement</w:t>
      </w:r>
      <w:r w:rsidR="005B70B9">
        <w:t xml:space="preserve"> and their link</w:t>
      </w:r>
      <w:r w:rsidR="0054103F">
        <w:t>s</w:t>
      </w:r>
      <w:r w:rsidR="005B70B9">
        <w:t xml:space="preserve"> to psychological wellbeing</w:t>
      </w:r>
      <w:r w:rsidR="00D94BE9">
        <w:t>.</w:t>
      </w:r>
    </w:p>
    <w:p w14:paraId="267E506F" w14:textId="47218809" w:rsidR="009B244D" w:rsidRDefault="00742810" w:rsidP="00806972">
      <w:pPr>
        <w:spacing w:line="480" w:lineRule="exact"/>
        <w:ind w:firstLine="482"/>
        <w:rPr>
          <w:lang w:val="en-GB"/>
        </w:rPr>
      </w:pPr>
      <w:r w:rsidRPr="00806972">
        <w:rPr>
          <w:bCs/>
          <w:i/>
        </w:rPr>
        <w:t>Keywords</w:t>
      </w:r>
      <w:r w:rsidRPr="00806972">
        <w:rPr>
          <w:bCs/>
        </w:rPr>
        <w:t>:</w:t>
      </w:r>
      <w:r w:rsidR="00F4341B">
        <w:rPr>
          <w:lang w:val="en-GB"/>
        </w:rPr>
        <w:t xml:space="preserve"> self-enhancement, </w:t>
      </w:r>
      <w:r w:rsidR="00100A20">
        <w:rPr>
          <w:lang w:val="en-GB"/>
        </w:rPr>
        <w:t>behavioral genetics</w:t>
      </w:r>
      <w:r w:rsidR="00F4341B">
        <w:rPr>
          <w:lang w:val="en-GB"/>
        </w:rPr>
        <w:t>, narcissism, narcissistic grandiosity, better-than-average effect, overclaiming task</w:t>
      </w:r>
    </w:p>
    <w:p w14:paraId="56E071B6" w14:textId="77777777" w:rsidR="009B244D" w:rsidRDefault="009B244D">
      <w:pPr>
        <w:spacing w:line="480" w:lineRule="exact"/>
        <w:rPr>
          <w:lang w:val="en-GB"/>
        </w:rPr>
      </w:pPr>
    </w:p>
    <w:p w14:paraId="7B774694" w14:textId="77777777" w:rsidR="009B244D" w:rsidRDefault="009B244D">
      <w:pPr>
        <w:spacing w:line="480" w:lineRule="exact"/>
        <w:rPr>
          <w:b/>
          <w:lang w:val="en-GB"/>
        </w:rPr>
      </w:pPr>
    </w:p>
    <w:p w14:paraId="29DB9873" w14:textId="77777777" w:rsidR="009B244D" w:rsidRDefault="00F4341B">
      <w:pPr>
        <w:spacing w:line="480" w:lineRule="exact"/>
        <w:rPr>
          <w:lang w:val="en-GB"/>
        </w:rPr>
      </w:pPr>
      <w:r>
        <w:rPr>
          <w:lang w:val="en-GB"/>
        </w:rPr>
        <w:br w:type="page"/>
      </w:r>
    </w:p>
    <w:p w14:paraId="3FFC8BD5" w14:textId="77777777" w:rsidR="0054103F" w:rsidRDefault="00806972" w:rsidP="00806972">
      <w:pPr>
        <w:spacing w:line="480" w:lineRule="exact"/>
        <w:jc w:val="center"/>
        <w:outlineLvl w:val="0"/>
        <w:rPr>
          <w:bCs/>
        </w:rPr>
      </w:pPr>
      <w:r w:rsidRPr="00DE57B3">
        <w:rPr>
          <w:bCs/>
        </w:rPr>
        <w:lastRenderedPageBreak/>
        <w:t>On the Etiology of Self-Enhancement and Its Association</w:t>
      </w:r>
    </w:p>
    <w:p w14:paraId="6191DC38" w14:textId="551C7EDC" w:rsidR="00806972" w:rsidRPr="003E505C" w:rsidRDefault="00806972" w:rsidP="0054103F">
      <w:pPr>
        <w:spacing w:line="480" w:lineRule="exact"/>
        <w:jc w:val="center"/>
        <w:outlineLvl w:val="0"/>
        <w:rPr>
          <w:lang w:val="en-GB"/>
        </w:rPr>
      </w:pPr>
      <w:r w:rsidRPr="00DE57B3">
        <w:rPr>
          <w:bCs/>
        </w:rPr>
        <w:t>with</w:t>
      </w:r>
      <w:r>
        <w:rPr>
          <w:bCs/>
        </w:rPr>
        <w:t xml:space="preserve"> Psychological</w:t>
      </w:r>
      <w:r w:rsidRPr="00DE57B3">
        <w:rPr>
          <w:bCs/>
        </w:rPr>
        <w:t xml:space="preserve"> Wellbeing</w:t>
      </w:r>
    </w:p>
    <w:p w14:paraId="687430D7" w14:textId="3ECBC64E" w:rsidR="009B244D" w:rsidRDefault="00F4341B" w:rsidP="003E4652">
      <w:pPr>
        <w:spacing w:line="480" w:lineRule="exact"/>
        <w:ind w:firstLine="425"/>
      </w:pPr>
      <w:r>
        <w:t>People are motivated</w:t>
      </w:r>
      <w:r w:rsidR="005A7A5C">
        <w:t>, albeit to a varying degree,</w:t>
      </w:r>
      <w:r>
        <w:t xml:space="preserve"> to </w:t>
      </w:r>
      <w:r w:rsidR="005A7A5C" w:rsidRPr="003A1D9E">
        <w:t xml:space="preserve">view </w:t>
      </w:r>
      <w:r w:rsidR="005A7A5C">
        <w:t>themselves</w:t>
      </w:r>
      <w:r w:rsidR="005A7A5C" w:rsidRPr="003A1D9E">
        <w:t xml:space="preserve"> in a positive light</w:t>
      </w:r>
      <w:r>
        <w:t xml:space="preserve">. This motive is known as self-enhancement, and works to nourish one’s self-regard (Sedikides &amp; Gregg, 2008). </w:t>
      </w:r>
      <w:r w:rsidR="008078A9">
        <w:t>O</w:t>
      </w:r>
      <w:r w:rsidR="008F76A4">
        <w:t xml:space="preserve">ne of several </w:t>
      </w:r>
      <w:r w:rsidR="00ED7F77">
        <w:t xml:space="preserve">self-evaluation motives (Sedikides &amp; Strube, 1997), self-enhancement </w:t>
      </w:r>
      <w:r>
        <w:t>has received wide attention in the social/personality, clinical, developmental, and neuroscience literatures (Alicke &amp; Sedikides, 2011), as well as in the education (Liem &amp; McInerney, 2018), sports science (Matosic et al., 2017), and organizational behavior (</w:t>
      </w:r>
      <w:r>
        <w:rPr>
          <w:bCs/>
        </w:rPr>
        <w:t>Ferris, Johnson, &amp; Sedikides, 2018</w:t>
      </w:r>
      <w:r>
        <w:t xml:space="preserve">) literatures. </w:t>
      </w:r>
      <w:r w:rsidR="00E7652B">
        <w:t xml:space="preserve">A key </w:t>
      </w:r>
      <w:r>
        <w:t>reason for this attention is the psycho-social benefits to which the motive conduces, such as wellbeing, goal pursuit, leadership selection, and sexual selection (Sedikides, 2018).</w:t>
      </w:r>
      <w:r w:rsidR="006F011C">
        <w:t xml:space="preserve"> </w:t>
      </w:r>
      <w:r w:rsidR="00B20C70">
        <w:t>In an effort to uncover etiological similarity</w:t>
      </w:r>
      <w:r w:rsidR="00B61442">
        <w:t xml:space="preserve"> (or dissimilarity)</w:t>
      </w:r>
      <w:r w:rsidR="00B20C70">
        <w:t xml:space="preserve"> underlying various self-enhancing </w:t>
      </w:r>
      <w:r w:rsidR="00B84591">
        <w:t>manifestations</w:t>
      </w:r>
      <w:r w:rsidR="00B20C70">
        <w:t xml:space="preserve"> and their connection</w:t>
      </w:r>
      <w:r w:rsidR="005E173D">
        <w:t>s</w:t>
      </w:r>
      <w:r w:rsidR="00B20C70">
        <w:t xml:space="preserve"> with </w:t>
      </w:r>
      <w:r w:rsidR="00DD5F4D">
        <w:t>psycho-social benefits</w:t>
      </w:r>
      <w:r w:rsidR="00B20C70">
        <w:t>, we engaged in a behavioral genetic analysis of individual differences in self-enhancement and the covariation between self-enhancement and wellbeing.</w:t>
      </w:r>
    </w:p>
    <w:p w14:paraId="11A37CA5" w14:textId="45F0C8D3" w:rsidR="00850BC1" w:rsidRPr="00DE57B3" w:rsidRDefault="00850BC1" w:rsidP="00DE57B3">
      <w:pPr>
        <w:spacing w:line="480" w:lineRule="exact"/>
        <w:outlineLvl w:val="0"/>
        <w:rPr>
          <w:b/>
        </w:rPr>
      </w:pPr>
      <w:r w:rsidRPr="00DE57B3">
        <w:rPr>
          <w:b/>
        </w:rPr>
        <w:t>Self-</w:t>
      </w:r>
      <w:r w:rsidR="00B84591">
        <w:rPr>
          <w:b/>
        </w:rPr>
        <w:t>E</w:t>
      </w:r>
      <w:r w:rsidRPr="00DE57B3">
        <w:rPr>
          <w:b/>
        </w:rPr>
        <w:t xml:space="preserve">nhancement: Manifestations and </w:t>
      </w:r>
      <w:r w:rsidR="00B84591">
        <w:rPr>
          <w:b/>
        </w:rPr>
        <w:t>I</w:t>
      </w:r>
      <w:r w:rsidRPr="00DE57B3">
        <w:rPr>
          <w:b/>
        </w:rPr>
        <w:t xml:space="preserve">ndividual </w:t>
      </w:r>
      <w:r w:rsidR="00B84591">
        <w:rPr>
          <w:b/>
        </w:rPr>
        <w:t>D</w:t>
      </w:r>
      <w:r w:rsidRPr="00DE57B3">
        <w:rPr>
          <w:b/>
        </w:rPr>
        <w:t>ifferences</w:t>
      </w:r>
    </w:p>
    <w:p w14:paraId="4C82A9BB" w14:textId="4AA0CEE0" w:rsidR="009B244D" w:rsidRDefault="00F4341B" w:rsidP="003E4652">
      <w:pPr>
        <w:spacing w:line="480" w:lineRule="exact"/>
        <w:ind w:firstLine="425"/>
      </w:pPr>
      <w:r>
        <w:t xml:space="preserve">Manifestations of self-enhancement vary on a subjective-to-objective continuum. At the </w:t>
      </w:r>
      <w:r>
        <w:rPr>
          <w:i/>
        </w:rPr>
        <w:t>subjective</w:t>
      </w:r>
      <w:r>
        <w:t xml:space="preserve"> level, the motive is manifested in terms of endorsement of attributes or statements that flatter the self. These could reflect agentic narcissism (believing that one is an authoritative, entitled, and special figure, while taking pride in </w:t>
      </w:r>
      <w:r w:rsidR="00B84591">
        <w:t xml:space="preserve">one’s </w:t>
      </w:r>
      <w:r>
        <w:t xml:space="preserve">vanity and exhibitionism), communal narcissism (believing that one is a saintly figure, likely to be super-helpful or caring, and the beacon of world justice and peace), </w:t>
      </w:r>
      <w:r>
        <w:rPr>
          <w:lang w:val="en-GB"/>
        </w:rPr>
        <w:t>or</w:t>
      </w:r>
      <w:r>
        <w:t xml:space="preserve"> narcissistic grandiosity (believing that one is endowed with a set of glowing traits such as extraordinary, brilliant, honorable, and acclaimed). Note that, when individuals endorse these attributes or statements, they do not compare the self directly with a referent, although a referent is implied (Biernat, 2005). At the </w:t>
      </w:r>
      <w:r>
        <w:rPr>
          <w:i/>
        </w:rPr>
        <w:t xml:space="preserve">intermediate </w:t>
      </w:r>
      <w:r>
        <w:t xml:space="preserve">level, the self-enhancement motive is manifested in terms of favorable comparisons of the self to a referent. In the case of the better-than-average task </w:t>
      </w:r>
      <w:r>
        <w:lastRenderedPageBreak/>
        <w:t xml:space="preserve">(Alicke, 1985), for example, participants compare themselves to their typical or average peer on a variety of traits. Finally, at the </w:t>
      </w:r>
      <w:r>
        <w:rPr>
          <w:i/>
        </w:rPr>
        <w:t xml:space="preserve">objective </w:t>
      </w:r>
      <w:r>
        <w:t xml:space="preserve">level, the presence of an impartial standard is required. This standard is often met by the so-called criterion-discrepancy measures, such as the overclaiming task (Paulhus, Harms, Bruce, &amp; Lysy, 2003). Here, participants manifest self-enhancement when they claim knowledge about bogus test items. Yet, regardless of the level at which </w:t>
      </w:r>
      <w:r w:rsidR="00B84591">
        <w:t xml:space="preserve">it </w:t>
      </w:r>
      <w:r>
        <w:t xml:space="preserve">is manifested (subjective, intermediate, or objective), </w:t>
      </w:r>
      <w:r w:rsidR="005B70B9">
        <w:t>self-enhancement</w:t>
      </w:r>
      <w:r w:rsidR="00B84591">
        <w:t xml:space="preserve"> </w:t>
      </w:r>
      <w:r>
        <w:t>is associated with, or confers, psychological wellbeing (Dufner, Gebauer, Sedikides, &amp; Denissen, 201</w:t>
      </w:r>
      <w:r w:rsidR="0010041A">
        <w:t>9</w:t>
      </w:r>
      <w:r>
        <w:t>).</w:t>
      </w:r>
      <w:r w:rsidR="00B20C70">
        <w:t xml:space="preserve"> </w:t>
      </w:r>
    </w:p>
    <w:p w14:paraId="469DF551" w14:textId="3E335FB1" w:rsidR="005D1BAF" w:rsidRDefault="00E14712" w:rsidP="003E4652">
      <w:pPr>
        <w:spacing w:line="480" w:lineRule="exact"/>
        <w:ind w:firstLine="425"/>
      </w:pPr>
      <w:r>
        <w:t>Although</w:t>
      </w:r>
      <w:r w:rsidR="0017734B">
        <w:t xml:space="preserve"> the</w:t>
      </w:r>
      <w:r>
        <w:t xml:space="preserve"> </w:t>
      </w:r>
      <w:r w:rsidR="00F4341B">
        <w:t xml:space="preserve">self-enhancement motive and its manifestations are </w:t>
      </w:r>
      <w:r w:rsidR="005B70B9">
        <w:t xml:space="preserve">generally </w:t>
      </w:r>
      <w:r w:rsidR="00F4341B">
        <w:t xml:space="preserve">potent </w:t>
      </w:r>
      <w:r w:rsidR="00FF5804">
        <w:t>(</w:t>
      </w:r>
      <w:r w:rsidR="00FF5804" w:rsidRPr="00A32C09">
        <w:t xml:space="preserve">Alicke, Zell, &amp; Guenther, 2013) </w:t>
      </w:r>
      <w:r w:rsidR="00F4341B">
        <w:t>and</w:t>
      </w:r>
      <w:r w:rsidR="005B70B9">
        <w:t xml:space="preserve"> also</w:t>
      </w:r>
      <w:r w:rsidR="00F4341B">
        <w:t xml:space="preserve"> prevalent cross-culturally (Sedikides, Gaertner, &amp; Cai, 2015)</w:t>
      </w:r>
      <w:r>
        <w:t>, they</w:t>
      </w:r>
      <w:r w:rsidR="005B70B9">
        <w:t xml:space="preserve"> nevertheless vary among individuals</w:t>
      </w:r>
      <w:r w:rsidR="00EB44BC">
        <w:t xml:space="preserve"> (</w:t>
      </w:r>
      <w:hyperlink r:id="rId9" w:anchor="!" w:history="1">
        <w:r w:rsidR="00552946" w:rsidRPr="00A32C09">
          <w:t>Foster</w:t>
        </w:r>
      </w:hyperlink>
      <w:r w:rsidR="00552946" w:rsidRPr="00A32C09">
        <w:t xml:space="preserve">, Campbell, &amp; Twenge, 2003; </w:t>
      </w:r>
      <w:r w:rsidR="00EB44BC" w:rsidRPr="00A32C09">
        <w:rPr>
          <w:rFonts w:hint="eastAsia"/>
        </w:rPr>
        <w:t>Hepper, Gramzow, &amp; Sedikides, 2010</w:t>
      </w:r>
      <w:r w:rsidR="00EB44BC" w:rsidRPr="00A32C09">
        <w:t>; Hepper, Sedikides, &amp; Cai, 2013</w:t>
      </w:r>
      <w:r w:rsidR="00EB44BC">
        <w:t>)</w:t>
      </w:r>
      <w:r>
        <w:t xml:space="preserve">. </w:t>
      </w:r>
      <w:r w:rsidR="008A6385">
        <w:t xml:space="preserve">Such individual differences are partly due to </w:t>
      </w:r>
      <w:r w:rsidR="00414A1D">
        <w:t>parent</w:t>
      </w:r>
      <w:r w:rsidR="008A6385">
        <w:t xml:space="preserve">al </w:t>
      </w:r>
      <w:r w:rsidR="00414A1D">
        <w:t>practices</w:t>
      </w:r>
      <w:r w:rsidR="00494935">
        <w:t xml:space="preserve"> </w:t>
      </w:r>
      <w:r w:rsidR="00414A1D">
        <w:t>(</w:t>
      </w:r>
      <w:r w:rsidR="008A6385">
        <w:t xml:space="preserve">Brummelman et al., 2015; </w:t>
      </w:r>
      <w:r w:rsidR="00414A1D">
        <w:t>Thomaes, Brummelman, &amp; Sedikides, 2017)</w:t>
      </w:r>
      <w:r w:rsidR="00356108">
        <w:t xml:space="preserve">, </w:t>
      </w:r>
      <w:r w:rsidR="00B97A62">
        <w:t>and</w:t>
      </w:r>
      <w:r w:rsidR="008A6385">
        <w:t xml:space="preserve"> are e</w:t>
      </w:r>
      <w:r w:rsidR="00356108">
        <w:t>mbedded within hormone systems (</w:t>
      </w:r>
      <w:r w:rsidR="000E7664">
        <w:t>Cheng, Tracy, &amp; Miller, 2013; Reinhard, Konrath, Lopez, &amp; Cameron, 2012</w:t>
      </w:r>
      <w:r w:rsidR="00356108">
        <w:t>)</w:t>
      </w:r>
      <w:r w:rsidR="00494935">
        <w:t xml:space="preserve"> and</w:t>
      </w:r>
      <w:r w:rsidR="00414A1D">
        <w:t xml:space="preserve"> neural networks (</w:t>
      </w:r>
      <w:r w:rsidR="005D1BAF" w:rsidRPr="00A32C09">
        <w:t xml:space="preserve">Cai, Wu, Shi, Gu, &amp; Sedikides, 2016; </w:t>
      </w:r>
      <w:r w:rsidR="005F2965">
        <w:t>Yang et al., 2018</w:t>
      </w:r>
      <w:r w:rsidR="00EF3400">
        <w:t>a,b</w:t>
      </w:r>
      <w:r w:rsidR="00496DDC">
        <w:t>)</w:t>
      </w:r>
      <w:r w:rsidR="00B97A62">
        <w:t xml:space="preserve"> in adults</w:t>
      </w:r>
      <w:r w:rsidR="00F4341B">
        <w:t xml:space="preserve">. </w:t>
      </w:r>
    </w:p>
    <w:p w14:paraId="30D584AE" w14:textId="535D25C1" w:rsidR="005C6C7C" w:rsidRDefault="00C06B26" w:rsidP="003E4652">
      <w:pPr>
        <w:spacing w:line="480" w:lineRule="exact"/>
        <w:ind w:firstLine="425"/>
      </w:pPr>
      <w:r>
        <w:t>Recent</w:t>
      </w:r>
      <w:r w:rsidR="00AB6790">
        <w:t xml:space="preserve">ly, </w:t>
      </w:r>
      <w:r>
        <w:t xml:space="preserve">research </w:t>
      </w:r>
      <w:r w:rsidR="00607D53">
        <w:t xml:space="preserve">has </w:t>
      </w:r>
      <w:r>
        <w:t xml:space="preserve">started to </w:t>
      </w:r>
      <w:r w:rsidR="0017734B">
        <w:t>focus on</w:t>
      </w:r>
      <w:r w:rsidR="00607D53">
        <w:t xml:space="preserve"> </w:t>
      </w:r>
      <w:r w:rsidR="005E0252">
        <w:t xml:space="preserve">the </w:t>
      </w:r>
      <w:r w:rsidR="00A416C0">
        <w:rPr>
          <w:rFonts w:hint="eastAsia"/>
        </w:rPr>
        <w:t>etiological</w:t>
      </w:r>
      <w:r w:rsidR="00A416C0">
        <w:t xml:space="preserve"> </w:t>
      </w:r>
      <w:r w:rsidR="002B015B">
        <w:t xml:space="preserve">origins </w:t>
      </w:r>
      <w:r w:rsidR="00687AED">
        <w:t xml:space="preserve">of </w:t>
      </w:r>
      <w:r w:rsidR="00D17E90">
        <w:t>individual difference</w:t>
      </w:r>
      <w:r w:rsidR="005552C9">
        <w:t>s</w:t>
      </w:r>
      <w:r w:rsidR="00D17E90">
        <w:t xml:space="preserve"> </w:t>
      </w:r>
      <w:r w:rsidR="00641E24">
        <w:t>in</w:t>
      </w:r>
      <w:r w:rsidR="00684F0F">
        <w:t xml:space="preserve"> self-enhancement</w:t>
      </w:r>
      <w:r w:rsidR="00F4341B" w:rsidRPr="00CD7CB3" w:rsidDel="00730E8F">
        <w:t>.</w:t>
      </w:r>
      <w:r w:rsidR="00F4341B" w:rsidDel="00730E8F">
        <w:t xml:space="preserve"> </w:t>
      </w:r>
      <w:r w:rsidR="00F4341B">
        <w:t xml:space="preserve">Twin studies on agentic narcissism (Luo, Cai, Sedikides, &amp; Song, 2014), communal narcissism (Luo, Cai, Sedikides, &amp; Song, 2014), narcissistic grandiosity (Luo, Cai, &amp; Song, 2014), and the better-than-average effect (BTAE—considering oneself superior to peers; Luo, Liu, Cai, Wildschut, &amp; Sedikides, 2016) have </w:t>
      </w:r>
      <w:r w:rsidR="00EB44BC">
        <w:t xml:space="preserve">revealed </w:t>
      </w:r>
      <w:r w:rsidR="00F4341B">
        <w:t xml:space="preserve">that </w:t>
      </w:r>
      <w:r w:rsidR="00F534F0">
        <w:t xml:space="preserve">individual differences in </w:t>
      </w:r>
      <w:r w:rsidR="00F4341B">
        <w:t>self-enhancement</w:t>
      </w:r>
      <w:r w:rsidR="00EB44BC">
        <w:t xml:space="preserve"> manifestations</w:t>
      </w:r>
      <w:r w:rsidR="00F4341B">
        <w:t xml:space="preserve"> </w:t>
      </w:r>
      <w:r w:rsidR="00FA5BE6">
        <w:t>have genetic bases</w:t>
      </w:r>
      <w:r w:rsidR="00F4341B">
        <w:t xml:space="preserve"> both at the subjective and intermediate levels</w:t>
      </w:r>
      <w:r w:rsidR="00CF3E79">
        <w:rPr>
          <w:rFonts w:hint="eastAsia"/>
        </w:rPr>
        <w:t xml:space="preserve">. Environmental influences also contribute to the variance in self-enhancement </w:t>
      </w:r>
      <w:r w:rsidR="00EB44BC">
        <w:t xml:space="preserve">manifestations </w:t>
      </w:r>
      <w:r w:rsidR="00CF3E79">
        <w:rPr>
          <w:rFonts w:hint="eastAsia"/>
        </w:rPr>
        <w:t>at both levels</w:t>
      </w:r>
      <w:r w:rsidR="00F4341B">
        <w:t>.</w:t>
      </w:r>
      <w:r w:rsidR="00142BA5">
        <w:t xml:space="preserve"> </w:t>
      </w:r>
      <w:r w:rsidR="00F4341B">
        <w:t xml:space="preserve">However, no twin study has examined </w:t>
      </w:r>
      <w:r w:rsidR="0017734B">
        <w:t xml:space="preserve">the extent to which </w:t>
      </w:r>
      <w:r w:rsidR="00F4341B" w:rsidRPr="0072794E">
        <w:t xml:space="preserve">self-enhancement </w:t>
      </w:r>
      <w:r w:rsidR="0017734B">
        <w:t xml:space="preserve">manifestations </w:t>
      </w:r>
      <w:r w:rsidR="00F4341B" w:rsidRPr="0072794E">
        <w:t xml:space="preserve">at the objective level </w:t>
      </w:r>
      <w:r w:rsidR="00F4341B">
        <w:t xml:space="preserve">are </w:t>
      </w:r>
      <w:r w:rsidR="00846092">
        <w:rPr>
          <w:rFonts w:hint="eastAsia"/>
        </w:rPr>
        <w:t>heritable</w:t>
      </w:r>
      <w:r w:rsidR="00F4341B">
        <w:t>.</w:t>
      </w:r>
      <w:r w:rsidR="0018259C">
        <w:rPr>
          <w:rFonts w:hint="eastAsia"/>
        </w:rPr>
        <w:t xml:space="preserve"> </w:t>
      </w:r>
      <w:r w:rsidR="0017734B">
        <w:t>Likewise</w:t>
      </w:r>
      <w:r w:rsidR="0018259C">
        <w:rPr>
          <w:rFonts w:hint="eastAsia"/>
        </w:rPr>
        <w:t xml:space="preserve">, no study has </w:t>
      </w:r>
      <w:r w:rsidR="0017734B">
        <w:t>examined</w:t>
      </w:r>
      <w:r w:rsidR="0018259C">
        <w:rPr>
          <w:rFonts w:hint="eastAsia"/>
        </w:rPr>
        <w:t xml:space="preserve"> </w:t>
      </w:r>
      <w:r w:rsidR="00240152">
        <w:rPr>
          <w:rFonts w:hint="eastAsia"/>
        </w:rPr>
        <w:t>whether</w:t>
      </w:r>
      <w:r w:rsidR="0018259C">
        <w:rPr>
          <w:rFonts w:hint="eastAsia"/>
        </w:rPr>
        <w:t xml:space="preserve"> </w:t>
      </w:r>
      <w:r w:rsidR="009643E0">
        <w:rPr>
          <w:rFonts w:hint="eastAsia"/>
        </w:rPr>
        <w:t xml:space="preserve">individual </w:t>
      </w:r>
      <w:r w:rsidR="0017734B">
        <w:t xml:space="preserve">differences in </w:t>
      </w:r>
      <w:r w:rsidR="0018259C">
        <w:rPr>
          <w:rFonts w:hint="eastAsia"/>
        </w:rPr>
        <w:t>self-enhancement</w:t>
      </w:r>
      <w:r w:rsidR="00AA2CDD">
        <w:rPr>
          <w:rFonts w:hint="eastAsia"/>
        </w:rPr>
        <w:t xml:space="preserve"> </w:t>
      </w:r>
      <w:r w:rsidR="0018259C">
        <w:rPr>
          <w:rFonts w:hint="eastAsia"/>
        </w:rPr>
        <w:lastRenderedPageBreak/>
        <w:t xml:space="preserve">manifestations at different </w:t>
      </w:r>
      <w:r w:rsidR="0018259C">
        <w:t>levels</w:t>
      </w:r>
      <w:r w:rsidR="0018259C">
        <w:rPr>
          <w:rFonts w:hint="eastAsia"/>
        </w:rPr>
        <w:t xml:space="preserve"> are </w:t>
      </w:r>
      <w:r w:rsidR="0017734B">
        <w:t>underpinned</w:t>
      </w:r>
      <w:r w:rsidR="009643E0">
        <w:rPr>
          <w:rFonts w:hint="eastAsia"/>
        </w:rPr>
        <w:t xml:space="preserve"> by </w:t>
      </w:r>
      <w:r w:rsidR="004450D0">
        <w:rPr>
          <w:rFonts w:hint="eastAsia"/>
        </w:rPr>
        <w:t>the same</w:t>
      </w:r>
      <w:r w:rsidR="009643E0">
        <w:rPr>
          <w:rFonts w:hint="eastAsia"/>
        </w:rPr>
        <w:t xml:space="preserve"> </w:t>
      </w:r>
      <w:r w:rsidR="00D6508E">
        <w:t xml:space="preserve">or </w:t>
      </w:r>
      <w:r w:rsidR="004450D0">
        <w:t xml:space="preserve">different </w:t>
      </w:r>
      <w:r w:rsidR="009643E0">
        <w:rPr>
          <w:rFonts w:hint="eastAsia"/>
        </w:rPr>
        <w:t>genetic</w:t>
      </w:r>
      <w:r w:rsidR="004450D0">
        <w:t xml:space="preserve"> </w:t>
      </w:r>
      <w:r w:rsidR="009643E0">
        <w:rPr>
          <w:rFonts w:hint="eastAsia"/>
        </w:rPr>
        <w:t xml:space="preserve">sources. </w:t>
      </w:r>
      <w:r w:rsidR="00EB44BC">
        <w:t xml:space="preserve">The same goes for studies on </w:t>
      </w:r>
      <w:r w:rsidR="004450D0">
        <w:t xml:space="preserve">environmental </w:t>
      </w:r>
      <w:r w:rsidR="0017734B">
        <w:t>influences</w:t>
      </w:r>
      <w:r w:rsidR="004450D0">
        <w:t>.</w:t>
      </w:r>
      <w:r w:rsidR="000D7D9E">
        <w:t xml:space="preserve"> </w:t>
      </w:r>
    </w:p>
    <w:p w14:paraId="34E12840" w14:textId="029BA1DD" w:rsidR="005C6C7C" w:rsidRPr="00DE57B3" w:rsidRDefault="005C6C7C" w:rsidP="00DE57B3">
      <w:pPr>
        <w:spacing w:line="480" w:lineRule="exact"/>
        <w:outlineLvl w:val="0"/>
        <w:rPr>
          <w:b/>
        </w:rPr>
      </w:pPr>
      <w:r w:rsidRPr="00DE57B3">
        <w:rPr>
          <w:b/>
        </w:rPr>
        <w:t>Overview</w:t>
      </w:r>
    </w:p>
    <w:p w14:paraId="2BD7E1D3" w14:textId="45AFB77A" w:rsidR="009B244D" w:rsidRDefault="00C04D23" w:rsidP="003E4652">
      <w:pPr>
        <w:spacing w:line="480" w:lineRule="exact"/>
        <w:ind w:firstLine="425"/>
      </w:pPr>
      <w:r>
        <w:t>W</w:t>
      </w:r>
      <w:r w:rsidR="00F4341B">
        <w:t xml:space="preserve">e aimed to </w:t>
      </w:r>
      <w:r w:rsidR="00A416C0">
        <w:rPr>
          <w:rFonts w:hint="eastAsia"/>
        </w:rPr>
        <w:t xml:space="preserve">uncover the </w:t>
      </w:r>
      <w:r w:rsidR="002971E8">
        <w:t>genetic and environmental bases</w:t>
      </w:r>
      <w:r w:rsidR="00A416C0">
        <w:rPr>
          <w:rFonts w:hint="eastAsia"/>
        </w:rPr>
        <w:t xml:space="preserve"> </w:t>
      </w:r>
      <w:r w:rsidR="00116253">
        <w:t>underlying</w:t>
      </w:r>
      <w:r w:rsidR="00A416C0">
        <w:rPr>
          <w:rFonts w:hint="eastAsia"/>
        </w:rPr>
        <w:t xml:space="preserve"> </w:t>
      </w:r>
      <w:r w:rsidR="00116253">
        <w:t xml:space="preserve">individual differences in objective-level </w:t>
      </w:r>
      <w:r w:rsidR="00A416C0">
        <w:rPr>
          <w:rFonts w:hint="eastAsia"/>
        </w:rPr>
        <w:t xml:space="preserve">self-enhancement by </w:t>
      </w:r>
      <w:r w:rsidR="00F4341B">
        <w:t>using the overclaiming task. We had two other key objectives. For the first time, we incorporated simultaneously manifestations of self-enhancement at all three levels (subjective, intermediate, objective) in an attempt to probe the</w:t>
      </w:r>
      <w:r w:rsidR="00C85136">
        <w:t>ir</w:t>
      </w:r>
      <w:r w:rsidR="00F4341B">
        <w:t xml:space="preserve"> </w:t>
      </w:r>
      <w:r w:rsidR="00A416C0">
        <w:rPr>
          <w:rFonts w:hint="eastAsia"/>
        </w:rPr>
        <w:t>etiologic</w:t>
      </w:r>
      <w:r w:rsidR="00A416C0">
        <w:t xml:space="preserve"> </w:t>
      </w:r>
      <w:r w:rsidR="00F4341B">
        <w:t>commonality. Is there a core construct underlying the three levels, and, if so, to what extent is it heritable</w:t>
      </w:r>
      <w:r w:rsidR="000A69BD">
        <w:t xml:space="preserve"> or environmentally </w:t>
      </w:r>
      <w:r w:rsidR="009E1059">
        <w:t>shaped</w:t>
      </w:r>
      <w:r w:rsidR="00F4341B">
        <w:t>? Also for the first time, we examined whether the (cross-cultural; Dufner et al., 201</w:t>
      </w:r>
      <w:r w:rsidR="0010041A">
        <w:t>9</w:t>
      </w:r>
      <w:r w:rsidR="00F4341B">
        <w:t>) relation between self-enhancement and psychological wellbeing—at the subjective, intermediate, and objective levels—</w:t>
      </w:r>
      <w:r w:rsidR="00F4341B">
        <w:rPr>
          <w:rFonts w:hint="eastAsia"/>
        </w:rPr>
        <w:t>was</w:t>
      </w:r>
      <w:r w:rsidR="00F4341B">
        <w:t xml:space="preserve"> genetically, as well as, environmentally, influenced.</w:t>
      </w:r>
    </w:p>
    <w:p w14:paraId="13FF3100" w14:textId="432ECF4B" w:rsidR="009B244D" w:rsidRDefault="00F4341B" w:rsidP="003E4652">
      <w:pPr>
        <w:spacing w:line="480" w:lineRule="exact"/>
        <w:ind w:firstLine="425"/>
      </w:pPr>
      <w:r>
        <w:t xml:space="preserve">Agentic and communal narcissism, narcissistic grandiosity, the BTAE, and overclaiming are moderately interrelated on </w:t>
      </w:r>
      <w:r>
        <w:rPr>
          <w:rFonts w:hint="eastAsia"/>
        </w:rPr>
        <w:t>phenotypic levels (</w:t>
      </w:r>
      <w:r>
        <w:t>Crowe, Carter, Campbell, &amp; Miller, 2016</w:t>
      </w:r>
      <w:r>
        <w:rPr>
          <w:rFonts w:hint="eastAsia"/>
        </w:rPr>
        <w:t xml:space="preserve">; </w:t>
      </w:r>
      <w:r>
        <w:t xml:space="preserve">Gebauer, Sedikides, Verplanken, &amp; Maio, 2012; Luo, Cai, </w:t>
      </w:r>
      <w:r>
        <w:rPr>
          <w:rFonts w:hint="eastAsia"/>
        </w:rPr>
        <w:t xml:space="preserve">Sedikides, </w:t>
      </w:r>
      <w:r>
        <w:t xml:space="preserve">&amp; Song, 2014; </w:t>
      </w:r>
      <w:r>
        <w:rPr>
          <w:rFonts w:hint="eastAsia"/>
        </w:rPr>
        <w:t>Paulhus</w:t>
      </w:r>
      <w:r>
        <w:t xml:space="preserve"> et al.,</w:t>
      </w:r>
      <w:r>
        <w:rPr>
          <w:rFonts w:hint="eastAsia"/>
        </w:rPr>
        <w:t xml:space="preserve"> 2003)</w:t>
      </w:r>
      <w:r>
        <w:t>. As phenotypic covariance usually indicates genetic and/or environmental similarity (Knopik, Neiderhiser, DeFries, &amp; Plomin, 2017)</w:t>
      </w:r>
      <w:r>
        <w:rPr>
          <w:rFonts w:hint="eastAsia"/>
        </w:rPr>
        <w:t xml:space="preserve">, we expected that common genetic </w:t>
      </w:r>
      <w:r>
        <w:t>and</w:t>
      </w:r>
      <w:r>
        <w:rPr>
          <w:rFonts w:hint="eastAsia"/>
        </w:rPr>
        <w:t xml:space="preserve"> environmental factors</w:t>
      </w:r>
      <w:r>
        <w:t xml:space="preserve"> would</w:t>
      </w:r>
      <w:r>
        <w:rPr>
          <w:rFonts w:hint="eastAsia"/>
        </w:rPr>
        <w:t xml:space="preserve"> contribute to</w:t>
      </w:r>
      <w:r w:rsidR="00925EF8">
        <w:t xml:space="preserve"> variations in</w:t>
      </w:r>
      <w:r>
        <w:rPr>
          <w:rFonts w:hint="eastAsia"/>
        </w:rPr>
        <w:t xml:space="preserve"> all </w:t>
      </w:r>
      <w:r>
        <w:t>these self-enhancement manifestations besides</w:t>
      </w:r>
      <w:r>
        <w:rPr>
          <w:rFonts w:hint="eastAsia"/>
        </w:rPr>
        <w:t xml:space="preserve"> genetic and environmental influences unique to each manifestation.</w:t>
      </w:r>
      <w:r>
        <w:t xml:space="preserve"> W</w:t>
      </w:r>
      <w:r>
        <w:rPr>
          <w:rFonts w:hint="eastAsia"/>
        </w:rPr>
        <w:t xml:space="preserve">e tested </w:t>
      </w:r>
      <w:r>
        <w:t>t</w:t>
      </w:r>
      <w:r>
        <w:rPr>
          <w:rFonts w:hint="eastAsia"/>
        </w:rPr>
        <w:t xml:space="preserve">wo competing hypothetical models, the </w:t>
      </w:r>
      <w:r w:rsidRPr="00DE57B3">
        <w:rPr>
          <w:i/>
          <w:iCs/>
        </w:rPr>
        <w:t>independent pathway model</w:t>
      </w:r>
      <w:r>
        <w:rPr>
          <w:rFonts w:hint="eastAsia"/>
        </w:rPr>
        <w:t xml:space="preserve"> </w:t>
      </w:r>
      <w:r>
        <w:t>and</w:t>
      </w:r>
      <w:r>
        <w:rPr>
          <w:rFonts w:hint="eastAsia"/>
        </w:rPr>
        <w:t xml:space="preserve"> the </w:t>
      </w:r>
      <w:r w:rsidRPr="00DE57B3">
        <w:rPr>
          <w:i/>
          <w:iCs/>
        </w:rPr>
        <w:t>common pathway model</w:t>
      </w:r>
      <w:r>
        <w:rPr>
          <w:rFonts w:hint="eastAsia"/>
        </w:rPr>
        <w:t xml:space="preserve">. Both models acknowledge common and unique genetic as well as environmental effects on each </w:t>
      </w:r>
      <w:r>
        <w:t>manifestation</w:t>
      </w:r>
      <w:r>
        <w:rPr>
          <w:rFonts w:hint="eastAsia"/>
        </w:rPr>
        <w:t xml:space="preserve">. </w:t>
      </w:r>
      <w:r>
        <w:t>However, t</w:t>
      </w:r>
      <w:r>
        <w:rPr>
          <w:rFonts w:hint="eastAsia"/>
        </w:rPr>
        <w:t xml:space="preserve">he </w:t>
      </w:r>
      <w:r>
        <w:t>independent</w:t>
      </w:r>
      <w:r>
        <w:rPr>
          <w:rFonts w:hint="eastAsia"/>
        </w:rPr>
        <w:t xml:space="preserve"> pathway model assumes</w:t>
      </w:r>
      <w:r>
        <w:t xml:space="preserve"> that</w:t>
      </w:r>
      <w:r>
        <w:rPr>
          <w:rFonts w:hint="eastAsia"/>
        </w:rPr>
        <w:t xml:space="preserve"> some common genetic </w:t>
      </w:r>
      <w:r>
        <w:t>and</w:t>
      </w:r>
      <w:r>
        <w:rPr>
          <w:rFonts w:hint="eastAsia"/>
        </w:rPr>
        <w:t xml:space="preserve"> environmental factors influence each </w:t>
      </w:r>
      <w:r>
        <w:t>manifestation</w:t>
      </w:r>
      <w:r>
        <w:rPr>
          <w:rFonts w:hint="eastAsia"/>
        </w:rPr>
        <w:t xml:space="preserve"> through </w:t>
      </w:r>
      <w:r>
        <w:t>pathw</w:t>
      </w:r>
      <w:r>
        <w:rPr>
          <w:rFonts w:hint="eastAsia"/>
        </w:rPr>
        <w:t>ays</w:t>
      </w:r>
      <w:r>
        <w:t xml:space="preserve"> that are</w:t>
      </w:r>
      <w:r>
        <w:rPr>
          <w:rFonts w:hint="eastAsia"/>
        </w:rPr>
        <w:t xml:space="preserve"> </w:t>
      </w:r>
      <w:r>
        <w:t>independent</w:t>
      </w:r>
      <w:r>
        <w:rPr>
          <w:rFonts w:hint="eastAsia"/>
        </w:rPr>
        <w:t xml:space="preserve"> from </w:t>
      </w:r>
      <w:r>
        <w:t xml:space="preserve">those influencing </w:t>
      </w:r>
      <w:r>
        <w:rPr>
          <w:rFonts w:hint="eastAsia"/>
        </w:rPr>
        <w:t xml:space="preserve">other </w:t>
      </w:r>
      <w:r>
        <w:t xml:space="preserve">manifestations, whereas </w:t>
      </w:r>
      <w:r>
        <w:rPr>
          <w:rFonts w:hint="eastAsia"/>
        </w:rPr>
        <w:t xml:space="preserve">the common pathway model assumes that common </w:t>
      </w:r>
      <w:r>
        <w:t>genes</w:t>
      </w:r>
      <w:r>
        <w:rPr>
          <w:rFonts w:hint="eastAsia"/>
        </w:rPr>
        <w:t xml:space="preserve"> or environments influence all </w:t>
      </w:r>
      <w:r>
        <w:t xml:space="preserve">manifestation via </w:t>
      </w:r>
      <w:r>
        <w:rPr>
          <w:rFonts w:hint="eastAsia"/>
        </w:rPr>
        <w:t xml:space="preserve">the same pathway, </w:t>
      </w:r>
      <w:r>
        <w:t xml:space="preserve">namely, </w:t>
      </w:r>
      <w:r>
        <w:rPr>
          <w:rFonts w:hint="eastAsia"/>
        </w:rPr>
        <w:t xml:space="preserve">a latent trait. This latent trait stands for the core of </w:t>
      </w:r>
      <w:r>
        <w:t>manifestations</w:t>
      </w:r>
      <w:r>
        <w:rPr>
          <w:rFonts w:hint="eastAsia"/>
        </w:rPr>
        <w:t xml:space="preserve">. If all </w:t>
      </w:r>
      <w:r>
        <w:t>manifestations</w:t>
      </w:r>
      <w:r>
        <w:rPr>
          <w:rFonts w:hint="eastAsia"/>
        </w:rPr>
        <w:t xml:space="preserve"> converge </w:t>
      </w:r>
      <w:r>
        <w:rPr>
          <w:rFonts w:hint="eastAsia"/>
        </w:rPr>
        <w:lastRenderedPageBreak/>
        <w:t>into one core, the common pathway model would outperform the independent pathway model.</w:t>
      </w:r>
    </w:p>
    <w:p w14:paraId="40077C35" w14:textId="141F4AE3" w:rsidR="009B244D" w:rsidRDefault="00F4341B" w:rsidP="003E4652">
      <w:pPr>
        <w:spacing w:line="480" w:lineRule="exact"/>
        <w:ind w:firstLine="425"/>
      </w:pPr>
      <w:r>
        <w:t xml:space="preserve">To </w:t>
      </w:r>
      <w:r w:rsidR="00477F61">
        <w:t>examine</w:t>
      </w:r>
      <w:r w:rsidR="008035C7">
        <w:t xml:space="preserve"> </w:t>
      </w:r>
      <w:r>
        <w:rPr>
          <w:rFonts w:hint="eastAsia"/>
        </w:rPr>
        <w:t>potential</w:t>
      </w:r>
      <w:r>
        <w:t xml:space="preserve"> genetic </w:t>
      </w:r>
      <w:r w:rsidR="000D6428">
        <w:t xml:space="preserve">and environmental </w:t>
      </w:r>
      <w:r>
        <w:t xml:space="preserve">bases between self-enhancement manifestations </w:t>
      </w:r>
      <w:r>
        <w:rPr>
          <w:rFonts w:hint="eastAsia"/>
        </w:rPr>
        <w:t>and psychological wellbeing</w:t>
      </w:r>
      <w:r>
        <w:t xml:space="preserve">, we focused on both the cognitive and affective components of </w:t>
      </w:r>
      <w:r>
        <w:rPr>
          <w:rFonts w:hint="eastAsia"/>
        </w:rPr>
        <w:t>wellbeing</w:t>
      </w:r>
      <w:r>
        <w:t xml:space="preserve"> (</w:t>
      </w:r>
      <w:r>
        <w:rPr>
          <w:color w:val="222222"/>
          <w:lang w:eastAsia="de-DE"/>
        </w:rPr>
        <w:t xml:space="preserve">Diener, Emmons, Larsen, &amp; Griffin, 1985; </w:t>
      </w:r>
      <w:r>
        <w:t>Diener, Suh, Lucas, &amp; Smiths, 1999)</w:t>
      </w:r>
      <w:r>
        <w:rPr>
          <w:rFonts w:hint="eastAsia"/>
        </w:rPr>
        <w:t>.</w:t>
      </w:r>
      <w:r>
        <w:t xml:space="preserve"> Self-enhancement manifestations (in general) and psychological adjustment (including wellbeing) are positively related (</w:t>
      </w:r>
      <w:r>
        <w:rPr>
          <w:i/>
        </w:rPr>
        <w:t>r</w:t>
      </w:r>
      <w:r>
        <w:t xml:space="preserve"> = .18), as a meta-analysis established (Dufner et al., 201</w:t>
      </w:r>
      <w:r w:rsidR="0010041A">
        <w:t>9</w:t>
      </w:r>
      <w:r>
        <w:t>). As such, w</w:t>
      </w:r>
      <w:r>
        <w:rPr>
          <w:rFonts w:hint="eastAsia"/>
        </w:rPr>
        <w:t xml:space="preserve">e </w:t>
      </w:r>
      <w:r>
        <w:t>hypothesized</w:t>
      </w:r>
      <w:r>
        <w:rPr>
          <w:rFonts w:hint="eastAsia"/>
        </w:rPr>
        <w:t xml:space="preserve"> that the genetic effects on </w:t>
      </w:r>
      <w:r>
        <w:t>self-enhancement</w:t>
      </w:r>
      <w:r>
        <w:rPr>
          <w:rFonts w:hint="eastAsia"/>
        </w:rPr>
        <w:t xml:space="preserve"> and those on wellbeing </w:t>
      </w:r>
      <w:r>
        <w:t>w</w:t>
      </w:r>
      <w:r>
        <w:rPr>
          <w:rFonts w:hint="eastAsia"/>
        </w:rPr>
        <w:t xml:space="preserve">ould be </w:t>
      </w:r>
      <w:r>
        <w:t xml:space="preserve">positively </w:t>
      </w:r>
      <w:r w:rsidR="00E7652B">
        <w:t>associated</w:t>
      </w:r>
      <w:r>
        <w:rPr>
          <w:rFonts w:hint="eastAsia"/>
        </w:rPr>
        <w:t xml:space="preserve">. </w:t>
      </w:r>
      <w:r>
        <w:t>Stated otherwise</w:t>
      </w:r>
      <w:r>
        <w:rPr>
          <w:rFonts w:hint="eastAsia"/>
        </w:rPr>
        <w:t xml:space="preserve">, </w:t>
      </w:r>
      <w:r>
        <w:t xml:space="preserve">self-enhancement </w:t>
      </w:r>
      <w:r>
        <w:rPr>
          <w:rFonts w:hint="eastAsia"/>
        </w:rPr>
        <w:t xml:space="preserve">and wellbeing </w:t>
      </w:r>
      <w:r w:rsidR="00702AD7">
        <w:t>will</w:t>
      </w:r>
      <w:r w:rsidR="00702AD7">
        <w:rPr>
          <w:rFonts w:hint="eastAsia"/>
        </w:rPr>
        <w:t xml:space="preserve"> </w:t>
      </w:r>
      <w:r>
        <w:rPr>
          <w:rFonts w:hint="eastAsia"/>
        </w:rPr>
        <w:t xml:space="preserve">share similar genetic bases to some degree. </w:t>
      </w:r>
      <w:r>
        <w:t xml:space="preserve">We formulated </w:t>
      </w:r>
      <w:r w:rsidR="00CC353D">
        <w:t>similar</w:t>
      </w:r>
      <w:r>
        <w:t xml:space="preserve"> hypothesis </w:t>
      </w:r>
      <w:r>
        <w:rPr>
          <w:rFonts w:hint="eastAsia"/>
        </w:rPr>
        <w:t>for environmental effects.</w:t>
      </w:r>
    </w:p>
    <w:p w14:paraId="7A34C15C" w14:textId="77777777" w:rsidR="009B244D" w:rsidRDefault="00F4341B" w:rsidP="00D17E90">
      <w:pPr>
        <w:spacing w:line="480" w:lineRule="exact"/>
        <w:jc w:val="center"/>
        <w:outlineLvl w:val="0"/>
        <w:rPr>
          <w:b/>
        </w:rPr>
      </w:pPr>
      <w:r>
        <w:rPr>
          <w:rFonts w:hint="eastAsia"/>
          <w:b/>
        </w:rPr>
        <w:t>Method</w:t>
      </w:r>
    </w:p>
    <w:p w14:paraId="54EAEAE5" w14:textId="77777777" w:rsidR="009B244D" w:rsidRDefault="00F4341B" w:rsidP="00D17E90">
      <w:pPr>
        <w:spacing w:line="480" w:lineRule="exact"/>
        <w:outlineLvl w:val="0"/>
        <w:rPr>
          <w:b/>
        </w:rPr>
      </w:pPr>
      <w:r>
        <w:rPr>
          <w:rFonts w:hint="eastAsia"/>
          <w:b/>
        </w:rPr>
        <w:t>Participants</w:t>
      </w:r>
    </w:p>
    <w:p w14:paraId="5342326D" w14:textId="77777777" w:rsidR="009B244D" w:rsidRDefault="00F4341B" w:rsidP="003E4652">
      <w:pPr>
        <w:spacing w:line="480" w:lineRule="exact"/>
        <w:ind w:firstLine="425"/>
      </w:pPr>
      <w:r>
        <w:rPr>
          <w:rFonts w:hint="eastAsia"/>
        </w:rPr>
        <w:t>We recruited</w:t>
      </w:r>
      <w:r>
        <w:t xml:space="preserve"> </w:t>
      </w:r>
      <w:r>
        <w:rPr>
          <w:rFonts w:hint="eastAsia"/>
        </w:rPr>
        <w:t>twin pairs from the Beijing Twin Study (BeTwiSt)</w:t>
      </w:r>
      <w:r>
        <w:t xml:space="preserve">. </w:t>
      </w:r>
      <w:r>
        <w:rPr>
          <w:rFonts w:hint="eastAsia"/>
        </w:rPr>
        <w:t>Twins in t</w:t>
      </w:r>
      <w:r>
        <w:t xml:space="preserve">he </w:t>
      </w:r>
      <w:r>
        <w:rPr>
          <w:rFonts w:hint="eastAsia"/>
        </w:rPr>
        <w:t xml:space="preserve">BeTwiSt </w:t>
      </w:r>
      <w:r>
        <w:t xml:space="preserve">are socio-demographically representative of </w:t>
      </w:r>
      <w:r>
        <w:rPr>
          <w:rFonts w:hint="eastAsia"/>
        </w:rPr>
        <w:t>Beijing adolescent</w:t>
      </w:r>
      <w:r>
        <w:t xml:space="preserve">s </w:t>
      </w:r>
      <w:r>
        <w:rPr>
          <w:rFonts w:hint="eastAsia"/>
        </w:rPr>
        <w:t>(Chen et al., 2013).</w:t>
      </w:r>
      <w:r>
        <w:t xml:space="preserve"> </w:t>
      </w:r>
      <w:r>
        <w:rPr>
          <w:rFonts w:hint="eastAsia"/>
        </w:rPr>
        <w:t>To ensure the measures were accessible to all participants, we only invited</w:t>
      </w:r>
      <w:r>
        <w:t xml:space="preserve"> </w:t>
      </w:r>
      <w:r>
        <w:rPr>
          <w:rFonts w:hint="eastAsia"/>
        </w:rPr>
        <w:t xml:space="preserve">twins who had finished middle school by the time of testing. Eventually, </w:t>
      </w:r>
      <w:r>
        <w:t xml:space="preserve">304 twin pairs </w:t>
      </w:r>
      <w:r>
        <w:rPr>
          <w:rFonts w:hint="eastAsia"/>
        </w:rPr>
        <w:t>agreed to participate (</w:t>
      </w:r>
      <w:r>
        <w:t>55.9% female</w:t>
      </w:r>
      <w:r>
        <w:rPr>
          <w:rFonts w:hint="eastAsia"/>
        </w:rPr>
        <w:t>;</w:t>
      </w:r>
      <w:r>
        <w:t xml:space="preserve"> age</w:t>
      </w:r>
      <w:r>
        <w:rPr>
          <w:rFonts w:hint="eastAsia"/>
        </w:rPr>
        <w:t xml:space="preserve">: </w:t>
      </w:r>
      <w:r>
        <w:t>range = 15-27</w:t>
      </w:r>
      <w:r>
        <w:rPr>
          <w:rFonts w:hint="eastAsia"/>
        </w:rPr>
        <w:t xml:space="preserve"> years, </w:t>
      </w:r>
      <w:r>
        <w:rPr>
          <w:i/>
          <w:iCs/>
        </w:rPr>
        <w:t>M</w:t>
      </w:r>
      <w:r>
        <w:t xml:space="preserve"> = 18.29, </w:t>
      </w:r>
      <w:r>
        <w:rPr>
          <w:i/>
          <w:iCs/>
        </w:rPr>
        <w:t>SD</w:t>
      </w:r>
      <w:r>
        <w:t xml:space="preserve"> = 1.96). Of them, 152 pairs were monozygotic (MZ) and 152 pairs were dizygotic (DZ; 94 same-sex, 58 opposite-sex). We used DNA testing, with classification accuracy approaching 100%, to determine zygosity for 95% of the twin-pairs. For the remaining 5% of twin-pairs, we established zygosity with a combination of parent-reports and children self-reports of co-twin physical similarity and frequency of confusion—tests that feature predictive accuracy of 90.6% (Chen et al., 2010). We excluded </w:t>
      </w:r>
      <w:r>
        <w:rPr>
          <w:rFonts w:hint="eastAsia"/>
        </w:rPr>
        <w:t>a</w:t>
      </w:r>
      <w:r>
        <w:t xml:space="preserve"> DZ twin pair due to missing data. We obtained e</w:t>
      </w:r>
      <w:r>
        <w:rPr>
          <w:rFonts w:hint="eastAsia"/>
        </w:rPr>
        <w:t xml:space="preserve">thical approval </w:t>
      </w:r>
      <w:r>
        <w:t>from</w:t>
      </w:r>
      <w:r>
        <w:rPr>
          <w:rFonts w:hint="eastAsia"/>
        </w:rPr>
        <w:t xml:space="preserve"> the </w:t>
      </w:r>
      <w:r>
        <w:t>E</w:t>
      </w:r>
      <w:r>
        <w:rPr>
          <w:rFonts w:hint="eastAsia"/>
        </w:rPr>
        <w:t>thics committee of</w:t>
      </w:r>
      <w:r>
        <w:t xml:space="preserve"> </w:t>
      </w:r>
      <w:r>
        <w:rPr>
          <w:rFonts w:hint="eastAsia"/>
        </w:rPr>
        <w:t>Institute of Psychology, Chinese Academy of Sciences. W</w:t>
      </w:r>
      <w:r>
        <w:t xml:space="preserve">e collected </w:t>
      </w:r>
      <w:r>
        <w:rPr>
          <w:rFonts w:hint="eastAsia"/>
        </w:rPr>
        <w:t xml:space="preserve">written </w:t>
      </w:r>
      <w:r>
        <w:t xml:space="preserve">consent from </w:t>
      </w:r>
      <w:r>
        <w:rPr>
          <w:rFonts w:hint="eastAsia"/>
        </w:rPr>
        <w:t xml:space="preserve">the twins and </w:t>
      </w:r>
      <w:r>
        <w:t>the</w:t>
      </w:r>
      <w:r>
        <w:rPr>
          <w:rFonts w:hint="eastAsia"/>
        </w:rPr>
        <w:t>ir</w:t>
      </w:r>
      <w:r>
        <w:t xml:space="preserve"> parents</w:t>
      </w:r>
      <w:r>
        <w:rPr>
          <w:rFonts w:hint="eastAsia"/>
        </w:rPr>
        <w:t xml:space="preserve"> before</w:t>
      </w:r>
      <w:r>
        <w:t xml:space="preserve"> we began</w:t>
      </w:r>
      <w:r>
        <w:rPr>
          <w:rFonts w:hint="eastAsia"/>
        </w:rPr>
        <w:t xml:space="preserve"> test</w:t>
      </w:r>
      <w:r>
        <w:t>ing.</w:t>
      </w:r>
    </w:p>
    <w:p w14:paraId="2D955445" w14:textId="77777777" w:rsidR="009B244D" w:rsidRDefault="00F4341B" w:rsidP="00D17E90">
      <w:pPr>
        <w:spacing w:line="480" w:lineRule="exact"/>
        <w:outlineLvl w:val="0"/>
        <w:rPr>
          <w:b/>
        </w:rPr>
      </w:pPr>
      <w:r>
        <w:rPr>
          <w:rFonts w:hint="eastAsia"/>
          <w:b/>
        </w:rPr>
        <w:t>Measures</w:t>
      </w:r>
    </w:p>
    <w:p w14:paraId="54CE9848" w14:textId="191DA37E" w:rsidR="009B244D" w:rsidRDefault="00F4341B">
      <w:pPr>
        <w:autoSpaceDE w:val="0"/>
        <w:autoSpaceDN w:val="0"/>
        <w:adjustRightInd w:val="0"/>
        <w:spacing w:line="480" w:lineRule="exact"/>
        <w:ind w:firstLine="480"/>
      </w:pPr>
      <w:r>
        <w:lastRenderedPageBreak/>
        <w:t xml:space="preserve">Participants completed </w:t>
      </w:r>
      <w:r>
        <w:rPr>
          <w:rFonts w:hint="eastAsia"/>
        </w:rPr>
        <w:t xml:space="preserve">measures of </w:t>
      </w:r>
      <w:r>
        <w:t xml:space="preserve">the abovementioned </w:t>
      </w:r>
      <w:r>
        <w:rPr>
          <w:rFonts w:hint="eastAsia"/>
        </w:rPr>
        <w:t>self-enhancement</w:t>
      </w:r>
      <w:r>
        <w:t xml:space="preserve"> manifestations</w:t>
      </w:r>
      <w:r>
        <w:rPr>
          <w:rFonts w:hint="eastAsia"/>
        </w:rPr>
        <w:t xml:space="preserve"> and </w:t>
      </w:r>
      <w:r w:rsidR="00F03CDD">
        <w:t xml:space="preserve">psychological </w:t>
      </w:r>
      <w:r>
        <w:rPr>
          <w:rFonts w:hint="eastAsia"/>
        </w:rPr>
        <w:t>wellbeing</w:t>
      </w:r>
      <w:r>
        <w:t xml:space="preserve"> components (along with measures irrelevant to the purposes of this research) on a computer in a private room. We used translation and back-translation procedures </w:t>
      </w:r>
      <w:r>
        <w:rPr>
          <w:rFonts w:hint="eastAsia"/>
        </w:rPr>
        <w:t xml:space="preserve">to </w:t>
      </w:r>
      <w:r>
        <w:t xml:space="preserve">ensure language equivalence. We provide </w:t>
      </w:r>
      <w:r>
        <w:rPr>
          <w:rFonts w:hint="eastAsia"/>
        </w:rPr>
        <w:t>Cronbach</w:t>
      </w:r>
      <w:r>
        <w:t>’</w:t>
      </w:r>
      <w:r>
        <w:rPr>
          <w:rFonts w:hint="eastAsia"/>
        </w:rPr>
        <w:t>s alpha</w:t>
      </w:r>
      <w:r>
        <w:t>s for all</w:t>
      </w:r>
      <w:r>
        <w:rPr>
          <w:rFonts w:hint="eastAsia"/>
        </w:rPr>
        <w:t xml:space="preserve"> measure</w:t>
      </w:r>
      <w:r>
        <w:t>s</w:t>
      </w:r>
      <w:r>
        <w:rPr>
          <w:rFonts w:hint="eastAsia"/>
        </w:rPr>
        <w:t xml:space="preserve"> in Table 1.</w:t>
      </w:r>
    </w:p>
    <w:p w14:paraId="14B4EB5C" w14:textId="77777777" w:rsidR="009B244D" w:rsidRDefault="00F4341B">
      <w:pPr>
        <w:spacing w:line="480" w:lineRule="exact"/>
        <w:ind w:firstLine="480"/>
      </w:pPr>
      <w:r>
        <w:rPr>
          <w:b/>
          <w:bCs/>
          <w:iCs/>
        </w:rPr>
        <w:t>Self-enhancement</w:t>
      </w:r>
      <w:r>
        <w:rPr>
          <w:b/>
          <w:bCs/>
        </w:rPr>
        <w:t>.</w:t>
      </w:r>
      <w:r>
        <w:t xml:space="preserve"> We measured </w:t>
      </w:r>
      <w:r>
        <w:rPr>
          <w:i/>
        </w:rPr>
        <w:t>agentic narcissism</w:t>
      </w:r>
      <w:r>
        <w:t xml:space="preserve"> with the 40-item </w:t>
      </w:r>
      <w:r>
        <w:rPr>
          <w:rFonts w:hint="eastAsia"/>
        </w:rPr>
        <w:t>Narcissistic Personality Inventory (NPI; Raskin &amp; Terry, 1988)</w:t>
      </w:r>
      <w:r>
        <w:t>. Each item includes a pair of statements, one narcissistic (e.g., “I have a natural talent for influencing people,” “I like to look at myself in the mirror,”) and one non-narcissistic (e.g., “I am not good at influencing people,” “I am not particularly interested in looking at myself in the mirror”). For each item, participants indicate which statement describes them better. We coded agreements with the narcissistic statements as 1 and with the non-narcissistic statements as 0, and summed up the scores for each participant.</w:t>
      </w:r>
    </w:p>
    <w:p w14:paraId="7BB5DCCB" w14:textId="77777777" w:rsidR="009B244D" w:rsidRDefault="00F4341B">
      <w:pPr>
        <w:spacing w:line="480" w:lineRule="exact"/>
        <w:ind w:firstLine="480"/>
      </w:pPr>
      <w:r>
        <w:t xml:space="preserve">We measured </w:t>
      </w:r>
      <w:r>
        <w:rPr>
          <w:i/>
        </w:rPr>
        <w:t>communal narcissism</w:t>
      </w:r>
      <w:r>
        <w:t xml:space="preserve"> with </w:t>
      </w:r>
      <w:r>
        <w:rPr>
          <w:rFonts w:hint="eastAsia"/>
        </w:rPr>
        <w:t>the</w:t>
      </w:r>
      <w:r>
        <w:t xml:space="preserve"> 16-item</w:t>
      </w:r>
      <w:r>
        <w:rPr>
          <w:rFonts w:hint="eastAsia"/>
        </w:rPr>
        <w:t xml:space="preserve"> Communal Narcissism Inventory (CNI; Gebauer et al., 2012)</w:t>
      </w:r>
      <w:r>
        <w:t xml:space="preserve">. Sample items are: “I am the most helpful person I know,” “I am going to bring peace and justice to the world” (1 = </w:t>
      </w:r>
      <w:r>
        <w:rPr>
          <w:i/>
          <w:iCs/>
        </w:rPr>
        <w:t>disagree strongly</w:t>
      </w:r>
      <w:r>
        <w:t xml:space="preserve">, 7 = </w:t>
      </w:r>
      <w:r>
        <w:rPr>
          <w:i/>
          <w:iCs/>
        </w:rPr>
        <w:t>agree strongly</w:t>
      </w:r>
      <w:r>
        <w:t>). We calculated the mean score for each participant.</w:t>
      </w:r>
    </w:p>
    <w:p w14:paraId="0AE456AE" w14:textId="77777777" w:rsidR="009B244D" w:rsidRDefault="00F4341B">
      <w:pPr>
        <w:spacing w:line="480" w:lineRule="exact"/>
        <w:ind w:firstLine="480"/>
      </w:pPr>
      <w:r>
        <w:t xml:space="preserve">We measured </w:t>
      </w:r>
      <w:r>
        <w:rPr>
          <w:i/>
        </w:rPr>
        <w:t>narcissistic grandiosity</w:t>
      </w:r>
      <w:r>
        <w:t xml:space="preserve"> with th</w:t>
      </w:r>
      <w:r>
        <w:rPr>
          <w:rFonts w:hint="eastAsia"/>
        </w:rPr>
        <w:t>e</w:t>
      </w:r>
      <w:r>
        <w:t xml:space="preserve"> Narcissistic</w:t>
      </w:r>
      <w:r>
        <w:rPr>
          <w:rFonts w:hint="eastAsia"/>
        </w:rPr>
        <w:t xml:space="preserve"> Grandiosity Scale (NGS; </w:t>
      </w:r>
      <w:r>
        <w:rPr>
          <w:lang w:val="en-GB"/>
        </w:rPr>
        <w:t xml:space="preserve">Rosenthal, Hooley, &amp; Steshenko, 2007; see also </w:t>
      </w:r>
      <w:r>
        <w:t>Crowe</w:t>
      </w:r>
      <w:r>
        <w:rPr>
          <w:rFonts w:hint="eastAsia"/>
        </w:rPr>
        <w:t xml:space="preserve"> et al.</w:t>
      </w:r>
      <w:r>
        <w:t xml:space="preserve">, 2016). </w:t>
      </w:r>
      <w:r>
        <w:rPr>
          <w:rFonts w:hint="eastAsia"/>
        </w:rPr>
        <w:t xml:space="preserve">The NGS </w:t>
      </w:r>
      <w:r>
        <w:t>consists of</w:t>
      </w:r>
      <w:r>
        <w:rPr>
          <w:rFonts w:hint="eastAsia"/>
        </w:rPr>
        <w:t xml:space="preserve"> 16 trait adjectives (</w:t>
      </w:r>
      <w:r>
        <w:rPr>
          <w:i/>
        </w:rPr>
        <w:t>advanced, admirable, brave, enviable, excellent, extraordinary, honorable, omnipotent, outstanding, perfect, powerful, prestigious, respectable, talented, unique, vigorous</w:t>
      </w:r>
      <w:r>
        <w:t>), responded to on a scale from 1 (</w:t>
      </w:r>
      <w:r>
        <w:rPr>
          <w:i/>
        </w:rPr>
        <w:t>not at all</w:t>
      </w:r>
      <w:r>
        <w:t>) to 7 (</w:t>
      </w:r>
      <w:r>
        <w:rPr>
          <w:i/>
        </w:rPr>
        <w:t>extremely</w:t>
      </w:r>
      <w:r>
        <w:t xml:space="preserve">). </w:t>
      </w:r>
      <w:r>
        <w:rPr>
          <w:rFonts w:hint="eastAsia"/>
        </w:rPr>
        <w:t xml:space="preserve">Higher ratings indicate better </w:t>
      </w:r>
      <w:r>
        <w:t>applicable</w:t>
      </w:r>
      <w:r>
        <w:rPr>
          <w:rFonts w:hint="eastAsia"/>
        </w:rPr>
        <w:t xml:space="preserve"> to participants. </w:t>
      </w:r>
      <w:r>
        <w:t xml:space="preserve">We averaged scores across the 16 items. </w:t>
      </w:r>
    </w:p>
    <w:p w14:paraId="74DDF94B" w14:textId="234A9A63" w:rsidR="009B244D" w:rsidRDefault="00F4341B">
      <w:pPr>
        <w:spacing w:line="480" w:lineRule="exact"/>
        <w:ind w:firstLine="480"/>
      </w:pPr>
      <w:r>
        <w:t xml:space="preserve">We measured the </w:t>
      </w:r>
      <w:r>
        <w:rPr>
          <w:rFonts w:hint="eastAsia"/>
          <w:i/>
        </w:rPr>
        <w:t xml:space="preserve">BTAE </w:t>
      </w:r>
      <w:r>
        <w:rPr>
          <w:i/>
        </w:rPr>
        <w:t>effec</w:t>
      </w:r>
      <w:r>
        <w:t xml:space="preserve">t with </w:t>
      </w:r>
      <w:r>
        <w:rPr>
          <w:rFonts w:hint="eastAsia"/>
        </w:rPr>
        <w:t xml:space="preserve">a modified version of </w:t>
      </w:r>
      <w:r>
        <w:t>the</w:t>
      </w:r>
      <w:r w:rsidR="004E5E08">
        <w:t xml:space="preserve"> Better-Than-Average Task (</w:t>
      </w:r>
      <w:r>
        <w:t>BTA</w:t>
      </w:r>
      <w:r w:rsidR="004E5E08">
        <w:t xml:space="preserve">T; </w:t>
      </w:r>
      <w:r>
        <w:rPr>
          <w:rFonts w:hint="eastAsia"/>
        </w:rPr>
        <w:t>Alicke, 1985)</w:t>
      </w:r>
      <w:r>
        <w:t xml:space="preserve">, that is, by asking participants to compare themselves with the average person of the same age and sex on 16 traits: attractive, capable, considerate, cooperative, creative, easy-going, friendly, gifted, independent, kind, loyal, polite, self-reliant, sincere, smart, unique (1 = </w:t>
      </w:r>
      <w:r>
        <w:rPr>
          <w:i/>
          <w:iCs/>
        </w:rPr>
        <w:t xml:space="preserve">much less than the average </w:t>
      </w:r>
      <w:r>
        <w:rPr>
          <w:i/>
          <w:iCs/>
        </w:rPr>
        <w:lastRenderedPageBreak/>
        <w:t>person</w:t>
      </w:r>
      <w:r>
        <w:t xml:space="preserve">, 6 = </w:t>
      </w:r>
      <w:r>
        <w:rPr>
          <w:i/>
          <w:iCs/>
        </w:rPr>
        <w:t>much more than the average person</w:t>
      </w:r>
      <w:r>
        <w:t>). We averaged ratings into an aggregate score.</w:t>
      </w:r>
    </w:p>
    <w:p w14:paraId="771D4BD4" w14:textId="6B353DDD" w:rsidR="00C82A2D" w:rsidRDefault="00F4341B" w:rsidP="00D4127F">
      <w:pPr>
        <w:spacing w:line="480" w:lineRule="exact"/>
        <w:ind w:firstLine="567"/>
      </w:pPr>
      <w:r>
        <w:t xml:space="preserve">Finally, we measured </w:t>
      </w:r>
      <w:r>
        <w:rPr>
          <w:i/>
        </w:rPr>
        <w:t>overclaiming</w:t>
      </w:r>
      <w:r>
        <w:t xml:space="preserve"> with the </w:t>
      </w:r>
      <w:r>
        <w:rPr>
          <w:rFonts w:hint="eastAsia"/>
        </w:rPr>
        <w:t>Over</w:t>
      </w:r>
      <w:r>
        <w:t>-C</w:t>
      </w:r>
      <w:r>
        <w:rPr>
          <w:rFonts w:hint="eastAsia"/>
        </w:rPr>
        <w:t>laiming Questionnaire (OCQ; Paulhus, et al., 2003)</w:t>
      </w:r>
      <w:r>
        <w:t xml:space="preserve">. Participants rated their familiarity with items belonging to seven categories: art works, celebrities, classical literature, famous buildings, historical events, leading intellectuals, national government </w:t>
      </w:r>
      <w:r>
        <w:rPr>
          <w:rFonts w:hint="eastAsia"/>
        </w:rPr>
        <w:t xml:space="preserve">(1 = </w:t>
      </w:r>
      <w:r>
        <w:rPr>
          <w:rFonts w:hint="eastAsia"/>
          <w:i/>
        </w:rPr>
        <w:t>never heard of it</w:t>
      </w:r>
      <w:r>
        <w:rPr>
          <w:rFonts w:hint="eastAsia"/>
        </w:rPr>
        <w:t xml:space="preserve">, 7 = </w:t>
      </w:r>
      <w:r>
        <w:rPr>
          <w:rFonts w:hint="eastAsia"/>
          <w:i/>
        </w:rPr>
        <w:t>know it very well</w:t>
      </w:r>
      <w:r>
        <w:rPr>
          <w:rFonts w:hint="eastAsia"/>
        </w:rPr>
        <w:t>)</w:t>
      </w:r>
      <w:r>
        <w:t>. Each category comprised two real items and one foil. Claiming knowledge for foils reflects self-enhancement, also called in this context “response bias</w:t>
      </w:r>
      <w:r w:rsidR="00E7652B">
        <w:t>.</w:t>
      </w:r>
      <w:r>
        <w:t xml:space="preserve">” We calculated a bias </w:t>
      </w:r>
      <w:r>
        <w:rPr>
          <w:rFonts w:hint="eastAsia"/>
        </w:rPr>
        <w:t xml:space="preserve">index </w:t>
      </w:r>
      <w:r>
        <w:t>using standard signal detection formulas (Macmillan &amp; Creelman, 1991). We calculated indices at each of the six cutoffs on the 1–7 rating scale (i.e., 1, 2, 3, 4, 5</w:t>
      </w:r>
      <w:r>
        <w:rPr>
          <w:rFonts w:hint="eastAsia"/>
        </w:rPr>
        <w:t>, 6</w:t>
      </w:r>
      <w:r>
        <w:t xml:space="preserve">). The hit rate was the proportion of the </w:t>
      </w:r>
      <w:r>
        <w:rPr>
          <w:rFonts w:hint="eastAsia"/>
        </w:rPr>
        <w:t>14</w:t>
      </w:r>
      <w:r>
        <w:t xml:space="preserve"> real items on which </w:t>
      </w:r>
      <w:r>
        <w:rPr>
          <w:rFonts w:hint="eastAsia"/>
        </w:rPr>
        <w:t>a</w:t>
      </w:r>
      <w:r>
        <w:t xml:space="preserve"> participant gave a rating above the cutoff. Similarly, the false-alarm rate was the corresponding proportion of the </w:t>
      </w:r>
      <w:r w:rsidR="00E7652B">
        <w:t xml:space="preserve">seven </w:t>
      </w:r>
      <w:r>
        <w:t xml:space="preserve">foils on which the participant gave a rating above the cutoff. </w:t>
      </w:r>
      <w:r w:rsidR="007A0988">
        <w:rPr>
          <w:rFonts w:eastAsia="Helvetica"/>
          <w:iCs/>
          <w:lang w:bidi="ar"/>
        </w:rPr>
        <w:t>We first set t</w:t>
      </w:r>
      <w:r w:rsidR="007A0988" w:rsidRPr="00BD57E5">
        <w:rPr>
          <w:rFonts w:eastAsia="Helvetica"/>
          <w:iCs/>
          <w:lang w:bidi="ar"/>
        </w:rPr>
        <w:t xml:space="preserve">he cutoff as ratings above 1, yielding an overall hit rate and a false-alarm rate. </w:t>
      </w:r>
      <w:r w:rsidR="007A0988" w:rsidRPr="00BD57E5">
        <w:rPr>
          <w:rFonts w:eastAsia="Helvetica" w:hint="eastAsia"/>
          <w:iCs/>
          <w:lang w:bidi="ar"/>
        </w:rPr>
        <w:t xml:space="preserve">The </w:t>
      </w:r>
      <w:r w:rsidR="007A0988" w:rsidRPr="00BD57E5">
        <w:rPr>
          <w:rFonts w:eastAsia="Helvetica"/>
          <w:iCs/>
          <w:lang w:bidi="ar"/>
        </w:rPr>
        <w:t xml:space="preserve">bias </w:t>
      </w:r>
      <w:r w:rsidR="007A0988" w:rsidRPr="00BD57E5">
        <w:rPr>
          <w:rFonts w:eastAsia="Helvetica" w:hint="eastAsia"/>
          <w:iCs/>
          <w:lang w:bidi="ar"/>
        </w:rPr>
        <w:t>was the mean</w:t>
      </w:r>
      <w:r w:rsidR="007A0988" w:rsidRPr="00BD57E5">
        <w:rPr>
          <w:rFonts w:eastAsia="Helvetica"/>
          <w:iCs/>
          <w:lang w:bidi="ar"/>
        </w:rPr>
        <w:t xml:space="preserve"> of the hit </w:t>
      </w:r>
      <w:r w:rsidR="007A0988" w:rsidRPr="00BD57E5">
        <w:rPr>
          <w:rFonts w:eastAsia="Helvetica" w:hint="eastAsia"/>
          <w:iCs/>
          <w:lang w:bidi="ar"/>
        </w:rPr>
        <w:t xml:space="preserve">rate </w:t>
      </w:r>
      <w:r w:rsidR="007A0988" w:rsidRPr="00BD57E5">
        <w:rPr>
          <w:rFonts w:eastAsia="Helvetica"/>
          <w:iCs/>
          <w:lang w:bidi="ar"/>
        </w:rPr>
        <w:t xml:space="preserve">and </w:t>
      </w:r>
      <w:r w:rsidR="007A0988" w:rsidRPr="00BD57E5">
        <w:rPr>
          <w:rFonts w:eastAsia="Helvetica" w:hint="eastAsia"/>
          <w:iCs/>
          <w:lang w:bidi="ar"/>
        </w:rPr>
        <w:t xml:space="preserve">the </w:t>
      </w:r>
      <w:r w:rsidR="007A0988" w:rsidRPr="00BD57E5">
        <w:rPr>
          <w:rFonts w:eastAsia="Helvetica"/>
          <w:iCs/>
          <w:lang w:bidi="ar"/>
        </w:rPr>
        <w:t xml:space="preserve">false-alarm rate. </w:t>
      </w:r>
      <w:r w:rsidR="007A0988">
        <w:rPr>
          <w:rFonts w:eastAsia="Helvetica"/>
          <w:iCs/>
          <w:lang w:bidi="ar"/>
        </w:rPr>
        <w:t>We repeated t</w:t>
      </w:r>
      <w:r w:rsidR="007A0988" w:rsidRPr="00BD57E5">
        <w:rPr>
          <w:rFonts w:eastAsia="Helvetica"/>
          <w:iCs/>
          <w:lang w:bidi="ar"/>
        </w:rPr>
        <w:t>hese calculations for the other five cutoffs, and</w:t>
      </w:r>
      <w:r w:rsidR="007A0988">
        <w:rPr>
          <w:rFonts w:eastAsia="Helvetica"/>
          <w:iCs/>
          <w:lang w:bidi="ar"/>
        </w:rPr>
        <w:t xml:space="preserve"> averaged</w:t>
      </w:r>
      <w:r w:rsidR="007A0988" w:rsidRPr="00BD57E5">
        <w:rPr>
          <w:rFonts w:eastAsia="Helvetica"/>
          <w:iCs/>
          <w:lang w:bidi="ar"/>
        </w:rPr>
        <w:t xml:space="preserve"> the six values of bias to form the final value of OCQ bias for each participant.</w:t>
      </w:r>
    </w:p>
    <w:p w14:paraId="39F2F3F6" w14:textId="2737C139" w:rsidR="009B244D" w:rsidRDefault="00F03CDD">
      <w:pPr>
        <w:autoSpaceDE w:val="0"/>
        <w:autoSpaceDN w:val="0"/>
        <w:adjustRightInd w:val="0"/>
        <w:spacing w:line="480" w:lineRule="exact"/>
        <w:ind w:firstLine="480"/>
      </w:pPr>
      <w:r>
        <w:rPr>
          <w:b/>
        </w:rPr>
        <w:t>Psychological w</w:t>
      </w:r>
      <w:r w:rsidR="00F4341B">
        <w:rPr>
          <w:b/>
        </w:rPr>
        <w:t>ellbeing</w:t>
      </w:r>
      <w:r w:rsidR="00F4341B">
        <w:rPr>
          <w:b/>
          <w:i/>
        </w:rPr>
        <w:t>.</w:t>
      </w:r>
      <w:r w:rsidR="00F4341B">
        <w:t xml:space="preserve"> We assessed the cognitive component of wellbeing with the 5-item Satisfaction with Life Scale</w:t>
      </w:r>
      <w:r w:rsidR="00F4341B">
        <w:rPr>
          <w:rFonts w:hint="eastAsia"/>
        </w:rPr>
        <w:t xml:space="preserve"> </w:t>
      </w:r>
      <w:r w:rsidR="00F4341B">
        <w:t>(</w:t>
      </w:r>
      <w:r w:rsidR="003D17E7">
        <w:t xml:space="preserve">SWLS; </w:t>
      </w:r>
      <w:r w:rsidR="00F4341B">
        <w:t>Diener</w:t>
      </w:r>
      <w:r w:rsidR="00F4341B">
        <w:rPr>
          <w:rFonts w:hint="eastAsia"/>
        </w:rPr>
        <w:t xml:space="preserve"> et al.</w:t>
      </w:r>
      <w:r w:rsidR="00F4341B">
        <w:t>, 1985). A sample item is: “In most ways my life is close</w:t>
      </w:r>
      <w:r w:rsidR="00A828F6">
        <w:t xml:space="preserve"> to</w:t>
      </w:r>
      <w:r w:rsidR="00F4341B">
        <w:t xml:space="preserve"> my ideal” (1 = </w:t>
      </w:r>
      <w:r w:rsidR="00F4341B">
        <w:rPr>
          <w:i/>
        </w:rPr>
        <w:t>strongly disagree</w:t>
      </w:r>
      <w:r w:rsidR="00F4341B">
        <w:t xml:space="preserve">, 7 = </w:t>
      </w:r>
      <w:r w:rsidR="00F4341B">
        <w:rPr>
          <w:i/>
        </w:rPr>
        <w:t>strongly agree</w:t>
      </w:r>
      <w:r w:rsidR="00F4341B">
        <w:t xml:space="preserve">). </w:t>
      </w:r>
      <w:r w:rsidR="00F4341B">
        <w:rPr>
          <w:rFonts w:hint="eastAsia"/>
        </w:rPr>
        <w:t>We used mean score</w:t>
      </w:r>
      <w:r w:rsidR="00F4341B">
        <w:t>s</w:t>
      </w:r>
      <w:r w:rsidR="00F4341B">
        <w:rPr>
          <w:rFonts w:hint="eastAsia"/>
        </w:rPr>
        <w:t xml:space="preserve"> as </w:t>
      </w:r>
      <w:r w:rsidR="00F4341B">
        <w:t>the</w:t>
      </w:r>
      <w:r w:rsidR="00F4341B">
        <w:rPr>
          <w:rFonts w:hint="eastAsia"/>
        </w:rPr>
        <w:t xml:space="preserve"> index of life satisfaction.</w:t>
      </w:r>
      <w:r w:rsidR="00F4341B">
        <w:t xml:space="preserve"> </w:t>
      </w:r>
      <w:r w:rsidR="00F4341B">
        <w:rPr>
          <w:rFonts w:hint="eastAsia"/>
        </w:rPr>
        <w:t>W</w:t>
      </w:r>
      <w:r w:rsidR="00F4341B">
        <w:t xml:space="preserve">e assessed the affective component of wellbeing </w:t>
      </w:r>
      <w:r w:rsidR="00F4341B" w:rsidRPr="003D17E7">
        <w:t>with</w:t>
      </w:r>
      <w:r w:rsidR="003D17E7" w:rsidRPr="003D17E7">
        <w:t xml:space="preserve"> the</w:t>
      </w:r>
      <w:r w:rsidR="003D17E7">
        <w:t xml:space="preserve"> 8-item</w:t>
      </w:r>
      <w:r w:rsidR="003D17E7" w:rsidRPr="003D17E7">
        <w:t xml:space="preserve"> </w:t>
      </w:r>
      <w:r w:rsidR="003D17E7" w:rsidRPr="007025FE">
        <w:t xml:space="preserve">affective well-being </w:t>
      </w:r>
      <w:r w:rsidR="002F41EC">
        <w:t>scale</w:t>
      </w:r>
      <w:r w:rsidR="003D17E7" w:rsidRPr="007025FE">
        <w:t xml:space="preserve"> (AWB</w:t>
      </w:r>
      <w:r w:rsidR="002F41EC">
        <w:t>S</w:t>
      </w:r>
      <w:r w:rsidR="003D17E7">
        <w:t xml:space="preserve">; </w:t>
      </w:r>
      <w:r w:rsidR="00F4341B">
        <w:t xml:space="preserve">Diener </w:t>
      </w:r>
      <w:r w:rsidR="00F4341B">
        <w:rPr>
          <w:rFonts w:hint="eastAsia"/>
        </w:rPr>
        <w:t>et al.</w:t>
      </w:r>
      <w:r w:rsidR="003D17E7">
        <w:t xml:space="preserve">, </w:t>
      </w:r>
      <w:r w:rsidR="00F4341B">
        <w:rPr>
          <w:rFonts w:hint="eastAsia"/>
        </w:rPr>
        <w:t>2010</w:t>
      </w:r>
      <w:r w:rsidR="00F4341B">
        <w:t xml:space="preserve">). </w:t>
      </w:r>
      <w:r w:rsidR="00F4341B">
        <w:rPr>
          <w:rFonts w:hint="eastAsia"/>
        </w:rPr>
        <w:t>Participants</w:t>
      </w:r>
      <w:r w:rsidR="00F4341B">
        <w:t xml:space="preserve"> rated the frequency with which they experienced negative</w:t>
      </w:r>
      <w:r w:rsidR="00F4341B">
        <w:rPr>
          <w:rFonts w:hint="eastAsia"/>
        </w:rPr>
        <w:t xml:space="preserve"> (</w:t>
      </w:r>
      <w:r w:rsidR="00F4341B">
        <w:rPr>
          <w:i/>
        </w:rPr>
        <w:t>un</w:t>
      </w:r>
      <w:r w:rsidR="00F4341B">
        <w:rPr>
          <w:rFonts w:hint="eastAsia"/>
          <w:i/>
        </w:rPr>
        <w:t>pleasant</w:t>
      </w:r>
      <w:r w:rsidR="00F4341B">
        <w:rPr>
          <w:i/>
        </w:rPr>
        <w:t>, sad, angr</w:t>
      </w:r>
      <w:r w:rsidR="00F4341B">
        <w:rPr>
          <w:rFonts w:hint="eastAsia"/>
          <w:i/>
        </w:rPr>
        <w:t>y</w:t>
      </w:r>
      <w:r w:rsidR="00F4341B">
        <w:rPr>
          <w:i/>
        </w:rPr>
        <w:t xml:space="preserve">, </w:t>
      </w:r>
      <w:r w:rsidR="00F4341B">
        <w:rPr>
          <w:rFonts w:hint="eastAsia"/>
          <w:i/>
        </w:rPr>
        <w:t>afraid</w:t>
      </w:r>
      <w:r w:rsidR="00F4341B">
        <w:rPr>
          <w:rFonts w:hint="eastAsia"/>
        </w:rPr>
        <w:t>)</w:t>
      </w:r>
      <w:r w:rsidR="00F4341B">
        <w:t xml:space="preserve"> and positive</w:t>
      </w:r>
      <w:r w:rsidR="00F4341B">
        <w:rPr>
          <w:rFonts w:hint="eastAsia"/>
        </w:rPr>
        <w:t xml:space="preserve"> (</w:t>
      </w:r>
      <w:r w:rsidR="00F4341B">
        <w:rPr>
          <w:i/>
        </w:rPr>
        <w:t>happ</w:t>
      </w:r>
      <w:r w:rsidR="00F4341B">
        <w:rPr>
          <w:rFonts w:hint="eastAsia"/>
          <w:i/>
        </w:rPr>
        <w:t>y</w:t>
      </w:r>
      <w:r w:rsidR="00F4341B">
        <w:rPr>
          <w:i/>
        </w:rPr>
        <w:t xml:space="preserve">, </w:t>
      </w:r>
      <w:r w:rsidR="00F4341B">
        <w:rPr>
          <w:rFonts w:hint="eastAsia"/>
          <w:i/>
        </w:rPr>
        <w:t>pleasant</w:t>
      </w:r>
      <w:r w:rsidR="00F4341B">
        <w:rPr>
          <w:i/>
        </w:rPr>
        <w:t xml:space="preserve">, joyful, </w:t>
      </w:r>
      <w:r w:rsidR="00F4341B">
        <w:rPr>
          <w:rFonts w:hint="eastAsia"/>
          <w:i/>
        </w:rPr>
        <w:t>contented</w:t>
      </w:r>
      <w:r w:rsidR="00F4341B">
        <w:rPr>
          <w:rFonts w:hint="eastAsia"/>
        </w:rPr>
        <w:t>)</w:t>
      </w:r>
      <w:r w:rsidR="00F4341B">
        <w:t xml:space="preserve"> affect (1 = </w:t>
      </w:r>
      <w:r w:rsidR="00F4341B">
        <w:rPr>
          <w:i/>
        </w:rPr>
        <w:t>never</w:t>
      </w:r>
      <w:r w:rsidR="00F4341B">
        <w:t xml:space="preserve">, 7 = </w:t>
      </w:r>
      <w:r w:rsidR="00F4341B">
        <w:rPr>
          <w:i/>
        </w:rPr>
        <w:t>always</w:t>
      </w:r>
      <w:r w:rsidR="00F4341B">
        <w:t xml:space="preserve">). We reversed the negative affect scores and obtained a mean score across the eight items </w:t>
      </w:r>
      <w:r w:rsidR="00F4341B">
        <w:rPr>
          <w:rFonts w:hint="eastAsia"/>
        </w:rPr>
        <w:t>as the index of affective wellbeing</w:t>
      </w:r>
      <w:r w:rsidR="00F4341B">
        <w:t xml:space="preserve">. </w:t>
      </w:r>
    </w:p>
    <w:p w14:paraId="3885FD28" w14:textId="77777777" w:rsidR="009B244D" w:rsidRDefault="00F4341B" w:rsidP="00D17E90">
      <w:pPr>
        <w:spacing w:line="480" w:lineRule="exact"/>
        <w:outlineLvl w:val="0"/>
      </w:pPr>
      <w:r>
        <w:rPr>
          <w:b/>
          <w:bCs/>
        </w:rPr>
        <w:t>Genetic Analyses</w:t>
      </w:r>
    </w:p>
    <w:p w14:paraId="074DCABD" w14:textId="77777777" w:rsidR="009B244D" w:rsidRDefault="00F4341B">
      <w:pPr>
        <w:spacing w:line="480" w:lineRule="exact"/>
        <w:ind w:firstLine="420"/>
      </w:pPr>
      <w:r>
        <w:rPr>
          <w:rFonts w:hint="eastAsia"/>
        </w:rPr>
        <w:lastRenderedPageBreak/>
        <w:t xml:space="preserve">In principle, </w:t>
      </w:r>
      <w:r>
        <w:t xml:space="preserve">by comparing the resemblance of </w:t>
      </w:r>
      <w:r>
        <w:rPr>
          <w:rFonts w:hint="eastAsia"/>
        </w:rPr>
        <w:t>monozygotic (</w:t>
      </w:r>
      <w:r>
        <w:t>MZ</w:t>
      </w:r>
      <w:r>
        <w:rPr>
          <w:rFonts w:hint="eastAsia"/>
        </w:rPr>
        <w:t>)</w:t>
      </w:r>
      <w:r>
        <w:t xml:space="preserve"> and </w:t>
      </w:r>
      <w:r>
        <w:rPr>
          <w:rFonts w:hint="eastAsia"/>
        </w:rPr>
        <w:t>dizygotic (</w:t>
      </w:r>
      <w:r>
        <w:t>DZ</w:t>
      </w:r>
      <w:r>
        <w:rPr>
          <w:rFonts w:hint="eastAsia"/>
        </w:rPr>
        <w:t>)</w:t>
      </w:r>
      <w:r>
        <w:t xml:space="preserve"> twin pairs on observed trait(s), we can estimate additive genetic (A), shared environmental (C), and non-shared environmental (E) contributions to (1) variance within a trait and (2) covariance between traits (</w:t>
      </w:r>
      <w:r>
        <w:rPr>
          <w:rFonts w:hint="eastAsia"/>
        </w:rPr>
        <w:t>Knopik et al., 2017</w:t>
      </w:r>
      <w:r>
        <w:t xml:space="preserve">). MZ twins are 100% genetically identical, whereas DZ twins are on average 50% identical for additive genetic effects. In the usual case where twins are reared together, greater resemblance between MZ twins than between DZ twins indicates that the trait is heritable. </w:t>
      </w:r>
      <w:r>
        <w:rPr>
          <w:rFonts w:hint="eastAsia"/>
        </w:rPr>
        <w:t>Heritability denotes t</w:t>
      </w:r>
      <w:r>
        <w:t xml:space="preserve">he proportion of the variance of a trait, or the covariance between traits, explained by additive genetic effects. A shared environment contributes to the similarity of twins growing up in the same family. A non-shared environment is unique to each individual (this component also includes measurement error). </w:t>
      </w:r>
    </w:p>
    <w:p w14:paraId="4E677B04" w14:textId="0B98C40D" w:rsidR="009B244D" w:rsidRDefault="00F4341B">
      <w:pPr>
        <w:spacing w:line="480" w:lineRule="exact"/>
        <w:ind w:firstLine="420"/>
      </w:pPr>
      <w:r>
        <w:rPr>
          <w:rFonts w:hint="eastAsia"/>
        </w:rPr>
        <w:t xml:space="preserve">More sophisticated analyses are </w:t>
      </w:r>
      <w:r w:rsidR="006D237A">
        <w:t>possible</w:t>
      </w:r>
      <w:r w:rsidR="006D237A">
        <w:rPr>
          <w:rFonts w:hint="eastAsia"/>
        </w:rPr>
        <w:t xml:space="preserve"> </w:t>
      </w:r>
      <w:r>
        <w:rPr>
          <w:rFonts w:hint="eastAsia"/>
        </w:rPr>
        <w:t>through structural equation modeling (SEM). In order to examine how genes and environments contributed to all five self-enhancement</w:t>
      </w:r>
      <w:r>
        <w:t xml:space="preserve"> manifestations</w:t>
      </w:r>
      <w:r>
        <w:rPr>
          <w:rFonts w:hint="eastAsia"/>
        </w:rPr>
        <w:t xml:space="preserve"> in </w:t>
      </w:r>
      <w:r>
        <w:t>simultaneity</w:t>
      </w:r>
      <w:r>
        <w:rPr>
          <w:rFonts w:hint="eastAsia"/>
        </w:rPr>
        <w:t xml:space="preserve">, </w:t>
      </w:r>
      <w:r>
        <w:t>we tested two models: a</w:t>
      </w:r>
      <w:r>
        <w:rPr>
          <w:rFonts w:hint="eastAsia"/>
        </w:rPr>
        <w:t>n independent pathway</w:t>
      </w:r>
      <w:r>
        <w:t xml:space="preserve"> model and a common pathway model</w:t>
      </w:r>
      <w:r>
        <w:rPr>
          <w:rFonts w:hint="eastAsia"/>
        </w:rPr>
        <w:t xml:space="preserve"> </w:t>
      </w:r>
      <w:r>
        <w:t xml:space="preserve">(Young, Stallings, Corley, Krauter, &amp; Hewitt, 2000). The </w:t>
      </w:r>
      <w:r>
        <w:rPr>
          <w:rFonts w:hint="eastAsia"/>
        </w:rPr>
        <w:t>independent pathway</w:t>
      </w:r>
      <w:r>
        <w:t xml:space="preserve"> model (Figure 1) partitions the variances and covariances of the </w:t>
      </w:r>
      <w:r>
        <w:rPr>
          <w:rFonts w:hint="eastAsia"/>
        </w:rPr>
        <w:t>five</w:t>
      </w:r>
      <w:r>
        <w:t xml:space="preserve"> </w:t>
      </w:r>
      <w:r>
        <w:rPr>
          <w:rFonts w:hint="eastAsia"/>
        </w:rPr>
        <w:t>self-enhancement</w:t>
      </w:r>
      <w:r>
        <w:t xml:space="preserve"> measures into two components: (1) common variance</w:t>
      </w:r>
      <w:r>
        <w:rPr>
          <w:rFonts w:hint="eastAsia"/>
        </w:rPr>
        <w:t xml:space="preserve"> (</w:t>
      </w:r>
      <w:r>
        <w:t>A</w:t>
      </w:r>
      <w:r>
        <w:rPr>
          <w:vertAlign w:val="subscript"/>
        </w:rPr>
        <w:t>c</w:t>
      </w:r>
      <w:r>
        <w:t>, C</w:t>
      </w:r>
      <w:r>
        <w:rPr>
          <w:vertAlign w:val="subscript"/>
        </w:rPr>
        <w:t>c</w:t>
      </w:r>
      <w:r>
        <w:t>, E</w:t>
      </w:r>
      <w:r>
        <w:rPr>
          <w:vertAlign w:val="subscript"/>
        </w:rPr>
        <w:t>c</w:t>
      </w:r>
      <w:r>
        <w:rPr>
          <w:rFonts w:hint="eastAsia"/>
        </w:rPr>
        <w:t>)</w:t>
      </w:r>
      <w:r>
        <w:t>, which represents the variance that is shared by all measures, and (2) unique variance</w:t>
      </w:r>
      <w:r>
        <w:rPr>
          <w:rFonts w:hint="eastAsia"/>
        </w:rPr>
        <w:t xml:space="preserve"> (</w:t>
      </w:r>
      <w:r>
        <w:t>A</w:t>
      </w:r>
      <w:r>
        <w:rPr>
          <w:vertAlign w:val="subscript"/>
        </w:rPr>
        <w:t>1-5</w:t>
      </w:r>
      <w:r>
        <w:t>, C</w:t>
      </w:r>
      <w:r>
        <w:rPr>
          <w:vertAlign w:val="subscript"/>
        </w:rPr>
        <w:t>1-5</w:t>
      </w:r>
      <w:r>
        <w:t>, E</w:t>
      </w:r>
      <w:r>
        <w:rPr>
          <w:vertAlign w:val="subscript"/>
        </w:rPr>
        <w:t>1-5</w:t>
      </w:r>
      <w:r>
        <w:rPr>
          <w:rFonts w:hint="eastAsia"/>
        </w:rPr>
        <w:t>)</w:t>
      </w:r>
      <w:r>
        <w:t xml:space="preserve">, which represents the variance that is not shared between the measures. This model posits that </w:t>
      </w:r>
      <w:r>
        <w:rPr>
          <w:rFonts w:hint="eastAsia"/>
        </w:rPr>
        <w:t xml:space="preserve">the </w:t>
      </w:r>
      <w:r>
        <w:t>variation common to the five self-enhancement measures is influenced by a set of common genetic and environmental factors</w:t>
      </w:r>
      <w:r>
        <w:rPr>
          <w:rFonts w:hint="eastAsia"/>
        </w:rPr>
        <w:t>,</w:t>
      </w:r>
      <w:r>
        <w:t xml:space="preserve"> whereas the variation unique to each measure is influenced by </w:t>
      </w:r>
      <w:r>
        <w:rPr>
          <w:rFonts w:hint="eastAsia"/>
        </w:rPr>
        <w:t>specific</w:t>
      </w:r>
      <w:r>
        <w:t xml:space="preserve"> genetic and environmental factors. </w:t>
      </w:r>
    </w:p>
    <w:p w14:paraId="72E737CB" w14:textId="0756681B" w:rsidR="009B244D" w:rsidRDefault="00467B0C">
      <w:pPr>
        <w:spacing w:line="480" w:lineRule="exact"/>
        <w:ind w:firstLine="420"/>
      </w:pPr>
      <w:r w:rsidRPr="00467B0C">
        <w:rPr>
          <w:noProof/>
          <w:lang w:val="en-GB"/>
        </w:rPr>
        <w:lastRenderedPageBreak/>
        <w:drawing>
          <wp:anchor distT="0" distB="0" distL="114300" distR="114300" simplePos="0" relativeHeight="251663360" behindDoc="0" locked="0" layoutInCell="1" allowOverlap="1" wp14:anchorId="5160F21C" wp14:editId="3B16666B">
            <wp:simplePos x="0" y="0"/>
            <wp:positionH relativeFrom="column">
              <wp:posOffset>-12862</wp:posOffset>
            </wp:positionH>
            <wp:positionV relativeFrom="paragraph">
              <wp:posOffset>2454612</wp:posOffset>
            </wp:positionV>
            <wp:extent cx="5274310" cy="27311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731135"/>
                    </a:xfrm>
                    <a:prstGeom prst="rect">
                      <a:avLst/>
                    </a:prstGeom>
                  </pic:spPr>
                </pic:pic>
              </a:graphicData>
            </a:graphic>
            <wp14:sizeRelH relativeFrom="page">
              <wp14:pctWidth>0</wp14:pctWidth>
            </wp14:sizeRelH>
            <wp14:sizeRelV relativeFrom="page">
              <wp14:pctHeight>0</wp14:pctHeight>
            </wp14:sizeRelV>
          </wp:anchor>
        </w:drawing>
      </w:r>
      <w:r w:rsidRPr="00467B0C">
        <w:rPr>
          <w:noProof/>
          <w:lang w:val="en-GB" w:eastAsia="en-GB"/>
        </w:rPr>
        <w:t xml:space="preserve"> </w:t>
      </w:r>
      <w:r w:rsidR="00F4341B">
        <w:t>In contrast</w:t>
      </w:r>
      <w:r w:rsidR="00F4341B">
        <w:rPr>
          <w:rFonts w:hint="eastAsia"/>
        </w:rPr>
        <w:t>,</w:t>
      </w:r>
      <w:r w:rsidR="00F4341B">
        <w:t xml:space="preserve"> the </w:t>
      </w:r>
      <w:r w:rsidR="00F4341B">
        <w:rPr>
          <w:rFonts w:hint="eastAsia"/>
        </w:rPr>
        <w:t>common pathway</w:t>
      </w:r>
      <w:r w:rsidR="00F4341B">
        <w:t xml:space="preserve"> model (Figure 2) posits that genetic and environmental factors influencing variation common to the </w:t>
      </w:r>
      <w:r w:rsidR="00F4341B">
        <w:rPr>
          <w:rFonts w:hint="eastAsia"/>
        </w:rPr>
        <w:t>five</w:t>
      </w:r>
      <w:r w:rsidR="00F4341B">
        <w:t xml:space="preserve"> measures do not affect the measures directly; rather, they impact on each measure via a latent factor</w:t>
      </w:r>
      <w:r w:rsidR="00F4341B">
        <w:rPr>
          <w:rFonts w:hint="eastAsia"/>
        </w:rPr>
        <w:t xml:space="preserve">. </w:t>
      </w:r>
      <w:r w:rsidR="00F4341B">
        <w:t>This factor represents the underlying common variation across measures</w:t>
      </w:r>
      <w:r w:rsidR="00F4341B">
        <w:rPr>
          <w:rFonts w:hint="eastAsia"/>
        </w:rPr>
        <w:t xml:space="preserve"> of self-enhancement</w:t>
      </w:r>
      <w:r w:rsidR="00F4341B">
        <w:t xml:space="preserve">. Stated differently, this model </w:t>
      </w:r>
      <w:r w:rsidR="00F4341B">
        <w:rPr>
          <w:rFonts w:hint="eastAsia"/>
        </w:rPr>
        <w:t>extracts</w:t>
      </w:r>
      <w:r w:rsidR="00F4341B">
        <w:t xml:space="preserve"> the </w:t>
      </w:r>
      <w:r w:rsidR="00F4341B">
        <w:rPr>
          <w:rFonts w:hint="eastAsia"/>
        </w:rPr>
        <w:t xml:space="preserve">overlap </w:t>
      </w:r>
      <w:r w:rsidR="00F4341B">
        <w:t xml:space="preserve">among </w:t>
      </w:r>
      <w:r w:rsidR="00F4341B">
        <w:rPr>
          <w:rFonts w:hint="eastAsia"/>
        </w:rPr>
        <w:t>all measures</w:t>
      </w:r>
      <w:r w:rsidR="00F4341B">
        <w:t xml:space="preserve">, </w:t>
      </w:r>
      <w:r w:rsidR="00F4341B">
        <w:rPr>
          <w:rFonts w:hint="eastAsia"/>
        </w:rPr>
        <w:t>which</w:t>
      </w:r>
      <w:r w:rsidR="00F4341B">
        <w:t xml:space="preserve"> represents </w:t>
      </w:r>
      <w:r w:rsidR="00F4341B">
        <w:rPr>
          <w:rFonts w:hint="eastAsia"/>
        </w:rPr>
        <w:t>the commonality in self-enhancement</w:t>
      </w:r>
      <w:r w:rsidR="00F4341B">
        <w:t xml:space="preserve"> </w:t>
      </w:r>
      <w:r w:rsidR="00F4341B">
        <w:rPr>
          <w:rFonts w:hint="eastAsia"/>
        </w:rPr>
        <w:t xml:space="preserve">reflected by different measures. </w:t>
      </w:r>
      <w:r w:rsidR="00F4341B">
        <w:t>This model</w:t>
      </w:r>
      <w:r w:rsidR="002A0593">
        <w:t xml:space="preserve"> </w:t>
      </w:r>
      <w:r w:rsidR="00371CDD">
        <w:t xml:space="preserve">is </w:t>
      </w:r>
      <w:r w:rsidR="006A758B">
        <w:t xml:space="preserve">nested in </w:t>
      </w:r>
      <w:r w:rsidR="00D84239">
        <w:t>independent model</w:t>
      </w:r>
      <w:r w:rsidR="00371CDD">
        <w:t xml:space="preserve"> and </w:t>
      </w:r>
      <w:r w:rsidR="00F4341B">
        <w:t>more parsimonious, because it estimates fewer parameters</w:t>
      </w:r>
      <w:r w:rsidR="006427F4">
        <w:t xml:space="preserve"> (Briley &amp; Tucker-Drob, 2012)</w:t>
      </w:r>
      <w:r w:rsidR="00F4341B">
        <w:t xml:space="preserve">. </w:t>
      </w:r>
    </w:p>
    <w:p w14:paraId="2B5463CE" w14:textId="554690AE" w:rsidR="009B244D" w:rsidRDefault="00F4341B" w:rsidP="00437D2D">
      <w:pPr>
        <w:spacing w:line="480" w:lineRule="exact"/>
        <w:rPr>
          <w:sz w:val="21"/>
        </w:rPr>
      </w:pPr>
      <w:r>
        <w:rPr>
          <w:b/>
          <w:sz w:val="21"/>
        </w:rPr>
        <w:t xml:space="preserve">Figure 1. </w:t>
      </w:r>
      <w:r>
        <w:rPr>
          <w:sz w:val="21"/>
        </w:rPr>
        <w:t xml:space="preserve">An illustration of the independent pathway model. </w:t>
      </w:r>
      <w:r w:rsidR="00437D2D">
        <w:rPr>
          <w:sz w:val="21"/>
        </w:rPr>
        <w:t>We depict m</w:t>
      </w:r>
      <w:r>
        <w:rPr>
          <w:sz w:val="21"/>
        </w:rPr>
        <w:t xml:space="preserve">easured variables in rectangles. </w:t>
      </w:r>
      <w:r>
        <w:rPr>
          <w:sz w:val="21"/>
          <w:szCs w:val="21"/>
        </w:rPr>
        <w:t>NPI: Narcissistic Personality Inventory; CNI: Communal Narcissism Inventory; NGS: Narcissistic Grandiosity Scale; BTA</w:t>
      </w:r>
      <w:r w:rsidR="004E5E08">
        <w:rPr>
          <w:sz w:val="21"/>
          <w:szCs w:val="21"/>
        </w:rPr>
        <w:t>T</w:t>
      </w:r>
      <w:r>
        <w:rPr>
          <w:sz w:val="21"/>
          <w:szCs w:val="21"/>
        </w:rPr>
        <w:t>: Better-</w:t>
      </w:r>
      <w:r w:rsidR="006D237A">
        <w:rPr>
          <w:sz w:val="21"/>
          <w:szCs w:val="21"/>
        </w:rPr>
        <w:t>T</w:t>
      </w:r>
      <w:r>
        <w:rPr>
          <w:sz w:val="21"/>
          <w:szCs w:val="21"/>
        </w:rPr>
        <w:t>han-</w:t>
      </w:r>
      <w:r w:rsidR="006D237A">
        <w:rPr>
          <w:sz w:val="21"/>
          <w:szCs w:val="21"/>
        </w:rPr>
        <w:t>A</w:t>
      </w:r>
      <w:r>
        <w:rPr>
          <w:sz w:val="21"/>
          <w:szCs w:val="21"/>
        </w:rPr>
        <w:t xml:space="preserve">verage </w:t>
      </w:r>
      <w:r w:rsidR="004E5E08">
        <w:rPr>
          <w:sz w:val="21"/>
          <w:szCs w:val="21"/>
        </w:rPr>
        <w:t>Task</w:t>
      </w:r>
      <w:r>
        <w:rPr>
          <w:sz w:val="21"/>
          <w:szCs w:val="21"/>
        </w:rPr>
        <w:t xml:space="preserve">; OCQ: Over-Claiming Questionnaire. </w:t>
      </w:r>
      <w:r w:rsidR="00437D2D">
        <w:rPr>
          <w:sz w:val="21"/>
          <w:szCs w:val="21"/>
        </w:rPr>
        <w:t>We present l</w:t>
      </w:r>
      <w:r>
        <w:rPr>
          <w:sz w:val="21"/>
        </w:rPr>
        <w:t>atent factors A (additive genetic factor), C (shared environmental factor), and E (no</w:t>
      </w:r>
      <w:r w:rsidR="00437D2D">
        <w:rPr>
          <w:sz w:val="21"/>
        </w:rPr>
        <w:t xml:space="preserve">n-shared environmental factor) </w:t>
      </w:r>
      <w:r>
        <w:rPr>
          <w:sz w:val="21"/>
        </w:rPr>
        <w:t>in circles. A</w:t>
      </w:r>
      <w:r>
        <w:rPr>
          <w:sz w:val="21"/>
          <w:vertAlign w:val="subscript"/>
        </w:rPr>
        <w:t>c</w:t>
      </w:r>
      <w:r>
        <w:rPr>
          <w:sz w:val="21"/>
        </w:rPr>
        <w:t>, C</w:t>
      </w:r>
      <w:r>
        <w:rPr>
          <w:sz w:val="21"/>
          <w:vertAlign w:val="subscript"/>
        </w:rPr>
        <w:t>c</w:t>
      </w:r>
      <w:r>
        <w:rPr>
          <w:sz w:val="21"/>
        </w:rPr>
        <w:t>, and E</w:t>
      </w:r>
      <w:r>
        <w:rPr>
          <w:sz w:val="21"/>
          <w:vertAlign w:val="subscript"/>
        </w:rPr>
        <w:t>c</w:t>
      </w:r>
      <w:r>
        <w:rPr>
          <w:sz w:val="21"/>
        </w:rPr>
        <w:t xml:space="preserve"> are factors influencing all measures. A</w:t>
      </w:r>
      <w:r>
        <w:rPr>
          <w:sz w:val="21"/>
          <w:vertAlign w:val="subscript"/>
        </w:rPr>
        <w:t>1-5</w:t>
      </w:r>
      <w:r>
        <w:rPr>
          <w:sz w:val="21"/>
        </w:rPr>
        <w:t>, C</w:t>
      </w:r>
      <w:r>
        <w:rPr>
          <w:sz w:val="21"/>
          <w:vertAlign w:val="subscript"/>
        </w:rPr>
        <w:t>1-5</w:t>
      </w:r>
      <w:r>
        <w:rPr>
          <w:sz w:val="21"/>
        </w:rPr>
        <w:t>, and E</w:t>
      </w:r>
      <w:r>
        <w:rPr>
          <w:sz w:val="21"/>
          <w:vertAlign w:val="subscript"/>
        </w:rPr>
        <w:t>1-5</w:t>
      </w:r>
      <w:r>
        <w:rPr>
          <w:sz w:val="21"/>
        </w:rPr>
        <w:t xml:space="preserve"> are factors unique to each measure.</w:t>
      </w:r>
    </w:p>
    <w:p w14:paraId="414B57B9" w14:textId="0B245E38" w:rsidR="009B244D" w:rsidRDefault="00B90106" w:rsidP="00437D2D">
      <w:pPr>
        <w:spacing w:after="120" w:line="480" w:lineRule="exact"/>
      </w:pPr>
      <w:r w:rsidRPr="00473E80">
        <w:rPr>
          <w:noProof/>
          <w:lang w:val="en-GB"/>
        </w:rPr>
        <w:lastRenderedPageBreak/>
        <w:drawing>
          <wp:anchor distT="0" distB="0" distL="114300" distR="114300" simplePos="0" relativeHeight="251664384" behindDoc="0" locked="0" layoutInCell="1" allowOverlap="1" wp14:anchorId="20755F04" wp14:editId="5EE8F1B5">
            <wp:simplePos x="0" y="0"/>
            <wp:positionH relativeFrom="column">
              <wp:posOffset>0</wp:posOffset>
            </wp:positionH>
            <wp:positionV relativeFrom="paragraph">
              <wp:posOffset>232991</wp:posOffset>
            </wp:positionV>
            <wp:extent cx="5274310" cy="3072130"/>
            <wp:effectExtent l="0" t="0" r="0"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072130"/>
                    </a:xfrm>
                    <a:prstGeom prst="rect">
                      <a:avLst/>
                    </a:prstGeom>
                  </pic:spPr>
                </pic:pic>
              </a:graphicData>
            </a:graphic>
            <wp14:sizeRelH relativeFrom="page">
              <wp14:pctWidth>0</wp14:pctWidth>
            </wp14:sizeRelH>
            <wp14:sizeRelV relativeFrom="page">
              <wp14:pctHeight>0</wp14:pctHeight>
            </wp14:sizeRelV>
          </wp:anchor>
        </w:drawing>
      </w:r>
      <w:r w:rsidR="00F4341B">
        <w:rPr>
          <w:b/>
          <w:sz w:val="21"/>
          <w:szCs w:val="21"/>
        </w:rPr>
        <w:t>Figure 2.</w:t>
      </w:r>
      <w:r w:rsidR="00F4341B">
        <w:rPr>
          <w:sz w:val="21"/>
          <w:szCs w:val="21"/>
        </w:rPr>
        <w:t xml:space="preserve"> An illustration of the common pathway model. </w:t>
      </w:r>
      <w:r w:rsidR="00437D2D">
        <w:rPr>
          <w:sz w:val="21"/>
          <w:szCs w:val="21"/>
        </w:rPr>
        <w:t>We depict m</w:t>
      </w:r>
      <w:r w:rsidR="00F4341B">
        <w:rPr>
          <w:sz w:val="21"/>
          <w:szCs w:val="21"/>
        </w:rPr>
        <w:t>easured variables in rectangles.</w:t>
      </w:r>
      <w:r w:rsidR="00F4341B">
        <w:rPr>
          <w:rFonts w:hint="eastAsia"/>
          <w:sz w:val="21"/>
          <w:szCs w:val="21"/>
        </w:rPr>
        <w:t xml:space="preserve"> </w:t>
      </w:r>
      <w:r w:rsidR="00F4341B">
        <w:rPr>
          <w:sz w:val="21"/>
          <w:szCs w:val="21"/>
        </w:rPr>
        <w:t>NPI: Narcissistic Personality Inventory; CNI: Communal Narcissism Inventory; NGS: Narcissistic Grandiosity Scale; BTA</w:t>
      </w:r>
      <w:r w:rsidR="00825FC8">
        <w:rPr>
          <w:sz w:val="21"/>
          <w:szCs w:val="21"/>
        </w:rPr>
        <w:t>T</w:t>
      </w:r>
      <w:r w:rsidR="00F4341B">
        <w:rPr>
          <w:sz w:val="21"/>
          <w:szCs w:val="21"/>
        </w:rPr>
        <w:t>: Better-</w:t>
      </w:r>
      <w:r w:rsidR="006D237A">
        <w:rPr>
          <w:sz w:val="21"/>
          <w:szCs w:val="21"/>
        </w:rPr>
        <w:t>T</w:t>
      </w:r>
      <w:r w:rsidR="00F4341B">
        <w:rPr>
          <w:sz w:val="21"/>
          <w:szCs w:val="21"/>
        </w:rPr>
        <w:t>han-</w:t>
      </w:r>
      <w:r w:rsidR="006D237A">
        <w:rPr>
          <w:sz w:val="21"/>
          <w:szCs w:val="21"/>
        </w:rPr>
        <w:t>A</w:t>
      </w:r>
      <w:r w:rsidR="00F4341B">
        <w:rPr>
          <w:sz w:val="21"/>
          <w:szCs w:val="21"/>
        </w:rPr>
        <w:t xml:space="preserve">verage </w:t>
      </w:r>
      <w:r w:rsidR="00825FC8">
        <w:rPr>
          <w:sz w:val="21"/>
          <w:szCs w:val="21"/>
        </w:rPr>
        <w:t>Task</w:t>
      </w:r>
      <w:r w:rsidR="00F4341B">
        <w:rPr>
          <w:sz w:val="21"/>
          <w:szCs w:val="21"/>
        </w:rPr>
        <w:t>; OCQ</w:t>
      </w:r>
      <w:r w:rsidR="00437D2D">
        <w:rPr>
          <w:sz w:val="21"/>
          <w:szCs w:val="21"/>
        </w:rPr>
        <w:t>: Over-Claiming Questionnaire. We present l</w:t>
      </w:r>
      <w:r w:rsidR="00F4341B">
        <w:rPr>
          <w:sz w:val="21"/>
          <w:szCs w:val="21"/>
        </w:rPr>
        <w:t>atent trait (LT), A (additive genetic factor), C (shared environmental factor), and E (non-shared environmental factor) in circles. A</w:t>
      </w:r>
      <w:r w:rsidR="00F4341B">
        <w:rPr>
          <w:sz w:val="21"/>
          <w:szCs w:val="21"/>
          <w:vertAlign w:val="subscript"/>
        </w:rPr>
        <w:t>c</w:t>
      </w:r>
      <w:r w:rsidR="00F4341B">
        <w:rPr>
          <w:sz w:val="21"/>
          <w:szCs w:val="21"/>
        </w:rPr>
        <w:t>, C</w:t>
      </w:r>
      <w:r w:rsidR="00F4341B">
        <w:rPr>
          <w:sz w:val="21"/>
          <w:szCs w:val="21"/>
          <w:vertAlign w:val="subscript"/>
        </w:rPr>
        <w:t>c</w:t>
      </w:r>
      <w:r w:rsidR="00F4341B">
        <w:rPr>
          <w:sz w:val="21"/>
          <w:szCs w:val="21"/>
        </w:rPr>
        <w:t>, and E</w:t>
      </w:r>
      <w:r w:rsidR="00F4341B">
        <w:rPr>
          <w:sz w:val="21"/>
          <w:szCs w:val="21"/>
          <w:vertAlign w:val="subscript"/>
        </w:rPr>
        <w:t>c</w:t>
      </w:r>
      <w:r w:rsidR="00F4341B">
        <w:rPr>
          <w:sz w:val="21"/>
          <w:szCs w:val="21"/>
        </w:rPr>
        <w:t xml:space="preserve"> are factors influencing the latent </w:t>
      </w:r>
      <w:r w:rsidR="00F4341B">
        <w:rPr>
          <w:rFonts w:hint="eastAsia"/>
          <w:sz w:val="21"/>
          <w:szCs w:val="21"/>
        </w:rPr>
        <w:t>trait</w:t>
      </w:r>
      <w:r w:rsidR="00F4341B">
        <w:rPr>
          <w:sz w:val="21"/>
          <w:szCs w:val="21"/>
        </w:rPr>
        <w:t xml:space="preserve"> </w:t>
      </w:r>
      <w:r w:rsidR="00F4341B">
        <w:rPr>
          <w:rFonts w:hint="eastAsia"/>
          <w:sz w:val="21"/>
          <w:szCs w:val="21"/>
        </w:rPr>
        <w:t>for self-enhancement</w:t>
      </w:r>
      <w:r w:rsidR="00F4341B">
        <w:rPr>
          <w:sz w:val="21"/>
          <w:szCs w:val="21"/>
        </w:rPr>
        <w:t>. A</w:t>
      </w:r>
      <w:r w:rsidR="00F4341B">
        <w:rPr>
          <w:sz w:val="21"/>
          <w:szCs w:val="21"/>
          <w:vertAlign w:val="subscript"/>
        </w:rPr>
        <w:t>1-5</w:t>
      </w:r>
      <w:r w:rsidR="00F4341B">
        <w:rPr>
          <w:sz w:val="21"/>
          <w:szCs w:val="21"/>
        </w:rPr>
        <w:t>, C</w:t>
      </w:r>
      <w:r w:rsidR="00F4341B">
        <w:rPr>
          <w:sz w:val="21"/>
          <w:szCs w:val="21"/>
          <w:vertAlign w:val="subscript"/>
        </w:rPr>
        <w:t>1-5</w:t>
      </w:r>
      <w:r w:rsidR="00F4341B">
        <w:rPr>
          <w:sz w:val="21"/>
          <w:szCs w:val="21"/>
        </w:rPr>
        <w:t>, and E</w:t>
      </w:r>
      <w:r w:rsidR="00F4341B">
        <w:rPr>
          <w:sz w:val="21"/>
          <w:szCs w:val="21"/>
          <w:vertAlign w:val="subscript"/>
        </w:rPr>
        <w:t>1-5</w:t>
      </w:r>
      <w:r w:rsidR="00F4341B">
        <w:rPr>
          <w:sz w:val="21"/>
          <w:szCs w:val="21"/>
        </w:rPr>
        <w:t xml:space="preserve"> are factors unique to each measure.</w:t>
      </w:r>
    </w:p>
    <w:p w14:paraId="02711ACB" w14:textId="5EA90FA0" w:rsidR="009B244D" w:rsidRDefault="000D7D9E" w:rsidP="00ED45E5">
      <w:pPr>
        <w:spacing w:line="480" w:lineRule="exact"/>
        <w:ind w:firstLine="420"/>
      </w:pPr>
      <w:r>
        <w:rPr>
          <w:rFonts w:hint="eastAsia"/>
        </w:rPr>
        <w:t xml:space="preserve">  </w:t>
      </w:r>
      <w:r w:rsidR="00F4341B">
        <w:t xml:space="preserve">We used </w:t>
      </w:r>
      <w:r w:rsidR="00F4341B">
        <w:rPr>
          <w:rFonts w:hint="eastAsia"/>
        </w:rPr>
        <w:t xml:space="preserve">three statistics to guide model selection. </w:t>
      </w:r>
      <w:r w:rsidR="00F4341B">
        <w:t>The f</w:t>
      </w:r>
      <w:r w:rsidR="00F4341B">
        <w:rPr>
          <w:rFonts w:hint="eastAsia"/>
        </w:rPr>
        <w:t>irst</w:t>
      </w:r>
      <w:r w:rsidR="00F4341B">
        <w:t xml:space="preserve"> one was</w:t>
      </w:r>
      <w:r w:rsidR="00F4341B">
        <w:rPr>
          <w:rFonts w:hint="eastAsia"/>
        </w:rPr>
        <w:t xml:space="preserve"> </w:t>
      </w:r>
      <w:r w:rsidR="00F4341B">
        <w:t>the change in chi-square (χ</w:t>
      </w:r>
      <w:r w:rsidR="00F4341B">
        <w:rPr>
          <w:vertAlign w:val="superscript"/>
        </w:rPr>
        <w:t>2</w:t>
      </w:r>
      <w:r w:rsidR="00F4341B">
        <w:t>)</w:t>
      </w:r>
      <w:r w:rsidR="00F4341B">
        <w:rPr>
          <w:rFonts w:hint="eastAsia"/>
        </w:rPr>
        <w:t xml:space="preserve">. When two models are nested, the difference in </w:t>
      </w:r>
      <w:r w:rsidR="00096632">
        <w:t xml:space="preserve">model </w:t>
      </w:r>
      <w:r w:rsidR="00F4341B">
        <w:rPr>
          <w:rFonts w:hint="eastAsia"/>
        </w:rPr>
        <w:t xml:space="preserve">fit </w:t>
      </w:r>
      <w:r w:rsidR="00462E43">
        <w:t>(</w:t>
      </w:r>
      <w:r w:rsidR="008C20EF">
        <w:t xml:space="preserve">i.e., </w:t>
      </w:r>
      <w:r w:rsidR="00462E43" w:rsidRPr="0088187B">
        <w:rPr>
          <w:szCs w:val="21"/>
        </w:rPr>
        <w:t>twice the negative log-likelihood</w:t>
      </w:r>
      <w:r w:rsidR="008C20EF">
        <w:rPr>
          <w:szCs w:val="21"/>
        </w:rPr>
        <w:t xml:space="preserve">, </w:t>
      </w:r>
      <w:r w:rsidR="008C20EF" w:rsidRPr="00ED6D50">
        <w:rPr>
          <w:sz w:val="32"/>
        </w:rPr>
        <w:t>-</w:t>
      </w:r>
      <w:r w:rsidR="008C20EF" w:rsidRPr="00ED6D50">
        <w:rPr>
          <w:szCs w:val="21"/>
        </w:rPr>
        <w:t>2LL</w:t>
      </w:r>
      <w:r w:rsidR="00462E43">
        <w:t xml:space="preserve">) </w:t>
      </w:r>
      <w:r w:rsidR="00F4341B">
        <w:rPr>
          <w:rFonts w:hint="eastAsia"/>
        </w:rPr>
        <w:t xml:space="preserve">between them can be evaluated </w:t>
      </w:r>
      <w:r w:rsidR="00F4341B">
        <w:t>via</w:t>
      </w:r>
      <w:r w:rsidR="00F4341B">
        <w:rPr>
          <w:rFonts w:hint="eastAsia"/>
        </w:rPr>
        <w:t xml:space="preserve"> the </w:t>
      </w:r>
      <w:r w:rsidR="00F4341B">
        <w:t>chi-square</w:t>
      </w:r>
      <w:r w:rsidR="00F4341B">
        <w:rPr>
          <w:rFonts w:hint="eastAsia"/>
          <w:vertAlign w:val="superscript"/>
        </w:rPr>
        <w:t xml:space="preserve"> </w:t>
      </w:r>
      <w:r w:rsidR="00F4341B">
        <w:rPr>
          <w:rFonts w:hint="eastAsia"/>
        </w:rPr>
        <w:t xml:space="preserve">difference, with the </w:t>
      </w:r>
      <w:r w:rsidR="00F4341B">
        <w:rPr>
          <w:rFonts w:hint="eastAsia"/>
          <w:i/>
        </w:rPr>
        <w:t>df</w:t>
      </w:r>
      <w:r w:rsidR="00F4341B">
        <w:rPr>
          <w:rFonts w:hint="eastAsia"/>
        </w:rPr>
        <w:t xml:space="preserve"> difference of the two models as the degree of freedom.</w:t>
      </w:r>
      <w:r w:rsidR="00F4341B">
        <w:rPr>
          <w:rFonts w:hint="eastAsia"/>
          <w:vertAlign w:val="superscript"/>
        </w:rPr>
        <w:t xml:space="preserve"> </w:t>
      </w:r>
      <w:r w:rsidR="00F4341B">
        <w:t xml:space="preserve">A </w:t>
      </w:r>
      <w:r w:rsidR="00F4341B">
        <w:rPr>
          <w:rFonts w:hint="eastAsia"/>
        </w:rPr>
        <w:t>non-</w:t>
      </w:r>
      <w:r w:rsidR="00F4341B">
        <w:t xml:space="preserve">significant chi-square difference suggests that the </w:t>
      </w:r>
      <w:r w:rsidR="00F4341B">
        <w:rPr>
          <w:rFonts w:hint="eastAsia"/>
        </w:rPr>
        <w:t>more parsimonious</w:t>
      </w:r>
      <w:r w:rsidR="00F4341B">
        <w:t xml:space="preserve"> model </w:t>
      </w:r>
      <w:r w:rsidR="00F4341B">
        <w:rPr>
          <w:rFonts w:hint="eastAsia"/>
        </w:rPr>
        <w:t xml:space="preserve">should be chosen, because including additional constraints or </w:t>
      </w:r>
      <w:r w:rsidR="00F4341B">
        <w:t xml:space="preserve">parameters </w:t>
      </w:r>
      <w:r w:rsidR="00F4341B">
        <w:rPr>
          <w:rFonts w:hint="eastAsia"/>
        </w:rPr>
        <w:t>does</w:t>
      </w:r>
      <w:r w:rsidR="00F4341B">
        <w:t xml:space="preserve"> not improve the model fit (Bollen, 1989).</w:t>
      </w:r>
      <w:r w:rsidR="00F4341B">
        <w:rPr>
          <w:rFonts w:hint="eastAsia"/>
        </w:rPr>
        <w:t xml:space="preserve"> The </w:t>
      </w:r>
      <w:r w:rsidR="00F4341B">
        <w:t>s</w:t>
      </w:r>
      <w:r w:rsidR="00F4341B">
        <w:rPr>
          <w:rFonts w:hint="eastAsia"/>
        </w:rPr>
        <w:t>econd and third statistics were</w:t>
      </w:r>
      <w:r w:rsidR="00F4341B">
        <w:t xml:space="preserve"> the Akaike Information Criterion (AIC; Akaike, 1987)</w:t>
      </w:r>
      <w:r w:rsidR="00F4341B">
        <w:rPr>
          <w:rFonts w:hint="eastAsia"/>
        </w:rPr>
        <w:t xml:space="preserve"> and </w:t>
      </w:r>
      <w:r w:rsidR="00F4341B">
        <w:t>the Bayesian Information Criterion (BIC</w:t>
      </w:r>
      <w:r w:rsidR="00F4341B">
        <w:rPr>
          <w:rFonts w:hint="eastAsia"/>
        </w:rPr>
        <w:t xml:space="preserve">; </w:t>
      </w:r>
      <w:r w:rsidR="00F4341B">
        <w:t xml:space="preserve">Raftery, 1995). </w:t>
      </w:r>
      <w:r w:rsidR="0057506C">
        <w:t>F</w:t>
      </w:r>
      <w:r w:rsidR="00F4341B">
        <w:rPr>
          <w:rFonts w:hint="eastAsia"/>
        </w:rPr>
        <w:t>or both ind</w:t>
      </w:r>
      <w:r w:rsidR="00F4341B">
        <w:t>ices</w:t>
      </w:r>
      <w:r w:rsidR="00F4341B">
        <w:rPr>
          <w:rFonts w:hint="eastAsia"/>
        </w:rPr>
        <w:t>,</w:t>
      </w:r>
      <w:r w:rsidR="00F4341B">
        <w:t xml:space="preserve"> </w:t>
      </w:r>
      <w:r w:rsidR="00F4341B">
        <w:rPr>
          <w:rFonts w:hint="eastAsia"/>
        </w:rPr>
        <w:t xml:space="preserve">a </w:t>
      </w:r>
      <w:r w:rsidR="00F4341B">
        <w:t>lower value indicate</w:t>
      </w:r>
      <w:r w:rsidR="00F4341B">
        <w:rPr>
          <w:rFonts w:hint="eastAsia"/>
        </w:rPr>
        <w:t>s</w:t>
      </w:r>
      <w:r w:rsidR="00F4341B">
        <w:t xml:space="preserve"> better fit. In </w:t>
      </w:r>
      <w:r w:rsidR="00F4341B">
        <w:rPr>
          <w:rFonts w:hint="eastAsia"/>
        </w:rPr>
        <w:t>particular</w:t>
      </w:r>
      <w:r w:rsidR="00F4341B">
        <w:t xml:space="preserve">, differences of BIC </w:t>
      </w:r>
      <w:r w:rsidR="00F4341B">
        <w:rPr>
          <w:rFonts w:hint="eastAsia"/>
        </w:rPr>
        <w:t xml:space="preserve">value </w:t>
      </w:r>
      <w:r w:rsidR="00F4341B">
        <w:t xml:space="preserve">between 6 and 10 </w:t>
      </w:r>
      <w:r w:rsidR="006D237A">
        <w:t xml:space="preserve">provide </w:t>
      </w:r>
      <w:r w:rsidR="00F4341B">
        <w:t xml:space="preserve">strong evidence in favor of the model with the </w:t>
      </w:r>
      <w:r w:rsidR="00F4341B">
        <w:lastRenderedPageBreak/>
        <w:t>smaller value (Raftery, 1995</w:t>
      </w:r>
      <w:r w:rsidR="00F4341B" w:rsidRPr="00B6335F">
        <w:t xml:space="preserve">). </w:t>
      </w:r>
      <w:r w:rsidR="00F4341B">
        <w:rPr>
          <w:rFonts w:hint="eastAsia"/>
        </w:rPr>
        <w:t xml:space="preserve">We carried out genetic analyses with Open Mx package </w:t>
      </w:r>
      <w:r w:rsidR="00F4341B">
        <w:t xml:space="preserve">(Boker et al., 2012) </w:t>
      </w:r>
      <w:r w:rsidR="00F4341B">
        <w:rPr>
          <w:rFonts w:hint="eastAsia"/>
        </w:rPr>
        <w:t>for R.</w:t>
      </w:r>
    </w:p>
    <w:p w14:paraId="7FE06FD9" w14:textId="071085A7" w:rsidR="002C10F0" w:rsidRPr="0088187B" w:rsidRDefault="002C10F0" w:rsidP="0088187B">
      <w:pPr>
        <w:spacing w:line="480" w:lineRule="exact"/>
        <w:outlineLvl w:val="0"/>
        <w:rPr>
          <w:b/>
        </w:rPr>
      </w:pPr>
      <w:r w:rsidRPr="0088187B">
        <w:rPr>
          <w:b/>
        </w:rPr>
        <w:t xml:space="preserve">Statistical </w:t>
      </w:r>
      <w:r w:rsidR="00612EBF">
        <w:rPr>
          <w:b/>
        </w:rPr>
        <w:t>P</w:t>
      </w:r>
      <w:r w:rsidRPr="0088187B">
        <w:rPr>
          <w:b/>
        </w:rPr>
        <w:t xml:space="preserve">ower for </w:t>
      </w:r>
      <w:r w:rsidR="00612EBF">
        <w:rPr>
          <w:b/>
        </w:rPr>
        <w:t>G</w:t>
      </w:r>
      <w:r w:rsidRPr="0088187B">
        <w:rPr>
          <w:b/>
        </w:rPr>
        <w:t xml:space="preserve">enetic </w:t>
      </w:r>
      <w:r w:rsidR="00612EBF">
        <w:rPr>
          <w:b/>
        </w:rPr>
        <w:t>A</w:t>
      </w:r>
      <w:r w:rsidRPr="0088187B">
        <w:rPr>
          <w:b/>
        </w:rPr>
        <w:t>nalys</w:t>
      </w:r>
      <w:r w:rsidR="00CE564C">
        <w:rPr>
          <w:b/>
        </w:rPr>
        <w:t>e</w:t>
      </w:r>
      <w:r w:rsidRPr="0088187B">
        <w:rPr>
          <w:b/>
        </w:rPr>
        <w:t>s</w:t>
      </w:r>
    </w:p>
    <w:p w14:paraId="49E47C38" w14:textId="70F26FB2" w:rsidR="002C10F0" w:rsidRDefault="00D0344E" w:rsidP="0088187B">
      <w:pPr>
        <w:spacing w:line="480" w:lineRule="exact"/>
        <w:ind w:firstLine="425"/>
      </w:pPr>
      <w:r>
        <w:t xml:space="preserve">In order to gauge whether </w:t>
      </w:r>
      <w:r w:rsidR="001236BC">
        <w:t>we</w:t>
      </w:r>
      <w:r>
        <w:t xml:space="preserve"> </w:t>
      </w:r>
      <w:r w:rsidR="001236BC">
        <w:t xml:space="preserve">had </w:t>
      </w:r>
      <w:r>
        <w:t>sufficient</w:t>
      </w:r>
      <w:r w:rsidR="002C10F0">
        <w:t xml:space="preserve"> power to detect genetic or environmental effect</w:t>
      </w:r>
      <w:r w:rsidR="001236BC">
        <w:t>s</w:t>
      </w:r>
      <w:r w:rsidR="002C10F0" w:rsidRPr="002C10F0">
        <w:t xml:space="preserve">, we estimated the </w:t>
      </w:r>
      <w:r>
        <w:t xml:space="preserve">minimum </w:t>
      </w:r>
      <w:r w:rsidR="002C10F0" w:rsidRPr="002C10F0">
        <w:t xml:space="preserve">effect size </w:t>
      </w:r>
      <w:r>
        <w:t xml:space="preserve">that </w:t>
      </w:r>
      <w:r w:rsidR="001236BC">
        <w:t>could</w:t>
      </w:r>
      <w:r>
        <w:t xml:space="preserve"> be </w:t>
      </w:r>
      <w:r w:rsidR="00F36988">
        <w:t xml:space="preserve">reliably </w:t>
      </w:r>
      <w:r>
        <w:t xml:space="preserve">observed within the current sample. </w:t>
      </w:r>
      <w:r w:rsidR="001236BC">
        <w:t>We implemented the</w:t>
      </w:r>
      <w:r>
        <w:t xml:space="preserve"> power analysis </w:t>
      </w:r>
      <w:r w:rsidR="001236BC">
        <w:t>via</w:t>
      </w:r>
      <w:r>
        <w:t xml:space="preserve"> the package “pwr” in R (Champely, 2018), which functions along the lines of Cohen (1988).</w:t>
      </w:r>
      <w:r w:rsidR="001F48E8">
        <w:t xml:space="preserve"> </w:t>
      </w:r>
      <w:r w:rsidR="009A4F01">
        <w:rPr>
          <w:rFonts w:hint="eastAsia"/>
        </w:rPr>
        <w:t>Given</w:t>
      </w:r>
      <w:r w:rsidR="009A4F01">
        <w:t xml:space="preserve"> </w:t>
      </w:r>
      <w:r w:rsidR="001236BC">
        <w:t>a</w:t>
      </w:r>
      <w:r w:rsidR="002C10F0" w:rsidRPr="002C10F0">
        <w:t xml:space="preserve"> sample size </w:t>
      </w:r>
      <w:r>
        <w:t xml:space="preserve">of </w:t>
      </w:r>
      <w:r w:rsidR="002C10F0" w:rsidRPr="00D0344E">
        <w:rPr>
          <w:i/>
        </w:rPr>
        <w:t>N</w:t>
      </w:r>
      <w:r w:rsidR="002C10F0" w:rsidRPr="002C10F0">
        <w:t xml:space="preserve"> = 30</w:t>
      </w:r>
      <w:r w:rsidR="009308AE">
        <w:t>3</w:t>
      </w:r>
      <w:r w:rsidR="002C10F0" w:rsidRPr="002C10F0">
        <w:t xml:space="preserve"> (the total number of twin pairs</w:t>
      </w:r>
      <w:r w:rsidR="001236BC">
        <w:t>;</w:t>
      </w:r>
      <w:r w:rsidR="009308AE">
        <w:t xml:space="preserve"> Table 2</w:t>
      </w:r>
      <w:r w:rsidR="002C10F0" w:rsidRPr="002C10F0">
        <w:t>)</w:t>
      </w:r>
      <w:r w:rsidR="002C10F0">
        <w:t xml:space="preserve">, </w:t>
      </w:r>
      <w:r w:rsidR="001236BC">
        <w:t xml:space="preserve">level of </w:t>
      </w:r>
      <w:r w:rsidR="002C10F0">
        <w:t>significan</w:t>
      </w:r>
      <w:r w:rsidR="001236BC">
        <w:t xml:space="preserve">ce </w:t>
      </w:r>
      <w:r w:rsidR="002C10F0">
        <w:t>at .10</w:t>
      </w:r>
      <w:r w:rsidR="00CF69F1">
        <w:rPr>
          <w:rStyle w:val="FootnoteReference"/>
        </w:rPr>
        <w:footnoteReference w:id="1"/>
      </w:r>
      <w:r w:rsidR="002C10F0">
        <w:t>,</w:t>
      </w:r>
      <w:r w:rsidR="002C10F0" w:rsidRPr="002C10F0">
        <w:t xml:space="preserve"> </w:t>
      </w:r>
      <w:r w:rsidR="002C10F0">
        <w:t>degree</w:t>
      </w:r>
      <w:r w:rsidR="001236BC">
        <w:t>s</w:t>
      </w:r>
      <w:r w:rsidR="002C10F0">
        <w:t xml:space="preserve"> of freedom</w:t>
      </w:r>
      <w:r w:rsidR="002C10F0" w:rsidRPr="0088187B">
        <w:t xml:space="preserve"> (</w:t>
      </w:r>
      <w:r w:rsidR="002C10F0" w:rsidRPr="00D0344E">
        <w:rPr>
          <w:i/>
        </w:rPr>
        <w:t>df</w:t>
      </w:r>
      <w:r w:rsidR="002C10F0" w:rsidRPr="0088187B">
        <w:t>)</w:t>
      </w:r>
      <w:r w:rsidR="001F48E8">
        <w:t xml:space="preserve"> a</w:t>
      </w:r>
      <w:r w:rsidR="001236BC">
        <w:t>t</w:t>
      </w:r>
      <w:r w:rsidR="001F48E8">
        <w:t xml:space="preserve"> </w:t>
      </w:r>
      <w:r w:rsidR="002C10F0">
        <w:t>1 (estimat</w:t>
      </w:r>
      <w:r w:rsidR="00CF69F1">
        <w:rPr>
          <w:rFonts w:hint="eastAsia"/>
        </w:rPr>
        <w:t>ing</w:t>
      </w:r>
      <w:r w:rsidR="002C10F0">
        <w:t xml:space="preserve"> one effect each time), </w:t>
      </w:r>
      <w:r w:rsidR="002C10F0" w:rsidRPr="002C10F0">
        <w:t>and</w:t>
      </w:r>
      <w:r w:rsidR="001236BC">
        <w:t xml:space="preserve"> power at</w:t>
      </w:r>
      <w:r w:rsidR="002C10F0" w:rsidRPr="002C10F0">
        <w:t xml:space="preserve"> the conventional </w:t>
      </w:r>
      <w:r w:rsidR="002C10F0">
        <w:t xml:space="preserve">level of </w:t>
      </w:r>
      <w:r w:rsidR="002C10F0" w:rsidRPr="002C10F0">
        <w:t>.8</w:t>
      </w:r>
      <w:r w:rsidR="002C10F0">
        <w:t>0</w:t>
      </w:r>
      <w:r w:rsidR="001F48E8">
        <w:t xml:space="preserve">, we could detect </w:t>
      </w:r>
      <w:r w:rsidR="002C10F0">
        <w:t>effect</w:t>
      </w:r>
      <w:r w:rsidR="00CF69F1">
        <w:rPr>
          <w:rFonts w:hint="eastAsia"/>
        </w:rPr>
        <w:t>s</w:t>
      </w:r>
      <w:r w:rsidR="002C10F0">
        <w:t xml:space="preserve"> </w:t>
      </w:r>
      <w:r w:rsidR="001F48E8">
        <w:t xml:space="preserve">whose </w:t>
      </w:r>
      <w:r w:rsidR="002C10F0">
        <w:t xml:space="preserve">size </w:t>
      </w:r>
      <w:r w:rsidR="001F48E8">
        <w:t>(</w:t>
      </w:r>
      <w:r w:rsidR="002C10F0" w:rsidRPr="00293026">
        <w:rPr>
          <w:i/>
        </w:rPr>
        <w:t>w</w:t>
      </w:r>
      <w:r w:rsidR="001F48E8">
        <w:t xml:space="preserve">) </w:t>
      </w:r>
      <w:r w:rsidR="001236BC">
        <w:t>was</w:t>
      </w:r>
      <w:r w:rsidR="001F48E8">
        <w:t xml:space="preserve"> no less than</w:t>
      </w:r>
      <w:r w:rsidR="002C10F0">
        <w:t xml:space="preserve"> .14</w:t>
      </w:r>
      <w:r w:rsidR="00BF5143">
        <w:rPr>
          <w:rStyle w:val="FootnoteReference"/>
        </w:rPr>
        <w:footnoteReference w:id="2"/>
      </w:r>
      <w:r w:rsidR="002C10F0">
        <w:t xml:space="preserve">. </w:t>
      </w:r>
      <w:r w:rsidR="00A81E63">
        <w:t>Put otherwise</w:t>
      </w:r>
      <w:r w:rsidR="001236BC">
        <w:t xml:space="preserve">, </w:t>
      </w:r>
      <w:r w:rsidR="002C10F0">
        <w:t xml:space="preserve">if the standardized estimate of a path parameter in the independent </w:t>
      </w:r>
      <w:r w:rsidR="001236BC">
        <w:t xml:space="preserve">pathway model </w:t>
      </w:r>
      <w:r w:rsidR="002C10F0">
        <w:t xml:space="preserve">or common pathway model </w:t>
      </w:r>
      <w:r w:rsidR="008A6D6C">
        <w:t>(e.g., A</w:t>
      </w:r>
      <w:r w:rsidR="008A6D6C" w:rsidRPr="0088187B">
        <w:rPr>
          <w:vertAlign w:val="subscript"/>
        </w:rPr>
        <w:t>c</w:t>
      </w:r>
      <w:r w:rsidR="008A6D6C">
        <w:t xml:space="preserve"> to NPI in Figure 1, or A</w:t>
      </w:r>
      <w:r w:rsidR="008A6D6C" w:rsidRPr="0088187B">
        <w:rPr>
          <w:vertAlign w:val="subscript"/>
        </w:rPr>
        <w:t>c</w:t>
      </w:r>
      <w:r w:rsidR="008A6D6C">
        <w:t xml:space="preserve"> to LT in Figure 2) </w:t>
      </w:r>
      <w:r w:rsidR="001236BC">
        <w:t>were</w:t>
      </w:r>
      <w:r w:rsidR="002C10F0">
        <w:t xml:space="preserve"> no less than .14, we would have sufficient power to examine the corresponding genetic or environmental effect</w:t>
      </w:r>
      <w:r w:rsidR="001236BC">
        <w:t>s</w:t>
      </w:r>
      <w:r w:rsidR="002C10F0">
        <w:t xml:space="preserve">. </w:t>
      </w:r>
    </w:p>
    <w:p w14:paraId="155E34D0" w14:textId="391CFCB2" w:rsidR="002C10F0" w:rsidRDefault="00D91B2C" w:rsidP="0088187B">
      <w:pPr>
        <w:spacing w:line="480" w:lineRule="exact"/>
        <w:ind w:firstLine="425"/>
      </w:pPr>
      <w:r>
        <w:t>Beyond testing genetic and environmental effects,</w:t>
      </w:r>
      <w:r w:rsidR="001B0B01">
        <w:t xml:space="preserve"> </w:t>
      </w:r>
      <w:r w:rsidR="00A81E63">
        <w:t>we engaged in</w:t>
      </w:r>
      <w:r w:rsidR="001B0B01">
        <w:t xml:space="preserve"> a </w:t>
      </w:r>
      <w:r w:rsidR="002C10F0">
        <w:t>comparison between</w:t>
      </w:r>
      <w:r w:rsidR="00306421">
        <w:t xml:space="preserve"> the</w:t>
      </w:r>
      <w:r w:rsidR="002C10F0">
        <w:t xml:space="preserve"> independent and common pathway models</w:t>
      </w:r>
      <w:r w:rsidR="004E0E27">
        <w:t>.</w:t>
      </w:r>
      <w:r w:rsidR="002C10F0">
        <w:t xml:space="preserve"> </w:t>
      </w:r>
      <w:r w:rsidR="00F770A0">
        <w:t>W</w:t>
      </w:r>
      <w:r w:rsidR="001B0B01">
        <w:t>e</w:t>
      </w:r>
      <w:r w:rsidR="00306421">
        <w:t xml:space="preserve"> wondered </w:t>
      </w:r>
      <w:r w:rsidR="001B0B01">
        <w:t>if we ha</w:t>
      </w:r>
      <w:r w:rsidR="00306421">
        <w:t>d</w:t>
      </w:r>
      <w:r w:rsidR="001B0B01">
        <w:t xml:space="preserve"> </w:t>
      </w:r>
      <w:r w:rsidR="00306421">
        <w:t>adequate</w:t>
      </w:r>
      <w:r w:rsidR="001B0B01">
        <w:t xml:space="preserve"> power </w:t>
      </w:r>
      <w:r w:rsidR="00306421">
        <w:t>for that</w:t>
      </w:r>
      <w:r w:rsidR="001B0B01">
        <w:t xml:space="preserve"> comparison. </w:t>
      </w:r>
      <w:r w:rsidR="00E5470F">
        <w:t xml:space="preserve">This analysis is different from the former one, </w:t>
      </w:r>
      <w:r w:rsidR="00306421">
        <w:t xml:space="preserve">with the exception of </w:t>
      </w:r>
      <w:r w:rsidR="00E5470F">
        <w:t>one step</w:t>
      </w:r>
      <w:r w:rsidR="00ED45E5">
        <w:t xml:space="preserve"> (the first step estimating the minimal effect size </w:t>
      </w:r>
      <w:r w:rsidR="00ED45E5" w:rsidRPr="008A7CBE">
        <w:rPr>
          <w:i/>
        </w:rPr>
        <w:t>w</w:t>
      </w:r>
      <w:r w:rsidR="00ED45E5">
        <w:t>)</w:t>
      </w:r>
      <w:r w:rsidR="00E5470F">
        <w:t>. First,</w:t>
      </w:r>
      <w:r w:rsidR="002C10F0" w:rsidRPr="002C10F0">
        <w:t xml:space="preserve"> </w:t>
      </w:r>
      <w:r w:rsidR="00E5470F">
        <w:t>we</w:t>
      </w:r>
      <w:r w:rsidR="002C10F0">
        <w:t xml:space="preserve"> </w:t>
      </w:r>
      <w:r w:rsidR="002C10F0" w:rsidRPr="002C10F0">
        <w:t xml:space="preserve">estimated the </w:t>
      </w:r>
      <w:r w:rsidR="002C10F0">
        <w:t xml:space="preserve">smallest </w:t>
      </w:r>
      <w:r w:rsidR="002C10F0" w:rsidRPr="002C10F0">
        <w:t xml:space="preserve">effect size </w:t>
      </w:r>
      <w:r w:rsidR="00E5470F">
        <w:t xml:space="preserve">that </w:t>
      </w:r>
      <w:r w:rsidR="00306421">
        <w:t>could</w:t>
      </w:r>
      <w:r w:rsidR="00E5470F">
        <w:t xml:space="preserve"> be detected within the current </w:t>
      </w:r>
      <w:r w:rsidR="002C10F0" w:rsidRPr="002C10F0">
        <w:t xml:space="preserve">sample </w:t>
      </w:r>
      <w:r w:rsidR="00E5470F">
        <w:t>(</w:t>
      </w:r>
      <w:r w:rsidR="002C10F0" w:rsidRPr="009A63AC">
        <w:rPr>
          <w:i/>
        </w:rPr>
        <w:t>N</w:t>
      </w:r>
      <w:r w:rsidR="002C10F0" w:rsidRPr="002C10F0">
        <w:t xml:space="preserve"> = 30</w:t>
      </w:r>
      <w:r w:rsidR="002A6F0E">
        <w:t>3</w:t>
      </w:r>
      <w:r w:rsidR="00E5470F">
        <w:t xml:space="preserve">). </w:t>
      </w:r>
      <w:r w:rsidR="0057101E">
        <w:t>Given</w:t>
      </w:r>
      <w:r w:rsidR="002C10F0">
        <w:t xml:space="preserve"> </w:t>
      </w:r>
      <w:r w:rsidR="00E5470F">
        <w:t xml:space="preserve">a </w:t>
      </w:r>
      <w:r w:rsidR="00306421">
        <w:t xml:space="preserve">level of </w:t>
      </w:r>
      <w:r w:rsidR="002C10F0">
        <w:t>significan</w:t>
      </w:r>
      <w:r w:rsidR="00306421">
        <w:t>ce</w:t>
      </w:r>
      <w:r w:rsidR="002C10F0">
        <w:t xml:space="preserve"> at .10,</w:t>
      </w:r>
      <w:r w:rsidR="002C10F0" w:rsidRPr="002C10F0">
        <w:t xml:space="preserve"> </w:t>
      </w:r>
      <w:r w:rsidR="002C10F0" w:rsidRPr="009A63AC">
        <w:rPr>
          <w:i/>
        </w:rPr>
        <w:t>df</w:t>
      </w:r>
      <w:r w:rsidR="002C10F0" w:rsidRPr="0088187B">
        <w:rPr>
          <w:i/>
        </w:rPr>
        <w:t xml:space="preserve"> </w:t>
      </w:r>
      <w:r w:rsidR="002C10F0">
        <w:t xml:space="preserve">= 8 (the difference in </w:t>
      </w:r>
      <w:r w:rsidR="002C10F0" w:rsidRPr="009A63AC">
        <w:rPr>
          <w:i/>
        </w:rPr>
        <w:t xml:space="preserve">df </w:t>
      </w:r>
      <w:r w:rsidR="002C10F0">
        <w:t>between the two models</w:t>
      </w:r>
      <w:r w:rsidR="00306421">
        <w:t>;</w:t>
      </w:r>
      <w:r w:rsidR="009A63AC">
        <w:t xml:space="preserve"> Table 3</w:t>
      </w:r>
      <w:r w:rsidR="002C10F0">
        <w:t xml:space="preserve">), </w:t>
      </w:r>
      <w:r w:rsidR="002C10F0" w:rsidRPr="002C10F0">
        <w:t xml:space="preserve">and power </w:t>
      </w:r>
      <w:r w:rsidR="002C10F0">
        <w:t>at</w:t>
      </w:r>
      <w:r w:rsidR="002C10F0" w:rsidRPr="002C10F0">
        <w:t xml:space="preserve"> .8</w:t>
      </w:r>
      <w:r w:rsidR="002C10F0">
        <w:t>0</w:t>
      </w:r>
      <w:r w:rsidR="00E5470F">
        <w:t>,</w:t>
      </w:r>
      <w:r w:rsidR="002C10F0">
        <w:t xml:space="preserve"> </w:t>
      </w:r>
      <w:r w:rsidR="00E5470F">
        <w:t xml:space="preserve">the </w:t>
      </w:r>
      <w:r w:rsidR="0057101E">
        <w:t>minimal</w:t>
      </w:r>
      <w:r w:rsidR="00E5470F">
        <w:t xml:space="preserve"> </w:t>
      </w:r>
      <w:r w:rsidR="002C10F0">
        <w:t xml:space="preserve">effect </w:t>
      </w:r>
      <w:r w:rsidR="0057101E">
        <w:t>that</w:t>
      </w:r>
      <w:r w:rsidR="00306421">
        <w:t xml:space="preserve"> we</w:t>
      </w:r>
      <w:r w:rsidR="0057101E">
        <w:t xml:space="preserve"> </w:t>
      </w:r>
      <w:r w:rsidR="00306421">
        <w:t xml:space="preserve">could </w:t>
      </w:r>
      <w:r w:rsidR="0057101E">
        <w:t>assess with confidence</w:t>
      </w:r>
      <w:r w:rsidR="002C10F0">
        <w:t xml:space="preserve"> </w:t>
      </w:r>
      <w:r w:rsidR="00E5470F">
        <w:t>was</w:t>
      </w:r>
      <w:r w:rsidR="002C10F0">
        <w:t xml:space="preserve"> </w:t>
      </w:r>
      <w:r w:rsidR="002C10F0" w:rsidRPr="0057101E">
        <w:rPr>
          <w:i/>
        </w:rPr>
        <w:t>w</w:t>
      </w:r>
      <w:r w:rsidR="002C10F0">
        <w:t xml:space="preserve"> = .20. </w:t>
      </w:r>
      <w:r w:rsidR="00B00234">
        <w:t>Then, b</w:t>
      </w:r>
      <w:r w:rsidR="0057101E">
        <w:t>ased on that value</w:t>
      </w:r>
      <w:r w:rsidR="002C10F0">
        <w:t>, we estimated the threshold of test statistic</w:t>
      </w:r>
      <w:r w:rsidR="00306421">
        <w:t xml:space="preserve"> </w:t>
      </w:r>
      <w:r w:rsidR="00D85E39">
        <w:t>–</w:t>
      </w:r>
      <w:r w:rsidR="002C10F0">
        <w:t xml:space="preserve"> </w:t>
      </w:r>
      <w:r w:rsidR="00306421">
        <w:t xml:space="preserve">that is, </w:t>
      </w:r>
      <w:r w:rsidR="002C10F0">
        <w:t>chi-square</w:t>
      </w:r>
      <w:r w:rsidR="00306421">
        <w:t xml:space="preserve"> </w:t>
      </w:r>
      <w:r w:rsidR="00D85E39">
        <w:t>–</w:t>
      </w:r>
      <w:r w:rsidR="002C10F0">
        <w:t xml:space="preserve"> according to the formula </w:t>
      </w:r>
      <w:r w:rsidR="00F770A0">
        <w:t>χ</w:t>
      </w:r>
      <w:r w:rsidR="00F770A0">
        <w:rPr>
          <w:vertAlign w:val="superscript"/>
        </w:rPr>
        <w:t xml:space="preserve">2 </w:t>
      </w:r>
      <w:r w:rsidR="002C10F0">
        <w:t xml:space="preserve">= </w:t>
      </w:r>
      <w:r w:rsidR="002C10F0" w:rsidRPr="0088187B">
        <w:rPr>
          <w:i/>
        </w:rPr>
        <w:t>w</w:t>
      </w:r>
      <w:r w:rsidR="00F770A0" w:rsidRPr="0088187B">
        <w:rPr>
          <w:i/>
          <w:vertAlign w:val="superscript"/>
        </w:rPr>
        <w:t>2</w:t>
      </w:r>
      <w:r w:rsidR="002C10F0" w:rsidRPr="0088187B">
        <w:rPr>
          <w:i/>
        </w:rPr>
        <w:t>*N</w:t>
      </w:r>
      <w:r w:rsidR="002C10F0">
        <w:t>.</w:t>
      </w:r>
      <w:r w:rsidR="000D7D9E">
        <w:t xml:space="preserve"> </w:t>
      </w:r>
      <w:r w:rsidR="00306421">
        <w:t>W</w:t>
      </w:r>
      <w:r w:rsidR="002C10F0">
        <w:t>e</w:t>
      </w:r>
      <w:r w:rsidR="00306421">
        <w:t xml:space="preserve"> obtained</w:t>
      </w:r>
      <w:r w:rsidR="002C10F0">
        <w:t xml:space="preserve"> a chi-square </w:t>
      </w:r>
      <w:r w:rsidR="00306421">
        <w:t>of</w:t>
      </w:r>
      <w:r w:rsidR="002C10F0">
        <w:t xml:space="preserve"> 12.1</w:t>
      </w:r>
      <w:r w:rsidR="002A6F0E">
        <w:t>2</w:t>
      </w:r>
      <w:r w:rsidR="002C10F0">
        <w:t xml:space="preserve">. Thus, if the difference </w:t>
      </w:r>
      <w:r w:rsidR="00F770A0">
        <w:t xml:space="preserve">in </w:t>
      </w:r>
      <w:r w:rsidR="00096632">
        <w:t xml:space="preserve">model </w:t>
      </w:r>
      <w:r w:rsidR="002C10F0">
        <w:t xml:space="preserve">fit </w:t>
      </w:r>
      <w:r w:rsidR="00BF6EE3">
        <w:t xml:space="preserve">(i.e., -2LL) </w:t>
      </w:r>
      <w:r w:rsidR="00F770A0">
        <w:lastRenderedPageBreak/>
        <w:t>between</w:t>
      </w:r>
      <w:r w:rsidR="00306421">
        <w:t xml:space="preserve"> the</w:t>
      </w:r>
      <w:r w:rsidR="002C10F0">
        <w:t xml:space="preserve"> independent and common pathway model</w:t>
      </w:r>
      <w:r w:rsidR="00306421">
        <w:t>s</w:t>
      </w:r>
      <w:r w:rsidR="002C10F0">
        <w:t xml:space="preserve"> </w:t>
      </w:r>
      <w:r w:rsidR="00306421">
        <w:t>were</w:t>
      </w:r>
      <w:r w:rsidR="002C10F0">
        <w:t xml:space="preserve"> </w:t>
      </w:r>
      <w:r w:rsidR="000433A1">
        <w:t xml:space="preserve">no less </w:t>
      </w:r>
      <w:r w:rsidR="002C10F0">
        <w:t>than 12.1</w:t>
      </w:r>
      <w:r w:rsidR="002A6F0E">
        <w:t>2</w:t>
      </w:r>
      <w:r w:rsidR="002C10F0">
        <w:t>, we would have adequate power</w:t>
      </w:r>
      <w:r w:rsidR="00306421">
        <w:t xml:space="preserve"> for model comparison</w:t>
      </w:r>
      <w:r w:rsidR="002C10F0">
        <w:t xml:space="preserve">. </w:t>
      </w:r>
    </w:p>
    <w:p w14:paraId="481D9545" w14:textId="77777777" w:rsidR="009B244D" w:rsidRDefault="00F4341B" w:rsidP="00D17E90">
      <w:pPr>
        <w:spacing w:line="480" w:lineRule="exact"/>
        <w:ind w:firstLine="420"/>
        <w:jc w:val="center"/>
        <w:outlineLvl w:val="0"/>
        <w:rPr>
          <w:b/>
        </w:rPr>
      </w:pPr>
      <w:r>
        <w:rPr>
          <w:rFonts w:hint="eastAsia"/>
          <w:b/>
        </w:rPr>
        <w:t>Results</w:t>
      </w:r>
    </w:p>
    <w:p w14:paraId="31F44266" w14:textId="77777777" w:rsidR="009B244D" w:rsidRDefault="00F4341B" w:rsidP="00D17E90">
      <w:pPr>
        <w:spacing w:line="480" w:lineRule="exact"/>
        <w:outlineLvl w:val="0"/>
        <w:rPr>
          <w:b/>
        </w:rPr>
      </w:pPr>
      <w:r>
        <w:rPr>
          <w:rFonts w:hint="eastAsia"/>
          <w:b/>
        </w:rPr>
        <w:t xml:space="preserve">Descriptive </w:t>
      </w:r>
      <w:r>
        <w:rPr>
          <w:b/>
        </w:rPr>
        <w:t>S</w:t>
      </w:r>
      <w:r>
        <w:rPr>
          <w:rFonts w:hint="eastAsia"/>
          <w:b/>
        </w:rPr>
        <w:t>tatistics</w:t>
      </w:r>
    </w:p>
    <w:p w14:paraId="02A414BB" w14:textId="3F9827C4" w:rsidR="009B244D" w:rsidRDefault="00F4341B">
      <w:pPr>
        <w:spacing w:line="480" w:lineRule="exact"/>
        <w:ind w:firstLineChars="200" w:firstLine="480"/>
      </w:pPr>
      <w:r>
        <w:t xml:space="preserve">In Table </w:t>
      </w:r>
      <w:r>
        <w:rPr>
          <w:rFonts w:hint="eastAsia"/>
        </w:rPr>
        <w:t>1</w:t>
      </w:r>
      <w:r>
        <w:t xml:space="preserve">, we present correlations, means, and standard deviations for </w:t>
      </w:r>
      <w:r>
        <w:rPr>
          <w:rFonts w:hint="eastAsia"/>
        </w:rPr>
        <w:t>all measures</w:t>
      </w:r>
      <w:r>
        <w:t>. A</w:t>
      </w:r>
      <w:r>
        <w:rPr>
          <w:rFonts w:hint="eastAsia"/>
        </w:rPr>
        <w:t xml:space="preserve">ll correlations, no matter within or across domains (i.e., </w:t>
      </w:r>
      <w:r>
        <w:t>self-enhancement manifestations</w:t>
      </w:r>
      <w:r>
        <w:rPr>
          <w:rFonts w:hint="eastAsia"/>
        </w:rPr>
        <w:t xml:space="preserve"> or wellbeing), </w:t>
      </w:r>
      <w:r>
        <w:t>were</w:t>
      </w:r>
      <w:r>
        <w:rPr>
          <w:rFonts w:hint="eastAsia"/>
        </w:rPr>
        <w:t xml:space="preserve"> significant, ranging from </w:t>
      </w:r>
      <w:r>
        <w:t>moderate</w:t>
      </w:r>
      <w:r>
        <w:rPr>
          <w:rFonts w:hint="eastAsia"/>
        </w:rPr>
        <w:t xml:space="preserve"> to high (</w:t>
      </w:r>
      <w:r>
        <w:rPr>
          <w:rFonts w:hint="eastAsia"/>
          <w:i/>
        </w:rPr>
        <w:t>r</w:t>
      </w:r>
      <w:r>
        <w:rPr>
          <w:rFonts w:hint="eastAsia"/>
        </w:rPr>
        <w:t>s: .11</w:t>
      </w:r>
      <w:r w:rsidR="00C451F8">
        <w:t>~</w:t>
      </w:r>
      <w:r>
        <w:rPr>
          <w:rFonts w:hint="eastAsia"/>
        </w:rPr>
        <w:t xml:space="preserve">.60). </w:t>
      </w:r>
    </w:p>
    <w:p w14:paraId="4B3A55BB" w14:textId="77777777" w:rsidR="00354B01" w:rsidRDefault="00354B01">
      <w:pPr>
        <w:spacing w:line="480" w:lineRule="exact"/>
        <w:ind w:firstLineChars="200" w:firstLine="480"/>
      </w:pPr>
    </w:p>
    <w:p w14:paraId="6BBBFCF5" w14:textId="2C9F7CF3" w:rsidR="009B244D" w:rsidRDefault="00F4341B">
      <w:pPr>
        <w:spacing w:line="480" w:lineRule="exact"/>
      </w:pPr>
      <w:r>
        <w:rPr>
          <w:b/>
        </w:rPr>
        <w:t>Table 1.</w:t>
      </w:r>
      <w:r>
        <w:rPr>
          <w:rFonts w:hint="eastAsia"/>
        </w:rPr>
        <w:t xml:space="preserve"> Reliabilities of, </w:t>
      </w:r>
      <w:r w:rsidR="008D032A">
        <w:t>M</w:t>
      </w:r>
      <w:r>
        <w:rPr>
          <w:rFonts w:hint="eastAsia"/>
        </w:rPr>
        <w:t xml:space="preserve">eans (SD) of, and </w:t>
      </w:r>
      <w:r w:rsidR="008D032A">
        <w:t>Z</w:t>
      </w:r>
      <w:r>
        <w:rPr>
          <w:rFonts w:hint="eastAsia"/>
        </w:rPr>
        <w:t>ero-</w:t>
      </w:r>
      <w:r w:rsidR="008D032A">
        <w:t>O</w:t>
      </w:r>
      <w:r>
        <w:rPr>
          <w:rFonts w:hint="eastAsia"/>
        </w:rPr>
        <w:t xml:space="preserve">rder </w:t>
      </w:r>
      <w:r w:rsidR="008D032A">
        <w:t>C</w:t>
      </w:r>
      <w:r>
        <w:rPr>
          <w:rFonts w:hint="eastAsia"/>
        </w:rPr>
        <w:t xml:space="preserve">orrelations </w:t>
      </w:r>
      <w:r w:rsidR="008D032A">
        <w:t>A</w:t>
      </w:r>
      <w:r>
        <w:rPr>
          <w:rFonts w:hint="eastAsia"/>
        </w:rPr>
        <w:t xml:space="preserve">mong all </w:t>
      </w:r>
      <w:r w:rsidR="008D032A">
        <w:t>M</w:t>
      </w:r>
      <w:r>
        <w:rPr>
          <w:rFonts w:hint="eastAsia"/>
        </w:rPr>
        <w:t>easures</w:t>
      </w:r>
    </w:p>
    <w:tbl>
      <w:tblPr>
        <w:tblStyle w:val="PlainTable41"/>
        <w:tblW w:w="8522" w:type="dxa"/>
        <w:tblLayout w:type="fixed"/>
        <w:tblLook w:val="04A0" w:firstRow="1" w:lastRow="0" w:firstColumn="1" w:lastColumn="0" w:noHBand="0" w:noVBand="1"/>
      </w:tblPr>
      <w:tblGrid>
        <w:gridCol w:w="2687"/>
        <w:gridCol w:w="1230"/>
        <w:gridCol w:w="1509"/>
        <w:gridCol w:w="516"/>
        <w:gridCol w:w="516"/>
        <w:gridCol w:w="516"/>
        <w:gridCol w:w="516"/>
        <w:gridCol w:w="516"/>
        <w:gridCol w:w="516"/>
      </w:tblGrid>
      <w:tr w:rsidR="009B244D" w:rsidRPr="00F0393B" w14:paraId="68314998" w14:textId="77777777" w:rsidTr="009B2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top w:val="single" w:sz="4" w:space="0" w:color="auto"/>
              <w:bottom w:val="single" w:sz="4" w:space="0" w:color="auto"/>
            </w:tcBorders>
            <w:shd w:val="clear" w:color="auto" w:fill="auto"/>
          </w:tcPr>
          <w:p w14:paraId="25E43799" w14:textId="77777777" w:rsidR="009B244D" w:rsidRPr="00F0393B" w:rsidRDefault="00F4341B">
            <w:pPr>
              <w:spacing w:line="480" w:lineRule="auto"/>
              <w:jc w:val="center"/>
              <w:rPr>
                <w:b w:val="0"/>
                <w:bCs w:val="0"/>
              </w:rPr>
            </w:pPr>
            <w:r w:rsidRPr="00F0393B">
              <w:rPr>
                <w:rFonts w:hint="eastAsia"/>
                <w:b w:val="0"/>
              </w:rPr>
              <w:t>Measure</w:t>
            </w:r>
          </w:p>
        </w:tc>
        <w:tc>
          <w:tcPr>
            <w:tcW w:w="1230" w:type="dxa"/>
            <w:tcBorders>
              <w:top w:val="single" w:sz="4" w:space="0" w:color="auto"/>
              <w:bottom w:val="single" w:sz="4" w:space="0" w:color="auto"/>
            </w:tcBorders>
            <w:shd w:val="clear" w:color="auto" w:fill="auto"/>
          </w:tcPr>
          <w:p w14:paraId="3F35A50D"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Reliability</w:t>
            </w:r>
          </w:p>
        </w:tc>
        <w:tc>
          <w:tcPr>
            <w:tcW w:w="1509" w:type="dxa"/>
            <w:tcBorders>
              <w:top w:val="single" w:sz="4" w:space="0" w:color="auto"/>
              <w:bottom w:val="single" w:sz="4" w:space="0" w:color="auto"/>
            </w:tcBorders>
            <w:shd w:val="clear" w:color="auto" w:fill="auto"/>
          </w:tcPr>
          <w:p w14:paraId="0809AD9B"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Mean (SD)</w:t>
            </w:r>
          </w:p>
        </w:tc>
        <w:tc>
          <w:tcPr>
            <w:tcW w:w="516" w:type="dxa"/>
            <w:tcBorders>
              <w:top w:val="single" w:sz="4" w:space="0" w:color="auto"/>
              <w:bottom w:val="single" w:sz="4" w:space="0" w:color="auto"/>
            </w:tcBorders>
            <w:shd w:val="clear" w:color="auto" w:fill="auto"/>
          </w:tcPr>
          <w:p w14:paraId="7655CA87"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2</w:t>
            </w:r>
          </w:p>
        </w:tc>
        <w:tc>
          <w:tcPr>
            <w:tcW w:w="516" w:type="dxa"/>
            <w:tcBorders>
              <w:top w:val="single" w:sz="4" w:space="0" w:color="auto"/>
              <w:bottom w:val="single" w:sz="4" w:space="0" w:color="auto"/>
            </w:tcBorders>
            <w:shd w:val="clear" w:color="auto" w:fill="auto"/>
          </w:tcPr>
          <w:p w14:paraId="54479839"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3</w:t>
            </w:r>
          </w:p>
        </w:tc>
        <w:tc>
          <w:tcPr>
            <w:tcW w:w="516" w:type="dxa"/>
            <w:tcBorders>
              <w:top w:val="single" w:sz="4" w:space="0" w:color="auto"/>
              <w:bottom w:val="single" w:sz="4" w:space="0" w:color="auto"/>
            </w:tcBorders>
            <w:shd w:val="clear" w:color="auto" w:fill="auto"/>
          </w:tcPr>
          <w:p w14:paraId="59A7B439"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4</w:t>
            </w:r>
          </w:p>
        </w:tc>
        <w:tc>
          <w:tcPr>
            <w:tcW w:w="516" w:type="dxa"/>
            <w:tcBorders>
              <w:top w:val="single" w:sz="4" w:space="0" w:color="auto"/>
              <w:bottom w:val="single" w:sz="4" w:space="0" w:color="auto"/>
            </w:tcBorders>
            <w:shd w:val="clear" w:color="auto" w:fill="auto"/>
          </w:tcPr>
          <w:p w14:paraId="11B9CFAB"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5</w:t>
            </w:r>
          </w:p>
        </w:tc>
        <w:tc>
          <w:tcPr>
            <w:tcW w:w="516" w:type="dxa"/>
            <w:tcBorders>
              <w:top w:val="single" w:sz="4" w:space="0" w:color="auto"/>
              <w:bottom w:val="single" w:sz="4" w:space="0" w:color="auto"/>
            </w:tcBorders>
            <w:shd w:val="clear" w:color="auto" w:fill="auto"/>
          </w:tcPr>
          <w:p w14:paraId="2060883F"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6</w:t>
            </w:r>
          </w:p>
        </w:tc>
        <w:tc>
          <w:tcPr>
            <w:tcW w:w="516" w:type="dxa"/>
            <w:tcBorders>
              <w:top w:val="single" w:sz="4" w:space="0" w:color="auto"/>
              <w:bottom w:val="single" w:sz="4" w:space="0" w:color="auto"/>
            </w:tcBorders>
            <w:shd w:val="clear" w:color="auto" w:fill="auto"/>
          </w:tcPr>
          <w:p w14:paraId="3257AA69" w14:textId="77777777" w:rsidR="009B244D" w:rsidRPr="00F0393B" w:rsidRDefault="00F4341B">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F0393B">
              <w:rPr>
                <w:rFonts w:hint="eastAsia"/>
                <w:b w:val="0"/>
              </w:rPr>
              <w:t>7</w:t>
            </w:r>
          </w:p>
        </w:tc>
      </w:tr>
      <w:tr w:rsidR="009B244D" w:rsidRPr="00F0393B" w14:paraId="6A81D42A" w14:textId="77777777" w:rsidTr="009B244D">
        <w:tc>
          <w:tcPr>
            <w:cnfStyle w:val="001000000000" w:firstRow="0" w:lastRow="0" w:firstColumn="1" w:lastColumn="0" w:oddVBand="0" w:evenVBand="0" w:oddHBand="0" w:evenHBand="0" w:firstRowFirstColumn="0" w:firstRowLastColumn="0" w:lastRowFirstColumn="0" w:lastRowLastColumn="0"/>
            <w:tcW w:w="2687" w:type="dxa"/>
            <w:tcBorders>
              <w:top w:val="single" w:sz="4" w:space="0" w:color="auto"/>
            </w:tcBorders>
            <w:shd w:val="clear" w:color="auto" w:fill="auto"/>
          </w:tcPr>
          <w:p w14:paraId="45E1490D" w14:textId="77777777" w:rsidR="009B244D" w:rsidRPr="00F0393B" w:rsidRDefault="00F4341B">
            <w:pPr>
              <w:pStyle w:val="ListParagraph1"/>
              <w:numPr>
                <w:ilvl w:val="0"/>
                <w:numId w:val="1"/>
              </w:numPr>
              <w:spacing w:line="480" w:lineRule="auto"/>
              <w:jc w:val="both"/>
              <w:rPr>
                <w:b w:val="0"/>
                <w:bCs w:val="0"/>
              </w:rPr>
            </w:pPr>
            <w:r w:rsidRPr="00F0393B">
              <w:rPr>
                <w:b w:val="0"/>
              </w:rPr>
              <w:t>NPI</w:t>
            </w:r>
          </w:p>
        </w:tc>
        <w:tc>
          <w:tcPr>
            <w:tcW w:w="1230" w:type="dxa"/>
            <w:tcBorders>
              <w:top w:val="single" w:sz="4" w:space="0" w:color="auto"/>
            </w:tcBorders>
            <w:shd w:val="clear" w:color="auto" w:fill="auto"/>
          </w:tcPr>
          <w:p w14:paraId="6EBC42B9"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.81</w:t>
            </w:r>
          </w:p>
        </w:tc>
        <w:tc>
          <w:tcPr>
            <w:tcW w:w="1509" w:type="dxa"/>
            <w:tcBorders>
              <w:top w:val="single" w:sz="4" w:space="0" w:color="auto"/>
            </w:tcBorders>
            <w:shd w:val="clear" w:color="auto" w:fill="auto"/>
          </w:tcPr>
          <w:p w14:paraId="4758AC97" w14:textId="77777777" w:rsidR="009B244D" w:rsidRPr="00F0393B" w:rsidRDefault="00F4341B">
            <w:pPr>
              <w:spacing w:line="480" w:lineRule="auto"/>
              <w:cnfStyle w:val="000000000000" w:firstRow="0" w:lastRow="0" w:firstColumn="0" w:lastColumn="0" w:oddVBand="0" w:evenVBand="0" w:oddHBand="0" w:evenHBand="0" w:firstRowFirstColumn="0" w:firstRowLastColumn="0" w:lastRowFirstColumn="0" w:lastRowLastColumn="0"/>
            </w:pPr>
            <w:r w:rsidRPr="00F0393B">
              <w:rPr>
                <w:rFonts w:hint="eastAsia"/>
              </w:rPr>
              <w:t>13.64 (6.05)</w:t>
            </w:r>
          </w:p>
        </w:tc>
        <w:tc>
          <w:tcPr>
            <w:tcW w:w="516" w:type="dxa"/>
            <w:tcBorders>
              <w:top w:val="single" w:sz="4" w:space="0" w:color="auto"/>
            </w:tcBorders>
            <w:shd w:val="clear" w:color="auto" w:fill="auto"/>
          </w:tcPr>
          <w:p w14:paraId="2FE20096"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.38</w:t>
            </w:r>
          </w:p>
        </w:tc>
        <w:tc>
          <w:tcPr>
            <w:tcW w:w="516" w:type="dxa"/>
            <w:tcBorders>
              <w:top w:val="single" w:sz="4" w:space="0" w:color="auto"/>
            </w:tcBorders>
            <w:shd w:val="clear" w:color="auto" w:fill="auto"/>
          </w:tcPr>
          <w:p w14:paraId="0C3D4B45"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.54</w:t>
            </w:r>
          </w:p>
        </w:tc>
        <w:tc>
          <w:tcPr>
            <w:tcW w:w="516" w:type="dxa"/>
            <w:tcBorders>
              <w:top w:val="single" w:sz="4" w:space="0" w:color="auto"/>
            </w:tcBorders>
            <w:shd w:val="clear" w:color="auto" w:fill="auto"/>
          </w:tcPr>
          <w:p w14:paraId="267D4233"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.46</w:t>
            </w:r>
          </w:p>
        </w:tc>
        <w:tc>
          <w:tcPr>
            <w:tcW w:w="516" w:type="dxa"/>
            <w:tcBorders>
              <w:top w:val="single" w:sz="4" w:space="0" w:color="auto"/>
            </w:tcBorders>
            <w:shd w:val="clear" w:color="auto" w:fill="auto"/>
          </w:tcPr>
          <w:p w14:paraId="2E6177D8"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.20</w:t>
            </w:r>
          </w:p>
        </w:tc>
        <w:tc>
          <w:tcPr>
            <w:tcW w:w="516" w:type="dxa"/>
            <w:tcBorders>
              <w:top w:val="single" w:sz="4" w:space="0" w:color="auto"/>
            </w:tcBorders>
            <w:shd w:val="clear" w:color="auto" w:fill="auto"/>
          </w:tcPr>
          <w:p w14:paraId="6C3F60B9"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.14</w:t>
            </w:r>
          </w:p>
        </w:tc>
        <w:tc>
          <w:tcPr>
            <w:tcW w:w="516" w:type="dxa"/>
            <w:tcBorders>
              <w:top w:val="single" w:sz="4" w:space="0" w:color="auto"/>
            </w:tcBorders>
            <w:shd w:val="clear" w:color="auto" w:fill="auto"/>
          </w:tcPr>
          <w:p w14:paraId="566E8F71"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.12</w:t>
            </w:r>
          </w:p>
        </w:tc>
      </w:tr>
      <w:tr w:rsidR="009B244D" w:rsidRPr="00F0393B" w14:paraId="2BE2D7D2" w14:textId="77777777" w:rsidTr="009B244D">
        <w:tc>
          <w:tcPr>
            <w:cnfStyle w:val="001000000000" w:firstRow="0" w:lastRow="0" w:firstColumn="1" w:lastColumn="0" w:oddVBand="0" w:evenVBand="0" w:oddHBand="0" w:evenHBand="0" w:firstRowFirstColumn="0" w:firstRowLastColumn="0" w:lastRowFirstColumn="0" w:lastRowLastColumn="0"/>
            <w:tcW w:w="2687" w:type="dxa"/>
            <w:shd w:val="clear" w:color="auto" w:fill="auto"/>
          </w:tcPr>
          <w:p w14:paraId="11B5419A" w14:textId="77777777" w:rsidR="009B244D" w:rsidRPr="00F0393B" w:rsidRDefault="00F4341B">
            <w:pPr>
              <w:pStyle w:val="ListParagraph1"/>
              <w:numPr>
                <w:ilvl w:val="0"/>
                <w:numId w:val="1"/>
              </w:numPr>
              <w:spacing w:line="480" w:lineRule="auto"/>
              <w:jc w:val="both"/>
              <w:rPr>
                <w:b w:val="0"/>
                <w:bCs w:val="0"/>
              </w:rPr>
            </w:pPr>
            <w:r w:rsidRPr="00F0393B">
              <w:rPr>
                <w:rFonts w:hint="eastAsia"/>
                <w:b w:val="0"/>
              </w:rPr>
              <w:t>CNI</w:t>
            </w:r>
          </w:p>
        </w:tc>
        <w:tc>
          <w:tcPr>
            <w:tcW w:w="1230" w:type="dxa"/>
            <w:shd w:val="clear" w:color="auto" w:fill="auto"/>
          </w:tcPr>
          <w:p w14:paraId="71A26B76"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.87</w:t>
            </w:r>
          </w:p>
        </w:tc>
        <w:tc>
          <w:tcPr>
            <w:tcW w:w="1509" w:type="dxa"/>
            <w:shd w:val="clear" w:color="auto" w:fill="auto"/>
          </w:tcPr>
          <w:p w14:paraId="7F0188BF"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4.59 (0.80)</w:t>
            </w:r>
          </w:p>
        </w:tc>
        <w:tc>
          <w:tcPr>
            <w:tcW w:w="516" w:type="dxa"/>
            <w:shd w:val="clear" w:color="auto" w:fill="auto"/>
          </w:tcPr>
          <w:p w14:paraId="78E80364"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77D704D7"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.57</w:t>
            </w:r>
          </w:p>
        </w:tc>
        <w:tc>
          <w:tcPr>
            <w:tcW w:w="516" w:type="dxa"/>
            <w:shd w:val="clear" w:color="auto" w:fill="auto"/>
          </w:tcPr>
          <w:p w14:paraId="0EE1B381"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.57</w:t>
            </w:r>
          </w:p>
        </w:tc>
        <w:tc>
          <w:tcPr>
            <w:tcW w:w="516" w:type="dxa"/>
            <w:shd w:val="clear" w:color="auto" w:fill="auto"/>
          </w:tcPr>
          <w:p w14:paraId="03B01809"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.29</w:t>
            </w:r>
          </w:p>
        </w:tc>
        <w:tc>
          <w:tcPr>
            <w:tcW w:w="516" w:type="dxa"/>
            <w:shd w:val="clear" w:color="auto" w:fill="auto"/>
          </w:tcPr>
          <w:p w14:paraId="1596BF47"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.32</w:t>
            </w:r>
          </w:p>
        </w:tc>
        <w:tc>
          <w:tcPr>
            <w:tcW w:w="516" w:type="dxa"/>
            <w:shd w:val="clear" w:color="auto" w:fill="auto"/>
          </w:tcPr>
          <w:p w14:paraId="5334CE80"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.26</w:t>
            </w:r>
          </w:p>
        </w:tc>
      </w:tr>
      <w:tr w:rsidR="009B244D" w:rsidRPr="00F0393B" w14:paraId="17F1D1FD" w14:textId="77777777" w:rsidTr="009B244D">
        <w:tc>
          <w:tcPr>
            <w:cnfStyle w:val="001000000000" w:firstRow="0" w:lastRow="0" w:firstColumn="1" w:lastColumn="0" w:oddVBand="0" w:evenVBand="0" w:oddHBand="0" w:evenHBand="0" w:firstRowFirstColumn="0" w:firstRowLastColumn="0" w:lastRowFirstColumn="0" w:lastRowLastColumn="0"/>
            <w:tcW w:w="2687" w:type="dxa"/>
            <w:shd w:val="clear" w:color="auto" w:fill="auto"/>
          </w:tcPr>
          <w:p w14:paraId="387E6C88" w14:textId="77777777" w:rsidR="009B244D" w:rsidRPr="00F0393B" w:rsidRDefault="00F4341B">
            <w:pPr>
              <w:pStyle w:val="ListParagraph1"/>
              <w:numPr>
                <w:ilvl w:val="0"/>
                <w:numId w:val="1"/>
              </w:numPr>
              <w:spacing w:line="480" w:lineRule="auto"/>
              <w:jc w:val="both"/>
              <w:rPr>
                <w:b w:val="0"/>
                <w:bCs w:val="0"/>
              </w:rPr>
            </w:pPr>
            <w:r w:rsidRPr="00F0393B">
              <w:rPr>
                <w:rFonts w:hint="eastAsia"/>
                <w:b w:val="0"/>
              </w:rPr>
              <w:t>NGS</w:t>
            </w:r>
          </w:p>
        </w:tc>
        <w:tc>
          <w:tcPr>
            <w:tcW w:w="1230" w:type="dxa"/>
            <w:shd w:val="clear" w:color="auto" w:fill="auto"/>
          </w:tcPr>
          <w:p w14:paraId="65165DB1"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.95</w:t>
            </w:r>
          </w:p>
        </w:tc>
        <w:tc>
          <w:tcPr>
            <w:tcW w:w="1509" w:type="dxa"/>
            <w:shd w:val="clear" w:color="auto" w:fill="auto"/>
          </w:tcPr>
          <w:p w14:paraId="261549A9"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4.16 (1.07)</w:t>
            </w:r>
          </w:p>
        </w:tc>
        <w:tc>
          <w:tcPr>
            <w:tcW w:w="516" w:type="dxa"/>
            <w:shd w:val="clear" w:color="auto" w:fill="auto"/>
          </w:tcPr>
          <w:p w14:paraId="19B7A3A0"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350CF2B0"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4CC7214E"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.60</w:t>
            </w:r>
          </w:p>
        </w:tc>
        <w:tc>
          <w:tcPr>
            <w:tcW w:w="516" w:type="dxa"/>
            <w:shd w:val="clear" w:color="auto" w:fill="auto"/>
          </w:tcPr>
          <w:p w14:paraId="0E557F3C"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.30</w:t>
            </w:r>
          </w:p>
        </w:tc>
        <w:tc>
          <w:tcPr>
            <w:tcW w:w="516" w:type="dxa"/>
            <w:shd w:val="clear" w:color="auto" w:fill="auto"/>
          </w:tcPr>
          <w:p w14:paraId="00FEE8BB"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.35</w:t>
            </w:r>
          </w:p>
        </w:tc>
        <w:tc>
          <w:tcPr>
            <w:tcW w:w="516" w:type="dxa"/>
            <w:shd w:val="clear" w:color="auto" w:fill="auto"/>
          </w:tcPr>
          <w:p w14:paraId="4E330FCC"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.24</w:t>
            </w:r>
          </w:p>
        </w:tc>
      </w:tr>
      <w:tr w:rsidR="009B244D" w:rsidRPr="00F0393B" w14:paraId="4EB6C462" w14:textId="77777777" w:rsidTr="009B244D">
        <w:tc>
          <w:tcPr>
            <w:cnfStyle w:val="001000000000" w:firstRow="0" w:lastRow="0" w:firstColumn="1" w:lastColumn="0" w:oddVBand="0" w:evenVBand="0" w:oddHBand="0" w:evenHBand="0" w:firstRowFirstColumn="0" w:firstRowLastColumn="0" w:lastRowFirstColumn="0" w:lastRowLastColumn="0"/>
            <w:tcW w:w="2687" w:type="dxa"/>
            <w:shd w:val="clear" w:color="auto" w:fill="auto"/>
          </w:tcPr>
          <w:p w14:paraId="3311A3CA" w14:textId="44D59746" w:rsidR="009B244D" w:rsidRPr="00F0393B" w:rsidRDefault="00F4341B">
            <w:pPr>
              <w:pStyle w:val="ListParagraph1"/>
              <w:numPr>
                <w:ilvl w:val="0"/>
                <w:numId w:val="1"/>
              </w:numPr>
              <w:spacing w:line="480" w:lineRule="auto"/>
              <w:jc w:val="both"/>
              <w:rPr>
                <w:b w:val="0"/>
                <w:bCs w:val="0"/>
              </w:rPr>
            </w:pPr>
            <w:r w:rsidRPr="00F0393B">
              <w:rPr>
                <w:rFonts w:hint="eastAsia"/>
                <w:b w:val="0"/>
              </w:rPr>
              <w:t>BTA</w:t>
            </w:r>
            <w:r w:rsidR="002F41EC">
              <w:rPr>
                <w:b w:val="0"/>
              </w:rPr>
              <w:t>T</w:t>
            </w:r>
          </w:p>
        </w:tc>
        <w:tc>
          <w:tcPr>
            <w:tcW w:w="1230" w:type="dxa"/>
            <w:shd w:val="clear" w:color="auto" w:fill="auto"/>
          </w:tcPr>
          <w:p w14:paraId="46C53DCC"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.85</w:t>
            </w:r>
          </w:p>
        </w:tc>
        <w:tc>
          <w:tcPr>
            <w:tcW w:w="1509" w:type="dxa"/>
            <w:shd w:val="clear" w:color="auto" w:fill="auto"/>
          </w:tcPr>
          <w:p w14:paraId="17E0848B"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4.35 (0.50)</w:t>
            </w:r>
          </w:p>
        </w:tc>
        <w:tc>
          <w:tcPr>
            <w:tcW w:w="516" w:type="dxa"/>
            <w:shd w:val="clear" w:color="auto" w:fill="auto"/>
          </w:tcPr>
          <w:p w14:paraId="1B497C46"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6D31509C"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17EE5FF1"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2EE3705A"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.35</w:t>
            </w:r>
          </w:p>
        </w:tc>
        <w:tc>
          <w:tcPr>
            <w:tcW w:w="516" w:type="dxa"/>
            <w:shd w:val="clear" w:color="auto" w:fill="auto"/>
          </w:tcPr>
          <w:p w14:paraId="6659F154"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.33</w:t>
            </w:r>
          </w:p>
        </w:tc>
        <w:tc>
          <w:tcPr>
            <w:tcW w:w="516" w:type="dxa"/>
            <w:shd w:val="clear" w:color="auto" w:fill="auto"/>
          </w:tcPr>
          <w:p w14:paraId="238C0C0B"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.25</w:t>
            </w:r>
          </w:p>
        </w:tc>
      </w:tr>
      <w:tr w:rsidR="009B244D" w:rsidRPr="00F0393B" w14:paraId="66A043DF" w14:textId="77777777" w:rsidTr="009B244D">
        <w:tc>
          <w:tcPr>
            <w:cnfStyle w:val="001000000000" w:firstRow="0" w:lastRow="0" w:firstColumn="1" w:lastColumn="0" w:oddVBand="0" w:evenVBand="0" w:oddHBand="0" w:evenHBand="0" w:firstRowFirstColumn="0" w:firstRowLastColumn="0" w:lastRowFirstColumn="0" w:lastRowLastColumn="0"/>
            <w:tcW w:w="2687" w:type="dxa"/>
            <w:shd w:val="clear" w:color="auto" w:fill="auto"/>
          </w:tcPr>
          <w:p w14:paraId="5498BAE4" w14:textId="77777777" w:rsidR="009B244D" w:rsidRPr="00F0393B" w:rsidRDefault="00F4341B">
            <w:pPr>
              <w:pStyle w:val="ListParagraph1"/>
              <w:numPr>
                <w:ilvl w:val="0"/>
                <w:numId w:val="1"/>
              </w:numPr>
              <w:spacing w:line="480" w:lineRule="auto"/>
              <w:jc w:val="both"/>
              <w:rPr>
                <w:b w:val="0"/>
                <w:bCs w:val="0"/>
              </w:rPr>
            </w:pPr>
            <w:r w:rsidRPr="00F0393B">
              <w:rPr>
                <w:rFonts w:hint="eastAsia"/>
                <w:b w:val="0"/>
              </w:rPr>
              <w:t>OCQ</w:t>
            </w:r>
          </w:p>
        </w:tc>
        <w:tc>
          <w:tcPr>
            <w:tcW w:w="1230" w:type="dxa"/>
            <w:shd w:val="clear" w:color="auto" w:fill="auto"/>
          </w:tcPr>
          <w:p w14:paraId="0246AE20"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.83</w:t>
            </w:r>
          </w:p>
        </w:tc>
        <w:tc>
          <w:tcPr>
            <w:tcW w:w="1509" w:type="dxa"/>
            <w:shd w:val="clear" w:color="auto" w:fill="auto"/>
          </w:tcPr>
          <w:p w14:paraId="6C92A750"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0.57 (0.14)</w:t>
            </w:r>
          </w:p>
        </w:tc>
        <w:tc>
          <w:tcPr>
            <w:tcW w:w="516" w:type="dxa"/>
            <w:shd w:val="clear" w:color="auto" w:fill="auto"/>
          </w:tcPr>
          <w:p w14:paraId="51298FEA"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4282EB7C"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3390C7F8"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5454395A"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3E291DBE"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.25</w:t>
            </w:r>
          </w:p>
        </w:tc>
        <w:tc>
          <w:tcPr>
            <w:tcW w:w="516" w:type="dxa"/>
            <w:shd w:val="clear" w:color="auto" w:fill="auto"/>
          </w:tcPr>
          <w:p w14:paraId="4A66D904"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.11</w:t>
            </w:r>
          </w:p>
        </w:tc>
      </w:tr>
      <w:tr w:rsidR="009B244D" w:rsidRPr="00F0393B" w14:paraId="19B29F3D" w14:textId="77777777" w:rsidTr="007C21E0">
        <w:trPr>
          <w:trHeight w:val="293"/>
        </w:trPr>
        <w:tc>
          <w:tcPr>
            <w:cnfStyle w:val="001000000000" w:firstRow="0" w:lastRow="0" w:firstColumn="1" w:lastColumn="0" w:oddVBand="0" w:evenVBand="0" w:oddHBand="0" w:evenHBand="0" w:firstRowFirstColumn="0" w:firstRowLastColumn="0" w:lastRowFirstColumn="0" w:lastRowLastColumn="0"/>
            <w:tcW w:w="2687" w:type="dxa"/>
            <w:shd w:val="clear" w:color="auto" w:fill="auto"/>
          </w:tcPr>
          <w:p w14:paraId="2D589E8D" w14:textId="23586165" w:rsidR="009B244D" w:rsidRPr="00F0393B" w:rsidRDefault="003D17E7">
            <w:pPr>
              <w:pStyle w:val="ListParagraph1"/>
              <w:numPr>
                <w:ilvl w:val="0"/>
                <w:numId w:val="1"/>
              </w:numPr>
              <w:spacing w:line="480" w:lineRule="auto"/>
              <w:jc w:val="both"/>
              <w:rPr>
                <w:b w:val="0"/>
                <w:bCs w:val="0"/>
              </w:rPr>
            </w:pPr>
            <w:r>
              <w:rPr>
                <w:b w:val="0"/>
              </w:rPr>
              <w:t>SW</w:t>
            </w:r>
            <w:r w:rsidR="00F4341B" w:rsidRPr="00F0393B">
              <w:rPr>
                <w:rFonts w:hint="eastAsia"/>
                <w:b w:val="0"/>
              </w:rPr>
              <w:t>L</w:t>
            </w:r>
            <w:r w:rsidR="00F4341B" w:rsidRPr="00F0393B">
              <w:rPr>
                <w:b w:val="0"/>
              </w:rPr>
              <w:t>S</w:t>
            </w:r>
          </w:p>
        </w:tc>
        <w:tc>
          <w:tcPr>
            <w:tcW w:w="1230" w:type="dxa"/>
            <w:shd w:val="clear" w:color="auto" w:fill="auto"/>
          </w:tcPr>
          <w:p w14:paraId="3BC74736"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.80</w:t>
            </w:r>
          </w:p>
        </w:tc>
        <w:tc>
          <w:tcPr>
            <w:tcW w:w="1509" w:type="dxa"/>
            <w:shd w:val="clear" w:color="auto" w:fill="auto"/>
          </w:tcPr>
          <w:p w14:paraId="6703C11A"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4.41 (1.19)</w:t>
            </w:r>
          </w:p>
        </w:tc>
        <w:tc>
          <w:tcPr>
            <w:tcW w:w="516" w:type="dxa"/>
            <w:shd w:val="clear" w:color="auto" w:fill="auto"/>
          </w:tcPr>
          <w:p w14:paraId="1613DE29"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133E8AF6"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6165BE75"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17486619"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4F818D85"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shd w:val="clear" w:color="auto" w:fill="auto"/>
          </w:tcPr>
          <w:p w14:paraId="381F0940"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.49</w:t>
            </w:r>
          </w:p>
        </w:tc>
      </w:tr>
      <w:tr w:rsidR="009B244D" w:rsidRPr="00F0393B" w14:paraId="6442C478" w14:textId="77777777" w:rsidTr="007C21E0">
        <w:tc>
          <w:tcPr>
            <w:cnfStyle w:val="001000000000" w:firstRow="0" w:lastRow="0" w:firstColumn="1" w:lastColumn="0" w:oddVBand="0" w:evenVBand="0" w:oddHBand="0" w:evenHBand="0" w:firstRowFirstColumn="0" w:firstRowLastColumn="0" w:lastRowFirstColumn="0" w:lastRowLastColumn="0"/>
            <w:tcW w:w="2687" w:type="dxa"/>
            <w:tcBorders>
              <w:bottom w:val="single" w:sz="4" w:space="0" w:color="auto"/>
            </w:tcBorders>
            <w:shd w:val="clear" w:color="auto" w:fill="auto"/>
          </w:tcPr>
          <w:p w14:paraId="7493A978" w14:textId="285713AA" w:rsidR="009B244D" w:rsidRPr="00F0393B" w:rsidRDefault="00F4341B">
            <w:pPr>
              <w:pStyle w:val="ListParagraph1"/>
              <w:numPr>
                <w:ilvl w:val="0"/>
                <w:numId w:val="1"/>
              </w:numPr>
              <w:spacing w:line="480" w:lineRule="auto"/>
              <w:jc w:val="both"/>
              <w:rPr>
                <w:b w:val="0"/>
                <w:bCs w:val="0"/>
              </w:rPr>
            </w:pPr>
            <w:r w:rsidRPr="00F0393B">
              <w:rPr>
                <w:rFonts w:hint="eastAsia"/>
                <w:b w:val="0"/>
              </w:rPr>
              <w:t>A</w:t>
            </w:r>
            <w:r w:rsidRPr="00F0393B">
              <w:rPr>
                <w:b w:val="0"/>
              </w:rPr>
              <w:t>WB</w:t>
            </w:r>
            <w:r w:rsidR="002F41EC">
              <w:rPr>
                <w:b w:val="0"/>
              </w:rPr>
              <w:t>S</w:t>
            </w:r>
          </w:p>
        </w:tc>
        <w:tc>
          <w:tcPr>
            <w:tcW w:w="1230" w:type="dxa"/>
            <w:tcBorders>
              <w:bottom w:val="single" w:sz="4" w:space="0" w:color="auto"/>
            </w:tcBorders>
            <w:shd w:val="clear" w:color="auto" w:fill="auto"/>
          </w:tcPr>
          <w:p w14:paraId="5FD95747"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.83</w:t>
            </w:r>
          </w:p>
        </w:tc>
        <w:tc>
          <w:tcPr>
            <w:tcW w:w="1509" w:type="dxa"/>
            <w:tcBorders>
              <w:bottom w:val="single" w:sz="4" w:space="0" w:color="auto"/>
            </w:tcBorders>
            <w:shd w:val="clear" w:color="auto" w:fill="auto"/>
          </w:tcPr>
          <w:p w14:paraId="2FF63435" w14:textId="77777777" w:rsidR="009B244D" w:rsidRPr="00F0393B" w:rsidRDefault="00F4341B">
            <w:pPr>
              <w:spacing w:line="480" w:lineRule="auto"/>
              <w:jc w:val="center"/>
              <w:cnfStyle w:val="000000000000" w:firstRow="0" w:lastRow="0" w:firstColumn="0" w:lastColumn="0" w:oddVBand="0" w:evenVBand="0" w:oddHBand="0" w:evenHBand="0" w:firstRowFirstColumn="0" w:firstRowLastColumn="0" w:lastRowFirstColumn="0" w:lastRowLastColumn="0"/>
            </w:pPr>
            <w:r w:rsidRPr="00F0393B">
              <w:rPr>
                <w:rFonts w:hint="eastAsia"/>
              </w:rPr>
              <w:t>4.96 (0.89)</w:t>
            </w:r>
          </w:p>
        </w:tc>
        <w:tc>
          <w:tcPr>
            <w:tcW w:w="516" w:type="dxa"/>
            <w:tcBorders>
              <w:bottom w:val="single" w:sz="4" w:space="0" w:color="auto"/>
            </w:tcBorders>
            <w:shd w:val="clear" w:color="auto" w:fill="auto"/>
          </w:tcPr>
          <w:p w14:paraId="133DA0EF"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tcBorders>
              <w:bottom w:val="single" w:sz="4" w:space="0" w:color="auto"/>
            </w:tcBorders>
            <w:shd w:val="clear" w:color="auto" w:fill="auto"/>
          </w:tcPr>
          <w:p w14:paraId="3E53B5D5"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tcBorders>
              <w:bottom w:val="single" w:sz="4" w:space="0" w:color="auto"/>
            </w:tcBorders>
            <w:shd w:val="clear" w:color="auto" w:fill="auto"/>
          </w:tcPr>
          <w:p w14:paraId="2C739162"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tcBorders>
              <w:bottom w:val="single" w:sz="4" w:space="0" w:color="auto"/>
            </w:tcBorders>
            <w:shd w:val="clear" w:color="auto" w:fill="auto"/>
          </w:tcPr>
          <w:p w14:paraId="689D30BE"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tcBorders>
              <w:bottom w:val="single" w:sz="4" w:space="0" w:color="auto"/>
            </w:tcBorders>
            <w:shd w:val="clear" w:color="auto" w:fill="auto"/>
          </w:tcPr>
          <w:p w14:paraId="7163E88C"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516" w:type="dxa"/>
            <w:tcBorders>
              <w:bottom w:val="single" w:sz="4" w:space="0" w:color="auto"/>
            </w:tcBorders>
            <w:shd w:val="clear" w:color="auto" w:fill="auto"/>
          </w:tcPr>
          <w:p w14:paraId="20DD48E9" w14:textId="77777777" w:rsidR="009B244D" w:rsidRPr="00F0393B" w:rsidRDefault="009B244D">
            <w:pPr>
              <w:spacing w:line="480" w:lineRule="auto"/>
              <w:jc w:val="center"/>
              <w:cnfStyle w:val="000000000000" w:firstRow="0" w:lastRow="0" w:firstColumn="0" w:lastColumn="0" w:oddVBand="0" w:evenVBand="0" w:oddHBand="0" w:evenHBand="0" w:firstRowFirstColumn="0" w:firstRowLastColumn="0" w:lastRowFirstColumn="0" w:lastRowLastColumn="0"/>
            </w:pPr>
          </w:p>
        </w:tc>
      </w:tr>
    </w:tbl>
    <w:p w14:paraId="707827C7" w14:textId="71323296" w:rsidR="009B244D" w:rsidRDefault="00F4341B">
      <w:pPr>
        <w:spacing w:after="120" w:line="480" w:lineRule="auto"/>
        <w:rPr>
          <w:sz w:val="21"/>
          <w:szCs w:val="21"/>
        </w:rPr>
      </w:pPr>
      <w:r>
        <w:rPr>
          <w:i/>
          <w:iCs/>
          <w:sz w:val="21"/>
          <w:szCs w:val="21"/>
        </w:rPr>
        <w:t>Note.</w:t>
      </w:r>
      <w:r>
        <w:rPr>
          <w:sz w:val="21"/>
          <w:szCs w:val="21"/>
        </w:rPr>
        <w:t xml:space="preserve"> NPI: Narcissistic Personality Inventory; CNI: Communal Narcissism Inventory; NGS: Narcissistic Grandiosity Scale; BTA</w:t>
      </w:r>
      <w:r w:rsidR="002F41EC">
        <w:rPr>
          <w:sz w:val="21"/>
          <w:szCs w:val="21"/>
        </w:rPr>
        <w:t>T</w:t>
      </w:r>
      <w:r>
        <w:rPr>
          <w:sz w:val="21"/>
          <w:szCs w:val="21"/>
        </w:rPr>
        <w:t>: Better-</w:t>
      </w:r>
      <w:r w:rsidR="003D17E7">
        <w:rPr>
          <w:sz w:val="21"/>
          <w:szCs w:val="21"/>
        </w:rPr>
        <w:t>T</w:t>
      </w:r>
      <w:r>
        <w:rPr>
          <w:sz w:val="21"/>
          <w:szCs w:val="21"/>
        </w:rPr>
        <w:t>han-</w:t>
      </w:r>
      <w:r w:rsidR="003D17E7">
        <w:rPr>
          <w:sz w:val="21"/>
          <w:szCs w:val="21"/>
        </w:rPr>
        <w:t>A</w:t>
      </w:r>
      <w:r>
        <w:rPr>
          <w:sz w:val="21"/>
          <w:szCs w:val="21"/>
        </w:rPr>
        <w:t xml:space="preserve">verage </w:t>
      </w:r>
      <w:r w:rsidR="002F41EC">
        <w:rPr>
          <w:sz w:val="21"/>
          <w:szCs w:val="21"/>
        </w:rPr>
        <w:t>Task</w:t>
      </w:r>
      <w:r>
        <w:rPr>
          <w:sz w:val="21"/>
          <w:szCs w:val="21"/>
        </w:rPr>
        <w:t xml:space="preserve">; OCQ: Over-Claiming Questionnaire; </w:t>
      </w:r>
      <w:r w:rsidR="003D17E7">
        <w:rPr>
          <w:sz w:val="21"/>
          <w:szCs w:val="21"/>
        </w:rPr>
        <w:t>SW</w:t>
      </w:r>
      <w:r>
        <w:rPr>
          <w:sz w:val="21"/>
          <w:szCs w:val="21"/>
        </w:rPr>
        <w:t>LS: Satisfaction with Life Scale; AWB</w:t>
      </w:r>
      <w:r w:rsidR="002F41EC">
        <w:rPr>
          <w:sz w:val="21"/>
          <w:szCs w:val="21"/>
        </w:rPr>
        <w:t>S</w:t>
      </w:r>
      <w:r>
        <w:rPr>
          <w:sz w:val="21"/>
          <w:szCs w:val="21"/>
        </w:rPr>
        <w:t xml:space="preserve">: </w:t>
      </w:r>
      <w:r w:rsidR="002F41EC">
        <w:rPr>
          <w:sz w:val="21"/>
          <w:szCs w:val="21"/>
        </w:rPr>
        <w:t>A</w:t>
      </w:r>
      <w:r>
        <w:rPr>
          <w:sz w:val="21"/>
          <w:szCs w:val="21"/>
        </w:rPr>
        <w:t xml:space="preserve">ffective </w:t>
      </w:r>
      <w:r w:rsidR="002F41EC">
        <w:rPr>
          <w:sz w:val="21"/>
          <w:szCs w:val="21"/>
        </w:rPr>
        <w:t>W</w:t>
      </w:r>
      <w:r>
        <w:rPr>
          <w:sz w:val="21"/>
          <w:szCs w:val="21"/>
        </w:rPr>
        <w:t>ell-</w:t>
      </w:r>
      <w:r w:rsidR="002F41EC">
        <w:rPr>
          <w:sz w:val="21"/>
          <w:szCs w:val="21"/>
        </w:rPr>
        <w:t>B</w:t>
      </w:r>
      <w:r>
        <w:rPr>
          <w:sz w:val="21"/>
          <w:szCs w:val="21"/>
        </w:rPr>
        <w:t xml:space="preserve">eing </w:t>
      </w:r>
      <w:r w:rsidR="002F41EC">
        <w:rPr>
          <w:sz w:val="21"/>
          <w:szCs w:val="21"/>
        </w:rPr>
        <w:t>Scale</w:t>
      </w:r>
      <w:r>
        <w:rPr>
          <w:sz w:val="21"/>
          <w:szCs w:val="21"/>
        </w:rPr>
        <w:t xml:space="preserve">. </w:t>
      </w:r>
      <w:r w:rsidR="008D032A">
        <w:rPr>
          <w:sz w:val="21"/>
          <w:szCs w:val="21"/>
        </w:rPr>
        <w:t>We obtained t</w:t>
      </w:r>
      <w:r>
        <w:rPr>
          <w:sz w:val="21"/>
          <w:szCs w:val="21"/>
        </w:rPr>
        <w:t xml:space="preserve">he mean value of each measure from the participants’ average scores, except for the NPI which </w:t>
      </w:r>
      <w:r w:rsidR="008D032A">
        <w:rPr>
          <w:sz w:val="21"/>
          <w:szCs w:val="21"/>
        </w:rPr>
        <w:t xml:space="preserve">we </w:t>
      </w:r>
      <w:r w:rsidR="00CD12C8">
        <w:rPr>
          <w:sz w:val="21"/>
          <w:szCs w:val="21"/>
        </w:rPr>
        <w:t xml:space="preserve">obtained </w:t>
      </w:r>
      <w:r>
        <w:rPr>
          <w:sz w:val="21"/>
          <w:szCs w:val="21"/>
        </w:rPr>
        <w:t xml:space="preserve">from sum scores. </w:t>
      </w:r>
      <w:r w:rsidR="008D032A">
        <w:rPr>
          <w:sz w:val="21"/>
          <w:szCs w:val="21"/>
        </w:rPr>
        <w:t>We assessed r</w:t>
      </w:r>
      <w:r>
        <w:rPr>
          <w:sz w:val="21"/>
          <w:szCs w:val="21"/>
        </w:rPr>
        <w:t xml:space="preserve">eliability </w:t>
      </w:r>
      <w:r w:rsidR="00CD12C8">
        <w:rPr>
          <w:sz w:val="21"/>
          <w:szCs w:val="21"/>
        </w:rPr>
        <w:t xml:space="preserve">via </w:t>
      </w:r>
      <w:r>
        <w:rPr>
          <w:sz w:val="21"/>
          <w:szCs w:val="21"/>
        </w:rPr>
        <w:t>Cronbach’s alpha. All correlations are significant at the .01 level (2-tailed).</w:t>
      </w:r>
      <w:r w:rsidR="00BE1364">
        <w:rPr>
          <w:sz w:val="21"/>
          <w:szCs w:val="21"/>
        </w:rPr>
        <w:t xml:space="preserve"> </w:t>
      </w:r>
    </w:p>
    <w:p w14:paraId="4C9AE49E" w14:textId="77C21AAF" w:rsidR="009B244D" w:rsidRDefault="00F4341B">
      <w:pPr>
        <w:spacing w:line="480" w:lineRule="exact"/>
        <w:ind w:firstLine="482"/>
      </w:pPr>
      <w:r>
        <w:t>Given that</w:t>
      </w:r>
      <w:r>
        <w:rPr>
          <w:rFonts w:hint="eastAsia"/>
        </w:rPr>
        <w:t xml:space="preserve"> t</w:t>
      </w:r>
      <w:r>
        <w:t>wins are perfectly correlated for age, same-sex twins are perfectly correlated for sex,</w:t>
      </w:r>
      <w:r>
        <w:rPr>
          <w:rFonts w:hint="eastAsia"/>
        </w:rPr>
        <w:t xml:space="preserve"> and </w:t>
      </w:r>
      <w:r>
        <w:t>variation</w:t>
      </w:r>
      <w:r w:rsidR="00263DB4">
        <w:t>s</w:t>
      </w:r>
      <w:r>
        <w:t xml:space="preserve"> associated with age </w:t>
      </w:r>
      <w:r w:rsidR="00263DB4">
        <w:t>and/</w:t>
      </w:r>
      <w:r>
        <w:t xml:space="preserve">or sex would inflate the </w:t>
      </w:r>
      <w:r>
        <w:lastRenderedPageBreak/>
        <w:t>correlation between twins</w:t>
      </w:r>
      <w:r>
        <w:rPr>
          <w:rFonts w:hint="eastAsia"/>
        </w:rPr>
        <w:t>, w</w:t>
      </w:r>
      <w:r>
        <w:t xml:space="preserve">e </w:t>
      </w:r>
      <w:r w:rsidR="00760575">
        <w:t>(1)</w:t>
      </w:r>
      <w:r w:rsidR="00354B01">
        <w:t xml:space="preserve"> </w:t>
      </w:r>
      <w:r>
        <w:t>regress</w:t>
      </w:r>
      <w:r>
        <w:rPr>
          <w:rFonts w:hint="eastAsia"/>
        </w:rPr>
        <w:t>ed</w:t>
      </w:r>
      <w:r>
        <w:t xml:space="preserve"> </w:t>
      </w:r>
      <w:r>
        <w:rPr>
          <w:rFonts w:hint="eastAsia"/>
        </w:rPr>
        <w:t>each measure on</w:t>
      </w:r>
      <w:r>
        <w:t>to age</w:t>
      </w:r>
      <w:r w:rsidR="00AE684E">
        <w:t>,</w:t>
      </w:r>
      <w:r>
        <w:t xml:space="preserve"> </w:t>
      </w:r>
      <w:r>
        <w:rPr>
          <w:rFonts w:hint="eastAsia"/>
        </w:rPr>
        <w:t>sex</w:t>
      </w:r>
      <w:r w:rsidR="00AE684E">
        <w:t>, age</w:t>
      </w:r>
      <w:r w:rsidR="00263DB4" w:rsidRPr="007025FE">
        <w:rPr>
          <w:vertAlign w:val="superscript"/>
        </w:rPr>
        <w:t>2</w:t>
      </w:r>
      <w:r>
        <w:rPr>
          <w:rFonts w:hint="eastAsia"/>
        </w:rPr>
        <w:t>,</w:t>
      </w:r>
      <w:r w:rsidR="00263DB4">
        <w:t xml:space="preserve"> and age </w:t>
      </w:r>
      <w:r w:rsidR="00263DB4">
        <w:sym w:font="Symbol" w:char="F0B4"/>
      </w:r>
      <w:r w:rsidR="00263DB4">
        <w:t xml:space="preserve"> sex</w:t>
      </w:r>
      <w:r w:rsidR="00354B01">
        <w:t>,</w:t>
      </w:r>
      <w:r>
        <w:rPr>
          <w:rFonts w:hint="eastAsia"/>
        </w:rPr>
        <w:t xml:space="preserve"> respectively, and </w:t>
      </w:r>
      <w:r w:rsidR="00354B01">
        <w:t>(</w:t>
      </w:r>
      <w:r w:rsidR="00760575">
        <w:t>2</w:t>
      </w:r>
      <w:r w:rsidR="00354B01">
        <w:t xml:space="preserve">) </w:t>
      </w:r>
      <w:r>
        <w:rPr>
          <w:rFonts w:hint="eastAsia"/>
        </w:rPr>
        <w:t>saved s</w:t>
      </w:r>
      <w:r>
        <w:t>tandardized residuals for genetic analyses</w:t>
      </w:r>
      <w:r w:rsidR="00263DB4">
        <w:t xml:space="preserve"> (McGue &amp; Bouchard, 1984)</w:t>
      </w:r>
      <w:r>
        <w:t>. In</w:t>
      </w:r>
      <w:r>
        <w:rPr>
          <w:rFonts w:hint="eastAsia"/>
        </w:rPr>
        <w:t xml:space="preserve"> Table 2</w:t>
      </w:r>
      <w:r>
        <w:t>, we</w:t>
      </w:r>
      <w:r>
        <w:rPr>
          <w:rFonts w:hint="eastAsia"/>
        </w:rPr>
        <w:t xml:space="preserve"> present the intraclass correlations for all seven measures. MZ twins resembled each other more than DZ twins did on every </w:t>
      </w:r>
      <w:r>
        <w:t xml:space="preserve">self-enhancement </w:t>
      </w:r>
      <w:r>
        <w:rPr>
          <w:rFonts w:hint="eastAsia"/>
        </w:rPr>
        <w:t xml:space="preserve">or wellbeing </w:t>
      </w:r>
      <w:r>
        <w:t>measure</w:t>
      </w:r>
      <w:r>
        <w:rPr>
          <w:rFonts w:hint="eastAsia"/>
        </w:rPr>
        <w:t>, suggesting that these indicators were all heritable.</w:t>
      </w:r>
    </w:p>
    <w:p w14:paraId="78495033" w14:textId="77777777" w:rsidR="00354B01" w:rsidRDefault="00354B01">
      <w:pPr>
        <w:spacing w:line="480" w:lineRule="exact"/>
        <w:ind w:firstLine="482"/>
      </w:pPr>
    </w:p>
    <w:p w14:paraId="6D416DD1" w14:textId="6D359A6B" w:rsidR="008F2370" w:rsidRDefault="008F2370">
      <w:pPr>
        <w:adjustRightInd w:val="0"/>
        <w:snapToGrid w:val="0"/>
        <w:spacing w:before="120" w:line="480" w:lineRule="auto"/>
        <w:outlineLvl w:val="0"/>
        <w:rPr>
          <w:color w:val="0000FF"/>
        </w:rPr>
      </w:pPr>
      <w:r>
        <w:rPr>
          <w:b/>
        </w:rPr>
        <w:t>Table 2</w:t>
      </w:r>
      <w:r>
        <w:rPr>
          <w:rFonts w:hint="eastAsia"/>
        </w:rPr>
        <w:t xml:space="preserve"> Twin </w:t>
      </w:r>
      <w:r w:rsidR="00D5194A">
        <w:t>I</w:t>
      </w:r>
      <w:r>
        <w:rPr>
          <w:rFonts w:hint="eastAsia"/>
        </w:rPr>
        <w:t xml:space="preserve">ntraclass </w:t>
      </w:r>
      <w:r w:rsidR="00D5194A">
        <w:t>C</w:t>
      </w:r>
      <w:r>
        <w:rPr>
          <w:rFonts w:hint="eastAsia"/>
        </w:rPr>
        <w:t xml:space="preserve">orrelations (ICC) for all </w:t>
      </w:r>
      <w:r w:rsidR="00D5194A">
        <w:t>M</w:t>
      </w:r>
      <w:r>
        <w:rPr>
          <w:rFonts w:hint="eastAsia"/>
        </w:rPr>
        <w:t>easures</w:t>
      </w:r>
    </w:p>
    <w:tbl>
      <w:tblPr>
        <w:tblStyle w:val="PlainTable41"/>
        <w:tblW w:w="0" w:type="auto"/>
        <w:jc w:val="center"/>
        <w:tblLook w:val="04A0" w:firstRow="1" w:lastRow="0" w:firstColumn="1" w:lastColumn="0" w:noHBand="0" w:noVBand="1"/>
      </w:tblPr>
      <w:tblGrid>
        <w:gridCol w:w="1270"/>
        <w:gridCol w:w="1456"/>
        <w:gridCol w:w="630"/>
        <w:gridCol w:w="1456"/>
        <w:gridCol w:w="603"/>
      </w:tblGrid>
      <w:tr w:rsidR="008F2370" w14:paraId="6A1ABC91" w14:textId="77777777" w:rsidTr="005632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021EE4C3" w14:textId="77777777" w:rsidR="008F2370" w:rsidRDefault="008F2370" w:rsidP="0056323D">
            <w:pPr>
              <w:spacing w:line="480" w:lineRule="auto"/>
              <w:rPr>
                <w:bCs w:val="0"/>
              </w:rPr>
            </w:pPr>
            <w:r>
              <w:rPr>
                <w:rFonts w:hint="eastAsia"/>
                <w:b w:val="0"/>
              </w:rPr>
              <w:t>Measure</w:t>
            </w:r>
          </w:p>
        </w:tc>
        <w:tc>
          <w:tcPr>
            <w:tcW w:w="0" w:type="auto"/>
            <w:tcBorders>
              <w:top w:val="single" w:sz="4" w:space="0" w:color="auto"/>
              <w:bottom w:val="single" w:sz="4" w:space="0" w:color="auto"/>
            </w:tcBorders>
            <w:shd w:val="clear" w:color="auto" w:fill="auto"/>
            <w:vAlign w:val="center"/>
          </w:tcPr>
          <w:p w14:paraId="763ACDCD" w14:textId="77777777" w:rsidR="008F2370" w:rsidRDefault="008F2370" w:rsidP="0041186D">
            <w:pPr>
              <w:spacing w:line="480" w:lineRule="auto"/>
              <w:jc w:val="center"/>
              <w:cnfStyle w:val="100000000000" w:firstRow="1" w:lastRow="0" w:firstColumn="0" w:lastColumn="0" w:oddVBand="0" w:evenVBand="0" w:oddHBand="0" w:evenHBand="0" w:firstRowFirstColumn="0" w:firstRowLastColumn="0" w:lastRowFirstColumn="0" w:lastRowLastColumn="0"/>
              <w:rPr>
                <w:bCs w:val="0"/>
              </w:rPr>
            </w:pPr>
            <w:r>
              <w:rPr>
                <w:rFonts w:hint="eastAsia"/>
                <w:b w:val="0"/>
              </w:rPr>
              <w:t>ICC</w:t>
            </w:r>
            <w:r>
              <w:rPr>
                <w:rFonts w:hint="eastAsia"/>
                <w:b w:val="0"/>
                <w:vertAlign w:val="subscript"/>
              </w:rPr>
              <w:t>MZ</w:t>
            </w:r>
          </w:p>
        </w:tc>
        <w:tc>
          <w:tcPr>
            <w:tcW w:w="0" w:type="auto"/>
            <w:tcBorders>
              <w:top w:val="single" w:sz="4" w:space="0" w:color="auto"/>
              <w:bottom w:val="single" w:sz="4" w:space="0" w:color="auto"/>
            </w:tcBorders>
            <w:shd w:val="clear" w:color="auto" w:fill="auto"/>
            <w:vAlign w:val="center"/>
          </w:tcPr>
          <w:p w14:paraId="48F61DD2" w14:textId="77777777" w:rsidR="008F2370" w:rsidRDefault="008F2370">
            <w:pPr>
              <w:spacing w:line="480" w:lineRule="auto"/>
              <w:jc w:val="center"/>
              <w:cnfStyle w:val="100000000000" w:firstRow="1" w:lastRow="0" w:firstColumn="0" w:lastColumn="0" w:oddVBand="0" w:evenVBand="0" w:oddHBand="0" w:evenHBand="0" w:firstRowFirstColumn="0" w:firstRowLastColumn="0" w:lastRowFirstColumn="0" w:lastRowLastColumn="0"/>
              <w:rPr>
                <w:bCs w:val="0"/>
              </w:rPr>
            </w:pPr>
            <w:r>
              <w:rPr>
                <w:rFonts w:hint="eastAsia"/>
                <w:b w:val="0"/>
              </w:rPr>
              <w:t>N</w:t>
            </w:r>
            <w:r>
              <w:rPr>
                <w:rFonts w:hint="eastAsia"/>
                <w:b w:val="0"/>
                <w:vertAlign w:val="subscript"/>
              </w:rPr>
              <w:t>MZ</w:t>
            </w:r>
          </w:p>
        </w:tc>
        <w:tc>
          <w:tcPr>
            <w:tcW w:w="0" w:type="auto"/>
            <w:tcBorders>
              <w:top w:val="single" w:sz="4" w:space="0" w:color="auto"/>
              <w:bottom w:val="single" w:sz="4" w:space="0" w:color="auto"/>
            </w:tcBorders>
            <w:shd w:val="clear" w:color="auto" w:fill="auto"/>
            <w:vAlign w:val="center"/>
          </w:tcPr>
          <w:p w14:paraId="24E2E4DF" w14:textId="77777777" w:rsidR="008F2370" w:rsidRDefault="008F2370">
            <w:pPr>
              <w:spacing w:line="480" w:lineRule="auto"/>
              <w:jc w:val="center"/>
              <w:cnfStyle w:val="100000000000" w:firstRow="1" w:lastRow="0" w:firstColumn="0" w:lastColumn="0" w:oddVBand="0" w:evenVBand="0" w:oddHBand="0" w:evenHBand="0" w:firstRowFirstColumn="0" w:firstRowLastColumn="0" w:lastRowFirstColumn="0" w:lastRowLastColumn="0"/>
              <w:rPr>
                <w:bCs w:val="0"/>
              </w:rPr>
            </w:pPr>
            <w:r>
              <w:rPr>
                <w:rFonts w:hint="eastAsia"/>
                <w:b w:val="0"/>
              </w:rPr>
              <w:t>ICC</w:t>
            </w:r>
            <w:r>
              <w:rPr>
                <w:rFonts w:hint="eastAsia"/>
                <w:b w:val="0"/>
                <w:vertAlign w:val="subscript"/>
              </w:rPr>
              <w:t>DZ</w:t>
            </w:r>
          </w:p>
        </w:tc>
        <w:tc>
          <w:tcPr>
            <w:tcW w:w="0" w:type="auto"/>
            <w:tcBorders>
              <w:top w:val="single" w:sz="4" w:space="0" w:color="auto"/>
              <w:bottom w:val="single" w:sz="4" w:space="0" w:color="auto"/>
            </w:tcBorders>
            <w:shd w:val="clear" w:color="auto" w:fill="auto"/>
            <w:vAlign w:val="center"/>
          </w:tcPr>
          <w:p w14:paraId="2F7301D9" w14:textId="77777777" w:rsidR="008F2370" w:rsidRDefault="008F2370">
            <w:pPr>
              <w:spacing w:line="480" w:lineRule="auto"/>
              <w:jc w:val="center"/>
              <w:cnfStyle w:val="100000000000" w:firstRow="1" w:lastRow="0" w:firstColumn="0" w:lastColumn="0" w:oddVBand="0" w:evenVBand="0" w:oddHBand="0" w:evenHBand="0" w:firstRowFirstColumn="0" w:firstRowLastColumn="0" w:lastRowFirstColumn="0" w:lastRowLastColumn="0"/>
              <w:rPr>
                <w:bCs w:val="0"/>
              </w:rPr>
            </w:pPr>
            <w:r>
              <w:rPr>
                <w:rFonts w:hint="eastAsia"/>
                <w:b w:val="0"/>
              </w:rPr>
              <w:t>N</w:t>
            </w:r>
            <w:r>
              <w:rPr>
                <w:rFonts w:hint="eastAsia"/>
                <w:b w:val="0"/>
                <w:vertAlign w:val="subscript"/>
              </w:rPr>
              <w:t>DZ</w:t>
            </w:r>
          </w:p>
        </w:tc>
      </w:tr>
      <w:tr w:rsidR="008F2370" w14:paraId="16401DE6"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EC1059B" w14:textId="77777777" w:rsidR="008F2370" w:rsidRDefault="008F2370" w:rsidP="0041186D">
            <w:pPr>
              <w:spacing w:line="480" w:lineRule="auto"/>
              <w:ind w:left="360"/>
              <w:rPr>
                <w:bCs w:val="0"/>
              </w:rPr>
            </w:pPr>
            <w:r>
              <w:rPr>
                <w:rFonts w:hint="eastAsia"/>
                <w:b w:val="0"/>
              </w:rPr>
              <w:t>NPI</w:t>
            </w:r>
          </w:p>
        </w:tc>
        <w:tc>
          <w:tcPr>
            <w:tcW w:w="0" w:type="auto"/>
            <w:shd w:val="clear" w:color="auto" w:fill="auto"/>
            <w:vAlign w:val="center"/>
          </w:tcPr>
          <w:p w14:paraId="6E00D99B"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.6</w:t>
            </w:r>
            <w:r>
              <w:t>5</w:t>
            </w:r>
            <w:r>
              <w:rPr>
                <w:rFonts w:hint="eastAsia"/>
              </w:rPr>
              <w:t xml:space="preserve"> [.5</w:t>
            </w:r>
            <w:r>
              <w:t>2</w:t>
            </w:r>
            <w:r>
              <w:rPr>
                <w:rFonts w:hint="eastAsia"/>
              </w:rPr>
              <w:t>, .75]</w:t>
            </w:r>
          </w:p>
        </w:tc>
        <w:tc>
          <w:tcPr>
            <w:tcW w:w="0" w:type="auto"/>
            <w:shd w:val="clear" w:color="auto" w:fill="auto"/>
            <w:vAlign w:val="center"/>
          </w:tcPr>
          <w:p w14:paraId="31A90865"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152</w:t>
            </w:r>
          </w:p>
        </w:tc>
        <w:tc>
          <w:tcPr>
            <w:tcW w:w="0" w:type="auto"/>
            <w:shd w:val="clear" w:color="auto" w:fill="auto"/>
            <w:vAlign w:val="center"/>
          </w:tcPr>
          <w:p w14:paraId="3CB3D28C"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.3</w:t>
            </w:r>
            <w:r>
              <w:t>3</w:t>
            </w:r>
            <w:r>
              <w:rPr>
                <w:rFonts w:hint="eastAsia"/>
              </w:rPr>
              <w:t xml:space="preserve"> [.</w:t>
            </w:r>
            <w:r>
              <w:t>07</w:t>
            </w:r>
            <w:r>
              <w:rPr>
                <w:rFonts w:hint="eastAsia"/>
              </w:rPr>
              <w:t>, .5</w:t>
            </w:r>
            <w:r>
              <w:t>1</w:t>
            </w:r>
            <w:r>
              <w:rPr>
                <w:rFonts w:hint="eastAsia"/>
              </w:rPr>
              <w:t>]</w:t>
            </w:r>
          </w:p>
        </w:tc>
        <w:tc>
          <w:tcPr>
            <w:tcW w:w="0" w:type="auto"/>
            <w:shd w:val="clear" w:color="auto" w:fill="auto"/>
            <w:vAlign w:val="center"/>
          </w:tcPr>
          <w:p w14:paraId="59A1261D"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t>151</w:t>
            </w:r>
          </w:p>
        </w:tc>
      </w:tr>
      <w:tr w:rsidR="008F2370" w14:paraId="54BDA268"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4C7C198" w14:textId="77777777" w:rsidR="008F2370" w:rsidRDefault="008F2370" w:rsidP="0041186D">
            <w:pPr>
              <w:spacing w:line="480" w:lineRule="auto"/>
              <w:ind w:left="360"/>
              <w:rPr>
                <w:bCs w:val="0"/>
              </w:rPr>
            </w:pPr>
            <w:r>
              <w:rPr>
                <w:rFonts w:hint="eastAsia"/>
                <w:b w:val="0"/>
              </w:rPr>
              <w:t>CNI</w:t>
            </w:r>
          </w:p>
        </w:tc>
        <w:tc>
          <w:tcPr>
            <w:tcW w:w="0" w:type="auto"/>
            <w:shd w:val="clear" w:color="auto" w:fill="auto"/>
            <w:vAlign w:val="center"/>
          </w:tcPr>
          <w:p w14:paraId="6E5AB12B"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.5</w:t>
            </w:r>
            <w:r>
              <w:t>8</w:t>
            </w:r>
            <w:r>
              <w:rPr>
                <w:rFonts w:hint="eastAsia"/>
              </w:rPr>
              <w:t xml:space="preserve"> [.</w:t>
            </w:r>
            <w:r>
              <w:t>43</w:t>
            </w:r>
            <w:r>
              <w:rPr>
                <w:rFonts w:hint="eastAsia"/>
              </w:rPr>
              <w:t>, .</w:t>
            </w:r>
            <w:r>
              <w:t>70</w:t>
            </w:r>
            <w:r>
              <w:rPr>
                <w:rFonts w:hint="eastAsia"/>
              </w:rPr>
              <w:t>]</w:t>
            </w:r>
          </w:p>
        </w:tc>
        <w:tc>
          <w:tcPr>
            <w:tcW w:w="0" w:type="auto"/>
            <w:shd w:val="clear" w:color="auto" w:fill="auto"/>
            <w:vAlign w:val="center"/>
          </w:tcPr>
          <w:p w14:paraId="284BAD5E"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w:t>
            </w:r>
            <w:r>
              <w:t>2</w:t>
            </w:r>
          </w:p>
        </w:tc>
        <w:tc>
          <w:tcPr>
            <w:tcW w:w="0" w:type="auto"/>
            <w:shd w:val="clear" w:color="auto" w:fill="auto"/>
            <w:vAlign w:val="center"/>
          </w:tcPr>
          <w:p w14:paraId="7A46B49B"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w:t>
            </w:r>
            <w:r>
              <w:t>38</w:t>
            </w:r>
            <w:r>
              <w:rPr>
                <w:rFonts w:hint="eastAsia"/>
              </w:rPr>
              <w:t xml:space="preserve"> [.</w:t>
            </w:r>
            <w:r>
              <w:t>14</w:t>
            </w:r>
            <w:r>
              <w:rPr>
                <w:rFonts w:hint="eastAsia"/>
              </w:rPr>
              <w:t>, .5</w:t>
            </w:r>
            <w:r>
              <w:t>5</w:t>
            </w:r>
            <w:r>
              <w:rPr>
                <w:rFonts w:hint="eastAsia"/>
              </w:rPr>
              <w:t>]</w:t>
            </w:r>
          </w:p>
        </w:tc>
        <w:tc>
          <w:tcPr>
            <w:tcW w:w="0" w:type="auto"/>
            <w:shd w:val="clear" w:color="auto" w:fill="auto"/>
            <w:vAlign w:val="center"/>
          </w:tcPr>
          <w:p w14:paraId="058B86C3"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t>151</w:t>
            </w:r>
          </w:p>
        </w:tc>
      </w:tr>
      <w:tr w:rsidR="008F2370" w14:paraId="2491DAC9"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A0C5922" w14:textId="77777777" w:rsidR="008F2370" w:rsidRDefault="008F2370" w:rsidP="0041186D">
            <w:pPr>
              <w:spacing w:line="480" w:lineRule="auto"/>
              <w:ind w:left="360"/>
              <w:rPr>
                <w:bCs w:val="0"/>
              </w:rPr>
            </w:pPr>
            <w:r>
              <w:rPr>
                <w:rFonts w:hint="eastAsia"/>
                <w:b w:val="0"/>
              </w:rPr>
              <w:t>NGS</w:t>
            </w:r>
          </w:p>
        </w:tc>
        <w:tc>
          <w:tcPr>
            <w:tcW w:w="0" w:type="auto"/>
            <w:shd w:val="clear" w:color="auto" w:fill="auto"/>
            <w:vAlign w:val="center"/>
          </w:tcPr>
          <w:p w14:paraId="16C42FAA"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.5</w:t>
            </w:r>
            <w:r>
              <w:t>7</w:t>
            </w:r>
            <w:r>
              <w:rPr>
                <w:rFonts w:hint="eastAsia"/>
              </w:rPr>
              <w:t xml:space="preserve"> [.4</w:t>
            </w:r>
            <w:r>
              <w:t>1</w:t>
            </w:r>
            <w:r>
              <w:rPr>
                <w:rFonts w:hint="eastAsia"/>
              </w:rPr>
              <w:t>, .69]</w:t>
            </w:r>
          </w:p>
        </w:tc>
        <w:tc>
          <w:tcPr>
            <w:tcW w:w="0" w:type="auto"/>
            <w:shd w:val="clear" w:color="auto" w:fill="auto"/>
            <w:vAlign w:val="center"/>
          </w:tcPr>
          <w:p w14:paraId="7F655D14"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152</w:t>
            </w:r>
          </w:p>
        </w:tc>
        <w:tc>
          <w:tcPr>
            <w:tcW w:w="0" w:type="auto"/>
            <w:shd w:val="clear" w:color="auto" w:fill="auto"/>
            <w:vAlign w:val="center"/>
          </w:tcPr>
          <w:p w14:paraId="6EB0BDAD"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.44 [.2</w:t>
            </w:r>
            <w:r>
              <w:t>3</w:t>
            </w:r>
            <w:r>
              <w:rPr>
                <w:rFonts w:hint="eastAsia"/>
              </w:rPr>
              <w:t>, .</w:t>
            </w:r>
            <w:r>
              <w:t>60</w:t>
            </w:r>
            <w:r>
              <w:rPr>
                <w:rFonts w:hint="eastAsia"/>
              </w:rPr>
              <w:t>]</w:t>
            </w:r>
          </w:p>
        </w:tc>
        <w:tc>
          <w:tcPr>
            <w:tcW w:w="0" w:type="auto"/>
            <w:shd w:val="clear" w:color="auto" w:fill="auto"/>
            <w:vAlign w:val="center"/>
          </w:tcPr>
          <w:p w14:paraId="0D6987F8"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151</w:t>
            </w:r>
          </w:p>
        </w:tc>
      </w:tr>
      <w:tr w:rsidR="008F2370" w14:paraId="7FF9423B"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A831283" w14:textId="5C3C4845" w:rsidR="008F2370" w:rsidRDefault="008F2370" w:rsidP="0041186D">
            <w:pPr>
              <w:spacing w:line="480" w:lineRule="auto"/>
              <w:ind w:left="360"/>
              <w:rPr>
                <w:bCs w:val="0"/>
              </w:rPr>
            </w:pPr>
            <w:r>
              <w:rPr>
                <w:rFonts w:hint="eastAsia"/>
                <w:b w:val="0"/>
              </w:rPr>
              <w:t>BTA</w:t>
            </w:r>
            <w:r w:rsidR="002F41EC">
              <w:rPr>
                <w:b w:val="0"/>
              </w:rPr>
              <w:t>T</w:t>
            </w:r>
          </w:p>
        </w:tc>
        <w:tc>
          <w:tcPr>
            <w:tcW w:w="0" w:type="auto"/>
            <w:shd w:val="clear" w:color="auto" w:fill="auto"/>
            <w:vAlign w:val="center"/>
          </w:tcPr>
          <w:p w14:paraId="6169D59F"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w:t>
            </w:r>
            <w:r>
              <w:t>61</w:t>
            </w:r>
            <w:r>
              <w:rPr>
                <w:rFonts w:hint="eastAsia"/>
              </w:rPr>
              <w:t xml:space="preserve"> [.4</w:t>
            </w:r>
            <w:r>
              <w:t>7</w:t>
            </w:r>
            <w:r>
              <w:rPr>
                <w:rFonts w:hint="eastAsia"/>
              </w:rPr>
              <w:t>, .7</w:t>
            </w:r>
            <w:r>
              <w:t>2</w:t>
            </w:r>
            <w:r>
              <w:rPr>
                <w:rFonts w:hint="eastAsia"/>
              </w:rPr>
              <w:t>]</w:t>
            </w:r>
          </w:p>
        </w:tc>
        <w:tc>
          <w:tcPr>
            <w:tcW w:w="0" w:type="auto"/>
            <w:shd w:val="clear" w:color="auto" w:fill="auto"/>
            <w:vAlign w:val="center"/>
          </w:tcPr>
          <w:p w14:paraId="34353125"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t>152</w:t>
            </w:r>
          </w:p>
        </w:tc>
        <w:tc>
          <w:tcPr>
            <w:tcW w:w="0" w:type="auto"/>
            <w:shd w:val="clear" w:color="auto" w:fill="auto"/>
            <w:vAlign w:val="center"/>
          </w:tcPr>
          <w:p w14:paraId="77AB1FFF"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.4</w:t>
            </w:r>
            <w:r>
              <w:t>7</w:t>
            </w:r>
            <w:r>
              <w:rPr>
                <w:rFonts w:hint="eastAsia"/>
              </w:rPr>
              <w:t xml:space="preserve"> [.2</w:t>
            </w:r>
            <w:r>
              <w:t>7</w:t>
            </w:r>
            <w:r>
              <w:rPr>
                <w:rFonts w:hint="eastAsia"/>
              </w:rPr>
              <w:t>, .62]</w:t>
            </w:r>
          </w:p>
        </w:tc>
        <w:tc>
          <w:tcPr>
            <w:tcW w:w="0" w:type="auto"/>
            <w:shd w:val="clear" w:color="auto" w:fill="auto"/>
            <w:vAlign w:val="center"/>
          </w:tcPr>
          <w:p w14:paraId="7AF76561"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151</w:t>
            </w:r>
          </w:p>
        </w:tc>
      </w:tr>
      <w:tr w:rsidR="008F2370" w14:paraId="3F5C8B67"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86EC55A" w14:textId="77777777" w:rsidR="008F2370" w:rsidRDefault="008F2370" w:rsidP="0041186D">
            <w:pPr>
              <w:spacing w:line="480" w:lineRule="auto"/>
              <w:ind w:left="360"/>
              <w:rPr>
                <w:bCs w:val="0"/>
              </w:rPr>
            </w:pPr>
            <w:r>
              <w:rPr>
                <w:rFonts w:hint="eastAsia"/>
                <w:b w:val="0"/>
              </w:rPr>
              <w:t>OCQ</w:t>
            </w:r>
          </w:p>
        </w:tc>
        <w:tc>
          <w:tcPr>
            <w:tcW w:w="0" w:type="auto"/>
            <w:shd w:val="clear" w:color="auto" w:fill="auto"/>
            <w:vAlign w:val="center"/>
          </w:tcPr>
          <w:p w14:paraId="6C95C12B"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.66 [.5</w:t>
            </w:r>
            <w:r>
              <w:t>2</w:t>
            </w:r>
            <w:r>
              <w:rPr>
                <w:rFonts w:hint="eastAsia"/>
              </w:rPr>
              <w:t>, .75]</w:t>
            </w:r>
          </w:p>
        </w:tc>
        <w:tc>
          <w:tcPr>
            <w:tcW w:w="0" w:type="auto"/>
            <w:shd w:val="clear" w:color="auto" w:fill="auto"/>
            <w:vAlign w:val="center"/>
          </w:tcPr>
          <w:p w14:paraId="482086A8"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152</w:t>
            </w:r>
          </w:p>
        </w:tc>
        <w:tc>
          <w:tcPr>
            <w:tcW w:w="0" w:type="auto"/>
            <w:shd w:val="clear" w:color="auto" w:fill="auto"/>
            <w:vAlign w:val="center"/>
          </w:tcPr>
          <w:p w14:paraId="22DAB493"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.4</w:t>
            </w:r>
            <w:r>
              <w:t>3</w:t>
            </w:r>
            <w:r>
              <w:rPr>
                <w:rFonts w:hint="eastAsia"/>
              </w:rPr>
              <w:t xml:space="preserve"> [.2</w:t>
            </w:r>
            <w:r>
              <w:t>1</w:t>
            </w:r>
            <w:r>
              <w:rPr>
                <w:rFonts w:hint="eastAsia"/>
              </w:rPr>
              <w:t>, .</w:t>
            </w:r>
            <w:r>
              <w:t>58</w:t>
            </w:r>
            <w:r>
              <w:rPr>
                <w:rFonts w:hint="eastAsia"/>
              </w:rPr>
              <w:t>]</w:t>
            </w:r>
          </w:p>
        </w:tc>
        <w:tc>
          <w:tcPr>
            <w:tcW w:w="0" w:type="auto"/>
            <w:shd w:val="clear" w:color="auto" w:fill="auto"/>
            <w:vAlign w:val="center"/>
          </w:tcPr>
          <w:p w14:paraId="3B4E2134"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rFonts w:hint="eastAsia"/>
              </w:rPr>
              <w:t>15</w:t>
            </w:r>
            <w:r>
              <w:t>1</w:t>
            </w:r>
          </w:p>
        </w:tc>
      </w:tr>
      <w:tr w:rsidR="008F2370" w14:paraId="3FD2E943"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C5CBB25" w14:textId="72F28D38" w:rsidR="008F2370" w:rsidRDefault="003D17E7" w:rsidP="0041186D">
            <w:pPr>
              <w:spacing w:line="480" w:lineRule="auto"/>
              <w:ind w:left="360"/>
              <w:rPr>
                <w:bCs w:val="0"/>
              </w:rPr>
            </w:pPr>
            <w:r>
              <w:rPr>
                <w:b w:val="0"/>
              </w:rPr>
              <w:t>SW</w:t>
            </w:r>
            <w:r w:rsidR="008F2370">
              <w:rPr>
                <w:b w:val="0"/>
              </w:rPr>
              <w:t>LS</w:t>
            </w:r>
          </w:p>
        </w:tc>
        <w:tc>
          <w:tcPr>
            <w:tcW w:w="0" w:type="auto"/>
            <w:shd w:val="clear" w:color="auto" w:fill="auto"/>
            <w:vAlign w:val="center"/>
          </w:tcPr>
          <w:p w14:paraId="6C845447"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szCs w:val="21"/>
              </w:rPr>
            </w:pPr>
            <w:r>
              <w:rPr>
                <w:color w:val="000000"/>
                <w:szCs w:val="21"/>
              </w:rPr>
              <w:t>.</w:t>
            </w:r>
            <w:r>
              <w:rPr>
                <w:rFonts w:hint="eastAsia"/>
                <w:color w:val="000000"/>
                <w:szCs w:val="21"/>
              </w:rPr>
              <w:t>6</w:t>
            </w:r>
            <w:r>
              <w:rPr>
                <w:color w:val="000000"/>
                <w:szCs w:val="21"/>
              </w:rPr>
              <w:t>1 [.47, .</w:t>
            </w:r>
            <w:r>
              <w:rPr>
                <w:rFonts w:hint="eastAsia"/>
                <w:color w:val="000000"/>
                <w:szCs w:val="21"/>
              </w:rPr>
              <w:t>72</w:t>
            </w:r>
            <w:r>
              <w:rPr>
                <w:color w:val="000000"/>
                <w:szCs w:val="21"/>
              </w:rPr>
              <w:t>]</w:t>
            </w:r>
          </w:p>
        </w:tc>
        <w:tc>
          <w:tcPr>
            <w:tcW w:w="0" w:type="auto"/>
            <w:shd w:val="clear" w:color="auto" w:fill="auto"/>
            <w:vAlign w:val="center"/>
          </w:tcPr>
          <w:p w14:paraId="2BA21FD4"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color w:val="000000"/>
                <w:szCs w:val="21"/>
              </w:rPr>
              <w:t>15</w:t>
            </w:r>
            <w:r>
              <w:rPr>
                <w:rFonts w:hint="eastAsia"/>
                <w:color w:val="000000"/>
                <w:szCs w:val="21"/>
              </w:rPr>
              <w:t>2</w:t>
            </w:r>
          </w:p>
        </w:tc>
        <w:tc>
          <w:tcPr>
            <w:tcW w:w="0" w:type="auto"/>
            <w:shd w:val="clear" w:color="auto" w:fill="auto"/>
            <w:vAlign w:val="center"/>
          </w:tcPr>
          <w:p w14:paraId="05ABE18F"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szCs w:val="21"/>
              </w:rPr>
            </w:pPr>
            <w:r>
              <w:rPr>
                <w:color w:val="000000"/>
                <w:szCs w:val="21"/>
              </w:rPr>
              <w:t>.42 [.</w:t>
            </w:r>
            <w:r>
              <w:rPr>
                <w:rFonts w:hint="eastAsia"/>
                <w:color w:val="000000"/>
                <w:szCs w:val="21"/>
              </w:rPr>
              <w:t>19</w:t>
            </w:r>
            <w:r>
              <w:rPr>
                <w:color w:val="000000"/>
                <w:szCs w:val="21"/>
              </w:rPr>
              <w:t>, .58]</w:t>
            </w:r>
          </w:p>
        </w:tc>
        <w:tc>
          <w:tcPr>
            <w:tcW w:w="0" w:type="auto"/>
            <w:shd w:val="clear" w:color="auto" w:fill="auto"/>
            <w:vAlign w:val="center"/>
          </w:tcPr>
          <w:p w14:paraId="2DF8E0C0"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color w:val="000000"/>
                <w:szCs w:val="21"/>
              </w:rPr>
              <w:t>15</w:t>
            </w:r>
            <w:r>
              <w:rPr>
                <w:rFonts w:hint="eastAsia"/>
                <w:color w:val="000000"/>
                <w:szCs w:val="21"/>
              </w:rPr>
              <w:t>1</w:t>
            </w:r>
          </w:p>
        </w:tc>
      </w:tr>
      <w:tr w:rsidR="008F2370" w14:paraId="0AF0D3C0" w14:textId="77777777" w:rsidTr="0056323D">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194B7C12" w14:textId="3BD1FD87" w:rsidR="008F2370" w:rsidRDefault="008F2370" w:rsidP="0041186D">
            <w:pPr>
              <w:spacing w:line="480" w:lineRule="auto"/>
              <w:ind w:left="360"/>
              <w:rPr>
                <w:bCs w:val="0"/>
              </w:rPr>
            </w:pPr>
            <w:r>
              <w:rPr>
                <w:rFonts w:hint="eastAsia"/>
                <w:b w:val="0"/>
              </w:rPr>
              <w:t>A</w:t>
            </w:r>
            <w:r>
              <w:rPr>
                <w:b w:val="0"/>
              </w:rPr>
              <w:t>WB</w:t>
            </w:r>
            <w:r w:rsidR="002F41EC">
              <w:rPr>
                <w:b w:val="0"/>
              </w:rPr>
              <w:t>S</w:t>
            </w:r>
          </w:p>
        </w:tc>
        <w:tc>
          <w:tcPr>
            <w:tcW w:w="0" w:type="auto"/>
            <w:tcBorders>
              <w:bottom w:val="single" w:sz="4" w:space="0" w:color="auto"/>
            </w:tcBorders>
            <w:shd w:val="clear" w:color="auto" w:fill="auto"/>
            <w:vAlign w:val="center"/>
          </w:tcPr>
          <w:p w14:paraId="7FE37203" w14:textId="77777777" w:rsidR="008F2370" w:rsidRDefault="008F2370" w:rsidP="00C56D9E">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szCs w:val="21"/>
              </w:rPr>
            </w:pPr>
            <w:r>
              <w:rPr>
                <w:color w:val="000000"/>
                <w:szCs w:val="21"/>
              </w:rPr>
              <w:t>.61</w:t>
            </w:r>
            <w:r>
              <w:rPr>
                <w:rFonts w:hint="eastAsia"/>
                <w:color w:val="000000"/>
                <w:szCs w:val="21"/>
              </w:rPr>
              <w:t xml:space="preserve"> </w:t>
            </w:r>
            <w:r>
              <w:rPr>
                <w:color w:val="000000"/>
                <w:szCs w:val="21"/>
              </w:rPr>
              <w:t>[.46, .72]</w:t>
            </w:r>
          </w:p>
        </w:tc>
        <w:tc>
          <w:tcPr>
            <w:tcW w:w="0" w:type="auto"/>
            <w:tcBorders>
              <w:bottom w:val="single" w:sz="4" w:space="0" w:color="auto"/>
            </w:tcBorders>
            <w:shd w:val="clear" w:color="auto" w:fill="auto"/>
            <w:vAlign w:val="center"/>
          </w:tcPr>
          <w:p w14:paraId="5399D520"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color w:val="000000"/>
                <w:szCs w:val="21"/>
              </w:rPr>
              <w:t>152</w:t>
            </w:r>
          </w:p>
        </w:tc>
        <w:tc>
          <w:tcPr>
            <w:tcW w:w="0" w:type="auto"/>
            <w:tcBorders>
              <w:bottom w:val="single" w:sz="4" w:space="0" w:color="auto"/>
            </w:tcBorders>
            <w:shd w:val="clear" w:color="auto" w:fill="auto"/>
            <w:vAlign w:val="center"/>
          </w:tcPr>
          <w:p w14:paraId="4F92062A"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rPr>
                <w:color w:val="000000"/>
                <w:szCs w:val="21"/>
              </w:rPr>
            </w:pPr>
            <w:r>
              <w:rPr>
                <w:color w:val="000000"/>
                <w:szCs w:val="21"/>
              </w:rPr>
              <w:t>.28 [.</w:t>
            </w:r>
            <w:r>
              <w:rPr>
                <w:rFonts w:hint="eastAsia"/>
                <w:color w:val="000000"/>
                <w:szCs w:val="21"/>
              </w:rPr>
              <w:t>0</w:t>
            </w:r>
            <w:r>
              <w:rPr>
                <w:color w:val="000000"/>
                <w:szCs w:val="21"/>
              </w:rPr>
              <w:t>1, .48]</w:t>
            </w:r>
          </w:p>
        </w:tc>
        <w:tc>
          <w:tcPr>
            <w:tcW w:w="0" w:type="auto"/>
            <w:tcBorders>
              <w:bottom w:val="single" w:sz="4" w:space="0" w:color="auto"/>
            </w:tcBorders>
            <w:shd w:val="clear" w:color="auto" w:fill="auto"/>
            <w:vAlign w:val="center"/>
          </w:tcPr>
          <w:p w14:paraId="3003556C" w14:textId="77777777" w:rsidR="008F2370" w:rsidRDefault="008F2370">
            <w:pPr>
              <w:spacing w:line="480" w:lineRule="auto"/>
              <w:jc w:val="center"/>
              <w:cnfStyle w:val="000000000000" w:firstRow="0" w:lastRow="0" w:firstColumn="0" w:lastColumn="0" w:oddVBand="0" w:evenVBand="0" w:oddHBand="0" w:evenHBand="0" w:firstRowFirstColumn="0" w:firstRowLastColumn="0" w:lastRowFirstColumn="0" w:lastRowLastColumn="0"/>
            </w:pPr>
            <w:r>
              <w:rPr>
                <w:color w:val="000000"/>
                <w:szCs w:val="21"/>
              </w:rPr>
              <w:t>151</w:t>
            </w:r>
          </w:p>
        </w:tc>
      </w:tr>
    </w:tbl>
    <w:p w14:paraId="53F8131D" w14:textId="7123E724" w:rsidR="008F2370" w:rsidRPr="0072117D" w:rsidRDefault="008F2370" w:rsidP="0072117D">
      <w:pPr>
        <w:spacing w:after="120" w:line="480" w:lineRule="auto"/>
        <w:rPr>
          <w:sz w:val="21"/>
          <w:szCs w:val="21"/>
        </w:rPr>
      </w:pPr>
      <w:r>
        <w:rPr>
          <w:i/>
          <w:sz w:val="21"/>
          <w:szCs w:val="21"/>
        </w:rPr>
        <w:t>Note.</w:t>
      </w:r>
      <w:r>
        <w:rPr>
          <w:sz w:val="21"/>
          <w:szCs w:val="21"/>
        </w:rPr>
        <w:t xml:space="preserve"> NPI: Narcissistic Personality Inventory; CNI: Communal Narcissism Inventory; NGS: Narcissistic Grandiosity Scale; BTA</w:t>
      </w:r>
      <w:r w:rsidR="001F3B7C">
        <w:rPr>
          <w:sz w:val="21"/>
          <w:szCs w:val="21"/>
        </w:rPr>
        <w:t>T</w:t>
      </w:r>
      <w:r>
        <w:rPr>
          <w:sz w:val="21"/>
          <w:szCs w:val="21"/>
        </w:rPr>
        <w:t>: Better-</w:t>
      </w:r>
      <w:r w:rsidR="003D17E7">
        <w:rPr>
          <w:sz w:val="21"/>
          <w:szCs w:val="21"/>
        </w:rPr>
        <w:t>T</w:t>
      </w:r>
      <w:r>
        <w:rPr>
          <w:sz w:val="21"/>
          <w:szCs w:val="21"/>
        </w:rPr>
        <w:t>han-</w:t>
      </w:r>
      <w:r w:rsidR="003D17E7">
        <w:rPr>
          <w:sz w:val="21"/>
          <w:szCs w:val="21"/>
        </w:rPr>
        <w:t>A</w:t>
      </w:r>
      <w:r>
        <w:rPr>
          <w:sz w:val="21"/>
          <w:szCs w:val="21"/>
        </w:rPr>
        <w:t xml:space="preserve">verage </w:t>
      </w:r>
      <w:r w:rsidR="002F41EC">
        <w:rPr>
          <w:sz w:val="21"/>
          <w:szCs w:val="21"/>
        </w:rPr>
        <w:t>Task</w:t>
      </w:r>
      <w:r>
        <w:rPr>
          <w:sz w:val="21"/>
          <w:szCs w:val="21"/>
        </w:rPr>
        <w:t xml:space="preserve">; OCQ: Over-Claiming Questionnaire; </w:t>
      </w:r>
      <w:r w:rsidR="003D17E7">
        <w:rPr>
          <w:sz w:val="21"/>
          <w:szCs w:val="21"/>
        </w:rPr>
        <w:t>SW</w:t>
      </w:r>
      <w:r>
        <w:rPr>
          <w:sz w:val="21"/>
          <w:szCs w:val="21"/>
        </w:rPr>
        <w:t>LS: Satisfaction with Life Scale; AWB</w:t>
      </w:r>
      <w:r w:rsidR="002F41EC">
        <w:rPr>
          <w:sz w:val="21"/>
          <w:szCs w:val="21"/>
        </w:rPr>
        <w:t>S</w:t>
      </w:r>
      <w:r>
        <w:rPr>
          <w:sz w:val="21"/>
          <w:szCs w:val="21"/>
        </w:rPr>
        <w:t xml:space="preserve">: </w:t>
      </w:r>
      <w:r w:rsidR="002F41EC">
        <w:rPr>
          <w:sz w:val="21"/>
          <w:szCs w:val="21"/>
        </w:rPr>
        <w:t>A</w:t>
      </w:r>
      <w:r>
        <w:rPr>
          <w:sz w:val="21"/>
          <w:szCs w:val="21"/>
        </w:rPr>
        <w:t xml:space="preserve">ffective </w:t>
      </w:r>
      <w:r w:rsidR="002F41EC">
        <w:rPr>
          <w:sz w:val="21"/>
          <w:szCs w:val="21"/>
        </w:rPr>
        <w:t>W</w:t>
      </w:r>
      <w:r>
        <w:rPr>
          <w:sz w:val="21"/>
          <w:szCs w:val="21"/>
        </w:rPr>
        <w:t>ell-</w:t>
      </w:r>
      <w:r w:rsidR="002F41EC">
        <w:rPr>
          <w:sz w:val="21"/>
          <w:szCs w:val="21"/>
        </w:rPr>
        <w:t>B</w:t>
      </w:r>
      <w:r>
        <w:rPr>
          <w:sz w:val="21"/>
          <w:szCs w:val="21"/>
        </w:rPr>
        <w:t xml:space="preserve">eing </w:t>
      </w:r>
      <w:r w:rsidR="002F41EC">
        <w:rPr>
          <w:sz w:val="21"/>
          <w:szCs w:val="21"/>
        </w:rPr>
        <w:t>Scale</w:t>
      </w:r>
      <w:r>
        <w:rPr>
          <w:sz w:val="21"/>
          <w:szCs w:val="21"/>
        </w:rPr>
        <w:t>. MZ: monozygotic twins, DZ: dizygotic twins. N: number of twin pairs</w:t>
      </w:r>
      <w:r w:rsidR="00CD12C8">
        <w:rPr>
          <w:sz w:val="21"/>
          <w:szCs w:val="21"/>
        </w:rPr>
        <w:t>.</w:t>
      </w:r>
      <w:r>
        <w:rPr>
          <w:sz w:val="21"/>
          <w:szCs w:val="21"/>
        </w:rPr>
        <w:t xml:space="preserve"> 95% confidence intervals are in brackets. </w:t>
      </w:r>
    </w:p>
    <w:p w14:paraId="3E94498C" w14:textId="77777777" w:rsidR="009B244D" w:rsidRDefault="00F4341B" w:rsidP="00D17E90">
      <w:pPr>
        <w:spacing w:line="480" w:lineRule="exact"/>
        <w:outlineLvl w:val="0"/>
        <w:rPr>
          <w:b/>
        </w:rPr>
      </w:pPr>
      <w:r>
        <w:rPr>
          <w:rFonts w:hint="eastAsia"/>
          <w:b/>
        </w:rPr>
        <w:t xml:space="preserve">Multivariate </w:t>
      </w:r>
      <w:r>
        <w:rPr>
          <w:b/>
        </w:rPr>
        <w:t>G</w:t>
      </w:r>
      <w:r>
        <w:rPr>
          <w:rFonts w:hint="eastAsia"/>
          <w:b/>
        </w:rPr>
        <w:t xml:space="preserve">enetic </w:t>
      </w:r>
      <w:r>
        <w:rPr>
          <w:b/>
        </w:rPr>
        <w:t>M</w:t>
      </w:r>
      <w:r>
        <w:rPr>
          <w:rFonts w:hint="eastAsia"/>
          <w:b/>
        </w:rPr>
        <w:t>odel-</w:t>
      </w:r>
      <w:r>
        <w:rPr>
          <w:b/>
        </w:rPr>
        <w:t>F</w:t>
      </w:r>
      <w:r>
        <w:rPr>
          <w:rFonts w:hint="eastAsia"/>
          <w:b/>
        </w:rPr>
        <w:t xml:space="preserve">itting for </w:t>
      </w:r>
      <w:r>
        <w:rPr>
          <w:b/>
        </w:rPr>
        <w:t>Self-Enhancement Manifestations</w:t>
      </w:r>
    </w:p>
    <w:p w14:paraId="59D65966" w14:textId="1E37A1C6" w:rsidR="00FB7AC9" w:rsidRDefault="00F4341B" w:rsidP="00F52EE5">
      <w:pPr>
        <w:spacing w:line="480" w:lineRule="exact"/>
        <w:ind w:firstLineChars="200" w:firstLine="480"/>
      </w:pPr>
      <w:r>
        <w:rPr>
          <w:rFonts w:hint="eastAsia"/>
        </w:rPr>
        <w:t xml:space="preserve">We examined genetic and environmental influences on </w:t>
      </w:r>
      <w:r w:rsidR="00833361">
        <w:t xml:space="preserve">individual differences in </w:t>
      </w:r>
      <w:r>
        <w:t>self-enhancement manifestations</w:t>
      </w:r>
      <w:r>
        <w:rPr>
          <w:rFonts w:hint="eastAsia"/>
        </w:rPr>
        <w:t xml:space="preserve"> </w:t>
      </w:r>
      <w:r>
        <w:t>by</w:t>
      </w:r>
      <w:r>
        <w:rPr>
          <w:rFonts w:hint="eastAsia"/>
        </w:rPr>
        <w:t xml:space="preserve"> testing two hypothetical genetic model</w:t>
      </w:r>
      <w:r>
        <w:t>s</w:t>
      </w:r>
      <w:r>
        <w:rPr>
          <w:rFonts w:hint="eastAsia"/>
        </w:rPr>
        <w:t>, the independent pathway model and the common pathway model (Figure 1</w:t>
      </w:r>
      <w:r w:rsidR="00FD0F46">
        <w:t>,</w:t>
      </w:r>
      <w:r>
        <w:rPr>
          <w:rFonts w:hint="eastAsia"/>
        </w:rPr>
        <w:t xml:space="preserve"> 2)</w:t>
      </w:r>
      <w:r w:rsidR="00593611">
        <w:rPr>
          <w:rStyle w:val="FootnoteReference"/>
        </w:rPr>
        <w:footnoteReference w:id="3"/>
      </w:r>
      <w:r>
        <w:rPr>
          <w:rFonts w:hint="eastAsia"/>
        </w:rPr>
        <w:t xml:space="preserve">. </w:t>
      </w:r>
      <w:r w:rsidR="00420C2A">
        <w:lastRenderedPageBreak/>
        <w:t>Compared to the common pathway model, t</w:t>
      </w:r>
      <w:r w:rsidR="009F79A9">
        <w:t xml:space="preserve">he independent pathway provides a less constrained account of </w:t>
      </w:r>
      <w:r w:rsidR="000D4AF8">
        <w:t xml:space="preserve">the patterns of </w:t>
      </w:r>
      <w:r w:rsidR="00D2238C">
        <w:t>global and specific</w:t>
      </w:r>
      <w:r w:rsidR="004E1547">
        <w:t xml:space="preserve"> </w:t>
      </w:r>
      <w:r w:rsidR="009F79A9">
        <w:t>genetic and environmental effects on self-enhancement manifestations</w:t>
      </w:r>
      <w:r w:rsidR="00420C2A">
        <w:t xml:space="preserve"> (Table 3)</w:t>
      </w:r>
      <w:r w:rsidR="009F79A9">
        <w:t xml:space="preserve">. </w:t>
      </w:r>
      <w:r w:rsidR="003131A9">
        <w:t xml:space="preserve">Based on parameter estimates from the independent pathway ACE model (Table </w:t>
      </w:r>
      <w:r w:rsidR="006D1C08">
        <w:t>4</w:t>
      </w:r>
      <w:r w:rsidR="003131A9">
        <w:t xml:space="preserve">), we </w:t>
      </w:r>
      <w:r w:rsidR="00714A0B">
        <w:t xml:space="preserve">noticed </w:t>
      </w:r>
      <w:r w:rsidR="00CD12C8">
        <w:t>the following</w:t>
      </w:r>
      <w:r w:rsidR="00714A0B">
        <w:t xml:space="preserve"> </w:t>
      </w:r>
      <w:r w:rsidR="00CD12C8">
        <w:t>about</w:t>
      </w:r>
      <w:r w:rsidR="00714A0B">
        <w:t xml:space="preserve"> the genetic and environmental structure of the five self-enhancement indicators</w:t>
      </w:r>
      <w:r w:rsidR="00274B84">
        <w:t>. First,</w:t>
      </w:r>
      <w:r w:rsidR="00714A0B">
        <w:t xml:space="preserve"> </w:t>
      </w:r>
      <w:r w:rsidR="006F76CA">
        <w:t xml:space="preserve">they shared some </w:t>
      </w:r>
      <w:r w:rsidR="00714A0B">
        <w:t>genetic influence</w:t>
      </w:r>
      <w:r w:rsidR="00CD12C8">
        <w:t>,</w:t>
      </w:r>
      <w:r w:rsidR="006F76CA">
        <w:t xml:space="preserve"> but </w:t>
      </w:r>
      <w:r w:rsidR="00CD12C8">
        <w:t>to</w:t>
      </w:r>
      <w:r w:rsidR="006F76CA">
        <w:t xml:space="preserve"> different extent (.22~.63)</w:t>
      </w:r>
      <w:r w:rsidR="00274B84">
        <w:t xml:space="preserve">, Second, </w:t>
      </w:r>
      <w:r w:rsidR="006F76CA">
        <w:t>some of them (NPI, BTA</w:t>
      </w:r>
      <w:r w:rsidR="001F51C8">
        <w:t>T</w:t>
      </w:r>
      <w:r w:rsidR="006F76CA">
        <w:t xml:space="preserve">, OCQ) were also influenced by genetic effects unique to </w:t>
      </w:r>
      <w:r w:rsidR="00F46B68">
        <w:t>each</w:t>
      </w:r>
      <w:r w:rsidR="00274B84">
        <w:t xml:space="preserve">, Third, </w:t>
      </w:r>
      <w:r w:rsidR="00CD12C8">
        <w:t>although</w:t>
      </w:r>
      <w:r w:rsidR="002365B7">
        <w:t xml:space="preserve"> certain non-shared environments </w:t>
      </w:r>
      <w:r w:rsidR="00CD12C8">
        <w:t>influenced</w:t>
      </w:r>
      <w:r w:rsidR="002365B7">
        <w:t xml:space="preserve"> all self-enhancement manifestations (.16~.61), </w:t>
      </w:r>
      <w:r w:rsidR="000B7971">
        <w:t xml:space="preserve">the </w:t>
      </w:r>
      <w:r w:rsidR="002365B7">
        <w:t>non-shared environmental influence on these manifestations w</w:t>
      </w:r>
      <w:r w:rsidR="00C82DC0">
        <w:t>as</w:t>
      </w:r>
      <w:r w:rsidR="002365B7">
        <w:t xml:space="preserve"> substantially due to </w:t>
      </w:r>
      <w:r w:rsidR="00A47848">
        <w:t>specific</w:t>
      </w:r>
      <w:r w:rsidR="002365B7">
        <w:t xml:space="preserve"> factors (.52~.70)</w:t>
      </w:r>
      <w:r w:rsidR="00274B84">
        <w:t xml:space="preserve">. Finally, </w:t>
      </w:r>
      <w:r w:rsidR="00FB7AC9">
        <w:t xml:space="preserve">the shared environmental influence on </w:t>
      </w:r>
      <w:r w:rsidR="00CD12C8">
        <w:t xml:space="preserve">all self-enhancement manifestations </w:t>
      </w:r>
      <w:r w:rsidR="00FB7AC9">
        <w:t xml:space="preserve">was largely in common (.11~.45), </w:t>
      </w:r>
      <w:r w:rsidR="00AE592B">
        <w:t xml:space="preserve">except that </w:t>
      </w:r>
      <w:r w:rsidR="00FB7AC9">
        <w:t>NGS</w:t>
      </w:r>
      <w:r w:rsidR="004E47B0">
        <w:t xml:space="preserve"> was </w:t>
      </w:r>
      <w:r w:rsidR="00FB7AC9">
        <w:t xml:space="preserve">also </w:t>
      </w:r>
      <w:r w:rsidR="004E47B0">
        <w:t xml:space="preserve">affected </w:t>
      </w:r>
      <w:r w:rsidR="00FB7AC9">
        <w:t xml:space="preserve">by a </w:t>
      </w:r>
      <w:r w:rsidR="00FB7AC9">
        <w:rPr>
          <w:rFonts w:hint="eastAsia"/>
        </w:rPr>
        <w:t>dis</w:t>
      </w:r>
      <w:r w:rsidR="00FB7AC9">
        <w:t>tinct shared environment</w:t>
      </w:r>
      <w:r w:rsidR="00341C1F">
        <w:t xml:space="preserve">. </w:t>
      </w:r>
    </w:p>
    <w:p w14:paraId="5745F1E9" w14:textId="77777777" w:rsidR="00F40B4D" w:rsidRDefault="00F40B4D" w:rsidP="00F52EE5">
      <w:pPr>
        <w:spacing w:line="480" w:lineRule="exact"/>
        <w:ind w:firstLineChars="200" w:firstLine="480"/>
      </w:pPr>
    </w:p>
    <w:p w14:paraId="73C7315B" w14:textId="3CB6A39A" w:rsidR="001470B3" w:rsidRDefault="001470B3">
      <w:pPr>
        <w:spacing w:after="120" w:line="480" w:lineRule="exact"/>
        <w:rPr>
          <w:color w:val="0000FF"/>
        </w:rPr>
      </w:pPr>
      <w:r>
        <w:rPr>
          <w:b/>
          <w:bCs/>
        </w:rPr>
        <w:t>Table 3.</w:t>
      </w:r>
      <w:r>
        <w:t xml:space="preserve"> </w:t>
      </w:r>
      <w:r>
        <w:rPr>
          <w:rFonts w:hint="eastAsia"/>
        </w:rPr>
        <w:t xml:space="preserve">Multivariate </w:t>
      </w:r>
      <w:r w:rsidR="00F40B4D">
        <w:t>G</w:t>
      </w:r>
      <w:r>
        <w:rPr>
          <w:rFonts w:hint="eastAsia"/>
        </w:rPr>
        <w:t xml:space="preserve">enetic </w:t>
      </w:r>
      <w:r w:rsidR="00F40B4D">
        <w:t>M</w:t>
      </w:r>
      <w:r>
        <w:rPr>
          <w:rFonts w:hint="eastAsia"/>
        </w:rPr>
        <w:t>odel-</w:t>
      </w:r>
      <w:r w:rsidR="00F40B4D">
        <w:t>F</w:t>
      </w:r>
      <w:r>
        <w:rPr>
          <w:rFonts w:hint="eastAsia"/>
        </w:rPr>
        <w:t xml:space="preserve">itting for </w:t>
      </w:r>
      <w:r w:rsidR="00F40B4D">
        <w:t>S</w:t>
      </w:r>
      <w:r>
        <w:t>elf-</w:t>
      </w:r>
      <w:r w:rsidR="00F40B4D">
        <w:t>E</w:t>
      </w:r>
      <w:r>
        <w:t xml:space="preserve">nhancement </w:t>
      </w:r>
      <w:r w:rsidR="00F40B4D">
        <w:t>M</w:t>
      </w:r>
      <w:r>
        <w:t>anifestations</w:t>
      </w:r>
      <w:r>
        <w:rPr>
          <w:rFonts w:hint="eastAsia"/>
        </w:rPr>
        <w:t xml:space="preserve">: Model </w:t>
      </w:r>
      <w:r w:rsidR="00F40B4D">
        <w:t>F</w:t>
      </w:r>
      <w:r>
        <w:rPr>
          <w:rFonts w:hint="eastAsia"/>
        </w:rPr>
        <w:t xml:space="preserve">it </w:t>
      </w:r>
      <w:r w:rsidR="00F40B4D">
        <w:t>S</w:t>
      </w:r>
      <w:r>
        <w:rPr>
          <w:rFonts w:hint="eastAsia"/>
        </w:rPr>
        <w:t>tatistics</w:t>
      </w:r>
      <w:r>
        <w:t xml:space="preserve"> </w:t>
      </w:r>
    </w:p>
    <w:tbl>
      <w:tblPr>
        <w:tblStyle w:val="TableNormal1"/>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0"/>
        <w:gridCol w:w="940"/>
        <w:gridCol w:w="640"/>
        <w:gridCol w:w="940"/>
        <w:gridCol w:w="860"/>
        <w:gridCol w:w="1109"/>
        <w:gridCol w:w="783"/>
        <w:gridCol w:w="729"/>
      </w:tblGrid>
      <w:tr w:rsidR="001470B3" w14:paraId="52E7C42C" w14:textId="77777777" w:rsidTr="008348A9">
        <w:trPr>
          <w:trHeight w:val="227"/>
          <w:jc w:val="center"/>
        </w:trPr>
        <w:tc>
          <w:tcPr>
            <w:tcW w:w="222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BBD6818" w14:textId="77777777" w:rsidR="001470B3" w:rsidRDefault="001470B3" w:rsidP="008348A9">
            <w:pPr>
              <w:adjustRightInd w:val="0"/>
              <w:snapToGrid w:val="0"/>
            </w:pPr>
            <w:r>
              <w:t>Model</w:t>
            </w:r>
          </w:p>
        </w:tc>
        <w:tc>
          <w:tcPr>
            <w:tcW w:w="94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C4F3A41" w14:textId="77777777" w:rsidR="001470B3" w:rsidRDefault="001470B3" w:rsidP="008348A9">
            <w:pPr>
              <w:adjustRightInd w:val="0"/>
              <w:snapToGrid w:val="0"/>
              <w:jc w:val="center"/>
            </w:pPr>
            <w:r>
              <w:t>-2LL</w:t>
            </w:r>
          </w:p>
        </w:tc>
        <w:tc>
          <w:tcPr>
            <w:tcW w:w="64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67AD224" w14:textId="77777777" w:rsidR="001470B3" w:rsidRDefault="001470B3" w:rsidP="008348A9">
            <w:pPr>
              <w:adjustRightInd w:val="0"/>
              <w:snapToGrid w:val="0"/>
              <w:jc w:val="center"/>
            </w:pPr>
            <w:r>
              <w:rPr>
                <w:i/>
                <w:iCs/>
              </w:rPr>
              <w:t>df</w:t>
            </w:r>
          </w:p>
        </w:tc>
        <w:tc>
          <w:tcPr>
            <w:tcW w:w="94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0DC72BE" w14:textId="77777777" w:rsidR="001470B3" w:rsidRDefault="001470B3" w:rsidP="008348A9">
            <w:pPr>
              <w:adjustRightInd w:val="0"/>
              <w:snapToGrid w:val="0"/>
              <w:jc w:val="center"/>
            </w:pPr>
            <w:r>
              <w:t>AIC</w:t>
            </w:r>
          </w:p>
        </w:tc>
        <w:tc>
          <w:tcPr>
            <w:tcW w:w="860" w:type="dxa"/>
            <w:tcBorders>
              <w:top w:val="single" w:sz="4" w:space="0" w:color="000000"/>
              <w:left w:val="nil"/>
              <w:bottom w:val="nil"/>
              <w:right w:val="nil"/>
            </w:tcBorders>
            <w:vAlign w:val="center"/>
          </w:tcPr>
          <w:p w14:paraId="442A9753" w14:textId="77777777" w:rsidR="001470B3" w:rsidRDefault="001470B3" w:rsidP="008348A9">
            <w:pPr>
              <w:adjustRightInd w:val="0"/>
              <w:snapToGrid w:val="0"/>
              <w:jc w:val="center"/>
            </w:pPr>
            <w:r>
              <w:rPr>
                <w:rFonts w:hint="eastAsia"/>
              </w:rPr>
              <w:t>BIC</w:t>
            </w:r>
          </w:p>
        </w:tc>
        <w:tc>
          <w:tcPr>
            <w:tcW w:w="2621"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0FC1CC0" w14:textId="45AF1C2B" w:rsidR="001470B3" w:rsidRDefault="002A504F" w:rsidP="008348A9">
            <w:pPr>
              <w:adjustRightInd w:val="0"/>
              <w:snapToGrid w:val="0"/>
              <w:jc w:val="center"/>
            </w:pPr>
            <w:r>
              <w:t>Model Comparison</w:t>
            </w:r>
          </w:p>
        </w:tc>
      </w:tr>
      <w:tr w:rsidR="001470B3" w14:paraId="7BEB5256" w14:textId="77777777" w:rsidTr="008348A9">
        <w:trPr>
          <w:trHeight w:val="227"/>
          <w:jc w:val="center"/>
        </w:trPr>
        <w:tc>
          <w:tcPr>
            <w:tcW w:w="222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205D9E55" w14:textId="77777777" w:rsidR="001470B3" w:rsidRDefault="001470B3" w:rsidP="008348A9">
            <w:pPr>
              <w:adjustRightInd w:val="0"/>
              <w:snapToGrid w:val="0"/>
            </w:pPr>
          </w:p>
        </w:tc>
        <w:tc>
          <w:tcPr>
            <w:tcW w:w="9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428FEE42" w14:textId="77777777" w:rsidR="001470B3" w:rsidRDefault="001470B3" w:rsidP="008348A9">
            <w:pPr>
              <w:adjustRightInd w:val="0"/>
              <w:snapToGrid w:val="0"/>
              <w:jc w:val="center"/>
            </w:pPr>
          </w:p>
        </w:tc>
        <w:tc>
          <w:tcPr>
            <w:tcW w:w="6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26B4297A" w14:textId="77777777" w:rsidR="001470B3" w:rsidRDefault="001470B3" w:rsidP="008348A9">
            <w:pPr>
              <w:adjustRightInd w:val="0"/>
              <w:snapToGrid w:val="0"/>
              <w:jc w:val="center"/>
            </w:pPr>
          </w:p>
        </w:tc>
        <w:tc>
          <w:tcPr>
            <w:tcW w:w="9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68A7FC71" w14:textId="77777777" w:rsidR="001470B3" w:rsidRDefault="001470B3" w:rsidP="008348A9">
            <w:pPr>
              <w:adjustRightInd w:val="0"/>
              <w:snapToGrid w:val="0"/>
              <w:jc w:val="center"/>
            </w:pPr>
          </w:p>
        </w:tc>
        <w:tc>
          <w:tcPr>
            <w:tcW w:w="860" w:type="dxa"/>
            <w:tcBorders>
              <w:top w:val="nil"/>
              <w:left w:val="nil"/>
              <w:bottom w:val="single" w:sz="4" w:space="0" w:color="auto"/>
              <w:right w:val="nil"/>
            </w:tcBorders>
            <w:vAlign w:val="center"/>
          </w:tcPr>
          <w:p w14:paraId="0F8C7410" w14:textId="77777777" w:rsidR="001470B3" w:rsidRDefault="001470B3" w:rsidP="008348A9">
            <w:pPr>
              <w:adjustRightInd w:val="0"/>
              <w:snapToGrid w:val="0"/>
              <w:jc w:val="center"/>
            </w:pPr>
          </w:p>
        </w:tc>
        <w:tc>
          <w:tcPr>
            <w:tcW w:w="1109"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1A4D4AB4" w14:textId="77777777" w:rsidR="001470B3" w:rsidRDefault="001470B3" w:rsidP="008348A9">
            <w:pPr>
              <w:adjustRightInd w:val="0"/>
              <w:snapToGrid w:val="0"/>
              <w:jc w:val="center"/>
            </w:pPr>
            <w:r>
              <w:t>∆χ</w:t>
            </w:r>
            <w:r>
              <w:rPr>
                <w:vertAlign w:val="superscript"/>
              </w:rPr>
              <w:t>2</w:t>
            </w:r>
          </w:p>
        </w:tc>
        <w:tc>
          <w:tcPr>
            <w:tcW w:w="783"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22379A68" w14:textId="77777777" w:rsidR="001470B3" w:rsidRDefault="001470B3" w:rsidP="008348A9">
            <w:pPr>
              <w:adjustRightInd w:val="0"/>
              <w:snapToGrid w:val="0"/>
              <w:jc w:val="center"/>
            </w:pPr>
            <w:r>
              <w:t>∆</w:t>
            </w:r>
            <w:r>
              <w:rPr>
                <w:i/>
                <w:iCs/>
              </w:rPr>
              <w:t>df</w:t>
            </w:r>
          </w:p>
        </w:tc>
        <w:tc>
          <w:tcPr>
            <w:tcW w:w="729" w:type="dxa"/>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4A2B5867" w14:textId="77777777" w:rsidR="001470B3" w:rsidRDefault="001470B3" w:rsidP="008348A9">
            <w:pPr>
              <w:adjustRightInd w:val="0"/>
              <w:snapToGrid w:val="0"/>
              <w:jc w:val="center"/>
            </w:pPr>
            <w:r>
              <w:rPr>
                <w:i/>
                <w:iCs/>
              </w:rPr>
              <w:t>p</w:t>
            </w:r>
          </w:p>
        </w:tc>
      </w:tr>
      <w:tr w:rsidR="001470B3" w14:paraId="5FF86253" w14:textId="77777777" w:rsidTr="008348A9">
        <w:trPr>
          <w:trHeight w:val="227"/>
          <w:jc w:val="center"/>
        </w:trPr>
        <w:tc>
          <w:tcPr>
            <w:tcW w:w="222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0DC2B52A" w14:textId="77777777" w:rsidR="001470B3" w:rsidRDefault="001470B3" w:rsidP="008348A9">
            <w:pPr>
              <w:adjustRightInd w:val="0"/>
              <w:snapToGrid w:val="0"/>
            </w:pPr>
            <w:r>
              <w:t>Independent</w:t>
            </w:r>
            <w:r>
              <w:rPr>
                <w:rFonts w:hint="eastAsia"/>
              </w:rPr>
              <w:t xml:space="preserve"> pathway </w:t>
            </w:r>
          </w:p>
          <w:p w14:paraId="01ACD2EB" w14:textId="77777777" w:rsidR="001470B3" w:rsidRDefault="001470B3" w:rsidP="008348A9">
            <w:pPr>
              <w:adjustRightInd w:val="0"/>
              <w:snapToGrid w:val="0"/>
              <w:rPr>
                <w:iCs/>
              </w:rPr>
            </w:pPr>
            <w:r>
              <w:t xml:space="preserve">ACE </w:t>
            </w:r>
            <w:r>
              <w:rPr>
                <w:rFonts w:hint="eastAsia"/>
              </w:rPr>
              <w:t>model</w:t>
            </w:r>
          </w:p>
        </w:tc>
        <w:tc>
          <w:tcPr>
            <w:tcW w:w="94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5E243FDC" w14:textId="77777777" w:rsidR="001470B3" w:rsidRDefault="001470B3" w:rsidP="008348A9">
            <w:pPr>
              <w:jc w:val="center"/>
              <w:textAlignment w:val="center"/>
              <w:rPr>
                <w:iCs/>
              </w:rPr>
            </w:pPr>
            <w:r>
              <w:rPr>
                <w:rFonts w:eastAsia="SimSun"/>
                <w:lang w:bidi="ar"/>
              </w:rPr>
              <w:t>7521.12</w:t>
            </w:r>
          </w:p>
        </w:tc>
        <w:tc>
          <w:tcPr>
            <w:tcW w:w="64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FB2C77F" w14:textId="77777777" w:rsidR="001470B3" w:rsidRDefault="001470B3" w:rsidP="008348A9">
            <w:pPr>
              <w:jc w:val="center"/>
              <w:textAlignment w:val="center"/>
              <w:rPr>
                <w:iCs/>
              </w:rPr>
            </w:pPr>
            <w:r>
              <w:rPr>
                <w:rFonts w:eastAsia="SimSun"/>
                <w:lang w:bidi="ar"/>
              </w:rPr>
              <w:t>2995</w:t>
            </w:r>
          </w:p>
        </w:tc>
        <w:tc>
          <w:tcPr>
            <w:tcW w:w="94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89C252E" w14:textId="77777777" w:rsidR="001470B3" w:rsidRDefault="001470B3" w:rsidP="008348A9">
            <w:pPr>
              <w:jc w:val="center"/>
              <w:textAlignment w:val="center"/>
              <w:rPr>
                <w:iCs/>
              </w:rPr>
            </w:pPr>
            <w:r>
              <w:rPr>
                <w:rFonts w:eastAsia="SimSun"/>
                <w:lang w:bidi="ar"/>
              </w:rPr>
              <w:t>1531.12</w:t>
            </w:r>
          </w:p>
        </w:tc>
        <w:tc>
          <w:tcPr>
            <w:tcW w:w="860" w:type="dxa"/>
            <w:tcBorders>
              <w:top w:val="single" w:sz="4" w:space="0" w:color="auto"/>
              <w:left w:val="nil"/>
              <w:bottom w:val="nil"/>
              <w:right w:val="nil"/>
            </w:tcBorders>
            <w:vAlign w:val="center"/>
          </w:tcPr>
          <w:p w14:paraId="194B51F2" w14:textId="77777777" w:rsidR="001470B3" w:rsidRDefault="001470B3" w:rsidP="008348A9">
            <w:pPr>
              <w:jc w:val="center"/>
              <w:textAlignment w:val="center"/>
              <w:rPr>
                <w:iCs/>
              </w:rPr>
            </w:pPr>
            <w:r>
              <w:rPr>
                <w:rFonts w:eastAsia="SimSun"/>
                <w:lang w:bidi="ar"/>
              </w:rPr>
              <w:t>-9601.38</w:t>
            </w:r>
          </w:p>
        </w:tc>
        <w:tc>
          <w:tcPr>
            <w:tcW w:w="1109"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79936AAE" w14:textId="77777777" w:rsidR="001470B3" w:rsidRDefault="001470B3" w:rsidP="008348A9">
            <w:pPr>
              <w:adjustRightInd w:val="0"/>
              <w:snapToGrid w:val="0"/>
              <w:jc w:val="center"/>
            </w:pPr>
            <w:r>
              <w:t>-</w:t>
            </w:r>
          </w:p>
        </w:tc>
        <w:tc>
          <w:tcPr>
            <w:tcW w:w="783"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7709723" w14:textId="77777777" w:rsidR="001470B3" w:rsidRDefault="001470B3" w:rsidP="008348A9">
            <w:pPr>
              <w:adjustRightInd w:val="0"/>
              <w:snapToGrid w:val="0"/>
              <w:jc w:val="center"/>
            </w:pPr>
            <w:r>
              <w:t>-</w:t>
            </w:r>
          </w:p>
        </w:tc>
        <w:tc>
          <w:tcPr>
            <w:tcW w:w="729"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562F25B" w14:textId="77777777" w:rsidR="001470B3" w:rsidRDefault="001470B3" w:rsidP="008348A9">
            <w:pPr>
              <w:adjustRightInd w:val="0"/>
              <w:snapToGrid w:val="0"/>
              <w:jc w:val="center"/>
            </w:pPr>
            <w:r>
              <w:t>-</w:t>
            </w:r>
          </w:p>
        </w:tc>
      </w:tr>
      <w:tr w:rsidR="001470B3" w14:paraId="3C7FF048" w14:textId="77777777" w:rsidTr="0056323D">
        <w:trPr>
          <w:trHeight w:val="227"/>
          <w:jc w:val="center"/>
        </w:trPr>
        <w:tc>
          <w:tcPr>
            <w:tcW w:w="222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56B6C43D" w14:textId="77777777" w:rsidR="001470B3" w:rsidRDefault="001470B3" w:rsidP="008348A9">
            <w:pPr>
              <w:adjustRightInd w:val="0"/>
              <w:snapToGrid w:val="0"/>
            </w:pPr>
            <w:r>
              <w:rPr>
                <w:rFonts w:hint="eastAsia"/>
              </w:rPr>
              <w:t xml:space="preserve">Common pathway </w:t>
            </w:r>
          </w:p>
          <w:p w14:paraId="3C933DEA" w14:textId="77777777" w:rsidR="001470B3" w:rsidRDefault="001470B3" w:rsidP="008348A9">
            <w:pPr>
              <w:adjustRightInd w:val="0"/>
              <w:snapToGrid w:val="0"/>
            </w:pPr>
            <w:r>
              <w:t xml:space="preserve">ACE </w:t>
            </w:r>
            <w:r>
              <w:rPr>
                <w:rFonts w:hint="eastAsia"/>
              </w:rPr>
              <w:t>model</w:t>
            </w:r>
          </w:p>
        </w:tc>
        <w:tc>
          <w:tcPr>
            <w:tcW w:w="9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77BB071B" w14:textId="77777777" w:rsidR="001470B3" w:rsidRDefault="001470B3" w:rsidP="008348A9">
            <w:pPr>
              <w:jc w:val="center"/>
              <w:textAlignment w:val="center"/>
            </w:pPr>
            <w:r>
              <w:rPr>
                <w:rFonts w:eastAsia="SimSun"/>
                <w:lang w:bidi="ar"/>
              </w:rPr>
              <w:t>7533.40</w:t>
            </w:r>
          </w:p>
        </w:tc>
        <w:tc>
          <w:tcPr>
            <w:tcW w:w="6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5D0C937D" w14:textId="77777777" w:rsidR="001470B3" w:rsidRDefault="001470B3" w:rsidP="008348A9">
            <w:pPr>
              <w:jc w:val="center"/>
              <w:textAlignment w:val="center"/>
            </w:pPr>
            <w:r>
              <w:rPr>
                <w:rFonts w:eastAsia="SimSun"/>
                <w:lang w:bidi="ar"/>
              </w:rPr>
              <w:t>3003</w:t>
            </w:r>
          </w:p>
        </w:tc>
        <w:tc>
          <w:tcPr>
            <w:tcW w:w="94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468305D7" w14:textId="77777777" w:rsidR="001470B3" w:rsidRDefault="001470B3" w:rsidP="008348A9">
            <w:pPr>
              <w:jc w:val="center"/>
              <w:textAlignment w:val="center"/>
            </w:pPr>
            <w:r>
              <w:rPr>
                <w:rFonts w:eastAsia="SimSun"/>
                <w:lang w:bidi="ar"/>
              </w:rPr>
              <w:t>1527.40</w:t>
            </w:r>
          </w:p>
        </w:tc>
        <w:tc>
          <w:tcPr>
            <w:tcW w:w="860" w:type="dxa"/>
            <w:tcBorders>
              <w:top w:val="nil"/>
              <w:left w:val="nil"/>
              <w:bottom w:val="single" w:sz="4" w:space="0" w:color="auto"/>
              <w:right w:val="nil"/>
            </w:tcBorders>
            <w:vAlign w:val="center"/>
          </w:tcPr>
          <w:p w14:paraId="2B83E45F" w14:textId="77777777" w:rsidR="001470B3" w:rsidRDefault="001470B3" w:rsidP="008348A9">
            <w:pPr>
              <w:jc w:val="center"/>
              <w:textAlignment w:val="center"/>
            </w:pPr>
            <w:r>
              <w:rPr>
                <w:rFonts w:eastAsia="SimSun"/>
                <w:lang w:bidi="ar"/>
              </w:rPr>
              <w:t>-9634.83</w:t>
            </w:r>
          </w:p>
        </w:tc>
        <w:tc>
          <w:tcPr>
            <w:tcW w:w="1109"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7DDCCD20" w14:textId="69D87390" w:rsidR="001470B3" w:rsidRDefault="002A504F" w:rsidP="008348A9">
            <w:pPr>
              <w:adjustRightInd w:val="0"/>
              <w:snapToGrid w:val="0"/>
              <w:jc w:val="center"/>
            </w:pPr>
            <w:r>
              <w:t>12.28</w:t>
            </w:r>
          </w:p>
        </w:tc>
        <w:tc>
          <w:tcPr>
            <w:tcW w:w="783"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1AB642CF" w14:textId="2FD64244" w:rsidR="001470B3" w:rsidRDefault="002A504F" w:rsidP="008348A9">
            <w:pPr>
              <w:adjustRightInd w:val="0"/>
              <w:snapToGrid w:val="0"/>
              <w:jc w:val="center"/>
            </w:pPr>
            <w:r>
              <w:t>8</w:t>
            </w:r>
          </w:p>
        </w:tc>
        <w:tc>
          <w:tcPr>
            <w:tcW w:w="729"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5D2DAE2E" w14:textId="49B8F435" w:rsidR="001470B3" w:rsidRDefault="002A504F" w:rsidP="008348A9">
            <w:pPr>
              <w:adjustRightInd w:val="0"/>
              <w:snapToGrid w:val="0"/>
              <w:jc w:val="center"/>
            </w:pPr>
            <w:r>
              <w:t>.14</w:t>
            </w:r>
          </w:p>
        </w:tc>
      </w:tr>
    </w:tbl>
    <w:p w14:paraId="11FC34EE" w14:textId="45EB9E1D" w:rsidR="001470B3" w:rsidRPr="007025FE" w:rsidRDefault="001470B3">
      <w:pPr>
        <w:spacing w:after="120" w:line="480" w:lineRule="auto"/>
        <w:rPr>
          <w:sz w:val="21"/>
          <w:szCs w:val="21"/>
        </w:rPr>
      </w:pPr>
      <w:r>
        <w:rPr>
          <w:i/>
          <w:sz w:val="21"/>
          <w:szCs w:val="21"/>
        </w:rPr>
        <w:t>Note.</w:t>
      </w:r>
      <w:r>
        <w:rPr>
          <w:sz w:val="21"/>
          <w:szCs w:val="21"/>
        </w:rPr>
        <w:t xml:space="preserve"> -2LL</w:t>
      </w:r>
      <w:r w:rsidR="005C3D88">
        <w:rPr>
          <w:sz w:val="21"/>
          <w:szCs w:val="21"/>
        </w:rPr>
        <w:t xml:space="preserve"> =</w:t>
      </w:r>
      <w:r>
        <w:rPr>
          <w:sz w:val="21"/>
          <w:szCs w:val="21"/>
        </w:rPr>
        <w:t xml:space="preserve"> twice the negative log-likelihood</w:t>
      </w:r>
      <w:r w:rsidR="00DC67FC">
        <w:rPr>
          <w:sz w:val="21"/>
          <w:szCs w:val="21"/>
        </w:rPr>
        <w:t xml:space="preserve">, </w:t>
      </w:r>
      <w:r>
        <w:rPr>
          <w:sz w:val="21"/>
          <w:szCs w:val="21"/>
        </w:rPr>
        <w:t xml:space="preserve">the difference between -2LL of two models is subjected to chi-square (χ2) distribution. </w:t>
      </w:r>
      <w:r w:rsidR="00F40B4D">
        <w:rPr>
          <w:sz w:val="21"/>
          <w:szCs w:val="21"/>
        </w:rPr>
        <w:t>We report t</w:t>
      </w:r>
      <w:r>
        <w:rPr>
          <w:sz w:val="21"/>
          <w:szCs w:val="21"/>
        </w:rPr>
        <w:t>hree fit indices: change in chi-square (Δχ2), Akaike’s Information Criterion (AIC), and Bayesian Information Criterion (BIC). Δ</w:t>
      </w:r>
      <w:r>
        <w:rPr>
          <w:i/>
          <w:sz w:val="21"/>
          <w:szCs w:val="21"/>
        </w:rPr>
        <w:t>df</w:t>
      </w:r>
      <w:r w:rsidR="00274B84">
        <w:rPr>
          <w:sz w:val="21"/>
          <w:szCs w:val="21"/>
        </w:rPr>
        <w:t xml:space="preserve"> =</w:t>
      </w:r>
      <w:r>
        <w:rPr>
          <w:sz w:val="21"/>
          <w:szCs w:val="21"/>
        </w:rPr>
        <w:t xml:space="preserve"> change in degrees of freedom (</w:t>
      </w:r>
      <w:r>
        <w:rPr>
          <w:i/>
          <w:sz w:val="21"/>
          <w:szCs w:val="21"/>
        </w:rPr>
        <w:t>df</w:t>
      </w:r>
      <w:r>
        <w:rPr>
          <w:sz w:val="21"/>
          <w:szCs w:val="21"/>
        </w:rPr>
        <w:t xml:space="preserve">). </w:t>
      </w:r>
    </w:p>
    <w:p w14:paraId="5581EB8D" w14:textId="054CBB48" w:rsidR="00096632" w:rsidRDefault="007976DA" w:rsidP="0056323D">
      <w:pPr>
        <w:spacing w:line="480" w:lineRule="exact"/>
        <w:ind w:firstLine="420"/>
      </w:pPr>
      <w:r>
        <w:t xml:space="preserve">As we proposed earlier, the five self-enhancement manifestations might converge onto one latent trait whose genetic and environmental bases would further contribute to each manifestation. </w:t>
      </w:r>
      <w:r w:rsidR="0002139B">
        <w:t xml:space="preserve">To examine this possibility, we </w:t>
      </w:r>
      <w:r w:rsidR="003D7495">
        <w:t xml:space="preserve">designed a common pathway </w:t>
      </w:r>
      <w:r w:rsidR="003D7495">
        <w:lastRenderedPageBreak/>
        <w:t>model</w:t>
      </w:r>
      <w:r w:rsidR="00E95CB6">
        <w:t>,</w:t>
      </w:r>
      <w:r w:rsidR="003D7495">
        <w:t xml:space="preserve"> and tested whether it accounted for the data better than </w:t>
      </w:r>
      <w:r w:rsidR="00F4341B">
        <w:rPr>
          <w:rFonts w:hint="eastAsia"/>
        </w:rPr>
        <w:t>the independent pathway model</w:t>
      </w:r>
      <w:r w:rsidR="00D174BE">
        <w:t>.</w:t>
      </w:r>
      <w:r w:rsidR="00C17852">
        <w:t xml:space="preserve"> As </w:t>
      </w:r>
      <w:r w:rsidR="00F4341B">
        <w:rPr>
          <w:rFonts w:hint="eastAsia"/>
        </w:rPr>
        <w:t>common pathway model</w:t>
      </w:r>
      <w:r w:rsidR="00C17852">
        <w:t>s are nested in independent pathway models</w:t>
      </w:r>
      <w:r w:rsidR="007F7379">
        <w:t xml:space="preserve"> (Briley &amp; Tucker-Drob, 2012)</w:t>
      </w:r>
      <w:r w:rsidR="00C17852">
        <w:t xml:space="preserve">, we </w:t>
      </w:r>
      <w:r w:rsidR="00274B84">
        <w:t>conducted a</w:t>
      </w:r>
      <w:r w:rsidR="00C17852">
        <w:t xml:space="preserve"> chi-squared difference test and found that the </w:t>
      </w:r>
      <w:r w:rsidR="00B6335F">
        <w:t xml:space="preserve">more parsimonious common pathway model fitted the data </w:t>
      </w:r>
      <w:r w:rsidR="00E95CB6">
        <w:t xml:space="preserve">equally well </w:t>
      </w:r>
      <w:r w:rsidR="00274B84">
        <w:t>with</w:t>
      </w:r>
      <w:r w:rsidR="00E95CB6">
        <w:t xml:space="preserve"> the independent pathway model did </w:t>
      </w:r>
      <w:r w:rsidR="00D33E34">
        <w:t>(</w:t>
      </w:r>
      <w:r w:rsidR="00550D53" w:rsidRPr="0056323D">
        <w:rPr>
          <w:i/>
        </w:rPr>
        <w:t>p</w:t>
      </w:r>
      <w:r w:rsidR="00550D53">
        <w:t xml:space="preserve"> &gt; .05</w:t>
      </w:r>
      <w:r w:rsidR="00F40B4D">
        <w:t>;</w:t>
      </w:r>
      <w:r w:rsidR="00550D53">
        <w:t xml:space="preserve"> </w:t>
      </w:r>
      <w:r w:rsidR="00D33E34">
        <w:t>Table 3</w:t>
      </w:r>
      <w:r w:rsidR="00E95CB6">
        <w:t>).</w:t>
      </w:r>
      <w:r w:rsidR="00C17852">
        <w:t xml:space="preserve"> </w:t>
      </w:r>
      <w:r w:rsidR="00096632">
        <w:t xml:space="preserve">Further, the chi-squared difference </w:t>
      </w:r>
      <w:r w:rsidR="00550D53">
        <w:t xml:space="preserve">in </w:t>
      </w:r>
      <w:r w:rsidR="00552A9E">
        <w:t xml:space="preserve">model fit </w:t>
      </w:r>
      <w:r w:rsidR="00550D53">
        <w:t>between</w:t>
      </w:r>
      <w:r w:rsidR="00552A9E">
        <w:t xml:space="preserve"> the </w:t>
      </w:r>
      <w:r w:rsidR="00096632">
        <w:t xml:space="preserve">two models </w:t>
      </w:r>
      <w:r w:rsidR="00F77070">
        <w:t>(</w:t>
      </w:r>
      <w:r w:rsidR="00096632">
        <w:t>12.28</w:t>
      </w:r>
      <w:r w:rsidR="00F77070">
        <w:t>)</w:t>
      </w:r>
      <w:r w:rsidR="00096632">
        <w:t xml:space="preserve"> was just above the threshold (12.1</w:t>
      </w:r>
      <w:r w:rsidR="000B6812">
        <w:t>2</w:t>
      </w:r>
      <w:r w:rsidR="00096632">
        <w:t xml:space="preserve">) </w:t>
      </w:r>
      <w:r w:rsidR="00E9556E">
        <w:t>set</w:t>
      </w:r>
      <w:r w:rsidR="00096632">
        <w:t xml:space="preserve"> in the power analysis. Therefore, we had enough power in </w:t>
      </w:r>
      <w:r w:rsidR="00550D53">
        <w:t>comparing</w:t>
      </w:r>
      <w:r w:rsidR="00096632">
        <w:t xml:space="preserve"> </w:t>
      </w:r>
      <w:r w:rsidR="00550D53">
        <w:t xml:space="preserve">the </w:t>
      </w:r>
      <w:r w:rsidR="00096632">
        <w:t>common pathway model</w:t>
      </w:r>
      <w:r w:rsidR="00550D53">
        <w:t xml:space="preserve"> against the independent pathway model</w:t>
      </w:r>
      <w:r w:rsidR="00096632">
        <w:t xml:space="preserve">. </w:t>
      </w:r>
      <w:r w:rsidR="00EB35D2">
        <w:t>In addition, the common pathway model</w:t>
      </w:r>
      <w:r w:rsidR="00F4341B">
        <w:rPr>
          <w:rFonts w:hint="eastAsia"/>
        </w:rPr>
        <w:t xml:space="preserve"> </w:t>
      </w:r>
      <w:r w:rsidR="00F4341B">
        <w:t>had</w:t>
      </w:r>
      <w:r w:rsidR="00F4341B">
        <w:rPr>
          <w:rFonts w:hint="eastAsia"/>
        </w:rPr>
        <w:t xml:space="preserve"> lower AIC and BIC values (Table 3). </w:t>
      </w:r>
      <w:r w:rsidR="00F4341B">
        <w:t>Of note</w:t>
      </w:r>
      <w:r w:rsidR="00F4341B">
        <w:rPr>
          <w:rFonts w:hint="eastAsia"/>
        </w:rPr>
        <w:t xml:space="preserve">, the difference in BIC between the two models was greater than 10. Hence, </w:t>
      </w:r>
      <w:r w:rsidR="00274B84">
        <w:t xml:space="preserve">we opted for </w:t>
      </w:r>
      <w:r w:rsidR="00F4341B">
        <w:rPr>
          <w:rFonts w:hint="eastAsia"/>
        </w:rPr>
        <w:t xml:space="preserve">the common pathway model. </w:t>
      </w:r>
    </w:p>
    <w:p w14:paraId="0E1B3F11" w14:textId="2EAD5070" w:rsidR="00F52EE5" w:rsidRDefault="00FE2884" w:rsidP="0056323D">
      <w:pPr>
        <w:spacing w:line="480" w:lineRule="exact"/>
        <w:ind w:firstLine="420"/>
        <w:rPr>
          <w:b/>
          <w:bCs/>
        </w:rPr>
        <w:sectPr w:rsidR="00F52EE5">
          <w:headerReference w:type="default" r:id="rId12"/>
          <w:footerReference w:type="even" r:id="rId13"/>
          <w:footerReference w:type="default" r:id="rId14"/>
          <w:pgSz w:w="11900" w:h="16840"/>
          <w:pgMar w:top="1440" w:right="1797" w:bottom="1440" w:left="1797" w:header="851" w:footer="992" w:gutter="0"/>
          <w:cols w:space="720"/>
          <w:docGrid w:linePitch="326"/>
        </w:sectPr>
      </w:pPr>
      <w:r>
        <w:t>According to</w:t>
      </w:r>
      <w:r w:rsidR="00A47848">
        <w:t xml:space="preserve"> </w:t>
      </w:r>
      <w:r>
        <w:t xml:space="preserve">parameter </w:t>
      </w:r>
      <w:r w:rsidR="00A47848">
        <w:t xml:space="preserve">estimates of </w:t>
      </w:r>
      <w:r>
        <w:t xml:space="preserve">this </w:t>
      </w:r>
      <w:r w:rsidR="001724A4">
        <w:rPr>
          <w:rFonts w:hint="eastAsia"/>
        </w:rPr>
        <w:t>model</w:t>
      </w:r>
      <w:r>
        <w:t xml:space="preserve"> (Table 5),</w:t>
      </w:r>
      <w:r w:rsidR="001724A4">
        <w:rPr>
          <w:rFonts w:hint="eastAsia"/>
        </w:rPr>
        <w:t xml:space="preserve"> all</w:t>
      </w:r>
      <w:r w:rsidR="00CB7A67">
        <w:t xml:space="preserve"> </w:t>
      </w:r>
      <w:r w:rsidR="001724A4">
        <w:rPr>
          <w:rFonts w:hint="eastAsia"/>
        </w:rPr>
        <w:t xml:space="preserve">five </w:t>
      </w:r>
      <w:r w:rsidR="001724A4">
        <w:t>self-enhancement manifestations</w:t>
      </w:r>
      <w:r w:rsidR="001724A4">
        <w:rPr>
          <w:rFonts w:hint="eastAsia"/>
        </w:rPr>
        <w:t xml:space="preserve"> reflected some part of a latent trait, as indicated by moderate to large factor loadings on the measures (.</w:t>
      </w:r>
      <w:r w:rsidR="008348A9">
        <w:t>40</w:t>
      </w:r>
      <w:r w:rsidR="00AB6FBC">
        <w:t>~</w:t>
      </w:r>
      <w:r w:rsidR="001724A4">
        <w:rPr>
          <w:rFonts w:hint="eastAsia"/>
        </w:rPr>
        <w:t>.8</w:t>
      </w:r>
      <w:r w:rsidR="004960E1">
        <w:t>1</w:t>
      </w:r>
      <w:r w:rsidR="001724A4">
        <w:rPr>
          <w:rFonts w:hint="eastAsia"/>
        </w:rPr>
        <w:t xml:space="preserve">). Moreover, the analysis </w:t>
      </w:r>
      <w:r w:rsidR="001724A4">
        <w:t xml:space="preserve">revealed </w:t>
      </w:r>
      <w:r w:rsidR="001724A4">
        <w:rPr>
          <w:rFonts w:hint="eastAsia"/>
        </w:rPr>
        <w:t xml:space="preserve">that the variation in the latent trait was mainly </w:t>
      </w:r>
      <w:r w:rsidR="00274B84">
        <w:t>accounted for by</w:t>
      </w:r>
      <w:r w:rsidR="001724A4">
        <w:rPr>
          <w:rFonts w:hint="eastAsia"/>
        </w:rPr>
        <w:t xml:space="preserve"> genetic </w:t>
      </w:r>
      <w:r w:rsidR="001E5CAC">
        <w:t xml:space="preserve">(42%) and non-shared environmental (42%) </w:t>
      </w:r>
      <w:r w:rsidR="001724A4">
        <w:rPr>
          <w:rFonts w:hint="eastAsia"/>
        </w:rPr>
        <w:t>factors, with the remaining part (</w:t>
      </w:r>
      <w:r w:rsidR="001E5CAC">
        <w:t>16</w:t>
      </w:r>
      <w:r w:rsidR="001724A4">
        <w:rPr>
          <w:rFonts w:hint="eastAsia"/>
        </w:rPr>
        <w:t xml:space="preserve">%) </w:t>
      </w:r>
      <w:r w:rsidR="001724A4">
        <w:t>accounted for</w:t>
      </w:r>
      <w:r w:rsidR="001724A4">
        <w:rPr>
          <w:rFonts w:hint="eastAsia"/>
        </w:rPr>
        <w:t xml:space="preserve"> by shared environments. </w:t>
      </w:r>
      <w:r w:rsidR="00274B84">
        <w:t>Further</w:t>
      </w:r>
      <w:r w:rsidR="001724A4">
        <w:rPr>
          <w:rFonts w:hint="eastAsia"/>
        </w:rPr>
        <w:t>, we decomposed the individual difference</w:t>
      </w:r>
      <w:r w:rsidR="00796724">
        <w:t>s</w:t>
      </w:r>
      <w:r w:rsidR="001724A4">
        <w:rPr>
          <w:rFonts w:hint="eastAsia"/>
        </w:rPr>
        <w:t xml:space="preserve"> in every </w:t>
      </w:r>
      <w:r w:rsidR="001724A4">
        <w:t>self-enhancement</w:t>
      </w:r>
      <w:r w:rsidR="001724A4">
        <w:rPr>
          <w:rFonts w:hint="eastAsia"/>
        </w:rPr>
        <w:t xml:space="preserve"> measure into common and unique effects </w:t>
      </w:r>
      <w:r w:rsidR="004A5C07">
        <w:t xml:space="preserve">from genes, shared environments, </w:t>
      </w:r>
      <w:r w:rsidR="001724A4">
        <w:rPr>
          <w:rFonts w:hint="eastAsia"/>
        </w:rPr>
        <w:t>and non-shared environment</w:t>
      </w:r>
      <w:r w:rsidR="004A5C07">
        <w:t>s</w:t>
      </w:r>
      <w:r w:rsidR="00D558AF">
        <w:t xml:space="preserve"> (Table 5)</w:t>
      </w:r>
      <w:r w:rsidR="001724A4">
        <w:rPr>
          <w:rFonts w:hint="eastAsia"/>
        </w:rPr>
        <w:t xml:space="preserve">. </w:t>
      </w:r>
      <w:r w:rsidR="00274B84">
        <w:t>The following results emerged</w:t>
      </w:r>
      <w:r w:rsidR="00A0599B">
        <w:t>. First, c</w:t>
      </w:r>
      <w:r w:rsidR="001724A4">
        <w:rPr>
          <w:rFonts w:hint="eastAsia"/>
        </w:rPr>
        <w:t xml:space="preserve">ommon genetic effects (via the latent trait) accounted for </w:t>
      </w:r>
      <w:r w:rsidR="00A0599B">
        <w:t>part</w:t>
      </w:r>
      <w:r w:rsidR="001724A4">
        <w:rPr>
          <w:rFonts w:hint="eastAsia"/>
        </w:rPr>
        <w:t xml:space="preserve"> of the heritability of all measures</w:t>
      </w:r>
      <w:r w:rsidR="00A0599B">
        <w:t>, whereas specific genetic effects mattered for only three of these measures (NPI, BTA</w:t>
      </w:r>
      <w:r w:rsidR="00702936">
        <w:t>T</w:t>
      </w:r>
      <w:r w:rsidR="00A0599B">
        <w:t>, OCQ)</w:t>
      </w:r>
      <w:r w:rsidR="001724A4">
        <w:rPr>
          <w:rFonts w:hint="eastAsia"/>
        </w:rPr>
        <w:t>.</w:t>
      </w:r>
      <w:r w:rsidR="00A06A20">
        <w:t xml:space="preserve"> Second, both global and specific non-shared environmental effects</w:t>
      </w:r>
      <w:r w:rsidR="00920FA4">
        <w:t xml:space="preserve"> contributed to variation in each self-enhancement manifestation, </w:t>
      </w:r>
      <w:r w:rsidR="000C25D5">
        <w:t>though</w:t>
      </w:r>
      <w:r w:rsidR="00CE4996">
        <w:t xml:space="preserve"> </w:t>
      </w:r>
      <w:r w:rsidR="00920FA4">
        <w:t xml:space="preserve">the specific ones </w:t>
      </w:r>
      <w:r w:rsidR="00CE4996">
        <w:t xml:space="preserve">exerted more </w:t>
      </w:r>
      <w:r w:rsidR="00920FA4">
        <w:t xml:space="preserve">influence. Third, </w:t>
      </w:r>
      <w:r w:rsidR="000C035E">
        <w:t xml:space="preserve">the </w:t>
      </w:r>
      <w:r w:rsidR="000E5457">
        <w:t>moderate</w:t>
      </w:r>
      <w:r w:rsidR="000C035E">
        <w:t xml:space="preserve"> </w:t>
      </w:r>
      <w:r w:rsidR="007A7C32">
        <w:t xml:space="preserve">shared environmental effects on the five manifestations were largely in common, albeit </w:t>
      </w:r>
      <w:r w:rsidR="0035273D">
        <w:t>specific shared environmental effects still g</w:t>
      </w:r>
      <w:r w:rsidR="00D51D55">
        <w:t>a</w:t>
      </w:r>
      <w:r w:rsidR="0035273D">
        <w:t>ve rise to s</w:t>
      </w:r>
      <w:r w:rsidR="00D51D55">
        <w:t>o</w:t>
      </w:r>
      <w:r w:rsidR="0035273D">
        <w:t>m</w:t>
      </w:r>
      <w:r w:rsidR="00D51D55">
        <w:t>e</w:t>
      </w:r>
      <w:r w:rsidR="0035273D">
        <w:t xml:space="preserve"> </w:t>
      </w:r>
      <w:r w:rsidR="00E5504F">
        <w:t xml:space="preserve">variance </w:t>
      </w:r>
      <w:r w:rsidR="0035273D">
        <w:t xml:space="preserve">in </w:t>
      </w:r>
      <w:r w:rsidR="007A7C32">
        <w:t xml:space="preserve">two measures (CNI, NGS). </w:t>
      </w:r>
      <w:r w:rsidR="00AE6080">
        <w:t xml:space="preserve">Notably, </w:t>
      </w:r>
      <w:r w:rsidR="002A4E11">
        <w:t>t</w:t>
      </w:r>
      <w:r w:rsidR="00A0599B">
        <w:t>he</w:t>
      </w:r>
      <w:r w:rsidR="00AE6080">
        <w:t>se</w:t>
      </w:r>
      <w:r w:rsidR="00A0599B">
        <w:t xml:space="preserve"> </w:t>
      </w:r>
      <w:r w:rsidR="00B80905">
        <w:t>result</w:t>
      </w:r>
      <w:r w:rsidR="00AE6080">
        <w:t>s</w:t>
      </w:r>
      <w:r w:rsidR="00A0599B">
        <w:t xml:space="preserve"> were comparable to those </w:t>
      </w:r>
      <w:r w:rsidR="00AE6080">
        <w:t>from</w:t>
      </w:r>
      <w:r w:rsidR="00A0599B">
        <w:t xml:space="preserve"> the independent pathway model</w:t>
      </w:r>
      <w:r w:rsidR="00E278E8">
        <w:t xml:space="preserve">. </w:t>
      </w:r>
      <w:r w:rsidR="00B80905">
        <w:t xml:space="preserve">In addition, </w:t>
      </w:r>
      <w:r w:rsidR="001B57C5">
        <w:t>our</w:t>
      </w:r>
      <w:r w:rsidR="00B80905">
        <w:t xml:space="preserve"> finding </w:t>
      </w:r>
      <w:r w:rsidR="00C20F81">
        <w:t xml:space="preserve">that </w:t>
      </w:r>
      <w:r w:rsidR="00E5504F">
        <w:t>variations</w:t>
      </w:r>
      <w:r w:rsidR="00C20F81">
        <w:t xml:space="preserve"> in self-enhancement latent trait and manifestations</w:t>
      </w:r>
      <w:r w:rsidR="00B80905">
        <w:t xml:space="preserve"> </w:t>
      </w:r>
      <w:r w:rsidR="00C20F81">
        <w:t xml:space="preserve">were </w:t>
      </w:r>
      <w:r w:rsidR="00E5504F">
        <w:rPr>
          <w:rFonts w:hint="eastAsia"/>
        </w:rPr>
        <w:t>mainl</w:t>
      </w:r>
      <w:r w:rsidR="00C20F81">
        <w:t>y due to</w:t>
      </w:r>
      <w:r w:rsidR="00B80905">
        <w:t xml:space="preserve"> genes and non-shared </w:t>
      </w:r>
      <w:r w:rsidR="00B80905">
        <w:lastRenderedPageBreak/>
        <w:t>environments</w:t>
      </w:r>
      <w:r w:rsidR="00F40B4D">
        <w:t xml:space="preserve">, and secondarily </w:t>
      </w:r>
      <w:r w:rsidR="00C20F81">
        <w:t>due to</w:t>
      </w:r>
      <w:r w:rsidR="00B80905">
        <w:t xml:space="preserve"> shared environments</w:t>
      </w:r>
      <w:r w:rsidR="00F40B4D">
        <w:t>,</w:t>
      </w:r>
      <w:r w:rsidR="00B80905">
        <w:t xml:space="preserve"> </w:t>
      </w:r>
      <w:r w:rsidR="00C20F81">
        <w:t>was</w:t>
      </w:r>
      <w:r w:rsidR="00B80905">
        <w:t xml:space="preserve"> consistent with previous </w:t>
      </w:r>
      <w:r w:rsidR="00AD2B93">
        <w:t>findings</w:t>
      </w:r>
      <w:r w:rsidR="00B80905">
        <w:t xml:space="preserve"> about self-enhanc</w:t>
      </w:r>
      <w:r w:rsidR="00715056">
        <w:t>ement</w:t>
      </w:r>
      <w:r w:rsidR="00B80905">
        <w:t xml:space="preserve"> </w:t>
      </w:r>
      <w:r w:rsidR="00715056">
        <w:t>manifestations</w:t>
      </w:r>
      <w:r w:rsidR="00B80905">
        <w:t xml:space="preserve"> on subjective and intermediate levels (Luo, Cai, Sedikides, et al., 2014; Luo, Cai, &amp; </w:t>
      </w:r>
      <w:r w:rsidR="00B80905">
        <w:rPr>
          <w:rFonts w:hint="eastAsia"/>
        </w:rPr>
        <w:t>Song</w:t>
      </w:r>
      <w:r w:rsidR="00B80905">
        <w:t xml:space="preserve">, 2014; Luo et al., 2016). </w:t>
      </w:r>
    </w:p>
    <w:p w14:paraId="464F1D2F" w14:textId="0597E941" w:rsidR="00B93801" w:rsidRDefault="00B93801">
      <w:pPr>
        <w:spacing w:line="480" w:lineRule="auto"/>
        <w:rPr>
          <w:color w:val="0000FF"/>
        </w:rPr>
      </w:pPr>
      <w:r>
        <w:rPr>
          <w:b/>
          <w:bCs/>
        </w:rPr>
        <w:lastRenderedPageBreak/>
        <w:t>Table 4.</w:t>
      </w:r>
      <w:r>
        <w:t xml:space="preserve"> Standardized </w:t>
      </w:r>
      <w:r w:rsidR="004E13B7">
        <w:t>E</w:t>
      </w:r>
      <w:r>
        <w:t xml:space="preserve">stimates of </w:t>
      </w:r>
      <w:r w:rsidR="004E13B7">
        <w:t>M</w:t>
      </w:r>
      <w:r>
        <w:t xml:space="preserve">odel </w:t>
      </w:r>
      <w:r w:rsidR="004E13B7">
        <w:t>P</w:t>
      </w:r>
      <w:r>
        <w:t xml:space="preserve">arameters from the </w:t>
      </w:r>
      <w:r w:rsidR="004E13B7">
        <w:t>I</w:t>
      </w:r>
      <w:r>
        <w:t xml:space="preserve">ndependent </w:t>
      </w:r>
      <w:r w:rsidR="004E13B7">
        <w:t>P</w:t>
      </w:r>
      <w:r>
        <w:t xml:space="preserve">athway </w:t>
      </w:r>
      <w:r w:rsidR="004E13B7">
        <w:t>M</w:t>
      </w:r>
      <w:r>
        <w:t>odel of</w:t>
      </w:r>
      <w:r>
        <w:rPr>
          <w:rFonts w:hint="eastAsia"/>
        </w:rPr>
        <w:t xml:space="preserve"> </w:t>
      </w:r>
      <w:r w:rsidR="004E13B7">
        <w:t>S</w:t>
      </w:r>
      <w:r>
        <w:t>elf-</w:t>
      </w:r>
      <w:r w:rsidR="004E13B7">
        <w:t>E</w:t>
      </w:r>
      <w:r>
        <w:t xml:space="preserve">nhancement </w:t>
      </w:r>
      <w:r w:rsidR="004E13B7">
        <w:t>M</w:t>
      </w:r>
      <w:r>
        <w:t>anifestations</w:t>
      </w:r>
    </w:p>
    <w:tbl>
      <w:tblPr>
        <w:tblStyle w:val="TableGrid"/>
        <w:tblW w:w="1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6"/>
        <w:gridCol w:w="1686"/>
        <w:gridCol w:w="1686"/>
        <w:gridCol w:w="1686"/>
        <w:gridCol w:w="1686"/>
        <w:gridCol w:w="1686"/>
        <w:gridCol w:w="1689"/>
      </w:tblGrid>
      <w:tr w:rsidR="00B93801" w14:paraId="4436909E" w14:textId="77777777" w:rsidTr="00434095">
        <w:trPr>
          <w:trHeight w:val="312"/>
        </w:trPr>
        <w:tc>
          <w:tcPr>
            <w:tcW w:w="1686" w:type="dxa"/>
            <w:tcBorders>
              <w:top w:val="single" w:sz="4" w:space="0" w:color="auto"/>
              <w:bottom w:val="single" w:sz="4" w:space="0" w:color="auto"/>
            </w:tcBorders>
            <w:vAlign w:val="center"/>
          </w:tcPr>
          <w:p w14:paraId="641F5BC7" w14:textId="77777777" w:rsidR="00B93801" w:rsidRDefault="00B93801" w:rsidP="00434095">
            <w:pPr>
              <w:spacing w:line="360" w:lineRule="auto"/>
              <w:jc w:val="left"/>
            </w:pPr>
            <w:r>
              <w:t>Variable</w:t>
            </w:r>
          </w:p>
        </w:tc>
        <w:tc>
          <w:tcPr>
            <w:tcW w:w="1686" w:type="dxa"/>
            <w:tcBorders>
              <w:top w:val="single" w:sz="4" w:space="0" w:color="auto"/>
              <w:bottom w:val="single" w:sz="4" w:space="0" w:color="auto"/>
            </w:tcBorders>
            <w:vAlign w:val="center"/>
          </w:tcPr>
          <w:p w14:paraId="2210DAFB" w14:textId="77777777" w:rsidR="00B93801" w:rsidRDefault="00B93801" w:rsidP="00434095">
            <w:pPr>
              <w:spacing w:line="360" w:lineRule="auto"/>
              <w:jc w:val="center"/>
            </w:pPr>
            <w:r>
              <w:t>A</w:t>
            </w:r>
            <w:r>
              <w:rPr>
                <w:vertAlign w:val="subscript"/>
              </w:rPr>
              <w:t>C</w:t>
            </w:r>
          </w:p>
        </w:tc>
        <w:tc>
          <w:tcPr>
            <w:tcW w:w="1686" w:type="dxa"/>
            <w:tcBorders>
              <w:top w:val="single" w:sz="4" w:space="0" w:color="auto"/>
              <w:bottom w:val="single" w:sz="4" w:space="0" w:color="auto"/>
            </w:tcBorders>
            <w:vAlign w:val="center"/>
          </w:tcPr>
          <w:p w14:paraId="7BAD820E" w14:textId="77777777" w:rsidR="00B93801" w:rsidRDefault="00B93801" w:rsidP="00434095">
            <w:pPr>
              <w:spacing w:line="360" w:lineRule="auto"/>
              <w:jc w:val="center"/>
            </w:pPr>
            <w:r>
              <w:t>C</w:t>
            </w:r>
            <w:r>
              <w:rPr>
                <w:vertAlign w:val="subscript"/>
              </w:rPr>
              <w:t>C</w:t>
            </w:r>
          </w:p>
        </w:tc>
        <w:tc>
          <w:tcPr>
            <w:tcW w:w="1686" w:type="dxa"/>
            <w:tcBorders>
              <w:top w:val="single" w:sz="4" w:space="0" w:color="auto"/>
              <w:bottom w:val="single" w:sz="4" w:space="0" w:color="auto"/>
            </w:tcBorders>
            <w:vAlign w:val="center"/>
          </w:tcPr>
          <w:p w14:paraId="4A63601A" w14:textId="77777777" w:rsidR="00B93801" w:rsidRDefault="00B93801" w:rsidP="00434095">
            <w:pPr>
              <w:spacing w:line="360" w:lineRule="auto"/>
              <w:jc w:val="center"/>
            </w:pPr>
            <w:r>
              <w:t>E</w:t>
            </w:r>
            <w:r>
              <w:rPr>
                <w:vertAlign w:val="subscript"/>
              </w:rPr>
              <w:t>C</w:t>
            </w:r>
          </w:p>
        </w:tc>
        <w:tc>
          <w:tcPr>
            <w:tcW w:w="1686" w:type="dxa"/>
            <w:tcBorders>
              <w:top w:val="single" w:sz="4" w:space="0" w:color="auto"/>
              <w:bottom w:val="single" w:sz="4" w:space="0" w:color="auto"/>
            </w:tcBorders>
            <w:vAlign w:val="center"/>
          </w:tcPr>
          <w:p w14:paraId="616A9997" w14:textId="77777777" w:rsidR="00B93801" w:rsidRDefault="00B93801" w:rsidP="00434095">
            <w:pPr>
              <w:spacing w:line="360" w:lineRule="auto"/>
              <w:jc w:val="center"/>
            </w:pPr>
            <w:r>
              <w:t>A</w:t>
            </w:r>
            <w:r>
              <w:rPr>
                <w:vertAlign w:val="subscript"/>
              </w:rPr>
              <w:t>S</w:t>
            </w:r>
          </w:p>
        </w:tc>
        <w:tc>
          <w:tcPr>
            <w:tcW w:w="1686" w:type="dxa"/>
            <w:tcBorders>
              <w:top w:val="single" w:sz="4" w:space="0" w:color="auto"/>
              <w:bottom w:val="single" w:sz="4" w:space="0" w:color="auto"/>
            </w:tcBorders>
            <w:vAlign w:val="center"/>
          </w:tcPr>
          <w:p w14:paraId="51930F05" w14:textId="77777777" w:rsidR="00B93801" w:rsidRDefault="00B93801" w:rsidP="00434095">
            <w:pPr>
              <w:spacing w:line="360" w:lineRule="auto"/>
              <w:jc w:val="center"/>
            </w:pPr>
            <w:r>
              <w:t>C</w:t>
            </w:r>
            <w:r>
              <w:rPr>
                <w:vertAlign w:val="subscript"/>
              </w:rPr>
              <w:t>S</w:t>
            </w:r>
          </w:p>
        </w:tc>
        <w:tc>
          <w:tcPr>
            <w:tcW w:w="1689" w:type="dxa"/>
            <w:tcBorders>
              <w:top w:val="single" w:sz="4" w:space="0" w:color="auto"/>
              <w:bottom w:val="single" w:sz="4" w:space="0" w:color="auto"/>
            </w:tcBorders>
            <w:vAlign w:val="center"/>
          </w:tcPr>
          <w:p w14:paraId="11B41281" w14:textId="77777777" w:rsidR="00B93801" w:rsidRDefault="00B93801" w:rsidP="00434095">
            <w:pPr>
              <w:spacing w:line="360" w:lineRule="auto"/>
              <w:jc w:val="center"/>
            </w:pPr>
            <w:r>
              <w:t>E</w:t>
            </w:r>
            <w:r>
              <w:rPr>
                <w:vertAlign w:val="subscript"/>
              </w:rPr>
              <w:t>S</w:t>
            </w:r>
          </w:p>
        </w:tc>
      </w:tr>
      <w:tr w:rsidR="00B93801" w14:paraId="3F00D3B7" w14:textId="77777777" w:rsidTr="0056323D">
        <w:trPr>
          <w:trHeight w:val="312"/>
        </w:trPr>
        <w:tc>
          <w:tcPr>
            <w:tcW w:w="1686" w:type="dxa"/>
            <w:tcBorders>
              <w:top w:val="single" w:sz="4" w:space="0" w:color="auto"/>
            </w:tcBorders>
            <w:shd w:val="clear" w:color="auto" w:fill="auto"/>
            <w:vAlign w:val="center"/>
          </w:tcPr>
          <w:p w14:paraId="0CCC1E7D" w14:textId="77777777" w:rsidR="00B93801" w:rsidRDefault="00B93801" w:rsidP="00434095">
            <w:pPr>
              <w:widowControl/>
              <w:spacing w:line="360" w:lineRule="auto"/>
              <w:jc w:val="left"/>
              <w:rPr>
                <w:bCs/>
              </w:rPr>
            </w:pPr>
            <w:r>
              <w:rPr>
                <w:bCs/>
              </w:rPr>
              <w:t>NPI</w:t>
            </w:r>
          </w:p>
        </w:tc>
        <w:tc>
          <w:tcPr>
            <w:tcW w:w="1686" w:type="dxa"/>
            <w:tcBorders>
              <w:top w:val="single" w:sz="4" w:space="0" w:color="auto"/>
            </w:tcBorders>
            <w:vAlign w:val="center"/>
          </w:tcPr>
          <w:p w14:paraId="0DBA5D48" w14:textId="77777777" w:rsidR="00B93801" w:rsidRDefault="00B93801" w:rsidP="00434095">
            <w:pPr>
              <w:widowControl/>
              <w:spacing w:line="360" w:lineRule="auto"/>
              <w:jc w:val="center"/>
              <w:textAlignment w:val="bottom"/>
              <w:rPr>
                <w:rFonts w:eastAsia="SimSun"/>
                <w:color w:val="000000"/>
                <w:lang w:bidi="ar"/>
              </w:rPr>
            </w:pPr>
            <w:r>
              <w:rPr>
                <w:rFonts w:eastAsia="SimSun"/>
                <w:color w:val="000000"/>
                <w:lang w:bidi="ar"/>
              </w:rPr>
              <w:t>.22 [.00, .52]</w:t>
            </w:r>
          </w:p>
        </w:tc>
        <w:tc>
          <w:tcPr>
            <w:tcW w:w="1686" w:type="dxa"/>
            <w:tcBorders>
              <w:top w:val="single" w:sz="4" w:space="0" w:color="auto"/>
            </w:tcBorders>
            <w:vAlign w:val="center"/>
          </w:tcPr>
          <w:p w14:paraId="41994BA7" w14:textId="77777777" w:rsidR="00B93801" w:rsidRDefault="00B93801" w:rsidP="00434095">
            <w:pPr>
              <w:widowControl/>
              <w:spacing w:line="360" w:lineRule="auto"/>
              <w:jc w:val="center"/>
              <w:textAlignment w:val="bottom"/>
              <w:rPr>
                <w:rFonts w:eastAsia="SimSun"/>
                <w:color w:val="000000"/>
                <w:lang w:bidi="ar"/>
              </w:rPr>
            </w:pPr>
            <w:r>
              <w:rPr>
                <w:rFonts w:eastAsia="SimSun"/>
                <w:color w:val="000000"/>
                <w:lang w:bidi="ar"/>
              </w:rPr>
              <w:t>.38 [.00, .60]</w:t>
            </w:r>
          </w:p>
        </w:tc>
        <w:tc>
          <w:tcPr>
            <w:tcW w:w="1686" w:type="dxa"/>
            <w:tcBorders>
              <w:top w:val="single" w:sz="4" w:space="0" w:color="auto"/>
            </w:tcBorders>
            <w:vAlign w:val="center"/>
          </w:tcPr>
          <w:p w14:paraId="30F81DDC" w14:textId="77777777" w:rsidR="00B93801" w:rsidRDefault="00B93801" w:rsidP="00434095">
            <w:pPr>
              <w:widowControl/>
              <w:spacing w:line="360" w:lineRule="auto"/>
              <w:jc w:val="center"/>
              <w:textAlignment w:val="bottom"/>
              <w:rPr>
                <w:rFonts w:eastAsia="SimSun"/>
                <w:color w:val="000000"/>
                <w:lang w:bidi="ar"/>
              </w:rPr>
            </w:pPr>
            <w:r>
              <w:rPr>
                <w:rFonts w:eastAsia="SimSun"/>
                <w:color w:val="000000"/>
                <w:lang w:bidi="ar"/>
              </w:rPr>
              <w:t>.46 [.33, .56]</w:t>
            </w:r>
          </w:p>
        </w:tc>
        <w:tc>
          <w:tcPr>
            <w:tcW w:w="1686" w:type="dxa"/>
            <w:tcBorders>
              <w:top w:val="single" w:sz="4" w:space="0" w:color="auto"/>
            </w:tcBorders>
            <w:vAlign w:val="center"/>
          </w:tcPr>
          <w:p w14:paraId="399E52BF" w14:textId="77777777" w:rsidR="00B93801" w:rsidRDefault="00B93801" w:rsidP="00434095">
            <w:pPr>
              <w:widowControl/>
              <w:spacing w:line="360" w:lineRule="auto"/>
              <w:jc w:val="center"/>
              <w:textAlignment w:val="bottom"/>
            </w:pPr>
            <w:r>
              <w:t>.45 [.00, .57]</w:t>
            </w:r>
          </w:p>
        </w:tc>
        <w:tc>
          <w:tcPr>
            <w:tcW w:w="1686" w:type="dxa"/>
            <w:tcBorders>
              <w:top w:val="single" w:sz="4" w:space="0" w:color="auto"/>
            </w:tcBorders>
            <w:vAlign w:val="center"/>
          </w:tcPr>
          <w:p w14:paraId="09D92A5A" w14:textId="77777777" w:rsidR="00B93801" w:rsidRDefault="00B93801" w:rsidP="00434095">
            <w:pPr>
              <w:spacing w:line="360" w:lineRule="auto"/>
              <w:jc w:val="center"/>
            </w:pPr>
            <w:r>
              <w:t>.00 [.00, .37]</w:t>
            </w:r>
          </w:p>
        </w:tc>
        <w:tc>
          <w:tcPr>
            <w:tcW w:w="1689" w:type="dxa"/>
            <w:tcBorders>
              <w:top w:val="single" w:sz="4" w:space="0" w:color="auto"/>
            </w:tcBorders>
            <w:vAlign w:val="center"/>
          </w:tcPr>
          <w:p w14:paraId="6B3A84AD" w14:textId="77777777" w:rsidR="00B93801" w:rsidRDefault="00B93801" w:rsidP="00434095">
            <w:pPr>
              <w:spacing w:line="360" w:lineRule="auto"/>
              <w:jc w:val="center"/>
            </w:pPr>
            <w:r>
              <w:t>.63 [.55, .71]</w:t>
            </w:r>
          </w:p>
        </w:tc>
      </w:tr>
      <w:tr w:rsidR="00B93801" w14:paraId="00655229" w14:textId="77777777" w:rsidTr="00434095">
        <w:trPr>
          <w:trHeight w:val="312"/>
        </w:trPr>
        <w:tc>
          <w:tcPr>
            <w:tcW w:w="1686" w:type="dxa"/>
            <w:shd w:val="clear" w:color="auto" w:fill="auto"/>
            <w:vAlign w:val="center"/>
          </w:tcPr>
          <w:p w14:paraId="1DC6D87E" w14:textId="77777777" w:rsidR="00B93801" w:rsidRDefault="00B93801" w:rsidP="00434095">
            <w:pPr>
              <w:widowControl/>
              <w:spacing w:line="360" w:lineRule="auto"/>
              <w:jc w:val="left"/>
            </w:pPr>
            <w:r>
              <w:rPr>
                <w:bCs/>
              </w:rPr>
              <w:t>CNI</w:t>
            </w:r>
          </w:p>
        </w:tc>
        <w:tc>
          <w:tcPr>
            <w:tcW w:w="1686" w:type="dxa"/>
            <w:vAlign w:val="center"/>
          </w:tcPr>
          <w:p w14:paraId="706C1869" w14:textId="77777777" w:rsidR="00B93801" w:rsidRDefault="00B93801" w:rsidP="00434095">
            <w:pPr>
              <w:widowControl/>
              <w:spacing w:line="360" w:lineRule="auto"/>
              <w:jc w:val="center"/>
              <w:textAlignment w:val="bottom"/>
            </w:pPr>
            <w:r>
              <w:rPr>
                <w:rFonts w:eastAsia="SimSun"/>
                <w:color w:val="000000"/>
                <w:lang w:bidi="ar"/>
              </w:rPr>
              <w:t>.63 [.00, .72]</w:t>
            </w:r>
          </w:p>
        </w:tc>
        <w:tc>
          <w:tcPr>
            <w:tcW w:w="1686" w:type="dxa"/>
            <w:vAlign w:val="center"/>
          </w:tcPr>
          <w:p w14:paraId="7DF16EA6" w14:textId="77777777" w:rsidR="00B93801" w:rsidRDefault="00B93801" w:rsidP="00434095">
            <w:pPr>
              <w:widowControl/>
              <w:spacing w:line="360" w:lineRule="auto"/>
              <w:jc w:val="center"/>
              <w:textAlignment w:val="bottom"/>
            </w:pPr>
            <w:r>
              <w:rPr>
                <w:rFonts w:eastAsia="SimSun"/>
                <w:color w:val="000000"/>
                <w:lang w:bidi="ar"/>
              </w:rPr>
              <w:t>.11 [.00, .43]</w:t>
            </w:r>
          </w:p>
        </w:tc>
        <w:tc>
          <w:tcPr>
            <w:tcW w:w="1686" w:type="dxa"/>
            <w:vAlign w:val="center"/>
          </w:tcPr>
          <w:p w14:paraId="322ED5E9" w14:textId="77777777" w:rsidR="00B93801" w:rsidRDefault="00B93801" w:rsidP="00434095">
            <w:pPr>
              <w:widowControl/>
              <w:spacing w:line="360" w:lineRule="auto"/>
              <w:jc w:val="center"/>
              <w:textAlignment w:val="bottom"/>
            </w:pPr>
            <w:r>
              <w:rPr>
                <w:rFonts w:eastAsia="SimSun"/>
                <w:color w:val="000000"/>
                <w:lang w:bidi="ar"/>
              </w:rPr>
              <w:t>.46 [.33, .65]</w:t>
            </w:r>
          </w:p>
        </w:tc>
        <w:tc>
          <w:tcPr>
            <w:tcW w:w="1686" w:type="dxa"/>
            <w:vAlign w:val="center"/>
          </w:tcPr>
          <w:p w14:paraId="49D10C02" w14:textId="77777777" w:rsidR="00B93801" w:rsidRDefault="00B93801" w:rsidP="00434095">
            <w:pPr>
              <w:widowControl/>
              <w:spacing w:line="360" w:lineRule="auto"/>
              <w:jc w:val="center"/>
              <w:textAlignment w:val="bottom"/>
            </w:pPr>
            <w:r>
              <w:t>.00 [.00, .48]</w:t>
            </w:r>
          </w:p>
        </w:tc>
        <w:tc>
          <w:tcPr>
            <w:tcW w:w="1686" w:type="dxa"/>
            <w:vAlign w:val="center"/>
          </w:tcPr>
          <w:p w14:paraId="73C683B0" w14:textId="77777777" w:rsidR="00B93801" w:rsidRDefault="00B93801" w:rsidP="00434095">
            <w:pPr>
              <w:spacing w:line="360" w:lineRule="auto"/>
              <w:jc w:val="center"/>
            </w:pPr>
            <w:r>
              <w:t>.00 [.00, .45]</w:t>
            </w:r>
          </w:p>
        </w:tc>
        <w:tc>
          <w:tcPr>
            <w:tcW w:w="1689" w:type="dxa"/>
            <w:vAlign w:val="center"/>
          </w:tcPr>
          <w:p w14:paraId="21B6E469" w14:textId="77777777" w:rsidR="00B93801" w:rsidRDefault="00B93801" w:rsidP="00434095">
            <w:pPr>
              <w:spacing w:line="360" w:lineRule="auto"/>
              <w:jc w:val="center"/>
            </w:pPr>
            <w:r>
              <w:t>.61 [.54, .69]</w:t>
            </w:r>
          </w:p>
        </w:tc>
      </w:tr>
      <w:tr w:rsidR="00B93801" w14:paraId="2527D49B" w14:textId="77777777" w:rsidTr="00434095">
        <w:trPr>
          <w:trHeight w:val="312"/>
        </w:trPr>
        <w:tc>
          <w:tcPr>
            <w:tcW w:w="1686" w:type="dxa"/>
            <w:shd w:val="clear" w:color="auto" w:fill="auto"/>
            <w:vAlign w:val="center"/>
          </w:tcPr>
          <w:p w14:paraId="4A0DA358" w14:textId="77777777" w:rsidR="00B93801" w:rsidRDefault="00B93801" w:rsidP="00434095">
            <w:pPr>
              <w:widowControl/>
              <w:spacing w:line="360" w:lineRule="auto"/>
              <w:jc w:val="left"/>
            </w:pPr>
            <w:r>
              <w:rPr>
                <w:bCs/>
              </w:rPr>
              <w:t>NGS</w:t>
            </w:r>
          </w:p>
        </w:tc>
        <w:tc>
          <w:tcPr>
            <w:tcW w:w="1686" w:type="dxa"/>
            <w:vAlign w:val="center"/>
          </w:tcPr>
          <w:p w14:paraId="08404682" w14:textId="77777777" w:rsidR="00B93801" w:rsidRDefault="00B93801" w:rsidP="00434095">
            <w:pPr>
              <w:widowControl/>
              <w:spacing w:line="360" w:lineRule="auto"/>
              <w:jc w:val="center"/>
              <w:textAlignment w:val="bottom"/>
            </w:pPr>
            <w:r>
              <w:rPr>
                <w:rFonts w:eastAsia="SimSun"/>
                <w:color w:val="000000"/>
                <w:lang w:bidi="ar"/>
              </w:rPr>
              <w:t>.42 [.00, .75]</w:t>
            </w:r>
          </w:p>
        </w:tc>
        <w:tc>
          <w:tcPr>
            <w:tcW w:w="1686" w:type="dxa"/>
            <w:vAlign w:val="center"/>
          </w:tcPr>
          <w:p w14:paraId="24DD9B6E" w14:textId="77777777" w:rsidR="00B93801" w:rsidRDefault="00B93801" w:rsidP="00434095">
            <w:pPr>
              <w:widowControl/>
              <w:spacing w:line="360" w:lineRule="auto"/>
              <w:jc w:val="center"/>
              <w:textAlignment w:val="bottom"/>
            </w:pPr>
            <w:r>
              <w:rPr>
                <w:rFonts w:eastAsia="SimSun"/>
                <w:color w:val="000000"/>
                <w:lang w:bidi="ar"/>
              </w:rPr>
              <w:t>.34 [.00, .67]</w:t>
            </w:r>
          </w:p>
        </w:tc>
        <w:tc>
          <w:tcPr>
            <w:tcW w:w="1686" w:type="dxa"/>
            <w:vAlign w:val="center"/>
          </w:tcPr>
          <w:p w14:paraId="64A09942" w14:textId="77777777" w:rsidR="00B93801" w:rsidRDefault="00B93801" w:rsidP="00434095">
            <w:pPr>
              <w:widowControl/>
              <w:spacing w:line="360" w:lineRule="auto"/>
              <w:jc w:val="center"/>
              <w:textAlignment w:val="bottom"/>
            </w:pPr>
            <w:r>
              <w:rPr>
                <w:rFonts w:eastAsia="SimSun"/>
                <w:color w:val="000000"/>
                <w:lang w:bidi="ar"/>
              </w:rPr>
              <w:t>.61 [.48, .72]</w:t>
            </w:r>
          </w:p>
        </w:tc>
        <w:tc>
          <w:tcPr>
            <w:tcW w:w="1686" w:type="dxa"/>
            <w:vAlign w:val="center"/>
          </w:tcPr>
          <w:p w14:paraId="00247211" w14:textId="77777777" w:rsidR="00B93801" w:rsidRDefault="00B93801" w:rsidP="00434095">
            <w:pPr>
              <w:widowControl/>
              <w:spacing w:line="360" w:lineRule="auto"/>
              <w:jc w:val="center"/>
              <w:textAlignment w:val="bottom"/>
            </w:pPr>
            <w:r>
              <w:t>.00 [.00, .36]</w:t>
            </w:r>
          </w:p>
        </w:tc>
        <w:tc>
          <w:tcPr>
            <w:tcW w:w="1686" w:type="dxa"/>
            <w:vAlign w:val="center"/>
          </w:tcPr>
          <w:p w14:paraId="113897AC" w14:textId="77777777" w:rsidR="00B93801" w:rsidRDefault="00B93801" w:rsidP="00434095">
            <w:pPr>
              <w:spacing w:line="360" w:lineRule="auto"/>
              <w:jc w:val="center"/>
            </w:pPr>
            <w:r>
              <w:t>.27 [.00, .36]</w:t>
            </w:r>
          </w:p>
        </w:tc>
        <w:tc>
          <w:tcPr>
            <w:tcW w:w="1689" w:type="dxa"/>
            <w:vAlign w:val="center"/>
          </w:tcPr>
          <w:p w14:paraId="431F5C61" w14:textId="77777777" w:rsidR="00B93801" w:rsidRDefault="00B93801" w:rsidP="00434095">
            <w:pPr>
              <w:spacing w:line="360" w:lineRule="auto"/>
              <w:jc w:val="center"/>
            </w:pPr>
            <w:r>
              <w:t>.52 [.42, .61]</w:t>
            </w:r>
          </w:p>
        </w:tc>
      </w:tr>
      <w:tr w:rsidR="00B93801" w14:paraId="0447FEE7" w14:textId="77777777" w:rsidTr="00434095">
        <w:trPr>
          <w:trHeight w:val="312"/>
        </w:trPr>
        <w:tc>
          <w:tcPr>
            <w:tcW w:w="1686" w:type="dxa"/>
            <w:shd w:val="clear" w:color="auto" w:fill="auto"/>
            <w:vAlign w:val="center"/>
          </w:tcPr>
          <w:p w14:paraId="0414026C" w14:textId="6229398A" w:rsidR="00B93801" w:rsidRDefault="00B93801">
            <w:pPr>
              <w:widowControl/>
              <w:spacing w:line="360" w:lineRule="auto"/>
              <w:jc w:val="left"/>
            </w:pPr>
            <w:r>
              <w:rPr>
                <w:bCs/>
              </w:rPr>
              <w:t>BTA</w:t>
            </w:r>
            <w:r w:rsidR="004A1AFA">
              <w:rPr>
                <w:bCs/>
              </w:rPr>
              <w:t>T</w:t>
            </w:r>
          </w:p>
        </w:tc>
        <w:tc>
          <w:tcPr>
            <w:tcW w:w="1686" w:type="dxa"/>
            <w:vAlign w:val="center"/>
          </w:tcPr>
          <w:p w14:paraId="0EADA0FC" w14:textId="77777777" w:rsidR="00B93801" w:rsidRDefault="00B93801" w:rsidP="00434095">
            <w:pPr>
              <w:widowControl/>
              <w:spacing w:line="360" w:lineRule="auto"/>
              <w:jc w:val="center"/>
              <w:textAlignment w:val="bottom"/>
            </w:pPr>
            <w:r>
              <w:rPr>
                <w:rFonts w:eastAsia="SimSun"/>
                <w:color w:val="000000"/>
                <w:lang w:bidi="ar"/>
              </w:rPr>
              <w:t>.45 [.09, .73]</w:t>
            </w:r>
          </w:p>
        </w:tc>
        <w:tc>
          <w:tcPr>
            <w:tcW w:w="1686" w:type="dxa"/>
            <w:vAlign w:val="center"/>
          </w:tcPr>
          <w:p w14:paraId="36059C6B" w14:textId="77777777" w:rsidR="00B93801" w:rsidRDefault="00B93801" w:rsidP="00434095">
            <w:pPr>
              <w:widowControl/>
              <w:spacing w:line="360" w:lineRule="auto"/>
              <w:jc w:val="center"/>
              <w:textAlignment w:val="bottom"/>
            </w:pPr>
            <w:r>
              <w:rPr>
                <w:rFonts w:eastAsia="SimSun"/>
                <w:color w:val="000000"/>
                <w:lang w:bidi="ar"/>
              </w:rPr>
              <w:t>.45 [.00, .64]</w:t>
            </w:r>
          </w:p>
        </w:tc>
        <w:tc>
          <w:tcPr>
            <w:tcW w:w="1686" w:type="dxa"/>
            <w:vAlign w:val="center"/>
          </w:tcPr>
          <w:p w14:paraId="104E898B" w14:textId="77777777" w:rsidR="00B93801" w:rsidRDefault="00B93801" w:rsidP="00434095">
            <w:pPr>
              <w:widowControl/>
              <w:spacing w:line="360" w:lineRule="auto"/>
              <w:jc w:val="center"/>
              <w:textAlignment w:val="bottom"/>
            </w:pPr>
            <w:r>
              <w:rPr>
                <w:rFonts w:eastAsia="SimSun"/>
                <w:color w:val="000000"/>
                <w:lang w:bidi="ar"/>
              </w:rPr>
              <w:t>.44 [.32, .55]</w:t>
            </w:r>
          </w:p>
        </w:tc>
        <w:tc>
          <w:tcPr>
            <w:tcW w:w="1686" w:type="dxa"/>
            <w:vAlign w:val="center"/>
          </w:tcPr>
          <w:p w14:paraId="2FFF56B7" w14:textId="77777777" w:rsidR="00B93801" w:rsidRDefault="00B93801" w:rsidP="00434095">
            <w:pPr>
              <w:widowControl/>
              <w:spacing w:line="360" w:lineRule="auto"/>
              <w:jc w:val="center"/>
              <w:textAlignment w:val="bottom"/>
            </w:pPr>
            <w:r>
              <w:t>.20 [.00, .39]</w:t>
            </w:r>
          </w:p>
        </w:tc>
        <w:tc>
          <w:tcPr>
            <w:tcW w:w="1686" w:type="dxa"/>
            <w:vAlign w:val="center"/>
          </w:tcPr>
          <w:p w14:paraId="71AE6D50" w14:textId="77777777" w:rsidR="00B93801" w:rsidRDefault="00B93801" w:rsidP="00434095">
            <w:pPr>
              <w:spacing w:line="360" w:lineRule="auto"/>
              <w:jc w:val="center"/>
            </w:pPr>
            <w:r>
              <w:t>.00 [.00, .32]</w:t>
            </w:r>
          </w:p>
        </w:tc>
        <w:tc>
          <w:tcPr>
            <w:tcW w:w="1689" w:type="dxa"/>
            <w:vAlign w:val="center"/>
          </w:tcPr>
          <w:p w14:paraId="4BA4972A" w14:textId="77777777" w:rsidR="00B93801" w:rsidRDefault="00B93801" w:rsidP="00434095">
            <w:pPr>
              <w:spacing w:line="360" w:lineRule="auto"/>
              <w:jc w:val="center"/>
            </w:pPr>
            <w:r>
              <w:t>.60 [.52, .67]</w:t>
            </w:r>
          </w:p>
        </w:tc>
      </w:tr>
      <w:tr w:rsidR="00B93801" w14:paraId="694A8F61" w14:textId="77777777" w:rsidTr="00434095">
        <w:trPr>
          <w:trHeight w:val="312"/>
        </w:trPr>
        <w:tc>
          <w:tcPr>
            <w:tcW w:w="1686" w:type="dxa"/>
            <w:tcBorders>
              <w:bottom w:val="single" w:sz="4" w:space="0" w:color="auto"/>
            </w:tcBorders>
            <w:shd w:val="clear" w:color="auto" w:fill="auto"/>
            <w:vAlign w:val="center"/>
          </w:tcPr>
          <w:p w14:paraId="590A92D2" w14:textId="77777777" w:rsidR="00B93801" w:rsidRDefault="00B93801" w:rsidP="00434095">
            <w:pPr>
              <w:widowControl/>
              <w:spacing w:line="360" w:lineRule="auto"/>
              <w:jc w:val="left"/>
            </w:pPr>
            <w:r>
              <w:rPr>
                <w:bCs/>
              </w:rPr>
              <w:t>OCQ</w:t>
            </w:r>
          </w:p>
        </w:tc>
        <w:tc>
          <w:tcPr>
            <w:tcW w:w="1686" w:type="dxa"/>
            <w:tcBorders>
              <w:bottom w:val="single" w:sz="4" w:space="0" w:color="auto"/>
            </w:tcBorders>
            <w:vAlign w:val="center"/>
          </w:tcPr>
          <w:p w14:paraId="05AF7742" w14:textId="77777777" w:rsidR="00B93801" w:rsidRDefault="00B93801" w:rsidP="00434095">
            <w:pPr>
              <w:widowControl/>
              <w:spacing w:line="360" w:lineRule="auto"/>
              <w:jc w:val="center"/>
              <w:textAlignment w:val="bottom"/>
            </w:pPr>
            <w:r>
              <w:rPr>
                <w:rFonts w:eastAsia="SimSun"/>
                <w:color w:val="000000"/>
                <w:lang w:bidi="ar"/>
              </w:rPr>
              <w:t>.31 [.04, .72]</w:t>
            </w:r>
          </w:p>
        </w:tc>
        <w:tc>
          <w:tcPr>
            <w:tcW w:w="1686" w:type="dxa"/>
            <w:tcBorders>
              <w:bottom w:val="single" w:sz="4" w:space="0" w:color="auto"/>
            </w:tcBorders>
            <w:vAlign w:val="center"/>
          </w:tcPr>
          <w:p w14:paraId="377EC0D8" w14:textId="77777777" w:rsidR="00B93801" w:rsidRDefault="00B93801" w:rsidP="00434095">
            <w:pPr>
              <w:widowControl/>
              <w:spacing w:line="360" w:lineRule="auto"/>
              <w:jc w:val="center"/>
              <w:textAlignment w:val="bottom"/>
            </w:pPr>
            <w:r>
              <w:rPr>
                <w:rFonts w:eastAsia="SimSun"/>
                <w:color w:val="000000"/>
                <w:lang w:bidi="ar"/>
              </w:rPr>
              <w:t>.29 [.00, .47]</w:t>
            </w:r>
          </w:p>
        </w:tc>
        <w:tc>
          <w:tcPr>
            <w:tcW w:w="1686" w:type="dxa"/>
            <w:tcBorders>
              <w:bottom w:val="single" w:sz="4" w:space="0" w:color="auto"/>
            </w:tcBorders>
            <w:vAlign w:val="center"/>
          </w:tcPr>
          <w:p w14:paraId="14B8FC35" w14:textId="77777777" w:rsidR="00B93801" w:rsidRDefault="00B93801" w:rsidP="00434095">
            <w:pPr>
              <w:widowControl/>
              <w:spacing w:line="360" w:lineRule="auto"/>
              <w:jc w:val="center"/>
              <w:textAlignment w:val="bottom"/>
            </w:pPr>
            <w:r>
              <w:rPr>
                <w:rFonts w:eastAsia="SimSun"/>
                <w:color w:val="000000"/>
                <w:lang w:bidi="ar"/>
              </w:rPr>
              <w:t>.16 [.04, .27]</w:t>
            </w:r>
          </w:p>
        </w:tc>
        <w:tc>
          <w:tcPr>
            <w:tcW w:w="1686" w:type="dxa"/>
            <w:tcBorders>
              <w:bottom w:val="single" w:sz="4" w:space="0" w:color="auto"/>
            </w:tcBorders>
            <w:vAlign w:val="center"/>
          </w:tcPr>
          <w:p w14:paraId="17B039A6" w14:textId="77777777" w:rsidR="00B93801" w:rsidRDefault="00B93801" w:rsidP="00434095">
            <w:pPr>
              <w:widowControl/>
              <w:spacing w:line="360" w:lineRule="auto"/>
              <w:jc w:val="center"/>
              <w:textAlignment w:val="bottom"/>
            </w:pPr>
            <w:r>
              <w:t>.55 [.16, .65]</w:t>
            </w:r>
          </w:p>
        </w:tc>
        <w:tc>
          <w:tcPr>
            <w:tcW w:w="1686" w:type="dxa"/>
            <w:tcBorders>
              <w:bottom w:val="single" w:sz="4" w:space="0" w:color="auto"/>
            </w:tcBorders>
            <w:vAlign w:val="center"/>
          </w:tcPr>
          <w:p w14:paraId="5EA05837" w14:textId="77777777" w:rsidR="00B93801" w:rsidRDefault="00B93801" w:rsidP="00434095">
            <w:pPr>
              <w:spacing w:line="360" w:lineRule="auto"/>
              <w:jc w:val="center"/>
            </w:pPr>
            <w:r>
              <w:t>.00 [.00, .47]</w:t>
            </w:r>
          </w:p>
        </w:tc>
        <w:tc>
          <w:tcPr>
            <w:tcW w:w="1689" w:type="dxa"/>
            <w:tcBorders>
              <w:bottom w:val="single" w:sz="4" w:space="0" w:color="auto"/>
            </w:tcBorders>
            <w:vAlign w:val="center"/>
          </w:tcPr>
          <w:p w14:paraId="486517B0" w14:textId="77777777" w:rsidR="00B93801" w:rsidRDefault="00B93801" w:rsidP="00434095">
            <w:pPr>
              <w:spacing w:line="360" w:lineRule="auto"/>
              <w:jc w:val="center"/>
            </w:pPr>
            <w:r>
              <w:t>.70 [.63, .78]</w:t>
            </w:r>
          </w:p>
        </w:tc>
      </w:tr>
    </w:tbl>
    <w:p w14:paraId="4E55382E" w14:textId="77777777" w:rsidR="00B93801" w:rsidRDefault="00B93801" w:rsidP="00B93801">
      <w:pPr>
        <w:rPr>
          <w:i/>
          <w:sz w:val="21"/>
          <w:szCs w:val="21"/>
        </w:rPr>
      </w:pPr>
    </w:p>
    <w:p w14:paraId="290EF67E" w14:textId="61980857" w:rsidR="00AC4D9F" w:rsidRDefault="00B93801" w:rsidP="00AC4D9F">
      <w:pPr>
        <w:spacing w:line="480" w:lineRule="auto"/>
        <w:rPr>
          <w:sz w:val="21"/>
          <w:szCs w:val="21"/>
        </w:rPr>
      </w:pPr>
      <w:r>
        <w:rPr>
          <w:i/>
          <w:sz w:val="21"/>
          <w:szCs w:val="21"/>
        </w:rPr>
        <w:t>Note.</w:t>
      </w:r>
      <w:r>
        <w:rPr>
          <w:sz w:val="21"/>
          <w:szCs w:val="21"/>
        </w:rPr>
        <w:t xml:space="preserve"> NPI: Narcissistic Personality Inventory; CNI: Communal Narcissism Inventory; NGS: Narcissistic Grandiosity Scale; BTA</w:t>
      </w:r>
      <w:r w:rsidR="004A1AFA">
        <w:rPr>
          <w:sz w:val="21"/>
          <w:szCs w:val="21"/>
        </w:rPr>
        <w:t>T</w:t>
      </w:r>
      <w:r>
        <w:rPr>
          <w:sz w:val="21"/>
          <w:szCs w:val="21"/>
        </w:rPr>
        <w:t>: Better-</w:t>
      </w:r>
      <w:r w:rsidR="004A1AFA">
        <w:rPr>
          <w:sz w:val="21"/>
          <w:szCs w:val="21"/>
        </w:rPr>
        <w:t>T</w:t>
      </w:r>
      <w:r>
        <w:rPr>
          <w:sz w:val="21"/>
          <w:szCs w:val="21"/>
        </w:rPr>
        <w:t>han-</w:t>
      </w:r>
      <w:r w:rsidR="004A1AFA">
        <w:rPr>
          <w:sz w:val="21"/>
          <w:szCs w:val="21"/>
        </w:rPr>
        <w:t>A</w:t>
      </w:r>
      <w:r>
        <w:rPr>
          <w:sz w:val="21"/>
          <w:szCs w:val="21"/>
        </w:rPr>
        <w:t xml:space="preserve">verage </w:t>
      </w:r>
      <w:r w:rsidR="004A1AFA">
        <w:rPr>
          <w:sz w:val="21"/>
          <w:szCs w:val="21"/>
        </w:rPr>
        <w:t>Task</w:t>
      </w:r>
      <w:r>
        <w:rPr>
          <w:sz w:val="21"/>
          <w:szCs w:val="21"/>
        </w:rPr>
        <w:t>; OCQ: Over-Claiming Questionnaire. Ac, Cc, and Ec, respectively, represent genetic, shared environmental, and non-shared environmental influences common to all the measures. A</w:t>
      </w:r>
      <w:r>
        <w:rPr>
          <w:sz w:val="21"/>
          <w:szCs w:val="21"/>
          <w:vertAlign w:val="subscript"/>
        </w:rPr>
        <w:t>S</w:t>
      </w:r>
      <w:r>
        <w:rPr>
          <w:sz w:val="21"/>
          <w:szCs w:val="21"/>
        </w:rPr>
        <w:t>, C</w:t>
      </w:r>
      <w:r>
        <w:rPr>
          <w:sz w:val="21"/>
          <w:szCs w:val="21"/>
          <w:vertAlign w:val="subscript"/>
        </w:rPr>
        <w:t>S</w:t>
      </w:r>
      <w:r>
        <w:rPr>
          <w:sz w:val="21"/>
          <w:szCs w:val="21"/>
        </w:rPr>
        <w:t>, and E</w:t>
      </w:r>
      <w:r>
        <w:rPr>
          <w:sz w:val="21"/>
          <w:szCs w:val="21"/>
          <w:vertAlign w:val="subscript"/>
        </w:rPr>
        <w:t>S,</w:t>
      </w:r>
      <w:r>
        <w:rPr>
          <w:sz w:val="21"/>
          <w:szCs w:val="21"/>
        </w:rPr>
        <w:t xml:space="preserve"> respectively, represent genetic, shared environmental, and non-shared environmental influences specific to each measure.</w:t>
      </w:r>
      <w:r w:rsidR="006E25CD">
        <w:rPr>
          <w:sz w:val="21"/>
          <w:szCs w:val="21"/>
        </w:rPr>
        <w:t xml:space="preserve"> 95% confidence intervals are in brackets.</w:t>
      </w:r>
    </w:p>
    <w:p w14:paraId="2084C9E9" w14:textId="009F7B31" w:rsidR="007D31AB" w:rsidRDefault="007D31AB">
      <w:pPr>
        <w:rPr>
          <w:sz w:val="21"/>
          <w:szCs w:val="21"/>
        </w:rPr>
      </w:pPr>
      <w:r>
        <w:rPr>
          <w:sz w:val="21"/>
          <w:szCs w:val="21"/>
        </w:rPr>
        <w:br w:type="page"/>
      </w:r>
    </w:p>
    <w:p w14:paraId="0145BA5B" w14:textId="77777777" w:rsidR="007D31AB" w:rsidRDefault="007D31AB" w:rsidP="00AC4D9F">
      <w:pPr>
        <w:spacing w:line="480" w:lineRule="auto"/>
        <w:rPr>
          <w:sz w:val="21"/>
          <w:szCs w:val="21"/>
        </w:rPr>
      </w:pPr>
    </w:p>
    <w:tbl>
      <w:tblPr>
        <w:tblStyle w:val="PlainTable41"/>
        <w:tblpPr w:leftFromText="180" w:rightFromText="180" w:vertAnchor="text" w:horzAnchor="page" w:tblpX="1458" w:tblpY="925"/>
        <w:tblOverlap w:val="never"/>
        <w:tblW w:w="0" w:type="auto"/>
        <w:tblLayout w:type="fixed"/>
        <w:tblLook w:val="04A0" w:firstRow="1" w:lastRow="0" w:firstColumn="1" w:lastColumn="0" w:noHBand="0" w:noVBand="1"/>
      </w:tblPr>
      <w:tblGrid>
        <w:gridCol w:w="1418"/>
        <w:gridCol w:w="1508"/>
        <w:gridCol w:w="1456"/>
        <w:gridCol w:w="1456"/>
        <w:gridCol w:w="1456"/>
        <w:gridCol w:w="236"/>
        <w:gridCol w:w="1110"/>
        <w:gridCol w:w="1003"/>
        <w:gridCol w:w="1110"/>
        <w:gridCol w:w="1003"/>
        <w:gridCol w:w="1110"/>
        <w:gridCol w:w="1003"/>
      </w:tblGrid>
      <w:tr w:rsidR="00F76BE3" w14:paraId="28956490" w14:textId="77777777" w:rsidTr="00F76BE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vAlign w:val="center"/>
          </w:tcPr>
          <w:p w14:paraId="5A63AAF9" w14:textId="77777777" w:rsidR="00F76BE3" w:rsidRDefault="00F76BE3" w:rsidP="00F76BE3">
            <w:pPr>
              <w:adjustRightInd w:val="0"/>
              <w:snapToGrid w:val="0"/>
              <w:spacing w:line="360" w:lineRule="auto"/>
              <w:jc w:val="both"/>
              <w:rPr>
                <w:bCs w:val="0"/>
              </w:rPr>
            </w:pPr>
            <w:r>
              <w:rPr>
                <w:b w:val="0"/>
              </w:rPr>
              <w:t>Variables</w:t>
            </w:r>
          </w:p>
        </w:tc>
        <w:tc>
          <w:tcPr>
            <w:tcW w:w="5876" w:type="dxa"/>
            <w:gridSpan w:val="4"/>
            <w:tcBorders>
              <w:top w:val="single" w:sz="4" w:space="0" w:color="auto"/>
              <w:bottom w:val="single" w:sz="4" w:space="0" w:color="auto"/>
            </w:tcBorders>
            <w:shd w:val="clear" w:color="auto" w:fill="auto"/>
            <w:vAlign w:val="center"/>
          </w:tcPr>
          <w:p w14:paraId="3CA2EB66" w14:textId="77777777" w:rsidR="00F76BE3" w:rsidRDefault="00F76BE3" w:rsidP="00F76BE3">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bCs w:val="0"/>
              </w:rPr>
            </w:pPr>
            <w:r>
              <w:rPr>
                <w:b w:val="0"/>
              </w:rPr>
              <w:t>Path Parameters</w:t>
            </w:r>
          </w:p>
        </w:tc>
        <w:tc>
          <w:tcPr>
            <w:tcW w:w="236" w:type="dxa"/>
            <w:tcBorders>
              <w:top w:val="single" w:sz="4" w:space="0" w:color="auto"/>
            </w:tcBorders>
            <w:shd w:val="clear" w:color="auto" w:fill="auto"/>
            <w:vAlign w:val="center"/>
          </w:tcPr>
          <w:p w14:paraId="512D72D5" w14:textId="77777777" w:rsidR="00F76BE3" w:rsidRDefault="00F76BE3" w:rsidP="00F76BE3">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bCs w:val="0"/>
              </w:rPr>
            </w:pPr>
          </w:p>
        </w:tc>
        <w:tc>
          <w:tcPr>
            <w:tcW w:w="2113" w:type="dxa"/>
            <w:gridSpan w:val="2"/>
            <w:tcBorders>
              <w:top w:val="single" w:sz="4" w:space="0" w:color="auto"/>
              <w:bottom w:val="single" w:sz="4" w:space="0" w:color="auto"/>
            </w:tcBorders>
            <w:shd w:val="clear" w:color="auto" w:fill="auto"/>
            <w:vAlign w:val="center"/>
          </w:tcPr>
          <w:p w14:paraId="579B39DB" w14:textId="77777777" w:rsidR="00F76BE3" w:rsidRDefault="00F76BE3" w:rsidP="00F76BE3">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bCs w:val="0"/>
              </w:rPr>
            </w:pPr>
            <w:r>
              <w:rPr>
                <w:b w:val="0"/>
              </w:rPr>
              <w:t>a</w:t>
            </w:r>
            <w:r>
              <w:rPr>
                <w:b w:val="0"/>
                <w:vertAlign w:val="superscript"/>
              </w:rPr>
              <w:t>2</w:t>
            </w:r>
          </w:p>
        </w:tc>
        <w:tc>
          <w:tcPr>
            <w:tcW w:w="2113" w:type="dxa"/>
            <w:gridSpan w:val="2"/>
            <w:tcBorders>
              <w:top w:val="single" w:sz="4" w:space="0" w:color="auto"/>
              <w:bottom w:val="single" w:sz="4" w:space="0" w:color="auto"/>
            </w:tcBorders>
            <w:shd w:val="clear" w:color="auto" w:fill="auto"/>
            <w:vAlign w:val="center"/>
          </w:tcPr>
          <w:p w14:paraId="790776A6" w14:textId="77777777" w:rsidR="00F76BE3" w:rsidRDefault="00F76BE3" w:rsidP="00F76BE3">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pPr>
            <w:r>
              <w:rPr>
                <w:b w:val="0"/>
              </w:rPr>
              <w:t>c</w:t>
            </w:r>
            <w:r>
              <w:rPr>
                <w:b w:val="0"/>
                <w:vertAlign w:val="superscript"/>
              </w:rPr>
              <w:t>2</w:t>
            </w:r>
          </w:p>
        </w:tc>
        <w:tc>
          <w:tcPr>
            <w:tcW w:w="2113" w:type="dxa"/>
            <w:gridSpan w:val="2"/>
            <w:tcBorders>
              <w:top w:val="single" w:sz="4" w:space="0" w:color="auto"/>
              <w:bottom w:val="single" w:sz="4" w:space="0" w:color="auto"/>
            </w:tcBorders>
            <w:shd w:val="clear" w:color="auto" w:fill="auto"/>
            <w:vAlign w:val="center"/>
          </w:tcPr>
          <w:p w14:paraId="2E5FB451" w14:textId="77777777" w:rsidR="00F76BE3" w:rsidRDefault="00F76BE3" w:rsidP="00F76BE3">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bCs w:val="0"/>
              </w:rPr>
            </w:pPr>
            <w:r>
              <w:rPr>
                <w:b w:val="0"/>
              </w:rPr>
              <w:t>e</w:t>
            </w:r>
            <w:r>
              <w:rPr>
                <w:b w:val="0"/>
                <w:vertAlign w:val="superscript"/>
              </w:rPr>
              <w:t>2</w:t>
            </w:r>
          </w:p>
        </w:tc>
      </w:tr>
      <w:tr w:rsidR="00F76BE3" w14:paraId="5B505957"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auto"/>
            <w:vAlign w:val="center"/>
          </w:tcPr>
          <w:p w14:paraId="063FB9B0" w14:textId="77777777" w:rsidR="00F76BE3" w:rsidRDefault="00F76BE3" w:rsidP="00F76BE3">
            <w:pPr>
              <w:adjustRightInd w:val="0"/>
              <w:snapToGrid w:val="0"/>
              <w:spacing w:line="360" w:lineRule="auto"/>
              <w:jc w:val="both"/>
              <w:rPr>
                <w:bCs w:val="0"/>
              </w:rPr>
            </w:pPr>
          </w:p>
        </w:tc>
        <w:tc>
          <w:tcPr>
            <w:tcW w:w="1508" w:type="dxa"/>
            <w:tcBorders>
              <w:top w:val="single" w:sz="4" w:space="0" w:color="auto"/>
              <w:bottom w:val="single" w:sz="4" w:space="0" w:color="auto"/>
            </w:tcBorders>
            <w:shd w:val="clear" w:color="auto" w:fill="auto"/>
            <w:vAlign w:val="center"/>
          </w:tcPr>
          <w:p w14:paraId="55C35274"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Factor Loading</w:t>
            </w:r>
          </w:p>
        </w:tc>
        <w:tc>
          <w:tcPr>
            <w:tcW w:w="1456" w:type="dxa"/>
            <w:tcBorders>
              <w:top w:val="single" w:sz="4" w:space="0" w:color="auto"/>
              <w:bottom w:val="single" w:sz="4" w:space="0" w:color="auto"/>
            </w:tcBorders>
            <w:shd w:val="clear" w:color="auto" w:fill="auto"/>
            <w:vAlign w:val="center"/>
          </w:tcPr>
          <w:p w14:paraId="413F0ADA"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A</w:t>
            </w:r>
          </w:p>
        </w:tc>
        <w:tc>
          <w:tcPr>
            <w:tcW w:w="1456" w:type="dxa"/>
            <w:tcBorders>
              <w:top w:val="single" w:sz="4" w:space="0" w:color="auto"/>
              <w:bottom w:val="single" w:sz="4" w:space="0" w:color="auto"/>
            </w:tcBorders>
            <w:shd w:val="clear" w:color="auto" w:fill="auto"/>
            <w:vAlign w:val="center"/>
          </w:tcPr>
          <w:p w14:paraId="2A901773"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C</w:t>
            </w:r>
          </w:p>
        </w:tc>
        <w:tc>
          <w:tcPr>
            <w:tcW w:w="1456" w:type="dxa"/>
            <w:tcBorders>
              <w:top w:val="single" w:sz="4" w:space="0" w:color="auto"/>
              <w:bottom w:val="single" w:sz="4" w:space="0" w:color="auto"/>
            </w:tcBorders>
            <w:shd w:val="clear" w:color="auto" w:fill="auto"/>
            <w:vAlign w:val="center"/>
          </w:tcPr>
          <w:p w14:paraId="74E070D7"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E</w:t>
            </w:r>
          </w:p>
        </w:tc>
        <w:tc>
          <w:tcPr>
            <w:tcW w:w="236" w:type="dxa"/>
            <w:tcBorders>
              <w:bottom w:val="single" w:sz="4" w:space="0" w:color="auto"/>
            </w:tcBorders>
            <w:shd w:val="clear" w:color="auto" w:fill="auto"/>
            <w:vAlign w:val="center"/>
          </w:tcPr>
          <w:p w14:paraId="6155CEAE"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tcBorders>
              <w:top w:val="single" w:sz="4" w:space="0" w:color="auto"/>
              <w:bottom w:val="single" w:sz="4" w:space="0" w:color="auto"/>
            </w:tcBorders>
            <w:shd w:val="clear" w:color="auto" w:fill="auto"/>
            <w:vAlign w:val="center"/>
          </w:tcPr>
          <w:p w14:paraId="33E6DCAD"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Common</w:t>
            </w:r>
          </w:p>
        </w:tc>
        <w:tc>
          <w:tcPr>
            <w:tcW w:w="1003" w:type="dxa"/>
            <w:tcBorders>
              <w:top w:val="single" w:sz="4" w:space="0" w:color="auto"/>
              <w:bottom w:val="single" w:sz="4" w:space="0" w:color="auto"/>
            </w:tcBorders>
            <w:shd w:val="clear" w:color="auto" w:fill="auto"/>
            <w:vAlign w:val="center"/>
          </w:tcPr>
          <w:p w14:paraId="3AACAF2A"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Specific</w:t>
            </w:r>
          </w:p>
        </w:tc>
        <w:tc>
          <w:tcPr>
            <w:tcW w:w="1110" w:type="dxa"/>
            <w:tcBorders>
              <w:top w:val="single" w:sz="4" w:space="0" w:color="auto"/>
              <w:bottom w:val="single" w:sz="4" w:space="0" w:color="auto"/>
            </w:tcBorders>
            <w:shd w:val="clear" w:color="auto" w:fill="auto"/>
            <w:vAlign w:val="center"/>
          </w:tcPr>
          <w:p w14:paraId="0DC8C1B1"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Common</w:t>
            </w:r>
          </w:p>
        </w:tc>
        <w:tc>
          <w:tcPr>
            <w:tcW w:w="1003" w:type="dxa"/>
            <w:tcBorders>
              <w:top w:val="single" w:sz="4" w:space="0" w:color="auto"/>
              <w:bottom w:val="single" w:sz="4" w:space="0" w:color="auto"/>
            </w:tcBorders>
            <w:shd w:val="clear" w:color="auto" w:fill="auto"/>
            <w:vAlign w:val="center"/>
          </w:tcPr>
          <w:p w14:paraId="69BB5833"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Specific</w:t>
            </w:r>
          </w:p>
        </w:tc>
        <w:tc>
          <w:tcPr>
            <w:tcW w:w="1110" w:type="dxa"/>
            <w:tcBorders>
              <w:top w:val="single" w:sz="4" w:space="0" w:color="auto"/>
              <w:bottom w:val="single" w:sz="4" w:space="0" w:color="auto"/>
            </w:tcBorders>
            <w:shd w:val="clear" w:color="auto" w:fill="auto"/>
            <w:vAlign w:val="center"/>
          </w:tcPr>
          <w:p w14:paraId="53337F82"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Common</w:t>
            </w:r>
          </w:p>
        </w:tc>
        <w:tc>
          <w:tcPr>
            <w:tcW w:w="1003" w:type="dxa"/>
            <w:tcBorders>
              <w:top w:val="single" w:sz="4" w:space="0" w:color="auto"/>
              <w:bottom w:val="single" w:sz="4" w:space="0" w:color="auto"/>
            </w:tcBorders>
            <w:shd w:val="clear" w:color="auto" w:fill="auto"/>
            <w:vAlign w:val="center"/>
          </w:tcPr>
          <w:p w14:paraId="79AF760A"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Specific</w:t>
            </w:r>
          </w:p>
        </w:tc>
      </w:tr>
      <w:tr w:rsidR="00F76BE3" w14:paraId="3808912D"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shd w:val="clear" w:color="auto" w:fill="auto"/>
            <w:vAlign w:val="center"/>
          </w:tcPr>
          <w:p w14:paraId="34803440" w14:textId="77777777" w:rsidR="00F76BE3" w:rsidRDefault="00F76BE3" w:rsidP="00F76BE3">
            <w:pPr>
              <w:adjustRightInd w:val="0"/>
              <w:snapToGrid w:val="0"/>
              <w:spacing w:line="360" w:lineRule="auto"/>
              <w:jc w:val="both"/>
              <w:rPr>
                <w:bCs w:val="0"/>
              </w:rPr>
            </w:pPr>
            <w:r>
              <w:rPr>
                <w:b w:val="0"/>
              </w:rPr>
              <w:t>Latent trait</w:t>
            </w:r>
          </w:p>
        </w:tc>
        <w:tc>
          <w:tcPr>
            <w:tcW w:w="1508" w:type="dxa"/>
            <w:tcBorders>
              <w:top w:val="single" w:sz="4" w:space="0" w:color="auto"/>
            </w:tcBorders>
            <w:shd w:val="clear" w:color="auto" w:fill="auto"/>
            <w:vAlign w:val="center"/>
          </w:tcPr>
          <w:p w14:paraId="35614654"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456" w:type="dxa"/>
            <w:tcBorders>
              <w:top w:val="single" w:sz="4" w:space="0" w:color="auto"/>
            </w:tcBorders>
            <w:shd w:val="clear" w:color="auto" w:fill="auto"/>
            <w:vAlign w:val="center"/>
          </w:tcPr>
          <w:p w14:paraId="6FD3DE80"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.65 [.10, .83]</w:t>
            </w:r>
          </w:p>
        </w:tc>
        <w:tc>
          <w:tcPr>
            <w:tcW w:w="1456" w:type="dxa"/>
            <w:tcBorders>
              <w:top w:val="single" w:sz="4" w:space="0" w:color="auto"/>
            </w:tcBorders>
            <w:shd w:val="clear" w:color="auto" w:fill="auto"/>
            <w:vAlign w:val="center"/>
          </w:tcPr>
          <w:p w14:paraId="2E0BDA79"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.40 [.01, .70]</w:t>
            </w:r>
          </w:p>
        </w:tc>
        <w:tc>
          <w:tcPr>
            <w:tcW w:w="1456" w:type="dxa"/>
            <w:tcBorders>
              <w:top w:val="single" w:sz="4" w:space="0" w:color="auto"/>
            </w:tcBorders>
            <w:shd w:val="clear" w:color="auto" w:fill="auto"/>
            <w:vAlign w:val="center"/>
          </w:tcPr>
          <w:p w14:paraId="17C9251B"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rPr>
                <w:bCs/>
              </w:rPr>
            </w:pPr>
            <w:r>
              <w:rPr>
                <w:bCs/>
              </w:rPr>
              <w:t>.65 [.55, .75]</w:t>
            </w:r>
          </w:p>
        </w:tc>
        <w:tc>
          <w:tcPr>
            <w:tcW w:w="236" w:type="dxa"/>
            <w:tcBorders>
              <w:top w:val="single" w:sz="4" w:space="0" w:color="auto"/>
            </w:tcBorders>
            <w:shd w:val="clear" w:color="auto" w:fill="auto"/>
            <w:vAlign w:val="center"/>
          </w:tcPr>
          <w:p w14:paraId="1AA14BC9"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tcBorders>
              <w:top w:val="single" w:sz="4" w:space="0" w:color="auto"/>
            </w:tcBorders>
            <w:shd w:val="clear" w:color="auto" w:fill="auto"/>
            <w:vAlign w:val="center"/>
          </w:tcPr>
          <w:p w14:paraId="38E522BB"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.42</w:t>
            </w:r>
          </w:p>
        </w:tc>
        <w:tc>
          <w:tcPr>
            <w:tcW w:w="1003" w:type="dxa"/>
            <w:tcBorders>
              <w:top w:val="single" w:sz="4" w:space="0" w:color="auto"/>
            </w:tcBorders>
            <w:shd w:val="clear" w:color="auto" w:fill="auto"/>
            <w:vAlign w:val="center"/>
          </w:tcPr>
          <w:p w14:paraId="49722910"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110" w:type="dxa"/>
            <w:tcBorders>
              <w:top w:val="single" w:sz="4" w:space="0" w:color="auto"/>
            </w:tcBorders>
            <w:shd w:val="clear" w:color="auto" w:fill="auto"/>
            <w:vAlign w:val="center"/>
          </w:tcPr>
          <w:p w14:paraId="3B9E2F71"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.16</w:t>
            </w:r>
          </w:p>
        </w:tc>
        <w:tc>
          <w:tcPr>
            <w:tcW w:w="1003" w:type="dxa"/>
            <w:tcBorders>
              <w:top w:val="single" w:sz="4" w:space="0" w:color="auto"/>
            </w:tcBorders>
            <w:shd w:val="clear" w:color="auto" w:fill="auto"/>
            <w:vAlign w:val="center"/>
          </w:tcPr>
          <w:p w14:paraId="3E8ED9B8"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w:t>
            </w:r>
          </w:p>
        </w:tc>
        <w:tc>
          <w:tcPr>
            <w:tcW w:w="1110" w:type="dxa"/>
            <w:tcBorders>
              <w:top w:val="single" w:sz="4" w:space="0" w:color="auto"/>
            </w:tcBorders>
            <w:shd w:val="clear" w:color="auto" w:fill="auto"/>
            <w:vAlign w:val="center"/>
          </w:tcPr>
          <w:p w14:paraId="09432F41"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.42</w:t>
            </w:r>
          </w:p>
        </w:tc>
        <w:tc>
          <w:tcPr>
            <w:tcW w:w="1003" w:type="dxa"/>
            <w:tcBorders>
              <w:top w:val="single" w:sz="4" w:space="0" w:color="auto"/>
            </w:tcBorders>
            <w:shd w:val="clear" w:color="auto" w:fill="auto"/>
            <w:vAlign w:val="center"/>
          </w:tcPr>
          <w:p w14:paraId="7178880F" w14:textId="77777777" w:rsidR="00F76BE3" w:rsidRDefault="00F76BE3" w:rsidP="00F76BE3">
            <w:pPr>
              <w:adjustRightInd w:val="0"/>
              <w:snapToGrid w:val="0"/>
              <w:spacing w:line="360" w:lineRule="auto"/>
              <w:jc w:val="center"/>
              <w:cnfStyle w:val="000000000000" w:firstRow="0" w:lastRow="0" w:firstColumn="0" w:lastColumn="0" w:oddVBand="0" w:evenVBand="0" w:oddHBand="0" w:evenHBand="0" w:firstRowFirstColumn="0" w:firstRowLastColumn="0" w:lastRowFirstColumn="0" w:lastRowLastColumn="0"/>
            </w:pPr>
            <w:r>
              <w:t>-</w:t>
            </w:r>
          </w:p>
        </w:tc>
      </w:tr>
      <w:tr w:rsidR="00F76BE3" w14:paraId="035EDDAC"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3BB62A37" w14:textId="77777777" w:rsidR="00F76BE3" w:rsidRDefault="00F76BE3" w:rsidP="00F76BE3">
            <w:pPr>
              <w:adjustRightInd w:val="0"/>
              <w:snapToGrid w:val="0"/>
              <w:spacing w:line="360" w:lineRule="auto"/>
              <w:jc w:val="both"/>
              <w:rPr>
                <w:bCs w:val="0"/>
              </w:rPr>
            </w:pPr>
            <w:r>
              <w:rPr>
                <w:b w:val="0"/>
              </w:rPr>
              <w:t>NPI</w:t>
            </w:r>
          </w:p>
        </w:tc>
        <w:tc>
          <w:tcPr>
            <w:tcW w:w="1508" w:type="dxa"/>
            <w:shd w:val="clear" w:color="auto" w:fill="auto"/>
            <w:vAlign w:val="center"/>
          </w:tcPr>
          <w:p w14:paraId="567E42AA"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.60 [.53, .66]</w:t>
            </w:r>
          </w:p>
        </w:tc>
        <w:tc>
          <w:tcPr>
            <w:tcW w:w="1456" w:type="dxa"/>
            <w:shd w:val="clear" w:color="auto" w:fill="auto"/>
            <w:vAlign w:val="center"/>
          </w:tcPr>
          <w:p w14:paraId="44D066E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.48 [.17, .57]</w:t>
            </w:r>
          </w:p>
        </w:tc>
        <w:tc>
          <w:tcPr>
            <w:tcW w:w="1456" w:type="dxa"/>
            <w:shd w:val="clear" w:color="auto" w:fill="auto"/>
            <w:vAlign w:val="center"/>
          </w:tcPr>
          <w:p w14:paraId="0A094C8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.02 [.02, .39]</w:t>
            </w:r>
          </w:p>
        </w:tc>
        <w:tc>
          <w:tcPr>
            <w:tcW w:w="1456" w:type="dxa"/>
            <w:shd w:val="clear" w:color="auto" w:fill="auto"/>
            <w:vAlign w:val="center"/>
          </w:tcPr>
          <w:p w14:paraId="21CA3E0D"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.64 [.57, .72]</w:t>
            </w:r>
          </w:p>
        </w:tc>
        <w:tc>
          <w:tcPr>
            <w:tcW w:w="236" w:type="dxa"/>
            <w:shd w:val="clear" w:color="auto" w:fill="auto"/>
            <w:vAlign w:val="center"/>
          </w:tcPr>
          <w:p w14:paraId="66BB2C1F"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shd w:val="clear" w:color="auto" w:fill="auto"/>
            <w:vAlign w:val="center"/>
          </w:tcPr>
          <w:p w14:paraId="3598925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.15</w:t>
            </w:r>
          </w:p>
        </w:tc>
        <w:tc>
          <w:tcPr>
            <w:tcW w:w="1003" w:type="dxa"/>
            <w:shd w:val="clear" w:color="auto" w:fill="auto"/>
            <w:vAlign w:val="center"/>
          </w:tcPr>
          <w:p w14:paraId="39327E07"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.23</w:t>
            </w:r>
          </w:p>
        </w:tc>
        <w:tc>
          <w:tcPr>
            <w:tcW w:w="1110" w:type="dxa"/>
            <w:shd w:val="clear" w:color="auto" w:fill="auto"/>
            <w:vAlign w:val="center"/>
          </w:tcPr>
          <w:p w14:paraId="6119A06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.06</w:t>
            </w:r>
          </w:p>
        </w:tc>
        <w:tc>
          <w:tcPr>
            <w:tcW w:w="1003" w:type="dxa"/>
            <w:shd w:val="clear" w:color="auto" w:fill="auto"/>
            <w:vAlign w:val="center"/>
          </w:tcPr>
          <w:p w14:paraId="2F2B11F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.00</w:t>
            </w:r>
          </w:p>
        </w:tc>
        <w:tc>
          <w:tcPr>
            <w:tcW w:w="1110" w:type="dxa"/>
            <w:shd w:val="clear" w:color="auto" w:fill="auto"/>
            <w:vAlign w:val="center"/>
          </w:tcPr>
          <w:p w14:paraId="225D115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.15</w:t>
            </w:r>
          </w:p>
        </w:tc>
        <w:tc>
          <w:tcPr>
            <w:tcW w:w="1003" w:type="dxa"/>
            <w:shd w:val="clear" w:color="auto" w:fill="auto"/>
            <w:vAlign w:val="center"/>
          </w:tcPr>
          <w:p w14:paraId="676E0912"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.41</w:t>
            </w:r>
          </w:p>
        </w:tc>
      </w:tr>
      <w:tr w:rsidR="00F76BE3" w14:paraId="6A489885"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696AB2B3" w14:textId="77777777" w:rsidR="00F76BE3" w:rsidRDefault="00F76BE3" w:rsidP="00F76BE3">
            <w:pPr>
              <w:adjustRightInd w:val="0"/>
              <w:snapToGrid w:val="0"/>
              <w:spacing w:line="360" w:lineRule="auto"/>
              <w:jc w:val="both"/>
              <w:rPr>
                <w:bCs w:val="0"/>
              </w:rPr>
            </w:pPr>
            <w:r>
              <w:rPr>
                <w:b w:val="0"/>
              </w:rPr>
              <w:t>CNI</w:t>
            </w:r>
          </w:p>
        </w:tc>
        <w:tc>
          <w:tcPr>
            <w:tcW w:w="1508" w:type="dxa"/>
            <w:shd w:val="clear" w:color="auto" w:fill="auto"/>
            <w:vAlign w:val="center"/>
          </w:tcPr>
          <w:p w14:paraId="3D56651A"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.71 [.66, .76]</w:t>
            </w:r>
          </w:p>
        </w:tc>
        <w:tc>
          <w:tcPr>
            <w:tcW w:w="1456" w:type="dxa"/>
            <w:shd w:val="clear" w:color="auto" w:fill="auto"/>
            <w:vAlign w:val="center"/>
          </w:tcPr>
          <w:p w14:paraId="36717BC0"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.09 [.02, .45]</w:t>
            </w:r>
          </w:p>
        </w:tc>
        <w:tc>
          <w:tcPr>
            <w:tcW w:w="1456" w:type="dxa"/>
            <w:shd w:val="clear" w:color="auto" w:fill="auto"/>
            <w:vAlign w:val="center"/>
          </w:tcPr>
          <w:p w14:paraId="3AA53E6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.32 [.01, .42]</w:t>
            </w:r>
          </w:p>
        </w:tc>
        <w:tc>
          <w:tcPr>
            <w:tcW w:w="1456" w:type="dxa"/>
            <w:shd w:val="clear" w:color="auto" w:fill="auto"/>
            <w:vAlign w:val="center"/>
          </w:tcPr>
          <w:p w14:paraId="7057E476"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.62 [.54, .69]</w:t>
            </w:r>
          </w:p>
        </w:tc>
        <w:tc>
          <w:tcPr>
            <w:tcW w:w="236" w:type="dxa"/>
            <w:shd w:val="clear" w:color="auto" w:fill="auto"/>
            <w:vAlign w:val="center"/>
          </w:tcPr>
          <w:p w14:paraId="76E4640C"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shd w:val="clear" w:color="auto" w:fill="auto"/>
            <w:vAlign w:val="center"/>
          </w:tcPr>
          <w:p w14:paraId="32DF10D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.21</w:t>
            </w:r>
          </w:p>
        </w:tc>
        <w:tc>
          <w:tcPr>
            <w:tcW w:w="1003" w:type="dxa"/>
            <w:shd w:val="clear" w:color="auto" w:fill="auto"/>
            <w:vAlign w:val="center"/>
          </w:tcPr>
          <w:p w14:paraId="3295613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.01</w:t>
            </w:r>
          </w:p>
        </w:tc>
        <w:tc>
          <w:tcPr>
            <w:tcW w:w="1110" w:type="dxa"/>
            <w:shd w:val="clear" w:color="auto" w:fill="auto"/>
            <w:vAlign w:val="center"/>
          </w:tcPr>
          <w:p w14:paraId="27BF70C5"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.08</w:t>
            </w:r>
          </w:p>
        </w:tc>
        <w:tc>
          <w:tcPr>
            <w:tcW w:w="1003" w:type="dxa"/>
            <w:shd w:val="clear" w:color="auto" w:fill="auto"/>
            <w:vAlign w:val="center"/>
          </w:tcPr>
          <w:p w14:paraId="7655FDB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.10</w:t>
            </w:r>
          </w:p>
        </w:tc>
        <w:tc>
          <w:tcPr>
            <w:tcW w:w="1110" w:type="dxa"/>
            <w:shd w:val="clear" w:color="auto" w:fill="auto"/>
            <w:vAlign w:val="center"/>
          </w:tcPr>
          <w:p w14:paraId="5BF378F9"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.21</w:t>
            </w:r>
          </w:p>
        </w:tc>
        <w:tc>
          <w:tcPr>
            <w:tcW w:w="1003" w:type="dxa"/>
            <w:shd w:val="clear" w:color="auto" w:fill="auto"/>
            <w:vAlign w:val="center"/>
          </w:tcPr>
          <w:p w14:paraId="2674CF7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.38</w:t>
            </w:r>
          </w:p>
        </w:tc>
      </w:tr>
      <w:tr w:rsidR="00F76BE3" w14:paraId="3A1CCF4E"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7E10034D" w14:textId="77777777" w:rsidR="00F76BE3" w:rsidRDefault="00F76BE3" w:rsidP="00F76BE3">
            <w:pPr>
              <w:adjustRightInd w:val="0"/>
              <w:snapToGrid w:val="0"/>
              <w:spacing w:line="360" w:lineRule="auto"/>
              <w:jc w:val="both"/>
              <w:rPr>
                <w:bCs w:val="0"/>
              </w:rPr>
            </w:pPr>
            <w:r>
              <w:rPr>
                <w:b w:val="0"/>
              </w:rPr>
              <w:t>NGS</w:t>
            </w:r>
          </w:p>
        </w:tc>
        <w:tc>
          <w:tcPr>
            <w:tcW w:w="1508" w:type="dxa"/>
            <w:shd w:val="clear" w:color="auto" w:fill="auto"/>
            <w:vAlign w:val="center"/>
          </w:tcPr>
          <w:p w14:paraId="475B8AC5"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.81 [.76, .85]</w:t>
            </w:r>
          </w:p>
        </w:tc>
        <w:tc>
          <w:tcPr>
            <w:tcW w:w="1456" w:type="dxa"/>
            <w:shd w:val="clear" w:color="auto" w:fill="auto"/>
            <w:vAlign w:val="center"/>
          </w:tcPr>
          <w:p w14:paraId="1DE793B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.00 [.00, .32]</w:t>
            </w:r>
          </w:p>
        </w:tc>
        <w:tc>
          <w:tcPr>
            <w:tcW w:w="1456" w:type="dxa"/>
            <w:shd w:val="clear" w:color="auto" w:fill="auto"/>
            <w:vAlign w:val="center"/>
          </w:tcPr>
          <w:p w14:paraId="5819A4E5"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.20 [.00, .32]</w:t>
            </w:r>
          </w:p>
        </w:tc>
        <w:tc>
          <w:tcPr>
            <w:tcW w:w="1456" w:type="dxa"/>
            <w:shd w:val="clear" w:color="auto" w:fill="auto"/>
            <w:vAlign w:val="center"/>
          </w:tcPr>
          <w:p w14:paraId="6AD7DCD9"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.56 [.49, .63]</w:t>
            </w:r>
          </w:p>
        </w:tc>
        <w:tc>
          <w:tcPr>
            <w:tcW w:w="236" w:type="dxa"/>
            <w:shd w:val="clear" w:color="auto" w:fill="auto"/>
            <w:vAlign w:val="center"/>
          </w:tcPr>
          <w:p w14:paraId="7640741A"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shd w:val="clear" w:color="auto" w:fill="auto"/>
            <w:vAlign w:val="center"/>
          </w:tcPr>
          <w:p w14:paraId="21B312A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.27</w:t>
            </w:r>
          </w:p>
        </w:tc>
        <w:tc>
          <w:tcPr>
            <w:tcW w:w="1003" w:type="dxa"/>
            <w:shd w:val="clear" w:color="auto" w:fill="auto"/>
            <w:vAlign w:val="center"/>
          </w:tcPr>
          <w:p w14:paraId="6DDEE78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.00</w:t>
            </w:r>
          </w:p>
        </w:tc>
        <w:tc>
          <w:tcPr>
            <w:tcW w:w="1110" w:type="dxa"/>
            <w:shd w:val="clear" w:color="auto" w:fill="auto"/>
            <w:vAlign w:val="center"/>
          </w:tcPr>
          <w:p w14:paraId="1B6530F6"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.11</w:t>
            </w:r>
          </w:p>
        </w:tc>
        <w:tc>
          <w:tcPr>
            <w:tcW w:w="1003" w:type="dxa"/>
            <w:shd w:val="clear" w:color="auto" w:fill="auto"/>
            <w:vAlign w:val="center"/>
          </w:tcPr>
          <w:p w14:paraId="14141E3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.04</w:t>
            </w:r>
          </w:p>
        </w:tc>
        <w:tc>
          <w:tcPr>
            <w:tcW w:w="1110" w:type="dxa"/>
            <w:shd w:val="clear" w:color="auto" w:fill="auto"/>
            <w:vAlign w:val="center"/>
          </w:tcPr>
          <w:p w14:paraId="62D7FD7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.27</w:t>
            </w:r>
          </w:p>
        </w:tc>
        <w:tc>
          <w:tcPr>
            <w:tcW w:w="1003" w:type="dxa"/>
            <w:shd w:val="clear" w:color="auto" w:fill="auto"/>
            <w:vAlign w:val="center"/>
          </w:tcPr>
          <w:p w14:paraId="1322D39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.31</w:t>
            </w:r>
          </w:p>
        </w:tc>
      </w:tr>
      <w:tr w:rsidR="00F76BE3" w14:paraId="74660483"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tcPr>
          <w:p w14:paraId="7E49AFAF" w14:textId="77777777" w:rsidR="00F76BE3" w:rsidRDefault="00F76BE3" w:rsidP="00F76BE3">
            <w:pPr>
              <w:adjustRightInd w:val="0"/>
              <w:snapToGrid w:val="0"/>
              <w:spacing w:line="360" w:lineRule="auto"/>
              <w:jc w:val="both"/>
              <w:rPr>
                <w:bCs w:val="0"/>
              </w:rPr>
            </w:pPr>
            <w:r>
              <w:rPr>
                <w:b w:val="0"/>
              </w:rPr>
              <w:t>BTAT</w:t>
            </w:r>
          </w:p>
        </w:tc>
        <w:tc>
          <w:tcPr>
            <w:tcW w:w="1508" w:type="dxa"/>
            <w:shd w:val="clear" w:color="auto" w:fill="auto"/>
            <w:vAlign w:val="center"/>
          </w:tcPr>
          <w:p w14:paraId="6BE5D04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.77 [.71, .81]</w:t>
            </w:r>
          </w:p>
        </w:tc>
        <w:tc>
          <w:tcPr>
            <w:tcW w:w="1456" w:type="dxa"/>
            <w:shd w:val="clear" w:color="auto" w:fill="auto"/>
            <w:vAlign w:val="center"/>
          </w:tcPr>
          <w:p w14:paraId="6A74DA09"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.31 [.00, .42]</w:t>
            </w:r>
          </w:p>
        </w:tc>
        <w:tc>
          <w:tcPr>
            <w:tcW w:w="1456" w:type="dxa"/>
            <w:shd w:val="clear" w:color="auto" w:fill="auto"/>
            <w:vAlign w:val="center"/>
          </w:tcPr>
          <w:p w14:paraId="1FDD70CD"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.00 [.00, .36]</w:t>
            </w:r>
          </w:p>
        </w:tc>
        <w:tc>
          <w:tcPr>
            <w:tcW w:w="1456" w:type="dxa"/>
            <w:shd w:val="clear" w:color="auto" w:fill="auto"/>
            <w:vAlign w:val="center"/>
          </w:tcPr>
          <w:p w14:paraId="0D3D20AC"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.56 [.49, .64]</w:t>
            </w:r>
          </w:p>
        </w:tc>
        <w:tc>
          <w:tcPr>
            <w:tcW w:w="236" w:type="dxa"/>
            <w:shd w:val="clear" w:color="auto" w:fill="auto"/>
            <w:vAlign w:val="center"/>
          </w:tcPr>
          <w:p w14:paraId="7D1B22CC"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shd w:val="clear" w:color="auto" w:fill="auto"/>
            <w:vAlign w:val="center"/>
          </w:tcPr>
          <w:p w14:paraId="1512F4C8"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.25</w:t>
            </w:r>
          </w:p>
        </w:tc>
        <w:tc>
          <w:tcPr>
            <w:tcW w:w="1003" w:type="dxa"/>
            <w:shd w:val="clear" w:color="auto" w:fill="auto"/>
            <w:vAlign w:val="center"/>
          </w:tcPr>
          <w:p w14:paraId="13455C20"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.10</w:t>
            </w:r>
          </w:p>
        </w:tc>
        <w:tc>
          <w:tcPr>
            <w:tcW w:w="1110" w:type="dxa"/>
            <w:shd w:val="clear" w:color="auto" w:fill="auto"/>
            <w:vAlign w:val="center"/>
          </w:tcPr>
          <w:p w14:paraId="66EBE55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.09</w:t>
            </w:r>
          </w:p>
        </w:tc>
        <w:tc>
          <w:tcPr>
            <w:tcW w:w="1003" w:type="dxa"/>
            <w:shd w:val="clear" w:color="auto" w:fill="auto"/>
            <w:vAlign w:val="center"/>
          </w:tcPr>
          <w:p w14:paraId="02C9C014"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.00</w:t>
            </w:r>
          </w:p>
        </w:tc>
        <w:tc>
          <w:tcPr>
            <w:tcW w:w="1110" w:type="dxa"/>
            <w:shd w:val="clear" w:color="auto" w:fill="auto"/>
            <w:vAlign w:val="center"/>
          </w:tcPr>
          <w:p w14:paraId="10DA7CB6"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.25</w:t>
            </w:r>
          </w:p>
        </w:tc>
        <w:tc>
          <w:tcPr>
            <w:tcW w:w="1003" w:type="dxa"/>
            <w:shd w:val="clear" w:color="auto" w:fill="auto"/>
            <w:vAlign w:val="center"/>
          </w:tcPr>
          <w:p w14:paraId="28EF0380"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.32</w:t>
            </w:r>
          </w:p>
        </w:tc>
      </w:tr>
      <w:tr w:rsidR="00F76BE3" w14:paraId="32376C9A" w14:textId="77777777" w:rsidTr="00F76BE3">
        <w:trPr>
          <w:trHeight w:val="2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shd w:val="clear" w:color="auto" w:fill="auto"/>
            <w:vAlign w:val="center"/>
          </w:tcPr>
          <w:p w14:paraId="08C80C94" w14:textId="77777777" w:rsidR="00F76BE3" w:rsidRDefault="00F76BE3" w:rsidP="00F76BE3">
            <w:pPr>
              <w:adjustRightInd w:val="0"/>
              <w:snapToGrid w:val="0"/>
              <w:spacing w:line="360" w:lineRule="auto"/>
              <w:jc w:val="both"/>
              <w:rPr>
                <w:bCs w:val="0"/>
              </w:rPr>
            </w:pPr>
            <w:r>
              <w:rPr>
                <w:b w:val="0"/>
              </w:rPr>
              <w:t>OCQ</w:t>
            </w:r>
          </w:p>
        </w:tc>
        <w:tc>
          <w:tcPr>
            <w:tcW w:w="1508" w:type="dxa"/>
            <w:tcBorders>
              <w:bottom w:val="single" w:sz="4" w:space="0" w:color="auto"/>
            </w:tcBorders>
            <w:shd w:val="clear" w:color="auto" w:fill="auto"/>
            <w:vAlign w:val="center"/>
          </w:tcPr>
          <w:p w14:paraId="7D974E52"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.40 [.32, .48]</w:t>
            </w:r>
          </w:p>
        </w:tc>
        <w:tc>
          <w:tcPr>
            <w:tcW w:w="1456" w:type="dxa"/>
            <w:tcBorders>
              <w:bottom w:val="single" w:sz="4" w:space="0" w:color="auto"/>
            </w:tcBorders>
            <w:shd w:val="clear" w:color="auto" w:fill="auto"/>
            <w:vAlign w:val="center"/>
          </w:tcPr>
          <w:p w14:paraId="30A4A7B6"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.60 [.23, .68]</w:t>
            </w:r>
          </w:p>
        </w:tc>
        <w:tc>
          <w:tcPr>
            <w:tcW w:w="1456" w:type="dxa"/>
            <w:tcBorders>
              <w:bottom w:val="single" w:sz="4" w:space="0" w:color="auto"/>
            </w:tcBorders>
            <w:shd w:val="clear" w:color="auto" w:fill="auto"/>
            <w:vAlign w:val="center"/>
          </w:tcPr>
          <w:p w14:paraId="37C2B7C7"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.00 [.00, .49]</w:t>
            </w:r>
          </w:p>
        </w:tc>
        <w:tc>
          <w:tcPr>
            <w:tcW w:w="1456" w:type="dxa"/>
            <w:tcBorders>
              <w:bottom w:val="single" w:sz="4" w:space="0" w:color="auto"/>
            </w:tcBorders>
            <w:shd w:val="clear" w:color="auto" w:fill="auto"/>
            <w:vAlign w:val="center"/>
          </w:tcPr>
          <w:p w14:paraId="44110BC9"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.70 [.62, .78]</w:t>
            </w:r>
          </w:p>
        </w:tc>
        <w:tc>
          <w:tcPr>
            <w:tcW w:w="236" w:type="dxa"/>
            <w:tcBorders>
              <w:bottom w:val="single" w:sz="4" w:space="0" w:color="auto"/>
            </w:tcBorders>
            <w:shd w:val="clear" w:color="auto" w:fill="auto"/>
            <w:vAlign w:val="center"/>
          </w:tcPr>
          <w:p w14:paraId="5CFDE43A" w14:textId="77777777" w:rsidR="00F76BE3" w:rsidRDefault="00F76BE3" w:rsidP="00F76BE3">
            <w:pPr>
              <w:adjustRightInd w:val="0"/>
              <w:snapToGrid w:val="0"/>
              <w:spacing w:line="360" w:lineRule="auto"/>
              <w:ind w:left="360"/>
              <w:jc w:val="center"/>
              <w:cnfStyle w:val="000000000000" w:firstRow="0" w:lastRow="0" w:firstColumn="0" w:lastColumn="0" w:oddVBand="0" w:evenVBand="0" w:oddHBand="0" w:evenHBand="0" w:firstRowFirstColumn="0" w:firstRowLastColumn="0" w:lastRowFirstColumn="0" w:lastRowLastColumn="0"/>
              <w:rPr>
                <w:bCs/>
              </w:rPr>
            </w:pPr>
          </w:p>
        </w:tc>
        <w:tc>
          <w:tcPr>
            <w:tcW w:w="1110" w:type="dxa"/>
            <w:tcBorders>
              <w:bottom w:val="single" w:sz="4" w:space="0" w:color="auto"/>
            </w:tcBorders>
            <w:shd w:val="clear" w:color="auto" w:fill="auto"/>
            <w:vAlign w:val="center"/>
          </w:tcPr>
          <w:p w14:paraId="1329667B"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lang w:bidi="ar"/>
              </w:rPr>
              <w:t>.07</w:t>
            </w:r>
          </w:p>
        </w:tc>
        <w:tc>
          <w:tcPr>
            <w:tcW w:w="1003" w:type="dxa"/>
            <w:tcBorders>
              <w:bottom w:val="single" w:sz="4" w:space="0" w:color="auto"/>
            </w:tcBorders>
            <w:shd w:val="clear" w:color="auto" w:fill="auto"/>
            <w:vAlign w:val="center"/>
          </w:tcPr>
          <w:p w14:paraId="364D354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.35</w:t>
            </w:r>
          </w:p>
        </w:tc>
        <w:tc>
          <w:tcPr>
            <w:tcW w:w="1110" w:type="dxa"/>
            <w:tcBorders>
              <w:bottom w:val="single" w:sz="4" w:space="0" w:color="auto"/>
            </w:tcBorders>
            <w:shd w:val="clear" w:color="auto" w:fill="auto"/>
            <w:vAlign w:val="center"/>
          </w:tcPr>
          <w:p w14:paraId="4B00DDC6"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.03</w:t>
            </w:r>
          </w:p>
        </w:tc>
        <w:tc>
          <w:tcPr>
            <w:tcW w:w="1003" w:type="dxa"/>
            <w:tcBorders>
              <w:bottom w:val="single" w:sz="4" w:space="0" w:color="auto"/>
            </w:tcBorders>
            <w:shd w:val="clear" w:color="auto" w:fill="auto"/>
            <w:vAlign w:val="center"/>
          </w:tcPr>
          <w:p w14:paraId="7B48C2A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.00</w:t>
            </w:r>
          </w:p>
        </w:tc>
        <w:tc>
          <w:tcPr>
            <w:tcW w:w="1110" w:type="dxa"/>
            <w:tcBorders>
              <w:bottom w:val="single" w:sz="4" w:space="0" w:color="auto"/>
            </w:tcBorders>
            <w:shd w:val="clear" w:color="auto" w:fill="auto"/>
            <w:vAlign w:val="center"/>
          </w:tcPr>
          <w:p w14:paraId="315F8231"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lang w:bidi="ar"/>
              </w:rPr>
              <w:t>.07</w:t>
            </w:r>
          </w:p>
        </w:tc>
        <w:tc>
          <w:tcPr>
            <w:tcW w:w="1003" w:type="dxa"/>
            <w:tcBorders>
              <w:bottom w:val="single" w:sz="4" w:space="0" w:color="auto"/>
            </w:tcBorders>
            <w:shd w:val="clear" w:color="auto" w:fill="auto"/>
            <w:vAlign w:val="center"/>
          </w:tcPr>
          <w:p w14:paraId="38125443" w14:textId="77777777" w:rsidR="00F76BE3" w:rsidRDefault="00F76BE3" w:rsidP="00F76BE3">
            <w:pPr>
              <w:adjustRightInd w:val="0"/>
              <w:snapToGrid w:val="0"/>
              <w:spacing w:line="360" w:lineRule="auto"/>
              <w:jc w:val="center"/>
              <w:textAlignment w:val="bottom"/>
              <w:cnfStyle w:val="000000000000" w:firstRow="0" w:lastRow="0" w:firstColumn="0" w:lastColumn="0" w:oddVBand="0" w:evenVBand="0" w:oddHBand="0" w:evenHBand="0" w:firstRowFirstColumn="0" w:firstRowLastColumn="0" w:lastRowFirstColumn="0" w:lastRowLastColumn="0"/>
            </w:pPr>
            <w:r>
              <w:rPr>
                <w:rFonts w:eastAsia="SimSun"/>
                <w:color w:val="000000"/>
                <w:lang w:bidi="ar"/>
              </w:rPr>
              <w:t>.48</w:t>
            </w:r>
          </w:p>
        </w:tc>
      </w:tr>
    </w:tbl>
    <w:p w14:paraId="45DAC221" w14:textId="66145B7E" w:rsidR="00660791" w:rsidRPr="00AC4D9F" w:rsidRDefault="00660791">
      <w:pPr>
        <w:spacing w:line="480" w:lineRule="auto"/>
        <w:rPr>
          <w:sz w:val="21"/>
          <w:szCs w:val="21"/>
        </w:rPr>
      </w:pPr>
      <w:r>
        <w:rPr>
          <w:b/>
        </w:rPr>
        <w:t xml:space="preserve">Table </w:t>
      </w:r>
      <w:r w:rsidR="00212AA3">
        <w:rPr>
          <w:b/>
        </w:rPr>
        <w:t>5.</w:t>
      </w:r>
      <w:r>
        <w:rPr>
          <w:rFonts w:hint="eastAsia"/>
        </w:rPr>
        <w:t xml:space="preserve"> </w:t>
      </w:r>
      <w:r>
        <w:t xml:space="preserve">Standardized </w:t>
      </w:r>
      <w:r w:rsidR="004E13B7">
        <w:t>E</w:t>
      </w:r>
      <w:r>
        <w:t xml:space="preserve">stimates of </w:t>
      </w:r>
      <w:r w:rsidR="004E13B7">
        <w:t>M</w:t>
      </w:r>
      <w:r>
        <w:t xml:space="preserve">odel </w:t>
      </w:r>
      <w:r w:rsidR="004E13B7">
        <w:t>P</w:t>
      </w:r>
      <w:r>
        <w:t xml:space="preserve">arameters, </w:t>
      </w:r>
      <w:r w:rsidR="0074699C">
        <w:t xml:space="preserve">as well as </w:t>
      </w:r>
      <w:r w:rsidR="004E13B7">
        <w:t>G</w:t>
      </w:r>
      <w:r>
        <w:rPr>
          <w:rFonts w:hint="eastAsia"/>
        </w:rPr>
        <w:t xml:space="preserve">enetic and </w:t>
      </w:r>
      <w:r w:rsidR="004E13B7">
        <w:t>E</w:t>
      </w:r>
      <w:r>
        <w:rPr>
          <w:rFonts w:hint="eastAsia"/>
        </w:rPr>
        <w:t xml:space="preserve">nvironmental </w:t>
      </w:r>
      <w:r w:rsidR="004E13B7">
        <w:t>E</w:t>
      </w:r>
      <w:r>
        <w:t>ffects</w:t>
      </w:r>
      <w:r w:rsidR="004E13B7">
        <w:t>,</w:t>
      </w:r>
      <w:r>
        <w:rPr>
          <w:rFonts w:hint="eastAsia"/>
        </w:rPr>
        <w:t xml:space="preserve"> </w:t>
      </w:r>
      <w:r>
        <w:t xml:space="preserve">from the </w:t>
      </w:r>
      <w:r w:rsidR="004E13B7">
        <w:t>C</w:t>
      </w:r>
      <w:r>
        <w:t xml:space="preserve">ommon </w:t>
      </w:r>
      <w:r w:rsidR="004E13B7">
        <w:t>P</w:t>
      </w:r>
      <w:r>
        <w:t xml:space="preserve">athway </w:t>
      </w:r>
      <w:r w:rsidR="004E13B7">
        <w:t>M</w:t>
      </w:r>
      <w:r>
        <w:t>odel of</w:t>
      </w:r>
      <w:r>
        <w:rPr>
          <w:rFonts w:hint="eastAsia"/>
        </w:rPr>
        <w:t xml:space="preserve"> </w:t>
      </w:r>
      <w:r w:rsidR="004E13B7">
        <w:t>S</w:t>
      </w:r>
      <w:r>
        <w:t>elf-</w:t>
      </w:r>
      <w:r w:rsidR="004E13B7">
        <w:t>E</w:t>
      </w:r>
      <w:r>
        <w:t xml:space="preserve">nhancement </w:t>
      </w:r>
      <w:r w:rsidR="004E13B7">
        <w:t>M</w:t>
      </w:r>
      <w:r>
        <w:t>anifestations</w:t>
      </w:r>
    </w:p>
    <w:p w14:paraId="6F9DE9E1" w14:textId="77777777" w:rsidR="00660791" w:rsidRDefault="00660791" w:rsidP="00660791"/>
    <w:p w14:paraId="1822415F" w14:textId="4D4B046D" w:rsidR="00660791" w:rsidRDefault="00660791">
      <w:pPr>
        <w:spacing w:line="480" w:lineRule="auto"/>
        <w:rPr>
          <w:sz w:val="21"/>
          <w:szCs w:val="21"/>
        </w:rPr>
        <w:sectPr w:rsidR="00660791" w:rsidSect="007025FE">
          <w:pgSz w:w="16840" w:h="11900" w:orient="landscape"/>
          <w:pgMar w:top="1797" w:right="1440" w:bottom="1797" w:left="1440" w:header="851" w:footer="992" w:gutter="0"/>
          <w:cols w:space="720"/>
          <w:docGrid w:linePitch="326"/>
        </w:sectPr>
      </w:pPr>
      <w:r>
        <w:rPr>
          <w:i/>
          <w:sz w:val="21"/>
          <w:szCs w:val="21"/>
        </w:rPr>
        <w:t>Note.</w:t>
      </w:r>
      <w:r>
        <w:rPr>
          <w:sz w:val="21"/>
          <w:szCs w:val="21"/>
        </w:rPr>
        <w:t xml:space="preserve"> NPI: Narcissistic Personality Inventory; CNI: Communal Narcissism Inventory; NGS: Narcissistic Grandiosity Scale; BTA</w:t>
      </w:r>
      <w:r w:rsidR="003B7234">
        <w:rPr>
          <w:sz w:val="21"/>
          <w:szCs w:val="21"/>
        </w:rPr>
        <w:t>T</w:t>
      </w:r>
      <w:r>
        <w:rPr>
          <w:sz w:val="21"/>
          <w:szCs w:val="21"/>
        </w:rPr>
        <w:t>: Better-</w:t>
      </w:r>
      <w:r w:rsidR="0074699C">
        <w:rPr>
          <w:sz w:val="21"/>
          <w:szCs w:val="21"/>
        </w:rPr>
        <w:t>T</w:t>
      </w:r>
      <w:r>
        <w:rPr>
          <w:sz w:val="21"/>
          <w:szCs w:val="21"/>
        </w:rPr>
        <w:t>han-</w:t>
      </w:r>
      <w:r w:rsidR="0074699C">
        <w:rPr>
          <w:sz w:val="21"/>
          <w:szCs w:val="21"/>
        </w:rPr>
        <w:t>A</w:t>
      </w:r>
      <w:r>
        <w:rPr>
          <w:sz w:val="21"/>
          <w:szCs w:val="21"/>
        </w:rPr>
        <w:t xml:space="preserve">verage </w:t>
      </w:r>
      <w:r w:rsidR="0074699C">
        <w:rPr>
          <w:sz w:val="21"/>
          <w:szCs w:val="21"/>
        </w:rPr>
        <w:t>Task</w:t>
      </w:r>
      <w:r>
        <w:rPr>
          <w:sz w:val="21"/>
          <w:szCs w:val="21"/>
        </w:rPr>
        <w:t xml:space="preserve">; OCQ: Over-Claiming Questionnaire. For each variable, </w:t>
      </w:r>
      <w:r w:rsidR="004E13B7">
        <w:rPr>
          <w:sz w:val="21"/>
          <w:szCs w:val="21"/>
        </w:rPr>
        <w:t xml:space="preserve">we divided </w:t>
      </w:r>
      <w:r>
        <w:rPr>
          <w:sz w:val="21"/>
          <w:szCs w:val="21"/>
        </w:rPr>
        <w:t>variance into proportions due to genetic (a</w:t>
      </w:r>
      <w:r>
        <w:rPr>
          <w:sz w:val="21"/>
          <w:szCs w:val="21"/>
          <w:vertAlign w:val="superscript"/>
        </w:rPr>
        <w:t>2</w:t>
      </w:r>
      <w:r>
        <w:rPr>
          <w:sz w:val="21"/>
          <w:szCs w:val="21"/>
        </w:rPr>
        <w:t>), shared environmental (c</w:t>
      </w:r>
      <w:r>
        <w:rPr>
          <w:sz w:val="21"/>
          <w:szCs w:val="21"/>
          <w:vertAlign w:val="superscript"/>
        </w:rPr>
        <w:t>2</w:t>
      </w:r>
      <w:r>
        <w:rPr>
          <w:sz w:val="21"/>
          <w:szCs w:val="21"/>
        </w:rPr>
        <w:t>), and non-shared environmental (e</w:t>
      </w:r>
      <w:r>
        <w:rPr>
          <w:sz w:val="21"/>
          <w:szCs w:val="21"/>
          <w:vertAlign w:val="superscript"/>
        </w:rPr>
        <w:t>2</w:t>
      </w:r>
      <w:r>
        <w:rPr>
          <w:sz w:val="21"/>
          <w:szCs w:val="21"/>
        </w:rPr>
        <w:t>) effects.</w:t>
      </w:r>
      <w:r w:rsidR="004E13B7">
        <w:rPr>
          <w:sz w:val="21"/>
          <w:szCs w:val="21"/>
        </w:rPr>
        <w:t xml:space="preserve"> We further decomposed e</w:t>
      </w:r>
      <w:r>
        <w:rPr>
          <w:sz w:val="21"/>
          <w:szCs w:val="21"/>
        </w:rPr>
        <w:t>very effect into part accounted for by common factor and that by specific factor. 95% confidence intervals are in brackets.</w:t>
      </w:r>
    </w:p>
    <w:p w14:paraId="3EAB73BB" w14:textId="40A95732" w:rsidR="009B244D" w:rsidRDefault="00F4341B">
      <w:pPr>
        <w:spacing w:line="480" w:lineRule="exact"/>
        <w:rPr>
          <w:b/>
        </w:rPr>
      </w:pPr>
      <w:r>
        <w:rPr>
          <w:rFonts w:hint="eastAsia"/>
          <w:b/>
        </w:rPr>
        <w:lastRenderedPageBreak/>
        <w:t xml:space="preserve">Multivariate </w:t>
      </w:r>
      <w:r>
        <w:rPr>
          <w:b/>
        </w:rPr>
        <w:t>G</w:t>
      </w:r>
      <w:r>
        <w:rPr>
          <w:rFonts w:hint="eastAsia"/>
          <w:b/>
        </w:rPr>
        <w:t xml:space="preserve">enetic </w:t>
      </w:r>
      <w:r>
        <w:rPr>
          <w:b/>
        </w:rPr>
        <w:t>M</w:t>
      </w:r>
      <w:r>
        <w:rPr>
          <w:rFonts w:hint="eastAsia"/>
          <w:b/>
        </w:rPr>
        <w:t>odel-</w:t>
      </w:r>
      <w:r>
        <w:rPr>
          <w:b/>
        </w:rPr>
        <w:t>F</w:t>
      </w:r>
      <w:r>
        <w:rPr>
          <w:rFonts w:hint="eastAsia"/>
          <w:b/>
        </w:rPr>
        <w:t xml:space="preserve">itting for </w:t>
      </w:r>
      <w:r>
        <w:rPr>
          <w:b/>
        </w:rPr>
        <w:t>Self-Enhancement Manifestations</w:t>
      </w:r>
      <w:r>
        <w:rPr>
          <w:rFonts w:hint="eastAsia"/>
          <w:b/>
        </w:rPr>
        <w:t xml:space="preserve"> and </w:t>
      </w:r>
      <w:r w:rsidR="004E13B7">
        <w:rPr>
          <w:b/>
        </w:rPr>
        <w:t xml:space="preserve">Psychological </w:t>
      </w:r>
      <w:r>
        <w:rPr>
          <w:b/>
        </w:rPr>
        <w:t>Wellbeing</w:t>
      </w:r>
    </w:p>
    <w:p w14:paraId="52839E9B" w14:textId="1B1290DF" w:rsidR="009B244D" w:rsidRDefault="00B70A77">
      <w:pPr>
        <w:spacing w:line="480" w:lineRule="exact"/>
        <w:ind w:firstLineChars="200" w:firstLine="422"/>
      </w:pPr>
      <w:r w:rsidRPr="0056323D">
        <w:rPr>
          <w:b/>
          <w:noProof/>
          <w:sz w:val="21"/>
          <w:szCs w:val="21"/>
          <w:lang w:val="en-GB"/>
        </w:rPr>
        <w:drawing>
          <wp:anchor distT="0" distB="0" distL="114300" distR="114300" simplePos="0" relativeHeight="251666432" behindDoc="0" locked="0" layoutInCell="1" allowOverlap="1" wp14:anchorId="42E94BA8" wp14:editId="4A431F8F">
            <wp:simplePos x="0" y="0"/>
            <wp:positionH relativeFrom="column">
              <wp:posOffset>-61595</wp:posOffset>
            </wp:positionH>
            <wp:positionV relativeFrom="paragraph">
              <wp:posOffset>3736340</wp:posOffset>
            </wp:positionV>
            <wp:extent cx="5554980" cy="3088640"/>
            <wp:effectExtent l="0" t="0" r="7620" b="1016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54980" cy="3088640"/>
                    </a:xfrm>
                    <a:prstGeom prst="rect">
                      <a:avLst/>
                    </a:prstGeom>
                  </pic:spPr>
                </pic:pic>
              </a:graphicData>
            </a:graphic>
            <wp14:sizeRelH relativeFrom="page">
              <wp14:pctWidth>0</wp14:pctWidth>
            </wp14:sizeRelH>
            <wp14:sizeRelV relativeFrom="page">
              <wp14:pctHeight>0</wp14:pctHeight>
            </wp14:sizeRelV>
          </wp:anchor>
        </w:drawing>
      </w:r>
      <w:r w:rsidR="00F4341B" w:rsidRPr="00361E2C">
        <w:rPr>
          <w:rFonts w:hint="eastAsia"/>
        </w:rPr>
        <w:t xml:space="preserve">To </w:t>
      </w:r>
      <w:r w:rsidR="00551C88">
        <w:t>examine</w:t>
      </w:r>
      <w:r w:rsidR="00F4341B" w:rsidRPr="00361E2C">
        <w:rPr>
          <w:rFonts w:hint="eastAsia"/>
        </w:rPr>
        <w:t xml:space="preserve"> the </w:t>
      </w:r>
      <w:r w:rsidR="0025727C">
        <w:t>genetic and environmental contribution</w:t>
      </w:r>
      <w:r w:rsidR="008F2FE4">
        <w:rPr>
          <w:rFonts w:hint="eastAsia"/>
        </w:rPr>
        <w:t>s</w:t>
      </w:r>
      <w:r w:rsidR="0025727C">
        <w:t xml:space="preserve"> to</w:t>
      </w:r>
      <w:r w:rsidR="00F4341B">
        <w:rPr>
          <w:rFonts w:hint="eastAsia"/>
        </w:rPr>
        <w:t xml:space="preserve"> the relation between </w:t>
      </w:r>
      <w:r w:rsidR="00F4341B">
        <w:t xml:space="preserve">self-enhancement </w:t>
      </w:r>
      <w:r w:rsidR="00F4341B">
        <w:rPr>
          <w:rFonts w:hint="eastAsia"/>
        </w:rPr>
        <w:t xml:space="preserve">and wellbeing, we extended the </w:t>
      </w:r>
      <w:r w:rsidR="00F4341B">
        <w:t xml:space="preserve">previous </w:t>
      </w:r>
      <w:r w:rsidR="00F4341B">
        <w:rPr>
          <w:rFonts w:hint="eastAsia"/>
        </w:rPr>
        <w:t xml:space="preserve">common pathway model by </w:t>
      </w:r>
      <w:r w:rsidR="00F4341B">
        <w:t xml:space="preserve">incorporating another group of parameters for wellbeing </w:t>
      </w:r>
      <w:r w:rsidR="008D7A60">
        <w:t xml:space="preserve">as we did </w:t>
      </w:r>
      <w:r w:rsidR="00F4341B">
        <w:t>for self-enhancement manifestations</w:t>
      </w:r>
      <w:r w:rsidR="00F4341B">
        <w:rPr>
          <w:rFonts w:hint="eastAsia"/>
          <w:b/>
        </w:rPr>
        <w:t xml:space="preserve"> </w:t>
      </w:r>
      <w:r w:rsidR="00F4341B">
        <w:rPr>
          <w:rFonts w:hint="eastAsia"/>
        </w:rPr>
        <w:t xml:space="preserve">(Figure </w:t>
      </w:r>
      <w:r w:rsidR="00F91355">
        <w:t>3</w:t>
      </w:r>
      <w:r w:rsidR="00F4341B">
        <w:rPr>
          <w:rFonts w:hint="eastAsia"/>
        </w:rPr>
        <w:t xml:space="preserve">). </w:t>
      </w:r>
      <w:r w:rsidR="00F4341B">
        <w:t>We arrived at t</w:t>
      </w:r>
      <w:r w:rsidR="00F4341B">
        <w:rPr>
          <w:rFonts w:hint="eastAsia"/>
        </w:rPr>
        <w:t xml:space="preserve">his practice </w:t>
      </w:r>
      <w:r w:rsidR="00F4341B">
        <w:t>based on</w:t>
      </w:r>
      <w:r w:rsidR="00F4341B">
        <w:rPr>
          <w:rFonts w:hint="eastAsia"/>
        </w:rPr>
        <w:t xml:space="preserve"> previous findings of common genetic and environmental influences on </w:t>
      </w:r>
      <w:r w:rsidR="008D7A60">
        <w:t xml:space="preserve">cognitive </w:t>
      </w:r>
      <w:r w:rsidR="00F4341B">
        <w:rPr>
          <w:rFonts w:hint="eastAsia"/>
        </w:rPr>
        <w:t>and affective wellbeing, especially</w:t>
      </w:r>
      <w:r w:rsidR="00F4341B">
        <w:t xml:space="preserve"> given</w:t>
      </w:r>
      <w:r w:rsidR="00F4341B">
        <w:rPr>
          <w:rFonts w:hint="eastAsia"/>
        </w:rPr>
        <w:t xml:space="preserve"> that the common influences are attributed to latent factors </w:t>
      </w:r>
      <w:r w:rsidR="00F4341B">
        <w:t>underlying</w:t>
      </w:r>
      <w:r w:rsidR="00F4341B">
        <w:rPr>
          <w:rFonts w:hint="eastAsia"/>
        </w:rPr>
        <w:t xml:space="preserve"> the two wellbeing indicators (Franz et al., 2012; Haworth, </w:t>
      </w:r>
      <w:r w:rsidR="00F4341B">
        <w:rPr>
          <w:bCs/>
          <w:color w:val="000000"/>
        </w:rPr>
        <w:t>Carter, Eley, &amp; Plomin,</w:t>
      </w:r>
      <w:r w:rsidR="00F4341B">
        <w:rPr>
          <w:rFonts w:hint="eastAsia"/>
        </w:rPr>
        <w:t xml:space="preserve"> 2017). Furthermore</w:t>
      </w:r>
      <w:r w:rsidR="00F4341B">
        <w:t xml:space="preserve">, we tested whether the genetic influences common to the self-enhancement manifestations and those common to the wellbeing </w:t>
      </w:r>
      <w:r w:rsidR="005C066C">
        <w:t xml:space="preserve">indicators </w:t>
      </w:r>
      <w:r w:rsidR="00A127E2">
        <w:t xml:space="preserve">were </w:t>
      </w:r>
      <w:r w:rsidR="00F4341B">
        <w:t>interconnected (i.e., a genetic correlation between the two common genetic factors</w:t>
      </w:r>
      <w:r w:rsidR="00772F3C">
        <w:t xml:space="preserve">, </w:t>
      </w:r>
      <w:r w:rsidR="00772F3C" w:rsidRPr="0056323D">
        <w:rPr>
          <w:i/>
        </w:rPr>
        <w:t>r</w:t>
      </w:r>
      <w:r w:rsidR="00772F3C" w:rsidRPr="0056323D">
        <w:rPr>
          <w:i/>
          <w:vertAlign w:val="subscript"/>
        </w:rPr>
        <w:t>A</w:t>
      </w:r>
      <w:r w:rsidR="00F4341B">
        <w:t xml:space="preserve">). Similarly, we examined shared and non-shared environmental correlations </w:t>
      </w:r>
      <w:r w:rsidR="00772F3C">
        <w:t>(</w:t>
      </w:r>
      <w:r w:rsidR="00772F3C" w:rsidRPr="0056323D">
        <w:rPr>
          <w:i/>
        </w:rPr>
        <w:t>r</w:t>
      </w:r>
      <w:r w:rsidR="00772F3C" w:rsidRPr="0056323D">
        <w:rPr>
          <w:i/>
          <w:vertAlign w:val="subscript"/>
        </w:rPr>
        <w:t xml:space="preserve">C, </w:t>
      </w:r>
      <w:r w:rsidR="00772F3C" w:rsidRPr="0056323D">
        <w:rPr>
          <w:i/>
        </w:rPr>
        <w:t>r</w:t>
      </w:r>
      <w:r w:rsidR="00772F3C" w:rsidRPr="0056323D">
        <w:rPr>
          <w:i/>
          <w:vertAlign w:val="subscript"/>
        </w:rPr>
        <w:t>E</w:t>
      </w:r>
      <w:r w:rsidR="00772F3C">
        <w:t xml:space="preserve">) </w:t>
      </w:r>
      <w:r w:rsidR="00F4341B">
        <w:t xml:space="preserve">between corresponding common factors. </w:t>
      </w:r>
    </w:p>
    <w:p w14:paraId="57D1C3B5" w14:textId="08CDED43" w:rsidR="009B244D" w:rsidRDefault="00660791">
      <w:pPr>
        <w:spacing w:after="120" w:line="480" w:lineRule="exact"/>
        <w:rPr>
          <w:sz w:val="21"/>
          <w:szCs w:val="21"/>
        </w:rPr>
      </w:pPr>
      <w:r w:rsidRPr="007025FE">
        <w:rPr>
          <w:b/>
          <w:sz w:val="21"/>
          <w:szCs w:val="21"/>
        </w:rPr>
        <w:t>Figure 3.</w:t>
      </w:r>
      <w:r w:rsidRPr="007025FE">
        <w:rPr>
          <w:sz w:val="21"/>
          <w:szCs w:val="21"/>
        </w:rPr>
        <w:t xml:space="preserve"> An illustration of the common-pathway model incorporating both self-enhancement and </w:t>
      </w:r>
      <w:r w:rsidR="004E13B7">
        <w:rPr>
          <w:sz w:val="21"/>
          <w:szCs w:val="21"/>
        </w:rPr>
        <w:t xml:space="preserve">psychological </w:t>
      </w:r>
      <w:r w:rsidRPr="007025FE">
        <w:rPr>
          <w:sz w:val="21"/>
          <w:szCs w:val="21"/>
        </w:rPr>
        <w:t>well-being.</w:t>
      </w:r>
      <w:r>
        <w:rPr>
          <w:i/>
          <w:sz w:val="21"/>
          <w:szCs w:val="21"/>
        </w:rPr>
        <w:t xml:space="preserve"> </w:t>
      </w:r>
      <w:r w:rsidR="004E13B7">
        <w:rPr>
          <w:iCs/>
          <w:sz w:val="21"/>
          <w:szCs w:val="21"/>
        </w:rPr>
        <w:t>We depict m</w:t>
      </w:r>
      <w:r w:rsidR="00F4341B">
        <w:rPr>
          <w:sz w:val="21"/>
          <w:szCs w:val="21"/>
        </w:rPr>
        <w:t>easured variables in rectangles. NPI: Narcissistic Personality Inventory; CNI: Communal Narcissism Inventory; NGS: Narcissistic Grandiosity Scale; BTA</w:t>
      </w:r>
      <w:r w:rsidR="000E5457">
        <w:rPr>
          <w:sz w:val="21"/>
          <w:szCs w:val="21"/>
        </w:rPr>
        <w:t>T</w:t>
      </w:r>
      <w:r w:rsidR="00F4341B">
        <w:rPr>
          <w:sz w:val="21"/>
          <w:szCs w:val="21"/>
        </w:rPr>
        <w:t>: Better-</w:t>
      </w:r>
      <w:r w:rsidR="000E5457">
        <w:rPr>
          <w:sz w:val="21"/>
          <w:szCs w:val="21"/>
        </w:rPr>
        <w:t>T</w:t>
      </w:r>
      <w:r w:rsidR="00F4341B">
        <w:rPr>
          <w:sz w:val="21"/>
          <w:szCs w:val="21"/>
        </w:rPr>
        <w:t>han-</w:t>
      </w:r>
      <w:r w:rsidR="000E5457">
        <w:rPr>
          <w:sz w:val="21"/>
          <w:szCs w:val="21"/>
        </w:rPr>
        <w:t>A</w:t>
      </w:r>
      <w:r w:rsidR="00F4341B">
        <w:rPr>
          <w:sz w:val="21"/>
          <w:szCs w:val="21"/>
        </w:rPr>
        <w:t xml:space="preserve">verage </w:t>
      </w:r>
      <w:r w:rsidR="000E5457">
        <w:rPr>
          <w:sz w:val="21"/>
          <w:szCs w:val="21"/>
        </w:rPr>
        <w:t>Task</w:t>
      </w:r>
      <w:r w:rsidR="00F4341B">
        <w:rPr>
          <w:sz w:val="21"/>
          <w:szCs w:val="21"/>
        </w:rPr>
        <w:t>; OCQ: Over-Claiming Questionnaire</w:t>
      </w:r>
      <w:r w:rsidR="009C6C1A">
        <w:rPr>
          <w:sz w:val="21"/>
          <w:szCs w:val="21"/>
        </w:rPr>
        <w:t xml:space="preserve">; SWLS: </w:t>
      </w:r>
      <w:r w:rsidR="009C6C1A">
        <w:rPr>
          <w:sz w:val="21"/>
          <w:szCs w:val="21"/>
        </w:rPr>
        <w:lastRenderedPageBreak/>
        <w:t>Satisfaction with Life Scale; AWBS: affective well-being Scale</w:t>
      </w:r>
      <w:r w:rsidR="00F4341B">
        <w:rPr>
          <w:sz w:val="21"/>
          <w:szCs w:val="21"/>
        </w:rPr>
        <w:t xml:space="preserve">. </w:t>
      </w:r>
      <w:r w:rsidR="004E13B7">
        <w:rPr>
          <w:sz w:val="21"/>
          <w:szCs w:val="21"/>
        </w:rPr>
        <w:t>We present l</w:t>
      </w:r>
      <w:r w:rsidR="00F4341B">
        <w:rPr>
          <w:sz w:val="21"/>
          <w:szCs w:val="21"/>
        </w:rPr>
        <w:t xml:space="preserve">atent </w:t>
      </w:r>
      <w:r w:rsidR="00F4341B">
        <w:rPr>
          <w:rFonts w:hint="eastAsia"/>
          <w:sz w:val="21"/>
          <w:szCs w:val="21"/>
        </w:rPr>
        <w:t xml:space="preserve">traits </w:t>
      </w:r>
      <w:r w:rsidR="00F4341B">
        <w:rPr>
          <w:sz w:val="21"/>
          <w:szCs w:val="21"/>
        </w:rPr>
        <w:t>(LT</w:t>
      </w:r>
      <w:r w:rsidR="00F4341B">
        <w:rPr>
          <w:sz w:val="21"/>
          <w:szCs w:val="21"/>
          <w:vertAlign w:val="subscript"/>
        </w:rPr>
        <w:t>1</w:t>
      </w:r>
      <w:r w:rsidR="00F4341B">
        <w:rPr>
          <w:sz w:val="21"/>
          <w:szCs w:val="21"/>
        </w:rPr>
        <w:t>, LT</w:t>
      </w:r>
      <w:r w:rsidR="00F4341B">
        <w:rPr>
          <w:sz w:val="21"/>
          <w:szCs w:val="21"/>
          <w:vertAlign w:val="subscript"/>
        </w:rPr>
        <w:t>2</w:t>
      </w:r>
      <w:r w:rsidR="00F4341B">
        <w:rPr>
          <w:sz w:val="21"/>
          <w:szCs w:val="21"/>
        </w:rPr>
        <w:t xml:space="preserve">), A (additive genetic factor), </w:t>
      </w:r>
      <w:r w:rsidR="006845E7">
        <w:rPr>
          <w:sz w:val="21"/>
          <w:szCs w:val="21"/>
        </w:rPr>
        <w:t xml:space="preserve">C (shared environmental factor), </w:t>
      </w:r>
      <w:r w:rsidR="00F4341B">
        <w:rPr>
          <w:sz w:val="21"/>
          <w:szCs w:val="21"/>
        </w:rPr>
        <w:t>and E (non-shared environmental factor) in circles. A</w:t>
      </w:r>
      <w:r w:rsidR="00F4341B">
        <w:rPr>
          <w:sz w:val="21"/>
          <w:szCs w:val="21"/>
          <w:vertAlign w:val="subscript"/>
        </w:rPr>
        <w:t>c1-2</w:t>
      </w:r>
      <w:r w:rsidR="00B57900" w:rsidRPr="007025FE">
        <w:rPr>
          <w:sz w:val="21"/>
          <w:szCs w:val="21"/>
        </w:rPr>
        <w:t>,</w:t>
      </w:r>
      <w:r w:rsidR="00F4341B" w:rsidRPr="00B57900">
        <w:rPr>
          <w:sz w:val="21"/>
          <w:szCs w:val="21"/>
        </w:rPr>
        <w:t xml:space="preserve"> </w:t>
      </w:r>
      <w:r w:rsidR="00B57900">
        <w:rPr>
          <w:sz w:val="21"/>
          <w:szCs w:val="21"/>
        </w:rPr>
        <w:t>C</w:t>
      </w:r>
      <w:r w:rsidR="00B57900">
        <w:rPr>
          <w:sz w:val="21"/>
          <w:szCs w:val="21"/>
          <w:vertAlign w:val="subscript"/>
        </w:rPr>
        <w:t>c1-2</w:t>
      </w:r>
      <w:r w:rsidR="00B57900" w:rsidRPr="00B57900">
        <w:rPr>
          <w:sz w:val="21"/>
          <w:szCs w:val="21"/>
        </w:rPr>
        <w:t xml:space="preserve">, </w:t>
      </w:r>
      <w:r w:rsidR="00F4341B">
        <w:rPr>
          <w:sz w:val="21"/>
          <w:szCs w:val="21"/>
        </w:rPr>
        <w:t>and E</w:t>
      </w:r>
      <w:r w:rsidR="00F4341B">
        <w:rPr>
          <w:sz w:val="21"/>
          <w:szCs w:val="21"/>
          <w:vertAlign w:val="subscript"/>
        </w:rPr>
        <w:t>c1-2</w:t>
      </w:r>
      <w:r w:rsidR="00F4341B">
        <w:rPr>
          <w:sz w:val="21"/>
          <w:szCs w:val="21"/>
        </w:rPr>
        <w:t xml:space="preserve"> are factors influencing latent variables. A</w:t>
      </w:r>
      <w:r w:rsidR="00F4341B">
        <w:rPr>
          <w:sz w:val="21"/>
          <w:szCs w:val="21"/>
          <w:vertAlign w:val="subscript"/>
        </w:rPr>
        <w:t>1-7</w:t>
      </w:r>
      <w:r w:rsidR="00F4341B">
        <w:rPr>
          <w:sz w:val="21"/>
          <w:szCs w:val="21"/>
        </w:rPr>
        <w:t xml:space="preserve"> and E</w:t>
      </w:r>
      <w:r w:rsidR="00F4341B">
        <w:rPr>
          <w:sz w:val="21"/>
          <w:szCs w:val="21"/>
          <w:vertAlign w:val="subscript"/>
        </w:rPr>
        <w:t>1-7</w:t>
      </w:r>
      <w:r w:rsidR="00F4341B">
        <w:rPr>
          <w:sz w:val="21"/>
          <w:szCs w:val="21"/>
        </w:rPr>
        <w:t xml:space="preserve"> are factors </w:t>
      </w:r>
      <w:r w:rsidR="001E6C73">
        <w:rPr>
          <w:sz w:val="21"/>
          <w:szCs w:val="21"/>
        </w:rPr>
        <w:t xml:space="preserve">specific </w:t>
      </w:r>
      <w:r w:rsidR="00F4341B">
        <w:rPr>
          <w:sz w:val="21"/>
          <w:szCs w:val="21"/>
        </w:rPr>
        <w:t>to each measure.</w:t>
      </w:r>
    </w:p>
    <w:p w14:paraId="337D0829" w14:textId="552360C6" w:rsidR="00185BE9" w:rsidRDefault="002C78D4" w:rsidP="0056323D">
      <w:pPr>
        <w:spacing w:line="480" w:lineRule="exact"/>
        <w:ind w:firstLine="420"/>
      </w:pPr>
      <w:r>
        <w:rPr>
          <w:rFonts w:hint="eastAsia"/>
        </w:rPr>
        <w:t>According to</w:t>
      </w:r>
      <w:r>
        <w:t xml:space="preserve"> the </w:t>
      </w:r>
      <w:r w:rsidR="00832B9E">
        <w:t>full ACE</w:t>
      </w:r>
      <w:r>
        <w:t xml:space="preserve"> model</w:t>
      </w:r>
      <w:r w:rsidR="00525F23">
        <w:t xml:space="preserve"> (-2LL = 10617.91, </w:t>
      </w:r>
      <w:r w:rsidR="00525F23" w:rsidRPr="0056323D">
        <w:rPr>
          <w:i/>
        </w:rPr>
        <w:t>df</w:t>
      </w:r>
      <w:r w:rsidR="00525F23">
        <w:t xml:space="preserve"> = 4200, AIC = 2217.91, BIC = -13393.61)</w:t>
      </w:r>
      <w:r>
        <w:t xml:space="preserve">, </w:t>
      </w:r>
      <w:r>
        <w:rPr>
          <w:rFonts w:hint="eastAsia"/>
        </w:rPr>
        <w:t xml:space="preserve">the results concerning </w:t>
      </w:r>
      <w:r>
        <w:t>self-enhancement manifestations</w:t>
      </w:r>
      <w:r>
        <w:rPr>
          <w:rFonts w:hint="eastAsia"/>
          <w:b/>
        </w:rPr>
        <w:t xml:space="preserve"> </w:t>
      </w:r>
      <w:r>
        <w:rPr>
          <w:rFonts w:hint="eastAsia"/>
        </w:rPr>
        <w:t xml:space="preserve">per </w:t>
      </w:r>
      <w:r w:rsidR="005D4786">
        <w:t xml:space="preserve">se </w:t>
      </w:r>
      <w:r w:rsidR="000E5457">
        <w:t>replicated</w:t>
      </w:r>
      <w:r>
        <w:rPr>
          <w:rFonts w:hint="eastAsia"/>
        </w:rPr>
        <w:t xml:space="preserve"> the findings from the common pathway model targeting </w:t>
      </w:r>
      <w:r>
        <w:t>self-enhancement manifestations</w:t>
      </w:r>
      <w:r>
        <w:rPr>
          <w:rFonts w:hint="eastAsia"/>
          <w:b/>
        </w:rPr>
        <w:t xml:space="preserve"> </w:t>
      </w:r>
      <w:r>
        <w:rPr>
          <w:rFonts w:hint="eastAsia"/>
        </w:rPr>
        <w:t>(</w:t>
      </w:r>
      <w:r w:rsidR="00E95286">
        <w:t xml:space="preserve">Table </w:t>
      </w:r>
      <w:r w:rsidR="00C403F6">
        <w:t>6</w:t>
      </w:r>
      <w:r>
        <w:rPr>
          <w:rFonts w:hint="eastAsia"/>
        </w:rPr>
        <w:t xml:space="preserve">). For wellbeing, </w:t>
      </w:r>
      <w:r>
        <w:t>we found</w:t>
      </w:r>
      <w:r>
        <w:rPr>
          <w:rFonts w:hint="eastAsia"/>
        </w:rPr>
        <w:t xml:space="preserve"> </w:t>
      </w:r>
      <w:r w:rsidR="00F60F82">
        <w:t>moderate</w:t>
      </w:r>
      <w:r>
        <w:t xml:space="preserve"> genetic </w:t>
      </w:r>
      <w:r>
        <w:rPr>
          <w:rFonts w:hint="eastAsia"/>
        </w:rPr>
        <w:t>(.</w:t>
      </w:r>
      <w:r w:rsidR="00E95286">
        <w:t>39</w:t>
      </w:r>
      <w:r>
        <w:rPr>
          <w:rFonts w:hint="eastAsia"/>
        </w:rPr>
        <w:t xml:space="preserve">) </w:t>
      </w:r>
      <w:r>
        <w:t>and non-shared environmental</w:t>
      </w:r>
      <w:r>
        <w:rPr>
          <w:rFonts w:hint="eastAsia"/>
        </w:rPr>
        <w:t xml:space="preserve"> (.</w:t>
      </w:r>
      <w:r w:rsidR="00E95286">
        <w:t>49</w:t>
      </w:r>
      <w:r>
        <w:rPr>
          <w:rFonts w:hint="eastAsia"/>
        </w:rPr>
        <w:t>)</w:t>
      </w:r>
      <w:r>
        <w:t xml:space="preserve"> effects </w:t>
      </w:r>
      <w:r w:rsidR="00E95286">
        <w:t xml:space="preserve">as well as </w:t>
      </w:r>
      <w:r w:rsidR="005D4786">
        <w:t>small</w:t>
      </w:r>
      <w:r w:rsidR="000E5457">
        <w:t xml:space="preserve"> </w:t>
      </w:r>
      <w:r w:rsidR="00E95286">
        <w:t xml:space="preserve">shared environmental effects (.12) </w:t>
      </w:r>
      <w:r>
        <w:t xml:space="preserve">on the latent </w:t>
      </w:r>
      <w:r>
        <w:rPr>
          <w:rFonts w:hint="eastAsia"/>
        </w:rPr>
        <w:t>trait for wellbeing. Such effects influenced both wellbeing</w:t>
      </w:r>
      <w:r>
        <w:t xml:space="preserve"> measures</w:t>
      </w:r>
      <w:r>
        <w:rPr>
          <w:rFonts w:hint="eastAsia"/>
        </w:rPr>
        <w:t xml:space="preserve"> (</w:t>
      </w:r>
      <w:r w:rsidR="00C332D5">
        <w:t xml:space="preserve">Table </w:t>
      </w:r>
      <w:r w:rsidR="00C403F6">
        <w:t>6</w:t>
      </w:r>
      <w:r>
        <w:rPr>
          <w:rFonts w:hint="eastAsia"/>
        </w:rPr>
        <w:t>)</w:t>
      </w:r>
      <w:r>
        <w:t xml:space="preserve">. Crucially, we found that the </w:t>
      </w:r>
      <w:r w:rsidR="008F4224">
        <w:t xml:space="preserve">global </w:t>
      </w:r>
      <w:r>
        <w:t xml:space="preserve">genetic influence underlying self-enhancement </w:t>
      </w:r>
      <w:r w:rsidR="000E7E24">
        <w:t xml:space="preserve">manifestations </w:t>
      </w:r>
      <w:r w:rsidR="008F4224">
        <w:t>was</w:t>
      </w:r>
      <w:r>
        <w:t xml:space="preserve"> positively related to th</w:t>
      </w:r>
      <w:r w:rsidR="008F4224">
        <w:t>at</w:t>
      </w:r>
      <w:r>
        <w:t xml:space="preserve"> underlying </w:t>
      </w:r>
      <w:r w:rsidR="009A3248">
        <w:t xml:space="preserve">two </w:t>
      </w:r>
      <w:r>
        <w:t>wellbeing</w:t>
      </w:r>
      <w:r w:rsidR="009A3248">
        <w:t xml:space="preserve"> component</w:t>
      </w:r>
      <w:r w:rsidR="00F477DF">
        <w:t>s</w:t>
      </w:r>
      <w:r>
        <w:t xml:space="preserve"> (</w:t>
      </w:r>
      <w:r>
        <w:rPr>
          <w:i/>
        </w:rPr>
        <w:t>r</w:t>
      </w:r>
      <w:r>
        <w:rPr>
          <w:i/>
          <w:vertAlign w:val="subscript"/>
        </w:rPr>
        <w:t>A</w:t>
      </w:r>
      <w:r>
        <w:t xml:space="preserve"> = .3</w:t>
      </w:r>
      <w:r w:rsidR="00C332D5">
        <w:t xml:space="preserve">2, 95% CI </w:t>
      </w:r>
      <w:r w:rsidR="00B6146D">
        <w:t>[</w:t>
      </w:r>
      <w:r w:rsidR="00C332D5">
        <w:t>.02, .84</w:t>
      </w:r>
      <w:r w:rsidR="00B6146D">
        <w:t>]</w:t>
      </w:r>
      <w:r>
        <w:t xml:space="preserve">). The </w:t>
      </w:r>
      <w:r w:rsidR="00B6146D">
        <w:t xml:space="preserve">shared and </w:t>
      </w:r>
      <w:r>
        <w:t xml:space="preserve">non-shared environmental influences </w:t>
      </w:r>
      <w:r w:rsidR="00DA6D79">
        <w:t xml:space="preserve">on </w:t>
      </w:r>
      <w:r w:rsidR="00392C92">
        <w:t>self-enhancement and wellb</w:t>
      </w:r>
      <w:r w:rsidR="008F2FE4">
        <w:t>e</w:t>
      </w:r>
      <w:r w:rsidR="00392C92">
        <w:t xml:space="preserve">ing </w:t>
      </w:r>
      <w:r>
        <w:t>were also related (</w:t>
      </w:r>
      <w:r w:rsidR="00B6146D">
        <w:rPr>
          <w:i/>
        </w:rPr>
        <w:t>r</w:t>
      </w:r>
      <w:r w:rsidR="00AA67E0">
        <w:rPr>
          <w:i/>
          <w:vertAlign w:val="subscript"/>
        </w:rPr>
        <w:t>C</w:t>
      </w:r>
      <w:r w:rsidR="00B6146D">
        <w:t xml:space="preserve"> = 1.00 [</w:t>
      </w:r>
      <w:r w:rsidR="00287124">
        <w:t>1</w:t>
      </w:r>
      <w:r w:rsidR="00B6146D">
        <w:t xml:space="preserve">.00, 1.00]; </w:t>
      </w:r>
      <w:r>
        <w:rPr>
          <w:i/>
        </w:rPr>
        <w:t>r</w:t>
      </w:r>
      <w:r>
        <w:rPr>
          <w:i/>
          <w:vertAlign w:val="subscript"/>
        </w:rPr>
        <w:t>E</w:t>
      </w:r>
      <w:r>
        <w:t xml:space="preserve"> = .5</w:t>
      </w:r>
      <w:r w:rsidR="00B6146D">
        <w:t>8 [.38, .75]</w:t>
      </w:r>
      <w:r>
        <w:t xml:space="preserve">). </w:t>
      </w:r>
    </w:p>
    <w:p w14:paraId="6AD5FA5E" w14:textId="77777777" w:rsidR="00001C8D" w:rsidRDefault="00001C8D" w:rsidP="00660791">
      <w:pPr>
        <w:spacing w:after="120" w:line="480" w:lineRule="exact"/>
        <w:rPr>
          <w:sz w:val="21"/>
          <w:szCs w:val="21"/>
        </w:rPr>
      </w:pPr>
    </w:p>
    <w:p w14:paraId="57AF3A23" w14:textId="77777777" w:rsidR="00001C8D" w:rsidRDefault="00001C8D" w:rsidP="00660791">
      <w:pPr>
        <w:spacing w:after="120" w:line="480" w:lineRule="exact"/>
        <w:rPr>
          <w:sz w:val="21"/>
          <w:szCs w:val="21"/>
        </w:rPr>
        <w:sectPr w:rsidR="00001C8D" w:rsidSect="00660791">
          <w:pgSz w:w="11900" w:h="16840"/>
          <w:pgMar w:top="1440" w:right="1797" w:bottom="1440" w:left="1797" w:header="851" w:footer="992" w:gutter="0"/>
          <w:cols w:space="720"/>
          <w:docGrid w:linePitch="326"/>
        </w:sectPr>
      </w:pPr>
    </w:p>
    <w:tbl>
      <w:tblPr>
        <w:tblStyle w:val="PlainTable41"/>
        <w:tblpPr w:leftFromText="180" w:rightFromText="180" w:vertAnchor="text" w:horzAnchor="page" w:tblpX="1436" w:tblpY="1088"/>
        <w:tblOverlap w:val="never"/>
        <w:tblW w:w="14152" w:type="dxa"/>
        <w:tblLook w:val="04A0" w:firstRow="1" w:lastRow="0" w:firstColumn="1" w:lastColumn="0" w:noHBand="0" w:noVBand="1"/>
      </w:tblPr>
      <w:tblGrid>
        <w:gridCol w:w="1354"/>
        <w:gridCol w:w="1488"/>
        <w:gridCol w:w="1682"/>
        <w:gridCol w:w="1579"/>
        <w:gridCol w:w="1474"/>
        <w:gridCol w:w="236"/>
        <w:gridCol w:w="1110"/>
        <w:gridCol w:w="1003"/>
        <w:gridCol w:w="1110"/>
        <w:gridCol w:w="1003"/>
        <w:gridCol w:w="1110"/>
        <w:gridCol w:w="1003"/>
      </w:tblGrid>
      <w:tr w:rsidR="00F412A6" w14:paraId="49B22DB0" w14:textId="77777777" w:rsidTr="00F412A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4C087835" w14:textId="77777777" w:rsidR="00F412A6" w:rsidRDefault="00F412A6" w:rsidP="00F412A6">
            <w:pPr>
              <w:jc w:val="both"/>
              <w:rPr>
                <w:bCs w:val="0"/>
              </w:rPr>
            </w:pPr>
            <w:r>
              <w:rPr>
                <w:b w:val="0"/>
              </w:rPr>
              <w:lastRenderedPageBreak/>
              <w:t>Variables</w:t>
            </w:r>
          </w:p>
        </w:tc>
        <w:tc>
          <w:tcPr>
            <w:tcW w:w="6223" w:type="dxa"/>
            <w:gridSpan w:val="4"/>
            <w:tcBorders>
              <w:top w:val="single" w:sz="4" w:space="0" w:color="auto"/>
              <w:bottom w:val="single" w:sz="4" w:space="0" w:color="auto"/>
            </w:tcBorders>
            <w:shd w:val="clear" w:color="auto" w:fill="auto"/>
            <w:vAlign w:val="center"/>
          </w:tcPr>
          <w:p w14:paraId="7BF85BBF" w14:textId="77777777" w:rsidR="00F412A6" w:rsidRDefault="00F412A6" w:rsidP="00F412A6">
            <w:pPr>
              <w:jc w:val="center"/>
              <w:cnfStyle w:val="100000000000" w:firstRow="1" w:lastRow="0" w:firstColumn="0" w:lastColumn="0" w:oddVBand="0" w:evenVBand="0" w:oddHBand="0" w:evenHBand="0" w:firstRowFirstColumn="0" w:firstRowLastColumn="0" w:lastRowFirstColumn="0" w:lastRowLastColumn="0"/>
              <w:rPr>
                <w:bCs w:val="0"/>
              </w:rPr>
            </w:pPr>
            <w:r>
              <w:rPr>
                <w:b w:val="0"/>
              </w:rPr>
              <w:t>Path Parameters</w:t>
            </w:r>
          </w:p>
        </w:tc>
        <w:tc>
          <w:tcPr>
            <w:tcW w:w="236" w:type="dxa"/>
            <w:tcBorders>
              <w:top w:val="single" w:sz="4" w:space="0" w:color="auto"/>
            </w:tcBorders>
            <w:shd w:val="clear" w:color="auto" w:fill="auto"/>
            <w:vAlign w:val="center"/>
          </w:tcPr>
          <w:p w14:paraId="01E4AE12" w14:textId="77777777" w:rsidR="00F412A6" w:rsidRDefault="00F412A6" w:rsidP="00F412A6">
            <w:pPr>
              <w:jc w:val="center"/>
              <w:cnfStyle w:val="100000000000" w:firstRow="1" w:lastRow="0" w:firstColumn="0" w:lastColumn="0" w:oddVBand="0" w:evenVBand="0" w:oddHBand="0" w:evenHBand="0" w:firstRowFirstColumn="0" w:firstRowLastColumn="0" w:lastRowFirstColumn="0" w:lastRowLastColumn="0"/>
              <w:rPr>
                <w:bCs w:val="0"/>
              </w:rPr>
            </w:pPr>
          </w:p>
        </w:tc>
        <w:tc>
          <w:tcPr>
            <w:tcW w:w="0" w:type="auto"/>
            <w:gridSpan w:val="2"/>
            <w:tcBorders>
              <w:top w:val="single" w:sz="4" w:space="0" w:color="auto"/>
              <w:bottom w:val="single" w:sz="4" w:space="0" w:color="auto"/>
            </w:tcBorders>
            <w:shd w:val="clear" w:color="auto" w:fill="auto"/>
            <w:vAlign w:val="center"/>
          </w:tcPr>
          <w:p w14:paraId="3CF6896F" w14:textId="77777777" w:rsidR="00F412A6" w:rsidRDefault="00F412A6" w:rsidP="00F412A6">
            <w:pPr>
              <w:jc w:val="center"/>
              <w:cnfStyle w:val="100000000000" w:firstRow="1" w:lastRow="0" w:firstColumn="0" w:lastColumn="0" w:oddVBand="0" w:evenVBand="0" w:oddHBand="0" w:evenHBand="0" w:firstRowFirstColumn="0" w:firstRowLastColumn="0" w:lastRowFirstColumn="0" w:lastRowLastColumn="0"/>
            </w:pPr>
            <w:r>
              <w:rPr>
                <w:b w:val="0"/>
              </w:rPr>
              <w:t>a</w:t>
            </w:r>
            <w:r>
              <w:rPr>
                <w:b w:val="0"/>
                <w:vertAlign w:val="superscript"/>
              </w:rPr>
              <w:t>2</w:t>
            </w:r>
          </w:p>
        </w:tc>
        <w:tc>
          <w:tcPr>
            <w:tcW w:w="0" w:type="auto"/>
            <w:gridSpan w:val="2"/>
            <w:tcBorders>
              <w:top w:val="single" w:sz="4" w:space="0" w:color="auto"/>
              <w:bottom w:val="single" w:sz="4" w:space="0" w:color="auto"/>
            </w:tcBorders>
            <w:shd w:val="clear" w:color="auto" w:fill="auto"/>
            <w:vAlign w:val="center"/>
          </w:tcPr>
          <w:p w14:paraId="59033733" w14:textId="77777777" w:rsidR="00F412A6" w:rsidRDefault="00F412A6" w:rsidP="00F412A6">
            <w:pPr>
              <w:jc w:val="center"/>
              <w:cnfStyle w:val="100000000000" w:firstRow="1" w:lastRow="0" w:firstColumn="0" w:lastColumn="0" w:oddVBand="0" w:evenVBand="0" w:oddHBand="0" w:evenHBand="0" w:firstRowFirstColumn="0" w:firstRowLastColumn="0" w:lastRowFirstColumn="0" w:lastRowLastColumn="0"/>
            </w:pPr>
            <w:r>
              <w:rPr>
                <w:b w:val="0"/>
              </w:rPr>
              <w:t>c</w:t>
            </w:r>
            <w:r>
              <w:rPr>
                <w:b w:val="0"/>
                <w:vertAlign w:val="superscript"/>
              </w:rPr>
              <w:t>2</w:t>
            </w:r>
          </w:p>
        </w:tc>
        <w:tc>
          <w:tcPr>
            <w:tcW w:w="0" w:type="auto"/>
            <w:gridSpan w:val="2"/>
            <w:tcBorders>
              <w:top w:val="single" w:sz="4" w:space="0" w:color="auto"/>
              <w:bottom w:val="single" w:sz="4" w:space="0" w:color="auto"/>
            </w:tcBorders>
            <w:shd w:val="clear" w:color="auto" w:fill="auto"/>
            <w:vAlign w:val="center"/>
          </w:tcPr>
          <w:p w14:paraId="6B698221" w14:textId="77777777" w:rsidR="00F412A6" w:rsidRDefault="00F412A6" w:rsidP="00F412A6">
            <w:pPr>
              <w:jc w:val="center"/>
              <w:cnfStyle w:val="100000000000" w:firstRow="1" w:lastRow="0" w:firstColumn="0" w:lastColumn="0" w:oddVBand="0" w:evenVBand="0" w:oddHBand="0" w:evenHBand="0" w:firstRowFirstColumn="0" w:firstRowLastColumn="0" w:lastRowFirstColumn="0" w:lastRowLastColumn="0"/>
            </w:pPr>
            <w:r>
              <w:rPr>
                <w:b w:val="0"/>
              </w:rPr>
              <w:t>e</w:t>
            </w:r>
            <w:r>
              <w:rPr>
                <w:b w:val="0"/>
                <w:vertAlign w:val="superscript"/>
              </w:rPr>
              <w:t>2</w:t>
            </w:r>
          </w:p>
        </w:tc>
      </w:tr>
      <w:tr w:rsidR="00F412A6" w14:paraId="4C19AD80"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538FA2F6" w14:textId="77777777" w:rsidR="00F412A6" w:rsidRDefault="00F412A6" w:rsidP="00F412A6">
            <w:pPr>
              <w:jc w:val="both"/>
              <w:rPr>
                <w:bCs w:val="0"/>
              </w:rPr>
            </w:pPr>
          </w:p>
        </w:tc>
        <w:tc>
          <w:tcPr>
            <w:tcW w:w="1488" w:type="dxa"/>
            <w:tcBorders>
              <w:top w:val="single" w:sz="4" w:space="0" w:color="auto"/>
              <w:bottom w:val="single" w:sz="4" w:space="0" w:color="auto"/>
            </w:tcBorders>
            <w:shd w:val="clear" w:color="auto" w:fill="auto"/>
            <w:vAlign w:val="center"/>
          </w:tcPr>
          <w:p w14:paraId="486B9208"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Factor Loading</w:t>
            </w:r>
          </w:p>
        </w:tc>
        <w:tc>
          <w:tcPr>
            <w:tcW w:w="1682" w:type="dxa"/>
            <w:tcBorders>
              <w:top w:val="single" w:sz="4" w:space="0" w:color="auto"/>
              <w:bottom w:val="single" w:sz="4" w:space="0" w:color="auto"/>
            </w:tcBorders>
            <w:shd w:val="clear" w:color="auto" w:fill="auto"/>
            <w:vAlign w:val="center"/>
          </w:tcPr>
          <w:p w14:paraId="61CE0E80"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A</w:t>
            </w:r>
          </w:p>
        </w:tc>
        <w:tc>
          <w:tcPr>
            <w:tcW w:w="1579" w:type="dxa"/>
            <w:tcBorders>
              <w:top w:val="single" w:sz="4" w:space="0" w:color="auto"/>
              <w:bottom w:val="single" w:sz="4" w:space="0" w:color="auto"/>
            </w:tcBorders>
            <w:shd w:val="clear" w:color="auto" w:fill="auto"/>
            <w:vAlign w:val="center"/>
          </w:tcPr>
          <w:p w14:paraId="390F3D49"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C</w:t>
            </w:r>
          </w:p>
        </w:tc>
        <w:tc>
          <w:tcPr>
            <w:tcW w:w="1474" w:type="dxa"/>
            <w:tcBorders>
              <w:top w:val="single" w:sz="4" w:space="0" w:color="auto"/>
              <w:bottom w:val="single" w:sz="4" w:space="0" w:color="auto"/>
            </w:tcBorders>
            <w:shd w:val="clear" w:color="auto" w:fill="auto"/>
            <w:vAlign w:val="center"/>
          </w:tcPr>
          <w:p w14:paraId="18AEEBDE"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E</w:t>
            </w:r>
          </w:p>
        </w:tc>
        <w:tc>
          <w:tcPr>
            <w:tcW w:w="236" w:type="dxa"/>
            <w:tcBorders>
              <w:bottom w:val="single" w:sz="4" w:space="0" w:color="auto"/>
            </w:tcBorders>
            <w:shd w:val="clear" w:color="auto" w:fill="auto"/>
            <w:vAlign w:val="center"/>
          </w:tcPr>
          <w:p w14:paraId="099B6F08"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single" w:sz="4" w:space="0" w:color="auto"/>
              <w:bottom w:val="single" w:sz="4" w:space="0" w:color="auto"/>
            </w:tcBorders>
            <w:shd w:val="clear" w:color="auto" w:fill="auto"/>
            <w:vAlign w:val="center"/>
          </w:tcPr>
          <w:p w14:paraId="2AFF2F0B"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Common</w:t>
            </w:r>
          </w:p>
        </w:tc>
        <w:tc>
          <w:tcPr>
            <w:tcW w:w="0" w:type="auto"/>
            <w:tcBorders>
              <w:top w:val="single" w:sz="4" w:space="0" w:color="auto"/>
              <w:bottom w:val="single" w:sz="4" w:space="0" w:color="auto"/>
            </w:tcBorders>
            <w:shd w:val="clear" w:color="auto" w:fill="auto"/>
            <w:vAlign w:val="center"/>
          </w:tcPr>
          <w:p w14:paraId="1ABC881F"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Specific</w:t>
            </w:r>
          </w:p>
        </w:tc>
        <w:tc>
          <w:tcPr>
            <w:tcW w:w="0" w:type="auto"/>
            <w:tcBorders>
              <w:top w:val="single" w:sz="4" w:space="0" w:color="auto"/>
              <w:bottom w:val="single" w:sz="4" w:space="0" w:color="auto"/>
            </w:tcBorders>
            <w:shd w:val="clear" w:color="auto" w:fill="auto"/>
            <w:vAlign w:val="center"/>
          </w:tcPr>
          <w:p w14:paraId="4DBEDFE8"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Common</w:t>
            </w:r>
          </w:p>
        </w:tc>
        <w:tc>
          <w:tcPr>
            <w:tcW w:w="0" w:type="auto"/>
            <w:tcBorders>
              <w:top w:val="single" w:sz="4" w:space="0" w:color="auto"/>
              <w:bottom w:val="single" w:sz="4" w:space="0" w:color="auto"/>
            </w:tcBorders>
            <w:shd w:val="clear" w:color="auto" w:fill="auto"/>
            <w:vAlign w:val="center"/>
          </w:tcPr>
          <w:p w14:paraId="2EA0AE89"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Specific</w:t>
            </w:r>
          </w:p>
        </w:tc>
        <w:tc>
          <w:tcPr>
            <w:tcW w:w="0" w:type="auto"/>
            <w:tcBorders>
              <w:top w:val="single" w:sz="4" w:space="0" w:color="auto"/>
              <w:bottom w:val="single" w:sz="4" w:space="0" w:color="auto"/>
            </w:tcBorders>
            <w:shd w:val="clear" w:color="auto" w:fill="auto"/>
            <w:vAlign w:val="center"/>
          </w:tcPr>
          <w:p w14:paraId="65547CC8"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Common</w:t>
            </w:r>
          </w:p>
        </w:tc>
        <w:tc>
          <w:tcPr>
            <w:tcW w:w="0" w:type="auto"/>
            <w:tcBorders>
              <w:top w:val="single" w:sz="4" w:space="0" w:color="auto"/>
              <w:bottom w:val="single" w:sz="4" w:space="0" w:color="auto"/>
            </w:tcBorders>
            <w:shd w:val="clear" w:color="auto" w:fill="auto"/>
            <w:vAlign w:val="center"/>
          </w:tcPr>
          <w:p w14:paraId="7543FBA4"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Specific</w:t>
            </w:r>
          </w:p>
        </w:tc>
      </w:tr>
      <w:tr w:rsidR="00F412A6" w14:paraId="5A72638F"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1021E923" w14:textId="77777777" w:rsidR="00F412A6" w:rsidRDefault="00F412A6" w:rsidP="00F412A6">
            <w:pPr>
              <w:jc w:val="both"/>
              <w:rPr>
                <w:bCs w:val="0"/>
              </w:rPr>
            </w:pPr>
            <w:r>
              <w:rPr>
                <w:b w:val="0"/>
              </w:rPr>
              <w:t>Latent trait</w:t>
            </w:r>
            <w:r w:rsidRPr="004F75B0">
              <w:rPr>
                <w:b w:val="0"/>
                <w:vertAlign w:val="subscript"/>
              </w:rPr>
              <w:t>1</w:t>
            </w:r>
          </w:p>
        </w:tc>
        <w:tc>
          <w:tcPr>
            <w:tcW w:w="1488" w:type="dxa"/>
            <w:tcBorders>
              <w:top w:val="single" w:sz="4" w:space="0" w:color="auto"/>
            </w:tcBorders>
            <w:shd w:val="clear" w:color="auto" w:fill="auto"/>
            <w:vAlign w:val="center"/>
          </w:tcPr>
          <w:p w14:paraId="7FF98AD3"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1682" w:type="dxa"/>
            <w:tcBorders>
              <w:top w:val="single" w:sz="4" w:space="0" w:color="auto"/>
            </w:tcBorders>
            <w:shd w:val="clear" w:color="auto" w:fill="auto"/>
            <w:vAlign w:val="center"/>
          </w:tcPr>
          <w:p w14:paraId="234FB9D0"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.63 [.09, .83]</w:t>
            </w:r>
          </w:p>
        </w:tc>
        <w:tc>
          <w:tcPr>
            <w:tcW w:w="1579" w:type="dxa"/>
            <w:tcBorders>
              <w:top w:val="single" w:sz="4" w:space="0" w:color="auto"/>
            </w:tcBorders>
            <w:shd w:val="clear" w:color="auto" w:fill="auto"/>
            <w:vAlign w:val="center"/>
          </w:tcPr>
          <w:p w14:paraId="44982F76"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.42 [.00, .70]</w:t>
            </w:r>
          </w:p>
        </w:tc>
        <w:tc>
          <w:tcPr>
            <w:tcW w:w="1474" w:type="dxa"/>
            <w:tcBorders>
              <w:top w:val="single" w:sz="4" w:space="0" w:color="auto"/>
            </w:tcBorders>
            <w:shd w:val="clear" w:color="auto" w:fill="auto"/>
            <w:vAlign w:val="center"/>
          </w:tcPr>
          <w:p w14:paraId="1D61A5F9"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rPr>
                <w:bCs/>
              </w:rPr>
            </w:pPr>
            <w:r>
              <w:rPr>
                <w:bCs/>
              </w:rPr>
              <w:t>.65 [.55, .75]</w:t>
            </w:r>
          </w:p>
        </w:tc>
        <w:tc>
          <w:tcPr>
            <w:tcW w:w="236" w:type="dxa"/>
            <w:tcBorders>
              <w:top w:val="single" w:sz="4" w:space="0" w:color="auto"/>
            </w:tcBorders>
            <w:shd w:val="clear" w:color="auto" w:fill="auto"/>
            <w:vAlign w:val="center"/>
          </w:tcPr>
          <w:p w14:paraId="46290EB5"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tcBorders>
              <w:top w:val="single" w:sz="4" w:space="0" w:color="auto"/>
            </w:tcBorders>
            <w:shd w:val="clear" w:color="auto" w:fill="auto"/>
            <w:vAlign w:val="center"/>
          </w:tcPr>
          <w:p w14:paraId="30261A02"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.40</w:t>
            </w:r>
          </w:p>
        </w:tc>
        <w:tc>
          <w:tcPr>
            <w:tcW w:w="0" w:type="auto"/>
            <w:tcBorders>
              <w:top w:val="single" w:sz="4" w:space="0" w:color="auto"/>
            </w:tcBorders>
            <w:shd w:val="clear" w:color="auto" w:fill="auto"/>
            <w:vAlign w:val="center"/>
          </w:tcPr>
          <w:p w14:paraId="40C099EA"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tcBorders>
              <w:top w:val="single" w:sz="4" w:space="0" w:color="auto"/>
            </w:tcBorders>
            <w:shd w:val="clear" w:color="auto" w:fill="auto"/>
            <w:vAlign w:val="center"/>
          </w:tcPr>
          <w:p w14:paraId="37DD8205"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.18</w:t>
            </w:r>
          </w:p>
        </w:tc>
        <w:tc>
          <w:tcPr>
            <w:tcW w:w="0" w:type="auto"/>
            <w:tcBorders>
              <w:top w:val="single" w:sz="4" w:space="0" w:color="auto"/>
            </w:tcBorders>
            <w:shd w:val="clear" w:color="auto" w:fill="auto"/>
            <w:vAlign w:val="center"/>
          </w:tcPr>
          <w:p w14:paraId="47D1D5C1"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w:t>
            </w:r>
          </w:p>
        </w:tc>
        <w:tc>
          <w:tcPr>
            <w:tcW w:w="0" w:type="auto"/>
            <w:tcBorders>
              <w:top w:val="single" w:sz="4" w:space="0" w:color="auto"/>
            </w:tcBorders>
            <w:shd w:val="clear" w:color="auto" w:fill="auto"/>
            <w:vAlign w:val="center"/>
          </w:tcPr>
          <w:p w14:paraId="58022215"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.42</w:t>
            </w:r>
          </w:p>
        </w:tc>
        <w:tc>
          <w:tcPr>
            <w:tcW w:w="0" w:type="auto"/>
            <w:tcBorders>
              <w:top w:val="single" w:sz="4" w:space="0" w:color="auto"/>
            </w:tcBorders>
            <w:shd w:val="clear" w:color="auto" w:fill="auto"/>
            <w:vAlign w:val="center"/>
          </w:tcPr>
          <w:p w14:paraId="64E258B7" w14:textId="77777777" w:rsidR="00F412A6" w:rsidRDefault="00F412A6" w:rsidP="00F412A6">
            <w:pPr>
              <w:jc w:val="center"/>
              <w:cnfStyle w:val="000000000000" w:firstRow="0" w:lastRow="0" w:firstColumn="0" w:lastColumn="0" w:oddVBand="0" w:evenVBand="0" w:oddHBand="0" w:evenHBand="0" w:firstRowFirstColumn="0" w:firstRowLastColumn="0" w:lastRowFirstColumn="0" w:lastRowLastColumn="0"/>
            </w:pPr>
            <w:r>
              <w:t>-</w:t>
            </w:r>
          </w:p>
        </w:tc>
      </w:tr>
      <w:tr w:rsidR="00F412A6" w14:paraId="15C49E7A"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62412F" w14:textId="77777777" w:rsidR="00F412A6" w:rsidRDefault="00F412A6" w:rsidP="00F412A6">
            <w:pPr>
              <w:jc w:val="both"/>
              <w:rPr>
                <w:bCs w:val="0"/>
              </w:rPr>
            </w:pPr>
            <w:r>
              <w:rPr>
                <w:b w:val="0"/>
              </w:rPr>
              <w:t>Latent trait</w:t>
            </w:r>
            <w:r>
              <w:rPr>
                <w:b w:val="0"/>
                <w:vertAlign w:val="subscript"/>
              </w:rPr>
              <w:t>2</w:t>
            </w:r>
          </w:p>
        </w:tc>
        <w:tc>
          <w:tcPr>
            <w:tcW w:w="1488" w:type="dxa"/>
            <w:shd w:val="clear" w:color="auto" w:fill="auto"/>
            <w:vAlign w:val="center"/>
          </w:tcPr>
          <w:p w14:paraId="616B98EA"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w:t>
            </w:r>
          </w:p>
        </w:tc>
        <w:tc>
          <w:tcPr>
            <w:tcW w:w="1682" w:type="dxa"/>
            <w:shd w:val="clear" w:color="auto" w:fill="auto"/>
            <w:vAlign w:val="center"/>
          </w:tcPr>
          <w:p w14:paraId="77D63820"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.62 [.02, .81]</w:t>
            </w:r>
          </w:p>
        </w:tc>
        <w:tc>
          <w:tcPr>
            <w:tcW w:w="1579" w:type="dxa"/>
            <w:shd w:val="clear" w:color="auto" w:fill="auto"/>
            <w:vAlign w:val="center"/>
          </w:tcPr>
          <w:p w14:paraId="70340BC6"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.35 [.02, .70]</w:t>
            </w:r>
          </w:p>
        </w:tc>
        <w:tc>
          <w:tcPr>
            <w:tcW w:w="1474" w:type="dxa"/>
            <w:shd w:val="clear" w:color="auto" w:fill="auto"/>
            <w:vAlign w:val="center"/>
          </w:tcPr>
          <w:p w14:paraId="17B4975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.70 [.57, .83]</w:t>
            </w:r>
          </w:p>
        </w:tc>
        <w:tc>
          <w:tcPr>
            <w:tcW w:w="236" w:type="dxa"/>
            <w:shd w:val="clear" w:color="auto" w:fill="auto"/>
            <w:vAlign w:val="center"/>
          </w:tcPr>
          <w:p w14:paraId="061F2B3F"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74CAB14D"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.39</w:t>
            </w:r>
          </w:p>
        </w:tc>
        <w:tc>
          <w:tcPr>
            <w:tcW w:w="0" w:type="auto"/>
            <w:shd w:val="clear" w:color="auto" w:fill="auto"/>
            <w:vAlign w:val="center"/>
          </w:tcPr>
          <w:p w14:paraId="1F00D7A0"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w:t>
            </w:r>
          </w:p>
        </w:tc>
        <w:tc>
          <w:tcPr>
            <w:tcW w:w="0" w:type="auto"/>
            <w:shd w:val="clear" w:color="auto" w:fill="auto"/>
            <w:vAlign w:val="center"/>
          </w:tcPr>
          <w:p w14:paraId="7E5CEA51"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.12</w:t>
            </w:r>
          </w:p>
        </w:tc>
        <w:tc>
          <w:tcPr>
            <w:tcW w:w="0" w:type="auto"/>
            <w:shd w:val="clear" w:color="auto" w:fill="auto"/>
            <w:vAlign w:val="center"/>
          </w:tcPr>
          <w:p w14:paraId="4D96136C"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w:t>
            </w:r>
          </w:p>
        </w:tc>
        <w:tc>
          <w:tcPr>
            <w:tcW w:w="0" w:type="auto"/>
            <w:shd w:val="clear" w:color="auto" w:fill="auto"/>
            <w:vAlign w:val="center"/>
          </w:tcPr>
          <w:p w14:paraId="1173E297"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.49</w:t>
            </w:r>
          </w:p>
        </w:tc>
        <w:tc>
          <w:tcPr>
            <w:tcW w:w="0" w:type="auto"/>
            <w:shd w:val="clear" w:color="auto" w:fill="auto"/>
            <w:vAlign w:val="center"/>
          </w:tcPr>
          <w:p w14:paraId="25C871D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w:t>
            </w:r>
          </w:p>
        </w:tc>
      </w:tr>
      <w:tr w:rsidR="00F412A6" w14:paraId="0CE9AB76"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3005F79" w14:textId="77777777" w:rsidR="00F412A6" w:rsidRDefault="00F412A6" w:rsidP="00F412A6">
            <w:pPr>
              <w:jc w:val="both"/>
              <w:rPr>
                <w:bCs w:val="0"/>
              </w:rPr>
            </w:pPr>
            <w:r>
              <w:rPr>
                <w:b w:val="0"/>
              </w:rPr>
              <w:t>NPI</w:t>
            </w:r>
          </w:p>
        </w:tc>
        <w:tc>
          <w:tcPr>
            <w:tcW w:w="1488" w:type="dxa"/>
            <w:shd w:val="clear" w:color="auto" w:fill="auto"/>
            <w:vAlign w:val="center"/>
          </w:tcPr>
          <w:p w14:paraId="305B84C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.58 [.52, .64]</w:t>
            </w:r>
          </w:p>
        </w:tc>
        <w:tc>
          <w:tcPr>
            <w:tcW w:w="1682" w:type="dxa"/>
            <w:shd w:val="clear" w:color="auto" w:fill="auto"/>
            <w:vAlign w:val="center"/>
          </w:tcPr>
          <w:p w14:paraId="42021F6F"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.49 [.16, .58]</w:t>
            </w:r>
          </w:p>
        </w:tc>
        <w:tc>
          <w:tcPr>
            <w:tcW w:w="1579" w:type="dxa"/>
            <w:shd w:val="clear" w:color="auto" w:fill="auto"/>
            <w:vAlign w:val="center"/>
          </w:tcPr>
          <w:p w14:paraId="667CCE4C"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.00 [.00, .40]</w:t>
            </w:r>
          </w:p>
        </w:tc>
        <w:tc>
          <w:tcPr>
            <w:tcW w:w="1474" w:type="dxa"/>
            <w:shd w:val="clear" w:color="auto" w:fill="auto"/>
            <w:vAlign w:val="center"/>
          </w:tcPr>
          <w:p w14:paraId="5D0325CE"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.65 [.58, .73]</w:t>
            </w:r>
          </w:p>
        </w:tc>
        <w:tc>
          <w:tcPr>
            <w:tcW w:w="236" w:type="dxa"/>
            <w:shd w:val="clear" w:color="auto" w:fill="auto"/>
            <w:vAlign w:val="center"/>
          </w:tcPr>
          <w:p w14:paraId="5CCE34C3"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6DCB106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.14</w:t>
            </w:r>
          </w:p>
        </w:tc>
        <w:tc>
          <w:tcPr>
            <w:tcW w:w="0" w:type="auto"/>
            <w:shd w:val="clear" w:color="auto" w:fill="auto"/>
            <w:vAlign w:val="center"/>
          </w:tcPr>
          <w:p w14:paraId="22403687"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.24</w:t>
            </w:r>
          </w:p>
        </w:tc>
        <w:tc>
          <w:tcPr>
            <w:tcW w:w="0" w:type="auto"/>
            <w:shd w:val="clear" w:color="auto" w:fill="auto"/>
            <w:vAlign w:val="center"/>
          </w:tcPr>
          <w:p w14:paraId="14789211"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.06</w:t>
            </w:r>
          </w:p>
        </w:tc>
        <w:tc>
          <w:tcPr>
            <w:tcW w:w="0" w:type="auto"/>
            <w:shd w:val="clear" w:color="auto" w:fill="auto"/>
            <w:vAlign w:val="center"/>
          </w:tcPr>
          <w:p w14:paraId="7088526A"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.00</w:t>
            </w:r>
          </w:p>
        </w:tc>
        <w:tc>
          <w:tcPr>
            <w:tcW w:w="0" w:type="auto"/>
            <w:shd w:val="clear" w:color="auto" w:fill="auto"/>
            <w:vAlign w:val="center"/>
          </w:tcPr>
          <w:p w14:paraId="38CEAE3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.14</w:t>
            </w:r>
          </w:p>
        </w:tc>
        <w:tc>
          <w:tcPr>
            <w:tcW w:w="0" w:type="auto"/>
            <w:shd w:val="clear" w:color="auto" w:fill="auto"/>
            <w:vAlign w:val="center"/>
          </w:tcPr>
          <w:p w14:paraId="6BFE114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.43</w:t>
            </w:r>
          </w:p>
        </w:tc>
      </w:tr>
      <w:tr w:rsidR="00F412A6" w14:paraId="5237EE4A"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B63793F" w14:textId="77777777" w:rsidR="00F412A6" w:rsidRDefault="00F412A6" w:rsidP="00F412A6">
            <w:pPr>
              <w:jc w:val="both"/>
              <w:rPr>
                <w:bCs w:val="0"/>
              </w:rPr>
            </w:pPr>
            <w:r>
              <w:rPr>
                <w:b w:val="0"/>
              </w:rPr>
              <w:t>CNI</w:t>
            </w:r>
          </w:p>
        </w:tc>
        <w:tc>
          <w:tcPr>
            <w:tcW w:w="1488" w:type="dxa"/>
            <w:shd w:val="clear" w:color="auto" w:fill="auto"/>
            <w:vAlign w:val="center"/>
          </w:tcPr>
          <w:p w14:paraId="322F6C9C"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.72 [.67, .77]</w:t>
            </w:r>
          </w:p>
        </w:tc>
        <w:tc>
          <w:tcPr>
            <w:tcW w:w="1682" w:type="dxa"/>
            <w:shd w:val="clear" w:color="auto" w:fill="auto"/>
            <w:vAlign w:val="center"/>
          </w:tcPr>
          <w:p w14:paraId="606666ED"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.17 [.01, .43]</w:t>
            </w:r>
          </w:p>
        </w:tc>
        <w:tc>
          <w:tcPr>
            <w:tcW w:w="1579" w:type="dxa"/>
            <w:shd w:val="clear" w:color="auto" w:fill="auto"/>
            <w:vAlign w:val="center"/>
          </w:tcPr>
          <w:p w14:paraId="53876C29"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.30 [.00, .42]</w:t>
            </w:r>
          </w:p>
        </w:tc>
        <w:tc>
          <w:tcPr>
            <w:tcW w:w="1474" w:type="dxa"/>
            <w:shd w:val="clear" w:color="auto" w:fill="auto"/>
            <w:vAlign w:val="center"/>
          </w:tcPr>
          <w:p w14:paraId="0D4D477A"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.61 [.53, .68]</w:t>
            </w:r>
          </w:p>
        </w:tc>
        <w:tc>
          <w:tcPr>
            <w:tcW w:w="236" w:type="dxa"/>
            <w:shd w:val="clear" w:color="auto" w:fill="auto"/>
            <w:vAlign w:val="center"/>
          </w:tcPr>
          <w:p w14:paraId="68BBB9FB"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04DAC7E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.21</w:t>
            </w:r>
          </w:p>
        </w:tc>
        <w:tc>
          <w:tcPr>
            <w:tcW w:w="0" w:type="auto"/>
            <w:shd w:val="clear" w:color="auto" w:fill="auto"/>
            <w:vAlign w:val="center"/>
          </w:tcPr>
          <w:p w14:paraId="583383BE"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.03</w:t>
            </w:r>
          </w:p>
        </w:tc>
        <w:tc>
          <w:tcPr>
            <w:tcW w:w="0" w:type="auto"/>
            <w:shd w:val="clear" w:color="auto" w:fill="auto"/>
            <w:vAlign w:val="center"/>
          </w:tcPr>
          <w:p w14:paraId="4B51EAE9"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.09</w:t>
            </w:r>
          </w:p>
        </w:tc>
        <w:tc>
          <w:tcPr>
            <w:tcW w:w="0" w:type="auto"/>
            <w:shd w:val="clear" w:color="auto" w:fill="auto"/>
            <w:vAlign w:val="center"/>
          </w:tcPr>
          <w:p w14:paraId="20ADD32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.09</w:t>
            </w:r>
          </w:p>
        </w:tc>
        <w:tc>
          <w:tcPr>
            <w:tcW w:w="0" w:type="auto"/>
            <w:shd w:val="clear" w:color="auto" w:fill="auto"/>
            <w:vAlign w:val="center"/>
          </w:tcPr>
          <w:p w14:paraId="478A1EDD"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.22</w:t>
            </w:r>
          </w:p>
        </w:tc>
        <w:tc>
          <w:tcPr>
            <w:tcW w:w="0" w:type="auto"/>
            <w:shd w:val="clear" w:color="auto" w:fill="auto"/>
            <w:vAlign w:val="center"/>
          </w:tcPr>
          <w:p w14:paraId="18CED7C2"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.37</w:t>
            </w:r>
          </w:p>
        </w:tc>
      </w:tr>
      <w:tr w:rsidR="00F412A6" w14:paraId="6DB6A5E8"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6BD6B4B" w14:textId="77777777" w:rsidR="00F412A6" w:rsidRDefault="00F412A6" w:rsidP="00F412A6">
            <w:pPr>
              <w:jc w:val="both"/>
              <w:rPr>
                <w:bCs w:val="0"/>
              </w:rPr>
            </w:pPr>
            <w:r>
              <w:rPr>
                <w:b w:val="0"/>
              </w:rPr>
              <w:t>NGS</w:t>
            </w:r>
          </w:p>
        </w:tc>
        <w:tc>
          <w:tcPr>
            <w:tcW w:w="1488" w:type="dxa"/>
            <w:shd w:val="clear" w:color="auto" w:fill="auto"/>
            <w:vAlign w:val="center"/>
          </w:tcPr>
          <w:p w14:paraId="6BC9F0FD"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.81 [.76, .85]</w:t>
            </w:r>
          </w:p>
        </w:tc>
        <w:tc>
          <w:tcPr>
            <w:tcW w:w="1682" w:type="dxa"/>
            <w:shd w:val="clear" w:color="auto" w:fill="auto"/>
            <w:vAlign w:val="center"/>
          </w:tcPr>
          <w:p w14:paraId="3D2F0475"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.02 [.00, .31]</w:t>
            </w:r>
          </w:p>
        </w:tc>
        <w:tc>
          <w:tcPr>
            <w:tcW w:w="1579" w:type="dxa"/>
            <w:shd w:val="clear" w:color="auto" w:fill="auto"/>
            <w:vAlign w:val="center"/>
          </w:tcPr>
          <w:p w14:paraId="4FCAE1B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.19 [.02, .31]</w:t>
            </w:r>
          </w:p>
        </w:tc>
        <w:tc>
          <w:tcPr>
            <w:tcW w:w="1474" w:type="dxa"/>
            <w:shd w:val="clear" w:color="auto" w:fill="auto"/>
            <w:vAlign w:val="center"/>
          </w:tcPr>
          <w:p w14:paraId="3542ABFC"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.56 [.49, .63]</w:t>
            </w:r>
          </w:p>
        </w:tc>
        <w:tc>
          <w:tcPr>
            <w:tcW w:w="236" w:type="dxa"/>
            <w:shd w:val="clear" w:color="auto" w:fill="auto"/>
            <w:vAlign w:val="center"/>
          </w:tcPr>
          <w:p w14:paraId="59CCAF59"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1C6FCA24"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.26</w:t>
            </w:r>
          </w:p>
        </w:tc>
        <w:tc>
          <w:tcPr>
            <w:tcW w:w="0" w:type="auto"/>
            <w:shd w:val="clear" w:color="auto" w:fill="auto"/>
            <w:vAlign w:val="center"/>
          </w:tcPr>
          <w:p w14:paraId="07AA94A2"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.00</w:t>
            </w:r>
          </w:p>
        </w:tc>
        <w:tc>
          <w:tcPr>
            <w:tcW w:w="0" w:type="auto"/>
            <w:shd w:val="clear" w:color="auto" w:fill="auto"/>
            <w:vAlign w:val="center"/>
          </w:tcPr>
          <w:p w14:paraId="3614BE41"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.12</w:t>
            </w:r>
          </w:p>
        </w:tc>
        <w:tc>
          <w:tcPr>
            <w:tcW w:w="0" w:type="auto"/>
            <w:shd w:val="clear" w:color="auto" w:fill="auto"/>
            <w:vAlign w:val="center"/>
          </w:tcPr>
          <w:p w14:paraId="54D38E51"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.04</w:t>
            </w:r>
          </w:p>
        </w:tc>
        <w:tc>
          <w:tcPr>
            <w:tcW w:w="0" w:type="auto"/>
            <w:shd w:val="clear" w:color="auto" w:fill="auto"/>
            <w:vAlign w:val="center"/>
          </w:tcPr>
          <w:p w14:paraId="530796EF"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.27</w:t>
            </w:r>
          </w:p>
        </w:tc>
        <w:tc>
          <w:tcPr>
            <w:tcW w:w="0" w:type="auto"/>
            <w:shd w:val="clear" w:color="auto" w:fill="auto"/>
            <w:vAlign w:val="center"/>
          </w:tcPr>
          <w:p w14:paraId="65364309"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.31</w:t>
            </w:r>
          </w:p>
        </w:tc>
      </w:tr>
      <w:tr w:rsidR="00F412A6" w14:paraId="224CFC0B"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30795DE" w14:textId="77777777" w:rsidR="00F412A6" w:rsidRDefault="00F412A6" w:rsidP="00F412A6">
            <w:pPr>
              <w:jc w:val="both"/>
              <w:rPr>
                <w:bCs w:val="0"/>
              </w:rPr>
            </w:pPr>
            <w:r>
              <w:rPr>
                <w:b w:val="0"/>
              </w:rPr>
              <w:t>BTAT</w:t>
            </w:r>
          </w:p>
        </w:tc>
        <w:tc>
          <w:tcPr>
            <w:tcW w:w="1488" w:type="dxa"/>
            <w:shd w:val="clear" w:color="auto" w:fill="auto"/>
            <w:vAlign w:val="center"/>
          </w:tcPr>
          <w:p w14:paraId="250D1E5F"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.77 [.72, .81]</w:t>
            </w:r>
          </w:p>
        </w:tc>
        <w:tc>
          <w:tcPr>
            <w:tcW w:w="1682" w:type="dxa"/>
            <w:shd w:val="clear" w:color="auto" w:fill="auto"/>
            <w:vAlign w:val="center"/>
          </w:tcPr>
          <w:p w14:paraId="0352E940"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.32 [.02, .42]</w:t>
            </w:r>
          </w:p>
        </w:tc>
        <w:tc>
          <w:tcPr>
            <w:tcW w:w="1579" w:type="dxa"/>
            <w:shd w:val="clear" w:color="auto" w:fill="auto"/>
            <w:vAlign w:val="center"/>
          </w:tcPr>
          <w:p w14:paraId="1ECADB59"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.01 [.00, .35]</w:t>
            </w:r>
          </w:p>
        </w:tc>
        <w:tc>
          <w:tcPr>
            <w:tcW w:w="1474" w:type="dxa"/>
            <w:shd w:val="clear" w:color="auto" w:fill="auto"/>
            <w:vAlign w:val="center"/>
          </w:tcPr>
          <w:p w14:paraId="674DA76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.56 [.49, .63]</w:t>
            </w:r>
          </w:p>
        </w:tc>
        <w:tc>
          <w:tcPr>
            <w:tcW w:w="236" w:type="dxa"/>
            <w:shd w:val="clear" w:color="auto" w:fill="auto"/>
            <w:vAlign w:val="center"/>
          </w:tcPr>
          <w:p w14:paraId="291CACA8"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4C187B61"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.24</w:t>
            </w:r>
          </w:p>
        </w:tc>
        <w:tc>
          <w:tcPr>
            <w:tcW w:w="0" w:type="auto"/>
            <w:shd w:val="clear" w:color="auto" w:fill="auto"/>
            <w:vAlign w:val="center"/>
          </w:tcPr>
          <w:p w14:paraId="6242039D"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.10</w:t>
            </w:r>
          </w:p>
        </w:tc>
        <w:tc>
          <w:tcPr>
            <w:tcW w:w="0" w:type="auto"/>
            <w:shd w:val="clear" w:color="auto" w:fill="auto"/>
            <w:vAlign w:val="center"/>
          </w:tcPr>
          <w:p w14:paraId="199193E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.11</w:t>
            </w:r>
          </w:p>
        </w:tc>
        <w:tc>
          <w:tcPr>
            <w:tcW w:w="0" w:type="auto"/>
            <w:shd w:val="clear" w:color="auto" w:fill="auto"/>
            <w:vAlign w:val="center"/>
          </w:tcPr>
          <w:p w14:paraId="00E3ADAF"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.00</w:t>
            </w:r>
          </w:p>
        </w:tc>
        <w:tc>
          <w:tcPr>
            <w:tcW w:w="0" w:type="auto"/>
            <w:shd w:val="clear" w:color="auto" w:fill="auto"/>
            <w:vAlign w:val="center"/>
          </w:tcPr>
          <w:p w14:paraId="398ABEDC"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.25</w:t>
            </w:r>
          </w:p>
        </w:tc>
        <w:tc>
          <w:tcPr>
            <w:tcW w:w="0" w:type="auto"/>
            <w:shd w:val="clear" w:color="auto" w:fill="auto"/>
            <w:vAlign w:val="center"/>
          </w:tcPr>
          <w:p w14:paraId="1AC8BED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.31</w:t>
            </w:r>
          </w:p>
        </w:tc>
      </w:tr>
      <w:tr w:rsidR="00F412A6" w14:paraId="1FDD7715"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E6DFA99" w14:textId="77777777" w:rsidR="00F412A6" w:rsidRDefault="00F412A6" w:rsidP="00F412A6">
            <w:pPr>
              <w:jc w:val="both"/>
              <w:rPr>
                <w:bCs w:val="0"/>
              </w:rPr>
            </w:pPr>
            <w:r>
              <w:rPr>
                <w:b w:val="0"/>
              </w:rPr>
              <w:t>OCQ</w:t>
            </w:r>
          </w:p>
        </w:tc>
        <w:tc>
          <w:tcPr>
            <w:tcW w:w="1488" w:type="dxa"/>
            <w:shd w:val="clear" w:color="auto" w:fill="auto"/>
            <w:vAlign w:val="center"/>
          </w:tcPr>
          <w:p w14:paraId="5C33C028"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.41 [.33, .48]</w:t>
            </w:r>
          </w:p>
        </w:tc>
        <w:tc>
          <w:tcPr>
            <w:tcW w:w="1682" w:type="dxa"/>
            <w:shd w:val="clear" w:color="auto" w:fill="auto"/>
            <w:vAlign w:val="center"/>
          </w:tcPr>
          <w:p w14:paraId="485FB30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.59 [.24, .68]</w:t>
            </w:r>
          </w:p>
        </w:tc>
        <w:tc>
          <w:tcPr>
            <w:tcW w:w="1579" w:type="dxa"/>
            <w:shd w:val="clear" w:color="auto" w:fill="auto"/>
            <w:vAlign w:val="center"/>
          </w:tcPr>
          <w:p w14:paraId="1A649825"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.00 [.00, .49]</w:t>
            </w:r>
          </w:p>
        </w:tc>
        <w:tc>
          <w:tcPr>
            <w:tcW w:w="1474" w:type="dxa"/>
            <w:shd w:val="clear" w:color="auto" w:fill="auto"/>
            <w:vAlign w:val="center"/>
          </w:tcPr>
          <w:p w14:paraId="202D938B"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bCs/>
              </w:rPr>
            </w:pPr>
            <w:r>
              <w:rPr>
                <w:rFonts w:eastAsia="SimSun"/>
                <w:color w:val="000000"/>
                <w:lang w:bidi="ar"/>
              </w:rPr>
              <w:t>.69 [.62, .77]</w:t>
            </w:r>
          </w:p>
        </w:tc>
        <w:tc>
          <w:tcPr>
            <w:tcW w:w="236" w:type="dxa"/>
            <w:shd w:val="clear" w:color="auto" w:fill="auto"/>
            <w:vAlign w:val="center"/>
          </w:tcPr>
          <w:p w14:paraId="0F81F5A5"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07B96C9F"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.07</w:t>
            </w:r>
          </w:p>
        </w:tc>
        <w:tc>
          <w:tcPr>
            <w:tcW w:w="0" w:type="auto"/>
            <w:shd w:val="clear" w:color="auto" w:fill="auto"/>
            <w:vAlign w:val="center"/>
          </w:tcPr>
          <w:p w14:paraId="6F88D3A5"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.35</w:t>
            </w:r>
          </w:p>
        </w:tc>
        <w:tc>
          <w:tcPr>
            <w:tcW w:w="0" w:type="auto"/>
            <w:shd w:val="clear" w:color="auto" w:fill="auto"/>
            <w:vAlign w:val="center"/>
          </w:tcPr>
          <w:p w14:paraId="6F2C5082"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.03</w:t>
            </w:r>
          </w:p>
        </w:tc>
        <w:tc>
          <w:tcPr>
            <w:tcW w:w="0" w:type="auto"/>
            <w:shd w:val="clear" w:color="auto" w:fill="auto"/>
            <w:vAlign w:val="center"/>
          </w:tcPr>
          <w:p w14:paraId="121976E7"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.00</w:t>
            </w:r>
          </w:p>
        </w:tc>
        <w:tc>
          <w:tcPr>
            <w:tcW w:w="0" w:type="auto"/>
            <w:shd w:val="clear" w:color="auto" w:fill="auto"/>
            <w:vAlign w:val="center"/>
          </w:tcPr>
          <w:p w14:paraId="75F33024"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.07</w:t>
            </w:r>
          </w:p>
        </w:tc>
        <w:tc>
          <w:tcPr>
            <w:tcW w:w="0" w:type="auto"/>
            <w:shd w:val="clear" w:color="auto" w:fill="auto"/>
            <w:vAlign w:val="center"/>
          </w:tcPr>
          <w:p w14:paraId="0D8AC613"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.48</w:t>
            </w:r>
          </w:p>
        </w:tc>
      </w:tr>
      <w:tr w:rsidR="00F412A6" w14:paraId="75811E4D"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E2E329B" w14:textId="77777777" w:rsidR="00F412A6" w:rsidRPr="00FA4FD5" w:rsidRDefault="00F412A6" w:rsidP="00F412A6">
            <w:pPr>
              <w:jc w:val="both"/>
              <w:rPr>
                <w:b w:val="0"/>
                <w:bCs w:val="0"/>
              </w:rPr>
            </w:pPr>
            <w:r>
              <w:rPr>
                <w:b w:val="0"/>
                <w:bCs w:val="0"/>
              </w:rPr>
              <w:t>SWLS</w:t>
            </w:r>
          </w:p>
        </w:tc>
        <w:tc>
          <w:tcPr>
            <w:tcW w:w="1488" w:type="dxa"/>
            <w:shd w:val="clear" w:color="auto" w:fill="auto"/>
            <w:vAlign w:val="center"/>
          </w:tcPr>
          <w:p w14:paraId="1D580CD9"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.81 [.71, .91]</w:t>
            </w:r>
          </w:p>
        </w:tc>
        <w:tc>
          <w:tcPr>
            <w:tcW w:w="1682" w:type="dxa"/>
            <w:shd w:val="clear" w:color="auto" w:fill="auto"/>
            <w:vAlign w:val="center"/>
          </w:tcPr>
          <w:p w14:paraId="55F19E92"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.10 [.02, .46]</w:t>
            </w:r>
          </w:p>
        </w:tc>
        <w:tc>
          <w:tcPr>
            <w:tcW w:w="1579" w:type="dxa"/>
            <w:shd w:val="clear" w:color="auto" w:fill="auto"/>
            <w:vAlign w:val="center"/>
          </w:tcPr>
          <w:p w14:paraId="315D3AA8"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.27 [.00, .42]</w:t>
            </w:r>
          </w:p>
        </w:tc>
        <w:tc>
          <w:tcPr>
            <w:tcW w:w="1474" w:type="dxa"/>
            <w:shd w:val="clear" w:color="auto" w:fill="auto"/>
            <w:vAlign w:val="center"/>
          </w:tcPr>
          <w:p w14:paraId="609FFCEC"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.52 [.37, .62]</w:t>
            </w:r>
          </w:p>
        </w:tc>
        <w:tc>
          <w:tcPr>
            <w:tcW w:w="236" w:type="dxa"/>
            <w:shd w:val="clear" w:color="auto" w:fill="auto"/>
            <w:vAlign w:val="center"/>
          </w:tcPr>
          <w:p w14:paraId="74B6C4EB"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shd w:val="clear" w:color="auto" w:fill="auto"/>
            <w:vAlign w:val="center"/>
          </w:tcPr>
          <w:p w14:paraId="22AD6DC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.25</w:t>
            </w:r>
          </w:p>
        </w:tc>
        <w:tc>
          <w:tcPr>
            <w:tcW w:w="0" w:type="auto"/>
            <w:shd w:val="clear" w:color="auto" w:fill="auto"/>
            <w:vAlign w:val="center"/>
          </w:tcPr>
          <w:p w14:paraId="72581452"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.01</w:t>
            </w:r>
          </w:p>
        </w:tc>
        <w:tc>
          <w:tcPr>
            <w:tcW w:w="0" w:type="auto"/>
            <w:shd w:val="clear" w:color="auto" w:fill="auto"/>
            <w:vAlign w:val="center"/>
          </w:tcPr>
          <w:p w14:paraId="3810891F"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.08</w:t>
            </w:r>
          </w:p>
        </w:tc>
        <w:tc>
          <w:tcPr>
            <w:tcW w:w="0" w:type="auto"/>
            <w:shd w:val="clear" w:color="auto" w:fill="auto"/>
            <w:vAlign w:val="center"/>
          </w:tcPr>
          <w:p w14:paraId="6D69438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.07</w:t>
            </w:r>
          </w:p>
        </w:tc>
        <w:tc>
          <w:tcPr>
            <w:tcW w:w="0" w:type="auto"/>
            <w:shd w:val="clear" w:color="auto" w:fill="auto"/>
            <w:vAlign w:val="center"/>
          </w:tcPr>
          <w:p w14:paraId="7A4F6C26"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.32</w:t>
            </w:r>
          </w:p>
        </w:tc>
        <w:tc>
          <w:tcPr>
            <w:tcW w:w="0" w:type="auto"/>
            <w:shd w:val="clear" w:color="auto" w:fill="auto"/>
            <w:vAlign w:val="center"/>
          </w:tcPr>
          <w:p w14:paraId="53F4E85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.27</w:t>
            </w:r>
          </w:p>
        </w:tc>
      </w:tr>
      <w:tr w:rsidR="00F412A6" w14:paraId="2185D639" w14:textId="77777777" w:rsidTr="00F412A6">
        <w:trPr>
          <w:trHeight w:val="624"/>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14:paraId="7574569F" w14:textId="77777777" w:rsidR="00F412A6" w:rsidRPr="00FA4FD5" w:rsidRDefault="00F412A6" w:rsidP="00F412A6">
            <w:pPr>
              <w:jc w:val="both"/>
              <w:rPr>
                <w:b w:val="0"/>
                <w:bCs w:val="0"/>
              </w:rPr>
            </w:pPr>
            <w:r w:rsidRPr="00FA4FD5">
              <w:rPr>
                <w:b w:val="0"/>
                <w:bCs w:val="0"/>
              </w:rPr>
              <w:t>A</w:t>
            </w:r>
            <w:r>
              <w:rPr>
                <w:b w:val="0"/>
                <w:bCs w:val="0"/>
              </w:rPr>
              <w:t>WBS</w:t>
            </w:r>
          </w:p>
        </w:tc>
        <w:tc>
          <w:tcPr>
            <w:tcW w:w="1488" w:type="dxa"/>
            <w:tcBorders>
              <w:bottom w:val="single" w:sz="4" w:space="0" w:color="auto"/>
            </w:tcBorders>
            <w:shd w:val="clear" w:color="auto" w:fill="auto"/>
            <w:vAlign w:val="center"/>
          </w:tcPr>
          <w:p w14:paraId="0B2C0C46"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.61 [.52, .69]</w:t>
            </w:r>
          </w:p>
        </w:tc>
        <w:tc>
          <w:tcPr>
            <w:tcW w:w="1682" w:type="dxa"/>
            <w:tcBorders>
              <w:bottom w:val="single" w:sz="4" w:space="0" w:color="auto"/>
            </w:tcBorders>
            <w:shd w:val="clear" w:color="auto" w:fill="auto"/>
            <w:vAlign w:val="center"/>
          </w:tcPr>
          <w:p w14:paraId="33DF8C4F"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.50 [.37, .59]</w:t>
            </w:r>
          </w:p>
        </w:tc>
        <w:tc>
          <w:tcPr>
            <w:tcW w:w="1579" w:type="dxa"/>
            <w:tcBorders>
              <w:bottom w:val="single" w:sz="4" w:space="0" w:color="auto"/>
            </w:tcBorders>
            <w:shd w:val="clear" w:color="auto" w:fill="auto"/>
            <w:vAlign w:val="center"/>
          </w:tcPr>
          <w:p w14:paraId="221672FD"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.00 [.00, .39]</w:t>
            </w:r>
          </w:p>
        </w:tc>
        <w:tc>
          <w:tcPr>
            <w:tcW w:w="1474" w:type="dxa"/>
            <w:tcBorders>
              <w:bottom w:val="single" w:sz="4" w:space="0" w:color="auto"/>
            </w:tcBorders>
            <w:shd w:val="clear" w:color="auto" w:fill="auto"/>
            <w:vAlign w:val="center"/>
          </w:tcPr>
          <w:p w14:paraId="524627E7" w14:textId="77777777" w:rsidR="00F412A6" w:rsidRDefault="00F412A6" w:rsidP="00F412A6">
            <w:pPr>
              <w:jc w:val="center"/>
              <w:textAlignment w:val="bottom"/>
              <w:cnfStyle w:val="000000000000" w:firstRow="0" w:lastRow="0" w:firstColumn="0" w:lastColumn="0" w:oddVBand="0" w:evenVBand="0" w:oddHBand="0" w:evenHBand="0" w:firstRowFirstColumn="0" w:firstRowLastColumn="0" w:lastRowFirstColumn="0" w:lastRowLastColumn="0"/>
              <w:rPr>
                <w:rFonts w:eastAsia="SimSun"/>
                <w:color w:val="000000"/>
                <w:lang w:bidi="ar"/>
              </w:rPr>
            </w:pPr>
            <w:r>
              <w:rPr>
                <w:rFonts w:eastAsia="SimSun"/>
                <w:color w:val="000000"/>
                <w:lang w:bidi="ar"/>
              </w:rPr>
              <w:t>.62 [.53, .71]</w:t>
            </w:r>
          </w:p>
        </w:tc>
        <w:tc>
          <w:tcPr>
            <w:tcW w:w="236" w:type="dxa"/>
            <w:tcBorders>
              <w:bottom w:val="single" w:sz="4" w:space="0" w:color="auto"/>
            </w:tcBorders>
            <w:shd w:val="clear" w:color="auto" w:fill="auto"/>
            <w:vAlign w:val="center"/>
          </w:tcPr>
          <w:p w14:paraId="6875BA82" w14:textId="77777777" w:rsidR="00F412A6" w:rsidRDefault="00F412A6" w:rsidP="00F412A6">
            <w:pPr>
              <w:ind w:left="360"/>
              <w:jc w:val="center"/>
              <w:cnfStyle w:val="000000000000" w:firstRow="0" w:lastRow="0" w:firstColumn="0" w:lastColumn="0" w:oddVBand="0" w:evenVBand="0" w:oddHBand="0" w:evenHBand="0" w:firstRowFirstColumn="0" w:firstRowLastColumn="0" w:lastRowFirstColumn="0" w:lastRowLastColumn="0"/>
              <w:rPr>
                <w:bCs/>
              </w:rPr>
            </w:pPr>
          </w:p>
        </w:tc>
        <w:tc>
          <w:tcPr>
            <w:tcW w:w="0" w:type="auto"/>
            <w:tcBorders>
              <w:bottom w:val="single" w:sz="4" w:space="0" w:color="auto"/>
            </w:tcBorders>
            <w:shd w:val="clear" w:color="auto" w:fill="auto"/>
            <w:vAlign w:val="center"/>
          </w:tcPr>
          <w:p w14:paraId="0780F528"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.15</w:t>
            </w:r>
          </w:p>
        </w:tc>
        <w:tc>
          <w:tcPr>
            <w:tcW w:w="0" w:type="auto"/>
            <w:tcBorders>
              <w:bottom w:val="single" w:sz="4" w:space="0" w:color="auto"/>
            </w:tcBorders>
            <w:shd w:val="clear" w:color="auto" w:fill="auto"/>
            <w:vAlign w:val="center"/>
          </w:tcPr>
          <w:p w14:paraId="7949B088"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.25</w:t>
            </w:r>
          </w:p>
        </w:tc>
        <w:tc>
          <w:tcPr>
            <w:tcW w:w="0" w:type="auto"/>
            <w:tcBorders>
              <w:bottom w:val="single" w:sz="4" w:space="0" w:color="auto"/>
            </w:tcBorders>
            <w:shd w:val="clear" w:color="auto" w:fill="auto"/>
            <w:vAlign w:val="center"/>
          </w:tcPr>
          <w:p w14:paraId="1B0649AB"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.04</w:t>
            </w:r>
          </w:p>
        </w:tc>
        <w:tc>
          <w:tcPr>
            <w:tcW w:w="0" w:type="auto"/>
            <w:tcBorders>
              <w:bottom w:val="single" w:sz="4" w:space="0" w:color="auto"/>
            </w:tcBorders>
            <w:shd w:val="clear" w:color="auto" w:fill="auto"/>
            <w:vAlign w:val="center"/>
          </w:tcPr>
          <w:p w14:paraId="5B44ED20"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.00</w:t>
            </w:r>
          </w:p>
        </w:tc>
        <w:tc>
          <w:tcPr>
            <w:tcW w:w="0" w:type="auto"/>
            <w:tcBorders>
              <w:bottom w:val="single" w:sz="4" w:space="0" w:color="auto"/>
            </w:tcBorders>
            <w:shd w:val="clear" w:color="auto" w:fill="auto"/>
            <w:vAlign w:val="center"/>
          </w:tcPr>
          <w:p w14:paraId="7E49D3D1"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.18</w:t>
            </w:r>
          </w:p>
        </w:tc>
        <w:tc>
          <w:tcPr>
            <w:tcW w:w="0" w:type="auto"/>
            <w:tcBorders>
              <w:bottom w:val="single" w:sz="4" w:space="0" w:color="auto"/>
            </w:tcBorders>
            <w:shd w:val="clear" w:color="auto" w:fill="auto"/>
            <w:vAlign w:val="center"/>
          </w:tcPr>
          <w:p w14:paraId="714FE80B" w14:textId="77777777" w:rsidR="00F412A6" w:rsidRPr="00BE73DD" w:rsidRDefault="00F412A6" w:rsidP="00F412A6">
            <w:pPr>
              <w:jc w:val="center"/>
              <w:cnfStyle w:val="000000000000" w:firstRow="0" w:lastRow="0" w:firstColumn="0" w:lastColumn="0" w:oddVBand="0" w:evenVBand="0" w:oddHBand="0" w:evenHBand="0" w:firstRowFirstColumn="0" w:firstRowLastColumn="0" w:lastRowFirstColumn="0" w:lastRowLastColumn="0"/>
            </w:pPr>
            <w:r w:rsidRPr="00BE73DD">
              <w:t>.39</w:t>
            </w:r>
          </w:p>
        </w:tc>
      </w:tr>
    </w:tbl>
    <w:p w14:paraId="78562395" w14:textId="5D436EF8" w:rsidR="00001C8D" w:rsidRDefault="00F412A6">
      <w:pPr>
        <w:spacing w:line="480" w:lineRule="exact"/>
        <w:rPr>
          <w:color w:val="0000FF"/>
        </w:rPr>
      </w:pPr>
      <w:r>
        <w:rPr>
          <w:b/>
        </w:rPr>
        <w:t xml:space="preserve"> </w:t>
      </w:r>
      <w:r w:rsidR="00001C8D">
        <w:rPr>
          <w:b/>
        </w:rPr>
        <w:t xml:space="preserve">Table </w:t>
      </w:r>
      <w:r w:rsidR="00C403F6">
        <w:rPr>
          <w:b/>
        </w:rPr>
        <w:t>6</w:t>
      </w:r>
      <w:r w:rsidR="00001C8D">
        <w:rPr>
          <w:b/>
        </w:rPr>
        <w:t>.</w:t>
      </w:r>
      <w:r w:rsidR="00001C8D">
        <w:rPr>
          <w:rFonts w:hint="eastAsia"/>
        </w:rPr>
        <w:t xml:space="preserve"> </w:t>
      </w:r>
      <w:r w:rsidR="00001C8D">
        <w:t xml:space="preserve">Standardized </w:t>
      </w:r>
      <w:r w:rsidR="006D54C6">
        <w:t>E</w:t>
      </w:r>
      <w:r w:rsidR="00001C8D">
        <w:t xml:space="preserve">stimates of </w:t>
      </w:r>
      <w:r w:rsidR="006D54C6">
        <w:t>M</w:t>
      </w:r>
      <w:r w:rsidR="00001C8D">
        <w:t xml:space="preserve">odel </w:t>
      </w:r>
      <w:r w:rsidR="006D54C6">
        <w:t>P</w:t>
      </w:r>
      <w:r w:rsidR="00001C8D">
        <w:t xml:space="preserve">arameters, </w:t>
      </w:r>
      <w:r w:rsidR="005F73F8">
        <w:t xml:space="preserve">as well as </w:t>
      </w:r>
      <w:r w:rsidR="006D54C6">
        <w:t>G</w:t>
      </w:r>
      <w:r w:rsidR="00001C8D">
        <w:rPr>
          <w:rFonts w:hint="eastAsia"/>
        </w:rPr>
        <w:t xml:space="preserve">enetic and </w:t>
      </w:r>
      <w:r w:rsidR="006D54C6">
        <w:t>E</w:t>
      </w:r>
      <w:r w:rsidR="00001C8D">
        <w:rPr>
          <w:rFonts w:hint="eastAsia"/>
        </w:rPr>
        <w:t xml:space="preserve">nvironmental </w:t>
      </w:r>
      <w:r w:rsidR="006D54C6">
        <w:t>E</w:t>
      </w:r>
      <w:r w:rsidR="00001C8D">
        <w:t>ffects</w:t>
      </w:r>
      <w:r w:rsidR="00001C8D">
        <w:rPr>
          <w:rFonts w:hint="eastAsia"/>
        </w:rPr>
        <w:t xml:space="preserve"> </w:t>
      </w:r>
      <w:r w:rsidR="00001C8D">
        <w:t>from the common pathway models</w:t>
      </w:r>
      <w:r w:rsidR="006D54C6">
        <w:t>,</w:t>
      </w:r>
      <w:r w:rsidR="00001C8D">
        <w:t xml:space="preserve"> </w:t>
      </w:r>
      <w:r w:rsidR="006D54C6">
        <w:t>I</w:t>
      </w:r>
      <w:r w:rsidR="00001C8D">
        <w:t>ncorporating</w:t>
      </w:r>
      <w:r w:rsidR="00001C8D">
        <w:rPr>
          <w:rFonts w:hint="eastAsia"/>
        </w:rPr>
        <w:t xml:space="preserve"> </w:t>
      </w:r>
      <w:r w:rsidR="006D54C6">
        <w:t>S</w:t>
      </w:r>
      <w:r w:rsidR="00001C8D">
        <w:t>elf-</w:t>
      </w:r>
      <w:r w:rsidR="006D54C6">
        <w:t>E</w:t>
      </w:r>
      <w:r w:rsidR="00001C8D">
        <w:t xml:space="preserve">nhancement </w:t>
      </w:r>
      <w:r w:rsidR="006D54C6">
        <w:t xml:space="preserve">Manifestations </w:t>
      </w:r>
      <w:r w:rsidR="00001C8D">
        <w:t xml:space="preserve">and </w:t>
      </w:r>
      <w:r w:rsidR="006D54C6">
        <w:t>Psychological W</w:t>
      </w:r>
      <w:r w:rsidR="00001C8D">
        <w:t>ell-</w:t>
      </w:r>
      <w:r w:rsidR="002A5E2A">
        <w:t>B</w:t>
      </w:r>
      <w:r w:rsidR="00001C8D">
        <w:t>eing</w:t>
      </w:r>
    </w:p>
    <w:p w14:paraId="731AC916" w14:textId="77777777" w:rsidR="00001C8D" w:rsidRDefault="00001C8D" w:rsidP="00001C8D"/>
    <w:p w14:paraId="65A1497A" w14:textId="72B14140" w:rsidR="00001C8D" w:rsidRDefault="00001C8D">
      <w:pPr>
        <w:spacing w:line="480" w:lineRule="auto"/>
        <w:rPr>
          <w:sz w:val="21"/>
          <w:szCs w:val="21"/>
        </w:rPr>
        <w:sectPr w:rsidR="00001C8D" w:rsidSect="007025FE">
          <w:pgSz w:w="16840" w:h="11900" w:orient="landscape"/>
          <w:pgMar w:top="1797" w:right="1440" w:bottom="1797" w:left="1440" w:header="851" w:footer="992" w:gutter="0"/>
          <w:cols w:space="720"/>
          <w:docGrid w:linePitch="326"/>
        </w:sectPr>
      </w:pPr>
      <w:r>
        <w:rPr>
          <w:i/>
          <w:sz w:val="21"/>
          <w:szCs w:val="21"/>
        </w:rPr>
        <w:lastRenderedPageBreak/>
        <w:t>Note.</w:t>
      </w:r>
      <w:r>
        <w:rPr>
          <w:sz w:val="21"/>
          <w:szCs w:val="21"/>
        </w:rPr>
        <w:t xml:space="preserve"> Latent trait</w:t>
      </w:r>
      <w:r w:rsidRPr="000E1750">
        <w:rPr>
          <w:sz w:val="21"/>
          <w:szCs w:val="21"/>
          <w:vertAlign w:val="subscript"/>
        </w:rPr>
        <w:t>1</w:t>
      </w:r>
      <w:r>
        <w:rPr>
          <w:sz w:val="21"/>
          <w:szCs w:val="21"/>
        </w:rPr>
        <w:t xml:space="preserve"> represents the common factor underlying the five self-enhancement measures. Latent trait</w:t>
      </w:r>
      <w:r w:rsidRPr="000E1750">
        <w:rPr>
          <w:sz w:val="21"/>
          <w:szCs w:val="21"/>
          <w:vertAlign w:val="subscript"/>
        </w:rPr>
        <w:t>2</w:t>
      </w:r>
      <w:r>
        <w:rPr>
          <w:sz w:val="21"/>
          <w:szCs w:val="21"/>
        </w:rPr>
        <w:t xml:space="preserve"> represents the common factor underlying the two well-being measures. NPI: Narcissistic Personality Inventory; CNI: Communal Narcissism Inventory; NGS: Narcissistic Grandiosity Scale; BTA</w:t>
      </w:r>
      <w:r w:rsidR="000E5457">
        <w:rPr>
          <w:sz w:val="21"/>
          <w:szCs w:val="21"/>
        </w:rPr>
        <w:t>T</w:t>
      </w:r>
      <w:r>
        <w:rPr>
          <w:sz w:val="21"/>
          <w:szCs w:val="21"/>
        </w:rPr>
        <w:t>: Better-</w:t>
      </w:r>
      <w:r w:rsidR="000E5457">
        <w:rPr>
          <w:sz w:val="21"/>
          <w:szCs w:val="21"/>
        </w:rPr>
        <w:t>T</w:t>
      </w:r>
      <w:r>
        <w:rPr>
          <w:sz w:val="21"/>
          <w:szCs w:val="21"/>
        </w:rPr>
        <w:t>han-</w:t>
      </w:r>
      <w:r w:rsidR="000E5457">
        <w:rPr>
          <w:sz w:val="21"/>
          <w:szCs w:val="21"/>
        </w:rPr>
        <w:t>A</w:t>
      </w:r>
      <w:r>
        <w:rPr>
          <w:sz w:val="21"/>
          <w:szCs w:val="21"/>
        </w:rPr>
        <w:t xml:space="preserve">verage </w:t>
      </w:r>
      <w:r w:rsidR="000E5457">
        <w:rPr>
          <w:sz w:val="21"/>
          <w:szCs w:val="21"/>
        </w:rPr>
        <w:t>Task</w:t>
      </w:r>
      <w:r>
        <w:rPr>
          <w:sz w:val="21"/>
          <w:szCs w:val="21"/>
        </w:rPr>
        <w:t xml:space="preserve">; OCQ: Over-Claiming Questionnaire; </w:t>
      </w:r>
      <w:r w:rsidR="003D17E7">
        <w:rPr>
          <w:sz w:val="21"/>
          <w:szCs w:val="21"/>
        </w:rPr>
        <w:t>SW</w:t>
      </w:r>
      <w:r>
        <w:rPr>
          <w:sz w:val="21"/>
          <w:szCs w:val="21"/>
        </w:rPr>
        <w:t>LS: Satisfaction with Life Scale; AWB</w:t>
      </w:r>
      <w:r w:rsidR="002F41EC">
        <w:rPr>
          <w:sz w:val="21"/>
          <w:szCs w:val="21"/>
        </w:rPr>
        <w:t>S</w:t>
      </w:r>
      <w:r>
        <w:rPr>
          <w:sz w:val="21"/>
          <w:szCs w:val="21"/>
        </w:rPr>
        <w:t xml:space="preserve">: affective well-being </w:t>
      </w:r>
      <w:r w:rsidR="002F41EC">
        <w:rPr>
          <w:sz w:val="21"/>
          <w:szCs w:val="21"/>
        </w:rPr>
        <w:t>Scale</w:t>
      </w:r>
      <w:r>
        <w:rPr>
          <w:sz w:val="21"/>
          <w:szCs w:val="21"/>
        </w:rPr>
        <w:t>. For each variable,</w:t>
      </w:r>
      <w:r w:rsidR="002A5E2A">
        <w:rPr>
          <w:sz w:val="21"/>
          <w:szCs w:val="21"/>
        </w:rPr>
        <w:t xml:space="preserve"> we divided</w:t>
      </w:r>
      <w:r>
        <w:rPr>
          <w:sz w:val="21"/>
          <w:szCs w:val="21"/>
        </w:rPr>
        <w:t xml:space="preserve"> variance into proportions due to genetic (a</w:t>
      </w:r>
      <w:r>
        <w:rPr>
          <w:sz w:val="21"/>
          <w:szCs w:val="21"/>
          <w:vertAlign w:val="superscript"/>
        </w:rPr>
        <w:t>2</w:t>
      </w:r>
      <w:r>
        <w:rPr>
          <w:sz w:val="21"/>
          <w:szCs w:val="21"/>
        </w:rPr>
        <w:t>), shared environmental (c</w:t>
      </w:r>
      <w:r>
        <w:rPr>
          <w:sz w:val="21"/>
          <w:szCs w:val="21"/>
          <w:vertAlign w:val="superscript"/>
        </w:rPr>
        <w:t>2</w:t>
      </w:r>
      <w:r>
        <w:rPr>
          <w:sz w:val="21"/>
          <w:szCs w:val="21"/>
        </w:rPr>
        <w:t>), and non-shared environmental (e</w:t>
      </w:r>
      <w:r>
        <w:rPr>
          <w:sz w:val="21"/>
          <w:szCs w:val="21"/>
          <w:vertAlign w:val="superscript"/>
        </w:rPr>
        <w:t>2</w:t>
      </w:r>
      <w:r>
        <w:rPr>
          <w:sz w:val="21"/>
          <w:szCs w:val="21"/>
        </w:rPr>
        <w:t xml:space="preserve">) effects. </w:t>
      </w:r>
      <w:r w:rsidR="002A5E2A">
        <w:rPr>
          <w:sz w:val="21"/>
          <w:szCs w:val="21"/>
        </w:rPr>
        <w:t>Further, we decomposed e</w:t>
      </w:r>
      <w:r>
        <w:rPr>
          <w:sz w:val="21"/>
          <w:szCs w:val="21"/>
        </w:rPr>
        <w:t>very effect into part accounted for by common factor and that by specific factor. 95% confidence intervals are in brackets.</w:t>
      </w:r>
    </w:p>
    <w:p w14:paraId="32C5E6A0" w14:textId="77777777" w:rsidR="009B244D" w:rsidRDefault="00F4341B" w:rsidP="00D17E90">
      <w:pPr>
        <w:spacing w:line="480" w:lineRule="exact"/>
        <w:ind w:firstLineChars="200" w:firstLine="482"/>
        <w:jc w:val="center"/>
        <w:outlineLvl w:val="0"/>
        <w:rPr>
          <w:b/>
        </w:rPr>
      </w:pPr>
      <w:r>
        <w:rPr>
          <w:rFonts w:hint="eastAsia"/>
          <w:b/>
        </w:rPr>
        <w:lastRenderedPageBreak/>
        <w:t>Discussion</w:t>
      </w:r>
    </w:p>
    <w:p w14:paraId="6D2D602A" w14:textId="0302A992" w:rsidR="009B244D" w:rsidRDefault="00F4341B" w:rsidP="00AA3D1E">
      <w:pPr>
        <w:spacing w:line="480" w:lineRule="exact"/>
        <w:ind w:firstLineChars="200" w:firstLine="480"/>
      </w:pPr>
      <w:r>
        <w:t xml:space="preserve">We focused in this research on the </w:t>
      </w:r>
      <w:r w:rsidR="009B1E5C">
        <w:rPr>
          <w:rFonts w:hint="eastAsia"/>
        </w:rPr>
        <w:t>etiological</w:t>
      </w:r>
      <w:r w:rsidR="00211113">
        <w:t xml:space="preserve"> bases</w:t>
      </w:r>
      <w:r>
        <w:t xml:space="preserve"> of self-enhancement </w:t>
      </w:r>
      <w:r w:rsidR="0031675E">
        <w:t>and</w:t>
      </w:r>
      <w:r w:rsidR="00211113">
        <w:t xml:space="preserve"> its </w:t>
      </w:r>
      <w:r>
        <w:t xml:space="preserve">association with </w:t>
      </w:r>
      <w:r w:rsidR="00AA2944">
        <w:t xml:space="preserve">psychological </w:t>
      </w:r>
      <w:r>
        <w:t xml:space="preserve">wellbeing. </w:t>
      </w:r>
      <w:r>
        <w:rPr>
          <w:rFonts w:hint="eastAsia"/>
        </w:rPr>
        <w:t xml:space="preserve">Using a genetically informative design with a sample of Chinese twins, diverse measures of </w:t>
      </w:r>
      <w:r>
        <w:t>self-enhancement manifestations and wellbeing</w:t>
      </w:r>
      <w:r>
        <w:rPr>
          <w:rFonts w:hint="eastAsia"/>
        </w:rPr>
        <w:t xml:space="preserve">, and </w:t>
      </w:r>
      <w:r>
        <w:t>sophisticated</w:t>
      </w:r>
      <w:r>
        <w:rPr>
          <w:rFonts w:hint="eastAsia"/>
        </w:rPr>
        <w:t xml:space="preserve"> genetic modeling, </w:t>
      </w:r>
      <w:r>
        <w:t>w</w:t>
      </w:r>
      <w:r>
        <w:rPr>
          <w:rFonts w:hint="eastAsia"/>
        </w:rPr>
        <w:t xml:space="preserve">e identified a latent core underlying </w:t>
      </w:r>
      <w:r w:rsidR="00487102">
        <w:t xml:space="preserve">diverse </w:t>
      </w:r>
      <w:r>
        <w:t>manifestations of self-enhancement,</w:t>
      </w:r>
      <w:r w:rsidR="00FC07B0">
        <w:t xml:space="preserve"> </w:t>
      </w:r>
      <w:r>
        <w:t>from subjective to objective</w:t>
      </w:r>
      <w:r>
        <w:rPr>
          <w:rFonts w:hint="eastAsia"/>
        </w:rPr>
        <w:t xml:space="preserve"> levels</w:t>
      </w:r>
      <w:r>
        <w:t xml:space="preserve"> (i.e., agentic narcissism, communal narcissism, narcissistic grandiosity, BTAE, overclaiming). </w:t>
      </w:r>
      <w:r>
        <w:rPr>
          <w:rFonts w:hint="eastAsia"/>
        </w:rPr>
        <w:t>We further showed that this</w:t>
      </w:r>
      <w:r>
        <w:t xml:space="preserve"> core</w:t>
      </w:r>
      <w:r>
        <w:rPr>
          <w:rFonts w:hint="eastAsia"/>
        </w:rPr>
        <w:t xml:space="preserve"> was heritable, with some </w:t>
      </w:r>
      <w:r w:rsidR="00271E84">
        <w:t>shared and</w:t>
      </w:r>
      <w:r w:rsidR="00271E84">
        <w:rPr>
          <w:rFonts w:hint="eastAsia"/>
        </w:rPr>
        <w:t xml:space="preserve"> </w:t>
      </w:r>
      <w:r>
        <w:rPr>
          <w:rFonts w:hint="eastAsia"/>
        </w:rPr>
        <w:t xml:space="preserve">non-shared environmental influences. </w:t>
      </w:r>
      <w:r w:rsidR="0031675E">
        <w:t>Finally</w:t>
      </w:r>
      <w:r>
        <w:rPr>
          <w:rFonts w:hint="eastAsia"/>
        </w:rPr>
        <w:t xml:space="preserve">, we </w:t>
      </w:r>
      <w:r>
        <w:t>demonstrated</w:t>
      </w:r>
      <w:r>
        <w:rPr>
          <w:rFonts w:hint="eastAsia"/>
        </w:rPr>
        <w:t xml:space="preserve"> that </w:t>
      </w:r>
      <w:r w:rsidR="00CE0FBD" w:rsidRPr="007025FE">
        <w:t>genetic, shared</w:t>
      </w:r>
      <w:r w:rsidR="000A25CA">
        <w:t xml:space="preserve"> environmental</w:t>
      </w:r>
      <w:r w:rsidR="00341C1F">
        <w:t>,</w:t>
      </w:r>
      <w:r w:rsidR="00CE0FBD" w:rsidRPr="007025FE">
        <w:t xml:space="preserve"> and non-shared environmental influences</w:t>
      </w:r>
      <w:r w:rsidR="00CE0FBD">
        <w:t xml:space="preserve"> </w:t>
      </w:r>
      <w:r w:rsidR="002C5625">
        <w:t>on</w:t>
      </w:r>
      <w:r w:rsidR="00CE0FBD">
        <w:t xml:space="preserve"> </w:t>
      </w:r>
      <w:r>
        <w:t>self-enhancement manifestations</w:t>
      </w:r>
      <w:r>
        <w:rPr>
          <w:rFonts w:hint="eastAsia"/>
        </w:rPr>
        <w:t xml:space="preserve"> </w:t>
      </w:r>
      <w:r w:rsidR="00CE0FBD">
        <w:t xml:space="preserve">overlapped with those </w:t>
      </w:r>
      <w:r w:rsidR="002C5625">
        <w:t>on</w:t>
      </w:r>
      <w:r>
        <w:rPr>
          <w:rFonts w:hint="eastAsia"/>
        </w:rPr>
        <w:t xml:space="preserve"> wellbeing</w:t>
      </w:r>
      <w:r w:rsidR="000D39EC">
        <w:t xml:space="preserve"> to some extent</w:t>
      </w:r>
      <w:r w:rsidRPr="000D39EC">
        <w:rPr>
          <w:rFonts w:hint="eastAsia"/>
        </w:rPr>
        <w:t>.</w:t>
      </w:r>
    </w:p>
    <w:p w14:paraId="00CF1583" w14:textId="77777777" w:rsidR="009B244D" w:rsidRDefault="00F4341B" w:rsidP="00D17E90">
      <w:pPr>
        <w:spacing w:line="480" w:lineRule="exact"/>
        <w:outlineLvl w:val="0"/>
        <w:rPr>
          <w:b/>
        </w:rPr>
      </w:pPr>
      <w:r>
        <w:rPr>
          <w:b/>
        </w:rPr>
        <w:t>Implications</w:t>
      </w:r>
      <w:r>
        <w:rPr>
          <w:rFonts w:hint="eastAsia"/>
          <w:b/>
        </w:rPr>
        <w:t xml:space="preserve"> </w:t>
      </w:r>
    </w:p>
    <w:p w14:paraId="6DBAB1F1" w14:textId="4D845386" w:rsidR="000838BA" w:rsidRDefault="00EB4C1D">
      <w:pPr>
        <w:spacing w:line="480" w:lineRule="exact"/>
        <w:ind w:firstLine="480"/>
      </w:pPr>
      <w:r>
        <w:t xml:space="preserve">Our findings have several implications. </w:t>
      </w:r>
      <w:r w:rsidR="005A7A5C">
        <w:t>To begin</w:t>
      </w:r>
      <w:r w:rsidR="005C48B3">
        <w:rPr>
          <w:rFonts w:hint="eastAsia"/>
        </w:rPr>
        <w:t>, t</w:t>
      </w:r>
      <w:r w:rsidR="00F4341B">
        <w:t xml:space="preserve">he findings </w:t>
      </w:r>
      <w:r w:rsidR="00F4341B">
        <w:rPr>
          <w:rFonts w:hint="eastAsia"/>
        </w:rPr>
        <w:t>improve understanding of the</w:t>
      </w:r>
      <w:r w:rsidR="00F4341B">
        <w:t xml:space="preserve"> genetic</w:t>
      </w:r>
      <w:r w:rsidR="00F4341B">
        <w:rPr>
          <w:rFonts w:hint="eastAsia"/>
        </w:rPr>
        <w:t xml:space="preserve"> </w:t>
      </w:r>
      <w:r w:rsidR="00E76B8A">
        <w:t xml:space="preserve">and environmental sources of variation in </w:t>
      </w:r>
      <w:r w:rsidR="00F4341B">
        <w:t xml:space="preserve">self-enhancement. </w:t>
      </w:r>
      <w:r w:rsidR="00F4341B">
        <w:rPr>
          <w:rFonts w:hint="eastAsia"/>
        </w:rPr>
        <w:t xml:space="preserve">For the first time, we </w:t>
      </w:r>
      <w:r w:rsidR="00F4341B">
        <w:t>identified</w:t>
      </w:r>
      <w:r w:rsidR="00F4341B">
        <w:rPr>
          <w:rFonts w:hint="eastAsia"/>
        </w:rPr>
        <w:t xml:space="preserve"> a latent core for </w:t>
      </w:r>
      <w:r w:rsidR="00F4341B">
        <w:t>self-enhancement manifestations</w:t>
      </w:r>
      <w:r w:rsidR="00F4341B">
        <w:rPr>
          <w:rFonts w:hint="eastAsia"/>
        </w:rPr>
        <w:t xml:space="preserve">, and </w:t>
      </w:r>
      <w:r w:rsidR="00F4341B">
        <w:t>established</w:t>
      </w:r>
      <w:r w:rsidR="00F4341B">
        <w:rPr>
          <w:rFonts w:hint="eastAsia"/>
        </w:rPr>
        <w:t xml:space="preserve"> its </w:t>
      </w:r>
      <w:r w:rsidR="00F4341B">
        <w:t>heritability</w:t>
      </w:r>
      <w:r w:rsidR="00F4341B">
        <w:rPr>
          <w:rFonts w:hint="eastAsia"/>
        </w:rPr>
        <w:t xml:space="preserve">. </w:t>
      </w:r>
      <w:r w:rsidR="00F4341B">
        <w:t>A</w:t>
      </w:r>
      <w:r w:rsidR="00F4341B">
        <w:rPr>
          <w:rFonts w:hint="eastAsia"/>
        </w:rPr>
        <w:t>lthough</w:t>
      </w:r>
      <w:r w:rsidR="00F4341B">
        <w:t xml:space="preserve"> individuals may overestimate</w:t>
      </w:r>
      <w:r w:rsidR="00F4341B">
        <w:rPr>
          <w:rFonts w:hint="eastAsia"/>
        </w:rPr>
        <w:t xml:space="preserve"> themselves in diverse ways, </w:t>
      </w:r>
      <w:r w:rsidR="00F4341B" w:rsidRPr="003A1D9E">
        <w:t xml:space="preserve">these ways are </w:t>
      </w:r>
      <w:r w:rsidR="003C686B">
        <w:t xml:space="preserve">more or less </w:t>
      </w:r>
      <w:r w:rsidR="00F4341B" w:rsidRPr="003A1D9E">
        <w:t xml:space="preserve">sustained by </w:t>
      </w:r>
      <w:r w:rsidR="006B05DB">
        <w:t>the</w:t>
      </w:r>
      <w:r w:rsidR="00760A82">
        <w:t xml:space="preserve"> same </w:t>
      </w:r>
      <w:r w:rsidR="00885D9C">
        <w:t xml:space="preserve">core </w:t>
      </w:r>
      <w:r w:rsidR="00F4341B" w:rsidRPr="003A1D9E">
        <w:t>motive to view oneself in a positive light.</w:t>
      </w:r>
      <w:r w:rsidR="00F4341B">
        <w:rPr>
          <w:rFonts w:hint="eastAsia"/>
        </w:rPr>
        <w:t xml:space="preserve"> </w:t>
      </w:r>
      <w:r w:rsidR="003A4AC8">
        <w:t>Moreover</w:t>
      </w:r>
      <w:r w:rsidR="00003F66">
        <w:t>, t</w:t>
      </w:r>
      <w:r w:rsidR="00F4341B">
        <w:rPr>
          <w:rFonts w:hint="eastAsia"/>
        </w:rPr>
        <w:t xml:space="preserve">he genetic and environmental factors underlying the </w:t>
      </w:r>
      <w:r w:rsidR="00F4341B">
        <w:t xml:space="preserve">core </w:t>
      </w:r>
      <w:r w:rsidR="00F4341B">
        <w:rPr>
          <w:rFonts w:hint="eastAsia"/>
        </w:rPr>
        <w:t xml:space="preserve">also account for variance in </w:t>
      </w:r>
      <w:r w:rsidR="00F4341B">
        <w:t xml:space="preserve">self-enhancement manifestations, </w:t>
      </w:r>
      <w:r w:rsidR="00470930">
        <w:t xml:space="preserve">at least partly </w:t>
      </w:r>
      <w:r w:rsidR="00F4341B">
        <w:t xml:space="preserve">explaining </w:t>
      </w:r>
      <w:r w:rsidR="00F4341B">
        <w:rPr>
          <w:rFonts w:hint="eastAsia"/>
        </w:rPr>
        <w:t xml:space="preserve">why </w:t>
      </w:r>
      <w:r w:rsidR="00F4341B">
        <w:t>they</w:t>
      </w:r>
      <w:r w:rsidR="00F4341B">
        <w:rPr>
          <w:rFonts w:hint="eastAsia"/>
        </w:rPr>
        <w:t xml:space="preserve"> are interconnected despite marked differences in operationalization</w:t>
      </w:r>
      <w:r w:rsidR="00F4341B">
        <w:t>s</w:t>
      </w:r>
      <w:r w:rsidR="00F4341B">
        <w:rPr>
          <w:rFonts w:hint="eastAsia"/>
        </w:rPr>
        <w:t xml:space="preserve">. </w:t>
      </w:r>
      <w:r w:rsidR="00F4341B">
        <w:t>To concretize</w:t>
      </w:r>
      <w:r w:rsidR="002004B2">
        <w:t xml:space="preserve"> these implications</w:t>
      </w:r>
      <w:r w:rsidR="00F4341B">
        <w:t xml:space="preserve">, </w:t>
      </w:r>
      <w:r w:rsidR="00F4341B">
        <w:rPr>
          <w:rFonts w:hint="eastAsia"/>
        </w:rPr>
        <w:t xml:space="preserve">some genes and environments </w:t>
      </w:r>
      <w:r w:rsidR="00CF2A60">
        <w:t>increase</w:t>
      </w:r>
      <w:r w:rsidR="00F4341B">
        <w:t xml:space="preserve"> hunger</w:t>
      </w:r>
      <w:r w:rsidR="00F4341B">
        <w:rPr>
          <w:rFonts w:hint="eastAsia"/>
        </w:rPr>
        <w:t xml:space="preserve"> for self-positivity, and </w:t>
      </w:r>
      <w:r w:rsidR="00F4341B">
        <w:t>this</w:t>
      </w:r>
      <w:r w:rsidR="00F4341B">
        <w:rPr>
          <w:rFonts w:hint="eastAsia"/>
        </w:rPr>
        <w:t xml:space="preserve"> motivation </w:t>
      </w:r>
      <w:r w:rsidR="00F4341B">
        <w:t>contributes to narcissism, boasting in social comparisons, and</w:t>
      </w:r>
      <w:r w:rsidR="00F4341B">
        <w:rPr>
          <w:rFonts w:hint="eastAsia"/>
        </w:rPr>
        <w:t xml:space="preserve"> overclaim</w:t>
      </w:r>
      <w:r w:rsidR="00F4341B">
        <w:t>ing one’s</w:t>
      </w:r>
      <w:r w:rsidR="00F4341B">
        <w:rPr>
          <w:rFonts w:hint="eastAsia"/>
        </w:rPr>
        <w:t xml:space="preserve"> knowledge</w:t>
      </w:r>
      <w:r w:rsidR="00F4341B">
        <w:t>.</w:t>
      </w:r>
      <w:r w:rsidR="00F4341B">
        <w:rPr>
          <w:rFonts w:hint="eastAsia"/>
        </w:rPr>
        <w:t xml:space="preserve"> </w:t>
      </w:r>
    </w:p>
    <w:p w14:paraId="2836EBAB" w14:textId="62DA8451" w:rsidR="004B59C3" w:rsidRDefault="00461CCC" w:rsidP="00461CCC">
      <w:pPr>
        <w:spacing w:line="480" w:lineRule="exact"/>
        <w:ind w:firstLine="425"/>
      </w:pPr>
      <w:r>
        <w:t>Nevertheless</w:t>
      </w:r>
      <w:r w:rsidR="003D245A">
        <w:t xml:space="preserve">, </w:t>
      </w:r>
      <w:r w:rsidR="00CD28B3">
        <w:t xml:space="preserve">we </w:t>
      </w:r>
      <w:r w:rsidR="00150EC5">
        <w:rPr>
          <w:rFonts w:hint="eastAsia"/>
        </w:rPr>
        <w:t>should</w:t>
      </w:r>
      <w:r w:rsidR="00CD28B3">
        <w:t xml:space="preserve"> view </w:t>
      </w:r>
      <w:r w:rsidR="000838BA">
        <w:t>th</w:t>
      </w:r>
      <w:r w:rsidR="00005BA2">
        <w:rPr>
          <w:rFonts w:hint="eastAsia"/>
        </w:rPr>
        <w:t>is</w:t>
      </w:r>
      <w:r w:rsidR="000838BA">
        <w:t xml:space="preserve"> implication</w:t>
      </w:r>
      <w:r w:rsidR="003F65A0">
        <w:t xml:space="preserve"> with caution in light of </w:t>
      </w:r>
      <w:r w:rsidR="000838BA">
        <w:t xml:space="preserve">alternative explanations. </w:t>
      </w:r>
      <w:r w:rsidR="008968CE">
        <w:t>T</w:t>
      </w:r>
      <w:r w:rsidR="005C5988" w:rsidRPr="00BD57E5">
        <w:rPr>
          <w:rFonts w:eastAsia="Helvetica"/>
          <w:iCs/>
          <w:lang w:bidi="ar"/>
        </w:rPr>
        <w:t>he latent core</w:t>
      </w:r>
      <w:r w:rsidR="00393A4B">
        <w:rPr>
          <w:rFonts w:eastAsia="Helvetica"/>
          <w:iCs/>
          <w:lang w:bidi="ar"/>
        </w:rPr>
        <w:t xml:space="preserve"> for self-enhancement</w:t>
      </w:r>
      <w:r w:rsidR="005C5988" w:rsidRPr="00BD57E5">
        <w:rPr>
          <w:rFonts w:eastAsia="Helvetica"/>
          <w:iCs/>
          <w:lang w:bidi="ar"/>
        </w:rPr>
        <w:t xml:space="preserve"> </w:t>
      </w:r>
      <w:r w:rsidR="003F65A0">
        <w:rPr>
          <w:rFonts w:eastAsia="Helvetica"/>
          <w:iCs/>
          <w:lang w:bidi="ar"/>
        </w:rPr>
        <w:t>had</w:t>
      </w:r>
      <w:r w:rsidR="005C5988">
        <w:rPr>
          <w:rFonts w:eastAsia="Helvetica"/>
          <w:iCs/>
          <w:lang w:bidi="ar"/>
        </w:rPr>
        <w:t xml:space="preserve"> </w:t>
      </w:r>
      <w:r w:rsidR="00393A4B">
        <w:rPr>
          <w:rFonts w:eastAsia="Helvetica"/>
          <w:iCs/>
          <w:lang w:bidi="ar"/>
        </w:rPr>
        <w:t xml:space="preserve">only a moderate </w:t>
      </w:r>
      <w:r w:rsidR="003F65A0">
        <w:rPr>
          <w:rFonts w:eastAsia="Helvetica"/>
          <w:iCs/>
          <w:lang w:bidi="ar"/>
        </w:rPr>
        <w:t>influence</w:t>
      </w:r>
      <w:r w:rsidR="00393A4B">
        <w:rPr>
          <w:rFonts w:eastAsia="Helvetica"/>
          <w:iCs/>
          <w:lang w:bidi="ar"/>
        </w:rPr>
        <w:t xml:space="preserve"> on the objective-level</w:t>
      </w:r>
      <w:r w:rsidR="00393A4B" w:rsidRPr="00BD57E5">
        <w:rPr>
          <w:rFonts w:eastAsia="Helvetica"/>
          <w:iCs/>
          <w:lang w:bidi="ar"/>
        </w:rPr>
        <w:t xml:space="preserve"> </w:t>
      </w:r>
      <w:r w:rsidR="00393A4B">
        <w:rPr>
          <w:rFonts w:eastAsia="Helvetica"/>
          <w:iCs/>
          <w:lang w:bidi="ar"/>
        </w:rPr>
        <w:t xml:space="preserve">manifestation </w:t>
      </w:r>
      <w:r w:rsidR="00393A4B" w:rsidRPr="00BD57E5">
        <w:rPr>
          <w:rFonts w:eastAsia="Helvetica"/>
          <w:iCs/>
          <w:lang w:bidi="ar"/>
        </w:rPr>
        <w:t>(the OCQ)</w:t>
      </w:r>
      <w:r w:rsidR="00393A4B">
        <w:rPr>
          <w:rFonts w:eastAsia="Helvetica"/>
          <w:iCs/>
          <w:lang w:bidi="ar"/>
        </w:rPr>
        <w:t>, though its</w:t>
      </w:r>
      <w:r w:rsidR="005C5988">
        <w:rPr>
          <w:rFonts w:eastAsia="Helvetica"/>
          <w:iCs/>
          <w:lang w:bidi="ar"/>
        </w:rPr>
        <w:t xml:space="preserve"> </w:t>
      </w:r>
      <w:r w:rsidR="003F65A0">
        <w:rPr>
          <w:rFonts w:eastAsia="Helvetica"/>
          <w:iCs/>
          <w:lang w:bidi="ar"/>
        </w:rPr>
        <w:t>influence</w:t>
      </w:r>
      <w:r w:rsidR="004A0C68">
        <w:rPr>
          <w:rFonts w:eastAsia="Helvetica"/>
          <w:iCs/>
          <w:lang w:bidi="ar"/>
        </w:rPr>
        <w:t>s</w:t>
      </w:r>
      <w:r w:rsidR="005C5988">
        <w:rPr>
          <w:rFonts w:eastAsia="Helvetica"/>
          <w:iCs/>
          <w:lang w:bidi="ar"/>
        </w:rPr>
        <w:t xml:space="preserve"> on</w:t>
      </w:r>
      <w:r w:rsidR="005C5988" w:rsidRPr="00BD57E5">
        <w:rPr>
          <w:rFonts w:eastAsia="Helvetica"/>
          <w:iCs/>
          <w:lang w:bidi="ar"/>
        </w:rPr>
        <w:t xml:space="preserve"> </w:t>
      </w:r>
      <w:r w:rsidR="000F5E1C">
        <w:rPr>
          <w:rFonts w:eastAsia="Helvetica"/>
          <w:iCs/>
          <w:lang w:bidi="ar"/>
        </w:rPr>
        <w:t xml:space="preserve">the </w:t>
      </w:r>
      <w:r w:rsidR="005C5988" w:rsidRPr="00BD57E5">
        <w:rPr>
          <w:rFonts w:eastAsia="Helvetica"/>
          <w:iCs/>
          <w:lang w:bidi="ar"/>
        </w:rPr>
        <w:t>subjective</w:t>
      </w:r>
      <w:r w:rsidR="00C44B3C">
        <w:rPr>
          <w:rFonts w:eastAsia="Helvetica"/>
          <w:iCs/>
          <w:lang w:bidi="ar"/>
        </w:rPr>
        <w:t>-</w:t>
      </w:r>
      <w:r w:rsidR="005C5988" w:rsidRPr="00BD57E5">
        <w:rPr>
          <w:rFonts w:eastAsia="Helvetica"/>
          <w:iCs/>
          <w:lang w:bidi="ar"/>
        </w:rPr>
        <w:t xml:space="preserve"> and intermediate</w:t>
      </w:r>
      <w:r w:rsidR="00C44B3C">
        <w:rPr>
          <w:rFonts w:eastAsia="Helvetica"/>
          <w:iCs/>
          <w:lang w:bidi="ar"/>
        </w:rPr>
        <w:t>-level</w:t>
      </w:r>
      <w:r w:rsidR="005C5988" w:rsidRPr="00BD57E5">
        <w:rPr>
          <w:rFonts w:eastAsia="Helvetica"/>
          <w:iCs/>
          <w:lang w:bidi="ar"/>
        </w:rPr>
        <w:t xml:space="preserve"> </w:t>
      </w:r>
      <w:r w:rsidR="000F5E1C" w:rsidRPr="00BD57E5">
        <w:rPr>
          <w:rFonts w:eastAsia="Helvetica"/>
          <w:iCs/>
          <w:lang w:bidi="ar"/>
        </w:rPr>
        <w:t>m</w:t>
      </w:r>
      <w:r w:rsidR="000F5E1C">
        <w:rPr>
          <w:rFonts w:eastAsia="Helvetica"/>
          <w:iCs/>
          <w:lang w:bidi="ar"/>
        </w:rPr>
        <w:t>anifestations</w:t>
      </w:r>
      <w:r w:rsidR="005C5988" w:rsidRPr="00BD57E5">
        <w:rPr>
          <w:rFonts w:eastAsia="Helvetica"/>
          <w:iCs/>
          <w:lang w:bidi="ar"/>
        </w:rPr>
        <w:t xml:space="preserve"> </w:t>
      </w:r>
      <w:r w:rsidR="00393A4B">
        <w:rPr>
          <w:rFonts w:eastAsia="Helvetica"/>
          <w:iCs/>
          <w:lang w:bidi="ar"/>
        </w:rPr>
        <w:t>were substantial</w:t>
      </w:r>
      <w:r w:rsidR="00D710E7" w:rsidRPr="00BD57E5">
        <w:rPr>
          <w:rFonts w:eastAsia="Helvetica" w:hint="eastAsia"/>
          <w:iCs/>
          <w:lang w:bidi="ar"/>
        </w:rPr>
        <w:t>.</w:t>
      </w:r>
      <w:r w:rsidR="00D710E7" w:rsidRPr="00BD57E5">
        <w:rPr>
          <w:rFonts w:eastAsia="Helvetica"/>
          <w:iCs/>
          <w:lang w:bidi="ar"/>
        </w:rPr>
        <w:t xml:space="preserve"> </w:t>
      </w:r>
      <w:r w:rsidR="003F65A0">
        <w:rPr>
          <w:rFonts w:eastAsia="Helvetica"/>
          <w:iCs/>
          <w:lang w:bidi="ar"/>
        </w:rPr>
        <w:t>T</w:t>
      </w:r>
      <w:r w:rsidR="00CF30BB">
        <w:rPr>
          <w:rFonts w:eastAsia="Helvetica"/>
          <w:iCs/>
          <w:lang w:bidi="ar"/>
        </w:rPr>
        <w:t xml:space="preserve">his pattern </w:t>
      </w:r>
      <w:r w:rsidR="00ED6B48">
        <w:rPr>
          <w:rFonts w:eastAsia="Helvetica"/>
          <w:iCs/>
          <w:lang w:bidi="ar"/>
        </w:rPr>
        <w:t>becomes</w:t>
      </w:r>
      <w:r w:rsidR="00CF30BB">
        <w:rPr>
          <w:rFonts w:eastAsia="Helvetica"/>
          <w:iCs/>
          <w:lang w:bidi="ar"/>
        </w:rPr>
        <w:t xml:space="preserve"> more </w:t>
      </w:r>
      <w:r w:rsidR="003F65A0">
        <w:rPr>
          <w:rFonts w:eastAsia="Helvetica"/>
          <w:iCs/>
          <w:lang w:bidi="ar"/>
        </w:rPr>
        <w:t>evident</w:t>
      </w:r>
      <w:r w:rsidR="00CF30BB">
        <w:rPr>
          <w:rFonts w:eastAsia="Helvetica"/>
          <w:iCs/>
          <w:lang w:bidi="ar"/>
        </w:rPr>
        <w:t xml:space="preserve"> </w:t>
      </w:r>
      <w:r w:rsidR="00ED6B48">
        <w:rPr>
          <w:rFonts w:eastAsia="Helvetica"/>
          <w:iCs/>
          <w:lang w:bidi="ar"/>
        </w:rPr>
        <w:t>when</w:t>
      </w:r>
      <w:r w:rsidR="00CF30BB">
        <w:rPr>
          <w:rFonts w:eastAsia="Helvetica"/>
          <w:iCs/>
          <w:lang w:bidi="ar"/>
        </w:rPr>
        <w:t xml:space="preserve"> </w:t>
      </w:r>
      <w:r w:rsidR="00ED6B48">
        <w:rPr>
          <w:rFonts w:eastAsia="Helvetica"/>
          <w:iCs/>
          <w:lang w:bidi="ar"/>
        </w:rPr>
        <w:t>we compare</w:t>
      </w:r>
      <w:r w:rsidR="00CF30BB">
        <w:rPr>
          <w:rFonts w:eastAsia="Helvetica"/>
          <w:iCs/>
          <w:lang w:bidi="ar"/>
        </w:rPr>
        <w:t xml:space="preserve"> the </w:t>
      </w:r>
      <w:r w:rsidR="00150EC5">
        <w:rPr>
          <w:rFonts w:eastAsia="Helvetica" w:hint="eastAsia"/>
          <w:iCs/>
          <w:lang w:bidi="ar"/>
        </w:rPr>
        <w:t xml:space="preserve">global genetic or environmental </w:t>
      </w:r>
      <w:r w:rsidR="00CF30BB">
        <w:rPr>
          <w:rFonts w:eastAsia="Helvetica"/>
          <w:iCs/>
          <w:lang w:bidi="ar"/>
        </w:rPr>
        <w:t xml:space="preserve">influence </w:t>
      </w:r>
      <w:r w:rsidR="00ED6B48">
        <w:rPr>
          <w:rFonts w:eastAsia="Helvetica"/>
          <w:iCs/>
          <w:lang w:bidi="ar"/>
        </w:rPr>
        <w:t>across the three levels.</w:t>
      </w:r>
      <w:r w:rsidR="00CF30BB">
        <w:rPr>
          <w:rFonts w:eastAsia="Helvetica"/>
          <w:iCs/>
          <w:lang w:bidi="ar"/>
        </w:rPr>
        <w:t xml:space="preserve"> </w:t>
      </w:r>
      <w:r w:rsidR="000F5E1C">
        <w:rPr>
          <w:rFonts w:eastAsia="Helvetica"/>
          <w:iCs/>
          <w:lang w:bidi="ar"/>
        </w:rPr>
        <w:t xml:space="preserve">The relatively low convergence on the </w:t>
      </w:r>
      <w:r w:rsidR="00C44B3C">
        <w:rPr>
          <w:rFonts w:eastAsia="Helvetica"/>
          <w:iCs/>
          <w:lang w:bidi="ar"/>
        </w:rPr>
        <w:t xml:space="preserve">objective level </w:t>
      </w:r>
      <w:r w:rsidR="00D710E7" w:rsidRPr="00BD57E5">
        <w:rPr>
          <w:rFonts w:eastAsia="Helvetica"/>
          <w:iCs/>
          <w:lang w:bidi="ar"/>
        </w:rPr>
        <w:t xml:space="preserve">may be due to </w:t>
      </w:r>
      <w:r w:rsidR="00C44B3C">
        <w:rPr>
          <w:rFonts w:eastAsia="Helvetica"/>
          <w:iCs/>
          <w:lang w:bidi="ar"/>
        </w:rPr>
        <w:t xml:space="preserve">the overclaiming </w:t>
      </w:r>
      <w:r w:rsidR="00150EC5">
        <w:rPr>
          <w:rFonts w:eastAsia="Helvetica" w:hint="eastAsia"/>
          <w:iCs/>
          <w:lang w:bidi="ar"/>
        </w:rPr>
        <w:t>task</w:t>
      </w:r>
      <w:r w:rsidR="00C44B3C">
        <w:rPr>
          <w:rFonts w:eastAsia="Helvetica"/>
          <w:iCs/>
          <w:lang w:bidi="ar"/>
        </w:rPr>
        <w:t xml:space="preserve"> </w:t>
      </w:r>
      <w:r w:rsidR="00CF34EC">
        <w:rPr>
          <w:rFonts w:eastAsia="Helvetica"/>
          <w:iCs/>
          <w:lang w:bidi="ar"/>
        </w:rPr>
        <w:t>operat</w:t>
      </w:r>
      <w:r w:rsidR="008968CE">
        <w:rPr>
          <w:rFonts w:eastAsia="Helvetica"/>
          <w:iCs/>
          <w:lang w:bidi="ar"/>
        </w:rPr>
        <w:t xml:space="preserve">ing </w:t>
      </w:r>
      <w:r w:rsidR="00C44B3C">
        <w:rPr>
          <w:rFonts w:eastAsia="Helvetica"/>
          <w:iCs/>
          <w:lang w:bidi="ar"/>
        </w:rPr>
        <w:t>different</w:t>
      </w:r>
      <w:r w:rsidR="008968CE">
        <w:rPr>
          <w:rFonts w:eastAsia="Helvetica"/>
          <w:iCs/>
          <w:lang w:bidi="ar"/>
        </w:rPr>
        <w:t xml:space="preserve">ly </w:t>
      </w:r>
      <w:r w:rsidR="008968CE">
        <w:rPr>
          <w:rFonts w:eastAsia="Helvetica"/>
          <w:iCs/>
          <w:lang w:bidi="ar"/>
        </w:rPr>
        <w:lastRenderedPageBreak/>
        <w:t xml:space="preserve">than other measures (i.e., </w:t>
      </w:r>
      <w:r w:rsidR="00C44B3C">
        <w:rPr>
          <w:rFonts w:eastAsia="Helvetica"/>
          <w:iCs/>
          <w:lang w:bidi="ar"/>
        </w:rPr>
        <w:t>signal detection</w:t>
      </w:r>
      <w:r w:rsidR="008968CE">
        <w:rPr>
          <w:rFonts w:eastAsia="Helvetica"/>
          <w:iCs/>
          <w:lang w:bidi="ar"/>
        </w:rPr>
        <w:t xml:space="preserve"> vs. </w:t>
      </w:r>
      <w:r w:rsidR="00C44B3C">
        <w:rPr>
          <w:rFonts w:eastAsia="Helvetica"/>
          <w:iCs/>
          <w:lang w:bidi="ar"/>
        </w:rPr>
        <w:t>self</w:t>
      </w:r>
      <w:r w:rsidR="00CF34EC">
        <w:rPr>
          <w:rFonts w:eastAsia="Helvetica"/>
          <w:iCs/>
          <w:lang w:bidi="ar"/>
        </w:rPr>
        <w:t>-</w:t>
      </w:r>
      <w:r w:rsidR="00C44B3C">
        <w:rPr>
          <w:rFonts w:eastAsia="Helvetica"/>
          <w:iCs/>
          <w:lang w:bidi="ar"/>
        </w:rPr>
        <w:t>report)</w:t>
      </w:r>
      <w:r w:rsidR="008968CE">
        <w:rPr>
          <w:rFonts w:eastAsia="Helvetica"/>
          <w:iCs/>
          <w:lang w:bidi="ar"/>
        </w:rPr>
        <w:t xml:space="preserve">. Alternatively, the low convergence may be due to </w:t>
      </w:r>
      <w:r w:rsidR="00C44B3C">
        <w:rPr>
          <w:rFonts w:eastAsia="Helvetica"/>
          <w:iCs/>
          <w:lang w:bidi="ar"/>
        </w:rPr>
        <w:t>self-enhanc</w:t>
      </w:r>
      <w:r w:rsidR="002A5487">
        <w:rPr>
          <w:rFonts w:eastAsia="Helvetica"/>
          <w:iCs/>
          <w:lang w:bidi="ar"/>
        </w:rPr>
        <w:t xml:space="preserve">ing </w:t>
      </w:r>
      <w:r w:rsidR="008968CE">
        <w:rPr>
          <w:rFonts w:eastAsia="Helvetica"/>
          <w:iCs/>
          <w:lang w:bidi="ar"/>
        </w:rPr>
        <w:t>manifestations at the</w:t>
      </w:r>
      <w:r w:rsidR="00C44B3C">
        <w:rPr>
          <w:rFonts w:eastAsia="Helvetica"/>
          <w:iCs/>
          <w:lang w:bidi="ar"/>
        </w:rPr>
        <w:t xml:space="preserve"> </w:t>
      </w:r>
      <w:r w:rsidR="00CF34EC">
        <w:rPr>
          <w:rFonts w:eastAsia="Helvetica"/>
          <w:iCs/>
          <w:lang w:bidi="ar"/>
        </w:rPr>
        <w:t xml:space="preserve">objective level </w:t>
      </w:r>
      <w:r w:rsidR="008968CE">
        <w:rPr>
          <w:rFonts w:eastAsia="Helvetica"/>
          <w:iCs/>
          <w:lang w:bidi="ar"/>
        </w:rPr>
        <w:t>being concurrently subjected to influences</w:t>
      </w:r>
      <w:r w:rsidR="005D0BBF">
        <w:rPr>
          <w:rFonts w:eastAsia="Helvetica"/>
          <w:iCs/>
          <w:lang w:bidi="ar"/>
        </w:rPr>
        <w:t xml:space="preserve"> beyond the latent core identified in this study</w:t>
      </w:r>
      <w:r w:rsidR="00CF34EC">
        <w:rPr>
          <w:rFonts w:eastAsia="Helvetica"/>
          <w:iCs/>
          <w:lang w:bidi="ar"/>
        </w:rPr>
        <w:t xml:space="preserve">. </w:t>
      </w:r>
      <w:r w:rsidR="008968CE">
        <w:rPr>
          <w:rFonts w:eastAsia="Helvetica"/>
          <w:iCs/>
          <w:lang w:bidi="ar"/>
        </w:rPr>
        <w:t>Future research could test t</w:t>
      </w:r>
      <w:r w:rsidR="00803841">
        <w:rPr>
          <w:rFonts w:eastAsia="Helvetica"/>
          <w:iCs/>
          <w:lang w:bidi="ar"/>
        </w:rPr>
        <w:t xml:space="preserve">hese </w:t>
      </w:r>
      <w:r w:rsidR="008968CE">
        <w:rPr>
          <w:rFonts w:eastAsia="Helvetica"/>
          <w:iCs/>
          <w:lang w:bidi="ar"/>
        </w:rPr>
        <w:t xml:space="preserve">explanations </w:t>
      </w:r>
      <w:r w:rsidR="00803841">
        <w:rPr>
          <w:rFonts w:eastAsia="Helvetica"/>
          <w:iCs/>
          <w:lang w:bidi="ar"/>
        </w:rPr>
        <w:t xml:space="preserve">by </w:t>
      </w:r>
      <w:r w:rsidR="008968CE">
        <w:rPr>
          <w:rFonts w:eastAsia="Helvetica"/>
          <w:iCs/>
          <w:lang w:bidi="ar"/>
        </w:rPr>
        <w:t>implementing</w:t>
      </w:r>
      <w:r w:rsidR="00803841">
        <w:rPr>
          <w:rFonts w:eastAsia="Helvetica"/>
          <w:iCs/>
          <w:lang w:bidi="ar"/>
        </w:rPr>
        <w:t xml:space="preserve"> </w:t>
      </w:r>
      <w:r w:rsidR="004B59C3" w:rsidRPr="00BD57E5">
        <w:rPr>
          <w:rFonts w:eastAsia="Helvetica"/>
          <w:iCs/>
          <w:lang w:bidi="ar"/>
        </w:rPr>
        <w:t xml:space="preserve">a more comprehensive </w:t>
      </w:r>
      <w:r w:rsidR="004B59C3" w:rsidRPr="00BD57E5">
        <w:rPr>
          <w:rFonts w:eastAsia="Helvetica" w:hint="eastAsia"/>
          <w:iCs/>
          <w:lang w:bidi="ar"/>
        </w:rPr>
        <w:t xml:space="preserve">assessment of </w:t>
      </w:r>
      <w:r w:rsidR="004B59C3" w:rsidRPr="00BD57E5">
        <w:rPr>
          <w:rFonts w:eastAsia="Helvetica"/>
          <w:iCs/>
          <w:lang w:bidi="ar"/>
        </w:rPr>
        <w:t>self</w:t>
      </w:r>
      <w:r w:rsidR="004B59C3" w:rsidRPr="00BD57E5">
        <w:rPr>
          <w:rFonts w:eastAsia="Helvetica" w:hint="eastAsia"/>
          <w:iCs/>
          <w:lang w:bidi="ar"/>
        </w:rPr>
        <w:t>-enhancement</w:t>
      </w:r>
      <w:r w:rsidR="004B59C3" w:rsidRPr="00BD57E5">
        <w:rPr>
          <w:rFonts w:eastAsia="Helvetica"/>
          <w:iCs/>
          <w:lang w:bidi="ar"/>
        </w:rPr>
        <w:t xml:space="preserve"> </w:t>
      </w:r>
      <w:r w:rsidR="004B59C3" w:rsidRPr="00BD57E5">
        <w:rPr>
          <w:rFonts w:eastAsia="Helvetica" w:hint="eastAsia"/>
          <w:iCs/>
          <w:lang w:bidi="ar"/>
        </w:rPr>
        <w:t>along</w:t>
      </w:r>
      <w:r w:rsidR="004B59C3" w:rsidRPr="00BD57E5">
        <w:rPr>
          <w:rFonts w:eastAsia="Helvetica"/>
          <w:iCs/>
          <w:lang w:bidi="ar"/>
        </w:rPr>
        <w:t xml:space="preserve"> the </w:t>
      </w:r>
      <w:r w:rsidR="004B59C3">
        <w:rPr>
          <w:rFonts w:eastAsia="Helvetica"/>
          <w:iCs/>
          <w:lang w:bidi="ar"/>
        </w:rPr>
        <w:t xml:space="preserve">objective-subjective </w:t>
      </w:r>
      <w:r w:rsidR="004B59C3" w:rsidRPr="008968CE">
        <w:rPr>
          <w:rFonts w:eastAsia="Helvetica"/>
          <w:iCs/>
          <w:lang w:bidi="ar"/>
        </w:rPr>
        <w:t>continuum</w:t>
      </w:r>
      <w:r w:rsidR="004B59C3" w:rsidRPr="00BD57E5">
        <w:rPr>
          <w:rFonts w:eastAsia="Helvetica"/>
          <w:iCs/>
          <w:lang w:bidi="ar"/>
        </w:rPr>
        <w:t xml:space="preserve"> (e.g., </w:t>
      </w:r>
      <w:r w:rsidR="004B59C3" w:rsidRPr="00BD57E5">
        <w:rPr>
          <w:rFonts w:eastAsia="Helvetica" w:hint="eastAsia"/>
          <w:iCs/>
          <w:lang w:bidi="ar"/>
        </w:rPr>
        <w:t>selective self-memory</w:t>
      </w:r>
      <w:r w:rsidR="004B59C3" w:rsidRPr="00BD57E5">
        <w:rPr>
          <w:rFonts w:eastAsia="Helvetica"/>
          <w:iCs/>
          <w:lang w:bidi="ar"/>
        </w:rPr>
        <w:t>, favorable interpretation of ambiguous feedback,</w:t>
      </w:r>
      <w:r w:rsidR="004B59C3" w:rsidRPr="00BD57E5">
        <w:rPr>
          <w:rFonts w:eastAsia="Helvetica" w:hint="eastAsia"/>
          <w:iCs/>
          <w:lang w:bidi="ar"/>
        </w:rPr>
        <w:t xml:space="preserve"> self-serving bias</w:t>
      </w:r>
      <w:r w:rsidR="004B59C3" w:rsidRPr="00BD57E5">
        <w:rPr>
          <w:rFonts w:eastAsia="Helvetica"/>
          <w:iCs/>
          <w:lang w:bidi="ar"/>
        </w:rPr>
        <w:t xml:space="preserve">; </w:t>
      </w:r>
      <w:r w:rsidR="004B59C3" w:rsidRPr="00BD57E5">
        <w:rPr>
          <w:rFonts w:eastAsia="Helvetica" w:hint="eastAsia"/>
          <w:iCs/>
          <w:lang w:bidi="ar"/>
        </w:rPr>
        <w:t>Hepper</w:t>
      </w:r>
      <w:r w:rsidR="00EB44BC">
        <w:rPr>
          <w:rFonts w:eastAsia="Helvetica"/>
          <w:iCs/>
          <w:lang w:bidi="ar"/>
        </w:rPr>
        <w:t xml:space="preserve"> et al., </w:t>
      </w:r>
      <w:r w:rsidR="004B59C3" w:rsidRPr="00BD57E5">
        <w:rPr>
          <w:rFonts w:eastAsia="Helvetica" w:hint="eastAsia"/>
          <w:iCs/>
          <w:lang w:bidi="ar"/>
        </w:rPr>
        <w:t>2010</w:t>
      </w:r>
      <w:r w:rsidR="004B59C3">
        <w:rPr>
          <w:rFonts w:eastAsia="Helvetica"/>
          <w:iCs/>
          <w:lang w:bidi="ar"/>
        </w:rPr>
        <w:t xml:space="preserve">; Sedikides &amp; Alicke, </w:t>
      </w:r>
      <w:r>
        <w:rPr>
          <w:rFonts w:eastAsia="Helvetica"/>
          <w:iCs/>
          <w:lang w:bidi="ar"/>
        </w:rPr>
        <w:t xml:space="preserve">2012, </w:t>
      </w:r>
      <w:r w:rsidR="004B59C3">
        <w:rPr>
          <w:rFonts w:eastAsia="Helvetica"/>
          <w:iCs/>
          <w:lang w:bidi="ar"/>
        </w:rPr>
        <w:t>2019</w:t>
      </w:r>
      <w:r w:rsidR="004B59C3" w:rsidRPr="00BD57E5">
        <w:rPr>
          <w:rFonts w:eastAsia="Helvetica"/>
          <w:iCs/>
          <w:lang w:bidi="ar"/>
        </w:rPr>
        <w:t xml:space="preserve">) in </w:t>
      </w:r>
      <w:r w:rsidR="004B59C3" w:rsidRPr="00BD57E5">
        <w:rPr>
          <w:rFonts w:eastAsia="Helvetica" w:hint="eastAsia"/>
          <w:iCs/>
          <w:lang w:bidi="ar"/>
        </w:rPr>
        <w:t>a genetically sensitive design.</w:t>
      </w:r>
    </w:p>
    <w:p w14:paraId="6A283E82" w14:textId="1167B3D3" w:rsidR="00CB7742" w:rsidRDefault="008968CE" w:rsidP="00461CCC">
      <w:pPr>
        <w:spacing w:line="480" w:lineRule="exact"/>
        <w:ind w:firstLine="425"/>
      </w:pPr>
      <w:r>
        <w:t>B</w:t>
      </w:r>
      <w:r w:rsidR="00C1185B" w:rsidRPr="005C48B3">
        <w:t>esides self-enhancement per se, o</w:t>
      </w:r>
      <w:r w:rsidR="004B59C3" w:rsidRPr="005C48B3">
        <w:t xml:space="preserve">ur </w:t>
      </w:r>
      <w:r w:rsidR="00F4341B" w:rsidRPr="005C48B3">
        <w:t>findings inform t</w:t>
      </w:r>
      <w:r w:rsidR="00F4341B" w:rsidRPr="005C48B3">
        <w:rPr>
          <w:rFonts w:hint="eastAsia"/>
        </w:rPr>
        <w:t xml:space="preserve">he relation between </w:t>
      </w:r>
      <w:r w:rsidR="00F4341B" w:rsidRPr="005C48B3">
        <w:t>self-enhancement manifestations and</w:t>
      </w:r>
      <w:r>
        <w:t xml:space="preserve"> psychological</w:t>
      </w:r>
      <w:r w:rsidR="00F4341B" w:rsidRPr="005C48B3">
        <w:t xml:space="preserve"> </w:t>
      </w:r>
      <w:r w:rsidR="00F4341B" w:rsidRPr="005C48B3">
        <w:rPr>
          <w:rFonts w:hint="eastAsia"/>
        </w:rPr>
        <w:t xml:space="preserve">wellbeing. Although </w:t>
      </w:r>
      <w:r>
        <w:t>a subset of the literature has reported</w:t>
      </w:r>
      <w:r w:rsidR="00F4341B" w:rsidRPr="005C48B3">
        <w:rPr>
          <w:rFonts w:hint="eastAsia"/>
        </w:rPr>
        <w:t xml:space="preserve"> a negative </w:t>
      </w:r>
      <w:r w:rsidR="00F4341B" w:rsidRPr="005C48B3">
        <w:t xml:space="preserve">link between </w:t>
      </w:r>
      <w:r w:rsidR="00F4341B" w:rsidRPr="005C48B3">
        <w:rPr>
          <w:rFonts w:hint="eastAsia"/>
        </w:rPr>
        <w:t xml:space="preserve">self-enhancement </w:t>
      </w:r>
      <w:r w:rsidR="00F4341B" w:rsidRPr="005C48B3">
        <w:t xml:space="preserve">manifestations and </w:t>
      </w:r>
      <w:r w:rsidR="00F4341B" w:rsidRPr="005C48B3">
        <w:rPr>
          <w:rFonts w:hint="eastAsia"/>
        </w:rPr>
        <w:t>wellbeing (</w:t>
      </w:r>
      <w:r w:rsidR="00F4341B" w:rsidRPr="005C48B3">
        <w:t>e.g., Colvin &amp; Griffo, 2008</w:t>
      </w:r>
      <w:r w:rsidR="00F4341B" w:rsidRPr="005C48B3">
        <w:rPr>
          <w:rFonts w:hint="eastAsia"/>
        </w:rPr>
        <w:t xml:space="preserve">), </w:t>
      </w:r>
      <w:r>
        <w:t>the bulk of the literature</w:t>
      </w:r>
      <w:r w:rsidR="00F4341B" w:rsidRPr="005C48B3">
        <w:t xml:space="preserve"> (Alicke &amp; Sedikides, 2009; Taylor &amp; Brown, 1988), </w:t>
      </w:r>
      <w:r>
        <w:t>including</w:t>
      </w:r>
      <w:r w:rsidRPr="005C48B3">
        <w:t xml:space="preserve"> </w:t>
      </w:r>
      <w:r w:rsidR="00F4341B" w:rsidRPr="005C48B3">
        <w:t>a recent meta-analysis (Dufner et al., 20</w:t>
      </w:r>
      <w:r w:rsidR="00FC07CF" w:rsidRPr="005C48B3">
        <w:t>1</w:t>
      </w:r>
      <w:r w:rsidR="0010041A" w:rsidRPr="005C48B3">
        <w:t>9</w:t>
      </w:r>
      <w:r w:rsidR="00F4341B" w:rsidRPr="005C48B3">
        <w:t>), ha</w:t>
      </w:r>
      <w:r>
        <w:t>s</w:t>
      </w:r>
      <w:r w:rsidR="00F4341B" w:rsidRPr="005C48B3">
        <w:t xml:space="preserve"> established a positive link</w:t>
      </w:r>
      <w:r w:rsidR="00F4341B" w:rsidRPr="005C48B3">
        <w:rPr>
          <w:rFonts w:hint="eastAsia"/>
        </w:rPr>
        <w:t xml:space="preserve">. </w:t>
      </w:r>
      <w:r w:rsidR="0031675E" w:rsidRPr="005C48B3">
        <w:t>Our research</w:t>
      </w:r>
      <w:r w:rsidR="00F4341B" w:rsidRPr="005C48B3">
        <w:rPr>
          <w:rFonts w:hint="eastAsia"/>
        </w:rPr>
        <w:t xml:space="preserve"> not only replicated the positive </w:t>
      </w:r>
      <w:r w:rsidR="00F4341B" w:rsidRPr="005C48B3">
        <w:t>association</w:t>
      </w:r>
      <w:r w:rsidR="00F4341B" w:rsidRPr="005C48B3">
        <w:rPr>
          <w:rFonts w:hint="eastAsia"/>
        </w:rPr>
        <w:t xml:space="preserve"> </w:t>
      </w:r>
      <w:r w:rsidR="00F4341B" w:rsidRPr="005C48B3">
        <w:t xml:space="preserve">between self-enhancement manifestations </w:t>
      </w:r>
      <w:r w:rsidR="00F4341B" w:rsidRPr="005C48B3">
        <w:rPr>
          <w:rFonts w:hint="eastAsia"/>
        </w:rPr>
        <w:t xml:space="preserve">and wellbeing, but also </w:t>
      </w:r>
      <w:r>
        <w:t>illustrated</w:t>
      </w:r>
      <w:r w:rsidRPr="005C48B3">
        <w:rPr>
          <w:rFonts w:hint="eastAsia"/>
        </w:rPr>
        <w:t xml:space="preserve"> </w:t>
      </w:r>
      <w:r w:rsidR="00F4341B" w:rsidRPr="005C48B3">
        <w:rPr>
          <w:rFonts w:hint="eastAsia"/>
        </w:rPr>
        <w:t xml:space="preserve">a positive genetic correlation between the latent traits </w:t>
      </w:r>
      <w:r>
        <w:t>corresponding to</w:t>
      </w:r>
      <w:r w:rsidRPr="005C48B3">
        <w:rPr>
          <w:rFonts w:hint="eastAsia"/>
        </w:rPr>
        <w:t xml:space="preserve"> </w:t>
      </w:r>
      <w:r w:rsidR="00F4341B" w:rsidRPr="005C48B3">
        <w:rPr>
          <w:rFonts w:hint="eastAsia"/>
        </w:rPr>
        <w:t>self-enhancement</w:t>
      </w:r>
      <w:r w:rsidR="00F4341B" w:rsidRPr="005C48B3">
        <w:t xml:space="preserve"> </w:t>
      </w:r>
      <w:r w:rsidR="00F4341B" w:rsidRPr="005C48B3">
        <w:rPr>
          <w:rFonts w:hint="eastAsia"/>
        </w:rPr>
        <w:t xml:space="preserve">and wellbeing. </w:t>
      </w:r>
      <w:r>
        <w:t xml:space="preserve">In addition, our </w:t>
      </w:r>
      <w:r w:rsidR="00461CCC" w:rsidRPr="005C48B3">
        <w:t>research</w:t>
      </w:r>
      <w:r w:rsidR="00461CCC" w:rsidRPr="005C48B3">
        <w:rPr>
          <w:rFonts w:hint="eastAsia"/>
        </w:rPr>
        <w:t xml:space="preserve"> </w:t>
      </w:r>
      <w:r>
        <w:t>demonstrated tha</w:t>
      </w:r>
      <w:r w:rsidR="006D1D1C">
        <w:t>t</w:t>
      </w:r>
      <w:r w:rsidR="000205A4" w:rsidRPr="005C48B3">
        <w:rPr>
          <w:rFonts w:hint="eastAsia"/>
        </w:rPr>
        <w:t xml:space="preserve"> the </w:t>
      </w:r>
      <w:r w:rsidR="000205A4" w:rsidRPr="005C48B3">
        <w:t xml:space="preserve">shared and </w:t>
      </w:r>
      <w:r w:rsidR="000205A4" w:rsidRPr="005C48B3">
        <w:rPr>
          <w:rFonts w:hint="eastAsia"/>
        </w:rPr>
        <w:t xml:space="preserve">non-shared environments shaping </w:t>
      </w:r>
      <w:r w:rsidR="000205A4" w:rsidRPr="005C48B3">
        <w:t>self-enhancement manifestations</w:t>
      </w:r>
      <w:r w:rsidR="000205A4" w:rsidRPr="005C48B3">
        <w:rPr>
          <w:rFonts w:hint="eastAsia"/>
        </w:rPr>
        <w:t xml:space="preserve"> are positively related to those shaping wellbeing. </w:t>
      </w:r>
      <w:r w:rsidR="00F4341B" w:rsidRPr="005C48B3" w:rsidDel="003A6DF3">
        <w:t>To concretize</w:t>
      </w:r>
      <w:r w:rsidR="005A3E18" w:rsidRPr="005C48B3">
        <w:t xml:space="preserve"> th</w:t>
      </w:r>
      <w:r w:rsidR="000205A4" w:rsidRPr="005C48B3">
        <w:rPr>
          <w:rFonts w:hint="eastAsia"/>
        </w:rPr>
        <w:t>ese</w:t>
      </w:r>
      <w:r w:rsidR="005A3E18" w:rsidRPr="005C48B3">
        <w:t xml:space="preserve"> finding</w:t>
      </w:r>
      <w:r w:rsidR="000205A4" w:rsidRPr="005C48B3">
        <w:rPr>
          <w:rFonts w:hint="eastAsia"/>
        </w:rPr>
        <w:t>s</w:t>
      </w:r>
      <w:r w:rsidR="00F4341B" w:rsidRPr="005C48B3" w:rsidDel="003A6DF3">
        <w:t xml:space="preserve">, </w:t>
      </w:r>
      <w:r w:rsidR="00F4341B" w:rsidRPr="005C48B3" w:rsidDel="003A6DF3">
        <w:rPr>
          <w:rFonts w:hint="eastAsia"/>
        </w:rPr>
        <w:t>genes</w:t>
      </w:r>
      <w:r w:rsidR="000205A4" w:rsidRPr="005C48B3">
        <w:rPr>
          <w:rFonts w:hint="eastAsia"/>
        </w:rPr>
        <w:t xml:space="preserve"> and environments</w:t>
      </w:r>
      <w:r w:rsidR="00F4341B" w:rsidRPr="005C48B3" w:rsidDel="003A6DF3">
        <w:rPr>
          <w:rFonts w:hint="eastAsia"/>
        </w:rPr>
        <w:t xml:space="preserve"> that </w:t>
      </w:r>
      <w:r w:rsidR="00F4341B" w:rsidRPr="005C48B3" w:rsidDel="003A6DF3">
        <w:t>contribute to self-positivity</w:t>
      </w:r>
      <w:r w:rsidR="00F4341B" w:rsidRPr="005C48B3" w:rsidDel="003A6DF3">
        <w:rPr>
          <w:rFonts w:hint="eastAsia"/>
        </w:rPr>
        <w:t xml:space="preserve"> could also </w:t>
      </w:r>
      <w:r w:rsidR="00F4341B" w:rsidRPr="005C48B3" w:rsidDel="003A6DF3">
        <w:t>contribute</w:t>
      </w:r>
      <w:r w:rsidR="00F4341B" w:rsidRPr="005C48B3" w:rsidDel="003A6DF3">
        <w:rPr>
          <w:rFonts w:hint="eastAsia"/>
        </w:rPr>
        <w:t xml:space="preserve"> </w:t>
      </w:r>
      <w:r w:rsidR="00F4341B" w:rsidRPr="005C48B3" w:rsidDel="003A6DF3">
        <w:t>to feeling satisfied with life</w:t>
      </w:r>
      <w:r w:rsidR="0031675E" w:rsidRPr="005C48B3">
        <w:t xml:space="preserve"> and happy</w:t>
      </w:r>
      <w:r w:rsidR="00F4341B" w:rsidRPr="005C48B3" w:rsidDel="003A6DF3">
        <w:rPr>
          <w:rFonts w:hint="eastAsia"/>
        </w:rPr>
        <w:t xml:space="preserve">. </w:t>
      </w:r>
      <w:r w:rsidR="00CD28B3" w:rsidRPr="005C48B3">
        <w:t xml:space="preserve">Taken </w:t>
      </w:r>
      <w:r w:rsidR="00CD28B3" w:rsidRPr="005C48B3">
        <w:rPr>
          <w:rFonts w:hint="eastAsia"/>
        </w:rPr>
        <w:t>together, our finding</w:t>
      </w:r>
      <w:r w:rsidR="00CD28B3" w:rsidRPr="005C48B3">
        <w:t>s</w:t>
      </w:r>
      <w:r w:rsidR="00CD28B3" w:rsidRPr="005C48B3">
        <w:rPr>
          <w:rFonts w:hint="eastAsia"/>
        </w:rPr>
        <w:t xml:space="preserve"> </w:t>
      </w:r>
      <w:r w:rsidR="00CD28B3" w:rsidRPr="005C48B3">
        <w:t>bolster</w:t>
      </w:r>
      <w:r w:rsidR="00CD28B3" w:rsidRPr="005C48B3">
        <w:rPr>
          <w:rFonts w:hint="eastAsia"/>
        </w:rPr>
        <w:t xml:space="preserve"> the positive relation between </w:t>
      </w:r>
      <w:r w:rsidR="00CD28B3" w:rsidRPr="005C48B3">
        <w:t>self-enhancement</w:t>
      </w:r>
      <w:r w:rsidR="00CD28B3" w:rsidRPr="005C48B3">
        <w:rPr>
          <w:rFonts w:hint="eastAsia"/>
        </w:rPr>
        <w:t xml:space="preserve"> and wellbeing, and further reveal a</w:t>
      </w:r>
      <w:r w:rsidR="00CD28B3" w:rsidRPr="005C48B3">
        <w:t xml:space="preserve"> possible</w:t>
      </w:r>
      <w:r w:rsidR="00CD28B3" w:rsidRPr="005C48B3">
        <w:rPr>
          <w:rFonts w:hint="eastAsia"/>
        </w:rPr>
        <w:t xml:space="preserve"> etiological mechanism for this relation</w:t>
      </w:r>
      <w:r w:rsidR="00CD28B3" w:rsidRPr="005C48B3">
        <w:t xml:space="preserve">. </w:t>
      </w:r>
    </w:p>
    <w:p w14:paraId="6CE4D473" w14:textId="7BD64687" w:rsidR="00664320" w:rsidRDefault="00CD28B3" w:rsidP="00ED3522">
      <w:pPr>
        <w:spacing w:line="480" w:lineRule="exact"/>
        <w:ind w:firstLine="425"/>
      </w:pPr>
      <w:r>
        <w:t xml:space="preserve">Nonetheless, </w:t>
      </w:r>
      <w:r w:rsidR="008968CE">
        <w:t>we cannot rule out the possibility</w:t>
      </w:r>
      <w:r w:rsidR="00461CCC">
        <w:t xml:space="preserve"> of other influences at work. </w:t>
      </w:r>
      <w:r w:rsidR="00B55557">
        <w:rPr>
          <w:rFonts w:hint="eastAsia"/>
        </w:rPr>
        <w:t>Besides</w:t>
      </w:r>
      <w:r w:rsidR="00AA56FC">
        <w:rPr>
          <w:rFonts w:hint="eastAsia"/>
        </w:rPr>
        <w:t xml:space="preserve"> </w:t>
      </w:r>
      <w:r w:rsidR="00D9132F">
        <w:t>common</w:t>
      </w:r>
      <w:r w:rsidR="00AA56FC">
        <w:rPr>
          <w:rFonts w:hint="eastAsia"/>
        </w:rPr>
        <w:t xml:space="preserve"> genes and environments</w:t>
      </w:r>
      <w:r w:rsidR="00B55557">
        <w:rPr>
          <w:rFonts w:hint="eastAsia"/>
        </w:rPr>
        <w:t>,</w:t>
      </w:r>
      <w:r w:rsidR="00857B10">
        <w:t xml:space="preserve"> </w:t>
      </w:r>
      <w:r w:rsidR="00AA56FC">
        <w:rPr>
          <w:rFonts w:hint="eastAsia"/>
        </w:rPr>
        <w:t xml:space="preserve">other </w:t>
      </w:r>
      <w:r w:rsidR="00461CCC">
        <w:t>factors</w:t>
      </w:r>
      <w:r w:rsidR="00AA56FC">
        <w:rPr>
          <w:rFonts w:hint="eastAsia"/>
        </w:rPr>
        <w:t xml:space="preserve"> may increase </w:t>
      </w:r>
      <w:r w:rsidR="000205A4">
        <w:t>the resemblance between self-enhancement and well-being</w:t>
      </w:r>
      <w:r w:rsidR="00D9132F">
        <w:t xml:space="preserve"> on phenotypic, </w:t>
      </w:r>
      <w:r w:rsidR="00F70EC4">
        <w:t>genetic, or environmental level</w:t>
      </w:r>
      <w:r w:rsidR="000205A4">
        <w:t>. For example</w:t>
      </w:r>
      <w:r w:rsidR="00374EB1">
        <w:t>, as</w:t>
      </w:r>
      <w:r w:rsidR="000205A4">
        <w:t xml:space="preserve"> six of our seven measures were self-report, it is possible that </w:t>
      </w:r>
      <w:r w:rsidR="00332DB8">
        <w:t xml:space="preserve">individuals’ </w:t>
      </w:r>
      <w:r w:rsidR="000205A4">
        <w:t>response style</w:t>
      </w:r>
      <w:r w:rsidR="00332DB8">
        <w:t>s (</w:t>
      </w:r>
      <w:r w:rsidR="00C85CD7">
        <w:t xml:space="preserve">e.g., </w:t>
      </w:r>
      <w:r w:rsidR="00332DB8">
        <w:t>acquiescence or extrem</w:t>
      </w:r>
      <w:r w:rsidR="00C85CD7">
        <w:t>ity</w:t>
      </w:r>
      <w:r w:rsidR="00332DB8">
        <w:t>)</w:t>
      </w:r>
      <w:r w:rsidR="00C85CD7">
        <w:t xml:space="preserve">, which could implicate all the self-report measures, </w:t>
      </w:r>
      <w:r w:rsidR="00374EB1">
        <w:t>inflated</w:t>
      </w:r>
      <w:r w:rsidR="00C85CD7">
        <w:t xml:space="preserve"> the </w:t>
      </w:r>
      <w:r w:rsidR="00051269">
        <w:t xml:space="preserve">phenotypic correlation </w:t>
      </w:r>
      <w:r w:rsidR="00C85CD7">
        <w:t xml:space="preserve">between self-enhancement and well-being. </w:t>
      </w:r>
      <w:r w:rsidR="00F96FFF">
        <w:t>Because</w:t>
      </w:r>
      <w:r w:rsidR="00356C9F">
        <w:t xml:space="preserve"> </w:t>
      </w:r>
      <w:r w:rsidR="00AB6746">
        <w:t>r</w:t>
      </w:r>
      <w:r w:rsidR="00C85CD7">
        <w:t xml:space="preserve">esponse styles </w:t>
      </w:r>
      <w:r w:rsidR="00D17E90">
        <w:t>are</w:t>
      </w:r>
      <w:r w:rsidR="006E0D3E">
        <w:t xml:space="preserve"> </w:t>
      </w:r>
      <w:r w:rsidR="00F85461">
        <w:t>partly heritable</w:t>
      </w:r>
      <w:r w:rsidR="006E0D3E">
        <w:t xml:space="preserve"> (Melchers et al., 2018)</w:t>
      </w:r>
      <w:r w:rsidR="00F85461">
        <w:t xml:space="preserve">, </w:t>
      </w:r>
      <w:r w:rsidR="00AB6746">
        <w:t>the genetic factors</w:t>
      </w:r>
      <w:r w:rsidR="006E0D3E">
        <w:t xml:space="preserve"> </w:t>
      </w:r>
      <w:r w:rsidR="00606A67">
        <w:t xml:space="preserve">underlying response styles </w:t>
      </w:r>
      <w:r w:rsidR="00AB6746">
        <w:t>may</w:t>
      </w:r>
      <w:r w:rsidR="000C103A">
        <w:t xml:space="preserve"> concurrently</w:t>
      </w:r>
      <w:r w:rsidR="00AB6746">
        <w:t xml:space="preserve"> </w:t>
      </w:r>
      <w:r w:rsidR="000C103A">
        <w:t xml:space="preserve">account </w:t>
      </w:r>
      <w:r w:rsidR="000C103A">
        <w:lastRenderedPageBreak/>
        <w:t xml:space="preserve">for </w:t>
      </w:r>
      <w:r w:rsidR="00461CCC">
        <w:t>a portion</w:t>
      </w:r>
      <w:r w:rsidR="000C103A">
        <w:t xml:space="preserve"> of the individual difference</w:t>
      </w:r>
      <w:r w:rsidR="008E7609">
        <w:t>s</w:t>
      </w:r>
      <w:r w:rsidR="000C103A">
        <w:t xml:space="preserve"> in </w:t>
      </w:r>
      <w:r w:rsidR="008E7609">
        <w:t xml:space="preserve">both </w:t>
      </w:r>
      <w:r w:rsidR="000C103A">
        <w:t>self-enhancement and wellbeing</w:t>
      </w:r>
      <w:r w:rsidR="008E7609">
        <w:t xml:space="preserve"> measures</w:t>
      </w:r>
      <w:r w:rsidR="000C103A">
        <w:t xml:space="preserve">, </w:t>
      </w:r>
      <w:r w:rsidR="008E7609">
        <w:t xml:space="preserve">which could </w:t>
      </w:r>
      <w:r w:rsidR="00E25E88">
        <w:t xml:space="preserve">then </w:t>
      </w:r>
      <w:r w:rsidR="008E7609">
        <w:t xml:space="preserve">increase </w:t>
      </w:r>
      <w:r w:rsidR="00606A67">
        <w:t xml:space="preserve">the genetic </w:t>
      </w:r>
      <w:r w:rsidR="00E25E88">
        <w:t>similari</w:t>
      </w:r>
      <w:r w:rsidR="000165EB">
        <w:t>t</w:t>
      </w:r>
      <w:r w:rsidR="00E25E88">
        <w:t>y</w:t>
      </w:r>
      <w:r w:rsidR="000205A4">
        <w:t xml:space="preserve"> between </w:t>
      </w:r>
      <w:r w:rsidR="0080526C">
        <w:t>self-enhancement and well</w:t>
      </w:r>
      <w:r w:rsidR="000205A4">
        <w:t xml:space="preserve">being. </w:t>
      </w:r>
      <w:r w:rsidR="00ED3522">
        <w:t>By</w:t>
      </w:r>
      <w:r w:rsidR="00606A67">
        <w:t xml:space="preserve"> </w:t>
      </w:r>
      <w:r w:rsidR="008E7609">
        <w:t>the same logic</w:t>
      </w:r>
      <w:r w:rsidR="008D11D9">
        <w:t xml:space="preserve">, </w:t>
      </w:r>
      <w:r w:rsidR="008E7609">
        <w:t xml:space="preserve">response styles, which are also influenced by non-shared environments (Melchers et al., 2018), may amplify </w:t>
      </w:r>
      <w:r w:rsidR="008D11D9">
        <w:t xml:space="preserve">the </w:t>
      </w:r>
      <w:r w:rsidR="008E7609">
        <w:t xml:space="preserve">non-shared </w:t>
      </w:r>
      <w:r w:rsidR="008D11D9">
        <w:t>environmental correla</w:t>
      </w:r>
      <w:r w:rsidR="00D9132F">
        <w:t>tion</w:t>
      </w:r>
      <w:r w:rsidR="008D11D9">
        <w:t xml:space="preserve"> </w:t>
      </w:r>
      <w:r w:rsidR="00332DB8">
        <w:rPr>
          <w:rFonts w:eastAsia="Helvetica" w:hint="eastAsia"/>
          <w:iCs/>
          <w:lang w:bidi="ar"/>
        </w:rPr>
        <w:t>between self-enhancement and wellbeing</w:t>
      </w:r>
      <w:r w:rsidR="000205A4">
        <w:t xml:space="preserve">. </w:t>
      </w:r>
      <w:r w:rsidR="008968CE">
        <w:t>Fu</w:t>
      </w:r>
      <w:r w:rsidR="000205A4">
        <w:t xml:space="preserve">ture </w:t>
      </w:r>
      <w:r w:rsidR="00ED3522">
        <w:t xml:space="preserve">investigations would </w:t>
      </w:r>
      <w:r w:rsidR="008968CE">
        <w:t xml:space="preserve">do well </w:t>
      </w:r>
      <w:r w:rsidR="000205A4">
        <w:t>to control for response style</w:t>
      </w:r>
      <w:r>
        <w:t>s</w:t>
      </w:r>
      <w:r w:rsidR="000205A4">
        <w:t>.</w:t>
      </w:r>
      <w:r w:rsidR="009A2F47">
        <w:rPr>
          <w:rFonts w:hint="eastAsia"/>
        </w:rPr>
        <w:t xml:space="preserve"> </w:t>
      </w:r>
    </w:p>
    <w:p w14:paraId="4FEEA195" w14:textId="77777777" w:rsidR="009B244D" w:rsidRDefault="00F4341B" w:rsidP="00D17E90">
      <w:pPr>
        <w:spacing w:line="480" w:lineRule="exact"/>
        <w:outlineLvl w:val="0"/>
        <w:rPr>
          <w:b/>
        </w:rPr>
      </w:pPr>
      <w:r>
        <w:rPr>
          <w:b/>
        </w:rPr>
        <w:t>Limitations</w:t>
      </w:r>
    </w:p>
    <w:p w14:paraId="6C109570" w14:textId="7E93AAA9" w:rsidR="00870031" w:rsidRDefault="00F4341B" w:rsidP="00ED3522">
      <w:pPr>
        <w:spacing w:line="480" w:lineRule="exact"/>
        <w:ind w:firstLine="720"/>
      </w:pPr>
      <w:r>
        <w:t>We acknowledge limitations of our research and point to empirical directions</w:t>
      </w:r>
      <w:r>
        <w:rPr>
          <w:rFonts w:hint="eastAsia"/>
        </w:rPr>
        <w:t xml:space="preserve">. </w:t>
      </w:r>
      <w:r w:rsidR="00346CFF">
        <w:t xml:space="preserve">First, </w:t>
      </w:r>
      <w:r>
        <w:rPr>
          <w:rFonts w:hint="eastAsia"/>
        </w:rPr>
        <w:t xml:space="preserve">we sampled in </w:t>
      </w:r>
      <w:r>
        <w:t>a single</w:t>
      </w:r>
      <w:r>
        <w:rPr>
          <w:rFonts w:hint="eastAsia"/>
        </w:rPr>
        <w:t xml:space="preserve"> culture. </w:t>
      </w:r>
      <w:r w:rsidR="001637D0">
        <w:t xml:space="preserve">Follow-up </w:t>
      </w:r>
      <w:r w:rsidR="00ED3522">
        <w:t>studies would need</w:t>
      </w:r>
      <w:r w:rsidR="001637D0">
        <w:t xml:space="preserve"> </w:t>
      </w:r>
      <w:r>
        <w:t>to expand the scope and generalizability of the current findings by sampling in a variety of cultures, a very challenging goal to implement in genetics research due to forbidding costs</w:t>
      </w:r>
      <w:r>
        <w:rPr>
          <w:rFonts w:hint="eastAsia"/>
        </w:rPr>
        <w:t>.</w:t>
      </w:r>
      <w:r w:rsidR="00FF37EB">
        <w:t xml:space="preserve"> Second</w:t>
      </w:r>
      <w:r>
        <w:rPr>
          <w:rFonts w:hint="eastAsia"/>
        </w:rPr>
        <w:t xml:space="preserve">, we used the classic ACE models, which treated genetic and environmental effects as </w:t>
      </w:r>
      <w:r>
        <w:t>independent</w:t>
      </w:r>
      <w:r>
        <w:rPr>
          <w:rFonts w:hint="eastAsia"/>
        </w:rPr>
        <w:t xml:space="preserve">. This overlooks the possibility that genetic factors may correlate or interact with environmental factors in complex ways (Purcell, 2002). Such gene-environment correlations or interactions are </w:t>
      </w:r>
      <w:r>
        <w:t>critical</w:t>
      </w:r>
      <w:r>
        <w:rPr>
          <w:rFonts w:hint="eastAsia"/>
        </w:rPr>
        <w:t xml:space="preserve"> for gaining nuanced knowledge about the origins of </w:t>
      </w:r>
      <w:r>
        <w:t>self-enhancement</w:t>
      </w:r>
      <w:r>
        <w:rPr>
          <w:rFonts w:hint="eastAsia"/>
        </w:rPr>
        <w:t xml:space="preserve">. Future </w:t>
      </w:r>
      <w:r w:rsidR="00346CFF">
        <w:t>investigations</w:t>
      </w:r>
      <w:r w:rsidR="00346CFF">
        <w:rPr>
          <w:rFonts w:hint="eastAsia"/>
        </w:rPr>
        <w:t xml:space="preserve"> </w:t>
      </w:r>
      <w:r>
        <w:t>might</w:t>
      </w:r>
      <w:r>
        <w:rPr>
          <w:rFonts w:hint="eastAsia"/>
        </w:rPr>
        <w:t xml:space="preserve"> include measures </w:t>
      </w:r>
      <w:r>
        <w:t xml:space="preserve">of environments (e.g., economic conditions; Bianchi, 2014) </w:t>
      </w:r>
      <w:r>
        <w:rPr>
          <w:rFonts w:hint="eastAsia"/>
        </w:rPr>
        <w:t xml:space="preserve">to test </w:t>
      </w:r>
      <w:r>
        <w:t xml:space="preserve">for </w:t>
      </w:r>
      <w:r>
        <w:rPr>
          <w:rFonts w:hint="eastAsia"/>
        </w:rPr>
        <w:t xml:space="preserve">potential interactions or correlations with genes. </w:t>
      </w:r>
      <w:r w:rsidR="00FF37EB">
        <w:t>Third</w:t>
      </w:r>
      <w:r w:rsidR="00870031" w:rsidRPr="00BD57E5">
        <w:rPr>
          <w:rFonts w:hint="eastAsia"/>
        </w:rPr>
        <w:t xml:space="preserve">, </w:t>
      </w:r>
      <w:r w:rsidR="00870031" w:rsidRPr="00BD57E5">
        <w:t>our</w:t>
      </w:r>
      <w:r w:rsidR="00870031" w:rsidRPr="00BD57E5">
        <w:rPr>
          <w:rFonts w:hint="eastAsia"/>
        </w:rPr>
        <w:t xml:space="preserve"> sample was moderate</w:t>
      </w:r>
      <w:r w:rsidR="00870031" w:rsidRPr="00BD57E5">
        <w:t xml:space="preserve"> in size. This </w:t>
      </w:r>
      <w:r w:rsidR="00870031">
        <w:t>entailed</w:t>
      </w:r>
      <w:r w:rsidR="00870031" w:rsidRPr="00BD57E5">
        <w:t xml:space="preserve"> drawbacks, including wide confidence intervals for model parameters and, more important, limited </w:t>
      </w:r>
      <w:r w:rsidR="00870031" w:rsidRPr="00BD57E5">
        <w:rPr>
          <w:rFonts w:hint="eastAsia"/>
        </w:rPr>
        <w:t xml:space="preserve">statistical power to detect </w:t>
      </w:r>
      <w:r w:rsidR="00C91CCE">
        <w:t>small</w:t>
      </w:r>
      <w:r w:rsidR="00075D64">
        <w:t xml:space="preserve"> </w:t>
      </w:r>
      <w:r w:rsidR="00B94BFA">
        <w:t xml:space="preserve">genetic or environmental effects, especially </w:t>
      </w:r>
      <w:r w:rsidR="00870031" w:rsidRPr="00BD57E5">
        <w:rPr>
          <w:rFonts w:hint="eastAsia"/>
        </w:rPr>
        <w:t>shared environmental effects</w:t>
      </w:r>
      <w:r w:rsidR="00870031" w:rsidRPr="00BD57E5">
        <w:t xml:space="preserve"> </w:t>
      </w:r>
      <w:r w:rsidR="00870031" w:rsidRPr="00BD57E5">
        <w:rPr>
          <w:rFonts w:eastAsia="Helvetica"/>
          <w:iCs/>
          <w:lang w:bidi="ar"/>
        </w:rPr>
        <w:t>(Verhulst, 2017)</w:t>
      </w:r>
      <w:r w:rsidR="00870031" w:rsidRPr="00BD57E5">
        <w:t xml:space="preserve">. Indeed, </w:t>
      </w:r>
      <w:r w:rsidR="00294CF0">
        <w:t xml:space="preserve">the magnitude of </w:t>
      </w:r>
      <w:r w:rsidR="00FF37EB">
        <w:t>several</w:t>
      </w:r>
      <w:r w:rsidR="00294CF0">
        <w:t xml:space="preserve"> genetic and shared environmental effects, especially those </w:t>
      </w:r>
      <w:r w:rsidR="00075D64">
        <w:t xml:space="preserve">originated </w:t>
      </w:r>
      <w:r w:rsidR="00294CF0">
        <w:t>from factors specific to a particular self-enhancement manifestation (Table 4, 5), w</w:t>
      </w:r>
      <w:r w:rsidR="00075D64">
        <w:t>as</w:t>
      </w:r>
      <w:r w:rsidR="00294CF0">
        <w:t xml:space="preserve"> below the minim</w:t>
      </w:r>
      <w:r w:rsidR="00FF37EB">
        <w:t>al</w:t>
      </w:r>
      <w:r w:rsidR="00294CF0">
        <w:t xml:space="preserve"> effect size (.14) </w:t>
      </w:r>
      <w:r w:rsidR="00075D64">
        <w:t xml:space="preserve">that we can detect with </w:t>
      </w:r>
      <w:r w:rsidR="00C91CCE">
        <w:t>sufficient</w:t>
      </w:r>
      <w:r w:rsidR="00075D64">
        <w:t xml:space="preserve"> </w:t>
      </w:r>
      <w:r w:rsidR="00294CF0">
        <w:t>power</w:t>
      </w:r>
      <w:r w:rsidR="00075D64">
        <w:t>.</w:t>
      </w:r>
      <w:r w:rsidR="00294CF0">
        <w:t xml:space="preserve"> </w:t>
      </w:r>
      <w:r w:rsidR="00870031" w:rsidRPr="00BD57E5">
        <w:t xml:space="preserve">Hence, the estimates of </w:t>
      </w:r>
      <w:r w:rsidR="00307A0C">
        <w:t xml:space="preserve">these genetic and </w:t>
      </w:r>
      <w:r w:rsidR="00870031" w:rsidRPr="00BD57E5">
        <w:t xml:space="preserve">shared environmental effects should be treated with caution. </w:t>
      </w:r>
      <w:r w:rsidR="00870031" w:rsidRPr="00BD57E5">
        <w:rPr>
          <w:rFonts w:hint="eastAsia"/>
        </w:rPr>
        <w:t xml:space="preserve">Future </w:t>
      </w:r>
      <w:r w:rsidR="00ED3522">
        <w:t xml:space="preserve">studies would </w:t>
      </w:r>
      <w:r w:rsidR="00870031" w:rsidRPr="00BD57E5">
        <w:t xml:space="preserve">need </w:t>
      </w:r>
      <w:r w:rsidR="00870031" w:rsidRPr="00BD57E5">
        <w:rPr>
          <w:rFonts w:hint="eastAsia"/>
        </w:rPr>
        <w:t xml:space="preserve">to replicate our </w:t>
      </w:r>
      <w:r w:rsidR="00870031" w:rsidRPr="00BD57E5">
        <w:t xml:space="preserve">findings with </w:t>
      </w:r>
      <w:r w:rsidR="00870031" w:rsidRPr="00BD57E5">
        <w:rPr>
          <w:rFonts w:hint="eastAsia"/>
        </w:rPr>
        <w:t>larger samples.</w:t>
      </w:r>
      <w:r w:rsidR="00870031" w:rsidRPr="00BD57E5">
        <w:rPr>
          <w:rFonts w:eastAsia="Helvetica"/>
          <w:iCs/>
          <w:lang w:bidi="ar"/>
        </w:rPr>
        <w:t xml:space="preserve"> </w:t>
      </w:r>
    </w:p>
    <w:p w14:paraId="45F4595F" w14:textId="77777777" w:rsidR="009B244D" w:rsidRDefault="00F4341B" w:rsidP="00D17E90">
      <w:pPr>
        <w:spacing w:line="480" w:lineRule="exact"/>
        <w:outlineLvl w:val="0"/>
        <w:rPr>
          <w:b/>
        </w:rPr>
      </w:pPr>
      <w:r>
        <w:rPr>
          <w:b/>
        </w:rPr>
        <w:t>Conclusion</w:t>
      </w:r>
    </w:p>
    <w:p w14:paraId="4A1561E9" w14:textId="796C080D" w:rsidR="009B244D" w:rsidRDefault="00F4341B">
      <w:pPr>
        <w:spacing w:line="480" w:lineRule="exact"/>
        <w:ind w:firstLine="720"/>
      </w:pPr>
      <w:r>
        <w:t>W</w:t>
      </w:r>
      <w:r>
        <w:rPr>
          <w:rFonts w:hint="eastAsia"/>
        </w:rPr>
        <w:t xml:space="preserve">e identified a core trait </w:t>
      </w:r>
      <w:r>
        <w:t>underlying</w:t>
      </w:r>
      <w:r>
        <w:rPr>
          <w:rFonts w:hint="eastAsia"/>
        </w:rPr>
        <w:t xml:space="preserve"> various</w:t>
      </w:r>
      <w:r>
        <w:t xml:space="preserve"> self-enhancement manifestations</w:t>
      </w:r>
      <w:r w:rsidR="00346CFF">
        <w:t>,</w:t>
      </w:r>
      <w:r>
        <w:t xml:space="preserve"> and</w:t>
      </w:r>
      <w:r>
        <w:rPr>
          <w:rFonts w:hint="eastAsia"/>
        </w:rPr>
        <w:t xml:space="preserve"> </w:t>
      </w:r>
      <w:r>
        <w:t>demonstrated</w:t>
      </w:r>
      <w:r>
        <w:rPr>
          <w:rFonts w:hint="eastAsia"/>
        </w:rPr>
        <w:t xml:space="preserve"> </w:t>
      </w:r>
      <w:r w:rsidR="002856CE">
        <w:t>genetic and environmental composition of</w:t>
      </w:r>
      <w:r w:rsidR="002856CE">
        <w:rPr>
          <w:rFonts w:hint="eastAsia"/>
        </w:rPr>
        <w:t xml:space="preserve"> </w:t>
      </w:r>
      <w:r>
        <w:rPr>
          <w:rFonts w:hint="eastAsia"/>
        </w:rPr>
        <w:t>th</w:t>
      </w:r>
      <w:r>
        <w:t>is</w:t>
      </w:r>
      <w:r>
        <w:rPr>
          <w:rFonts w:hint="eastAsia"/>
        </w:rPr>
        <w:t xml:space="preserve"> latent core. In addition, we</w:t>
      </w:r>
      <w:r>
        <w:t xml:space="preserve"> found</w:t>
      </w:r>
      <w:r>
        <w:rPr>
          <w:rFonts w:hint="eastAsia"/>
        </w:rPr>
        <w:t xml:space="preserve"> </w:t>
      </w:r>
      <w:r>
        <w:rPr>
          <w:rFonts w:hint="eastAsia"/>
        </w:rPr>
        <w:lastRenderedPageBreak/>
        <w:t xml:space="preserve">that </w:t>
      </w:r>
      <w:r>
        <w:t xml:space="preserve">self-enhancement is associated with </w:t>
      </w:r>
      <w:r w:rsidR="000125E7">
        <w:t xml:space="preserve">psychological </w:t>
      </w:r>
      <w:r>
        <w:t xml:space="preserve">wellbeing </w:t>
      </w:r>
      <w:r w:rsidR="00237374">
        <w:t xml:space="preserve">possibly due to </w:t>
      </w:r>
      <w:r>
        <w:t xml:space="preserve">similar genetic and </w:t>
      </w:r>
      <w:r>
        <w:rPr>
          <w:rFonts w:hint="eastAsia"/>
        </w:rPr>
        <w:t xml:space="preserve">environmental </w:t>
      </w:r>
      <w:r>
        <w:t>bases.</w:t>
      </w:r>
      <w:r>
        <w:rPr>
          <w:rFonts w:hint="eastAsia"/>
        </w:rPr>
        <w:t xml:space="preserve"> The findings advance understanding </w:t>
      </w:r>
      <w:r>
        <w:t>of</w:t>
      </w:r>
      <w:r>
        <w:rPr>
          <w:rFonts w:hint="eastAsia"/>
        </w:rPr>
        <w:t xml:space="preserve"> the origins</w:t>
      </w:r>
      <w:r w:rsidR="008847A1">
        <w:t xml:space="preserve"> and</w:t>
      </w:r>
      <w:r>
        <w:rPr>
          <w:rFonts w:hint="eastAsia"/>
        </w:rPr>
        <w:t xml:space="preserve"> correlates of self-</w:t>
      </w:r>
      <w:r>
        <w:t>enhancement</w:t>
      </w:r>
      <w:r>
        <w:rPr>
          <w:rFonts w:hint="eastAsia"/>
        </w:rPr>
        <w:t>.</w:t>
      </w:r>
    </w:p>
    <w:p w14:paraId="3159FDAA" w14:textId="77777777" w:rsidR="009B244D" w:rsidRDefault="009B244D">
      <w:pPr>
        <w:spacing w:line="480" w:lineRule="exact"/>
        <w:ind w:firstLineChars="200" w:firstLine="480"/>
      </w:pPr>
    </w:p>
    <w:p w14:paraId="64652A50" w14:textId="77777777" w:rsidR="009B244D" w:rsidRDefault="00F4341B">
      <w:pPr>
        <w:rPr>
          <w:lang w:val="en-GB"/>
        </w:rPr>
      </w:pPr>
      <w:r>
        <w:rPr>
          <w:lang w:val="en-GB"/>
        </w:rPr>
        <w:br w:type="page"/>
      </w:r>
    </w:p>
    <w:p w14:paraId="18152AD0" w14:textId="77777777" w:rsidR="009B244D" w:rsidRPr="002747A1" w:rsidRDefault="00F4341B" w:rsidP="00D17E90">
      <w:pPr>
        <w:spacing w:line="480" w:lineRule="exact"/>
        <w:jc w:val="center"/>
        <w:outlineLvl w:val="0"/>
        <w:rPr>
          <w:bCs/>
          <w:lang w:val="en-GB"/>
        </w:rPr>
      </w:pPr>
      <w:r w:rsidRPr="002747A1">
        <w:rPr>
          <w:bCs/>
          <w:lang w:val="en-GB"/>
        </w:rPr>
        <w:lastRenderedPageBreak/>
        <w:t>References</w:t>
      </w:r>
    </w:p>
    <w:p w14:paraId="043DBB81" w14:textId="772140DD" w:rsidR="008501B8" w:rsidRPr="002747A1" w:rsidRDefault="00F4341B" w:rsidP="00D17E90">
      <w:pPr>
        <w:spacing w:line="480" w:lineRule="exact"/>
        <w:ind w:hanging="720"/>
        <w:outlineLvl w:val="0"/>
        <w:rPr>
          <w:color w:val="000000" w:themeColor="text1"/>
          <w:lang w:val="de-DE"/>
        </w:rPr>
      </w:pPr>
      <w:r>
        <w:rPr>
          <w:color w:val="000000" w:themeColor="text1"/>
          <w:lang w:val="en-GB"/>
        </w:rPr>
        <w:t xml:space="preserve">Akaike, H. (1987). Factor-analysis and aic. </w:t>
      </w:r>
      <w:r w:rsidRPr="002747A1">
        <w:rPr>
          <w:i/>
          <w:color w:val="000000" w:themeColor="text1"/>
          <w:lang w:val="de-DE"/>
        </w:rPr>
        <w:t>Psychometrika, 52</w:t>
      </w:r>
      <w:r w:rsidRPr="002747A1">
        <w:rPr>
          <w:color w:val="000000" w:themeColor="text1"/>
          <w:lang w:val="de-DE"/>
        </w:rPr>
        <w:t>, 317-332.</w:t>
      </w:r>
      <w:r w:rsidR="008501B8" w:rsidRPr="002747A1">
        <w:rPr>
          <w:color w:val="000000" w:themeColor="text1"/>
          <w:lang w:val="de-DE"/>
        </w:rPr>
        <w:t xml:space="preserve"> </w:t>
      </w:r>
      <w:hyperlink r:id="rId16" w:tgtFrame="_blank" w:history="1">
        <w:r w:rsidR="008501B8" w:rsidRPr="002747A1">
          <w:rPr>
            <w:rStyle w:val="Hyperlink"/>
            <w:color w:val="000000" w:themeColor="text1"/>
            <w:u w:val="none"/>
            <w:shd w:val="clear" w:color="auto" w:fill="FFFFFF"/>
            <w:lang w:val="de-DE"/>
          </w:rPr>
          <w:t>doi:10.1007/BF02294359</w:t>
        </w:r>
      </w:hyperlink>
    </w:p>
    <w:p w14:paraId="24AA3D9A" w14:textId="1B883985" w:rsidR="00FD306C" w:rsidRPr="007025FE" w:rsidRDefault="00F4341B">
      <w:pPr>
        <w:spacing w:line="480" w:lineRule="exact"/>
        <w:ind w:hanging="720"/>
        <w:rPr>
          <w:color w:val="000000" w:themeColor="text1"/>
        </w:rPr>
      </w:pPr>
      <w:r w:rsidRPr="002747A1">
        <w:rPr>
          <w:lang w:val="de-DE"/>
        </w:rPr>
        <w:t xml:space="preserve">Alicke, M. D. (1985). </w:t>
      </w:r>
      <w:r>
        <w:t xml:space="preserve">Global self-evaluation as determined by the desirability and controllability of trait adjectives. </w:t>
      </w:r>
      <w:r>
        <w:rPr>
          <w:i/>
        </w:rPr>
        <w:t>Journal of Personality and Social Psychology, 49,</w:t>
      </w:r>
      <w:r>
        <w:t xml:space="preserve"> 1621-1630.</w:t>
      </w:r>
      <w:r w:rsidR="00FD306C">
        <w:t xml:space="preserve"> </w:t>
      </w:r>
      <w:hyperlink r:id="rId17" w:tgtFrame="_blank" w:history="1">
        <w:r w:rsidR="00FD306C" w:rsidRPr="007025FE">
          <w:rPr>
            <w:rStyle w:val="Hyperlink"/>
            <w:color w:val="000000" w:themeColor="text1"/>
            <w:u w:val="none"/>
            <w:shd w:val="clear" w:color="auto" w:fill="FFFFFF"/>
          </w:rPr>
          <w:t>doi</w:t>
        </w:r>
        <w:r w:rsidR="00FD306C">
          <w:rPr>
            <w:rStyle w:val="Hyperlink"/>
            <w:color w:val="000000" w:themeColor="text1"/>
            <w:u w:val="none"/>
            <w:shd w:val="clear" w:color="auto" w:fill="FFFFFF"/>
          </w:rPr>
          <w:t>:</w:t>
        </w:r>
        <w:r w:rsidR="00FD306C" w:rsidRPr="007025FE">
          <w:rPr>
            <w:rStyle w:val="Hyperlink"/>
            <w:color w:val="000000" w:themeColor="text1"/>
            <w:u w:val="none"/>
            <w:shd w:val="clear" w:color="auto" w:fill="FFFFFF"/>
          </w:rPr>
          <w:t>10.1037/0022-3514.49.6.1621</w:t>
        </w:r>
      </w:hyperlink>
    </w:p>
    <w:p w14:paraId="38AF1093" w14:textId="77777777" w:rsidR="009B244D" w:rsidRDefault="00F4341B">
      <w:pPr>
        <w:spacing w:line="480" w:lineRule="exact"/>
        <w:ind w:hanging="720"/>
        <w:rPr>
          <w:rStyle w:val="Hyperlink"/>
          <w:bCs/>
          <w:color w:val="000000"/>
          <w:u w:val="none"/>
        </w:rPr>
      </w:pPr>
      <w:r w:rsidRPr="00EA477F">
        <w:rPr>
          <w:bCs/>
          <w:color w:val="000000"/>
          <w:lang w:val="en-GB"/>
        </w:rPr>
        <w:t xml:space="preserve">Alicke, M. D., &amp; Sedikides, C. (2009). </w:t>
      </w:r>
      <w:r>
        <w:rPr>
          <w:bCs/>
          <w:color w:val="000000"/>
        </w:rPr>
        <w:t xml:space="preserve">Self-enhancement and self-protection: What they are and what they do. </w:t>
      </w:r>
      <w:r>
        <w:rPr>
          <w:bCs/>
          <w:i/>
          <w:color w:val="000000"/>
        </w:rPr>
        <w:t>European Review of Social Psychology, 20</w:t>
      </w:r>
      <w:r>
        <w:rPr>
          <w:bCs/>
          <w:color w:val="000000"/>
        </w:rPr>
        <w:t xml:space="preserve">, 1-48. </w:t>
      </w:r>
      <w:hyperlink r:id="rId18" w:history="1">
        <w:r>
          <w:rPr>
            <w:rStyle w:val="Hyperlink"/>
            <w:bCs/>
            <w:color w:val="000000"/>
            <w:u w:val="none"/>
          </w:rPr>
          <w:t>doi:10.1080/10463280802613866</w:t>
        </w:r>
      </w:hyperlink>
    </w:p>
    <w:p w14:paraId="2F1BA57B" w14:textId="05B386DE" w:rsidR="009B244D" w:rsidRDefault="00F4341B">
      <w:pPr>
        <w:spacing w:line="480" w:lineRule="exact"/>
        <w:ind w:hanging="720"/>
        <w:rPr>
          <w:bCs/>
        </w:rPr>
      </w:pPr>
      <w:r w:rsidRPr="002747A1">
        <w:rPr>
          <w:bCs/>
          <w:lang w:val="en-GB"/>
        </w:rPr>
        <w:t xml:space="preserve">Alicke, M. D., &amp; Sedikides, C. (2011). </w:t>
      </w:r>
      <w:r>
        <w:rPr>
          <w:bCs/>
          <w:i/>
        </w:rPr>
        <w:t>Handbook of self-enhancement and self-protection</w:t>
      </w:r>
      <w:r>
        <w:rPr>
          <w:bCs/>
        </w:rPr>
        <w:t>. New York, NY: Guilford Press.</w:t>
      </w:r>
    </w:p>
    <w:p w14:paraId="5349AF6A" w14:textId="290FC954" w:rsidR="00FF5804" w:rsidRPr="002747A1" w:rsidRDefault="00FF5804" w:rsidP="001236BC">
      <w:pPr>
        <w:spacing w:line="480" w:lineRule="exact"/>
        <w:ind w:hanging="720"/>
        <w:rPr>
          <w:rFonts w:asciiTheme="majorBidi" w:hAnsiTheme="majorBidi" w:cstheme="majorBidi"/>
          <w:bCs/>
          <w:color w:val="000000" w:themeColor="text1"/>
        </w:rPr>
      </w:pPr>
      <w:r w:rsidRPr="002747A1">
        <w:rPr>
          <w:rFonts w:asciiTheme="majorBidi" w:hAnsiTheme="majorBidi" w:cstheme="majorBidi"/>
          <w:color w:val="000000" w:themeColor="text1"/>
          <w:shd w:val="clear" w:color="auto" w:fill="FFFFFF"/>
          <w:lang w:val="en-GB"/>
        </w:rPr>
        <w:t>Alicke, M. D., Zell, E., &amp; Guenther, C. L. (2013). </w:t>
      </w:r>
      <w:r w:rsidRPr="001236BC">
        <w:rPr>
          <w:rFonts w:asciiTheme="majorBidi" w:hAnsiTheme="majorBidi" w:cstheme="majorBidi"/>
          <w:color w:val="000000" w:themeColor="text1"/>
          <w:shd w:val="clear" w:color="auto" w:fill="FFFFFF"/>
        </w:rPr>
        <w:t xml:space="preserve">Social </w:t>
      </w:r>
      <w:r>
        <w:rPr>
          <w:rFonts w:asciiTheme="majorBidi" w:hAnsiTheme="majorBidi" w:cstheme="majorBidi"/>
          <w:color w:val="000000" w:themeColor="text1"/>
          <w:shd w:val="clear" w:color="auto" w:fill="FFFFFF"/>
        </w:rPr>
        <w:t>s</w:t>
      </w:r>
      <w:r w:rsidRPr="001236BC">
        <w:rPr>
          <w:rFonts w:asciiTheme="majorBidi" w:hAnsiTheme="majorBidi" w:cstheme="majorBidi"/>
          <w:color w:val="000000" w:themeColor="text1"/>
          <w:shd w:val="clear" w:color="auto" w:fill="FFFFFF"/>
        </w:rPr>
        <w:t>elf-</w:t>
      </w:r>
      <w:r>
        <w:rPr>
          <w:rFonts w:asciiTheme="majorBidi" w:hAnsiTheme="majorBidi" w:cstheme="majorBidi"/>
          <w:color w:val="000000" w:themeColor="text1"/>
          <w:shd w:val="clear" w:color="auto" w:fill="FFFFFF"/>
        </w:rPr>
        <w:t>a</w:t>
      </w:r>
      <w:r w:rsidRPr="001236BC">
        <w:rPr>
          <w:rFonts w:asciiTheme="majorBidi" w:hAnsiTheme="majorBidi" w:cstheme="majorBidi"/>
          <w:color w:val="000000" w:themeColor="text1"/>
          <w:shd w:val="clear" w:color="auto" w:fill="FFFFFF"/>
        </w:rPr>
        <w:t xml:space="preserve">nalysis. Constructing, </w:t>
      </w:r>
      <w:r>
        <w:rPr>
          <w:rFonts w:asciiTheme="majorBidi" w:hAnsiTheme="majorBidi" w:cstheme="majorBidi"/>
          <w:color w:val="000000" w:themeColor="text1"/>
          <w:shd w:val="clear" w:color="auto" w:fill="FFFFFF"/>
        </w:rPr>
        <w:t>p</w:t>
      </w:r>
      <w:r w:rsidRPr="002747A1">
        <w:rPr>
          <w:rFonts w:asciiTheme="majorBidi" w:hAnsiTheme="majorBidi" w:cstheme="majorBidi"/>
          <w:color w:val="000000" w:themeColor="text1"/>
          <w:shd w:val="clear" w:color="auto" w:fill="FFFFFF"/>
        </w:rPr>
        <w:t xml:space="preserve">rotecting, and </w:t>
      </w:r>
      <w:r>
        <w:rPr>
          <w:rFonts w:asciiTheme="majorBidi" w:hAnsiTheme="majorBidi" w:cstheme="majorBidi"/>
          <w:color w:val="000000" w:themeColor="text1"/>
          <w:shd w:val="clear" w:color="auto" w:fill="FFFFFF"/>
        </w:rPr>
        <w:t>e</w:t>
      </w:r>
      <w:r w:rsidRPr="001236BC">
        <w:rPr>
          <w:rFonts w:asciiTheme="majorBidi" w:hAnsiTheme="majorBidi" w:cstheme="majorBidi"/>
          <w:color w:val="000000" w:themeColor="text1"/>
          <w:shd w:val="clear" w:color="auto" w:fill="FFFFFF"/>
        </w:rPr>
        <w:t xml:space="preserve">nhancing the </w:t>
      </w:r>
      <w:r>
        <w:rPr>
          <w:rFonts w:asciiTheme="majorBidi" w:hAnsiTheme="majorBidi" w:cstheme="majorBidi"/>
          <w:color w:val="000000" w:themeColor="text1"/>
          <w:shd w:val="clear" w:color="auto" w:fill="FFFFFF"/>
        </w:rPr>
        <w:t>s</w:t>
      </w:r>
      <w:r w:rsidRPr="002747A1">
        <w:rPr>
          <w:rFonts w:asciiTheme="majorBidi" w:hAnsiTheme="majorBidi" w:cstheme="majorBidi"/>
          <w:color w:val="000000" w:themeColor="text1"/>
          <w:shd w:val="clear" w:color="auto" w:fill="FFFFFF"/>
        </w:rPr>
        <w:t>elf. </w:t>
      </w:r>
      <w:r w:rsidRPr="002747A1">
        <w:rPr>
          <w:rStyle w:val="Emphasis"/>
          <w:rFonts w:asciiTheme="majorBidi" w:hAnsiTheme="majorBidi" w:cstheme="majorBidi"/>
          <w:color w:val="000000" w:themeColor="text1"/>
          <w:shd w:val="clear" w:color="auto" w:fill="FFFFFF"/>
        </w:rPr>
        <w:t>Advances in Experimental Social Psychology</w:t>
      </w:r>
      <w:r w:rsidRPr="002747A1">
        <w:rPr>
          <w:rFonts w:asciiTheme="majorBidi" w:hAnsiTheme="majorBidi" w:cstheme="majorBidi"/>
          <w:color w:val="000000" w:themeColor="text1"/>
          <w:shd w:val="clear" w:color="auto" w:fill="FFFFFF"/>
        </w:rPr>
        <w:t>, </w:t>
      </w:r>
      <w:r w:rsidRPr="002747A1">
        <w:rPr>
          <w:rStyle w:val="Emphasis"/>
          <w:rFonts w:asciiTheme="majorBidi" w:hAnsiTheme="majorBidi" w:cstheme="majorBidi"/>
          <w:color w:val="000000" w:themeColor="text1"/>
          <w:shd w:val="clear" w:color="auto" w:fill="FFFFFF"/>
        </w:rPr>
        <w:t>48</w:t>
      </w:r>
      <w:r w:rsidRPr="002747A1">
        <w:rPr>
          <w:rFonts w:asciiTheme="majorBidi" w:hAnsiTheme="majorBidi" w:cstheme="majorBidi"/>
          <w:color w:val="000000" w:themeColor="text1"/>
          <w:shd w:val="clear" w:color="auto" w:fill="FFFFFF"/>
        </w:rPr>
        <w:t>, 173-234. </w:t>
      </w:r>
      <w:r>
        <w:rPr>
          <w:rFonts w:asciiTheme="majorBidi" w:hAnsiTheme="majorBidi" w:cstheme="majorBidi"/>
          <w:color w:val="000000" w:themeColor="text1"/>
          <w:shd w:val="clear" w:color="auto" w:fill="FFFFFF"/>
        </w:rPr>
        <w:t>d</w:t>
      </w:r>
      <w:r w:rsidRPr="001236BC">
        <w:rPr>
          <w:rFonts w:asciiTheme="majorBidi" w:hAnsiTheme="majorBidi" w:cstheme="majorBidi"/>
          <w:color w:val="000000" w:themeColor="text1"/>
          <w:shd w:val="clear" w:color="auto" w:fill="FFFFFF"/>
        </w:rPr>
        <w:t>oi</w:t>
      </w:r>
      <w:r>
        <w:rPr>
          <w:rFonts w:asciiTheme="majorBidi" w:hAnsiTheme="majorBidi" w:cstheme="majorBidi"/>
          <w:color w:val="000000" w:themeColor="text1"/>
          <w:shd w:val="clear" w:color="auto" w:fill="FFFFFF"/>
        </w:rPr>
        <w:t>:</w:t>
      </w:r>
      <w:r w:rsidRPr="002747A1">
        <w:rPr>
          <w:rFonts w:asciiTheme="majorBidi" w:hAnsiTheme="majorBidi" w:cstheme="majorBidi"/>
          <w:color w:val="000000" w:themeColor="text1"/>
          <w:shd w:val="clear" w:color="auto" w:fill="FFFFFF"/>
        </w:rPr>
        <w:t>10.1016/B978-0-12-407188-9.00004-1</w:t>
      </w:r>
    </w:p>
    <w:p w14:paraId="52A81D80" w14:textId="77777777" w:rsidR="009B244D" w:rsidRPr="002747A1" w:rsidRDefault="00F4341B">
      <w:pPr>
        <w:spacing w:line="480" w:lineRule="exact"/>
        <w:ind w:hanging="720"/>
        <w:rPr>
          <w:bCs/>
          <w:color w:val="000000" w:themeColor="text1"/>
          <w:lang w:val="en-GB"/>
        </w:rPr>
      </w:pPr>
      <w:r w:rsidRPr="002747A1">
        <w:rPr>
          <w:bCs/>
          <w:color w:val="000000" w:themeColor="text1"/>
          <w:lang w:val="en-GB"/>
        </w:rPr>
        <w:t xml:space="preserve">Bianchi, E. C. (2014). Entering adulthood in a recession tempers later narcissism. </w:t>
      </w:r>
      <w:r w:rsidRPr="002747A1">
        <w:rPr>
          <w:bCs/>
          <w:i/>
          <w:color w:val="000000" w:themeColor="text1"/>
          <w:lang w:val="en-GB"/>
        </w:rPr>
        <w:t>Psychological Science, 25</w:t>
      </w:r>
      <w:r w:rsidRPr="002747A1">
        <w:rPr>
          <w:bCs/>
          <w:color w:val="000000" w:themeColor="text1"/>
          <w:lang w:val="en-GB"/>
        </w:rPr>
        <w:t>, 1429-1437. doi:10.1177/0956797614532818</w:t>
      </w:r>
    </w:p>
    <w:p w14:paraId="16808BB9" w14:textId="77777777" w:rsidR="009B244D" w:rsidRDefault="00F4341B">
      <w:pPr>
        <w:pStyle w:val="NormalWeb"/>
        <w:spacing w:before="0" w:beforeAutospacing="0" w:after="0" w:afterAutospacing="0" w:line="480" w:lineRule="exact"/>
        <w:ind w:hanging="720"/>
        <w:rPr>
          <w:shd w:val="clear" w:color="auto" w:fill="FFFFFF"/>
          <w:lang w:val="en-US"/>
        </w:rPr>
      </w:pPr>
      <w:r>
        <w:rPr>
          <w:shd w:val="clear" w:color="auto" w:fill="FFFFFF"/>
          <w:lang w:val="en-US"/>
        </w:rPr>
        <w:t xml:space="preserve">Biernat, M. (2005). </w:t>
      </w:r>
      <w:r>
        <w:rPr>
          <w:i/>
          <w:shd w:val="clear" w:color="auto" w:fill="FFFFFF"/>
          <w:lang w:val="en-US"/>
        </w:rPr>
        <w:t>Standards and expectancies: Contrast and assimilation in judgments of self and others</w:t>
      </w:r>
      <w:r>
        <w:rPr>
          <w:shd w:val="clear" w:color="auto" w:fill="FFFFFF"/>
          <w:lang w:val="en-US"/>
        </w:rPr>
        <w:t>. New York, NY: Psychology Press.</w:t>
      </w:r>
    </w:p>
    <w:p w14:paraId="5C7CF1FA" w14:textId="77777777" w:rsidR="009B244D" w:rsidRDefault="00F4341B">
      <w:pPr>
        <w:pStyle w:val="NormalWeb"/>
        <w:spacing w:before="0" w:beforeAutospacing="0" w:after="0" w:afterAutospacing="0" w:line="480" w:lineRule="exact"/>
        <w:ind w:hanging="720"/>
        <w:rPr>
          <w:shd w:val="clear" w:color="auto" w:fill="FFFFFF"/>
          <w:lang w:val="en-US"/>
        </w:rPr>
      </w:pPr>
      <w:r w:rsidRPr="00EA477F">
        <w:rPr>
          <w:shd w:val="clear" w:color="auto" w:fill="FFFFFF"/>
        </w:rPr>
        <w:t xml:space="preserve">Boker, S. M., Neale, M. C., Maes, H. H., Wilde, M. J., Spiegel, M., Brick, T. R., … </w:t>
      </w:r>
      <w:r>
        <w:rPr>
          <w:shd w:val="clear" w:color="auto" w:fill="FFFFFF"/>
          <w:lang w:val="en-US"/>
        </w:rPr>
        <w:t xml:space="preserve">&amp; Brandmaier, A. (2012). </w:t>
      </w:r>
      <w:r>
        <w:rPr>
          <w:i/>
          <w:shd w:val="clear" w:color="auto" w:fill="FFFFFF"/>
          <w:lang w:val="en-US"/>
        </w:rPr>
        <w:t>OpenMx 1.2 user guide</w:t>
      </w:r>
      <w:r>
        <w:rPr>
          <w:shd w:val="clear" w:color="auto" w:fill="FFFFFF"/>
          <w:lang w:val="en-US"/>
        </w:rPr>
        <w:t xml:space="preserve">. Charlottesville, VA: University of Virginia, The OpenMX Project. </w:t>
      </w:r>
    </w:p>
    <w:p w14:paraId="753286F9" w14:textId="77777777" w:rsidR="00ED3E6F" w:rsidRDefault="00F4341B" w:rsidP="00ED3E6F">
      <w:pPr>
        <w:spacing w:line="480" w:lineRule="exact"/>
        <w:ind w:hanging="720"/>
        <w:rPr>
          <w:color w:val="000000" w:themeColor="text1"/>
          <w:lang w:val="en-GB"/>
        </w:rPr>
      </w:pPr>
      <w:r>
        <w:rPr>
          <w:color w:val="000000" w:themeColor="text1"/>
          <w:lang w:val="en-GB"/>
        </w:rPr>
        <w:t xml:space="preserve">Bollen, K. A. (1989). </w:t>
      </w:r>
      <w:r>
        <w:rPr>
          <w:i/>
          <w:color w:val="000000" w:themeColor="text1"/>
          <w:lang w:val="en-GB"/>
        </w:rPr>
        <w:t>Structural equations with latent variables</w:t>
      </w:r>
      <w:r>
        <w:rPr>
          <w:color w:val="000000" w:themeColor="text1"/>
          <w:lang w:val="en-GB"/>
        </w:rPr>
        <w:t>. New York, NY: John Wiley &amp; Sons.</w:t>
      </w:r>
    </w:p>
    <w:p w14:paraId="3E648C31" w14:textId="22234353" w:rsidR="008A6385" w:rsidRDefault="00ED3E6F" w:rsidP="002747A1">
      <w:pPr>
        <w:spacing w:line="480" w:lineRule="exact"/>
        <w:ind w:hanging="720"/>
      </w:pPr>
      <w:r w:rsidRPr="00EA477F">
        <w:rPr>
          <w:lang w:val="en-GB"/>
        </w:rPr>
        <w:t xml:space="preserve">Briley, D. A., &amp; Tucker-Drob, E. M. (2012). </w:t>
      </w:r>
      <w:r>
        <w:t xml:space="preserve">Broad </w:t>
      </w:r>
      <w:r w:rsidR="008A6385">
        <w:t>b</w:t>
      </w:r>
      <w:r>
        <w:t xml:space="preserve">andwidth or </w:t>
      </w:r>
      <w:r w:rsidR="008A6385">
        <w:t>h</w:t>
      </w:r>
      <w:r>
        <w:t xml:space="preserve">igh </w:t>
      </w:r>
      <w:r w:rsidR="008A6385">
        <w:t>f</w:t>
      </w:r>
      <w:r>
        <w:t xml:space="preserve">idelity? Evidence from the </w:t>
      </w:r>
      <w:r w:rsidR="008A6385">
        <w:t>s</w:t>
      </w:r>
      <w:r>
        <w:t xml:space="preserve">tructure of </w:t>
      </w:r>
      <w:r w:rsidR="008A6385">
        <w:t>g</w:t>
      </w:r>
      <w:r>
        <w:t xml:space="preserve">enetic and </w:t>
      </w:r>
      <w:r w:rsidR="008A6385">
        <w:t>e</w:t>
      </w:r>
      <w:r>
        <w:t xml:space="preserve">nvironmental </w:t>
      </w:r>
      <w:r w:rsidR="008A6385">
        <w:t>e</w:t>
      </w:r>
      <w:r>
        <w:t xml:space="preserve">ffects on the </w:t>
      </w:r>
      <w:r w:rsidR="008A6385">
        <w:t>f</w:t>
      </w:r>
      <w:r>
        <w:t xml:space="preserve">acets of the Five Factor Model. </w:t>
      </w:r>
      <w:r>
        <w:rPr>
          <w:i/>
          <w:iCs/>
        </w:rPr>
        <w:t>Behavior Genetics</w:t>
      </w:r>
      <w:r>
        <w:t xml:space="preserve">, </w:t>
      </w:r>
      <w:r>
        <w:rPr>
          <w:i/>
          <w:iCs/>
        </w:rPr>
        <w:t>42</w:t>
      </w:r>
      <w:r>
        <w:t xml:space="preserve">, 743–763. </w:t>
      </w:r>
      <w:r w:rsidR="00D83282">
        <w:t>doi:</w:t>
      </w:r>
      <w:r w:rsidRPr="00ED3E6F">
        <w:t>10.1007/s10519-012-9548-8</w:t>
      </w:r>
    </w:p>
    <w:p w14:paraId="782DC40E" w14:textId="77777777" w:rsidR="005D1BAF" w:rsidRDefault="008A6385" w:rsidP="002747A1">
      <w:pPr>
        <w:spacing w:line="480" w:lineRule="exact"/>
        <w:ind w:hanging="720"/>
        <w:rPr>
          <w:rFonts w:asciiTheme="majorBidi" w:hAnsiTheme="majorBidi" w:cstheme="majorBidi"/>
          <w:color w:val="000000" w:themeColor="text1"/>
        </w:rPr>
      </w:pPr>
      <w:r w:rsidRPr="00A36906">
        <w:t xml:space="preserve">Brummelman, E., Thomaes, S., Nelemans, S. A., Orobio de Castro, B., Overbeek, G., &amp; Bushman, B. J. (2015). Origins of narcissism in children. </w:t>
      </w:r>
      <w:r w:rsidRPr="00A36906">
        <w:rPr>
          <w:i/>
          <w:iCs/>
        </w:rPr>
        <w:t xml:space="preserve">Proceedings of the National </w:t>
      </w:r>
      <w:r w:rsidRPr="007F4087">
        <w:rPr>
          <w:rFonts w:asciiTheme="majorBidi" w:hAnsiTheme="majorBidi" w:cstheme="majorBidi"/>
          <w:i/>
          <w:iCs/>
        </w:rPr>
        <w:t>Academy of Sciences, 112</w:t>
      </w:r>
      <w:r w:rsidRPr="007F4087">
        <w:rPr>
          <w:rFonts w:asciiTheme="majorBidi" w:hAnsiTheme="majorBidi" w:cstheme="majorBidi"/>
        </w:rPr>
        <w:t>, 3659-3662.</w:t>
      </w:r>
      <w:r>
        <w:rPr>
          <w:rFonts w:asciiTheme="majorBidi" w:hAnsiTheme="majorBidi" w:cstheme="majorBidi"/>
        </w:rPr>
        <w:t xml:space="preserve"> doi:</w:t>
      </w:r>
      <w:hyperlink r:id="rId19" w:history="1">
        <w:r w:rsidRPr="002747A1">
          <w:rPr>
            <w:rStyle w:val="Hyperlink"/>
            <w:rFonts w:asciiTheme="majorBidi" w:hAnsiTheme="majorBidi" w:cstheme="majorBidi"/>
            <w:color w:val="000000" w:themeColor="text1"/>
            <w:u w:val="none"/>
            <w:shd w:val="clear" w:color="auto" w:fill="FFFFFF"/>
          </w:rPr>
          <w:t>10.1073/pnas.1420870112</w:t>
        </w:r>
      </w:hyperlink>
    </w:p>
    <w:p w14:paraId="290292F3" w14:textId="7E5E0689" w:rsidR="005D1BAF" w:rsidRDefault="005D1BAF" w:rsidP="002747A1">
      <w:pPr>
        <w:spacing w:line="480" w:lineRule="exact"/>
        <w:ind w:hanging="720"/>
        <w:rPr>
          <w:color w:val="000000"/>
        </w:rPr>
      </w:pPr>
      <w:r w:rsidRPr="00123018">
        <w:rPr>
          <w:color w:val="000000"/>
        </w:rPr>
        <w:lastRenderedPageBreak/>
        <w:t xml:space="preserve">Cai, H., Wu, L., Shi, Y., Gu, R., &amp; Sedikides, C. (2016). Self-enhancement among Westerners and Easterners: a cultural neuroscience approach. </w:t>
      </w:r>
      <w:r w:rsidRPr="00123018">
        <w:rPr>
          <w:i/>
          <w:color w:val="000000"/>
        </w:rPr>
        <w:t>Social Cognitive and Affective Neuroscience, 11</w:t>
      </w:r>
      <w:r w:rsidRPr="00123018">
        <w:rPr>
          <w:color w:val="000000"/>
        </w:rPr>
        <w:t>, 1569-1578. doi:10.1093/scan/nsw072</w:t>
      </w:r>
    </w:p>
    <w:p w14:paraId="60C8715E" w14:textId="1D95E437" w:rsidR="00304017" w:rsidRPr="002747A1" w:rsidRDefault="00304017" w:rsidP="00304017">
      <w:pPr>
        <w:spacing w:line="480" w:lineRule="exact"/>
        <w:ind w:hanging="720"/>
      </w:pPr>
      <w:r w:rsidRPr="00BA1218">
        <w:t xml:space="preserve">Champely, S. (2018). </w:t>
      </w:r>
      <w:r w:rsidRPr="002D1B60">
        <w:rPr>
          <w:i/>
          <w:iCs/>
        </w:rPr>
        <w:t>pwr: Basic Functions for Power Analysis (Version 1.2-2) [R]</w:t>
      </w:r>
      <w:r w:rsidRPr="00BA1218">
        <w:t xml:space="preserve">. Retrieved from </w:t>
      </w:r>
      <w:r w:rsidRPr="002747A1">
        <w:rPr>
          <w:color w:val="000000" w:themeColor="text1"/>
        </w:rPr>
        <w:t>https://cran.r-project.org/web/packages/pwr/index.html</w:t>
      </w:r>
    </w:p>
    <w:p w14:paraId="3EF26917" w14:textId="3DDA7AEE" w:rsidR="00B532C4" w:rsidRDefault="00F4341B">
      <w:pPr>
        <w:pStyle w:val="NormalWeb"/>
        <w:spacing w:before="0" w:beforeAutospacing="0" w:after="0" w:afterAutospacing="0" w:line="480" w:lineRule="exact"/>
        <w:ind w:hanging="720"/>
      </w:pPr>
      <w:r>
        <w:t>Chen, J., Li, X., Zhang, J., Natsuaki, M. N., Leve, L. D., Harenold, G. T., Chen, Z.,</w:t>
      </w:r>
      <w:r>
        <w:rPr>
          <w:rFonts w:ascii="Open Sans" w:hAnsi="Open Sans"/>
          <w:color w:val="494949"/>
          <w:sz w:val="16"/>
          <w:szCs w:val="16"/>
        </w:rPr>
        <w:t xml:space="preserve"> </w:t>
      </w:r>
      <w:r>
        <w:rPr>
          <w:color w:val="000000" w:themeColor="text1"/>
        </w:rPr>
        <w:t>…</w:t>
      </w:r>
      <w:r>
        <w:t xml:space="preserve"> &amp; Ge, X. (2013). The Beijing Twin Study (BeTwiSt): A longitudinal study of child and adolescent development. Twin </w:t>
      </w:r>
      <w:r>
        <w:rPr>
          <w:i/>
        </w:rPr>
        <w:t>Research and Human Genetics, 16</w:t>
      </w:r>
      <w:r>
        <w:t>, 91-97. doi:10.1017/thg.2012.115</w:t>
      </w:r>
    </w:p>
    <w:p w14:paraId="33AF2D01" w14:textId="77777777" w:rsidR="00215FDE" w:rsidRDefault="00F4341B" w:rsidP="00215FDE">
      <w:pPr>
        <w:pStyle w:val="NormalWeb"/>
        <w:spacing w:before="0" w:beforeAutospacing="0" w:after="0" w:afterAutospacing="0" w:line="480" w:lineRule="exact"/>
        <w:ind w:hanging="720"/>
      </w:pPr>
      <w:r>
        <w:t xml:space="preserve">Chen, J., Li, X. Y., Chen, Z. Y., Yang, X. D., Zhang, J., Duan, Q., et al. (2010). Optimization of zygosity determination by questionnaire and DNA genotyping in Chinese adolescent twins. </w:t>
      </w:r>
      <w:r w:rsidRPr="007025FE">
        <w:rPr>
          <w:i/>
        </w:rPr>
        <w:t>Twin</w:t>
      </w:r>
      <w:r>
        <w:t xml:space="preserve"> </w:t>
      </w:r>
      <w:r>
        <w:rPr>
          <w:i/>
        </w:rPr>
        <w:t>Research and Human Genetics, 13</w:t>
      </w:r>
      <w:r>
        <w:t>, 194-200.</w:t>
      </w:r>
      <w:r w:rsidR="00304017" w:rsidRPr="00304017">
        <w:t xml:space="preserve"> </w:t>
      </w:r>
    </w:p>
    <w:p w14:paraId="35EA36DE" w14:textId="1D377E1F" w:rsidR="00215FDE" w:rsidRDefault="00215FDE" w:rsidP="00215FDE">
      <w:pPr>
        <w:pStyle w:val="NormalWeb"/>
        <w:spacing w:before="0" w:beforeAutospacing="0" w:after="0" w:afterAutospacing="0" w:line="480" w:lineRule="exact"/>
        <w:ind w:hanging="720"/>
      </w:pPr>
      <w:r>
        <w:t xml:space="preserve">Cheng, J. T., Tracy, J. L., &amp; Miller, G. E. (2013). Are narcissists hardy or vulnerable? The role of narcissism in the production of stress-related biomarkers in response to emotional distress. </w:t>
      </w:r>
      <w:r>
        <w:rPr>
          <w:i/>
          <w:iCs/>
        </w:rPr>
        <w:t>Emotion</w:t>
      </w:r>
      <w:r>
        <w:t xml:space="preserve">, </w:t>
      </w:r>
      <w:r>
        <w:rPr>
          <w:i/>
          <w:iCs/>
        </w:rPr>
        <w:t>13</w:t>
      </w:r>
      <w:r>
        <w:t xml:space="preserve">, 1004–1011. </w:t>
      </w:r>
      <w:r w:rsidR="00DB011F">
        <w:t>d</w:t>
      </w:r>
      <w:r w:rsidR="00DB011F" w:rsidRPr="002747A1">
        <w:t>oi</w:t>
      </w:r>
      <w:r w:rsidR="004B52AF">
        <w:t>:</w:t>
      </w:r>
      <w:r w:rsidR="00DB011F" w:rsidRPr="002747A1">
        <w:t>10.1037/a0034410</w:t>
      </w:r>
    </w:p>
    <w:p w14:paraId="4705DF0D" w14:textId="01AAC3A6" w:rsidR="009B244D" w:rsidRPr="002747A1" w:rsidRDefault="00304017">
      <w:pPr>
        <w:pStyle w:val="NormalWeb"/>
        <w:spacing w:before="0" w:beforeAutospacing="0" w:after="0" w:afterAutospacing="0" w:line="480" w:lineRule="exact"/>
        <w:ind w:hanging="720"/>
      </w:pPr>
      <w:r w:rsidRPr="00BA1218">
        <w:rPr>
          <w:rFonts w:eastAsia="Times New Roman"/>
        </w:rPr>
        <w:t xml:space="preserve">Cohen, J. (1988). </w:t>
      </w:r>
      <w:r w:rsidRPr="002747A1">
        <w:rPr>
          <w:rFonts w:eastAsia="Times New Roman"/>
          <w:i/>
          <w:iCs/>
        </w:rPr>
        <w:t>Statistical power analysis for the behavioral sciences</w:t>
      </w:r>
      <w:r w:rsidRPr="00BA1218">
        <w:rPr>
          <w:rFonts w:eastAsia="Times New Roman"/>
        </w:rPr>
        <w:t xml:space="preserve"> (2nd ed.). Hillsdale,</w:t>
      </w:r>
      <w:r>
        <w:rPr>
          <w:rFonts w:eastAsia="Times New Roman"/>
        </w:rPr>
        <w:t xml:space="preserve"> </w:t>
      </w:r>
      <w:r w:rsidRPr="00BA1218">
        <w:rPr>
          <w:rFonts w:eastAsia="Times New Roman"/>
        </w:rPr>
        <w:t>NJ: Erlbaum.</w:t>
      </w:r>
    </w:p>
    <w:p w14:paraId="1B969E29" w14:textId="77777777" w:rsidR="009B244D" w:rsidRDefault="00F4341B">
      <w:pPr>
        <w:pStyle w:val="NormalWeb"/>
        <w:spacing w:before="0" w:beforeAutospacing="0" w:after="0" w:afterAutospacing="0" w:line="480" w:lineRule="exact"/>
        <w:ind w:hanging="720"/>
        <w:rPr>
          <w:color w:val="000000" w:themeColor="text1"/>
        </w:rPr>
      </w:pPr>
      <w:r>
        <w:rPr>
          <w:color w:val="000000" w:themeColor="text1"/>
          <w:shd w:val="clear" w:color="auto" w:fill="FFFFFF"/>
        </w:rPr>
        <w:t>Colvin, C. R., &amp; Griffo, R. (2008). On the psychological costs of self-enhancement. In E. C. Chang (Ed.), </w:t>
      </w:r>
      <w:r>
        <w:rPr>
          <w:rStyle w:val="Emphasis"/>
          <w:color w:val="000000" w:themeColor="text1"/>
          <w:shd w:val="clear" w:color="auto" w:fill="FFFFFF"/>
        </w:rPr>
        <w:t>Self-criticism and self-enhancement: Theory, research, and clinical implications</w:t>
      </w:r>
      <w:r>
        <w:rPr>
          <w:color w:val="000000" w:themeColor="text1"/>
          <w:shd w:val="clear" w:color="auto" w:fill="FFFFFF"/>
        </w:rPr>
        <w:t xml:space="preserve"> (pp. 123-140). Washington, DC: American Psychological Association. </w:t>
      </w:r>
      <w:hyperlink r:id="rId20" w:tgtFrame="_blank" w:history="1">
        <w:r>
          <w:rPr>
            <w:rStyle w:val="Hyperlink"/>
            <w:color w:val="000000" w:themeColor="text1"/>
            <w:u w:val="none"/>
            <w:shd w:val="clear" w:color="auto" w:fill="FFFFFF"/>
          </w:rPr>
          <w:t>doi:10.1037/11624-008</w:t>
        </w:r>
      </w:hyperlink>
    </w:p>
    <w:p w14:paraId="7C3E494E" w14:textId="77777777" w:rsidR="009B244D" w:rsidRPr="002747A1" w:rsidRDefault="00F4341B">
      <w:pPr>
        <w:pStyle w:val="NormalWeb"/>
        <w:spacing w:before="0" w:beforeAutospacing="0" w:after="0" w:afterAutospacing="0" w:line="480" w:lineRule="exact"/>
        <w:ind w:hanging="720"/>
        <w:rPr>
          <w:lang w:val="fr-FR"/>
        </w:rPr>
      </w:pPr>
      <w:r>
        <w:t xml:space="preserve">Crowe, M., Carter, N. T., Campbell, W. K., &amp; Miller, J. D. (2016). Validation of the narcissistic grandiosity scale and creation of reduced item variants. </w:t>
      </w:r>
      <w:r w:rsidRPr="002747A1">
        <w:rPr>
          <w:i/>
          <w:lang w:val="fr-FR"/>
        </w:rPr>
        <w:t xml:space="preserve">Psychological Assessment, </w:t>
      </w:r>
      <w:r w:rsidRPr="002747A1">
        <w:rPr>
          <w:rStyle w:val="st1"/>
          <w:i/>
          <w:color w:val="000000" w:themeColor="text1"/>
          <w:lang w:val="fr-FR"/>
        </w:rPr>
        <w:t>28</w:t>
      </w:r>
      <w:r w:rsidRPr="002747A1">
        <w:rPr>
          <w:rStyle w:val="st1"/>
          <w:color w:val="000000" w:themeColor="text1"/>
          <w:lang w:val="fr-FR"/>
        </w:rPr>
        <w:t xml:space="preserve">, 1550-1560. </w:t>
      </w:r>
      <w:r w:rsidRPr="002747A1">
        <w:rPr>
          <w:lang w:val="fr-FR"/>
        </w:rPr>
        <w:t>doi:10.1037/pas0000281</w:t>
      </w:r>
    </w:p>
    <w:p w14:paraId="7DA8C551" w14:textId="67DAC407" w:rsidR="00FD306C" w:rsidRDefault="00F4341B">
      <w:pPr>
        <w:widowControl w:val="0"/>
        <w:snapToGrid w:val="0"/>
        <w:spacing w:line="480" w:lineRule="exact"/>
        <w:ind w:hanging="720"/>
        <w:contextualSpacing/>
        <w:rPr>
          <w:color w:val="222222"/>
          <w:lang w:eastAsia="de-DE"/>
        </w:rPr>
      </w:pPr>
      <w:r w:rsidRPr="002747A1">
        <w:rPr>
          <w:color w:val="222222"/>
          <w:lang w:val="fr-FR" w:eastAsia="de-DE"/>
        </w:rPr>
        <w:t xml:space="preserve">Diener, E. D., Emmons, R. A., Larsen, R. J., &amp; Griffin, S. (1985). </w:t>
      </w:r>
      <w:r>
        <w:rPr>
          <w:color w:val="222222"/>
          <w:lang w:eastAsia="de-DE"/>
        </w:rPr>
        <w:t xml:space="preserve">The satisfaction with life scale. </w:t>
      </w:r>
      <w:r>
        <w:rPr>
          <w:i/>
          <w:iCs/>
          <w:color w:val="222222"/>
          <w:lang w:eastAsia="de-DE"/>
        </w:rPr>
        <w:t>Journal of Personality Assessment</w:t>
      </w:r>
      <w:r>
        <w:rPr>
          <w:color w:val="222222"/>
          <w:lang w:eastAsia="de-DE"/>
        </w:rPr>
        <w:t xml:space="preserve">, </w:t>
      </w:r>
      <w:r>
        <w:rPr>
          <w:i/>
          <w:iCs/>
          <w:color w:val="222222"/>
          <w:lang w:eastAsia="de-DE"/>
        </w:rPr>
        <w:t>49</w:t>
      </w:r>
      <w:r>
        <w:rPr>
          <w:color w:val="222222"/>
          <w:lang w:eastAsia="de-DE"/>
        </w:rPr>
        <w:t>, 71-75.</w:t>
      </w:r>
      <w:r w:rsidR="00FD306C">
        <w:rPr>
          <w:color w:val="222222"/>
          <w:lang w:eastAsia="de-DE"/>
        </w:rPr>
        <w:t xml:space="preserve"> doi:</w:t>
      </w:r>
      <w:hyperlink r:id="rId21" w:history="1">
        <w:r w:rsidR="00FD306C" w:rsidRPr="007025FE">
          <w:rPr>
            <w:rStyle w:val="Hyperlink"/>
            <w:color w:val="000000" w:themeColor="text1"/>
            <w:u w:val="none"/>
          </w:rPr>
          <w:t>10.1207/s15327752jpa4901_13</w:t>
        </w:r>
      </w:hyperlink>
    </w:p>
    <w:p w14:paraId="1EC90C81" w14:textId="77777777" w:rsidR="009B244D" w:rsidRPr="007025FE" w:rsidRDefault="00F4341B">
      <w:pPr>
        <w:widowControl w:val="0"/>
        <w:snapToGrid w:val="0"/>
        <w:spacing w:line="480" w:lineRule="exact"/>
        <w:ind w:hanging="720"/>
        <w:contextualSpacing/>
      </w:pPr>
      <w:r w:rsidRPr="007025FE">
        <w:t xml:space="preserve">Diener, E., Suh, E. M., Lucas, R. E., &amp; Smith, H. L. (1999). Subjective well-being: Three decades of progress. </w:t>
      </w:r>
      <w:r w:rsidRPr="007025FE">
        <w:rPr>
          <w:rStyle w:val="Emphasis"/>
        </w:rPr>
        <w:t>Psychological Bulletin, 125</w:t>
      </w:r>
      <w:r w:rsidRPr="007025FE">
        <w:t xml:space="preserve">, 276-302. </w:t>
      </w:r>
      <w:hyperlink r:id="rId22" w:tgtFrame="_blank" w:history="1">
        <w:r w:rsidRPr="007025FE">
          <w:rPr>
            <w:rStyle w:val="Hyperlink"/>
            <w:color w:val="auto"/>
            <w:u w:val="none"/>
          </w:rPr>
          <w:t>doi:10.1037/0033-2909.125.2.276</w:t>
        </w:r>
      </w:hyperlink>
      <w:r w:rsidRPr="007025FE">
        <w:t xml:space="preserve"> </w:t>
      </w:r>
    </w:p>
    <w:p w14:paraId="21F16923" w14:textId="07495C1A" w:rsidR="009B244D" w:rsidRPr="007025FE" w:rsidRDefault="00F4341B">
      <w:pPr>
        <w:pStyle w:val="NormalWeb"/>
        <w:spacing w:before="0" w:beforeAutospacing="0" w:after="0" w:afterAutospacing="0" w:line="480" w:lineRule="exact"/>
        <w:ind w:hanging="720"/>
        <w:rPr>
          <w:lang w:eastAsia="en-US"/>
        </w:rPr>
      </w:pPr>
      <w:r w:rsidRPr="007025FE">
        <w:rPr>
          <w:lang w:eastAsia="en-US"/>
        </w:rPr>
        <w:lastRenderedPageBreak/>
        <w:t xml:space="preserve">Diener, E., Wirtz, D., Tov, W., Kim-Prieto, C., Choi, D.-W., Oishi, S., &amp; Biswas-Diener, R. (2010). New well-being measures: Short scales to assess flourishing and positive and negative feelings. </w:t>
      </w:r>
      <w:r w:rsidRPr="007025FE">
        <w:rPr>
          <w:i/>
          <w:lang w:eastAsia="en-US"/>
        </w:rPr>
        <w:t>Social Indicators Research, 97</w:t>
      </w:r>
      <w:r w:rsidRPr="007025FE">
        <w:rPr>
          <w:lang w:eastAsia="en-US"/>
        </w:rPr>
        <w:t>, 143</w:t>
      </w:r>
      <w:r w:rsidR="00FD306C">
        <w:rPr>
          <w:lang w:eastAsia="en-US"/>
        </w:rPr>
        <w:t>-</w:t>
      </w:r>
      <w:r w:rsidRPr="007025FE">
        <w:rPr>
          <w:lang w:eastAsia="en-US"/>
        </w:rPr>
        <w:t xml:space="preserve">156. doi:10.1007/s11205-009- 9493-y </w:t>
      </w:r>
    </w:p>
    <w:p w14:paraId="4B062DCB" w14:textId="18526693" w:rsidR="0010041A" w:rsidRPr="007025FE" w:rsidRDefault="0010041A">
      <w:pPr>
        <w:pStyle w:val="NormalWeb"/>
        <w:spacing w:before="0" w:beforeAutospacing="0" w:after="0" w:afterAutospacing="0" w:line="480" w:lineRule="exact"/>
        <w:ind w:hanging="720"/>
        <w:rPr>
          <w:lang w:val="en-US"/>
        </w:rPr>
      </w:pPr>
      <w:r w:rsidRPr="00E35E9B">
        <w:t>Dufner, M., Gebauer, J. E., Sedikides, C., &amp; Denissen, J. J. A. (201</w:t>
      </w:r>
      <w:r>
        <w:t>9</w:t>
      </w:r>
      <w:r w:rsidRPr="00E35E9B">
        <w:t xml:space="preserve">). </w:t>
      </w:r>
      <w:r w:rsidRPr="00E35E9B">
        <w:rPr>
          <w:lang w:val="en-US"/>
        </w:rPr>
        <w:t xml:space="preserve">Self-enhancement and psychological adjustment: A meta-analytic review. </w:t>
      </w:r>
      <w:r w:rsidRPr="00E35E9B">
        <w:rPr>
          <w:i/>
        </w:rPr>
        <w:t>Personality and Social Psychology Review</w:t>
      </w:r>
      <w:r>
        <w:rPr>
          <w:i/>
        </w:rPr>
        <w:t>, 23</w:t>
      </w:r>
      <w:r>
        <w:t>, 48-72</w:t>
      </w:r>
      <w:r w:rsidRPr="00E35E9B">
        <w:t>. doi</w:t>
      </w:r>
      <w:r w:rsidRPr="00E35E9B">
        <w:rPr>
          <w:lang w:eastAsia="en-US"/>
        </w:rPr>
        <w:t>:10.1177/1088868318756467</w:t>
      </w:r>
    </w:p>
    <w:p w14:paraId="146747E5" w14:textId="77777777" w:rsidR="00552946" w:rsidRDefault="00F4341B" w:rsidP="002747A1">
      <w:pPr>
        <w:spacing w:line="480" w:lineRule="exact"/>
        <w:ind w:hanging="720"/>
      </w:pPr>
      <w:r>
        <w:rPr>
          <w:bCs/>
        </w:rPr>
        <w:t xml:space="preserve">Ferris, D. L., Johnson, R. E., &amp; Sedikides, C. (2018). </w:t>
      </w:r>
      <w:r>
        <w:rPr>
          <w:bCs/>
          <w:i/>
        </w:rPr>
        <w:t>The Self at work: Fundamental theory and research</w:t>
      </w:r>
      <w:r>
        <w:rPr>
          <w:bCs/>
        </w:rPr>
        <w:t xml:space="preserve">. </w:t>
      </w:r>
      <w:r>
        <w:t>New York, NY: Routledge Press.</w:t>
      </w:r>
    </w:p>
    <w:p w14:paraId="323CAB08" w14:textId="775A4FEE" w:rsidR="00552946" w:rsidRDefault="00EA477F" w:rsidP="001236BC">
      <w:pPr>
        <w:spacing w:line="480" w:lineRule="exact"/>
        <w:ind w:hanging="720"/>
      </w:pPr>
      <w:hyperlink r:id="rId23" w:anchor="!" w:history="1">
        <w:r w:rsidR="00552946" w:rsidRPr="00557F49">
          <w:rPr>
            <w:rFonts w:asciiTheme="majorBidi" w:hAnsiTheme="majorBidi" w:cstheme="majorBidi"/>
            <w:color w:val="000000" w:themeColor="text1"/>
            <w:lang w:val="en-GB"/>
          </w:rPr>
          <w:t>Foster</w:t>
        </w:r>
      </w:hyperlink>
      <w:bookmarkStart w:id="1" w:name="baep-author-id4"/>
      <w:r w:rsidR="00552946" w:rsidRPr="00557F49">
        <w:rPr>
          <w:rFonts w:asciiTheme="majorBidi" w:hAnsiTheme="majorBidi" w:cstheme="majorBidi"/>
          <w:color w:val="000000" w:themeColor="text1"/>
          <w:lang w:val="en-GB"/>
        </w:rPr>
        <w:t xml:space="preserve">, J. D., Campbell, W. K., &amp; Twenge, J. </w:t>
      </w:r>
      <w:r w:rsidR="00552946">
        <w:rPr>
          <w:rFonts w:asciiTheme="majorBidi" w:hAnsiTheme="majorBidi" w:cstheme="majorBidi"/>
          <w:color w:val="000000" w:themeColor="text1"/>
        </w:rPr>
        <w:t xml:space="preserve">M. (2003). </w:t>
      </w:r>
      <w:bookmarkEnd w:id="1"/>
      <w:r w:rsidR="00552946" w:rsidRPr="00557F49">
        <w:rPr>
          <w:rFonts w:asciiTheme="majorBidi" w:hAnsiTheme="majorBidi" w:cstheme="majorBidi"/>
          <w:color w:val="000000" w:themeColor="text1"/>
          <w:kern w:val="36"/>
        </w:rPr>
        <w:t>Individual differences in narcissism: Inflated self-views across the lifespan and around the worl</w:t>
      </w:r>
      <w:r w:rsidR="00552946">
        <w:rPr>
          <w:rFonts w:asciiTheme="majorBidi" w:hAnsiTheme="majorBidi" w:cstheme="majorBidi"/>
          <w:color w:val="000000" w:themeColor="text1"/>
          <w:kern w:val="36"/>
        </w:rPr>
        <w:t xml:space="preserve">d. </w:t>
      </w:r>
      <w:hyperlink r:id="rId24" w:tooltip="Go to Journal of Research in Personality on ScienceDirect" w:history="1">
        <w:r w:rsidR="00552946" w:rsidRPr="00EA7FE5">
          <w:rPr>
            <w:rStyle w:val="Hyperlink"/>
            <w:rFonts w:asciiTheme="majorBidi" w:hAnsiTheme="majorBidi" w:cstheme="majorBidi"/>
            <w:i/>
            <w:iCs/>
            <w:color w:val="000000" w:themeColor="text1"/>
            <w:u w:val="none"/>
          </w:rPr>
          <w:t>Journal of Research in Personality</w:t>
        </w:r>
      </w:hyperlink>
      <w:r w:rsidR="00552946" w:rsidRPr="00EA7FE5">
        <w:rPr>
          <w:rFonts w:asciiTheme="majorBidi" w:hAnsiTheme="majorBidi" w:cstheme="majorBidi"/>
          <w:i/>
          <w:iCs/>
          <w:color w:val="000000" w:themeColor="text1"/>
        </w:rPr>
        <w:t xml:space="preserve">, </w:t>
      </w:r>
      <w:hyperlink r:id="rId25" w:tooltip="Go to table of contents for this volume/issue" w:history="1">
        <w:r w:rsidR="00552946" w:rsidRPr="00EA7FE5">
          <w:rPr>
            <w:rStyle w:val="Hyperlink"/>
            <w:rFonts w:asciiTheme="majorBidi" w:hAnsiTheme="majorBidi" w:cstheme="majorBidi"/>
            <w:i/>
            <w:iCs/>
            <w:color w:val="000000" w:themeColor="text1"/>
            <w:u w:val="none"/>
          </w:rPr>
          <w:t xml:space="preserve">37, </w:t>
        </w:r>
      </w:hyperlink>
      <w:r w:rsidR="00552946" w:rsidRPr="00557F49">
        <w:rPr>
          <w:rFonts w:asciiTheme="majorBidi" w:hAnsiTheme="majorBidi" w:cstheme="majorBidi"/>
          <w:color w:val="000000" w:themeColor="text1"/>
        </w:rPr>
        <w:t>469-486</w:t>
      </w:r>
      <w:r w:rsidR="00552946">
        <w:rPr>
          <w:rFonts w:asciiTheme="majorBidi" w:hAnsiTheme="majorBidi" w:cstheme="majorBidi"/>
          <w:color w:val="000000" w:themeColor="text1"/>
        </w:rPr>
        <w:t>. doi:</w:t>
      </w:r>
      <w:hyperlink r:id="rId26" w:tgtFrame="_blank" w:tooltip="Persistent link using digital object identifier" w:history="1">
        <w:r w:rsidR="00552946" w:rsidRPr="00557F49">
          <w:rPr>
            <w:rStyle w:val="Hyperlink"/>
            <w:rFonts w:asciiTheme="majorBidi" w:hAnsiTheme="majorBidi" w:cstheme="majorBidi"/>
            <w:color w:val="000000" w:themeColor="text1"/>
            <w:u w:val="none"/>
          </w:rPr>
          <w:t>10.1016/S0092-6566(03)00026-6</w:t>
        </w:r>
      </w:hyperlink>
    </w:p>
    <w:p w14:paraId="31113647" w14:textId="1788FA6D" w:rsidR="009B244D" w:rsidRPr="002747A1" w:rsidRDefault="00F4341B">
      <w:pPr>
        <w:spacing w:line="480" w:lineRule="exact"/>
        <w:ind w:hanging="720"/>
        <w:rPr>
          <w:bCs/>
          <w:lang w:val="de-DE" w:eastAsia="en-US"/>
        </w:rPr>
      </w:pPr>
      <w:r>
        <w:rPr>
          <w:bCs/>
        </w:rPr>
        <w:t xml:space="preserve">Franz, C. E., Panizzon, M. S., Eaves, L. J., Thompson, W., Lyons, M. J., Jacobson, K. C., … &amp; Kremen, W. S. (2012). Genetic and </w:t>
      </w:r>
      <w:r w:rsidR="0010041A">
        <w:rPr>
          <w:bCs/>
        </w:rPr>
        <w:t>e</w:t>
      </w:r>
      <w:r>
        <w:rPr>
          <w:bCs/>
        </w:rPr>
        <w:t xml:space="preserve">nvironmental </w:t>
      </w:r>
      <w:r w:rsidR="0010041A">
        <w:rPr>
          <w:bCs/>
        </w:rPr>
        <w:t>m</w:t>
      </w:r>
      <w:r>
        <w:rPr>
          <w:bCs/>
        </w:rPr>
        <w:t xml:space="preserve">ultidimensionality of </w:t>
      </w:r>
      <w:r w:rsidR="0010041A">
        <w:rPr>
          <w:bCs/>
        </w:rPr>
        <w:t>w</w:t>
      </w:r>
      <w:r>
        <w:rPr>
          <w:bCs/>
        </w:rPr>
        <w:t xml:space="preserve">ell- and </w:t>
      </w:r>
      <w:r w:rsidR="0010041A">
        <w:rPr>
          <w:bCs/>
        </w:rPr>
        <w:t>i</w:t>
      </w:r>
      <w:r>
        <w:rPr>
          <w:bCs/>
        </w:rPr>
        <w:t>ll-</w:t>
      </w:r>
      <w:r w:rsidR="0010041A">
        <w:rPr>
          <w:bCs/>
        </w:rPr>
        <w:t>b</w:t>
      </w:r>
      <w:r>
        <w:rPr>
          <w:bCs/>
        </w:rPr>
        <w:t xml:space="preserve">eing in </w:t>
      </w:r>
      <w:r w:rsidR="0010041A">
        <w:rPr>
          <w:bCs/>
        </w:rPr>
        <w:t>m</w:t>
      </w:r>
      <w:r>
        <w:rPr>
          <w:bCs/>
        </w:rPr>
        <w:t xml:space="preserve">iddle </w:t>
      </w:r>
      <w:r w:rsidR="0010041A">
        <w:rPr>
          <w:bCs/>
        </w:rPr>
        <w:t>a</w:t>
      </w:r>
      <w:r>
        <w:rPr>
          <w:bCs/>
        </w:rPr>
        <w:t xml:space="preserve">ged </w:t>
      </w:r>
      <w:r w:rsidR="0010041A">
        <w:rPr>
          <w:bCs/>
        </w:rPr>
        <w:t>t</w:t>
      </w:r>
      <w:r>
        <w:rPr>
          <w:bCs/>
        </w:rPr>
        <w:t xml:space="preserve">win </w:t>
      </w:r>
      <w:r w:rsidR="0010041A">
        <w:rPr>
          <w:bCs/>
        </w:rPr>
        <w:t>m</w:t>
      </w:r>
      <w:r>
        <w:rPr>
          <w:bCs/>
        </w:rPr>
        <w:t xml:space="preserve">en. </w:t>
      </w:r>
      <w:r w:rsidRPr="002747A1">
        <w:rPr>
          <w:bCs/>
          <w:i/>
          <w:lang w:val="de-DE"/>
        </w:rPr>
        <w:t>Behavior Genetics, 42</w:t>
      </w:r>
      <w:r w:rsidRPr="002747A1">
        <w:rPr>
          <w:bCs/>
          <w:lang w:val="de-DE"/>
        </w:rPr>
        <w:t>, 579</w:t>
      </w:r>
      <w:r w:rsidR="00FD306C" w:rsidRPr="002747A1">
        <w:rPr>
          <w:bCs/>
          <w:lang w:val="de-DE"/>
        </w:rPr>
        <w:t>-</w:t>
      </w:r>
      <w:r w:rsidRPr="002747A1">
        <w:rPr>
          <w:bCs/>
          <w:lang w:val="de-DE"/>
        </w:rPr>
        <w:t>591. doi:10.1007/s10519-012-9538-x</w:t>
      </w:r>
    </w:p>
    <w:p w14:paraId="7C5C1256" w14:textId="77777777" w:rsidR="009B244D" w:rsidRDefault="00F4341B">
      <w:pPr>
        <w:spacing w:line="480" w:lineRule="exact"/>
        <w:ind w:hanging="720"/>
        <w:rPr>
          <w:rStyle w:val="Hyperlink"/>
          <w:bCs/>
          <w:color w:val="000000"/>
          <w:u w:val="none"/>
        </w:rPr>
      </w:pPr>
      <w:r>
        <w:rPr>
          <w:bCs/>
          <w:color w:val="000000"/>
          <w:lang w:val="de-DE"/>
        </w:rPr>
        <w:t xml:space="preserve">Gebauer, J. E., Sedikides, C., Verplanken, B., &amp; Maio, G. R. (2012). </w:t>
      </w:r>
      <w:r>
        <w:rPr>
          <w:bCs/>
          <w:color w:val="000000"/>
        </w:rPr>
        <w:t xml:space="preserve">Communal narcissism. </w:t>
      </w:r>
      <w:r>
        <w:rPr>
          <w:bCs/>
          <w:i/>
          <w:iCs/>
          <w:color w:val="000000"/>
        </w:rPr>
        <w:t>Journal of Personality and Social Psychology, 103</w:t>
      </w:r>
      <w:r>
        <w:rPr>
          <w:bCs/>
          <w:color w:val="000000"/>
        </w:rPr>
        <w:t xml:space="preserve">, 854-878. </w:t>
      </w:r>
      <w:hyperlink r:id="rId27" w:history="1">
        <w:r>
          <w:rPr>
            <w:rStyle w:val="Hyperlink"/>
            <w:bCs/>
            <w:color w:val="000000"/>
            <w:u w:val="none"/>
          </w:rPr>
          <w:t>doi:10.1037/a0029629</w:t>
        </w:r>
      </w:hyperlink>
    </w:p>
    <w:p w14:paraId="061B3901" w14:textId="77777777" w:rsidR="00446303" w:rsidRDefault="00F4341B" w:rsidP="007025FE">
      <w:pPr>
        <w:spacing w:line="480" w:lineRule="exact"/>
        <w:ind w:hanging="720"/>
        <w:rPr>
          <w:bCs/>
          <w:color w:val="000000"/>
        </w:rPr>
      </w:pPr>
      <w:r>
        <w:rPr>
          <w:bCs/>
          <w:color w:val="000000"/>
        </w:rPr>
        <w:t xml:space="preserve">Haworth, C. M. A., Carter, K., Eley, T. C., &amp; Plomin, R. (2017). Understanding the genetic and environmental specificity and overlap between well-being and internalizing symptoms in adolescence. </w:t>
      </w:r>
      <w:r>
        <w:rPr>
          <w:bCs/>
          <w:i/>
          <w:color w:val="000000"/>
        </w:rPr>
        <w:t>Developmental Science, 20</w:t>
      </w:r>
      <w:r>
        <w:rPr>
          <w:bCs/>
          <w:color w:val="000000"/>
        </w:rPr>
        <w:t>, e12376. doi:10.1111/desc.12376</w:t>
      </w:r>
    </w:p>
    <w:p w14:paraId="584F8EC7" w14:textId="77777777" w:rsidR="009B244D" w:rsidRDefault="00F4341B">
      <w:pPr>
        <w:spacing w:line="480" w:lineRule="exact"/>
        <w:ind w:hanging="720"/>
        <w:rPr>
          <w:rStyle w:val="Hyperlink"/>
          <w:bCs/>
          <w:color w:val="000000"/>
          <w:u w:val="none"/>
        </w:rPr>
      </w:pPr>
      <w:r>
        <w:rPr>
          <w:bCs/>
          <w:color w:val="000000"/>
        </w:rPr>
        <w:t xml:space="preserve">Hepper, E. G., Gramzow, R. H., &amp; Sedikides, C. (2010). Individual differences in self-enhancement and self-protection strategies: An integrative analysis. </w:t>
      </w:r>
      <w:r>
        <w:rPr>
          <w:bCs/>
          <w:i/>
          <w:color w:val="000000"/>
        </w:rPr>
        <w:t>Journal of Personality, 78</w:t>
      </w:r>
      <w:r>
        <w:rPr>
          <w:bCs/>
          <w:iCs/>
          <w:color w:val="000000"/>
        </w:rPr>
        <w:t>, 781-814</w:t>
      </w:r>
      <w:r>
        <w:rPr>
          <w:bCs/>
          <w:color w:val="000000"/>
        </w:rPr>
        <w:t xml:space="preserve">. </w:t>
      </w:r>
      <w:hyperlink r:id="rId28" w:history="1">
        <w:r>
          <w:rPr>
            <w:rStyle w:val="Hyperlink"/>
            <w:bCs/>
            <w:color w:val="000000"/>
            <w:u w:val="none"/>
          </w:rPr>
          <w:t>doi:10.1111/j.1467-6494.2010.00633</w:t>
        </w:r>
      </w:hyperlink>
    </w:p>
    <w:p w14:paraId="7F253C6F" w14:textId="77777777" w:rsidR="009B244D" w:rsidRDefault="00F4341B">
      <w:pPr>
        <w:spacing w:line="480" w:lineRule="exact"/>
        <w:ind w:hanging="720"/>
        <w:rPr>
          <w:rStyle w:val="Hyperlink"/>
          <w:bCs/>
          <w:color w:val="000000"/>
          <w:u w:val="none"/>
        </w:rPr>
      </w:pPr>
      <w:r>
        <w:rPr>
          <w:bCs/>
          <w:color w:val="000000"/>
        </w:rPr>
        <w:t xml:space="preserve">Hepper, E. G., Sedikides, C., &amp; Cai, H. (2013). Self-enhancement and self-protection strategies in China: Cultural expressions of a fundamental human motive. </w:t>
      </w:r>
      <w:r>
        <w:rPr>
          <w:bCs/>
          <w:i/>
          <w:iCs/>
          <w:color w:val="000000"/>
        </w:rPr>
        <w:t>Journal of Cross-Cultural Psychology, 44</w:t>
      </w:r>
      <w:r>
        <w:rPr>
          <w:bCs/>
          <w:color w:val="000000"/>
        </w:rPr>
        <w:t xml:space="preserve">, </w:t>
      </w:r>
      <w:r>
        <w:rPr>
          <w:rStyle w:val="cit-first-page"/>
          <w:bCs/>
          <w:color w:val="000000"/>
          <w:shd w:val="clear" w:color="auto" w:fill="FFFFFF"/>
        </w:rPr>
        <w:t>5</w:t>
      </w:r>
      <w:r>
        <w:rPr>
          <w:rStyle w:val="cit-sep"/>
          <w:bCs/>
          <w:color w:val="000000"/>
          <w:shd w:val="clear" w:color="auto" w:fill="FFFFFF"/>
        </w:rPr>
        <w:t>-</w:t>
      </w:r>
      <w:r>
        <w:rPr>
          <w:rStyle w:val="cit-last-page"/>
          <w:bCs/>
          <w:color w:val="000000"/>
          <w:shd w:val="clear" w:color="auto" w:fill="FFFFFF"/>
        </w:rPr>
        <w:t xml:space="preserve">23. </w:t>
      </w:r>
      <w:hyperlink r:id="rId29" w:history="1">
        <w:r>
          <w:rPr>
            <w:rStyle w:val="Hyperlink"/>
            <w:bCs/>
            <w:color w:val="000000"/>
            <w:u w:val="none"/>
          </w:rPr>
          <w:t>doi:10.1177/0022022111428515</w:t>
        </w:r>
      </w:hyperlink>
    </w:p>
    <w:p w14:paraId="528C6DDA" w14:textId="77777777" w:rsidR="009B244D" w:rsidRDefault="00F4341B">
      <w:pPr>
        <w:spacing w:line="480" w:lineRule="exact"/>
        <w:ind w:hanging="720"/>
        <w:rPr>
          <w:bCs/>
          <w:color w:val="000000"/>
        </w:rPr>
      </w:pPr>
      <w:r>
        <w:rPr>
          <w:bCs/>
          <w:color w:val="000000"/>
        </w:rPr>
        <w:t xml:space="preserve">Knopik, V. S., Neiderhiser, J. M., DeFries, J. C., &amp; Plomin, R. (2017). </w:t>
      </w:r>
      <w:r>
        <w:rPr>
          <w:bCs/>
          <w:i/>
          <w:color w:val="000000"/>
        </w:rPr>
        <w:t>Behavioral genetics</w:t>
      </w:r>
      <w:r>
        <w:rPr>
          <w:bCs/>
          <w:color w:val="000000"/>
        </w:rPr>
        <w:t xml:space="preserve"> (7th edition). New York, NY: Worth Publishers, Macmillan Learning.</w:t>
      </w:r>
    </w:p>
    <w:p w14:paraId="705F2407" w14:textId="77777777" w:rsidR="009B244D" w:rsidRDefault="00F4341B">
      <w:pPr>
        <w:spacing w:line="480" w:lineRule="exact"/>
        <w:ind w:hanging="720"/>
        <w:rPr>
          <w:bCs/>
        </w:rPr>
      </w:pPr>
      <w:r>
        <w:lastRenderedPageBreak/>
        <w:t xml:space="preserve">Liem, G. A. D., &amp; McInerney, D. M. (Eds.). (2018). </w:t>
      </w:r>
      <w:r>
        <w:rPr>
          <w:i/>
        </w:rPr>
        <w:t>Big theories revisited 2</w:t>
      </w:r>
      <w:r>
        <w:t>. Charlotte, NC: I</w:t>
      </w:r>
      <w:r>
        <w:rPr>
          <w:bCs/>
        </w:rPr>
        <w:t>nformation Age Press.</w:t>
      </w:r>
    </w:p>
    <w:p w14:paraId="0CF60699" w14:textId="77777777" w:rsidR="009B244D" w:rsidRDefault="00F4341B">
      <w:pPr>
        <w:spacing w:line="480" w:lineRule="exact"/>
        <w:ind w:hanging="720"/>
      </w:pPr>
      <w:r>
        <w:t xml:space="preserve">Luo, Y. L. L., Liu, Y., Cai, H., Wildschut, T., &amp; Sedikides, C. (2016). Nostalgia and self-enhancement: Phenotypic and genetic approaches. </w:t>
      </w:r>
      <w:r>
        <w:rPr>
          <w:i/>
        </w:rPr>
        <w:t>Social Psychological and Personality Science, 7</w:t>
      </w:r>
      <w:r>
        <w:t>, 857-866. doi:10.1177/1948550616660158</w:t>
      </w:r>
    </w:p>
    <w:p w14:paraId="5567DE58" w14:textId="77777777" w:rsidR="009B244D" w:rsidRDefault="00F4341B">
      <w:pPr>
        <w:spacing w:line="480" w:lineRule="exact"/>
        <w:ind w:hanging="720"/>
      </w:pPr>
      <w:r w:rsidRPr="002747A1">
        <w:rPr>
          <w:color w:val="000000" w:themeColor="text1"/>
          <w:lang w:val="it-IT" w:eastAsia="en-GB"/>
        </w:rPr>
        <w:t xml:space="preserve">Luo, Y. L. L., Cai, H., &amp; Song, H. (2014). </w:t>
      </w:r>
      <w:r>
        <w:rPr>
          <w:bCs/>
          <w:color w:val="000000" w:themeColor="text1"/>
          <w:kern w:val="36"/>
          <w:lang w:eastAsia="en-GB"/>
        </w:rPr>
        <w:t xml:space="preserve">A behavioral genetic study of intrapersonal and interpersonal dimensions of narcissism. </w:t>
      </w:r>
      <w:hyperlink r:id="rId30" w:history="1">
        <w:r>
          <w:rPr>
            <w:i/>
            <w:color w:val="000000" w:themeColor="text1"/>
            <w:lang w:eastAsia="en-GB"/>
          </w:rPr>
          <w:t>PLoS One</w:t>
        </w:r>
      </w:hyperlink>
      <w:r>
        <w:rPr>
          <w:i/>
          <w:color w:val="000000" w:themeColor="text1"/>
          <w:lang w:eastAsia="en-GB"/>
        </w:rPr>
        <w:t>, 9</w:t>
      </w:r>
      <w:r>
        <w:rPr>
          <w:color w:val="000000" w:themeColor="text1"/>
          <w:lang w:eastAsia="en-GB"/>
        </w:rPr>
        <w:t>: e93403. doi:</w:t>
      </w:r>
      <w:hyperlink r:id="rId31" w:tgtFrame="pmc_ext" w:history="1">
        <w:r>
          <w:rPr>
            <w:color w:val="000000" w:themeColor="text1"/>
            <w:lang w:eastAsia="en-GB"/>
          </w:rPr>
          <w:t>10.1371/journal.pone.0093403</w:t>
        </w:r>
      </w:hyperlink>
    </w:p>
    <w:p w14:paraId="0CC9A9BE" w14:textId="77777777" w:rsidR="009B244D" w:rsidRDefault="00F4341B">
      <w:pPr>
        <w:spacing w:line="480" w:lineRule="exact"/>
        <w:ind w:hanging="720"/>
        <w:rPr>
          <w:bCs/>
        </w:rPr>
      </w:pPr>
      <w:r w:rsidRPr="00EA477F">
        <w:rPr>
          <w:bCs/>
          <w:lang w:val="it-IT"/>
        </w:rPr>
        <w:t xml:space="preserve">Luo, Y. L. L., Cai, H., Sedikides, C., &amp; Song, H. (2014). </w:t>
      </w:r>
      <w:r>
        <w:rPr>
          <w:bCs/>
        </w:rPr>
        <w:t xml:space="preserve">Distinguishing communal narcissism from agentic narcissism: A behavior genetics analysis on the agency-communion model of narcissism. </w:t>
      </w:r>
      <w:r>
        <w:rPr>
          <w:bCs/>
          <w:i/>
          <w:iCs/>
        </w:rPr>
        <w:t>Journal of Research in Personality, 49</w:t>
      </w:r>
      <w:r>
        <w:rPr>
          <w:bCs/>
          <w:iCs/>
        </w:rPr>
        <w:t>, 52-58</w:t>
      </w:r>
      <w:r>
        <w:rPr>
          <w:bCs/>
        </w:rPr>
        <w:t>. doi:10.1016/j.jrp.2014.01.001</w:t>
      </w:r>
    </w:p>
    <w:p w14:paraId="2F819459" w14:textId="77777777" w:rsidR="009B244D" w:rsidRDefault="00F4341B">
      <w:pPr>
        <w:spacing w:line="480" w:lineRule="exact"/>
        <w:ind w:hanging="720"/>
        <w:rPr>
          <w:bCs/>
        </w:rPr>
      </w:pPr>
      <w:r>
        <w:rPr>
          <w:bCs/>
        </w:rPr>
        <w:t xml:space="preserve">Luo, Y. L. L., Shi, Y., Cai, H., Wu, M., &amp; Song, H. (2014). Liking for name predicts happiness: A behavioral genetic analysis. </w:t>
      </w:r>
      <w:r>
        <w:rPr>
          <w:bCs/>
          <w:i/>
        </w:rPr>
        <w:t>Personality and Individual Differences, 69,</w:t>
      </w:r>
      <w:r>
        <w:rPr>
          <w:bCs/>
        </w:rPr>
        <w:t xml:space="preserve"> 156-161. doi</w:t>
      </w:r>
      <w:r>
        <w:rPr>
          <w:rFonts w:hint="eastAsia"/>
          <w:bCs/>
        </w:rPr>
        <w:t>:</w:t>
      </w:r>
      <w:r>
        <w:rPr>
          <w:bCs/>
        </w:rPr>
        <w:t>10.1016/j.paid.2014.05.025</w:t>
      </w:r>
    </w:p>
    <w:p w14:paraId="1924E843" w14:textId="77777777" w:rsidR="009B244D" w:rsidRDefault="00F4341B">
      <w:pPr>
        <w:spacing w:line="480" w:lineRule="exact"/>
        <w:ind w:hanging="720"/>
        <w:rPr>
          <w:lang w:val="en-GB"/>
        </w:rPr>
      </w:pPr>
      <w:r>
        <w:rPr>
          <w:lang w:val="en-GB"/>
        </w:rPr>
        <w:t xml:space="preserve">Macmillan, N. A., &amp; Creelman, C. D. (1991). </w:t>
      </w:r>
      <w:r>
        <w:rPr>
          <w:i/>
          <w:iCs/>
          <w:lang w:val="en-GB"/>
        </w:rPr>
        <w:t>Detection theory: A user’s guide</w:t>
      </w:r>
      <w:r>
        <w:rPr>
          <w:lang w:val="en-GB"/>
        </w:rPr>
        <w:t>. Cambridge, England: Cambridge University Press.</w:t>
      </w:r>
    </w:p>
    <w:p w14:paraId="6734FACE" w14:textId="67DEA16A" w:rsidR="009B244D" w:rsidRDefault="00F4341B">
      <w:pPr>
        <w:spacing w:line="480" w:lineRule="exact"/>
        <w:ind w:hanging="720"/>
      </w:pPr>
      <w:r>
        <w:t xml:space="preserve">Matosic D., Ntoumanis, N., Boardley, I. D., Sedikides, C., Stewart, B. D., &amp; Chatzisarantis, N. (2017). Narcissism and coach behaviours: A self-determination theory perspective. </w:t>
      </w:r>
      <w:r>
        <w:rPr>
          <w:i/>
        </w:rPr>
        <w:t>Scandinavian Journal of Medicine &amp; Science in Sports, 27</w:t>
      </w:r>
      <w:r>
        <w:t>, 254-261. doi:10.1111/sms.12635</w:t>
      </w:r>
    </w:p>
    <w:p w14:paraId="71C2E94A" w14:textId="7E2CF448" w:rsidR="009177DC" w:rsidRPr="002747A1" w:rsidRDefault="0010041A">
      <w:pPr>
        <w:spacing w:line="480" w:lineRule="exact"/>
        <w:ind w:hanging="720"/>
        <w:rPr>
          <w:lang w:val="de-DE"/>
        </w:rPr>
      </w:pPr>
      <w:r w:rsidRPr="002747A1">
        <w:rPr>
          <w:lang w:val="fr-FR"/>
        </w:rPr>
        <w:t xml:space="preserve">McGue, M., &amp; Bouchard, T. J. (1984). </w:t>
      </w:r>
      <w:r>
        <w:t xml:space="preserve">Adjustment of twin data for the effects of age and sex. </w:t>
      </w:r>
      <w:r w:rsidRPr="002747A1">
        <w:rPr>
          <w:i/>
          <w:iCs/>
          <w:lang w:val="de-DE"/>
        </w:rPr>
        <w:t>Behavior Genetics</w:t>
      </w:r>
      <w:r w:rsidRPr="002747A1">
        <w:rPr>
          <w:lang w:val="de-DE"/>
        </w:rPr>
        <w:t xml:space="preserve">, </w:t>
      </w:r>
      <w:r w:rsidRPr="002747A1">
        <w:rPr>
          <w:i/>
          <w:iCs/>
          <w:lang w:val="de-DE"/>
        </w:rPr>
        <w:t>14</w:t>
      </w:r>
      <w:r w:rsidRPr="002747A1">
        <w:rPr>
          <w:lang w:val="de-DE"/>
        </w:rPr>
        <w:t xml:space="preserve">, 325-343. </w:t>
      </w:r>
      <w:hyperlink r:id="rId32" w:history="1">
        <w:r w:rsidRPr="002747A1">
          <w:rPr>
            <w:rStyle w:val="Hyperlink"/>
            <w:color w:val="000000" w:themeColor="text1"/>
            <w:u w:val="none"/>
            <w:lang w:val="de-DE"/>
          </w:rPr>
          <w:t>doi:10.1007/BF01080045</w:t>
        </w:r>
      </w:hyperlink>
    </w:p>
    <w:p w14:paraId="0A7CD48D" w14:textId="77777777" w:rsidR="009177DC" w:rsidRDefault="009177DC">
      <w:pPr>
        <w:spacing w:line="480" w:lineRule="exact"/>
        <w:ind w:hanging="720"/>
        <w:rPr>
          <w:color w:val="000000" w:themeColor="text1"/>
        </w:rPr>
      </w:pPr>
      <w:r w:rsidRPr="002747A1">
        <w:rPr>
          <w:lang w:val="de-DE"/>
        </w:rPr>
        <w:t xml:space="preserve">Melchers, M., Plieger, T., Montag, C., Reuter, M., Spinath, F. M., &amp; Hahn, E. (2018). </w:t>
      </w:r>
      <w:r w:rsidRPr="00F276D1">
        <w:t xml:space="preserve">The heritability of response styles and its impact on heritability estimates of personality: A twin study. </w:t>
      </w:r>
      <w:r w:rsidRPr="00F276D1">
        <w:rPr>
          <w:i/>
          <w:iCs/>
        </w:rPr>
        <w:t>Personality and Individual Differences</w:t>
      </w:r>
      <w:r w:rsidRPr="00F276D1">
        <w:t xml:space="preserve">, </w:t>
      </w:r>
      <w:r w:rsidRPr="00F276D1">
        <w:rPr>
          <w:i/>
          <w:iCs/>
        </w:rPr>
        <w:t>134</w:t>
      </w:r>
      <w:r w:rsidRPr="00F276D1">
        <w:t>, 16</w:t>
      </w:r>
      <w:r>
        <w:t>-</w:t>
      </w:r>
      <w:r w:rsidRPr="00F276D1">
        <w:t xml:space="preserve">24. </w:t>
      </w:r>
      <w:r w:rsidRPr="00385E5F">
        <w:rPr>
          <w:color w:val="000000" w:themeColor="text1"/>
        </w:rPr>
        <w:t>doi:10.1016/j.paid.2018.05.023</w:t>
      </w:r>
    </w:p>
    <w:p w14:paraId="1FCB47FC" w14:textId="7C8ABE7E" w:rsidR="009B244D" w:rsidRDefault="00F4341B">
      <w:pPr>
        <w:spacing w:line="480" w:lineRule="exact"/>
        <w:ind w:hanging="720"/>
      </w:pPr>
      <w:r>
        <w:t xml:space="preserve">Paulhus, D. L., Harms, P. D., Bruce, M. N., &amp; Lysy, D. C. (2003). The over-claiming technique: Measuring self-enhancement independent of ability. </w:t>
      </w:r>
      <w:r>
        <w:rPr>
          <w:i/>
        </w:rPr>
        <w:t>Journal of Personality and Social Psychology, 84,</w:t>
      </w:r>
      <w:r>
        <w:t xml:space="preserve"> 890-904. doi:10.1037/0022-3514.84.4.890</w:t>
      </w:r>
    </w:p>
    <w:p w14:paraId="54956264" w14:textId="77777777" w:rsidR="009B244D" w:rsidRDefault="00F4341B">
      <w:pPr>
        <w:spacing w:line="480" w:lineRule="exact"/>
        <w:ind w:hanging="720"/>
        <w:rPr>
          <w:color w:val="000000" w:themeColor="text1"/>
        </w:rPr>
      </w:pPr>
      <w:r>
        <w:lastRenderedPageBreak/>
        <w:t xml:space="preserve">Purcell, S. (2002). Variance components models for gene–environment interaction in twin analysis. </w:t>
      </w:r>
      <w:r>
        <w:rPr>
          <w:i/>
        </w:rPr>
        <w:t>Twin Research, 5</w:t>
      </w:r>
      <w:r>
        <w:t>, 554-571. doi:10.1375/twin.5.6.554</w:t>
      </w:r>
    </w:p>
    <w:p w14:paraId="5478DA77" w14:textId="77777777" w:rsidR="00215FDE" w:rsidRDefault="00F4341B" w:rsidP="00215FDE">
      <w:pPr>
        <w:spacing w:line="480" w:lineRule="exact"/>
        <w:ind w:hanging="720"/>
        <w:rPr>
          <w:color w:val="000000" w:themeColor="text1"/>
          <w:lang w:val="en-GB"/>
        </w:rPr>
      </w:pPr>
      <w:r>
        <w:rPr>
          <w:color w:val="000000" w:themeColor="text1"/>
          <w:lang w:val="en-GB"/>
        </w:rPr>
        <w:t>Raftery, A. E. (1995). Baysian Model selection in social research [with discussion]. In P. V. Marsden (Ed.), Sociological methodology 1995 (pp. 111-195). Cambridge, MA: Blackwell.</w:t>
      </w:r>
    </w:p>
    <w:p w14:paraId="090C1ADA" w14:textId="5E7B85D7" w:rsidR="00215FDE" w:rsidRPr="002747A1" w:rsidRDefault="00215FDE" w:rsidP="004B52AF">
      <w:pPr>
        <w:spacing w:line="480" w:lineRule="exact"/>
        <w:ind w:hanging="720"/>
        <w:rPr>
          <w:color w:val="000000" w:themeColor="text1"/>
          <w:lang w:val="en-GB"/>
        </w:rPr>
      </w:pPr>
      <w:r>
        <w:t>Reinhard, D. A., Konrath, S. H., Lopez, W. D., &amp; Ca</w:t>
      </w:r>
      <w:r w:rsidR="004B52AF">
        <w:t xml:space="preserve">meron, H. G. (2012). Expensive </w:t>
      </w:r>
      <w:r w:rsidR="004B52AF">
        <w:rPr>
          <w:lang w:val="en-GB"/>
        </w:rPr>
        <w:t>e</w:t>
      </w:r>
      <w:r>
        <w:t xml:space="preserve">gos: Narcissistic </w:t>
      </w:r>
      <w:r w:rsidR="004B52AF">
        <w:t>males have higher c</w:t>
      </w:r>
      <w:r>
        <w:t xml:space="preserve">ortisol. </w:t>
      </w:r>
      <w:r>
        <w:rPr>
          <w:i/>
          <w:iCs/>
        </w:rPr>
        <w:t>PLoS ONE</w:t>
      </w:r>
      <w:r>
        <w:t xml:space="preserve">, </w:t>
      </w:r>
      <w:r>
        <w:rPr>
          <w:i/>
          <w:iCs/>
        </w:rPr>
        <w:t>7</w:t>
      </w:r>
      <w:r>
        <w:t xml:space="preserve">, e30858. </w:t>
      </w:r>
      <w:r w:rsidR="00DB011F">
        <w:t>doi:</w:t>
      </w:r>
      <w:r w:rsidR="00DB011F" w:rsidRPr="002747A1">
        <w:t>10.1371/journal.pone.0030858</w:t>
      </w:r>
    </w:p>
    <w:p w14:paraId="68108259" w14:textId="38BF2F71" w:rsidR="009B244D" w:rsidRDefault="00F4341B">
      <w:pPr>
        <w:pStyle w:val="NormalWeb"/>
        <w:spacing w:before="0" w:beforeAutospacing="0" w:after="0" w:afterAutospacing="0" w:line="480" w:lineRule="exact"/>
        <w:ind w:hanging="720"/>
        <w:rPr>
          <w:bCs/>
        </w:rPr>
      </w:pPr>
      <w:r>
        <w:t xml:space="preserve">Rosenthal, S. A., Hooley, J. M., &amp; Steshenko, Y. (2007). </w:t>
      </w:r>
      <w:r>
        <w:rPr>
          <w:i/>
          <w:iCs/>
        </w:rPr>
        <w:t>Distinguishing grandiosity from self-esteem: Development of the Narcissistic Grandiosity Scale</w:t>
      </w:r>
      <w:r>
        <w:t>. Unpublished</w:t>
      </w:r>
      <w:r w:rsidR="00BE1364">
        <w:t xml:space="preserve"> </w:t>
      </w:r>
      <w:r>
        <w:t>Manuscript.</w:t>
      </w:r>
    </w:p>
    <w:p w14:paraId="3ED43B32" w14:textId="77777777" w:rsidR="00461CCC" w:rsidRDefault="00F4341B" w:rsidP="00461CCC">
      <w:pPr>
        <w:spacing w:line="480" w:lineRule="exact"/>
        <w:ind w:hanging="720"/>
      </w:pPr>
      <w:r>
        <w:rPr>
          <w:bCs/>
        </w:rPr>
        <w:t xml:space="preserve">Sedikides, C. (2018). </w:t>
      </w:r>
      <w:r w:rsidRPr="007025FE">
        <w:rPr>
          <w:bCs/>
        </w:rPr>
        <w:t>O</w:t>
      </w:r>
      <w:r w:rsidRPr="007025FE">
        <w:t>n the doggedness of self-enhancement and self-protection: How constraining are reality constraints</w:t>
      </w:r>
      <w:r>
        <w:t>?</w:t>
      </w:r>
      <w:r w:rsidR="0010041A">
        <w:rPr>
          <w:bCs/>
        </w:rPr>
        <w:t xml:space="preserve"> </w:t>
      </w:r>
      <w:r w:rsidR="0010041A" w:rsidRPr="007025FE">
        <w:rPr>
          <w:bCs/>
          <w:i/>
        </w:rPr>
        <w:t>Self and Identity</w:t>
      </w:r>
      <w:r w:rsidR="0010041A">
        <w:rPr>
          <w:bCs/>
        </w:rPr>
        <w:t xml:space="preserve">. </w:t>
      </w:r>
      <w:r w:rsidR="0010041A">
        <w:t>Advance online publication. doi:10.1080/15298868.2018.1562961.</w:t>
      </w:r>
    </w:p>
    <w:p w14:paraId="61C37DF7" w14:textId="3DAE83BE" w:rsidR="00461CCC" w:rsidRDefault="00461CCC" w:rsidP="00461CCC">
      <w:pPr>
        <w:spacing w:line="480" w:lineRule="exact"/>
        <w:ind w:hanging="720"/>
      </w:pPr>
      <w:r w:rsidRPr="003E505C">
        <w:rPr>
          <w:bCs/>
          <w:color w:val="000000"/>
          <w:lang w:val="en-GB"/>
        </w:rPr>
        <w:t xml:space="preserve">Sedikides, C., &amp; Alicke, M. D. (2012). </w:t>
      </w:r>
      <w:r w:rsidRPr="00A26BC2">
        <w:rPr>
          <w:bCs/>
          <w:color w:val="000000"/>
        </w:rPr>
        <w:t xml:space="preserve">Self-enhancement and self-protection motives. In </w:t>
      </w:r>
      <w:r w:rsidRPr="00A26BC2">
        <w:rPr>
          <w:bCs/>
          <w:iCs/>
          <w:color w:val="000000"/>
        </w:rPr>
        <w:t xml:space="preserve">R. M. Ryan (Ed.), </w:t>
      </w:r>
      <w:r w:rsidRPr="00A26BC2">
        <w:rPr>
          <w:bCs/>
          <w:i/>
          <w:iCs/>
          <w:color w:val="000000"/>
        </w:rPr>
        <w:t>Oxford handbook of motivation</w:t>
      </w:r>
      <w:r w:rsidRPr="00A26BC2">
        <w:rPr>
          <w:bCs/>
          <w:iCs/>
          <w:color w:val="000000"/>
        </w:rPr>
        <w:t xml:space="preserve"> (pp. 303-322). New York, NY: </w:t>
      </w:r>
      <w:r w:rsidRPr="00A26BC2">
        <w:rPr>
          <w:bCs/>
          <w:color w:val="000000"/>
        </w:rPr>
        <w:t>Oxford University Press.</w:t>
      </w:r>
    </w:p>
    <w:p w14:paraId="5A9F4E38" w14:textId="77777777" w:rsidR="00E70B99" w:rsidRDefault="00E70B99" w:rsidP="007025FE">
      <w:pPr>
        <w:spacing w:line="480" w:lineRule="exact"/>
        <w:ind w:hanging="720"/>
        <w:rPr>
          <w:bCs/>
          <w:color w:val="000000"/>
        </w:rPr>
      </w:pPr>
      <w:r w:rsidRPr="003E505C">
        <w:rPr>
          <w:lang w:val="en-GB"/>
        </w:rPr>
        <w:t xml:space="preserve">Sedikides, C., &amp; Alicke, M. D. (2019). </w:t>
      </w:r>
      <w:r w:rsidRPr="007E0E05">
        <w:t xml:space="preserve">The five pillars of self-enhancement and self-protection. </w:t>
      </w:r>
      <w:r w:rsidRPr="007E0E05">
        <w:rPr>
          <w:bCs/>
          <w:iCs/>
          <w:color w:val="000000"/>
        </w:rPr>
        <w:t xml:space="preserve">In R. M. Ryan (Ed.), </w:t>
      </w:r>
      <w:r>
        <w:rPr>
          <w:bCs/>
          <w:i/>
          <w:iCs/>
          <w:color w:val="000000"/>
        </w:rPr>
        <w:t>The O</w:t>
      </w:r>
      <w:r w:rsidRPr="007E0E05">
        <w:rPr>
          <w:bCs/>
          <w:i/>
          <w:iCs/>
          <w:color w:val="000000"/>
        </w:rPr>
        <w:t xml:space="preserve">xford handbook of </w:t>
      </w:r>
      <w:r>
        <w:rPr>
          <w:bCs/>
          <w:i/>
          <w:iCs/>
          <w:color w:val="000000"/>
        </w:rPr>
        <w:t xml:space="preserve">human </w:t>
      </w:r>
      <w:r w:rsidRPr="007E0E05">
        <w:rPr>
          <w:bCs/>
          <w:i/>
          <w:iCs/>
          <w:color w:val="000000"/>
        </w:rPr>
        <w:t>motivation</w:t>
      </w:r>
      <w:r w:rsidRPr="007E0E05">
        <w:rPr>
          <w:bCs/>
          <w:iCs/>
          <w:color w:val="000000"/>
        </w:rPr>
        <w:t xml:space="preserve"> (2</w:t>
      </w:r>
      <w:r w:rsidRPr="007E0E05">
        <w:rPr>
          <w:bCs/>
          <w:iCs/>
          <w:color w:val="000000"/>
          <w:vertAlign w:val="superscript"/>
        </w:rPr>
        <w:t>nd</w:t>
      </w:r>
      <w:r>
        <w:rPr>
          <w:bCs/>
          <w:iCs/>
          <w:color w:val="000000"/>
        </w:rPr>
        <w:t xml:space="preserve"> e</w:t>
      </w:r>
      <w:r w:rsidRPr="007E0E05">
        <w:rPr>
          <w:bCs/>
          <w:iCs/>
          <w:color w:val="000000"/>
        </w:rPr>
        <w:t>d.</w:t>
      </w:r>
      <w:r>
        <w:rPr>
          <w:bCs/>
          <w:iCs/>
          <w:color w:val="000000"/>
        </w:rPr>
        <w:t>, pp. 307-319</w:t>
      </w:r>
      <w:r w:rsidRPr="007E0E05">
        <w:rPr>
          <w:bCs/>
          <w:iCs/>
          <w:color w:val="000000"/>
        </w:rPr>
        <w:t xml:space="preserve">). New York, NY: </w:t>
      </w:r>
      <w:r w:rsidRPr="007E0E05">
        <w:rPr>
          <w:bCs/>
          <w:color w:val="000000"/>
        </w:rPr>
        <w:t>Oxford University Press.</w:t>
      </w:r>
    </w:p>
    <w:p w14:paraId="3EEB2601" w14:textId="77777777" w:rsidR="009B244D" w:rsidRDefault="00F4341B">
      <w:pPr>
        <w:spacing w:line="480" w:lineRule="exact"/>
        <w:ind w:hanging="720"/>
      </w:pPr>
      <w:r>
        <w:t xml:space="preserve">Sedikides, C., Gaertner, L., &amp; Cai, H. (2015). On the panculturality of self-enhancement and self-protection motivation: The case for the universality of self-esteem. </w:t>
      </w:r>
      <w:r>
        <w:rPr>
          <w:i/>
        </w:rPr>
        <w:t>Advances in Motivation Science, 2</w:t>
      </w:r>
      <w:r>
        <w:t>, 185-241. doi:10.1016/bs.adms.2015.04.002</w:t>
      </w:r>
    </w:p>
    <w:p w14:paraId="5E1DDC70" w14:textId="77777777" w:rsidR="009B244D" w:rsidRPr="002747A1" w:rsidRDefault="00F4341B">
      <w:pPr>
        <w:spacing w:line="480" w:lineRule="exact"/>
        <w:ind w:hanging="720"/>
        <w:rPr>
          <w:rStyle w:val="slug-doi"/>
          <w:bCs/>
          <w:color w:val="000000"/>
          <w:lang w:val="fr-FR"/>
        </w:rPr>
      </w:pPr>
      <w:r>
        <w:rPr>
          <w:bCs/>
          <w:color w:val="000000"/>
        </w:rPr>
        <w:t xml:space="preserve">Sedikides, C., &amp; Gregg, A. P. (2008). Self-enhancement: Food for thought. </w:t>
      </w:r>
      <w:r>
        <w:rPr>
          <w:bCs/>
          <w:i/>
          <w:color w:val="000000"/>
          <w:lang w:val="fr-FR"/>
        </w:rPr>
        <w:t>Perspectives on Psychological Science, 3</w:t>
      </w:r>
      <w:r>
        <w:rPr>
          <w:bCs/>
          <w:color w:val="000000"/>
          <w:lang w:val="fr-FR"/>
        </w:rPr>
        <w:t>, 102-116. doi:</w:t>
      </w:r>
      <w:r w:rsidRPr="002747A1">
        <w:rPr>
          <w:rStyle w:val="slug-doi"/>
          <w:bCs/>
          <w:color w:val="000000"/>
          <w:lang w:val="fr-FR"/>
        </w:rPr>
        <w:t>10.1111/j.1745-6916.2008.00068.x</w:t>
      </w:r>
    </w:p>
    <w:p w14:paraId="3A9E99FE" w14:textId="7B27AA5D" w:rsidR="006F148D" w:rsidRDefault="006F148D">
      <w:pPr>
        <w:spacing w:line="480" w:lineRule="exact"/>
        <w:ind w:hanging="720"/>
        <w:rPr>
          <w:rStyle w:val="slug-doi"/>
          <w:bCs/>
          <w:color w:val="000000"/>
        </w:rPr>
      </w:pPr>
      <w:r w:rsidRPr="002747A1">
        <w:rPr>
          <w:bCs/>
          <w:color w:val="000000"/>
          <w:lang w:val="fr-FR"/>
        </w:rPr>
        <w:t xml:space="preserve">Sedikides, C., &amp; Strube, M. J. (1997). </w:t>
      </w:r>
      <w:r w:rsidRPr="007025FE">
        <w:rPr>
          <w:bCs/>
          <w:color w:val="000000"/>
        </w:rPr>
        <w:t>Self-</w:t>
      </w:r>
      <w:r w:rsidR="00E70B99">
        <w:rPr>
          <w:bCs/>
          <w:color w:val="000000"/>
        </w:rPr>
        <w:t>e</w:t>
      </w:r>
      <w:r w:rsidRPr="007025FE">
        <w:rPr>
          <w:bCs/>
          <w:color w:val="000000"/>
        </w:rPr>
        <w:t xml:space="preserve">valuation: To </w:t>
      </w:r>
      <w:r w:rsidR="00E70B99">
        <w:rPr>
          <w:bCs/>
          <w:color w:val="000000"/>
        </w:rPr>
        <w:t>t</w:t>
      </w:r>
      <w:r w:rsidRPr="007025FE">
        <w:rPr>
          <w:bCs/>
          <w:color w:val="000000"/>
        </w:rPr>
        <w:t xml:space="preserve">hine </w:t>
      </w:r>
      <w:r w:rsidR="00E70B99">
        <w:rPr>
          <w:bCs/>
          <w:color w:val="000000"/>
        </w:rPr>
        <w:t>o</w:t>
      </w:r>
      <w:r w:rsidRPr="007025FE">
        <w:rPr>
          <w:bCs/>
          <w:color w:val="000000"/>
        </w:rPr>
        <w:t xml:space="preserve">wn </w:t>
      </w:r>
      <w:r w:rsidR="00E70B99">
        <w:rPr>
          <w:bCs/>
          <w:color w:val="000000"/>
        </w:rPr>
        <w:t>s</w:t>
      </w:r>
      <w:r w:rsidRPr="007025FE">
        <w:rPr>
          <w:bCs/>
          <w:color w:val="000000"/>
        </w:rPr>
        <w:t xml:space="preserve">elf </w:t>
      </w:r>
      <w:r w:rsidR="00E70B99">
        <w:rPr>
          <w:bCs/>
          <w:color w:val="000000"/>
        </w:rPr>
        <w:t>b</w:t>
      </w:r>
      <w:r w:rsidRPr="007025FE">
        <w:rPr>
          <w:bCs/>
          <w:color w:val="000000"/>
        </w:rPr>
        <w:t xml:space="preserve">e </w:t>
      </w:r>
      <w:r w:rsidR="00E70B99">
        <w:rPr>
          <w:bCs/>
          <w:color w:val="000000"/>
        </w:rPr>
        <w:t>g</w:t>
      </w:r>
      <w:r w:rsidRPr="007025FE">
        <w:rPr>
          <w:bCs/>
          <w:color w:val="000000"/>
        </w:rPr>
        <w:t xml:space="preserve">ood, </w:t>
      </w:r>
      <w:r w:rsidR="00E70B99">
        <w:rPr>
          <w:bCs/>
          <w:color w:val="000000"/>
        </w:rPr>
        <w:t>t</w:t>
      </w:r>
      <w:r w:rsidRPr="007025FE">
        <w:rPr>
          <w:bCs/>
          <w:color w:val="000000"/>
        </w:rPr>
        <w:t xml:space="preserve">o </w:t>
      </w:r>
      <w:r w:rsidR="00E70B99">
        <w:rPr>
          <w:bCs/>
          <w:color w:val="000000"/>
        </w:rPr>
        <w:t>t</w:t>
      </w:r>
      <w:r w:rsidRPr="007025FE">
        <w:rPr>
          <w:bCs/>
          <w:color w:val="000000"/>
        </w:rPr>
        <w:t xml:space="preserve">hine </w:t>
      </w:r>
      <w:r w:rsidR="00E70B99">
        <w:rPr>
          <w:bCs/>
          <w:color w:val="000000"/>
        </w:rPr>
        <w:t>o</w:t>
      </w:r>
      <w:r w:rsidRPr="007025FE">
        <w:rPr>
          <w:bCs/>
          <w:color w:val="000000"/>
        </w:rPr>
        <w:t xml:space="preserve">wn </w:t>
      </w:r>
      <w:r w:rsidR="00E70B99">
        <w:rPr>
          <w:bCs/>
          <w:color w:val="000000"/>
        </w:rPr>
        <w:t>s</w:t>
      </w:r>
      <w:r w:rsidRPr="007025FE">
        <w:rPr>
          <w:bCs/>
          <w:color w:val="000000"/>
        </w:rPr>
        <w:t xml:space="preserve">elf </w:t>
      </w:r>
      <w:r w:rsidR="00E70B99">
        <w:rPr>
          <w:bCs/>
          <w:color w:val="000000"/>
        </w:rPr>
        <w:t>b</w:t>
      </w:r>
      <w:r w:rsidRPr="007025FE">
        <w:rPr>
          <w:bCs/>
          <w:color w:val="000000"/>
        </w:rPr>
        <w:t xml:space="preserve">e </w:t>
      </w:r>
      <w:r w:rsidR="00E70B99">
        <w:rPr>
          <w:bCs/>
          <w:color w:val="000000"/>
        </w:rPr>
        <w:t>s</w:t>
      </w:r>
      <w:r w:rsidRPr="007025FE">
        <w:rPr>
          <w:bCs/>
          <w:color w:val="000000"/>
        </w:rPr>
        <w:t xml:space="preserve">ure, </w:t>
      </w:r>
      <w:r w:rsidR="00E70B99">
        <w:rPr>
          <w:bCs/>
          <w:color w:val="000000"/>
        </w:rPr>
        <w:t>t</w:t>
      </w:r>
      <w:r w:rsidRPr="007025FE">
        <w:rPr>
          <w:bCs/>
          <w:color w:val="000000"/>
        </w:rPr>
        <w:t xml:space="preserve">o </w:t>
      </w:r>
      <w:r w:rsidR="00E70B99">
        <w:rPr>
          <w:bCs/>
          <w:color w:val="000000"/>
        </w:rPr>
        <w:t>t</w:t>
      </w:r>
      <w:r w:rsidRPr="007025FE">
        <w:rPr>
          <w:bCs/>
          <w:color w:val="000000"/>
        </w:rPr>
        <w:t xml:space="preserve">hine </w:t>
      </w:r>
      <w:r w:rsidR="00E70B99">
        <w:rPr>
          <w:bCs/>
          <w:color w:val="000000"/>
        </w:rPr>
        <w:t>o</w:t>
      </w:r>
      <w:r w:rsidRPr="007025FE">
        <w:rPr>
          <w:bCs/>
          <w:color w:val="000000"/>
        </w:rPr>
        <w:t xml:space="preserve">wn </w:t>
      </w:r>
      <w:r w:rsidR="00E70B99">
        <w:rPr>
          <w:bCs/>
          <w:color w:val="000000"/>
        </w:rPr>
        <w:t>s</w:t>
      </w:r>
      <w:r w:rsidRPr="007025FE">
        <w:rPr>
          <w:bCs/>
          <w:color w:val="000000"/>
        </w:rPr>
        <w:t xml:space="preserve">elf </w:t>
      </w:r>
      <w:r w:rsidR="00E70B99">
        <w:rPr>
          <w:bCs/>
          <w:color w:val="000000"/>
        </w:rPr>
        <w:t>be</w:t>
      </w:r>
      <w:r w:rsidRPr="007025FE">
        <w:rPr>
          <w:bCs/>
          <w:color w:val="000000"/>
        </w:rPr>
        <w:t xml:space="preserve"> </w:t>
      </w:r>
      <w:r w:rsidR="00E70B99">
        <w:rPr>
          <w:bCs/>
          <w:color w:val="000000"/>
        </w:rPr>
        <w:t>t</w:t>
      </w:r>
      <w:r w:rsidRPr="007025FE">
        <w:rPr>
          <w:bCs/>
          <w:color w:val="000000"/>
        </w:rPr>
        <w:t xml:space="preserve">rue, and </w:t>
      </w:r>
      <w:r w:rsidR="00E70B99">
        <w:rPr>
          <w:bCs/>
          <w:color w:val="000000"/>
        </w:rPr>
        <w:t>t</w:t>
      </w:r>
      <w:r w:rsidRPr="007025FE">
        <w:rPr>
          <w:bCs/>
          <w:color w:val="000000"/>
        </w:rPr>
        <w:t xml:space="preserve">o </w:t>
      </w:r>
      <w:r w:rsidR="00E70B99">
        <w:rPr>
          <w:bCs/>
          <w:color w:val="000000"/>
        </w:rPr>
        <w:t>t</w:t>
      </w:r>
      <w:r w:rsidRPr="007025FE">
        <w:rPr>
          <w:bCs/>
          <w:color w:val="000000"/>
        </w:rPr>
        <w:t xml:space="preserve">hine </w:t>
      </w:r>
      <w:r w:rsidR="00E70B99">
        <w:rPr>
          <w:bCs/>
          <w:color w:val="000000"/>
        </w:rPr>
        <w:t>o</w:t>
      </w:r>
      <w:r w:rsidRPr="007025FE">
        <w:rPr>
          <w:bCs/>
          <w:color w:val="000000"/>
        </w:rPr>
        <w:t xml:space="preserve">wn </w:t>
      </w:r>
      <w:r w:rsidR="00E70B99">
        <w:rPr>
          <w:bCs/>
          <w:color w:val="000000"/>
        </w:rPr>
        <w:t>s</w:t>
      </w:r>
      <w:r w:rsidRPr="007025FE">
        <w:rPr>
          <w:bCs/>
          <w:color w:val="000000"/>
        </w:rPr>
        <w:t xml:space="preserve">elf be </w:t>
      </w:r>
      <w:r w:rsidR="00E70B99">
        <w:rPr>
          <w:bCs/>
          <w:color w:val="000000"/>
        </w:rPr>
        <w:t>b</w:t>
      </w:r>
      <w:r w:rsidRPr="007025FE">
        <w:rPr>
          <w:bCs/>
          <w:color w:val="000000"/>
        </w:rPr>
        <w:t xml:space="preserve">etter. </w:t>
      </w:r>
      <w:r w:rsidRPr="007025FE">
        <w:rPr>
          <w:bCs/>
          <w:i/>
          <w:color w:val="000000"/>
        </w:rPr>
        <w:t>Advances in Experimental Social Psychology</w:t>
      </w:r>
      <w:r w:rsidR="00E70B99">
        <w:rPr>
          <w:bCs/>
          <w:i/>
          <w:color w:val="000000"/>
        </w:rPr>
        <w:t>, 29</w:t>
      </w:r>
      <w:r w:rsidRPr="007025FE">
        <w:rPr>
          <w:bCs/>
          <w:color w:val="000000"/>
        </w:rPr>
        <w:t>, 209</w:t>
      </w:r>
      <w:r w:rsidR="00E70B99">
        <w:rPr>
          <w:bCs/>
          <w:color w:val="000000"/>
        </w:rPr>
        <w:t>-</w:t>
      </w:r>
      <w:r w:rsidRPr="007025FE">
        <w:rPr>
          <w:bCs/>
          <w:color w:val="000000"/>
        </w:rPr>
        <w:t xml:space="preserve">269. </w:t>
      </w:r>
      <w:r>
        <w:rPr>
          <w:bCs/>
          <w:color w:val="000000"/>
        </w:rPr>
        <w:t>doi:</w:t>
      </w:r>
      <w:r w:rsidRPr="007025FE">
        <w:rPr>
          <w:bCs/>
          <w:color w:val="000000"/>
        </w:rPr>
        <w:t>10.1016/S0065-2601(08)60018-0</w:t>
      </w:r>
    </w:p>
    <w:p w14:paraId="5AF71F43" w14:textId="1A603894" w:rsidR="0010041A" w:rsidRPr="007025FE" w:rsidRDefault="00F4341B">
      <w:pPr>
        <w:spacing w:line="480" w:lineRule="exact"/>
        <w:ind w:hanging="720"/>
        <w:rPr>
          <w:rStyle w:val="slug-doi"/>
          <w:bCs/>
          <w:color w:val="000000" w:themeColor="text1"/>
        </w:rPr>
      </w:pPr>
      <w:r>
        <w:rPr>
          <w:rFonts w:eastAsia="TimesNewRomanPSMT"/>
          <w:lang w:val="en-GB"/>
        </w:rPr>
        <w:t xml:space="preserve">Taylor, S. E., &amp; Brown, J. D. (1988). Illusion and well-being: A social psychological perspective on mental health. </w:t>
      </w:r>
      <w:r>
        <w:rPr>
          <w:rFonts w:eastAsia="TimesNewRomanPSMT"/>
          <w:i/>
          <w:iCs/>
          <w:lang w:val="en-GB"/>
        </w:rPr>
        <w:t>Psychological Bulletin</w:t>
      </w:r>
      <w:r>
        <w:rPr>
          <w:rFonts w:eastAsia="TimesNewRomanPSMT"/>
          <w:lang w:val="en-GB"/>
        </w:rPr>
        <w:t xml:space="preserve">, </w:t>
      </w:r>
      <w:r>
        <w:rPr>
          <w:rFonts w:eastAsia="TimesNewRomanPSMT"/>
          <w:i/>
          <w:iCs/>
          <w:lang w:val="en-GB"/>
        </w:rPr>
        <w:t>103</w:t>
      </w:r>
      <w:r>
        <w:rPr>
          <w:rFonts w:eastAsia="TimesNewRomanPSMT"/>
          <w:lang w:val="en-GB"/>
        </w:rPr>
        <w:t>, 193-210.</w:t>
      </w:r>
      <w:r w:rsidR="0010041A">
        <w:rPr>
          <w:rFonts w:eastAsia="TimesNewRomanPSMT"/>
          <w:lang w:val="en-GB"/>
        </w:rPr>
        <w:t xml:space="preserve"> </w:t>
      </w:r>
      <w:hyperlink r:id="rId33" w:tgtFrame="_blank" w:history="1">
        <w:r w:rsidR="0010041A">
          <w:rPr>
            <w:rStyle w:val="Hyperlink"/>
            <w:color w:val="000000" w:themeColor="text1"/>
            <w:u w:val="none"/>
            <w:shd w:val="clear" w:color="auto" w:fill="FFFFFF"/>
          </w:rPr>
          <w:t>doi:</w:t>
        </w:r>
        <w:r w:rsidR="0010041A" w:rsidRPr="007025FE">
          <w:rPr>
            <w:rStyle w:val="Hyperlink"/>
            <w:color w:val="000000" w:themeColor="text1"/>
            <w:u w:val="none"/>
            <w:shd w:val="clear" w:color="auto" w:fill="FFFFFF"/>
          </w:rPr>
          <w:t>10.1037/0033-2909.103.2.193</w:t>
        </w:r>
      </w:hyperlink>
    </w:p>
    <w:p w14:paraId="20563FF5" w14:textId="3BBF9C2F" w:rsidR="0010041A" w:rsidRDefault="00F4341B">
      <w:pPr>
        <w:autoSpaceDE w:val="0"/>
        <w:autoSpaceDN w:val="0"/>
        <w:adjustRightInd w:val="0"/>
        <w:spacing w:line="480" w:lineRule="exact"/>
        <w:ind w:hanging="720"/>
      </w:pPr>
      <w:r>
        <w:rPr>
          <w:lang w:eastAsia="nl-NL"/>
        </w:rPr>
        <w:lastRenderedPageBreak/>
        <w:t xml:space="preserve">Thomaes, S., Brummelman, E., &amp; Sedikides, C. (2017). </w:t>
      </w:r>
      <w:r>
        <w:t xml:space="preserve">Why most children think highly of themselves. </w:t>
      </w:r>
      <w:r>
        <w:rPr>
          <w:i/>
        </w:rPr>
        <w:t>Child Development, 88</w:t>
      </w:r>
      <w:r>
        <w:t>, 1873-1884. doi:10.1111/cdev.12937</w:t>
      </w:r>
    </w:p>
    <w:p w14:paraId="404EBF96" w14:textId="77777777" w:rsidR="005D1BAF" w:rsidRDefault="00580699" w:rsidP="002747A1">
      <w:pPr>
        <w:autoSpaceDE w:val="0"/>
        <w:autoSpaceDN w:val="0"/>
        <w:adjustRightInd w:val="0"/>
        <w:spacing w:line="480" w:lineRule="exact"/>
        <w:ind w:hanging="720"/>
      </w:pPr>
      <w:r>
        <w:t xml:space="preserve">Verhulst, B. (2017). A </w:t>
      </w:r>
      <w:r w:rsidR="0010041A">
        <w:t>p</w:t>
      </w:r>
      <w:r>
        <w:t xml:space="preserve">ower </w:t>
      </w:r>
      <w:r w:rsidR="0010041A">
        <w:t>c</w:t>
      </w:r>
      <w:r>
        <w:t xml:space="preserve">alculator for the </w:t>
      </w:r>
      <w:r w:rsidR="0010041A">
        <w:t>c</w:t>
      </w:r>
      <w:r>
        <w:t xml:space="preserve">lassical </w:t>
      </w:r>
      <w:r w:rsidR="0010041A">
        <w:t>t</w:t>
      </w:r>
      <w:r>
        <w:t xml:space="preserve">win </w:t>
      </w:r>
      <w:r w:rsidR="0010041A">
        <w:t>d</w:t>
      </w:r>
      <w:r>
        <w:t xml:space="preserve">esign. </w:t>
      </w:r>
      <w:r>
        <w:rPr>
          <w:i/>
          <w:iCs/>
        </w:rPr>
        <w:t>Behavior Genetics</w:t>
      </w:r>
      <w:r>
        <w:t xml:space="preserve">, </w:t>
      </w:r>
      <w:r>
        <w:rPr>
          <w:i/>
          <w:iCs/>
        </w:rPr>
        <w:t>47</w:t>
      </w:r>
      <w:r>
        <w:t>, 255–261. d</w:t>
      </w:r>
      <w:r w:rsidRPr="007025FE">
        <w:t>oi</w:t>
      </w:r>
      <w:r>
        <w:t>:</w:t>
      </w:r>
      <w:r w:rsidRPr="007025FE">
        <w:t>10.1007/s10519-016-9828-9</w:t>
      </w:r>
    </w:p>
    <w:p w14:paraId="5F6132F8" w14:textId="77777777" w:rsidR="00EF3400" w:rsidRDefault="005D1BAF" w:rsidP="002747A1">
      <w:pPr>
        <w:autoSpaceDE w:val="0"/>
        <w:autoSpaceDN w:val="0"/>
        <w:adjustRightInd w:val="0"/>
        <w:spacing w:line="480" w:lineRule="exact"/>
        <w:ind w:hanging="720"/>
        <w:rPr>
          <w:color w:val="000000"/>
        </w:rPr>
      </w:pPr>
      <w:r w:rsidRPr="003401C5">
        <w:rPr>
          <w:color w:val="000000"/>
          <w:shd w:val="clear" w:color="auto" w:fill="FFFFFF"/>
        </w:rPr>
        <w:t>Yang, Z., Sedikides, C., Gu, R., Luo, Y. L. L., Wang, Y., &amp; Cai, H. (2018</w:t>
      </w:r>
      <w:r w:rsidR="00EF3400">
        <w:rPr>
          <w:color w:val="000000"/>
          <w:shd w:val="clear" w:color="auto" w:fill="FFFFFF"/>
        </w:rPr>
        <w:t>a</w:t>
      </w:r>
      <w:r w:rsidRPr="003401C5">
        <w:rPr>
          <w:color w:val="000000"/>
          <w:shd w:val="clear" w:color="auto" w:fill="FFFFFF"/>
        </w:rPr>
        <w:t xml:space="preserve">). </w:t>
      </w:r>
      <w:r w:rsidRPr="003401C5">
        <w:rPr>
          <w:color w:val="000000"/>
        </w:rPr>
        <w:t xml:space="preserve">Narcissism and risky decisions: A neurophysiological approach. </w:t>
      </w:r>
      <w:r w:rsidRPr="003401C5">
        <w:rPr>
          <w:i/>
          <w:color w:val="000000"/>
        </w:rPr>
        <w:t>Social Cognitive and Affective Neuroscience, 13</w:t>
      </w:r>
      <w:r w:rsidRPr="003401C5">
        <w:rPr>
          <w:color w:val="000000"/>
        </w:rPr>
        <w:t>, 889-897. doi:</w:t>
      </w:r>
      <w:hyperlink r:id="rId34" w:history="1">
        <w:r w:rsidRPr="00EA7FE5">
          <w:rPr>
            <w:rStyle w:val="Hyperlink"/>
            <w:color w:val="000000"/>
            <w:u w:val="none"/>
            <w:bdr w:val="none" w:sz="0" w:space="0" w:color="auto" w:frame="1"/>
          </w:rPr>
          <w:t>10.1093/scan/nsy053</w:t>
        </w:r>
      </w:hyperlink>
    </w:p>
    <w:p w14:paraId="0A306FD3" w14:textId="72BDE7F2" w:rsidR="00EF3400" w:rsidRPr="003401C5" w:rsidRDefault="00EF3400" w:rsidP="002747A1">
      <w:pPr>
        <w:autoSpaceDE w:val="0"/>
        <w:autoSpaceDN w:val="0"/>
        <w:adjustRightInd w:val="0"/>
        <w:spacing w:line="480" w:lineRule="exact"/>
        <w:ind w:hanging="720"/>
        <w:rPr>
          <w:color w:val="494949"/>
        </w:rPr>
      </w:pPr>
      <w:r>
        <w:rPr>
          <w:color w:val="000000"/>
          <w:shd w:val="clear" w:color="auto" w:fill="FFFFFF"/>
        </w:rPr>
        <w:t xml:space="preserve">Yang, Z., Sedikides, C., Gu, R., Luo, Y., Wang, Y., </w:t>
      </w:r>
      <w:r w:rsidR="00055498">
        <w:rPr>
          <w:color w:val="000000"/>
          <w:shd w:val="clear" w:color="auto" w:fill="FFFFFF"/>
        </w:rPr>
        <w:t xml:space="preserve">Yang, Y., Wu, M., </w:t>
      </w:r>
      <w:r>
        <w:rPr>
          <w:color w:val="000000"/>
          <w:shd w:val="clear" w:color="auto" w:fill="FFFFFF"/>
        </w:rPr>
        <w:t xml:space="preserve">&amp; Cai, H. (2018b). </w:t>
      </w:r>
      <w:r>
        <w:t xml:space="preserve">Communal narcissism: Social decisions and neurophysiological reactions. </w:t>
      </w:r>
      <w:r>
        <w:rPr>
          <w:i/>
        </w:rPr>
        <w:t>Journal of Research in Personality, 76</w:t>
      </w:r>
      <w:r>
        <w:t>, 65-73. doi:</w:t>
      </w:r>
      <w:r>
        <w:rPr>
          <w:rFonts w:eastAsia="TimesNewRoman"/>
          <w:color w:val="1A1A1A"/>
          <w:lang w:eastAsia="en-US"/>
        </w:rPr>
        <w:t>10.1016/j.jrp.2018.07.003</w:t>
      </w:r>
    </w:p>
    <w:p w14:paraId="79A5731B" w14:textId="77777777" w:rsidR="009B244D" w:rsidRDefault="00F4341B">
      <w:pPr>
        <w:autoSpaceDE w:val="0"/>
        <w:autoSpaceDN w:val="0"/>
        <w:adjustRightInd w:val="0"/>
        <w:spacing w:line="480" w:lineRule="exact"/>
        <w:ind w:hanging="720"/>
        <w:rPr>
          <w:bCs/>
          <w:color w:val="000000" w:themeColor="text1"/>
        </w:rPr>
      </w:pPr>
      <w:r>
        <w:rPr>
          <w:bCs/>
          <w:color w:val="000000" w:themeColor="text1"/>
        </w:rPr>
        <w:t xml:space="preserve">Young, S. E., Stallings, M. C., Corley, R. P., Krauter, K. S., &amp; Hewitt, J. K. (2000). Genetic and environmental influences on behavioral disinhibition. </w:t>
      </w:r>
      <w:r>
        <w:rPr>
          <w:bCs/>
          <w:i/>
          <w:color w:val="000000" w:themeColor="text1"/>
        </w:rPr>
        <w:t>American Journal of Medical Genetics, 96</w:t>
      </w:r>
      <w:r>
        <w:rPr>
          <w:bCs/>
          <w:color w:val="000000" w:themeColor="text1"/>
        </w:rPr>
        <w:t>, 684-695.</w:t>
      </w:r>
    </w:p>
    <w:p w14:paraId="6F3F1B8A" w14:textId="77777777" w:rsidR="009B244D" w:rsidRDefault="009B244D">
      <w:pPr>
        <w:autoSpaceDE w:val="0"/>
        <w:autoSpaceDN w:val="0"/>
        <w:adjustRightInd w:val="0"/>
        <w:spacing w:line="480" w:lineRule="exact"/>
        <w:ind w:hanging="720"/>
        <w:rPr>
          <w:color w:val="000000" w:themeColor="text1"/>
        </w:rPr>
      </w:pPr>
    </w:p>
    <w:sectPr w:rsidR="009B24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200D6" w14:textId="77777777" w:rsidR="00DC3300" w:rsidRDefault="00DC3300">
      <w:r>
        <w:separator/>
      </w:r>
    </w:p>
  </w:endnote>
  <w:endnote w:type="continuationSeparator" w:id="0">
    <w:p w14:paraId="786988E8" w14:textId="77777777" w:rsidR="00DC3300" w:rsidRDefault="00DC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rutiger LT Std 47 Light Cn">
    <w:altName w:val="Frutiger LT Std 47 Light Cn"/>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ulmer MT Std Regular">
    <w:altName w:val="Bulmer MT Std Regular"/>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TimesNewRomanPSMT">
    <w:charset w:val="00"/>
    <w:family w:val="auto"/>
    <w:pitch w:val="variable"/>
    <w:sig w:usb0="E0002AE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5445850"/>
      <w:docPartObj>
        <w:docPartGallery w:val="Page Numbers (Bottom of Page)"/>
        <w:docPartUnique/>
      </w:docPartObj>
    </w:sdtPr>
    <w:sdtEndPr>
      <w:rPr>
        <w:rStyle w:val="PageNumber"/>
      </w:rPr>
    </w:sdtEndPr>
    <w:sdtContent>
      <w:p w14:paraId="507F59C5" w14:textId="77777777" w:rsidR="00B94ED8" w:rsidRDefault="00B94ED8" w:rsidP="00F53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A3B1C9" w14:textId="77777777" w:rsidR="00B94ED8" w:rsidRDefault="00B94ED8" w:rsidP="00702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0A89" w14:textId="77777777" w:rsidR="00B94ED8" w:rsidRDefault="00B94ED8" w:rsidP="007025FE">
    <w:pPr>
      <w:pStyle w:val="Footer"/>
      <w:framePr w:wrap="none" w:vAnchor="text" w:hAnchor="margin" w:xAlign="right" w:y="1"/>
    </w:pPr>
  </w:p>
  <w:p w14:paraId="5C92FDB0" w14:textId="77777777" w:rsidR="00B94ED8" w:rsidRDefault="00B9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65E09" w14:textId="77777777" w:rsidR="00DC3300" w:rsidRDefault="00DC3300">
      <w:r>
        <w:separator/>
      </w:r>
    </w:p>
  </w:footnote>
  <w:footnote w:type="continuationSeparator" w:id="0">
    <w:p w14:paraId="00BB7E26" w14:textId="77777777" w:rsidR="00DC3300" w:rsidRDefault="00DC3300">
      <w:r>
        <w:continuationSeparator/>
      </w:r>
    </w:p>
  </w:footnote>
  <w:footnote w:id="1">
    <w:p w14:paraId="4DAF6AD2" w14:textId="6DD31411" w:rsidR="00B94ED8" w:rsidRDefault="00B94ED8" w:rsidP="00306421">
      <w:pPr>
        <w:pStyle w:val="FootnoteText"/>
      </w:pPr>
      <w:r>
        <w:rPr>
          <w:rStyle w:val="FootnoteReference"/>
        </w:rPr>
        <w:footnoteRef/>
      </w:r>
      <w:r w:rsidRPr="00ED45E5">
        <w:rPr>
          <w:sz w:val="21"/>
          <w:szCs w:val="21"/>
        </w:rPr>
        <w:t xml:space="preserve">For </w:t>
      </w:r>
      <w:r>
        <w:rPr>
          <w:rFonts w:hint="eastAsia"/>
          <w:sz w:val="21"/>
          <w:szCs w:val="21"/>
        </w:rPr>
        <w:t xml:space="preserve">power analyses of </w:t>
      </w:r>
      <w:r w:rsidRPr="00ED45E5">
        <w:rPr>
          <w:sz w:val="21"/>
          <w:szCs w:val="21"/>
        </w:rPr>
        <w:t xml:space="preserve">twin models, Verhulst (2017) recommends setting Type I Error rate as .10 to </w:t>
      </w:r>
      <w:r>
        <w:rPr>
          <w:rFonts w:hint="eastAsia"/>
          <w:sz w:val="21"/>
          <w:szCs w:val="21"/>
        </w:rPr>
        <w:t>address</w:t>
      </w:r>
      <w:r w:rsidRPr="00ED45E5">
        <w:rPr>
          <w:sz w:val="21"/>
          <w:szCs w:val="21"/>
        </w:rPr>
        <w:t xml:space="preserve"> a complex situation involving multiple chi-square distributions</w:t>
      </w:r>
      <w:r>
        <w:rPr>
          <w:rFonts w:hint="eastAsia"/>
          <w:sz w:val="21"/>
          <w:szCs w:val="21"/>
        </w:rPr>
        <w:t xml:space="preserve"> with different </w:t>
      </w:r>
      <w:r w:rsidRPr="00ED45E5">
        <w:rPr>
          <w:i/>
          <w:sz w:val="21"/>
          <w:szCs w:val="21"/>
        </w:rPr>
        <w:t>df</w:t>
      </w:r>
      <w:r>
        <w:rPr>
          <w:rFonts w:hint="eastAsia"/>
          <w:sz w:val="21"/>
          <w:szCs w:val="21"/>
        </w:rPr>
        <w:t>s</w:t>
      </w:r>
      <w:r w:rsidRPr="00ED45E5">
        <w:rPr>
          <w:sz w:val="21"/>
          <w:szCs w:val="21"/>
        </w:rPr>
        <w:t>.</w:t>
      </w:r>
      <w:r>
        <w:rPr>
          <w:rFonts w:hint="eastAsia"/>
          <w:sz w:val="21"/>
          <w:szCs w:val="21"/>
        </w:rPr>
        <w:t xml:space="preserve"> Such a solution is adequate for 1 </w:t>
      </w:r>
      <w:r w:rsidRPr="00ED45E5">
        <w:rPr>
          <w:i/>
          <w:sz w:val="21"/>
          <w:szCs w:val="21"/>
        </w:rPr>
        <w:t>df</w:t>
      </w:r>
      <w:r>
        <w:rPr>
          <w:rFonts w:hint="eastAsia"/>
          <w:sz w:val="21"/>
          <w:szCs w:val="21"/>
        </w:rPr>
        <w:t xml:space="preserve"> </w:t>
      </w:r>
      <w:r>
        <w:rPr>
          <w:sz w:val="21"/>
          <w:szCs w:val="21"/>
        </w:rPr>
        <w:t xml:space="preserve">test, </w:t>
      </w:r>
      <w:r>
        <w:rPr>
          <w:rFonts w:hint="eastAsia"/>
          <w:sz w:val="21"/>
          <w:szCs w:val="21"/>
        </w:rPr>
        <w:t xml:space="preserve">but may lead to an underestimate power for multiple </w:t>
      </w:r>
      <w:r w:rsidRPr="00ED45E5">
        <w:rPr>
          <w:i/>
          <w:sz w:val="21"/>
          <w:szCs w:val="21"/>
        </w:rPr>
        <w:t>df</w:t>
      </w:r>
      <w:r>
        <w:rPr>
          <w:i/>
          <w:sz w:val="21"/>
          <w:szCs w:val="21"/>
        </w:rPr>
        <w:t xml:space="preserve"> test</w:t>
      </w:r>
      <w:r>
        <w:rPr>
          <w:rFonts w:hint="eastAsia"/>
          <w:sz w:val="21"/>
          <w:szCs w:val="21"/>
        </w:rPr>
        <w:t xml:space="preserve">. </w:t>
      </w:r>
      <w:r>
        <w:rPr>
          <w:sz w:val="21"/>
          <w:szCs w:val="21"/>
        </w:rPr>
        <w:t>Nevertheless, we adopted this conservative strategy in our power analyses.</w:t>
      </w:r>
    </w:p>
  </w:footnote>
  <w:footnote w:id="2">
    <w:p w14:paraId="383A6256" w14:textId="55B5CE5B" w:rsidR="00B94ED8" w:rsidRPr="00BF5143" w:rsidRDefault="00B94ED8">
      <w:pPr>
        <w:pStyle w:val="FootnoteText"/>
      </w:pPr>
      <w:r>
        <w:rPr>
          <w:rStyle w:val="FootnoteReference"/>
        </w:rPr>
        <w:footnoteRef/>
      </w:r>
      <w:r w:rsidRPr="00ED45E5">
        <w:rPr>
          <w:rFonts w:eastAsia="Times New Roman" w:cs="Times New Roman"/>
          <w:sz w:val="21"/>
        </w:rPr>
        <w:t xml:space="preserve">Cohen (1988) suggests that </w:t>
      </w:r>
      <w:r w:rsidRPr="00ED45E5">
        <w:rPr>
          <w:rFonts w:eastAsia="Times New Roman" w:cs="Times New Roman"/>
          <w:i/>
          <w:sz w:val="21"/>
        </w:rPr>
        <w:t>w</w:t>
      </w:r>
      <w:r w:rsidRPr="00ED45E5">
        <w:rPr>
          <w:rFonts w:eastAsia="Times New Roman" w:cs="Times New Roman"/>
          <w:sz w:val="21"/>
        </w:rPr>
        <w:t xml:space="preserve"> is </w:t>
      </w:r>
      <w:r>
        <w:rPr>
          <w:rFonts w:eastAsia="Times New Roman" w:cs="Times New Roman"/>
          <w:sz w:val="21"/>
        </w:rPr>
        <w:t>comparable</w:t>
      </w:r>
      <w:r w:rsidRPr="00ED45E5">
        <w:rPr>
          <w:rFonts w:eastAsia="Times New Roman" w:cs="Times New Roman"/>
          <w:sz w:val="21"/>
        </w:rPr>
        <w:t xml:space="preserve"> to </w:t>
      </w:r>
      <w:r>
        <w:rPr>
          <w:rFonts w:eastAsia="Times New Roman" w:cs="Times New Roman"/>
          <w:sz w:val="21"/>
        </w:rPr>
        <w:t xml:space="preserve">the conventional </w:t>
      </w:r>
      <w:r w:rsidRPr="00ED45E5">
        <w:rPr>
          <w:rFonts w:eastAsia="Times New Roman" w:cs="Times New Roman"/>
          <w:sz w:val="21"/>
        </w:rPr>
        <w:t xml:space="preserve">effect size </w:t>
      </w:r>
      <w:r w:rsidRPr="00ED45E5">
        <w:rPr>
          <w:rFonts w:eastAsia="Times New Roman" w:cs="Times New Roman"/>
          <w:i/>
          <w:sz w:val="21"/>
        </w:rPr>
        <w:t>r</w:t>
      </w:r>
      <w:r w:rsidRPr="00ED45E5">
        <w:rPr>
          <w:rFonts w:eastAsia="Times New Roman" w:cs="Times New Roman"/>
          <w:sz w:val="21"/>
        </w:rPr>
        <w:t>, and</w:t>
      </w:r>
      <w:r>
        <w:rPr>
          <w:rFonts w:eastAsia="Times New Roman" w:cs="Times New Roman"/>
          <w:sz w:val="21"/>
        </w:rPr>
        <w:t xml:space="preserve"> that</w:t>
      </w:r>
      <w:r w:rsidRPr="00ED45E5">
        <w:rPr>
          <w:rFonts w:eastAsia="Times New Roman" w:cs="Times New Roman"/>
          <w:sz w:val="21"/>
        </w:rPr>
        <w:t xml:space="preserve"> w values of 0.1, 0.3, and 0.5 represent small, medium, and large effect sizes</w:t>
      </w:r>
      <w:r>
        <w:rPr>
          <w:rFonts w:eastAsia="Times New Roman" w:cs="Times New Roman"/>
          <w:sz w:val="21"/>
        </w:rPr>
        <w:t>,</w:t>
      </w:r>
      <w:r w:rsidRPr="00ED45E5">
        <w:rPr>
          <w:rFonts w:eastAsia="Times New Roman" w:cs="Times New Roman"/>
          <w:sz w:val="21"/>
        </w:rPr>
        <w:t xml:space="preserve"> respectively.</w:t>
      </w:r>
    </w:p>
  </w:footnote>
  <w:footnote w:id="3">
    <w:p w14:paraId="317AE9FC" w14:textId="1B64C988" w:rsidR="00B94ED8" w:rsidRDefault="00B94ED8">
      <w:pPr>
        <w:pStyle w:val="FootnoteText"/>
      </w:pPr>
      <w:r w:rsidRPr="007025FE">
        <w:rPr>
          <w:rStyle w:val="FootnoteReference"/>
          <w:sz w:val="22"/>
        </w:rPr>
        <w:footnoteRef/>
      </w:r>
      <w:r w:rsidRPr="0056323D">
        <w:rPr>
          <w:sz w:val="21"/>
        </w:rPr>
        <w:t xml:space="preserve">We also fitted a hypothesis-free model, a Cholesky decomposition. We provide the relevant illustration (Figure S1) and results (Table S1) in Supplementary Materials. The results of this unconstrained model showed that the five self-enhancement manifestations had common genetic, shared environmental, and non-shared environmental effects, with corresponding influence unique to each of them as well.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62B0" w14:textId="2EE6A4AC" w:rsidR="00B94ED8" w:rsidRDefault="00B94ED8" w:rsidP="00394A76">
    <w:pPr>
      <w:pStyle w:val="Header"/>
    </w:pPr>
    <w:r>
      <w:t xml:space="preserve">THE ETIOLOGY OF SELF-ENHANCEMENT </w:t>
    </w:r>
    <w:r>
      <w:tab/>
    </w:r>
    <w:sdt>
      <w:sdtPr>
        <w:id w:val="6247349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477F">
          <w:rPr>
            <w:noProof/>
          </w:rPr>
          <w:t>2</w:t>
        </w:r>
        <w:r>
          <w:rPr>
            <w:noProof/>
          </w:rPr>
          <w:fldChar w:fldCharType="end"/>
        </w:r>
      </w:sdtContent>
    </w:sdt>
  </w:p>
  <w:p w14:paraId="308A43A9" w14:textId="77777777" w:rsidR="00B94ED8" w:rsidRDefault="00B9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4C"/>
    <w:multiLevelType w:val="multilevel"/>
    <w:tmpl w:val="9410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274A"/>
    <w:multiLevelType w:val="hybridMultilevel"/>
    <w:tmpl w:val="996EB9F4"/>
    <w:lvl w:ilvl="0" w:tplc="12D836E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E4E9C"/>
    <w:multiLevelType w:val="multilevel"/>
    <w:tmpl w:val="43EE4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hyphenationZone w:val="425"/>
  <w:drawingGridHorizontalSpacing w:val="18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84"/>
    <w:rsid w:val="BFFB092A"/>
    <w:rsid w:val="D7EFC0B8"/>
    <w:rsid w:val="EEDF5207"/>
    <w:rsid w:val="00000100"/>
    <w:rsid w:val="000001BC"/>
    <w:rsid w:val="000008D4"/>
    <w:rsid w:val="00000ADF"/>
    <w:rsid w:val="00000B9A"/>
    <w:rsid w:val="00001278"/>
    <w:rsid w:val="000013EF"/>
    <w:rsid w:val="00001B73"/>
    <w:rsid w:val="00001C8D"/>
    <w:rsid w:val="00001E17"/>
    <w:rsid w:val="00002492"/>
    <w:rsid w:val="000029D5"/>
    <w:rsid w:val="00002B51"/>
    <w:rsid w:val="00002C87"/>
    <w:rsid w:val="00002E6B"/>
    <w:rsid w:val="00003B79"/>
    <w:rsid w:val="00003F66"/>
    <w:rsid w:val="0000424C"/>
    <w:rsid w:val="00004E42"/>
    <w:rsid w:val="0000551B"/>
    <w:rsid w:val="0000561D"/>
    <w:rsid w:val="00005BA2"/>
    <w:rsid w:val="00006F50"/>
    <w:rsid w:val="0000765E"/>
    <w:rsid w:val="0000792D"/>
    <w:rsid w:val="0001113A"/>
    <w:rsid w:val="000111CA"/>
    <w:rsid w:val="00011AF3"/>
    <w:rsid w:val="000125C4"/>
    <w:rsid w:val="000125E7"/>
    <w:rsid w:val="00013FDB"/>
    <w:rsid w:val="00014475"/>
    <w:rsid w:val="000147DF"/>
    <w:rsid w:val="000148C5"/>
    <w:rsid w:val="00014B8D"/>
    <w:rsid w:val="00015883"/>
    <w:rsid w:val="000165EB"/>
    <w:rsid w:val="00016700"/>
    <w:rsid w:val="0001671F"/>
    <w:rsid w:val="00017DFE"/>
    <w:rsid w:val="00020000"/>
    <w:rsid w:val="000205A4"/>
    <w:rsid w:val="00020BF1"/>
    <w:rsid w:val="00021043"/>
    <w:rsid w:val="0002139B"/>
    <w:rsid w:val="00023B27"/>
    <w:rsid w:val="000244AB"/>
    <w:rsid w:val="00024EC8"/>
    <w:rsid w:val="000251A4"/>
    <w:rsid w:val="0002585C"/>
    <w:rsid w:val="00025FBA"/>
    <w:rsid w:val="0002637F"/>
    <w:rsid w:val="00026CB9"/>
    <w:rsid w:val="00026EA5"/>
    <w:rsid w:val="0002753F"/>
    <w:rsid w:val="000278FA"/>
    <w:rsid w:val="00030531"/>
    <w:rsid w:val="00030704"/>
    <w:rsid w:val="00030A35"/>
    <w:rsid w:val="00031150"/>
    <w:rsid w:val="0003262B"/>
    <w:rsid w:val="00033484"/>
    <w:rsid w:val="00033AE0"/>
    <w:rsid w:val="00034816"/>
    <w:rsid w:val="00034A9E"/>
    <w:rsid w:val="00034EC7"/>
    <w:rsid w:val="00034F29"/>
    <w:rsid w:val="0003519B"/>
    <w:rsid w:val="00036289"/>
    <w:rsid w:val="00036ECC"/>
    <w:rsid w:val="000401F6"/>
    <w:rsid w:val="00040FF8"/>
    <w:rsid w:val="000423BD"/>
    <w:rsid w:val="000433A1"/>
    <w:rsid w:val="00043686"/>
    <w:rsid w:val="00043E6C"/>
    <w:rsid w:val="00045221"/>
    <w:rsid w:val="0004565B"/>
    <w:rsid w:val="00045B75"/>
    <w:rsid w:val="000465C3"/>
    <w:rsid w:val="0004667F"/>
    <w:rsid w:val="0004693F"/>
    <w:rsid w:val="00046CE9"/>
    <w:rsid w:val="0004763A"/>
    <w:rsid w:val="00050188"/>
    <w:rsid w:val="00051269"/>
    <w:rsid w:val="000513D5"/>
    <w:rsid w:val="00051EBE"/>
    <w:rsid w:val="000523CB"/>
    <w:rsid w:val="000541D2"/>
    <w:rsid w:val="00055498"/>
    <w:rsid w:val="00056628"/>
    <w:rsid w:val="00056A25"/>
    <w:rsid w:val="00056BF9"/>
    <w:rsid w:val="00057832"/>
    <w:rsid w:val="00057A20"/>
    <w:rsid w:val="00060AB0"/>
    <w:rsid w:val="00061B6F"/>
    <w:rsid w:val="00061C66"/>
    <w:rsid w:val="00062311"/>
    <w:rsid w:val="00062CD4"/>
    <w:rsid w:val="00062FBE"/>
    <w:rsid w:val="00063491"/>
    <w:rsid w:val="00063776"/>
    <w:rsid w:val="000649E8"/>
    <w:rsid w:val="00064EC7"/>
    <w:rsid w:val="000660B3"/>
    <w:rsid w:val="0006767F"/>
    <w:rsid w:val="00067841"/>
    <w:rsid w:val="00067902"/>
    <w:rsid w:val="000701F6"/>
    <w:rsid w:val="0007053A"/>
    <w:rsid w:val="00070E17"/>
    <w:rsid w:val="000716CD"/>
    <w:rsid w:val="00071F24"/>
    <w:rsid w:val="00072F3E"/>
    <w:rsid w:val="00073086"/>
    <w:rsid w:val="000734BA"/>
    <w:rsid w:val="00073747"/>
    <w:rsid w:val="000743FD"/>
    <w:rsid w:val="00074770"/>
    <w:rsid w:val="0007547D"/>
    <w:rsid w:val="0007579B"/>
    <w:rsid w:val="00075B61"/>
    <w:rsid w:val="00075D64"/>
    <w:rsid w:val="00075EDD"/>
    <w:rsid w:val="00076298"/>
    <w:rsid w:val="00076710"/>
    <w:rsid w:val="00077931"/>
    <w:rsid w:val="00077C9C"/>
    <w:rsid w:val="0008044A"/>
    <w:rsid w:val="00080B83"/>
    <w:rsid w:val="00081076"/>
    <w:rsid w:val="000818E0"/>
    <w:rsid w:val="00081BCD"/>
    <w:rsid w:val="00081C6E"/>
    <w:rsid w:val="00081FD9"/>
    <w:rsid w:val="000822A4"/>
    <w:rsid w:val="00082C4C"/>
    <w:rsid w:val="0008315E"/>
    <w:rsid w:val="000832C5"/>
    <w:rsid w:val="0008389D"/>
    <w:rsid w:val="000838BA"/>
    <w:rsid w:val="00083C03"/>
    <w:rsid w:val="0008428E"/>
    <w:rsid w:val="00084B5D"/>
    <w:rsid w:val="0008599E"/>
    <w:rsid w:val="00086898"/>
    <w:rsid w:val="00086DC6"/>
    <w:rsid w:val="00086E06"/>
    <w:rsid w:val="000871B6"/>
    <w:rsid w:val="00087AB2"/>
    <w:rsid w:val="000927D6"/>
    <w:rsid w:val="000933BE"/>
    <w:rsid w:val="00093A27"/>
    <w:rsid w:val="000949C5"/>
    <w:rsid w:val="00094F97"/>
    <w:rsid w:val="0009536F"/>
    <w:rsid w:val="00096304"/>
    <w:rsid w:val="00096527"/>
    <w:rsid w:val="00096632"/>
    <w:rsid w:val="00096655"/>
    <w:rsid w:val="000975BF"/>
    <w:rsid w:val="000A0AE8"/>
    <w:rsid w:val="000A0F5D"/>
    <w:rsid w:val="000A1561"/>
    <w:rsid w:val="000A178A"/>
    <w:rsid w:val="000A1EDD"/>
    <w:rsid w:val="000A21F5"/>
    <w:rsid w:val="000A25CA"/>
    <w:rsid w:val="000A3669"/>
    <w:rsid w:val="000A3CA4"/>
    <w:rsid w:val="000A420A"/>
    <w:rsid w:val="000A42F3"/>
    <w:rsid w:val="000A55D4"/>
    <w:rsid w:val="000A5F87"/>
    <w:rsid w:val="000A61DC"/>
    <w:rsid w:val="000A69BD"/>
    <w:rsid w:val="000A6A43"/>
    <w:rsid w:val="000B01FA"/>
    <w:rsid w:val="000B03CD"/>
    <w:rsid w:val="000B06E6"/>
    <w:rsid w:val="000B1119"/>
    <w:rsid w:val="000B1737"/>
    <w:rsid w:val="000B2D14"/>
    <w:rsid w:val="000B3113"/>
    <w:rsid w:val="000B4A8C"/>
    <w:rsid w:val="000B5174"/>
    <w:rsid w:val="000B5850"/>
    <w:rsid w:val="000B634D"/>
    <w:rsid w:val="000B6812"/>
    <w:rsid w:val="000B6C92"/>
    <w:rsid w:val="000B7971"/>
    <w:rsid w:val="000B7D06"/>
    <w:rsid w:val="000C035E"/>
    <w:rsid w:val="000C04E9"/>
    <w:rsid w:val="000C0667"/>
    <w:rsid w:val="000C08B2"/>
    <w:rsid w:val="000C0C65"/>
    <w:rsid w:val="000C103A"/>
    <w:rsid w:val="000C25D5"/>
    <w:rsid w:val="000C2FE4"/>
    <w:rsid w:val="000C38C7"/>
    <w:rsid w:val="000C3C89"/>
    <w:rsid w:val="000C4008"/>
    <w:rsid w:val="000C57FC"/>
    <w:rsid w:val="000C58B7"/>
    <w:rsid w:val="000C5B7A"/>
    <w:rsid w:val="000C5E2A"/>
    <w:rsid w:val="000C6536"/>
    <w:rsid w:val="000D0223"/>
    <w:rsid w:val="000D0A74"/>
    <w:rsid w:val="000D1535"/>
    <w:rsid w:val="000D15EA"/>
    <w:rsid w:val="000D1C45"/>
    <w:rsid w:val="000D39EC"/>
    <w:rsid w:val="000D3EB3"/>
    <w:rsid w:val="000D4328"/>
    <w:rsid w:val="000D4A74"/>
    <w:rsid w:val="000D4AF8"/>
    <w:rsid w:val="000D5C61"/>
    <w:rsid w:val="000D5F91"/>
    <w:rsid w:val="000D60DF"/>
    <w:rsid w:val="000D6428"/>
    <w:rsid w:val="000D68AD"/>
    <w:rsid w:val="000D6BDF"/>
    <w:rsid w:val="000D7351"/>
    <w:rsid w:val="000D7431"/>
    <w:rsid w:val="000D7CC2"/>
    <w:rsid w:val="000D7D9E"/>
    <w:rsid w:val="000D7FB3"/>
    <w:rsid w:val="000E02AD"/>
    <w:rsid w:val="000E036A"/>
    <w:rsid w:val="000E0599"/>
    <w:rsid w:val="000E0681"/>
    <w:rsid w:val="000E0CE6"/>
    <w:rsid w:val="000E11AC"/>
    <w:rsid w:val="000E1566"/>
    <w:rsid w:val="000E2012"/>
    <w:rsid w:val="000E212C"/>
    <w:rsid w:val="000E22C4"/>
    <w:rsid w:val="000E23F3"/>
    <w:rsid w:val="000E2446"/>
    <w:rsid w:val="000E286E"/>
    <w:rsid w:val="000E2A05"/>
    <w:rsid w:val="000E2EF6"/>
    <w:rsid w:val="000E3442"/>
    <w:rsid w:val="000E3862"/>
    <w:rsid w:val="000E3CD6"/>
    <w:rsid w:val="000E408E"/>
    <w:rsid w:val="000E5457"/>
    <w:rsid w:val="000E67EA"/>
    <w:rsid w:val="000E736D"/>
    <w:rsid w:val="000E7664"/>
    <w:rsid w:val="000E7E24"/>
    <w:rsid w:val="000E7EC9"/>
    <w:rsid w:val="000F0104"/>
    <w:rsid w:val="000F0649"/>
    <w:rsid w:val="000F0D14"/>
    <w:rsid w:val="000F0EDB"/>
    <w:rsid w:val="000F1CA4"/>
    <w:rsid w:val="000F1CCD"/>
    <w:rsid w:val="000F242C"/>
    <w:rsid w:val="000F24D4"/>
    <w:rsid w:val="000F2F83"/>
    <w:rsid w:val="000F33BD"/>
    <w:rsid w:val="000F3906"/>
    <w:rsid w:val="000F5490"/>
    <w:rsid w:val="000F585D"/>
    <w:rsid w:val="000F5E1C"/>
    <w:rsid w:val="000F604D"/>
    <w:rsid w:val="000F67ED"/>
    <w:rsid w:val="000F68E4"/>
    <w:rsid w:val="000F6E87"/>
    <w:rsid w:val="000F7786"/>
    <w:rsid w:val="0010041A"/>
    <w:rsid w:val="00100A20"/>
    <w:rsid w:val="00100D25"/>
    <w:rsid w:val="00100FFA"/>
    <w:rsid w:val="00101B90"/>
    <w:rsid w:val="00101C47"/>
    <w:rsid w:val="0010233D"/>
    <w:rsid w:val="0010290C"/>
    <w:rsid w:val="00102974"/>
    <w:rsid w:val="00102995"/>
    <w:rsid w:val="001033B6"/>
    <w:rsid w:val="00104037"/>
    <w:rsid w:val="001043E0"/>
    <w:rsid w:val="0010487D"/>
    <w:rsid w:val="00104994"/>
    <w:rsid w:val="00104C51"/>
    <w:rsid w:val="0010644B"/>
    <w:rsid w:val="001066E3"/>
    <w:rsid w:val="00106A8F"/>
    <w:rsid w:val="00107625"/>
    <w:rsid w:val="001079BA"/>
    <w:rsid w:val="001108BB"/>
    <w:rsid w:val="00110FE6"/>
    <w:rsid w:val="001113E4"/>
    <w:rsid w:val="00111AF6"/>
    <w:rsid w:val="00111B51"/>
    <w:rsid w:val="00111B56"/>
    <w:rsid w:val="00112DE0"/>
    <w:rsid w:val="00112E5B"/>
    <w:rsid w:val="00113A05"/>
    <w:rsid w:val="00113A7D"/>
    <w:rsid w:val="001146C6"/>
    <w:rsid w:val="00116253"/>
    <w:rsid w:val="0011657B"/>
    <w:rsid w:val="001166DF"/>
    <w:rsid w:val="001169E5"/>
    <w:rsid w:val="00116A4E"/>
    <w:rsid w:val="00116B40"/>
    <w:rsid w:val="00117143"/>
    <w:rsid w:val="00121526"/>
    <w:rsid w:val="00121A4C"/>
    <w:rsid w:val="00121AB5"/>
    <w:rsid w:val="00121B9B"/>
    <w:rsid w:val="00122119"/>
    <w:rsid w:val="00122CE9"/>
    <w:rsid w:val="0012368F"/>
    <w:rsid w:val="001236BC"/>
    <w:rsid w:val="00123A72"/>
    <w:rsid w:val="00123CAD"/>
    <w:rsid w:val="00124430"/>
    <w:rsid w:val="00124F81"/>
    <w:rsid w:val="001265C4"/>
    <w:rsid w:val="0012668B"/>
    <w:rsid w:val="001267F2"/>
    <w:rsid w:val="00126D59"/>
    <w:rsid w:val="00126EDB"/>
    <w:rsid w:val="00127C5E"/>
    <w:rsid w:val="00130D79"/>
    <w:rsid w:val="00131713"/>
    <w:rsid w:val="00131A8D"/>
    <w:rsid w:val="00132155"/>
    <w:rsid w:val="001330EE"/>
    <w:rsid w:val="00133CB0"/>
    <w:rsid w:val="0013483D"/>
    <w:rsid w:val="0013517F"/>
    <w:rsid w:val="001363A9"/>
    <w:rsid w:val="00136806"/>
    <w:rsid w:val="00136D73"/>
    <w:rsid w:val="0014072C"/>
    <w:rsid w:val="00140A35"/>
    <w:rsid w:val="00140E87"/>
    <w:rsid w:val="00140F48"/>
    <w:rsid w:val="00141010"/>
    <w:rsid w:val="00141E69"/>
    <w:rsid w:val="00142172"/>
    <w:rsid w:val="00142249"/>
    <w:rsid w:val="001424E2"/>
    <w:rsid w:val="001425C1"/>
    <w:rsid w:val="00142BA5"/>
    <w:rsid w:val="00142D81"/>
    <w:rsid w:val="001459ED"/>
    <w:rsid w:val="00146818"/>
    <w:rsid w:val="001470B3"/>
    <w:rsid w:val="00147427"/>
    <w:rsid w:val="00147781"/>
    <w:rsid w:val="00150333"/>
    <w:rsid w:val="0015035C"/>
    <w:rsid w:val="0015077C"/>
    <w:rsid w:val="0015088D"/>
    <w:rsid w:val="00150EC5"/>
    <w:rsid w:val="00150FCA"/>
    <w:rsid w:val="0015129F"/>
    <w:rsid w:val="001516E1"/>
    <w:rsid w:val="001518AD"/>
    <w:rsid w:val="00152199"/>
    <w:rsid w:val="001522E0"/>
    <w:rsid w:val="001525B9"/>
    <w:rsid w:val="00152A67"/>
    <w:rsid w:val="00152CA0"/>
    <w:rsid w:val="00152DD2"/>
    <w:rsid w:val="00152EC2"/>
    <w:rsid w:val="00152F24"/>
    <w:rsid w:val="00153768"/>
    <w:rsid w:val="00154101"/>
    <w:rsid w:val="00154619"/>
    <w:rsid w:val="00154A63"/>
    <w:rsid w:val="001552A0"/>
    <w:rsid w:val="00155CD6"/>
    <w:rsid w:val="0015609F"/>
    <w:rsid w:val="00156274"/>
    <w:rsid w:val="0015637D"/>
    <w:rsid w:val="0015650A"/>
    <w:rsid w:val="00156F8A"/>
    <w:rsid w:val="00157315"/>
    <w:rsid w:val="001574F1"/>
    <w:rsid w:val="001578B7"/>
    <w:rsid w:val="001578E5"/>
    <w:rsid w:val="00157BC9"/>
    <w:rsid w:val="001605CA"/>
    <w:rsid w:val="00160974"/>
    <w:rsid w:val="00160DEF"/>
    <w:rsid w:val="00162576"/>
    <w:rsid w:val="001626F2"/>
    <w:rsid w:val="0016327E"/>
    <w:rsid w:val="001637D0"/>
    <w:rsid w:val="00164BFE"/>
    <w:rsid w:val="00164C3F"/>
    <w:rsid w:val="00164FC5"/>
    <w:rsid w:val="0016522C"/>
    <w:rsid w:val="0016583D"/>
    <w:rsid w:val="0016726D"/>
    <w:rsid w:val="001709C3"/>
    <w:rsid w:val="00170CA3"/>
    <w:rsid w:val="0017152D"/>
    <w:rsid w:val="001724A4"/>
    <w:rsid w:val="001729E9"/>
    <w:rsid w:val="00172DD1"/>
    <w:rsid w:val="00172FC2"/>
    <w:rsid w:val="00173141"/>
    <w:rsid w:val="001732D0"/>
    <w:rsid w:val="0017451F"/>
    <w:rsid w:val="00174816"/>
    <w:rsid w:val="00174A7D"/>
    <w:rsid w:val="00175080"/>
    <w:rsid w:val="00175190"/>
    <w:rsid w:val="00175552"/>
    <w:rsid w:val="00175601"/>
    <w:rsid w:val="00175A02"/>
    <w:rsid w:val="00175BE3"/>
    <w:rsid w:val="00175FBC"/>
    <w:rsid w:val="0017734B"/>
    <w:rsid w:val="00177456"/>
    <w:rsid w:val="001776D7"/>
    <w:rsid w:val="001804ED"/>
    <w:rsid w:val="001811ED"/>
    <w:rsid w:val="00181B08"/>
    <w:rsid w:val="00182092"/>
    <w:rsid w:val="00182347"/>
    <w:rsid w:val="0018234A"/>
    <w:rsid w:val="0018259C"/>
    <w:rsid w:val="0018272C"/>
    <w:rsid w:val="001830E9"/>
    <w:rsid w:val="001838DB"/>
    <w:rsid w:val="0018415F"/>
    <w:rsid w:val="0018426A"/>
    <w:rsid w:val="001843CD"/>
    <w:rsid w:val="001844C3"/>
    <w:rsid w:val="00184B94"/>
    <w:rsid w:val="00185222"/>
    <w:rsid w:val="00185283"/>
    <w:rsid w:val="001852B7"/>
    <w:rsid w:val="00185332"/>
    <w:rsid w:val="001853D6"/>
    <w:rsid w:val="001854C4"/>
    <w:rsid w:val="001857C4"/>
    <w:rsid w:val="00185BE9"/>
    <w:rsid w:val="001903E7"/>
    <w:rsid w:val="00191315"/>
    <w:rsid w:val="00191393"/>
    <w:rsid w:val="001913A3"/>
    <w:rsid w:val="00191AE7"/>
    <w:rsid w:val="001924BA"/>
    <w:rsid w:val="001927E1"/>
    <w:rsid w:val="00194A72"/>
    <w:rsid w:val="00194BA7"/>
    <w:rsid w:val="00194F6A"/>
    <w:rsid w:val="00195ED0"/>
    <w:rsid w:val="00197288"/>
    <w:rsid w:val="00197CA3"/>
    <w:rsid w:val="001A07DF"/>
    <w:rsid w:val="001A0957"/>
    <w:rsid w:val="001A10F2"/>
    <w:rsid w:val="001A187A"/>
    <w:rsid w:val="001A1AB7"/>
    <w:rsid w:val="001A245C"/>
    <w:rsid w:val="001A276A"/>
    <w:rsid w:val="001A27F4"/>
    <w:rsid w:val="001A291F"/>
    <w:rsid w:val="001A3D12"/>
    <w:rsid w:val="001A3DDD"/>
    <w:rsid w:val="001A4546"/>
    <w:rsid w:val="001A4DBF"/>
    <w:rsid w:val="001A4E7E"/>
    <w:rsid w:val="001A58A4"/>
    <w:rsid w:val="001A5FC4"/>
    <w:rsid w:val="001A647E"/>
    <w:rsid w:val="001A6808"/>
    <w:rsid w:val="001A7415"/>
    <w:rsid w:val="001A77AC"/>
    <w:rsid w:val="001A7F6B"/>
    <w:rsid w:val="001B00F5"/>
    <w:rsid w:val="001B0B01"/>
    <w:rsid w:val="001B0F1C"/>
    <w:rsid w:val="001B208F"/>
    <w:rsid w:val="001B31D5"/>
    <w:rsid w:val="001B4A39"/>
    <w:rsid w:val="001B4DB2"/>
    <w:rsid w:val="001B5201"/>
    <w:rsid w:val="001B523E"/>
    <w:rsid w:val="001B57C5"/>
    <w:rsid w:val="001B5851"/>
    <w:rsid w:val="001B62ED"/>
    <w:rsid w:val="001B6A4F"/>
    <w:rsid w:val="001B7580"/>
    <w:rsid w:val="001B75FA"/>
    <w:rsid w:val="001B7995"/>
    <w:rsid w:val="001C07F2"/>
    <w:rsid w:val="001C3700"/>
    <w:rsid w:val="001C40E5"/>
    <w:rsid w:val="001C4461"/>
    <w:rsid w:val="001C45F2"/>
    <w:rsid w:val="001C51F5"/>
    <w:rsid w:val="001C53C0"/>
    <w:rsid w:val="001C581B"/>
    <w:rsid w:val="001C6D24"/>
    <w:rsid w:val="001C6F3C"/>
    <w:rsid w:val="001C6F96"/>
    <w:rsid w:val="001C7706"/>
    <w:rsid w:val="001C7EA0"/>
    <w:rsid w:val="001C7F57"/>
    <w:rsid w:val="001D0A69"/>
    <w:rsid w:val="001D0B3C"/>
    <w:rsid w:val="001D118D"/>
    <w:rsid w:val="001D12B3"/>
    <w:rsid w:val="001D170C"/>
    <w:rsid w:val="001D175E"/>
    <w:rsid w:val="001D182E"/>
    <w:rsid w:val="001D2105"/>
    <w:rsid w:val="001D2F22"/>
    <w:rsid w:val="001D5013"/>
    <w:rsid w:val="001D51B7"/>
    <w:rsid w:val="001D538E"/>
    <w:rsid w:val="001D58B3"/>
    <w:rsid w:val="001D5B41"/>
    <w:rsid w:val="001D5F6F"/>
    <w:rsid w:val="001D68B9"/>
    <w:rsid w:val="001D6F18"/>
    <w:rsid w:val="001D72F5"/>
    <w:rsid w:val="001D7B9E"/>
    <w:rsid w:val="001D7F52"/>
    <w:rsid w:val="001E00A5"/>
    <w:rsid w:val="001E00C1"/>
    <w:rsid w:val="001E0539"/>
    <w:rsid w:val="001E14B1"/>
    <w:rsid w:val="001E2000"/>
    <w:rsid w:val="001E24D6"/>
    <w:rsid w:val="001E2BF9"/>
    <w:rsid w:val="001E32D6"/>
    <w:rsid w:val="001E3795"/>
    <w:rsid w:val="001E3A50"/>
    <w:rsid w:val="001E51A6"/>
    <w:rsid w:val="001E5768"/>
    <w:rsid w:val="001E5900"/>
    <w:rsid w:val="001E5CAC"/>
    <w:rsid w:val="001E61E2"/>
    <w:rsid w:val="001E679C"/>
    <w:rsid w:val="001E69B4"/>
    <w:rsid w:val="001E6C73"/>
    <w:rsid w:val="001E6CFF"/>
    <w:rsid w:val="001E778C"/>
    <w:rsid w:val="001E7A39"/>
    <w:rsid w:val="001E7C76"/>
    <w:rsid w:val="001E7D43"/>
    <w:rsid w:val="001F0124"/>
    <w:rsid w:val="001F0809"/>
    <w:rsid w:val="001F134F"/>
    <w:rsid w:val="001F1FD4"/>
    <w:rsid w:val="001F3390"/>
    <w:rsid w:val="001F3892"/>
    <w:rsid w:val="001F3B7C"/>
    <w:rsid w:val="001F3EB9"/>
    <w:rsid w:val="001F40B8"/>
    <w:rsid w:val="001F48E8"/>
    <w:rsid w:val="001F4C17"/>
    <w:rsid w:val="001F51C8"/>
    <w:rsid w:val="001F5362"/>
    <w:rsid w:val="001F59E4"/>
    <w:rsid w:val="001F6744"/>
    <w:rsid w:val="001F76F6"/>
    <w:rsid w:val="002004B2"/>
    <w:rsid w:val="0020082B"/>
    <w:rsid w:val="0020110A"/>
    <w:rsid w:val="00201DF1"/>
    <w:rsid w:val="002022F4"/>
    <w:rsid w:val="00202309"/>
    <w:rsid w:val="00202945"/>
    <w:rsid w:val="0020320D"/>
    <w:rsid w:val="00203D7E"/>
    <w:rsid w:val="002049E0"/>
    <w:rsid w:val="002057BA"/>
    <w:rsid w:val="00205AED"/>
    <w:rsid w:val="00205C22"/>
    <w:rsid w:val="0020624B"/>
    <w:rsid w:val="002068BE"/>
    <w:rsid w:val="002069DE"/>
    <w:rsid w:val="00206AD8"/>
    <w:rsid w:val="00207454"/>
    <w:rsid w:val="002078AE"/>
    <w:rsid w:val="00207C33"/>
    <w:rsid w:val="00207E12"/>
    <w:rsid w:val="00210748"/>
    <w:rsid w:val="002108F0"/>
    <w:rsid w:val="00210AD2"/>
    <w:rsid w:val="00211113"/>
    <w:rsid w:val="002112D4"/>
    <w:rsid w:val="002115F1"/>
    <w:rsid w:val="002119CD"/>
    <w:rsid w:val="002128ED"/>
    <w:rsid w:val="00212AA3"/>
    <w:rsid w:val="00213125"/>
    <w:rsid w:val="0021327D"/>
    <w:rsid w:val="00213E96"/>
    <w:rsid w:val="00214352"/>
    <w:rsid w:val="002144F4"/>
    <w:rsid w:val="002145C3"/>
    <w:rsid w:val="00214DBC"/>
    <w:rsid w:val="00215252"/>
    <w:rsid w:val="00215A67"/>
    <w:rsid w:val="00215FDE"/>
    <w:rsid w:val="00216097"/>
    <w:rsid w:val="0021748F"/>
    <w:rsid w:val="00217A1A"/>
    <w:rsid w:val="00217AA6"/>
    <w:rsid w:val="00217CF8"/>
    <w:rsid w:val="00217F80"/>
    <w:rsid w:val="002200BA"/>
    <w:rsid w:val="002200DD"/>
    <w:rsid w:val="00221892"/>
    <w:rsid w:val="002222A7"/>
    <w:rsid w:val="0022236B"/>
    <w:rsid w:val="00222435"/>
    <w:rsid w:val="00222833"/>
    <w:rsid w:val="00222CC2"/>
    <w:rsid w:val="00222DBF"/>
    <w:rsid w:val="002235B6"/>
    <w:rsid w:val="00223804"/>
    <w:rsid w:val="00223D90"/>
    <w:rsid w:val="00223DD5"/>
    <w:rsid w:val="002246C3"/>
    <w:rsid w:val="00224939"/>
    <w:rsid w:val="0022573E"/>
    <w:rsid w:val="00226A79"/>
    <w:rsid w:val="00226B42"/>
    <w:rsid w:val="00230DC6"/>
    <w:rsid w:val="00231592"/>
    <w:rsid w:val="002318E2"/>
    <w:rsid w:val="0023279C"/>
    <w:rsid w:val="002338BC"/>
    <w:rsid w:val="002355B7"/>
    <w:rsid w:val="00235CAC"/>
    <w:rsid w:val="00235D23"/>
    <w:rsid w:val="002365B7"/>
    <w:rsid w:val="00237374"/>
    <w:rsid w:val="00237507"/>
    <w:rsid w:val="002376EA"/>
    <w:rsid w:val="00237B12"/>
    <w:rsid w:val="00240152"/>
    <w:rsid w:val="00240316"/>
    <w:rsid w:val="00240A11"/>
    <w:rsid w:val="00240F2D"/>
    <w:rsid w:val="002414BA"/>
    <w:rsid w:val="0024274A"/>
    <w:rsid w:val="00242AF9"/>
    <w:rsid w:val="002430BA"/>
    <w:rsid w:val="00244752"/>
    <w:rsid w:val="00244B50"/>
    <w:rsid w:val="00244FA3"/>
    <w:rsid w:val="0024593F"/>
    <w:rsid w:val="0024633D"/>
    <w:rsid w:val="00246C2C"/>
    <w:rsid w:val="00246ECB"/>
    <w:rsid w:val="00247A62"/>
    <w:rsid w:val="00250384"/>
    <w:rsid w:val="0025133E"/>
    <w:rsid w:val="00251B27"/>
    <w:rsid w:val="00252582"/>
    <w:rsid w:val="00252B1E"/>
    <w:rsid w:val="00252F3F"/>
    <w:rsid w:val="00253E5A"/>
    <w:rsid w:val="00254972"/>
    <w:rsid w:val="00255ADD"/>
    <w:rsid w:val="00255DCF"/>
    <w:rsid w:val="00256101"/>
    <w:rsid w:val="00256454"/>
    <w:rsid w:val="00256EC7"/>
    <w:rsid w:val="00257102"/>
    <w:rsid w:val="0025718A"/>
    <w:rsid w:val="0025727C"/>
    <w:rsid w:val="002574CE"/>
    <w:rsid w:val="00257A22"/>
    <w:rsid w:val="00257BF3"/>
    <w:rsid w:val="00257F06"/>
    <w:rsid w:val="002613C8"/>
    <w:rsid w:val="0026181C"/>
    <w:rsid w:val="00261F83"/>
    <w:rsid w:val="00262042"/>
    <w:rsid w:val="0026279D"/>
    <w:rsid w:val="00262A9D"/>
    <w:rsid w:val="00263B23"/>
    <w:rsid w:val="00263DB4"/>
    <w:rsid w:val="0026426E"/>
    <w:rsid w:val="00265982"/>
    <w:rsid w:val="0026643F"/>
    <w:rsid w:val="00266A4E"/>
    <w:rsid w:val="00266ECC"/>
    <w:rsid w:val="00267109"/>
    <w:rsid w:val="00270302"/>
    <w:rsid w:val="00270B81"/>
    <w:rsid w:val="002717C0"/>
    <w:rsid w:val="00271AD4"/>
    <w:rsid w:val="00271E84"/>
    <w:rsid w:val="00272204"/>
    <w:rsid w:val="0027224D"/>
    <w:rsid w:val="0027235E"/>
    <w:rsid w:val="002726A6"/>
    <w:rsid w:val="002728AE"/>
    <w:rsid w:val="00272FFE"/>
    <w:rsid w:val="00273293"/>
    <w:rsid w:val="00273DB7"/>
    <w:rsid w:val="002747A1"/>
    <w:rsid w:val="00274B84"/>
    <w:rsid w:val="00274DDB"/>
    <w:rsid w:val="0027530F"/>
    <w:rsid w:val="00275369"/>
    <w:rsid w:val="002755DC"/>
    <w:rsid w:val="00275C82"/>
    <w:rsid w:val="00275F8E"/>
    <w:rsid w:val="00276795"/>
    <w:rsid w:val="00277042"/>
    <w:rsid w:val="00277165"/>
    <w:rsid w:val="00277908"/>
    <w:rsid w:val="00277E1C"/>
    <w:rsid w:val="0028008E"/>
    <w:rsid w:val="0028011D"/>
    <w:rsid w:val="0028025B"/>
    <w:rsid w:val="00281168"/>
    <w:rsid w:val="00281695"/>
    <w:rsid w:val="00281B81"/>
    <w:rsid w:val="002827CB"/>
    <w:rsid w:val="00282C84"/>
    <w:rsid w:val="00283061"/>
    <w:rsid w:val="00283EEF"/>
    <w:rsid w:val="0028477E"/>
    <w:rsid w:val="00284ADF"/>
    <w:rsid w:val="00284C77"/>
    <w:rsid w:val="00284CEB"/>
    <w:rsid w:val="00284DA3"/>
    <w:rsid w:val="0028511C"/>
    <w:rsid w:val="002856CE"/>
    <w:rsid w:val="002858F6"/>
    <w:rsid w:val="002862C1"/>
    <w:rsid w:val="002862F7"/>
    <w:rsid w:val="002868D6"/>
    <w:rsid w:val="00286E46"/>
    <w:rsid w:val="00287124"/>
    <w:rsid w:val="0028719B"/>
    <w:rsid w:val="002879D4"/>
    <w:rsid w:val="002902CF"/>
    <w:rsid w:val="002904CB"/>
    <w:rsid w:val="00291B15"/>
    <w:rsid w:val="00291B47"/>
    <w:rsid w:val="002923E7"/>
    <w:rsid w:val="00292DCF"/>
    <w:rsid w:val="00293026"/>
    <w:rsid w:val="002938FF"/>
    <w:rsid w:val="00293C21"/>
    <w:rsid w:val="00293DED"/>
    <w:rsid w:val="00294AE3"/>
    <w:rsid w:val="00294CF0"/>
    <w:rsid w:val="0029540D"/>
    <w:rsid w:val="00295AE6"/>
    <w:rsid w:val="0029639D"/>
    <w:rsid w:val="002963A0"/>
    <w:rsid w:val="002965F6"/>
    <w:rsid w:val="0029660B"/>
    <w:rsid w:val="00296A84"/>
    <w:rsid w:val="00296AFD"/>
    <w:rsid w:val="002971E8"/>
    <w:rsid w:val="002A0593"/>
    <w:rsid w:val="002A0B25"/>
    <w:rsid w:val="002A1165"/>
    <w:rsid w:val="002A1181"/>
    <w:rsid w:val="002A133D"/>
    <w:rsid w:val="002A16D8"/>
    <w:rsid w:val="002A19CB"/>
    <w:rsid w:val="002A1FE6"/>
    <w:rsid w:val="002A235A"/>
    <w:rsid w:val="002A29FC"/>
    <w:rsid w:val="002A2B76"/>
    <w:rsid w:val="002A48F5"/>
    <w:rsid w:val="002A4B0E"/>
    <w:rsid w:val="002A4E11"/>
    <w:rsid w:val="002A4FC5"/>
    <w:rsid w:val="002A504F"/>
    <w:rsid w:val="002A5468"/>
    <w:rsid w:val="002A5487"/>
    <w:rsid w:val="002A5690"/>
    <w:rsid w:val="002A5E2A"/>
    <w:rsid w:val="002A6F0E"/>
    <w:rsid w:val="002A7568"/>
    <w:rsid w:val="002A75BA"/>
    <w:rsid w:val="002A7851"/>
    <w:rsid w:val="002A7F6F"/>
    <w:rsid w:val="002B015B"/>
    <w:rsid w:val="002B0372"/>
    <w:rsid w:val="002B2803"/>
    <w:rsid w:val="002B2D72"/>
    <w:rsid w:val="002B46C2"/>
    <w:rsid w:val="002B52EB"/>
    <w:rsid w:val="002B5974"/>
    <w:rsid w:val="002B6A59"/>
    <w:rsid w:val="002B6DF2"/>
    <w:rsid w:val="002B6EB3"/>
    <w:rsid w:val="002B72BD"/>
    <w:rsid w:val="002B7AC8"/>
    <w:rsid w:val="002B7EA6"/>
    <w:rsid w:val="002C0352"/>
    <w:rsid w:val="002C053D"/>
    <w:rsid w:val="002C10F0"/>
    <w:rsid w:val="002C16E0"/>
    <w:rsid w:val="002C18FB"/>
    <w:rsid w:val="002C2F24"/>
    <w:rsid w:val="002C38ED"/>
    <w:rsid w:val="002C39FE"/>
    <w:rsid w:val="002C3D0B"/>
    <w:rsid w:val="002C429B"/>
    <w:rsid w:val="002C4ED6"/>
    <w:rsid w:val="002C5204"/>
    <w:rsid w:val="002C5625"/>
    <w:rsid w:val="002C5AC5"/>
    <w:rsid w:val="002C5E77"/>
    <w:rsid w:val="002C6209"/>
    <w:rsid w:val="002C6510"/>
    <w:rsid w:val="002C6E62"/>
    <w:rsid w:val="002C773D"/>
    <w:rsid w:val="002C78D4"/>
    <w:rsid w:val="002C7A26"/>
    <w:rsid w:val="002C7D11"/>
    <w:rsid w:val="002D0436"/>
    <w:rsid w:val="002D114B"/>
    <w:rsid w:val="002D1B60"/>
    <w:rsid w:val="002D1DC3"/>
    <w:rsid w:val="002D1E9B"/>
    <w:rsid w:val="002D1ECD"/>
    <w:rsid w:val="002D2266"/>
    <w:rsid w:val="002D25C0"/>
    <w:rsid w:val="002D2CC6"/>
    <w:rsid w:val="002D3782"/>
    <w:rsid w:val="002D5083"/>
    <w:rsid w:val="002D6072"/>
    <w:rsid w:val="002D6919"/>
    <w:rsid w:val="002D6AF3"/>
    <w:rsid w:val="002D6B92"/>
    <w:rsid w:val="002D7E87"/>
    <w:rsid w:val="002E0F34"/>
    <w:rsid w:val="002E27BA"/>
    <w:rsid w:val="002E29ED"/>
    <w:rsid w:val="002E32D0"/>
    <w:rsid w:val="002E3323"/>
    <w:rsid w:val="002E37D2"/>
    <w:rsid w:val="002E4D9B"/>
    <w:rsid w:val="002E546E"/>
    <w:rsid w:val="002E738E"/>
    <w:rsid w:val="002F0004"/>
    <w:rsid w:val="002F0715"/>
    <w:rsid w:val="002F0B71"/>
    <w:rsid w:val="002F1299"/>
    <w:rsid w:val="002F1BD5"/>
    <w:rsid w:val="002F1BD6"/>
    <w:rsid w:val="002F24A0"/>
    <w:rsid w:val="002F24A8"/>
    <w:rsid w:val="002F392E"/>
    <w:rsid w:val="002F41EC"/>
    <w:rsid w:val="002F47B2"/>
    <w:rsid w:val="002F4835"/>
    <w:rsid w:val="002F5076"/>
    <w:rsid w:val="002F5C86"/>
    <w:rsid w:val="002F6A31"/>
    <w:rsid w:val="002F7AC2"/>
    <w:rsid w:val="002F7C36"/>
    <w:rsid w:val="00300646"/>
    <w:rsid w:val="003013F2"/>
    <w:rsid w:val="0030255A"/>
    <w:rsid w:val="0030321F"/>
    <w:rsid w:val="00303256"/>
    <w:rsid w:val="00304017"/>
    <w:rsid w:val="00304CAA"/>
    <w:rsid w:val="00305A43"/>
    <w:rsid w:val="00305D25"/>
    <w:rsid w:val="00306421"/>
    <w:rsid w:val="00306BA8"/>
    <w:rsid w:val="00306C06"/>
    <w:rsid w:val="00307A0C"/>
    <w:rsid w:val="0031046E"/>
    <w:rsid w:val="00310992"/>
    <w:rsid w:val="00311573"/>
    <w:rsid w:val="00312DA4"/>
    <w:rsid w:val="00312E70"/>
    <w:rsid w:val="003130D9"/>
    <w:rsid w:val="003131A9"/>
    <w:rsid w:val="003141B1"/>
    <w:rsid w:val="0031675E"/>
    <w:rsid w:val="003177A7"/>
    <w:rsid w:val="00317CED"/>
    <w:rsid w:val="003216AB"/>
    <w:rsid w:val="00321A5C"/>
    <w:rsid w:val="00321ECC"/>
    <w:rsid w:val="00322166"/>
    <w:rsid w:val="003224F6"/>
    <w:rsid w:val="00322697"/>
    <w:rsid w:val="00323888"/>
    <w:rsid w:val="00323FFB"/>
    <w:rsid w:val="00324E7E"/>
    <w:rsid w:val="00325637"/>
    <w:rsid w:val="00326494"/>
    <w:rsid w:val="00326DBE"/>
    <w:rsid w:val="00326EA8"/>
    <w:rsid w:val="0032708F"/>
    <w:rsid w:val="0032742B"/>
    <w:rsid w:val="0032754E"/>
    <w:rsid w:val="0032755B"/>
    <w:rsid w:val="00327691"/>
    <w:rsid w:val="003303EE"/>
    <w:rsid w:val="003305D1"/>
    <w:rsid w:val="00330C14"/>
    <w:rsid w:val="00330D4D"/>
    <w:rsid w:val="0033159B"/>
    <w:rsid w:val="00331D14"/>
    <w:rsid w:val="00331E48"/>
    <w:rsid w:val="00331F70"/>
    <w:rsid w:val="00331F98"/>
    <w:rsid w:val="0033219A"/>
    <w:rsid w:val="00332DB8"/>
    <w:rsid w:val="003333C8"/>
    <w:rsid w:val="00333817"/>
    <w:rsid w:val="00333BAD"/>
    <w:rsid w:val="00333D84"/>
    <w:rsid w:val="00333EA2"/>
    <w:rsid w:val="00334366"/>
    <w:rsid w:val="00334AB8"/>
    <w:rsid w:val="00334AE8"/>
    <w:rsid w:val="00335575"/>
    <w:rsid w:val="00335AB9"/>
    <w:rsid w:val="00335C41"/>
    <w:rsid w:val="00336170"/>
    <w:rsid w:val="00336812"/>
    <w:rsid w:val="003368B0"/>
    <w:rsid w:val="00336EBC"/>
    <w:rsid w:val="0033738C"/>
    <w:rsid w:val="003373A5"/>
    <w:rsid w:val="00340131"/>
    <w:rsid w:val="00340631"/>
    <w:rsid w:val="003412D8"/>
    <w:rsid w:val="00341369"/>
    <w:rsid w:val="00341964"/>
    <w:rsid w:val="00341C1F"/>
    <w:rsid w:val="00341F23"/>
    <w:rsid w:val="00341F4B"/>
    <w:rsid w:val="0034251E"/>
    <w:rsid w:val="0034569D"/>
    <w:rsid w:val="0034601A"/>
    <w:rsid w:val="00346A52"/>
    <w:rsid w:val="00346A80"/>
    <w:rsid w:val="00346CFF"/>
    <w:rsid w:val="00347206"/>
    <w:rsid w:val="003478E2"/>
    <w:rsid w:val="00347FEA"/>
    <w:rsid w:val="00350141"/>
    <w:rsid w:val="003501C1"/>
    <w:rsid w:val="00350237"/>
    <w:rsid w:val="0035046B"/>
    <w:rsid w:val="003504AA"/>
    <w:rsid w:val="00350FDC"/>
    <w:rsid w:val="003518F7"/>
    <w:rsid w:val="00351FB3"/>
    <w:rsid w:val="0035273D"/>
    <w:rsid w:val="00352A47"/>
    <w:rsid w:val="00352CE9"/>
    <w:rsid w:val="003539C5"/>
    <w:rsid w:val="0035499B"/>
    <w:rsid w:val="00354B01"/>
    <w:rsid w:val="00355825"/>
    <w:rsid w:val="00355B97"/>
    <w:rsid w:val="00355DD3"/>
    <w:rsid w:val="00356041"/>
    <w:rsid w:val="00356108"/>
    <w:rsid w:val="003568AC"/>
    <w:rsid w:val="003569B9"/>
    <w:rsid w:val="00356C9F"/>
    <w:rsid w:val="003570F7"/>
    <w:rsid w:val="003577F6"/>
    <w:rsid w:val="003600C8"/>
    <w:rsid w:val="003605A0"/>
    <w:rsid w:val="00360F6E"/>
    <w:rsid w:val="00361213"/>
    <w:rsid w:val="003612D5"/>
    <w:rsid w:val="00361472"/>
    <w:rsid w:val="00361E2C"/>
    <w:rsid w:val="00363418"/>
    <w:rsid w:val="00363A65"/>
    <w:rsid w:val="00363AC8"/>
    <w:rsid w:val="00364168"/>
    <w:rsid w:val="0036425F"/>
    <w:rsid w:val="00364C7E"/>
    <w:rsid w:val="00364D5D"/>
    <w:rsid w:val="00364E7F"/>
    <w:rsid w:val="00365897"/>
    <w:rsid w:val="003670BC"/>
    <w:rsid w:val="00367B1A"/>
    <w:rsid w:val="00370654"/>
    <w:rsid w:val="00371CDD"/>
    <w:rsid w:val="0037226D"/>
    <w:rsid w:val="00372893"/>
    <w:rsid w:val="00372D51"/>
    <w:rsid w:val="00373501"/>
    <w:rsid w:val="00373E39"/>
    <w:rsid w:val="003740EA"/>
    <w:rsid w:val="003741CC"/>
    <w:rsid w:val="0037461B"/>
    <w:rsid w:val="00374EB1"/>
    <w:rsid w:val="003753D4"/>
    <w:rsid w:val="003754E7"/>
    <w:rsid w:val="003755BC"/>
    <w:rsid w:val="00375B10"/>
    <w:rsid w:val="00375F0A"/>
    <w:rsid w:val="003762B8"/>
    <w:rsid w:val="003763E3"/>
    <w:rsid w:val="003775F7"/>
    <w:rsid w:val="0037773C"/>
    <w:rsid w:val="00377AE6"/>
    <w:rsid w:val="0038038E"/>
    <w:rsid w:val="00380838"/>
    <w:rsid w:val="00380FCD"/>
    <w:rsid w:val="00381029"/>
    <w:rsid w:val="00381327"/>
    <w:rsid w:val="0038177D"/>
    <w:rsid w:val="00381A37"/>
    <w:rsid w:val="00381F9E"/>
    <w:rsid w:val="00382DBE"/>
    <w:rsid w:val="00384725"/>
    <w:rsid w:val="00385078"/>
    <w:rsid w:val="00385EB3"/>
    <w:rsid w:val="0038691A"/>
    <w:rsid w:val="00386F51"/>
    <w:rsid w:val="00386FBD"/>
    <w:rsid w:val="00386FC3"/>
    <w:rsid w:val="0038753B"/>
    <w:rsid w:val="0039073C"/>
    <w:rsid w:val="00390B3D"/>
    <w:rsid w:val="00390F81"/>
    <w:rsid w:val="00391D92"/>
    <w:rsid w:val="003922DA"/>
    <w:rsid w:val="00392C92"/>
    <w:rsid w:val="0039327F"/>
    <w:rsid w:val="0039343F"/>
    <w:rsid w:val="00393A4B"/>
    <w:rsid w:val="0039488D"/>
    <w:rsid w:val="003949C0"/>
    <w:rsid w:val="00394A76"/>
    <w:rsid w:val="003957C8"/>
    <w:rsid w:val="003963C5"/>
    <w:rsid w:val="00396455"/>
    <w:rsid w:val="00396C5E"/>
    <w:rsid w:val="0039714E"/>
    <w:rsid w:val="003973DD"/>
    <w:rsid w:val="003977AD"/>
    <w:rsid w:val="00397BE5"/>
    <w:rsid w:val="00397FB9"/>
    <w:rsid w:val="00397FD7"/>
    <w:rsid w:val="003A090D"/>
    <w:rsid w:val="003A0ACE"/>
    <w:rsid w:val="003A0B0B"/>
    <w:rsid w:val="003A197F"/>
    <w:rsid w:val="003A1D9E"/>
    <w:rsid w:val="003A2CA9"/>
    <w:rsid w:val="003A31E4"/>
    <w:rsid w:val="003A38CA"/>
    <w:rsid w:val="003A3FE8"/>
    <w:rsid w:val="003A4771"/>
    <w:rsid w:val="003A4AC8"/>
    <w:rsid w:val="003A50F8"/>
    <w:rsid w:val="003A6ADB"/>
    <w:rsid w:val="003A6DF3"/>
    <w:rsid w:val="003B153B"/>
    <w:rsid w:val="003B166C"/>
    <w:rsid w:val="003B16A9"/>
    <w:rsid w:val="003B18B3"/>
    <w:rsid w:val="003B2C7C"/>
    <w:rsid w:val="003B36CA"/>
    <w:rsid w:val="003B3E37"/>
    <w:rsid w:val="003B4443"/>
    <w:rsid w:val="003B4710"/>
    <w:rsid w:val="003B499D"/>
    <w:rsid w:val="003B5009"/>
    <w:rsid w:val="003B57B0"/>
    <w:rsid w:val="003B5FE4"/>
    <w:rsid w:val="003B68BD"/>
    <w:rsid w:val="003B6A35"/>
    <w:rsid w:val="003B7234"/>
    <w:rsid w:val="003B7B3B"/>
    <w:rsid w:val="003C0612"/>
    <w:rsid w:val="003C0DFF"/>
    <w:rsid w:val="003C0E71"/>
    <w:rsid w:val="003C14FE"/>
    <w:rsid w:val="003C1817"/>
    <w:rsid w:val="003C1DE2"/>
    <w:rsid w:val="003C298A"/>
    <w:rsid w:val="003C2D19"/>
    <w:rsid w:val="003C3489"/>
    <w:rsid w:val="003C488F"/>
    <w:rsid w:val="003C4BD2"/>
    <w:rsid w:val="003C4E0C"/>
    <w:rsid w:val="003C57C3"/>
    <w:rsid w:val="003C599B"/>
    <w:rsid w:val="003C686B"/>
    <w:rsid w:val="003C6976"/>
    <w:rsid w:val="003C6F84"/>
    <w:rsid w:val="003C7396"/>
    <w:rsid w:val="003C7732"/>
    <w:rsid w:val="003D1501"/>
    <w:rsid w:val="003D1511"/>
    <w:rsid w:val="003D17E7"/>
    <w:rsid w:val="003D245A"/>
    <w:rsid w:val="003D40F8"/>
    <w:rsid w:val="003D43B6"/>
    <w:rsid w:val="003D4FF4"/>
    <w:rsid w:val="003D5390"/>
    <w:rsid w:val="003D54C9"/>
    <w:rsid w:val="003D567A"/>
    <w:rsid w:val="003D56CF"/>
    <w:rsid w:val="003D64A9"/>
    <w:rsid w:val="003D65D0"/>
    <w:rsid w:val="003D7495"/>
    <w:rsid w:val="003D7501"/>
    <w:rsid w:val="003E0410"/>
    <w:rsid w:val="003E0B79"/>
    <w:rsid w:val="003E0E0C"/>
    <w:rsid w:val="003E1345"/>
    <w:rsid w:val="003E1413"/>
    <w:rsid w:val="003E1C25"/>
    <w:rsid w:val="003E1D2C"/>
    <w:rsid w:val="003E22E2"/>
    <w:rsid w:val="003E2564"/>
    <w:rsid w:val="003E2F9D"/>
    <w:rsid w:val="003E4652"/>
    <w:rsid w:val="003E4C35"/>
    <w:rsid w:val="003E4CFD"/>
    <w:rsid w:val="003E505C"/>
    <w:rsid w:val="003E5346"/>
    <w:rsid w:val="003E57ED"/>
    <w:rsid w:val="003E6AA1"/>
    <w:rsid w:val="003E6C7C"/>
    <w:rsid w:val="003E7216"/>
    <w:rsid w:val="003E7E4F"/>
    <w:rsid w:val="003F1AE3"/>
    <w:rsid w:val="003F1C6C"/>
    <w:rsid w:val="003F3BD6"/>
    <w:rsid w:val="003F3C28"/>
    <w:rsid w:val="003F3E3F"/>
    <w:rsid w:val="003F4096"/>
    <w:rsid w:val="003F43FB"/>
    <w:rsid w:val="003F5498"/>
    <w:rsid w:val="003F5573"/>
    <w:rsid w:val="003F5982"/>
    <w:rsid w:val="003F65A0"/>
    <w:rsid w:val="003F664B"/>
    <w:rsid w:val="003F6710"/>
    <w:rsid w:val="003F731C"/>
    <w:rsid w:val="00400232"/>
    <w:rsid w:val="004007A2"/>
    <w:rsid w:val="00400CD8"/>
    <w:rsid w:val="00400F60"/>
    <w:rsid w:val="004011E8"/>
    <w:rsid w:val="00401C71"/>
    <w:rsid w:val="00401F14"/>
    <w:rsid w:val="004024F1"/>
    <w:rsid w:val="00402A73"/>
    <w:rsid w:val="0040304F"/>
    <w:rsid w:val="00404BBF"/>
    <w:rsid w:val="00404BF5"/>
    <w:rsid w:val="00404F09"/>
    <w:rsid w:val="00405202"/>
    <w:rsid w:val="00405471"/>
    <w:rsid w:val="0040742B"/>
    <w:rsid w:val="004074BA"/>
    <w:rsid w:val="00407633"/>
    <w:rsid w:val="00407875"/>
    <w:rsid w:val="004079BF"/>
    <w:rsid w:val="00407C73"/>
    <w:rsid w:val="00407E54"/>
    <w:rsid w:val="00411066"/>
    <w:rsid w:val="004111D1"/>
    <w:rsid w:val="0041146E"/>
    <w:rsid w:val="00411862"/>
    <w:rsid w:val="0041186D"/>
    <w:rsid w:val="00412373"/>
    <w:rsid w:val="004129D2"/>
    <w:rsid w:val="00412D77"/>
    <w:rsid w:val="00413E7D"/>
    <w:rsid w:val="00414A1D"/>
    <w:rsid w:val="00414D5C"/>
    <w:rsid w:val="00415AE6"/>
    <w:rsid w:val="0041649C"/>
    <w:rsid w:val="00416785"/>
    <w:rsid w:val="0041681E"/>
    <w:rsid w:val="00417081"/>
    <w:rsid w:val="004170D5"/>
    <w:rsid w:val="004171B6"/>
    <w:rsid w:val="0041727C"/>
    <w:rsid w:val="00417C11"/>
    <w:rsid w:val="00420C2A"/>
    <w:rsid w:val="00420D30"/>
    <w:rsid w:val="00420DF4"/>
    <w:rsid w:val="00421A7D"/>
    <w:rsid w:val="004222A3"/>
    <w:rsid w:val="004224F0"/>
    <w:rsid w:val="004227F9"/>
    <w:rsid w:val="00422B13"/>
    <w:rsid w:val="004230E4"/>
    <w:rsid w:val="0042388F"/>
    <w:rsid w:val="0042411F"/>
    <w:rsid w:val="004241DF"/>
    <w:rsid w:val="004244A8"/>
    <w:rsid w:val="004244FC"/>
    <w:rsid w:val="00424BB0"/>
    <w:rsid w:val="00425E09"/>
    <w:rsid w:val="00426163"/>
    <w:rsid w:val="004266AA"/>
    <w:rsid w:val="00430336"/>
    <w:rsid w:val="00430714"/>
    <w:rsid w:val="0043087B"/>
    <w:rsid w:val="004312E3"/>
    <w:rsid w:val="00431BB5"/>
    <w:rsid w:val="00432556"/>
    <w:rsid w:val="00432683"/>
    <w:rsid w:val="00432CF9"/>
    <w:rsid w:val="004335DF"/>
    <w:rsid w:val="00433A04"/>
    <w:rsid w:val="00433C5E"/>
    <w:rsid w:val="00433CD3"/>
    <w:rsid w:val="00434095"/>
    <w:rsid w:val="004348F7"/>
    <w:rsid w:val="004357D3"/>
    <w:rsid w:val="00437161"/>
    <w:rsid w:val="00437D2D"/>
    <w:rsid w:val="00437DF4"/>
    <w:rsid w:val="00437FC9"/>
    <w:rsid w:val="004407CE"/>
    <w:rsid w:val="00440EFB"/>
    <w:rsid w:val="0044103B"/>
    <w:rsid w:val="0044117A"/>
    <w:rsid w:val="00443238"/>
    <w:rsid w:val="004435AB"/>
    <w:rsid w:val="00443E83"/>
    <w:rsid w:val="004443E1"/>
    <w:rsid w:val="00444E68"/>
    <w:rsid w:val="00445069"/>
    <w:rsid w:val="004450D0"/>
    <w:rsid w:val="0044598F"/>
    <w:rsid w:val="00445B64"/>
    <w:rsid w:val="00446303"/>
    <w:rsid w:val="00446B19"/>
    <w:rsid w:val="00446DAC"/>
    <w:rsid w:val="00446F2B"/>
    <w:rsid w:val="00447E0F"/>
    <w:rsid w:val="00450376"/>
    <w:rsid w:val="004505BD"/>
    <w:rsid w:val="00450B43"/>
    <w:rsid w:val="00450EFF"/>
    <w:rsid w:val="00451421"/>
    <w:rsid w:val="00451512"/>
    <w:rsid w:val="00451B21"/>
    <w:rsid w:val="00451BD4"/>
    <w:rsid w:val="00452C53"/>
    <w:rsid w:val="00452EFA"/>
    <w:rsid w:val="004530B9"/>
    <w:rsid w:val="004531B0"/>
    <w:rsid w:val="004531BE"/>
    <w:rsid w:val="00453783"/>
    <w:rsid w:val="004561AC"/>
    <w:rsid w:val="004561B3"/>
    <w:rsid w:val="00456353"/>
    <w:rsid w:val="00457764"/>
    <w:rsid w:val="004578D2"/>
    <w:rsid w:val="00457CE3"/>
    <w:rsid w:val="00461225"/>
    <w:rsid w:val="00461CCC"/>
    <w:rsid w:val="00461E73"/>
    <w:rsid w:val="004620CB"/>
    <w:rsid w:val="004621CA"/>
    <w:rsid w:val="00462B39"/>
    <w:rsid w:val="00462E43"/>
    <w:rsid w:val="00463289"/>
    <w:rsid w:val="0046372F"/>
    <w:rsid w:val="004638DF"/>
    <w:rsid w:val="004647D1"/>
    <w:rsid w:val="00464E11"/>
    <w:rsid w:val="00465D8E"/>
    <w:rsid w:val="00466239"/>
    <w:rsid w:val="00467B0C"/>
    <w:rsid w:val="0047054D"/>
    <w:rsid w:val="0047068B"/>
    <w:rsid w:val="00470930"/>
    <w:rsid w:val="00470FF7"/>
    <w:rsid w:val="0047146E"/>
    <w:rsid w:val="00471923"/>
    <w:rsid w:val="00472910"/>
    <w:rsid w:val="004733AB"/>
    <w:rsid w:val="00473A59"/>
    <w:rsid w:val="00473E80"/>
    <w:rsid w:val="00474CC2"/>
    <w:rsid w:val="00475119"/>
    <w:rsid w:val="00475B0D"/>
    <w:rsid w:val="00475F64"/>
    <w:rsid w:val="004762A3"/>
    <w:rsid w:val="00477249"/>
    <w:rsid w:val="004776B7"/>
    <w:rsid w:val="00477F61"/>
    <w:rsid w:val="00480641"/>
    <w:rsid w:val="00480FFF"/>
    <w:rsid w:val="004818DD"/>
    <w:rsid w:val="004827B0"/>
    <w:rsid w:val="00482A8D"/>
    <w:rsid w:val="00482EBB"/>
    <w:rsid w:val="0048367C"/>
    <w:rsid w:val="004844AC"/>
    <w:rsid w:val="004849E7"/>
    <w:rsid w:val="004855EE"/>
    <w:rsid w:val="00485C77"/>
    <w:rsid w:val="00486506"/>
    <w:rsid w:val="00486719"/>
    <w:rsid w:val="00486CAF"/>
    <w:rsid w:val="00487102"/>
    <w:rsid w:val="004872E2"/>
    <w:rsid w:val="004874CF"/>
    <w:rsid w:val="00490511"/>
    <w:rsid w:val="0049065B"/>
    <w:rsid w:val="00490E37"/>
    <w:rsid w:val="00491BD1"/>
    <w:rsid w:val="00491D40"/>
    <w:rsid w:val="00492469"/>
    <w:rsid w:val="004930F9"/>
    <w:rsid w:val="004932DF"/>
    <w:rsid w:val="00493315"/>
    <w:rsid w:val="0049382C"/>
    <w:rsid w:val="0049392B"/>
    <w:rsid w:val="00493D1D"/>
    <w:rsid w:val="00494023"/>
    <w:rsid w:val="00494935"/>
    <w:rsid w:val="00494E5F"/>
    <w:rsid w:val="00495756"/>
    <w:rsid w:val="004957B9"/>
    <w:rsid w:val="004958BB"/>
    <w:rsid w:val="00495B55"/>
    <w:rsid w:val="004960E1"/>
    <w:rsid w:val="004969F9"/>
    <w:rsid w:val="00496DDC"/>
    <w:rsid w:val="004A04AC"/>
    <w:rsid w:val="004A0519"/>
    <w:rsid w:val="004A0C68"/>
    <w:rsid w:val="004A1AFA"/>
    <w:rsid w:val="004A1E03"/>
    <w:rsid w:val="004A221C"/>
    <w:rsid w:val="004A28F8"/>
    <w:rsid w:val="004A335A"/>
    <w:rsid w:val="004A38E3"/>
    <w:rsid w:val="004A3E85"/>
    <w:rsid w:val="004A40D0"/>
    <w:rsid w:val="004A4401"/>
    <w:rsid w:val="004A4E80"/>
    <w:rsid w:val="004A54A4"/>
    <w:rsid w:val="004A590B"/>
    <w:rsid w:val="004A5C07"/>
    <w:rsid w:val="004A6167"/>
    <w:rsid w:val="004A68C4"/>
    <w:rsid w:val="004A7909"/>
    <w:rsid w:val="004A79D0"/>
    <w:rsid w:val="004B072F"/>
    <w:rsid w:val="004B1559"/>
    <w:rsid w:val="004B193A"/>
    <w:rsid w:val="004B1993"/>
    <w:rsid w:val="004B1BB1"/>
    <w:rsid w:val="004B2996"/>
    <w:rsid w:val="004B3693"/>
    <w:rsid w:val="004B40D0"/>
    <w:rsid w:val="004B43D8"/>
    <w:rsid w:val="004B4438"/>
    <w:rsid w:val="004B52AF"/>
    <w:rsid w:val="004B59C3"/>
    <w:rsid w:val="004B60F4"/>
    <w:rsid w:val="004B69F4"/>
    <w:rsid w:val="004B7332"/>
    <w:rsid w:val="004B7E4A"/>
    <w:rsid w:val="004B7F18"/>
    <w:rsid w:val="004C032C"/>
    <w:rsid w:val="004C0B94"/>
    <w:rsid w:val="004C0BF1"/>
    <w:rsid w:val="004C10C2"/>
    <w:rsid w:val="004C11AC"/>
    <w:rsid w:val="004C1755"/>
    <w:rsid w:val="004C27C0"/>
    <w:rsid w:val="004C2E2F"/>
    <w:rsid w:val="004C45B8"/>
    <w:rsid w:val="004C4618"/>
    <w:rsid w:val="004C6206"/>
    <w:rsid w:val="004C62F0"/>
    <w:rsid w:val="004C64EF"/>
    <w:rsid w:val="004C68FB"/>
    <w:rsid w:val="004C73CF"/>
    <w:rsid w:val="004D0740"/>
    <w:rsid w:val="004D0DAB"/>
    <w:rsid w:val="004D115A"/>
    <w:rsid w:val="004D1245"/>
    <w:rsid w:val="004D12CF"/>
    <w:rsid w:val="004D1C75"/>
    <w:rsid w:val="004D2572"/>
    <w:rsid w:val="004D2A72"/>
    <w:rsid w:val="004D2D16"/>
    <w:rsid w:val="004D4562"/>
    <w:rsid w:val="004D496C"/>
    <w:rsid w:val="004D4C26"/>
    <w:rsid w:val="004D4EC1"/>
    <w:rsid w:val="004D586F"/>
    <w:rsid w:val="004D5D2E"/>
    <w:rsid w:val="004D5EED"/>
    <w:rsid w:val="004D6160"/>
    <w:rsid w:val="004D62B8"/>
    <w:rsid w:val="004E07B8"/>
    <w:rsid w:val="004E0A23"/>
    <w:rsid w:val="004E0E27"/>
    <w:rsid w:val="004E13B7"/>
    <w:rsid w:val="004E1547"/>
    <w:rsid w:val="004E1931"/>
    <w:rsid w:val="004E1DA8"/>
    <w:rsid w:val="004E2E20"/>
    <w:rsid w:val="004E3796"/>
    <w:rsid w:val="004E40ED"/>
    <w:rsid w:val="004E4367"/>
    <w:rsid w:val="004E45BC"/>
    <w:rsid w:val="004E46DB"/>
    <w:rsid w:val="004E46ED"/>
    <w:rsid w:val="004E47B0"/>
    <w:rsid w:val="004E48FD"/>
    <w:rsid w:val="004E54EE"/>
    <w:rsid w:val="004E5521"/>
    <w:rsid w:val="004E5891"/>
    <w:rsid w:val="004E5E08"/>
    <w:rsid w:val="004E6118"/>
    <w:rsid w:val="004E6FBB"/>
    <w:rsid w:val="004E7095"/>
    <w:rsid w:val="004E7B1F"/>
    <w:rsid w:val="004E7F1F"/>
    <w:rsid w:val="004F000F"/>
    <w:rsid w:val="004F043A"/>
    <w:rsid w:val="004F05FB"/>
    <w:rsid w:val="004F0BD6"/>
    <w:rsid w:val="004F14E6"/>
    <w:rsid w:val="004F154B"/>
    <w:rsid w:val="004F19B6"/>
    <w:rsid w:val="004F223C"/>
    <w:rsid w:val="004F233C"/>
    <w:rsid w:val="004F2901"/>
    <w:rsid w:val="004F34DD"/>
    <w:rsid w:val="004F392C"/>
    <w:rsid w:val="004F3973"/>
    <w:rsid w:val="004F3981"/>
    <w:rsid w:val="004F436F"/>
    <w:rsid w:val="004F4D48"/>
    <w:rsid w:val="004F5A08"/>
    <w:rsid w:val="004F7325"/>
    <w:rsid w:val="005009EA"/>
    <w:rsid w:val="00500B96"/>
    <w:rsid w:val="00500E43"/>
    <w:rsid w:val="005021B1"/>
    <w:rsid w:val="005028C2"/>
    <w:rsid w:val="005034BE"/>
    <w:rsid w:val="00503D23"/>
    <w:rsid w:val="00505AF8"/>
    <w:rsid w:val="00505BE4"/>
    <w:rsid w:val="00505D2B"/>
    <w:rsid w:val="00507142"/>
    <w:rsid w:val="00507415"/>
    <w:rsid w:val="005075E8"/>
    <w:rsid w:val="00510B00"/>
    <w:rsid w:val="00510DE4"/>
    <w:rsid w:val="00512837"/>
    <w:rsid w:val="00512F70"/>
    <w:rsid w:val="0051340D"/>
    <w:rsid w:val="00513C0B"/>
    <w:rsid w:val="00513D7B"/>
    <w:rsid w:val="00513F52"/>
    <w:rsid w:val="005148A6"/>
    <w:rsid w:val="00514AF9"/>
    <w:rsid w:val="0051505D"/>
    <w:rsid w:val="00516720"/>
    <w:rsid w:val="00516B7A"/>
    <w:rsid w:val="0051738D"/>
    <w:rsid w:val="005179E0"/>
    <w:rsid w:val="00517BF0"/>
    <w:rsid w:val="00517F5E"/>
    <w:rsid w:val="00520A6E"/>
    <w:rsid w:val="00520A9A"/>
    <w:rsid w:val="00520DA0"/>
    <w:rsid w:val="00521332"/>
    <w:rsid w:val="00521FC3"/>
    <w:rsid w:val="00522501"/>
    <w:rsid w:val="005239F1"/>
    <w:rsid w:val="005242ED"/>
    <w:rsid w:val="00524D9C"/>
    <w:rsid w:val="00525064"/>
    <w:rsid w:val="0052583F"/>
    <w:rsid w:val="00525EC6"/>
    <w:rsid w:val="00525F23"/>
    <w:rsid w:val="005272EF"/>
    <w:rsid w:val="00527425"/>
    <w:rsid w:val="0052743F"/>
    <w:rsid w:val="00527A39"/>
    <w:rsid w:val="005306BD"/>
    <w:rsid w:val="00530EAA"/>
    <w:rsid w:val="00531F55"/>
    <w:rsid w:val="00532A73"/>
    <w:rsid w:val="00532F74"/>
    <w:rsid w:val="0053300B"/>
    <w:rsid w:val="0053310E"/>
    <w:rsid w:val="005335FE"/>
    <w:rsid w:val="005338F7"/>
    <w:rsid w:val="005339D1"/>
    <w:rsid w:val="0053405F"/>
    <w:rsid w:val="00534407"/>
    <w:rsid w:val="005345AF"/>
    <w:rsid w:val="00534682"/>
    <w:rsid w:val="005348D8"/>
    <w:rsid w:val="00535FAF"/>
    <w:rsid w:val="005365EB"/>
    <w:rsid w:val="005369DB"/>
    <w:rsid w:val="00536E24"/>
    <w:rsid w:val="005371B7"/>
    <w:rsid w:val="0053721C"/>
    <w:rsid w:val="005375CB"/>
    <w:rsid w:val="005377DC"/>
    <w:rsid w:val="00540828"/>
    <w:rsid w:val="00540A81"/>
    <w:rsid w:val="0054103F"/>
    <w:rsid w:val="00541085"/>
    <w:rsid w:val="0054148C"/>
    <w:rsid w:val="00542205"/>
    <w:rsid w:val="0054270F"/>
    <w:rsid w:val="00542926"/>
    <w:rsid w:val="00543379"/>
    <w:rsid w:val="00543C21"/>
    <w:rsid w:val="005441DF"/>
    <w:rsid w:val="00544227"/>
    <w:rsid w:val="00544FFE"/>
    <w:rsid w:val="005451F4"/>
    <w:rsid w:val="005455B3"/>
    <w:rsid w:val="0054593B"/>
    <w:rsid w:val="00546251"/>
    <w:rsid w:val="005463C3"/>
    <w:rsid w:val="00546A49"/>
    <w:rsid w:val="00546BD8"/>
    <w:rsid w:val="00546D2D"/>
    <w:rsid w:val="00546E90"/>
    <w:rsid w:val="00547EF9"/>
    <w:rsid w:val="00550B45"/>
    <w:rsid w:val="00550BA8"/>
    <w:rsid w:val="00550D53"/>
    <w:rsid w:val="00551542"/>
    <w:rsid w:val="0055179B"/>
    <w:rsid w:val="00551B3E"/>
    <w:rsid w:val="00551C88"/>
    <w:rsid w:val="00551CFE"/>
    <w:rsid w:val="005522D2"/>
    <w:rsid w:val="005523ED"/>
    <w:rsid w:val="005525DD"/>
    <w:rsid w:val="00552617"/>
    <w:rsid w:val="00552946"/>
    <w:rsid w:val="00552A9E"/>
    <w:rsid w:val="0055337F"/>
    <w:rsid w:val="005533F5"/>
    <w:rsid w:val="00553835"/>
    <w:rsid w:val="00553B47"/>
    <w:rsid w:val="005544D7"/>
    <w:rsid w:val="00554A11"/>
    <w:rsid w:val="00554BE4"/>
    <w:rsid w:val="005552C9"/>
    <w:rsid w:val="00555752"/>
    <w:rsid w:val="00555D84"/>
    <w:rsid w:val="00555E25"/>
    <w:rsid w:val="00555FBD"/>
    <w:rsid w:val="00556AF1"/>
    <w:rsid w:val="00556CAB"/>
    <w:rsid w:val="00557B01"/>
    <w:rsid w:val="00557D7F"/>
    <w:rsid w:val="00560171"/>
    <w:rsid w:val="00561069"/>
    <w:rsid w:val="005613B3"/>
    <w:rsid w:val="00561F6D"/>
    <w:rsid w:val="00562150"/>
    <w:rsid w:val="005621F8"/>
    <w:rsid w:val="0056226B"/>
    <w:rsid w:val="00562752"/>
    <w:rsid w:val="00562A14"/>
    <w:rsid w:val="00562ECD"/>
    <w:rsid w:val="0056323D"/>
    <w:rsid w:val="00564F94"/>
    <w:rsid w:val="00565A9C"/>
    <w:rsid w:val="00567FFD"/>
    <w:rsid w:val="0057032B"/>
    <w:rsid w:val="00570B32"/>
    <w:rsid w:val="00570DBC"/>
    <w:rsid w:val="00570E9E"/>
    <w:rsid w:val="00570FF8"/>
    <w:rsid w:val="0057101E"/>
    <w:rsid w:val="00572390"/>
    <w:rsid w:val="00572C22"/>
    <w:rsid w:val="005731FB"/>
    <w:rsid w:val="00574105"/>
    <w:rsid w:val="00574CD3"/>
    <w:rsid w:val="0057506C"/>
    <w:rsid w:val="005759F2"/>
    <w:rsid w:val="00576841"/>
    <w:rsid w:val="005773D2"/>
    <w:rsid w:val="005801D9"/>
    <w:rsid w:val="00580699"/>
    <w:rsid w:val="00580B42"/>
    <w:rsid w:val="00580BA8"/>
    <w:rsid w:val="00581943"/>
    <w:rsid w:val="005822C5"/>
    <w:rsid w:val="00582633"/>
    <w:rsid w:val="0058269E"/>
    <w:rsid w:val="00582AC7"/>
    <w:rsid w:val="00583D29"/>
    <w:rsid w:val="00583F0F"/>
    <w:rsid w:val="0058405D"/>
    <w:rsid w:val="005841F1"/>
    <w:rsid w:val="00584B6E"/>
    <w:rsid w:val="00584C17"/>
    <w:rsid w:val="00584F83"/>
    <w:rsid w:val="00586979"/>
    <w:rsid w:val="00586BDC"/>
    <w:rsid w:val="0058797F"/>
    <w:rsid w:val="005902D0"/>
    <w:rsid w:val="00590918"/>
    <w:rsid w:val="00591750"/>
    <w:rsid w:val="00591823"/>
    <w:rsid w:val="005918ED"/>
    <w:rsid w:val="00591FCA"/>
    <w:rsid w:val="005925EF"/>
    <w:rsid w:val="00592761"/>
    <w:rsid w:val="005928E6"/>
    <w:rsid w:val="00592B69"/>
    <w:rsid w:val="00593611"/>
    <w:rsid w:val="00593C05"/>
    <w:rsid w:val="005940CD"/>
    <w:rsid w:val="00594C50"/>
    <w:rsid w:val="00594FE6"/>
    <w:rsid w:val="005968CB"/>
    <w:rsid w:val="00596C36"/>
    <w:rsid w:val="00596E17"/>
    <w:rsid w:val="00597406"/>
    <w:rsid w:val="005974EC"/>
    <w:rsid w:val="005A0200"/>
    <w:rsid w:val="005A099E"/>
    <w:rsid w:val="005A0C2E"/>
    <w:rsid w:val="005A18FE"/>
    <w:rsid w:val="005A197F"/>
    <w:rsid w:val="005A326F"/>
    <w:rsid w:val="005A3B43"/>
    <w:rsid w:val="005A3E18"/>
    <w:rsid w:val="005A44A2"/>
    <w:rsid w:val="005A4BD3"/>
    <w:rsid w:val="005A4C45"/>
    <w:rsid w:val="005A4DB6"/>
    <w:rsid w:val="005A4E7C"/>
    <w:rsid w:val="005A52A0"/>
    <w:rsid w:val="005A567C"/>
    <w:rsid w:val="005A5A21"/>
    <w:rsid w:val="005A6A03"/>
    <w:rsid w:val="005A6AD9"/>
    <w:rsid w:val="005A7436"/>
    <w:rsid w:val="005A787B"/>
    <w:rsid w:val="005A78B0"/>
    <w:rsid w:val="005A7A5C"/>
    <w:rsid w:val="005A7E44"/>
    <w:rsid w:val="005B0C1B"/>
    <w:rsid w:val="005B1731"/>
    <w:rsid w:val="005B1981"/>
    <w:rsid w:val="005B27A4"/>
    <w:rsid w:val="005B296A"/>
    <w:rsid w:val="005B2B61"/>
    <w:rsid w:val="005B31B1"/>
    <w:rsid w:val="005B3279"/>
    <w:rsid w:val="005B425D"/>
    <w:rsid w:val="005B45A8"/>
    <w:rsid w:val="005B54DB"/>
    <w:rsid w:val="005B5EB6"/>
    <w:rsid w:val="005B66E8"/>
    <w:rsid w:val="005B6DE9"/>
    <w:rsid w:val="005B70B9"/>
    <w:rsid w:val="005B727F"/>
    <w:rsid w:val="005B763F"/>
    <w:rsid w:val="005B7FE0"/>
    <w:rsid w:val="005C02A9"/>
    <w:rsid w:val="005C04A3"/>
    <w:rsid w:val="005C066C"/>
    <w:rsid w:val="005C06C1"/>
    <w:rsid w:val="005C0A39"/>
    <w:rsid w:val="005C2563"/>
    <w:rsid w:val="005C332D"/>
    <w:rsid w:val="005C3D88"/>
    <w:rsid w:val="005C425C"/>
    <w:rsid w:val="005C46FB"/>
    <w:rsid w:val="005C48B3"/>
    <w:rsid w:val="005C574E"/>
    <w:rsid w:val="005C5988"/>
    <w:rsid w:val="005C600F"/>
    <w:rsid w:val="005C6C7C"/>
    <w:rsid w:val="005C7F61"/>
    <w:rsid w:val="005D0BBF"/>
    <w:rsid w:val="005D0BCE"/>
    <w:rsid w:val="005D0BD7"/>
    <w:rsid w:val="005D10C2"/>
    <w:rsid w:val="005D1970"/>
    <w:rsid w:val="005D1BAF"/>
    <w:rsid w:val="005D280B"/>
    <w:rsid w:val="005D335A"/>
    <w:rsid w:val="005D4786"/>
    <w:rsid w:val="005D47EF"/>
    <w:rsid w:val="005D51E0"/>
    <w:rsid w:val="005D561A"/>
    <w:rsid w:val="005D5DEC"/>
    <w:rsid w:val="005D6288"/>
    <w:rsid w:val="005D65E1"/>
    <w:rsid w:val="005D66EA"/>
    <w:rsid w:val="005D6A17"/>
    <w:rsid w:val="005D6EA0"/>
    <w:rsid w:val="005D72E3"/>
    <w:rsid w:val="005E0252"/>
    <w:rsid w:val="005E07D7"/>
    <w:rsid w:val="005E173D"/>
    <w:rsid w:val="005E1A61"/>
    <w:rsid w:val="005E1B73"/>
    <w:rsid w:val="005E1EF0"/>
    <w:rsid w:val="005E2185"/>
    <w:rsid w:val="005E2373"/>
    <w:rsid w:val="005E3AD1"/>
    <w:rsid w:val="005E4D53"/>
    <w:rsid w:val="005E64FE"/>
    <w:rsid w:val="005E66CA"/>
    <w:rsid w:val="005E66EA"/>
    <w:rsid w:val="005E7495"/>
    <w:rsid w:val="005E7740"/>
    <w:rsid w:val="005E7796"/>
    <w:rsid w:val="005E79EB"/>
    <w:rsid w:val="005E7A5A"/>
    <w:rsid w:val="005F0518"/>
    <w:rsid w:val="005F2965"/>
    <w:rsid w:val="005F3530"/>
    <w:rsid w:val="005F446E"/>
    <w:rsid w:val="005F4645"/>
    <w:rsid w:val="005F4886"/>
    <w:rsid w:val="005F5477"/>
    <w:rsid w:val="005F58AD"/>
    <w:rsid w:val="005F5C56"/>
    <w:rsid w:val="005F5E5D"/>
    <w:rsid w:val="005F618E"/>
    <w:rsid w:val="005F62C2"/>
    <w:rsid w:val="005F6BD7"/>
    <w:rsid w:val="005F705B"/>
    <w:rsid w:val="005F73F8"/>
    <w:rsid w:val="005F744B"/>
    <w:rsid w:val="00600413"/>
    <w:rsid w:val="006010B2"/>
    <w:rsid w:val="006012B0"/>
    <w:rsid w:val="00601627"/>
    <w:rsid w:val="00602767"/>
    <w:rsid w:val="006037D4"/>
    <w:rsid w:val="00603BD2"/>
    <w:rsid w:val="006049A1"/>
    <w:rsid w:val="00604D01"/>
    <w:rsid w:val="00605765"/>
    <w:rsid w:val="00605CD3"/>
    <w:rsid w:val="00605E23"/>
    <w:rsid w:val="00606683"/>
    <w:rsid w:val="00606833"/>
    <w:rsid w:val="0060694B"/>
    <w:rsid w:val="00606A67"/>
    <w:rsid w:val="00606CAB"/>
    <w:rsid w:val="00607CA1"/>
    <w:rsid w:val="00607CD0"/>
    <w:rsid w:val="00607D20"/>
    <w:rsid w:val="00607D53"/>
    <w:rsid w:val="006105E3"/>
    <w:rsid w:val="00610C35"/>
    <w:rsid w:val="00610DA2"/>
    <w:rsid w:val="0061132C"/>
    <w:rsid w:val="00612303"/>
    <w:rsid w:val="0061281B"/>
    <w:rsid w:val="00612842"/>
    <w:rsid w:val="00612E47"/>
    <w:rsid w:val="00612EBF"/>
    <w:rsid w:val="00613B22"/>
    <w:rsid w:val="006143A7"/>
    <w:rsid w:val="0061534F"/>
    <w:rsid w:val="00615C74"/>
    <w:rsid w:val="006160A0"/>
    <w:rsid w:val="00616AD0"/>
    <w:rsid w:val="00616BE3"/>
    <w:rsid w:val="00617267"/>
    <w:rsid w:val="006206CB"/>
    <w:rsid w:val="00620AB1"/>
    <w:rsid w:val="00621A48"/>
    <w:rsid w:val="00621E56"/>
    <w:rsid w:val="00622874"/>
    <w:rsid w:val="00623442"/>
    <w:rsid w:val="006235D8"/>
    <w:rsid w:val="0062405E"/>
    <w:rsid w:val="006242F1"/>
    <w:rsid w:val="00624936"/>
    <w:rsid w:val="00625296"/>
    <w:rsid w:val="006254E2"/>
    <w:rsid w:val="00626C1A"/>
    <w:rsid w:val="00627EE7"/>
    <w:rsid w:val="006314E1"/>
    <w:rsid w:val="0063172D"/>
    <w:rsid w:val="00631983"/>
    <w:rsid w:val="006325AB"/>
    <w:rsid w:val="00632CCF"/>
    <w:rsid w:val="00633892"/>
    <w:rsid w:val="00633C0D"/>
    <w:rsid w:val="00633FD2"/>
    <w:rsid w:val="00634679"/>
    <w:rsid w:val="0063529E"/>
    <w:rsid w:val="00636196"/>
    <w:rsid w:val="006364D0"/>
    <w:rsid w:val="00636902"/>
    <w:rsid w:val="00636D25"/>
    <w:rsid w:val="00636F5C"/>
    <w:rsid w:val="00636FD6"/>
    <w:rsid w:val="00640A3C"/>
    <w:rsid w:val="006414C5"/>
    <w:rsid w:val="00641E24"/>
    <w:rsid w:val="006427F4"/>
    <w:rsid w:val="00642B81"/>
    <w:rsid w:val="00642C8F"/>
    <w:rsid w:val="00644BB0"/>
    <w:rsid w:val="00644E25"/>
    <w:rsid w:val="0064586E"/>
    <w:rsid w:val="006462A3"/>
    <w:rsid w:val="00646994"/>
    <w:rsid w:val="00646AE6"/>
    <w:rsid w:val="00646E38"/>
    <w:rsid w:val="00646F5D"/>
    <w:rsid w:val="00647808"/>
    <w:rsid w:val="00647CA7"/>
    <w:rsid w:val="00650AE5"/>
    <w:rsid w:val="00650B3E"/>
    <w:rsid w:val="00651E88"/>
    <w:rsid w:val="00651F8C"/>
    <w:rsid w:val="0065258E"/>
    <w:rsid w:val="00652DDC"/>
    <w:rsid w:val="00653440"/>
    <w:rsid w:val="006537E5"/>
    <w:rsid w:val="00653876"/>
    <w:rsid w:val="00653B80"/>
    <w:rsid w:val="00654C3C"/>
    <w:rsid w:val="00655BE9"/>
    <w:rsid w:val="00656886"/>
    <w:rsid w:val="00657212"/>
    <w:rsid w:val="0066022D"/>
    <w:rsid w:val="006602DE"/>
    <w:rsid w:val="00660791"/>
    <w:rsid w:val="00660D93"/>
    <w:rsid w:val="006610B2"/>
    <w:rsid w:val="006614FA"/>
    <w:rsid w:val="006615E2"/>
    <w:rsid w:val="006630DE"/>
    <w:rsid w:val="00663D0C"/>
    <w:rsid w:val="00664080"/>
    <w:rsid w:val="00664320"/>
    <w:rsid w:val="00664AD5"/>
    <w:rsid w:val="00664C7A"/>
    <w:rsid w:val="00664F65"/>
    <w:rsid w:val="006654EE"/>
    <w:rsid w:val="0066565A"/>
    <w:rsid w:val="006656C4"/>
    <w:rsid w:val="00665730"/>
    <w:rsid w:val="00665D71"/>
    <w:rsid w:val="00666C6F"/>
    <w:rsid w:val="0067166E"/>
    <w:rsid w:val="00671E5E"/>
    <w:rsid w:val="00671EFB"/>
    <w:rsid w:val="0067288C"/>
    <w:rsid w:val="00672ADB"/>
    <w:rsid w:val="00675E5F"/>
    <w:rsid w:val="0067615F"/>
    <w:rsid w:val="006761C1"/>
    <w:rsid w:val="006765AB"/>
    <w:rsid w:val="006766C0"/>
    <w:rsid w:val="00676C10"/>
    <w:rsid w:val="00676C47"/>
    <w:rsid w:val="00676FBE"/>
    <w:rsid w:val="00677271"/>
    <w:rsid w:val="0068176A"/>
    <w:rsid w:val="0068205F"/>
    <w:rsid w:val="006832F8"/>
    <w:rsid w:val="00683576"/>
    <w:rsid w:val="006845E7"/>
    <w:rsid w:val="00684669"/>
    <w:rsid w:val="00684AE3"/>
    <w:rsid w:val="00684AFB"/>
    <w:rsid w:val="00684F0F"/>
    <w:rsid w:val="006852A6"/>
    <w:rsid w:val="0068536A"/>
    <w:rsid w:val="00685467"/>
    <w:rsid w:val="00687628"/>
    <w:rsid w:val="00687AED"/>
    <w:rsid w:val="00690450"/>
    <w:rsid w:val="00691F6C"/>
    <w:rsid w:val="006920DB"/>
    <w:rsid w:val="00692632"/>
    <w:rsid w:val="0069291F"/>
    <w:rsid w:val="00693196"/>
    <w:rsid w:val="006937BF"/>
    <w:rsid w:val="00693B72"/>
    <w:rsid w:val="00693FE4"/>
    <w:rsid w:val="00694E86"/>
    <w:rsid w:val="0069504B"/>
    <w:rsid w:val="00695904"/>
    <w:rsid w:val="0069607E"/>
    <w:rsid w:val="006967C3"/>
    <w:rsid w:val="0069689A"/>
    <w:rsid w:val="0069703A"/>
    <w:rsid w:val="0069736B"/>
    <w:rsid w:val="006A0C9B"/>
    <w:rsid w:val="006A0C9E"/>
    <w:rsid w:val="006A0EB2"/>
    <w:rsid w:val="006A124E"/>
    <w:rsid w:val="006A1462"/>
    <w:rsid w:val="006A16D2"/>
    <w:rsid w:val="006A1FBB"/>
    <w:rsid w:val="006A22F5"/>
    <w:rsid w:val="006A2A18"/>
    <w:rsid w:val="006A391F"/>
    <w:rsid w:val="006A3AE0"/>
    <w:rsid w:val="006A3F23"/>
    <w:rsid w:val="006A408D"/>
    <w:rsid w:val="006A60D3"/>
    <w:rsid w:val="006A679F"/>
    <w:rsid w:val="006A746F"/>
    <w:rsid w:val="006A758B"/>
    <w:rsid w:val="006A75FC"/>
    <w:rsid w:val="006A7DB0"/>
    <w:rsid w:val="006A7F01"/>
    <w:rsid w:val="006B032A"/>
    <w:rsid w:val="006B05DB"/>
    <w:rsid w:val="006B0A2A"/>
    <w:rsid w:val="006B1239"/>
    <w:rsid w:val="006B12E9"/>
    <w:rsid w:val="006B1433"/>
    <w:rsid w:val="006B15E0"/>
    <w:rsid w:val="006B17CD"/>
    <w:rsid w:val="006B1C61"/>
    <w:rsid w:val="006B24D6"/>
    <w:rsid w:val="006B3AC1"/>
    <w:rsid w:val="006B3C61"/>
    <w:rsid w:val="006B4E95"/>
    <w:rsid w:val="006B5E81"/>
    <w:rsid w:val="006B6641"/>
    <w:rsid w:val="006B7017"/>
    <w:rsid w:val="006C02DE"/>
    <w:rsid w:val="006C0320"/>
    <w:rsid w:val="006C0F99"/>
    <w:rsid w:val="006C1249"/>
    <w:rsid w:val="006C164F"/>
    <w:rsid w:val="006C19C0"/>
    <w:rsid w:val="006C1BB4"/>
    <w:rsid w:val="006C1C38"/>
    <w:rsid w:val="006C2A68"/>
    <w:rsid w:val="006C3618"/>
    <w:rsid w:val="006C4BE7"/>
    <w:rsid w:val="006C5794"/>
    <w:rsid w:val="006C5FD5"/>
    <w:rsid w:val="006C6741"/>
    <w:rsid w:val="006C6C80"/>
    <w:rsid w:val="006C6E46"/>
    <w:rsid w:val="006C7252"/>
    <w:rsid w:val="006C7CA6"/>
    <w:rsid w:val="006D0340"/>
    <w:rsid w:val="006D07B2"/>
    <w:rsid w:val="006D0D0D"/>
    <w:rsid w:val="006D19E6"/>
    <w:rsid w:val="006D1C08"/>
    <w:rsid w:val="006D1D1C"/>
    <w:rsid w:val="006D1FD5"/>
    <w:rsid w:val="006D207F"/>
    <w:rsid w:val="006D21A8"/>
    <w:rsid w:val="006D237A"/>
    <w:rsid w:val="006D2C55"/>
    <w:rsid w:val="006D305C"/>
    <w:rsid w:val="006D324A"/>
    <w:rsid w:val="006D3C3F"/>
    <w:rsid w:val="006D4348"/>
    <w:rsid w:val="006D54C6"/>
    <w:rsid w:val="006D5D6C"/>
    <w:rsid w:val="006D63EB"/>
    <w:rsid w:val="006D6981"/>
    <w:rsid w:val="006D6B3C"/>
    <w:rsid w:val="006D76B2"/>
    <w:rsid w:val="006E03BC"/>
    <w:rsid w:val="006E0B8C"/>
    <w:rsid w:val="006E0D3E"/>
    <w:rsid w:val="006E0E24"/>
    <w:rsid w:val="006E1612"/>
    <w:rsid w:val="006E1852"/>
    <w:rsid w:val="006E24FF"/>
    <w:rsid w:val="006E25CD"/>
    <w:rsid w:val="006E2618"/>
    <w:rsid w:val="006E2B27"/>
    <w:rsid w:val="006E31A9"/>
    <w:rsid w:val="006E427D"/>
    <w:rsid w:val="006E42F8"/>
    <w:rsid w:val="006E4A50"/>
    <w:rsid w:val="006E4B49"/>
    <w:rsid w:val="006E4F83"/>
    <w:rsid w:val="006E5996"/>
    <w:rsid w:val="006E5E40"/>
    <w:rsid w:val="006E68FB"/>
    <w:rsid w:val="006E70C4"/>
    <w:rsid w:val="006E7AB1"/>
    <w:rsid w:val="006E7B37"/>
    <w:rsid w:val="006E7E4F"/>
    <w:rsid w:val="006E7F0A"/>
    <w:rsid w:val="006F011C"/>
    <w:rsid w:val="006F013D"/>
    <w:rsid w:val="006F06D7"/>
    <w:rsid w:val="006F148D"/>
    <w:rsid w:val="006F2573"/>
    <w:rsid w:val="006F26CA"/>
    <w:rsid w:val="006F2E13"/>
    <w:rsid w:val="006F378C"/>
    <w:rsid w:val="006F4359"/>
    <w:rsid w:val="006F4750"/>
    <w:rsid w:val="006F4878"/>
    <w:rsid w:val="006F48DB"/>
    <w:rsid w:val="006F63C2"/>
    <w:rsid w:val="006F64E7"/>
    <w:rsid w:val="006F66CD"/>
    <w:rsid w:val="006F76CA"/>
    <w:rsid w:val="006F7B91"/>
    <w:rsid w:val="006F7BA8"/>
    <w:rsid w:val="00701ACE"/>
    <w:rsid w:val="007025FE"/>
    <w:rsid w:val="00702764"/>
    <w:rsid w:val="00702936"/>
    <w:rsid w:val="00702AD7"/>
    <w:rsid w:val="00703B27"/>
    <w:rsid w:val="00703DE7"/>
    <w:rsid w:val="0070505A"/>
    <w:rsid w:val="0070519B"/>
    <w:rsid w:val="007054BB"/>
    <w:rsid w:val="00706539"/>
    <w:rsid w:val="007068D5"/>
    <w:rsid w:val="00706903"/>
    <w:rsid w:val="0070771E"/>
    <w:rsid w:val="00707DA4"/>
    <w:rsid w:val="00710CEB"/>
    <w:rsid w:val="00710FAA"/>
    <w:rsid w:val="007116E5"/>
    <w:rsid w:val="00711DB3"/>
    <w:rsid w:val="00713463"/>
    <w:rsid w:val="00713995"/>
    <w:rsid w:val="007145E6"/>
    <w:rsid w:val="0071472C"/>
    <w:rsid w:val="00714A0B"/>
    <w:rsid w:val="00715056"/>
    <w:rsid w:val="007151E0"/>
    <w:rsid w:val="00715D94"/>
    <w:rsid w:val="007161BC"/>
    <w:rsid w:val="00716D3E"/>
    <w:rsid w:val="00716E14"/>
    <w:rsid w:val="00716F75"/>
    <w:rsid w:val="00720727"/>
    <w:rsid w:val="0072117D"/>
    <w:rsid w:val="0072123A"/>
    <w:rsid w:val="00721F03"/>
    <w:rsid w:val="00722171"/>
    <w:rsid w:val="0072255E"/>
    <w:rsid w:val="00723150"/>
    <w:rsid w:val="007240F6"/>
    <w:rsid w:val="00724732"/>
    <w:rsid w:val="007259F9"/>
    <w:rsid w:val="00725C65"/>
    <w:rsid w:val="007267F9"/>
    <w:rsid w:val="0072794E"/>
    <w:rsid w:val="00727EAB"/>
    <w:rsid w:val="00727EBA"/>
    <w:rsid w:val="0073002F"/>
    <w:rsid w:val="0073003F"/>
    <w:rsid w:val="00730AE4"/>
    <w:rsid w:val="00730D43"/>
    <w:rsid w:val="00730E8F"/>
    <w:rsid w:val="00731097"/>
    <w:rsid w:val="00731171"/>
    <w:rsid w:val="007312AE"/>
    <w:rsid w:val="007312DB"/>
    <w:rsid w:val="00731F62"/>
    <w:rsid w:val="00732308"/>
    <w:rsid w:val="007334ED"/>
    <w:rsid w:val="00733BC8"/>
    <w:rsid w:val="00734579"/>
    <w:rsid w:val="00735443"/>
    <w:rsid w:val="00735703"/>
    <w:rsid w:val="00735BA9"/>
    <w:rsid w:val="00735E27"/>
    <w:rsid w:val="0073706C"/>
    <w:rsid w:val="007401AB"/>
    <w:rsid w:val="007401F3"/>
    <w:rsid w:val="0074034D"/>
    <w:rsid w:val="00740706"/>
    <w:rsid w:val="00740D2F"/>
    <w:rsid w:val="00741598"/>
    <w:rsid w:val="007426AD"/>
    <w:rsid w:val="00742776"/>
    <w:rsid w:val="00742810"/>
    <w:rsid w:val="0074314C"/>
    <w:rsid w:val="007440EB"/>
    <w:rsid w:val="007443EB"/>
    <w:rsid w:val="00744AB8"/>
    <w:rsid w:val="00744D51"/>
    <w:rsid w:val="00744E99"/>
    <w:rsid w:val="00746557"/>
    <w:rsid w:val="0074698D"/>
    <w:rsid w:val="0074699C"/>
    <w:rsid w:val="00746BC3"/>
    <w:rsid w:val="00747781"/>
    <w:rsid w:val="00747FCE"/>
    <w:rsid w:val="00750261"/>
    <w:rsid w:val="00750714"/>
    <w:rsid w:val="00750A9D"/>
    <w:rsid w:val="00750DDF"/>
    <w:rsid w:val="00750EBD"/>
    <w:rsid w:val="00751280"/>
    <w:rsid w:val="007520C7"/>
    <w:rsid w:val="00752261"/>
    <w:rsid w:val="007528B0"/>
    <w:rsid w:val="00752A64"/>
    <w:rsid w:val="00752FDB"/>
    <w:rsid w:val="007532BE"/>
    <w:rsid w:val="00753BD7"/>
    <w:rsid w:val="00756260"/>
    <w:rsid w:val="007573AE"/>
    <w:rsid w:val="007577C8"/>
    <w:rsid w:val="00757D13"/>
    <w:rsid w:val="00757DE5"/>
    <w:rsid w:val="00757F0D"/>
    <w:rsid w:val="007600AD"/>
    <w:rsid w:val="00760353"/>
    <w:rsid w:val="007603D8"/>
    <w:rsid w:val="00760575"/>
    <w:rsid w:val="007608FC"/>
    <w:rsid w:val="00760A82"/>
    <w:rsid w:val="00760C7C"/>
    <w:rsid w:val="00760D31"/>
    <w:rsid w:val="00760F91"/>
    <w:rsid w:val="00761F50"/>
    <w:rsid w:val="007625EE"/>
    <w:rsid w:val="00762D3B"/>
    <w:rsid w:val="0076435B"/>
    <w:rsid w:val="00764695"/>
    <w:rsid w:val="00765917"/>
    <w:rsid w:val="00765C2A"/>
    <w:rsid w:val="00766072"/>
    <w:rsid w:val="00766219"/>
    <w:rsid w:val="00766951"/>
    <w:rsid w:val="00766FF7"/>
    <w:rsid w:val="00767512"/>
    <w:rsid w:val="007675C1"/>
    <w:rsid w:val="00767645"/>
    <w:rsid w:val="0077010A"/>
    <w:rsid w:val="0077021D"/>
    <w:rsid w:val="00770414"/>
    <w:rsid w:val="007708D5"/>
    <w:rsid w:val="00770CB2"/>
    <w:rsid w:val="00770F96"/>
    <w:rsid w:val="00771477"/>
    <w:rsid w:val="007715AC"/>
    <w:rsid w:val="00771BE7"/>
    <w:rsid w:val="00771E3F"/>
    <w:rsid w:val="00772679"/>
    <w:rsid w:val="00772D5C"/>
    <w:rsid w:val="00772F3C"/>
    <w:rsid w:val="007733A8"/>
    <w:rsid w:val="00773616"/>
    <w:rsid w:val="007737C5"/>
    <w:rsid w:val="00773A05"/>
    <w:rsid w:val="00773DA0"/>
    <w:rsid w:val="0077416D"/>
    <w:rsid w:val="007749A2"/>
    <w:rsid w:val="0077528B"/>
    <w:rsid w:val="007762D1"/>
    <w:rsid w:val="0077678E"/>
    <w:rsid w:val="00776BEF"/>
    <w:rsid w:val="00777B26"/>
    <w:rsid w:val="00777C90"/>
    <w:rsid w:val="00777DBF"/>
    <w:rsid w:val="00777F17"/>
    <w:rsid w:val="0078021B"/>
    <w:rsid w:val="00780B1C"/>
    <w:rsid w:val="00780E07"/>
    <w:rsid w:val="00780EF0"/>
    <w:rsid w:val="00781013"/>
    <w:rsid w:val="00782260"/>
    <w:rsid w:val="00782ECF"/>
    <w:rsid w:val="0078325C"/>
    <w:rsid w:val="0078375A"/>
    <w:rsid w:val="00783CA3"/>
    <w:rsid w:val="007843A1"/>
    <w:rsid w:val="007848DE"/>
    <w:rsid w:val="00784B77"/>
    <w:rsid w:val="00785331"/>
    <w:rsid w:val="00785883"/>
    <w:rsid w:val="00785F50"/>
    <w:rsid w:val="007865B2"/>
    <w:rsid w:val="007904A5"/>
    <w:rsid w:val="00791848"/>
    <w:rsid w:val="00791F1C"/>
    <w:rsid w:val="00792014"/>
    <w:rsid w:val="007921DF"/>
    <w:rsid w:val="0079230E"/>
    <w:rsid w:val="00792793"/>
    <w:rsid w:val="0079287B"/>
    <w:rsid w:val="007948B7"/>
    <w:rsid w:val="00794B22"/>
    <w:rsid w:val="007959CD"/>
    <w:rsid w:val="007964FD"/>
    <w:rsid w:val="00796724"/>
    <w:rsid w:val="00796E83"/>
    <w:rsid w:val="007971C7"/>
    <w:rsid w:val="007976DA"/>
    <w:rsid w:val="007A023C"/>
    <w:rsid w:val="007A03C6"/>
    <w:rsid w:val="007A0988"/>
    <w:rsid w:val="007A0ACD"/>
    <w:rsid w:val="007A0CCF"/>
    <w:rsid w:val="007A0E65"/>
    <w:rsid w:val="007A17F9"/>
    <w:rsid w:val="007A294E"/>
    <w:rsid w:val="007A2C01"/>
    <w:rsid w:val="007A2CD2"/>
    <w:rsid w:val="007A2EEF"/>
    <w:rsid w:val="007A3834"/>
    <w:rsid w:val="007A3EDD"/>
    <w:rsid w:val="007A49FC"/>
    <w:rsid w:val="007A4F82"/>
    <w:rsid w:val="007A5971"/>
    <w:rsid w:val="007A5EFB"/>
    <w:rsid w:val="007A6551"/>
    <w:rsid w:val="007A7172"/>
    <w:rsid w:val="007A7BF0"/>
    <w:rsid w:val="007A7C32"/>
    <w:rsid w:val="007A7C84"/>
    <w:rsid w:val="007A7F88"/>
    <w:rsid w:val="007B0A10"/>
    <w:rsid w:val="007B0AD0"/>
    <w:rsid w:val="007B124C"/>
    <w:rsid w:val="007B1850"/>
    <w:rsid w:val="007B2114"/>
    <w:rsid w:val="007B22E3"/>
    <w:rsid w:val="007B2746"/>
    <w:rsid w:val="007B28F0"/>
    <w:rsid w:val="007B2EAF"/>
    <w:rsid w:val="007B34AC"/>
    <w:rsid w:val="007B3595"/>
    <w:rsid w:val="007B45D4"/>
    <w:rsid w:val="007B5BBE"/>
    <w:rsid w:val="007B5D3B"/>
    <w:rsid w:val="007B700D"/>
    <w:rsid w:val="007B7392"/>
    <w:rsid w:val="007B76D8"/>
    <w:rsid w:val="007B7CDC"/>
    <w:rsid w:val="007B7E43"/>
    <w:rsid w:val="007C0044"/>
    <w:rsid w:val="007C021D"/>
    <w:rsid w:val="007C05DB"/>
    <w:rsid w:val="007C14D0"/>
    <w:rsid w:val="007C1998"/>
    <w:rsid w:val="007C2022"/>
    <w:rsid w:val="007C21E0"/>
    <w:rsid w:val="007C27F3"/>
    <w:rsid w:val="007C299B"/>
    <w:rsid w:val="007C2E08"/>
    <w:rsid w:val="007C2EDF"/>
    <w:rsid w:val="007C41C2"/>
    <w:rsid w:val="007C4237"/>
    <w:rsid w:val="007C4731"/>
    <w:rsid w:val="007C48D5"/>
    <w:rsid w:val="007C51FF"/>
    <w:rsid w:val="007C5E98"/>
    <w:rsid w:val="007C5F12"/>
    <w:rsid w:val="007C6526"/>
    <w:rsid w:val="007D0DAF"/>
    <w:rsid w:val="007D129C"/>
    <w:rsid w:val="007D1CEF"/>
    <w:rsid w:val="007D1E42"/>
    <w:rsid w:val="007D283C"/>
    <w:rsid w:val="007D31AB"/>
    <w:rsid w:val="007D34F1"/>
    <w:rsid w:val="007D3577"/>
    <w:rsid w:val="007D3AAA"/>
    <w:rsid w:val="007D3CF6"/>
    <w:rsid w:val="007D578B"/>
    <w:rsid w:val="007D5823"/>
    <w:rsid w:val="007D5DFD"/>
    <w:rsid w:val="007D6154"/>
    <w:rsid w:val="007D6BEF"/>
    <w:rsid w:val="007D6E9B"/>
    <w:rsid w:val="007D7D03"/>
    <w:rsid w:val="007E0784"/>
    <w:rsid w:val="007E206A"/>
    <w:rsid w:val="007E20B0"/>
    <w:rsid w:val="007E296B"/>
    <w:rsid w:val="007E2CC7"/>
    <w:rsid w:val="007E37F7"/>
    <w:rsid w:val="007E3A9D"/>
    <w:rsid w:val="007E41B0"/>
    <w:rsid w:val="007E58DA"/>
    <w:rsid w:val="007E73BC"/>
    <w:rsid w:val="007E7DD1"/>
    <w:rsid w:val="007F0253"/>
    <w:rsid w:val="007F0439"/>
    <w:rsid w:val="007F0BAF"/>
    <w:rsid w:val="007F0F85"/>
    <w:rsid w:val="007F1A1A"/>
    <w:rsid w:val="007F2728"/>
    <w:rsid w:val="007F33D8"/>
    <w:rsid w:val="007F37BB"/>
    <w:rsid w:val="007F3FBF"/>
    <w:rsid w:val="007F42BB"/>
    <w:rsid w:val="007F474D"/>
    <w:rsid w:val="007F6098"/>
    <w:rsid w:val="007F715F"/>
    <w:rsid w:val="007F7379"/>
    <w:rsid w:val="007F7435"/>
    <w:rsid w:val="00801404"/>
    <w:rsid w:val="008021F6"/>
    <w:rsid w:val="008025C5"/>
    <w:rsid w:val="008028D0"/>
    <w:rsid w:val="00803346"/>
    <w:rsid w:val="008035C7"/>
    <w:rsid w:val="00803841"/>
    <w:rsid w:val="00803D0B"/>
    <w:rsid w:val="00803D66"/>
    <w:rsid w:val="008041F4"/>
    <w:rsid w:val="008050BC"/>
    <w:rsid w:val="0080526C"/>
    <w:rsid w:val="008052BA"/>
    <w:rsid w:val="00805A95"/>
    <w:rsid w:val="008065BD"/>
    <w:rsid w:val="00806675"/>
    <w:rsid w:val="0080695E"/>
    <w:rsid w:val="00806972"/>
    <w:rsid w:val="0080714A"/>
    <w:rsid w:val="008078A9"/>
    <w:rsid w:val="00810EDA"/>
    <w:rsid w:val="0081112C"/>
    <w:rsid w:val="008117FF"/>
    <w:rsid w:val="00811EA3"/>
    <w:rsid w:val="00811F84"/>
    <w:rsid w:val="00812BBA"/>
    <w:rsid w:val="00812CB5"/>
    <w:rsid w:val="00812DA3"/>
    <w:rsid w:val="00812F7E"/>
    <w:rsid w:val="008131A8"/>
    <w:rsid w:val="00813A52"/>
    <w:rsid w:val="00813DAC"/>
    <w:rsid w:val="00815A17"/>
    <w:rsid w:val="0081651A"/>
    <w:rsid w:val="00817EB2"/>
    <w:rsid w:val="00817F9F"/>
    <w:rsid w:val="0082180D"/>
    <w:rsid w:val="008219C5"/>
    <w:rsid w:val="008226FC"/>
    <w:rsid w:val="00822B95"/>
    <w:rsid w:val="00823210"/>
    <w:rsid w:val="00823233"/>
    <w:rsid w:val="008232B5"/>
    <w:rsid w:val="00823D3F"/>
    <w:rsid w:val="00824111"/>
    <w:rsid w:val="00824356"/>
    <w:rsid w:val="00824723"/>
    <w:rsid w:val="00824C2A"/>
    <w:rsid w:val="00824F51"/>
    <w:rsid w:val="00825FC8"/>
    <w:rsid w:val="00826551"/>
    <w:rsid w:val="00827B3E"/>
    <w:rsid w:val="00827BA2"/>
    <w:rsid w:val="008301BA"/>
    <w:rsid w:val="008311EE"/>
    <w:rsid w:val="00831456"/>
    <w:rsid w:val="008314AD"/>
    <w:rsid w:val="008316F2"/>
    <w:rsid w:val="00831E89"/>
    <w:rsid w:val="008321FA"/>
    <w:rsid w:val="00832447"/>
    <w:rsid w:val="00832B9E"/>
    <w:rsid w:val="00832CB0"/>
    <w:rsid w:val="00833361"/>
    <w:rsid w:val="008334DC"/>
    <w:rsid w:val="00833688"/>
    <w:rsid w:val="0083391B"/>
    <w:rsid w:val="00833C8C"/>
    <w:rsid w:val="008340DB"/>
    <w:rsid w:val="00834125"/>
    <w:rsid w:val="008348A9"/>
    <w:rsid w:val="008369E6"/>
    <w:rsid w:val="00836A14"/>
    <w:rsid w:val="00836F68"/>
    <w:rsid w:val="00837971"/>
    <w:rsid w:val="00837F69"/>
    <w:rsid w:val="00837F6F"/>
    <w:rsid w:val="0084021B"/>
    <w:rsid w:val="00840FAB"/>
    <w:rsid w:val="0084169C"/>
    <w:rsid w:val="00841FD5"/>
    <w:rsid w:val="0084260E"/>
    <w:rsid w:val="00842A14"/>
    <w:rsid w:val="0084337D"/>
    <w:rsid w:val="0084356B"/>
    <w:rsid w:val="00843DCD"/>
    <w:rsid w:val="00844256"/>
    <w:rsid w:val="00844795"/>
    <w:rsid w:val="00844FB2"/>
    <w:rsid w:val="00845231"/>
    <w:rsid w:val="00845E98"/>
    <w:rsid w:val="00846005"/>
    <w:rsid w:val="00846092"/>
    <w:rsid w:val="00846590"/>
    <w:rsid w:val="00847823"/>
    <w:rsid w:val="008501B8"/>
    <w:rsid w:val="00850BA9"/>
    <w:rsid w:val="00850BC1"/>
    <w:rsid w:val="00850FEE"/>
    <w:rsid w:val="00851513"/>
    <w:rsid w:val="00851A14"/>
    <w:rsid w:val="008520A4"/>
    <w:rsid w:val="00852DDA"/>
    <w:rsid w:val="0085362D"/>
    <w:rsid w:val="00853AD8"/>
    <w:rsid w:val="00853BC8"/>
    <w:rsid w:val="00854019"/>
    <w:rsid w:val="008547A0"/>
    <w:rsid w:val="00855646"/>
    <w:rsid w:val="00855B72"/>
    <w:rsid w:val="00855EBB"/>
    <w:rsid w:val="008565A4"/>
    <w:rsid w:val="00857228"/>
    <w:rsid w:val="00857615"/>
    <w:rsid w:val="00857B10"/>
    <w:rsid w:val="00857C10"/>
    <w:rsid w:val="00860018"/>
    <w:rsid w:val="00860872"/>
    <w:rsid w:val="008625A8"/>
    <w:rsid w:val="008634DD"/>
    <w:rsid w:val="0086403E"/>
    <w:rsid w:val="00864DAB"/>
    <w:rsid w:val="00864E9D"/>
    <w:rsid w:val="00865922"/>
    <w:rsid w:val="00865A90"/>
    <w:rsid w:val="00865BCF"/>
    <w:rsid w:val="00865F6D"/>
    <w:rsid w:val="0086630B"/>
    <w:rsid w:val="00866755"/>
    <w:rsid w:val="008678D8"/>
    <w:rsid w:val="008678FA"/>
    <w:rsid w:val="00870031"/>
    <w:rsid w:val="008701DF"/>
    <w:rsid w:val="0087092A"/>
    <w:rsid w:val="008709E5"/>
    <w:rsid w:val="00870B6B"/>
    <w:rsid w:val="00870B94"/>
    <w:rsid w:val="00871A8D"/>
    <w:rsid w:val="00872135"/>
    <w:rsid w:val="008722BB"/>
    <w:rsid w:val="008722E1"/>
    <w:rsid w:val="0087273C"/>
    <w:rsid w:val="00872F42"/>
    <w:rsid w:val="00873F72"/>
    <w:rsid w:val="008741AD"/>
    <w:rsid w:val="0087420D"/>
    <w:rsid w:val="00875C93"/>
    <w:rsid w:val="008769DE"/>
    <w:rsid w:val="00877645"/>
    <w:rsid w:val="00877A61"/>
    <w:rsid w:val="00877DF0"/>
    <w:rsid w:val="008803C0"/>
    <w:rsid w:val="00880EEF"/>
    <w:rsid w:val="00881032"/>
    <w:rsid w:val="008817A9"/>
    <w:rsid w:val="0088187B"/>
    <w:rsid w:val="008822FC"/>
    <w:rsid w:val="00882D5E"/>
    <w:rsid w:val="008830EC"/>
    <w:rsid w:val="008831E9"/>
    <w:rsid w:val="0088355E"/>
    <w:rsid w:val="008847A1"/>
    <w:rsid w:val="00885D9C"/>
    <w:rsid w:val="00885F0B"/>
    <w:rsid w:val="00886CFF"/>
    <w:rsid w:val="0088757A"/>
    <w:rsid w:val="00890111"/>
    <w:rsid w:val="008918CE"/>
    <w:rsid w:val="008925C2"/>
    <w:rsid w:val="00892937"/>
    <w:rsid w:val="00892A0B"/>
    <w:rsid w:val="00892CB8"/>
    <w:rsid w:val="008932E3"/>
    <w:rsid w:val="00893443"/>
    <w:rsid w:val="0089349E"/>
    <w:rsid w:val="00894183"/>
    <w:rsid w:val="00894AA4"/>
    <w:rsid w:val="00894C4A"/>
    <w:rsid w:val="00894F92"/>
    <w:rsid w:val="00895056"/>
    <w:rsid w:val="0089541F"/>
    <w:rsid w:val="008968CE"/>
    <w:rsid w:val="00896C8F"/>
    <w:rsid w:val="008A07B0"/>
    <w:rsid w:val="008A0BA9"/>
    <w:rsid w:val="008A286C"/>
    <w:rsid w:val="008A2AC3"/>
    <w:rsid w:val="008A2EC7"/>
    <w:rsid w:val="008A39D7"/>
    <w:rsid w:val="008A42D5"/>
    <w:rsid w:val="008A490D"/>
    <w:rsid w:val="008A4E60"/>
    <w:rsid w:val="008A6124"/>
    <w:rsid w:val="008A6385"/>
    <w:rsid w:val="008A6D6C"/>
    <w:rsid w:val="008A6F22"/>
    <w:rsid w:val="008A6F68"/>
    <w:rsid w:val="008A792E"/>
    <w:rsid w:val="008A7E21"/>
    <w:rsid w:val="008A7F12"/>
    <w:rsid w:val="008B098C"/>
    <w:rsid w:val="008B121A"/>
    <w:rsid w:val="008B141D"/>
    <w:rsid w:val="008B1706"/>
    <w:rsid w:val="008B3896"/>
    <w:rsid w:val="008B38EC"/>
    <w:rsid w:val="008B3B42"/>
    <w:rsid w:val="008B4FAC"/>
    <w:rsid w:val="008B5510"/>
    <w:rsid w:val="008B6212"/>
    <w:rsid w:val="008B6576"/>
    <w:rsid w:val="008B6873"/>
    <w:rsid w:val="008B719F"/>
    <w:rsid w:val="008C0F67"/>
    <w:rsid w:val="008C19EC"/>
    <w:rsid w:val="008C1A6B"/>
    <w:rsid w:val="008C1B3B"/>
    <w:rsid w:val="008C1D14"/>
    <w:rsid w:val="008C20EF"/>
    <w:rsid w:val="008C25D7"/>
    <w:rsid w:val="008C271A"/>
    <w:rsid w:val="008C2CD2"/>
    <w:rsid w:val="008C3517"/>
    <w:rsid w:val="008C5272"/>
    <w:rsid w:val="008C615A"/>
    <w:rsid w:val="008C6A34"/>
    <w:rsid w:val="008C7702"/>
    <w:rsid w:val="008D0049"/>
    <w:rsid w:val="008D032A"/>
    <w:rsid w:val="008D06EE"/>
    <w:rsid w:val="008D11D9"/>
    <w:rsid w:val="008D1973"/>
    <w:rsid w:val="008D4009"/>
    <w:rsid w:val="008D44D2"/>
    <w:rsid w:val="008D4A7D"/>
    <w:rsid w:val="008D568A"/>
    <w:rsid w:val="008D5BA1"/>
    <w:rsid w:val="008D5BF8"/>
    <w:rsid w:val="008D608E"/>
    <w:rsid w:val="008D60E7"/>
    <w:rsid w:val="008D61A8"/>
    <w:rsid w:val="008D61ED"/>
    <w:rsid w:val="008D7A60"/>
    <w:rsid w:val="008D7EB6"/>
    <w:rsid w:val="008E1D4E"/>
    <w:rsid w:val="008E285E"/>
    <w:rsid w:val="008E2ADB"/>
    <w:rsid w:val="008E3DD5"/>
    <w:rsid w:val="008E476F"/>
    <w:rsid w:val="008E57DF"/>
    <w:rsid w:val="008E5D53"/>
    <w:rsid w:val="008E5E7D"/>
    <w:rsid w:val="008E6284"/>
    <w:rsid w:val="008E7609"/>
    <w:rsid w:val="008E7B09"/>
    <w:rsid w:val="008E7C17"/>
    <w:rsid w:val="008E7D64"/>
    <w:rsid w:val="008F085F"/>
    <w:rsid w:val="008F137E"/>
    <w:rsid w:val="008F1E39"/>
    <w:rsid w:val="008F2370"/>
    <w:rsid w:val="008F2C56"/>
    <w:rsid w:val="008F2FE4"/>
    <w:rsid w:val="008F3EA0"/>
    <w:rsid w:val="008F40AE"/>
    <w:rsid w:val="008F40EE"/>
    <w:rsid w:val="008F4224"/>
    <w:rsid w:val="008F457A"/>
    <w:rsid w:val="008F5063"/>
    <w:rsid w:val="008F5727"/>
    <w:rsid w:val="008F5A17"/>
    <w:rsid w:val="008F5BD0"/>
    <w:rsid w:val="008F5FB9"/>
    <w:rsid w:val="008F64D6"/>
    <w:rsid w:val="008F76A4"/>
    <w:rsid w:val="0090019B"/>
    <w:rsid w:val="009005A3"/>
    <w:rsid w:val="00900C4B"/>
    <w:rsid w:val="009012F6"/>
    <w:rsid w:val="00901625"/>
    <w:rsid w:val="0090193D"/>
    <w:rsid w:val="00901CC6"/>
    <w:rsid w:val="009022E4"/>
    <w:rsid w:val="00902B6E"/>
    <w:rsid w:val="0090324D"/>
    <w:rsid w:val="009035AE"/>
    <w:rsid w:val="009053F9"/>
    <w:rsid w:val="00905401"/>
    <w:rsid w:val="0090648E"/>
    <w:rsid w:val="009070A3"/>
    <w:rsid w:val="00907617"/>
    <w:rsid w:val="009076C4"/>
    <w:rsid w:val="0091039B"/>
    <w:rsid w:val="00910689"/>
    <w:rsid w:val="009111A8"/>
    <w:rsid w:val="00911B2F"/>
    <w:rsid w:val="00912CBC"/>
    <w:rsid w:val="00912EE0"/>
    <w:rsid w:val="009139B7"/>
    <w:rsid w:val="00914822"/>
    <w:rsid w:val="00915373"/>
    <w:rsid w:val="00915E89"/>
    <w:rsid w:val="0091617A"/>
    <w:rsid w:val="009163B7"/>
    <w:rsid w:val="00916750"/>
    <w:rsid w:val="009168DB"/>
    <w:rsid w:val="00916F3F"/>
    <w:rsid w:val="009176A6"/>
    <w:rsid w:val="009177DC"/>
    <w:rsid w:val="00920BC6"/>
    <w:rsid w:val="00920FA4"/>
    <w:rsid w:val="009214C1"/>
    <w:rsid w:val="009216E4"/>
    <w:rsid w:val="009217D4"/>
    <w:rsid w:val="0092181B"/>
    <w:rsid w:val="00922660"/>
    <w:rsid w:val="0092300D"/>
    <w:rsid w:val="009232FD"/>
    <w:rsid w:val="0092390E"/>
    <w:rsid w:val="00925EF8"/>
    <w:rsid w:val="00926152"/>
    <w:rsid w:val="00926ADF"/>
    <w:rsid w:val="009273C8"/>
    <w:rsid w:val="00927AE8"/>
    <w:rsid w:val="0093019F"/>
    <w:rsid w:val="009308AE"/>
    <w:rsid w:val="009309E9"/>
    <w:rsid w:val="00931158"/>
    <w:rsid w:val="0093174D"/>
    <w:rsid w:val="009319EA"/>
    <w:rsid w:val="00931C02"/>
    <w:rsid w:val="00932889"/>
    <w:rsid w:val="00932A22"/>
    <w:rsid w:val="0093368A"/>
    <w:rsid w:val="00933D94"/>
    <w:rsid w:val="00933E0E"/>
    <w:rsid w:val="009343A4"/>
    <w:rsid w:val="009352CE"/>
    <w:rsid w:val="00935D0E"/>
    <w:rsid w:val="00936022"/>
    <w:rsid w:val="00936026"/>
    <w:rsid w:val="0093681D"/>
    <w:rsid w:val="0093731D"/>
    <w:rsid w:val="00937F08"/>
    <w:rsid w:val="00941523"/>
    <w:rsid w:val="009417AD"/>
    <w:rsid w:val="00942D12"/>
    <w:rsid w:val="009431E7"/>
    <w:rsid w:val="00943B5B"/>
    <w:rsid w:val="0094533A"/>
    <w:rsid w:val="00945AA1"/>
    <w:rsid w:val="009506A8"/>
    <w:rsid w:val="0095080F"/>
    <w:rsid w:val="00950DEF"/>
    <w:rsid w:val="0095174C"/>
    <w:rsid w:val="00951C52"/>
    <w:rsid w:val="00952026"/>
    <w:rsid w:val="009528E7"/>
    <w:rsid w:val="00952B2F"/>
    <w:rsid w:val="0095316D"/>
    <w:rsid w:val="00953665"/>
    <w:rsid w:val="009538AD"/>
    <w:rsid w:val="00954640"/>
    <w:rsid w:val="00955045"/>
    <w:rsid w:val="009557A0"/>
    <w:rsid w:val="00955DA5"/>
    <w:rsid w:val="00955EE3"/>
    <w:rsid w:val="009561F5"/>
    <w:rsid w:val="00957D3F"/>
    <w:rsid w:val="0096017B"/>
    <w:rsid w:val="009609CB"/>
    <w:rsid w:val="00960A2A"/>
    <w:rsid w:val="00960FC3"/>
    <w:rsid w:val="009611B9"/>
    <w:rsid w:val="00961439"/>
    <w:rsid w:val="00961A22"/>
    <w:rsid w:val="00961E4D"/>
    <w:rsid w:val="0096220E"/>
    <w:rsid w:val="00962CFD"/>
    <w:rsid w:val="009639CA"/>
    <w:rsid w:val="00963E56"/>
    <w:rsid w:val="009643E0"/>
    <w:rsid w:val="0096479E"/>
    <w:rsid w:val="00964A0D"/>
    <w:rsid w:val="00964F65"/>
    <w:rsid w:val="00965391"/>
    <w:rsid w:val="00965B51"/>
    <w:rsid w:val="00966484"/>
    <w:rsid w:val="0096758A"/>
    <w:rsid w:val="009676A7"/>
    <w:rsid w:val="00967A85"/>
    <w:rsid w:val="00967C81"/>
    <w:rsid w:val="00970271"/>
    <w:rsid w:val="0097100A"/>
    <w:rsid w:val="0097161E"/>
    <w:rsid w:val="00971823"/>
    <w:rsid w:val="00971E4A"/>
    <w:rsid w:val="00972341"/>
    <w:rsid w:val="0097236A"/>
    <w:rsid w:val="009725C5"/>
    <w:rsid w:val="0097285E"/>
    <w:rsid w:val="0097293F"/>
    <w:rsid w:val="0097298D"/>
    <w:rsid w:val="00972F6A"/>
    <w:rsid w:val="0097302D"/>
    <w:rsid w:val="00973046"/>
    <w:rsid w:val="00974C21"/>
    <w:rsid w:val="00974F6E"/>
    <w:rsid w:val="0097524B"/>
    <w:rsid w:val="00975AD5"/>
    <w:rsid w:val="00975BC1"/>
    <w:rsid w:val="009762CE"/>
    <w:rsid w:val="00976DE2"/>
    <w:rsid w:val="00976FCE"/>
    <w:rsid w:val="009774AE"/>
    <w:rsid w:val="00977B62"/>
    <w:rsid w:val="009809C2"/>
    <w:rsid w:val="009811E4"/>
    <w:rsid w:val="00981362"/>
    <w:rsid w:val="0098136C"/>
    <w:rsid w:val="009816DD"/>
    <w:rsid w:val="00982D4A"/>
    <w:rsid w:val="009839D1"/>
    <w:rsid w:val="0098418C"/>
    <w:rsid w:val="009848ED"/>
    <w:rsid w:val="00984AF1"/>
    <w:rsid w:val="00985A9F"/>
    <w:rsid w:val="00985ADE"/>
    <w:rsid w:val="0098645E"/>
    <w:rsid w:val="00986AD3"/>
    <w:rsid w:val="0098740F"/>
    <w:rsid w:val="00987C09"/>
    <w:rsid w:val="00987F5C"/>
    <w:rsid w:val="00990722"/>
    <w:rsid w:val="00990A3B"/>
    <w:rsid w:val="00990A60"/>
    <w:rsid w:val="00990A6A"/>
    <w:rsid w:val="00990DBB"/>
    <w:rsid w:val="009929C7"/>
    <w:rsid w:val="00992D6D"/>
    <w:rsid w:val="00993C3C"/>
    <w:rsid w:val="00994ECA"/>
    <w:rsid w:val="00995DD9"/>
    <w:rsid w:val="009966A7"/>
    <w:rsid w:val="009971A0"/>
    <w:rsid w:val="009975D4"/>
    <w:rsid w:val="009979F4"/>
    <w:rsid w:val="009A0C4C"/>
    <w:rsid w:val="009A0CBD"/>
    <w:rsid w:val="009A0F23"/>
    <w:rsid w:val="009A1992"/>
    <w:rsid w:val="009A2F47"/>
    <w:rsid w:val="009A3248"/>
    <w:rsid w:val="009A33E3"/>
    <w:rsid w:val="009A47A1"/>
    <w:rsid w:val="009A4F01"/>
    <w:rsid w:val="009A534E"/>
    <w:rsid w:val="009A63AC"/>
    <w:rsid w:val="009A72A4"/>
    <w:rsid w:val="009B07D1"/>
    <w:rsid w:val="009B158B"/>
    <w:rsid w:val="009B1E37"/>
    <w:rsid w:val="009B1E5C"/>
    <w:rsid w:val="009B221E"/>
    <w:rsid w:val="009B2391"/>
    <w:rsid w:val="009B244D"/>
    <w:rsid w:val="009B313C"/>
    <w:rsid w:val="009B3DCE"/>
    <w:rsid w:val="009B3E03"/>
    <w:rsid w:val="009B523A"/>
    <w:rsid w:val="009B590C"/>
    <w:rsid w:val="009B5B01"/>
    <w:rsid w:val="009B5EDB"/>
    <w:rsid w:val="009B630E"/>
    <w:rsid w:val="009B6A06"/>
    <w:rsid w:val="009B78C3"/>
    <w:rsid w:val="009B7E4E"/>
    <w:rsid w:val="009C03B3"/>
    <w:rsid w:val="009C03F9"/>
    <w:rsid w:val="009C054A"/>
    <w:rsid w:val="009C07A1"/>
    <w:rsid w:val="009C172D"/>
    <w:rsid w:val="009C1C95"/>
    <w:rsid w:val="009C1D30"/>
    <w:rsid w:val="009C1E8C"/>
    <w:rsid w:val="009C240E"/>
    <w:rsid w:val="009C3733"/>
    <w:rsid w:val="009C373E"/>
    <w:rsid w:val="009C41E0"/>
    <w:rsid w:val="009C4738"/>
    <w:rsid w:val="009C518E"/>
    <w:rsid w:val="009C56B2"/>
    <w:rsid w:val="009C57F4"/>
    <w:rsid w:val="009C6C1A"/>
    <w:rsid w:val="009C7555"/>
    <w:rsid w:val="009C7761"/>
    <w:rsid w:val="009C78B0"/>
    <w:rsid w:val="009C7C21"/>
    <w:rsid w:val="009C7DD7"/>
    <w:rsid w:val="009C7DFC"/>
    <w:rsid w:val="009C7EE3"/>
    <w:rsid w:val="009D0175"/>
    <w:rsid w:val="009D0CB8"/>
    <w:rsid w:val="009D10C4"/>
    <w:rsid w:val="009D18CD"/>
    <w:rsid w:val="009D1AB2"/>
    <w:rsid w:val="009D2835"/>
    <w:rsid w:val="009D335F"/>
    <w:rsid w:val="009D37DA"/>
    <w:rsid w:val="009D3D85"/>
    <w:rsid w:val="009D5A97"/>
    <w:rsid w:val="009D5DBA"/>
    <w:rsid w:val="009D638B"/>
    <w:rsid w:val="009D6534"/>
    <w:rsid w:val="009D6FCF"/>
    <w:rsid w:val="009E0358"/>
    <w:rsid w:val="009E0CCD"/>
    <w:rsid w:val="009E0D27"/>
    <w:rsid w:val="009E1059"/>
    <w:rsid w:val="009E1B25"/>
    <w:rsid w:val="009E2132"/>
    <w:rsid w:val="009E2173"/>
    <w:rsid w:val="009E3111"/>
    <w:rsid w:val="009E4098"/>
    <w:rsid w:val="009E4FAB"/>
    <w:rsid w:val="009E50D5"/>
    <w:rsid w:val="009E55FF"/>
    <w:rsid w:val="009E57EB"/>
    <w:rsid w:val="009E6091"/>
    <w:rsid w:val="009E642E"/>
    <w:rsid w:val="009F0AFF"/>
    <w:rsid w:val="009F0DCA"/>
    <w:rsid w:val="009F0EC8"/>
    <w:rsid w:val="009F145A"/>
    <w:rsid w:val="009F16D2"/>
    <w:rsid w:val="009F2327"/>
    <w:rsid w:val="009F24D3"/>
    <w:rsid w:val="009F2AC5"/>
    <w:rsid w:val="009F2CC9"/>
    <w:rsid w:val="009F33F7"/>
    <w:rsid w:val="009F5164"/>
    <w:rsid w:val="009F52D6"/>
    <w:rsid w:val="009F54D6"/>
    <w:rsid w:val="009F5703"/>
    <w:rsid w:val="009F57E3"/>
    <w:rsid w:val="009F5F2A"/>
    <w:rsid w:val="009F6155"/>
    <w:rsid w:val="009F6301"/>
    <w:rsid w:val="009F763E"/>
    <w:rsid w:val="009F784C"/>
    <w:rsid w:val="009F79A9"/>
    <w:rsid w:val="009F7E3A"/>
    <w:rsid w:val="00A00FE8"/>
    <w:rsid w:val="00A01749"/>
    <w:rsid w:val="00A019D7"/>
    <w:rsid w:val="00A02C21"/>
    <w:rsid w:val="00A02D1D"/>
    <w:rsid w:val="00A03BE1"/>
    <w:rsid w:val="00A03E3C"/>
    <w:rsid w:val="00A04676"/>
    <w:rsid w:val="00A048F1"/>
    <w:rsid w:val="00A0598A"/>
    <w:rsid w:val="00A0599B"/>
    <w:rsid w:val="00A069D6"/>
    <w:rsid w:val="00A06A20"/>
    <w:rsid w:val="00A06BE4"/>
    <w:rsid w:val="00A079C5"/>
    <w:rsid w:val="00A102DA"/>
    <w:rsid w:val="00A1057D"/>
    <w:rsid w:val="00A10A6F"/>
    <w:rsid w:val="00A11113"/>
    <w:rsid w:val="00A12241"/>
    <w:rsid w:val="00A1273E"/>
    <w:rsid w:val="00A127E2"/>
    <w:rsid w:val="00A128FA"/>
    <w:rsid w:val="00A12F37"/>
    <w:rsid w:val="00A13460"/>
    <w:rsid w:val="00A1367D"/>
    <w:rsid w:val="00A144B8"/>
    <w:rsid w:val="00A14616"/>
    <w:rsid w:val="00A147F1"/>
    <w:rsid w:val="00A14C40"/>
    <w:rsid w:val="00A15BE6"/>
    <w:rsid w:val="00A15D3E"/>
    <w:rsid w:val="00A16453"/>
    <w:rsid w:val="00A16DC6"/>
    <w:rsid w:val="00A17A6D"/>
    <w:rsid w:val="00A17F28"/>
    <w:rsid w:val="00A208A5"/>
    <w:rsid w:val="00A20D07"/>
    <w:rsid w:val="00A22E7E"/>
    <w:rsid w:val="00A2350A"/>
    <w:rsid w:val="00A23FB8"/>
    <w:rsid w:val="00A24124"/>
    <w:rsid w:val="00A24272"/>
    <w:rsid w:val="00A24578"/>
    <w:rsid w:val="00A245ED"/>
    <w:rsid w:val="00A25949"/>
    <w:rsid w:val="00A25B2F"/>
    <w:rsid w:val="00A262E2"/>
    <w:rsid w:val="00A263EE"/>
    <w:rsid w:val="00A266D6"/>
    <w:rsid w:val="00A31967"/>
    <w:rsid w:val="00A31C0C"/>
    <w:rsid w:val="00A32C09"/>
    <w:rsid w:val="00A33046"/>
    <w:rsid w:val="00A3350F"/>
    <w:rsid w:val="00A3379C"/>
    <w:rsid w:val="00A33A04"/>
    <w:rsid w:val="00A34522"/>
    <w:rsid w:val="00A34523"/>
    <w:rsid w:val="00A34747"/>
    <w:rsid w:val="00A34DF3"/>
    <w:rsid w:val="00A356AF"/>
    <w:rsid w:val="00A35EDD"/>
    <w:rsid w:val="00A36607"/>
    <w:rsid w:val="00A3689E"/>
    <w:rsid w:val="00A36986"/>
    <w:rsid w:val="00A36A4C"/>
    <w:rsid w:val="00A36AE9"/>
    <w:rsid w:val="00A3715D"/>
    <w:rsid w:val="00A375A8"/>
    <w:rsid w:val="00A3783F"/>
    <w:rsid w:val="00A37CE7"/>
    <w:rsid w:val="00A40A38"/>
    <w:rsid w:val="00A40C40"/>
    <w:rsid w:val="00A41011"/>
    <w:rsid w:val="00A4108B"/>
    <w:rsid w:val="00A41627"/>
    <w:rsid w:val="00A416C0"/>
    <w:rsid w:val="00A41B44"/>
    <w:rsid w:val="00A4263D"/>
    <w:rsid w:val="00A42A7E"/>
    <w:rsid w:val="00A42C2B"/>
    <w:rsid w:val="00A43489"/>
    <w:rsid w:val="00A43783"/>
    <w:rsid w:val="00A44429"/>
    <w:rsid w:val="00A44963"/>
    <w:rsid w:val="00A44A2D"/>
    <w:rsid w:val="00A44E40"/>
    <w:rsid w:val="00A45155"/>
    <w:rsid w:val="00A4622F"/>
    <w:rsid w:val="00A4662F"/>
    <w:rsid w:val="00A47848"/>
    <w:rsid w:val="00A47F98"/>
    <w:rsid w:val="00A5086F"/>
    <w:rsid w:val="00A51274"/>
    <w:rsid w:val="00A514F4"/>
    <w:rsid w:val="00A5327D"/>
    <w:rsid w:val="00A54CBE"/>
    <w:rsid w:val="00A554C2"/>
    <w:rsid w:val="00A55A9C"/>
    <w:rsid w:val="00A56525"/>
    <w:rsid w:val="00A5728B"/>
    <w:rsid w:val="00A579E7"/>
    <w:rsid w:val="00A60091"/>
    <w:rsid w:val="00A60256"/>
    <w:rsid w:val="00A6085D"/>
    <w:rsid w:val="00A608E3"/>
    <w:rsid w:val="00A60A76"/>
    <w:rsid w:val="00A60E3C"/>
    <w:rsid w:val="00A615AA"/>
    <w:rsid w:val="00A615BC"/>
    <w:rsid w:val="00A62F2D"/>
    <w:rsid w:val="00A63B92"/>
    <w:rsid w:val="00A64540"/>
    <w:rsid w:val="00A64625"/>
    <w:rsid w:val="00A64D67"/>
    <w:rsid w:val="00A653D0"/>
    <w:rsid w:val="00A656DC"/>
    <w:rsid w:val="00A658D7"/>
    <w:rsid w:val="00A65C0B"/>
    <w:rsid w:val="00A65F25"/>
    <w:rsid w:val="00A661D5"/>
    <w:rsid w:val="00A6620A"/>
    <w:rsid w:val="00A66998"/>
    <w:rsid w:val="00A66F70"/>
    <w:rsid w:val="00A6707F"/>
    <w:rsid w:val="00A67870"/>
    <w:rsid w:val="00A67CD0"/>
    <w:rsid w:val="00A708A9"/>
    <w:rsid w:val="00A70C70"/>
    <w:rsid w:val="00A7149F"/>
    <w:rsid w:val="00A71FEF"/>
    <w:rsid w:val="00A7232B"/>
    <w:rsid w:val="00A72957"/>
    <w:rsid w:val="00A72EA9"/>
    <w:rsid w:val="00A732ED"/>
    <w:rsid w:val="00A73C9B"/>
    <w:rsid w:val="00A74321"/>
    <w:rsid w:val="00A747FD"/>
    <w:rsid w:val="00A748F9"/>
    <w:rsid w:val="00A74C9E"/>
    <w:rsid w:val="00A757DB"/>
    <w:rsid w:val="00A7585B"/>
    <w:rsid w:val="00A7622D"/>
    <w:rsid w:val="00A76574"/>
    <w:rsid w:val="00A766CC"/>
    <w:rsid w:val="00A77123"/>
    <w:rsid w:val="00A77A09"/>
    <w:rsid w:val="00A77D28"/>
    <w:rsid w:val="00A77DE4"/>
    <w:rsid w:val="00A80073"/>
    <w:rsid w:val="00A80AA5"/>
    <w:rsid w:val="00A80F25"/>
    <w:rsid w:val="00A8139A"/>
    <w:rsid w:val="00A81E63"/>
    <w:rsid w:val="00A8223B"/>
    <w:rsid w:val="00A82433"/>
    <w:rsid w:val="00A828F6"/>
    <w:rsid w:val="00A82C61"/>
    <w:rsid w:val="00A82CBB"/>
    <w:rsid w:val="00A834C8"/>
    <w:rsid w:val="00A838F9"/>
    <w:rsid w:val="00A83AE0"/>
    <w:rsid w:val="00A84B6F"/>
    <w:rsid w:val="00A85E27"/>
    <w:rsid w:val="00A860AB"/>
    <w:rsid w:val="00A8629B"/>
    <w:rsid w:val="00A92127"/>
    <w:rsid w:val="00A92E4C"/>
    <w:rsid w:val="00A934A3"/>
    <w:rsid w:val="00A94906"/>
    <w:rsid w:val="00A949A6"/>
    <w:rsid w:val="00A94AD1"/>
    <w:rsid w:val="00A95385"/>
    <w:rsid w:val="00A958B3"/>
    <w:rsid w:val="00A95E0F"/>
    <w:rsid w:val="00A9648E"/>
    <w:rsid w:val="00A96C2F"/>
    <w:rsid w:val="00A97141"/>
    <w:rsid w:val="00A97F90"/>
    <w:rsid w:val="00AA04CF"/>
    <w:rsid w:val="00AA07A1"/>
    <w:rsid w:val="00AA08B5"/>
    <w:rsid w:val="00AA1875"/>
    <w:rsid w:val="00AA2944"/>
    <w:rsid w:val="00AA2A17"/>
    <w:rsid w:val="00AA2CDD"/>
    <w:rsid w:val="00AA3B06"/>
    <w:rsid w:val="00AA3D1E"/>
    <w:rsid w:val="00AA4A0A"/>
    <w:rsid w:val="00AA4F17"/>
    <w:rsid w:val="00AA51E1"/>
    <w:rsid w:val="00AA56FC"/>
    <w:rsid w:val="00AA5C7D"/>
    <w:rsid w:val="00AA5ECC"/>
    <w:rsid w:val="00AA67E0"/>
    <w:rsid w:val="00AA6AD7"/>
    <w:rsid w:val="00AA7366"/>
    <w:rsid w:val="00AA7689"/>
    <w:rsid w:val="00AB1A8D"/>
    <w:rsid w:val="00AB2C43"/>
    <w:rsid w:val="00AB33F0"/>
    <w:rsid w:val="00AB3572"/>
    <w:rsid w:val="00AB4C24"/>
    <w:rsid w:val="00AB63E5"/>
    <w:rsid w:val="00AB6746"/>
    <w:rsid w:val="00AB6790"/>
    <w:rsid w:val="00AB6FBC"/>
    <w:rsid w:val="00AB71CF"/>
    <w:rsid w:val="00AB7B09"/>
    <w:rsid w:val="00AC0569"/>
    <w:rsid w:val="00AC08CD"/>
    <w:rsid w:val="00AC0EA2"/>
    <w:rsid w:val="00AC1ADD"/>
    <w:rsid w:val="00AC2173"/>
    <w:rsid w:val="00AC24F3"/>
    <w:rsid w:val="00AC2547"/>
    <w:rsid w:val="00AC25F8"/>
    <w:rsid w:val="00AC2986"/>
    <w:rsid w:val="00AC4B06"/>
    <w:rsid w:val="00AC4D9F"/>
    <w:rsid w:val="00AC5753"/>
    <w:rsid w:val="00AC66A3"/>
    <w:rsid w:val="00AC6E04"/>
    <w:rsid w:val="00AD0128"/>
    <w:rsid w:val="00AD046B"/>
    <w:rsid w:val="00AD17C3"/>
    <w:rsid w:val="00AD1C9E"/>
    <w:rsid w:val="00AD1F35"/>
    <w:rsid w:val="00AD1FB3"/>
    <w:rsid w:val="00AD2054"/>
    <w:rsid w:val="00AD2144"/>
    <w:rsid w:val="00AD2B93"/>
    <w:rsid w:val="00AD30ED"/>
    <w:rsid w:val="00AD3A21"/>
    <w:rsid w:val="00AD4216"/>
    <w:rsid w:val="00AD435B"/>
    <w:rsid w:val="00AD44B4"/>
    <w:rsid w:val="00AD4A52"/>
    <w:rsid w:val="00AD4B80"/>
    <w:rsid w:val="00AD4DB9"/>
    <w:rsid w:val="00AD52B7"/>
    <w:rsid w:val="00AD677C"/>
    <w:rsid w:val="00AD7A82"/>
    <w:rsid w:val="00AE0246"/>
    <w:rsid w:val="00AE056D"/>
    <w:rsid w:val="00AE0B04"/>
    <w:rsid w:val="00AE0CD3"/>
    <w:rsid w:val="00AE1406"/>
    <w:rsid w:val="00AE2701"/>
    <w:rsid w:val="00AE3402"/>
    <w:rsid w:val="00AE368B"/>
    <w:rsid w:val="00AE3A2B"/>
    <w:rsid w:val="00AE3D1C"/>
    <w:rsid w:val="00AE3EB6"/>
    <w:rsid w:val="00AE4B54"/>
    <w:rsid w:val="00AE556F"/>
    <w:rsid w:val="00AE592B"/>
    <w:rsid w:val="00AE5DB2"/>
    <w:rsid w:val="00AE6080"/>
    <w:rsid w:val="00AE684E"/>
    <w:rsid w:val="00AE68D4"/>
    <w:rsid w:val="00AE7615"/>
    <w:rsid w:val="00AF014B"/>
    <w:rsid w:val="00AF0C1D"/>
    <w:rsid w:val="00AF139C"/>
    <w:rsid w:val="00AF29BE"/>
    <w:rsid w:val="00AF4009"/>
    <w:rsid w:val="00AF49C7"/>
    <w:rsid w:val="00AF4BBE"/>
    <w:rsid w:val="00AF5258"/>
    <w:rsid w:val="00AF5695"/>
    <w:rsid w:val="00AF5EE2"/>
    <w:rsid w:val="00AF6CBA"/>
    <w:rsid w:val="00B00234"/>
    <w:rsid w:val="00B00724"/>
    <w:rsid w:val="00B00DCE"/>
    <w:rsid w:val="00B01DF0"/>
    <w:rsid w:val="00B01F47"/>
    <w:rsid w:val="00B021C3"/>
    <w:rsid w:val="00B02E96"/>
    <w:rsid w:val="00B03116"/>
    <w:rsid w:val="00B03440"/>
    <w:rsid w:val="00B03C13"/>
    <w:rsid w:val="00B03D23"/>
    <w:rsid w:val="00B03D42"/>
    <w:rsid w:val="00B03EFB"/>
    <w:rsid w:val="00B04911"/>
    <w:rsid w:val="00B04AF6"/>
    <w:rsid w:val="00B04B59"/>
    <w:rsid w:val="00B04CE6"/>
    <w:rsid w:val="00B05FFB"/>
    <w:rsid w:val="00B07B2D"/>
    <w:rsid w:val="00B104E5"/>
    <w:rsid w:val="00B10644"/>
    <w:rsid w:val="00B106EA"/>
    <w:rsid w:val="00B10B4F"/>
    <w:rsid w:val="00B10F5C"/>
    <w:rsid w:val="00B11121"/>
    <w:rsid w:val="00B114E3"/>
    <w:rsid w:val="00B12949"/>
    <w:rsid w:val="00B12E4D"/>
    <w:rsid w:val="00B134A5"/>
    <w:rsid w:val="00B135E2"/>
    <w:rsid w:val="00B13926"/>
    <w:rsid w:val="00B13E9C"/>
    <w:rsid w:val="00B141F3"/>
    <w:rsid w:val="00B14874"/>
    <w:rsid w:val="00B1504D"/>
    <w:rsid w:val="00B150AF"/>
    <w:rsid w:val="00B15116"/>
    <w:rsid w:val="00B152AF"/>
    <w:rsid w:val="00B15D19"/>
    <w:rsid w:val="00B162E6"/>
    <w:rsid w:val="00B1696F"/>
    <w:rsid w:val="00B17084"/>
    <w:rsid w:val="00B20653"/>
    <w:rsid w:val="00B20C70"/>
    <w:rsid w:val="00B211CB"/>
    <w:rsid w:val="00B21978"/>
    <w:rsid w:val="00B21A39"/>
    <w:rsid w:val="00B22053"/>
    <w:rsid w:val="00B22202"/>
    <w:rsid w:val="00B22486"/>
    <w:rsid w:val="00B227EF"/>
    <w:rsid w:val="00B22B48"/>
    <w:rsid w:val="00B23A11"/>
    <w:rsid w:val="00B23FE4"/>
    <w:rsid w:val="00B24ADD"/>
    <w:rsid w:val="00B24FB8"/>
    <w:rsid w:val="00B25277"/>
    <w:rsid w:val="00B258B8"/>
    <w:rsid w:val="00B25A62"/>
    <w:rsid w:val="00B26912"/>
    <w:rsid w:val="00B27A09"/>
    <w:rsid w:val="00B30575"/>
    <w:rsid w:val="00B319E6"/>
    <w:rsid w:val="00B31C2D"/>
    <w:rsid w:val="00B321F6"/>
    <w:rsid w:val="00B32D59"/>
    <w:rsid w:val="00B33836"/>
    <w:rsid w:val="00B33E3B"/>
    <w:rsid w:val="00B34036"/>
    <w:rsid w:val="00B34211"/>
    <w:rsid w:val="00B34668"/>
    <w:rsid w:val="00B3473B"/>
    <w:rsid w:val="00B34F0D"/>
    <w:rsid w:val="00B35AFB"/>
    <w:rsid w:val="00B35C37"/>
    <w:rsid w:val="00B36261"/>
    <w:rsid w:val="00B36AED"/>
    <w:rsid w:val="00B36EEB"/>
    <w:rsid w:val="00B3727E"/>
    <w:rsid w:val="00B37B4F"/>
    <w:rsid w:val="00B40572"/>
    <w:rsid w:val="00B407E7"/>
    <w:rsid w:val="00B40CC3"/>
    <w:rsid w:val="00B41192"/>
    <w:rsid w:val="00B41440"/>
    <w:rsid w:val="00B417F7"/>
    <w:rsid w:val="00B41A4F"/>
    <w:rsid w:val="00B437F3"/>
    <w:rsid w:val="00B442C7"/>
    <w:rsid w:val="00B44C7F"/>
    <w:rsid w:val="00B4647B"/>
    <w:rsid w:val="00B46BFB"/>
    <w:rsid w:val="00B47C16"/>
    <w:rsid w:val="00B47D61"/>
    <w:rsid w:val="00B50C4C"/>
    <w:rsid w:val="00B50CB3"/>
    <w:rsid w:val="00B512EB"/>
    <w:rsid w:val="00B52141"/>
    <w:rsid w:val="00B5245F"/>
    <w:rsid w:val="00B532C4"/>
    <w:rsid w:val="00B53524"/>
    <w:rsid w:val="00B535D5"/>
    <w:rsid w:val="00B53B8A"/>
    <w:rsid w:val="00B54078"/>
    <w:rsid w:val="00B54BBE"/>
    <w:rsid w:val="00B55557"/>
    <w:rsid w:val="00B55938"/>
    <w:rsid w:val="00B56575"/>
    <w:rsid w:val="00B56AF6"/>
    <w:rsid w:val="00B570E0"/>
    <w:rsid w:val="00B570EF"/>
    <w:rsid w:val="00B57547"/>
    <w:rsid w:val="00B57900"/>
    <w:rsid w:val="00B602D0"/>
    <w:rsid w:val="00B60448"/>
    <w:rsid w:val="00B60475"/>
    <w:rsid w:val="00B609F2"/>
    <w:rsid w:val="00B61442"/>
    <w:rsid w:val="00B6146D"/>
    <w:rsid w:val="00B6163A"/>
    <w:rsid w:val="00B62384"/>
    <w:rsid w:val="00B627BE"/>
    <w:rsid w:val="00B6335F"/>
    <w:rsid w:val="00B63C2A"/>
    <w:rsid w:val="00B646F8"/>
    <w:rsid w:val="00B6476F"/>
    <w:rsid w:val="00B64B46"/>
    <w:rsid w:val="00B64CD7"/>
    <w:rsid w:val="00B65379"/>
    <w:rsid w:val="00B65451"/>
    <w:rsid w:val="00B656E4"/>
    <w:rsid w:val="00B669F5"/>
    <w:rsid w:val="00B6705A"/>
    <w:rsid w:val="00B67216"/>
    <w:rsid w:val="00B6752D"/>
    <w:rsid w:val="00B67BAC"/>
    <w:rsid w:val="00B67D41"/>
    <w:rsid w:val="00B67E55"/>
    <w:rsid w:val="00B70A77"/>
    <w:rsid w:val="00B717EB"/>
    <w:rsid w:val="00B71878"/>
    <w:rsid w:val="00B71892"/>
    <w:rsid w:val="00B71BCA"/>
    <w:rsid w:val="00B71CA7"/>
    <w:rsid w:val="00B72787"/>
    <w:rsid w:val="00B72A5A"/>
    <w:rsid w:val="00B7321E"/>
    <w:rsid w:val="00B7481E"/>
    <w:rsid w:val="00B74FB8"/>
    <w:rsid w:val="00B75206"/>
    <w:rsid w:val="00B7521A"/>
    <w:rsid w:val="00B75FB2"/>
    <w:rsid w:val="00B7632A"/>
    <w:rsid w:val="00B7689A"/>
    <w:rsid w:val="00B76DCF"/>
    <w:rsid w:val="00B8044B"/>
    <w:rsid w:val="00B80905"/>
    <w:rsid w:val="00B81ADB"/>
    <w:rsid w:val="00B82E44"/>
    <w:rsid w:val="00B831B9"/>
    <w:rsid w:val="00B8339D"/>
    <w:rsid w:val="00B83EFD"/>
    <w:rsid w:val="00B84405"/>
    <w:rsid w:val="00B84522"/>
    <w:rsid w:val="00B84591"/>
    <w:rsid w:val="00B845B8"/>
    <w:rsid w:val="00B8523F"/>
    <w:rsid w:val="00B85712"/>
    <w:rsid w:val="00B85737"/>
    <w:rsid w:val="00B85875"/>
    <w:rsid w:val="00B85F09"/>
    <w:rsid w:val="00B86024"/>
    <w:rsid w:val="00B864D2"/>
    <w:rsid w:val="00B86A50"/>
    <w:rsid w:val="00B87332"/>
    <w:rsid w:val="00B87560"/>
    <w:rsid w:val="00B90037"/>
    <w:rsid w:val="00B90106"/>
    <w:rsid w:val="00B90768"/>
    <w:rsid w:val="00B908C5"/>
    <w:rsid w:val="00B91178"/>
    <w:rsid w:val="00B919FC"/>
    <w:rsid w:val="00B926C5"/>
    <w:rsid w:val="00B932D5"/>
    <w:rsid w:val="00B933BA"/>
    <w:rsid w:val="00B93471"/>
    <w:rsid w:val="00B93687"/>
    <w:rsid w:val="00B93801"/>
    <w:rsid w:val="00B93916"/>
    <w:rsid w:val="00B93E27"/>
    <w:rsid w:val="00B946FD"/>
    <w:rsid w:val="00B94BFA"/>
    <w:rsid w:val="00B94ED8"/>
    <w:rsid w:val="00B9557F"/>
    <w:rsid w:val="00B957EE"/>
    <w:rsid w:val="00B961C1"/>
    <w:rsid w:val="00B9755A"/>
    <w:rsid w:val="00B97728"/>
    <w:rsid w:val="00B97A62"/>
    <w:rsid w:val="00B97C3A"/>
    <w:rsid w:val="00BA0245"/>
    <w:rsid w:val="00BA0490"/>
    <w:rsid w:val="00BA05DA"/>
    <w:rsid w:val="00BA07D0"/>
    <w:rsid w:val="00BA0DEC"/>
    <w:rsid w:val="00BA1514"/>
    <w:rsid w:val="00BA1588"/>
    <w:rsid w:val="00BA1D24"/>
    <w:rsid w:val="00BA2213"/>
    <w:rsid w:val="00BA228C"/>
    <w:rsid w:val="00BA2533"/>
    <w:rsid w:val="00BA2B0D"/>
    <w:rsid w:val="00BA3A04"/>
    <w:rsid w:val="00BA4194"/>
    <w:rsid w:val="00BA4332"/>
    <w:rsid w:val="00BA44B3"/>
    <w:rsid w:val="00BA52FD"/>
    <w:rsid w:val="00BA5561"/>
    <w:rsid w:val="00BA5D57"/>
    <w:rsid w:val="00BA6EAC"/>
    <w:rsid w:val="00BA7BAF"/>
    <w:rsid w:val="00BA7C8B"/>
    <w:rsid w:val="00BB0007"/>
    <w:rsid w:val="00BB0FF0"/>
    <w:rsid w:val="00BB1B48"/>
    <w:rsid w:val="00BB1F2F"/>
    <w:rsid w:val="00BB2140"/>
    <w:rsid w:val="00BB29F4"/>
    <w:rsid w:val="00BB37C4"/>
    <w:rsid w:val="00BB3F3F"/>
    <w:rsid w:val="00BB4A19"/>
    <w:rsid w:val="00BB4ADB"/>
    <w:rsid w:val="00BB5B9F"/>
    <w:rsid w:val="00BB6884"/>
    <w:rsid w:val="00BB6C65"/>
    <w:rsid w:val="00BB6F16"/>
    <w:rsid w:val="00BB7D1E"/>
    <w:rsid w:val="00BB7E38"/>
    <w:rsid w:val="00BC037C"/>
    <w:rsid w:val="00BC0B7F"/>
    <w:rsid w:val="00BC0D56"/>
    <w:rsid w:val="00BC12E2"/>
    <w:rsid w:val="00BC2E06"/>
    <w:rsid w:val="00BC2EA7"/>
    <w:rsid w:val="00BC2EC1"/>
    <w:rsid w:val="00BC2ECB"/>
    <w:rsid w:val="00BC3542"/>
    <w:rsid w:val="00BC36EF"/>
    <w:rsid w:val="00BC3730"/>
    <w:rsid w:val="00BC384F"/>
    <w:rsid w:val="00BC3E38"/>
    <w:rsid w:val="00BC44AF"/>
    <w:rsid w:val="00BC4713"/>
    <w:rsid w:val="00BC4E01"/>
    <w:rsid w:val="00BC5EC6"/>
    <w:rsid w:val="00BC734F"/>
    <w:rsid w:val="00BC73F0"/>
    <w:rsid w:val="00BC7B83"/>
    <w:rsid w:val="00BD160A"/>
    <w:rsid w:val="00BD1848"/>
    <w:rsid w:val="00BD3D5A"/>
    <w:rsid w:val="00BD3E81"/>
    <w:rsid w:val="00BD3F0F"/>
    <w:rsid w:val="00BD3F70"/>
    <w:rsid w:val="00BD5757"/>
    <w:rsid w:val="00BD5A51"/>
    <w:rsid w:val="00BD605B"/>
    <w:rsid w:val="00BD7C84"/>
    <w:rsid w:val="00BD7CE9"/>
    <w:rsid w:val="00BD7F91"/>
    <w:rsid w:val="00BE03A0"/>
    <w:rsid w:val="00BE0757"/>
    <w:rsid w:val="00BE08E4"/>
    <w:rsid w:val="00BE0CFD"/>
    <w:rsid w:val="00BE121A"/>
    <w:rsid w:val="00BE1364"/>
    <w:rsid w:val="00BE2253"/>
    <w:rsid w:val="00BE23D1"/>
    <w:rsid w:val="00BE28C9"/>
    <w:rsid w:val="00BE2C06"/>
    <w:rsid w:val="00BE2D4D"/>
    <w:rsid w:val="00BE42F6"/>
    <w:rsid w:val="00BE5145"/>
    <w:rsid w:val="00BE6687"/>
    <w:rsid w:val="00BE7310"/>
    <w:rsid w:val="00BE7B5F"/>
    <w:rsid w:val="00BF0291"/>
    <w:rsid w:val="00BF0BC4"/>
    <w:rsid w:val="00BF222A"/>
    <w:rsid w:val="00BF2332"/>
    <w:rsid w:val="00BF27B5"/>
    <w:rsid w:val="00BF2852"/>
    <w:rsid w:val="00BF29CD"/>
    <w:rsid w:val="00BF2DEA"/>
    <w:rsid w:val="00BF3317"/>
    <w:rsid w:val="00BF3B0A"/>
    <w:rsid w:val="00BF3DDC"/>
    <w:rsid w:val="00BF4D17"/>
    <w:rsid w:val="00BF4F55"/>
    <w:rsid w:val="00BF4FF3"/>
    <w:rsid w:val="00BF5143"/>
    <w:rsid w:val="00BF56DC"/>
    <w:rsid w:val="00BF5BA2"/>
    <w:rsid w:val="00BF634A"/>
    <w:rsid w:val="00BF6AFC"/>
    <w:rsid w:val="00BF6BFD"/>
    <w:rsid w:val="00BF6EE3"/>
    <w:rsid w:val="00BF7865"/>
    <w:rsid w:val="00BF7A57"/>
    <w:rsid w:val="00C01BD1"/>
    <w:rsid w:val="00C01E5E"/>
    <w:rsid w:val="00C039AB"/>
    <w:rsid w:val="00C03E7B"/>
    <w:rsid w:val="00C0429E"/>
    <w:rsid w:val="00C0484D"/>
    <w:rsid w:val="00C049AD"/>
    <w:rsid w:val="00C04D23"/>
    <w:rsid w:val="00C05504"/>
    <w:rsid w:val="00C05561"/>
    <w:rsid w:val="00C05AD7"/>
    <w:rsid w:val="00C0602E"/>
    <w:rsid w:val="00C06306"/>
    <w:rsid w:val="00C0630F"/>
    <w:rsid w:val="00C06519"/>
    <w:rsid w:val="00C0684D"/>
    <w:rsid w:val="00C06B26"/>
    <w:rsid w:val="00C0746A"/>
    <w:rsid w:val="00C0789D"/>
    <w:rsid w:val="00C10336"/>
    <w:rsid w:val="00C10394"/>
    <w:rsid w:val="00C10A63"/>
    <w:rsid w:val="00C11790"/>
    <w:rsid w:val="00C1185B"/>
    <w:rsid w:val="00C12CCE"/>
    <w:rsid w:val="00C12EE7"/>
    <w:rsid w:val="00C13715"/>
    <w:rsid w:val="00C13946"/>
    <w:rsid w:val="00C139FC"/>
    <w:rsid w:val="00C13C14"/>
    <w:rsid w:val="00C140B5"/>
    <w:rsid w:val="00C143CB"/>
    <w:rsid w:val="00C146DB"/>
    <w:rsid w:val="00C15274"/>
    <w:rsid w:val="00C1528D"/>
    <w:rsid w:val="00C15553"/>
    <w:rsid w:val="00C15875"/>
    <w:rsid w:val="00C162AF"/>
    <w:rsid w:val="00C165D3"/>
    <w:rsid w:val="00C17007"/>
    <w:rsid w:val="00C17562"/>
    <w:rsid w:val="00C17852"/>
    <w:rsid w:val="00C17E6D"/>
    <w:rsid w:val="00C17F6E"/>
    <w:rsid w:val="00C20664"/>
    <w:rsid w:val="00C20AB3"/>
    <w:rsid w:val="00C20F81"/>
    <w:rsid w:val="00C2112B"/>
    <w:rsid w:val="00C21295"/>
    <w:rsid w:val="00C21BD7"/>
    <w:rsid w:val="00C21CFE"/>
    <w:rsid w:val="00C225B8"/>
    <w:rsid w:val="00C2282F"/>
    <w:rsid w:val="00C22B55"/>
    <w:rsid w:val="00C234B2"/>
    <w:rsid w:val="00C23856"/>
    <w:rsid w:val="00C2388D"/>
    <w:rsid w:val="00C2390C"/>
    <w:rsid w:val="00C23F93"/>
    <w:rsid w:val="00C252F3"/>
    <w:rsid w:val="00C25394"/>
    <w:rsid w:val="00C26A5C"/>
    <w:rsid w:val="00C27756"/>
    <w:rsid w:val="00C277B2"/>
    <w:rsid w:val="00C2791D"/>
    <w:rsid w:val="00C3054F"/>
    <w:rsid w:val="00C3085A"/>
    <w:rsid w:val="00C30BA2"/>
    <w:rsid w:val="00C31BC0"/>
    <w:rsid w:val="00C31F24"/>
    <w:rsid w:val="00C32AB7"/>
    <w:rsid w:val="00C332D5"/>
    <w:rsid w:val="00C3347C"/>
    <w:rsid w:val="00C33B6F"/>
    <w:rsid w:val="00C3401E"/>
    <w:rsid w:val="00C34121"/>
    <w:rsid w:val="00C345CF"/>
    <w:rsid w:val="00C34A93"/>
    <w:rsid w:val="00C34BB1"/>
    <w:rsid w:val="00C3551B"/>
    <w:rsid w:val="00C35730"/>
    <w:rsid w:val="00C3727E"/>
    <w:rsid w:val="00C37579"/>
    <w:rsid w:val="00C377C4"/>
    <w:rsid w:val="00C4020F"/>
    <w:rsid w:val="00C403F6"/>
    <w:rsid w:val="00C418B2"/>
    <w:rsid w:val="00C41CFC"/>
    <w:rsid w:val="00C41F8B"/>
    <w:rsid w:val="00C422C0"/>
    <w:rsid w:val="00C42DF0"/>
    <w:rsid w:val="00C43ADB"/>
    <w:rsid w:val="00C441A1"/>
    <w:rsid w:val="00C4459E"/>
    <w:rsid w:val="00C44B3C"/>
    <w:rsid w:val="00C44F1F"/>
    <w:rsid w:val="00C451F8"/>
    <w:rsid w:val="00C45BD9"/>
    <w:rsid w:val="00C45BE1"/>
    <w:rsid w:val="00C45FCF"/>
    <w:rsid w:val="00C46263"/>
    <w:rsid w:val="00C47436"/>
    <w:rsid w:val="00C47832"/>
    <w:rsid w:val="00C47884"/>
    <w:rsid w:val="00C47F37"/>
    <w:rsid w:val="00C502A8"/>
    <w:rsid w:val="00C50A52"/>
    <w:rsid w:val="00C50A87"/>
    <w:rsid w:val="00C50AB0"/>
    <w:rsid w:val="00C51165"/>
    <w:rsid w:val="00C519B6"/>
    <w:rsid w:val="00C51D4E"/>
    <w:rsid w:val="00C51D8F"/>
    <w:rsid w:val="00C51EE8"/>
    <w:rsid w:val="00C521B4"/>
    <w:rsid w:val="00C522DB"/>
    <w:rsid w:val="00C523EF"/>
    <w:rsid w:val="00C52797"/>
    <w:rsid w:val="00C529E3"/>
    <w:rsid w:val="00C52C8A"/>
    <w:rsid w:val="00C52CC4"/>
    <w:rsid w:val="00C53063"/>
    <w:rsid w:val="00C53355"/>
    <w:rsid w:val="00C53423"/>
    <w:rsid w:val="00C54F4C"/>
    <w:rsid w:val="00C5539D"/>
    <w:rsid w:val="00C55A29"/>
    <w:rsid w:val="00C5649B"/>
    <w:rsid w:val="00C56D9E"/>
    <w:rsid w:val="00C5751E"/>
    <w:rsid w:val="00C5762C"/>
    <w:rsid w:val="00C576B0"/>
    <w:rsid w:val="00C60908"/>
    <w:rsid w:val="00C60BA0"/>
    <w:rsid w:val="00C61559"/>
    <w:rsid w:val="00C61688"/>
    <w:rsid w:val="00C6275C"/>
    <w:rsid w:val="00C62F9F"/>
    <w:rsid w:val="00C63A0C"/>
    <w:rsid w:val="00C644A9"/>
    <w:rsid w:val="00C64852"/>
    <w:rsid w:val="00C64B06"/>
    <w:rsid w:val="00C64F34"/>
    <w:rsid w:val="00C65801"/>
    <w:rsid w:val="00C666CC"/>
    <w:rsid w:val="00C6670E"/>
    <w:rsid w:val="00C66EED"/>
    <w:rsid w:val="00C672F1"/>
    <w:rsid w:val="00C67493"/>
    <w:rsid w:val="00C6777F"/>
    <w:rsid w:val="00C67C04"/>
    <w:rsid w:val="00C7002E"/>
    <w:rsid w:val="00C7017F"/>
    <w:rsid w:val="00C70E14"/>
    <w:rsid w:val="00C7153B"/>
    <w:rsid w:val="00C71859"/>
    <w:rsid w:val="00C71D53"/>
    <w:rsid w:val="00C72F7E"/>
    <w:rsid w:val="00C73EB8"/>
    <w:rsid w:val="00C73F43"/>
    <w:rsid w:val="00C74B4B"/>
    <w:rsid w:val="00C74EA6"/>
    <w:rsid w:val="00C7579A"/>
    <w:rsid w:val="00C7604B"/>
    <w:rsid w:val="00C76886"/>
    <w:rsid w:val="00C76BB3"/>
    <w:rsid w:val="00C77A70"/>
    <w:rsid w:val="00C81501"/>
    <w:rsid w:val="00C8151E"/>
    <w:rsid w:val="00C8193F"/>
    <w:rsid w:val="00C81FFB"/>
    <w:rsid w:val="00C8201B"/>
    <w:rsid w:val="00C82479"/>
    <w:rsid w:val="00C82A2D"/>
    <w:rsid w:val="00C82DC0"/>
    <w:rsid w:val="00C8322E"/>
    <w:rsid w:val="00C8327F"/>
    <w:rsid w:val="00C83622"/>
    <w:rsid w:val="00C83BC0"/>
    <w:rsid w:val="00C83F5F"/>
    <w:rsid w:val="00C84874"/>
    <w:rsid w:val="00C85024"/>
    <w:rsid w:val="00C85136"/>
    <w:rsid w:val="00C854C2"/>
    <w:rsid w:val="00C85CD7"/>
    <w:rsid w:val="00C86130"/>
    <w:rsid w:val="00C862B6"/>
    <w:rsid w:val="00C869A7"/>
    <w:rsid w:val="00C86DC6"/>
    <w:rsid w:val="00C87689"/>
    <w:rsid w:val="00C8775F"/>
    <w:rsid w:val="00C877C6"/>
    <w:rsid w:val="00C87D4A"/>
    <w:rsid w:val="00C87DE7"/>
    <w:rsid w:val="00C87DF5"/>
    <w:rsid w:val="00C901A5"/>
    <w:rsid w:val="00C912A1"/>
    <w:rsid w:val="00C912F2"/>
    <w:rsid w:val="00C91321"/>
    <w:rsid w:val="00C919FC"/>
    <w:rsid w:val="00C91CCE"/>
    <w:rsid w:val="00C924B6"/>
    <w:rsid w:val="00C92B1A"/>
    <w:rsid w:val="00C92B48"/>
    <w:rsid w:val="00C92E27"/>
    <w:rsid w:val="00C92F78"/>
    <w:rsid w:val="00C94096"/>
    <w:rsid w:val="00C942D8"/>
    <w:rsid w:val="00C950B7"/>
    <w:rsid w:val="00C95E64"/>
    <w:rsid w:val="00C968EC"/>
    <w:rsid w:val="00C96C8C"/>
    <w:rsid w:val="00C96D16"/>
    <w:rsid w:val="00C96F70"/>
    <w:rsid w:val="00C96FA8"/>
    <w:rsid w:val="00C9779A"/>
    <w:rsid w:val="00C97D77"/>
    <w:rsid w:val="00CA0309"/>
    <w:rsid w:val="00CA04A9"/>
    <w:rsid w:val="00CA07D2"/>
    <w:rsid w:val="00CA0F85"/>
    <w:rsid w:val="00CA104B"/>
    <w:rsid w:val="00CA1190"/>
    <w:rsid w:val="00CA2C76"/>
    <w:rsid w:val="00CA39A0"/>
    <w:rsid w:val="00CA3ECE"/>
    <w:rsid w:val="00CA42B4"/>
    <w:rsid w:val="00CA4759"/>
    <w:rsid w:val="00CA51B4"/>
    <w:rsid w:val="00CA53F4"/>
    <w:rsid w:val="00CA5587"/>
    <w:rsid w:val="00CA66F4"/>
    <w:rsid w:val="00CA6CF2"/>
    <w:rsid w:val="00CA70D8"/>
    <w:rsid w:val="00CA7243"/>
    <w:rsid w:val="00CA7E84"/>
    <w:rsid w:val="00CB03FA"/>
    <w:rsid w:val="00CB08D5"/>
    <w:rsid w:val="00CB0C6E"/>
    <w:rsid w:val="00CB0E43"/>
    <w:rsid w:val="00CB109B"/>
    <w:rsid w:val="00CB13FB"/>
    <w:rsid w:val="00CB147E"/>
    <w:rsid w:val="00CB2546"/>
    <w:rsid w:val="00CB2AB8"/>
    <w:rsid w:val="00CB356A"/>
    <w:rsid w:val="00CB38F5"/>
    <w:rsid w:val="00CB39A1"/>
    <w:rsid w:val="00CB4A74"/>
    <w:rsid w:val="00CB4BF9"/>
    <w:rsid w:val="00CB551E"/>
    <w:rsid w:val="00CB5C42"/>
    <w:rsid w:val="00CB5E59"/>
    <w:rsid w:val="00CB65F7"/>
    <w:rsid w:val="00CB6BF7"/>
    <w:rsid w:val="00CB7742"/>
    <w:rsid w:val="00CB7864"/>
    <w:rsid w:val="00CB7A67"/>
    <w:rsid w:val="00CB7D39"/>
    <w:rsid w:val="00CB7F69"/>
    <w:rsid w:val="00CC0B76"/>
    <w:rsid w:val="00CC2936"/>
    <w:rsid w:val="00CC2F35"/>
    <w:rsid w:val="00CC3433"/>
    <w:rsid w:val="00CC353D"/>
    <w:rsid w:val="00CC3A31"/>
    <w:rsid w:val="00CC51A6"/>
    <w:rsid w:val="00CC59F5"/>
    <w:rsid w:val="00CC5CD1"/>
    <w:rsid w:val="00CC5D62"/>
    <w:rsid w:val="00CC6A23"/>
    <w:rsid w:val="00CC76E1"/>
    <w:rsid w:val="00CC76E5"/>
    <w:rsid w:val="00CC7CB6"/>
    <w:rsid w:val="00CD02BD"/>
    <w:rsid w:val="00CD04F7"/>
    <w:rsid w:val="00CD0B87"/>
    <w:rsid w:val="00CD12C8"/>
    <w:rsid w:val="00CD28B3"/>
    <w:rsid w:val="00CD2C58"/>
    <w:rsid w:val="00CD2E55"/>
    <w:rsid w:val="00CD4C82"/>
    <w:rsid w:val="00CD5D0E"/>
    <w:rsid w:val="00CD6A14"/>
    <w:rsid w:val="00CD780C"/>
    <w:rsid w:val="00CD7973"/>
    <w:rsid w:val="00CD7CB3"/>
    <w:rsid w:val="00CD7D86"/>
    <w:rsid w:val="00CE0A21"/>
    <w:rsid w:val="00CE0CBA"/>
    <w:rsid w:val="00CE0FBD"/>
    <w:rsid w:val="00CE1318"/>
    <w:rsid w:val="00CE196A"/>
    <w:rsid w:val="00CE1DED"/>
    <w:rsid w:val="00CE1E93"/>
    <w:rsid w:val="00CE1EAA"/>
    <w:rsid w:val="00CE26C6"/>
    <w:rsid w:val="00CE2B16"/>
    <w:rsid w:val="00CE3EE2"/>
    <w:rsid w:val="00CE452B"/>
    <w:rsid w:val="00CE4551"/>
    <w:rsid w:val="00CE474D"/>
    <w:rsid w:val="00CE4996"/>
    <w:rsid w:val="00CE526B"/>
    <w:rsid w:val="00CE564C"/>
    <w:rsid w:val="00CE5AF7"/>
    <w:rsid w:val="00CE5C56"/>
    <w:rsid w:val="00CE6828"/>
    <w:rsid w:val="00CE68A7"/>
    <w:rsid w:val="00CE7122"/>
    <w:rsid w:val="00CE7E65"/>
    <w:rsid w:val="00CF0055"/>
    <w:rsid w:val="00CF0751"/>
    <w:rsid w:val="00CF1578"/>
    <w:rsid w:val="00CF2161"/>
    <w:rsid w:val="00CF2A60"/>
    <w:rsid w:val="00CF2B6C"/>
    <w:rsid w:val="00CF30BB"/>
    <w:rsid w:val="00CF34EC"/>
    <w:rsid w:val="00CF354E"/>
    <w:rsid w:val="00CF36BC"/>
    <w:rsid w:val="00CF3E79"/>
    <w:rsid w:val="00CF4A00"/>
    <w:rsid w:val="00CF549C"/>
    <w:rsid w:val="00CF5543"/>
    <w:rsid w:val="00CF5941"/>
    <w:rsid w:val="00CF69F1"/>
    <w:rsid w:val="00CF72E2"/>
    <w:rsid w:val="00CF7671"/>
    <w:rsid w:val="00CF7B46"/>
    <w:rsid w:val="00CF7C8A"/>
    <w:rsid w:val="00D010BC"/>
    <w:rsid w:val="00D012CF"/>
    <w:rsid w:val="00D026B6"/>
    <w:rsid w:val="00D02836"/>
    <w:rsid w:val="00D0344E"/>
    <w:rsid w:val="00D041AE"/>
    <w:rsid w:val="00D0456A"/>
    <w:rsid w:val="00D046BE"/>
    <w:rsid w:val="00D0482F"/>
    <w:rsid w:val="00D055DA"/>
    <w:rsid w:val="00D05A54"/>
    <w:rsid w:val="00D05BB2"/>
    <w:rsid w:val="00D069DB"/>
    <w:rsid w:val="00D0791F"/>
    <w:rsid w:val="00D11035"/>
    <w:rsid w:val="00D113D4"/>
    <w:rsid w:val="00D11A7F"/>
    <w:rsid w:val="00D11F6C"/>
    <w:rsid w:val="00D11FA6"/>
    <w:rsid w:val="00D120C7"/>
    <w:rsid w:val="00D12385"/>
    <w:rsid w:val="00D12516"/>
    <w:rsid w:val="00D1251A"/>
    <w:rsid w:val="00D128F8"/>
    <w:rsid w:val="00D135A8"/>
    <w:rsid w:val="00D13F50"/>
    <w:rsid w:val="00D14264"/>
    <w:rsid w:val="00D144AC"/>
    <w:rsid w:val="00D14B05"/>
    <w:rsid w:val="00D163D8"/>
    <w:rsid w:val="00D165AD"/>
    <w:rsid w:val="00D16AE6"/>
    <w:rsid w:val="00D17380"/>
    <w:rsid w:val="00D174BE"/>
    <w:rsid w:val="00D1772B"/>
    <w:rsid w:val="00D17E90"/>
    <w:rsid w:val="00D2118C"/>
    <w:rsid w:val="00D21FCA"/>
    <w:rsid w:val="00D220F0"/>
    <w:rsid w:val="00D2238C"/>
    <w:rsid w:val="00D22A33"/>
    <w:rsid w:val="00D23104"/>
    <w:rsid w:val="00D232CC"/>
    <w:rsid w:val="00D254E4"/>
    <w:rsid w:val="00D26B6B"/>
    <w:rsid w:val="00D26F36"/>
    <w:rsid w:val="00D31BBC"/>
    <w:rsid w:val="00D320C8"/>
    <w:rsid w:val="00D3285B"/>
    <w:rsid w:val="00D32E06"/>
    <w:rsid w:val="00D33164"/>
    <w:rsid w:val="00D33E34"/>
    <w:rsid w:val="00D343D1"/>
    <w:rsid w:val="00D346DB"/>
    <w:rsid w:val="00D35B5C"/>
    <w:rsid w:val="00D35DE0"/>
    <w:rsid w:val="00D36E6E"/>
    <w:rsid w:val="00D37567"/>
    <w:rsid w:val="00D375D7"/>
    <w:rsid w:val="00D37B84"/>
    <w:rsid w:val="00D37C98"/>
    <w:rsid w:val="00D40F31"/>
    <w:rsid w:val="00D4127F"/>
    <w:rsid w:val="00D414E5"/>
    <w:rsid w:val="00D4168A"/>
    <w:rsid w:val="00D41A2F"/>
    <w:rsid w:val="00D41CC7"/>
    <w:rsid w:val="00D41CD9"/>
    <w:rsid w:val="00D41FED"/>
    <w:rsid w:val="00D42DA4"/>
    <w:rsid w:val="00D43DBE"/>
    <w:rsid w:val="00D4464D"/>
    <w:rsid w:val="00D44A8A"/>
    <w:rsid w:val="00D44AED"/>
    <w:rsid w:val="00D44D86"/>
    <w:rsid w:val="00D45635"/>
    <w:rsid w:val="00D459EA"/>
    <w:rsid w:val="00D45E81"/>
    <w:rsid w:val="00D46288"/>
    <w:rsid w:val="00D4666D"/>
    <w:rsid w:val="00D46720"/>
    <w:rsid w:val="00D46D83"/>
    <w:rsid w:val="00D4792F"/>
    <w:rsid w:val="00D500AC"/>
    <w:rsid w:val="00D50CF8"/>
    <w:rsid w:val="00D510E1"/>
    <w:rsid w:val="00D513E5"/>
    <w:rsid w:val="00D5194A"/>
    <w:rsid w:val="00D51D55"/>
    <w:rsid w:val="00D52187"/>
    <w:rsid w:val="00D52BA2"/>
    <w:rsid w:val="00D53986"/>
    <w:rsid w:val="00D544B5"/>
    <w:rsid w:val="00D54A00"/>
    <w:rsid w:val="00D54C99"/>
    <w:rsid w:val="00D55530"/>
    <w:rsid w:val="00D558AF"/>
    <w:rsid w:val="00D55E98"/>
    <w:rsid w:val="00D55FAD"/>
    <w:rsid w:val="00D5664B"/>
    <w:rsid w:val="00D56CE3"/>
    <w:rsid w:val="00D56DEC"/>
    <w:rsid w:val="00D56FC0"/>
    <w:rsid w:val="00D5704D"/>
    <w:rsid w:val="00D57624"/>
    <w:rsid w:val="00D60130"/>
    <w:rsid w:val="00D603DF"/>
    <w:rsid w:val="00D603FC"/>
    <w:rsid w:val="00D6088F"/>
    <w:rsid w:val="00D60A22"/>
    <w:rsid w:val="00D60AC1"/>
    <w:rsid w:val="00D612B4"/>
    <w:rsid w:val="00D614D0"/>
    <w:rsid w:val="00D62003"/>
    <w:rsid w:val="00D63AD2"/>
    <w:rsid w:val="00D649EA"/>
    <w:rsid w:val="00D64A14"/>
    <w:rsid w:val="00D6508E"/>
    <w:rsid w:val="00D656E8"/>
    <w:rsid w:val="00D65E32"/>
    <w:rsid w:val="00D662F2"/>
    <w:rsid w:val="00D66BE6"/>
    <w:rsid w:val="00D6764A"/>
    <w:rsid w:val="00D677BA"/>
    <w:rsid w:val="00D702B6"/>
    <w:rsid w:val="00D710E7"/>
    <w:rsid w:val="00D71A71"/>
    <w:rsid w:val="00D72E74"/>
    <w:rsid w:val="00D72FD4"/>
    <w:rsid w:val="00D739A9"/>
    <w:rsid w:val="00D74C44"/>
    <w:rsid w:val="00D75635"/>
    <w:rsid w:val="00D757A0"/>
    <w:rsid w:val="00D75A9E"/>
    <w:rsid w:val="00D75EAF"/>
    <w:rsid w:val="00D76233"/>
    <w:rsid w:val="00D76327"/>
    <w:rsid w:val="00D76491"/>
    <w:rsid w:val="00D77CC0"/>
    <w:rsid w:val="00D8012B"/>
    <w:rsid w:val="00D80C0B"/>
    <w:rsid w:val="00D80DA2"/>
    <w:rsid w:val="00D81002"/>
    <w:rsid w:val="00D81793"/>
    <w:rsid w:val="00D81873"/>
    <w:rsid w:val="00D81A62"/>
    <w:rsid w:val="00D8296D"/>
    <w:rsid w:val="00D83282"/>
    <w:rsid w:val="00D837F7"/>
    <w:rsid w:val="00D8413C"/>
    <w:rsid w:val="00D84239"/>
    <w:rsid w:val="00D844F3"/>
    <w:rsid w:val="00D84C46"/>
    <w:rsid w:val="00D85662"/>
    <w:rsid w:val="00D85E39"/>
    <w:rsid w:val="00D869C4"/>
    <w:rsid w:val="00D86BB3"/>
    <w:rsid w:val="00D877C6"/>
    <w:rsid w:val="00D879DD"/>
    <w:rsid w:val="00D9068D"/>
    <w:rsid w:val="00D90B10"/>
    <w:rsid w:val="00D90B49"/>
    <w:rsid w:val="00D90EAE"/>
    <w:rsid w:val="00D9132F"/>
    <w:rsid w:val="00D91B2C"/>
    <w:rsid w:val="00D92187"/>
    <w:rsid w:val="00D933F7"/>
    <w:rsid w:val="00D94BE9"/>
    <w:rsid w:val="00D95886"/>
    <w:rsid w:val="00D964BD"/>
    <w:rsid w:val="00D96C8A"/>
    <w:rsid w:val="00D96C9E"/>
    <w:rsid w:val="00D97519"/>
    <w:rsid w:val="00D9767B"/>
    <w:rsid w:val="00D97D5E"/>
    <w:rsid w:val="00DA00C1"/>
    <w:rsid w:val="00DA02A9"/>
    <w:rsid w:val="00DA0D3D"/>
    <w:rsid w:val="00DA1DBE"/>
    <w:rsid w:val="00DA1F4D"/>
    <w:rsid w:val="00DA22DD"/>
    <w:rsid w:val="00DA293A"/>
    <w:rsid w:val="00DA38C6"/>
    <w:rsid w:val="00DA40FA"/>
    <w:rsid w:val="00DA4625"/>
    <w:rsid w:val="00DA4ABD"/>
    <w:rsid w:val="00DA4AF2"/>
    <w:rsid w:val="00DA4E2D"/>
    <w:rsid w:val="00DA5721"/>
    <w:rsid w:val="00DA5D5C"/>
    <w:rsid w:val="00DA6686"/>
    <w:rsid w:val="00DA6B95"/>
    <w:rsid w:val="00DA6D79"/>
    <w:rsid w:val="00DB011F"/>
    <w:rsid w:val="00DB0CEC"/>
    <w:rsid w:val="00DB0EB5"/>
    <w:rsid w:val="00DB2E1E"/>
    <w:rsid w:val="00DB2F1A"/>
    <w:rsid w:val="00DB3824"/>
    <w:rsid w:val="00DB3A7D"/>
    <w:rsid w:val="00DB3D56"/>
    <w:rsid w:val="00DB3F4A"/>
    <w:rsid w:val="00DB4055"/>
    <w:rsid w:val="00DB5168"/>
    <w:rsid w:val="00DB5AA7"/>
    <w:rsid w:val="00DB61D6"/>
    <w:rsid w:val="00DB621F"/>
    <w:rsid w:val="00DB6E75"/>
    <w:rsid w:val="00DB7154"/>
    <w:rsid w:val="00DB7208"/>
    <w:rsid w:val="00DB7701"/>
    <w:rsid w:val="00DC000B"/>
    <w:rsid w:val="00DC06AB"/>
    <w:rsid w:val="00DC0D79"/>
    <w:rsid w:val="00DC1056"/>
    <w:rsid w:val="00DC1430"/>
    <w:rsid w:val="00DC1609"/>
    <w:rsid w:val="00DC1A69"/>
    <w:rsid w:val="00DC1C7A"/>
    <w:rsid w:val="00DC25C2"/>
    <w:rsid w:val="00DC289C"/>
    <w:rsid w:val="00DC3300"/>
    <w:rsid w:val="00DC3566"/>
    <w:rsid w:val="00DC3C20"/>
    <w:rsid w:val="00DC4315"/>
    <w:rsid w:val="00DC5214"/>
    <w:rsid w:val="00DC57A3"/>
    <w:rsid w:val="00DC5FF1"/>
    <w:rsid w:val="00DC67FC"/>
    <w:rsid w:val="00DC6A63"/>
    <w:rsid w:val="00DC78EE"/>
    <w:rsid w:val="00DC7E84"/>
    <w:rsid w:val="00DD01D1"/>
    <w:rsid w:val="00DD0A54"/>
    <w:rsid w:val="00DD1209"/>
    <w:rsid w:val="00DD278E"/>
    <w:rsid w:val="00DD27EB"/>
    <w:rsid w:val="00DD2A9D"/>
    <w:rsid w:val="00DD3201"/>
    <w:rsid w:val="00DD347C"/>
    <w:rsid w:val="00DD3779"/>
    <w:rsid w:val="00DD3B29"/>
    <w:rsid w:val="00DD3C6E"/>
    <w:rsid w:val="00DD4035"/>
    <w:rsid w:val="00DD41D8"/>
    <w:rsid w:val="00DD4301"/>
    <w:rsid w:val="00DD45DD"/>
    <w:rsid w:val="00DD47B4"/>
    <w:rsid w:val="00DD4BD9"/>
    <w:rsid w:val="00DD4D3B"/>
    <w:rsid w:val="00DD5330"/>
    <w:rsid w:val="00DD57B0"/>
    <w:rsid w:val="00DD5B52"/>
    <w:rsid w:val="00DD5DA5"/>
    <w:rsid w:val="00DD5F4D"/>
    <w:rsid w:val="00DD60D4"/>
    <w:rsid w:val="00DD7AAF"/>
    <w:rsid w:val="00DD7DA0"/>
    <w:rsid w:val="00DE1025"/>
    <w:rsid w:val="00DE10EC"/>
    <w:rsid w:val="00DE1348"/>
    <w:rsid w:val="00DE1721"/>
    <w:rsid w:val="00DE1A82"/>
    <w:rsid w:val="00DE3735"/>
    <w:rsid w:val="00DE395F"/>
    <w:rsid w:val="00DE57B3"/>
    <w:rsid w:val="00DE6780"/>
    <w:rsid w:val="00DE69A7"/>
    <w:rsid w:val="00DE6F42"/>
    <w:rsid w:val="00DE79E9"/>
    <w:rsid w:val="00DF0740"/>
    <w:rsid w:val="00DF1CB0"/>
    <w:rsid w:val="00DF24AC"/>
    <w:rsid w:val="00DF3231"/>
    <w:rsid w:val="00DF3DC9"/>
    <w:rsid w:val="00DF40F1"/>
    <w:rsid w:val="00DF41F4"/>
    <w:rsid w:val="00DF421C"/>
    <w:rsid w:val="00DF4741"/>
    <w:rsid w:val="00DF4DB3"/>
    <w:rsid w:val="00DF5AFC"/>
    <w:rsid w:val="00DF6336"/>
    <w:rsid w:val="00DF6376"/>
    <w:rsid w:val="00DF6429"/>
    <w:rsid w:val="00DF78BA"/>
    <w:rsid w:val="00DF7C09"/>
    <w:rsid w:val="00DF7DA8"/>
    <w:rsid w:val="00E00914"/>
    <w:rsid w:val="00E00C98"/>
    <w:rsid w:val="00E017F3"/>
    <w:rsid w:val="00E01844"/>
    <w:rsid w:val="00E0216D"/>
    <w:rsid w:val="00E0456C"/>
    <w:rsid w:val="00E0459D"/>
    <w:rsid w:val="00E04D47"/>
    <w:rsid w:val="00E04EE5"/>
    <w:rsid w:val="00E05317"/>
    <w:rsid w:val="00E05D55"/>
    <w:rsid w:val="00E05F21"/>
    <w:rsid w:val="00E06389"/>
    <w:rsid w:val="00E06603"/>
    <w:rsid w:val="00E06D49"/>
    <w:rsid w:val="00E10082"/>
    <w:rsid w:val="00E1032D"/>
    <w:rsid w:val="00E10B0F"/>
    <w:rsid w:val="00E1189F"/>
    <w:rsid w:val="00E12006"/>
    <w:rsid w:val="00E12447"/>
    <w:rsid w:val="00E12858"/>
    <w:rsid w:val="00E12DA6"/>
    <w:rsid w:val="00E12EB1"/>
    <w:rsid w:val="00E13838"/>
    <w:rsid w:val="00E13A43"/>
    <w:rsid w:val="00E145AD"/>
    <w:rsid w:val="00E14712"/>
    <w:rsid w:val="00E149C7"/>
    <w:rsid w:val="00E14C40"/>
    <w:rsid w:val="00E158F7"/>
    <w:rsid w:val="00E15AAC"/>
    <w:rsid w:val="00E15AF8"/>
    <w:rsid w:val="00E15C21"/>
    <w:rsid w:val="00E15D3C"/>
    <w:rsid w:val="00E1663C"/>
    <w:rsid w:val="00E16C0A"/>
    <w:rsid w:val="00E170FC"/>
    <w:rsid w:val="00E17410"/>
    <w:rsid w:val="00E210ED"/>
    <w:rsid w:val="00E2164A"/>
    <w:rsid w:val="00E22530"/>
    <w:rsid w:val="00E22AB7"/>
    <w:rsid w:val="00E22B64"/>
    <w:rsid w:val="00E22DD5"/>
    <w:rsid w:val="00E25974"/>
    <w:rsid w:val="00E25E88"/>
    <w:rsid w:val="00E275ED"/>
    <w:rsid w:val="00E27669"/>
    <w:rsid w:val="00E278E8"/>
    <w:rsid w:val="00E27D5F"/>
    <w:rsid w:val="00E30DBF"/>
    <w:rsid w:val="00E30FF8"/>
    <w:rsid w:val="00E315E9"/>
    <w:rsid w:val="00E316E3"/>
    <w:rsid w:val="00E31E62"/>
    <w:rsid w:val="00E320AF"/>
    <w:rsid w:val="00E321A4"/>
    <w:rsid w:val="00E3223B"/>
    <w:rsid w:val="00E32495"/>
    <w:rsid w:val="00E32575"/>
    <w:rsid w:val="00E32D48"/>
    <w:rsid w:val="00E33406"/>
    <w:rsid w:val="00E341FA"/>
    <w:rsid w:val="00E34476"/>
    <w:rsid w:val="00E3482B"/>
    <w:rsid w:val="00E34886"/>
    <w:rsid w:val="00E34CCF"/>
    <w:rsid w:val="00E356D5"/>
    <w:rsid w:val="00E357D8"/>
    <w:rsid w:val="00E3692B"/>
    <w:rsid w:val="00E37095"/>
    <w:rsid w:val="00E4067B"/>
    <w:rsid w:val="00E406E5"/>
    <w:rsid w:val="00E410DB"/>
    <w:rsid w:val="00E41F9D"/>
    <w:rsid w:val="00E42CFD"/>
    <w:rsid w:val="00E43351"/>
    <w:rsid w:val="00E439CD"/>
    <w:rsid w:val="00E43CBD"/>
    <w:rsid w:val="00E44B88"/>
    <w:rsid w:val="00E46063"/>
    <w:rsid w:val="00E462E4"/>
    <w:rsid w:val="00E46C09"/>
    <w:rsid w:val="00E47147"/>
    <w:rsid w:val="00E50354"/>
    <w:rsid w:val="00E507A6"/>
    <w:rsid w:val="00E50986"/>
    <w:rsid w:val="00E50AA3"/>
    <w:rsid w:val="00E517FD"/>
    <w:rsid w:val="00E51AF2"/>
    <w:rsid w:val="00E51D3A"/>
    <w:rsid w:val="00E528CD"/>
    <w:rsid w:val="00E5336F"/>
    <w:rsid w:val="00E538A6"/>
    <w:rsid w:val="00E53BC2"/>
    <w:rsid w:val="00E542AD"/>
    <w:rsid w:val="00E54686"/>
    <w:rsid w:val="00E5470F"/>
    <w:rsid w:val="00E5504F"/>
    <w:rsid w:val="00E550B9"/>
    <w:rsid w:val="00E56582"/>
    <w:rsid w:val="00E57854"/>
    <w:rsid w:val="00E57C03"/>
    <w:rsid w:val="00E604D2"/>
    <w:rsid w:val="00E60D70"/>
    <w:rsid w:val="00E6170E"/>
    <w:rsid w:val="00E62208"/>
    <w:rsid w:val="00E62449"/>
    <w:rsid w:val="00E6282F"/>
    <w:rsid w:val="00E62CB9"/>
    <w:rsid w:val="00E633AF"/>
    <w:rsid w:val="00E633EE"/>
    <w:rsid w:val="00E64038"/>
    <w:rsid w:val="00E640BF"/>
    <w:rsid w:val="00E644F3"/>
    <w:rsid w:val="00E64A62"/>
    <w:rsid w:val="00E651BE"/>
    <w:rsid w:val="00E654F6"/>
    <w:rsid w:val="00E66285"/>
    <w:rsid w:val="00E664D7"/>
    <w:rsid w:val="00E66751"/>
    <w:rsid w:val="00E66EE5"/>
    <w:rsid w:val="00E70B99"/>
    <w:rsid w:val="00E714C4"/>
    <w:rsid w:val="00E717DF"/>
    <w:rsid w:val="00E71E5B"/>
    <w:rsid w:val="00E71F1E"/>
    <w:rsid w:val="00E71F22"/>
    <w:rsid w:val="00E72279"/>
    <w:rsid w:val="00E722DC"/>
    <w:rsid w:val="00E722FC"/>
    <w:rsid w:val="00E72C50"/>
    <w:rsid w:val="00E73497"/>
    <w:rsid w:val="00E737A6"/>
    <w:rsid w:val="00E73FC6"/>
    <w:rsid w:val="00E74FDA"/>
    <w:rsid w:val="00E75C0C"/>
    <w:rsid w:val="00E7652B"/>
    <w:rsid w:val="00E769F8"/>
    <w:rsid w:val="00E76B8A"/>
    <w:rsid w:val="00E771DB"/>
    <w:rsid w:val="00E77E1F"/>
    <w:rsid w:val="00E805D6"/>
    <w:rsid w:val="00E80663"/>
    <w:rsid w:val="00E80A5A"/>
    <w:rsid w:val="00E80B98"/>
    <w:rsid w:val="00E816EC"/>
    <w:rsid w:val="00E818DC"/>
    <w:rsid w:val="00E83392"/>
    <w:rsid w:val="00E835D8"/>
    <w:rsid w:val="00E83E24"/>
    <w:rsid w:val="00E83FDB"/>
    <w:rsid w:val="00E84694"/>
    <w:rsid w:val="00E85362"/>
    <w:rsid w:val="00E85B1E"/>
    <w:rsid w:val="00E85ECE"/>
    <w:rsid w:val="00E861D5"/>
    <w:rsid w:val="00E868A0"/>
    <w:rsid w:val="00E86AF2"/>
    <w:rsid w:val="00E8706D"/>
    <w:rsid w:val="00E87F15"/>
    <w:rsid w:val="00E907D3"/>
    <w:rsid w:val="00E909C1"/>
    <w:rsid w:val="00E92863"/>
    <w:rsid w:val="00E9312E"/>
    <w:rsid w:val="00E93721"/>
    <w:rsid w:val="00E937DB"/>
    <w:rsid w:val="00E94261"/>
    <w:rsid w:val="00E94363"/>
    <w:rsid w:val="00E9515D"/>
    <w:rsid w:val="00E95265"/>
    <w:rsid w:val="00E95286"/>
    <w:rsid w:val="00E9556E"/>
    <w:rsid w:val="00E95836"/>
    <w:rsid w:val="00E95CB6"/>
    <w:rsid w:val="00E962FA"/>
    <w:rsid w:val="00E96998"/>
    <w:rsid w:val="00E97BFF"/>
    <w:rsid w:val="00E97CCE"/>
    <w:rsid w:val="00EA0355"/>
    <w:rsid w:val="00EA0FF1"/>
    <w:rsid w:val="00EA2291"/>
    <w:rsid w:val="00EA2BB4"/>
    <w:rsid w:val="00EA2D27"/>
    <w:rsid w:val="00EA3008"/>
    <w:rsid w:val="00EA36CA"/>
    <w:rsid w:val="00EA38D1"/>
    <w:rsid w:val="00EA477F"/>
    <w:rsid w:val="00EA5FC4"/>
    <w:rsid w:val="00EA773B"/>
    <w:rsid w:val="00EB05C0"/>
    <w:rsid w:val="00EB061A"/>
    <w:rsid w:val="00EB0A01"/>
    <w:rsid w:val="00EB100E"/>
    <w:rsid w:val="00EB1A40"/>
    <w:rsid w:val="00EB1F2C"/>
    <w:rsid w:val="00EB2413"/>
    <w:rsid w:val="00EB25B1"/>
    <w:rsid w:val="00EB272C"/>
    <w:rsid w:val="00EB2B0B"/>
    <w:rsid w:val="00EB30F7"/>
    <w:rsid w:val="00EB35D2"/>
    <w:rsid w:val="00EB44BC"/>
    <w:rsid w:val="00EB47EA"/>
    <w:rsid w:val="00EB4C1D"/>
    <w:rsid w:val="00EB4D21"/>
    <w:rsid w:val="00EB5A73"/>
    <w:rsid w:val="00EB5F8A"/>
    <w:rsid w:val="00EB6295"/>
    <w:rsid w:val="00EB65CA"/>
    <w:rsid w:val="00EB6805"/>
    <w:rsid w:val="00EB7118"/>
    <w:rsid w:val="00EB73EB"/>
    <w:rsid w:val="00EB74F5"/>
    <w:rsid w:val="00EB7CAB"/>
    <w:rsid w:val="00EC033F"/>
    <w:rsid w:val="00EC0496"/>
    <w:rsid w:val="00EC1689"/>
    <w:rsid w:val="00EC21F8"/>
    <w:rsid w:val="00EC230F"/>
    <w:rsid w:val="00EC231F"/>
    <w:rsid w:val="00EC3346"/>
    <w:rsid w:val="00EC3382"/>
    <w:rsid w:val="00EC3D65"/>
    <w:rsid w:val="00EC4273"/>
    <w:rsid w:val="00EC49C0"/>
    <w:rsid w:val="00EC4AE0"/>
    <w:rsid w:val="00EC5004"/>
    <w:rsid w:val="00EC5861"/>
    <w:rsid w:val="00EC5900"/>
    <w:rsid w:val="00EC5D57"/>
    <w:rsid w:val="00EC64EB"/>
    <w:rsid w:val="00EC65A0"/>
    <w:rsid w:val="00EC6DE6"/>
    <w:rsid w:val="00EC7C48"/>
    <w:rsid w:val="00ED01A3"/>
    <w:rsid w:val="00ED12E5"/>
    <w:rsid w:val="00ED1830"/>
    <w:rsid w:val="00ED2777"/>
    <w:rsid w:val="00ED2BA5"/>
    <w:rsid w:val="00ED3522"/>
    <w:rsid w:val="00ED3A54"/>
    <w:rsid w:val="00ED3E6F"/>
    <w:rsid w:val="00ED4059"/>
    <w:rsid w:val="00ED40CD"/>
    <w:rsid w:val="00ED45E5"/>
    <w:rsid w:val="00ED474E"/>
    <w:rsid w:val="00ED5889"/>
    <w:rsid w:val="00ED63F8"/>
    <w:rsid w:val="00ED66A7"/>
    <w:rsid w:val="00ED6B48"/>
    <w:rsid w:val="00ED7046"/>
    <w:rsid w:val="00ED7F77"/>
    <w:rsid w:val="00EE057B"/>
    <w:rsid w:val="00EE096D"/>
    <w:rsid w:val="00EE0A1E"/>
    <w:rsid w:val="00EE0D43"/>
    <w:rsid w:val="00EE0D46"/>
    <w:rsid w:val="00EE0F34"/>
    <w:rsid w:val="00EE15DA"/>
    <w:rsid w:val="00EE1AC5"/>
    <w:rsid w:val="00EE221E"/>
    <w:rsid w:val="00EE2510"/>
    <w:rsid w:val="00EE26AD"/>
    <w:rsid w:val="00EE26BE"/>
    <w:rsid w:val="00EE28EE"/>
    <w:rsid w:val="00EE2FAE"/>
    <w:rsid w:val="00EE3188"/>
    <w:rsid w:val="00EE3A7B"/>
    <w:rsid w:val="00EE4377"/>
    <w:rsid w:val="00EE45F5"/>
    <w:rsid w:val="00EE4F1B"/>
    <w:rsid w:val="00EE50E3"/>
    <w:rsid w:val="00EE56DE"/>
    <w:rsid w:val="00EE5EAE"/>
    <w:rsid w:val="00EE6259"/>
    <w:rsid w:val="00EE6896"/>
    <w:rsid w:val="00EE6A05"/>
    <w:rsid w:val="00EE75DC"/>
    <w:rsid w:val="00EE767C"/>
    <w:rsid w:val="00EF0355"/>
    <w:rsid w:val="00EF05B9"/>
    <w:rsid w:val="00EF05EA"/>
    <w:rsid w:val="00EF09F2"/>
    <w:rsid w:val="00EF0C51"/>
    <w:rsid w:val="00EF10E1"/>
    <w:rsid w:val="00EF1CB1"/>
    <w:rsid w:val="00EF20CF"/>
    <w:rsid w:val="00EF2DF7"/>
    <w:rsid w:val="00EF325C"/>
    <w:rsid w:val="00EF3400"/>
    <w:rsid w:val="00EF43AD"/>
    <w:rsid w:val="00EF452E"/>
    <w:rsid w:val="00EF5DA4"/>
    <w:rsid w:val="00EF6859"/>
    <w:rsid w:val="00EF7879"/>
    <w:rsid w:val="00EF7A49"/>
    <w:rsid w:val="00F003C2"/>
    <w:rsid w:val="00F00524"/>
    <w:rsid w:val="00F00C49"/>
    <w:rsid w:val="00F00F31"/>
    <w:rsid w:val="00F014DE"/>
    <w:rsid w:val="00F01C4D"/>
    <w:rsid w:val="00F01D6F"/>
    <w:rsid w:val="00F028D6"/>
    <w:rsid w:val="00F02BCC"/>
    <w:rsid w:val="00F02C27"/>
    <w:rsid w:val="00F03364"/>
    <w:rsid w:val="00F0393B"/>
    <w:rsid w:val="00F03CDD"/>
    <w:rsid w:val="00F042AE"/>
    <w:rsid w:val="00F049EE"/>
    <w:rsid w:val="00F04A48"/>
    <w:rsid w:val="00F04FD7"/>
    <w:rsid w:val="00F0572E"/>
    <w:rsid w:val="00F06145"/>
    <w:rsid w:val="00F07E6F"/>
    <w:rsid w:val="00F07F41"/>
    <w:rsid w:val="00F10CE1"/>
    <w:rsid w:val="00F10D93"/>
    <w:rsid w:val="00F1142D"/>
    <w:rsid w:val="00F11473"/>
    <w:rsid w:val="00F116A4"/>
    <w:rsid w:val="00F11F44"/>
    <w:rsid w:val="00F12419"/>
    <w:rsid w:val="00F12590"/>
    <w:rsid w:val="00F12817"/>
    <w:rsid w:val="00F1287B"/>
    <w:rsid w:val="00F130BD"/>
    <w:rsid w:val="00F133E1"/>
    <w:rsid w:val="00F13670"/>
    <w:rsid w:val="00F13AE5"/>
    <w:rsid w:val="00F13C01"/>
    <w:rsid w:val="00F149D0"/>
    <w:rsid w:val="00F14C8C"/>
    <w:rsid w:val="00F1516B"/>
    <w:rsid w:val="00F20202"/>
    <w:rsid w:val="00F203D4"/>
    <w:rsid w:val="00F203FF"/>
    <w:rsid w:val="00F206D9"/>
    <w:rsid w:val="00F211D2"/>
    <w:rsid w:val="00F21AA2"/>
    <w:rsid w:val="00F21CFF"/>
    <w:rsid w:val="00F21D8B"/>
    <w:rsid w:val="00F22E93"/>
    <w:rsid w:val="00F23661"/>
    <w:rsid w:val="00F24405"/>
    <w:rsid w:val="00F25781"/>
    <w:rsid w:val="00F25EDE"/>
    <w:rsid w:val="00F2653D"/>
    <w:rsid w:val="00F272F1"/>
    <w:rsid w:val="00F273A2"/>
    <w:rsid w:val="00F276D1"/>
    <w:rsid w:val="00F27A01"/>
    <w:rsid w:val="00F30881"/>
    <w:rsid w:val="00F30DDF"/>
    <w:rsid w:val="00F316F2"/>
    <w:rsid w:val="00F31808"/>
    <w:rsid w:val="00F31E43"/>
    <w:rsid w:val="00F3314E"/>
    <w:rsid w:val="00F338D0"/>
    <w:rsid w:val="00F33BB4"/>
    <w:rsid w:val="00F340D2"/>
    <w:rsid w:val="00F36624"/>
    <w:rsid w:val="00F36988"/>
    <w:rsid w:val="00F370EF"/>
    <w:rsid w:val="00F37584"/>
    <w:rsid w:val="00F37A71"/>
    <w:rsid w:val="00F40AC1"/>
    <w:rsid w:val="00F40B4D"/>
    <w:rsid w:val="00F40E81"/>
    <w:rsid w:val="00F412A6"/>
    <w:rsid w:val="00F428CD"/>
    <w:rsid w:val="00F4341B"/>
    <w:rsid w:val="00F453A0"/>
    <w:rsid w:val="00F45B04"/>
    <w:rsid w:val="00F45C52"/>
    <w:rsid w:val="00F45FC8"/>
    <w:rsid w:val="00F462F4"/>
    <w:rsid w:val="00F46B68"/>
    <w:rsid w:val="00F47742"/>
    <w:rsid w:val="00F477DF"/>
    <w:rsid w:val="00F506C1"/>
    <w:rsid w:val="00F5158E"/>
    <w:rsid w:val="00F51694"/>
    <w:rsid w:val="00F52A42"/>
    <w:rsid w:val="00F52EE5"/>
    <w:rsid w:val="00F534D1"/>
    <w:rsid w:val="00F534F0"/>
    <w:rsid w:val="00F54C1E"/>
    <w:rsid w:val="00F54D38"/>
    <w:rsid w:val="00F55A4D"/>
    <w:rsid w:val="00F55EDF"/>
    <w:rsid w:val="00F55F0E"/>
    <w:rsid w:val="00F5620C"/>
    <w:rsid w:val="00F562E3"/>
    <w:rsid w:val="00F56B1E"/>
    <w:rsid w:val="00F56C18"/>
    <w:rsid w:val="00F56E66"/>
    <w:rsid w:val="00F5711B"/>
    <w:rsid w:val="00F57A21"/>
    <w:rsid w:val="00F602B6"/>
    <w:rsid w:val="00F60F82"/>
    <w:rsid w:val="00F60FB4"/>
    <w:rsid w:val="00F616FC"/>
    <w:rsid w:val="00F618F6"/>
    <w:rsid w:val="00F62310"/>
    <w:rsid w:val="00F624CE"/>
    <w:rsid w:val="00F62665"/>
    <w:rsid w:val="00F630C3"/>
    <w:rsid w:val="00F6325F"/>
    <w:rsid w:val="00F645ED"/>
    <w:rsid w:val="00F647EA"/>
    <w:rsid w:val="00F64E7B"/>
    <w:rsid w:val="00F64FFB"/>
    <w:rsid w:val="00F651FC"/>
    <w:rsid w:val="00F653A1"/>
    <w:rsid w:val="00F65666"/>
    <w:rsid w:val="00F65E67"/>
    <w:rsid w:val="00F66064"/>
    <w:rsid w:val="00F66744"/>
    <w:rsid w:val="00F66775"/>
    <w:rsid w:val="00F66F70"/>
    <w:rsid w:val="00F67677"/>
    <w:rsid w:val="00F67D9B"/>
    <w:rsid w:val="00F7011B"/>
    <w:rsid w:val="00F70484"/>
    <w:rsid w:val="00F7058F"/>
    <w:rsid w:val="00F708E5"/>
    <w:rsid w:val="00F70C53"/>
    <w:rsid w:val="00F70C59"/>
    <w:rsid w:val="00F70C68"/>
    <w:rsid w:val="00F70EC4"/>
    <w:rsid w:val="00F73302"/>
    <w:rsid w:val="00F73E61"/>
    <w:rsid w:val="00F74039"/>
    <w:rsid w:val="00F742F1"/>
    <w:rsid w:val="00F74480"/>
    <w:rsid w:val="00F7492E"/>
    <w:rsid w:val="00F752FA"/>
    <w:rsid w:val="00F75370"/>
    <w:rsid w:val="00F756C6"/>
    <w:rsid w:val="00F75BF8"/>
    <w:rsid w:val="00F76BE3"/>
    <w:rsid w:val="00F76C11"/>
    <w:rsid w:val="00F77070"/>
    <w:rsid w:val="00F770A0"/>
    <w:rsid w:val="00F77C9A"/>
    <w:rsid w:val="00F8086B"/>
    <w:rsid w:val="00F80A1B"/>
    <w:rsid w:val="00F8133B"/>
    <w:rsid w:val="00F81421"/>
    <w:rsid w:val="00F8192F"/>
    <w:rsid w:val="00F824EE"/>
    <w:rsid w:val="00F8292A"/>
    <w:rsid w:val="00F84A56"/>
    <w:rsid w:val="00F85461"/>
    <w:rsid w:val="00F857BD"/>
    <w:rsid w:val="00F857DB"/>
    <w:rsid w:val="00F859D4"/>
    <w:rsid w:val="00F87284"/>
    <w:rsid w:val="00F87F81"/>
    <w:rsid w:val="00F905C6"/>
    <w:rsid w:val="00F91081"/>
    <w:rsid w:val="00F91165"/>
    <w:rsid w:val="00F91355"/>
    <w:rsid w:val="00F92561"/>
    <w:rsid w:val="00F9419B"/>
    <w:rsid w:val="00F941B6"/>
    <w:rsid w:val="00F94AC8"/>
    <w:rsid w:val="00F9616A"/>
    <w:rsid w:val="00F962B6"/>
    <w:rsid w:val="00F96FFF"/>
    <w:rsid w:val="00F97184"/>
    <w:rsid w:val="00F977AB"/>
    <w:rsid w:val="00F97961"/>
    <w:rsid w:val="00F97964"/>
    <w:rsid w:val="00FA031A"/>
    <w:rsid w:val="00FA186B"/>
    <w:rsid w:val="00FA2F81"/>
    <w:rsid w:val="00FA41EC"/>
    <w:rsid w:val="00FA57FF"/>
    <w:rsid w:val="00FA59AB"/>
    <w:rsid w:val="00FA5BE6"/>
    <w:rsid w:val="00FA5D33"/>
    <w:rsid w:val="00FA5D90"/>
    <w:rsid w:val="00FA68C5"/>
    <w:rsid w:val="00FA6D7F"/>
    <w:rsid w:val="00FA7ADD"/>
    <w:rsid w:val="00FA7BED"/>
    <w:rsid w:val="00FA7C49"/>
    <w:rsid w:val="00FB055A"/>
    <w:rsid w:val="00FB0CE2"/>
    <w:rsid w:val="00FB0D0B"/>
    <w:rsid w:val="00FB18F1"/>
    <w:rsid w:val="00FB1A1A"/>
    <w:rsid w:val="00FB33EF"/>
    <w:rsid w:val="00FB5210"/>
    <w:rsid w:val="00FB59D0"/>
    <w:rsid w:val="00FB6359"/>
    <w:rsid w:val="00FB6AA9"/>
    <w:rsid w:val="00FB7028"/>
    <w:rsid w:val="00FB7AC9"/>
    <w:rsid w:val="00FB7CCF"/>
    <w:rsid w:val="00FC01D4"/>
    <w:rsid w:val="00FC03C2"/>
    <w:rsid w:val="00FC0547"/>
    <w:rsid w:val="00FC076D"/>
    <w:rsid w:val="00FC07B0"/>
    <w:rsid w:val="00FC07CF"/>
    <w:rsid w:val="00FC09C1"/>
    <w:rsid w:val="00FC0A79"/>
    <w:rsid w:val="00FC0B3F"/>
    <w:rsid w:val="00FC0D85"/>
    <w:rsid w:val="00FC12F9"/>
    <w:rsid w:val="00FC1D93"/>
    <w:rsid w:val="00FC1DA4"/>
    <w:rsid w:val="00FC1F5F"/>
    <w:rsid w:val="00FC1FF8"/>
    <w:rsid w:val="00FC2A25"/>
    <w:rsid w:val="00FC2A59"/>
    <w:rsid w:val="00FC2B6C"/>
    <w:rsid w:val="00FC2DCF"/>
    <w:rsid w:val="00FC482F"/>
    <w:rsid w:val="00FC5200"/>
    <w:rsid w:val="00FC5397"/>
    <w:rsid w:val="00FC5ACE"/>
    <w:rsid w:val="00FC66FC"/>
    <w:rsid w:val="00FC6799"/>
    <w:rsid w:val="00FC6A48"/>
    <w:rsid w:val="00FC7DD7"/>
    <w:rsid w:val="00FD0169"/>
    <w:rsid w:val="00FD02A7"/>
    <w:rsid w:val="00FD0992"/>
    <w:rsid w:val="00FD0F46"/>
    <w:rsid w:val="00FD12D0"/>
    <w:rsid w:val="00FD20C4"/>
    <w:rsid w:val="00FD21E4"/>
    <w:rsid w:val="00FD2BE5"/>
    <w:rsid w:val="00FD306C"/>
    <w:rsid w:val="00FD313F"/>
    <w:rsid w:val="00FD3380"/>
    <w:rsid w:val="00FD3F72"/>
    <w:rsid w:val="00FD418A"/>
    <w:rsid w:val="00FD43DA"/>
    <w:rsid w:val="00FD4679"/>
    <w:rsid w:val="00FD4A03"/>
    <w:rsid w:val="00FD4AD7"/>
    <w:rsid w:val="00FD5281"/>
    <w:rsid w:val="00FD56D7"/>
    <w:rsid w:val="00FD6068"/>
    <w:rsid w:val="00FD66DE"/>
    <w:rsid w:val="00FD6BAC"/>
    <w:rsid w:val="00FD6C35"/>
    <w:rsid w:val="00FD76F2"/>
    <w:rsid w:val="00FD796B"/>
    <w:rsid w:val="00FD7EE4"/>
    <w:rsid w:val="00FE0304"/>
    <w:rsid w:val="00FE09E4"/>
    <w:rsid w:val="00FE1EB1"/>
    <w:rsid w:val="00FE1EB2"/>
    <w:rsid w:val="00FE284E"/>
    <w:rsid w:val="00FE2884"/>
    <w:rsid w:val="00FE3126"/>
    <w:rsid w:val="00FE327C"/>
    <w:rsid w:val="00FE3284"/>
    <w:rsid w:val="00FE33CD"/>
    <w:rsid w:val="00FE345F"/>
    <w:rsid w:val="00FE3479"/>
    <w:rsid w:val="00FE3858"/>
    <w:rsid w:val="00FE4102"/>
    <w:rsid w:val="00FE42CE"/>
    <w:rsid w:val="00FE4331"/>
    <w:rsid w:val="00FE5374"/>
    <w:rsid w:val="00FE5510"/>
    <w:rsid w:val="00FE5941"/>
    <w:rsid w:val="00FE59A8"/>
    <w:rsid w:val="00FE5E8F"/>
    <w:rsid w:val="00FE6514"/>
    <w:rsid w:val="00FE6538"/>
    <w:rsid w:val="00FE7010"/>
    <w:rsid w:val="00FE731C"/>
    <w:rsid w:val="00FE7D20"/>
    <w:rsid w:val="00FF209E"/>
    <w:rsid w:val="00FF25E9"/>
    <w:rsid w:val="00FF2A9D"/>
    <w:rsid w:val="00FF2CE5"/>
    <w:rsid w:val="00FF2D9F"/>
    <w:rsid w:val="00FF2E15"/>
    <w:rsid w:val="00FF2EA8"/>
    <w:rsid w:val="00FF34EB"/>
    <w:rsid w:val="00FF350B"/>
    <w:rsid w:val="00FF3784"/>
    <w:rsid w:val="00FF37EB"/>
    <w:rsid w:val="00FF3C6A"/>
    <w:rsid w:val="00FF3D35"/>
    <w:rsid w:val="00FF455F"/>
    <w:rsid w:val="00FF4699"/>
    <w:rsid w:val="00FF49D1"/>
    <w:rsid w:val="00FF4AE9"/>
    <w:rsid w:val="00FF55F2"/>
    <w:rsid w:val="00FF5804"/>
    <w:rsid w:val="00FF61A0"/>
    <w:rsid w:val="00FF6B12"/>
    <w:rsid w:val="00FF6D06"/>
    <w:rsid w:val="00FF730F"/>
    <w:rsid w:val="76FF5998"/>
    <w:rsid w:val="7BCF2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CBAC0A3"/>
  <w15:docId w15:val="{8DF8CC90-B049-4A20-B9B0-C2006F2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6D1"/>
    <w:rPr>
      <w:rFonts w:eastAsia="Times New Roman"/>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napToGrid w:val="0"/>
      <w:spacing w:line="480" w:lineRule="auto"/>
      <w:jc w:val="center"/>
      <w:outlineLvl w:val="1"/>
    </w:pPr>
    <w:rPr>
      <w:rFonts w:eastAsiaTheme="minorEastAsia"/>
      <w:szCs w:val="20"/>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eastAsiaTheme="minorEastAsia" w:hAnsi="Tahoma" w:cs="Tahoma"/>
      <w:sz w:val="16"/>
      <w:szCs w:val="16"/>
    </w:rPr>
  </w:style>
  <w:style w:type="paragraph" w:styleId="BlockText">
    <w:name w:val="Block Text"/>
    <w:basedOn w:val="Normal"/>
    <w:pPr>
      <w:tabs>
        <w:tab w:val="left" w:pos="20"/>
        <w:tab w:val="left" w:pos="740"/>
        <w:tab w:val="left" w:pos="1480"/>
        <w:tab w:val="left" w:pos="2200"/>
        <w:tab w:val="left" w:pos="2860"/>
        <w:tab w:val="left" w:pos="3600"/>
        <w:tab w:val="left" w:pos="4340"/>
        <w:tab w:val="left" w:pos="5060"/>
        <w:tab w:val="left" w:pos="5760"/>
        <w:tab w:val="left" w:pos="6520"/>
        <w:tab w:val="left" w:pos="7180"/>
        <w:tab w:val="left" w:pos="7920"/>
        <w:tab w:val="left" w:pos="8640"/>
        <w:tab w:val="left" w:pos="9380"/>
        <w:tab w:val="left" w:pos="10120"/>
        <w:tab w:val="left" w:pos="10840"/>
      </w:tabs>
      <w:spacing w:line="360" w:lineRule="auto"/>
      <w:ind w:left="-720" w:right="-720"/>
    </w:pPr>
    <w:rPr>
      <w:rFonts w:ascii="Times" w:eastAsia="Times" w:hAnsi="Times"/>
      <w:color w:val="000000"/>
      <w:szCs w:val="20"/>
    </w:rPr>
  </w:style>
  <w:style w:type="paragraph" w:styleId="BodyText">
    <w:name w:val="Body Text"/>
    <w:basedOn w:val="Normal"/>
    <w:link w:val="BodyTextChar"/>
    <w:pPr>
      <w:spacing w:after="120"/>
    </w:pPr>
    <w:rPr>
      <w:rFonts w:eastAsiaTheme="minorEastAsia"/>
    </w:rPr>
  </w:style>
  <w:style w:type="paragraph" w:styleId="BodyTextIndent">
    <w:name w:val="Body Text Indent"/>
    <w:basedOn w:val="Normal"/>
    <w:link w:val="BodyTextIndentChar"/>
    <w:uiPriority w:val="99"/>
    <w:pPr>
      <w:spacing w:after="120"/>
      <w:ind w:left="360"/>
    </w:pPr>
    <w:rPr>
      <w:rFonts w:eastAsiaTheme="minorEastAsia"/>
    </w:rPr>
  </w:style>
  <w:style w:type="paragraph" w:styleId="CommentText">
    <w:name w:val="annotation text"/>
    <w:basedOn w:val="Normal"/>
    <w:link w:val="CommentTextChar"/>
    <w:uiPriority w:val="99"/>
    <w:rPr>
      <w:rFonts w:eastAsiaTheme="minorEastAsia"/>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link w:val="DocumentMapChar"/>
    <w:rPr>
      <w:rFonts w:ascii="Lucida Grande" w:eastAsiaTheme="minorEastAsia" w:hAnsi="Lucida Grande" w:cs="Lucida Grande"/>
    </w:rPr>
  </w:style>
  <w:style w:type="paragraph" w:styleId="Footer">
    <w:name w:val="footer"/>
    <w:basedOn w:val="Normal"/>
    <w:link w:val="FooterChar"/>
    <w:uiPriority w:val="99"/>
    <w:pPr>
      <w:tabs>
        <w:tab w:val="center" w:pos="4320"/>
        <w:tab w:val="right" w:pos="8640"/>
      </w:tabs>
    </w:pPr>
    <w:rPr>
      <w:rFonts w:eastAsiaTheme="minorEastAsia"/>
    </w:rPr>
  </w:style>
  <w:style w:type="paragraph" w:styleId="FootnoteText">
    <w:name w:val="footnote text"/>
    <w:basedOn w:val="Normal"/>
    <w:link w:val="FootnoteTextChar"/>
    <w:uiPriority w:val="99"/>
    <w:unhideWhenUsed/>
    <w:rPr>
      <w:rFonts w:eastAsiaTheme="minorEastAsia" w:cstheme="minorBidi"/>
    </w:rPr>
  </w:style>
  <w:style w:type="paragraph" w:styleId="Header">
    <w:name w:val="header"/>
    <w:basedOn w:val="Normal"/>
    <w:link w:val="HeaderChar"/>
    <w:uiPriority w:val="99"/>
    <w:pPr>
      <w:tabs>
        <w:tab w:val="center" w:pos="4320"/>
        <w:tab w:val="right" w:pos="8640"/>
      </w:tabs>
    </w:pPr>
    <w:rPr>
      <w:rFonts w:eastAsiaTheme="minorEastAsia"/>
    </w:rPr>
  </w:style>
  <w:style w:type="paragraph" w:styleId="HTMLAddress">
    <w:name w:val="HTML Address"/>
    <w:basedOn w:val="Normal"/>
    <w:link w:val="HTMLAddressChar"/>
    <w:uiPriority w:val="99"/>
    <w:unhideWhenUsed/>
    <w:rPr>
      <w:rFonts w:eastAsiaTheme="minorEastAsia"/>
      <w:i/>
      <w:iCs/>
      <w:lang w:val="en-GB" w:eastAsia="en-GB"/>
    </w:rPr>
  </w:style>
  <w:style w:type="paragraph" w:styleId="NormalWeb">
    <w:name w:val="Normal (Web)"/>
    <w:basedOn w:val="Normal"/>
    <w:uiPriority w:val="99"/>
    <w:pPr>
      <w:spacing w:before="100" w:beforeAutospacing="1" w:after="100" w:afterAutospacing="1"/>
    </w:pPr>
    <w:rPr>
      <w:rFonts w:eastAsia="SimSun"/>
      <w:lang w:val="en-GB"/>
    </w:rPr>
  </w:style>
  <w:style w:type="paragraph" w:styleId="PlainText">
    <w:name w:val="Plain Text"/>
    <w:basedOn w:val="Normal"/>
    <w:link w:val="PlainTextChar"/>
    <w:uiPriority w:val="99"/>
    <w:unhideWhenUsed/>
    <w:qFormat/>
    <w:rPr>
      <w:rFonts w:ascii="Calibri" w:eastAsia="SimSun" w:hAnsi="Calibri" w:cs="Arial"/>
      <w:sz w:val="22"/>
      <w:szCs w:val="21"/>
      <w:lang w:val="en-GB"/>
    </w:rPr>
  </w:style>
  <w:style w:type="character" w:styleId="CommentReference">
    <w:name w:val="annotation reference"/>
    <w:uiPriority w:val="99"/>
    <w:semiHidden/>
    <w:rPr>
      <w:sz w:val="16"/>
      <w:szCs w:val="16"/>
    </w:rPr>
  </w:style>
  <w:style w:type="character" w:styleId="Emphasis">
    <w:name w:val="Emphasis"/>
    <w:uiPriority w:val="20"/>
    <w:qFormat/>
    <w:rPr>
      <w:i/>
      <w:iCs/>
    </w:rPr>
  </w:style>
  <w:style w:type="character" w:styleId="FollowedHyperlink">
    <w:name w:val="FollowedHyperlink"/>
    <w:basedOn w:val="DefaultParagraphFont"/>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TMLCite">
    <w:name w:val="HTML Cite"/>
    <w:basedOn w:val="DefaultParagraphFont"/>
    <w:uiPriority w:val="99"/>
    <w:unhideWhenUsed/>
    <w:rPr>
      <w:i/>
      <w:iCs/>
    </w:rPr>
  </w:style>
  <w:style w:type="character" w:styleId="Hyperlink">
    <w:name w:val="Hyperlink"/>
    <w:uiPriority w:val="99"/>
    <w:rPr>
      <w:color w:val="0000FF"/>
      <w:u w:val="single"/>
    </w:rPr>
  </w:style>
  <w:style w:type="character" w:styleId="PageNumber">
    <w:name w:val="page number"/>
    <w:basedOn w:val="DefaultParagraphFont"/>
    <w:uiPriority w:val="99"/>
  </w:style>
  <w:style w:type="character" w:styleId="Strong">
    <w:name w:val="Strong"/>
    <w:uiPriority w:val="22"/>
    <w:qFormat/>
    <w:rPr>
      <w:rFonts w:cs="Times New Roman"/>
      <w:b/>
      <w:bCs/>
    </w:rPr>
  </w:style>
  <w:style w:type="character" w:customStyle="1" w:styleId="LowellGaertner">
    <w:name w:val="Lowell Gaertner"/>
    <w:semiHidden/>
    <w:rPr>
      <w:rFonts w:ascii="Arial" w:hAnsi="Arial" w:cs="Arial"/>
      <w:color w:val="auto"/>
      <w:sz w:val="20"/>
      <w:szCs w:val="20"/>
    </w:rPr>
  </w:style>
  <w:style w:type="character" w:customStyle="1" w:styleId="title1">
    <w:name w:val="title1"/>
    <w:qFormat/>
    <w:rPr>
      <w:rFonts w:ascii="Arial" w:hAnsi="Arial" w:cs="Arial" w:hint="default"/>
      <w:b/>
      <w:bCs/>
      <w:color w:val="003399"/>
      <w:sz w:val="19"/>
      <w:szCs w:val="19"/>
    </w:rPr>
  </w:style>
  <w:style w:type="character" w:customStyle="1" w:styleId="text1">
    <w:name w:val="text1"/>
    <w:qFormat/>
    <w:rPr>
      <w:rFonts w:ascii="Arial" w:hAnsi="Arial" w:cs="Arial" w:hint="default"/>
      <w:sz w:val="19"/>
      <w:szCs w:val="19"/>
    </w:rPr>
  </w:style>
  <w:style w:type="character" w:customStyle="1" w:styleId="BodyTextIndentChar">
    <w:name w:val="Body Text Indent Char"/>
    <w:link w:val="BodyTextIndent"/>
    <w:uiPriority w:val="99"/>
    <w:qFormat/>
    <w:rPr>
      <w:sz w:val="24"/>
      <w:szCs w:val="24"/>
    </w:rPr>
  </w:style>
  <w:style w:type="paragraph" w:customStyle="1" w:styleId="NoSpacing1">
    <w:name w:val="No Spacing1"/>
    <w:uiPriority w:val="1"/>
    <w:qFormat/>
    <w:rPr>
      <w:rFonts w:ascii="Calibri" w:eastAsiaTheme="minorEastAsia" w:hAnsi="Calibri" w:cs="Calibri"/>
      <w:sz w:val="22"/>
      <w:szCs w:val="22"/>
      <w:lang w:val="en-CA" w:eastAsia="en-US"/>
    </w:rPr>
  </w:style>
  <w:style w:type="paragraph" w:customStyle="1" w:styleId="itemtitle">
    <w:name w:val="itemtitle"/>
    <w:basedOn w:val="Normal"/>
    <w:pPr>
      <w:spacing w:before="100" w:beforeAutospacing="1" w:after="100" w:afterAutospacing="1"/>
    </w:pPr>
    <w:rPr>
      <w:rFonts w:eastAsia="SimSun"/>
      <w:lang w:val="en-GB"/>
    </w:rPr>
  </w:style>
  <w:style w:type="character" w:customStyle="1" w:styleId="BodyTextChar">
    <w:name w:val="Body Text Char"/>
    <w:link w:val="BodyText"/>
    <w:rPr>
      <w:sz w:val="24"/>
      <w:szCs w:val="24"/>
    </w:rPr>
  </w:style>
  <w:style w:type="character" w:customStyle="1" w:styleId="CommentTextChar">
    <w:name w:val="Comment Text Char"/>
    <w:basedOn w:val="DefaultParagraphFont"/>
    <w:link w:val="CommentText"/>
    <w:uiPriority w:val="99"/>
  </w:style>
  <w:style w:type="paragraph" w:customStyle="1" w:styleId="ColorfulShading-Accent11">
    <w:name w:val="Colorful Shading - Accent 11"/>
    <w:hidden/>
    <w:uiPriority w:val="99"/>
    <w:semiHidden/>
    <w:rPr>
      <w:rFonts w:eastAsiaTheme="minorEastAsia"/>
      <w:sz w:val="24"/>
      <w:szCs w:val="24"/>
      <w:lang w:eastAsia="en-US"/>
    </w:rPr>
  </w:style>
  <w:style w:type="character" w:customStyle="1" w:styleId="t3char">
    <w:name w:val="t3__char"/>
    <w:rPr>
      <w:rFonts w:cs="Times New Roman"/>
    </w:rPr>
  </w:style>
  <w:style w:type="character" w:customStyle="1" w:styleId="titles-source">
    <w:name w:val="titles-source"/>
  </w:style>
  <w:style w:type="character" w:customStyle="1" w:styleId="st">
    <w:name w:val="st"/>
    <w:qFormat/>
  </w:style>
  <w:style w:type="paragraph" w:customStyle="1" w:styleId="ReferencesChar">
    <w:name w:val="References Char"/>
    <w:basedOn w:val="Normal"/>
    <w:link w:val="ReferencesCharChar"/>
    <w:qFormat/>
    <w:pPr>
      <w:suppressAutoHyphens/>
      <w:spacing w:line="480" w:lineRule="auto"/>
      <w:ind w:left="720" w:hanging="720"/>
    </w:pPr>
    <w:rPr>
      <w:rFonts w:eastAsia="SimSun"/>
    </w:rPr>
  </w:style>
  <w:style w:type="character" w:customStyle="1" w:styleId="ReferencesCharChar">
    <w:name w:val="References Char Char"/>
    <w:link w:val="ReferencesChar"/>
    <w:qFormat/>
    <w:rPr>
      <w:rFonts w:eastAsia="SimSun"/>
      <w:sz w:val="24"/>
      <w:szCs w:val="24"/>
      <w:lang w:eastAsia="en-US"/>
    </w:rPr>
  </w:style>
  <w:style w:type="character" w:customStyle="1" w:styleId="reference-text">
    <w:name w:val="reference-text"/>
    <w:qFormat/>
  </w:style>
  <w:style w:type="paragraph" w:customStyle="1" w:styleId="articledetails">
    <w:name w:val="articledetails"/>
    <w:basedOn w:val="Normal"/>
    <w:qFormat/>
    <w:pPr>
      <w:spacing w:before="100" w:beforeAutospacing="1" w:after="100" w:afterAutospacing="1"/>
    </w:pPr>
    <w:rPr>
      <w:rFonts w:eastAsiaTheme="minorEastAsia"/>
      <w:lang w:val="en-GB"/>
    </w:rPr>
  </w:style>
  <w:style w:type="paragraph" w:customStyle="1" w:styleId="Revision1">
    <w:name w:val="Revision1"/>
    <w:hidden/>
    <w:uiPriority w:val="99"/>
    <w:semiHidden/>
    <w:qFormat/>
    <w:rPr>
      <w:rFonts w:eastAsiaTheme="minorEastAsia"/>
      <w:sz w:val="24"/>
      <w:szCs w:val="24"/>
      <w:lang w:eastAsia="en-US"/>
    </w:rPr>
  </w:style>
  <w:style w:type="character" w:customStyle="1" w:styleId="PlainTextChar">
    <w:name w:val="Plain Text Char"/>
    <w:link w:val="PlainText"/>
    <w:uiPriority w:val="99"/>
    <w:qFormat/>
    <w:rPr>
      <w:rFonts w:ascii="Calibri" w:eastAsia="SimSun" w:hAnsi="Calibri" w:cs="Arial"/>
      <w:sz w:val="22"/>
      <w:szCs w:val="21"/>
    </w:rPr>
  </w:style>
  <w:style w:type="character" w:customStyle="1" w:styleId="bibrecord-highlight-user">
    <w:name w:val="bibrecord-highlight-user"/>
    <w:qFormat/>
  </w:style>
  <w:style w:type="character" w:customStyle="1" w:styleId="titles-title">
    <w:name w:val="titles-title"/>
  </w:style>
  <w:style w:type="character" w:customStyle="1" w:styleId="DocumentMapChar">
    <w:name w:val="Document Map Char"/>
    <w:basedOn w:val="DefaultParagraphFont"/>
    <w:link w:val="DocumentMap"/>
    <w:rPr>
      <w:rFonts w:ascii="Lucida Grande" w:hAnsi="Lucida Grande" w:cs="Lucida Grande"/>
      <w:sz w:val="24"/>
      <w:szCs w:val="24"/>
    </w:rPr>
  </w:style>
  <w:style w:type="character" w:customStyle="1" w:styleId="highlightedsearchterm">
    <w:name w:val="highlightedsearchterm"/>
    <w:basedOn w:val="DefaultParagraphFont"/>
  </w:style>
  <w:style w:type="paragraph" w:customStyle="1" w:styleId="Default">
    <w:name w:val="Default"/>
    <w:pPr>
      <w:autoSpaceDE w:val="0"/>
      <w:autoSpaceDN w:val="0"/>
      <w:adjustRightInd w:val="0"/>
    </w:pPr>
    <w:rPr>
      <w:rFonts w:ascii="Arial" w:eastAsiaTheme="minorEastAsia" w:hAnsi="Arial" w:cs="Arial"/>
      <w:color w:val="000000"/>
      <w:sz w:val="24"/>
      <w:szCs w:val="24"/>
      <w:lang w:val="en-GB" w:eastAsia="en-US"/>
    </w:rPr>
  </w:style>
  <w:style w:type="character" w:customStyle="1" w:styleId="spnmessagetext">
    <w:name w:val="spnmessagetext"/>
    <w:basedOn w:val="DefaultParagraphFont"/>
    <w:qFormat/>
  </w:style>
  <w:style w:type="character" w:customStyle="1" w:styleId="st1">
    <w:name w:val="st1"/>
    <w:basedOn w:val="DefaultParagraphFont"/>
    <w:qFormat/>
  </w:style>
  <w:style w:type="character" w:customStyle="1" w:styleId="discreet">
    <w:name w:val="discreet"/>
    <w:basedOn w:val="DefaultParagraphFont"/>
  </w:style>
  <w:style w:type="paragraph" w:customStyle="1" w:styleId="ListParagraph1">
    <w:name w:val="List Paragraph1"/>
    <w:basedOn w:val="Normal"/>
    <w:uiPriority w:val="34"/>
    <w:qFormat/>
    <w:pPr>
      <w:ind w:left="720"/>
      <w:contextualSpacing/>
    </w:pPr>
    <w:rPr>
      <w:rFonts w:eastAsiaTheme="minorEastAsia"/>
    </w:rPr>
  </w:style>
  <w:style w:type="character" w:customStyle="1" w:styleId="hwc">
    <w:name w:val="hwc"/>
    <w:basedOn w:val="DefaultParagraphFont"/>
    <w:qFormat/>
  </w:style>
  <w:style w:type="character" w:customStyle="1" w:styleId="ital-inline">
    <w:name w:val="ital-inline"/>
    <w:basedOn w:val="DefaultParagraphFont"/>
    <w:qFormat/>
  </w:style>
  <w:style w:type="paragraph" w:customStyle="1" w:styleId="bottomentry">
    <w:name w:val="bottom_entry"/>
    <w:basedOn w:val="Normal"/>
    <w:pPr>
      <w:spacing w:before="100" w:beforeAutospacing="1" w:after="100" w:afterAutospacing="1"/>
    </w:pPr>
    <w:rPr>
      <w:rFonts w:eastAsiaTheme="minorEastAsia"/>
      <w:lang w:val="en-GB" w:eastAsia="en-GB"/>
    </w:rPr>
  </w:style>
  <w:style w:type="paragraph" w:customStyle="1" w:styleId="APAtext">
    <w:name w:val="APA text"/>
    <w:basedOn w:val="Normal"/>
    <w:pPr>
      <w:widowControl w:val="0"/>
      <w:spacing w:line="480" w:lineRule="exact"/>
      <w:ind w:firstLine="720"/>
    </w:pPr>
    <w:rPr>
      <w:rFonts w:eastAsiaTheme="minorEastAsia"/>
      <w:lang w:val="en-GB" w:eastAsia="en-GB"/>
    </w:rPr>
  </w:style>
  <w:style w:type="paragraph" w:customStyle="1" w:styleId="level1">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heme="minorEastAsia"/>
      <w:sz w:val="24"/>
      <w:lang w:val="en-GB" w:eastAsia="en-GB"/>
    </w:rPr>
  </w:style>
  <w:style w:type="paragraph" w:customStyle="1" w:styleId="Pa4">
    <w:name w:val="Pa4"/>
    <w:basedOn w:val="Default"/>
    <w:next w:val="Default"/>
    <w:uiPriority w:val="99"/>
    <w:pPr>
      <w:spacing w:line="216" w:lineRule="atLeast"/>
    </w:pPr>
    <w:rPr>
      <w:rFonts w:ascii="Frutiger LT Std 47 Light Cn" w:eastAsiaTheme="minorHAnsi" w:hAnsi="Frutiger LT Std 47 Light Cn" w:cstheme="minorBidi"/>
      <w:color w:val="auto"/>
    </w:rPr>
  </w:style>
  <w:style w:type="character" w:customStyle="1" w:styleId="A3">
    <w:name w:val="A3"/>
    <w:uiPriority w:val="99"/>
    <w:rPr>
      <w:rFonts w:cs="Frutiger LT Std 47 Light Cn"/>
      <w:b/>
      <w:bCs/>
      <w:color w:val="221E1F"/>
      <w:sz w:val="14"/>
      <w:szCs w:val="14"/>
    </w:rPr>
  </w:style>
  <w:style w:type="character" w:customStyle="1" w:styleId="A1">
    <w:name w:val="A1"/>
    <w:uiPriority w:val="99"/>
    <w:rPr>
      <w:rFonts w:ascii="Bulmer MT Std Regular" w:hAnsi="Bulmer MT Std Regular" w:cs="Bulmer MT Std Regular"/>
      <w:color w:val="221E1F"/>
      <w:sz w:val="17"/>
      <w:szCs w:val="17"/>
    </w:rPr>
  </w:style>
  <w:style w:type="character" w:customStyle="1" w:styleId="apple-converted-space">
    <w:name w:val="apple-converted-space"/>
    <w:basedOn w:val="DefaultParagraphFont"/>
  </w:style>
  <w:style w:type="character" w:customStyle="1" w:styleId="color141">
    <w:name w:val="color_141"/>
    <w:basedOn w:val="DefaultParagraphFont"/>
    <w:rPr>
      <w:color w:val="4F4F4F"/>
    </w:rPr>
  </w:style>
  <w:style w:type="character" w:customStyle="1" w:styleId="z3988">
    <w:name w:val="z3988"/>
    <w:basedOn w:val="DefaultParagraphFont"/>
  </w:style>
  <w:style w:type="character" w:customStyle="1" w:styleId="slug-pages3">
    <w:name w:val="slug-pages3"/>
    <w:basedOn w:val="DefaultParagraphFont"/>
    <w:qFormat/>
  </w:style>
  <w:style w:type="character" w:customStyle="1" w:styleId="style11">
    <w:name w:val="style_11"/>
    <w:basedOn w:val="DefaultParagraphFont"/>
    <w:qFormat/>
    <w:rPr>
      <w:rFonts w:ascii="Arial" w:hAnsi="Arial" w:cs="Arial" w:hint="default"/>
      <w:i/>
      <w:iCs/>
      <w:sz w:val="24"/>
      <w:szCs w:val="24"/>
    </w:rPr>
  </w:style>
  <w:style w:type="paragraph" w:customStyle="1" w:styleId="APALevel1">
    <w:name w:val="APA Level 1"/>
    <w:basedOn w:val="Normal"/>
    <w:uiPriority w:val="99"/>
    <w:pPr>
      <w:keepNext/>
      <w:spacing w:line="480" w:lineRule="auto"/>
      <w:jc w:val="center"/>
      <w:outlineLvl w:val="0"/>
    </w:pPr>
    <w:rPr>
      <w:rFonts w:eastAsia="PMingLiU"/>
      <w:b/>
      <w:lang w:eastAsia="nl-NL"/>
    </w:rPr>
  </w:style>
  <w:style w:type="character" w:customStyle="1" w:styleId="HTMLAddressChar">
    <w:name w:val="HTML Address Char"/>
    <w:basedOn w:val="DefaultParagraphFont"/>
    <w:link w:val="HTMLAddress"/>
    <w:uiPriority w:val="99"/>
    <w:rPr>
      <w:i/>
      <w:iCs/>
      <w:sz w:val="24"/>
      <w:szCs w:val="24"/>
      <w:lang w:val="en-GB" w:eastAsia="en-GB"/>
    </w:rPr>
  </w:style>
  <w:style w:type="character" w:customStyle="1" w:styleId="name">
    <w:name w:val="name"/>
    <w:basedOn w:val="DefaultParagraphFont"/>
  </w:style>
  <w:style w:type="character" w:customStyle="1" w:styleId="slug-pub-date3">
    <w:name w:val="slug-pub-date3"/>
    <w:basedOn w:val="DefaultParagraphFont"/>
    <w:rPr>
      <w:b/>
      <w:bCs/>
    </w:rPr>
  </w:style>
  <w:style w:type="character" w:customStyle="1" w:styleId="slug-vol">
    <w:name w:val="slug-vol"/>
    <w:basedOn w:val="DefaultParagraphFont"/>
  </w:style>
  <w:style w:type="character" w:customStyle="1" w:styleId="slug-issue">
    <w:name w:val="slug-issue"/>
    <w:basedOn w:val="DefaultParagraphFont"/>
  </w:style>
  <w:style w:type="character" w:customStyle="1" w:styleId="scdddoi">
    <w:name w:val="s_c_dddoi"/>
    <w:basedOn w:val="DefaultParagraphFont"/>
    <w:rPr>
      <w:sz w:val="24"/>
      <w:szCs w:val="24"/>
      <w:vertAlign w:val="baseline"/>
    </w:rPr>
  </w:style>
  <w:style w:type="character" w:customStyle="1" w:styleId="slug-metadata-note3">
    <w:name w:val="slug-metadata-note3"/>
    <w:basedOn w:val="DefaultParagraphFont"/>
  </w:style>
  <w:style w:type="character" w:customStyle="1" w:styleId="slug-doi">
    <w:name w:val="slug-doi"/>
    <w:basedOn w:val="DefaultParagraphFont"/>
  </w:style>
  <w:style w:type="character" w:customStyle="1" w:styleId="doi1">
    <w:name w:val="doi1"/>
    <w:basedOn w:val="DefaultParagraphFont"/>
  </w:style>
  <w:style w:type="character" w:customStyle="1" w:styleId="doi4">
    <w:name w:val="doi4"/>
    <w:basedOn w:val="DefaultParagraphFont"/>
  </w:style>
  <w:style w:type="character" w:customStyle="1" w:styleId="slug-doi2">
    <w:name w:val="slug-doi2"/>
    <w:basedOn w:val="DefaultParagraphFont"/>
  </w:style>
  <w:style w:type="character" w:customStyle="1" w:styleId="doi">
    <w:name w:val="doi"/>
    <w:basedOn w:val="DefaultParagraphFont"/>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a-size-extra-large">
    <w:name w:val="a-size-extra-large"/>
    <w:basedOn w:val="DefaultParagraphFont"/>
  </w:style>
  <w:style w:type="character" w:customStyle="1" w:styleId="a-size-large">
    <w:name w:val="a-size-large"/>
    <w:basedOn w:val="DefaultParagraphFont"/>
  </w:style>
  <w:style w:type="character" w:customStyle="1" w:styleId="cit-sep">
    <w:name w:val="cit-sep"/>
  </w:style>
  <w:style w:type="character" w:customStyle="1" w:styleId="cit-first-page">
    <w:name w:val="cit-first-page"/>
  </w:style>
  <w:style w:type="character" w:customStyle="1" w:styleId="cit-last-page">
    <w:name w:val="cit-last-page"/>
  </w:style>
  <w:style w:type="paragraph" w:customStyle="1" w:styleId="Body1">
    <w:name w:val="Body 1"/>
    <w:uiPriority w:val="99"/>
    <w:rPr>
      <w:rFonts w:ascii="Helvetica" w:eastAsia="Arial Unicode MS" w:hAnsi="Helvetica"/>
      <w:color w:val="000000"/>
      <w:sz w:val="24"/>
    </w:rPr>
  </w:style>
  <w:style w:type="paragraph" w:customStyle="1" w:styleId="NormalAPA">
    <w:name w:val="Normal APA"/>
    <w:basedOn w:val="Normal"/>
    <w:uiPriority w:val="99"/>
    <w:pPr>
      <w:widowControl w:val="0"/>
      <w:spacing w:line="480" w:lineRule="auto"/>
      <w:ind w:firstLine="720"/>
    </w:pPr>
    <w:rPr>
      <w:rFonts w:eastAsiaTheme="minorEastAsia"/>
      <w:lang w:val="en-GB" w:eastAsia="en-GB"/>
    </w:rPr>
  </w:style>
  <w:style w:type="character" w:customStyle="1" w:styleId="Heading8Char">
    <w:name w:val="Heading 8 Char"/>
    <w:basedOn w:val="DefaultParagraphFont"/>
    <w:link w:val="Heading8"/>
    <w:semiHidden/>
    <w:rPr>
      <w:rFonts w:asciiTheme="majorHAnsi" w:eastAsiaTheme="majorEastAsia" w:hAnsiTheme="majorHAnsi" w:cstheme="majorBidi"/>
      <w:color w:val="262626" w:themeColor="text1" w:themeTint="D9"/>
      <w:sz w:val="21"/>
      <w:szCs w:val="21"/>
    </w:rPr>
  </w:style>
  <w:style w:type="character" w:customStyle="1" w:styleId="Heading3Char">
    <w:name w:val="Heading 3 Char"/>
    <w:basedOn w:val="DefaultParagraphFont"/>
    <w:link w:val="Heading3"/>
    <w:semiHidden/>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4"/>
      <w:szCs w:val="24"/>
    </w:rPr>
  </w:style>
  <w:style w:type="character" w:customStyle="1" w:styleId="ui-ncbitoggler-master-text">
    <w:name w:val="ui-ncbitoggler-master-text"/>
    <w:basedOn w:val="DefaultParagraphFont"/>
  </w:style>
  <w:style w:type="character" w:customStyle="1" w:styleId="abstract--author-name">
    <w:name w:val="abstract--author-name"/>
    <w:basedOn w:val="DefaultParagraphFont"/>
  </w:style>
  <w:style w:type="character" w:customStyle="1" w:styleId="absnonlinkmetadata">
    <w:name w:val="abs_nonlink_metadata"/>
    <w:basedOn w:val="DefaultParagraphFont"/>
  </w:style>
  <w:style w:type="character" w:customStyle="1" w:styleId="absmetadatalabel">
    <w:name w:val="abs_metadata_label"/>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FooterChar">
    <w:name w:val="Footer Char"/>
    <w:basedOn w:val="DefaultParagraphFont"/>
    <w:link w:val="Footer"/>
    <w:uiPriority w:val="99"/>
    <w:rPr>
      <w:sz w:val="24"/>
      <w:szCs w:val="24"/>
    </w:rPr>
  </w:style>
  <w:style w:type="character" w:customStyle="1" w:styleId="FootnoteTextChar">
    <w:name w:val="Footnote Text Char"/>
    <w:basedOn w:val="DefaultParagraphFont"/>
    <w:link w:val="FootnoteText"/>
    <w:uiPriority w:val="99"/>
    <w:rPr>
      <w:rFonts w:eastAsiaTheme="minorEastAsia" w:cstheme="minorBidi"/>
      <w:sz w:val="24"/>
      <w:szCs w:val="24"/>
      <w:lang w:eastAsia="zh-CN"/>
    </w:rPr>
  </w:style>
  <w:style w:type="character" w:customStyle="1" w:styleId="HeaderChar">
    <w:name w:val="Header Char"/>
    <w:basedOn w:val="DefaultParagraphFont"/>
    <w:link w:val="Header"/>
    <w:uiPriority w:val="99"/>
    <w:rPr>
      <w:sz w:val="24"/>
      <w:szCs w:val="24"/>
    </w:rPr>
  </w:style>
  <w:style w:type="character" w:customStyle="1" w:styleId="abstract--author-name2">
    <w:name w:val="abstract--author-name2"/>
    <w:basedOn w:val="DefaultParagraphFont"/>
    <w:rPr>
      <w:sz w:val="20"/>
      <w:szCs w:val="20"/>
      <w:u w:val="none"/>
    </w:rPr>
  </w:style>
  <w:style w:type="table" w:customStyle="1" w:styleId="PlainTable41">
    <w:name w:val="Plain Table 41"/>
    <w:basedOn w:val="TableNormal"/>
    <w:uiPriority w:val="44"/>
    <w:qFormat/>
    <w:rPr>
      <w:rFonts w:cstheme="minorBidi"/>
      <w:sz w:val="24"/>
      <w:szCs w:val="24"/>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qFormat/>
    <w:rsid w:val="00B938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7A0988"/>
    <w:pPr>
      <w:widowControl w:val="0"/>
      <w:jc w:val="both"/>
    </w:pPr>
    <w:rPr>
      <w:rFonts w:ascii="Calibri" w:eastAsia="Calibri" w:hAnsi="Calibri" w:cs="Calibri"/>
      <w:color w:val="000000"/>
      <w:kern w:val="2"/>
      <w:sz w:val="21"/>
      <w:szCs w:val="21"/>
      <w:u w:color="000000"/>
    </w:rPr>
  </w:style>
  <w:style w:type="paragraph" w:styleId="Revision">
    <w:name w:val="Revision"/>
    <w:hidden/>
    <w:uiPriority w:val="99"/>
    <w:semiHidden/>
    <w:rsid w:val="00C8151E"/>
    <w:rPr>
      <w:rFonts w:eastAsia="Times New Roman"/>
      <w:sz w:val="24"/>
      <w:szCs w:val="24"/>
    </w:rPr>
  </w:style>
  <w:style w:type="paragraph" w:styleId="Bibliography">
    <w:name w:val="Bibliography"/>
    <w:basedOn w:val="Normal"/>
    <w:next w:val="Normal"/>
    <w:uiPriority w:val="37"/>
    <w:semiHidden/>
    <w:unhideWhenUsed/>
    <w:rsid w:val="008A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781">
      <w:bodyDiv w:val="1"/>
      <w:marLeft w:val="0"/>
      <w:marRight w:val="0"/>
      <w:marTop w:val="0"/>
      <w:marBottom w:val="0"/>
      <w:divBdr>
        <w:top w:val="none" w:sz="0" w:space="0" w:color="auto"/>
        <w:left w:val="none" w:sz="0" w:space="0" w:color="auto"/>
        <w:bottom w:val="none" w:sz="0" w:space="0" w:color="auto"/>
        <w:right w:val="none" w:sz="0" w:space="0" w:color="auto"/>
      </w:divBdr>
    </w:div>
    <w:div w:id="165173273">
      <w:bodyDiv w:val="1"/>
      <w:marLeft w:val="0"/>
      <w:marRight w:val="0"/>
      <w:marTop w:val="0"/>
      <w:marBottom w:val="0"/>
      <w:divBdr>
        <w:top w:val="none" w:sz="0" w:space="0" w:color="auto"/>
        <w:left w:val="none" w:sz="0" w:space="0" w:color="auto"/>
        <w:bottom w:val="none" w:sz="0" w:space="0" w:color="auto"/>
        <w:right w:val="none" w:sz="0" w:space="0" w:color="auto"/>
      </w:divBdr>
    </w:div>
    <w:div w:id="875701440">
      <w:bodyDiv w:val="1"/>
      <w:marLeft w:val="0"/>
      <w:marRight w:val="0"/>
      <w:marTop w:val="0"/>
      <w:marBottom w:val="0"/>
      <w:divBdr>
        <w:top w:val="none" w:sz="0" w:space="0" w:color="auto"/>
        <w:left w:val="none" w:sz="0" w:space="0" w:color="auto"/>
        <w:bottom w:val="none" w:sz="0" w:space="0" w:color="auto"/>
        <w:right w:val="none" w:sz="0" w:space="0" w:color="auto"/>
      </w:divBdr>
    </w:div>
    <w:div w:id="940836395">
      <w:bodyDiv w:val="1"/>
      <w:marLeft w:val="0"/>
      <w:marRight w:val="0"/>
      <w:marTop w:val="0"/>
      <w:marBottom w:val="0"/>
      <w:divBdr>
        <w:top w:val="none" w:sz="0" w:space="0" w:color="auto"/>
        <w:left w:val="none" w:sz="0" w:space="0" w:color="auto"/>
        <w:bottom w:val="none" w:sz="0" w:space="0" w:color="auto"/>
        <w:right w:val="none" w:sz="0" w:space="0" w:color="auto"/>
      </w:divBdr>
    </w:div>
    <w:div w:id="1070616398">
      <w:bodyDiv w:val="1"/>
      <w:marLeft w:val="0"/>
      <w:marRight w:val="0"/>
      <w:marTop w:val="0"/>
      <w:marBottom w:val="0"/>
      <w:divBdr>
        <w:top w:val="none" w:sz="0" w:space="0" w:color="auto"/>
        <w:left w:val="none" w:sz="0" w:space="0" w:color="auto"/>
        <w:bottom w:val="none" w:sz="0" w:space="0" w:color="auto"/>
        <w:right w:val="none" w:sz="0" w:space="0" w:color="auto"/>
      </w:divBdr>
      <w:divsChild>
        <w:div w:id="1013996479">
          <w:marLeft w:val="480"/>
          <w:marRight w:val="0"/>
          <w:marTop w:val="0"/>
          <w:marBottom w:val="0"/>
          <w:divBdr>
            <w:top w:val="none" w:sz="0" w:space="0" w:color="auto"/>
            <w:left w:val="none" w:sz="0" w:space="0" w:color="auto"/>
            <w:bottom w:val="none" w:sz="0" w:space="0" w:color="auto"/>
            <w:right w:val="none" w:sz="0" w:space="0" w:color="auto"/>
          </w:divBdr>
          <w:divsChild>
            <w:div w:id="3149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4161">
      <w:bodyDiv w:val="1"/>
      <w:marLeft w:val="0"/>
      <w:marRight w:val="0"/>
      <w:marTop w:val="0"/>
      <w:marBottom w:val="0"/>
      <w:divBdr>
        <w:top w:val="none" w:sz="0" w:space="0" w:color="auto"/>
        <w:left w:val="none" w:sz="0" w:space="0" w:color="auto"/>
        <w:bottom w:val="none" w:sz="0" w:space="0" w:color="auto"/>
        <w:right w:val="none" w:sz="0" w:space="0" w:color="auto"/>
      </w:divBdr>
      <w:divsChild>
        <w:div w:id="998114756">
          <w:marLeft w:val="480"/>
          <w:marRight w:val="0"/>
          <w:marTop w:val="0"/>
          <w:marBottom w:val="0"/>
          <w:divBdr>
            <w:top w:val="none" w:sz="0" w:space="0" w:color="auto"/>
            <w:left w:val="none" w:sz="0" w:space="0" w:color="auto"/>
            <w:bottom w:val="none" w:sz="0" w:space="0" w:color="auto"/>
            <w:right w:val="none" w:sz="0" w:space="0" w:color="auto"/>
          </w:divBdr>
          <w:divsChild>
            <w:div w:id="5452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8428">
      <w:bodyDiv w:val="1"/>
      <w:marLeft w:val="0"/>
      <w:marRight w:val="0"/>
      <w:marTop w:val="0"/>
      <w:marBottom w:val="0"/>
      <w:divBdr>
        <w:top w:val="none" w:sz="0" w:space="0" w:color="auto"/>
        <w:left w:val="none" w:sz="0" w:space="0" w:color="auto"/>
        <w:bottom w:val="none" w:sz="0" w:space="0" w:color="auto"/>
        <w:right w:val="none" w:sz="0" w:space="0" w:color="auto"/>
      </w:divBdr>
      <w:divsChild>
        <w:div w:id="15815144">
          <w:marLeft w:val="480"/>
          <w:marRight w:val="0"/>
          <w:marTop w:val="0"/>
          <w:marBottom w:val="0"/>
          <w:divBdr>
            <w:top w:val="none" w:sz="0" w:space="0" w:color="auto"/>
            <w:left w:val="none" w:sz="0" w:space="0" w:color="auto"/>
            <w:bottom w:val="none" w:sz="0" w:space="0" w:color="auto"/>
            <w:right w:val="none" w:sz="0" w:space="0" w:color="auto"/>
          </w:divBdr>
          <w:divsChild>
            <w:div w:id="10593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77218">
      <w:bodyDiv w:val="1"/>
      <w:marLeft w:val="0"/>
      <w:marRight w:val="0"/>
      <w:marTop w:val="0"/>
      <w:marBottom w:val="0"/>
      <w:divBdr>
        <w:top w:val="none" w:sz="0" w:space="0" w:color="auto"/>
        <w:left w:val="none" w:sz="0" w:space="0" w:color="auto"/>
        <w:bottom w:val="none" w:sz="0" w:space="0" w:color="auto"/>
        <w:right w:val="none" w:sz="0" w:space="0" w:color="auto"/>
      </w:divBdr>
    </w:div>
    <w:div w:id="1395397679">
      <w:bodyDiv w:val="1"/>
      <w:marLeft w:val="0"/>
      <w:marRight w:val="0"/>
      <w:marTop w:val="0"/>
      <w:marBottom w:val="0"/>
      <w:divBdr>
        <w:top w:val="none" w:sz="0" w:space="0" w:color="auto"/>
        <w:left w:val="none" w:sz="0" w:space="0" w:color="auto"/>
        <w:bottom w:val="none" w:sz="0" w:space="0" w:color="auto"/>
        <w:right w:val="none" w:sz="0" w:space="0" w:color="auto"/>
      </w:divBdr>
      <w:divsChild>
        <w:div w:id="924996532">
          <w:marLeft w:val="480"/>
          <w:marRight w:val="0"/>
          <w:marTop w:val="0"/>
          <w:marBottom w:val="0"/>
          <w:divBdr>
            <w:top w:val="none" w:sz="0" w:space="0" w:color="auto"/>
            <w:left w:val="none" w:sz="0" w:space="0" w:color="auto"/>
            <w:bottom w:val="none" w:sz="0" w:space="0" w:color="auto"/>
            <w:right w:val="none" w:sz="0" w:space="0" w:color="auto"/>
          </w:divBdr>
          <w:divsChild>
            <w:div w:id="3399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9086">
      <w:bodyDiv w:val="1"/>
      <w:marLeft w:val="0"/>
      <w:marRight w:val="0"/>
      <w:marTop w:val="0"/>
      <w:marBottom w:val="0"/>
      <w:divBdr>
        <w:top w:val="none" w:sz="0" w:space="0" w:color="auto"/>
        <w:left w:val="none" w:sz="0" w:space="0" w:color="auto"/>
        <w:bottom w:val="none" w:sz="0" w:space="0" w:color="auto"/>
        <w:right w:val="none" w:sz="0" w:space="0" w:color="auto"/>
      </w:divBdr>
    </w:div>
    <w:div w:id="1724480129">
      <w:bodyDiv w:val="1"/>
      <w:marLeft w:val="0"/>
      <w:marRight w:val="0"/>
      <w:marTop w:val="0"/>
      <w:marBottom w:val="0"/>
      <w:divBdr>
        <w:top w:val="none" w:sz="0" w:space="0" w:color="auto"/>
        <w:left w:val="none" w:sz="0" w:space="0" w:color="auto"/>
        <w:bottom w:val="none" w:sz="0" w:space="0" w:color="auto"/>
        <w:right w:val="none" w:sz="0" w:space="0" w:color="auto"/>
      </w:divBdr>
      <w:divsChild>
        <w:div w:id="1008094546">
          <w:marLeft w:val="0"/>
          <w:marRight w:val="0"/>
          <w:marTop w:val="0"/>
          <w:marBottom w:val="0"/>
          <w:divBdr>
            <w:top w:val="none" w:sz="0" w:space="0" w:color="auto"/>
            <w:left w:val="none" w:sz="0" w:space="0" w:color="auto"/>
            <w:bottom w:val="none" w:sz="0" w:space="0" w:color="auto"/>
            <w:right w:val="none" w:sz="0" w:space="0" w:color="auto"/>
          </w:divBdr>
          <w:divsChild>
            <w:div w:id="17834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4315">
      <w:bodyDiv w:val="1"/>
      <w:marLeft w:val="0"/>
      <w:marRight w:val="0"/>
      <w:marTop w:val="0"/>
      <w:marBottom w:val="0"/>
      <w:divBdr>
        <w:top w:val="none" w:sz="0" w:space="0" w:color="auto"/>
        <w:left w:val="none" w:sz="0" w:space="0" w:color="auto"/>
        <w:bottom w:val="none" w:sz="0" w:space="0" w:color="auto"/>
        <w:right w:val="none" w:sz="0" w:space="0" w:color="auto"/>
      </w:divBdr>
      <w:divsChild>
        <w:div w:id="1764692225">
          <w:marLeft w:val="0"/>
          <w:marRight w:val="0"/>
          <w:marTop w:val="0"/>
          <w:marBottom w:val="0"/>
          <w:divBdr>
            <w:top w:val="none" w:sz="0" w:space="0" w:color="auto"/>
            <w:left w:val="none" w:sz="0" w:space="0" w:color="auto"/>
            <w:bottom w:val="none" w:sz="0" w:space="0" w:color="auto"/>
            <w:right w:val="none" w:sz="0" w:space="0" w:color="auto"/>
          </w:divBdr>
          <w:divsChild>
            <w:div w:id="205145112">
              <w:marLeft w:val="0"/>
              <w:marRight w:val="0"/>
              <w:marTop w:val="0"/>
              <w:marBottom w:val="0"/>
              <w:divBdr>
                <w:top w:val="none" w:sz="0" w:space="0" w:color="auto"/>
                <w:left w:val="none" w:sz="0" w:space="0" w:color="auto"/>
                <w:bottom w:val="none" w:sz="0" w:space="0" w:color="auto"/>
                <w:right w:val="none" w:sz="0" w:space="0" w:color="auto"/>
              </w:divBdr>
              <w:divsChild>
                <w:div w:id="20731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7526">
      <w:bodyDiv w:val="1"/>
      <w:marLeft w:val="0"/>
      <w:marRight w:val="0"/>
      <w:marTop w:val="0"/>
      <w:marBottom w:val="0"/>
      <w:divBdr>
        <w:top w:val="none" w:sz="0" w:space="0" w:color="auto"/>
        <w:left w:val="none" w:sz="0" w:space="0" w:color="auto"/>
        <w:bottom w:val="none" w:sz="0" w:space="0" w:color="auto"/>
        <w:right w:val="none" w:sz="0" w:space="0" w:color="auto"/>
      </w:divBdr>
    </w:div>
    <w:div w:id="1871607469">
      <w:bodyDiv w:val="1"/>
      <w:marLeft w:val="0"/>
      <w:marRight w:val="0"/>
      <w:marTop w:val="0"/>
      <w:marBottom w:val="0"/>
      <w:divBdr>
        <w:top w:val="none" w:sz="0" w:space="0" w:color="auto"/>
        <w:left w:val="none" w:sz="0" w:space="0" w:color="auto"/>
        <w:bottom w:val="none" w:sz="0" w:space="0" w:color="auto"/>
        <w:right w:val="none" w:sz="0" w:space="0" w:color="auto"/>
      </w:divBdr>
      <w:divsChild>
        <w:div w:id="1215191302">
          <w:marLeft w:val="0"/>
          <w:marRight w:val="0"/>
          <w:marTop w:val="0"/>
          <w:marBottom w:val="0"/>
          <w:divBdr>
            <w:top w:val="none" w:sz="0" w:space="0" w:color="auto"/>
            <w:left w:val="none" w:sz="0" w:space="0" w:color="auto"/>
            <w:bottom w:val="none" w:sz="0" w:space="0" w:color="auto"/>
            <w:right w:val="none" w:sz="0" w:space="0" w:color="auto"/>
          </w:divBdr>
          <w:divsChild>
            <w:div w:id="20238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563">
      <w:bodyDiv w:val="1"/>
      <w:marLeft w:val="0"/>
      <w:marRight w:val="0"/>
      <w:marTop w:val="0"/>
      <w:marBottom w:val="0"/>
      <w:divBdr>
        <w:top w:val="none" w:sz="0" w:space="0" w:color="auto"/>
        <w:left w:val="none" w:sz="0" w:space="0" w:color="auto"/>
        <w:bottom w:val="none" w:sz="0" w:space="0" w:color="auto"/>
        <w:right w:val="none" w:sz="0" w:space="0" w:color="auto"/>
      </w:divBdr>
      <w:divsChild>
        <w:div w:id="1913461962">
          <w:marLeft w:val="0"/>
          <w:marRight w:val="0"/>
          <w:marTop w:val="0"/>
          <w:marBottom w:val="0"/>
          <w:divBdr>
            <w:top w:val="none" w:sz="0" w:space="0" w:color="auto"/>
            <w:left w:val="none" w:sz="0" w:space="0" w:color="auto"/>
            <w:bottom w:val="none" w:sz="0" w:space="0" w:color="auto"/>
            <w:right w:val="none" w:sz="0" w:space="0" w:color="auto"/>
          </w:divBdr>
          <w:divsChild>
            <w:div w:id="939878177">
              <w:marLeft w:val="0"/>
              <w:marRight w:val="0"/>
              <w:marTop w:val="0"/>
              <w:marBottom w:val="0"/>
              <w:divBdr>
                <w:top w:val="none" w:sz="0" w:space="0" w:color="auto"/>
                <w:left w:val="none" w:sz="0" w:space="0" w:color="auto"/>
                <w:bottom w:val="none" w:sz="0" w:space="0" w:color="auto"/>
                <w:right w:val="none" w:sz="0" w:space="0" w:color="auto"/>
              </w:divBdr>
              <w:divsChild>
                <w:div w:id="206456798">
                  <w:marLeft w:val="0"/>
                  <w:marRight w:val="0"/>
                  <w:marTop w:val="0"/>
                  <w:marBottom w:val="0"/>
                  <w:divBdr>
                    <w:top w:val="none" w:sz="0" w:space="0" w:color="auto"/>
                    <w:left w:val="none" w:sz="0" w:space="0" w:color="auto"/>
                    <w:bottom w:val="none" w:sz="0" w:space="0" w:color="auto"/>
                    <w:right w:val="none" w:sz="0" w:space="0" w:color="auto"/>
                  </w:divBdr>
                </w:div>
              </w:divsChild>
            </w:div>
            <w:div w:id="2067757007">
              <w:marLeft w:val="0"/>
              <w:marRight w:val="0"/>
              <w:marTop w:val="0"/>
              <w:marBottom w:val="0"/>
              <w:divBdr>
                <w:top w:val="none" w:sz="0" w:space="0" w:color="auto"/>
                <w:left w:val="none" w:sz="0" w:space="0" w:color="auto"/>
                <w:bottom w:val="none" w:sz="0" w:space="0" w:color="auto"/>
                <w:right w:val="none" w:sz="0" w:space="0" w:color="auto"/>
              </w:divBdr>
              <w:divsChild>
                <w:div w:id="224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3320">
      <w:bodyDiv w:val="1"/>
      <w:marLeft w:val="0"/>
      <w:marRight w:val="0"/>
      <w:marTop w:val="0"/>
      <w:marBottom w:val="0"/>
      <w:divBdr>
        <w:top w:val="none" w:sz="0" w:space="0" w:color="auto"/>
        <w:left w:val="none" w:sz="0" w:space="0" w:color="auto"/>
        <w:bottom w:val="none" w:sz="0" w:space="0" w:color="auto"/>
        <w:right w:val="none" w:sz="0" w:space="0" w:color="auto"/>
      </w:divBdr>
      <w:divsChild>
        <w:div w:id="564880371">
          <w:marLeft w:val="480"/>
          <w:marRight w:val="0"/>
          <w:marTop w:val="0"/>
          <w:marBottom w:val="0"/>
          <w:divBdr>
            <w:top w:val="none" w:sz="0" w:space="0" w:color="auto"/>
            <w:left w:val="none" w:sz="0" w:space="0" w:color="auto"/>
            <w:bottom w:val="none" w:sz="0" w:space="0" w:color="auto"/>
            <w:right w:val="none" w:sz="0" w:space="0" w:color="auto"/>
          </w:divBdr>
          <w:divsChild>
            <w:div w:id="12347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4434">
      <w:bodyDiv w:val="1"/>
      <w:marLeft w:val="0"/>
      <w:marRight w:val="0"/>
      <w:marTop w:val="0"/>
      <w:marBottom w:val="0"/>
      <w:divBdr>
        <w:top w:val="none" w:sz="0" w:space="0" w:color="auto"/>
        <w:left w:val="none" w:sz="0" w:space="0" w:color="auto"/>
        <w:bottom w:val="none" w:sz="0" w:space="0" w:color="auto"/>
        <w:right w:val="none" w:sz="0" w:space="0" w:color="auto"/>
      </w:divBdr>
      <w:divsChild>
        <w:div w:id="1682466242">
          <w:marLeft w:val="480"/>
          <w:marRight w:val="0"/>
          <w:marTop w:val="0"/>
          <w:marBottom w:val="0"/>
          <w:divBdr>
            <w:top w:val="none" w:sz="0" w:space="0" w:color="auto"/>
            <w:left w:val="none" w:sz="0" w:space="0" w:color="auto"/>
            <w:bottom w:val="none" w:sz="0" w:space="0" w:color="auto"/>
            <w:right w:val="none" w:sz="0" w:space="0" w:color="auto"/>
          </w:divBdr>
          <w:divsChild>
            <w:div w:id="4433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0394">
      <w:bodyDiv w:val="1"/>
      <w:marLeft w:val="0"/>
      <w:marRight w:val="0"/>
      <w:marTop w:val="0"/>
      <w:marBottom w:val="0"/>
      <w:divBdr>
        <w:top w:val="none" w:sz="0" w:space="0" w:color="auto"/>
        <w:left w:val="none" w:sz="0" w:space="0" w:color="auto"/>
        <w:bottom w:val="none" w:sz="0" w:space="0" w:color="auto"/>
        <w:right w:val="none" w:sz="0" w:space="0" w:color="auto"/>
      </w:divBdr>
      <w:divsChild>
        <w:div w:id="949778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x.doi.org/10.1080/10463280802613866" TargetMode="External"/><Relationship Id="rId26" Type="http://schemas.openxmlformats.org/officeDocument/2006/relationships/hyperlink" Target="https://doi.org/10.1016/S0092-6566(03)00026-6" TargetMode="External"/><Relationship Id="rId3" Type="http://schemas.openxmlformats.org/officeDocument/2006/relationships/numbering" Target="numbering.xml"/><Relationship Id="rId21" Type="http://schemas.openxmlformats.org/officeDocument/2006/relationships/hyperlink" Target="https://doi.org/10.1207/s15327752jpa4901_13" TargetMode="External"/><Relationship Id="rId34" Type="http://schemas.openxmlformats.org/officeDocument/2006/relationships/hyperlink" Target="https://doi.org/10.1093/scan/nsy05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sycnet.apa.org/doi/10.1037/0022-3514.49.6.1621" TargetMode="External"/><Relationship Id="rId25" Type="http://schemas.openxmlformats.org/officeDocument/2006/relationships/hyperlink" Target="https://www.sciencedirect.com/science/journal/00926566/37/6" TargetMode="External"/><Relationship Id="rId33" Type="http://schemas.openxmlformats.org/officeDocument/2006/relationships/hyperlink" Target="https://psycnet.apa.org/doi/10.1037/0033-2909.103.2.193" TargetMode="External"/><Relationship Id="rId2" Type="http://schemas.openxmlformats.org/officeDocument/2006/relationships/customXml" Target="../customXml/item2.xml"/><Relationship Id="rId16" Type="http://schemas.openxmlformats.org/officeDocument/2006/relationships/hyperlink" Target="https://psycnet.apa.org/doi/10.1007/BF02294359" TargetMode="External"/><Relationship Id="rId20" Type="http://schemas.openxmlformats.org/officeDocument/2006/relationships/hyperlink" Target="http://psycnet.apa.org/doi/10.1037/11624-008" TargetMode="External"/><Relationship Id="rId29" Type="http://schemas.openxmlformats.org/officeDocument/2006/relationships/hyperlink" Target="http://dx.doi.org/10.1177/0022022111428515%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sciencedirect.com/science/journal/00926566" TargetMode="External"/><Relationship Id="rId32" Type="http://schemas.openxmlformats.org/officeDocument/2006/relationships/hyperlink" Target="https://doi.org/10.1007/BF01080045"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sciencedirect.com/science/article/abs/pii/S0092656603000266" TargetMode="External"/><Relationship Id="rId28" Type="http://schemas.openxmlformats.org/officeDocument/2006/relationships/hyperlink" Target="http://dx.doi.org/10.1111/j.1467-6494.2010.00633.x"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73/pnas.1420870112" TargetMode="External"/><Relationship Id="rId31" Type="http://schemas.openxmlformats.org/officeDocument/2006/relationships/hyperlink" Target="https://dx.doi.org/10.1371%2Fjournal.pone.0093403" TargetMode="External"/><Relationship Id="rId4" Type="http://schemas.openxmlformats.org/officeDocument/2006/relationships/styles" Target="styles.xml"/><Relationship Id="rId9" Type="http://schemas.openxmlformats.org/officeDocument/2006/relationships/hyperlink" Target="https://www.sciencedirect.com/science/article/abs/pii/S0092656603000266" TargetMode="External"/><Relationship Id="rId14" Type="http://schemas.openxmlformats.org/officeDocument/2006/relationships/footer" Target="footer2.xml"/><Relationship Id="rId22" Type="http://schemas.openxmlformats.org/officeDocument/2006/relationships/hyperlink" Target="http://psycnet.apa.org/doi/10.1037/0033-2909.125.2.276" TargetMode="External"/><Relationship Id="rId27" Type="http://schemas.openxmlformats.org/officeDocument/2006/relationships/hyperlink" Target="http://dx.doi.org/10.1037/a0029629" TargetMode="External"/><Relationship Id="rId30" Type="http://schemas.openxmlformats.org/officeDocument/2006/relationships/hyperlink" Target="https://www.ncbi.nlm.nih.gov/pmc/articles/PMC397369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36528-11C1-46B4-83EC-EC18FFA1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7789</Words>
  <Characters>48373</Characters>
  <Application>Microsoft Office Word</Application>
  <DocSecurity>0</DocSecurity>
  <Lines>403</Lines>
  <Paragraphs>112</Paragraphs>
  <ScaleCrop>false</ScaleCrop>
  <HeadingPairs>
    <vt:vector size="2" baseType="variant">
      <vt:variant>
        <vt:lpstr>Title</vt:lpstr>
      </vt:variant>
      <vt:variant>
        <vt:i4>1</vt:i4>
      </vt:variant>
    </vt:vector>
  </HeadingPairs>
  <TitlesOfParts>
    <vt:vector size="1" baseType="lpstr">
      <vt:lpstr>On The Motivational Primacy of the Individual Self:</vt:lpstr>
    </vt:vector>
  </TitlesOfParts>
  <Company>University of Tennessee</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Motivational Primacy of the Individual Self:</dc:title>
  <dc:creator>Lowell Gaertner</dc:creator>
  <cp:lastModifiedBy>Sedikides C.</cp:lastModifiedBy>
  <cp:revision>4</cp:revision>
  <cp:lastPrinted>2018-10-17T22:38:00Z</cp:lastPrinted>
  <dcterms:created xsi:type="dcterms:W3CDTF">2019-07-10T06:17:00Z</dcterms:created>
  <dcterms:modified xsi:type="dcterms:W3CDTF">2019-09-12T15:15:00Z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1916633172</vt:i4>
  </property>
  <property fmtid="{D5CDD505-2E9C-101B-9397-08002B2CF9AE}" pid="3" name="_NewReviewCycle">
    <vt:lpwstr/>
  </property>
  <property fmtid="{D5CDD505-2E9C-101B-9397-08002B2CF9AE}" pid="4" name="_EmailSubject">
    <vt:lpwstr>The heritability of positive illusions about the self</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y fmtid="{D5CDD505-2E9C-101B-9397-08002B2CF9AE}" pid="8" name="KSOProductBuildVer">
    <vt:lpwstr>1033-2.3.0.744</vt:lpwstr>
  </property>
</Properties>
</file>