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5D591" w14:textId="5B961223" w:rsidR="00C13264" w:rsidRDefault="00C13264" w:rsidP="00F304D9">
      <w:pPr>
        <w:pStyle w:val="Title"/>
        <w:pBdr>
          <w:bottom w:val="none" w:sz="0" w:space="0" w:color="auto"/>
        </w:pBdr>
        <w:spacing w:before="1680"/>
        <w:ind w:firstLine="0"/>
        <w:rPr>
          <w:rFonts w:eastAsia="SimHei" w:cs="Times New Roman"/>
          <w:b/>
          <w:kern w:val="24"/>
          <w:sz w:val="24"/>
          <w:szCs w:val="24"/>
          <w:lang w:val="en-GB" w:eastAsia="ja-JP"/>
        </w:rPr>
      </w:pPr>
      <w:r w:rsidRPr="001D633E">
        <w:rPr>
          <w:rFonts w:eastAsia="Times New Roman" w:cs="Times New Roman"/>
          <w:b/>
          <w:sz w:val="24"/>
          <w:szCs w:val="24"/>
          <w:lang w:val="en-GB"/>
        </w:rPr>
        <w:t>The Relationship Between Anomalistic Belief, Misperception of Chance, and the Base Rate Fallacy</w:t>
      </w:r>
      <w:r w:rsidRPr="001D633E">
        <w:rPr>
          <w:rFonts w:eastAsia="Times New Roman" w:cs="Times New Roman"/>
          <w:b/>
          <w:sz w:val="24"/>
          <w:szCs w:val="24"/>
          <w:lang w:val="en-GB"/>
        </w:rPr>
        <w:br/>
      </w:r>
    </w:p>
    <w:p w14:paraId="2742BF2E" w14:textId="77777777" w:rsidR="00D86B68" w:rsidRPr="00D86B68" w:rsidRDefault="00D86B68" w:rsidP="00D86B68">
      <w:pPr>
        <w:rPr>
          <w:lang w:val="en-GB" w:eastAsia="ja-JP"/>
        </w:rPr>
      </w:pPr>
    </w:p>
    <w:p w14:paraId="4F2EE7E1" w14:textId="1CDF79E1" w:rsidR="00C13264" w:rsidRPr="00901D0D" w:rsidRDefault="00C13264" w:rsidP="00C13264">
      <w:pPr>
        <w:ind w:firstLine="0"/>
        <w:jc w:val="center"/>
        <w:rPr>
          <w:rFonts w:eastAsia="SimSun" w:cs="Times New Roman"/>
          <w:kern w:val="24"/>
          <w:szCs w:val="24"/>
          <w:lang w:val="en-GB" w:eastAsia="ja-JP"/>
        </w:rPr>
      </w:pPr>
      <w:r w:rsidRPr="00901D0D">
        <w:rPr>
          <w:rFonts w:eastAsia="SimSun" w:cs="Times New Roman"/>
          <w:kern w:val="24"/>
          <w:szCs w:val="24"/>
          <w:lang w:val="en-GB" w:eastAsia="ja-JP"/>
        </w:rPr>
        <w:t>Toby Prike</w:t>
      </w:r>
      <w:r w:rsidR="00C62430" w:rsidRPr="00227354">
        <w:rPr>
          <w:rFonts w:eastAsia="SimSun" w:cs="Times New Roman"/>
          <w:kern w:val="24"/>
          <w:szCs w:val="24"/>
          <w:vertAlign w:val="superscript"/>
          <w:lang w:val="en-GB" w:eastAsia="ja-JP"/>
        </w:rPr>
        <w:t>1,2</w:t>
      </w:r>
      <w:r w:rsidRPr="00901D0D">
        <w:rPr>
          <w:rFonts w:eastAsia="SimSun" w:cs="Times New Roman"/>
          <w:kern w:val="24"/>
          <w:szCs w:val="24"/>
          <w:lang w:val="en-GB" w:eastAsia="ja-JP"/>
        </w:rPr>
        <w:t>, Michelle M. Arnold</w:t>
      </w:r>
      <w:r w:rsidR="00C62430" w:rsidRPr="00227354">
        <w:rPr>
          <w:rFonts w:eastAsia="SimSun" w:cs="Times New Roman"/>
          <w:kern w:val="24"/>
          <w:szCs w:val="24"/>
          <w:vertAlign w:val="superscript"/>
          <w:lang w:val="en-GB" w:eastAsia="ja-JP"/>
        </w:rPr>
        <w:t>2</w:t>
      </w:r>
      <w:r w:rsidRPr="00901D0D">
        <w:rPr>
          <w:rFonts w:eastAsia="SimSun" w:cs="Times New Roman"/>
          <w:kern w:val="24"/>
          <w:szCs w:val="24"/>
          <w:lang w:val="en-GB" w:eastAsia="ja-JP"/>
        </w:rPr>
        <w:t>, and Paul Williamson</w:t>
      </w:r>
      <w:r w:rsidR="00C62430" w:rsidRPr="00227354">
        <w:rPr>
          <w:rFonts w:eastAsia="SimSun" w:cs="Times New Roman"/>
          <w:kern w:val="24"/>
          <w:szCs w:val="24"/>
          <w:vertAlign w:val="superscript"/>
          <w:lang w:val="en-GB" w:eastAsia="ja-JP"/>
        </w:rPr>
        <w:t>2</w:t>
      </w:r>
    </w:p>
    <w:p w14:paraId="4DFAEB83" w14:textId="7B42DDA8" w:rsidR="00C62430" w:rsidRDefault="00D86B68" w:rsidP="00C13264">
      <w:pPr>
        <w:spacing w:after="120"/>
        <w:jc w:val="center"/>
        <w:rPr>
          <w:rFonts w:eastAsia="Arial" w:cs="Times New Roman"/>
          <w:kern w:val="24"/>
          <w:szCs w:val="24"/>
          <w:lang w:val="en-GB" w:eastAsia="ja-JP"/>
        </w:rPr>
      </w:pPr>
      <w:r>
        <w:rPr>
          <w:rFonts w:eastAsia="Arial" w:cs="Times New Roman"/>
          <w:kern w:val="24"/>
          <w:szCs w:val="24"/>
          <w:lang w:val="en-GB" w:eastAsia="ja-JP"/>
        </w:rPr>
        <w:t>Department of Social Statistics and Demography, University of Southampton</w:t>
      </w:r>
      <w:r w:rsidR="00C62430" w:rsidRPr="00227354">
        <w:rPr>
          <w:rFonts w:eastAsia="Arial" w:cs="Times New Roman"/>
          <w:kern w:val="24"/>
          <w:szCs w:val="24"/>
          <w:vertAlign w:val="superscript"/>
          <w:lang w:val="en-GB" w:eastAsia="ja-JP"/>
        </w:rPr>
        <w:t>1</w:t>
      </w:r>
    </w:p>
    <w:p w14:paraId="55827229" w14:textId="4F3E7569" w:rsidR="00C13264" w:rsidRPr="00901D0D" w:rsidRDefault="00D86B68" w:rsidP="00C13264">
      <w:pPr>
        <w:spacing w:after="120"/>
        <w:jc w:val="center"/>
        <w:rPr>
          <w:rFonts w:eastAsia="Arial" w:cs="Times New Roman"/>
          <w:kern w:val="24"/>
          <w:szCs w:val="24"/>
          <w:lang w:val="en-GB" w:eastAsia="ja-JP"/>
        </w:rPr>
      </w:pPr>
      <w:r w:rsidRPr="00901D0D">
        <w:rPr>
          <w:rFonts w:eastAsia="Arial" w:cs="Times New Roman"/>
          <w:kern w:val="24"/>
          <w:szCs w:val="24"/>
          <w:lang w:val="en-GB" w:eastAsia="ja-JP"/>
        </w:rPr>
        <w:t>School of Psychology, Flinders University</w:t>
      </w:r>
      <w:r w:rsidR="00C62430" w:rsidRPr="00227354">
        <w:rPr>
          <w:rFonts w:eastAsia="Arial" w:cs="Times New Roman"/>
          <w:kern w:val="24"/>
          <w:szCs w:val="24"/>
          <w:vertAlign w:val="superscript"/>
          <w:lang w:val="en-GB" w:eastAsia="ja-JP"/>
        </w:rPr>
        <w:t>2</w:t>
      </w:r>
    </w:p>
    <w:p w14:paraId="08627D6B" w14:textId="57E1548F" w:rsidR="00C13264" w:rsidRDefault="00C13264" w:rsidP="00C13264">
      <w:pPr>
        <w:widowControl w:val="0"/>
        <w:spacing w:after="120"/>
        <w:rPr>
          <w:rFonts w:eastAsia="Arial" w:cs="Times New Roman"/>
          <w:kern w:val="24"/>
          <w:szCs w:val="20"/>
          <w:lang w:val="en-GB" w:eastAsia="ja-JP"/>
        </w:rPr>
      </w:pPr>
    </w:p>
    <w:p w14:paraId="7A75D513" w14:textId="77777777" w:rsidR="00BD7242" w:rsidRDefault="00BD7242" w:rsidP="00C13264">
      <w:pPr>
        <w:widowControl w:val="0"/>
        <w:spacing w:after="120"/>
        <w:rPr>
          <w:rFonts w:eastAsia="Arial" w:cs="Times New Roman"/>
          <w:kern w:val="24"/>
          <w:szCs w:val="20"/>
          <w:lang w:val="en-GB" w:eastAsia="ja-JP"/>
        </w:rPr>
      </w:pPr>
    </w:p>
    <w:p w14:paraId="1CC0A41E" w14:textId="77777777" w:rsidR="00BD7242" w:rsidRDefault="00BD7242" w:rsidP="00BD7242">
      <w:pPr>
        <w:spacing w:after="120"/>
        <w:jc w:val="center"/>
        <w:rPr>
          <w:rFonts w:eastAsia="Arial" w:cs="Times New Roman"/>
          <w:kern w:val="24"/>
          <w:szCs w:val="24"/>
          <w:lang w:val="en-GB" w:eastAsia="ja-JP"/>
        </w:rPr>
      </w:pPr>
      <w:r>
        <w:rPr>
          <w:rFonts w:eastAsia="Arial" w:cs="Times New Roman"/>
          <w:kern w:val="24"/>
          <w:szCs w:val="24"/>
          <w:lang w:val="en-GB" w:eastAsia="ja-JP"/>
        </w:rPr>
        <w:t xml:space="preserve">The Version of Record of this manuscript has been published and is available in Thinking and Reasoning (Published: 21/08/2019) </w:t>
      </w:r>
      <w:hyperlink r:id="rId8" w:history="1">
        <w:r w:rsidRPr="00F023A7">
          <w:rPr>
            <w:rStyle w:val="Hyperlink"/>
            <w:rFonts w:eastAsia="Arial" w:cs="Times New Roman"/>
            <w:kern w:val="24"/>
            <w:szCs w:val="24"/>
            <w:lang w:val="en-GB" w:eastAsia="ja-JP"/>
          </w:rPr>
          <w:t>http://tandfonline.com/doi/full/10.1080/13546783.2019.1653371</w:t>
        </w:r>
      </w:hyperlink>
    </w:p>
    <w:p w14:paraId="08F3E6BF" w14:textId="0FE7EA62" w:rsidR="00D86B68" w:rsidRDefault="00D86B68" w:rsidP="00C13264">
      <w:pPr>
        <w:widowControl w:val="0"/>
        <w:spacing w:after="120"/>
        <w:rPr>
          <w:rFonts w:eastAsia="Arial" w:cs="Times New Roman"/>
          <w:kern w:val="24"/>
          <w:szCs w:val="20"/>
          <w:lang w:val="en-GB" w:eastAsia="ja-JP"/>
        </w:rPr>
      </w:pPr>
      <w:bookmarkStart w:id="0" w:name="_GoBack"/>
      <w:bookmarkEnd w:id="0"/>
    </w:p>
    <w:p w14:paraId="4F175F88" w14:textId="77777777" w:rsidR="00D86B68" w:rsidRPr="00901D0D" w:rsidRDefault="00D86B68" w:rsidP="00C13264">
      <w:pPr>
        <w:widowControl w:val="0"/>
        <w:spacing w:after="120"/>
        <w:rPr>
          <w:rFonts w:eastAsia="Arial" w:cs="Times New Roman"/>
          <w:kern w:val="24"/>
          <w:szCs w:val="20"/>
          <w:lang w:val="en-GB" w:eastAsia="ja-JP"/>
        </w:rPr>
      </w:pPr>
    </w:p>
    <w:p w14:paraId="45722246" w14:textId="77777777" w:rsidR="00C13264" w:rsidRPr="00901D0D" w:rsidRDefault="00C13264" w:rsidP="00C13264">
      <w:pPr>
        <w:widowControl w:val="0"/>
        <w:spacing w:after="120"/>
        <w:jc w:val="center"/>
        <w:rPr>
          <w:rFonts w:eastAsia="Arial" w:cs="Times New Roman"/>
          <w:kern w:val="24"/>
          <w:szCs w:val="24"/>
          <w:lang w:val="en-GB" w:eastAsia="ja-JP"/>
        </w:rPr>
      </w:pPr>
      <w:r w:rsidRPr="00901D0D">
        <w:rPr>
          <w:rFonts w:eastAsia="Arial" w:cs="Times New Roman"/>
          <w:kern w:val="24"/>
          <w:szCs w:val="24"/>
          <w:lang w:val="en-GB" w:eastAsia="ja-JP"/>
        </w:rPr>
        <w:t>Author Note</w:t>
      </w:r>
    </w:p>
    <w:p w14:paraId="53307374" w14:textId="77777777" w:rsidR="00BD7242" w:rsidRDefault="00C13264" w:rsidP="00C13264">
      <w:pPr>
        <w:spacing w:after="120"/>
        <w:rPr>
          <w:rFonts w:eastAsia="Arial" w:cs="Times New Roman"/>
          <w:kern w:val="24"/>
          <w:szCs w:val="24"/>
          <w:lang w:val="en-GB" w:eastAsia="ja-JP"/>
        </w:rPr>
      </w:pPr>
      <w:r w:rsidRPr="00901D0D">
        <w:rPr>
          <w:rFonts w:eastAsia="Arial" w:cs="Times New Roman"/>
          <w:kern w:val="24"/>
          <w:szCs w:val="24"/>
          <w:lang w:val="en-GB" w:eastAsia="ja-JP"/>
        </w:rPr>
        <w:t xml:space="preserve">Correspondence concerning this article should be addressed to </w:t>
      </w:r>
      <w:r w:rsidR="00F35523">
        <w:rPr>
          <w:rFonts w:eastAsia="Arial" w:cs="Times New Roman"/>
          <w:kern w:val="24"/>
          <w:szCs w:val="24"/>
          <w:lang w:val="en-GB" w:eastAsia="ja-JP"/>
        </w:rPr>
        <w:t>Toby Prike</w:t>
      </w:r>
      <w:r w:rsidRPr="00901D0D">
        <w:rPr>
          <w:rFonts w:eastAsia="Arial" w:cs="Times New Roman"/>
          <w:kern w:val="24"/>
          <w:szCs w:val="24"/>
          <w:lang w:val="en-GB" w:eastAsia="ja-JP"/>
        </w:rPr>
        <w:t xml:space="preserve">, </w:t>
      </w:r>
      <w:r w:rsidR="00F35523">
        <w:rPr>
          <w:rFonts w:eastAsia="Arial" w:cs="Times New Roman"/>
          <w:kern w:val="24"/>
          <w:szCs w:val="24"/>
          <w:lang w:val="en-GB" w:eastAsia="ja-JP"/>
        </w:rPr>
        <w:t>Department of Social Statistics and Demography</w:t>
      </w:r>
      <w:r w:rsidRPr="00901D0D">
        <w:rPr>
          <w:rFonts w:eastAsia="Arial" w:cs="Times New Roman"/>
          <w:kern w:val="24"/>
          <w:szCs w:val="24"/>
          <w:lang w:val="en-GB" w:eastAsia="ja-JP"/>
        </w:rPr>
        <w:t xml:space="preserve">, </w:t>
      </w:r>
      <w:r w:rsidR="00F35523">
        <w:rPr>
          <w:rFonts w:eastAsia="Arial" w:cs="Times New Roman"/>
          <w:kern w:val="24"/>
          <w:szCs w:val="24"/>
          <w:lang w:val="en-GB" w:eastAsia="ja-JP"/>
        </w:rPr>
        <w:t>University of Southampton</w:t>
      </w:r>
      <w:r w:rsidRPr="00901D0D">
        <w:rPr>
          <w:rFonts w:eastAsia="Arial" w:cs="Times New Roman"/>
          <w:kern w:val="24"/>
          <w:szCs w:val="24"/>
          <w:lang w:val="en-GB" w:eastAsia="ja-JP"/>
        </w:rPr>
        <w:t xml:space="preserve">, </w:t>
      </w:r>
      <w:r w:rsidR="00F35523">
        <w:rPr>
          <w:rFonts w:eastAsia="Arial" w:cs="Times New Roman"/>
          <w:kern w:val="24"/>
          <w:szCs w:val="24"/>
          <w:lang w:val="en-GB" w:eastAsia="ja-JP"/>
        </w:rPr>
        <w:t>University Road, Southampton, United Kingdom, SO17 1BJ</w:t>
      </w:r>
      <w:r w:rsidRPr="00901D0D">
        <w:rPr>
          <w:rFonts w:eastAsia="Arial" w:cs="Times New Roman"/>
          <w:kern w:val="24"/>
          <w:szCs w:val="24"/>
          <w:lang w:val="en-GB" w:eastAsia="ja-JP"/>
        </w:rPr>
        <w:t xml:space="preserve">. E-mail: </w:t>
      </w:r>
      <w:hyperlink r:id="rId9" w:history="1">
        <w:r w:rsidR="00F35523">
          <w:rPr>
            <w:rFonts w:eastAsia="Arial" w:cs="Times New Roman"/>
            <w:color w:val="0000FF"/>
            <w:kern w:val="24"/>
            <w:szCs w:val="24"/>
            <w:u w:val="single"/>
            <w:lang w:val="en-GB" w:eastAsia="ja-JP"/>
          </w:rPr>
          <w:t>T.M.Prike@soton.ac.uk</w:t>
        </w:r>
      </w:hyperlink>
      <w:r w:rsidRPr="00901D0D">
        <w:rPr>
          <w:rFonts w:eastAsia="Arial" w:cs="Times New Roman"/>
          <w:kern w:val="24"/>
          <w:szCs w:val="24"/>
          <w:lang w:val="en-GB" w:eastAsia="ja-JP"/>
        </w:rPr>
        <w:t>. Phone: +</w:t>
      </w:r>
      <w:r w:rsidR="00F35523">
        <w:rPr>
          <w:rFonts w:eastAsia="Arial" w:cs="Times New Roman"/>
          <w:kern w:val="24"/>
          <w:szCs w:val="24"/>
          <w:lang w:val="en-GB" w:eastAsia="ja-JP"/>
        </w:rPr>
        <w:t>44</w:t>
      </w:r>
      <w:r w:rsidR="00F84542" w:rsidRPr="00F84542">
        <w:rPr>
          <w:rFonts w:eastAsia="Arial" w:cs="Times New Roman"/>
          <w:kern w:val="24"/>
          <w:szCs w:val="24"/>
          <w:lang w:val="en-GB" w:eastAsia="ja-JP"/>
        </w:rPr>
        <w:t>(0</w:t>
      </w:r>
      <w:r w:rsidR="00F84542">
        <w:rPr>
          <w:rFonts w:eastAsia="Arial" w:cs="Times New Roman"/>
          <w:kern w:val="24"/>
          <w:szCs w:val="24"/>
          <w:lang w:val="en-GB" w:eastAsia="ja-JP"/>
        </w:rPr>
        <w:t xml:space="preserve">) </w:t>
      </w:r>
      <w:r w:rsidR="00F84542" w:rsidRPr="00F84542">
        <w:rPr>
          <w:rFonts w:eastAsia="Arial" w:cs="Times New Roman"/>
          <w:kern w:val="24"/>
          <w:szCs w:val="24"/>
          <w:lang w:val="en-GB" w:eastAsia="ja-JP"/>
        </w:rPr>
        <w:t>23 8059 3071</w:t>
      </w:r>
      <w:r w:rsidRPr="00901D0D">
        <w:rPr>
          <w:rFonts w:eastAsia="Arial" w:cs="Times New Roman"/>
          <w:kern w:val="24"/>
          <w:szCs w:val="24"/>
          <w:lang w:val="en-GB" w:eastAsia="ja-JP"/>
        </w:rPr>
        <w:t xml:space="preserve">. </w:t>
      </w:r>
    </w:p>
    <w:p w14:paraId="4BB7A606" w14:textId="77777777" w:rsidR="00C13264" w:rsidRPr="00901D0D" w:rsidRDefault="00C13264" w:rsidP="00C13264">
      <w:pPr>
        <w:spacing w:after="200" w:line="240" w:lineRule="auto"/>
        <w:rPr>
          <w:rFonts w:eastAsia="Arial" w:cs="Times New Roman"/>
          <w:kern w:val="24"/>
          <w:szCs w:val="24"/>
          <w:lang w:val="en-GB" w:eastAsia="ja-JP"/>
        </w:rPr>
      </w:pPr>
    </w:p>
    <w:sdt>
      <w:sdtPr>
        <w:rPr>
          <w:rFonts w:eastAsia="SimHei" w:cs="Times New Roman"/>
          <w:kern w:val="24"/>
          <w:szCs w:val="24"/>
          <w:lang w:val="en-GB" w:eastAsia="ja-JP"/>
        </w:rPr>
        <w:alias w:val="Abstract:"/>
        <w:tag w:val="Abstract:"/>
        <w:id w:val="202146031"/>
        <w:placeholder>
          <w:docPart w:val="E9F7112032FB4E93A38FD82D3B7F2BC5"/>
        </w:placeholder>
        <w:temporary/>
        <w:showingPlcHdr/>
      </w:sdtPr>
      <w:sdtEndPr/>
      <w:sdtContent>
        <w:p w14:paraId="4F3B379B" w14:textId="77777777" w:rsidR="00C13264" w:rsidRPr="00901D0D" w:rsidRDefault="00C13264" w:rsidP="00DC71E9">
          <w:pPr>
            <w:pageBreakBefore/>
            <w:ind w:firstLine="0"/>
            <w:jc w:val="center"/>
            <w:outlineLvl w:val="0"/>
            <w:rPr>
              <w:rFonts w:eastAsia="SimHei" w:cs="Times New Roman"/>
              <w:kern w:val="24"/>
              <w:szCs w:val="24"/>
              <w:lang w:val="en-GB" w:eastAsia="ja-JP"/>
            </w:rPr>
          </w:pPr>
          <w:r w:rsidRPr="00901D0D">
            <w:rPr>
              <w:rFonts w:eastAsia="SimHei" w:cs="Times New Roman"/>
              <w:kern w:val="24"/>
              <w:szCs w:val="24"/>
              <w:lang w:val="en-GB" w:eastAsia="ja-JP"/>
            </w:rPr>
            <w:t>Abstract</w:t>
          </w:r>
        </w:p>
      </w:sdtContent>
    </w:sdt>
    <w:p w14:paraId="2DD102DC" w14:textId="137AF9C1" w:rsidR="00C13264" w:rsidRPr="00901D0D" w:rsidRDefault="00EA0787" w:rsidP="00C13264">
      <w:pPr>
        <w:ind w:firstLine="0"/>
        <w:rPr>
          <w:rFonts w:eastAsia="SimSun" w:cs="Times New Roman"/>
          <w:szCs w:val="24"/>
          <w:lang w:val="en-GB" w:eastAsia="ja-JP"/>
        </w:rPr>
      </w:pPr>
      <w:r w:rsidRPr="00901D0D">
        <w:rPr>
          <w:rFonts w:eastAsia="SimSun" w:cs="Times New Roman"/>
          <w:szCs w:val="24"/>
          <w:lang w:val="en-GB" w:eastAsia="ja-JP"/>
        </w:rPr>
        <w:t>A p</w:t>
      </w:r>
      <w:r w:rsidR="00F304D9" w:rsidRPr="00901D0D">
        <w:rPr>
          <w:rFonts w:eastAsia="SimSun" w:cs="Times New Roman"/>
          <w:szCs w:val="24"/>
          <w:lang w:val="en-GB" w:eastAsia="ja-JP"/>
        </w:rPr>
        <w:t xml:space="preserve">oor understanding of probability </w:t>
      </w:r>
      <w:r w:rsidRPr="00901D0D">
        <w:rPr>
          <w:rFonts w:eastAsia="SimSun" w:cs="Times New Roman"/>
          <w:szCs w:val="24"/>
          <w:lang w:val="en-GB" w:eastAsia="ja-JP"/>
        </w:rPr>
        <w:t xml:space="preserve">may </w:t>
      </w:r>
      <w:r w:rsidR="00F304D9" w:rsidRPr="00901D0D">
        <w:rPr>
          <w:rFonts w:eastAsia="SimSun" w:cs="Times New Roman"/>
          <w:szCs w:val="24"/>
          <w:lang w:val="en-GB" w:eastAsia="ja-JP"/>
        </w:rPr>
        <w:t xml:space="preserve">lead people to misinterpret every day coincidences and form anomalistic (e.g., paranormal) beliefs. We investigated </w:t>
      </w:r>
      <w:r w:rsidR="00967664" w:rsidRPr="00901D0D">
        <w:rPr>
          <w:rFonts w:eastAsia="SimSun" w:cs="Times New Roman"/>
          <w:szCs w:val="24"/>
          <w:lang w:val="en-GB" w:eastAsia="ja-JP"/>
        </w:rPr>
        <w:t>the relationship between anomalistic belief</w:t>
      </w:r>
      <w:r w:rsidRPr="00901D0D">
        <w:rPr>
          <w:rFonts w:eastAsia="SimSun" w:cs="Times New Roman"/>
          <w:szCs w:val="24"/>
          <w:lang w:val="en-GB" w:eastAsia="ja-JP"/>
        </w:rPr>
        <w:t xml:space="preserve"> (including type of belief)</w:t>
      </w:r>
      <w:r w:rsidR="00967664" w:rsidRPr="00901D0D">
        <w:rPr>
          <w:rFonts w:eastAsia="SimSun" w:cs="Times New Roman"/>
          <w:szCs w:val="24"/>
          <w:lang w:val="en-GB" w:eastAsia="ja-JP"/>
        </w:rPr>
        <w:t xml:space="preserve"> and</w:t>
      </w:r>
      <w:r w:rsidR="00F304D9" w:rsidRPr="00901D0D">
        <w:rPr>
          <w:rFonts w:eastAsia="SimSun" w:cs="Times New Roman"/>
          <w:szCs w:val="24"/>
          <w:lang w:val="en-GB" w:eastAsia="ja-JP"/>
        </w:rPr>
        <w:t xml:space="preserve"> misperception of chance and</w:t>
      </w:r>
      <w:r w:rsidR="00EE13FF" w:rsidRPr="00901D0D">
        <w:rPr>
          <w:rFonts w:eastAsia="SimSun" w:cs="Times New Roman"/>
          <w:szCs w:val="24"/>
          <w:lang w:val="en-GB" w:eastAsia="ja-JP"/>
        </w:rPr>
        <w:t xml:space="preserve"> the</w:t>
      </w:r>
      <w:r w:rsidR="00F304D9" w:rsidRPr="00901D0D">
        <w:rPr>
          <w:rFonts w:eastAsia="SimSun" w:cs="Times New Roman"/>
          <w:szCs w:val="24"/>
          <w:lang w:val="en-GB" w:eastAsia="ja-JP"/>
        </w:rPr>
        <w:t xml:space="preserve"> base rate fallacy</w:t>
      </w:r>
      <w:r w:rsidRPr="00901D0D">
        <w:rPr>
          <w:rFonts w:eastAsia="SimSun" w:cs="Times New Roman"/>
          <w:szCs w:val="24"/>
          <w:lang w:val="en-GB" w:eastAsia="ja-JP"/>
        </w:rPr>
        <w:t xml:space="preserve"> across both anomalistic and control (i.e., neutral) contexts</w:t>
      </w:r>
      <w:r w:rsidR="00F304D9" w:rsidRPr="00901D0D">
        <w:rPr>
          <w:rFonts w:eastAsia="SimSun" w:cs="Times New Roman"/>
          <w:szCs w:val="24"/>
          <w:lang w:val="en-GB" w:eastAsia="ja-JP"/>
        </w:rPr>
        <w:t xml:space="preserve">. </w:t>
      </w:r>
      <w:r w:rsidR="00967664" w:rsidRPr="00901D0D">
        <w:rPr>
          <w:rFonts w:eastAsia="SimSun" w:cs="Times New Roman"/>
          <w:szCs w:val="24"/>
          <w:lang w:val="en-GB" w:eastAsia="ja-JP"/>
        </w:rPr>
        <w:t>G</w:t>
      </w:r>
      <w:r w:rsidR="00F304D9" w:rsidRPr="00901D0D">
        <w:rPr>
          <w:rFonts w:eastAsia="SimSun" w:cs="Times New Roman"/>
          <w:szCs w:val="24"/>
          <w:lang w:val="en-GB" w:eastAsia="ja-JP"/>
        </w:rPr>
        <w:t xml:space="preserve">reater anomalistic belief was associated with poorer performance </w:t>
      </w:r>
      <w:r w:rsidRPr="00901D0D">
        <w:rPr>
          <w:rFonts w:eastAsia="SimSun" w:cs="Times New Roman"/>
          <w:szCs w:val="24"/>
          <w:lang w:val="en-GB" w:eastAsia="ja-JP"/>
        </w:rPr>
        <w:t xml:space="preserve">for both types of </w:t>
      </w:r>
      <w:r w:rsidR="00436DC5" w:rsidRPr="00901D0D">
        <w:rPr>
          <w:rFonts w:eastAsia="SimSun" w:cs="Times New Roman"/>
          <w:szCs w:val="24"/>
          <w:lang w:val="en-GB" w:eastAsia="ja-JP"/>
        </w:rPr>
        <w:t>items</w:t>
      </w:r>
      <w:r w:rsidR="00946488" w:rsidRPr="00901D0D">
        <w:rPr>
          <w:rFonts w:eastAsia="SimSun" w:cs="Times New Roman"/>
          <w:szCs w:val="24"/>
          <w:lang w:val="en-GB" w:eastAsia="ja-JP"/>
        </w:rPr>
        <w:t xml:space="preserve">; </w:t>
      </w:r>
      <w:proofErr w:type="gramStart"/>
      <w:r w:rsidR="00946488" w:rsidRPr="00901D0D">
        <w:rPr>
          <w:rFonts w:eastAsia="SimSun" w:cs="Times New Roman"/>
          <w:szCs w:val="24"/>
          <w:lang w:val="en-GB" w:eastAsia="ja-JP"/>
        </w:rPr>
        <w:t>h</w:t>
      </w:r>
      <w:r w:rsidR="00EE13FF" w:rsidRPr="00901D0D">
        <w:rPr>
          <w:rFonts w:eastAsia="SimSun" w:cs="Times New Roman"/>
          <w:szCs w:val="24"/>
          <w:lang w:val="en-GB" w:eastAsia="ja-JP"/>
        </w:rPr>
        <w:t>owever</w:t>
      </w:r>
      <w:proofErr w:type="gramEnd"/>
      <w:r w:rsidR="00946488" w:rsidRPr="00901D0D">
        <w:rPr>
          <w:rFonts w:eastAsia="SimSun" w:cs="Times New Roman"/>
          <w:szCs w:val="24"/>
          <w:lang w:val="en-GB" w:eastAsia="ja-JP"/>
        </w:rPr>
        <w:t xml:space="preserve"> there </w:t>
      </w:r>
      <w:r w:rsidR="005618F8" w:rsidRPr="00901D0D">
        <w:rPr>
          <w:rFonts w:eastAsia="SimSun" w:cs="Times New Roman"/>
          <w:szCs w:val="24"/>
          <w:lang w:val="en-GB" w:eastAsia="ja-JP"/>
        </w:rPr>
        <w:t xml:space="preserve">were </w:t>
      </w:r>
      <w:r w:rsidR="00F304D9" w:rsidRPr="00901D0D">
        <w:rPr>
          <w:rFonts w:eastAsia="SimSun" w:cs="Times New Roman"/>
          <w:szCs w:val="24"/>
          <w:lang w:val="en-GB" w:eastAsia="ja-JP"/>
        </w:rPr>
        <w:t>no significant interaction</w:t>
      </w:r>
      <w:r w:rsidR="00EE13FF" w:rsidRPr="00901D0D">
        <w:rPr>
          <w:rFonts w:eastAsia="SimSun" w:cs="Times New Roman"/>
          <w:szCs w:val="24"/>
          <w:lang w:val="en-GB" w:eastAsia="ja-JP"/>
        </w:rPr>
        <w:t>s</w:t>
      </w:r>
      <w:r w:rsidR="00F304D9" w:rsidRPr="00901D0D">
        <w:rPr>
          <w:rFonts w:eastAsia="SimSun" w:cs="Times New Roman"/>
          <w:szCs w:val="24"/>
          <w:lang w:val="en-GB" w:eastAsia="ja-JP"/>
        </w:rPr>
        <w:t xml:space="preserve"> between belief and context. </w:t>
      </w:r>
      <w:r w:rsidR="00946488" w:rsidRPr="00901D0D">
        <w:rPr>
          <w:rFonts w:eastAsia="SimSun" w:cs="Times New Roman"/>
          <w:szCs w:val="24"/>
          <w:lang w:val="en-GB" w:eastAsia="ja-JP"/>
        </w:rPr>
        <w:t>For misperception of chance items</w:t>
      </w:r>
      <w:r w:rsidR="008F75FD">
        <w:rPr>
          <w:rFonts w:eastAsia="SimSun" w:cs="Times New Roman"/>
          <w:szCs w:val="24"/>
          <w:lang w:val="en-GB" w:eastAsia="ja-JP"/>
        </w:rPr>
        <w:t>,</w:t>
      </w:r>
      <w:r w:rsidR="00F304D9" w:rsidRPr="00901D0D">
        <w:rPr>
          <w:rFonts w:eastAsia="SimSun" w:cs="Times New Roman"/>
          <w:szCs w:val="24"/>
          <w:lang w:val="en-GB" w:eastAsia="ja-JP"/>
        </w:rPr>
        <w:t xml:space="preserve"> only </w:t>
      </w:r>
      <w:r w:rsidR="00EE13FF" w:rsidRPr="00901D0D">
        <w:rPr>
          <w:rFonts w:eastAsia="SimSun" w:cs="Times New Roman"/>
          <w:szCs w:val="24"/>
          <w:lang w:val="en-GB" w:eastAsia="ja-JP"/>
        </w:rPr>
        <w:t xml:space="preserve">experiential (vs. theoretical) anomalistic beliefs </w:t>
      </w:r>
      <w:r w:rsidR="00436DC5" w:rsidRPr="00901D0D">
        <w:rPr>
          <w:rFonts w:eastAsia="SimSun" w:cs="Times New Roman"/>
          <w:szCs w:val="24"/>
          <w:lang w:val="en-GB" w:eastAsia="ja-JP"/>
        </w:rPr>
        <w:t>predicted</w:t>
      </w:r>
      <w:r w:rsidR="00F304D9" w:rsidRPr="00901D0D">
        <w:rPr>
          <w:rFonts w:eastAsia="SimSun" w:cs="Times New Roman"/>
          <w:szCs w:val="24"/>
          <w:lang w:val="en-GB" w:eastAsia="ja-JP"/>
        </w:rPr>
        <w:t xml:space="preserve"> </w:t>
      </w:r>
      <w:r w:rsidRPr="00901D0D">
        <w:rPr>
          <w:rFonts w:eastAsia="SimSun" w:cs="Times New Roman"/>
          <w:szCs w:val="24"/>
          <w:lang w:val="en-GB" w:eastAsia="ja-JP"/>
        </w:rPr>
        <w:t>more errors</w:t>
      </w:r>
      <w:r w:rsidR="00F304D9" w:rsidRPr="00901D0D">
        <w:rPr>
          <w:rFonts w:eastAsia="SimSun" w:cs="Times New Roman"/>
          <w:szCs w:val="24"/>
          <w:lang w:val="en-GB" w:eastAsia="ja-JP"/>
        </w:rPr>
        <w:t>. In contrast</w:t>
      </w:r>
      <w:r w:rsidRPr="00901D0D">
        <w:rPr>
          <w:rFonts w:eastAsia="SimSun" w:cs="Times New Roman"/>
          <w:szCs w:val="24"/>
          <w:lang w:val="en-GB" w:eastAsia="ja-JP"/>
        </w:rPr>
        <w:t>,</w:t>
      </w:r>
      <w:r w:rsidR="00A00189" w:rsidRPr="00901D0D">
        <w:rPr>
          <w:rFonts w:eastAsia="SimSun" w:cs="Times New Roman"/>
          <w:szCs w:val="24"/>
          <w:lang w:val="en-GB" w:eastAsia="ja-JP"/>
        </w:rPr>
        <w:t xml:space="preserve"> overall anomalistic belief </w:t>
      </w:r>
      <w:r w:rsidRPr="00901D0D">
        <w:rPr>
          <w:rFonts w:eastAsia="SimSun" w:cs="Times New Roman"/>
          <w:szCs w:val="24"/>
          <w:lang w:val="en-GB" w:eastAsia="ja-JP"/>
        </w:rPr>
        <w:t xml:space="preserve">was positively related to </w:t>
      </w:r>
      <w:r w:rsidR="00A00189" w:rsidRPr="00901D0D">
        <w:rPr>
          <w:rFonts w:eastAsia="SimSun" w:cs="Times New Roman"/>
          <w:szCs w:val="24"/>
          <w:lang w:val="en-GB" w:eastAsia="ja-JP"/>
        </w:rPr>
        <w:t xml:space="preserve">the base rate </w:t>
      </w:r>
      <w:proofErr w:type="gramStart"/>
      <w:r w:rsidR="00A00189" w:rsidRPr="00901D0D">
        <w:rPr>
          <w:rFonts w:eastAsia="SimSun" w:cs="Times New Roman"/>
          <w:szCs w:val="24"/>
          <w:lang w:val="en-GB" w:eastAsia="ja-JP"/>
        </w:rPr>
        <w:t>fallacy</w:t>
      </w:r>
      <w:proofErr w:type="gramEnd"/>
      <w:r w:rsidR="00A00189" w:rsidRPr="00901D0D">
        <w:rPr>
          <w:rFonts w:eastAsia="SimSun" w:cs="Times New Roman"/>
          <w:szCs w:val="24"/>
          <w:lang w:val="en-GB" w:eastAsia="ja-JP"/>
        </w:rPr>
        <w:t xml:space="preserve"> but no specific subtype of anomalistic belief was </w:t>
      </w:r>
      <w:r w:rsidRPr="00901D0D">
        <w:rPr>
          <w:rFonts w:eastAsia="SimSun" w:cs="Times New Roman"/>
          <w:szCs w:val="24"/>
          <w:lang w:val="en-GB" w:eastAsia="ja-JP"/>
        </w:rPr>
        <w:t xml:space="preserve">a </w:t>
      </w:r>
      <w:r w:rsidR="00A00189" w:rsidRPr="00901D0D">
        <w:rPr>
          <w:rFonts w:eastAsia="SimSun" w:cs="Times New Roman"/>
          <w:szCs w:val="24"/>
          <w:lang w:val="en-GB" w:eastAsia="ja-JP"/>
        </w:rPr>
        <w:t xml:space="preserve">significant </w:t>
      </w:r>
      <w:r w:rsidRPr="00901D0D">
        <w:rPr>
          <w:rFonts w:eastAsia="SimSun" w:cs="Times New Roman"/>
          <w:szCs w:val="24"/>
          <w:lang w:val="en-GB" w:eastAsia="ja-JP"/>
        </w:rPr>
        <w:t>predictor</w:t>
      </w:r>
      <w:r w:rsidR="00A00189" w:rsidRPr="00901D0D">
        <w:rPr>
          <w:rFonts w:eastAsia="SimSun" w:cs="Times New Roman"/>
          <w:szCs w:val="24"/>
          <w:lang w:val="en-GB" w:eastAsia="ja-JP"/>
        </w:rPr>
        <w:t xml:space="preserve">. </w:t>
      </w:r>
      <w:r w:rsidRPr="00901D0D">
        <w:rPr>
          <w:rFonts w:eastAsia="SimSun" w:cs="Times New Roman"/>
          <w:szCs w:val="24"/>
          <w:lang w:val="en-GB" w:eastAsia="ja-JP"/>
        </w:rPr>
        <w:t>T</w:t>
      </w:r>
      <w:r w:rsidR="00A00189" w:rsidRPr="00901D0D">
        <w:rPr>
          <w:rFonts w:eastAsia="SimSun" w:cs="Times New Roman"/>
          <w:szCs w:val="24"/>
          <w:lang w:val="en-GB" w:eastAsia="ja-JP"/>
        </w:rPr>
        <w:t xml:space="preserve">he results </w:t>
      </w:r>
      <w:r w:rsidR="00436DC5" w:rsidRPr="00901D0D">
        <w:rPr>
          <w:rFonts w:eastAsia="SimSun" w:cs="Times New Roman"/>
          <w:szCs w:val="24"/>
          <w:lang w:val="en-GB" w:eastAsia="ja-JP"/>
        </w:rPr>
        <w:t>indicate</w:t>
      </w:r>
      <w:r w:rsidR="00A00189" w:rsidRPr="00901D0D">
        <w:rPr>
          <w:rFonts w:eastAsia="SimSun" w:cs="Times New Roman"/>
          <w:szCs w:val="24"/>
          <w:lang w:val="en-GB" w:eastAsia="ja-JP"/>
        </w:rPr>
        <w:t xml:space="preserve"> misperception of chance may lead people to interpret coincidental events as having an anomalistic cause</w:t>
      </w:r>
      <w:r w:rsidR="00946488" w:rsidRPr="00901D0D">
        <w:rPr>
          <w:rFonts w:eastAsia="SimSun" w:cs="Times New Roman"/>
          <w:szCs w:val="24"/>
          <w:lang w:val="en-GB" w:eastAsia="ja-JP"/>
        </w:rPr>
        <w:t xml:space="preserve">, and </w:t>
      </w:r>
      <w:r w:rsidR="00A00189" w:rsidRPr="00901D0D">
        <w:rPr>
          <w:rFonts w:eastAsia="SimSun" w:cs="Times New Roman"/>
          <w:szCs w:val="24"/>
          <w:lang w:val="en-GB" w:eastAsia="ja-JP"/>
        </w:rPr>
        <w:t>a poor understanding of base rates may make people more prone to forming anomalistic beliefs.</w:t>
      </w:r>
    </w:p>
    <w:p w14:paraId="269B3ADF" w14:textId="77777777" w:rsidR="00946488" w:rsidRPr="00901D0D" w:rsidRDefault="00946488" w:rsidP="00C13264">
      <w:pPr>
        <w:ind w:firstLine="0"/>
        <w:rPr>
          <w:rFonts w:eastAsia="SimSun" w:cs="Times New Roman"/>
          <w:szCs w:val="24"/>
          <w:lang w:val="en-GB" w:eastAsia="ja-JP"/>
        </w:rPr>
      </w:pPr>
    </w:p>
    <w:p w14:paraId="249AD44E" w14:textId="204F793E" w:rsidR="00DC71E9" w:rsidRPr="00901D0D" w:rsidRDefault="00C13264" w:rsidP="00DC71E9">
      <w:pPr>
        <w:widowControl w:val="0"/>
        <w:ind w:firstLine="0"/>
        <w:rPr>
          <w:rFonts w:eastAsia="Times New Roman" w:cs="Times New Roman"/>
          <w:szCs w:val="20"/>
          <w:lang w:val="en-GB"/>
        </w:rPr>
      </w:pPr>
      <w:r w:rsidRPr="00901D0D">
        <w:rPr>
          <w:rFonts w:eastAsia="SimSun" w:cs="Times New Roman"/>
          <w:i/>
          <w:iCs/>
          <w:kern w:val="24"/>
          <w:szCs w:val="24"/>
          <w:lang w:val="en-GB" w:eastAsia="ja-JP"/>
        </w:rPr>
        <w:t>Keywords</w:t>
      </w:r>
      <w:r w:rsidRPr="00901D0D">
        <w:rPr>
          <w:rFonts w:eastAsia="SimSun" w:cs="Times New Roman"/>
          <w:kern w:val="24"/>
          <w:szCs w:val="24"/>
          <w:lang w:val="en-GB" w:eastAsia="ja-JP"/>
        </w:rPr>
        <w:t xml:space="preserve">:  </w:t>
      </w:r>
      <w:r w:rsidR="00DC71E9" w:rsidRPr="00901D0D">
        <w:rPr>
          <w:rFonts w:eastAsia="SimSun" w:cs="Times New Roman"/>
          <w:kern w:val="24"/>
          <w:szCs w:val="24"/>
          <w:lang w:val="en-GB" w:eastAsia="ja-JP"/>
        </w:rPr>
        <w:t xml:space="preserve">Anomalistic belief; </w:t>
      </w:r>
      <w:r w:rsidR="00DC71E9" w:rsidRPr="00901D0D">
        <w:rPr>
          <w:rFonts w:eastAsia="Times New Roman" w:cs="Times New Roman"/>
          <w:szCs w:val="20"/>
          <w:lang w:val="en-GB"/>
        </w:rPr>
        <w:t>paranormal belief; probabilistic reasoning; misperception of chance; base rate fallacy</w:t>
      </w:r>
    </w:p>
    <w:p w14:paraId="46678BB0" w14:textId="7BB3323A" w:rsidR="00C13264" w:rsidRPr="00901D0D" w:rsidRDefault="00C13264" w:rsidP="00C13264">
      <w:pPr>
        <w:rPr>
          <w:rFonts w:eastAsia="SimSun" w:cs="Times New Roman"/>
          <w:kern w:val="24"/>
          <w:szCs w:val="24"/>
          <w:lang w:val="en-GB" w:eastAsia="ja-JP"/>
        </w:rPr>
      </w:pPr>
    </w:p>
    <w:p w14:paraId="338E3515" w14:textId="0AC070BB" w:rsidR="00C13264" w:rsidRPr="00901D0D" w:rsidRDefault="00C13264">
      <w:pPr>
        <w:spacing w:after="200" w:line="276" w:lineRule="auto"/>
        <w:ind w:firstLine="0"/>
        <w:rPr>
          <w:lang w:val="en-GB"/>
        </w:rPr>
      </w:pPr>
      <w:r w:rsidRPr="00901D0D">
        <w:rPr>
          <w:lang w:val="en-GB"/>
        </w:rPr>
        <w:br w:type="page"/>
      </w:r>
    </w:p>
    <w:p w14:paraId="14D31430" w14:textId="0FD9DA09" w:rsidR="0043240C" w:rsidRPr="00901D0D" w:rsidRDefault="00C52F70" w:rsidP="005A0AB1">
      <w:pPr>
        <w:jc w:val="center"/>
        <w:rPr>
          <w:b/>
          <w:lang w:val="en-GB"/>
        </w:rPr>
      </w:pPr>
      <w:r w:rsidRPr="00901D0D">
        <w:rPr>
          <w:lang w:val="en-GB"/>
        </w:rPr>
        <w:lastRenderedPageBreak/>
        <w:t xml:space="preserve">The Relationship Between Anomalistic Belief, </w:t>
      </w:r>
      <w:r w:rsidR="00D975AE" w:rsidRPr="00901D0D">
        <w:rPr>
          <w:lang w:val="en-GB"/>
        </w:rPr>
        <w:t>Misperception of Chance</w:t>
      </w:r>
      <w:r w:rsidR="009C31B8" w:rsidRPr="00901D0D">
        <w:rPr>
          <w:lang w:val="en-GB"/>
        </w:rPr>
        <w:t>, and the Base Rate Fallacy</w:t>
      </w:r>
    </w:p>
    <w:p w14:paraId="04F4A206" w14:textId="54659871" w:rsidR="001A1954" w:rsidRPr="00901D0D" w:rsidRDefault="001A1954" w:rsidP="009747E7">
      <w:pPr>
        <w:ind w:firstLine="0"/>
        <w:contextualSpacing/>
        <w:rPr>
          <w:lang w:val="en-GB"/>
        </w:rPr>
      </w:pPr>
      <w:r w:rsidRPr="00901D0D">
        <w:rPr>
          <w:lang w:val="en-GB"/>
        </w:rPr>
        <w:tab/>
      </w:r>
      <w:r w:rsidR="00F7243B" w:rsidRPr="00901D0D">
        <w:rPr>
          <w:lang w:val="en-GB"/>
        </w:rPr>
        <w:t xml:space="preserve">Anomalistic beliefs </w:t>
      </w:r>
      <w:r w:rsidR="00C92D1D" w:rsidRPr="00901D0D">
        <w:rPr>
          <w:lang w:val="en-GB"/>
        </w:rPr>
        <w:t xml:space="preserve">relate to </w:t>
      </w:r>
      <w:r w:rsidR="00F7243B" w:rsidRPr="00901D0D">
        <w:rPr>
          <w:lang w:val="en-GB"/>
        </w:rPr>
        <w:t>non-</w:t>
      </w:r>
      <w:proofErr w:type="gramStart"/>
      <w:r w:rsidR="00F7243B" w:rsidRPr="00901D0D">
        <w:rPr>
          <w:lang w:val="en-GB"/>
        </w:rPr>
        <w:t>evidence based</w:t>
      </w:r>
      <w:proofErr w:type="gramEnd"/>
      <w:r w:rsidR="00F7243B" w:rsidRPr="00901D0D">
        <w:rPr>
          <w:lang w:val="en-GB"/>
        </w:rPr>
        <w:t xml:space="preserve"> </w:t>
      </w:r>
      <w:r w:rsidR="00A87DA5" w:rsidRPr="00901D0D">
        <w:rPr>
          <w:lang w:val="en-GB"/>
        </w:rPr>
        <w:t xml:space="preserve">phenomena </w:t>
      </w:r>
      <w:r w:rsidR="00A655D8" w:rsidRPr="00901D0D">
        <w:rPr>
          <w:lang w:val="en-GB"/>
        </w:rPr>
        <w:t>that contradict</w:t>
      </w:r>
      <w:r w:rsidR="00F7243B" w:rsidRPr="00901D0D">
        <w:rPr>
          <w:lang w:val="en-GB"/>
        </w:rPr>
        <w:t xml:space="preserve"> our</w:t>
      </w:r>
      <w:r w:rsidR="00A655D8" w:rsidRPr="00901D0D">
        <w:rPr>
          <w:lang w:val="en-GB"/>
        </w:rPr>
        <w:t xml:space="preserve"> current scientific understanding of reality</w:t>
      </w:r>
      <w:r w:rsidR="00F7243B" w:rsidRPr="00901D0D">
        <w:rPr>
          <w:lang w:val="en-GB"/>
        </w:rPr>
        <w:t>, such as telekinesis, extra-terrestrial visitation, some conspiracy theory beliefs, and some alternative medicine beliefs</w:t>
      </w:r>
      <w:r w:rsidR="00A655D8" w:rsidRPr="00901D0D">
        <w:rPr>
          <w:lang w:val="en-GB"/>
        </w:rPr>
        <w:t xml:space="preserve"> (</w:t>
      </w:r>
      <w:r w:rsidR="00F508D8" w:rsidRPr="00901D0D">
        <w:rPr>
          <w:lang w:val="en-GB"/>
        </w:rPr>
        <w:t xml:space="preserve">Brotherton &amp; French, 2014; </w:t>
      </w:r>
      <w:bookmarkStart w:id="1" w:name="_Hlk506838837"/>
      <w:r w:rsidR="00AB270E" w:rsidRPr="00901D0D">
        <w:rPr>
          <w:lang w:val="en-GB"/>
        </w:rPr>
        <w:t xml:space="preserve">Drinkwater, </w:t>
      </w:r>
      <w:proofErr w:type="spellStart"/>
      <w:r w:rsidR="00AB270E" w:rsidRPr="00901D0D">
        <w:rPr>
          <w:lang w:val="en-GB"/>
        </w:rPr>
        <w:t>Dagnall</w:t>
      </w:r>
      <w:proofErr w:type="spellEnd"/>
      <w:r w:rsidR="00AB270E" w:rsidRPr="00901D0D">
        <w:rPr>
          <w:lang w:val="en-GB"/>
        </w:rPr>
        <w:t xml:space="preserve">, &amp; Parker, 2012; </w:t>
      </w:r>
      <w:bookmarkEnd w:id="1"/>
      <w:r w:rsidR="00AB270E" w:rsidRPr="00901D0D">
        <w:rPr>
          <w:lang w:val="en-GB"/>
        </w:rPr>
        <w:t xml:space="preserve">French, 2001; </w:t>
      </w:r>
      <w:r w:rsidR="00A655D8" w:rsidRPr="00901D0D">
        <w:rPr>
          <w:lang w:val="en-GB"/>
        </w:rPr>
        <w:t xml:space="preserve">French &amp; Stone, 2014). </w:t>
      </w:r>
      <w:r w:rsidR="00F7243B" w:rsidRPr="00901D0D">
        <w:rPr>
          <w:lang w:val="en-GB"/>
        </w:rPr>
        <w:t>These beliefs tend to be</w:t>
      </w:r>
      <w:r w:rsidR="00A655D8" w:rsidRPr="00901D0D">
        <w:rPr>
          <w:lang w:val="en-GB"/>
        </w:rPr>
        <w:t xml:space="preserve"> widely held, with </w:t>
      </w:r>
      <w:r w:rsidR="00F7243B" w:rsidRPr="00901D0D">
        <w:rPr>
          <w:lang w:val="en-GB"/>
        </w:rPr>
        <w:t xml:space="preserve">the </w:t>
      </w:r>
      <w:r w:rsidR="00A655D8" w:rsidRPr="00901D0D">
        <w:rPr>
          <w:lang w:val="en-GB"/>
        </w:rPr>
        <w:t xml:space="preserve">majority of the population </w:t>
      </w:r>
      <w:r w:rsidR="00A269D0" w:rsidRPr="00901D0D">
        <w:rPr>
          <w:lang w:val="en-GB"/>
        </w:rPr>
        <w:t xml:space="preserve">believing in </w:t>
      </w:r>
      <w:r w:rsidR="00A655D8" w:rsidRPr="00901D0D">
        <w:rPr>
          <w:lang w:val="en-GB"/>
        </w:rPr>
        <w:t xml:space="preserve">at least one </w:t>
      </w:r>
      <w:r w:rsidR="00F7243B" w:rsidRPr="00901D0D">
        <w:rPr>
          <w:lang w:val="en-GB"/>
        </w:rPr>
        <w:t xml:space="preserve">type of </w:t>
      </w:r>
      <w:r w:rsidR="00A655D8" w:rsidRPr="00901D0D">
        <w:rPr>
          <w:lang w:val="en-GB"/>
        </w:rPr>
        <w:t xml:space="preserve">anomalistic </w:t>
      </w:r>
      <w:r w:rsidR="008F75FD" w:rsidRPr="00901D0D">
        <w:rPr>
          <w:lang w:val="en-GB"/>
        </w:rPr>
        <w:t>phenomen</w:t>
      </w:r>
      <w:r w:rsidR="008F75FD">
        <w:rPr>
          <w:lang w:val="en-GB"/>
        </w:rPr>
        <w:t>on</w:t>
      </w:r>
      <w:r w:rsidR="008F75FD" w:rsidRPr="00901D0D">
        <w:rPr>
          <w:lang w:val="en-GB"/>
        </w:rPr>
        <w:t xml:space="preserve"> </w:t>
      </w:r>
      <w:r w:rsidR="00A655D8" w:rsidRPr="00901D0D">
        <w:rPr>
          <w:lang w:val="en-GB"/>
        </w:rPr>
        <w:t>(</w:t>
      </w:r>
      <w:r w:rsidR="009747E7" w:rsidRPr="00901D0D">
        <w:rPr>
          <w:lang w:val="en-GB"/>
        </w:rPr>
        <w:t xml:space="preserve">Chapman University, 2017; </w:t>
      </w:r>
      <w:r w:rsidR="00A655D8" w:rsidRPr="00901D0D">
        <w:rPr>
          <w:lang w:val="en-GB"/>
        </w:rPr>
        <w:t xml:space="preserve">Moore, 2005; Shannon-Missal, 2013). </w:t>
      </w:r>
      <w:r w:rsidR="00277D88" w:rsidRPr="00901D0D">
        <w:rPr>
          <w:lang w:val="en-GB"/>
        </w:rPr>
        <w:t>One growing field of research centres around</w:t>
      </w:r>
      <w:r w:rsidR="004B2DE4" w:rsidRPr="00901D0D">
        <w:rPr>
          <w:lang w:val="en-GB"/>
        </w:rPr>
        <w:t xml:space="preserve"> understanding the link between anomalistic belief and </w:t>
      </w:r>
      <w:r w:rsidR="00F84542" w:rsidRPr="00901D0D">
        <w:rPr>
          <w:lang w:val="en-GB"/>
        </w:rPr>
        <w:t>probabili</w:t>
      </w:r>
      <w:r w:rsidR="00F84542">
        <w:rPr>
          <w:lang w:val="en-GB"/>
        </w:rPr>
        <w:t>stic</w:t>
      </w:r>
      <w:r w:rsidR="00F84542" w:rsidRPr="00901D0D">
        <w:rPr>
          <w:lang w:val="en-GB"/>
        </w:rPr>
        <w:t xml:space="preserve"> </w:t>
      </w:r>
      <w:r w:rsidR="004B2DE4" w:rsidRPr="00901D0D">
        <w:rPr>
          <w:lang w:val="en-GB"/>
        </w:rPr>
        <w:t>reasoning errors, with much of the work showing that stronger belief in anomalistic phenomena is related to more reasoning errors (</w:t>
      </w:r>
      <w:r w:rsidR="00C92D1D" w:rsidRPr="00901D0D">
        <w:rPr>
          <w:lang w:val="en-GB"/>
        </w:rPr>
        <w:t xml:space="preserve">e.g., </w:t>
      </w:r>
      <w:proofErr w:type="spellStart"/>
      <w:r w:rsidR="00AB270E" w:rsidRPr="00901D0D">
        <w:rPr>
          <w:lang w:val="en-GB"/>
        </w:rPr>
        <w:t>Dagnall</w:t>
      </w:r>
      <w:proofErr w:type="spellEnd"/>
      <w:r w:rsidR="00AB270E" w:rsidRPr="00901D0D">
        <w:rPr>
          <w:lang w:val="en-GB"/>
        </w:rPr>
        <w:t xml:space="preserve">, Drinkwater, </w:t>
      </w:r>
      <w:proofErr w:type="spellStart"/>
      <w:r w:rsidR="00AB270E" w:rsidRPr="00901D0D">
        <w:rPr>
          <w:lang w:val="en-GB"/>
        </w:rPr>
        <w:t>Denovan</w:t>
      </w:r>
      <w:proofErr w:type="spellEnd"/>
      <w:r w:rsidR="00AB270E" w:rsidRPr="00901D0D">
        <w:rPr>
          <w:lang w:val="en-GB"/>
        </w:rPr>
        <w:t xml:space="preserve">, Parker, &amp; Rowley, 2016; Rogers, Fisk, &amp; </w:t>
      </w:r>
      <w:proofErr w:type="spellStart"/>
      <w:r w:rsidR="00AB270E" w:rsidRPr="00901D0D">
        <w:rPr>
          <w:lang w:val="en-GB"/>
        </w:rPr>
        <w:t>Lowrie</w:t>
      </w:r>
      <w:proofErr w:type="spellEnd"/>
      <w:r w:rsidR="00AB270E" w:rsidRPr="00901D0D">
        <w:rPr>
          <w:lang w:val="en-GB"/>
        </w:rPr>
        <w:t xml:space="preserve">, 2016; </w:t>
      </w:r>
      <w:bookmarkStart w:id="2" w:name="_Hlk506838928"/>
      <w:r w:rsidR="00AB270E" w:rsidRPr="00901D0D">
        <w:rPr>
          <w:lang w:val="en-GB"/>
        </w:rPr>
        <w:t xml:space="preserve">Van </w:t>
      </w:r>
      <w:proofErr w:type="spellStart"/>
      <w:r w:rsidR="00AB270E" w:rsidRPr="00901D0D">
        <w:rPr>
          <w:lang w:val="en-GB"/>
        </w:rPr>
        <w:t>Prooijen</w:t>
      </w:r>
      <w:proofErr w:type="spellEnd"/>
      <w:r w:rsidR="00AB270E" w:rsidRPr="00901D0D">
        <w:rPr>
          <w:lang w:val="en-GB"/>
        </w:rPr>
        <w:t xml:space="preserve">, Douglas, &amp; De </w:t>
      </w:r>
      <w:proofErr w:type="spellStart"/>
      <w:r w:rsidR="00AB270E" w:rsidRPr="00901D0D">
        <w:rPr>
          <w:lang w:val="en-GB"/>
        </w:rPr>
        <w:t>Inocencio</w:t>
      </w:r>
      <w:proofErr w:type="spellEnd"/>
      <w:r w:rsidR="00AB270E" w:rsidRPr="00901D0D">
        <w:rPr>
          <w:lang w:val="en-GB"/>
        </w:rPr>
        <w:t xml:space="preserve">, </w:t>
      </w:r>
      <w:bookmarkEnd w:id="2"/>
      <w:r w:rsidR="000360DF" w:rsidRPr="00901D0D">
        <w:rPr>
          <w:lang w:val="en-GB"/>
        </w:rPr>
        <w:t>2018</w:t>
      </w:r>
      <w:r w:rsidR="00AB270E" w:rsidRPr="00901D0D">
        <w:rPr>
          <w:lang w:val="en-GB"/>
        </w:rPr>
        <w:t>; Wiseman &amp; Watt, 2006</w:t>
      </w:r>
      <w:r w:rsidR="004B2DE4" w:rsidRPr="00901D0D">
        <w:rPr>
          <w:lang w:val="en-GB"/>
        </w:rPr>
        <w:t xml:space="preserve">). </w:t>
      </w:r>
      <w:r w:rsidR="00F7243B" w:rsidRPr="00901D0D">
        <w:rPr>
          <w:lang w:val="en-GB"/>
        </w:rPr>
        <w:t xml:space="preserve">The current study </w:t>
      </w:r>
      <w:r w:rsidR="00A655D8" w:rsidRPr="00901D0D">
        <w:rPr>
          <w:lang w:val="en-GB"/>
        </w:rPr>
        <w:t xml:space="preserve">focused on the relationship </w:t>
      </w:r>
      <w:r w:rsidR="00F7243B" w:rsidRPr="00901D0D">
        <w:rPr>
          <w:lang w:val="en-GB"/>
        </w:rPr>
        <w:t xml:space="preserve">between </w:t>
      </w:r>
      <w:r w:rsidR="00A655D8" w:rsidRPr="00901D0D">
        <w:rPr>
          <w:lang w:val="en-GB"/>
        </w:rPr>
        <w:t xml:space="preserve">anomalistic belief </w:t>
      </w:r>
      <w:r w:rsidR="00F7243B" w:rsidRPr="00901D0D">
        <w:rPr>
          <w:lang w:val="en-GB"/>
        </w:rPr>
        <w:t xml:space="preserve">and </w:t>
      </w:r>
      <w:r w:rsidR="00A655D8" w:rsidRPr="00901D0D">
        <w:rPr>
          <w:lang w:val="en-GB"/>
        </w:rPr>
        <w:t>two different types of probabilistic reasoning task</w:t>
      </w:r>
      <w:r w:rsidR="00F7243B" w:rsidRPr="00901D0D">
        <w:rPr>
          <w:lang w:val="en-GB"/>
        </w:rPr>
        <w:t>s</w:t>
      </w:r>
      <w:r w:rsidR="00A655D8" w:rsidRPr="00901D0D">
        <w:rPr>
          <w:lang w:val="en-GB"/>
        </w:rPr>
        <w:t xml:space="preserve">; misperception of chance and the base rate fallacy. </w:t>
      </w:r>
      <w:r w:rsidR="00692C66" w:rsidRPr="00901D0D">
        <w:rPr>
          <w:lang w:val="en-GB"/>
        </w:rPr>
        <w:t>W</w:t>
      </w:r>
      <w:r w:rsidR="00E7471E" w:rsidRPr="00901D0D">
        <w:rPr>
          <w:lang w:val="en-GB"/>
        </w:rPr>
        <w:t>e investigated whether these two reasoning</w:t>
      </w:r>
      <w:r w:rsidR="00DE6631" w:rsidRPr="00901D0D">
        <w:rPr>
          <w:lang w:val="en-GB"/>
        </w:rPr>
        <w:t xml:space="preserve"> error</w:t>
      </w:r>
      <w:r w:rsidR="00901D0D">
        <w:rPr>
          <w:lang w:val="en-GB"/>
        </w:rPr>
        <w:t>s</w:t>
      </w:r>
      <w:r w:rsidR="00E7471E" w:rsidRPr="00901D0D">
        <w:rPr>
          <w:lang w:val="en-GB"/>
        </w:rPr>
        <w:t xml:space="preserve"> </w:t>
      </w:r>
      <w:r w:rsidR="004E3166" w:rsidRPr="00901D0D">
        <w:rPr>
          <w:lang w:val="en-GB"/>
        </w:rPr>
        <w:t xml:space="preserve">were </w:t>
      </w:r>
      <w:r w:rsidR="00E7471E" w:rsidRPr="00901D0D">
        <w:rPr>
          <w:lang w:val="en-GB"/>
        </w:rPr>
        <w:t xml:space="preserve">related to anomalistic belief, and whether </w:t>
      </w:r>
      <w:r w:rsidR="000B2018">
        <w:rPr>
          <w:lang w:val="en-GB"/>
        </w:rPr>
        <w:t>they were related</w:t>
      </w:r>
      <w:r w:rsidR="004B2DE4" w:rsidRPr="00901D0D">
        <w:rPr>
          <w:lang w:val="en-GB"/>
        </w:rPr>
        <w:t xml:space="preserve"> to</w:t>
      </w:r>
      <w:r w:rsidR="00E7471E" w:rsidRPr="00901D0D">
        <w:rPr>
          <w:lang w:val="en-GB"/>
        </w:rPr>
        <w:t xml:space="preserve"> general</w:t>
      </w:r>
      <w:r w:rsidR="004B2DE4" w:rsidRPr="00901D0D">
        <w:rPr>
          <w:lang w:val="en-GB"/>
        </w:rPr>
        <w:t xml:space="preserve"> anomalistic belief</w:t>
      </w:r>
      <w:r w:rsidR="00E7471E" w:rsidRPr="00901D0D">
        <w:rPr>
          <w:lang w:val="en-GB"/>
        </w:rPr>
        <w:t xml:space="preserve"> or </w:t>
      </w:r>
      <w:r w:rsidR="000B2018">
        <w:rPr>
          <w:lang w:val="en-GB"/>
        </w:rPr>
        <w:t>only</w:t>
      </w:r>
      <w:r w:rsidR="00E7471E" w:rsidRPr="00901D0D">
        <w:rPr>
          <w:lang w:val="en-GB"/>
        </w:rPr>
        <w:t xml:space="preserve"> to a </w:t>
      </w:r>
      <w:r w:rsidR="004B2DE4" w:rsidRPr="00901D0D">
        <w:rPr>
          <w:lang w:val="en-GB"/>
        </w:rPr>
        <w:t>particular type of belief</w:t>
      </w:r>
      <w:r w:rsidR="00E7471E" w:rsidRPr="00901D0D">
        <w:rPr>
          <w:lang w:val="en-GB"/>
        </w:rPr>
        <w:t>.</w:t>
      </w:r>
    </w:p>
    <w:p w14:paraId="154B37B9" w14:textId="6C1F984C" w:rsidR="00F84542" w:rsidRPr="00901D0D" w:rsidRDefault="00FB1C49" w:rsidP="00F84542">
      <w:pPr>
        <w:ind w:firstLine="0"/>
        <w:contextualSpacing/>
        <w:rPr>
          <w:lang w:val="en-GB"/>
        </w:rPr>
      </w:pPr>
      <w:r w:rsidRPr="00901D0D">
        <w:rPr>
          <w:lang w:val="en-GB"/>
        </w:rPr>
        <w:tab/>
      </w:r>
      <w:r w:rsidR="00D95118" w:rsidRPr="00901D0D">
        <w:rPr>
          <w:lang w:val="en-GB"/>
        </w:rPr>
        <w:t xml:space="preserve">Misperception of chance may be </w:t>
      </w:r>
      <w:r w:rsidR="000F6BD6" w:rsidRPr="00901D0D">
        <w:rPr>
          <w:lang w:val="en-GB"/>
        </w:rPr>
        <w:t>an important</w:t>
      </w:r>
      <w:r w:rsidR="00D95118" w:rsidRPr="00901D0D">
        <w:rPr>
          <w:lang w:val="en-GB"/>
        </w:rPr>
        <w:t xml:space="preserve"> </w:t>
      </w:r>
      <w:r w:rsidR="0088125E" w:rsidRPr="00901D0D">
        <w:rPr>
          <w:lang w:val="en-GB"/>
        </w:rPr>
        <w:t>contribut</w:t>
      </w:r>
      <w:r w:rsidR="000F6BD6" w:rsidRPr="00901D0D">
        <w:rPr>
          <w:lang w:val="en-GB"/>
        </w:rPr>
        <w:t>or</w:t>
      </w:r>
      <w:r w:rsidR="0088125E" w:rsidRPr="00901D0D">
        <w:rPr>
          <w:lang w:val="en-GB"/>
        </w:rPr>
        <w:t xml:space="preserve"> to the formation of anomalistic beliefs</w:t>
      </w:r>
      <w:r w:rsidR="008E26EB" w:rsidRPr="00901D0D">
        <w:rPr>
          <w:lang w:val="en-GB"/>
        </w:rPr>
        <w:t xml:space="preserve"> because</w:t>
      </w:r>
      <w:r w:rsidR="000F6BD6" w:rsidRPr="00901D0D">
        <w:rPr>
          <w:lang w:val="en-GB"/>
        </w:rPr>
        <w:t xml:space="preserve"> we</w:t>
      </w:r>
      <w:r w:rsidR="00BD15A0" w:rsidRPr="00901D0D">
        <w:rPr>
          <w:lang w:val="en-GB"/>
        </w:rPr>
        <w:t xml:space="preserve"> are prone to fi</w:t>
      </w:r>
      <w:r w:rsidR="00E376C9" w:rsidRPr="00901D0D">
        <w:rPr>
          <w:lang w:val="en-GB"/>
        </w:rPr>
        <w:t>nding patterns and are quick to notice coincidences that seem unlikely</w:t>
      </w:r>
      <w:r w:rsidR="00A428B3" w:rsidRPr="00901D0D">
        <w:rPr>
          <w:lang w:val="en-GB"/>
        </w:rPr>
        <w:t xml:space="preserve"> (</w:t>
      </w:r>
      <w:bookmarkStart w:id="3" w:name="_Hlk506839218"/>
      <w:r w:rsidR="00D07202" w:rsidRPr="00901D0D">
        <w:rPr>
          <w:lang w:val="en-GB"/>
        </w:rPr>
        <w:t xml:space="preserve">Alloy &amp; </w:t>
      </w:r>
      <w:proofErr w:type="spellStart"/>
      <w:r w:rsidR="00D07202" w:rsidRPr="00901D0D">
        <w:rPr>
          <w:lang w:val="en-GB"/>
        </w:rPr>
        <w:t>Tabachnik</w:t>
      </w:r>
      <w:proofErr w:type="spellEnd"/>
      <w:r w:rsidR="00D07202" w:rsidRPr="00901D0D">
        <w:rPr>
          <w:lang w:val="en-GB"/>
        </w:rPr>
        <w:t>, 1984</w:t>
      </w:r>
      <w:bookmarkEnd w:id="3"/>
      <w:r w:rsidR="00D07202" w:rsidRPr="00901D0D">
        <w:rPr>
          <w:lang w:val="en-GB"/>
        </w:rPr>
        <w:t>;</w:t>
      </w:r>
      <w:r w:rsidR="00D3517D" w:rsidRPr="00901D0D">
        <w:rPr>
          <w:lang w:val="en-GB"/>
        </w:rPr>
        <w:t xml:space="preserve"> </w:t>
      </w:r>
      <w:bookmarkStart w:id="4" w:name="_Hlk506839231"/>
      <w:r w:rsidR="00D07202" w:rsidRPr="00901D0D">
        <w:rPr>
          <w:lang w:val="en-GB"/>
        </w:rPr>
        <w:t>Griffiths &amp; Tenenbaum, 2007; 2009</w:t>
      </w:r>
      <w:bookmarkEnd w:id="4"/>
      <w:r w:rsidR="00A428B3" w:rsidRPr="00901D0D">
        <w:rPr>
          <w:lang w:val="en-GB"/>
        </w:rPr>
        <w:t>)</w:t>
      </w:r>
      <w:r w:rsidR="00E376C9" w:rsidRPr="00901D0D">
        <w:rPr>
          <w:lang w:val="en-GB"/>
        </w:rPr>
        <w:t xml:space="preserve">. </w:t>
      </w:r>
      <w:r w:rsidR="00D95118" w:rsidRPr="00901D0D">
        <w:rPr>
          <w:lang w:val="en-GB"/>
        </w:rPr>
        <w:t xml:space="preserve">This </w:t>
      </w:r>
      <w:r w:rsidR="00E376C9" w:rsidRPr="00901D0D">
        <w:rPr>
          <w:lang w:val="en-GB"/>
        </w:rPr>
        <w:t xml:space="preserve">process of finding patterns is crucial </w:t>
      </w:r>
      <w:r w:rsidR="000F6BD6" w:rsidRPr="00901D0D">
        <w:rPr>
          <w:lang w:val="en-GB"/>
        </w:rPr>
        <w:t xml:space="preserve">because </w:t>
      </w:r>
      <w:r w:rsidR="00E376C9" w:rsidRPr="00901D0D">
        <w:rPr>
          <w:lang w:val="en-GB"/>
        </w:rPr>
        <w:t xml:space="preserve">it allows us to gain </w:t>
      </w:r>
      <w:r w:rsidR="00D817F6" w:rsidRPr="00901D0D">
        <w:rPr>
          <w:lang w:val="en-GB"/>
        </w:rPr>
        <w:t>insights into the world around us</w:t>
      </w:r>
      <w:r w:rsidR="00A428B3" w:rsidRPr="00901D0D">
        <w:rPr>
          <w:lang w:val="en-GB"/>
        </w:rPr>
        <w:t xml:space="preserve"> (</w:t>
      </w:r>
      <w:r w:rsidR="00D07202" w:rsidRPr="00901D0D">
        <w:rPr>
          <w:lang w:val="en-GB"/>
        </w:rPr>
        <w:t>Griffiths &amp; Tenenbaum, 2009</w:t>
      </w:r>
      <w:r w:rsidR="00A428B3" w:rsidRPr="00901D0D">
        <w:rPr>
          <w:lang w:val="en-GB"/>
        </w:rPr>
        <w:t>)</w:t>
      </w:r>
      <w:r w:rsidR="00D95118" w:rsidRPr="00901D0D">
        <w:rPr>
          <w:lang w:val="en-GB"/>
        </w:rPr>
        <w:t>,</w:t>
      </w:r>
      <w:r w:rsidR="00D817F6" w:rsidRPr="00901D0D">
        <w:rPr>
          <w:lang w:val="en-GB"/>
        </w:rPr>
        <w:t xml:space="preserve"> </w:t>
      </w:r>
      <w:r w:rsidR="00D95118" w:rsidRPr="00901D0D">
        <w:rPr>
          <w:lang w:val="en-GB"/>
        </w:rPr>
        <w:t>however</w:t>
      </w:r>
      <w:r w:rsidR="00450CA8" w:rsidRPr="00901D0D">
        <w:rPr>
          <w:lang w:val="en-GB"/>
        </w:rPr>
        <w:t xml:space="preserve">, </w:t>
      </w:r>
      <w:r w:rsidR="00A428B3" w:rsidRPr="00901D0D">
        <w:rPr>
          <w:lang w:val="en-GB"/>
        </w:rPr>
        <w:t xml:space="preserve">there </w:t>
      </w:r>
      <w:r w:rsidR="00D95118" w:rsidRPr="00901D0D">
        <w:rPr>
          <w:lang w:val="en-GB"/>
        </w:rPr>
        <w:t>also</w:t>
      </w:r>
      <w:r w:rsidR="000F6BD6" w:rsidRPr="00901D0D">
        <w:rPr>
          <w:lang w:val="en-GB"/>
        </w:rPr>
        <w:t xml:space="preserve"> is</w:t>
      </w:r>
      <w:r w:rsidR="00D95118" w:rsidRPr="00901D0D">
        <w:rPr>
          <w:lang w:val="en-GB"/>
        </w:rPr>
        <w:t xml:space="preserve"> </w:t>
      </w:r>
      <w:r w:rsidR="00A428B3" w:rsidRPr="00901D0D">
        <w:rPr>
          <w:lang w:val="en-GB"/>
        </w:rPr>
        <w:t xml:space="preserve">potential for </w:t>
      </w:r>
      <w:r w:rsidR="00D817F6" w:rsidRPr="00901D0D">
        <w:rPr>
          <w:lang w:val="en-GB"/>
        </w:rPr>
        <w:t xml:space="preserve">this process </w:t>
      </w:r>
      <w:r w:rsidR="00A428B3" w:rsidRPr="00901D0D">
        <w:rPr>
          <w:lang w:val="en-GB"/>
        </w:rPr>
        <w:t xml:space="preserve">to </w:t>
      </w:r>
      <w:r w:rsidR="00D817F6" w:rsidRPr="00901D0D">
        <w:rPr>
          <w:lang w:val="en-GB"/>
        </w:rPr>
        <w:t>lead to the attribution of meaningful (or paranormal) interpretations to random patterns or coincidences</w:t>
      </w:r>
      <w:r w:rsidR="00A428B3" w:rsidRPr="00901D0D">
        <w:rPr>
          <w:lang w:val="en-GB"/>
        </w:rPr>
        <w:t xml:space="preserve"> (</w:t>
      </w:r>
      <w:r w:rsidR="00990457" w:rsidRPr="00901D0D">
        <w:rPr>
          <w:lang w:val="en-GB"/>
        </w:rPr>
        <w:t xml:space="preserve">Blackmore &amp; </w:t>
      </w:r>
      <w:proofErr w:type="spellStart"/>
      <w:r w:rsidR="00990457" w:rsidRPr="00901D0D">
        <w:rPr>
          <w:lang w:val="en-GB"/>
        </w:rPr>
        <w:t>Tro</w:t>
      </w:r>
      <w:r w:rsidR="002D2F5F">
        <w:rPr>
          <w:rFonts w:eastAsia="MS Gothic" w:cs="Times New Roman"/>
          <w:b/>
          <w:bCs/>
          <w:szCs w:val="28"/>
          <w:lang w:val="en-GB"/>
        </w:rPr>
        <w:t>ś</w:t>
      </w:r>
      <w:r w:rsidR="00990457" w:rsidRPr="00901D0D">
        <w:rPr>
          <w:lang w:val="en-GB"/>
        </w:rPr>
        <w:t>cianko</w:t>
      </w:r>
      <w:proofErr w:type="spellEnd"/>
      <w:r w:rsidR="00990457" w:rsidRPr="00901D0D">
        <w:rPr>
          <w:lang w:val="en-GB"/>
        </w:rPr>
        <w:t xml:space="preserve">, 1985; Brugger, </w:t>
      </w:r>
      <w:r w:rsidR="001726AB">
        <w:rPr>
          <w:lang w:val="en-GB"/>
        </w:rPr>
        <w:t xml:space="preserve">Landis, &amp; Regard, </w:t>
      </w:r>
      <w:r w:rsidR="00990457" w:rsidRPr="00901D0D">
        <w:rPr>
          <w:lang w:val="en-GB"/>
        </w:rPr>
        <w:t>1990</w:t>
      </w:r>
      <w:r w:rsidR="0001236E" w:rsidRPr="00901D0D">
        <w:rPr>
          <w:lang w:val="en-GB"/>
        </w:rPr>
        <w:t xml:space="preserve">; </w:t>
      </w:r>
      <w:bookmarkStart w:id="5" w:name="_Hlk506839298"/>
      <w:proofErr w:type="spellStart"/>
      <w:r w:rsidR="0001236E" w:rsidRPr="00901D0D">
        <w:rPr>
          <w:lang w:val="en-GB"/>
        </w:rPr>
        <w:t>Kareev</w:t>
      </w:r>
      <w:proofErr w:type="spellEnd"/>
      <w:r w:rsidR="0001236E" w:rsidRPr="00901D0D">
        <w:rPr>
          <w:lang w:val="en-GB"/>
        </w:rPr>
        <w:t>, 1995</w:t>
      </w:r>
      <w:bookmarkEnd w:id="5"/>
      <w:r w:rsidR="00A428B3" w:rsidRPr="00901D0D">
        <w:rPr>
          <w:lang w:val="en-GB"/>
        </w:rPr>
        <w:t>)</w:t>
      </w:r>
      <w:r w:rsidR="00D817F6" w:rsidRPr="00901D0D">
        <w:rPr>
          <w:lang w:val="en-GB"/>
        </w:rPr>
        <w:t xml:space="preserve">. </w:t>
      </w:r>
      <w:r w:rsidR="00F84542" w:rsidRPr="00901D0D">
        <w:rPr>
          <w:lang w:val="en-GB"/>
        </w:rPr>
        <w:t xml:space="preserve">Specifically, several studies have established that higher anomalistic belief is </w:t>
      </w:r>
      <w:r w:rsidR="00F84542" w:rsidRPr="00901D0D">
        <w:rPr>
          <w:lang w:val="en-GB"/>
        </w:rPr>
        <w:lastRenderedPageBreak/>
        <w:t xml:space="preserve">associated with poorer probabilistic reasoning in areas such as judging and producing </w:t>
      </w:r>
      <w:proofErr w:type="gramStart"/>
      <w:r w:rsidR="00F84542" w:rsidRPr="00901D0D">
        <w:rPr>
          <w:lang w:val="en-GB"/>
        </w:rPr>
        <w:t>randomness, and</w:t>
      </w:r>
      <w:proofErr w:type="gramEnd"/>
      <w:r w:rsidR="00F84542" w:rsidRPr="00901D0D">
        <w:rPr>
          <w:lang w:val="en-GB"/>
        </w:rPr>
        <w:t xml:space="preserve"> responding to changes in sample size (Blackmore &amp; </w:t>
      </w:r>
      <w:proofErr w:type="spellStart"/>
      <w:r w:rsidR="00F84542" w:rsidRPr="00901D0D">
        <w:rPr>
          <w:lang w:val="en-GB"/>
        </w:rPr>
        <w:t>Tro</w:t>
      </w:r>
      <w:r w:rsidR="00F84542">
        <w:rPr>
          <w:rFonts w:eastAsia="MS Gothic" w:cs="Times New Roman"/>
          <w:b/>
          <w:bCs/>
          <w:szCs w:val="28"/>
          <w:lang w:val="en-GB"/>
        </w:rPr>
        <w:t>ś</w:t>
      </w:r>
      <w:r w:rsidR="00F84542" w:rsidRPr="00901D0D">
        <w:rPr>
          <w:lang w:val="en-GB"/>
        </w:rPr>
        <w:t>cianko</w:t>
      </w:r>
      <w:proofErr w:type="spellEnd"/>
      <w:r w:rsidR="00F84542" w:rsidRPr="00901D0D">
        <w:rPr>
          <w:lang w:val="en-GB"/>
        </w:rPr>
        <w:t xml:space="preserve">, 1985; Brugger et al., 1990; </w:t>
      </w:r>
      <w:proofErr w:type="spellStart"/>
      <w:r w:rsidR="00F84542" w:rsidRPr="00901D0D">
        <w:rPr>
          <w:lang w:val="en-GB"/>
        </w:rPr>
        <w:t>Dagnall</w:t>
      </w:r>
      <w:proofErr w:type="spellEnd"/>
      <w:r w:rsidR="00F84542" w:rsidRPr="00901D0D">
        <w:rPr>
          <w:lang w:val="en-GB"/>
        </w:rPr>
        <w:t xml:space="preserve">, Parker, &amp; </w:t>
      </w:r>
      <w:proofErr w:type="spellStart"/>
      <w:r w:rsidR="00F84542" w:rsidRPr="00901D0D">
        <w:rPr>
          <w:lang w:val="en-GB"/>
        </w:rPr>
        <w:t>Munley</w:t>
      </w:r>
      <w:proofErr w:type="spellEnd"/>
      <w:r w:rsidR="00F84542" w:rsidRPr="00901D0D">
        <w:rPr>
          <w:lang w:val="en-GB"/>
        </w:rPr>
        <w:t xml:space="preserve">, 2007). </w:t>
      </w:r>
      <w:r w:rsidR="00F84542" w:rsidRPr="004A6F0A">
        <w:rPr>
          <w:lang w:val="en-GB"/>
        </w:rPr>
        <w:t>Although these studies are not able to pinpoint the direction of the relationship</w:t>
      </w:r>
      <w:r w:rsidR="00F84542" w:rsidRPr="00901D0D">
        <w:rPr>
          <w:lang w:val="en-GB"/>
        </w:rPr>
        <w:t xml:space="preserve">, one proposed explanation for the formation of anomalistic beliefs is that people attribute anomalistic explanations to chance occurrences and this leads them to develop anomalistic beliefs. For example, if people have a poor understanding of how likely two events are to occur by coincidence they may assume that a purely coincidental occurrence has an anomalistic cause. However, a solid understanding of probabilistic reasoning would allow them to realise that coincidences, even if unlikely, can occur purely by chance and do not require an anomalistic explanation. </w:t>
      </w:r>
    </w:p>
    <w:p w14:paraId="02BFC17C" w14:textId="116E5B43" w:rsidR="005F484F" w:rsidRDefault="00AD5A4F" w:rsidP="005F484F">
      <w:pPr>
        <w:ind w:firstLine="0"/>
        <w:rPr>
          <w:lang w:val="en-GB"/>
        </w:rPr>
      </w:pPr>
      <w:r w:rsidRPr="00901D0D">
        <w:rPr>
          <w:lang w:val="en-GB"/>
        </w:rPr>
        <w:tab/>
      </w:r>
      <w:r w:rsidR="005F484F">
        <w:rPr>
          <w:lang w:val="en-GB"/>
        </w:rPr>
        <w:t>One common way that people misperceive chance is by expecting something that is random overall (e.g., flipping an unbiased coin) to also show random patterns when a small sequence is selected (</w:t>
      </w:r>
      <w:bookmarkStart w:id="6" w:name="_Hlk506839316"/>
      <w:r w:rsidR="005F484F">
        <w:rPr>
          <w:lang w:val="en-GB"/>
        </w:rPr>
        <w:t>Kahneman &amp; Tversky, 1972</w:t>
      </w:r>
      <w:bookmarkEnd w:id="6"/>
      <w:r w:rsidR="005F484F">
        <w:rPr>
          <w:lang w:val="en-GB"/>
        </w:rPr>
        <w:t>; Tversky &amp; Kahneman, 1974). For example, even though an unbiased coin has a 50/50 chance of coming up heads or tails when flipped, a small sequence of flips will not necessarily have an equal number of heads and tails. Also, when tasked with generating or identifying random sequences of coin flips, people produce and/or select sequences that alternate more frequently than would be statistically expected (</w:t>
      </w:r>
      <w:bookmarkStart w:id="7" w:name="_Hlk506839383"/>
      <w:r w:rsidR="005F484F">
        <w:rPr>
          <w:lang w:val="en-GB"/>
        </w:rPr>
        <w:t xml:space="preserve">Lopes &amp; Oden, 1987; </w:t>
      </w:r>
      <w:proofErr w:type="spellStart"/>
      <w:r w:rsidR="005F484F">
        <w:rPr>
          <w:lang w:val="en-GB"/>
        </w:rPr>
        <w:t>Wagenaar</w:t>
      </w:r>
      <w:proofErr w:type="spellEnd"/>
      <w:r w:rsidR="005F484F">
        <w:rPr>
          <w:lang w:val="en-GB"/>
        </w:rPr>
        <w:t>, 1970</w:t>
      </w:r>
      <w:bookmarkEnd w:id="7"/>
      <w:r w:rsidR="005F484F">
        <w:rPr>
          <w:lang w:val="en-GB"/>
        </w:rPr>
        <w:t xml:space="preserve">). </w:t>
      </w:r>
      <w:proofErr w:type="spellStart"/>
      <w:r w:rsidR="005F484F">
        <w:rPr>
          <w:lang w:val="en-GB"/>
        </w:rPr>
        <w:t>Oskarsson</w:t>
      </w:r>
      <w:proofErr w:type="spellEnd"/>
      <w:r w:rsidR="005F484F">
        <w:rPr>
          <w:lang w:val="en-GB"/>
        </w:rPr>
        <w:t>, Van Boven, McClelland, and Hastie (2009) argued that the cumulative findings from this research suggest that people have imperfect internal cognitive representations of chance, randomness, and probability, and that these representations may lead to making inaccurate judgements and decisions when assessing phenomena in the external world.</w:t>
      </w:r>
    </w:p>
    <w:p w14:paraId="6055C48F" w14:textId="724392F2" w:rsidR="00D13748" w:rsidRDefault="0088125E" w:rsidP="005F484F">
      <w:pPr>
        <w:contextualSpacing/>
        <w:rPr>
          <w:lang w:val="en-GB"/>
        </w:rPr>
      </w:pPr>
      <w:r w:rsidRPr="00901D0D">
        <w:rPr>
          <w:lang w:val="en-GB"/>
        </w:rPr>
        <w:t>The base rate fallacy is a</w:t>
      </w:r>
      <w:r w:rsidR="00AD5A4F" w:rsidRPr="00901D0D">
        <w:rPr>
          <w:lang w:val="en-GB"/>
        </w:rPr>
        <w:t>nother</w:t>
      </w:r>
      <w:r w:rsidRPr="00901D0D">
        <w:rPr>
          <w:lang w:val="en-GB"/>
        </w:rPr>
        <w:t xml:space="preserve"> well-established judgement and </w:t>
      </w:r>
      <w:r w:rsidR="00620C39" w:rsidRPr="00901D0D">
        <w:rPr>
          <w:lang w:val="en-GB"/>
        </w:rPr>
        <w:t>decision-making</w:t>
      </w:r>
      <w:r w:rsidRPr="00901D0D">
        <w:rPr>
          <w:lang w:val="en-GB"/>
        </w:rPr>
        <w:t xml:space="preserve"> </w:t>
      </w:r>
      <w:r w:rsidR="00BD5821" w:rsidRPr="00901D0D">
        <w:rPr>
          <w:lang w:val="en-GB"/>
        </w:rPr>
        <w:t xml:space="preserve">error </w:t>
      </w:r>
      <w:r w:rsidRPr="00901D0D">
        <w:rPr>
          <w:lang w:val="en-GB"/>
        </w:rPr>
        <w:t>(</w:t>
      </w:r>
      <w:proofErr w:type="spellStart"/>
      <w:r w:rsidR="00A428B3" w:rsidRPr="00901D0D">
        <w:rPr>
          <w:lang w:val="en-GB"/>
        </w:rPr>
        <w:t>Fischoff</w:t>
      </w:r>
      <w:proofErr w:type="spellEnd"/>
      <w:r w:rsidR="00A428B3" w:rsidRPr="00901D0D">
        <w:rPr>
          <w:lang w:val="en-GB"/>
        </w:rPr>
        <w:t xml:space="preserve"> &amp; </w:t>
      </w:r>
      <w:r w:rsidRPr="00901D0D">
        <w:rPr>
          <w:lang w:val="en-GB"/>
        </w:rPr>
        <w:t xml:space="preserve">Bar-Hillel, </w:t>
      </w:r>
      <w:r w:rsidR="00A428B3" w:rsidRPr="00901D0D">
        <w:rPr>
          <w:lang w:val="en-GB"/>
        </w:rPr>
        <w:t>1984</w:t>
      </w:r>
      <w:r w:rsidRPr="00901D0D">
        <w:rPr>
          <w:lang w:val="en-GB"/>
        </w:rPr>
        <w:t>; Kahneman &amp; Tversky, 1973)</w:t>
      </w:r>
      <w:r w:rsidR="00045165" w:rsidRPr="00901D0D">
        <w:rPr>
          <w:lang w:val="en-GB"/>
        </w:rPr>
        <w:t xml:space="preserve"> that may contribute to anomalistic beliefs</w:t>
      </w:r>
      <w:r w:rsidRPr="00901D0D">
        <w:rPr>
          <w:lang w:val="en-GB"/>
        </w:rPr>
        <w:t xml:space="preserve">. </w:t>
      </w:r>
      <w:r w:rsidR="00045165" w:rsidRPr="00901D0D">
        <w:rPr>
          <w:lang w:val="en-GB"/>
        </w:rPr>
        <w:t>P</w:t>
      </w:r>
      <w:r w:rsidRPr="00901D0D">
        <w:rPr>
          <w:lang w:val="en-GB"/>
        </w:rPr>
        <w:t xml:space="preserve">eople </w:t>
      </w:r>
      <w:r w:rsidR="00045165" w:rsidRPr="00901D0D">
        <w:rPr>
          <w:lang w:val="en-GB"/>
        </w:rPr>
        <w:t xml:space="preserve">demonstrate the base rate fallacy when they </w:t>
      </w:r>
      <w:r w:rsidRPr="00901D0D">
        <w:rPr>
          <w:lang w:val="en-GB"/>
        </w:rPr>
        <w:t xml:space="preserve">do not consider </w:t>
      </w:r>
      <w:r w:rsidRPr="00901D0D">
        <w:rPr>
          <w:lang w:val="en-GB"/>
        </w:rPr>
        <w:lastRenderedPageBreak/>
        <w:t xml:space="preserve">background information </w:t>
      </w:r>
      <w:r w:rsidR="001E533B" w:rsidRPr="00901D0D">
        <w:rPr>
          <w:lang w:val="en-GB"/>
        </w:rPr>
        <w:t xml:space="preserve">that </w:t>
      </w:r>
      <w:r w:rsidRPr="00901D0D">
        <w:rPr>
          <w:lang w:val="en-GB"/>
        </w:rPr>
        <w:t xml:space="preserve">is important and relevant to a task, and instead focus on the </w:t>
      </w:r>
      <w:r w:rsidR="00045165" w:rsidRPr="00901D0D">
        <w:rPr>
          <w:lang w:val="en-GB"/>
        </w:rPr>
        <w:t xml:space="preserve">available </w:t>
      </w:r>
      <w:r w:rsidRPr="00901D0D">
        <w:rPr>
          <w:lang w:val="en-GB"/>
        </w:rPr>
        <w:t>descriptive information. A common example of the base rate fallacy is the cabs problem</w:t>
      </w:r>
      <w:r w:rsidR="00045165" w:rsidRPr="00901D0D">
        <w:rPr>
          <w:lang w:val="en-GB"/>
        </w:rPr>
        <w:t xml:space="preserve">, where </w:t>
      </w:r>
      <w:r w:rsidRPr="00901D0D">
        <w:rPr>
          <w:lang w:val="en-GB"/>
        </w:rPr>
        <w:t xml:space="preserve">people are told that 85% </w:t>
      </w:r>
      <w:r w:rsidR="00045165" w:rsidRPr="00901D0D">
        <w:rPr>
          <w:lang w:val="en-GB"/>
        </w:rPr>
        <w:t xml:space="preserve">of the cabs in a city </w:t>
      </w:r>
      <w:r w:rsidRPr="00901D0D">
        <w:rPr>
          <w:lang w:val="en-GB"/>
        </w:rPr>
        <w:t>are blue and 15% are green. They also</w:t>
      </w:r>
      <w:r w:rsidR="00045165" w:rsidRPr="00901D0D">
        <w:rPr>
          <w:lang w:val="en-GB"/>
        </w:rPr>
        <w:t xml:space="preserve"> are</w:t>
      </w:r>
      <w:r w:rsidRPr="00901D0D">
        <w:rPr>
          <w:lang w:val="en-GB"/>
        </w:rPr>
        <w:t xml:space="preserve"> told that </w:t>
      </w:r>
      <w:r w:rsidR="00045165" w:rsidRPr="00901D0D">
        <w:rPr>
          <w:lang w:val="en-GB"/>
        </w:rPr>
        <w:t xml:space="preserve">there was a hit and run accident at night and </w:t>
      </w:r>
      <w:r w:rsidR="00BD5821" w:rsidRPr="00901D0D">
        <w:rPr>
          <w:lang w:val="en-GB"/>
        </w:rPr>
        <w:t xml:space="preserve">that </w:t>
      </w:r>
      <w:r w:rsidRPr="00901D0D">
        <w:rPr>
          <w:lang w:val="en-GB"/>
        </w:rPr>
        <w:t>a witness</w:t>
      </w:r>
      <w:r w:rsidR="00045165" w:rsidRPr="00901D0D">
        <w:rPr>
          <w:lang w:val="en-GB"/>
        </w:rPr>
        <w:t>,</w:t>
      </w:r>
      <w:r w:rsidRPr="00901D0D">
        <w:rPr>
          <w:lang w:val="en-GB"/>
        </w:rPr>
        <w:t xml:space="preserve"> who </w:t>
      </w:r>
      <w:r w:rsidR="008848D0" w:rsidRPr="00901D0D">
        <w:rPr>
          <w:lang w:val="en-GB"/>
        </w:rPr>
        <w:t xml:space="preserve">has been shown to be able to </w:t>
      </w:r>
      <w:r w:rsidRPr="00901D0D">
        <w:rPr>
          <w:lang w:val="en-GB"/>
        </w:rPr>
        <w:t>correctly identify the colour of the cab</w:t>
      </w:r>
      <w:r w:rsidR="008848D0" w:rsidRPr="00901D0D">
        <w:rPr>
          <w:lang w:val="en-GB"/>
        </w:rPr>
        <w:t xml:space="preserve"> at night</w:t>
      </w:r>
      <w:r w:rsidRPr="00901D0D">
        <w:rPr>
          <w:lang w:val="en-GB"/>
        </w:rPr>
        <w:t xml:space="preserve"> 80% of the time</w:t>
      </w:r>
      <w:r w:rsidR="00045165" w:rsidRPr="00901D0D">
        <w:rPr>
          <w:lang w:val="en-GB"/>
        </w:rPr>
        <w:t>,</w:t>
      </w:r>
      <w:r w:rsidRPr="00901D0D">
        <w:rPr>
          <w:lang w:val="en-GB"/>
        </w:rPr>
        <w:t xml:space="preserve"> identified the cab as being green. </w:t>
      </w:r>
      <w:r w:rsidR="00BD5821" w:rsidRPr="00901D0D">
        <w:rPr>
          <w:lang w:val="en-GB"/>
        </w:rPr>
        <w:t>P</w:t>
      </w:r>
      <w:r w:rsidRPr="00901D0D">
        <w:rPr>
          <w:lang w:val="en-GB"/>
        </w:rPr>
        <w:t xml:space="preserve">eople are </w:t>
      </w:r>
      <w:r w:rsidR="00BD5821" w:rsidRPr="00901D0D">
        <w:rPr>
          <w:lang w:val="en-GB"/>
        </w:rPr>
        <w:t xml:space="preserve">then </w:t>
      </w:r>
      <w:r w:rsidRPr="00901D0D">
        <w:rPr>
          <w:lang w:val="en-GB"/>
        </w:rPr>
        <w:t>asked how lik</w:t>
      </w:r>
      <w:r w:rsidR="00A321D6" w:rsidRPr="00901D0D">
        <w:rPr>
          <w:lang w:val="en-GB"/>
        </w:rPr>
        <w:t>ely it is that the cab is green</w:t>
      </w:r>
      <w:r w:rsidR="008848D0" w:rsidRPr="00901D0D">
        <w:rPr>
          <w:lang w:val="en-GB"/>
        </w:rPr>
        <w:t>, and m</w:t>
      </w:r>
      <w:r w:rsidRPr="00901D0D">
        <w:rPr>
          <w:lang w:val="en-GB"/>
        </w:rPr>
        <w:t xml:space="preserve">any </w:t>
      </w:r>
      <w:proofErr w:type="gramStart"/>
      <w:r w:rsidRPr="00901D0D">
        <w:rPr>
          <w:lang w:val="en-GB"/>
        </w:rPr>
        <w:t>report</w:t>
      </w:r>
      <w:proofErr w:type="gramEnd"/>
      <w:r w:rsidRPr="00901D0D">
        <w:rPr>
          <w:lang w:val="en-GB"/>
        </w:rPr>
        <w:t xml:space="preserve"> </w:t>
      </w:r>
      <w:r w:rsidR="00BD5821" w:rsidRPr="00901D0D">
        <w:rPr>
          <w:lang w:val="en-GB"/>
        </w:rPr>
        <w:t>an</w:t>
      </w:r>
      <w:r w:rsidR="00A321D6" w:rsidRPr="00901D0D">
        <w:rPr>
          <w:lang w:val="en-GB"/>
        </w:rPr>
        <w:t xml:space="preserve"> 80% </w:t>
      </w:r>
      <w:r w:rsidR="00BD5821" w:rsidRPr="00901D0D">
        <w:rPr>
          <w:lang w:val="en-GB"/>
        </w:rPr>
        <w:t>likelihood</w:t>
      </w:r>
      <w:r w:rsidR="008848D0" w:rsidRPr="00901D0D">
        <w:rPr>
          <w:lang w:val="en-GB"/>
        </w:rPr>
        <w:t>.</w:t>
      </w:r>
      <w:r w:rsidRPr="00901D0D">
        <w:rPr>
          <w:lang w:val="en-GB"/>
        </w:rPr>
        <w:t xml:space="preserve"> </w:t>
      </w:r>
      <w:r w:rsidR="008848D0" w:rsidRPr="00901D0D">
        <w:rPr>
          <w:lang w:val="en-GB"/>
        </w:rPr>
        <w:t>H</w:t>
      </w:r>
      <w:r w:rsidRPr="00901D0D">
        <w:rPr>
          <w:lang w:val="en-GB"/>
        </w:rPr>
        <w:t xml:space="preserve">owever, </w:t>
      </w:r>
      <w:r w:rsidR="008848D0" w:rsidRPr="00901D0D">
        <w:rPr>
          <w:lang w:val="en-GB"/>
        </w:rPr>
        <w:t xml:space="preserve">this </w:t>
      </w:r>
      <w:r w:rsidRPr="00901D0D">
        <w:rPr>
          <w:lang w:val="en-GB"/>
        </w:rPr>
        <w:t xml:space="preserve">conclusion does not consider the base rate of </w:t>
      </w:r>
      <w:r w:rsidR="008848D0" w:rsidRPr="00901D0D">
        <w:rPr>
          <w:lang w:val="en-GB"/>
        </w:rPr>
        <w:t xml:space="preserve">the two colours of </w:t>
      </w:r>
      <w:r w:rsidRPr="00901D0D">
        <w:rPr>
          <w:lang w:val="en-GB"/>
        </w:rPr>
        <w:t>cabs within the city</w:t>
      </w:r>
      <w:r w:rsidR="00A428B3" w:rsidRPr="00901D0D">
        <w:rPr>
          <w:lang w:val="en-GB"/>
        </w:rPr>
        <w:t xml:space="preserve"> (</w:t>
      </w:r>
      <w:r w:rsidR="00D07202" w:rsidRPr="00901D0D">
        <w:rPr>
          <w:lang w:val="en-GB"/>
        </w:rPr>
        <w:t>Bar-Hillel, 1980; Kahneman &amp; Tversky, 1973</w:t>
      </w:r>
      <w:r w:rsidR="00A428B3" w:rsidRPr="00901D0D">
        <w:rPr>
          <w:lang w:val="en-GB"/>
        </w:rPr>
        <w:t>)</w:t>
      </w:r>
      <w:r w:rsidRPr="00901D0D">
        <w:rPr>
          <w:lang w:val="en-GB"/>
        </w:rPr>
        <w:t xml:space="preserve">. </w:t>
      </w:r>
      <w:r w:rsidR="000C03EE">
        <w:rPr>
          <w:lang w:val="en-GB"/>
        </w:rPr>
        <w:t xml:space="preserve">Specifically, </w:t>
      </w:r>
      <w:r w:rsidR="00A321D6" w:rsidRPr="00901D0D">
        <w:rPr>
          <w:lang w:val="en-GB"/>
        </w:rPr>
        <w:t>it is important</w:t>
      </w:r>
      <w:r w:rsidRPr="00901D0D">
        <w:rPr>
          <w:lang w:val="en-GB"/>
        </w:rPr>
        <w:t xml:space="preserve"> to consider both the individual descriptive information about the witness’s accuracy and the base rate of green cabs. Based on both</w:t>
      </w:r>
      <w:r w:rsidR="008848D0" w:rsidRPr="00901D0D">
        <w:rPr>
          <w:lang w:val="en-GB"/>
        </w:rPr>
        <w:t xml:space="preserve">, </w:t>
      </w:r>
      <w:r w:rsidRPr="00901D0D">
        <w:rPr>
          <w:lang w:val="en-GB"/>
        </w:rPr>
        <w:t>the correct probability of the cab being green is 41%</w:t>
      </w:r>
      <w:r w:rsidR="005B0A6D" w:rsidRPr="00901D0D">
        <w:rPr>
          <w:lang w:val="en-GB"/>
        </w:rPr>
        <w:t xml:space="preserve"> because,</w:t>
      </w:r>
      <w:r w:rsidRPr="00901D0D">
        <w:rPr>
          <w:lang w:val="en-GB"/>
        </w:rPr>
        <w:t xml:space="preserve"> even though the witness is 80% accurate and identified the cab as green, </w:t>
      </w:r>
      <w:r w:rsidR="00EA3A17" w:rsidRPr="00901D0D">
        <w:rPr>
          <w:lang w:val="en-GB"/>
        </w:rPr>
        <w:t>the witness is still wrong 20% of the time</w:t>
      </w:r>
      <w:r w:rsidR="008E26EB" w:rsidRPr="00901D0D">
        <w:rPr>
          <w:lang w:val="en-GB"/>
        </w:rPr>
        <w:t xml:space="preserve">; thus, </w:t>
      </w:r>
      <w:r w:rsidRPr="00901D0D">
        <w:rPr>
          <w:lang w:val="en-GB"/>
        </w:rPr>
        <w:t>due to the low base rate of green cabs (15%)</w:t>
      </w:r>
      <w:r w:rsidR="005B0A6D" w:rsidRPr="00901D0D">
        <w:rPr>
          <w:lang w:val="en-GB"/>
        </w:rPr>
        <w:t>,</w:t>
      </w:r>
      <w:r w:rsidRPr="00901D0D">
        <w:rPr>
          <w:lang w:val="en-GB"/>
        </w:rPr>
        <w:t xml:space="preserve"> it is more likely </w:t>
      </w:r>
      <w:r w:rsidR="00A321D6" w:rsidRPr="00901D0D">
        <w:rPr>
          <w:lang w:val="en-GB"/>
        </w:rPr>
        <w:t>that</w:t>
      </w:r>
      <w:r w:rsidRPr="00901D0D">
        <w:rPr>
          <w:lang w:val="en-GB"/>
        </w:rPr>
        <w:t xml:space="preserve"> the cab was blue than green.</w:t>
      </w:r>
      <w:r w:rsidR="00CD5B75">
        <w:rPr>
          <w:lang w:val="en-GB"/>
        </w:rPr>
        <w:t xml:space="preserve"> </w:t>
      </w:r>
    </w:p>
    <w:p w14:paraId="68A40464" w14:textId="128F30DB" w:rsidR="0088125E" w:rsidRPr="00901D0D" w:rsidRDefault="000A55A5" w:rsidP="00D13748">
      <w:pPr>
        <w:rPr>
          <w:lang w:val="en-GB"/>
        </w:rPr>
      </w:pPr>
      <w:r>
        <w:rPr>
          <w:lang w:val="en-GB"/>
        </w:rPr>
        <w:t>C</w:t>
      </w:r>
      <w:r w:rsidR="00925258">
        <w:rPr>
          <w:lang w:val="en-GB"/>
        </w:rPr>
        <w:t xml:space="preserve">alculating the correct probability </w:t>
      </w:r>
      <w:r>
        <w:rPr>
          <w:lang w:val="en-GB"/>
        </w:rPr>
        <w:t>in the above example</w:t>
      </w:r>
      <w:r w:rsidR="00925258">
        <w:rPr>
          <w:lang w:val="en-GB"/>
        </w:rPr>
        <w:t xml:space="preserve"> relies on t</w:t>
      </w:r>
      <w:r w:rsidR="00B637BA">
        <w:rPr>
          <w:lang w:val="en-GB"/>
        </w:rPr>
        <w:t xml:space="preserve">he </w:t>
      </w:r>
      <w:r w:rsidR="00925258">
        <w:rPr>
          <w:lang w:val="en-GB"/>
        </w:rPr>
        <w:t xml:space="preserve">normative </w:t>
      </w:r>
      <w:r w:rsidR="00B637BA">
        <w:rPr>
          <w:lang w:val="en-GB"/>
        </w:rPr>
        <w:t>assumption that participants should adopt the base rate as their prior and then update according to Bayes theorem</w:t>
      </w:r>
      <w:r w:rsidR="003E3A85">
        <w:rPr>
          <w:lang w:val="en-GB"/>
        </w:rPr>
        <w:t>.</w:t>
      </w:r>
      <w:r w:rsidR="00B637BA">
        <w:rPr>
          <w:lang w:val="en-GB"/>
        </w:rPr>
        <w:t xml:space="preserve"> </w:t>
      </w:r>
      <w:r w:rsidR="003E3A85">
        <w:rPr>
          <w:lang w:val="en-GB"/>
        </w:rPr>
        <w:t>Several researchers</w:t>
      </w:r>
      <w:r w:rsidR="00925258">
        <w:rPr>
          <w:lang w:val="en-GB"/>
        </w:rPr>
        <w:t xml:space="preserve"> </w:t>
      </w:r>
      <w:r w:rsidR="00B637BA">
        <w:rPr>
          <w:lang w:val="en-GB"/>
        </w:rPr>
        <w:t>ha</w:t>
      </w:r>
      <w:r w:rsidR="003E3A85">
        <w:rPr>
          <w:lang w:val="en-GB"/>
        </w:rPr>
        <w:t>ve</w:t>
      </w:r>
      <w:r w:rsidR="00B637BA">
        <w:rPr>
          <w:lang w:val="en-GB"/>
        </w:rPr>
        <w:t xml:space="preserve"> challenged</w:t>
      </w:r>
      <w:r w:rsidR="000C03EE">
        <w:rPr>
          <w:lang w:val="en-GB"/>
        </w:rPr>
        <w:t xml:space="preserve"> </w:t>
      </w:r>
      <w:r w:rsidR="003E3A85">
        <w:rPr>
          <w:lang w:val="en-GB"/>
        </w:rPr>
        <w:t>this assumption, arguing that participants’ prior</w:t>
      </w:r>
      <w:r w:rsidR="00563EC5">
        <w:rPr>
          <w:lang w:val="en-GB"/>
        </w:rPr>
        <w:t>s</w:t>
      </w:r>
      <w:r w:rsidR="003E3A85">
        <w:rPr>
          <w:lang w:val="en-GB"/>
        </w:rPr>
        <w:t xml:space="preserve"> may deviate from the base rate and still be rational </w:t>
      </w:r>
      <w:r w:rsidR="000C03EE">
        <w:rPr>
          <w:lang w:val="en-GB"/>
        </w:rPr>
        <w:t>(</w:t>
      </w:r>
      <w:proofErr w:type="spellStart"/>
      <w:r w:rsidR="003E3A85">
        <w:rPr>
          <w:lang w:val="en-GB"/>
        </w:rPr>
        <w:t>Gigerenzer</w:t>
      </w:r>
      <w:proofErr w:type="spellEnd"/>
      <w:r w:rsidR="003E3A85">
        <w:rPr>
          <w:lang w:val="en-GB"/>
        </w:rPr>
        <w:t>, 1991; Koehler, 1996</w:t>
      </w:r>
      <w:r w:rsidR="000C03EE">
        <w:rPr>
          <w:lang w:val="en-GB"/>
        </w:rPr>
        <w:t>)</w:t>
      </w:r>
      <w:r w:rsidR="00B637BA">
        <w:rPr>
          <w:lang w:val="en-GB"/>
        </w:rPr>
        <w:t>.</w:t>
      </w:r>
      <w:r w:rsidR="00EE2808">
        <w:rPr>
          <w:lang w:val="en-GB"/>
        </w:rPr>
        <w:t xml:space="preserve"> </w:t>
      </w:r>
      <w:r w:rsidR="00B637BA">
        <w:rPr>
          <w:lang w:val="en-GB"/>
        </w:rPr>
        <w:t xml:space="preserve">Additionally, </w:t>
      </w:r>
      <w:r w:rsidR="00563EC5">
        <w:rPr>
          <w:lang w:val="en-GB"/>
        </w:rPr>
        <w:t xml:space="preserve">the base rate fallacy may not be as common as initially thought, with </w:t>
      </w:r>
      <w:r w:rsidR="00CD5B75">
        <w:rPr>
          <w:lang w:val="en-GB"/>
        </w:rPr>
        <w:t xml:space="preserve">several studies </w:t>
      </w:r>
      <w:r w:rsidR="00563EC5">
        <w:rPr>
          <w:lang w:val="en-GB"/>
        </w:rPr>
        <w:t>finding</w:t>
      </w:r>
      <w:r w:rsidR="00B43639">
        <w:rPr>
          <w:lang w:val="en-GB"/>
        </w:rPr>
        <w:t xml:space="preserve"> that </w:t>
      </w:r>
      <w:r w:rsidR="00EE2808">
        <w:rPr>
          <w:lang w:val="en-GB"/>
        </w:rPr>
        <w:t xml:space="preserve">participants do </w:t>
      </w:r>
      <w:r w:rsidR="004746D4">
        <w:rPr>
          <w:lang w:val="en-GB"/>
        </w:rPr>
        <w:t>not always ignore base rate</w:t>
      </w:r>
      <w:r w:rsidR="00CD5B75">
        <w:rPr>
          <w:lang w:val="en-GB"/>
        </w:rPr>
        <w:t>s</w:t>
      </w:r>
      <w:r w:rsidR="00B637BA">
        <w:rPr>
          <w:lang w:val="en-GB"/>
        </w:rPr>
        <w:t xml:space="preserve"> (for a review see Koehler, 1996)</w:t>
      </w:r>
      <w:r w:rsidR="004746D4">
        <w:rPr>
          <w:lang w:val="en-GB"/>
        </w:rPr>
        <w:t xml:space="preserve">. </w:t>
      </w:r>
      <w:r w:rsidR="00CD5B75">
        <w:rPr>
          <w:lang w:val="en-GB"/>
        </w:rPr>
        <w:t>T</w:t>
      </w:r>
      <w:r w:rsidR="00B43639">
        <w:rPr>
          <w:lang w:val="en-GB"/>
        </w:rPr>
        <w:t xml:space="preserve">hese </w:t>
      </w:r>
      <w:r w:rsidR="00B637BA">
        <w:rPr>
          <w:lang w:val="en-GB"/>
        </w:rPr>
        <w:t>findings</w:t>
      </w:r>
      <w:r w:rsidR="00C12BA2">
        <w:rPr>
          <w:lang w:val="en-GB"/>
        </w:rPr>
        <w:t xml:space="preserve"> </w:t>
      </w:r>
      <w:r w:rsidR="00B43639">
        <w:rPr>
          <w:lang w:val="en-GB"/>
        </w:rPr>
        <w:t xml:space="preserve">suggest that </w:t>
      </w:r>
      <w:r w:rsidR="00CD5B75">
        <w:rPr>
          <w:lang w:val="en-GB"/>
        </w:rPr>
        <w:t xml:space="preserve">the </w:t>
      </w:r>
      <w:r w:rsidR="00B43639">
        <w:rPr>
          <w:lang w:val="en-GB"/>
        </w:rPr>
        <w:t>tendency to use base rates can vary considerably de</w:t>
      </w:r>
      <w:r w:rsidR="00CD5B75">
        <w:rPr>
          <w:lang w:val="en-GB"/>
        </w:rPr>
        <w:t>pending on a variety of factors</w:t>
      </w:r>
      <w:r w:rsidR="000C03EE">
        <w:rPr>
          <w:lang w:val="en-GB"/>
        </w:rPr>
        <w:t>; for example</w:t>
      </w:r>
      <w:r w:rsidR="003E3A85">
        <w:rPr>
          <w:lang w:val="en-GB"/>
        </w:rPr>
        <w:t xml:space="preserve"> participants are</w:t>
      </w:r>
      <w:r w:rsidR="000C03EE">
        <w:rPr>
          <w:lang w:val="en-GB"/>
        </w:rPr>
        <w:t xml:space="preserve"> </w:t>
      </w:r>
      <w:r w:rsidR="003E3A85">
        <w:rPr>
          <w:lang w:val="en-GB"/>
        </w:rPr>
        <w:t xml:space="preserve">more likely to use base rate information if they </w:t>
      </w:r>
      <w:r w:rsidR="00B22D5E">
        <w:rPr>
          <w:lang w:val="en-GB"/>
        </w:rPr>
        <w:t xml:space="preserve">have direct experience of the base rate (e.g., through feedback after trials; </w:t>
      </w:r>
      <w:proofErr w:type="spellStart"/>
      <w:r w:rsidR="00161FDB">
        <w:rPr>
          <w:lang w:val="en-GB"/>
        </w:rPr>
        <w:t>Medin</w:t>
      </w:r>
      <w:proofErr w:type="spellEnd"/>
      <w:r w:rsidR="00161FDB">
        <w:rPr>
          <w:lang w:val="en-GB"/>
        </w:rPr>
        <w:t xml:space="preserve"> &amp; Edelson, 1988</w:t>
      </w:r>
      <w:r w:rsidR="000C03EE">
        <w:rPr>
          <w:lang w:val="en-GB"/>
        </w:rPr>
        <w:t>)</w:t>
      </w:r>
      <w:r w:rsidR="00161FDB">
        <w:rPr>
          <w:lang w:val="en-GB"/>
        </w:rPr>
        <w:t xml:space="preserve"> or if the problem is presented in terms of frequencies rather than probabilities (</w:t>
      </w:r>
      <w:proofErr w:type="spellStart"/>
      <w:r w:rsidR="00161FDB">
        <w:rPr>
          <w:lang w:val="en-GB"/>
        </w:rPr>
        <w:t>Barbey</w:t>
      </w:r>
      <w:proofErr w:type="spellEnd"/>
      <w:r w:rsidR="00161FDB">
        <w:rPr>
          <w:lang w:val="en-GB"/>
        </w:rPr>
        <w:t xml:space="preserve"> &amp; </w:t>
      </w:r>
      <w:proofErr w:type="spellStart"/>
      <w:r w:rsidR="00161FDB">
        <w:rPr>
          <w:lang w:val="en-GB"/>
        </w:rPr>
        <w:t>Sloman</w:t>
      </w:r>
      <w:proofErr w:type="spellEnd"/>
      <w:r w:rsidR="00161FDB">
        <w:rPr>
          <w:lang w:val="en-GB"/>
        </w:rPr>
        <w:t xml:space="preserve">, 2007; </w:t>
      </w:r>
      <w:proofErr w:type="spellStart"/>
      <w:r w:rsidR="00161FDB">
        <w:rPr>
          <w:lang w:val="en-GB"/>
        </w:rPr>
        <w:t>Gigerenzer</w:t>
      </w:r>
      <w:proofErr w:type="spellEnd"/>
      <w:r w:rsidR="00161FDB">
        <w:rPr>
          <w:lang w:val="en-GB"/>
        </w:rPr>
        <w:t>, 1991)</w:t>
      </w:r>
      <w:r w:rsidR="00CD5B75">
        <w:rPr>
          <w:lang w:val="en-GB"/>
        </w:rPr>
        <w:t>. However,</w:t>
      </w:r>
      <w:r w:rsidR="00B43639">
        <w:rPr>
          <w:lang w:val="en-GB"/>
        </w:rPr>
        <w:t xml:space="preserve"> in </w:t>
      </w:r>
      <w:r w:rsidR="00C12BA2">
        <w:rPr>
          <w:lang w:val="en-GB"/>
        </w:rPr>
        <w:t xml:space="preserve">the current </w:t>
      </w:r>
      <w:r w:rsidR="00B43639">
        <w:rPr>
          <w:lang w:val="en-GB"/>
        </w:rPr>
        <w:t xml:space="preserve">study </w:t>
      </w:r>
      <w:r w:rsidR="00954ED3">
        <w:rPr>
          <w:lang w:val="en-GB"/>
        </w:rPr>
        <w:t xml:space="preserve">all participants were given </w:t>
      </w:r>
      <w:r w:rsidR="00CD5B75">
        <w:rPr>
          <w:lang w:val="en-GB"/>
        </w:rPr>
        <w:t>the same stimuli</w:t>
      </w:r>
      <w:r w:rsidR="00954ED3">
        <w:rPr>
          <w:lang w:val="en-GB"/>
        </w:rPr>
        <w:t xml:space="preserve">, and thus </w:t>
      </w:r>
      <w:r w:rsidR="004B2843">
        <w:rPr>
          <w:lang w:val="en-GB"/>
        </w:rPr>
        <w:t xml:space="preserve">specific stimuli </w:t>
      </w:r>
      <w:r w:rsidR="004B2843">
        <w:rPr>
          <w:lang w:val="en-GB"/>
        </w:rPr>
        <w:lastRenderedPageBreak/>
        <w:t xml:space="preserve">characteristics that influence the likelihood of making base rate fallacy errors </w:t>
      </w:r>
      <w:r w:rsidR="00954ED3">
        <w:rPr>
          <w:lang w:val="en-GB"/>
        </w:rPr>
        <w:t>are not relevant</w:t>
      </w:r>
      <w:r w:rsidR="004B2843">
        <w:rPr>
          <w:lang w:val="en-GB"/>
        </w:rPr>
        <w:t xml:space="preserve">. </w:t>
      </w:r>
      <w:r w:rsidR="00C12BA2">
        <w:rPr>
          <w:lang w:val="en-GB"/>
        </w:rPr>
        <w:t>W</w:t>
      </w:r>
      <w:r w:rsidR="00CD5B75">
        <w:rPr>
          <w:lang w:val="en-GB"/>
        </w:rPr>
        <w:t>e are</w:t>
      </w:r>
      <w:r w:rsidR="004B2843">
        <w:rPr>
          <w:lang w:val="en-GB"/>
        </w:rPr>
        <w:t xml:space="preserve"> </w:t>
      </w:r>
      <w:r w:rsidR="00C12BA2">
        <w:rPr>
          <w:lang w:val="en-GB"/>
        </w:rPr>
        <w:t xml:space="preserve">also </w:t>
      </w:r>
      <w:r w:rsidR="004B2843">
        <w:rPr>
          <w:lang w:val="en-GB"/>
        </w:rPr>
        <w:t>primarily</w:t>
      </w:r>
      <w:r w:rsidR="00CD5B75">
        <w:rPr>
          <w:lang w:val="en-GB"/>
        </w:rPr>
        <w:t xml:space="preserve"> </w:t>
      </w:r>
      <w:r w:rsidR="00B43639">
        <w:rPr>
          <w:lang w:val="en-GB"/>
        </w:rPr>
        <w:t xml:space="preserve">interested in </w:t>
      </w:r>
      <w:r w:rsidR="004B2843">
        <w:rPr>
          <w:lang w:val="en-GB"/>
        </w:rPr>
        <w:t xml:space="preserve">examining </w:t>
      </w:r>
      <w:r w:rsidR="00B43639">
        <w:rPr>
          <w:lang w:val="en-GB"/>
        </w:rPr>
        <w:t>whether</w:t>
      </w:r>
      <w:r w:rsidR="00CD5B75">
        <w:rPr>
          <w:lang w:val="en-GB"/>
        </w:rPr>
        <w:t xml:space="preserve"> greater</w:t>
      </w:r>
      <w:r w:rsidR="00B43639">
        <w:rPr>
          <w:lang w:val="en-GB"/>
        </w:rPr>
        <w:t xml:space="preserve"> anomalistic belief is related to an increase</w:t>
      </w:r>
      <w:r w:rsidR="004B2843">
        <w:rPr>
          <w:lang w:val="en-GB"/>
        </w:rPr>
        <w:t>d</w:t>
      </w:r>
      <w:r w:rsidR="00B43639">
        <w:rPr>
          <w:lang w:val="en-GB"/>
        </w:rPr>
        <w:t xml:space="preserve"> propensity to commit the base rate fallacy</w:t>
      </w:r>
      <w:r w:rsidR="00954ED3">
        <w:rPr>
          <w:lang w:val="en-GB"/>
        </w:rPr>
        <w:t>,</w:t>
      </w:r>
      <w:r w:rsidR="004B2843">
        <w:rPr>
          <w:lang w:val="en-GB"/>
        </w:rPr>
        <w:t xml:space="preserve"> rather than</w:t>
      </w:r>
      <w:r w:rsidR="00C12BA2">
        <w:rPr>
          <w:lang w:val="en-GB"/>
        </w:rPr>
        <w:t xml:space="preserve"> in</w:t>
      </w:r>
      <w:r w:rsidR="004B2843">
        <w:rPr>
          <w:lang w:val="en-GB"/>
        </w:rPr>
        <w:t xml:space="preserve"> making normative claims</w:t>
      </w:r>
      <w:r w:rsidR="00C12BA2">
        <w:rPr>
          <w:lang w:val="en-GB"/>
        </w:rPr>
        <w:t xml:space="preserve"> about the use of base rates</w:t>
      </w:r>
      <w:r w:rsidR="00B43639">
        <w:rPr>
          <w:lang w:val="en-GB"/>
        </w:rPr>
        <w:t>.</w:t>
      </w:r>
    </w:p>
    <w:p w14:paraId="169C81E7" w14:textId="7406A5FC" w:rsidR="00461025" w:rsidRPr="00901D0D" w:rsidRDefault="00F97106" w:rsidP="009747E7">
      <w:pPr>
        <w:contextualSpacing/>
        <w:rPr>
          <w:lang w:val="en-GB"/>
        </w:rPr>
      </w:pPr>
      <w:r>
        <w:rPr>
          <w:lang w:val="en-GB"/>
        </w:rPr>
        <w:t xml:space="preserve">Similar to what has been noted above, </w:t>
      </w:r>
      <w:r w:rsidR="00CF4B94" w:rsidRPr="00901D0D">
        <w:rPr>
          <w:lang w:val="en-GB"/>
        </w:rPr>
        <w:t xml:space="preserve">Blackmore and </w:t>
      </w:r>
      <w:proofErr w:type="spellStart"/>
      <w:r w:rsidR="00CF4B94" w:rsidRPr="00901D0D">
        <w:rPr>
          <w:lang w:val="en-GB"/>
        </w:rPr>
        <w:t>Tro</w:t>
      </w:r>
      <w:r w:rsidR="002D2F5F" w:rsidRPr="00227354">
        <w:rPr>
          <w:rFonts w:eastAsia="MS Gothic" w:cs="Times New Roman"/>
          <w:bCs/>
          <w:szCs w:val="28"/>
          <w:lang w:val="en-GB"/>
        </w:rPr>
        <w:t>ś</w:t>
      </w:r>
      <w:r w:rsidR="00CF4B94" w:rsidRPr="00901D0D">
        <w:rPr>
          <w:lang w:val="en-GB"/>
        </w:rPr>
        <w:t>cianko</w:t>
      </w:r>
      <w:proofErr w:type="spellEnd"/>
      <w:r w:rsidR="00CF4B94" w:rsidRPr="00901D0D">
        <w:rPr>
          <w:lang w:val="en-GB"/>
        </w:rPr>
        <w:t xml:space="preserve"> (1985) and Brugger et al. (1990)</w:t>
      </w:r>
      <w:r w:rsidR="00E945D3" w:rsidRPr="00901D0D">
        <w:rPr>
          <w:lang w:val="en-GB"/>
        </w:rPr>
        <w:t xml:space="preserve"> proposed that a poor understanding of probability may contribute to anomalistic belief</w:t>
      </w:r>
      <w:r w:rsidR="00667F9A">
        <w:rPr>
          <w:lang w:val="en-GB"/>
        </w:rPr>
        <w:t xml:space="preserve"> (</w:t>
      </w:r>
      <w:r w:rsidR="00382140">
        <w:rPr>
          <w:lang w:val="en-GB"/>
        </w:rPr>
        <w:t>s</w:t>
      </w:r>
      <w:r w:rsidR="00667F9A">
        <w:rPr>
          <w:lang w:val="en-GB"/>
        </w:rPr>
        <w:t xml:space="preserve">ee </w:t>
      </w:r>
      <w:r w:rsidR="001F0565">
        <w:rPr>
          <w:lang w:val="en-GB"/>
        </w:rPr>
        <w:t>Appendix</w:t>
      </w:r>
      <w:r w:rsidR="00667F9A">
        <w:rPr>
          <w:lang w:val="en-GB"/>
        </w:rPr>
        <w:t xml:space="preserve"> </w:t>
      </w:r>
      <w:r w:rsidR="00AB5758">
        <w:rPr>
          <w:lang w:val="en-GB"/>
        </w:rPr>
        <w:t xml:space="preserve">A </w:t>
      </w:r>
      <w:r w:rsidR="00667F9A">
        <w:rPr>
          <w:lang w:val="en-GB"/>
        </w:rPr>
        <w:t>for a summary of previous findings on the relationship between anomalistic belief and misperception of chance)</w:t>
      </w:r>
      <w:r w:rsidR="00F84542">
        <w:rPr>
          <w:lang w:val="en-GB"/>
        </w:rPr>
        <w:t>.</w:t>
      </w:r>
      <w:r w:rsidR="00CF4B94" w:rsidRPr="00901D0D">
        <w:rPr>
          <w:lang w:val="en-GB"/>
        </w:rPr>
        <w:t xml:space="preserve"> Blackmore and </w:t>
      </w:r>
      <w:proofErr w:type="spellStart"/>
      <w:r w:rsidR="00CF4B94" w:rsidRPr="00901D0D">
        <w:rPr>
          <w:lang w:val="en-GB"/>
        </w:rPr>
        <w:t>Tro</w:t>
      </w:r>
      <w:r w:rsidR="002D2F5F" w:rsidRPr="00227354">
        <w:rPr>
          <w:rFonts w:eastAsia="MS Gothic" w:cs="Times New Roman"/>
          <w:bCs/>
          <w:szCs w:val="28"/>
          <w:lang w:val="en-GB"/>
        </w:rPr>
        <w:t>ś</w:t>
      </w:r>
      <w:r w:rsidR="00CF4B94" w:rsidRPr="00901D0D">
        <w:rPr>
          <w:lang w:val="en-GB"/>
        </w:rPr>
        <w:t>cianko</w:t>
      </w:r>
      <w:proofErr w:type="spellEnd"/>
      <w:r w:rsidR="00CF4B94" w:rsidRPr="00901D0D">
        <w:rPr>
          <w:lang w:val="en-GB"/>
        </w:rPr>
        <w:t xml:space="preserve"> found that people who were higher in anomalistic belief performed worse when responding to changes in sample size, </w:t>
      </w:r>
      <w:r w:rsidR="00C3014A" w:rsidRPr="00901D0D">
        <w:rPr>
          <w:lang w:val="en-GB"/>
        </w:rPr>
        <w:t xml:space="preserve">were less accurate </w:t>
      </w:r>
      <w:r w:rsidR="00CF4B94" w:rsidRPr="00901D0D">
        <w:rPr>
          <w:lang w:val="en-GB"/>
        </w:rPr>
        <w:t xml:space="preserve">when answering questions about sampling, were less accurate in their estimate of chance performance, and were more likely to </w:t>
      </w:r>
      <w:r w:rsidR="00BE271D" w:rsidRPr="00901D0D">
        <w:rPr>
          <w:lang w:val="en-GB"/>
        </w:rPr>
        <w:t xml:space="preserve">believe they exerted control when performing a random task. On the basis of these findings, </w:t>
      </w:r>
      <w:r w:rsidR="00E945D3" w:rsidRPr="00901D0D">
        <w:rPr>
          <w:lang w:val="en-GB"/>
        </w:rPr>
        <w:t>they</w:t>
      </w:r>
      <w:r w:rsidR="00BE271D" w:rsidRPr="00901D0D">
        <w:rPr>
          <w:lang w:val="en-GB"/>
        </w:rPr>
        <w:t xml:space="preserve"> </w:t>
      </w:r>
      <w:r w:rsidR="003879AD" w:rsidRPr="00901D0D">
        <w:rPr>
          <w:lang w:val="en-GB"/>
        </w:rPr>
        <w:t xml:space="preserve">argued </w:t>
      </w:r>
      <w:r w:rsidR="00BE271D" w:rsidRPr="00901D0D">
        <w:rPr>
          <w:lang w:val="en-GB"/>
        </w:rPr>
        <w:t>that a poor understanding of probability and chance</w:t>
      </w:r>
      <w:r w:rsidR="00E945D3" w:rsidRPr="00901D0D">
        <w:rPr>
          <w:lang w:val="en-GB"/>
        </w:rPr>
        <w:t xml:space="preserve"> (</w:t>
      </w:r>
      <w:r w:rsidR="003879AD" w:rsidRPr="00901D0D">
        <w:rPr>
          <w:lang w:val="en-GB"/>
        </w:rPr>
        <w:t xml:space="preserve">as well as </w:t>
      </w:r>
      <w:r w:rsidR="00BE271D" w:rsidRPr="00901D0D">
        <w:rPr>
          <w:lang w:val="en-GB"/>
        </w:rPr>
        <w:t>illusions of control</w:t>
      </w:r>
      <w:r w:rsidR="00E945D3" w:rsidRPr="00901D0D">
        <w:rPr>
          <w:lang w:val="en-GB"/>
        </w:rPr>
        <w:t>)</w:t>
      </w:r>
      <w:r w:rsidR="00BE271D" w:rsidRPr="00901D0D">
        <w:rPr>
          <w:lang w:val="en-GB"/>
        </w:rPr>
        <w:t xml:space="preserve"> may lead to the formation or strengthening of anomalistic beliefs. </w:t>
      </w:r>
      <w:r w:rsidR="003879AD" w:rsidRPr="00901D0D">
        <w:rPr>
          <w:lang w:val="en-GB"/>
        </w:rPr>
        <w:t xml:space="preserve">Further, </w:t>
      </w:r>
      <w:r w:rsidR="00BE271D" w:rsidRPr="00901D0D">
        <w:rPr>
          <w:lang w:val="en-GB"/>
        </w:rPr>
        <w:t xml:space="preserve">Brugger </w:t>
      </w:r>
      <w:r w:rsidR="00E96E0F" w:rsidRPr="00901D0D">
        <w:rPr>
          <w:lang w:val="en-GB"/>
        </w:rPr>
        <w:t>et al.</w:t>
      </w:r>
      <w:r w:rsidR="00BE271D" w:rsidRPr="00901D0D">
        <w:rPr>
          <w:lang w:val="en-GB"/>
        </w:rPr>
        <w:t xml:space="preserve"> </w:t>
      </w:r>
      <w:r w:rsidR="006A50C9" w:rsidRPr="00901D0D">
        <w:rPr>
          <w:lang w:val="en-GB"/>
        </w:rPr>
        <w:t xml:space="preserve">(1990) </w:t>
      </w:r>
      <w:r w:rsidR="00BE271D" w:rsidRPr="00901D0D">
        <w:rPr>
          <w:lang w:val="en-GB"/>
        </w:rPr>
        <w:t xml:space="preserve">found that higher levels of anomalistic belief were consistently associated with greater repetition avoidance </w:t>
      </w:r>
      <w:r w:rsidR="006A50C9" w:rsidRPr="00901D0D">
        <w:rPr>
          <w:lang w:val="en-GB"/>
        </w:rPr>
        <w:t xml:space="preserve">when both generating sequences and when assessing the randomness of a sequence. </w:t>
      </w:r>
      <w:r w:rsidR="00E945D3" w:rsidRPr="00901D0D">
        <w:rPr>
          <w:lang w:val="en-GB"/>
        </w:rPr>
        <w:t>Thus, they</w:t>
      </w:r>
      <w:r w:rsidR="006A50C9" w:rsidRPr="00901D0D">
        <w:rPr>
          <w:lang w:val="en-GB"/>
        </w:rPr>
        <w:t xml:space="preserve"> proposed that this poorer understanding of randomness and probability may lead people to assume that everyday coincidences</w:t>
      </w:r>
      <w:r w:rsidR="00C3014A" w:rsidRPr="00901D0D">
        <w:rPr>
          <w:lang w:val="en-GB"/>
        </w:rPr>
        <w:t xml:space="preserve"> must have a causal explanation rather than being the result of chance</w:t>
      </w:r>
      <w:r w:rsidR="006A50C9" w:rsidRPr="00901D0D">
        <w:rPr>
          <w:lang w:val="en-GB"/>
        </w:rPr>
        <w:t>.</w:t>
      </w:r>
    </w:p>
    <w:p w14:paraId="1251EE3A" w14:textId="08CB11A2" w:rsidR="000E1AAB" w:rsidRPr="00901D0D" w:rsidRDefault="000E1AAB" w:rsidP="009747E7">
      <w:pPr>
        <w:contextualSpacing/>
        <w:rPr>
          <w:lang w:val="en-GB"/>
        </w:rPr>
      </w:pPr>
      <w:proofErr w:type="spellStart"/>
      <w:r w:rsidRPr="00901D0D">
        <w:rPr>
          <w:lang w:val="en-GB"/>
        </w:rPr>
        <w:t>Dagnall</w:t>
      </w:r>
      <w:proofErr w:type="spellEnd"/>
      <w:r w:rsidRPr="00901D0D">
        <w:rPr>
          <w:lang w:val="en-GB"/>
        </w:rPr>
        <w:t xml:space="preserve"> </w:t>
      </w:r>
      <w:r w:rsidR="00111AE7" w:rsidRPr="00901D0D">
        <w:rPr>
          <w:lang w:val="en-GB"/>
        </w:rPr>
        <w:t>and colleagues</w:t>
      </w:r>
      <w:r w:rsidRPr="00901D0D">
        <w:rPr>
          <w:lang w:val="en-GB"/>
        </w:rPr>
        <w:t xml:space="preserve"> </w:t>
      </w:r>
      <w:r w:rsidR="003879AD" w:rsidRPr="00901D0D">
        <w:rPr>
          <w:lang w:val="en-GB"/>
        </w:rPr>
        <w:t xml:space="preserve">also </w:t>
      </w:r>
      <w:r w:rsidRPr="00901D0D">
        <w:rPr>
          <w:lang w:val="en-GB"/>
        </w:rPr>
        <w:t>ha</w:t>
      </w:r>
      <w:r w:rsidR="00111AE7" w:rsidRPr="00901D0D">
        <w:rPr>
          <w:lang w:val="en-GB"/>
        </w:rPr>
        <w:t>ve</w:t>
      </w:r>
      <w:r w:rsidRPr="00901D0D">
        <w:rPr>
          <w:lang w:val="en-GB"/>
        </w:rPr>
        <w:t xml:space="preserve"> investigated the relationship between anomalistic belief and a variety of probabilistic reasoning measures</w:t>
      </w:r>
      <w:r w:rsidR="005B0A6D" w:rsidRPr="00901D0D">
        <w:rPr>
          <w:lang w:val="en-GB"/>
        </w:rPr>
        <w:t xml:space="preserve">, including </w:t>
      </w:r>
      <w:r w:rsidR="00111AE7" w:rsidRPr="00901D0D">
        <w:rPr>
          <w:lang w:val="en-GB"/>
        </w:rPr>
        <w:t xml:space="preserve">the </w:t>
      </w:r>
      <w:r w:rsidR="005B0A6D" w:rsidRPr="00901D0D">
        <w:rPr>
          <w:lang w:val="en-GB"/>
        </w:rPr>
        <w:t>misperception of chance and base rate fallacy</w:t>
      </w:r>
      <w:r w:rsidR="004B4FED" w:rsidRPr="00901D0D">
        <w:rPr>
          <w:lang w:val="en-GB"/>
        </w:rPr>
        <w:t xml:space="preserve"> (</w:t>
      </w:r>
      <w:proofErr w:type="spellStart"/>
      <w:r w:rsidR="004B4FED" w:rsidRPr="00901D0D">
        <w:rPr>
          <w:lang w:val="en-GB"/>
        </w:rPr>
        <w:t>Dagnall</w:t>
      </w:r>
      <w:proofErr w:type="spellEnd"/>
      <w:r w:rsidR="004B4FED" w:rsidRPr="00901D0D">
        <w:rPr>
          <w:lang w:val="en-GB"/>
        </w:rPr>
        <w:t xml:space="preserve">, Drinkwater, Parker, &amp; Rowley, 2014; </w:t>
      </w:r>
      <w:proofErr w:type="spellStart"/>
      <w:r w:rsidR="004B4FED" w:rsidRPr="00901D0D">
        <w:rPr>
          <w:lang w:val="en-GB"/>
        </w:rPr>
        <w:t>Dagnall</w:t>
      </w:r>
      <w:proofErr w:type="spellEnd"/>
      <w:r w:rsidR="00F01835" w:rsidRPr="00901D0D">
        <w:rPr>
          <w:lang w:val="en-GB"/>
        </w:rPr>
        <w:t xml:space="preserve"> et al.</w:t>
      </w:r>
      <w:r w:rsidR="004B4FED" w:rsidRPr="00901D0D">
        <w:rPr>
          <w:lang w:val="en-GB"/>
        </w:rPr>
        <w:t xml:space="preserve">, 2016; </w:t>
      </w:r>
      <w:proofErr w:type="spellStart"/>
      <w:r w:rsidR="004B4FED" w:rsidRPr="00901D0D">
        <w:rPr>
          <w:lang w:val="en-GB"/>
        </w:rPr>
        <w:t>Dagnall</w:t>
      </w:r>
      <w:proofErr w:type="spellEnd"/>
      <w:r w:rsidR="002A7C29" w:rsidRPr="00901D0D">
        <w:rPr>
          <w:lang w:val="en-GB"/>
        </w:rPr>
        <w:t xml:space="preserve"> et al.</w:t>
      </w:r>
      <w:r w:rsidR="004B4FED" w:rsidRPr="00901D0D">
        <w:rPr>
          <w:lang w:val="en-GB"/>
        </w:rPr>
        <w:t>, 2007)</w:t>
      </w:r>
      <w:r w:rsidRPr="00901D0D">
        <w:rPr>
          <w:lang w:val="en-GB"/>
        </w:rPr>
        <w:t>. Across these studies</w:t>
      </w:r>
      <w:r w:rsidR="00655697">
        <w:rPr>
          <w:lang w:val="en-GB"/>
        </w:rPr>
        <w:t>,</w:t>
      </w:r>
      <w:r w:rsidR="003879AD" w:rsidRPr="00901D0D">
        <w:rPr>
          <w:lang w:val="en-GB"/>
        </w:rPr>
        <w:t xml:space="preserve"> </w:t>
      </w:r>
      <w:r w:rsidR="00655697">
        <w:rPr>
          <w:lang w:val="en-GB"/>
        </w:rPr>
        <w:t xml:space="preserve">statistically significant </w:t>
      </w:r>
      <w:r w:rsidRPr="00901D0D">
        <w:rPr>
          <w:lang w:val="en-GB"/>
        </w:rPr>
        <w:t>relationship</w:t>
      </w:r>
      <w:r w:rsidR="00655697">
        <w:rPr>
          <w:lang w:val="en-GB"/>
        </w:rPr>
        <w:t>s</w:t>
      </w:r>
      <w:r w:rsidRPr="00901D0D">
        <w:rPr>
          <w:lang w:val="en-GB"/>
        </w:rPr>
        <w:t xml:space="preserve"> between </w:t>
      </w:r>
      <w:r w:rsidR="00BC4BB3" w:rsidRPr="00901D0D">
        <w:rPr>
          <w:lang w:val="en-GB"/>
        </w:rPr>
        <w:t xml:space="preserve">higher </w:t>
      </w:r>
      <w:r w:rsidRPr="00901D0D">
        <w:rPr>
          <w:lang w:val="en-GB"/>
        </w:rPr>
        <w:t xml:space="preserve">anomalistic belief and </w:t>
      </w:r>
      <w:r w:rsidR="003879AD" w:rsidRPr="00901D0D">
        <w:rPr>
          <w:lang w:val="en-GB"/>
        </w:rPr>
        <w:t>higher</w:t>
      </w:r>
      <w:r w:rsidRPr="00901D0D">
        <w:rPr>
          <w:lang w:val="en-GB"/>
        </w:rPr>
        <w:t xml:space="preserve"> misperception of chance</w:t>
      </w:r>
      <w:r w:rsidR="00655697">
        <w:rPr>
          <w:lang w:val="en-GB"/>
        </w:rPr>
        <w:t xml:space="preserve"> have consistently been found</w:t>
      </w:r>
      <w:r w:rsidR="003879AD" w:rsidRPr="00901D0D">
        <w:rPr>
          <w:lang w:val="en-GB"/>
        </w:rPr>
        <w:t>; h</w:t>
      </w:r>
      <w:r w:rsidRPr="00901D0D">
        <w:rPr>
          <w:lang w:val="en-GB"/>
        </w:rPr>
        <w:t xml:space="preserve">owever, the findings for other forms of probabilistic reasoning, such as the base rate </w:t>
      </w:r>
      <w:r w:rsidRPr="00901D0D">
        <w:rPr>
          <w:lang w:val="en-GB"/>
        </w:rPr>
        <w:lastRenderedPageBreak/>
        <w:t>fallacy, have been mixed</w:t>
      </w:r>
      <w:r w:rsidR="00667F9A">
        <w:rPr>
          <w:lang w:val="en-GB"/>
        </w:rPr>
        <w:t xml:space="preserve"> (</w:t>
      </w:r>
      <w:r w:rsidR="00382140">
        <w:rPr>
          <w:lang w:val="en-GB"/>
        </w:rPr>
        <w:t>s</w:t>
      </w:r>
      <w:r w:rsidR="00667F9A">
        <w:rPr>
          <w:lang w:val="en-GB"/>
        </w:rPr>
        <w:t xml:space="preserve">ee </w:t>
      </w:r>
      <w:r w:rsidR="001F0565">
        <w:rPr>
          <w:lang w:val="en-GB"/>
        </w:rPr>
        <w:t xml:space="preserve">Appendix </w:t>
      </w:r>
      <w:r w:rsidR="00AB5758">
        <w:rPr>
          <w:lang w:val="en-GB"/>
        </w:rPr>
        <w:t xml:space="preserve">B </w:t>
      </w:r>
      <w:r w:rsidR="00667F9A">
        <w:rPr>
          <w:lang w:val="en-GB"/>
        </w:rPr>
        <w:t>for a summary of previous findings on the relationship between anomalistic belief and the base rate fallacy)</w:t>
      </w:r>
      <w:r w:rsidRPr="00901D0D">
        <w:rPr>
          <w:lang w:val="en-GB"/>
        </w:rPr>
        <w:t xml:space="preserve">. </w:t>
      </w:r>
      <w:r w:rsidR="00111AE7" w:rsidRPr="00901D0D">
        <w:rPr>
          <w:lang w:val="en-GB"/>
        </w:rPr>
        <w:t>For example,</w:t>
      </w:r>
      <w:r w:rsidRPr="00901D0D">
        <w:rPr>
          <w:lang w:val="en-GB"/>
        </w:rPr>
        <w:t xml:space="preserve"> </w:t>
      </w:r>
      <w:proofErr w:type="spellStart"/>
      <w:r w:rsidR="00111AE7" w:rsidRPr="00901D0D">
        <w:rPr>
          <w:lang w:val="en-GB"/>
        </w:rPr>
        <w:t>Dagnall</w:t>
      </w:r>
      <w:proofErr w:type="spellEnd"/>
      <w:r w:rsidR="00111AE7" w:rsidRPr="00901D0D">
        <w:rPr>
          <w:lang w:val="en-GB"/>
        </w:rPr>
        <w:t xml:space="preserve"> et al. (2007) found no </w:t>
      </w:r>
      <w:r w:rsidR="009326E7">
        <w:rPr>
          <w:lang w:val="en-GB"/>
        </w:rPr>
        <w:t xml:space="preserve">statistically </w:t>
      </w:r>
      <w:r w:rsidR="00111AE7" w:rsidRPr="00901D0D">
        <w:rPr>
          <w:lang w:val="en-GB"/>
        </w:rPr>
        <w:t xml:space="preserve">significant relationship between anomalistic belief and the base rate fallacy, however in a subsequent study </w:t>
      </w:r>
      <w:proofErr w:type="spellStart"/>
      <w:r w:rsidR="00E96E0F" w:rsidRPr="00901D0D">
        <w:rPr>
          <w:lang w:val="en-GB"/>
        </w:rPr>
        <w:t>Dagnall</w:t>
      </w:r>
      <w:proofErr w:type="spellEnd"/>
      <w:r w:rsidR="00E96E0F" w:rsidRPr="00901D0D">
        <w:rPr>
          <w:lang w:val="en-GB"/>
        </w:rPr>
        <w:t xml:space="preserve"> </w:t>
      </w:r>
      <w:r w:rsidR="00111AE7" w:rsidRPr="00901D0D">
        <w:rPr>
          <w:lang w:val="en-GB"/>
        </w:rPr>
        <w:t xml:space="preserve">et al. (2014) showed that </w:t>
      </w:r>
      <w:r w:rsidRPr="00901D0D">
        <w:rPr>
          <w:lang w:val="en-GB"/>
        </w:rPr>
        <w:t xml:space="preserve">anomalistic belief was </w:t>
      </w:r>
      <w:r w:rsidR="009326E7">
        <w:rPr>
          <w:lang w:val="en-GB"/>
        </w:rPr>
        <w:t xml:space="preserve">statistically </w:t>
      </w:r>
      <w:r w:rsidRPr="00901D0D">
        <w:rPr>
          <w:lang w:val="en-GB"/>
        </w:rPr>
        <w:t>significantly</w:t>
      </w:r>
      <w:r w:rsidR="00FC0968" w:rsidRPr="00901D0D">
        <w:rPr>
          <w:lang w:val="en-GB"/>
        </w:rPr>
        <w:t xml:space="preserve"> negatively</w:t>
      </w:r>
      <w:r w:rsidRPr="00901D0D">
        <w:rPr>
          <w:lang w:val="en-GB"/>
        </w:rPr>
        <w:t xml:space="preserve"> correlated with performance on a base rate task. </w:t>
      </w:r>
      <w:r w:rsidR="00EF4A78" w:rsidRPr="00901D0D">
        <w:rPr>
          <w:lang w:val="en-GB"/>
        </w:rPr>
        <w:t>I</w:t>
      </w:r>
      <w:r w:rsidRPr="00901D0D">
        <w:rPr>
          <w:lang w:val="en-GB"/>
        </w:rPr>
        <w:t>n both studies</w:t>
      </w:r>
      <w:r w:rsidR="00EF4A78" w:rsidRPr="00901D0D">
        <w:rPr>
          <w:lang w:val="en-GB"/>
        </w:rPr>
        <w:t>, though,</w:t>
      </w:r>
      <w:r w:rsidRPr="00901D0D">
        <w:rPr>
          <w:lang w:val="en-GB"/>
        </w:rPr>
        <w:t xml:space="preserve"> the </w:t>
      </w:r>
      <w:r w:rsidR="000617B5" w:rsidRPr="00901D0D">
        <w:rPr>
          <w:lang w:val="en-GB"/>
        </w:rPr>
        <w:t xml:space="preserve">strength of the </w:t>
      </w:r>
      <w:r w:rsidR="00A12C6C" w:rsidRPr="00901D0D">
        <w:rPr>
          <w:lang w:val="en-GB"/>
        </w:rPr>
        <w:t>correlation</w:t>
      </w:r>
      <w:r w:rsidR="000617B5" w:rsidRPr="00901D0D">
        <w:rPr>
          <w:lang w:val="en-GB"/>
        </w:rPr>
        <w:t>s</w:t>
      </w:r>
      <w:r w:rsidRPr="00901D0D">
        <w:rPr>
          <w:lang w:val="en-GB"/>
        </w:rPr>
        <w:t xml:space="preserve"> </w:t>
      </w:r>
      <w:proofErr w:type="gramStart"/>
      <w:r w:rsidR="000617B5" w:rsidRPr="00901D0D">
        <w:rPr>
          <w:lang w:val="en-GB"/>
        </w:rPr>
        <w:t>were</w:t>
      </w:r>
      <w:proofErr w:type="gramEnd"/>
      <w:r w:rsidR="000617B5" w:rsidRPr="00901D0D">
        <w:rPr>
          <w:lang w:val="en-GB"/>
        </w:rPr>
        <w:t xml:space="preserve"> similar</w:t>
      </w:r>
      <w:r w:rsidR="00A12C6C" w:rsidRPr="00901D0D">
        <w:rPr>
          <w:lang w:val="en-GB"/>
        </w:rPr>
        <w:t xml:space="preserve"> (</w:t>
      </w:r>
      <w:r w:rsidR="00BF01E0" w:rsidRPr="00901D0D">
        <w:rPr>
          <w:i/>
          <w:lang w:val="en-GB"/>
        </w:rPr>
        <w:t xml:space="preserve">r </w:t>
      </w:r>
      <w:r w:rsidR="00BF01E0" w:rsidRPr="00901D0D">
        <w:rPr>
          <w:lang w:val="en-GB"/>
        </w:rPr>
        <w:t xml:space="preserve">= </w:t>
      </w:r>
      <w:r w:rsidR="00A12C6C" w:rsidRPr="00901D0D">
        <w:rPr>
          <w:lang w:val="en-GB"/>
        </w:rPr>
        <w:t>-.16</w:t>
      </w:r>
      <w:r w:rsidR="000617B5" w:rsidRPr="00901D0D">
        <w:rPr>
          <w:lang w:val="en-GB"/>
        </w:rPr>
        <w:t xml:space="preserve"> in the earlier study; </w:t>
      </w:r>
      <w:r w:rsidR="000617B5" w:rsidRPr="00901D0D">
        <w:rPr>
          <w:i/>
          <w:lang w:val="en-GB"/>
        </w:rPr>
        <w:t xml:space="preserve">r </w:t>
      </w:r>
      <w:r w:rsidR="000617B5" w:rsidRPr="00901D0D">
        <w:rPr>
          <w:lang w:val="en-GB"/>
        </w:rPr>
        <w:t>= -.12 in the later study</w:t>
      </w:r>
      <w:r w:rsidR="00A12C6C" w:rsidRPr="00901D0D">
        <w:rPr>
          <w:lang w:val="en-GB"/>
        </w:rPr>
        <w:t xml:space="preserve">). </w:t>
      </w:r>
      <w:r w:rsidR="000617B5" w:rsidRPr="00901D0D">
        <w:rPr>
          <w:lang w:val="en-GB"/>
        </w:rPr>
        <w:t xml:space="preserve">However, </w:t>
      </w:r>
      <w:r w:rsidR="00A12C6C" w:rsidRPr="00901D0D">
        <w:rPr>
          <w:lang w:val="en-GB"/>
        </w:rPr>
        <w:t xml:space="preserve">there was a much </w:t>
      </w:r>
      <w:r w:rsidR="008D1E67" w:rsidRPr="00901D0D">
        <w:rPr>
          <w:lang w:val="en-GB"/>
        </w:rPr>
        <w:t xml:space="preserve">smaller </w:t>
      </w:r>
      <w:r w:rsidR="00A12C6C" w:rsidRPr="00901D0D">
        <w:rPr>
          <w:lang w:val="en-GB"/>
        </w:rPr>
        <w:t xml:space="preserve">sample size in the </w:t>
      </w:r>
      <w:r w:rsidR="008D1E67" w:rsidRPr="00901D0D">
        <w:rPr>
          <w:lang w:val="en-GB"/>
        </w:rPr>
        <w:t xml:space="preserve">earlier </w:t>
      </w:r>
      <w:r w:rsidR="00A12C6C" w:rsidRPr="00901D0D">
        <w:rPr>
          <w:lang w:val="en-GB"/>
        </w:rPr>
        <w:t>study (</w:t>
      </w:r>
      <w:r w:rsidR="00A12C6C" w:rsidRPr="00901D0D">
        <w:rPr>
          <w:i/>
          <w:lang w:val="en-GB"/>
        </w:rPr>
        <w:t xml:space="preserve">n </w:t>
      </w:r>
      <w:r w:rsidR="00A12C6C" w:rsidRPr="00901D0D">
        <w:rPr>
          <w:lang w:val="en-GB"/>
        </w:rPr>
        <w:t>= 96</w:t>
      </w:r>
      <w:r w:rsidR="008D1E67" w:rsidRPr="00901D0D">
        <w:rPr>
          <w:lang w:val="en-GB"/>
        </w:rPr>
        <w:t xml:space="preserve"> in</w:t>
      </w:r>
      <w:r w:rsidR="00A12C6C" w:rsidRPr="00901D0D">
        <w:rPr>
          <w:lang w:val="en-GB"/>
        </w:rPr>
        <w:t xml:space="preserve"> </w:t>
      </w:r>
      <w:proofErr w:type="spellStart"/>
      <w:r w:rsidR="00A12C6C" w:rsidRPr="00901D0D">
        <w:rPr>
          <w:lang w:val="en-GB"/>
        </w:rPr>
        <w:t>Dagnall</w:t>
      </w:r>
      <w:proofErr w:type="spellEnd"/>
      <w:r w:rsidR="00A12C6C" w:rsidRPr="00901D0D">
        <w:rPr>
          <w:lang w:val="en-GB"/>
        </w:rPr>
        <w:t xml:space="preserve"> et al.</w:t>
      </w:r>
      <w:r w:rsidR="00420733">
        <w:rPr>
          <w:lang w:val="en-GB"/>
        </w:rPr>
        <w:t>,</w:t>
      </w:r>
      <w:r w:rsidR="00A12C6C" w:rsidRPr="00901D0D">
        <w:rPr>
          <w:lang w:val="en-GB"/>
        </w:rPr>
        <w:t xml:space="preserve"> 2007</w:t>
      </w:r>
      <w:r w:rsidR="008D1E67" w:rsidRPr="00901D0D">
        <w:rPr>
          <w:lang w:val="en-GB"/>
        </w:rPr>
        <w:t xml:space="preserve"> vs. </w:t>
      </w:r>
      <w:r w:rsidR="008D1E67" w:rsidRPr="00901D0D">
        <w:rPr>
          <w:i/>
          <w:lang w:val="en-GB"/>
        </w:rPr>
        <w:t xml:space="preserve">n </w:t>
      </w:r>
      <w:r w:rsidR="008D1E67" w:rsidRPr="00901D0D">
        <w:rPr>
          <w:lang w:val="en-GB"/>
        </w:rPr>
        <w:t xml:space="preserve">= 305 in </w:t>
      </w:r>
      <w:proofErr w:type="spellStart"/>
      <w:r w:rsidR="008D1E67" w:rsidRPr="00901D0D">
        <w:rPr>
          <w:lang w:val="en-GB"/>
        </w:rPr>
        <w:t>Dagnall</w:t>
      </w:r>
      <w:proofErr w:type="spellEnd"/>
      <w:r w:rsidR="008D1E67" w:rsidRPr="00901D0D">
        <w:rPr>
          <w:lang w:val="en-GB"/>
        </w:rPr>
        <w:t xml:space="preserve"> et al., 2014</w:t>
      </w:r>
      <w:r w:rsidR="00A12C6C" w:rsidRPr="00901D0D">
        <w:rPr>
          <w:lang w:val="en-GB"/>
        </w:rPr>
        <w:t>)</w:t>
      </w:r>
      <w:r w:rsidR="00675275" w:rsidRPr="00901D0D">
        <w:rPr>
          <w:lang w:val="en-GB"/>
        </w:rPr>
        <w:t xml:space="preserve">, </w:t>
      </w:r>
      <w:r w:rsidR="00491D1B" w:rsidRPr="00901D0D">
        <w:rPr>
          <w:lang w:val="en-GB"/>
        </w:rPr>
        <w:t>and thus</w:t>
      </w:r>
      <w:r w:rsidR="00675275" w:rsidRPr="00901D0D">
        <w:rPr>
          <w:lang w:val="en-GB"/>
        </w:rPr>
        <w:t xml:space="preserve"> the</w:t>
      </w:r>
      <w:r w:rsidR="00A12C6C" w:rsidRPr="00901D0D">
        <w:rPr>
          <w:lang w:val="en-GB"/>
        </w:rPr>
        <w:t xml:space="preserve"> later study had greater power to detect </w:t>
      </w:r>
      <w:r w:rsidR="000617B5" w:rsidRPr="00901D0D">
        <w:rPr>
          <w:lang w:val="en-GB"/>
        </w:rPr>
        <w:t>small effects</w:t>
      </w:r>
      <w:r w:rsidR="00A12C6C" w:rsidRPr="00901D0D">
        <w:rPr>
          <w:lang w:val="en-GB"/>
        </w:rPr>
        <w:t>.</w:t>
      </w:r>
      <w:r w:rsidR="00BC4BB3" w:rsidRPr="00901D0D">
        <w:rPr>
          <w:lang w:val="en-GB"/>
        </w:rPr>
        <w:t xml:space="preserve"> Thus, </w:t>
      </w:r>
      <w:r w:rsidR="00A226C7" w:rsidRPr="00901D0D">
        <w:rPr>
          <w:lang w:val="en-GB"/>
        </w:rPr>
        <w:t xml:space="preserve">overall there is </w:t>
      </w:r>
      <w:r w:rsidR="008D1E67" w:rsidRPr="00901D0D">
        <w:rPr>
          <w:lang w:val="en-GB"/>
        </w:rPr>
        <w:t xml:space="preserve">at least some </w:t>
      </w:r>
      <w:r w:rsidR="00A226C7" w:rsidRPr="00901D0D">
        <w:rPr>
          <w:lang w:val="en-GB"/>
        </w:rPr>
        <w:t>evidence that both misperception of chance and the base rate fallacy are associated with higher anomalistic belief.</w:t>
      </w:r>
    </w:p>
    <w:p w14:paraId="1C798D13" w14:textId="2A723D89" w:rsidR="00F77C0C" w:rsidRPr="00901D0D" w:rsidRDefault="00A226C7" w:rsidP="009747E7">
      <w:pPr>
        <w:contextualSpacing/>
        <w:rPr>
          <w:lang w:val="en-GB"/>
        </w:rPr>
      </w:pPr>
      <w:r w:rsidRPr="00901D0D">
        <w:rPr>
          <w:lang w:val="en-GB"/>
        </w:rPr>
        <w:t xml:space="preserve">Although </w:t>
      </w:r>
      <w:r w:rsidR="003C77BB" w:rsidRPr="00901D0D">
        <w:rPr>
          <w:lang w:val="en-GB"/>
        </w:rPr>
        <w:t xml:space="preserve">there is </w:t>
      </w:r>
      <w:r w:rsidR="008A0894" w:rsidRPr="00901D0D">
        <w:rPr>
          <w:lang w:val="en-GB"/>
        </w:rPr>
        <w:t>support</w:t>
      </w:r>
      <w:r w:rsidR="003C77BB" w:rsidRPr="00901D0D">
        <w:rPr>
          <w:lang w:val="en-GB"/>
        </w:rPr>
        <w:t xml:space="preserve"> for</w:t>
      </w:r>
      <w:r w:rsidRPr="00901D0D">
        <w:rPr>
          <w:lang w:val="en-GB"/>
        </w:rPr>
        <w:t xml:space="preserve"> an overall relationship between anomalistic belief and probabilistic reasoning, a</w:t>
      </w:r>
      <w:r w:rsidR="00463FE9" w:rsidRPr="00901D0D">
        <w:rPr>
          <w:lang w:val="en-GB"/>
        </w:rPr>
        <w:t xml:space="preserve"> growing </w:t>
      </w:r>
      <w:r w:rsidR="00312C2E" w:rsidRPr="00901D0D">
        <w:rPr>
          <w:lang w:val="en-GB"/>
        </w:rPr>
        <w:t xml:space="preserve">area </w:t>
      </w:r>
      <w:r w:rsidR="00463FE9" w:rsidRPr="00901D0D">
        <w:rPr>
          <w:lang w:val="en-GB"/>
        </w:rPr>
        <w:t xml:space="preserve">of research </w:t>
      </w:r>
      <w:r w:rsidR="00301271" w:rsidRPr="00901D0D">
        <w:rPr>
          <w:lang w:val="en-GB"/>
        </w:rPr>
        <w:t>focuses</w:t>
      </w:r>
      <w:r w:rsidR="00BC4BB3" w:rsidRPr="00901D0D">
        <w:rPr>
          <w:lang w:val="en-GB"/>
        </w:rPr>
        <w:t xml:space="preserve"> on</w:t>
      </w:r>
      <w:r w:rsidR="00463FE9" w:rsidRPr="00901D0D">
        <w:rPr>
          <w:lang w:val="en-GB"/>
        </w:rPr>
        <w:t xml:space="preserve"> whether </w:t>
      </w:r>
      <w:r w:rsidRPr="00901D0D">
        <w:rPr>
          <w:lang w:val="en-GB"/>
        </w:rPr>
        <w:t xml:space="preserve">this </w:t>
      </w:r>
      <w:r w:rsidR="00312C2E" w:rsidRPr="00901D0D">
        <w:rPr>
          <w:lang w:val="en-GB"/>
        </w:rPr>
        <w:t xml:space="preserve">relationship </w:t>
      </w:r>
      <w:r w:rsidR="00463FE9" w:rsidRPr="00901D0D">
        <w:rPr>
          <w:lang w:val="en-GB"/>
        </w:rPr>
        <w:t>varies</w:t>
      </w:r>
      <w:r w:rsidR="00312C2E" w:rsidRPr="00901D0D">
        <w:rPr>
          <w:lang w:val="en-GB"/>
        </w:rPr>
        <w:t xml:space="preserve"> </w:t>
      </w:r>
      <w:r w:rsidR="003C6891" w:rsidRPr="00901D0D">
        <w:rPr>
          <w:lang w:val="en-GB"/>
        </w:rPr>
        <w:t xml:space="preserve">depending on the </w:t>
      </w:r>
      <w:r w:rsidR="003C6891" w:rsidRPr="00901D0D">
        <w:rPr>
          <w:i/>
          <w:lang w:val="en-GB"/>
        </w:rPr>
        <w:t>type</w:t>
      </w:r>
      <w:r w:rsidR="003C6891" w:rsidRPr="00901D0D">
        <w:rPr>
          <w:lang w:val="en-GB"/>
        </w:rPr>
        <w:t xml:space="preserve"> of anomalistic belief held (</w:t>
      </w:r>
      <w:proofErr w:type="spellStart"/>
      <w:r w:rsidR="003C6891" w:rsidRPr="00901D0D">
        <w:rPr>
          <w:lang w:val="en-GB"/>
        </w:rPr>
        <w:t>Dagnall</w:t>
      </w:r>
      <w:proofErr w:type="spellEnd"/>
      <w:r w:rsidR="003C6891" w:rsidRPr="00901D0D">
        <w:rPr>
          <w:lang w:val="en-GB"/>
        </w:rPr>
        <w:t xml:space="preserve"> et al., 2016; Prike, Arnold, &amp; Williamson, 2017; Prike, Arnold, &amp; Williamson, 201</w:t>
      </w:r>
      <w:r w:rsidR="00331C9E" w:rsidRPr="00901D0D">
        <w:rPr>
          <w:lang w:val="en-GB"/>
        </w:rPr>
        <w:t>8</w:t>
      </w:r>
      <w:r w:rsidR="003C6891" w:rsidRPr="00901D0D">
        <w:rPr>
          <w:lang w:val="en-GB"/>
        </w:rPr>
        <w:t xml:space="preserve">; Rogers et al., 2016). </w:t>
      </w:r>
      <w:r w:rsidR="0015374F" w:rsidRPr="00901D0D">
        <w:rPr>
          <w:lang w:val="en-GB"/>
        </w:rPr>
        <w:t xml:space="preserve">For example, </w:t>
      </w:r>
      <w:proofErr w:type="spellStart"/>
      <w:r w:rsidR="003C6891" w:rsidRPr="00901D0D">
        <w:rPr>
          <w:lang w:val="en-GB"/>
        </w:rPr>
        <w:t>Dagnall</w:t>
      </w:r>
      <w:proofErr w:type="spellEnd"/>
      <w:r w:rsidR="003C6891" w:rsidRPr="00901D0D">
        <w:rPr>
          <w:lang w:val="en-GB"/>
        </w:rPr>
        <w:t xml:space="preserve"> et al. (2016) </w:t>
      </w:r>
      <w:r w:rsidRPr="00901D0D">
        <w:rPr>
          <w:lang w:val="en-GB"/>
        </w:rPr>
        <w:t>used</w:t>
      </w:r>
      <w:r w:rsidR="003C6891" w:rsidRPr="00901D0D">
        <w:rPr>
          <w:lang w:val="en-GB"/>
        </w:rPr>
        <w:t xml:space="preserve"> the Revised-Paranormal Belief Scale</w:t>
      </w:r>
      <w:r w:rsidR="00184269" w:rsidRPr="00901D0D">
        <w:rPr>
          <w:lang w:val="en-GB"/>
        </w:rPr>
        <w:t xml:space="preserve"> (</w:t>
      </w:r>
      <w:proofErr w:type="spellStart"/>
      <w:r w:rsidR="00184269" w:rsidRPr="00901D0D">
        <w:rPr>
          <w:lang w:val="en-GB"/>
        </w:rPr>
        <w:t>Tobacyk</w:t>
      </w:r>
      <w:proofErr w:type="spellEnd"/>
      <w:r w:rsidR="00184269" w:rsidRPr="00901D0D">
        <w:rPr>
          <w:lang w:val="en-GB"/>
        </w:rPr>
        <w:t>, 2004)</w:t>
      </w:r>
      <w:r w:rsidRPr="00901D0D">
        <w:rPr>
          <w:lang w:val="en-GB"/>
        </w:rPr>
        <w:t xml:space="preserve"> to show that</w:t>
      </w:r>
      <w:r w:rsidR="00F66CF3" w:rsidRPr="00901D0D">
        <w:rPr>
          <w:lang w:val="en-GB"/>
        </w:rPr>
        <w:t>,</w:t>
      </w:r>
      <w:r w:rsidR="003C6891" w:rsidRPr="00901D0D">
        <w:rPr>
          <w:lang w:val="en-GB"/>
        </w:rPr>
        <w:t xml:space="preserve"> although both traditional paranormal beliefs and new age philosophy beliefs were related to poorer perception of chance, the relationship was stronger for traditional paranormal beliefs. </w:t>
      </w:r>
      <w:r w:rsidR="001D1508" w:rsidRPr="00901D0D">
        <w:rPr>
          <w:lang w:val="en-GB"/>
        </w:rPr>
        <w:t>One limitation of this</w:t>
      </w:r>
      <w:r w:rsidR="004A0FBB" w:rsidRPr="00901D0D">
        <w:rPr>
          <w:lang w:val="en-GB"/>
        </w:rPr>
        <w:t xml:space="preserve"> finding,</w:t>
      </w:r>
      <w:r w:rsidR="001D1508" w:rsidRPr="00901D0D">
        <w:rPr>
          <w:lang w:val="en-GB"/>
        </w:rPr>
        <w:t xml:space="preserve"> though, is that</w:t>
      </w:r>
      <w:r w:rsidR="004A0FBB" w:rsidRPr="00901D0D">
        <w:rPr>
          <w:lang w:val="en-GB"/>
        </w:rPr>
        <w:t xml:space="preserve"> </w:t>
      </w:r>
      <w:r w:rsidR="00184269" w:rsidRPr="00901D0D">
        <w:rPr>
          <w:lang w:val="en-GB"/>
        </w:rPr>
        <w:t xml:space="preserve">the </w:t>
      </w:r>
      <w:r w:rsidR="0015374F" w:rsidRPr="00901D0D">
        <w:rPr>
          <w:lang w:val="en-GB"/>
        </w:rPr>
        <w:t>s</w:t>
      </w:r>
      <w:r w:rsidR="00CE1C07" w:rsidRPr="00901D0D">
        <w:rPr>
          <w:lang w:val="en-GB"/>
        </w:rPr>
        <w:t>cale</w:t>
      </w:r>
      <w:r w:rsidR="00184269" w:rsidRPr="00901D0D">
        <w:rPr>
          <w:lang w:val="en-GB"/>
        </w:rPr>
        <w:t xml:space="preserve"> contains items that </w:t>
      </w:r>
      <w:r w:rsidR="004A0FBB" w:rsidRPr="00901D0D">
        <w:rPr>
          <w:lang w:val="en-GB"/>
        </w:rPr>
        <w:t xml:space="preserve">only </w:t>
      </w:r>
      <w:r w:rsidR="00463FE9" w:rsidRPr="00901D0D">
        <w:rPr>
          <w:lang w:val="en-GB"/>
        </w:rPr>
        <w:t>relate to</w:t>
      </w:r>
      <w:r w:rsidR="00184269" w:rsidRPr="00901D0D">
        <w:rPr>
          <w:lang w:val="en-GB"/>
        </w:rPr>
        <w:t xml:space="preserve"> theoretical</w:t>
      </w:r>
      <w:r w:rsidR="00463FE9" w:rsidRPr="00901D0D">
        <w:rPr>
          <w:lang w:val="en-GB"/>
        </w:rPr>
        <w:t xml:space="preserve"> anomalistic belief</w:t>
      </w:r>
      <w:r w:rsidR="004A0FBB" w:rsidRPr="00901D0D">
        <w:rPr>
          <w:lang w:val="en-GB"/>
        </w:rPr>
        <w:t xml:space="preserve">; that is, </w:t>
      </w:r>
      <w:r w:rsidR="00184269" w:rsidRPr="00901D0D">
        <w:rPr>
          <w:lang w:val="en-GB"/>
        </w:rPr>
        <w:t xml:space="preserve">no items ask people about </w:t>
      </w:r>
      <w:r w:rsidR="00932610" w:rsidRPr="00901D0D">
        <w:rPr>
          <w:lang w:val="en-GB"/>
        </w:rPr>
        <w:t xml:space="preserve">their </w:t>
      </w:r>
      <w:r w:rsidR="00184269" w:rsidRPr="00901D0D">
        <w:rPr>
          <w:lang w:val="en-GB"/>
        </w:rPr>
        <w:t xml:space="preserve">experiences of anomalistic phenomena. </w:t>
      </w:r>
      <w:r w:rsidR="0015374F" w:rsidRPr="00901D0D">
        <w:rPr>
          <w:lang w:val="en-GB"/>
        </w:rPr>
        <w:t>Thus</w:t>
      </w:r>
      <w:r w:rsidR="00861ABA" w:rsidRPr="00901D0D">
        <w:rPr>
          <w:lang w:val="en-GB"/>
        </w:rPr>
        <w:t>,</w:t>
      </w:r>
      <w:r w:rsidR="0015374F" w:rsidRPr="00901D0D">
        <w:rPr>
          <w:lang w:val="en-GB"/>
        </w:rPr>
        <w:t xml:space="preserve"> one goal of the current study was </w:t>
      </w:r>
      <w:r w:rsidR="00463FE9" w:rsidRPr="00901D0D">
        <w:rPr>
          <w:lang w:val="en-GB"/>
        </w:rPr>
        <w:t xml:space="preserve">to examine whether the relationships between anomalistic belief, misperception of chance, and base rates </w:t>
      </w:r>
      <w:r w:rsidR="008F6D12" w:rsidRPr="00901D0D">
        <w:rPr>
          <w:lang w:val="en-GB"/>
        </w:rPr>
        <w:t xml:space="preserve">were </w:t>
      </w:r>
      <w:r w:rsidR="00463FE9" w:rsidRPr="00901D0D">
        <w:rPr>
          <w:lang w:val="en-GB"/>
        </w:rPr>
        <w:t xml:space="preserve">stronger for experiential </w:t>
      </w:r>
      <w:r w:rsidR="00932610" w:rsidRPr="00901D0D">
        <w:rPr>
          <w:lang w:val="en-GB"/>
        </w:rPr>
        <w:t xml:space="preserve">(vs. theoretical) </w:t>
      </w:r>
      <w:r w:rsidR="00463FE9" w:rsidRPr="00901D0D">
        <w:rPr>
          <w:lang w:val="en-GB"/>
        </w:rPr>
        <w:t>anomalistic beliefs</w:t>
      </w:r>
      <w:r w:rsidR="00184269" w:rsidRPr="00901D0D">
        <w:rPr>
          <w:lang w:val="en-GB"/>
        </w:rPr>
        <w:t xml:space="preserve">. </w:t>
      </w:r>
      <w:r w:rsidR="0015374F" w:rsidRPr="00901D0D">
        <w:rPr>
          <w:lang w:val="en-GB"/>
        </w:rPr>
        <w:t>W</w:t>
      </w:r>
      <w:r w:rsidR="00184269" w:rsidRPr="00901D0D">
        <w:rPr>
          <w:lang w:val="en-GB"/>
        </w:rPr>
        <w:t xml:space="preserve">e used the Anomalistic Belief Scale (ABS; Prike et al. 2017) because </w:t>
      </w:r>
      <w:r w:rsidR="00DC52B6" w:rsidRPr="00901D0D">
        <w:rPr>
          <w:lang w:val="en-GB"/>
        </w:rPr>
        <w:t>it</w:t>
      </w:r>
      <w:r w:rsidR="00184269" w:rsidRPr="00901D0D">
        <w:rPr>
          <w:lang w:val="en-GB"/>
        </w:rPr>
        <w:t xml:space="preserve"> contains items that cover both experiential </w:t>
      </w:r>
      <w:r w:rsidR="00DC52B6" w:rsidRPr="00901D0D">
        <w:rPr>
          <w:lang w:val="en-GB"/>
        </w:rPr>
        <w:t>(e.g., “</w:t>
      </w:r>
      <w:r w:rsidR="00CC6180" w:rsidRPr="00901D0D">
        <w:rPr>
          <w:lang w:val="en-GB"/>
        </w:rPr>
        <w:t>I believe that I have had direct contact with an extra-terrestrial here on earth</w:t>
      </w:r>
      <w:r w:rsidR="00DC52B6" w:rsidRPr="00901D0D">
        <w:rPr>
          <w:lang w:val="en-GB"/>
        </w:rPr>
        <w:t xml:space="preserve">”) </w:t>
      </w:r>
      <w:r w:rsidR="00184269" w:rsidRPr="00901D0D">
        <w:rPr>
          <w:lang w:val="en-GB"/>
        </w:rPr>
        <w:t xml:space="preserve">and </w:t>
      </w:r>
      <w:r w:rsidR="00184269" w:rsidRPr="00901D0D">
        <w:rPr>
          <w:lang w:val="en-GB"/>
        </w:rPr>
        <w:lastRenderedPageBreak/>
        <w:t xml:space="preserve">theoretical </w:t>
      </w:r>
      <w:r w:rsidR="00DC52B6" w:rsidRPr="00901D0D">
        <w:rPr>
          <w:lang w:val="en-GB"/>
        </w:rPr>
        <w:t>(e.g., “</w:t>
      </w:r>
      <w:r w:rsidR="000B5E41" w:rsidRPr="00901D0D">
        <w:rPr>
          <w:lang w:val="en-GB"/>
        </w:rPr>
        <w:t>I believe extra-terrestrials have visited earth</w:t>
      </w:r>
      <w:r w:rsidR="00DC52B6" w:rsidRPr="00901D0D">
        <w:rPr>
          <w:lang w:val="en-GB"/>
        </w:rPr>
        <w:t xml:space="preserve">”) </w:t>
      </w:r>
      <w:r w:rsidR="00184269" w:rsidRPr="00901D0D">
        <w:rPr>
          <w:lang w:val="en-GB"/>
        </w:rPr>
        <w:t>beliefs</w:t>
      </w:r>
      <w:r w:rsidR="00463FE9" w:rsidRPr="00901D0D">
        <w:rPr>
          <w:lang w:val="en-GB"/>
        </w:rPr>
        <w:t xml:space="preserve">, and factor analysis has revealed a separate factor for experiential anomalistic beliefs. </w:t>
      </w:r>
      <w:r w:rsidR="00EF4A78" w:rsidRPr="00901D0D">
        <w:rPr>
          <w:lang w:val="en-GB"/>
        </w:rPr>
        <w:t>Because one</w:t>
      </w:r>
      <w:r w:rsidR="000433D0" w:rsidRPr="00901D0D">
        <w:rPr>
          <w:lang w:val="en-GB"/>
        </w:rPr>
        <w:t xml:space="preserve"> argument</w:t>
      </w:r>
      <w:r w:rsidR="00EF4A78" w:rsidRPr="00901D0D">
        <w:rPr>
          <w:lang w:val="en-GB"/>
        </w:rPr>
        <w:t xml:space="preserve"> is</w:t>
      </w:r>
      <w:r w:rsidR="003F63AE" w:rsidRPr="00901D0D">
        <w:rPr>
          <w:lang w:val="en-GB"/>
        </w:rPr>
        <w:t xml:space="preserve"> that poorer probabilistic reasoning </w:t>
      </w:r>
      <w:r w:rsidR="000433D0" w:rsidRPr="00901D0D">
        <w:rPr>
          <w:lang w:val="en-GB"/>
        </w:rPr>
        <w:t xml:space="preserve">may lead </w:t>
      </w:r>
      <w:r w:rsidR="003F63AE" w:rsidRPr="00901D0D">
        <w:rPr>
          <w:lang w:val="en-GB"/>
        </w:rPr>
        <w:t>people to assign an anomalistic cause to coincidences or chance events that they (or others) experience, the relationship between anomalistic belief and probabilistic reasoning should be strongest for anomalistic beliefs that relate to experiences.</w:t>
      </w:r>
    </w:p>
    <w:p w14:paraId="54A74561" w14:textId="77777777" w:rsidR="002B6A65" w:rsidRDefault="00247530" w:rsidP="009747E7">
      <w:pPr>
        <w:ind w:firstLine="0"/>
        <w:contextualSpacing/>
        <w:rPr>
          <w:lang w:val="en-GB"/>
        </w:rPr>
      </w:pPr>
      <w:r w:rsidRPr="00901D0D">
        <w:rPr>
          <w:lang w:val="en-GB"/>
        </w:rPr>
        <w:tab/>
      </w:r>
      <w:r w:rsidR="00046E89" w:rsidRPr="00901D0D">
        <w:rPr>
          <w:lang w:val="en-GB"/>
        </w:rPr>
        <w:t>W</w:t>
      </w:r>
      <w:r w:rsidRPr="00901D0D">
        <w:rPr>
          <w:lang w:val="en-GB"/>
        </w:rPr>
        <w:t xml:space="preserve">e also investigated </w:t>
      </w:r>
      <w:r w:rsidR="00F77C0C" w:rsidRPr="00901D0D">
        <w:rPr>
          <w:lang w:val="en-GB"/>
        </w:rPr>
        <w:t>t</w:t>
      </w:r>
      <w:r w:rsidR="00687258" w:rsidRPr="00901D0D">
        <w:rPr>
          <w:lang w:val="en-GB"/>
        </w:rPr>
        <w:t>he role of context</w:t>
      </w:r>
      <w:r w:rsidR="00BD3479" w:rsidRPr="00901D0D">
        <w:rPr>
          <w:lang w:val="en-GB"/>
        </w:rPr>
        <w:t xml:space="preserve"> in the relationship between anomalistic belief</w:t>
      </w:r>
      <w:r w:rsidR="000433D0" w:rsidRPr="00901D0D">
        <w:rPr>
          <w:lang w:val="en-GB"/>
        </w:rPr>
        <w:t xml:space="preserve"> and performance</w:t>
      </w:r>
      <w:r w:rsidR="00627D24" w:rsidRPr="00901D0D">
        <w:rPr>
          <w:lang w:val="en-GB"/>
        </w:rPr>
        <w:t xml:space="preserve">. </w:t>
      </w:r>
      <w:r w:rsidR="00046E89" w:rsidRPr="00901D0D">
        <w:rPr>
          <w:lang w:val="en-GB"/>
        </w:rPr>
        <w:t>That is, c</w:t>
      </w:r>
      <w:r w:rsidR="00627D24" w:rsidRPr="00901D0D">
        <w:rPr>
          <w:lang w:val="en-GB"/>
        </w:rPr>
        <w:t xml:space="preserve">ontext was included </w:t>
      </w:r>
      <w:r w:rsidR="00046E89" w:rsidRPr="00901D0D">
        <w:rPr>
          <w:lang w:val="en-GB"/>
        </w:rPr>
        <w:t>as a within-subjects variable to explore</w:t>
      </w:r>
      <w:r w:rsidR="00627D24" w:rsidRPr="00901D0D">
        <w:rPr>
          <w:lang w:val="en-GB"/>
        </w:rPr>
        <w:t xml:space="preserve"> whether people higher in anomalistic belief </w:t>
      </w:r>
      <w:r w:rsidR="002C5E8B" w:rsidRPr="00901D0D">
        <w:rPr>
          <w:lang w:val="en-GB"/>
        </w:rPr>
        <w:t xml:space="preserve">are even </w:t>
      </w:r>
      <w:r w:rsidR="00627D24" w:rsidRPr="00901D0D">
        <w:rPr>
          <w:lang w:val="en-GB"/>
        </w:rPr>
        <w:t xml:space="preserve">more prone to </w:t>
      </w:r>
      <w:r w:rsidR="000433D0" w:rsidRPr="00901D0D">
        <w:rPr>
          <w:lang w:val="en-GB"/>
        </w:rPr>
        <w:t>misperception of chance and the base rate fallacy</w:t>
      </w:r>
      <w:r w:rsidR="00627D24" w:rsidRPr="00901D0D">
        <w:rPr>
          <w:lang w:val="en-GB"/>
        </w:rPr>
        <w:t xml:space="preserve"> </w:t>
      </w:r>
      <w:r w:rsidR="002C5E8B" w:rsidRPr="00901D0D">
        <w:rPr>
          <w:lang w:val="en-GB"/>
        </w:rPr>
        <w:t>when making judg</w:t>
      </w:r>
      <w:r w:rsidR="00AE0117">
        <w:rPr>
          <w:lang w:val="en-GB"/>
        </w:rPr>
        <w:t>e</w:t>
      </w:r>
      <w:r w:rsidR="002C5E8B" w:rsidRPr="00901D0D">
        <w:rPr>
          <w:lang w:val="en-GB"/>
        </w:rPr>
        <w:t>ments about</w:t>
      </w:r>
      <w:r w:rsidR="00627D24" w:rsidRPr="00901D0D">
        <w:rPr>
          <w:lang w:val="en-GB"/>
        </w:rPr>
        <w:t xml:space="preserve"> anomalistic phenomena</w:t>
      </w:r>
      <w:r w:rsidR="00FC0968" w:rsidRPr="00901D0D">
        <w:rPr>
          <w:lang w:val="en-GB"/>
        </w:rPr>
        <w:t xml:space="preserve"> compared to the “non-anomalistic” phenomena that are usually used in probabilistic reasoning tasks</w:t>
      </w:r>
      <w:r w:rsidR="00627D24" w:rsidRPr="00901D0D">
        <w:rPr>
          <w:lang w:val="en-GB"/>
        </w:rPr>
        <w:t>.</w:t>
      </w:r>
      <w:r w:rsidR="0051556F" w:rsidRPr="00901D0D">
        <w:rPr>
          <w:lang w:val="en-GB"/>
        </w:rPr>
        <w:t xml:space="preserve"> </w:t>
      </w:r>
      <w:r w:rsidR="00301271" w:rsidRPr="00901D0D">
        <w:rPr>
          <w:lang w:val="en-GB"/>
        </w:rPr>
        <w:t>Context is important to consider because p</w:t>
      </w:r>
      <w:r w:rsidR="00046E89" w:rsidRPr="00901D0D">
        <w:rPr>
          <w:lang w:val="en-GB"/>
        </w:rPr>
        <w:t>revious</w:t>
      </w:r>
      <w:r w:rsidR="00056BF6" w:rsidRPr="00901D0D">
        <w:rPr>
          <w:lang w:val="en-GB"/>
        </w:rPr>
        <w:t xml:space="preserve"> </w:t>
      </w:r>
      <w:r w:rsidR="00046E89" w:rsidRPr="00901D0D">
        <w:rPr>
          <w:lang w:val="en-GB"/>
        </w:rPr>
        <w:t>research</w:t>
      </w:r>
      <w:r w:rsidR="0051556F" w:rsidRPr="00901D0D">
        <w:rPr>
          <w:lang w:val="en-GB"/>
        </w:rPr>
        <w:t xml:space="preserve"> has shown that reasoning is influenced by beliefs and motivations</w:t>
      </w:r>
      <w:r w:rsidR="0049628E" w:rsidRPr="00901D0D">
        <w:rPr>
          <w:lang w:val="en-GB"/>
        </w:rPr>
        <w:t xml:space="preserve"> (</w:t>
      </w:r>
      <w:bookmarkStart w:id="8" w:name="_Hlk506839768"/>
      <w:r w:rsidR="001E533B" w:rsidRPr="00901D0D">
        <w:rPr>
          <w:lang w:val="en-GB"/>
        </w:rPr>
        <w:t xml:space="preserve">Dawson, Gilovich, &amp; Regan, 2002; </w:t>
      </w:r>
      <w:r w:rsidR="00E87A2D" w:rsidRPr="00901D0D">
        <w:rPr>
          <w:lang w:val="en-GB"/>
        </w:rPr>
        <w:t xml:space="preserve">Kahan, Peters, Dawson, &amp; </w:t>
      </w:r>
      <w:proofErr w:type="spellStart"/>
      <w:r w:rsidR="00E87A2D" w:rsidRPr="00901D0D">
        <w:rPr>
          <w:lang w:val="en-GB"/>
        </w:rPr>
        <w:t>Slovic</w:t>
      </w:r>
      <w:proofErr w:type="spellEnd"/>
      <w:r w:rsidR="00E87A2D" w:rsidRPr="00901D0D">
        <w:rPr>
          <w:lang w:val="en-GB"/>
        </w:rPr>
        <w:t xml:space="preserve">, 2017; </w:t>
      </w:r>
      <w:proofErr w:type="spellStart"/>
      <w:r w:rsidR="001E533B" w:rsidRPr="00901D0D">
        <w:rPr>
          <w:lang w:val="en-GB"/>
        </w:rPr>
        <w:t>Kunda</w:t>
      </w:r>
      <w:proofErr w:type="spellEnd"/>
      <w:r w:rsidR="001E533B" w:rsidRPr="00901D0D">
        <w:rPr>
          <w:lang w:val="en-GB"/>
        </w:rPr>
        <w:t xml:space="preserve">, 1990; Stanovich, West, &amp; </w:t>
      </w:r>
      <w:proofErr w:type="spellStart"/>
      <w:r w:rsidR="001E533B" w:rsidRPr="00901D0D">
        <w:rPr>
          <w:lang w:val="en-GB"/>
        </w:rPr>
        <w:t>Toplak</w:t>
      </w:r>
      <w:proofErr w:type="spellEnd"/>
      <w:r w:rsidR="001E533B" w:rsidRPr="00901D0D">
        <w:rPr>
          <w:lang w:val="en-GB"/>
        </w:rPr>
        <w:t>, 2013</w:t>
      </w:r>
      <w:bookmarkEnd w:id="8"/>
      <w:r w:rsidR="0049628E" w:rsidRPr="00901D0D">
        <w:rPr>
          <w:lang w:val="en-GB"/>
        </w:rPr>
        <w:t>)</w:t>
      </w:r>
      <w:r w:rsidR="0051556F" w:rsidRPr="00901D0D">
        <w:rPr>
          <w:lang w:val="en-GB"/>
        </w:rPr>
        <w:t xml:space="preserve">. </w:t>
      </w:r>
      <w:r w:rsidR="00046E89" w:rsidRPr="00901D0D">
        <w:rPr>
          <w:lang w:val="en-GB"/>
        </w:rPr>
        <w:t xml:space="preserve">For example, </w:t>
      </w:r>
      <w:r w:rsidR="00481DD8" w:rsidRPr="00901D0D">
        <w:rPr>
          <w:lang w:val="en-GB"/>
        </w:rPr>
        <w:t xml:space="preserve">Dawson et al. (2002) </w:t>
      </w:r>
      <w:r w:rsidR="00301271" w:rsidRPr="00901D0D">
        <w:rPr>
          <w:lang w:val="en-GB"/>
        </w:rPr>
        <w:t xml:space="preserve">used a </w:t>
      </w:r>
      <w:proofErr w:type="spellStart"/>
      <w:r w:rsidR="00481DD8" w:rsidRPr="00901D0D">
        <w:rPr>
          <w:lang w:val="en-GB"/>
        </w:rPr>
        <w:t>Wason</w:t>
      </w:r>
      <w:proofErr w:type="spellEnd"/>
      <w:r w:rsidR="00481DD8" w:rsidRPr="00901D0D">
        <w:rPr>
          <w:lang w:val="en-GB"/>
        </w:rPr>
        <w:t xml:space="preserve"> selection task</w:t>
      </w:r>
      <w:r w:rsidR="00301271" w:rsidRPr="00901D0D">
        <w:rPr>
          <w:lang w:val="en-GB"/>
        </w:rPr>
        <w:t xml:space="preserve"> to show that</w:t>
      </w:r>
      <w:r w:rsidR="00481DD8" w:rsidRPr="00901D0D">
        <w:rPr>
          <w:lang w:val="en-GB"/>
        </w:rPr>
        <w:t xml:space="preserve"> people who were presented with a </w:t>
      </w:r>
      <w:r w:rsidR="000F7B28" w:rsidRPr="00901D0D">
        <w:rPr>
          <w:lang w:val="en-GB"/>
        </w:rPr>
        <w:t xml:space="preserve">threatening </w:t>
      </w:r>
      <w:r w:rsidR="005653D1" w:rsidRPr="00901D0D">
        <w:rPr>
          <w:lang w:val="en-GB"/>
        </w:rPr>
        <w:t>proposition</w:t>
      </w:r>
      <w:r w:rsidR="000F7B28" w:rsidRPr="00901D0D">
        <w:rPr>
          <w:lang w:val="en-GB"/>
        </w:rPr>
        <w:t xml:space="preserve"> were much more likely to attempt to disconfirm the </w:t>
      </w:r>
      <w:r w:rsidR="005653D1" w:rsidRPr="00901D0D">
        <w:rPr>
          <w:lang w:val="en-GB"/>
        </w:rPr>
        <w:t>proposition</w:t>
      </w:r>
      <w:r w:rsidR="000F7B28" w:rsidRPr="00901D0D">
        <w:rPr>
          <w:lang w:val="en-GB"/>
        </w:rPr>
        <w:t xml:space="preserve"> than those who were </w:t>
      </w:r>
      <w:r w:rsidR="00DD4D07" w:rsidRPr="00901D0D">
        <w:rPr>
          <w:lang w:val="en-GB"/>
        </w:rPr>
        <w:t xml:space="preserve">presented with </w:t>
      </w:r>
      <w:r w:rsidR="005653D1" w:rsidRPr="00901D0D">
        <w:rPr>
          <w:lang w:val="en-GB"/>
        </w:rPr>
        <w:t>non-threatening propositions</w:t>
      </w:r>
      <w:r w:rsidR="00DD4D07" w:rsidRPr="00901D0D">
        <w:rPr>
          <w:lang w:val="en-GB"/>
        </w:rPr>
        <w:t xml:space="preserve">. This </w:t>
      </w:r>
      <w:r w:rsidR="00350610" w:rsidRPr="00901D0D">
        <w:rPr>
          <w:lang w:val="en-GB"/>
        </w:rPr>
        <w:t xml:space="preserve">finding </w:t>
      </w:r>
      <w:r w:rsidR="00DD4D07" w:rsidRPr="00901D0D">
        <w:rPr>
          <w:lang w:val="en-GB"/>
        </w:rPr>
        <w:t>suggests that when motivated (</w:t>
      </w:r>
      <w:r w:rsidR="00C14A7D" w:rsidRPr="00901D0D">
        <w:rPr>
          <w:lang w:val="en-GB"/>
        </w:rPr>
        <w:t>i.e</w:t>
      </w:r>
      <w:r w:rsidR="00DD4D07" w:rsidRPr="00901D0D">
        <w:rPr>
          <w:lang w:val="en-GB"/>
        </w:rPr>
        <w:t xml:space="preserve">., by a threatening scenario) people </w:t>
      </w:r>
      <w:r w:rsidR="005653D1" w:rsidRPr="00901D0D">
        <w:rPr>
          <w:lang w:val="en-GB"/>
        </w:rPr>
        <w:t>applied higher levels of scrutiny and attempted to discredit the proposition</w:t>
      </w:r>
      <w:r w:rsidR="00350610" w:rsidRPr="00901D0D">
        <w:rPr>
          <w:lang w:val="en-GB"/>
        </w:rPr>
        <w:t>,</w:t>
      </w:r>
      <w:r w:rsidR="005653D1" w:rsidRPr="00901D0D">
        <w:rPr>
          <w:lang w:val="en-GB"/>
        </w:rPr>
        <w:t xml:space="preserve"> whereas when the proposition was not threatening they instead only looked for </w:t>
      </w:r>
      <w:r w:rsidR="00C3014A" w:rsidRPr="00901D0D">
        <w:rPr>
          <w:lang w:val="en-GB"/>
        </w:rPr>
        <w:t xml:space="preserve">confirming </w:t>
      </w:r>
      <w:r w:rsidR="005653D1" w:rsidRPr="00901D0D">
        <w:rPr>
          <w:lang w:val="en-GB"/>
        </w:rPr>
        <w:t>evidence that supported the proposition</w:t>
      </w:r>
      <w:r w:rsidR="000F7B28" w:rsidRPr="00901D0D">
        <w:rPr>
          <w:lang w:val="en-GB"/>
        </w:rPr>
        <w:t xml:space="preserve">. </w:t>
      </w:r>
    </w:p>
    <w:p w14:paraId="20152887" w14:textId="618C0BA3" w:rsidR="002C5E8B" w:rsidRPr="00901D0D" w:rsidRDefault="005653D1" w:rsidP="00ED3441">
      <w:pPr>
        <w:contextualSpacing/>
        <w:rPr>
          <w:lang w:val="en-GB"/>
        </w:rPr>
      </w:pPr>
      <w:r w:rsidRPr="00901D0D">
        <w:rPr>
          <w:lang w:val="en-GB"/>
        </w:rPr>
        <w:t xml:space="preserve">Evidence for </w:t>
      </w:r>
      <w:r w:rsidR="00C14A7D" w:rsidRPr="00901D0D">
        <w:rPr>
          <w:lang w:val="en-GB"/>
        </w:rPr>
        <w:t>a positive relationship between</w:t>
      </w:r>
      <w:r w:rsidRPr="00901D0D">
        <w:rPr>
          <w:lang w:val="en-GB"/>
        </w:rPr>
        <w:t xml:space="preserve"> anomalistic belief </w:t>
      </w:r>
      <w:r w:rsidR="00C14A7D" w:rsidRPr="00901D0D">
        <w:rPr>
          <w:lang w:val="en-GB"/>
        </w:rPr>
        <w:t>and</w:t>
      </w:r>
      <w:r w:rsidRPr="00901D0D">
        <w:rPr>
          <w:lang w:val="en-GB"/>
        </w:rPr>
        <w:t xml:space="preserve"> motivated reasoning comes from recent research showing that higher anomalistic belief </w:t>
      </w:r>
      <w:r w:rsidR="00350610" w:rsidRPr="00901D0D">
        <w:rPr>
          <w:lang w:val="en-GB"/>
        </w:rPr>
        <w:t>is related</w:t>
      </w:r>
      <w:r w:rsidRPr="00901D0D">
        <w:rPr>
          <w:lang w:val="en-GB"/>
        </w:rPr>
        <w:t xml:space="preserve"> to several evidence integration biases (Prike et al., 201</w:t>
      </w:r>
      <w:r w:rsidR="00331C9E" w:rsidRPr="00901D0D">
        <w:rPr>
          <w:lang w:val="en-GB"/>
        </w:rPr>
        <w:t>8</w:t>
      </w:r>
      <w:r w:rsidRPr="00901D0D">
        <w:rPr>
          <w:lang w:val="en-GB"/>
        </w:rPr>
        <w:t xml:space="preserve">). </w:t>
      </w:r>
      <w:r w:rsidR="00350610" w:rsidRPr="00901D0D">
        <w:rPr>
          <w:lang w:val="en-GB"/>
        </w:rPr>
        <w:t xml:space="preserve">Specifically, </w:t>
      </w:r>
      <w:r w:rsidR="00771D9E" w:rsidRPr="00901D0D">
        <w:rPr>
          <w:lang w:val="en-GB"/>
        </w:rPr>
        <w:t xml:space="preserve">people higher in </w:t>
      </w:r>
      <w:r w:rsidR="00350610" w:rsidRPr="00901D0D">
        <w:rPr>
          <w:lang w:val="en-GB"/>
        </w:rPr>
        <w:t>a</w:t>
      </w:r>
      <w:r w:rsidRPr="00901D0D">
        <w:rPr>
          <w:lang w:val="en-GB"/>
        </w:rPr>
        <w:t xml:space="preserve">nomalistic </w:t>
      </w:r>
      <w:r w:rsidR="00771D9E" w:rsidRPr="00901D0D">
        <w:rPr>
          <w:lang w:val="en-GB"/>
        </w:rPr>
        <w:t xml:space="preserve">belief </w:t>
      </w:r>
      <w:r w:rsidR="00C3208A">
        <w:rPr>
          <w:lang w:val="en-GB"/>
        </w:rPr>
        <w:t>demonstrated a liberal acceptance bias</w:t>
      </w:r>
      <w:r w:rsidR="00960617">
        <w:rPr>
          <w:lang w:val="en-GB"/>
        </w:rPr>
        <w:t xml:space="preserve">, which </w:t>
      </w:r>
      <w:r w:rsidR="00C3208A">
        <w:rPr>
          <w:lang w:val="en-GB"/>
        </w:rPr>
        <w:t>occurs when someone is</w:t>
      </w:r>
      <w:r w:rsidR="00C3208A" w:rsidRPr="00901D0D">
        <w:rPr>
          <w:lang w:val="en-GB"/>
        </w:rPr>
        <w:t xml:space="preserve"> </w:t>
      </w:r>
      <w:r w:rsidRPr="00901D0D">
        <w:rPr>
          <w:lang w:val="en-GB"/>
        </w:rPr>
        <w:t>more willing to accept unlikely conclusions</w:t>
      </w:r>
      <w:r w:rsidR="00771D9E" w:rsidRPr="00901D0D">
        <w:rPr>
          <w:lang w:val="en-GB"/>
        </w:rPr>
        <w:t xml:space="preserve"> based on little evidence.</w:t>
      </w:r>
      <w:r w:rsidRPr="00901D0D">
        <w:rPr>
          <w:lang w:val="en-GB"/>
        </w:rPr>
        <w:t xml:space="preserve"> </w:t>
      </w:r>
      <w:r w:rsidR="00771D9E" w:rsidRPr="00901D0D">
        <w:rPr>
          <w:lang w:val="en-GB"/>
        </w:rPr>
        <w:t>Prike et al.</w:t>
      </w:r>
      <w:r w:rsidR="00066D67" w:rsidRPr="00901D0D">
        <w:rPr>
          <w:lang w:val="en-GB"/>
        </w:rPr>
        <w:t xml:space="preserve"> </w:t>
      </w:r>
      <w:r w:rsidR="00771D9E" w:rsidRPr="00901D0D">
        <w:rPr>
          <w:lang w:val="en-GB"/>
        </w:rPr>
        <w:t xml:space="preserve">also found </w:t>
      </w:r>
      <w:r w:rsidR="00771D9E" w:rsidRPr="00901D0D">
        <w:rPr>
          <w:lang w:val="en-GB"/>
        </w:rPr>
        <w:lastRenderedPageBreak/>
        <w:t>that higher levels of anomalistic belief were associated with</w:t>
      </w:r>
      <w:r w:rsidR="00066D67" w:rsidRPr="00901D0D">
        <w:rPr>
          <w:lang w:val="en-GB"/>
        </w:rPr>
        <w:t xml:space="preserve"> a</w:t>
      </w:r>
      <w:r w:rsidR="00771D9E" w:rsidRPr="00901D0D">
        <w:rPr>
          <w:lang w:val="en-GB"/>
        </w:rPr>
        <w:t xml:space="preserve"> decreased </w:t>
      </w:r>
      <w:r w:rsidRPr="00901D0D">
        <w:rPr>
          <w:lang w:val="en-GB"/>
        </w:rPr>
        <w:t>willing</w:t>
      </w:r>
      <w:r w:rsidR="00771D9E" w:rsidRPr="00901D0D">
        <w:rPr>
          <w:lang w:val="en-GB"/>
        </w:rPr>
        <w:t>ness</w:t>
      </w:r>
      <w:r w:rsidR="00C14A7D" w:rsidRPr="00901D0D">
        <w:rPr>
          <w:lang w:val="en-GB"/>
        </w:rPr>
        <w:t xml:space="preserve"> </w:t>
      </w:r>
      <w:r w:rsidR="00854860" w:rsidRPr="00901D0D">
        <w:rPr>
          <w:lang w:val="en-GB"/>
        </w:rPr>
        <w:t>either to adjust a position when presented with counter evidence or</w:t>
      </w:r>
      <w:r w:rsidRPr="00901D0D">
        <w:rPr>
          <w:lang w:val="en-GB"/>
        </w:rPr>
        <w:t xml:space="preserve"> to accept an alternative conclusion that was supported by new evidence. </w:t>
      </w:r>
      <w:r w:rsidR="00307E1A" w:rsidRPr="00901D0D">
        <w:rPr>
          <w:lang w:val="en-GB"/>
        </w:rPr>
        <w:t xml:space="preserve">Therefore, higher anomalistic belief may </w:t>
      </w:r>
      <w:r w:rsidR="00C14A7D" w:rsidRPr="00901D0D">
        <w:rPr>
          <w:lang w:val="en-GB"/>
        </w:rPr>
        <w:t xml:space="preserve">be related to </w:t>
      </w:r>
      <w:r w:rsidR="00307E1A" w:rsidRPr="00901D0D">
        <w:rPr>
          <w:lang w:val="en-GB"/>
        </w:rPr>
        <w:t>red</w:t>
      </w:r>
      <w:r w:rsidR="00311585" w:rsidRPr="00901D0D">
        <w:rPr>
          <w:lang w:val="en-GB"/>
        </w:rPr>
        <w:t>uced reasoning performance</w:t>
      </w:r>
      <w:r w:rsidR="00BE21EC" w:rsidRPr="00901D0D">
        <w:rPr>
          <w:lang w:val="en-GB"/>
        </w:rPr>
        <w:t xml:space="preserve"> in general</w:t>
      </w:r>
      <w:r w:rsidR="00311585" w:rsidRPr="00901D0D">
        <w:rPr>
          <w:lang w:val="en-GB"/>
        </w:rPr>
        <w:t xml:space="preserve">, but this </w:t>
      </w:r>
      <w:r w:rsidR="008C6BF1" w:rsidRPr="00901D0D">
        <w:rPr>
          <w:lang w:val="en-GB"/>
        </w:rPr>
        <w:t xml:space="preserve">reduction </w:t>
      </w:r>
      <w:r w:rsidR="00311585" w:rsidRPr="00901D0D">
        <w:rPr>
          <w:lang w:val="en-GB"/>
        </w:rPr>
        <w:t xml:space="preserve">may </w:t>
      </w:r>
      <w:r w:rsidR="00056BF6" w:rsidRPr="00901D0D">
        <w:rPr>
          <w:lang w:val="en-GB"/>
        </w:rPr>
        <w:t>be especially pronounced</w:t>
      </w:r>
      <w:r w:rsidR="00311585" w:rsidRPr="00901D0D">
        <w:rPr>
          <w:lang w:val="en-GB"/>
        </w:rPr>
        <w:t xml:space="preserve"> for reasoning tasks that are related to the anomalistic beliefs. </w:t>
      </w:r>
    </w:p>
    <w:p w14:paraId="0492E7DD" w14:textId="459C4491" w:rsidR="007D3D47" w:rsidRPr="00901D0D" w:rsidRDefault="00350610" w:rsidP="00544169">
      <w:pPr>
        <w:contextualSpacing/>
        <w:rPr>
          <w:lang w:val="en-GB"/>
        </w:rPr>
      </w:pPr>
      <w:r w:rsidRPr="00901D0D">
        <w:rPr>
          <w:lang w:val="en-GB"/>
        </w:rPr>
        <w:t>T</w:t>
      </w:r>
      <w:r w:rsidR="00687258" w:rsidRPr="00901D0D">
        <w:rPr>
          <w:lang w:val="en-GB"/>
        </w:rPr>
        <w:t xml:space="preserve">here </w:t>
      </w:r>
      <w:r w:rsidR="00C14A7D" w:rsidRPr="00901D0D">
        <w:rPr>
          <w:lang w:val="en-GB"/>
        </w:rPr>
        <w:t>is</w:t>
      </w:r>
      <w:r w:rsidR="00687258" w:rsidRPr="00901D0D">
        <w:rPr>
          <w:lang w:val="en-GB"/>
        </w:rPr>
        <w:t xml:space="preserve"> mixed evidence</w:t>
      </w:r>
      <w:r w:rsidR="00DC1FF4">
        <w:rPr>
          <w:lang w:val="en-GB"/>
        </w:rPr>
        <w:t>, though,</w:t>
      </w:r>
      <w:r w:rsidR="00687258" w:rsidRPr="00901D0D">
        <w:rPr>
          <w:lang w:val="en-GB"/>
        </w:rPr>
        <w:t xml:space="preserve"> regarding whether people higher in anomalistic beliefs are more prone to probabilistic reasoning errors </w:t>
      </w:r>
      <w:r w:rsidR="00136B5C" w:rsidRPr="00901D0D">
        <w:rPr>
          <w:lang w:val="en-GB"/>
        </w:rPr>
        <w:t>for</w:t>
      </w:r>
      <w:r w:rsidR="00687258" w:rsidRPr="00901D0D">
        <w:rPr>
          <w:lang w:val="en-GB"/>
        </w:rPr>
        <w:t xml:space="preserve"> </w:t>
      </w:r>
      <w:r w:rsidR="00530BE0" w:rsidRPr="00901D0D">
        <w:rPr>
          <w:lang w:val="en-GB"/>
        </w:rPr>
        <w:t xml:space="preserve">an </w:t>
      </w:r>
      <w:r w:rsidR="00687258" w:rsidRPr="00901D0D">
        <w:rPr>
          <w:lang w:val="en-GB"/>
        </w:rPr>
        <w:t xml:space="preserve">anomalistic context </w:t>
      </w:r>
      <w:r w:rsidR="004B4FED" w:rsidRPr="00901D0D">
        <w:rPr>
          <w:lang w:val="en-GB"/>
        </w:rPr>
        <w:t>(</w:t>
      </w:r>
      <w:r w:rsidR="002B6A65">
        <w:rPr>
          <w:lang w:val="en-GB"/>
        </w:rPr>
        <w:t>s</w:t>
      </w:r>
      <w:r w:rsidR="00667F9A">
        <w:rPr>
          <w:lang w:val="en-GB"/>
        </w:rPr>
        <w:t xml:space="preserve">ee </w:t>
      </w:r>
      <w:r w:rsidR="001F0565">
        <w:rPr>
          <w:lang w:val="en-GB"/>
        </w:rPr>
        <w:t>Appendix</w:t>
      </w:r>
      <w:r w:rsidR="00667F9A">
        <w:rPr>
          <w:lang w:val="en-GB"/>
        </w:rPr>
        <w:t xml:space="preserve"> </w:t>
      </w:r>
      <w:r w:rsidR="00AB5758">
        <w:rPr>
          <w:lang w:val="en-GB"/>
        </w:rPr>
        <w:t xml:space="preserve">C </w:t>
      </w:r>
      <w:r w:rsidR="00667F9A">
        <w:rPr>
          <w:lang w:val="en-GB"/>
        </w:rPr>
        <w:t xml:space="preserve">for a summary of previous findings </w:t>
      </w:r>
      <w:r w:rsidR="002B6A65">
        <w:rPr>
          <w:lang w:val="en-GB"/>
        </w:rPr>
        <w:t xml:space="preserve">for </w:t>
      </w:r>
      <w:r w:rsidR="00667F9A">
        <w:rPr>
          <w:lang w:val="en-GB"/>
        </w:rPr>
        <w:t xml:space="preserve">the interaction between </w:t>
      </w:r>
      <w:r w:rsidR="00412E61">
        <w:rPr>
          <w:lang w:val="en-GB"/>
        </w:rPr>
        <w:t xml:space="preserve">anomalistic belief and </w:t>
      </w:r>
      <w:r w:rsidR="00667F9A">
        <w:rPr>
          <w:lang w:val="en-GB"/>
        </w:rPr>
        <w:t xml:space="preserve">context; </w:t>
      </w:r>
      <w:proofErr w:type="spellStart"/>
      <w:r w:rsidR="004B4FED" w:rsidRPr="00901D0D">
        <w:rPr>
          <w:lang w:val="en-GB"/>
        </w:rPr>
        <w:t>Dagnall</w:t>
      </w:r>
      <w:proofErr w:type="spellEnd"/>
      <w:r w:rsidR="004B4FED" w:rsidRPr="00901D0D">
        <w:rPr>
          <w:lang w:val="en-GB"/>
        </w:rPr>
        <w:t xml:space="preserve"> et al., 2014; </w:t>
      </w:r>
      <w:proofErr w:type="spellStart"/>
      <w:r w:rsidR="004B4FED" w:rsidRPr="00901D0D">
        <w:rPr>
          <w:lang w:val="en-GB"/>
        </w:rPr>
        <w:t>Dagnall</w:t>
      </w:r>
      <w:proofErr w:type="spellEnd"/>
      <w:r w:rsidR="004B4FED" w:rsidRPr="00901D0D">
        <w:rPr>
          <w:lang w:val="en-GB"/>
        </w:rPr>
        <w:t xml:space="preserve"> et al. 2016; </w:t>
      </w:r>
      <w:r w:rsidR="007D3D47" w:rsidRPr="00901D0D">
        <w:rPr>
          <w:lang w:val="en-GB"/>
        </w:rPr>
        <w:t xml:space="preserve">Rogers, </w:t>
      </w:r>
      <w:r w:rsidR="002C4FE3" w:rsidRPr="00901D0D">
        <w:rPr>
          <w:lang w:val="en-GB"/>
        </w:rPr>
        <w:t>Davis, &amp; Fisk, 2009; Rogers</w:t>
      </w:r>
      <w:r w:rsidR="003C6891" w:rsidRPr="00901D0D">
        <w:rPr>
          <w:lang w:val="en-GB"/>
        </w:rPr>
        <w:t xml:space="preserve"> et al.</w:t>
      </w:r>
      <w:r w:rsidR="002C4FE3" w:rsidRPr="00901D0D">
        <w:rPr>
          <w:lang w:val="en-GB"/>
        </w:rPr>
        <w:t>, 2016;</w:t>
      </w:r>
      <w:r w:rsidR="00412E61">
        <w:rPr>
          <w:lang w:val="en-GB"/>
        </w:rPr>
        <w:t xml:space="preserve"> </w:t>
      </w:r>
      <w:r w:rsidR="00412E61" w:rsidRPr="001A521B">
        <w:rPr>
          <w:lang w:val="en-GB"/>
        </w:rPr>
        <w:t xml:space="preserve">Rogers, Fisk, &amp; </w:t>
      </w:r>
      <w:proofErr w:type="spellStart"/>
      <w:r w:rsidR="00412E61" w:rsidRPr="001A521B">
        <w:rPr>
          <w:lang w:val="en-GB"/>
        </w:rPr>
        <w:t>Lowrie</w:t>
      </w:r>
      <w:proofErr w:type="spellEnd"/>
      <w:r w:rsidR="00412E61" w:rsidRPr="001A521B">
        <w:rPr>
          <w:lang w:val="en-GB"/>
        </w:rPr>
        <w:t>, 2018;</w:t>
      </w:r>
      <w:r w:rsidR="002C4FE3" w:rsidRPr="00901D0D">
        <w:rPr>
          <w:lang w:val="en-GB"/>
        </w:rPr>
        <w:t xml:space="preserve"> Rogers, Fisk, &amp; Wiltshire, 2011</w:t>
      </w:r>
      <w:r w:rsidR="007D3D47" w:rsidRPr="00901D0D">
        <w:rPr>
          <w:lang w:val="en-GB"/>
        </w:rPr>
        <w:t>).</w:t>
      </w:r>
      <w:r w:rsidR="00530BE0" w:rsidRPr="00901D0D">
        <w:rPr>
          <w:lang w:val="en-GB"/>
        </w:rPr>
        <w:t xml:space="preserve"> </w:t>
      </w:r>
      <w:r w:rsidR="00337A6D" w:rsidRPr="00901D0D">
        <w:rPr>
          <w:lang w:val="en-GB"/>
        </w:rPr>
        <w:t xml:space="preserve">Rogers et al. (2009) found that </w:t>
      </w:r>
      <w:r w:rsidR="00730402" w:rsidRPr="00901D0D">
        <w:rPr>
          <w:lang w:val="en-GB"/>
        </w:rPr>
        <w:t xml:space="preserve">higher anomalistic belief </w:t>
      </w:r>
      <w:r w:rsidR="00136B5C" w:rsidRPr="00901D0D">
        <w:rPr>
          <w:lang w:val="en-GB"/>
        </w:rPr>
        <w:t>was associated with</w:t>
      </w:r>
      <w:r w:rsidR="00730402" w:rsidRPr="00901D0D">
        <w:rPr>
          <w:lang w:val="en-GB"/>
        </w:rPr>
        <w:t xml:space="preserve"> making </w:t>
      </w:r>
      <w:r w:rsidR="00136B5C" w:rsidRPr="00901D0D">
        <w:rPr>
          <w:lang w:val="en-GB"/>
        </w:rPr>
        <w:t xml:space="preserve">more </w:t>
      </w:r>
      <w:r w:rsidR="00730402" w:rsidRPr="00901D0D">
        <w:rPr>
          <w:lang w:val="en-GB"/>
        </w:rPr>
        <w:t>conjunction fallacy errors</w:t>
      </w:r>
      <w:r w:rsidR="00136B5C" w:rsidRPr="00901D0D">
        <w:rPr>
          <w:lang w:val="en-GB"/>
        </w:rPr>
        <w:t xml:space="preserve"> </w:t>
      </w:r>
      <w:r w:rsidR="00655697">
        <w:rPr>
          <w:lang w:val="en-GB"/>
        </w:rPr>
        <w:t>(</w:t>
      </w:r>
      <w:r w:rsidR="00655697">
        <w:rPr>
          <w:rFonts w:cs="Times New Roman"/>
          <w:i/>
          <w:lang w:val="en-GB"/>
        </w:rPr>
        <w:t>η</w:t>
      </w:r>
      <w:r w:rsidR="00655697" w:rsidRPr="00C12BA2">
        <w:rPr>
          <w:vertAlign w:val="superscript"/>
          <w:lang w:val="en-GB"/>
        </w:rPr>
        <w:t>2</w:t>
      </w:r>
      <w:r w:rsidR="00655697">
        <w:rPr>
          <w:lang w:val="en-GB"/>
        </w:rPr>
        <w:t xml:space="preserve"> = .22)</w:t>
      </w:r>
      <w:r w:rsidR="00655697">
        <w:rPr>
          <w:i/>
          <w:lang w:val="en-GB"/>
        </w:rPr>
        <w:t xml:space="preserve"> </w:t>
      </w:r>
      <w:r w:rsidR="00136B5C" w:rsidRPr="00901D0D">
        <w:rPr>
          <w:lang w:val="en-GB"/>
        </w:rPr>
        <w:t>but that</w:t>
      </w:r>
      <w:r w:rsidR="005F7231" w:rsidRPr="00901D0D">
        <w:rPr>
          <w:lang w:val="en-GB"/>
        </w:rPr>
        <w:t xml:space="preserve"> both anomalistic believers and non-believers made</w:t>
      </w:r>
      <w:r w:rsidR="00655697">
        <w:rPr>
          <w:lang w:val="en-GB"/>
        </w:rPr>
        <w:t xml:space="preserve"> significantly</w:t>
      </w:r>
      <w:r w:rsidR="005F7231" w:rsidRPr="00901D0D">
        <w:rPr>
          <w:lang w:val="en-GB"/>
        </w:rPr>
        <w:t xml:space="preserve"> fewer</w:t>
      </w:r>
      <w:r w:rsidR="00337A6D" w:rsidRPr="00901D0D">
        <w:rPr>
          <w:lang w:val="en-GB"/>
        </w:rPr>
        <w:t xml:space="preserve"> conjunction fallacy errors when </w:t>
      </w:r>
      <w:r w:rsidR="002C4FE3" w:rsidRPr="00901D0D">
        <w:rPr>
          <w:lang w:val="en-GB"/>
        </w:rPr>
        <w:t xml:space="preserve">scenarios were </w:t>
      </w:r>
      <w:r w:rsidR="00337A6D" w:rsidRPr="00901D0D">
        <w:rPr>
          <w:lang w:val="en-GB"/>
        </w:rPr>
        <w:t>p</w:t>
      </w:r>
      <w:r w:rsidR="00CD49EE" w:rsidRPr="00901D0D">
        <w:rPr>
          <w:lang w:val="en-GB"/>
        </w:rPr>
        <w:t xml:space="preserve">resented in </w:t>
      </w:r>
      <w:r w:rsidR="002C4FE3" w:rsidRPr="00901D0D">
        <w:rPr>
          <w:lang w:val="en-GB"/>
        </w:rPr>
        <w:t xml:space="preserve">an </w:t>
      </w:r>
      <w:r w:rsidR="00CD49EE" w:rsidRPr="00901D0D">
        <w:rPr>
          <w:lang w:val="en-GB"/>
        </w:rPr>
        <w:t>anomalistic context</w:t>
      </w:r>
      <w:r w:rsidR="00655697">
        <w:rPr>
          <w:lang w:val="en-GB"/>
        </w:rPr>
        <w:t xml:space="preserve"> (</w:t>
      </w:r>
      <w:r w:rsidR="00655697">
        <w:rPr>
          <w:rFonts w:cs="Times New Roman"/>
          <w:i/>
          <w:lang w:val="en-GB"/>
        </w:rPr>
        <w:t>η</w:t>
      </w:r>
      <w:r w:rsidR="00655697" w:rsidRPr="006627F0">
        <w:rPr>
          <w:vertAlign w:val="superscript"/>
          <w:lang w:val="en-GB"/>
        </w:rPr>
        <w:t>2</w:t>
      </w:r>
      <w:r w:rsidR="00655697">
        <w:rPr>
          <w:lang w:val="en-GB"/>
        </w:rPr>
        <w:t xml:space="preserve"> = .22)</w:t>
      </w:r>
      <w:r w:rsidR="00CD49EE" w:rsidRPr="00901D0D">
        <w:rPr>
          <w:lang w:val="en-GB"/>
        </w:rPr>
        <w:t>. However, in follow up studies</w:t>
      </w:r>
      <w:r w:rsidR="00337A6D" w:rsidRPr="00901D0D">
        <w:rPr>
          <w:lang w:val="en-GB"/>
        </w:rPr>
        <w:t xml:space="preserve"> Rogers et al. (2011</w:t>
      </w:r>
      <w:r w:rsidR="00530BE0" w:rsidRPr="00901D0D">
        <w:rPr>
          <w:lang w:val="en-GB"/>
        </w:rPr>
        <w:t>;</w:t>
      </w:r>
      <w:r w:rsidR="00337A6D" w:rsidRPr="00901D0D">
        <w:rPr>
          <w:lang w:val="en-GB"/>
        </w:rPr>
        <w:t xml:space="preserve"> 2016) </w:t>
      </w:r>
      <w:r w:rsidR="00C14A7D" w:rsidRPr="00901D0D">
        <w:rPr>
          <w:lang w:val="en-GB"/>
        </w:rPr>
        <w:t>did not find this main</w:t>
      </w:r>
      <w:r w:rsidR="00337A6D" w:rsidRPr="00901D0D">
        <w:rPr>
          <w:lang w:val="en-GB"/>
        </w:rPr>
        <w:t xml:space="preserve"> effect of context</w:t>
      </w:r>
      <w:r w:rsidR="002C4FE3" w:rsidRPr="00901D0D">
        <w:rPr>
          <w:lang w:val="en-GB"/>
        </w:rPr>
        <w:t>.</w:t>
      </w:r>
      <w:r w:rsidR="00DA1709" w:rsidRPr="00901D0D">
        <w:rPr>
          <w:lang w:val="en-GB"/>
        </w:rPr>
        <w:t xml:space="preserve"> </w:t>
      </w:r>
      <w:r w:rsidR="00C14A7D" w:rsidRPr="00901D0D">
        <w:rPr>
          <w:lang w:val="en-GB"/>
        </w:rPr>
        <w:t>Similar to</w:t>
      </w:r>
      <w:r w:rsidR="00870676" w:rsidRPr="00901D0D">
        <w:rPr>
          <w:lang w:val="en-GB"/>
        </w:rPr>
        <w:t xml:space="preserve"> Rogers et al. (2009)</w:t>
      </w:r>
      <w:r w:rsidR="0016774F" w:rsidRPr="00901D0D">
        <w:rPr>
          <w:lang w:val="en-GB"/>
        </w:rPr>
        <w:t xml:space="preserve">, </w:t>
      </w:r>
      <w:proofErr w:type="spellStart"/>
      <w:r w:rsidR="003F3E68" w:rsidRPr="00901D0D">
        <w:rPr>
          <w:lang w:val="en-GB"/>
        </w:rPr>
        <w:t>Dagnall</w:t>
      </w:r>
      <w:proofErr w:type="spellEnd"/>
      <w:r w:rsidR="003F3E68" w:rsidRPr="00901D0D">
        <w:rPr>
          <w:lang w:val="en-GB"/>
        </w:rPr>
        <w:t xml:space="preserve"> et al. (2014</w:t>
      </w:r>
      <w:r w:rsidR="0054745B" w:rsidRPr="00901D0D">
        <w:rPr>
          <w:lang w:val="en-GB"/>
        </w:rPr>
        <w:t>; 2016</w:t>
      </w:r>
      <w:r w:rsidR="003F3E68" w:rsidRPr="00901D0D">
        <w:rPr>
          <w:lang w:val="en-GB"/>
        </w:rPr>
        <w:t>)</w:t>
      </w:r>
      <w:r w:rsidR="00412E61">
        <w:rPr>
          <w:lang w:val="en-GB"/>
        </w:rPr>
        <w:t xml:space="preserve"> and </w:t>
      </w:r>
      <w:proofErr w:type="spellStart"/>
      <w:r w:rsidR="00412E61" w:rsidRPr="001A521B">
        <w:rPr>
          <w:lang w:val="en-GB"/>
        </w:rPr>
        <w:t>Denovan</w:t>
      </w:r>
      <w:proofErr w:type="spellEnd"/>
      <w:r w:rsidR="00412E61" w:rsidRPr="001A521B">
        <w:rPr>
          <w:lang w:val="en-GB"/>
        </w:rPr>
        <w:t xml:space="preserve">, </w:t>
      </w:r>
      <w:proofErr w:type="spellStart"/>
      <w:r w:rsidR="00412E61" w:rsidRPr="001A521B">
        <w:rPr>
          <w:lang w:val="en-GB"/>
        </w:rPr>
        <w:t>Dagnall</w:t>
      </w:r>
      <w:proofErr w:type="spellEnd"/>
      <w:r w:rsidR="00412E61" w:rsidRPr="001A521B">
        <w:rPr>
          <w:lang w:val="en-GB"/>
        </w:rPr>
        <w:t>, Drinkwater, and Parker (2018)</w:t>
      </w:r>
      <w:r w:rsidR="003F3E68" w:rsidRPr="00901D0D">
        <w:rPr>
          <w:lang w:val="en-GB"/>
        </w:rPr>
        <w:t xml:space="preserve"> found </w:t>
      </w:r>
      <w:r w:rsidR="006B65F2" w:rsidRPr="00901D0D">
        <w:rPr>
          <w:lang w:val="en-GB"/>
        </w:rPr>
        <w:t xml:space="preserve">fewer conjunction fallacy errors </w:t>
      </w:r>
      <w:r w:rsidR="00870676" w:rsidRPr="00901D0D">
        <w:rPr>
          <w:lang w:val="en-GB"/>
        </w:rPr>
        <w:t>on problems framed in an anomalistic context</w:t>
      </w:r>
      <w:r w:rsidR="0054745B" w:rsidRPr="00901D0D">
        <w:rPr>
          <w:lang w:val="en-GB"/>
        </w:rPr>
        <w:t xml:space="preserve">. </w:t>
      </w:r>
      <w:proofErr w:type="spellStart"/>
      <w:r w:rsidR="000E33DB" w:rsidRPr="00901D0D">
        <w:rPr>
          <w:lang w:val="en-GB"/>
        </w:rPr>
        <w:t>Dagnall</w:t>
      </w:r>
      <w:proofErr w:type="spellEnd"/>
      <w:r w:rsidR="000E33DB" w:rsidRPr="00901D0D">
        <w:rPr>
          <w:lang w:val="en-GB"/>
        </w:rPr>
        <w:t xml:space="preserve"> et al. (2014; 2016)</w:t>
      </w:r>
      <w:r w:rsidR="00412E61">
        <w:rPr>
          <w:lang w:val="en-GB"/>
        </w:rPr>
        <w:t xml:space="preserve"> and </w:t>
      </w:r>
      <w:proofErr w:type="spellStart"/>
      <w:r w:rsidR="00412E61">
        <w:rPr>
          <w:lang w:val="en-GB"/>
        </w:rPr>
        <w:t>Denovan</w:t>
      </w:r>
      <w:proofErr w:type="spellEnd"/>
      <w:r w:rsidR="00412E61">
        <w:rPr>
          <w:lang w:val="en-GB"/>
        </w:rPr>
        <w:t xml:space="preserve"> et al. </w:t>
      </w:r>
      <w:r w:rsidR="000E33DB" w:rsidRPr="00901D0D">
        <w:rPr>
          <w:lang w:val="en-GB"/>
        </w:rPr>
        <w:t xml:space="preserve">also found that </w:t>
      </w:r>
      <w:r w:rsidR="001322E5" w:rsidRPr="00901D0D">
        <w:rPr>
          <w:lang w:val="en-GB"/>
        </w:rPr>
        <w:t xml:space="preserve">the </w:t>
      </w:r>
      <w:r w:rsidR="0054745B" w:rsidRPr="00901D0D">
        <w:rPr>
          <w:lang w:val="en-GB"/>
        </w:rPr>
        <w:t xml:space="preserve">size of the </w:t>
      </w:r>
      <w:r w:rsidR="001322E5" w:rsidRPr="00901D0D">
        <w:rPr>
          <w:lang w:val="en-GB"/>
        </w:rPr>
        <w:t xml:space="preserve">correlation </w:t>
      </w:r>
      <w:r w:rsidR="003F3E68" w:rsidRPr="00901D0D" w:rsidDel="00481744">
        <w:rPr>
          <w:lang w:val="en-GB"/>
        </w:rPr>
        <w:t xml:space="preserve">between anomalistic belief and the conjunction fallacy </w:t>
      </w:r>
      <w:r w:rsidR="00AB71F8" w:rsidRPr="00901D0D">
        <w:rPr>
          <w:lang w:val="en-GB"/>
        </w:rPr>
        <w:t xml:space="preserve">was </w:t>
      </w:r>
      <w:r w:rsidR="009326E7">
        <w:rPr>
          <w:lang w:val="en-GB"/>
        </w:rPr>
        <w:t xml:space="preserve">statistically </w:t>
      </w:r>
      <w:r w:rsidR="00AB71F8" w:rsidRPr="00901D0D">
        <w:rPr>
          <w:lang w:val="en-GB"/>
        </w:rPr>
        <w:t xml:space="preserve">significantly </w:t>
      </w:r>
      <w:r w:rsidR="0054745B" w:rsidRPr="00901D0D">
        <w:rPr>
          <w:lang w:val="en-GB"/>
        </w:rPr>
        <w:t xml:space="preserve">larger </w:t>
      </w:r>
      <w:r w:rsidR="003F3E68" w:rsidRPr="00901D0D" w:rsidDel="00481744">
        <w:rPr>
          <w:lang w:val="en-GB"/>
        </w:rPr>
        <w:t>for problems presented in an anomalistic</w:t>
      </w:r>
      <w:r w:rsidR="0016774F" w:rsidRPr="00901D0D" w:rsidDel="00481744">
        <w:rPr>
          <w:lang w:val="en-GB"/>
        </w:rPr>
        <w:t xml:space="preserve"> (vs. </w:t>
      </w:r>
      <w:r w:rsidR="003F3E68" w:rsidRPr="00901D0D" w:rsidDel="00481744">
        <w:rPr>
          <w:lang w:val="en-GB"/>
        </w:rPr>
        <w:t>general</w:t>
      </w:r>
      <w:r w:rsidR="0016774F" w:rsidRPr="00901D0D" w:rsidDel="00481744">
        <w:rPr>
          <w:lang w:val="en-GB"/>
        </w:rPr>
        <w:t>)</w:t>
      </w:r>
      <w:r w:rsidR="003F3E68" w:rsidRPr="00901D0D" w:rsidDel="00481744">
        <w:rPr>
          <w:lang w:val="en-GB"/>
        </w:rPr>
        <w:t xml:space="preserve"> context.</w:t>
      </w:r>
      <w:r w:rsidR="00516392" w:rsidRPr="00901D0D">
        <w:rPr>
          <w:vertAlign w:val="superscript"/>
          <w:lang w:val="en-GB"/>
        </w:rPr>
        <w:t>1</w:t>
      </w:r>
      <w:r w:rsidR="00932621" w:rsidRPr="00901D0D">
        <w:rPr>
          <w:lang w:val="en-GB"/>
        </w:rPr>
        <w:t xml:space="preserve"> </w:t>
      </w:r>
      <w:r w:rsidR="00CC4E56" w:rsidRPr="00901D0D">
        <w:rPr>
          <w:lang w:val="en-GB"/>
        </w:rPr>
        <w:t>O</w:t>
      </w:r>
      <w:r w:rsidR="003F3E68" w:rsidRPr="00901D0D">
        <w:rPr>
          <w:lang w:val="en-GB"/>
        </w:rPr>
        <w:t xml:space="preserve">f particular relevance for the current study, </w:t>
      </w:r>
      <w:proofErr w:type="spellStart"/>
      <w:r w:rsidR="00CC4E56" w:rsidRPr="00901D0D">
        <w:rPr>
          <w:lang w:val="en-GB"/>
        </w:rPr>
        <w:t>Dagnall</w:t>
      </w:r>
      <w:proofErr w:type="spellEnd"/>
      <w:r w:rsidR="00CC4E56" w:rsidRPr="00901D0D">
        <w:rPr>
          <w:lang w:val="en-GB"/>
        </w:rPr>
        <w:t xml:space="preserve"> et al. (2016) investigated the role of context in the relationship between anomalistic belief and </w:t>
      </w:r>
      <w:r w:rsidR="003F3E68" w:rsidRPr="00901D0D">
        <w:rPr>
          <w:lang w:val="en-GB"/>
        </w:rPr>
        <w:t>misperception of chance</w:t>
      </w:r>
      <w:r w:rsidR="001828A9" w:rsidRPr="00901D0D">
        <w:rPr>
          <w:lang w:val="en-GB"/>
        </w:rPr>
        <w:t xml:space="preserve"> by framing </w:t>
      </w:r>
      <w:r w:rsidR="00870676" w:rsidRPr="00901D0D">
        <w:rPr>
          <w:lang w:val="en-GB"/>
        </w:rPr>
        <w:t xml:space="preserve">half of the trials in an anomalistic context and half in a control context. </w:t>
      </w:r>
      <w:r w:rsidR="001828A9" w:rsidRPr="00901D0D">
        <w:rPr>
          <w:lang w:val="en-GB"/>
        </w:rPr>
        <w:t>For both the overall</w:t>
      </w:r>
      <w:r w:rsidR="00C04565" w:rsidRPr="00901D0D">
        <w:rPr>
          <w:lang w:val="en-GB"/>
        </w:rPr>
        <w:t xml:space="preserve"> scale </w:t>
      </w:r>
      <w:r w:rsidR="001828A9" w:rsidRPr="00901D0D">
        <w:rPr>
          <w:lang w:val="en-GB"/>
        </w:rPr>
        <w:t xml:space="preserve">of the Revised-Paranormal Belief measure </w:t>
      </w:r>
      <w:r w:rsidR="00C04565" w:rsidRPr="00901D0D">
        <w:rPr>
          <w:lang w:val="en-GB"/>
        </w:rPr>
        <w:t xml:space="preserve">and </w:t>
      </w:r>
      <w:r w:rsidR="001828A9" w:rsidRPr="00901D0D">
        <w:rPr>
          <w:lang w:val="en-GB"/>
        </w:rPr>
        <w:t>its</w:t>
      </w:r>
      <w:r w:rsidR="00CE1C07" w:rsidRPr="00901D0D">
        <w:rPr>
          <w:lang w:val="en-GB"/>
        </w:rPr>
        <w:t xml:space="preserve"> Traditional Paranormal Belief and New Age Philosophy factors</w:t>
      </w:r>
      <w:r w:rsidR="001828A9" w:rsidRPr="00901D0D">
        <w:rPr>
          <w:lang w:val="en-GB"/>
        </w:rPr>
        <w:t xml:space="preserve">, </w:t>
      </w:r>
      <w:r w:rsidR="000B528B" w:rsidRPr="00901D0D">
        <w:rPr>
          <w:lang w:val="en-GB"/>
        </w:rPr>
        <w:t>participants higher in anomalistic belief were more prone to misperception of chance</w:t>
      </w:r>
      <w:r w:rsidR="001828A9" w:rsidRPr="00901D0D">
        <w:rPr>
          <w:lang w:val="en-GB"/>
        </w:rPr>
        <w:t>. H</w:t>
      </w:r>
      <w:r w:rsidR="00C04565" w:rsidRPr="00901D0D">
        <w:rPr>
          <w:lang w:val="en-GB"/>
        </w:rPr>
        <w:t xml:space="preserve">owever, </w:t>
      </w:r>
      <w:r w:rsidR="00CE1C07" w:rsidRPr="00901D0D">
        <w:rPr>
          <w:lang w:val="en-GB"/>
        </w:rPr>
        <w:t xml:space="preserve">correlations </w:t>
      </w:r>
      <w:r w:rsidR="002E224F" w:rsidRPr="00901D0D">
        <w:rPr>
          <w:lang w:val="en-GB"/>
        </w:rPr>
        <w:lastRenderedPageBreak/>
        <w:t xml:space="preserve">between belief and misperception of chance </w:t>
      </w:r>
      <w:r w:rsidR="00CE1C07" w:rsidRPr="00901D0D">
        <w:rPr>
          <w:lang w:val="en-GB"/>
        </w:rPr>
        <w:t>were</w:t>
      </w:r>
      <w:r w:rsidR="009326E7">
        <w:rPr>
          <w:lang w:val="en-GB"/>
        </w:rPr>
        <w:t xml:space="preserve"> statistically</w:t>
      </w:r>
      <w:r w:rsidR="00CE1C07" w:rsidRPr="00901D0D">
        <w:rPr>
          <w:lang w:val="en-GB"/>
        </w:rPr>
        <w:t xml:space="preserve"> </w:t>
      </w:r>
      <w:r w:rsidR="002E224F" w:rsidRPr="00901D0D">
        <w:rPr>
          <w:lang w:val="en-GB"/>
        </w:rPr>
        <w:t xml:space="preserve">significantly </w:t>
      </w:r>
      <w:r w:rsidR="00CC4E56" w:rsidRPr="00901D0D">
        <w:rPr>
          <w:lang w:val="en-GB"/>
        </w:rPr>
        <w:t xml:space="preserve">stronger in </w:t>
      </w:r>
      <w:r w:rsidR="00C04565" w:rsidRPr="00901D0D">
        <w:rPr>
          <w:lang w:val="en-GB"/>
        </w:rPr>
        <w:t xml:space="preserve">the </w:t>
      </w:r>
      <w:r w:rsidR="00CC4E56" w:rsidRPr="00901D0D">
        <w:rPr>
          <w:lang w:val="en-GB"/>
        </w:rPr>
        <w:t>anomalistic context</w:t>
      </w:r>
      <w:r w:rsidR="002E224F" w:rsidRPr="00901D0D">
        <w:rPr>
          <w:lang w:val="en-GB"/>
        </w:rPr>
        <w:t xml:space="preserve"> </w:t>
      </w:r>
      <w:r w:rsidR="00C04565" w:rsidRPr="00901D0D">
        <w:rPr>
          <w:lang w:val="en-GB"/>
        </w:rPr>
        <w:t>for the overall scale and the New Age Philosophy factor</w:t>
      </w:r>
      <w:r w:rsidR="00CC4E56" w:rsidRPr="00901D0D">
        <w:rPr>
          <w:lang w:val="en-GB"/>
        </w:rPr>
        <w:t>.</w:t>
      </w:r>
      <w:r w:rsidR="00352101" w:rsidRPr="00352101">
        <w:rPr>
          <w:vertAlign w:val="superscript"/>
          <w:lang w:val="en-GB"/>
        </w:rPr>
        <w:t>2</w:t>
      </w:r>
      <w:r w:rsidR="00F85080" w:rsidRPr="00901D0D">
        <w:rPr>
          <w:lang w:val="en-GB"/>
        </w:rPr>
        <w:t xml:space="preserve"> </w:t>
      </w:r>
      <w:r w:rsidR="00C04565" w:rsidRPr="00901D0D">
        <w:rPr>
          <w:lang w:val="en-GB"/>
        </w:rPr>
        <w:t>Thus, with all of the results taken together</w:t>
      </w:r>
      <w:r w:rsidR="009F36AE" w:rsidRPr="00901D0D">
        <w:rPr>
          <w:lang w:val="en-GB"/>
        </w:rPr>
        <w:t xml:space="preserve">, </w:t>
      </w:r>
      <w:r w:rsidR="00B65F9D" w:rsidRPr="00901D0D">
        <w:rPr>
          <w:lang w:val="en-GB"/>
        </w:rPr>
        <w:t xml:space="preserve">it is important to investigate whether this impact of context on the </w:t>
      </w:r>
      <w:r w:rsidR="00FC0968" w:rsidRPr="00901D0D">
        <w:rPr>
          <w:lang w:val="en-GB"/>
        </w:rPr>
        <w:t xml:space="preserve">relationship between </w:t>
      </w:r>
      <w:r w:rsidR="00B65F9D" w:rsidRPr="00901D0D">
        <w:rPr>
          <w:lang w:val="en-GB"/>
        </w:rPr>
        <w:t xml:space="preserve">misperception of chance </w:t>
      </w:r>
      <w:r w:rsidR="00FC0968" w:rsidRPr="00901D0D">
        <w:rPr>
          <w:lang w:val="en-GB"/>
        </w:rPr>
        <w:t xml:space="preserve">and anomalistic belief </w:t>
      </w:r>
      <w:r w:rsidR="00B65F9D" w:rsidRPr="00901D0D">
        <w:rPr>
          <w:lang w:val="en-GB"/>
        </w:rPr>
        <w:t>replicates and extends to the base rate fallacy.</w:t>
      </w:r>
    </w:p>
    <w:p w14:paraId="35B69F90" w14:textId="1BC23949" w:rsidR="005B4F13" w:rsidRPr="00901D0D" w:rsidRDefault="00B65F9D" w:rsidP="009747E7">
      <w:pPr>
        <w:contextualSpacing/>
        <w:rPr>
          <w:lang w:val="en-GB"/>
        </w:rPr>
      </w:pPr>
      <w:r w:rsidRPr="00901D0D">
        <w:rPr>
          <w:lang w:val="en-GB"/>
        </w:rPr>
        <w:t xml:space="preserve">Beyond context, </w:t>
      </w:r>
      <w:r w:rsidR="005870A2" w:rsidRPr="00901D0D">
        <w:rPr>
          <w:lang w:val="en-GB"/>
        </w:rPr>
        <w:t>we</w:t>
      </w:r>
      <w:r w:rsidR="00566E9B" w:rsidRPr="00901D0D">
        <w:rPr>
          <w:lang w:val="en-GB"/>
        </w:rPr>
        <w:t xml:space="preserve"> also investigated the potential relationship between gambling attitudes, anomalistic belief, and probabilistic reasoning.</w:t>
      </w:r>
      <w:r w:rsidR="00866E7F" w:rsidRPr="00901D0D">
        <w:rPr>
          <w:lang w:val="en-GB"/>
        </w:rPr>
        <w:t xml:space="preserve"> </w:t>
      </w:r>
      <w:r w:rsidR="005870A2" w:rsidRPr="00901D0D">
        <w:rPr>
          <w:lang w:val="en-GB"/>
        </w:rPr>
        <w:t>Because g</w:t>
      </w:r>
      <w:r w:rsidR="00866E7F" w:rsidRPr="00901D0D">
        <w:rPr>
          <w:lang w:val="en-GB"/>
        </w:rPr>
        <w:t xml:space="preserve">ambling involves games of chance it is possible that people who hold positive views of gambling are </w:t>
      </w:r>
      <w:r w:rsidR="00A32A3E" w:rsidRPr="00901D0D">
        <w:rPr>
          <w:lang w:val="en-GB"/>
        </w:rPr>
        <w:t>more</w:t>
      </w:r>
      <w:r w:rsidR="00866E7F" w:rsidRPr="00901D0D">
        <w:rPr>
          <w:lang w:val="en-GB"/>
        </w:rPr>
        <w:t xml:space="preserve"> prone to misconceptions about probabilistic reasoning. A number of studies have shown that gamblers </w:t>
      </w:r>
      <w:r w:rsidR="00A65FE8" w:rsidRPr="00901D0D">
        <w:rPr>
          <w:lang w:val="en-GB"/>
        </w:rPr>
        <w:t xml:space="preserve">are prone to </w:t>
      </w:r>
      <w:r w:rsidR="00866E7F" w:rsidRPr="00901D0D">
        <w:rPr>
          <w:lang w:val="en-GB"/>
        </w:rPr>
        <w:t>several probabilistic reasoning errors</w:t>
      </w:r>
      <w:r w:rsidR="00655697">
        <w:rPr>
          <w:lang w:val="en-GB"/>
        </w:rPr>
        <w:t xml:space="preserve"> and fallacies</w:t>
      </w:r>
      <w:r w:rsidR="00866E7F" w:rsidRPr="00901D0D">
        <w:rPr>
          <w:lang w:val="en-GB"/>
        </w:rPr>
        <w:t>, such as the aptly named gamblers fallacy</w:t>
      </w:r>
      <w:r w:rsidR="00A65FE8" w:rsidRPr="00901D0D">
        <w:rPr>
          <w:lang w:val="en-GB"/>
        </w:rPr>
        <w:t xml:space="preserve">, </w:t>
      </w:r>
      <w:r w:rsidR="009E7DB4" w:rsidRPr="00901D0D">
        <w:rPr>
          <w:lang w:val="en-GB"/>
        </w:rPr>
        <w:t>hot hand</w:t>
      </w:r>
      <w:r w:rsidR="00866E7F" w:rsidRPr="00901D0D">
        <w:rPr>
          <w:lang w:val="en-GB"/>
        </w:rPr>
        <w:t xml:space="preserve">, and </w:t>
      </w:r>
      <w:r w:rsidR="009E7DB4" w:rsidRPr="00901D0D">
        <w:rPr>
          <w:lang w:val="en-GB"/>
        </w:rPr>
        <w:t>finding illusory patterns</w:t>
      </w:r>
      <w:r w:rsidR="00655697">
        <w:rPr>
          <w:lang w:val="en-GB"/>
        </w:rPr>
        <w:t xml:space="preserve"> (</w:t>
      </w:r>
      <w:proofErr w:type="spellStart"/>
      <w:r w:rsidR="00655697" w:rsidRPr="00901D0D">
        <w:rPr>
          <w:lang w:val="en-GB"/>
        </w:rPr>
        <w:t>Croson</w:t>
      </w:r>
      <w:proofErr w:type="spellEnd"/>
      <w:r w:rsidR="00655697" w:rsidRPr="00901D0D">
        <w:rPr>
          <w:lang w:val="en-GB"/>
        </w:rPr>
        <w:t xml:space="preserve"> &amp; </w:t>
      </w:r>
      <w:proofErr w:type="spellStart"/>
      <w:r w:rsidR="00655697" w:rsidRPr="00901D0D">
        <w:rPr>
          <w:lang w:val="en-GB"/>
        </w:rPr>
        <w:t>Sundali</w:t>
      </w:r>
      <w:proofErr w:type="spellEnd"/>
      <w:r w:rsidR="00655697" w:rsidRPr="00901D0D">
        <w:rPr>
          <w:lang w:val="en-GB"/>
        </w:rPr>
        <w:t>, 2005</w:t>
      </w:r>
      <w:r w:rsidR="00655697">
        <w:rPr>
          <w:lang w:val="en-GB"/>
        </w:rPr>
        <w:t xml:space="preserve">; </w:t>
      </w:r>
      <w:r w:rsidR="00655697" w:rsidRPr="00901D0D">
        <w:rPr>
          <w:lang w:val="en-GB"/>
        </w:rPr>
        <w:t>Xu &amp; Harvey, 2014</w:t>
      </w:r>
      <w:r w:rsidR="00655697">
        <w:rPr>
          <w:lang w:val="en-GB"/>
        </w:rPr>
        <w:t>)</w:t>
      </w:r>
      <w:r w:rsidR="00366D62">
        <w:rPr>
          <w:lang w:val="en-GB"/>
        </w:rPr>
        <w:t>. Further, researchers have</w:t>
      </w:r>
      <w:r w:rsidR="00655697">
        <w:rPr>
          <w:lang w:val="en-GB"/>
        </w:rPr>
        <w:t xml:space="preserve"> shown that gamblers are more prone to these reasoning errors and fallacies than non-gamblers</w:t>
      </w:r>
      <w:r w:rsidR="00866E7F" w:rsidRPr="00901D0D">
        <w:rPr>
          <w:lang w:val="en-GB"/>
        </w:rPr>
        <w:t xml:space="preserve"> (</w:t>
      </w:r>
      <w:bookmarkStart w:id="9" w:name="_Hlk506839939"/>
      <w:r w:rsidR="00F83634" w:rsidRPr="00901D0D">
        <w:rPr>
          <w:lang w:val="en-GB"/>
        </w:rPr>
        <w:t>Fortune &amp; Goodie, 2012;</w:t>
      </w:r>
      <w:r w:rsidR="009E7DB4" w:rsidRPr="00901D0D">
        <w:rPr>
          <w:lang w:val="en-GB"/>
        </w:rPr>
        <w:t xml:space="preserve"> </w:t>
      </w:r>
      <w:proofErr w:type="spellStart"/>
      <w:r w:rsidR="009E7DB4" w:rsidRPr="00901D0D">
        <w:rPr>
          <w:lang w:val="en-GB"/>
        </w:rPr>
        <w:t>Gaissmaier</w:t>
      </w:r>
      <w:proofErr w:type="spellEnd"/>
      <w:r w:rsidR="009E7DB4" w:rsidRPr="00901D0D">
        <w:rPr>
          <w:lang w:val="en-GB"/>
        </w:rPr>
        <w:t xml:space="preserve">, Wilke, </w:t>
      </w:r>
      <w:proofErr w:type="spellStart"/>
      <w:r w:rsidR="009E7DB4" w:rsidRPr="00901D0D">
        <w:rPr>
          <w:lang w:val="en-GB"/>
        </w:rPr>
        <w:t>Scheibehenne</w:t>
      </w:r>
      <w:proofErr w:type="spellEnd"/>
      <w:r w:rsidR="009E7DB4" w:rsidRPr="00901D0D">
        <w:rPr>
          <w:lang w:val="en-GB"/>
        </w:rPr>
        <w:t xml:space="preserve">, </w:t>
      </w:r>
      <w:proofErr w:type="spellStart"/>
      <w:r w:rsidR="009E7DB4" w:rsidRPr="00901D0D">
        <w:rPr>
          <w:lang w:val="en-GB"/>
        </w:rPr>
        <w:t>McCanney</w:t>
      </w:r>
      <w:proofErr w:type="spellEnd"/>
      <w:r w:rsidR="009E7DB4" w:rsidRPr="00901D0D">
        <w:rPr>
          <w:lang w:val="en-GB"/>
        </w:rPr>
        <w:t>, &amp; Barrett, 2016;</w:t>
      </w:r>
      <w:r w:rsidR="00F83634" w:rsidRPr="00901D0D">
        <w:rPr>
          <w:lang w:val="en-GB"/>
        </w:rPr>
        <w:t xml:space="preserve"> Goodie &amp; Fortune, 2013;</w:t>
      </w:r>
      <w:r w:rsidR="009E7DB4" w:rsidRPr="00901D0D">
        <w:rPr>
          <w:lang w:val="en-GB"/>
        </w:rPr>
        <w:t xml:space="preserve"> </w:t>
      </w:r>
      <w:r w:rsidR="008F273A" w:rsidRPr="00901D0D">
        <w:rPr>
          <w:lang w:val="en-GB"/>
        </w:rPr>
        <w:t xml:space="preserve">Wilke, </w:t>
      </w:r>
      <w:proofErr w:type="spellStart"/>
      <w:r w:rsidR="008F273A" w:rsidRPr="00901D0D">
        <w:rPr>
          <w:lang w:val="en-GB"/>
        </w:rPr>
        <w:t>Scheibehenne</w:t>
      </w:r>
      <w:proofErr w:type="spellEnd"/>
      <w:r w:rsidR="008F273A" w:rsidRPr="00901D0D">
        <w:rPr>
          <w:lang w:val="en-GB"/>
        </w:rPr>
        <w:t xml:space="preserve">, </w:t>
      </w:r>
      <w:proofErr w:type="spellStart"/>
      <w:r w:rsidR="008F273A" w:rsidRPr="00901D0D">
        <w:rPr>
          <w:lang w:val="en-GB"/>
        </w:rPr>
        <w:t>Gaissmaier</w:t>
      </w:r>
      <w:proofErr w:type="spellEnd"/>
      <w:r w:rsidR="008F273A" w:rsidRPr="00901D0D">
        <w:rPr>
          <w:lang w:val="en-GB"/>
        </w:rPr>
        <w:t xml:space="preserve">, </w:t>
      </w:r>
      <w:proofErr w:type="spellStart"/>
      <w:r w:rsidR="008F273A" w:rsidRPr="00901D0D">
        <w:rPr>
          <w:lang w:val="en-GB"/>
        </w:rPr>
        <w:t>McCanney</w:t>
      </w:r>
      <w:proofErr w:type="spellEnd"/>
      <w:r w:rsidR="008F273A" w:rsidRPr="00901D0D">
        <w:rPr>
          <w:lang w:val="en-GB"/>
        </w:rPr>
        <w:t>, &amp; Barrett, 2014</w:t>
      </w:r>
      <w:r w:rsidR="009E7DB4" w:rsidRPr="00901D0D">
        <w:rPr>
          <w:lang w:val="en-GB"/>
        </w:rPr>
        <w:t xml:space="preserve">; </w:t>
      </w:r>
      <w:r w:rsidR="00F83634" w:rsidRPr="00901D0D">
        <w:rPr>
          <w:lang w:val="en-GB"/>
        </w:rPr>
        <w:t>Yakovenko et al. 2016</w:t>
      </w:r>
      <w:bookmarkEnd w:id="9"/>
      <w:r w:rsidR="00866E7F" w:rsidRPr="00901D0D">
        <w:rPr>
          <w:lang w:val="en-GB"/>
        </w:rPr>
        <w:t>)</w:t>
      </w:r>
      <w:r w:rsidR="00540746" w:rsidRPr="00901D0D">
        <w:rPr>
          <w:lang w:val="en-GB"/>
        </w:rPr>
        <w:t xml:space="preserve">. Therefore, a more positive attitude towards gambling </w:t>
      </w:r>
      <w:r w:rsidR="00DB4B59" w:rsidRPr="00901D0D">
        <w:rPr>
          <w:lang w:val="en-GB"/>
        </w:rPr>
        <w:t xml:space="preserve">also may be </w:t>
      </w:r>
      <w:r w:rsidR="00540746" w:rsidRPr="00901D0D">
        <w:rPr>
          <w:lang w:val="en-GB"/>
        </w:rPr>
        <w:t>associated with the misperception of chance and base rate</w:t>
      </w:r>
      <w:r w:rsidR="00DB4B59" w:rsidRPr="00901D0D">
        <w:rPr>
          <w:lang w:val="en-GB"/>
        </w:rPr>
        <w:t xml:space="preserve"> fallacy</w:t>
      </w:r>
      <w:r w:rsidR="00540746" w:rsidRPr="00901D0D">
        <w:rPr>
          <w:lang w:val="en-GB"/>
        </w:rPr>
        <w:t xml:space="preserve"> tasks used in the current study. </w:t>
      </w:r>
    </w:p>
    <w:p w14:paraId="331A90D9" w14:textId="095A588B" w:rsidR="007257CB" w:rsidRPr="00901D0D" w:rsidRDefault="006036F4" w:rsidP="009747E7">
      <w:pPr>
        <w:contextualSpacing/>
        <w:rPr>
          <w:lang w:val="en-GB"/>
        </w:rPr>
      </w:pPr>
      <w:r>
        <w:rPr>
          <w:lang w:val="en-GB"/>
        </w:rPr>
        <w:t>We also were interested in gambling</w:t>
      </w:r>
      <w:r w:rsidR="00E974EC" w:rsidRPr="00901D0D">
        <w:rPr>
          <w:lang w:val="en-GB"/>
        </w:rPr>
        <w:t xml:space="preserve"> because</w:t>
      </w:r>
      <w:r w:rsidR="00540746" w:rsidRPr="00901D0D">
        <w:rPr>
          <w:lang w:val="en-GB"/>
        </w:rPr>
        <w:t xml:space="preserve"> several beliefs held by gamblers are superstitious </w:t>
      </w:r>
      <w:r w:rsidR="00DB4B59" w:rsidRPr="00901D0D">
        <w:rPr>
          <w:lang w:val="en-GB"/>
        </w:rPr>
        <w:t>(</w:t>
      </w:r>
      <w:r w:rsidR="00540746" w:rsidRPr="00901D0D">
        <w:rPr>
          <w:lang w:val="en-GB"/>
        </w:rPr>
        <w:t>or otherwise non-evidence based</w:t>
      </w:r>
      <w:r w:rsidR="00DB4B59" w:rsidRPr="00901D0D">
        <w:rPr>
          <w:lang w:val="en-GB"/>
        </w:rPr>
        <w:t>)</w:t>
      </w:r>
      <w:r w:rsidR="00540746" w:rsidRPr="00901D0D">
        <w:rPr>
          <w:lang w:val="en-GB"/>
        </w:rPr>
        <w:t xml:space="preserve"> and </w:t>
      </w:r>
      <w:r w:rsidR="00DB4B59" w:rsidRPr="00901D0D">
        <w:rPr>
          <w:lang w:val="en-GB"/>
        </w:rPr>
        <w:t xml:space="preserve">thus gambling attitudes </w:t>
      </w:r>
      <w:r w:rsidR="00540746" w:rsidRPr="00901D0D">
        <w:rPr>
          <w:lang w:val="en-GB"/>
        </w:rPr>
        <w:t>may have some overlap with anomalistic beliefs</w:t>
      </w:r>
      <w:r w:rsidR="00F83634" w:rsidRPr="00901D0D">
        <w:rPr>
          <w:lang w:val="en-GB"/>
        </w:rPr>
        <w:t xml:space="preserve"> (</w:t>
      </w:r>
      <w:bookmarkStart w:id="10" w:name="_Hlk506839968"/>
      <w:proofErr w:type="spellStart"/>
      <w:r w:rsidR="00E60D10" w:rsidRPr="00901D0D">
        <w:rPr>
          <w:lang w:val="en-GB"/>
        </w:rPr>
        <w:t>Joukhador</w:t>
      </w:r>
      <w:proofErr w:type="spellEnd"/>
      <w:r w:rsidR="00E60D10" w:rsidRPr="00901D0D">
        <w:rPr>
          <w:lang w:val="en-GB"/>
        </w:rPr>
        <w:t xml:space="preserve">, </w:t>
      </w:r>
      <w:proofErr w:type="spellStart"/>
      <w:r w:rsidR="00E60D10" w:rsidRPr="00901D0D">
        <w:rPr>
          <w:lang w:val="en-GB"/>
        </w:rPr>
        <w:t>Blaszczynski</w:t>
      </w:r>
      <w:proofErr w:type="spellEnd"/>
      <w:r w:rsidR="00E60D10" w:rsidRPr="00901D0D">
        <w:rPr>
          <w:lang w:val="en-GB"/>
        </w:rPr>
        <w:t xml:space="preserve">, &amp; </w:t>
      </w:r>
      <w:proofErr w:type="spellStart"/>
      <w:r w:rsidR="00E60D10" w:rsidRPr="00901D0D">
        <w:rPr>
          <w:lang w:val="en-GB"/>
        </w:rPr>
        <w:t>Maccallum</w:t>
      </w:r>
      <w:proofErr w:type="spellEnd"/>
      <w:r w:rsidR="00E60D10" w:rsidRPr="00901D0D">
        <w:rPr>
          <w:lang w:val="en-GB"/>
        </w:rPr>
        <w:t xml:space="preserve">, 2004; </w:t>
      </w:r>
      <w:r w:rsidR="00F83634" w:rsidRPr="00901D0D">
        <w:rPr>
          <w:lang w:val="en-GB"/>
        </w:rPr>
        <w:t>McInnes, Hodges, &amp; Holub, 2014</w:t>
      </w:r>
      <w:r w:rsidR="00562623" w:rsidRPr="00901D0D">
        <w:rPr>
          <w:lang w:val="en-GB"/>
        </w:rPr>
        <w:t xml:space="preserve">; </w:t>
      </w:r>
      <w:proofErr w:type="spellStart"/>
      <w:r w:rsidR="00562623" w:rsidRPr="00901D0D">
        <w:rPr>
          <w:lang w:val="en-GB"/>
        </w:rPr>
        <w:t>Passanisi</w:t>
      </w:r>
      <w:proofErr w:type="spellEnd"/>
      <w:r w:rsidR="00562623" w:rsidRPr="00901D0D">
        <w:rPr>
          <w:lang w:val="en-GB"/>
        </w:rPr>
        <w:t xml:space="preserve">, </w:t>
      </w:r>
      <w:proofErr w:type="spellStart"/>
      <w:r w:rsidR="00562623" w:rsidRPr="00901D0D">
        <w:rPr>
          <w:lang w:val="en-GB"/>
        </w:rPr>
        <w:t>Craparo</w:t>
      </w:r>
      <w:proofErr w:type="spellEnd"/>
      <w:r w:rsidR="00562623" w:rsidRPr="00901D0D">
        <w:rPr>
          <w:lang w:val="en-GB"/>
        </w:rPr>
        <w:t>, &amp; Pace, 2017</w:t>
      </w:r>
      <w:bookmarkEnd w:id="10"/>
      <w:r w:rsidR="00F83634" w:rsidRPr="00901D0D">
        <w:rPr>
          <w:lang w:val="en-GB"/>
        </w:rPr>
        <w:t>)</w:t>
      </w:r>
      <w:r w:rsidR="00540746" w:rsidRPr="00901D0D">
        <w:rPr>
          <w:lang w:val="en-GB"/>
        </w:rPr>
        <w:t xml:space="preserve">. For example, many gamblers </w:t>
      </w:r>
      <w:r w:rsidR="00687258" w:rsidRPr="00901D0D">
        <w:rPr>
          <w:lang w:val="en-GB"/>
        </w:rPr>
        <w:t xml:space="preserve">hold </w:t>
      </w:r>
      <w:r w:rsidR="00540746" w:rsidRPr="00901D0D">
        <w:rPr>
          <w:lang w:val="en-GB"/>
        </w:rPr>
        <w:t>beliefs about luck, the superstitious nature of certain items, or the ability of their gut/intuition to make correct predictions</w:t>
      </w:r>
      <w:r w:rsidR="00B63AD3" w:rsidRPr="00901D0D">
        <w:rPr>
          <w:lang w:val="en-GB"/>
        </w:rPr>
        <w:t>. These gambling beliefs</w:t>
      </w:r>
      <w:r w:rsidR="00687258" w:rsidRPr="00901D0D">
        <w:rPr>
          <w:lang w:val="en-GB"/>
        </w:rPr>
        <w:t xml:space="preserve"> </w:t>
      </w:r>
      <w:r w:rsidR="00540746" w:rsidRPr="00901D0D">
        <w:rPr>
          <w:lang w:val="en-GB"/>
        </w:rPr>
        <w:t xml:space="preserve">could be considered anomalistic </w:t>
      </w:r>
      <w:r w:rsidR="005870A2" w:rsidRPr="00901D0D">
        <w:rPr>
          <w:lang w:val="en-GB"/>
        </w:rPr>
        <w:t>in nature</w:t>
      </w:r>
      <w:r w:rsidR="00540746" w:rsidRPr="00901D0D">
        <w:rPr>
          <w:lang w:val="en-GB"/>
        </w:rPr>
        <w:t xml:space="preserve">, particularly </w:t>
      </w:r>
      <w:r w:rsidR="00B63AD3" w:rsidRPr="00901D0D">
        <w:rPr>
          <w:lang w:val="en-GB"/>
        </w:rPr>
        <w:t xml:space="preserve">gambling beliefs that are </w:t>
      </w:r>
      <w:r w:rsidR="00540746" w:rsidRPr="00901D0D">
        <w:rPr>
          <w:lang w:val="en-GB"/>
        </w:rPr>
        <w:t xml:space="preserve">related to </w:t>
      </w:r>
      <w:r w:rsidR="00687258" w:rsidRPr="00901D0D">
        <w:rPr>
          <w:lang w:val="en-GB"/>
        </w:rPr>
        <w:t xml:space="preserve">predicting </w:t>
      </w:r>
      <w:r w:rsidR="00540746" w:rsidRPr="00901D0D">
        <w:rPr>
          <w:lang w:val="en-GB"/>
        </w:rPr>
        <w:t xml:space="preserve">or influencing outcomes. </w:t>
      </w:r>
      <w:bookmarkStart w:id="11" w:name="_Hlk506839990"/>
      <w:r w:rsidR="00CB0215" w:rsidRPr="00901D0D">
        <w:rPr>
          <w:lang w:val="en-GB"/>
        </w:rPr>
        <w:t xml:space="preserve">Morris </w:t>
      </w:r>
      <w:r w:rsidR="005870A2" w:rsidRPr="00901D0D">
        <w:rPr>
          <w:lang w:val="en-GB"/>
        </w:rPr>
        <w:t>and</w:t>
      </w:r>
      <w:r w:rsidR="00CB0215" w:rsidRPr="00901D0D">
        <w:rPr>
          <w:lang w:val="en-GB"/>
        </w:rPr>
        <w:t xml:space="preserve"> Griffiths </w:t>
      </w:r>
      <w:r w:rsidR="005870A2" w:rsidRPr="00901D0D">
        <w:rPr>
          <w:lang w:val="en-GB"/>
        </w:rPr>
        <w:t>(</w:t>
      </w:r>
      <w:r w:rsidR="00CB0215" w:rsidRPr="00901D0D">
        <w:rPr>
          <w:lang w:val="en-GB"/>
        </w:rPr>
        <w:t>2013</w:t>
      </w:r>
      <w:bookmarkEnd w:id="11"/>
      <w:r w:rsidR="00CB0215" w:rsidRPr="00901D0D">
        <w:rPr>
          <w:lang w:val="en-GB"/>
        </w:rPr>
        <w:t>)</w:t>
      </w:r>
      <w:r w:rsidR="00416BAB" w:rsidRPr="00901D0D">
        <w:rPr>
          <w:lang w:val="en-GB"/>
        </w:rPr>
        <w:t xml:space="preserve"> </w:t>
      </w:r>
      <w:r>
        <w:rPr>
          <w:lang w:val="en-GB"/>
        </w:rPr>
        <w:t>tested</w:t>
      </w:r>
      <w:r w:rsidR="009F211A" w:rsidRPr="00901D0D">
        <w:rPr>
          <w:lang w:val="en-GB"/>
        </w:rPr>
        <w:t xml:space="preserve"> a convenience sample of gamblers </w:t>
      </w:r>
      <w:r w:rsidR="009F211A" w:rsidRPr="00901D0D">
        <w:rPr>
          <w:lang w:val="en-GB"/>
        </w:rPr>
        <w:lastRenderedPageBreak/>
        <w:t xml:space="preserve">and </w:t>
      </w:r>
      <w:r w:rsidR="00CB0215" w:rsidRPr="00901D0D">
        <w:rPr>
          <w:lang w:val="en-GB"/>
        </w:rPr>
        <w:t xml:space="preserve">found that attitude towards gambling </w:t>
      </w:r>
      <w:r w:rsidR="00FC0968" w:rsidRPr="00901D0D">
        <w:rPr>
          <w:lang w:val="en-GB"/>
        </w:rPr>
        <w:t>was positively correlated</w:t>
      </w:r>
      <w:r w:rsidR="00CB0215" w:rsidRPr="00901D0D">
        <w:rPr>
          <w:lang w:val="en-GB"/>
        </w:rPr>
        <w:t xml:space="preserve"> with anomalistic belief.</w:t>
      </w:r>
      <w:r w:rsidR="00C92A95">
        <w:rPr>
          <w:lang w:val="en-GB"/>
        </w:rPr>
        <w:t xml:space="preserve"> </w:t>
      </w:r>
      <w:r>
        <w:rPr>
          <w:lang w:val="en-GB"/>
        </w:rPr>
        <w:t>Further</w:t>
      </w:r>
      <w:r w:rsidR="00C92A95">
        <w:rPr>
          <w:lang w:val="en-GB"/>
        </w:rPr>
        <w:t xml:space="preserve">, Leonard and Williams (2019) </w:t>
      </w:r>
      <w:r w:rsidR="0022580E">
        <w:rPr>
          <w:lang w:val="en-GB"/>
        </w:rPr>
        <w:t xml:space="preserve">measured anomalistic belief </w:t>
      </w:r>
      <w:r>
        <w:rPr>
          <w:lang w:val="en-GB"/>
        </w:rPr>
        <w:t xml:space="preserve">and </w:t>
      </w:r>
      <w:r w:rsidR="000D0737">
        <w:rPr>
          <w:lang w:val="en-GB"/>
        </w:rPr>
        <w:t>susceptibility to gambling fallacies</w:t>
      </w:r>
      <w:r w:rsidR="0022580E">
        <w:rPr>
          <w:lang w:val="en-GB"/>
        </w:rPr>
        <w:t xml:space="preserve"> </w:t>
      </w:r>
      <w:r>
        <w:rPr>
          <w:lang w:val="en-GB"/>
        </w:rPr>
        <w:t>(</w:t>
      </w:r>
      <w:r w:rsidR="0022580E">
        <w:rPr>
          <w:lang w:val="en-GB"/>
        </w:rPr>
        <w:t>included understanding of chance, randomness, and statistical principles</w:t>
      </w:r>
      <w:r>
        <w:rPr>
          <w:lang w:val="en-GB"/>
        </w:rPr>
        <w:t>) and found</w:t>
      </w:r>
      <w:r w:rsidR="0022580E">
        <w:rPr>
          <w:lang w:val="en-GB"/>
        </w:rPr>
        <w:t xml:space="preserve"> that greater anomalistic belief </w:t>
      </w:r>
      <w:r w:rsidR="00C92A95">
        <w:rPr>
          <w:lang w:val="en-GB"/>
        </w:rPr>
        <w:t xml:space="preserve">was associated with greater </w:t>
      </w:r>
      <w:r w:rsidR="0022580E">
        <w:rPr>
          <w:lang w:val="en-GB"/>
        </w:rPr>
        <w:t>susceptibility to</w:t>
      </w:r>
      <w:r w:rsidR="00C92A95">
        <w:rPr>
          <w:lang w:val="en-GB"/>
        </w:rPr>
        <w:t xml:space="preserve"> </w:t>
      </w:r>
      <w:r>
        <w:rPr>
          <w:lang w:val="en-GB"/>
        </w:rPr>
        <w:t xml:space="preserve">these </w:t>
      </w:r>
      <w:r w:rsidR="00C92A95">
        <w:rPr>
          <w:lang w:val="en-GB"/>
        </w:rPr>
        <w:t>gambling fallacies</w:t>
      </w:r>
      <w:r w:rsidR="0022580E">
        <w:rPr>
          <w:lang w:val="en-GB"/>
        </w:rPr>
        <w:t>.</w:t>
      </w:r>
    </w:p>
    <w:p w14:paraId="6A86E28B" w14:textId="4846B78F" w:rsidR="007257CB" w:rsidRPr="00901D0D" w:rsidRDefault="007257CB" w:rsidP="009747E7">
      <w:pPr>
        <w:ind w:firstLine="0"/>
        <w:contextualSpacing/>
        <w:rPr>
          <w:b/>
          <w:lang w:val="en-GB"/>
        </w:rPr>
      </w:pPr>
      <w:r w:rsidRPr="00901D0D">
        <w:rPr>
          <w:b/>
          <w:lang w:val="en-GB"/>
        </w:rPr>
        <w:t>Overview of the Study</w:t>
      </w:r>
    </w:p>
    <w:p w14:paraId="1C59DA86" w14:textId="1193EF0C" w:rsidR="000A10A4" w:rsidRPr="00901D0D" w:rsidRDefault="00C17384" w:rsidP="009747E7">
      <w:pPr>
        <w:contextualSpacing/>
        <w:rPr>
          <w:lang w:val="en-GB"/>
        </w:rPr>
      </w:pPr>
      <w:r w:rsidRPr="00901D0D">
        <w:rPr>
          <w:lang w:val="en-GB"/>
        </w:rPr>
        <w:t xml:space="preserve">Anomalistic belief was measured </w:t>
      </w:r>
      <w:r w:rsidR="007257CB" w:rsidRPr="00901D0D">
        <w:rPr>
          <w:lang w:val="en-GB"/>
        </w:rPr>
        <w:t xml:space="preserve">with both </w:t>
      </w:r>
      <w:r w:rsidRPr="00901D0D">
        <w:rPr>
          <w:lang w:val="en-GB"/>
        </w:rPr>
        <w:t xml:space="preserve">the Australian Sheep-Goat Scale (ASGS: </w:t>
      </w:r>
      <w:proofErr w:type="spellStart"/>
      <w:r w:rsidRPr="00901D0D">
        <w:rPr>
          <w:lang w:val="en-GB"/>
        </w:rPr>
        <w:t>Thalbourne</w:t>
      </w:r>
      <w:proofErr w:type="spellEnd"/>
      <w:r w:rsidRPr="00901D0D">
        <w:rPr>
          <w:lang w:val="en-GB"/>
        </w:rPr>
        <w:t xml:space="preserve"> &amp; </w:t>
      </w:r>
      <w:proofErr w:type="spellStart"/>
      <w:r w:rsidRPr="00901D0D">
        <w:rPr>
          <w:lang w:val="en-GB"/>
        </w:rPr>
        <w:t>Delin</w:t>
      </w:r>
      <w:proofErr w:type="spellEnd"/>
      <w:r w:rsidRPr="00901D0D">
        <w:rPr>
          <w:lang w:val="en-GB"/>
        </w:rPr>
        <w:t>, 1993) and the</w:t>
      </w:r>
      <w:r w:rsidR="005B020D" w:rsidRPr="00901D0D">
        <w:rPr>
          <w:lang w:val="en-GB"/>
        </w:rPr>
        <w:t xml:space="preserve"> recently developed</w:t>
      </w:r>
      <w:r w:rsidRPr="00901D0D">
        <w:rPr>
          <w:lang w:val="en-GB"/>
        </w:rPr>
        <w:t xml:space="preserve"> </w:t>
      </w:r>
      <w:r w:rsidR="00184269" w:rsidRPr="00901D0D">
        <w:rPr>
          <w:lang w:val="en-GB"/>
        </w:rPr>
        <w:t>ABS</w:t>
      </w:r>
      <w:r w:rsidRPr="00901D0D">
        <w:rPr>
          <w:lang w:val="en-GB"/>
        </w:rPr>
        <w:t xml:space="preserve"> (Prike</w:t>
      </w:r>
      <w:r w:rsidR="003C6891" w:rsidRPr="00901D0D">
        <w:rPr>
          <w:lang w:val="en-GB"/>
        </w:rPr>
        <w:t xml:space="preserve"> et al.</w:t>
      </w:r>
      <w:r w:rsidRPr="00901D0D">
        <w:rPr>
          <w:lang w:val="en-GB"/>
        </w:rPr>
        <w:t xml:space="preserve">, 2017). The ASGS is widely used within the literature, </w:t>
      </w:r>
      <w:r w:rsidR="005B020D" w:rsidRPr="00901D0D">
        <w:rPr>
          <w:lang w:val="en-GB"/>
        </w:rPr>
        <w:t xml:space="preserve">which </w:t>
      </w:r>
      <w:r w:rsidRPr="00901D0D">
        <w:rPr>
          <w:lang w:val="en-GB"/>
        </w:rPr>
        <w:t>allow</w:t>
      </w:r>
      <w:r w:rsidR="005B020D" w:rsidRPr="00901D0D">
        <w:rPr>
          <w:lang w:val="en-GB"/>
        </w:rPr>
        <w:t>s</w:t>
      </w:r>
      <w:r w:rsidRPr="00901D0D">
        <w:rPr>
          <w:lang w:val="en-GB"/>
        </w:rPr>
        <w:t xml:space="preserve"> the findings of the current study to be easily compared with previous research. </w:t>
      </w:r>
      <w:r w:rsidR="00370701" w:rsidRPr="00901D0D">
        <w:rPr>
          <w:lang w:val="en-GB"/>
        </w:rPr>
        <w:t>T</w:t>
      </w:r>
      <w:r w:rsidR="0067702B" w:rsidRPr="00901D0D">
        <w:rPr>
          <w:lang w:val="en-GB"/>
        </w:rPr>
        <w:t xml:space="preserve">he </w:t>
      </w:r>
      <w:r w:rsidRPr="00901D0D">
        <w:rPr>
          <w:lang w:val="en-GB"/>
        </w:rPr>
        <w:t>ABS</w:t>
      </w:r>
      <w:r w:rsidR="00AA160B" w:rsidRPr="00901D0D">
        <w:rPr>
          <w:lang w:val="en-GB"/>
        </w:rPr>
        <w:t xml:space="preserve"> </w:t>
      </w:r>
      <w:r w:rsidR="00370701" w:rsidRPr="00901D0D">
        <w:rPr>
          <w:lang w:val="en-GB"/>
        </w:rPr>
        <w:t xml:space="preserve">also </w:t>
      </w:r>
      <w:r w:rsidR="00AA160B" w:rsidRPr="00901D0D">
        <w:rPr>
          <w:lang w:val="en-GB"/>
        </w:rPr>
        <w:t xml:space="preserve">was used because it covers a wider range of </w:t>
      </w:r>
      <w:r w:rsidR="003B70BD" w:rsidRPr="00901D0D">
        <w:rPr>
          <w:lang w:val="en-GB"/>
        </w:rPr>
        <w:t xml:space="preserve">anomalistic beliefs </w:t>
      </w:r>
      <w:r w:rsidR="005B020D" w:rsidRPr="00901D0D">
        <w:rPr>
          <w:lang w:val="en-GB"/>
        </w:rPr>
        <w:t xml:space="preserve">than the ASGS, </w:t>
      </w:r>
      <w:r w:rsidR="003B70BD" w:rsidRPr="00901D0D">
        <w:rPr>
          <w:lang w:val="en-GB"/>
        </w:rPr>
        <w:t>and</w:t>
      </w:r>
      <w:r w:rsidR="005B020D" w:rsidRPr="00901D0D">
        <w:rPr>
          <w:lang w:val="en-GB"/>
        </w:rPr>
        <w:t xml:space="preserve"> because</w:t>
      </w:r>
      <w:r w:rsidR="003B70BD" w:rsidRPr="00901D0D">
        <w:rPr>
          <w:lang w:val="en-GB"/>
        </w:rPr>
        <w:t xml:space="preserve"> the factors of the ABS</w:t>
      </w:r>
      <w:r w:rsidR="00680082" w:rsidRPr="00901D0D">
        <w:rPr>
          <w:lang w:val="en-GB"/>
        </w:rPr>
        <w:t xml:space="preserve"> </w:t>
      </w:r>
      <w:r w:rsidR="000A10A4" w:rsidRPr="00901D0D">
        <w:rPr>
          <w:lang w:val="en-GB"/>
        </w:rPr>
        <w:t>enable</w:t>
      </w:r>
      <w:r w:rsidR="005B020D" w:rsidRPr="00901D0D">
        <w:rPr>
          <w:lang w:val="en-GB"/>
        </w:rPr>
        <w:t xml:space="preserve"> us to</w:t>
      </w:r>
      <w:r w:rsidR="003B70BD" w:rsidRPr="00901D0D">
        <w:rPr>
          <w:lang w:val="en-GB"/>
        </w:rPr>
        <w:t xml:space="preserve"> investigate whether the relationships </w:t>
      </w:r>
      <w:r w:rsidR="005B020D" w:rsidRPr="00901D0D">
        <w:rPr>
          <w:lang w:val="en-GB"/>
        </w:rPr>
        <w:t>between belief and</w:t>
      </w:r>
      <w:r w:rsidR="00A9792F" w:rsidRPr="00901D0D">
        <w:rPr>
          <w:lang w:val="en-GB"/>
        </w:rPr>
        <w:t xml:space="preserve"> the other </w:t>
      </w:r>
      <w:r w:rsidR="00544169" w:rsidRPr="00901D0D">
        <w:rPr>
          <w:lang w:val="en-GB"/>
        </w:rPr>
        <w:t xml:space="preserve">variables </w:t>
      </w:r>
      <w:r w:rsidR="00FC0968" w:rsidRPr="00901D0D">
        <w:rPr>
          <w:lang w:val="en-GB"/>
        </w:rPr>
        <w:t>depends on whether the</w:t>
      </w:r>
      <w:r w:rsidR="003B70BD" w:rsidRPr="00901D0D">
        <w:rPr>
          <w:lang w:val="en-GB"/>
        </w:rPr>
        <w:t xml:space="preserve"> </w:t>
      </w:r>
      <w:r w:rsidR="007248BC" w:rsidRPr="00901D0D">
        <w:rPr>
          <w:lang w:val="en-GB"/>
        </w:rPr>
        <w:t>anomalistic</w:t>
      </w:r>
      <w:r w:rsidR="003B70BD" w:rsidRPr="00901D0D">
        <w:rPr>
          <w:lang w:val="en-GB"/>
        </w:rPr>
        <w:t xml:space="preserve"> belief</w:t>
      </w:r>
      <w:r w:rsidR="00680082" w:rsidRPr="00901D0D">
        <w:rPr>
          <w:lang w:val="en-GB"/>
        </w:rPr>
        <w:t xml:space="preserve"> </w:t>
      </w:r>
      <w:r w:rsidR="00FC0968" w:rsidRPr="00901D0D">
        <w:rPr>
          <w:lang w:val="en-GB"/>
        </w:rPr>
        <w:t>is</w:t>
      </w:r>
      <w:r w:rsidR="00680082" w:rsidRPr="00901D0D">
        <w:rPr>
          <w:lang w:val="en-GB"/>
        </w:rPr>
        <w:t xml:space="preserve"> experiential </w:t>
      </w:r>
      <w:r w:rsidR="00FC0968" w:rsidRPr="00901D0D">
        <w:rPr>
          <w:lang w:val="en-GB"/>
        </w:rPr>
        <w:t>or</w:t>
      </w:r>
      <w:r w:rsidR="00680082" w:rsidRPr="00901D0D">
        <w:rPr>
          <w:lang w:val="en-GB"/>
        </w:rPr>
        <w:t xml:space="preserve"> theoretical</w:t>
      </w:r>
      <w:r w:rsidR="003B70BD" w:rsidRPr="00901D0D">
        <w:rPr>
          <w:lang w:val="en-GB"/>
        </w:rPr>
        <w:t>.</w:t>
      </w:r>
      <w:r w:rsidR="008C6BD4" w:rsidRPr="00901D0D">
        <w:rPr>
          <w:lang w:val="en-GB"/>
        </w:rPr>
        <w:t xml:space="preserve"> </w:t>
      </w:r>
      <w:r w:rsidR="00064236" w:rsidRPr="00901D0D">
        <w:rPr>
          <w:lang w:val="en-GB"/>
        </w:rPr>
        <w:t xml:space="preserve">Attitudes toward gambling were collected using the Gambling Attitudes Scale (GAS; </w:t>
      </w:r>
      <w:bookmarkStart w:id="12" w:name="_Hlk506840033"/>
      <w:proofErr w:type="spellStart"/>
      <w:r w:rsidR="00064236" w:rsidRPr="00901D0D">
        <w:rPr>
          <w:lang w:val="en-GB"/>
        </w:rPr>
        <w:t>Kassinove</w:t>
      </w:r>
      <w:proofErr w:type="spellEnd"/>
      <w:r w:rsidR="00064236" w:rsidRPr="00901D0D">
        <w:rPr>
          <w:lang w:val="en-GB"/>
        </w:rPr>
        <w:t>, 1998</w:t>
      </w:r>
      <w:bookmarkEnd w:id="12"/>
      <w:r w:rsidR="00064236" w:rsidRPr="00901D0D">
        <w:rPr>
          <w:lang w:val="en-GB"/>
        </w:rPr>
        <w:t xml:space="preserve">), which </w:t>
      </w:r>
      <w:r w:rsidR="000A10A4" w:rsidRPr="00901D0D">
        <w:rPr>
          <w:lang w:val="en-GB"/>
        </w:rPr>
        <w:t>provides both an</w:t>
      </w:r>
      <w:r w:rsidR="00064236" w:rsidRPr="00901D0D">
        <w:rPr>
          <w:lang w:val="en-GB"/>
        </w:rPr>
        <w:t xml:space="preserve"> overall </w:t>
      </w:r>
      <w:r w:rsidR="000A10A4" w:rsidRPr="00901D0D">
        <w:rPr>
          <w:lang w:val="en-GB"/>
        </w:rPr>
        <w:t xml:space="preserve">measure of </w:t>
      </w:r>
      <w:r w:rsidR="00064236" w:rsidRPr="00901D0D">
        <w:rPr>
          <w:lang w:val="en-GB"/>
        </w:rPr>
        <w:t>gambling</w:t>
      </w:r>
      <w:r w:rsidR="000A10A4" w:rsidRPr="00901D0D">
        <w:rPr>
          <w:lang w:val="en-GB"/>
        </w:rPr>
        <w:t xml:space="preserve"> </w:t>
      </w:r>
      <w:r w:rsidR="00064236" w:rsidRPr="00901D0D">
        <w:rPr>
          <w:lang w:val="en-GB"/>
        </w:rPr>
        <w:t xml:space="preserve">attitudes </w:t>
      </w:r>
      <w:r w:rsidR="000A10A4" w:rsidRPr="00901D0D">
        <w:rPr>
          <w:lang w:val="en-GB"/>
        </w:rPr>
        <w:t xml:space="preserve">and specific attitudes toward </w:t>
      </w:r>
      <w:r w:rsidR="00064236" w:rsidRPr="00901D0D">
        <w:rPr>
          <w:lang w:val="en-GB"/>
        </w:rPr>
        <w:t>casino, horse</w:t>
      </w:r>
      <w:r w:rsidR="000A10A4" w:rsidRPr="00901D0D">
        <w:rPr>
          <w:lang w:val="en-GB"/>
        </w:rPr>
        <w:t xml:space="preserve"> race</w:t>
      </w:r>
      <w:r w:rsidR="00064236" w:rsidRPr="00901D0D">
        <w:rPr>
          <w:lang w:val="en-GB"/>
        </w:rPr>
        <w:t xml:space="preserve">, and </w:t>
      </w:r>
      <w:r w:rsidR="000A10A4" w:rsidRPr="00901D0D">
        <w:rPr>
          <w:lang w:val="en-GB"/>
        </w:rPr>
        <w:t xml:space="preserve">lottery gambling. </w:t>
      </w:r>
      <w:r w:rsidR="008C6BD4" w:rsidRPr="00901D0D">
        <w:rPr>
          <w:lang w:val="en-GB"/>
        </w:rPr>
        <w:t>Participants also completed two types of probabilistic reasoning problem</w:t>
      </w:r>
      <w:r w:rsidR="000A10A4" w:rsidRPr="00901D0D">
        <w:rPr>
          <w:lang w:val="en-GB"/>
        </w:rPr>
        <w:t>s</w:t>
      </w:r>
      <w:r w:rsidR="008C6BD4" w:rsidRPr="00901D0D">
        <w:rPr>
          <w:lang w:val="en-GB"/>
        </w:rPr>
        <w:t xml:space="preserve">: misperception of chance and base rate fallacy. The reasoning problems were </w:t>
      </w:r>
      <w:r w:rsidR="00680082" w:rsidRPr="00901D0D">
        <w:rPr>
          <w:lang w:val="en-GB"/>
        </w:rPr>
        <w:t xml:space="preserve">manipulated within-subject so that all participants received trials in both </w:t>
      </w:r>
      <w:r w:rsidR="008C6BD4" w:rsidRPr="00901D0D">
        <w:rPr>
          <w:lang w:val="en-GB"/>
        </w:rPr>
        <w:t xml:space="preserve">anomalistic </w:t>
      </w:r>
      <w:r w:rsidR="00F32D83" w:rsidRPr="00901D0D">
        <w:rPr>
          <w:lang w:val="en-GB"/>
        </w:rPr>
        <w:t xml:space="preserve">and </w:t>
      </w:r>
      <w:r w:rsidR="008C6BD4" w:rsidRPr="00901D0D">
        <w:rPr>
          <w:lang w:val="en-GB"/>
        </w:rPr>
        <w:t>control</w:t>
      </w:r>
      <w:r w:rsidR="00680082" w:rsidRPr="00901D0D">
        <w:rPr>
          <w:lang w:val="en-GB"/>
        </w:rPr>
        <w:t xml:space="preserve"> contexts</w:t>
      </w:r>
      <w:r w:rsidR="005A1519" w:rsidRPr="00901D0D">
        <w:rPr>
          <w:lang w:val="en-GB"/>
        </w:rPr>
        <w:t xml:space="preserve"> </w:t>
      </w:r>
      <w:r w:rsidR="008C6BD4" w:rsidRPr="00901D0D">
        <w:rPr>
          <w:lang w:val="en-GB"/>
        </w:rPr>
        <w:t xml:space="preserve">to test whether the relationship between </w:t>
      </w:r>
      <w:r w:rsidR="005A1519" w:rsidRPr="00901D0D">
        <w:rPr>
          <w:lang w:val="en-GB"/>
        </w:rPr>
        <w:t xml:space="preserve">higher </w:t>
      </w:r>
      <w:r w:rsidR="008C6BD4" w:rsidRPr="00901D0D">
        <w:rPr>
          <w:lang w:val="en-GB"/>
        </w:rPr>
        <w:t xml:space="preserve">anomalistic beliefs and </w:t>
      </w:r>
      <w:r w:rsidR="005A1519" w:rsidRPr="00901D0D">
        <w:rPr>
          <w:lang w:val="en-GB"/>
        </w:rPr>
        <w:t xml:space="preserve">poorer </w:t>
      </w:r>
      <w:r w:rsidR="008C6BD4" w:rsidRPr="00901D0D">
        <w:rPr>
          <w:lang w:val="en-GB"/>
        </w:rPr>
        <w:t xml:space="preserve">reasoning </w:t>
      </w:r>
      <w:r w:rsidR="005A1519" w:rsidRPr="00901D0D">
        <w:rPr>
          <w:lang w:val="en-GB"/>
        </w:rPr>
        <w:t xml:space="preserve">performance was stronger for the anomalistic context. </w:t>
      </w:r>
    </w:p>
    <w:p w14:paraId="731366BC" w14:textId="77777777" w:rsidR="007D6BF3" w:rsidRPr="00901D0D" w:rsidRDefault="007D6BF3" w:rsidP="00124969">
      <w:pPr>
        <w:ind w:firstLine="0"/>
        <w:contextualSpacing/>
        <w:jc w:val="center"/>
        <w:outlineLvl w:val="0"/>
        <w:rPr>
          <w:rFonts w:eastAsia="MS Gothic" w:cs="Times New Roman"/>
          <w:b/>
          <w:bCs/>
          <w:szCs w:val="28"/>
          <w:lang w:val="en-GB"/>
        </w:rPr>
      </w:pPr>
      <w:r w:rsidRPr="00901D0D">
        <w:rPr>
          <w:rFonts w:eastAsia="MS Gothic" w:cs="Times New Roman"/>
          <w:b/>
          <w:bCs/>
          <w:szCs w:val="28"/>
          <w:lang w:val="en-GB"/>
        </w:rPr>
        <w:t>Method</w:t>
      </w:r>
    </w:p>
    <w:p w14:paraId="4A593867" w14:textId="77777777" w:rsidR="007D6BF3" w:rsidRPr="00901D0D" w:rsidRDefault="007D6BF3" w:rsidP="009C6FB6">
      <w:pPr>
        <w:ind w:firstLine="0"/>
        <w:contextualSpacing/>
        <w:outlineLvl w:val="1"/>
        <w:rPr>
          <w:rFonts w:eastAsia="MS Gothic" w:cs="Times New Roman"/>
          <w:b/>
          <w:bCs/>
          <w:szCs w:val="26"/>
          <w:lang w:val="en-GB"/>
        </w:rPr>
      </w:pPr>
      <w:r w:rsidRPr="00901D0D">
        <w:rPr>
          <w:rFonts w:eastAsia="MS Gothic" w:cs="Times New Roman"/>
          <w:b/>
          <w:bCs/>
          <w:szCs w:val="26"/>
          <w:lang w:val="en-GB"/>
        </w:rPr>
        <w:t>Participants</w:t>
      </w:r>
    </w:p>
    <w:p w14:paraId="5BD595DE" w14:textId="6A037A20" w:rsidR="007D6BF3" w:rsidRPr="00901D0D" w:rsidRDefault="007D6BF3" w:rsidP="00301785">
      <w:pPr>
        <w:contextualSpacing/>
        <w:rPr>
          <w:vertAlign w:val="superscript"/>
          <w:lang w:val="en-GB"/>
        </w:rPr>
      </w:pPr>
      <w:r w:rsidRPr="00901D0D">
        <w:rPr>
          <w:lang w:val="en-GB"/>
        </w:rPr>
        <w:t>One hundred and ninety-nine participants</w:t>
      </w:r>
      <w:r w:rsidR="00193B37" w:rsidRPr="00901D0D">
        <w:rPr>
          <w:lang w:val="en-GB"/>
        </w:rPr>
        <w:t xml:space="preserve"> (</w:t>
      </w:r>
      <w:r w:rsidR="008E27CB" w:rsidRPr="00901D0D">
        <w:rPr>
          <w:lang w:val="en-GB"/>
        </w:rPr>
        <w:t>60.1% female;</w:t>
      </w:r>
      <w:r w:rsidR="00193B37" w:rsidRPr="00901D0D">
        <w:rPr>
          <w:lang w:val="en-GB"/>
        </w:rPr>
        <w:t xml:space="preserve"> </w:t>
      </w:r>
      <w:r w:rsidR="008E27CB" w:rsidRPr="00901D0D">
        <w:rPr>
          <w:lang w:val="en-GB"/>
        </w:rPr>
        <w:t>76.4</w:t>
      </w:r>
      <w:r w:rsidR="00193B37" w:rsidRPr="00901D0D">
        <w:rPr>
          <w:lang w:val="en-GB"/>
        </w:rPr>
        <w:t>%</w:t>
      </w:r>
      <w:r w:rsidR="008E27CB" w:rsidRPr="00901D0D">
        <w:rPr>
          <w:lang w:val="en-GB"/>
        </w:rPr>
        <w:t xml:space="preserve"> Caucasian</w:t>
      </w:r>
      <w:r w:rsidR="00193B37" w:rsidRPr="00901D0D">
        <w:rPr>
          <w:lang w:val="en-GB"/>
        </w:rPr>
        <w:t>)</w:t>
      </w:r>
      <w:r w:rsidRPr="00901D0D">
        <w:rPr>
          <w:lang w:val="en-GB"/>
        </w:rPr>
        <w:t xml:space="preserve"> completed the study via the crowdsourcing website CrowdFlower and were reimbursed $1.75 for their participation.</w:t>
      </w:r>
      <w:r w:rsidR="00A87DA8">
        <w:rPr>
          <w:lang w:val="en-GB"/>
        </w:rPr>
        <w:t xml:space="preserve"> The sample size was chosen based on effect </w:t>
      </w:r>
      <w:r w:rsidR="003257A9">
        <w:rPr>
          <w:lang w:val="en-GB"/>
        </w:rPr>
        <w:t xml:space="preserve">and sample </w:t>
      </w:r>
      <w:r w:rsidR="00A87DA8">
        <w:rPr>
          <w:lang w:val="en-GB"/>
        </w:rPr>
        <w:t>siz</w:t>
      </w:r>
      <w:r w:rsidR="003257A9">
        <w:rPr>
          <w:lang w:val="en-GB"/>
        </w:rPr>
        <w:t xml:space="preserve">es reported </w:t>
      </w:r>
      <w:r w:rsidR="003257A9">
        <w:rPr>
          <w:lang w:val="en-GB"/>
        </w:rPr>
        <w:lastRenderedPageBreak/>
        <w:t>in previous studies.</w:t>
      </w:r>
      <w:r w:rsidR="00F57593">
        <w:rPr>
          <w:lang w:val="en-GB"/>
        </w:rPr>
        <w:t xml:space="preserve"> Participants were eligible to complete the study if they lived in the United States of America, Canada, or Australia.</w:t>
      </w:r>
      <w:r w:rsidRPr="00901D0D">
        <w:rPr>
          <w:lang w:val="en-GB"/>
        </w:rPr>
        <w:t xml:space="preserve"> Twenty-one participants were removed prior to analyses because they had not completed the study properly and/or failed to follow all instructions (e.g., did not complete the study in a reasonable time frame by taking less than 10 minutes or longer than 60 minutes).</w:t>
      </w:r>
      <w:r w:rsidR="00516392" w:rsidRPr="00901D0D">
        <w:rPr>
          <w:vertAlign w:val="superscript"/>
          <w:lang w:val="en-GB"/>
        </w:rPr>
        <w:t>3</w:t>
      </w:r>
    </w:p>
    <w:p w14:paraId="2BE3464F" w14:textId="7BF3D52B" w:rsidR="007D6BF3" w:rsidRPr="00901D0D" w:rsidRDefault="007D6BF3" w:rsidP="00124969">
      <w:pPr>
        <w:pStyle w:val="Heading2"/>
        <w:ind w:firstLine="0"/>
        <w:rPr>
          <w:lang w:val="en-GB"/>
        </w:rPr>
      </w:pPr>
      <w:r w:rsidRPr="00901D0D">
        <w:rPr>
          <w:lang w:val="en-GB"/>
        </w:rPr>
        <w:t>Design</w:t>
      </w:r>
    </w:p>
    <w:p w14:paraId="490D0450" w14:textId="59FF3D75" w:rsidR="007D6BF3" w:rsidRPr="00901D0D" w:rsidRDefault="007D6BF3" w:rsidP="00301785">
      <w:pPr>
        <w:contextualSpacing/>
        <w:rPr>
          <w:lang w:val="en-GB"/>
        </w:rPr>
      </w:pPr>
      <w:r w:rsidRPr="00901D0D">
        <w:rPr>
          <w:lang w:val="en-GB"/>
        </w:rPr>
        <w:t xml:space="preserve">The study had a within-subjects factor of context of the problem (control, anomalistic). The </w:t>
      </w:r>
      <w:r w:rsidR="009069C3" w:rsidRPr="00901D0D">
        <w:rPr>
          <w:lang w:val="en-GB"/>
        </w:rPr>
        <w:t>key predictors</w:t>
      </w:r>
      <w:r w:rsidRPr="00901D0D">
        <w:rPr>
          <w:lang w:val="en-GB"/>
        </w:rPr>
        <w:t xml:space="preserve"> of interest were: (1) overall anomalistic belief, measured using the ASGS and ABS, (2) level of belief in the factors of the ABS, </w:t>
      </w:r>
      <w:r w:rsidR="007E522E" w:rsidRPr="00901D0D">
        <w:rPr>
          <w:lang w:val="en-GB"/>
        </w:rPr>
        <w:t xml:space="preserve">and </w:t>
      </w:r>
      <w:r w:rsidRPr="00901D0D">
        <w:rPr>
          <w:lang w:val="en-GB"/>
        </w:rPr>
        <w:t xml:space="preserve">(3) gambling attitudes, measured using the </w:t>
      </w:r>
      <w:r w:rsidR="00E92AE2" w:rsidRPr="00901D0D">
        <w:rPr>
          <w:lang w:val="en-GB"/>
        </w:rPr>
        <w:t>GAS</w:t>
      </w:r>
      <w:r w:rsidR="009069C3" w:rsidRPr="00901D0D">
        <w:rPr>
          <w:lang w:val="en-GB"/>
        </w:rPr>
        <w:t>. The key dependent variables in the study were</w:t>
      </w:r>
      <w:r w:rsidRPr="00901D0D">
        <w:rPr>
          <w:lang w:val="en-GB"/>
        </w:rPr>
        <w:t xml:space="preserve"> proportion correct for misperception of chance problems</w:t>
      </w:r>
      <w:r w:rsidR="009069C3" w:rsidRPr="00901D0D">
        <w:rPr>
          <w:lang w:val="en-GB"/>
        </w:rPr>
        <w:t xml:space="preserve"> and</w:t>
      </w:r>
      <w:r w:rsidRPr="00901D0D">
        <w:rPr>
          <w:lang w:val="en-GB"/>
        </w:rPr>
        <w:t xml:space="preserve"> proportion correct for base rate fallacy problems</w:t>
      </w:r>
      <w:r w:rsidR="009069C3" w:rsidRPr="00901D0D">
        <w:rPr>
          <w:lang w:val="en-GB"/>
        </w:rPr>
        <w:t>.</w:t>
      </w:r>
      <w:r w:rsidRPr="00901D0D">
        <w:rPr>
          <w:lang w:val="en-GB"/>
        </w:rPr>
        <w:t xml:space="preserve"> </w:t>
      </w:r>
      <w:r w:rsidR="009069C3" w:rsidRPr="00901D0D">
        <w:rPr>
          <w:lang w:val="en-GB"/>
        </w:rPr>
        <w:t>L</w:t>
      </w:r>
      <w:r w:rsidRPr="00901D0D">
        <w:rPr>
          <w:lang w:val="en-GB"/>
        </w:rPr>
        <w:t>evel of education (general, psychology, mathematics, and statistics)</w:t>
      </w:r>
      <w:r w:rsidR="009069C3" w:rsidRPr="00901D0D">
        <w:rPr>
          <w:lang w:val="en-GB"/>
        </w:rPr>
        <w:t xml:space="preserve"> was included to control for the potential effect of education</w:t>
      </w:r>
      <w:r w:rsidRPr="00901D0D">
        <w:rPr>
          <w:lang w:val="en-GB"/>
        </w:rPr>
        <w:t xml:space="preserve">. </w:t>
      </w:r>
    </w:p>
    <w:p w14:paraId="312CD3AC" w14:textId="108B965B" w:rsidR="006C09FD" w:rsidRPr="00901D0D" w:rsidRDefault="006C09FD" w:rsidP="005F7231">
      <w:pPr>
        <w:pStyle w:val="Heading2"/>
        <w:ind w:firstLine="0"/>
        <w:rPr>
          <w:lang w:val="en-GB"/>
        </w:rPr>
      </w:pPr>
      <w:r w:rsidRPr="00901D0D">
        <w:rPr>
          <w:lang w:val="en-GB"/>
        </w:rPr>
        <w:t>Materials</w:t>
      </w:r>
    </w:p>
    <w:p w14:paraId="136B5312" w14:textId="22710F38" w:rsidR="007D6BF3" w:rsidRPr="00901D0D" w:rsidRDefault="007D6BF3" w:rsidP="00301785">
      <w:pPr>
        <w:contextualSpacing/>
        <w:rPr>
          <w:lang w:val="en-GB"/>
        </w:rPr>
      </w:pPr>
      <w:r w:rsidRPr="00901D0D">
        <w:rPr>
          <w:lang w:val="en-GB"/>
        </w:rPr>
        <w:t>Anomalistic belief was measured using three measures; the ABS, ASGS, and two overall questions. The ABS is a 40-item scale that measures a variety of anomalistic beliefs</w:t>
      </w:r>
      <w:r w:rsidR="003360B4" w:rsidRPr="00901D0D">
        <w:rPr>
          <w:lang w:val="en-GB"/>
        </w:rPr>
        <w:t xml:space="preserve"> (Prike et al., 2017</w:t>
      </w:r>
      <w:r w:rsidR="00C12BA2">
        <w:rPr>
          <w:lang w:val="en-GB"/>
        </w:rPr>
        <w:t>; see supplementary material for example items</w:t>
      </w:r>
      <w:r w:rsidR="003360B4" w:rsidRPr="00901D0D">
        <w:rPr>
          <w:lang w:val="en-GB"/>
        </w:rPr>
        <w:t>)</w:t>
      </w:r>
      <w:r w:rsidRPr="00901D0D">
        <w:rPr>
          <w:lang w:val="en-GB"/>
        </w:rPr>
        <w:t xml:space="preserve">. Factor analysis of the ABS has revealed four factors; an experiential factor (14 items), a </w:t>
      </w:r>
      <w:r w:rsidR="00E003F0" w:rsidRPr="00901D0D">
        <w:rPr>
          <w:lang w:val="en-GB"/>
        </w:rPr>
        <w:t>theoretical paranormal belief factor (</w:t>
      </w:r>
      <w:r w:rsidRPr="00901D0D">
        <w:rPr>
          <w:lang w:val="en-GB"/>
        </w:rPr>
        <w:t>PSI factor</w:t>
      </w:r>
      <w:r w:rsidR="00E003F0" w:rsidRPr="00901D0D">
        <w:rPr>
          <w:lang w:val="en-GB"/>
        </w:rPr>
        <w:t xml:space="preserve">; </w:t>
      </w:r>
      <w:r w:rsidRPr="00901D0D">
        <w:rPr>
          <w:lang w:val="en-GB"/>
        </w:rPr>
        <w:t>13 items), a</w:t>
      </w:r>
      <w:r w:rsidR="00E003F0" w:rsidRPr="00901D0D">
        <w:rPr>
          <w:lang w:val="en-GB"/>
        </w:rPr>
        <w:t xml:space="preserve"> theoretical extra-terrestrial belief factor (</w:t>
      </w:r>
      <w:r w:rsidR="0013132A" w:rsidRPr="00901D0D">
        <w:rPr>
          <w:lang w:val="en-GB"/>
        </w:rPr>
        <w:t>ET</w:t>
      </w:r>
      <w:r w:rsidRPr="00901D0D">
        <w:rPr>
          <w:lang w:val="en-GB"/>
        </w:rPr>
        <w:t xml:space="preserve"> factor</w:t>
      </w:r>
      <w:r w:rsidR="00E003F0" w:rsidRPr="00901D0D">
        <w:rPr>
          <w:lang w:val="en-GB"/>
        </w:rPr>
        <w:t xml:space="preserve">; </w:t>
      </w:r>
      <w:r w:rsidRPr="00901D0D">
        <w:rPr>
          <w:lang w:val="en-GB"/>
        </w:rPr>
        <w:t xml:space="preserve">8 items), and a factor </w:t>
      </w:r>
      <w:r w:rsidR="00E003F0" w:rsidRPr="00901D0D">
        <w:rPr>
          <w:lang w:val="en-GB"/>
        </w:rPr>
        <w:t xml:space="preserve">that covers both theoretical and experiential life after death beliefs </w:t>
      </w:r>
      <w:r w:rsidRPr="00901D0D">
        <w:rPr>
          <w:lang w:val="en-GB"/>
        </w:rPr>
        <w:t>(</w:t>
      </w:r>
      <w:r w:rsidR="00E003F0" w:rsidRPr="00901D0D">
        <w:rPr>
          <w:lang w:val="en-GB"/>
        </w:rPr>
        <w:t xml:space="preserve">LAD factor; </w:t>
      </w:r>
      <w:r w:rsidRPr="00901D0D">
        <w:rPr>
          <w:lang w:val="en-GB"/>
        </w:rPr>
        <w:t>5 items</w:t>
      </w:r>
      <w:r w:rsidR="007E522E" w:rsidRPr="00901D0D">
        <w:rPr>
          <w:lang w:val="en-GB"/>
        </w:rPr>
        <w:t>)</w:t>
      </w:r>
      <w:r w:rsidRPr="00901D0D">
        <w:rPr>
          <w:lang w:val="en-GB"/>
        </w:rPr>
        <w:t xml:space="preserve">. </w:t>
      </w:r>
      <w:r w:rsidR="0013132A" w:rsidRPr="00901D0D">
        <w:rPr>
          <w:lang w:val="en-GB"/>
        </w:rPr>
        <w:t xml:space="preserve">The experiential factor is related to the experience of anomalistic phenomena and contains items related to belief in both PSI and extra-terrestrial experiences. The </w:t>
      </w:r>
      <w:r w:rsidR="001A429A" w:rsidRPr="00901D0D">
        <w:rPr>
          <w:lang w:val="en-GB"/>
        </w:rPr>
        <w:t xml:space="preserve">other </w:t>
      </w:r>
      <w:r w:rsidR="0013132A" w:rsidRPr="00901D0D">
        <w:rPr>
          <w:lang w:val="en-GB"/>
        </w:rPr>
        <w:t xml:space="preserve">three factors are composed of items related to theoretical belief in three distinct areas, paranormal belief, extra-terrestrial belief, and belief in life after death. </w:t>
      </w:r>
      <w:r w:rsidRPr="00901D0D">
        <w:rPr>
          <w:lang w:val="en-GB"/>
        </w:rPr>
        <w:t>The ASGS is a psychometrically valid 18-item scale that measures paranormal belief</w:t>
      </w:r>
      <w:r w:rsidR="0013132A" w:rsidRPr="00901D0D">
        <w:rPr>
          <w:lang w:val="en-GB"/>
        </w:rPr>
        <w:t xml:space="preserve"> </w:t>
      </w:r>
      <w:r w:rsidR="00BA6B17">
        <w:rPr>
          <w:lang w:val="en-GB"/>
        </w:rPr>
        <w:t>across</w:t>
      </w:r>
      <w:r w:rsidR="00BA6B17" w:rsidRPr="00901D0D">
        <w:rPr>
          <w:lang w:val="en-GB"/>
        </w:rPr>
        <w:t xml:space="preserve"> </w:t>
      </w:r>
      <w:r w:rsidR="0013132A" w:rsidRPr="00901D0D">
        <w:rPr>
          <w:lang w:val="en-GB"/>
        </w:rPr>
        <w:t>the</w:t>
      </w:r>
      <w:r w:rsidR="00BA6B17">
        <w:rPr>
          <w:lang w:val="en-GB"/>
        </w:rPr>
        <w:t xml:space="preserve"> </w:t>
      </w:r>
      <w:r w:rsidR="00F96C98">
        <w:rPr>
          <w:lang w:val="en-GB"/>
        </w:rPr>
        <w:t>content</w:t>
      </w:r>
      <w:r w:rsidR="0013132A" w:rsidRPr="00901D0D">
        <w:rPr>
          <w:lang w:val="en-GB"/>
        </w:rPr>
        <w:t xml:space="preserve"> areas </w:t>
      </w:r>
      <w:r w:rsidR="0013132A" w:rsidRPr="00901D0D">
        <w:rPr>
          <w:lang w:val="en-GB"/>
        </w:rPr>
        <w:lastRenderedPageBreak/>
        <w:t xml:space="preserve">of extra-sensory perception, psychokinesis, and life after death </w:t>
      </w:r>
      <w:r w:rsidRPr="00901D0D">
        <w:rPr>
          <w:lang w:val="en-GB"/>
        </w:rPr>
        <w:t>(</w:t>
      </w:r>
      <w:proofErr w:type="spellStart"/>
      <w:r w:rsidRPr="00901D0D">
        <w:rPr>
          <w:lang w:val="en-GB"/>
        </w:rPr>
        <w:t>Thalbourne</w:t>
      </w:r>
      <w:proofErr w:type="spellEnd"/>
      <w:r w:rsidRPr="00901D0D">
        <w:rPr>
          <w:lang w:val="en-GB"/>
        </w:rPr>
        <w:t xml:space="preserve"> &amp; </w:t>
      </w:r>
      <w:proofErr w:type="spellStart"/>
      <w:r w:rsidRPr="00901D0D">
        <w:rPr>
          <w:lang w:val="en-GB"/>
        </w:rPr>
        <w:t>Delin</w:t>
      </w:r>
      <w:proofErr w:type="spellEnd"/>
      <w:r w:rsidRPr="00901D0D">
        <w:rPr>
          <w:lang w:val="en-GB"/>
        </w:rPr>
        <w:t xml:space="preserve">, </w:t>
      </w:r>
      <w:r w:rsidR="005D74B1" w:rsidRPr="00901D0D">
        <w:rPr>
          <w:lang w:val="en-GB"/>
        </w:rPr>
        <w:t>1993</w:t>
      </w:r>
      <w:r w:rsidR="00C12BA2">
        <w:rPr>
          <w:lang w:val="en-GB"/>
        </w:rPr>
        <w:t>; see supplementary material for example items</w:t>
      </w:r>
      <w:r w:rsidRPr="00901D0D">
        <w:rPr>
          <w:lang w:val="en-GB"/>
        </w:rPr>
        <w:t>).</w:t>
      </w:r>
      <w:r w:rsidR="00F96C98">
        <w:rPr>
          <w:lang w:val="en-GB"/>
        </w:rPr>
        <w:t xml:space="preserve"> </w:t>
      </w:r>
      <w:r w:rsidR="00513D4F">
        <w:rPr>
          <w:lang w:val="en-GB"/>
        </w:rPr>
        <w:t>A</w:t>
      </w:r>
      <w:r w:rsidR="00F96C98">
        <w:rPr>
          <w:lang w:val="en-GB"/>
        </w:rPr>
        <w:t>lthough the ASGS covers these three different content areas, the</w:t>
      </w:r>
      <w:r w:rsidR="00513D4F">
        <w:rPr>
          <w:lang w:val="en-GB"/>
        </w:rPr>
        <w:t>y are</w:t>
      </w:r>
      <w:r w:rsidR="00F96C98">
        <w:rPr>
          <w:lang w:val="en-GB"/>
        </w:rPr>
        <w:t xml:space="preserve"> not considered </w:t>
      </w:r>
      <w:r w:rsidR="003C3E3E">
        <w:rPr>
          <w:lang w:val="en-GB"/>
        </w:rPr>
        <w:t>to be</w:t>
      </w:r>
      <w:r w:rsidR="00F96C98">
        <w:rPr>
          <w:lang w:val="en-GB"/>
        </w:rPr>
        <w:t xml:space="preserve"> distinct factors (Drinkwater, </w:t>
      </w:r>
      <w:proofErr w:type="spellStart"/>
      <w:r w:rsidR="00F96C98">
        <w:rPr>
          <w:lang w:val="en-GB"/>
        </w:rPr>
        <w:t>Denovan</w:t>
      </w:r>
      <w:proofErr w:type="spellEnd"/>
      <w:r w:rsidR="00F96C98">
        <w:rPr>
          <w:lang w:val="en-GB"/>
        </w:rPr>
        <w:t xml:space="preserve">, </w:t>
      </w:r>
      <w:proofErr w:type="spellStart"/>
      <w:r w:rsidR="00F96C98">
        <w:rPr>
          <w:lang w:val="en-GB"/>
        </w:rPr>
        <w:t>Dagnall</w:t>
      </w:r>
      <w:proofErr w:type="spellEnd"/>
      <w:r w:rsidR="00F96C98">
        <w:rPr>
          <w:lang w:val="en-GB"/>
        </w:rPr>
        <w:t>, &amp; Parker, 2018).</w:t>
      </w:r>
      <w:r w:rsidRPr="00901D0D">
        <w:rPr>
          <w:lang w:val="en-GB"/>
        </w:rPr>
        <w:t xml:space="preserve"> Both the ASGS and the ABS are measured on a 7-point scale (from 1 = “strongly disagree” to 7 = “strongly agree”)</w:t>
      </w:r>
      <w:r w:rsidR="00513D4F">
        <w:rPr>
          <w:lang w:val="en-GB"/>
        </w:rPr>
        <w:t>, and s</w:t>
      </w:r>
      <w:r w:rsidRPr="00901D0D">
        <w:rPr>
          <w:lang w:val="en-GB"/>
        </w:rPr>
        <w:t xml:space="preserve">cores were computed by averaging the items that make up that scale (or factor). Anomalistic belief </w:t>
      </w:r>
      <w:r w:rsidR="003360B4" w:rsidRPr="00901D0D">
        <w:rPr>
          <w:lang w:val="en-GB"/>
        </w:rPr>
        <w:t xml:space="preserve">also </w:t>
      </w:r>
      <w:r w:rsidRPr="00901D0D">
        <w:rPr>
          <w:lang w:val="en-GB"/>
        </w:rPr>
        <w:t xml:space="preserve">was measured using </w:t>
      </w:r>
      <w:r w:rsidR="00B45BFC" w:rsidRPr="00901D0D">
        <w:rPr>
          <w:lang w:val="en-GB"/>
        </w:rPr>
        <w:t xml:space="preserve">the </w:t>
      </w:r>
      <w:r w:rsidRPr="00901D0D">
        <w:rPr>
          <w:lang w:val="en-GB"/>
        </w:rPr>
        <w:t>two overall questions</w:t>
      </w:r>
      <w:r w:rsidR="00B45BFC" w:rsidRPr="00901D0D">
        <w:rPr>
          <w:lang w:val="en-GB"/>
        </w:rPr>
        <w:t xml:space="preserve"> of</w:t>
      </w:r>
      <w:r w:rsidRPr="00901D0D">
        <w:rPr>
          <w:lang w:val="en-GB"/>
        </w:rPr>
        <w:t xml:space="preserve"> </w:t>
      </w:r>
      <w:r w:rsidR="005F7231" w:rsidRPr="00901D0D">
        <w:rPr>
          <w:lang w:val="en-GB"/>
        </w:rPr>
        <w:t>“Overall, how would you rate your level of belief in what is commonly referred to as the "paranormal" or "psi" (e.g., psychics, spirits, telekinesis, crystals, etc.)?”</w:t>
      </w:r>
      <w:r w:rsidR="005F7231" w:rsidRPr="00901D0D" w:rsidDel="005F7231">
        <w:rPr>
          <w:lang w:val="en-GB"/>
        </w:rPr>
        <w:t xml:space="preserve"> </w:t>
      </w:r>
      <w:r w:rsidRPr="00901D0D">
        <w:rPr>
          <w:lang w:val="en-GB"/>
        </w:rPr>
        <w:t xml:space="preserve">and </w:t>
      </w:r>
      <w:r w:rsidR="005F7231" w:rsidRPr="00901D0D">
        <w:rPr>
          <w:lang w:val="en-GB"/>
        </w:rPr>
        <w:t>“Overall, how would you rate your level of belief in extra-terrestrials (e.g., that extra-terrestrials have visited earth, UFOs have been seen in the sky, etc.)</w:t>
      </w:r>
      <w:r w:rsidR="00513D4F">
        <w:rPr>
          <w:lang w:val="en-GB"/>
        </w:rPr>
        <w:t>.</w:t>
      </w:r>
      <w:r w:rsidR="005F7231" w:rsidRPr="00901D0D">
        <w:rPr>
          <w:lang w:val="en-GB"/>
        </w:rPr>
        <w:t>”</w:t>
      </w:r>
      <w:r w:rsidRPr="00901D0D">
        <w:rPr>
          <w:lang w:val="en-GB"/>
        </w:rPr>
        <w:t xml:space="preserve"> </w:t>
      </w:r>
      <w:r w:rsidR="00DD7634">
        <w:rPr>
          <w:lang w:val="en-GB"/>
        </w:rPr>
        <w:t xml:space="preserve">These two general questions were included to test whether using full scales (i.e., </w:t>
      </w:r>
      <w:r w:rsidR="00513D4F">
        <w:rPr>
          <w:lang w:val="en-GB"/>
        </w:rPr>
        <w:t xml:space="preserve">the </w:t>
      </w:r>
      <w:r w:rsidR="00DD7634">
        <w:rPr>
          <w:lang w:val="en-GB"/>
        </w:rPr>
        <w:t xml:space="preserve">ASGS and ABS) provided additional useful information </w:t>
      </w:r>
      <w:r w:rsidR="00C12BA2">
        <w:rPr>
          <w:lang w:val="en-GB"/>
        </w:rPr>
        <w:t xml:space="preserve">above what </w:t>
      </w:r>
      <w:r w:rsidR="00DD7634">
        <w:rPr>
          <w:lang w:val="en-GB"/>
        </w:rPr>
        <w:t xml:space="preserve">could be gained </w:t>
      </w:r>
      <w:r w:rsidR="00C12BA2">
        <w:rPr>
          <w:lang w:val="en-GB"/>
        </w:rPr>
        <w:t xml:space="preserve">by </w:t>
      </w:r>
      <w:r w:rsidR="00DD7634">
        <w:rPr>
          <w:lang w:val="en-GB"/>
        </w:rPr>
        <w:t xml:space="preserve">using simple questions about overall levels of belief. </w:t>
      </w:r>
      <w:r w:rsidR="005F7231" w:rsidRPr="00901D0D">
        <w:rPr>
          <w:lang w:val="en-GB"/>
        </w:rPr>
        <w:t xml:space="preserve">Participants </w:t>
      </w:r>
      <w:r w:rsidRPr="00901D0D">
        <w:rPr>
          <w:lang w:val="en-GB"/>
        </w:rPr>
        <w:t xml:space="preserve">responded to </w:t>
      </w:r>
      <w:r w:rsidR="005F7231" w:rsidRPr="00901D0D">
        <w:rPr>
          <w:lang w:val="en-GB"/>
        </w:rPr>
        <w:t xml:space="preserve">the overall questions </w:t>
      </w:r>
      <w:r w:rsidRPr="00901D0D">
        <w:rPr>
          <w:lang w:val="en-GB"/>
        </w:rPr>
        <w:t>on a scale from 1 to 100.</w:t>
      </w:r>
      <w:r w:rsidR="008F75FD">
        <w:rPr>
          <w:vertAlign w:val="superscript"/>
          <w:lang w:val="en-GB"/>
        </w:rPr>
        <w:t>4</w:t>
      </w:r>
    </w:p>
    <w:p w14:paraId="175EA37F" w14:textId="2F9758E7" w:rsidR="007D6BF3" w:rsidRPr="00901D0D" w:rsidRDefault="007D6BF3" w:rsidP="00301785">
      <w:pPr>
        <w:contextualSpacing/>
        <w:rPr>
          <w:lang w:val="en-GB"/>
        </w:rPr>
      </w:pPr>
      <w:r w:rsidRPr="00901D0D">
        <w:rPr>
          <w:lang w:val="en-GB"/>
        </w:rPr>
        <w:t xml:space="preserve">Gambling attitudes were measured using a modified version of the </w:t>
      </w:r>
      <w:r w:rsidR="001E533B" w:rsidRPr="00901D0D">
        <w:rPr>
          <w:lang w:val="en-GB"/>
        </w:rPr>
        <w:t>GAS</w:t>
      </w:r>
      <w:r w:rsidRPr="00901D0D">
        <w:rPr>
          <w:lang w:val="en-GB"/>
        </w:rPr>
        <w:t xml:space="preserve"> </w:t>
      </w:r>
      <w:r w:rsidR="001E533B" w:rsidRPr="00901D0D">
        <w:rPr>
          <w:lang w:val="en-GB"/>
        </w:rPr>
        <w:t>(</w:t>
      </w:r>
      <w:proofErr w:type="spellStart"/>
      <w:r w:rsidRPr="00901D0D">
        <w:rPr>
          <w:lang w:val="en-GB"/>
        </w:rPr>
        <w:t>Kassinove</w:t>
      </w:r>
      <w:proofErr w:type="spellEnd"/>
      <w:r w:rsidRPr="00901D0D">
        <w:rPr>
          <w:lang w:val="en-GB"/>
        </w:rPr>
        <w:t>, 1998</w:t>
      </w:r>
      <w:r w:rsidR="00C12BA2">
        <w:rPr>
          <w:lang w:val="en-GB"/>
        </w:rPr>
        <w:t>; see supplementary materials for example items</w:t>
      </w:r>
      <w:r w:rsidRPr="00901D0D">
        <w:rPr>
          <w:lang w:val="en-GB"/>
        </w:rPr>
        <w:t>). The original GAS includes 59 items, with some items also measuring risk-taking and liberal-conservative leaning. However, for the purposes of our study we only included the 36 items that related to gambling. The GAS has four gambling related subscales; general gambling, casino gambling, horse race gambling, and lottery gambling</w:t>
      </w:r>
      <w:r w:rsidR="00AE0476" w:rsidRPr="00901D0D">
        <w:rPr>
          <w:lang w:val="en-GB"/>
        </w:rPr>
        <w:t>, and these subscales can be combined to compute an overall gambling attitudes score</w:t>
      </w:r>
      <w:r w:rsidRPr="00901D0D">
        <w:rPr>
          <w:lang w:val="en-GB"/>
        </w:rPr>
        <w:t>. Participants respond to the GAS using a 6-point scale (from 1 = “strongly agree” to 6 = “strongly disagree”)</w:t>
      </w:r>
      <w:r w:rsidR="00AE0476" w:rsidRPr="00901D0D">
        <w:rPr>
          <w:lang w:val="en-GB"/>
        </w:rPr>
        <w:t>.</w:t>
      </w:r>
    </w:p>
    <w:p w14:paraId="20B5550C" w14:textId="6D9F3969" w:rsidR="007D6219" w:rsidRPr="00901D0D" w:rsidRDefault="007D6BF3" w:rsidP="007D6219">
      <w:pPr>
        <w:contextualSpacing/>
        <w:rPr>
          <w:lang w:val="en-GB"/>
        </w:rPr>
      </w:pPr>
      <w:r w:rsidRPr="00901D0D">
        <w:rPr>
          <w:lang w:val="en-GB"/>
        </w:rPr>
        <w:t xml:space="preserve">Misperception of chance and propensity to commit the base rate fallacy were each measured with 10 control (i.e., neutral) and 10 anomalistic items, for a total of 40 trials (see </w:t>
      </w:r>
      <w:r w:rsidR="001F0565">
        <w:rPr>
          <w:lang w:val="en-GB"/>
        </w:rPr>
        <w:t xml:space="preserve">Figure 1 for example items; </w:t>
      </w:r>
      <w:r w:rsidR="00CA0C84">
        <w:rPr>
          <w:lang w:val="en-GB"/>
        </w:rPr>
        <w:t>supplementary materials</w:t>
      </w:r>
      <w:r w:rsidR="001F0565">
        <w:rPr>
          <w:lang w:val="en-GB"/>
        </w:rPr>
        <w:t xml:space="preserve"> for all items</w:t>
      </w:r>
      <w:r w:rsidRPr="00901D0D">
        <w:rPr>
          <w:lang w:val="en-GB"/>
        </w:rPr>
        <w:t xml:space="preserve">). </w:t>
      </w:r>
      <w:r w:rsidR="00912E18" w:rsidRPr="00901D0D">
        <w:rPr>
          <w:lang w:val="en-GB"/>
        </w:rPr>
        <w:t xml:space="preserve">For ease of interpretation, </w:t>
      </w:r>
      <w:r w:rsidR="00912E18" w:rsidRPr="00901D0D">
        <w:rPr>
          <w:lang w:val="en-GB"/>
        </w:rPr>
        <w:lastRenderedPageBreak/>
        <w:t xml:space="preserve">scores for the probabilistic reasoning items were converted to proportion correct. </w:t>
      </w:r>
      <w:r w:rsidRPr="00901D0D">
        <w:rPr>
          <w:lang w:val="en-GB"/>
        </w:rPr>
        <w:t xml:space="preserve">The misperception of chance problems required participants either </w:t>
      </w:r>
      <w:r w:rsidR="00B446D5" w:rsidRPr="00901D0D">
        <w:rPr>
          <w:lang w:val="en-GB"/>
        </w:rPr>
        <w:t xml:space="preserve">to </w:t>
      </w:r>
      <w:r w:rsidRPr="00901D0D">
        <w:rPr>
          <w:lang w:val="en-GB"/>
        </w:rPr>
        <w:t xml:space="preserve">estimate the likelihood of the next item in a pattern occurring (e.g., the chance that the toss of an unbiased coin will result in heads if it has come up heads 5 times in a row) or to assess how likely several patterns were (e.g., 5 cards are drawn from a deck of playing cards, which combination of cards is most likely). The base rate fallacy problems required participants to read representative descriptions of an outcome that had a low base rate (either explicitly stated or implied) and they were required to choose between a representative statement that ignored the base rate information and a statement that accurately represented the base rate but was less representative. </w:t>
      </w:r>
      <w:r w:rsidR="007D6219" w:rsidRPr="00901D0D">
        <w:rPr>
          <w:lang w:val="en-GB"/>
        </w:rPr>
        <w:t xml:space="preserve">The misperception of chance and base rate fallacy problems </w:t>
      </w:r>
      <w:proofErr w:type="gramStart"/>
      <w:r w:rsidR="007D6219" w:rsidRPr="00901D0D">
        <w:rPr>
          <w:lang w:val="en-GB"/>
        </w:rPr>
        <w:t>were</w:t>
      </w:r>
      <w:proofErr w:type="gramEnd"/>
      <w:r w:rsidR="007D6219" w:rsidRPr="00901D0D">
        <w:rPr>
          <w:lang w:val="en-GB"/>
        </w:rPr>
        <w:t xml:space="preserve"> presented in two randomised orders, with the restriction that no more than two of the same problem type (misperception of chance or base rate fallacy) and no more than two of the same context (anomalistic or control) were presented in a row. Participants were randomly assigned to one of these two orders.</w:t>
      </w:r>
    </w:p>
    <w:p w14:paraId="01AD5038" w14:textId="5C3A5455" w:rsidR="007D6BF3" w:rsidRPr="00901D0D" w:rsidRDefault="007D6BF3" w:rsidP="00301785">
      <w:pPr>
        <w:contextualSpacing/>
        <w:rPr>
          <w:lang w:val="en-GB"/>
        </w:rPr>
      </w:pPr>
      <w:r w:rsidRPr="00901D0D">
        <w:rPr>
          <w:lang w:val="en-GB"/>
        </w:rPr>
        <w:t xml:space="preserve">Several additional measures </w:t>
      </w:r>
      <w:r w:rsidR="005C1119" w:rsidRPr="00901D0D">
        <w:rPr>
          <w:lang w:val="en-GB"/>
        </w:rPr>
        <w:t>were also</w:t>
      </w:r>
      <w:r w:rsidRPr="00901D0D">
        <w:rPr>
          <w:lang w:val="en-GB"/>
        </w:rPr>
        <w:t xml:space="preserve"> collected, including basic demographic information about age, ethnicity, and gender. </w:t>
      </w:r>
      <w:r w:rsidR="00B975B7" w:rsidRPr="00901D0D">
        <w:rPr>
          <w:lang w:val="en-GB"/>
        </w:rPr>
        <w:t xml:space="preserve">Previous research has suggested that education may be </w:t>
      </w:r>
      <w:r w:rsidR="00C32B5F">
        <w:rPr>
          <w:lang w:val="en-GB"/>
        </w:rPr>
        <w:t xml:space="preserve">negatively </w:t>
      </w:r>
      <w:r w:rsidR="00B975B7" w:rsidRPr="00901D0D">
        <w:rPr>
          <w:lang w:val="en-GB"/>
        </w:rPr>
        <w:t>related to anomalistic belief (</w:t>
      </w:r>
      <w:proofErr w:type="spellStart"/>
      <w:r w:rsidR="00B975B7" w:rsidRPr="00901D0D">
        <w:rPr>
          <w:lang w:val="en-GB"/>
        </w:rPr>
        <w:t>Aarnio</w:t>
      </w:r>
      <w:proofErr w:type="spellEnd"/>
      <w:r w:rsidR="00B975B7" w:rsidRPr="00901D0D">
        <w:rPr>
          <w:lang w:val="en-GB"/>
        </w:rPr>
        <w:t xml:space="preserve"> &amp; Lindeman, 2005; </w:t>
      </w:r>
      <w:proofErr w:type="spellStart"/>
      <w:r w:rsidR="00B975B7" w:rsidRPr="00901D0D">
        <w:rPr>
          <w:lang w:val="en-GB"/>
        </w:rPr>
        <w:t>Schulter</w:t>
      </w:r>
      <w:proofErr w:type="spellEnd"/>
      <w:r w:rsidR="00B975B7" w:rsidRPr="00901D0D">
        <w:rPr>
          <w:lang w:val="en-GB"/>
        </w:rPr>
        <w:t xml:space="preserve"> &amp; </w:t>
      </w:r>
      <w:proofErr w:type="spellStart"/>
      <w:r w:rsidR="00B975B7" w:rsidRPr="00901D0D">
        <w:rPr>
          <w:lang w:val="en-GB"/>
        </w:rPr>
        <w:t>Papousek</w:t>
      </w:r>
      <w:proofErr w:type="spellEnd"/>
      <w:r w:rsidR="00B975B7" w:rsidRPr="00901D0D">
        <w:rPr>
          <w:lang w:val="en-GB"/>
        </w:rPr>
        <w:t>, 2008) and</w:t>
      </w:r>
      <w:r w:rsidR="00C32B5F">
        <w:rPr>
          <w:lang w:val="en-GB"/>
        </w:rPr>
        <w:t xml:space="preserve"> positively related to</w:t>
      </w:r>
      <w:r w:rsidR="00B975B7" w:rsidRPr="00901D0D">
        <w:rPr>
          <w:lang w:val="en-GB"/>
        </w:rPr>
        <w:t xml:space="preserve"> probabilistic reasoning (</w:t>
      </w:r>
      <w:proofErr w:type="spellStart"/>
      <w:r w:rsidR="00B975B7" w:rsidRPr="00901D0D">
        <w:rPr>
          <w:lang w:val="en-GB"/>
        </w:rPr>
        <w:t>Hertwig</w:t>
      </w:r>
      <w:proofErr w:type="spellEnd"/>
      <w:r w:rsidR="00B975B7" w:rsidRPr="00901D0D">
        <w:rPr>
          <w:lang w:val="en-GB"/>
        </w:rPr>
        <w:t xml:space="preserve">, </w:t>
      </w:r>
      <w:proofErr w:type="spellStart"/>
      <w:r w:rsidR="00B975B7" w:rsidRPr="00901D0D">
        <w:rPr>
          <w:lang w:val="en-GB"/>
        </w:rPr>
        <w:t>Zangerl</w:t>
      </w:r>
      <w:proofErr w:type="spellEnd"/>
      <w:r w:rsidR="00B975B7" w:rsidRPr="00901D0D">
        <w:rPr>
          <w:lang w:val="en-GB"/>
        </w:rPr>
        <w:t xml:space="preserve">, </w:t>
      </w:r>
      <w:proofErr w:type="spellStart"/>
      <w:r w:rsidR="00B975B7" w:rsidRPr="00901D0D">
        <w:rPr>
          <w:lang w:val="en-GB"/>
        </w:rPr>
        <w:t>Biedert</w:t>
      </w:r>
      <w:proofErr w:type="spellEnd"/>
      <w:r w:rsidR="00B975B7" w:rsidRPr="00901D0D">
        <w:rPr>
          <w:lang w:val="en-GB"/>
        </w:rPr>
        <w:t xml:space="preserve">, &amp; </w:t>
      </w:r>
      <w:proofErr w:type="spellStart"/>
      <w:r w:rsidR="00B975B7" w:rsidRPr="00901D0D">
        <w:rPr>
          <w:lang w:val="en-GB"/>
        </w:rPr>
        <w:t>Margraf</w:t>
      </w:r>
      <w:proofErr w:type="spellEnd"/>
      <w:r w:rsidR="00B975B7" w:rsidRPr="00901D0D">
        <w:rPr>
          <w:lang w:val="en-GB"/>
        </w:rPr>
        <w:t>, 2008; Siegrist &amp; Keller, 2011). Therefore, to control for potential effects of education</w:t>
      </w:r>
      <w:r w:rsidR="00795AAA" w:rsidRPr="00901D0D">
        <w:rPr>
          <w:lang w:val="en-GB"/>
        </w:rPr>
        <w:t xml:space="preserve"> participants</w:t>
      </w:r>
      <w:r w:rsidRPr="00901D0D">
        <w:rPr>
          <w:lang w:val="en-GB"/>
        </w:rPr>
        <w:t xml:space="preserve"> were </w:t>
      </w:r>
      <w:r w:rsidR="00795AAA" w:rsidRPr="00901D0D">
        <w:rPr>
          <w:lang w:val="en-GB"/>
        </w:rPr>
        <w:t>asked about their</w:t>
      </w:r>
      <w:r w:rsidRPr="00901D0D">
        <w:rPr>
          <w:lang w:val="en-GB"/>
        </w:rPr>
        <w:t xml:space="preserve"> overall level of education, </w:t>
      </w:r>
      <w:r w:rsidR="00795AAA" w:rsidRPr="00901D0D">
        <w:rPr>
          <w:lang w:val="en-GB"/>
        </w:rPr>
        <w:t>as well as their</w:t>
      </w:r>
      <w:r w:rsidR="00876F90" w:rsidRPr="00901D0D">
        <w:rPr>
          <w:lang w:val="en-GB"/>
        </w:rPr>
        <w:t xml:space="preserve"> </w:t>
      </w:r>
      <w:r w:rsidRPr="00901D0D">
        <w:rPr>
          <w:lang w:val="en-GB"/>
        </w:rPr>
        <w:t xml:space="preserve">level of education in the specific domains of psychology, mathematics, and statistics. </w:t>
      </w:r>
      <w:r w:rsidR="00B446D5" w:rsidRPr="00901D0D">
        <w:rPr>
          <w:lang w:val="en-GB"/>
        </w:rPr>
        <w:t xml:space="preserve">For </w:t>
      </w:r>
      <w:r w:rsidR="00795AAA" w:rsidRPr="00901D0D">
        <w:rPr>
          <w:lang w:val="en-GB"/>
        </w:rPr>
        <w:t xml:space="preserve">each </w:t>
      </w:r>
      <w:r w:rsidR="00B446D5" w:rsidRPr="00901D0D">
        <w:rPr>
          <w:lang w:val="en-GB"/>
        </w:rPr>
        <w:t>education question</w:t>
      </w:r>
      <w:r w:rsidR="00795AAA" w:rsidRPr="00901D0D">
        <w:rPr>
          <w:lang w:val="en-GB"/>
        </w:rPr>
        <w:t xml:space="preserve"> they</w:t>
      </w:r>
      <w:r w:rsidRPr="00901D0D">
        <w:rPr>
          <w:lang w:val="en-GB"/>
        </w:rPr>
        <w:t xml:space="preserve"> chose from 6 options; less than high school, high school, some education above high school, undergraduate degree, professional/postgraduate degree, or other (</w:t>
      </w:r>
      <w:r w:rsidRPr="00901D0D">
        <w:rPr>
          <w:rFonts w:eastAsia="Calibri" w:cs="Times New Roman"/>
          <w:szCs w:val="24"/>
          <w:lang w:val="en-GB"/>
        </w:rPr>
        <w:t>Brotherton &amp; French, 2014; Rogers et al., 2011)</w:t>
      </w:r>
      <w:r w:rsidRPr="00901D0D">
        <w:rPr>
          <w:lang w:val="en-GB"/>
        </w:rPr>
        <w:t xml:space="preserve">. </w:t>
      </w:r>
      <w:r w:rsidR="00B446D5" w:rsidRPr="00901D0D">
        <w:rPr>
          <w:lang w:val="en-GB"/>
        </w:rPr>
        <w:t>When p</w:t>
      </w:r>
      <w:r w:rsidR="00B446D5" w:rsidRPr="00901D0D">
        <w:rPr>
          <w:rFonts w:eastAsia="Calibri" w:cs="Times New Roman"/>
          <w:szCs w:val="24"/>
          <w:lang w:val="en-GB"/>
        </w:rPr>
        <w:t xml:space="preserve">articipants selected ‘other’ they were able to type in a response and these responses were then re-categorised under one </w:t>
      </w:r>
      <w:r w:rsidR="00B446D5" w:rsidRPr="00901D0D">
        <w:rPr>
          <w:rFonts w:eastAsia="Calibri" w:cs="Times New Roman"/>
          <w:szCs w:val="24"/>
          <w:lang w:val="en-GB"/>
        </w:rPr>
        <w:lastRenderedPageBreak/>
        <w:t>of the other five options</w:t>
      </w:r>
      <w:r w:rsidR="00325521">
        <w:rPr>
          <w:rFonts w:eastAsia="Calibri" w:cs="Times New Roman"/>
          <w:szCs w:val="24"/>
          <w:lang w:val="en-GB"/>
        </w:rPr>
        <w:t xml:space="preserve"> (from 1 = “less than high school” to 5 = “professional/postgraduate degree”)</w:t>
      </w:r>
      <w:r w:rsidR="00B446D5" w:rsidRPr="00901D0D">
        <w:rPr>
          <w:rFonts w:eastAsia="Calibri" w:cs="Times New Roman"/>
          <w:szCs w:val="24"/>
          <w:lang w:val="en-GB"/>
        </w:rPr>
        <w:t>.</w:t>
      </w:r>
    </w:p>
    <w:p w14:paraId="70EB1981" w14:textId="77A12446" w:rsidR="007D6BF3" w:rsidRPr="00901D0D" w:rsidRDefault="007D6BF3" w:rsidP="00124969">
      <w:pPr>
        <w:pStyle w:val="Heading2"/>
        <w:ind w:firstLine="0"/>
        <w:rPr>
          <w:lang w:val="en-GB"/>
        </w:rPr>
      </w:pPr>
      <w:r w:rsidRPr="00901D0D">
        <w:rPr>
          <w:lang w:val="en-GB"/>
        </w:rPr>
        <w:t>Procedure</w:t>
      </w:r>
    </w:p>
    <w:p w14:paraId="063E6DAB" w14:textId="3B2C4052" w:rsidR="007D6BF3" w:rsidRPr="00901D0D" w:rsidRDefault="007D6BF3" w:rsidP="00301785">
      <w:pPr>
        <w:contextualSpacing/>
        <w:rPr>
          <w:lang w:val="en-GB"/>
        </w:rPr>
      </w:pPr>
      <w:r w:rsidRPr="00901D0D">
        <w:rPr>
          <w:lang w:val="en-GB"/>
        </w:rPr>
        <w:t xml:space="preserve">The experiment was conducted online using Qualtrics software (Qualtrics, Provo, UT). Participants first read through an introduction, information sheet, </w:t>
      </w:r>
      <w:r w:rsidR="00605169" w:rsidRPr="00901D0D">
        <w:rPr>
          <w:lang w:val="en-GB"/>
        </w:rPr>
        <w:t xml:space="preserve">and </w:t>
      </w:r>
      <w:r w:rsidRPr="00901D0D">
        <w:rPr>
          <w:lang w:val="en-GB"/>
        </w:rPr>
        <w:t xml:space="preserve">consent form. They then completed the misperception of chance and base rate fallacy problems in one of two randomised orders. </w:t>
      </w:r>
      <w:r w:rsidR="001042AB" w:rsidRPr="00901D0D">
        <w:rPr>
          <w:lang w:val="en-GB"/>
        </w:rPr>
        <w:t>P</w:t>
      </w:r>
      <w:r w:rsidR="00AE0476" w:rsidRPr="00901D0D">
        <w:rPr>
          <w:lang w:val="en-GB"/>
        </w:rPr>
        <w:t xml:space="preserve">articipants were instructed to read </w:t>
      </w:r>
      <w:r w:rsidR="001042AB" w:rsidRPr="00901D0D">
        <w:rPr>
          <w:lang w:val="en-GB"/>
        </w:rPr>
        <w:t xml:space="preserve">each scenario </w:t>
      </w:r>
      <w:r w:rsidR="00AE0476" w:rsidRPr="00901D0D">
        <w:rPr>
          <w:lang w:val="en-GB"/>
        </w:rPr>
        <w:t xml:space="preserve">and </w:t>
      </w:r>
      <w:r w:rsidR="00B45BFC" w:rsidRPr="00901D0D">
        <w:rPr>
          <w:lang w:val="en-GB"/>
        </w:rPr>
        <w:t xml:space="preserve">its </w:t>
      </w:r>
      <w:r w:rsidR="001042AB" w:rsidRPr="00901D0D">
        <w:rPr>
          <w:lang w:val="en-GB"/>
        </w:rPr>
        <w:t>answer options</w:t>
      </w:r>
      <w:r w:rsidR="00AE0476" w:rsidRPr="00901D0D">
        <w:rPr>
          <w:lang w:val="en-GB"/>
        </w:rPr>
        <w:t xml:space="preserve">, and then choose the answer they thought was correct. </w:t>
      </w:r>
      <w:r w:rsidRPr="00901D0D">
        <w:rPr>
          <w:lang w:val="en-GB"/>
        </w:rPr>
        <w:t xml:space="preserve">After completing the </w:t>
      </w:r>
      <w:r w:rsidR="001042AB" w:rsidRPr="00901D0D">
        <w:rPr>
          <w:lang w:val="en-GB"/>
        </w:rPr>
        <w:t xml:space="preserve">reasoning </w:t>
      </w:r>
      <w:r w:rsidRPr="00901D0D">
        <w:rPr>
          <w:lang w:val="en-GB"/>
        </w:rPr>
        <w:t xml:space="preserve">problems participants </w:t>
      </w:r>
      <w:r w:rsidR="001042AB" w:rsidRPr="00901D0D">
        <w:rPr>
          <w:lang w:val="en-GB"/>
        </w:rPr>
        <w:t>then completed the anomalistic belief measures and the GAS</w:t>
      </w:r>
      <w:r w:rsidRPr="00901D0D">
        <w:rPr>
          <w:lang w:val="en-GB"/>
        </w:rPr>
        <w:t xml:space="preserve">. </w:t>
      </w:r>
      <w:r w:rsidR="001042AB" w:rsidRPr="00901D0D">
        <w:rPr>
          <w:lang w:val="en-GB"/>
        </w:rPr>
        <w:t xml:space="preserve">For these </w:t>
      </w:r>
      <w:proofErr w:type="gramStart"/>
      <w:r w:rsidR="001042AB" w:rsidRPr="00901D0D">
        <w:rPr>
          <w:lang w:val="en-GB"/>
        </w:rPr>
        <w:t>measures</w:t>
      </w:r>
      <w:proofErr w:type="gramEnd"/>
      <w:r w:rsidR="001042AB" w:rsidRPr="00901D0D">
        <w:rPr>
          <w:lang w:val="en-GB"/>
        </w:rPr>
        <w:t xml:space="preserve"> participants were told that there were no right or wrong answers and to select the option that best represented what they think. Participants completed one of the two anomalistic belief measures first (either the ASGS or the ABS), then the</w:t>
      </w:r>
      <w:r w:rsidRPr="00901D0D">
        <w:rPr>
          <w:lang w:val="en-GB"/>
        </w:rPr>
        <w:t xml:space="preserve"> GAS, and then they answered whichever anomalistic measure they had not yet completed (e.g., if they completed the ABS first they then completed the ASGS).</w:t>
      </w:r>
      <w:r w:rsidR="004C5DBB" w:rsidRPr="00901D0D">
        <w:rPr>
          <w:lang w:val="en-GB"/>
        </w:rPr>
        <w:t xml:space="preserve"> </w:t>
      </w:r>
      <w:r w:rsidR="007A4ADE" w:rsidRPr="00901D0D">
        <w:rPr>
          <w:lang w:val="en-GB"/>
        </w:rPr>
        <w:t>Finally, p</w:t>
      </w:r>
      <w:r w:rsidRPr="00901D0D">
        <w:rPr>
          <w:lang w:val="en-GB"/>
        </w:rPr>
        <w:t>articipants answered the two overall anomalistic belief questions</w:t>
      </w:r>
      <w:r w:rsidR="007A4ADE" w:rsidRPr="00901D0D">
        <w:rPr>
          <w:lang w:val="en-GB"/>
        </w:rPr>
        <w:t xml:space="preserve"> before completing</w:t>
      </w:r>
      <w:r w:rsidRPr="00901D0D">
        <w:rPr>
          <w:lang w:val="en-GB"/>
        </w:rPr>
        <w:t xml:space="preserve"> the demographic and education questions. </w:t>
      </w:r>
    </w:p>
    <w:p w14:paraId="2401F0A5" w14:textId="77777777" w:rsidR="007D6BF3" w:rsidRPr="00901D0D" w:rsidRDefault="007D6BF3" w:rsidP="00124969">
      <w:pPr>
        <w:ind w:firstLine="0"/>
        <w:contextualSpacing/>
        <w:jc w:val="center"/>
        <w:outlineLvl w:val="0"/>
        <w:rPr>
          <w:rFonts w:eastAsia="MS Gothic" w:cs="Times New Roman"/>
          <w:b/>
          <w:bCs/>
          <w:szCs w:val="28"/>
          <w:lang w:val="en-GB"/>
        </w:rPr>
      </w:pPr>
      <w:r w:rsidRPr="00901D0D">
        <w:rPr>
          <w:rFonts w:eastAsia="MS Gothic" w:cs="Times New Roman"/>
          <w:b/>
          <w:bCs/>
          <w:szCs w:val="28"/>
          <w:lang w:val="en-GB"/>
        </w:rPr>
        <w:t>Results</w:t>
      </w:r>
    </w:p>
    <w:p w14:paraId="192207C3" w14:textId="575EE5BF" w:rsidR="00876F90" w:rsidRPr="00901D0D" w:rsidRDefault="00876F90" w:rsidP="00301785">
      <w:pPr>
        <w:contextualSpacing/>
        <w:rPr>
          <w:lang w:val="en-GB"/>
        </w:rPr>
      </w:pPr>
      <w:r w:rsidRPr="00901D0D">
        <w:rPr>
          <w:sz w:val="23"/>
          <w:szCs w:val="23"/>
          <w:lang w:val="en-GB"/>
        </w:rPr>
        <w:t xml:space="preserve">Traditional multiple regression analyses for the misperception of chance and the base rate fallacy problems were not possible because context of the problems (i.e., control vs. anomalistic) is a within-subjects variable. However, </w:t>
      </w:r>
      <w:proofErr w:type="spellStart"/>
      <w:r w:rsidRPr="00901D0D">
        <w:rPr>
          <w:sz w:val="23"/>
          <w:szCs w:val="23"/>
          <w:lang w:val="en-GB"/>
        </w:rPr>
        <w:t>Ruscher</w:t>
      </w:r>
      <w:proofErr w:type="spellEnd"/>
      <w:r w:rsidRPr="00901D0D">
        <w:rPr>
          <w:sz w:val="23"/>
          <w:szCs w:val="23"/>
          <w:lang w:val="en-GB"/>
        </w:rPr>
        <w:t xml:space="preserve"> (n.d</w:t>
      </w:r>
      <w:r w:rsidR="00E850D3" w:rsidRPr="00901D0D">
        <w:rPr>
          <w:sz w:val="23"/>
          <w:szCs w:val="23"/>
          <w:lang w:val="en-GB"/>
        </w:rPr>
        <w:t>.</w:t>
      </w:r>
      <w:r w:rsidRPr="00901D0D">
        <w:rPr>
          <w:sz w:val="23"/>
          <w:szCs w:val="23"/>
          <w:lang w:val="en-GB"/>
        </w:rPr>
        <w:t xml:space="preserve">) outlined a suitable repeated-measures multiple regression that </w:t>
      </w:r>
      <w:r w:rsidR="00912E18" w:rsidRPr="00901D0D">
        <w:rPr>
          <w:sz w:val="23"/>
          <w:szCs w:val="23"/>
          <w:lang w:val="en-GB"/>
        </w:rPr>
        <w:t xml:space="preserve">can be run using </w:t>
      </w:r>
      <w:r w:rsidRPr="00901D0D">
        <w:rPr>
          <w:sz w:val="23"/>
          <w:szCs w:val="23"/>
          <w:lang w:val="en-GB"/>
        </w:rPr>
        <w:t xml:space="preserve">a repeated-measures </w:t>
      </w:r>
      <w:r w:rsidR="00912E18" w:rsidRPr="00901D0D">
        <w:rPr>
          <w:sz w:val="23"/>
          <w:szCs w:val="23"/>
          <w:lang w:val="en-GB"/>
        </w:rPr>
        <w:t>ANCOVA</w:t>
      </w:r>
      <w:r w:rsidRPr="00901D0D">
        <w:rPr>
          <w:sz w:val="23"/>
          <w:szCs w:val="23"/>
          <w:lang w:val="en-GB"/>
        </w:rPr>
        <w:t xml:space="preserve"> and accommodates the continuous </w:t>
      </w:r>
      <w:r w:rsidR="00657E5F">
        <w:rPr>
          <w:sz w:val="23"/>
          <w:szCs w:val="23"/>
          <w:lang w:val="en-GB"/>
        </w:rPr>
        <w:t xml:space="preserve">predictor </w:t>
      </w:r>
      <w:r w:rsidRPr="00901D0D">
        <w:rPr>
          <w:sz w:val="23"/>
          <w:szCs w:val="23"/>
          <w:lang w:val="en-GB"/>
        </w:rPr>
        <w:t>variables by entering them as covariates</w:t>
      </w:r>
      <w:r w:rsidR="00912E18" w:rsidRPr="00901D0D">
        <w:rPr>
          <w:sz w:val="23"/>
          <w:szCs w:val="23"/>
          <w:lang w:val="en-GB"/>
        </w:rPr>
        <w:t xml:space="preserve"> to retrieve the multiple regression parameter estimates</w:t>
      </w:r>
      <w:r w:rsidRPr="00901D0D">
        <w:rPr>
          <w:rFonts w:cs="Times New Roman"/>
          <w:lang w:val="en-GB"/>
        </w:rPr>
        <w:t xml:space="preserve">. Therefore, </w:t>
      </w:r>
      <w:r w:rsidRPr="00901D0D">
        <w:rPr>
          <w:lang w:val="en-GB"/>
        </w:rPr>
        <w:t xml:space="preserve">the probabilistic reasoning tasks were analysed using a repeated-measures </w:t>
      </w:r>
      <w:r w:rsidR="00912E18" w:rsidRPr="00901D0D">
        <w:rPr>
          <w:lang w:val="en-GB"/>
        </w:rPr>
        <w:t>ANCOVA</w:t>
      </w:r>
      <w:r w:rsidRPr="00901D0D">
        <w:rPr>
          <w:lang w:val="en-GB"/>
        </w:rPr>
        <w:t xml:space="preserve">, with context as the within-subjects variable and anomalistic belief and gambling attitudes entered as covariates. In situations where there were no </w:t>
      </w:r>
      <w:r w:rsidR="009326E7">
        <w:rPr>
          <w:lang w:val="en-GB"/>
        </w:rPr>
        <w:t xml:space="preserve">statistically </w:t>
      </w:r>
      <w:r w:rsidRPr="00901D0D">
        <w:rPr>
          <w:lang w:val="en-GB"/>
        </w:rPr>
        <w:t xml:space="preserve">significant interactions between context and any of the key predictors, multiple </w:t>
      </w:r>
      <w:r w:rsidRPr="00901D0D">
        <w:rPr>
          <w:lang w:val="en-GB"/>
        </w:rPr>
        <w:lastRenderedPageBreak/>
        <w:t xml:space="preserve">regression analysis was used to obtain parameter estimates for probabilistic reasoning averaged across context. Neither overall gambling nor attitude towards specific types of gambling were </w:t>
      </w:r>
      <w:r w:rsidR="009326E7">
        <w:rPr>
          <w:lang w:val="en-GB"/>
        </w:rPr>
        <w:t xml:space="preserve">statistically </w:t>
      </w:r>
      <w:r w:rsidRPr="00901D0D">
        <w:rPr>
          <w:lang w:val="en-GB"/>
        </w:rPr>
        <w:t xml:space="preserve">significantly correlated with performance on either of the probabilistic reasoning tasks. However, because we made specific predictions about the relationship between gambling attitudes, anomalistic belief, and probabilistic reasoning, overall gambling was entered as a predictor in all regressions. Additionally, to control for potential effects of education and/or order (survey or counterbalance) these variables were entered into the regression whenever they were </w:t>
      </w:r>
      <w:r w:rsidR="009326E7">
        <w:rPr>
          <w:lang w:val="en-GB"/>
        </w:rPr>
        <w:t xml:space="preserve">statistically </w:t>
      </w:r>
      <w:r w:rsidRPr="00901D0D">
        <w:rPr>
          <w:lang w:val="en-GB"/>
        </w:rPr>
        <w:t>significantly related to performance on the probabilistic reasoning task.</w:t>
      </w:r>
    </w:p>
    <w:p w14:paraId="7979B444" w14:textId="644B5933" w:rsidR="007D6BF3" w:rsidRPr="00901D0D" w:rsidRDefault="007D6BF3" w:rsidP="00301785">
      <w:pPr>
        <w:contextualSpacing/>
        <w:rPr>
          <w:lang w:val="en-GB"/>
        </w:rPr>
      </w:pPr>
      <w:r w:rsidRPr="00901D0D">
        <w:rPr>
          <w:lang w:val="en-GB"/>
        </w:rPr>
        <w:t>Traditional null hypotheses significance tests are reported here, however, Bayes factors were</w:t>
      </w:r>
      <w:r w:rsidR="005C1119" w:rsidRPr="00901D0D">
        <w:rPr>
          <w:lang w:val="en-GB"/>
        </w:rPr>
        <w:t xml:space="preserve"> also</w:t>
      </w:r>
      <w:r w:rsidRPr="00901D0D">
        <w:rPr>
          <w:lang w:val="en-GB"/>
        </w:rPr>
        <w:t xml:space="preserve"> calculated </w:t>
      </w:r>
      <w:r w:rsidR="005618F8" w:rsidRPr="00901D0D">
        <w:rPr>
          <w:lang w:val="en-GB"/>
        </w:rPr>
        <w:t xml:space="preserve">(as recommended by </w:t>
      </w:r>
      <w:proofErr w:type="spellStart"/>
      <w:r w:rsidR="005618F8" w:rsidRPr="00901D0D">
        <w:rPr>
          <w:lang w:val="en-GB"/>
        </w:rPr>
        <w:t>Wagenmakers</w:t>
      </w:r>
      <w:proofErr w:type="spellEnd"/>
      <w:r w:rsidR="005618F8" w:rsidRPr="00901D0D">
        <w:rPr>
          <w:lang w:val="en-GB"/>
        </w:rPr>
        <w:t xml:space="preserve">, 2007) </w:t>
      </w:r>
      <w:r w:rsidRPr="00901D0D">
        <w:rPr>
          <w:lang w:val="en-GB"/>
        </w:rPr>
        <w:t>using JASP</w:t>
      </w:r>
      <w:r w:rsidR="00086E88" w:rsidRPr="00901D0D">
        <w:rPr>
          <w:lang w:val="en-GB"/>
        </w:rPr>
        <w:t xml:space="preserve"> with default </w:t>
      </w:r>
      <w:r w:rsidR="000E33DB" w:rsidRPr="00901D0D">
        <w:rPr>
          <w:lang w:val="en-GB"/>
        </w:rPr>
        <w:t>priors</w:t>
      </w:r>
      <w:r w:rsidRPr="00901D0D">
        <w:rPr>
          <w:lang w:val="en-GB"/>
        </w:rPr>
        <w:t xml:space="preserve"> </w:t>
      </w:r>
      <w:r w:rsidRPr="00901D0D">
        <w:rPr>
          <w:rFonts w:eastAsia="Calibri" w:cs="Times New Roman"/>
          <w:lang w:val="en-GB"/>
        </w:rPr>
        <w:t>(JASP Team, 2017, Version 0.8.1.1)</w:t>
      </w:r>
      <w:r w:rsidR="00F96C98" w:rsidRPr="00D858E4">
        <w:rPr>
          <w:rFonts w:eastAsia="Calibri" w:cs="Times New Roman"/>
          <w:vertAlign w:val="superscript"/>
          <w:lang w:val="en-GB"/>
        </w:rPr>
        <w:t>5</w:t>
      </w:r>
      <w:r w:rsidRPr="00901D0D">
        <w:rPr>
          <w:rFonts w:eastAsia="Calibri" w:cs="Times New Roman"/>
          <w:lang w:val="en-GB"/>
        </w:rPr>
        <w:t xml:space="preserve"> </w:t>
      </w:r>
      <w:r w:rsidRPr="00901D0D">
        <w:rPr>
          <w:lang w:val="en-GB"/>
        </w:rPr>
        <w:t xml:space="preserve">and are reported for all main analyses. All Bayes factors are reported using the form </w:t>
      </w:r>
      <w:r w:rsidRPr="00901D0D">
        <w:rPr>
          <w:i/>
          <w:lang w:val="en-GB"/>
        </w:rPr>
        <w:t>BF</w:t>
      </w:r>
      <w:r w:rsidRPr="00901D0D">
        <w:rPr>
          <w:vertAlign w:val="subscript"/>
          <w:lang w:val="en-GB"/>
        </w:rPr>
        <w:t>10</w:t>
      </w:r>
      <w:r w:rsidRPr="00901D0D">
        <w:rPr>
          <w:lang w:val="en-GB"/>
        </w:rPr>
        <w:t xml:space="preserve">, which provides the odds ratio of the alternative/null hypotheses given the data (i.e., a value of 1 indicates the data support the alternative and null equally, values larger than 1 indicate support for the alternative, and values smaller than 1 indicate support for the null). All anomalistic belief scales, the GAS, and the education measures were coded so that larger values indicate a higher level of belief, attitude, or education, respectively. Further, misperception of chance and base rate fallacy items </w:t>
      </w:r>
      <w:proofErr w:type="gramStart"/>
      <w:r w:rsidRPr="00901D0D">
        <w:rPr>
          <w:lang w:val="en-GB"/>
        </w:rPr>
        <w:t>were</w:t>
      </w:r>
      <w:proofErr w:type="gramEnd"/>
      <w:r w:rsidRPr="00901D0D">
        <w:rPr>
          <w:lang w:val="en-GB"/>
        </w:rPr>
        <w:t xml:space="preserve"> analysed using the proportion correct and therefore higher values indicate </w:t>
      </w:r>
      <w:r w:rsidR="00AF437F" w:rsidRPr="00901D0D">
        <w:rPr>
          <w:lang w:val="en-GB"/>
        </w:rPr>
        <w:t>better performance</w:t>
      </w:r>
      <w:r w:rsidRPr="00901D0D">
        <w:rPr>
          <w:lang w:val="en-GB"/>
        </w:rPr>
        <w:t xml:space="preserve">. Descriptive statistics for all scales are reported in Table 1. </w:t>
      </w:r>
    </w:p>
    <w:p w14:paraId="373307DB" w14:textId="462F4B84" w:rsidR="00AA5E28" w:rsidRDefault="00AA5E28" w:rsidP="00AA5E28">
      <w:pPr>
        <w:rPr>
          <w:lang w:val="en-GB"/>
        </w:rPr>
      </w:pPr>
      <w:bookmarkStart w:id="13" w:name="_Hlk14029859"/>
      <w:r>
        <w:rPr>
          <w:lang w:val="en-GB"/>
        </w:rPr>
        <w:t xml:space="preserve">Strong positive correlations were found between all of the anomalistic belief measures (see Table </w:t>
      </w:r>
      <w:r w:rsidR="00ED3441">
        <w:rPr>
          <w:lang w:val="en-GB"/>
        </w:rPr>
        <w:t>2</w:t>
      </w:r>
      <w:r>
        <w:rPr>
          <w:lang w:val="en-GB"/>
        </w:rPr>
        <w:t xml:space="preserve">). Also, participants who were higher in anomalistic belief were also more likely to have more positive attitudes toward gambling. Further, significant (positive) correlations were found between most of the subtypes of gambling attitude and anomalistic belief except for between the experiential factor and attitudes towards casino and lottery gambling, or </w:t>
      </w:r>
      <w:r>
        <w:rPr>
          <w:lang w:val="en-GB"/>
        </w:rPr>
        <w:lastRenderedPageBreak/>
        <w:t xml:space="preserve">between the ET factor and lottery gambling. There also were several positive correlations between anomalistic belief and education: (1) general education was correlated with the experiential factor, (2) psychology education correlated with the overall ABS and the experiential factor, (3) mathematics education was correlated with the overall ASGS, overall ABS, the experiential factor, and the PSI factor, and (4) statistics education was correlated with the overall ASGS, overall ABS, and the experiential factor. Neither the ET factor nor the life after death factor were correlated with any of the education measures. There also were statistically significant negative correlations between attitudes towards lottery gambling and both general and mathematics education. </w:t>
      </w:r>
    </w:p>
    <w:bookmarkEnd w:id="13"/>
    <w:p w14:paraId="79BAE1A2" w14:textId="77777777" w:rsidR="007D6BF3" w:rsidRPr="00901D0D" w:rsidRDefault="007D6BF3" w:rsidP="00124969">
      <w:pPr>
        <w:ind w:firstLine="0"/>
        <w:contextualSpacing/>
        <w:outlineLvl w:val="1"/>
        <w:rPr>
          <w:rFonts w:eastAsia="MS Gothic" w:cs="Times New Roman"/>
          <w:b/>
          <w:bCs/>
          <w:szCs w:val="26"/>
          <w:lang w:val="en-GB"/>
        </w:rPr>
      </w:pPr>
      <w:r w:rsidRPr="00901D0D">
        <w:rPr>
          <w:rFonts w:eastAsia="MS Gothic" w:cs="Times New Roman"/>
          <w:b/>
          <w:bCs/>
          <w:szCs w:val="26"/>
          <w:lang w:val="en-GB"/>
        </w:rPr>
        <w:t>Misperception of Chance</w:t>
      </w:r>
    </w:p>
    <w:p w14:paraId="6C17F21A" w14:textId="044A5C2E" w:rsidR="007D6BF3" w:rsidRPr="00901D0D" w:rsidRDefault="007D6BF3" w:rsidP="00301785">
      <w:pPr>
        <w:ind w:firstLine="0"/>
        <w:contextualSpacing/>
        <w:rPr>
          <w:lang w:val="en-GB"/>
        </w:rPr>
      </w:pPr>
      <w:r w:rsidRPr="00901D0D">
        <w:rPr>
          <w:lang w:val="en-GB"/>
        </w:rPr>
        <w:tab/>
        <w:t>The relationship between anomalistic belief</w:t>
      </w:r>
      <w:r w:rsidR="00AE55A7" w:rsidRPr="00901D0D">
        <w:rPr>
          <w:lang w:val="en-GB"/>
        </w:rPr>
        <w:t>, overall gambling attitude,</w:t>
      </w:r>
      <w:r w:rsidRPr="00901D0D">
        <w:rPr>
          <w:lang w:val="en-GB"/>
        </w:rPr>
        <w:t xml:space="preserve"> and misperception of chance was analysed first using separate analyses for the overall ASGS and ABS scales, and then using the </w:t>
      </w:r>
      <w:r w:rsidR="002B1344" w:rsidRPr="00901D0D">
        <w:rPr>
          <w:lang w:val="en-GB"/>
        </w:rPr>
        <w:t xml:space="preserve">ABS </w:t>
      </w:r>
      <w:r w:rsidRPr="00901D0D">
        <w:rPr>
          <w:lang w:val="en-GB"/>
        </w:rPr>
        <w:t xml:space="preserve">factors </w:t>
      </w:r>
      <w:r w:rsidR="00D302F6" w:rsidRPr="00901D0D">
        <w:rPr>
          <w:lang w:val="en-GB"/>
        </w:rPr>
        <w:t>(see Table 3)</w:t>
      </w:r>
      <w:r w:rsidRPr="00901D0D">
        <w:rPr>
          <w:lang w:val="en-GB"/>
        </w:rPr>
        <w:t xml:space="preserve">. In all analyses there was a main effect of context, range </w:t>
      </w:r>
      <w:r w:rsidRPr="00901D0D">
        <w:rPr>
          <w:i/>
          <w:lang w:val="en-GB"/>
        </w:rPr>
        <w:t>F</w:t>
      </w:r>
      <w:r w:rsidRPr="00901D0D">
        <w:rPr>
          <w:lang w:val="en-GB"/>
        </w:rPr>
        <w:t xml:space="preserve">s (1, </w:t>
      </w:r>
      <w:r w:rsidR="004804D0" w:rsidRPr="00901D0D">
        <w:rPr>
          <w:lang w:val="en-GB"/>
        </w:rPr>
        <w:t xml:space="preserve">169 </w:t>
      </w:r>
      <w:r w:rsidRPr="00901D0D">
        <w:rPr>
          <w:rFonts w:eastAsia="Calibri" w:cs="Times New Roman"/>
          <w:lang w:val="en-GB"/>
        </w:rPr>
        <w:t>–</w:t>
      </w:r>
      <w:r w:rsidRPr="00901D0D">
        <w:rPr>
          <w:lang w:val="en-GB"/>
        </w:rPr>
        <w:t xml:space="preserve"> </w:t>
      </w:r>
      <w:r w:rsidR="004804D0" w:rsidRPr="00901D0D">
        <w:rPr>
          <w:lang w:val="en-GB"/>
        </w:rPr>
        <w:t>172</w:t>
      </w:r>
      <w:r w:rsidRPr="00901D0D">
        <w:rPr>
          <w:lang w:val="en-GB"/>
        </w:rPr>
        <w:t>)</w:t>
      </w:r>
      <w:r w:rsidR="00F96C98">
        <w:rPr>
          <w:vertAlign w:val="superscript"/>
          <w:lang w:val="en-GB"/>
        </w:rPr>
        <w:t>6</w:t>
      </w:r>
      <w:r w:rsidRPr="00901D0D">
        <w:rPr>
          <w:lang w:val="en-GB"/>
        </w:rPr>
        <w:t xml:space="preserve"> = </w:t>
      </w:r>
      <w:r w:rsidR="00AC3ECE" w:rsidRPr="004432CF">
        <w:rPr>
          <w:lang w:val="en-GB"/>
        </w:rPr>
        <w:t>48.51</w:t>
      </w:r>
      <w:r w:rsidR="004804D0" w:rsidRPr="004432CF">
        <w:rPr>
          <w:lang w:val="en-GB"/>
        </w:rPr>
        <w:t xml:space="preserve"> </w:t>
      </w:r>
      <w:r w:rsidRPr="004432CF">
        <w:rPr>
          <w:rFonts w:eastAsia="Calibri" w:cs="Times New Roman"/>
          <w:lang w:val="en-GB"/>
        </w:rPr>
        <w:t xml:space="preserve">– </w:t>
      </w:r>
      <w:r w:rsidR="00AC3ECE" w:rsidRPr="004432CF">
        <w:rPr>
          <w:lang w:val="en-GB"/>
        </w:rPr>
        <w:t>48.92</w:t>
      </w:r>
      <w:r w:rsidRPr="00901D0D">
        <w:rPr>
          <w:lang w:val="en-GB"/>
        </w:rPr>
        <w:t xml:space="preserve">, all </w:t>
      </w:r>
      <w:r w:rsidRPr="00901D0D">
        <w:rPr>
          <w:i/>
          <w:lang w:val="en-GB"/>
        </w:rPr>
        <w:t>MSE</w:t>
      </w:r>
      <w:r w:rsidRPr="00901D0D">
        <w:rPr>
          <w:lang w:val="en-GB"/>
        </w:rPr>
        <w:t>s = .</w:t>
      </w:r>
      <w:r w:rsidR="00AC3ECE" w:rsidRPr="00901D0D">
        <w:rPr>
          <w:lang w:val="en-GB"/>
        </w:rPr>
        <w:t>01</w:t>
      </w:r>
      <w:r w:rsidRPr="00901D0D">
        <w:rPr>
          <w:lang w:val="en-GB"/>
        </w:rPr>
        <w:t xml:space="preserve">, all </w:t>
      </w:r>
      <w:proofErr w:type="spellStart"/>
      <w:r w:rsidRPr="00901D0D">
        <w:rPr>
          <w:i/>
          <w:lang w:val="en-GB"/>
        </w:rPr>
        <w:t>p</w:t>
      </w:r>
      <w:r w:rsidRPr="00901D0D">
        <w:rPr>
          <w:lang w:val="en-GB"/>
        </w:rPr>
        <w:t>s</w:t>
      </w:r>
      <w:proofErr w:type="spellEnd"/>
      <w:r w:rsidRPr="00901D0D">
        <w:rPr>
          <w:lang w:val="en-GB"/>
        </w:rPr>
        <w:t xml:space="preserve"> </w:t>
      </w:r>
      <w:r w:rsidR="004804D0" w:rsidRPr="00901D0D">
        <w:rPr>
          <w:rFonts w:eastAsia="Calibri" w:cs="Times New Roman"/>
          <w:lang w:val="en-GB"/>
        </w:rPr>
        <w:t>≤</w:t>
      </w:r>
      <w:r w:rsidRPr="00901D0D">
        <w:rPr>
          <w:lang w:val="en-GB"/>
        </w:rPr>
        <w:t xml:space="preserve"> .001, </w:t>
      </w:r>
      <w:r w:rsidR="004804D0" w:rsidRPr="00901D0D">
        <w:rPr>
          <w:lang w:val="en-GB"/>
        </w:rPr>
        <w:t xml:space="preserve">all </w:t>
      </w:r>
      <w:r w:rsidRPr="00901D0D">
        <w:rPr>
          <w:i/>
          <w:lang w:val="en-GB"/>
        </w:rPr>
        <w:t>η</w:t>
      </w:r>
      <w:r w:rsidRPr="00901D0D">
        <w:rPr>
          <w:i/>
          <w:vertAlign w:val="subscript"/>
          <w:lang w:val="en-GB"/>
        </w:rPr>
        <w:t>p</w:t>
      </w:r>
      <w:r w:rsidRPr="00901D0D">
        <w:rPr>
          <w:i/>
          <w:vertAlign w:val="superscript"/>
          <w:lang w:val="en-GB"/>
        </w:rPr>
        <w:t>2</w:t>
      </w:r>
      <w:r w:rsidRPr="00901D0D">
        <w:rPr>
          <w:lang w:val="en-GB"/>
        </w:rPr>
        <w:t xml:space="preserve"> = .</w:t>
      </w:r>
      <w:r w:rsidR="00AC3ECE" w:rsidRPr="00901D0D">
        <w:rPr>
          <w:lang w:val="en-GB"/>
        </w:rPr>
        <w:t>22</w:t>
      </w:r>
      <w:r w:rsidRPr="00901D0D">
        <w:rPr>
          <w:lang w:val="en-GB"/>
        </w:rPr>
        <w:t>, range</w:t>
      </w:r>
      <w:r w:rsidRPr="00901D0D">
        <w:rPr>
          <w:rFonts w:eastAsia="Calibri" w:cs="Times New Roman"/>
          <w:i/>
          <w:lang w:val="en-GB"/>
        </w:rPr>
        <w:t xml:space="preserve"> BF</w:t>
      </w:r>
      <w:r w:rsidRPr="00901D0D">
        <w:rPr>
          <w:rFonts w:eastAsia="Calibri" w:cs="Times New Roman"/>
          <w:vertAlign w:val="subscript"/>
          <w:lang w:val="en-GB"/>
        </w:rPr>
        <w:t xml:space="preserve">10 </w:t>
      </w:r>
      <w:r w:rsidRPr="00901D0D">
        <w:rPr>
          <w:rFonts w:eastAsia="Calibri" w:cs="Times New Roman"/>
          <w:lang w:val="en-GB"/>
        </w:rPr>
        <w:t xml:space="preserve">= </w:t>
      </w:r>
      <w:r w:rsidR="00634142" w:rsidRPr="00901D0D">
        <w:rPr>
          <w:rFonts w:eastAsia="Calibri" w:cs="Times New Roman"/>
          <w:lang w:val="en-GB"/>
        </w:rPr>
        <w:t xml:space="preserve">78910000 </w:t>
      </w:r>
      <w:r w:rsidRPr="00901D0D">
        <w:rPr>
          <w:rFonts w:eastAsia="Calibri" w:cs="Times New Roman"/>
          <w:lang w:val="en-GB"/>
        </w:rPr>
        <w:t xml:space="preserve">– </w:t>
      </w:r>
      <w:r w:rsidR="00634142" w:rsidRPr="00901D0D">
        <w:rPr>
          <w:rFonts w:eastAsia="Calibri" w:cs="Times New Roman"/>
          <w:lang w:val="en-GB"/>
        </w:rPr>
        <w:t>80690000</w:t>
      </w:r>
      <w:r w:rsidRPr="00901D0D">
        <w:rPr>
          <w:rFonts w:eastAsia="Calibri" w:cs="Times New Roman"/>
          <w:lang w:val="en-GB"/>
        </w:rPr>
        <w:t>,</w:t>
      </w:r>
      <w:r w:rsidRPr="00901D0D">
        <w:rPr>
          <w:lang w:val="en-GB"/>
        </w:rPr>
        <w:t xml:space="preserve"> with the proportion of correct responses higher in the control context (</w:t>
      </w:r>
      <w:r w:rsidRPr="00901D0D">
        <w:rPr>
          <w:i/>
          <w:lang w:val="en-GB"/>
        </w:rPr>
        <w:t xml:space="preserve">M </w:t>
      </w:r>
      <w:r w:rsidRPr="00901D0D">
        <w:rPr>
          <w:lang w:val="en-GB"/>
        </w:rPr>
        <w:t xml:space="preserve">= 0.68, </w:t>
      </w:r>
      <w:r w:rsidRPr="00901D0D">
        <w:rPr>
          <w:i/>
          <w:lang w:val="en-GB"/>
        </w:rPr>
        <w:t xml:space="preserve">SD </w:t>
      </w:r>
      <w:r w:rsidRPr="00901D0D">
        <w:rPr>
          <w:lang w:val="en-GB"/>
        </w:rPr>
        <w:t>= 0.25) than in the anomalistic context (</w:t>
      </w:r>
      <w:r w:rsidRPr="00901D0D">
        <w:rPr>
          <w:i/>
          <w:lang w:val="en-GB"/>
        </w:rPr>
        <w:t xml:space="preserve">M </w:t>
      </w:r>
      <w:r w:rsidRPr="00901D0D">
        <w:rPr>
          <w:lang w:val="en-GB"/>
        </w:rPr>
        <w:t xml:space="preserve">= 0.61, </w:t>
      </w:r>
      <w:r w:rsidRPr="00901D0D">
        <w:rPr>
          <w:i/>
          <w:lang w:val="en-GB"/>
        </w:rPr>
        <w:t xml:space="preserve">SD </w:t>
      </w:r>
      <w:r w:rsidRPr="00901D0D">
        <w:rPr>
          <w:lang w:val="en-GB"/>
        </w:rPr>
        <w:t xml:space="preserve">= 0.22). For the overall ASGS there </w:t>
      </w:r>
      <w:r w:rsidR="00E60E10" w:rsidRPr="00901D0D">
        <w:rPr>
          <w:lang w:val="en-GB"/>
        </w:rPr>
        <w:t xml:space="preserve">also </w:t>
      </w:r>
      <w:r w:rsidRPr="00901D0D">
        <w:rPr>
          <w:lang w:val="en-GB"/>
        </w:rPr>
        <w:t xml:space="preserve">was a </w:t>
      </w:r>
      <w:r w:rsidR="009326E7">
        <w:rPr>
          <w:lang w:val="en-GB"/>
        </w:rPr>
        <w:t xml:space="preserve">statistically </w:t>
      </w:r>
      <w:r w:rsidRPr="00901D0D">
        <w:rPr>
          <w:lang w:val="en-GB"/>
        </w:rPr>
        <w:t xml:space="preserve">significant </w:t>
      </w:r>
      <w:r w:rsidR="00E60E10" w:rsidRPr="00901D0D">
        <w:rPr>
          <w:lang w:val="en-GB"/>
        </w:rPr>
        <w:t xml:space="preserve">main </w:t>
      </w:r>
      <w:r w:rsidRPr="00901D0D">
        <w:rPr>
          <w:lang w:val="en-GB"/>
        </w:rPr>
        <w:t xml:space="preserve">effect of anomalistic belief, </w:t>
      </w:r>
      <w:bookmarkStart w:id="14" w:name="_Hlk10813906"/>
      <w:r w:rsidRPr="00901D0D">
        <w:rPr>
          <w:rFonts w:eastAsia="Calibri" w:cs="Times New Roman"/>
          <w:i/>
          <w:lang w:val="en-GB"/>
        </w:rPr>
        <w:t xml:space="preserve">β </w:t>
      </w:r>
      <w:r w:rsidRPr="00901D0D">
        <w:rPr>
          <w:rFonts w:eastAsia="Calibri" w:cs="Times New Roman"/>
          <w:lang w:val="en-GB"/>
        </w:rPr>
        <w:t>= -.2</w:t>
      </w:r>
      <w:r w:rsidR="003F0E48" w:rsidRPr="00901D0D">
        <w:rPr>
          <w:rFonts w:eastAsia="Calibri" w:cs="Times New Roman"/>
          <w:lang w:val="en-GB"/>
        </w:rPr>
        <w:t>2</w:t>
      </w:r>
      <w:r w:rsidR="007549D0" w:rsidRPr="00901D0D">
        <w:rPr>
          <w:rFonts w:eastAsia="Calibri" w:cs="Times New Roman"/>
          <w:lang w:val="en-GB"/>
        </w:rPr>
        <w:t>, 95% CI [-.</w:t>
      </w:r>
      <w:r w:rsidR="003F0E48" w:rsidRPr="00901D0D">
        <w:rPr>
          <w:rFonts w:eastAsia="Calibri" w:cs="Times New Roman"/>
          <w:lang w:val="en-GB"/>
        </w:rPr>
        <w:t>37</w:t>
      </w:r>
      <w:r w:rsidR="007549D0" w:rsidRPr="00901D0D">
        <w:rPr>
          <w:rFonts w:eastAsia="Calibri" w:cs="Times New Roman"/>
          <w:lang w:val="en-GB"/>
        </w:rPr>
        <w:t>, -.</w:t>
      </w:r>
      <w:r w:rsidR="00FF4085" w:rsidRPr="00901D0D">
        <w:rPr>
          <w:rFonts w:eastAsia="Calibri" w:cs="Times New Roman"/>
          <w:lang w:val="en-GB"/>
        </w:rPr>
        <w:t>07</w:t>
      </w:r>
      <w:r w:rsidR="007549D0" w:rsidRPr="00901D0D">
        <w:rPr>
          <w:rFonts w:eastAsia="Calibri" w:cs="Times New Roman"/>
          <w:lang w:val="en-GB"/>
        </w:rPr>
        <w:t>]</w:t>
      </w:r>
      <w:r w:rsidRPr="00901D0D">
        <w:rPr>
          <w:lang w:val="en-GB"/>
        </w:rPr>
        <w:t xml:space="preserve">, with higher anomalistic belief leading to a lower proportion of </w:t>
      </w:r>
      <w:r w:rsidR="00E60E10" w:rsidRPr="00901D0D">
        <w:rPr>
          <w:lang w:val="en-GB"/>
        </w:rPr>
        <w:t>correct responses</w:t>
      </w:r>
      <w:r w:rsidRPr="00901D0D">
        <w:rPr>
          <w:lang w:val="en-GB"/>
        </w:rPr>
        <w:t>.</w:t>
      </w:r>
      <w:r w:rsidR="00980C95" w:rsidRPr="00901D0D">
        <w:rPr>
          <w:lang w:val="en-GB"/>
        </w:rPr>
        <w:t xml:space="preserve"> The same pattern was found for the overall ABS scale, with higher anomalistic belief associated with a lower proportion of correct responses, </w:t>
      </w:r>
      <w:r w:rsidR="00980C95" w:rsidRPr="00901D0D">
        <w:rPr>
          <w:rFonts w:eastAsia="Calibri" w:cs="Times New Roman"/>
          <w:i/>
          <w:lang w:val="en-GB"/>
        </w:rPr>
        <w:t xml:space="preserve">β </w:t>
      </w:r>
      <w:r w:rsidR="00980C95" w:rsidRPr="00901D0D">
        <w:rPr>
          <w:rFonts w:eastAsia="Calibri" w:cs="Times New Roman"/>
          <w:lang w:val="en-GB"/>
        </w:rPr>
        <w:t>= -.28, 95% CI [-.43, -.13]</w:t>
      </w:r>
      <w:r w:rsidR="00980C95" w:rsidRPr="00901D0D">
        <w:rPr>
          <w:lang w:val="en-GB"/>
        </w:rPr>
        <w:t>.</w:t>
      </w:r>
      <w:r w:rsidRPr="00901D0D">
        <w:rPr>
          <w:lang w:val="en-GB"/>
        </w:rPr>
        <w:t xml:space="preserve"> </w:t>
      </w:r>
      <w:r w:rsidR="00980C95" w:rsidRPr="00901D0D">
        <w:rPr>
          <w:lang w:val="en-GB"/>
        </w:rPr>
        <w:t xml:space="preserve">However, in </w:t>
      </w:r>
      <w:r w:rsidR="005C306A" w:rsidRPr="00901D0D">
        <w:rPr>
          <w:lang w:val="en-GB"/>
        </w:rPr>
        <w:t xml:space="preserve">both </w:t>
      </w:r>
      <w:r w:rsidR="00980C95" w:rsidRPr="00901D0D">
        <w:rPr>
          <w:lang w:val="en-GB"/>
        </w:rPr>
        <w:t xml:space="preserve">the </w:t>
      </w:r>
      <w:r w:rsidR="005C306A" w:rsidRPr="00901D0D">
        <w:rPr>
          <w:lang w:val="en-GB"/>
        </w:rPr>
        <w:t xml:space="preserve">overall ASGS and </w:t>
      </w:r>
      <w:r w:rsidR="00EF5E49" w:rsidRPr="00901D0D">
        <w:rPr>
          <w:lang w:val="en-GB"/>
        </w:rPr>
        <w:t>AB</w:t>
      </w:r>
      <w:r w:rsidR="005C306A" w:rsidRPr="00901D0D">
        <w:rPr>
          <w:lang w:val="en-GB"/>
        </w:rPr>
        <w:t xml:space="preserve">S </w:t>
      </w:r>
      <w:r w:rsidR="00980C95" w:rsidRPr="00901D0D">
        <w:rPr>
          <w:lang w:val="en-GB"/>
        </w:rPr>
        <w:t xml:space="preserve">regressions there was no main effect of overall gambling attitude, range </w:t>
      </w:r>
      <w:r w:rsidR="00980C95" w:rsidRPr="00901D0D">
        <w:rPr>
          <w:rFonts w:eastAsia="Calibri" w:cs="Times New Roman"/>
          <w:i/>
          <w:lang w:val="en-GB"/>
        </w:rPr>
        <w:t xml:space="preserve">β </w:t>
      </w:r>
      <w:r w:rsidR="00980C95" w:rsidRPr="00901D0D">
        <w:rPr>
          <w:rFonts w:eastAsia="Calibri" w:cs="Times New Roman"/>
          <w:lang w:val="en-GB"/>
        </w:rPr>
        <w:t xml:space="preserve">= -.02 - .01. Further, in both regressions </w:t>
      </w:r>
      <w:r w:rsidR="00980C95" w:rsidRPr="00901D0D">
        <w:rPr>
          <w:lang w:val="en-GB"/>
        </w:rPr>
        <w:t xml:space="preserve">neither overall gambling attitude nor anomalistic belief </w:t>
      </w:r>
      <w:r w:rsidR="009326E7">
        <w:rPr>
          <w:lang w:val="en-GB"/>
        </w:rPr>
        <w:t xml:space="preserve">statistically </w:t>
      </w:r>
      <w:r w:rsidR="00980C95" w:rsidRPr="00901D0D">
        <w:rPr>
          <w:lang w:val="en-GB"/>
        </w:rPr>
        <w:t xml:space="preserve">significantly interacted with context, </w:t>
      </w:r>
      <w:r w:rsidR="00980C95" w:rsidRPr="00901D0D">
        <w:rPr>
          <w:i/>
          <w:lang w:val="en-GB"/>
        </w:rPr>
        <w:t>F</w:t>
      </w:r>
      <w:r w:rsidR="00980C95" w:rsidRPr="00901D0D">
        <w:rPr>
          <w:lang w:val="en-GB"/>
        </w:rPr>
        <w:t xml:space="preserve">s (1, 172) </w:t>
      </w:r>
      <w:r w:rsidR="00980C95" w:rsidRPr="00901D0D">
        <w:rPr>
          <w:rFonts w:eastAsia="Calibri" w:cs="Times New Roman"/>
          <w:lang w:val="en-GB"/>
        </w:rPr>
        <w:t>≤</w:t>
      </w:r>
      <w:r w:rsidR="00980C95" w:rsidRPr="00901D0D">
        <w:rPr>
          <w:lang w:val="en-GB"/>
        </w:rPr>
        <w:t xml:space="preserve"> 0.10, all </w:t>
      </w:r>
      <w:r w:rsidR="00980C95" w:rsidRPr="00901D0D">
        <w:rPr>
          <w:i/>
          <w:lang w:val="en-GB"/>
        </w:rPr>
        <w:t>MSE</w:t>
      </w:r>
      <w:r w:rsidR="00980C95" w:rsidRPr="00901D0D">
        <w:rPr>
          <w:lang w:val="en-GB"/>
        </w:rPr>
        <w:t xml:space="preserve">s </w:t>
      </w:r>
      <w:r w:rsidR="00980C95" w:rsidRPr="00901D0D">
        <w:rPr>
          <w:rFonts w:eastAsia="Calibri" w:cs="Times New Roman"/>
          <w:lang w:val="en-GB"/>
        </w:rPr>
        <w:t>=</w:t>
      </w:r>
      <w:r w:rsidR="00980C95" w:rsidRPr="00901D0D">
        <w:rPr>
          <w:lang w:val="en-GB"/>
        </w:rPr>
        <w:t xml:space="preserve"> .01, all </w:t>
      </w:r>
      <w:proofErr w:type="spellStart"/>
      <w:r w:rsidR="00980C95" w:rsidRPr="00901D0D">
        <w:rPr>
          <w:i/>
          <w:lang w:val="en-GB"/>
        </w:rPr>
        <w:t>p</w:t>
      </w:r>
      <w:r w:rsidR="00980C95" w:rsidRPr="00901D0D">
        <w:rPr>
          <w:lang w:val="en-GB"/>
        </w:rPr>
        <w:t>s</w:t>
      </w:r>
      <w:proofErr w:type="spellEnd"/>
      <w:r w:rsidR="00980C95" w:rsidRPr="00901D0D">
        <w:rPr>
          <w:lang w:val="en-GB"/>
        </w:rPr>
        <w:t xml:space="preserve"> </w:t>
      </w:r>
      <w:r w:rsidR="00980C95" w:rsidRPr="00901D0D">
        <w:rPr>
          <w:rFonts w:eastAsia="Calibri" w:cs="Times New Roman"/>
          <w:lang w:val="en-GB"/>
        </w:rPr>
        <w:t>≥ .75</w:t>
      </w:r>
      <w:r w:rsidR="00980C95" w:rsidRPr="00901D0D">
        <w:rPr>
          <w:lang w:val="en-GB"/>
        </w:rPr>
        <w:t xml:space="preserve">, all </w:t>
      </w:r>
      <w:r w:rsidR="00980C95" w:rsidRPr="00901D0D">
        <w:rPr>
          <w:i/>
          <w:lang w:val="en-GB"/>
        </w:rPr>
        <w:t>η</w:t>
      </w:r>
      <w:r w:rsidR="00980C95" w:rsidRPr="00901D0D">
        <w:rPr>
          <w:i/>
          <w:vertAlign w:val="subscript"/>
          <w:lang w:val="en-GB"/>
        </w:rPr>
        <w:t>p</w:t>
      </w:r>
      <w:r w:rsidR="00980C95" w:rsidRPr="00901D0D">
        <w:rPr>
          <w:i/>
          <w:vertAlign w:val="superscript"/>
          <w:lang w:val="en-GB"/>
        </w:rPr>
        <w:t>2</w:t>
      </w:r>
      <w:r w:rsidR="00980C95" w:rsidRPr="00901D0D">
        <w:rPr>
          <w:lang w:val="en-GB"/>
        </w:rPr>
        <w:t xml:space="preserve"> </w:t>
      </w:r>
      <w:r w:rsidR="00980C95" w:rsidRPr="00901D0D">
        <w:rPr>
          <w:rFonts w:eastAsia="Calibri" w:cs="Times New Roman"/>
          <w:lang w:val="en-GB"/>
        </w:rPr>
        <w:t xml:space="preserve">≤ </w:t>
      </w:r>
      <w:r w:rsidR="00980C95" w:rsidRPr="00901D0D">
        <w:rPr>
          <w:lang w:val="en-GB"/>
        </w:rPr>
        <w:t>.001, range</w:t>
      </w:r>
      <w:r w:rsidR="00980C95" w:rsidRPr="00901D0D">
        <w:rPr>
          <w:rFonts w:eastAsia="Calibri" w:cs="Times New Roman"/>
          <w:i/>
          <w:lang w:val="en-GB"/>
        </w:rPr>
        <w:t xml:space="preserve"> BF</w:t>
      </w:r>
      <w:r w:rsidR="00980C95" w:rsidRPr="00901D0D">
        <w:rPr>
          <w:rFonts w:eastAsia="Calibri" w:cs="Times New Roman"/>
          <w:vertAlign w:val="subscript"/>
          <w:lang w:val="en-GB"/>
        </w:rPr>
        <w:t xml:space="preserve">10 </w:t>
      </w:r>
      <w:r w:rsidR="00980C95" w:rsidRPr="00901D0D">
        <w:rPr>
          <w:rFonts w:eastAsia="Calibri" w:cs="Times New Roman"/>
          <w:lang w:val="en-GB"/>
        </w:rPr>
        <w:t>= 0.07 – 0.14</w:t>
      </w:r>
      <w:r w:rsidR="005C306A" w:rsidRPr="00901D0D">
        <w:rPr>
          <w:rFonts w:eastAsia="Calibri" w:cs="Times New Roman"/>
          <w:lang w:val="en-GB"/>
        </w:rPr>
        <w:t>.</w:t>
      </w:r>
      <w:r w:rsidR="00980C95" w:rsidRPr="00901D0D">
        <w:rPr>
          <w:lang w:val="en-GB"/>
        </w:rPr>
        <w:t xml:space="preserve"> </w:t>
      </w:r>
      <w:bookmarkEnd w:id="14"/>
    </w:p>
    <w:p w14:paraId="6DAFC4C8" w14:textId="421BF698" w:rsidR="007D6BF3" w:rsidRPr="00901D0D" w:rsidRDefault="007D6BF3" w:rsidP="00301785">
      <w:pPr>
        <w:ind w:firstLine="0"/>
        <w:contextualSpacing/>
        <w:rPr>
          <w:rFonts w:eastAsia="Calibri" w:cs="Times New Roman"/>
          <w:lang w:val="en-GB"/>
        </w:rPr>
      </w:pPr>
      <w:r w:rsidRPr="00901D0D">
        <w:rPr>
          <w:lang w:val="en-GB"/>
        </w:rPr>
        <w:lastRenderedPageBreak/>
        <w:tab/>
        <w:t xml:space="preserve">The relationship between anomalistic belief and misperception of chance was also analysed at a more </w:t>
      </w:r>
      <w:r w:rsidR="00E87A2D" w:rsidRPr="00901D0D">
        <w:rPr>
          <w:lang w:val="en-GB"/>
        </w:rPr>
        <w:t>fine-grained</w:t>
      </w:r>
      <w:r w:rsidRPr="00901D0D">
        <w:rPr>
          <w:lang w:val="en-GB"/>
        </w:rPr>
        <w:t xml:space="preserve"> level by using the four </w:t>
      </w:r>
      <w:r w:rsidR="00EF5E49" w:rsidRPr="00901D0D">
        <w:rPr>
          <w:lang w:val="en-GB"/>
        </w:rPr>
        <w:t xml:space="preserve">ABS </w:t>
      </w:r>
      <w:r w:rsidRPr="00901D0D">
        <w:rPr>
          <w:lang w:val="en-GB"/>
        </w:rPr>
        <w:t xml:space="preserve">factors. This analysis found that only the experiential factor was a </w:t>
      </w:r>
      <w:r w:rsidR="009326E7">
        <w:rPr>
          <w:lang w:val="en-GB"/>
        </w:rPr>
        <w:t xml:space="preserve">statistically </w:t>
      </w:r>
      <w:r w:rsidRPr="00901D0D">
        <w:rPr>
          <w:lang w:val="en-GB"/>
        </w:rPr>
        <w:t xml:space="preserve">significant </w:t>
      </w:r>
      <w:r w:rsidR="002C78E2" w:rsidRPr="00901D0D">
        <w:rPr>
          <w:lang w:val="en-GB"/>
        </w:rPr>
        <w:t xml:space="preserve">negative </w:t>
      </w:r>
      <w:r w:rsidRPr="00901D0D">
        <w:rPr>
          <w:lang w:val="en-GB"/>
        </w:rPr>
        <w:t xml:space="preserve">predictor of the proportion of items </w:t>
      </w:r>
      <w:r w:rsidR="00E87A2D" w:rsidRPr="00901D0D">
        <w:rPr>
          <w:lang w:val="en-GB"/>
        </w:rPr>
        <w:t>correct,</w:t>
      </w:r>
      <w:r w:rsidRPr="00901D0D">
        <w:rPr>
          <w:lang w:val="en-GB"/>
        </w:rPr>
        <w:t xml:space="preserve"> </w:t>
      </w:r>
      <w:r w:rsidRPr="00901D0D">
        <w:rPr>
          <w:rFonts w:eastAsia="Calibri" w:cs="Times New Roman"/>
          <w:i/>
          <w:lang w:val="en-GB"/>
        </w:rPr>
        <w:t xml:space="preserve">β </w:t>
      </w:r>
      <w:r w:rsidRPr="00901D0D">
        <w:rPr>
          <w:rFonts w:eastAsia="Calibri" w:cs="Times New Roman"/>
          <w:lang w:val="en-GB"/>
        </w:rPr>
        <w:t>= -.47</w:t>
      </w:r>
      <w:r w:rsidR="00692A0D" w:rsidRPr="00901D0D">
        <w:rPr>
          <w:rFonts w:eastAsia="Calibri" w:cs="Times New Roman"/>
          <w:lang w:val="en-GB"/>
        </w:rPr>
        <w:t>, 95% CI [-.</w:t>
      </w:r>
      <w:r w:rsidR="003F0E48" w:rsidRPr="00901D0D">
        <w:rPr>
          <w:rFonts w:eastAsia="Calibri" w:cs="Times New Roman"/>
          <w:lang w:val="en-GB"/>
        </w:rPr>
        <w:t>66</w:t>
      </w:r>
      <w:r w:rsidR="00692A0D" w:rsidRPr="00901D0D">
        <w:rPr>
          <w:rFonts w:eastAsia="Calibri" w:cs="Times New Roman"/>
          <w:lang w:val="en-GB"/>
        </w:rPr>
        <w:t>, -.</w:t>
      </w:r>
      <w:r w:rsidR="003F0E48" w:rsidRPr="00901D0D">
        <w:rPr>
          <w:rFonts w:eastAsia="Calibri" w:cs="Times New Roman"/>
          <w:lang w:val="en-GB"/>
        </w:rPr>
        <w:t>28</w:t>
      </w:r>
      <w:r w:rsidR="00692A0D" w:rsidRPr="00901D0D">
        <w:rPr>
          <w:rFonts w:eastAsia="Calibri" w:cs="Times New Roman"/>
          <w:lang w:val="en-GB"/>
        </w:rPr>
        <w:t>]</w:t>
      </w:r>
      <w:r w:rsidRPr="00901D0D">
        <w:rPr>
          <w:rFonts w:eastAsia="Calibri" w:cs="Times New Roman"/>
          <w:lang w:val="en-GB"/>
        </w:rPr>
        <w:t xml:space="preserve">. </w:t>
      </w:r>
      <w:r w:rsidR="0022442A">
        <w:rPr>
          <w:rFonts w:eastAsia="Calibri" w:cs="Times New Roman"/>
          <w:lang w:val="en-GB"/>
        </w:rPr>
        <w:t>Additionally, t</w:t>
      </w:r>
      <w:r w:rsidR="00DB3ACA">
        <w:rPr>
          <w:rFonts w:eastAsia="Calibri" w:cs="Times New Roman"/>
          <w:lang w:val="en-GB"/>
        </w:rPr>
        <w:t xml:space="preserve">he experiential factor was a statistically significantly stronger predictor of misperception of chance than the other three factors, all </w:t>
      </w:r>
      <w:proofErr w:type="spellStart"/>
      <w:r w:rsidR="00DB3ACA">
        <w:rPr>
          <w:rFonts w:eastAsia="Calibri" w:cs="Times New Roman"/>
          <w:i/>
          <w:lang w:val="en-GB"/>
        </w:rPr>
        <w:t>t</w:t>
      </w:r>
      <w:r w:rsidR="00DB3ACA">
        <w:rPr>
          <w:rFonts w:eastAsia="Calibri" w:cs="Times New Roman"/>
          <w:lang w:val="en-GB"/>
        </w:rPr>
        <w:t>s</w:t>
      </w:r>
      <w:proofErr w:type="spellEnd"/>
      <w:r w:rsidR="00DB3ACA">
        <w:rPr>
          <w:rFonts w:eastAsia="Calibri" w:cs="Times New Roman"/>
          <w:lang w:val="en-GB"/>
        </w:rPr>
        <w:t xml:space="preserve"> (169) </w:t>
      </w:r>
      <w:r w:rsidR="00DB3ACA" w:rsidRPr="00901D0D">
        <w:rPr>
          <w:rFonts w:eastAsia="Calibri" w:cs="Times New Roman"/>
          <w:lang w:val="en-GB"/>
        </w:rPr>
        <w:t>≥</w:t>
      </w:r>
      <w:r w:rsidR="00DB3ACA">
        <w:rPr>
          <w:rFonts w:eastAsia="Calibri" w:cs="Times New Roman"/>
          <w:lang w:val="en-GB"/>
        </w:rPr>
        <w:t xml:space="preserve"> 2.68, </w:t>
      </w:r>
      <w:r w:rsidR="00DB3ACA" w:rsidRPr="00DB3ACA">
        <w:rPr>
          <w:rFonts w:eastAsia="Calibri" w:cs="Times New Roman"/>
          <w:lang w:val="en-GB"/>
        </w:rPr>
        <w:t>all</w:t>
      </w:r>
      <w:r w:rsidR="00DB3ACA">
        <w:rPr>
          <w:rFonts w:eastAsia="Calibri" w:cs="Times New Roman"/>
          <w:lang w:val="en-GB"/>
        </w:rPr>
        <w:t xml:space="preserve"> </w:t>
      </w:r>
      <w:proofErr w:type="spellStart"/>
      <w:r w:rsidR="00DB3ACA">
        <w:rPr>
          <w:rFonts w:eastAsia="Calibri" w:cs="Times New Roman"/>
          <w:i/>
          <w:lang w:val="en-GB"/>
        </w:rPr>
        <w:t>p</w:t>
      </w:r>
      <w:r w:rsidR="00DB3ACA">
        <w:rPr>
          <w:rFonts w:eastAsia="Calibri" w:cs="Times New Roman"/>
          <w:lang w:val="en-GB"/>
        </w:rPr>
        <w:t>s</w:t>
      </w:r>
      <w:proofErr w:type="spellEnd"/>
      <w:r w:rsidR="00DB3ACA">
        <w:rPr>
          <w:rFonts w:eastAsia="Calibri" w:cs="Times New Roman"/>
          <w:lang w:val="en-GB"/>
        </w:rPr>
        <w:t xml:space="preserve"> </w:t>
      </w:r>
      <w:r w:rsidR="00DB3ACA" w:rsidRPr="00DB3ACA">
        <w:rPr>
          <w:rFonts w:eastAsia="Calibri" w:cs="Times New Roman"/>
          <w:lang w:val="en-GB"/>
        </w:rPr>
        <w:t>≤</w:t>
      </w:r>
      <w:r w:rsidR="00DB3ACA">
        <w:rPr>
          <w:rFonts w:eastAsia="Calibri" w:cs="Times New Roman"/>
          <w:lang w:val="en-GB"/>
        </w:rPr>
        <w:t xml:space="preserve"> .008.</w:t>
      </w:r>
      <w:r w:rsidR="00B43EFC">
        <w:rPr>
          <w:rFonts w:eastAsia="Calibri" w:cs="Times New Roman"/>
          <w:vertAlign w:val="superscript"/>
          <w:lang w:val="en-GB"/>
        </w:rPr>
        <w:t>7</w:t>
      </w:r>
      <w:r w:rsidR="00DB3ACA">
        <w:rPr>
          <w:rFonts w:eastAsia="Calibri" w:cs="Times New Roman"/>
          <w:lang w:val="en-GB"/>
        </w:rPr>
        <w:t xml:space="preserve"> There were no statistically significant differences in the strength of the relationships between the other factors and misperception of chance, all </w:t>
      </w:r>
      <w:proofErr w:type="spellStart"/>
      <w:r w:rsidR="00DB3ACA">
        <w:rPr>
          <w:rFonts w:eastAsia="Calibri" w:cs="Times New Roman"/>
          <w:i/>
          <w:lang w:val="en-GB"/>
        </w:rPr>
        <w:t>t</w:t>
      </w:r>
      <w:r w:rsidR="00DB3ACA">
        <w:rPr>
          <w:rFonts w:eastAsia="Calibri" w:cs="Times New Roman"/>
          <w:lang w:val="en-GB"/>
        </w:rPr>
        <w:t>s</w:t>
      </w:r>
      <w:proofErr w:type="spellEnd"/>
      <w:r w:rsidR="00DB3ACA">
        <w:rPr>
          <w:rFonts w:eastAsia="Calibri" w:cs="Times New Roman"/>
          <w:lang w:val="en-GB"/>
        </w:rPr>
        <w:t xml:space="preserve"> (169) </w:t>
      </w:r>
      <w:r w:rsidR="00DB3ACA" w:rsidRPr="00DB3ACA">
        <w:rPr>
          <w:rFonts w:eastAsia="Calibri" w:cs="Times New Roman"/>
          <w:lang w:val="en-GB"/>
        </w:rPr>
        <w:t>≤</w:t>
      </w:r>
      <w:r w:rsidR="00DB3ACA">
        <w:rPr>
          <w:rFonts w:eastAsia="Calibri" w:cs="Times New Roman"/>
          <w:lang w:val="en-GB"/>
        </w:rPr>
        <w:t xml:space="preserve"> 1.31, </w:t>
      </w:r>
      <w:r w:rsidR="00DB3ACA" w:rsidRPr="00DB3ACA">
        <w:rPr>
          <w:rFonts w:eastAsia="Calibri" w:cs="Times New Roman"/>
          <w:lang w:val="en-GB"/>
        </w:rPr>
        <w:t>all</w:t>
      </w:r>
      <w:r w:rsidR="00DB3ACA">
        <w:rPr>
          <w:rFonts w:eastAsia="Calibri" w:cs="Times New Roman"/>
          <w:lang w:val="en-GB"/>
        </w:rPr>
        <w:t xml:space="preserve"> </w:t>
      </w:r>
      <w:proofErr w:type="spellStart"/>
      <w:r w:rsidR="00DB3ACA">
        <w:rPr>
          <w:rFonts w:eastAsia="Calibri" w:cs="Times New Roman"/>
          <w:i/>
          <w:lang w:val="en-GB"/>
        </w:rPr>
        <w:t>p</w:t>
      </w:r>
      <w:r w:rsidR="00DB3ACA">
        <w:rPr>
          <w:rFonts w:eastAsia="Calibri" w:cs="Times New Roman"/>
          <w:lang w:val="en-GB"/>
        </w:rPr>
        <w:t>s</w:t>
      </w:r>
      <w:proofErr w:type="spellEnd"/>
      <w:r w:rsidR="00DB3ACA">
        <w:rPr>
          <w:rFonts w:eastAsia="Calibri" w:cs="Times New Roman"/>
          <w:lang w:val="en-GB"/>
        </w:rPr>
        <w:t xml:space="preserve"> </w:t>
      </w:r>
      <w:r w:rsidR="00DB3ACA" w:rsidRPr="00901D0D">
        <w:rPr>
          <w:rFonts w:eastAsia="Calibri" w:cs="Times New Roman"/>
          <w:lang w:val="en-GB"/>
        </w:rPr>
        <w:t>≥</w:t>
      </w:r>
      <w:r w:rsidR="00DB3ACA">
        <w:rPr>
          <w:rFonts w:eastAsia="Calibri" w:cs="Times New Roman"/>
          <w:lang w:val="en-GB"/>
        </w:rPr>
        <w:t xml:space="preserve"> .19. </w:t>
      </w:r>
      <w:r w:rsidR="00513003" w:rsidRPr="00901D0D">
        <w:rPr>
          <w:rFonts w:eastAsia="Calibri" w:cs="Times New Roman"/>
          <w:lang w:val="en-GB"/>
        </w:rPr>
        <w:t xml:space="preserve">Again, there was no </w:t>
      </w:r>
      <w:r w:rsidR="009326E7">
        <w:rPr>
          <w:rFonts w:eastAsia="Calibri" w:cs="Times New Roman"/>
          <w:lang w:val="en-GB"/>
        </w:rPr>
        <w:t xml:space="preserve">statistically </w:t>
      </w:r>
      <w:r w:rsidR="00513003" w:rsidRPr="00901D0D">
        <w:rPr>
          <w:rFonts w:eastAsia="Calibri" w:cs="Times New Roman"/>
          <w:lang w:val="en-GB"/>
        </w:rPr>
        <w:t xml:space="preserve">significant effect of overall gambling attitude, </w:t>
      </w:r>
      <w:r w:rsidR="00513003" w:rsidRPr="00901D0D">
        <w:rPr>
          <w:rFonts w:eastAsia="Calibri" w:cs="Times New Roman"/>
          <w:i/>
          <w:lang w:val="en-GB"/>
        </w:rPr>
        <w:t xml:space="preserve">β </w:t>
      </w:r>
      <w:r w:rsidR="00513003" w:rsidRPr="00901D0D">
        <w:rPr>
          <w:rFonts w:eastAsia="Calibri" w:cs="Times New Roman"/>
          <w:lang w:val="en-GB"/>
        </w:rPr>
        <w:t>= -.</w:t>
      </w:r>
      <w:r w:rsidR="00FF4085" w:rsidRPr="00901D0D">
        <w:rPr>
          <w:rFonts w:eastAsia="Calibri" w:cs="Times New Roman"/>
          <w:lang w:val="en-GB"/>
        </w:rPr>
        <w:t>0</w:t>
      </w:r>
      <w:r w:rsidR="00513003" w:rsidRPr="00901D0D">
        <w:rPr>
          <w:rFonts w:eastAsia="Calibri" w:cs="Times New Roman"/>
          <w:lang w:val="en-GB"/>
        </w:rPr>
        <w:t>2, 95% CI [-.</w:t>
      </w:r>
      <w:r w:rsidR="00FF4085" w:rsidRPr="00901D0D">
        <w:rPr>
          <w:rFonts w:eastAsia="Calibri" w:cs="Times New Roman"/>
          <w:lang w:val="en-GB"/>
        </w:rPr>
        <w:t>16</w:t>
      </w:r>
      <w:r w:rsidR="00513003" w:rsidRPr="00901D0D">
        <w:rPr>
          <w:rFonts w:eastAsia="Calibri" w:cs="Times New Roman"/>
          <w:lang w:val="en-GB"/>
        </w:rPr>
        <w:t xml:space="preserve">, </w:t>
      </w:r>
      <w:r w:rsidR="00366CD7" w:rsidRPr="00901D0D">
        <w:rPr>
          <w:rFonts w:eastAsia="Calibri" w:cs="Times New Roman"/>
          <w:lang w:val="en-GB"/>
        </w:rPr>
        <w:t>.12</w:t>
      </w:r>
      <w:r w:rsidR="00513003" w:rsidRPr="00901D0D">
        <w:rPr>
          <w:rFonts w:eastAsia="Calibri" w:cs="Times New Roman"/>
          <w:lang w:val="en-GB"/>
        </w:rPr>
        <w:t xml:space="preserve">], </w:t>
      </w:r>
      <w:r w:rsidR="00024060" w:rsidRPr="00901D0D">
        <w:rPr>
          <w:rFonts w:eastAsia="Calibri" w:cs="Times New Roman"/>
          <w:lang w:val="en-GB"/>
        </w:rPr>
        <w:t>and</w:t>
      </w:r>
      <w:r w:rsidR="005C1119" w:rsidRPr="00901D0D">
        <w:rPr>
          <w:rFonts w:eastAsia="Calibri" w:cs="Times New Roman"/>
          <w:lang w:val="en-GB"/>
        </w:rPr>
        <w:t xml:space="preserve"> </w:t>
      </w:r>
      <w:r w:rsidRPr="00901D0D">
        <w:rPr>
          <w:rFonts w:eastAsia="Calibri" w:cs="Times New Roman"/>
          <w:lang w:val="en-GB"/>
        </w:rPr>
        <w:t xml:space="preserve">no </w:t>
      </w:r>
      <w:r w:rsidR="009326E7">
        <w:rPr>
          <w:rFonts w:eastAsia="Calibri" w:cs="Times New Roman"/>
          <w:lang w:val="en-GB"/>
        </w:rPr>
        <w:t xml:space="preserve">statistically </w:t>
      </w:r>
      <w:r w:rsidRPr="00901D0D">
        <w:rPr>
          <w:rFonts w:eastAsia="Calibri" w:cs="Times New Roman"/>
          <w:lang w:val="en-GB"/>
        </w:rPr>
        <w:t xml:space="preserve">significant interactions between context and </w:t>
      </w:r>
      <w:r w:rsidR="00513003" w:rsidRPr="00901D0D">
        <w:rPr>
          <w:rFonts w:eastAsia="Calibri" w:cs="Times New Roman"/>
          <w:lang w:val="en-GB"/>
        </w:rPr>
        <w:t xml:space="preserve">overall gambling attitude or </w:t>
      </w:r>
      <w:r w:rsidRPr="00901D0D">
        <w:rPr>
          <w:rFonts w:eastAsia="Calibri" w:cs="Times New Roman"/>
          <w:lang w:val="en-GB"/>
        </w:rPr>
        <w:t xml:space="preserve">any of the factors, </w:t>
      </w:r>
      <w:r w:rsidRPr="00901D0D">
        <w:rPr>
          <w:i/>
          <w:lang w:val="en-GB"/>
        </w:rPr>
        <w:t>F</w:t>
      </w:r>
      <w:r w:rsidRPr="00901D0D">
        <w:rPr>
          <w:lang w:val="en-GB"/>
        </w:rPr>
        <w:t xml:space="preserve">s (1, </w:t>
      </w:r>
      <w:r w:rsidR="00FE2ADE" w:rsidRPr="00901D0D">
        <w:rPr>
          <w:lang w:val="en-GB"/>
        </w:rPr>
        <w:t>169</w:t>
      </w:r>
      <w:r w:rsidRPr="00901D0D">
        <w:rPr>
          <w:lang w:val="en-GB"/>
        </w:rPr>
        <w:t xml:space="preserve">) </w:t>
      </w:r>
      <w:r w:rsidRPr="00901D0D">
        <w:rPr>
          <w:rFonts w:eastAsia="Calibri" w:cs="Times New Roman"/>
          <w:lang w:val="en-GB"/>
        </w:rPr>
        <w:t>≤</w:t>
      </w:r>
      <w:r w:rsidRPr="00901D0D">
        <w:rPr>
          <w:lang w:val="en-GB"/>
        </w:rPr>
        <w:t xml:space="preserve"> 0.</w:t>
      </w:r>
      <w:r w:rsidR="00FE2ADE" w:rsidRPr="00901D0D">
        <w:rPr>
          <w:lang w:val="en-GB"/>
        </w:rPr>
        <w:t>83</w:t>
      </w:r>
      <w:r w:rsidRPr="00901D0D">
        <w:rPr>
          <w:lang w:val="en-GB"/>
        </w:rPr>
        <w:t>, all</w:t>
      </w:r>
      <w:r w:rsidR="00513003" w:rsidRPr="00901D0D">
        <w:rPr>
          <w:lang w:val="en-GB"/>
        </w:rPr>
        <w:t xml:space="preserve"> </w:t>
      </w:r>
      <w:r w:rsidR="00513003" w:rsidRPr="00901D0D">
        <w:rPr>
          <w:i/>
          <w:lang w:val="en-GB"/>
        </w:rPr>
        <w:t>MSE</w:t>
      </w:r>
      <w:r w:rsidR="00513003" w:rsidRPr="00901D0D">
        <w:rPr>
          <w:lang w:val="en-GB"/>
        </w:rPr>
        <w:t xml:space="preserve">s </w:t>
      </w:r>
      <w:r w:rsidR="00513003" w:rsidRPr="00901D0D">
        <w:rPr>
          <w:rFonts w:eastAsia="Calibri" w:cs="Times New Roman"/>
          <w:lang w:val="en-GB"/>
        </w:rPr>
        <w:t>=</w:t>
      </w:r>
      <w:r w:rsidR="00513003" w:rsidRPr="00901D0D">
        <w:rPr>
          <w:lang w:val="en-GB"/>
        </w:rPr>
        <w:t xml:space="preserve"> .</w:t>
      </w:r>
      <w:r w:rsidR="00AC3ECE" w:rsidRPr="00901D0D">
        <w:rPr>
          <w:lang w:val="en-GB"/>
        </w:rPr>
        <w:t>01</w:t>
      </w:r>
      <w:r w:rsidRPr="00901D0D">
        <w:rPr>
          <w:lang w:val="en-GB"/>
        </w:rPr>
        <w:t xml:space="preserve">, all </w:t>
      </w:r>
      <w:proofErr w:type="spellStart"/>
      <w:r w:rsidRPr="00901D0D">
        <w:rPr>
          <w:i/>
          <w:lang w:val="en-GB"/>
        </w:rPr>
        <w:t>p</w:t>
      </w:r>
      <w:r w:rsidRPr="00901D0D">
        <w:rPr>
          <w:lang w:val="en-GB"/>
        </w:rPr>
        <w:t>s</w:t>
      </w:r>
      <w:proofErr w:type="spellEnd"/>
      <w:r w:rsidRPr="00901D0D">
        <w:rPr>
          <w:lang w:val="en-GB"/>
        </w:rPr>
        <w:t xml:space="preserve"> </w:t>
      </w:r>
      <w:r w:rsidRPr="00901D0D">
        <w:rPr>
          <w:rFonts w:eastAsia="Calibri" w:cs="Times New Roman"/>
          <w:lang w:val="en-GB"/>
        </w:rPr>
        <w:t>≥ .</w:t>
      </w:r>
      <w:r w:rsidR="00FE2ADE" w:rsidRPr="00901D0D">
        <w:rPr>
          <w:rFonts w:eastAsia="Calibri" w:cs="Times New Roman"/>
          <w:lang w:val="en-GB"/>
        </w:rPr>
        <w:t>36</w:t>
      </w:r>
      <w:r w:rsidRPr="00901D0D">
        <w:rPr>
          <w:lang w:val="en-GB"/>
        </w:rPr>
        <w:t xml:space="preserve">, all </w:t>
      </w:r>
      <w:r w:rsidRPr="00901D0D">
        <w:rPr>
          <w:i/>
          <w:lang w:val="en-GB"/>
        </w:rPr>
        <w:t>η</w:t>
      </w:r>
      <w:r w:rsidRPr="00901D0D">
        <w:rPr>
          <w:i/>
          <w:vertAlign w:val="subscript"/>
          <w:lang w:val="en-GB"/>
        </w:rPr>
        <w:t>p</w:t>
      </w:r>
      <w:r w:rsidRPr="00901D0D">
        <w:rPr>
          <w:i/>
          <w:vertAlign w:val="superscript"/>
          <w:lang w:val="en-GB"/>
        </w:rPr>
        <w:t>2</w:t>
      </w:r>
      <w:r w:rsidRPr="00901D0D">
        <w:rPr>
          <w:lang w:val="en-GB"/>
        </w:rPr>
        <w:t xml:space="preserve"> </w:t>
      </w:r>
      <w:r w:rsidRPr="00901D0D">
        <w:rPr>
          <w:rFonts w:eastAsia="Calibri" w:cs="Times New Roman"/>
          <w:lang w:val="en-GB"/>
        </w:rPr>
        <w:t xml:space="preserve">≤ </w:t>
      </w:r>
      <w:r w:rsidRPr="00901D0D">
        <w:rPr>
          <w:lang w:val="en-GB"/>
        </w:rPr>
        <w:t>.005</w:t>
      </w:r>
      <w:r w:rsidR="001103B0" w:rsidRPr="00901D0D">
        <w:rPr>
          <w:lang w:val="en-GB"/>
        </w:rPr>
        <w:t>, range</w:t>
      </w:r>
      <w:r w:rsidR="001103B0" w:rsidRPr="00901D0D">
        <w:rPr>
          <w:rFonts w:eastAsia="Calibri" w:cs="Times New Roman"/>
          <w:i/>
          <w:lang w:val="en-GB"/>
        </w:rPr>
        <w:t xml:space="preserve"> BF</w:t>
      </w:r>
      <w:r w:rsidR="001103B0" w:rsidRPr="00901D0D">
        <w:rPr>
          <w:rFonts w:eastAsia="Calibri" w:cs="Times New Roman"/>
          <w:vertAlign w:val="subscript"/>
          <w:lang w:val="en-GB"/>
        </w:rPr>
        <w:t xml:space="preserve">10 </w:t>
      </w:r>
      <w:r w:rsidR="001103B0" w:rsidRPr="00901D0D">
        <w:rPr>
          <w:rFonts w:eastAsia="Calibri" w:cs="Times New Roman"/>
          <w:lang w:val="en-GB"/>
        </w:rPr>
        <w:t xml:space="preserve">= </w:t>
      </w:r>
      <w:r w:rsidR="00032A25" w:rsidRPr="00901D0D">
        <w:rPr>
          <w:rFonts w:eastAsia="Calibri" w:cs="Times New Roman"/>
          <w:lang w:val="en-GB"/>
        </w:rPr>
        <w:t>0.06 – 0.15</w:t>
      </w:r>
      <w:r w:rsidRPr="00901D0D">
        <w:rPr>
          <w:rFonts w:eastAsia="Calibri" w:cs="Times New Roman"/>
          <w:lang w:val="en-GB"/>
        </w:rPr>
        <w:t>.</w:t>
      </w:r>
    </w:p>
    <w:p w14:paraId="7629E9E0" w14:textId="77777777" w:rsidR="007D6BF3" w:rsidRPr="00901D0D" w:rsidRDefault="007D6BF3" w:rsidP="00124969">
      <w:pPr>
        <w:ind w:firstLine="0"/>
        <w:contextualSpacing/>
        <w:outlineLvl w:val="1"/>
        <w:rPr>
          <w:rFonts w:eastAsia="MS Gothic" w:cs="Times New Roman"/>
          <w:b/>
          <w:bCs/>
          <w:szCs w:val="26"/>
          <w:lang w:val="en-GB"/>
        </w:rPr>
      </w:pPr>
      <w:r w:rsidRPr="00901D0D">
        <w:rPr>
          <w:rFonts w:eastAsia="MS Gothic" w:cs="Times New Roman"/>
          <w:b/>
          <w:bCs/>
          <w:szCs w:val="26"/>
          <w:lang w:val="en-GB"/>
        </w:rPr>
        <w:t>Base Rate Fallacy</w:t>
      </w:r>
    </w:p>
    <w:p w14:paraId="74EDAD29" w14:textId="45CFEE20" w:rsidR="007D6BF3" w:rsidRPr="00901D0D" w:rsidRDefault="007D6BF3" w:rsidP="00301785">
      <w:pPr>
        <w:contextualSpacing/>
        <w:rPr>
          <w:lang w:val="en-GB"/>
        </w:rPr>
      </w:pPr>
      <w:r w:rsidRPr="00901D0D">
        <w:rPr>
          <w:rFonts w:eastAsia="Calibri" w:cs="Times New Roman"/>
          <w:lang w:val="en-GB"/>
        </w:rPr>
        <w:t xml:space="preserve">The base rate fallacy </w:t>
      </w:r>
      <w:r w:rsidR="00670FC9" w:rsidRPr="00901D0D">
        <w:rPr>
          <w:rFonts w:eastAsia="Calibri" w:cs="Times New Roman"/>
          <w:lang w:val="en-GB"/>
        </w:rPr>
        <w:t xml:space="preserve">also </w:t>
      </w:r>
      <w:r w:rsidR="005C1119" w:rsidRPr="00901D0D">
        <w:rPr>
          <w:rFonts w:eastAsia="Calibri" w:cs="Times New Roman"/>
          <w:lang w:val="en-GB"/>
        </w:rPr>
        <w:t xml:space="preserve">was </w:t>
      </w:r>
      <w:r w:rsidRPr="00901D0D">
        <w:rPr>
          <w:rFonts w:eastAsia="Calibri" w:cs="Times New Roman"/>
          <w:lang w:val="en-GB"/>
        </w:rPr>
        <w:t xml:space="preserve">analysed using a repeated-measures </w:t>
      </w:r>
      <w:r w:rsidR="00912E18" w:rsidRPr="00901D0D">
        <w:rPr>
          <w:rFonts w:eastAsia="Calibri" w:cs="Times New Roman"/>
          <w:lang w:val="en-GB"/>
        </w:rPr>
        <w:t>ANCOVA</w:t>
      </w:r>
      <w:r w:rsidRPr="00901D0D">
        <w:rPr>
          <w:rFonts w:eastAsia="Calibri" w:cs="Times New Roman"/>
          <w:lang w:val="en-GB"/>
        </w:rPr>
        <w:t>, with context as the within-subjects variable</w:t>
      </w:r>
      <w:r w:rsidR="00AE55A7" w:rsidRPr="00901D0D">
        <w:rPr>
          <w:rFonts w:eastAsia="Calibri" w:cs="Times New Roman"/>
          <w:lang w:val="en-GB"/>
        </w:rPr>
        <w:t>,</w:t>
      </w:r>
      <w:r w:rsidRPr="00901D0D">
        <w:rPr>
          <w:rFonts w:eastAsia="Calibri" w:cs="Times New Roman"/>
          <w:lang w:val="en-GB"/>
        </w:rPr>
        <w:t xml:space="preserve"> and anomalistic belief </w:t>
      </w:r>
      <w:r w:rsidR="00AE55A7" w:rsidRPr="00901D0D">
        <w:rPr>
          <w:rFonts w:eastAsia="Calibri" w:cs="Times New Roman"/>
          <w:lang w:val="en-GB"/>
        </w:rPr>
        <w:t xml:space="preserve">and overall gambling attitude </w:t>
      </w:r>
      <w:r w:rsidRPr="00901D0D">
        <w:rPr>
          <w:rFonts w:eastAsia="Calibri" w:cs="Times New Roman"/>
          <w:lang w:val="en-GB"/>
        </w:rPr>
        <w:t>entered as the covariate</w:t>
      </w:r>
      <w:r w:rsidR="00AE55A7" w:rsidRPr="00901D0D">
        <w:rPr>
          <w:rFonts w:eastAsia="Calibri" w:cs="Times New Roman"/>
          <w:lang w:val="en-GB"/>
        </w:rPr>
        <w:t>s</w:t>
      </w:r>
      <w:r w:rsidR="00D302F6" w:rsidRPr="00901D0D">
        <w:rPr>
          <w:rFonts w:eastAsia="Calibri" w:cs="Times New Roman"/>
          <w:lang w:val="en-GB"/>
        </w:rPr>
        <w:t xml:space="preserve"> (see Table 4)</w:t>
      </w:r>
      <w:r w:rsidRPr="00901D0D">
        <w:rPr>
          <w:rFonts w:eastAsia="Calibri" w:cs="Times New Roman"/>
          <w:lang w:val="en-GB"/>
        </w:rPr>
        <w:t xml:space="preserve">. </w:t>
      </w:r>
      <w:r w:rsidR="00670FC9" w:rsidRPr="00901D0D">
        <w:rPr>
          <w:rFonts w:eastAsia="Calibri" w:cs="Times New Roman"/>
          <w:lang w:val="en-GB"/>
        </w:rPr>
        <w:t>S</w:t>
      </w:r>
      <w:r w:rsidRPr="00901D0D">
        <w:rPr>
          <w:rFonts w:eastAsia="Calibri" w:cs="Times New Roman"/>
          <w:lang w:val="en-GB"/>
        </w:rPr>
        <w:t>eparate analyses</w:t>
      </w:r>
      <w:r w:rsidR="00670FC9" w:rsidRPr="00901D0D">
        <w:rPr>
          <w:rFonts w:eastAsia="Calibri" w:cs="Times New Roman"/>
          <w:lang w:val="en-GB"/>
        </w:rPr>
        <w:t xml:space="preserve"> were first run</w:t>
      </w:r>
      <w:r w:rsidRPr="00901D0D">
        <w:rPr>
          <w:rFonts w:eastAsia="Calibri" w:cs="Times New Roman"/>
          <w:lang w:val="en-GB"/>
        </w:rPr>
        <w:t xml:space="preserve"> for the overall ASGS and ABS scales, and then using the </w:t>
      </w:r>
      <w:r w:rsidR="00670FC9" w:rsidRPr="00901D0D">
        <w:rPr>
          <w:rFonts w:eastAsia="Calibri" w:cs="Times New Roman"/>
          <w:lang w:val="en-GB"/>
        </w:rPr>
        <w:t xml:space="preserve">ABS </w:t>
      </w:r>
      <w:r w:rsidRPr="00901D0D">
        <w:rPr>
          <w:rFonts w:eastAsia="Calibri" w:cs="Times New Roman"/>
          <w:lang w:val="en-GB"/>
        </w:rPr>
        <w:t xml:space="preserve">factors. There was a main effect of context in all analyses, </w:t>
      </w:r>
      <w:r w:rsidRPr="00901D0D">
        <w:rPr>
          <w:lang w:val="en-GB"/>
        </w:rPr>
        <w:t xml:space="preserve">range </w:t>
      </w:r>
      <w:r w:rsidRPr="00901D0D">
        <w:rPr>
          <w:i/>
          <w:lang w:val="en-GB"/>
        </w:rPr>
        <w:t>F</w:t>
      </w:r>
      <w:r w:rsidRPr="00901D0D">
        <w:rPr>
          <w:lang w:val="en-GB"/>
        </w:rPr>
        <w:t xml:space="preserve">s (1, </w:t>
      </w:r>
      <w:r w:rsidR="00A362DA" w:rsidRPr="00901D0D">
        <w:rPr>
          <w:lang w:val="en-GB"/>
        </w:rPr>
        <w:t xml:space="preserve">171 </w:t>
      </w:r>
      <w:r w:rsidRPr="00901D0D">
        <w:rPr>
          <w:rFonts w:eastAsia="Calibri" w:cs="Times New Roman"/>
          <w:lang w:val="en-GB"/>
        </w:rPr>
        <w:t xml:space="preserve">– </w:t>
      </w:r>
      <w:r w:rsidR="00A362DA" w:rsidRPr="00901D0D">
        <w:rPr>
          <w:rFonts w:eastAsia="Calibri" w:cs="Times New Roman"/>
          <w:lang w:val="en-GB"/>
        </w:rPr>
        <w:t>174</w:t>
      </w:r>
      <w:r w:rsidRPr="00901D0D">
        <w:rPr>
          <w:lang w:val="en-GB"/>
        </w:rPr>
        <w:t xml:space="preserve">) = </w:t>
      </w:r>
      <w:r w:rsidR="009A2673" w:rsidRPr="00901D0D">
        <w:rPr>
          <w:lang w:val="en-GB"/>
        </w:rPr>
        <w:t>43.54</w:t>
      </w:r>
      <w:r w:rsidR="00A362DA" w:rsidRPr="00901D0D">
        <w:rPr>
          <w:lang w:val="en-GB"/>
        </w:rPr>
        <w:t xml:space="preserve"> </w:t>
      </w:r>
      <w:r w:rsidRPr="00901D0D">
        <w:rPr>
          <w:rFonts w:eastAsia="Calibri" w:cs="Times New Roman"/>
          <w:lang w:val="en-GB"/>
        </w:rPr>
        <w:t xml:space="preserve">– </w:t>
      </w:r>
      <w:r w:rsidR="009A2673" w:rsidRPr="00901D0D">
        <w:rPr>
          <w:lang w:val="en-GB"/>
        </w:rPr>
        <w:t>44.17</w:t>
      </w:r>
      <w:r w:rsidRPr="00901D0D">
        <w:rPr>
          <w:lang w:val="en-GB"/>
        </w:rPr>
        <w:t xml:space="preserve">, all </w:t>
      </w:r>
      <w:r w:rsidRPr="00901D0D">
        <w:rPr>
          <w:i/>
          <w:lang w:val="en-GB"/>
        </w:rPr>
        <w:t>MSE</w:t>
      </w:r>
      <w:r w:rsidRPr="00901D0D">
        <w:rPr>
          <w:lang w:val="en-GB"/>
        </w:rPr>
        <w:t xml:space="preserve">s = .02, all </w:t>
      </w:r>
      <w:proofErr w:type="spellStart"/>
      <w:r w:rsidRPr="00901D0D">
        <w:rPr>
          <w:i/>
          <w:lang w:val="en-GB"/>
        </w:rPr>
        <w:t>p</w:t>
      </w:r>
      <w:r w:rsidRPr="00901D0D">
        <w:rPr>
          <w:lang w:val="en-GB"/>
        </w:rPr>
        <w:t>s</w:t>
      </w:r>
      <w:proofErr w:type="spellEnd"/>
      <w:r w:rsidRPr="00901D0D">
        <w:rPr>
          <w:lang w:val="en-GB"/>
        </w:rPr>
        <w:t xml:space="preserve"> </w:t>
      </w:r>
      <w:r w:rsidR="00513003" w:rsidRPr="00901D0D">
        <w:rPr>
          <w:rFonts w:eastAsia="Calibri" w:cs="Times New Roman"/>
          <w:lang w:val="en-GB"/>
        </w:rPr>
        <w:t>≤</w:t>
      </w:r>
      <w:r w:rsidRPr="00901D0D">
        <w:rPr>
          <w:lang w:val="en-GB"/>
        </w:rPr>
        <w:t xml:space="preserve"> .0</w:t>
      </w:r>
      <w:r w:rsidR="009A2673" w:rsidRPr="00901D0D">
        <w:rPr>
          <w:lang w:val="en-GB"/>
        </w:rPr>
        <w:t>0</w:t>
      </w:r>
      <w:r w:rsidRPr="00901D0D">
        <w:rPr>
          <w:lang w:val="en-GB"/>
        </w:rPr>
        <w:t xml:space="preserve">1, range </w:t>
      </w:r>
      <w:r w:rsidRPr="00901D0D">
        <w:rPr>
          <w:i/>
          <w:lang w:val="en-GB"/>
        </w:rPr>
        <w:t>η</w:t>
      </w:r>
      <w:r w:rsidRPr="00901D0D">
        <w:rPr>
          <w:i/>
          <w:vertAlign w:val="subscript"/>
          <w:lang w:val="en-GB"/>
        </w:rPr>
        <w:t>p</w:t>
      </w:r>
      <w:r w:rsidRPr="00901D0D">
        <w:rPr>
          <w:i/>
          <w:vertAlign w:val="superscript"/>
          <w:lang w:val="en-GB"/>
        </w:rPr>
        <w:t>2</w:t>
      </w:r>
      <w:r w:rsidRPr="00901D0D">
        <w:rPr>
          <w:lang w:val="en-GB"/>
        </w:rPr>
        <w:t xml:space="preserve"> = .</w:t>
      </w:r>
      <w:r w:rsidR="009A2673" w:rsidRPr="00901D0D">
        <w:rPr>
          <w:lang w:val="en-GB"/>
        </w:rPr>
        <w:t xml:space="preserve">20 </w:t>
      </w:r>
      <w:r w:rsidRPr="00901D0D">
        <w:rPr>
          <w:rFonts w:eastAsia="Calibri" w:cs="Times New Roman"/>
          <w:lang w:val="en-GB"/>
        </w:rPr>
        <w:t xml:space="preserve">– </w:t>
      </w:r>
      <w:r w:rsidRPr="00901D0D">
        <w:rPr>
          <w:lang w:val="en-GB"/>
        </w:rPr>
        <w:t>.</w:t>
      </w:r>
      <w:r w:rsidR="009A2673" w:rsidRPr="00901D0D">
        <w:rPr>
          <w:lang w:val="en-GB"/>
        </w:rPr>
        <w:t>21</w:t>
      </w:r>
      <w:r w:rsidRPr="00901D0D">
        <w:rPr>
          <w:lang w:val="en-GB"/>
        </w:rPr>
        <w:t>, range</w:t>
      </w:r>
      <w:r w:rsidRPr="00901D0D">
        <w:rPr>
          <w:rFonts w:eastAsia="Calibri" w:cs="Times New Roman"/>
          <w:i/>
          <w:lang w:val="en-GB"/>
        </w:rPr>
        <w:t xml:space="preserve"> BF</w:t>
      </w:r>
      <w:r w:rsidRPr="00901D0D">
        <w:rPr>
          <w:rFonts w:eastAsia="Calibri" w:cs="Times New Roman"/>
          <w:vertAlign w:val="subscript"/>
          <w:lang w:val="en-GB"/>
        </w:rPr>
        <w:t xml:space="preserve">10 </w:t>
      </w:r>
      <w:r w:rsidRPr="00901D0D">
        <w:rPr>
          <w:rFonts w:eastAsia="Calibri" w:cs="Times New Roman"/>
          <w:lang w:val="en-GB"/>
        </w:rPr>
        <w:t xml:space="preserve">= </w:t>
      </w:r>
      <w:r w:rsidR="00634142" w:rsidRPr="00901D0D">
        <w:rPr>
          <w:rFonts w:eastAsia="Calibri" w:cs="Times New Roman"/>
          <w:lang w:val="en-GB"/>
        </w:rPr>
        <w:t xml:space="preserve">17210000 </w:t>
      </w:r>
      <w:r w:rsidRPr="00901D0D">
        <w:rPr>
          <w:rFonts w:eastAsia="Calibri" w:cs="Times New Roman"/>
          <w:lang w:val="en-GB"/>
        </w:rPr>
        <w:t xml:space="preserve">– </w:t>
      </w:r>
      <w:r w:rsidR="00634142" w:rsidRPr="00901D0D">
        <w:rPr>
          <w:rFonts w:eastAsia="Calibri" w:cs="Times New Roman"/>
          <w:lang w:val="en-GB"/>
        </w:rPr>
        <w:t>18530000</w:t>
      </w:r>
      <w:r w:rsidRPr="00901D0D">
        <w:rPr>
          <w:rFonts w:eastAsia="Calibri" w:cs="Times New Roman"/>
          <w:lang w:val="en-GB"/>
        </w:rPr>
        <w:t xml:space="preserve">. </w:t>
      </w:r>
      <w:r w:rsidR="00732EC1" w:rsidRPr="00901D0D">
        <w:rPr>
          <w:rFonts w:eastAsia="Calibri" w:cs="Times New Roman"/>
          <w:lang w:val="en-GB"/>
        </w:rPr>
        <w:t>U</w:t>
      </w:r>
      <w:r w:rsidRPr="00901D0D">
        <w:rPr>
          <w:rFonts w:eastAsia="Calibri" w:cs="Times New Roman"/>
          <w:lang w:val="en-GB"/>
        </w:rPr>
        <w:t>nlike for misperception of chance,</w:t>
      </w:r>
      <w:r w:rsidR="00732EC1" w:rsidRPr="00901D0D">
        <w:rPr>
          <w:rFonts w:eastAsia="Calibri" w:cs="Times New Roman"/>
          <w:lang w:val="en-GB"/>
        </w:rPr>
        <w:t xml:space="preserve"> though,</w:t>
      </w:r>
      <w:r w:rsidRPr="00901D0D">
        <w:rPr>
          <w:rFonts w:eastAsia="Calibri" w:cs="Times New Roman"/>
          <w:lang w:val="en-GB"/>
        </w:rPr>
        <w:t xml:space="preserve"> the main effect for the base rate fallacy items occurred because participants </w:t>
      </w:r>
      <w:r w:rsidR="005C1119" w:rsidRPr="00901D0D">
        <w:rPr>
          <w:rFonts w:eastAsia="Calibri" w:cs="Times New Roman"/>
          <w:lang w:val="en-GB"/>
        </w:rPr>
        <w:t xml:space="preserve">had </w:t>
      </w:r>
      <w:r w:rsidRPr="00901D0D">
        <w:rPr>
          <w:rFonts w:eastAsia="Calibri" w:cs="Times New Roman"/>
          <w:lang w:val="en-GB"/>
        </w:rPr>
        <w:t xml:space="preserve">a higher proportion of correct responses in the anomalistic </w:t>
      </w:r>
      <w:r w:rsidR="001973B3" w:rsidRPr="00901D0D">
        <w:rPr>
          <w:rFonts w:eastAsia="Calibri" w:cs="Times New Roman"/>
          <w:lang w:val="en-GB"/>
        </w:rPr>
        <w:t xml:space="preserve">context </w:t>
      </w:r>
      <w:r w:rsidRPr="00901D0D">
        <w:rPr>
          <w:lang w:val="en-GB"/>
        </w:rPr>
        <w:t>(</w:t>
      </w:r>
      <w:r w:rsidRPr="00901D0D">
        <w:rPr>
          <w:i/>
          <w:lang w:val="en-GB"/>
        </w:rPr>
        <w:t xml:space="preserve">M </w:t>
      </w:r>
      <w:r w:rsidRPr="00901D0D">
        <w:rPr>
          <w:lang w:val="en-GB"/>
        </w:rPr>
        <w:t xml:space="preserve">= 0.49, </w:t>
      </w:r>
      <w:r w:rsidRPr="00901D0D">
        <w:rPr>
          <w:i/>
          <w:lang w:val="en-GB"/>
        </w:rPr>
        <w:t xml:space="preserve">SD </w:t>
      </w:r>
      <w:r w:rsidRPr="00901D0D">
        <w:rPr>
          <w:lang w:val="en-GB"/>
        </w:rPr>
        <w:t>= 0.21) than in the control context (</w:t>
      </w:r>
      <w:r w:rsidRPr="00901D0D">
        <w:rPr>
          <w:i/>
          <w:lang w:val="en-GB"/>
        </w:rPr>
        <w:t xml:space="preserve">M </w:t>
      </w:r>
      <w:r w:rsidRPr="00901D0D">
        <w:rPr>
          <w:lang w:val="en-GB"/>
        </w:rPr>
        <w:t xml:space="preserve">= 0.40, </w:t>
      </w:r>
      <w:r w:rsidRPr="00901D0D">
        <w:rPr>
          <w:i/>
          <w:lang w:val="en-GB"/>
        </w:rPr>
        <w:t xml:space="preserve">SD </w:t>
      </w:r>
      <w:r w:rsidRPr="00901D0D">
        <w:rPr>
          <w:lang w:val="en-GB"/>
        </w:rPr>
        <w:t xml:space="preserve">= 0.19). For the ASGS there was a </w:t>
      </w:r>
      <w:r w:rsidR="009326E7">
        <w:rPr>
          <w:lang w:val="en-GB"/>
        </w:rPr>
        <w:t xml:space="preserve">statistically </w:t>
      </w:r>
      <w:r w:rsidRPr="00901D0D">
        <w:rPr>
          <w:lang w:val="en-GB"/>
        </w:rPr>
        <w:t xml:space="preserve">significant main effect of anomalistic belief, </w:t>
      </w:r>
      <w:r w:rsidRPr="00901D0D">
        <w:rPr>
          <w:rFonts w:eastAsia="Calibri" w:cs="Times New Roman"/>
          <w:i/>
          <w:lang w:val="en-GB"/>
        </w:rPr>
        <w:t xml:space="preserve">β </w:t>
      </w:r>
      <w:r w:rsidRPr="00901D0D">
        <w:rPr>
          <w:rFonts w:eastAsia="Calibri" w:cs="Times New Roman"/>
          <w:lang w:val="en-GB"/>
        </w:rPr>
        <w:t>= -.</w:t>
      </w:r>
      <w:r w:rsidR="00366CD7" w:rsidRPr="00901D0D">
        <w:rPr>
          <w:rFonts w:eastAsia="Calibri" w:cs="Times New Roman"/>
          <w:lang w:val="en-GB"/>
        </w:rPr>
        <w:t>22</w:t>
      </w:r>
      <w:r w:rsidRPr="00901D0D">
        <w:rPr>
          <w:lang w:val="en-GB"/>
        </w:rPr>
        <w:t>,</w:t>
      </w:r>
      <w:r w:rsidR="00692A0D" w:rsidRPr="00901D0D">
        <w:rPr>
          <w:lang w:val="en-GB"/>
        </w:rPr>
        <w:t xml:space="preserve"> 95% CI [</w:t>
      </w:r>
      <w:r w:rsidR="003F0E48" w:rsidRPr="00901D0D">
        <w:rPr>
          <w:lang w:val="en-GB"/>
        </w:rPr>
        <w:t>-.</w:t>
      </w:r>
      <w:r w:rsidR="00366CD7" w:rsidRPr="00901D0D">
        <w:rPr>
          <w:lang w:val="en-GB"/>
        </w:rPr>
        <w:t>37</w:t>
      </w:r>
      <w:r w:rsidR="00692A0D" w:rsidRPr="00901D0D">
        <w:rPr>
          <w:lang w:val="en-GB"/>
        </w:rPr>
        <w:t>, -.</w:t>
      </w:r>
      <w:r w:rsidR="00366CD7" w:rsidRPr="00901D0D">
        <w:rPr>
          <w:lang w:val="en-GB"/>
        </w:rPr>
        <w:t>07</w:t>
      </w:r>
      <w:r w:rsidR="00692A0D" w:rsidRPr="00901D0D">
        <w:rPr>
          <w:lang w:val="en-GB"/>
        </w:rPr>
        <w:t>],</w:t>
      </w:r>
      <w:r w:rsidRPr="00901D0D">
        <w:rPr>
          <w:lang w:val="en-GB"/>
        </w:rPr>
        <w:t xml:space="preserve"> with higher belief leading to a lower proportion of correct responses</w:t>
      </w:r>
      <w:r w:rsidR="00513003" w:rsidRPr="00901D0D">
        <w:rPr>
          <w:lang w:val="en-GB"/>
        </w:rPr>
        <w:t xml:space="preserve">. </w:t>
      </w:r>
      <w:r w:rsidR="00980C95" w:rsidRPr="00901D0D">
        <w:rPr>
          <w:rFonts w:eastAsia="Calibri" w:cs="Times New Roman"/>
          <w:lang w:val="en-GB"/>
        </w:rPr>
        <w:t xml:space="preserve">The same pattern was found for the overall ABS, with a negative relationship between level of anomalistic belief and proportion correct for the base rate fallacy items, </w:t>
      </w:r>
      <w:r w:rsidR="00980C95" w:rsidRPr="00901D0D">
        <w:rPr>
          <w:rFonts w:eastAsia="Calibri" w:cs="Times New Roman"/>
          <w:i/>
          <w:lang w:val="en-GB"/>
        </w:rPr>
        <w:t xml:space="preserve">β </w:t>
      </w:r>
      <w:r w:rsidR="00980C95" w:rsidRPr="00901D0D">
        <w:rPr>
          <w:rFonts w:eastAsia="Calibri" w:cs="Times New Roman"/>
          <w:lang w:val="en-GB"/>
        </w:rPr>
        <w:t xml:space="preserve">= -.27, </w:t>
      </w:r>
      <w:r w:rsidR="00980C95" w:rsidRPr="00901D0D">
        <w:rPr>
          <w:lang w:val="en-GB"/>
        </w:rPr>
        <w:t xml:space="preserve">95% CI [-.42, -.12]. </w:t>
      </w:r>
      <w:r w:rsidR="00513003" w:rsidRPr="00901D0D">
        <w:rPr>
          <w:lang w:val="en-GB"/>
        </w:rPr>
        <w:t xml:space="preserve">However, </w:t>
      </w:r>
      <w:r w:rsidR="005C306A" w:rsidRPr="00901D0D">
        <w:rPr>
          <w:lang w:val="en-GB"/>
        </w:rPr>
        <w:t xml:space="preserve">in both the ASGS and ABS </w:t>
      </w:r>
      <w:r w:rsidR="005C306A" w:rsidRPr="00901D0D">
        <w:rPr>
          <w:lang w:val="en-GB"/>
        </w:rPr>
        <w:lastRenderedPageBreak/>
        <w:t xml:space="preserve">regressions </w:t>
      </w:r>
      <w:r w:rsidR="00513003" w:rsidRPr="00901D0D">
        <w:rPr>
          <w:lang w:val="en-GB"/>
        </w:rPr>
        <w:t xml:space="preserve">there was no main effect of </w:t>
      </w:r>
      <w:r w:rsidR="00AE55A7" w:rsidRPr="00901D0D">
        <w:rPr>
          <w:lang w:val="en-GB"/>
        </w:rPr>
        <w:t xml:space="preserve">overall </w:t>
      </w:r>
      <w:r w:rsidR="00513003" w:rsidRPr="00901D0D">
        <w:rPr>
          <w:lang w:val="en-GB"/>
        </w:rPr>
        <w:t xml:space="preserve">gambling attitude, </w:t>
      </w:r>
      <w:r w:rsidR="005C306A" w:rsidRPr="00901D0D">
        <w:rPr>
          <w:lang w:val="en-GB"/>
        </w:rPr>
        <w:t xml:space="preserve">range </w:t>
      </w:r>
      <w:r w:rsidR="00513003" w:rsidRPr="00901D0D">
        <w:rPr>
          <w:rFonts w:eastAsia="Calibri" w:cs="Times New Roman"/>
          <w:i/>
          <w:lang w:val="en-GB"/>
        </w:rPr>
        <w:t xml:space="preserve">β </w:t>
      </w:r>
      <w:r w:rsidR="00513003" w:rsidRPr="00901D0D">
        <w:rPr>
          <w:rFonts w:eastAsia="Calibri" w:cs="Times New Roman"/>
          <w:lang w:val="en-GB"/>
        </w:rPr>
        <w:t xml:space="preserve">= </w:t>
      </w:r>
      <w:r w:rsidR="00366CD7" w:rsidRPr="00901D0D">
        <w:rPr>
          <w:rFonts w:eastAsia="Calibri" w:cs="Times New Roman"/>
          <w:lang w:val="en-GB"/>
        </w:rPr>
        <w:t>.06</w:t>
      </w:r>
      <w:r w:rsidR="005C306A" w:rsidRPr="00901D0D">
        <w:rPr>
          <w:rFonts w:eastAsia="Calibri" w:cs="Times New Roman"/>
          <w:lang w:val="en-GB"/>
        </w:rPr>
        <w:t xml:space="preserve"> - .08</w:t>
      </w:r>
      <w:r w:rsidR="00513003" w:rsidRPr="00901D0D">
        <w:rPr>
          <w:lang w:val="en-GB"/>
        </w:rPr>
        <w:t>,</w:t>
      </w:r>
      <w:r w:rsidR="00BD1B16" w:rsidRPr="00901D0D" w:rsidDel="00BD1B16">
        <w:rPr>
          <w:lang w:val="en-GB"/>
        </w:rPr>
        <w:t xml:space="preserve"> </w:t>
      </w:r>
      <w:r w:rsidR="00513003" w:rsidRPr="00901D0D">
        <w:rPr>
          <w:lang w:val="en-GB"/>
        </w:rPr>
        <w:t xml:space="preserve">and neither anomalistic belief nor gambling attitude </w:t>
      </w:r>
      <w:r w:rsidR="009326E7">
        <w:rPr>
          <w:lang w:val="en-GB"/>
        </w:rPr>
        <w:t xml:space="preserve">statistically </w:t>
      </w:r>
      <w:r w:rsidRPr="00901D0D">
        <w:rPr>
          <w:lang w:val="en-GB"/>
        </w:rPr>
        <w:t>significant</w:t>
      </w:r>
      <w:r w:rsidR="00513003" w:rsidRPr="00901D0D">
        <w:rPr>
          <w:lang w:val="en-GB"/>
        </w:rPr>
        <w:t>ly</w:t>
      </w:r>
      <w:r w:rsidRPr="00901D0D">
        <w:rPr>
          <w:lang w:val="en-GB"/>
        </w:rPr>
        <w:t xml:space="preserve"> interact</w:t>
      </w:r>
      <w:r w:rsidR="00513003" w:rsidRPr="00901D0D">
        <w:rPr>
          <w:lang w:val="en-GB"/>
        </w:rPr>
        <w:t>ed</w:t>
      </w:r>
      <w:r w:rsidRPr="00901D0D">
        <w:rPr>
          <w:lang w:val="en-GB"/>
        </w:rPr>
        <w:t xml:space="preserve"> with context, </w:t>
      </w:r>
      <w:r w:rsidR="00513003" w:rsidRPr="00901D0D">
        <w:rPr>
          <w:i/>
          <w:lang w:val="en-GB"/>
        </w:rPr>
        <w:t>F</w:t>
      </w:r>
      <w:r w:rsidR="00513003" w:rsidRPr="00901D0D">
        <w:rPr>
          <w:lang w:val="en-GB"/>
        </w:rPr>
        <w:t>s (1, 17</w:t>
      </w:r>
      <w:r w:rsidR="00FF4085" w:rsidRPr="00901D0D">
        <w:rPr>
          <w:lang w:val="en-GB"/>
        </w:rPr>
        <w:t>4</w:t>
      </w:r>
      <w:r w:rsidR="00513003" w:rsidRPr="00901D0D">
        <w:rPr>
          <w:lang w:val="en-GB"/>
        </w:rPr>
        <w:t xml:space="preserve">) </w:t>
      </w:r>
      <w:r w:rsidR="00513003" w:rsidRPr="00901D0D">
        <w:rPr>
          <w:rFonts w:eastAsia="Calibri" w:cs="Times New Roman"/>
          <w:lang w:val="en-GB"/>
        </w:rPr>
        <w:t>≤</w:t>
      </w:r>
      <w:r w:rsidR="00513003" w:rsidRPr="00901D0D">
        <w:rPr>
          <w:lang w:val="en-GB"/>
        </w:rPr>
        <w:t xml:space="preserve"> </w:t>
      </w:r>
      <w:r w:rsidR="00FF4085" w:rsidRPr="00901D0D">
        <w:rPr>
          <w:lang w:val="en-GB"/>
        </w:rPr>
        <w:t>1</w:t>
      </w:r>
      <w:r w:rsidR="00513003" w:rsidRPr="00901D0D">
        <w:rPr>
          <w:lang w:val="en-GB"/>
        </w:rPr>
        <w:t>.</w:t>
      </w:r>
      <w:r w:rsidR="005C306A" w:rsidRPr="00901D0D">
        <w:rPr>
          <w:lang w:val="en-GB"/>
        </w:rPr>
        <w:t>59</w:t>
      </w:r>
      <w:r w:rsidR="00513003" w:rsidRPr="00901D0D">
        <w:rPr>
          <w:lang w:val="en-GB"/>
        </w:rPr>
        <w:t xml:space="preserve">, all </w:t>
      </w:r>
      <w:r w:rsidR="00513003" w:rsidRPr="00901D0D">
        <w:rPr>
          <w:i/>
          <w:lang w:val="en-GB"/>
        </w:rPr>
        <w:t>MSE</w:t>
      </w:r>
      <w:r w:rsidR="00513003" w:rsidRPr="00901D0D">
        <w:rPr>
          <w:lang w:val="en-GB"/>
        </w:rPr>
        <w:t xml:space="preserve">s </w:t>
      </w:r>
      <w:r w:rsidR="00513003" w:rsidRPr="00901D0D">
        <w:rPr>
          <w:rFonts w:eastAsia="Calibri" w:cs="Times New Roman"/>
          <w:lang w:val="en-GB"/>
        </w:rPr>
        <w:t>=</w:t>
      </w:r>
      <w:r w:rsidR="00513003" w:rsidRPr="00901D0D">
        <w:rPr>
          <w:lang w:val="en-GB"/>
        </w:rPr>
        <w:t xml:space="preserve"> .0</w:t>
      </w:r>
      <w:r w:rsidR="00FF4085" w:rsidRPr="00901D0D">
        <w:rPr>
          <w:lang w:val="en-GB"/>
        </w:rPr>
        <w:t>2</w:t>
      </w:r>
      <w:r w:rsidR="00513003" w:rsidRPr="00901D0D">
        <w:rPr>
          <w:lang w:val="en-GB"/>
        </w:rPr>
        <w:t xml:space="preserve">, all </w:t>
      </w:r>
      <w:proofErr w:type="spellStart"/>
      <w:r w:rsidR="00513003" w:rsidRPr="00901D0D">
        <w:rPr>
          <w:i/>
          <w:lang w:val="en-GB"/>
        </w:rPr>
        <w:t>p</w:t>
      </w:r>
      <w:r w:rsidR="00513003" w:rsidRPr="00901D0D">
        <w:rPr>
          <w:lang w:val="en-GB"/>
        </w:rPr>
        <w:t>s</w:t>
      </w:r>
      <w:proofErr w:type="spellEnd"/>
      <w:r w:rsidR="00513003" w:rsidRPr="00901D0D">
        <w:rPr>
          <w:lang w:val="en-GB"/>
        </w:rPr>
        <w:t xml:space="preserve"> </w:t>
      </w:r>
      <w:r w:rsidR="00513003" w:rsidRPr="00901D0D">
        <w:rPr>
          <w:rFonts w:eastAsia="Calibri" w:cs="Times New Roman"/>
          <w:lang w:val="en-GB"/>
        </w:rPr>
        <w:t>≥ .</w:t>
      </w:r>
      <w:r w:rsidR="005C306A" w:rsidRPr="00901D0D">
        <w:rPr>
          <w:rFonts w:eastAsia="Calibri" w:cs="Times New Roman"/>
          <w:lang w:val="en-GB"/>
        </w:rPr>
        <w:t>21</w:t>
      </w:r>
      <w:r w:rsidR="00513003" w:rsidRPr="00901D0D">
        <w:rPr>
          <w:lang w:val="en-GB"/>
        </w:rPr>
        <w:t xml:space="preserve">, all </w:t>
      </w:r>
      <w:r w:rsidR="00513003" w:rsidRPr="00901D0D">
        <w:rPr>
          <w:i/>
          <w:lang w:val="en-GB"/>
        </w:rPr>
        <w:t>η</w:t>
      </w:r>
      <w:r w:rsidR="00513003" w:rsidRPr="00901D0D">
        <w:rPr>
          <w:i/>
          <w:vertAlign w:val="subscript"/>
          <w:lang w:val="en-GB"/>
        </w:rPr>
        <w:t>p</w:t>
      </w:r>
      <w:r w:rsidR="00513003" w:rsidRPr="00901D0D">
        <w:rPr>
          <w:i/>
          <w:vertAlign w:val="superscript"/>
          <w:lang w:val="en-GB"/>
        </w:rPr>
        <w:t>2</w:t>
      </w:r>
      <w:r w:rsidR="00513003" w:rsidRPr="00901D0D">
        <w:rPr>
          <w:lang w:val="en-GB"/>
        </w:rPr>
        <w:t xml:space="preserve"> </w:t>
      </w:r>
      <w:r w:rsidR="00513003" w:rsidRPr="00901D0D">
        <w:rPr>
          <w:rFonts w:eastAsia="Calibri" w:cs="Times New Roman"/>
          <w:lang w:val="en-GB"/>
        </w:rPr>
        <w:t xml:space="preserve">≤ </w:t>
      </w:r>
      <w:r w:rsidR="00513003" w:rsidRPr="00901D0D">
        <w:rPr>
          <w:lang w:val="en-GB"/>
        </w:rPr>
        <w:t>.</w:t>
      </w:r>
      <w:r w:rsidR="005C306A" w:rsidRPr="00901D0D">
        <w:rPr>
          <w:lang w:val="en-GB"/>
        </w:rPr>
        <w:t>009</w:t>
      </w:r>
      <w:r w:rsidR="001103B0" w:rsidRPr="00901D0D">
        <w:rPr>
          <w:lang w:val="en-GB"/>
        </w:rPr>
        <w:t>, range</w:t>
      </w:r>
      <w:r w:rsidR="001103B0" w:rsidRPr="00901D0D">
        <w:rPr>
          <w:rFonts w:eastAsia="Calibri" w:cs="Times New Roman"/>
          <w:i/>
          <w:lang w:val="en-GB"/>
        </w:rPr>
        <w:t xml:space="preserve"> BF</w:t>
      </w:r>
      <w:r w:rsidR="001103B0" w:rsidRPr="00901D0D">
        <w:rPr>
          <w:rFonts w:eastAsia="Calibri" w:cs="Times New Roman"/>
          <w:vertAlign w:val="subscript"/>
          <w:lang w:val="en-GB"/>
        </w:rPr>
        <w:t xml:space="preserve">10 </w:t>
      </w:r>
      <w:r w:rsidR="001103B0" w:rsidRPr="00901D0D">
        <w:rPr>
          <w:rFonts w:eastAsia="Calibri" w:cs="Times New Roman"/>
          <w:lang w:val="en-GB"/>
        </w:rPr>
        <w:t>= 0.</w:t>
      </w:r>
      <w:r w:rsidR="005C306A" w:rsidRPr="00901D0D">
        <w:rPr>
          <w:rFonts w:eastAsia="Calibri" w:cs="Times New Roman"/>
          <w:lang w:val="en-GB"/>
        </w:rPr>
        <w:t xml:space="preserve">19 </w:t>
      </w:r>
      <w:r w:rsidR="001103B0" w:rsidRPr="00901D0D">
        <w:rPr>
          <w:rFonts w:eastAsia="Calibri" w:cs="Times New Roman"/>
          <w:lang w:val="en-GB"/>
        </w:rPr>
        <w:t>– 0.</w:t>
      </w:r>
      <w:r w:rsidR="00032A25" w:rsidRPr="00901D0D">
        <w:rPr>
          <w:rFonts w:eastAsia="Calibri" w:cs="Times New Roman"/>
          <w:lang w:val="en-GB"/>
        </w:rPr>
        <w:t>35</w:t>
      </w:r>
      <w:r w:rsidRPr="00901D0D">
        <w:rPr>
          <w:rFonts w:eastAsia="Calibri" w:cs="Times New Roman"/>
          <w:lang w:val="en-GB"/>
        </w:rPr>
        <w:t>.</w:t>
      </w:r>
      <w:r w:rsidR="005C306A" w:rsidRPr="00901D0D" w:rsidDel="005C306A">
        <w:rPr>
          <w:lang w:val="en-GB"/>
        </w:rPr>
        <w:t xml:space="preserve"> </w:t>
      </w:r>
    </w:p>
    <w:p w14:paraId="5D18F2EE" w14:textId="6CB599F2" w:rsidR="007D6BF3" w:rsidRPr="00901D0D" w:rsidRDefault="007D6BF3" w:rsidP="00301785">
      <w:pPr>
        <w:contextualSpacing/>
        <w:rPr>
          <w:rFonts w:eastAsia="Calibri" w:cs="Times New Roman"/>
          <w:lang w:val="en-GB"/>
        </w:rPr>
      </w:pPr>
      <w:r w:rsidRPr="00901D0D">
        <w:rPr>
          <w:lang w:val="en-GB"/>
        </w:rPr>
        <w:t xml:space="preserve">The relationship between anomalistic belief and the base rate fallacy was also analysed using the </w:t>
      </w:r>
      <w:r w:rsidR="00670FC9" w:rsidRPr="00901D0D">
        <w:rPr>
          <w:lang w:val="en-GB"/>
        </w:rPr>
        <w:t xml:space="preserve">ABS </w:t>
      </w:r>
      <w:r w:rsidRPr="00901D0D">
        <w:rPr>
          <w:lang w:val="en-GB"/>
        </w:rPr>
        <w:t>factors. This analysis found that</w:t>
      </w:r>
      <w:r w:rsidR="002F3F5E" w:rsidRPr="00901D0D">
        <w:rPr>
          <w:lang w:val="en-GB"/>
        </w:rPr>
        <w:t>,</w:t>
      </w:r>
      <w:r w:rsidR="00692A0D" w:rsidRPr="00901D0D">
        <w:rPr>
          <w:lang w:val="en-GB"/>
        </w:rPr>
        <w:t xml:space="preserve"> although the overall regression was </w:t>
      </w:r>
      <w:r w:rsidR="009326E7">
        <w:rPr>
          <w:lang w:val="en-GB"/>
        </w:rPr>
        <w:t xml:space="preserve">statistically </w:t>
      </w:r>
      <w:r w:rsidR="00692A0D" w:rsidRPr="00901D0D">
        <w:rPr>
          <w:lang w:val="en-GB"/>
        </w:rPr>
        <w:t>significant,</w:t>
      </w:r>
      <w:r w:rsidRPr="00901D0D">
        <w:rPr>
          <w:lang w:val="en-GB"/>
        </w:rPr>
        <w:t xml:space="preserve"> no individual </w:t>
      </w:r>
      <w:r w:rsidR="00D302F6" w:rsidRPr="00901D0D">
        <w:rPr>
          <w:lang w:val="en-GB"/>
        </w:rPr>
        <w:t xml:space="preserve">ABS </w:t>
      </w:r>
      <w:r w:rsidRPr="00901D0D">
        <w:rPr>
          <w:lang w:val="en-GB"/>
        </w:rPr>
        <w:t xml:space="preserve">factor was a </w:t>
      </w:r>
      <w:r w:rsidR="009326E7">
        <w:rPr>
          <w:lang w:val="en-GB"/>
        </w:rPr>
        <w:t xml:space="preserve">statistically </w:t>
      </w:r>
      <w:r w:rsidRPr="00901D0D">
        <w:rPr>
          <w:lang w:val="en-GB"/>
        </w:rPr>
        <w:t xml:space="preserve">significant predictor of the </w:t>
      </w:r>
      <w:r w:rsidR="00692A0D" w:rsidRPr="00901D0D">
        <w:rPr>
          <w:lang w:val="en-GB"/>
        </w:rPr>
        <w:t>proportion of correct responses</w:t>
      </w:r>
      <w:r w:rsidRPr="00901D0D">
        <w:rPr>
          <w:rFonts w:eastAsia="Calibri" w:cs="Times New Roman"/>
          <w:lang w:val="en-GB"/>
        </w:rPr>
        <w:t xml:space="preserve">. </w:t>
      </w:r>
      <w:r w:rsidR="00DB3ACA">
        <w:rPr>
          <w:rFonts w:eastAsia="Calibri" w:cs="Times New Roman"/>
          <w:lang w:val="en-GB"/>
        </w:rPr>
        <w:t xml:space="preserve">There were also no statistically significant differences in the strength of the relationships between the factors and the base rate fallacy, all </w:t>
      </w:r>
      <w:proofErr w:type="spellStart"/>
      <w:r w:rsidR="00DB3ACA">
        <w:rPr>
          <w:rFonts w:eastAsia="Calibri" w:cs="Times New Roman"/>
          <w:i/>
          <w:lang w:val="en-GB"/>
        </w:rPr>
        <w:t>t</w:t>
      </w:r>
      <w:r w:rsidR="00DB3ACA">
        <w:rPr>
          <w:rFonts w:eastAsia="Calibri" w:cs="Times New Roman"/>
          <w:lang w:val="en-GB"/>
        </w:rPr>
        <w:t>s</w:t>
      </w:r>
      <w:proofErr w:type="spellEnd"/>
      <w:r w:rsidR="00DB3ACA">
        <w:rPr>
          <w:rFonts w:eastAsia="Calibri" w:cs="Times New Roman"/>
          <w:lang w:val="en-GB"/>
        </w:rPr>
        <w:t xml:space="preserve"> (171) </w:t>
      </w:r>
      <w:r w:rsidR="00DB3ACA" w:rsidRPr="00DB3ACA">
        <w:rPr>
          <w:rFonts w:eastAsia="Calibri" w:cs="Times New Roman"/>
          <w:lang w:val="en-GB"/>
        </w:rPr>
        <w:t>≤</w:t>
      </w:r>
      <w:r w:rsidR="00DB3ACA">
        <w:rPr>
          <w:rFonts w:eastAsia="Calibri" w:cs="Times New Roman"/>
          <w:lang w:val="en-GB"/>
        </w:rPr>
        <w:t xml:space="preserve"> 1.16, </w:t>
      </w:r>
      <w:r w:rsidR="00DB3ACA" w:rsidRPr="00DB3ACA">
        <w:rPr>
          <w:rFonts w:eastAsia="Calibri" w:cs="Times New Roman"/>
          <w:lang w:val="en-GB"/>
        </w:rPr>
        <w:t>all</w:t>
      </w:r>
      <w:r w:rsidR="00DB3ACA">
        <w:rPr>
          <w:rFonts w:eastAsia="Calibri" w:cs="Times New Roman"/>
          <w:lang w:val="en-GB"/>
        </w:rPr>
        <w:t xml:space="preserve"> </w:t>
      </w:r>
      <w:proofErr w:type="spellStart"/>
      <w:r w:rsidR="00DB3ACA">
        <w:rPr>
          <w:rFonts w:eastAsia="Calibri" w:cs="Times New Roman"/>
          <w:i/>
          <w:lang w:val="en-GB"/>
        </w:rPr>
        <w:t>p</w:t>
      </w:r>
      <w:r w:rsidR="00DB3ACA">
        <w:rPr>
          <w:rFonts w:eastAsia="Calibri" w:cs="Times New Roman"/>
          <w:lang w:val="en-GB"/>
        </w:rPr>
        <w:t>s</w:t>
      </w:r>
      <w:proofErr w:type="spellEnd"/>
      <w:r w:rsidR="00DB3ACA">
        <w:rPr>
          <w:rFonts w:eastAsia="Calibri" w:cs="Times New Roman"/>
          <w:lang w:val="en-GB"/>
        </w:rPr>
        <w:t xml:space="preserve"> </w:t>
      </w:r>
      <w:r w:rsidR="00DB3ACA" w:rsidRPr="00901D0D">
        <w:rPr>
          <w:rFonts w:eastAsia="Calibri" w:cs="Times New Roman"/>
          <w:lang w:val="en-GB"/>
        </w:rPr>
        <w:t>≥</w:t>
      </w:r>
      <w:r w:rsidR="00DB3ACA">
        <w:rPr>
          <w:rFonts w:eastAsia="Calibri" w:cs="Times New Roman"/>
          <w:lang w:val="en-GB"/>
        </w:rPr>
        <w:t xml:space="preserve"> .25. </w:t>
      </w:r>
      <w:r w:rsidRPr="00901D0D">
        <w:rPr>
          <w:rFonts w:eastAsia="Calibri" w:cs="Times New Roman"/>
          <w:lang w:val="en-GB"/>
        </w:rPr>
        <w:t xml:space="preserve">Further, there </w:t>
      </w:r>
      <w:r w:rsidR="00D175BB" w:rsidRPr="00901D0D">
        <w:rPr>
          <w:rFonts w:eastAsia="Calibri" w:cs="Times New Roman"/>
          <w:lang w:val="en-GB"/>
        </w:rPr>
        <w:t xml:space="preserve">also </w:t>
      </w:r>
      <w:r w:rsidR="00732EC1" w:rsidRPr="00901D0D">
        <w:rPr>
          <w:rFonts w:eastAsia="Calibri" w:cs="Times New Roman"/>
          <w:lang w:val="en-GB"/>
        </w:rPr>
        <w:t>was no main effect of gambling attitude, and</w:t>
      </w:r>
      <w:r w:rsidR="005C1119" w:rsidRPr="00901D0D">
        <w:rPr>
          <w:rFonts w:eastAsia="Calibri" w:cs="Times New Roman"/>
          <w:lang w:val="en-GB"/>
        </w:rPr>
        <w:t xml:space="preserve"> </w:t>
      </w:r>
      <w:r w:rsidRPr="00901D0D">
        <w:rPr>
          <w:rFonts w:eastAsia="Calibri" w:cs="Times New Roman"/>
          <w:lang w:val="en-GB"/>
        </w:rPr>
        <w:t>no</w:t>
      </w:r>
      <w:r w:rsidR="009326E7">
        <w:rPr>
          <w:rFonts w:eastAsia="Calibri" w:cs="Times New Roman"/>
          <w:lang w:val="en-GB"/>
        </w:rPr>
        <w:t xml:space="preserve"> </w:t>
      </w:r>
      <w:r w:rsidR="009326E7">
        <w:rPr>
          <w:lang w:val="en-GB"/>
        </w:rPr>
        <w:t>statistically</w:t>
      </w:r>
      <w:r w:rsidRPr="00901D0D">
        <w:rPr>
          <w:rFonts w:eastAsia="Calibri" w:cs="Times New Roman"/>
          <w:lang w:val="en-GB"/>
        </w:rPr>
        <w:t xml:space="preserve"> significant interactions between context and </w:t>
      </w:r>
      <w:r w:rsidR="00AE55A7" w:rsidRPr="00901D0D">
        <w:rPr>
          <w:rFonts w:eastAsia="Calibri" w:cs="Times New Roman"/>
          <w:lang w:val="en-GB"/>
        </w:rPr>
        <w:t xml:space="preserve">overall </w:t>
      </w:r>
      <w:r w:rsidR="00FF4085" w:rsidRPr="00901D0D">
        <w:rPr>
          <w:rFonts w:eastAsia="Calibri" w:cs="Times New Roman"/>
          <w:lang w:val="en-GB"/>
        </w:rPr>
        <w:t xml:space="preserve">gambling attitude or </w:t>
      </w:r>
      <w:r w:rsidRPr="00901D0D">
        <w:rPr>
          <w:rFonts w:eastAsia="Calibri" w:cs="Times New Roman"/>
          <w:lang w:val="en-GB"/>
        </w:rPr>
        <w:t xml:space="preserve">any of the </w:t>
      </w:r>
      <w:r w:rsidR="00AE55A7" w:rsidRPr="00901D0D">
        <w:rPr>
          <w:rFonts w:eastAsia="Calibri" w:cs="Times New Roman"/>
          <w:lang w:val="en-GB"/>
        </w:rPr>
        <w:t xml:space="preserve">ABS </w:t>
      </w:r>
      <w:r w:rsidRPr="00901D0D">
        <w:rPr>
          <w:rFonts w:eastAsia="Calibri" w:cs="Times New Roman"/>
          <w:lang w:val="en-GB"/>
        </w:rPr>
        <w:t>factors,</w:t>
      </w:r>
      <w:r w:rsidRPr="00901D0D">
        <w:rPr>
          <w:i/>
          <w:lang w:val="en-GB"/>
        </w:rPr>
        <w:t xml:space="preserve"> </w:t>
      </w:r>
      <w:r w:rsidRPr="00901D0D">
        <w:rPr>
          <w:lang w:val="en-GB"/>
        </w:rPr>
        <w:t xml:space="preserve">all </w:t>
      </w:r>
      <w:r w:rsidRPr="00901D0D">
        <w:rPr>
          <w:i/>
          <w:lang w:val="en-GB"/>
        </w:rPr>
        <w:t>F</w:t>
      </w:r>
      <w:r w:rsidRPr="00901D0D">
        <w:rPr>
          <w:lang w:val="en-GB"/>
        </w:rPr>
        <w:t xml:space="preserve">s (1, </w:t>
      </w:r>
      <w:r w:rsidR="00FF4085" w:rsidRPr="00901D0D">
        <w:rPr>
          <w:lang w:val="en-GB"/>
        </w:rPr>
        <w:t>171</w:t>
      </w:r>
      <w:r w:rsidRPr="00901D0D">
        <w:rPr>
          <w:lang w:val="en-GB"/>
        </w:rPr>
        <w:t xml:space="preserve">) </w:t>
      </w:r>
      <w:r w:rsidRPr="00901D0D">
        <w:rPr>
          <w:rFonts w:eastAsia="Calibri" w:cs="Times New Roman"/>
          <w:lang w:val="en-GB"/>
        </w:rPr>
        <w:t>≤</w:t>
      </w:r>
      <w:r w:rsidRPr="00901D0D">
        <w:rPr>
          <w:lang w:val="en-GB"/>
        </w:rPr>
        <w:t xml:space="preserve"> </w:t>
      </w:r>
      <w:r w:rsidR="00FF4085" w:rsidRPr="00901D0D">
        <w:rPr>
          <w:lang w:val="en-GB"/>
        </w:rPr>
        <w:t>3</w:t>
      </w:r>
      <w:r w:rsidRPr="00901D0D">
        <w:rPr>
          <w:lang w:val="en-GB"/>
        </w:rPr>
        <w:t>.</w:t>
      </w:r>
      <w:r w:rsidR="00FF4085" w:rsidRPr="00901D0D">
        <w:rPr>
          <w:lang w:val="en-GB"/>
        </w:rPr>
        <w:t>19</w:t>
      </w:r>
      <w:r w:rsidRPr="00901D0D">
        <w:rPr>
          <w:lang w:val="en-GB"/>
        </w:rPr>
        <w:t xml:space="preserve">, all </w:t>
      </w:r>
      <w:r w:rsidRPr="00901D0D">
        <w:rPr>
          <w:i/>
          <w:lang w:val="en-GB"/>
        </w:rPr>
        <w:t>MSE</w:t>
      </w:r>
      <w:r w:rsidRPr="00901D0D">
        <w:rPr>
          <w:lang w:val="en-GB"/>
        </w:rPr>
        <w:t xml:space="preserve">s = .02, all </w:t>
      </w:r>
      <w:proofErr w:type="spellStart"/>
      <w:r w:rsidRPr="00901D0D">
        <w:rPr>
          <w:i/>
          <w:lang w:val="en-GB"/>
        </w:rPr>
        <w:t>p</w:t>
      </w:r>
      <w:r w:rsidRPr="00901D0D">
        <w:rPr>
          <w:lang w:val="en-GB"/>
        </w:rPr>
        <w:t>s</w:t>
      </w:r>
      <w:proofErr w:type="spellEnd"/>
      <w:r w:rsidRPr="00901D0D">
        <w:rPr>
          <w:lang w:val="en-GB"/>
        </w:rPr>
        <w:t xml:space="preserve"> </w:t>
      </w:r>
      <w:r w:rsidRPr="00901D0D">
        <w:rPr>
          <w:rFonts w:eastAsia="Calibri" w:cs="Times New Roman"/>
          <w:lang w:val="en-GB"/>
        </w:rPr>
        <w:t>≥ .</w:t>
      </w:r>
      <w:r w:rsidR="00FF4085" w:rsidRPr="00901D0D">
        <w:rPr>
          <w:rFonts w:eastAsia="Calibri" w:cs="Times New Roman"/>
          <w:lang w:val="en-GB"/>
        </w:rPr>
        <w:t>08</w:t>
      </w:r>
      <w:r w:rsidRPr="00901D0D">
        <w:rPr>
          <w:lang w:val="en-GB"/>
        </w:rPr>
        <w:t xml:space="preserve">, all </w:t>
      </w:r>
      <w:r w:rsidRPr="00901D0D">
        <w:rPr>
          <w:i/>
          <w:lang w:val="en-GB"/>
        </w:rPr>
        <w:t>η</w:t>
      </w:r>
      <w:r w:rsidRPr="00901D0D">
        <w:rPr>
          <w:i/>
          <w:vertAlign w:val="subscript"/>
          <w:lang w:val="en-GB"/>
        </w:rPr>
        <w:t>p</w:t>
      </w:r>
      <w:r w:rsidRPr="00901D0D">
        <w:rPr>
          <w:i/>
          <w:vertAlign w:val="superscript"/>
          <w:lang w:val="en-GB"/>
        </w:rPr>
        <w:t>2</w:t>
      </w:r>
      <w:r w:rsidRPr="00901D0D">
        <w:rPr>
          <w:lang w:val="en-GB"/>
        </w:rPr>
        <w:t xml:space="preserve"> </w:t>
      </w:r>
      <w:r w:rsidRPr="00901D0D">
        <w:rPr>
          <w:rFonts w:eastAsia="Calibri" w:cs="Times New Roman"/>
          <w:lang w:val="en-GB"/>
        </w:rPr>
        <w:t xml:space="preserve">≤ </w:t>
      </w:r>
      <w:r w:rsidRPr="00901D0D">
        <w:rPr>
          <w:lang w:val="en-GB"/>
        </w:rPr>
        <w:t>.02</w:t>
      </w:r>
      <w:r w:rsidR="001103B0" w:rsidRPr="00901D0D">
        <w:rPr>
          <w:lang w:val="en-GB"/>
        </w:rPr>
        <w:t>, range</w:t>
      </w:r>
      <w:r w:rsidR="001103B0" w:rsidRPr="00901D0D">
        <w:rPr>
          <w:rFonts w:eastAsia="Calibri" w:cs="Times New Roman"/>
          <w:i/>
          <w:lang w:val="en-GB"/>
        </w:rPr>
        <w:t xml:space="preserve"> BF</w:t>
      </w:r>
      <w:r w:rsidR="001103B0" w:rsidRPr="00901D0D">
        <w:rPr>
          <w:rFonts w:eastAsia="Calibri" w:cs="Times New Roman"/>
          <w:vertAlign w:val="subscript"/>
          <w:lang w:val="en-GB"/>
        </w:rPr>
        <w:t xml:space="preserve">10 </w:t>
      </w:r>
      <w:r w:rsidR="001103B0" w:rsidRPr="00901D0D">
        <w:rPr>
          <w:rFonts w:eastAsia="Calibri" w:cs="Times New Roman"/>
          <w:lang w:val="en-GB"/>
        </w:rPr>
        <w:t>= 0.</w:t>
      </w:r>
      <w:r w:rsidR="00032A25" w:rsidRPr="00901D0D">
        <w:rPr>
          <w:rFonts w:eastAsia="Calibri" w:cs="Times New Roman"/>
          <w:lang w:val="en-GB"/>
        </w:rPr>
        <w:t>15</w:t>
      </w:r>
      <w:r w:rsidR="001103B0" w:rsidRPr="00901D0D">
        <w:rPr>
          <w:rFonts w:eastAsia="Calibri" w:cs="Times New Roman"/>
          <w:lang w:val="en-GB"/>
        </w:rPr>
        <w:t xml:space="preserve"> – 0.</w:t>
      </w:r>
      <w:r w:rsidR="00032A25" w:rsidRPr="00901D0D">
        <w:rPr>
          <w:rFonts w:eastAsia="Calibri" w:cs="Times New Roman"/>
          <w:lang w:val="en-GB"/>
        </w:rPr>
        <w:t>67</w:t>
      </w:r>
      <w:r w:rsidRPr="00901D0D">
        <w:rPr>
          <w:rFonts w:eastAsia="Calibri" w:cs="Times New Roman"/>
          <w:lang w:val="en-GB"/>
        </w:rPr>
        <w:t>.</w:t>
      </w:r>
    </w:p>
    <w:p w14:paraId="2F8AD6B3" w14:textId="77777777" w:rsidR="00B36638" w:rsidRPr="00901D0D" w:rsidRDefault="00B36638" w:rsidP="00124969">
      <w:pPr>
        <w:ind w:firstLine="0"/>
        <w:contextualSpacing/>
        <w:jc w:val="center"/>
        <w:outlineLvl w:val="0"/>
        <w:rPr>
          <w:rFonts w:eastAsia="MS Gothic" w:cs="Times New Roman"/>
          <w:b/>
          <w:bCs/>
          <w:szCs w:val="28"/>
          <w:lang w:val="en-GB"/>
        </w:rPr>
      </w:pPr>
      <w:r w:rsidRPr="00901D0D">
        <w:rPr>
          <w:rFonts w:eastAsia="MS Gothic" w:cs="Times New Roman"/>
          <w:b/>
          <w:bCs/>
          <w:szCs w:val="28"/>
          <w:lang w:val="en-GB"/>
        </w:rPr>
        <w:t>Discussion</w:t>
      </w:r>
    </w:p>
    <w:p w14:paraId="7C5B60E6" w14:textId="3FD3F5C0" w:rsidR="00B36638" w:rsidRPr="00901D0D" w:rsidRDefault="00B36638" w:rsidP="00E16738">
      <w:pPr>
        <w:spacing w:after="200"/>
        <w:contextualSpacing/>
        <w:rPr>
          <w:rFonts w:eastAsia="Calibri" w:cs="Times New Roman"/>
          <w:lang w:val="en-GB"/>
        </w:rPr>
      </w:pPr>
      <w:r w:rsidRPr="00901D0D">
        <w:rPr>
          <w:rFonts w:eastAsia="Calibri" w:cs="Times New Roman"/>
          <w:lang w:val="en-GB"/>
        </w:rPr>
        <w:t xml:space="preserve">Overall, the results of the study support the prediction that </w:t>
      </w:r>
      <w:r w:rsidR="009A1A0F" w:rsidRPr="00901D0D">
        <w:rPr>
          <w:rFonts w:eastAsia="Calibri" w:cs="Times New Roman"/>
          <w:lang w:val="en-GB"/>
        </w:rPr>
        <w:t xml:space="preserve">greater </w:t>
      </w:r>
      <w:r w:rsidRPr="00901D0D">
        <w:rPr>
          <w:rFonts w:eastAsia="Calibri" w:cs="Times New Roman"/>
          <w:lang w:val="en-GB"/>
        </w:rPr>
        <w:t>anomalistic belief is related to poorer probabilistic reasoning ability</w:t>
      </w:r>
      <w:r w:rsidR="00124969" w:rsidRPr="00901D0D">
        <w:rPr>
          <w:rFonts w:eastAsia="Calibri" w:cs="Times New Roman"/>
          <w:lang w:val="en-GB"/>
        </w:rPr>
        <w:t xml:space="preserve">: </w:t>
      </w:r>
      <w:r w:rsidRPr="00901D0D">
        <w:rPr>
          <w:rFonts w:eastAsia="Calibri" w:cs="Times New Roman"/>
          <w:lang w:val="en-GB"/>
        </w:rPr>
        <w:t xml:space="preserve">Higher levels of belief were related to </w:t>
      </w:r>
      <w:r w:rsidR="00A9043D" w:rsidRPr="00901D0D">
        <w:rPr>
          <w:rFonts w:eastAsia="Calibri" w:cs="Times New Roman"/>
          <w:lang w:val="en-GB"/>
        </w:rPr>
        <w:t xml:space="preserve">lower </w:t>
      </w:r>
      <w:r w:rsidRPr="00901D0D">
        <w:rPr>
          <w:rFonts w:eastAsia="Calibri" w:cs="Times New Roman"/>
          <w:lang w:val="en-GB"/>
        </w:rPr>
        <w:t xml:space="preserve">performance for both misperception of chance and the base rate fallacy. </w:t>
      </w:r>
      <w:r w:rsidR="009C6FB6" w:rsidRPr="00901D0D">
        <w:rPr>
          <w:rFonts w:eastAsia="Calibri" w:cs="Times New Roman"/>
          <w:lang w:val="en-GB"/>
        </w:rPr>
        <w:t>However</w:t>
      </w:r>
      <w:r w:rsidRPr="00901D0D">
        <w:rPr>
          <w:rFonts w:eastAsia="Calibri" w:cs="Times New Roman"/>
          <w:lang w:val="en-GB"/>
        </w:rPr>
        <w:t>, there were no interactions with context</w:t>
      </w:r>
      <w:r w:rsidR="003F6DAC">
        <w:rPr>
          <w:rFonts w:eastAsia="Calibri" w:cs="Times New Roman"/>
          <w:lang w:val="en-GB"/>
        </w:rPr>
        <w:t>. For misperception of chance, the Bayes factors for the interactions between anomalistic belief and context provide</w:t>
      </w:r>
      <w:r w:rsidR="00A40F0E">
        <w:rPr>
          <w:rFonts w:eastAsia="Calibri" w:cs="Times New Roman"/>
          <w:lang w:val="en-GB"/>
        </w:rPr>
        <w:t>d</w:t>
      </w:r>
      <w:r w:rsidR="003F6DAC">
        <w:rPr>
          <w:rFonts w:eastAsia="Calibri" w:cs="Times New Roman"/>
          <w:lang w:val="en-GB"/>
        </w:rPr>
        <w:t xml:space="preserve"> </w:t>
      </w:r>
      <w:r w:rsidR="00183D64">
        <w:rPr>
          <w:rFonts w:eastAsia="Calibri" w:cs="Times New Roman"/>
          <w:lang w:val="en-GB"/>
        </w:rPr>
        <w:t xml:space="preserve">some </w:t>
      </w:r>
      <w:r w:rsidR="003F6DAC">
        <w:rPr>
          <w:rFonts w:eastAsia="Calibri" w:cs="Times New Roman"/>
          <w:lang w:val="en-GB"/>
        </w:rPr>
        <w:t xml:space="preserve">support for the null </w:t>
      </w:r>
      <w:r w:rsidR="003F6DAC" w:rsidRPr="00D706B4">
        <w:rPr>
          <w:rFonts w:eastAsia="Calibri" w:cs="Times New Roman"/>
          <w:lang w:val="en-GB"/>
        </w:rPr>
        <w:t xml:space="preserve">(range </w:t>
      </w:r>
      <w:r w:rsidR="003F6DAC" w:rsidRPr="00D706B4">
        <w:rPr>
          <w:rFonts w:eastAsia="Calibri" w:cs="Times New Roman"/>
          <w:i/>
          <w:lang w:val="en-GB"/>
        </w:rPr>
        <w:t>BF</w:t>
      </w:r>
      <w:r w:rsidR="003F6DAC" w:rsidRPr="00D706B4">
        <w:rPr>
          <w:rFonts w:eastAsia="Calibri" w:cs="Times New Roman"/>
          <w:vertAlign w:val="subscript"/>
          <w:lang w:val="en-GB"/>
        </w:rPr>
        <w:t>10</w:t>
      </w:r>
      <w:r w:rsidR="003F6DAC" w:rsidRPr="00D706B4">
        <w:rPr>
          <w:rFonts w:eastAsia="Calibri" w:cs="Times New Roman"/>
          <w:lang w:val="en-GB"/>
        </w:rPr>
        <w:t xml:space="preserve"> = </w:t>
      </w:r>
      <w:r w:rsidR="008C469F" w:rsidRPr="00D706B4">
        <w:rPr>
          <w:rFonts w:eastAsia="Calibri" w:cs="Times New Roman"/>
          <w:lang w:val="en-GB"/>
        </w:rPr>
        <w:t>0</w:t>
      </w:r>
      <w:r w:rsidR="00183D64" w:rsidRPr="00D706B4">
        <w:rPr>
          <w:rFonts w:eastAsia="Calibri" w:cs="Times New Roman"/>
          <w:lang w:val="en-GB"/>
        </w:rPr>
        <w:t>.06</w:t>
      </w:r>
      <w:r w:rsidR="008C469F" w:rsidRPr="00D706B4">
        <w:rPr>
          <w:rFonts w:eastAsia="Calibri" w:cs="Times New Roman"/>
          <w:lang w:val="en-GB"/>
        </w:rPr>
        <w:t xml:space="preserve"> – 0.</w:t>
      </w:r>
      <w:r w:rsidR="00183D64" w:rsidRPr="00D706B4">
        <w:rPr>
          <w:rFonts w:eastAsia="Calibri" w:cs="Times New Roman"/>
          <w:lang w:val="en-GB"/>
        </w:rPr>
        <w:t>15</w:t>
      </w:r>
      <w:r w:rsidR="003F6DAC" w:rsidRPr="00D706B4">
        <w:rPr>
          <w:rFonts w:eastAsia="Calibri" w:cs="Times New Roman"/>
          <w:lang w:val="en-GB"/>
        </w:rPr>
        <w:t xml:space="preserve">), </w:t>
      </w:r>
      <w:r w:rsidRPr="00D706B4">
        <w:rPr>
          <w:rFonts w:eastAsia="Calibri" w:cs="Times New Roman"/>
          <w:lang w:val="en-GB"/>
        </w:rPr>
        <w:t>suggesting</w:t>
      </w:r>
      <w:r w:rsidRPr="00901D0D">
        <w:rPr>
          <w:rFonts w:eastAsia="Calibri" w:cs="Times New Roman"/>
          <w:lang w:val="en-GB"/>
        </w:rPr>
        <w:t xml:space="preserve"> that the relationship </w:t>
      </w:r>
      <w:r w:rsidR="00CB7EEE">
        <w:rPr>
          <w:rFonts w:eastAsia="Calibri" w:cs="Times New Roman"/>
          <w:lang w:val="en-GB"/>
        </w:rPr>
        <w:t xml:space="preserve">found </w:t>
      </w:r>
      <w:r w:rsidRPr="00901D0D">
        <w:rPr>
          <w:rFonts w:eastAsia="Calibri" w:cs="Times New Roman"/>
          <w:lang w:val="en-GB"/>
        </w:rPr>
        <w:t xml:space="preserve">between anomalistic belief and </w:t>
      </w:r>
      <w:r w:rsidR="003F6DAC">
        <w:rPr>
          <w:rFonts w:eastAsia="Calibri" w:cs="Times New Roman"/>
          <w:lang w:val="en-GB"/>
        </w:rPr>
        <w:t>misperception of chance</w:t>
      </w:r>
      <w:r w:rsidRPr="00901D0D">
        <w:rPr>
          <w:rFonts w:eastAsia="Calibri" w:cs="Times New Roman"/>
          <w:lang w:val="en-GB"/>
        </w:rPr>
        <w:t xml:space="preserve"> </w:t>
      </w:r>
      <w:r w:rsidR="00CB7EEE">
        <w:rPr>
          <w:rFonts w:eastAsia="Calibri" w:cs="Times New Roman"/>
          <w:lang w:val="en-GB"/>
        </w:rPr>
        <w:t xml:space="preserve">occurred regardless of context </w:t>
      </w:r>
      <w:r w:rsidRPr="00901D0D">
        <w:rPr>
          <w:rFonts w:eastAsia="Calibri" w:cs="Times New Roman"/>
          <w:lang w:val="en-GB"/>
        </w:rPr>
        <w:t xml:space="preserve">and </w:t>
      </w:r>
      <w:r w:rsidR="00CB7EEE">
        <w:rPr>
          <w:rFonts w:eastAsia="Calibri" w:cs="Times New Roman"/>
          <w:lang w:val="en-GB"/>
        </w:rPr>
        <w:t>wa</w:t>
      </w:r>
      <w:r w:rsidR="00CB7EEE" w:rsidRPr="00901D0D">
        <w:rPr>
          <w:rFonts w:eastAsia="Calibri" w:cs="Times New Roman"/>
          <w:lang w:val="en-GB"/>
        </w:rPr>
        <w:t xml:space="preserve">s </w:t>
      </w:r>
      <w:r w:rsidRPr="00901D0D">
        <w:rPr>
          <w:rFonts w:eastAsia="Calibri" w:cs="Times New Roman"/>
          <w:lang w:val="en-GB"/>
        </w:rPr>
        <w:t xml:space="preserve">not </w:t>
      </w:r>
      <w:r w:rsidR="002B0BD5" w:rsidRPr="00901D0D">
        <w:rPr>
          <w:rFonts w:eastAsia="Calibri" w:cs="Times New Roman"/>
          <w:lang w:val="en-GB"/>
        </w:rPr>
        <w:t>amplified</w:t>
      </w:r>
      <w:r w:rsidR="00D31F3B" w:rsidRPr="00901D0D">
        <w:rPr>
          <w:rFonts w:eastAsia="Calibri" w:cs="Times New Roman"/>
          <w:lang w:val="en-GB"/>
        </w:rPr>
        <w:t xml:space="preserve"> </w:t>
      </w:r>
      <w:r w:rsidR="002B0BD5" w:rsidRPr="00901D0D">
        <w:rPr>
          <w:rFonts w:eastAsia="Calibri" w:cs="Times New Roman"/>
          <w:lang w:val="en-GB"/>
        </w:rPr>
        <w:t xml:space="preserve">in </w:t>
      </w:r>
      <w:r w:rsidRPr="00901D0D">
        <w:rPr>
          <w:rFonts w:eastAsia="Calibri" w:cs="Times New Roman"/>
          <w:lang w:val="en-GB"/>
        </w:rPr>
        <w:t>an anomalistic context.</w:t>
      </w:r>
      <w:r w:rsidR="003F6DAC">
        <w:rPr>
          <w:rFonts w:eastAsia="Calibri" w:cs="Times New Roman"/>
          <w:lang w:val="en-GB"/>
        </w:rPr>
        <w:t xml:space="preserve"> </w:t>
      </w:r>
      <w:r w:rsidR="00CB7EEE">
        <w:rPr>
          <w:rFonts w:eastAsia="Calibri" w:cs="Times New Roman"/>
          <w:lang w:val="en-GB"/>
        </w:rPr>
        <w:t>F</w:t>
      </w:r>
      <w:r w:rsidR="003F6DAC">
        <w:rPr>
          <w:rFonts w:eastAsia="Calibri" w:cs="Times New Roman"/>
          <w:lang w:val="en-GB"/>
        </w:rPr>
        <w:t xml:space="preserve">or the base rate fallacy, </w:t>
      </w:r>
      <w:r w:rsidR="00183D64">
        <w:rPr>
          <w:rFonts w:eastAsia="Calibri" w:cs="Times New Roman"/>
          <w:lang w:val="en-GB"/>
        </w:rPr>
        <w:t xml:space="preserve">some of the </w:t>
      </w:r>
      <w:r w:rsidR="00CB7EEE">
        <w:rPr>
          <w:rFonts w:eastAsia="Calibri" w:cs="Times New Roman"/>
          <w:lang w:val="en-GB"/>
        </w:rPr>
        <w:t xml:space="preserve">Bayes factors for the interactions between anomalistic belief and context </w:t>
      </w:r>
      <w:r w:rsidR="003F6DAC">
        <w:rPr>
          <w:rFonts w:eastAsia="Calibri" w:cs="Times New Roman"/>
          <w:lang w:val="en-GB"/>
        </w:rPr>
        <w:t>provide support for the null</w:t>
      </w:r>
      <w:r w:rsidR="004371E8">
        <w:rPr>
          <w:rFonts w:eastAsia="Calibri" w:cs="Times New Roman"/>
          <w:lang w:val="en-GB"/>
        </w:rPr>
        <w:t>; h</w:t>
      </w:r>
      <w:r w:rsidR="00CB7EEE">
        <w:rPr>
          <w:rFonts w:eastAsia="Calibri" w:cs="Times New Roman"/>
          <w:lang w:val="en-GB"/>
        </w:rPr>
        <w:t>owever,</w:t>
      </w:r>
      <w:r w:rsidR="00183D64">
        <w:rPr>
          <w:rFonts w:eastAsia="Calibri" w:cs="Times New Roman"/>
          <w:lang w:val="en-GB"/>
        </w:rPr>
        <w:t xml:space="preserve"> for other</w:t>
      </w:r>
      <w:r w:rsidR="00CB7EEE">
        <w:rPr>
          <w:rFonts w:eastAsia="Calibri" w:cs="Times New Roman"/>
          <w:lang w:val="en-GB"/>
        </w:rPr>
        <w:t xml:space="preserve"> interactions</w:t>
      </w:r>
      <w:r w:rsidR="00183D64">
        <w:rPr>
          <w:rFonts w:eastAsia="Calibri" w:cs="Times New Roman"/>
          <w:lang w:val="en-GB"/>
        </w:rPr>
        <w:t xml:space="preserve"> the Bayes factors suggest there is little evidence to support either the null or the alternative hypothesis</w:t>
      </w:r>
      <w:r w:rsidR="000D607D">
        <w:rPr>
          <w:rFonts w:eastAsia="Calibri" w:cs="Times New Roman"/>
          <w:lang w:val="en-GB"/>
        </w:rPr>
        <w:t xml:space="preserve"> </w:t>
      </w:r>
      <w:r w:rsidR="000D607D" w:rsidRPr="00D706B4">
        <w:rPr>
          <w:rFonts w:eastAsia="Calibri" w:cs="Times New Roman"/>
          <w:lang w:val="en-GB"/>
        </w:rPr>
        <w:t xml:space="preserve">(range </w:t>
      </w:r>
      <w:r w:rsidR="000D607D" w:rsidRPr="00D706B4">
        <w:rPr>
          <w:rFonts w:eastAsia="Calibri" w:cs="Times New Roman"/>
          <w:i/>
          <w:lang w:val="en-GB"/>
        </w:rPr>
        <w:t>BF</w:t>
      </w:r>
      <w:r w:rsidR="000D607D" w:rsidRPr="00D706B4">
        <w:rPr>
          <w:rFonts w:eastAsia="Calibri" w:cs="Times New Roman"/>
          <w:vertAlign w:val="subscript"/>
          <w:lang w:val="en-GB"/>
        </w:rPr>
        <w:t>10</w:t>
      </w:r>
      <w:r w:rsidR="000D607D" w:rsidRPr="00D706B4">
        <w:rPr>
          <w:rFonts w:eastAsia="Calibri" w:cs="Times New Roman"/>
          <w:lang w:val="en-GB"/>
        </w:rPr>
        <w:t xml:space="preserve"> = </w:t>
      </w:r>
      <w:r w:rsidR="008C469F" w:rsidRPr="00D706B4">
        <w:rPr>
          <w:rFonts w:eastAsia="Calibri" w:cs="Times New Roman"/>
          <w:lang w:val="en-GB"/>
        </w:rPr>
        <w:t>0.</w:t>
      </w:r>
      <w:r w:rsidR="00183D64" w:rsidRPr="00D706B4">
        <w:rPr>
          <w:rFonts w:eastAsia="Calibri" w:cs="Times New Roman"/>
          <w:lang w:val="en-GB"/>
        </w:rPr>
        <w:t>15</w:t>
      </w:r>
      <w:r w:rsidR="008C469F" w:rsidRPr="00D706B4">
        <w:rPr>
          <w:rFonts w:eastAsia="Calibri" w:cs="Times New Roman"/>
          <w:lang w:val="en-GB"/>
        </w:rPr>
        <w:t xml:space="preserve"> – </w:t>
      </w:r>
      <w:r w:rsidR="00183D64" w:rsidRPr="00D706B4">
        <w:rPr>
          <w:rFonts w:eastAsia="Calibri" w:cs="Times New Roman"/>
          <w:lang w:val="en-GB"/>
        </w:rPr>
        <w:t>0.67</w:t>
      </w:r>
      <w:r w:rsidR="000D607D">
        <w:rPr>
          <w:rFonts w:eastAsia="Calibri" w:cs="Times New Roman"/>
          <w:lang w:val="en-GB"/>
        </w:rPr>
        <w:t>)</w:t>
      </w:r>
      <w:r w:rsidR="00A40F0E">
        <w:rPr>
          <w:rFonts w:eastAsia="Calibri" w:cs="Times New Roman"/>
          <w:lang w:val="en-GB"/>
        </w:rPr>
        <w:t>.</w:t>
      </w:r>
      <w:r w:rsidR="003F6DAC">
        <w:rPr>
          <w:rFonts w:eastAsia="Calibri" w:cs="Times New Roman"/>
          <w:lang w:val="en-GB"/>
        </w:rPr>
        <w:t xml:space="preserve"> </w:t>
      </w:r>
      <w:r w:rsidR="00A40F0E">
        <w:rPr>
          <w:rFonts w:eastAsia="Calibri" w:cs="Times New Roman"/>
          <w:lang w:val="en-GB"/>
        </w:rPr>
        <w:t xml:space="preserve">Therefore, it is </w:t>
      </w:r>
      <w:r w:rsidR="003F6DAC">
        <w:rPr>
          <w:rFonts w:eastAsia="Calibri" w:cs="Times New Roman"/>
          <w:lang w:val="en-GB"/>
        </w:rPr>
        <w:t xml:space="preserve">inconclusive whether the </w:t>
      </w:r>
      <w:r w:rsidR="003F6DAC">
        <w:rPr>
          <w:rFonts w:eastAsia="Calibri" w:cs="Times New Roman"/>
          <w:lang w:val="en-GB"/>
        </w:rPr>
        <w:lastRenderedPageBreak/>
        <w:t xml:space="preserve">relationship between anomalistic belief and the base rate fallacy differs between general and anomalistic contexts. </w:t>
      </w:r>
      <w:r w:rsidR="00552069" w:rsidRPr="00901D0D">
        <w:rPr>
          <w:rFonts w:eastAsia="Calibri" w:cs="Times New Roman"/>
          <w:lang w:val="en-GB"/>
        </w:rPr>
        <w:t xml:space="preserve">Further, </w:t>
      </w:r>
      <w:r w:rsidRPr="00901D0D">
        <w:rPr>
          <w:rFonts w:eastAsia="Calibri" w:cs="Times New Roman"/>
          <w:lang w:val="en-GB"/>
        </w:rPr>
        <w:t xml:space="preserve">although </w:t>
      </w:r>
      <w:r w:rsidR="009A1A0F" w:rsidRPr="00901D0D">
        <w:rPr>
          <w:rFonts w:eastAsia="Calibri" w:cs="Times New Roman"/>
          <w:lang w:val="en-GB"/>
        </w:rPr>
        <w:t xml:space="preserve">higher </w:t>
      </w:r>
      <w:r w:rsidRPr="00901D0D">
        <w:rPr>
          <w:rFonts w:eastAsia="Calibri" w:cs="Times New Roman"/>
          <w:lang w:val="en-GB"/>
        </w:rPr>
        <w:t xml:space="preserve">overall anomalistic belief was related to </w:t>
      </w:r>
      <w:r w:rsidR="009C6FB6" w:rsidRPr="00901D0D">
        <w:rPr>
          <w:rFonts w:eastAsia="Calibri" w:cs="Times New Roman"/>
          <w:lang w:val="en-GB"/>
        </w:rPr>
        <w:t>more errors on the misperception of chance problems</w:t>
      </w:r>
      <w:r w:rsidRPr="00901D0D">
        <w:rPr>
          <w:rFonts w:eastAsia="Calibri" w:cs="Times New Roman"/>
          <w:lang w:val="en-GB"/>
        </w:rPr>
        <w:t xml:space="preserve">, </w:t>
      </w:r>
      <w:r w:rsidR="00A9043D" w:rsidRPr="00901D0D">
        <w:rPr>
          <w:rFonts w:eastAsia="Calibri" w:cs="Times New Roman"/>
          <w:lang w:val="en-GB"/>
        </w:rPr>
        <w:t xml:space="preserve">the more fine-grained analysis showed that </w:t>
      </w:r>
      <w:r w:rsidRPr="00901D0D">
        <w:rPr>
          <w:rFonts w:eastAsia="Calibri" w:cs="Times New Roman"/>
          <w:lang w:val="en-GB"/>
        </w:rPr>
        <w:t>only</w:t>
      </w:r>
      <w:r w:rsidR="009A1A0F" w:rsidRPr="00901D0D">
        <w:rPr>
          <w:rFonts w:eastAsia="Calibri" w:cs="Times New Roman"/>
          <w:lang w:val="en-GB"/>
        </w:rPr>
        <w:t xml:space="preserve"> higher levels of</w:t>
      </w:r>
      <w:r w:rsidRPr="00901D0D">
        <w:rPr>
          <w:rFonts w:eastAsia="Calibri" w:cs="Times New Roman"/>
          <w:lang w:val="en-GB"/>
        </w:rPr>
        <w:t xml:space="preserve"> experiential anomalistic </w:t>
      </w:r>
      <w:r w:rsidR="009A1A0F" w:rsidRPr="00901D0D">
        <w:rPr>
          <w:rFonts w:eastAsia="Calibri" w:cs="Times New Roman"/>
          <w:lang w:val="en-GB"/>
        </w:rPr>
        <w:t xml:space="preserve">belief </w:t>
      </w:r>
      <w:r w:rsidR="00A9043D" w:rsidRPr="00901D0D">
        <w:rPr>
          <w:rFonts w:eastAsia="Calibri" w:cs="Times New Roman"/>
          <w:lang w:val="en-GB"/>
        </w:rPr>
        <w:t xml:space="preserve">was </w:t>
      </w:r>
      <w:r w:rsidRPr="00901D0D">
        <w:rPr>
          <w:rFonts w:eastAsia="Calibri" w:cs="Times New Roman"/>
          <w:lang w:val="en-GB"/>
        </w:rPr>
        <w:t xml:space="preserve">related to </w:t>
      </w:r>
      <w:r w:rsidR="009C6FB6" w:rsidRPr="00901D0D">
        <w:rPr>
          <w:rFonts w:eastAsia="Calibri" w:cs="Times New Roman"/>
          <w:lang w:val="en-GB"/>
        </w:rPr>
        <w:t xml:space="preserve">this </w:t>
      </w:r>
      <w:r w:rsidRPr="00901D0D">
        <w:rPr>
          <w:rFonts w:eastAsia="Calibri" w:cs="Times New Roman"/>
          <w:lang w:val="en-GB"/>
        </w:rPr>
        <w:t>poorer performance</w:t>
      </w:r>
      <w:r w:rsidR="00B26C91" w:rsidRPr="00901D0D">
        <w:rPr>
          <w:rFonts w:eastAsia="Calibri" w:cs="Times New Roman"/>
          <w:lang w:val="en-GB"/>
        </w:rPr>
        <w:t>.</w:t>
      </w:r>
      <w:r w:rsidR="001E15DA" w:rsidRPr="00901D0D">
        <w:rPr>
          <w:rFonts w:eastAsia="Calibri" w:cs="Times New Roman"/>
          <w:lang w:val="en-GB"/>
        </w:rPr>
        <w:t xml:space="preserve"> </w:t>
      </w:r>
      <w:r w:rsidRPr="00901D0D">
        <w:rPr>
          <w:rFonts w:eastAsia="Calibri" w:cs="Times New Roman"/>
          <w:lang w:val="en-GB"/>
        </w:rPr>
        <w:t xml:space="preserve">In contrast, </w:t>
      </w:r>
      <w:r w:rsidR="00552069" w:rsidRPr="00901D0D">
        <w:rPr>
          <w:rFonts w:eastAsia="Calibri" w:cs="Times New Roman"/>
          <w:lang w:val="en-GB"/>
        </w:rPr>
        <w:t xml:space="preserve">though, </w:t>
      </w:r>
      <w:r w:rsidRPr="00901D0D">
        <w:rPr>
          <w:rFonts w:eastAsia="Calibri" w:cs="Times New Roman"/>
          <w:lang w:val="en-GB"/>
        </w:rPr>
        <w:t xml:space="preserve">no individual factor was a </w:t>
      </w:r>
      <w:r w:rsidR="009326E7">
        <w:rPr>
          <w:lang w:val="en-GB"/>
        </w:rPr>
        <w:t xml:space="preserve">statistically </w:t>
      </w:r>
      <w:r w:rsidRPr="00901D0D">
        <w:rPr>
          <w:rFonts w:eastAsia="Calibri" w:cs="Times New Roman"/>
          <w:lang w:val="en-GB"/>
        </w:rPr>
        <w:t>significant predictor</w:t>
      </w:r>
      <w:r w:rsidR="00552069" w:rsidRPr="00901D0D">
        <w:rPr>
          <w:rFonts w:eastAsia="Calibri" w:cs="Times New Roman"/>
          <w:lang w:val="en-GB"/>
        </w:rPr>
        <w:t xml:space="preserve"> for the base rate fallacy</w:t>
      </w:r>
      <w:r w:rsidR="00A9043D" w:rsidRPr="00901D0D">
        <w:rPr>
          <w:rFonts w:eastAsia="Calibri" w:cs="Times New Roman"/>
          <w:lang w:val="en-GB"/>
        </w:rPr>
        <w:t xml:space="preserve">. </w:t>
      </w:r>
      <w:r w:rsidR="004371E8">
        <w:rPr>
          <w:rFonts w:eastAsia="Calibri" w:cs="Times New Roman"/>
          <w:lang w:val="en-GB"/>
        </w:rPr>
        <w:t>Because t</w:t>
      </w:r>
      <w:r w:rsidR="00E16738">
        <w:rPr>
          <w:rFonts w:eastAsia="Calibri" w:cs="Times New Roman"/>
          <w:lang w:val="en-GB"/>
        </w:rPr>
        <w:t>he ABS factors are highly correlated with one another</w:t>
      </w:r>
      <w:r w:rsidR="004371E8">
        <w:rPr>
          <w:rFonts w:eastAsia="Calibri" w:cs="Times New Roman"/>
          <w:lang w:val="en-GB"/>
        </w:rPr>
        <w:t xml:space="preserve">, </w:t>
      </w:r>
      <w:r w:rsidR="00E16738">
        <w:rPr>
          <w:rFonts w:eastAsia="Calibri" w:cs="Times New Roman"/>
          <w:lang w:val="en-GB"/>
        </w:rPr>
        <w:t>it appears that it is a general aspect of anomalistic belief that is shared across the factors</w:t>
      </w:r>
      <w:r w:rsidR="004371E8">
        <w:rPr>
          <w:rFonts w:eastAsia="Calibri" w:cs="Times New Roman"/>
          <w:lang w:val="en-GB"/>
        </w:rPr>
        <w:t xml:space="preserve"> (i.e., </w:t>
      </w:r>
      <w:r w:rsidR="00E16738">
        <w:rPr>
          <w:rFonts w:eastAsia="Calibri" w:cs="Times New Roman"/>
          <w:lang w:val="en-GB"/>
        </w:rPr>
        <w:t>not unique to any individual factor</w:t>
      </w:r>
      <w:r w:rsidR="004371E8">
        <w:rPr>
          <w:rFonts w:eastAsia="Calibri" w:cs="Times New Roman"/>
          <w:lang w:val="en-GB"/>
        </w:rPr>
        <w:t>)</w:t>
      </w:r>
      <w:r w:rsidR="00E16738">
        <w:rPr>
          <w:rFonts w:eastAsia="Calibri" w:cs="Times New Roman"/>
          <w:lang w:val="en-GB"/>
        </w:rPr>
        <w:t xml:space="preserve"> that</w:t>
      </w:r>
      <w:r w:rsidRPr="00901D0D">
        <w:rPr>
          <w:rFonts w:eastAsia="Calibri" w:cs="Times New Roman"/>
          <w:lang w:val="en-GB"/>
        </w:rPr>
        <w:t xml:space="preserve"> is related to a poorer understanding of base rates.</w:t>
      </w:r>
      <w:r w:rsidR="00300230">
        <w:rPr>
          <w:rFonts w:eastAsia="Calibri" w:cs="Times New Roman"/>
          <w:lang w:val="en-GB"/>
        </w:rPr>
        <w:t xml:space="preserve"> </w:t>
      </w:r>
    </w:p>
    <w:p w14:paraId="1B766C45" w14:textId="75AE3DE1" w:rsidR="002050A6" w:rsidRDefault="00B36638" w:rsidP="006E6209">
      <w:pPr>
        <w:spacing w:after="200"/>
        <w:contextualSpacing/>
        <w:rPr>
          <w:rFonts w:eastAsia="Calibri" w:cs="Times New Roman"/>
          <w:lang w:val="en-GB"/>
        </w:rPr>
      </w:pPr>
      <w:r w:rsidRPr="00901D0D">
        <w:rPr>
          <w:rFonts w:eastAsia="Calibri" w:cs="Times New Roman"/>
          <w:lang w:val="en-GB"/>
        </w:rPr>
        <w:t>The finding that</w:t>
      </w:r>
      <w:r w:rsidR="00A629F0" w:rsidRPr="00901D0D">
        <w:rPr>
          <w:rFonts w:eastAsia="Calibri" w:cs="Times New Roman"/>
          <w:lang w:val="en-GB"/>
        </w:rPr>
        <w:t>, regardless of context,</w:t>
      </w:r>
      <w:r w:rsidRPr="00901D0D">
        <w:rPr>
          <w:rFonts w:eastAsia="Calibri" w:cs="Times New Roman"/>
          <w:lang w:val="en-GB"/>
        </w:rPr>
        <w:t xml:space="preserve"> </w:t>
      </w:r>
      <w:r w:rsidR="009A1A0F" w:rsidRPr="00901D0D">
        <w:rPr>
          <w:rFonts w:eastAsia="Calibri" w:cs="Times New Roman"/>
          <w:lang w:val="en-GB"/>
        </w:rPr>
        <w:t xml:space="preserve">higher </w:t>
      </w:r>
      <w:r w:rsidRPr="00901D0D">
        <w:rPr>
          <w:rFonts w:eastAsia="Calibri" w:cs="Times New Roman"/>
          <w:lang w:val="en-GB"/>
        </w:rPr>
        <w:t xml:space="preserve">anomalistic belief </w:t>
      </w:r>
      <w:r w:rsidR="00A9043D" w:rsidRPr="00901D0D">
        <w:rPr>
          <w:rFonts w:eastAsia="Calibri" w:cs="Times New Roman"/>
          <w:lang w:val="en-GB"/>
        </w:rPr>
        <w:t xml:space="preserve">was </w:t>
      </w:r>
      <w:r w:rsidRPr="00901D0D">
        <w:rPr>
          <w:rFonts w:eastAsia="Calibri" w:cs="Times New Roman"/>
          <w:lang w:val="en-GB"/>
        </w:rPr>
        <w:t xml:space="preserve">associated with a poorer understanding of probabilistic reasoning </w:t>
      </w:r>
      <w:r w:rsidR="002050A6">
        <w:rPr>
          <w:rFonts w:eastAsia="Calibri" w:cs="Times New Roman"/>
          <w:lang w:val="en-GB"/>
        </w:rPr>
        <w:t>is consistent with</w:t>
      </w:r>
      <w:r w:rsidR="002050A6" w:rsidRPr="00901D0D">
        <w:rPr>
          <w:rFonts w:eastAsia="Calibri" w:cs="Times New Roman"/>
          <w:lang w:val="en-GB"/>
        </w:rPr>
        <w:t xml:space="preserve"> </w:t>
      </w:r>
      <w:r w:rsidRPr="00901D0D">
        <w:rPr>
          <w:rFonts w:eastAsia="Calibri" w:cs="Times New Roman"/>
          <w:lang w:val="en-GB"/>
        </w:rPr>
        <w:t>the idea that differences in reasoning ability may contribute to the formation of anomalistic beliefs</w:t>
      </w:r>
      <w:r w:rsidR="00480FD3" w:rsidRPr="00901D0D">
        <w:rPr>
          <w:rFonts w:eastAsia="Calibri" w:cs="Times New Roman"/>
          <w:lang w:val="en-GB"/>
        </w:rPr>
        <w:t xml:space="preserve"> (</w:t>
      </w:r>
      <w:r w:rsidR="00480FD3" w:rsidRPr="00901D0D">
        <w:rPr>
          <w:lang w:val="en-GB"/>
        </w:rPr>
        <w:t xml:space="preserve">Blackmore &amp; </w:t>
      </w:r>
      <w:proofErr w:type="spellStart"/>
      <w:r w:rsidR="00480FD3" w:rsidRPr="00901D0D">
        <w:rPr>
          <w:lang w:val="en-GB"/>
        </w:rPr>
        <w:t>Tro</w:t>
      </w:r>
      <w:r w:rsidR="002D2F5F">
        <w:rPr>
          <w:rFonts w:eastAsia="MS Gothic" w:cs="Times New Roman"/>
          <w:b/>
          <w:bCs/>
          <w:szCs w:val="28"/>
          <w:lang w:val="en-GB"/>
        </w:rPr>
        <w:t>ś</w:t>
      </w:r>
      <w:r w:rsidR="00480FD3" w:rsidRPr="00901D0D">
        <w:rPr>
          <w:lang w:val="en-GB"/>
        </w:rPr>
        <w:t>cianko</w:t>
      </w:r>
      <w:proofErr w:type="spellEnd"/>
      <w:r w:rsidR="00480FD3" w:rsidRPr="00901D0D">
        <w:rPr>
          <w:lang w:val="en-GB"/>
        </w:rPr>
        <w:t>, 1985; Brugger</w:t>
      </w:r>
      <w:r w:rsidR="00267E1E" w:rsidRPr="00901D0D">
        <w:rPr>
          <w:lang w:val="en-GB"/>
        </w:rPr>
        <w:t xml:space="preserve"> et al.</w:t>
      </w:r>
      <w:r w:rsidR="00480FD3" w:rsidRPr="00901D0D">
        <w:rPr>
          <w:lang w:val="en-GB"/>
        </w:rPr>
        <w:t>, 1990)</w:t>
      </w:r>
      <w:r w:rsidRPr="00901D0D">
        <w:rPr>
          <w:rFonts w:eastAsia="Calibri" w:cs="Times New Roman"/>
          <w:lang w:val="en-GB"/>
        </w:rPr>
        <w:t>. For example, misperception of chance or a poor understanding of base rates may</w:t>
      </w:r>
      <w:r w:rsidR="00802A01" w:rsidRPr="00901D0D">
        <w:rPr>
          <w:rFonts w:eastAsia="Calibri" w:cs="Times New Roman"/>
          <w:lang w:val="en-GB"/>
        </w:rPr>
        <w:t xml:space="preserve"> lead</w:t>
      </w:r>
      <w:r w:rsidRPr="00901D0D">
        <w:rPr>
          <w:rFonts w:eastAsia="Calibri" w:cs="Times New Roman"/>
          <w:lang w:val="en-GB"/>
        </w:rPr>
        <w:t xml:space="preserve"> </w:t>
      </w:r>
      <w:r w:rsidR="00785CBB" w:rsidRPr="00901D0D">
        <w:rPr>
          <w:rFonts w:eastAsia="Calibri" w:cs="Times New Roman"/>
          <w:lang w:val="en-GB"/>
        </w:rPr>
        <w:t>people to</w:t>
      </w:r>
      <w:r w:rsidRPr="00901D0D">
        <w:rPr>
          <w:rFonts w:eastAsia="Calibri" w:cs="Times New Roman"/>
          <w:lang w:val="en-GB"/>
        </w:rPr>
        <w:t xml:space="preserve"> assign</w:t>
      </w:r>
      <w:r w:rsidR="00785CBB" w:rsidRPr="00901D0D">
        <w:rPr>
          <w:rFonts w:eastAsia="Calibri" w:cs="Times New Roman"/>
          <w:lang w:val="en-GB"/>
        </w:rPr>
        <w:t xml:space="preserve"> an</w:t>
      </w:r>
      <w:r w:rsidRPr="00901D0D">
        <w:rPr>
          <w:rFonts w:eastAsia="Calibri" w:cs="Times New Roman"/>
          <w:lang w:val="en-GB"/>
        </w:rPr>
        <w:t xml:space="preserve"> anomalistic explanation to experiences that occurred due to coincidence or chance. Additionally, this finding casts some doubt on the idea that people higher in anomalistic belief have poorer reasoning </w:t>
      </w:r>
      <w:r w:rsidR="00922382" w:rsidRPr="00901D0D">
        <w:rPr>
          <w:rFonts w:eastAsia="Calibri" w:cs="Times New Roman"/>
          <w:lang w:val="en-GB"/>
        </w:rPr>
        <w:t xml:space="preserve">abilities </w:t>
      </w:r>
      <w:r w:rsidRPr="00901D0D">
        <w:rPr>
          <w:rFonts w:eastAsia="Calibri" w:cs="Times New Roman"/>
          <w:lang w:val="en-GB"/>
        </w:rPr>
        <w:t xml:space="preserve">because they are motivated to reason in a way that supports their belief. If people higher </w:t>
      </w:r>
      <w:r w:rsidR="00A629F0" w:rsidRPr="00901D0D">
        <w:rPr>
          <w:rFonts w:eastAsia="Calibri" w:cs="Times New Roman"/>
          <w:lang w:val="en-GB"/>
        </w:rPr>
        <w:t>in</w:t>
      </w:r>
      <w:r w:rsidRPr="00901D0D">
        <w:rPr>
          <w:rFonts w:eastAsia="Calibri" w:cs="Times New Roman"/>
          <w:lang w:val="en-GB"/>
        </w:rPr>
        <w:t xml:space="preserve"> anomalistic belief were simply engaging in motivated reasoning or wishful </w:t>
      </w:r>
      <w:r w:rsidR="00381E0A" w:rsidRPr="00901D0D">
        <w:rPr>
          <w:rFonts w:eastAsia="Calibri" w:cs="Times New Roman"/>
          <w:lang w:val="en-GB"/>
        </w:rPr>
        <w:t>thinking,</w:t>
      </w:r>
      <w:r w:rsidRPr="00901D0D">
        <w:rPr>
          <w:rFonts w:eastAsia="Calibri" w:cs="Times New Roman"/>
          <w:lang w:val="en-GB"/>
        </w:rPr>
        <w:t xml:space="preserve"> then </w:t>
      </w:r>
      <w:r w:rsidR="00B26C91" w:rsidRPr="00901D0D">
        <w:rPr>
          <w:rFonts w:eastAsia="Calibri" w:cs="Times New Roman"/>
          <w:lang w:val="en-GB"/>
        </w:rPr>
        <w:t xml:space="preserve">differences in </w:t>
      </w:r>
      <w:r w:rsidRPr="00901D0D">
        <w:rPr>
          <w:rFonts w:eastAsia="Calibri" w:cs="Times New Roman"/>
          <w:lang w:val="en-GB"/>
        </w:rPr>
        <w:t xml:space="preserve">probabilistic reasoning ability </w:t>
      </w:r>
      <w:r w:rsidR="00B26C91" w:rsidRPr="00901D0D">
        <w:rPr>
          <w:rFonts w:eastAsia="Calibri" w:cs="Times New Roman"/>
          <w:lang w:val="en-GB"/>
        </w:rPr>
        <w:t xml:space="preserve">should have been </w:t>
      </w:r>
      <w:r w:rsidR="007C77D8" w:rsidRPr="00901D0D">
        <w:rPr>
          <w:rFonts w:eastAsia="Calibri" w:cs="Times New Roman"/>
          <w:lang w:val="en-GB"/>
        </w:rPr>
        <w:t xml:space="preserve">more </w:t>
      </w:r>
      <w:r w:rsidR="00B26C91" w:rsidRPr="00901D0D">
        <w:rPr>
          <w:rFonts w:eastAsia="Calibri" w:cs="Times New Roman"/>
          <w:lang w:val="en-GB"/>
        </w:rPr>
        <w:t>pronounced for</w:t>
      </w:r>
      <w:r w:rsidR="00802A01" w:rsidRPr="00901D0D">
        <w:rPr>
          <w:rFonts w:eastAsia="Calibri" w:cs="Times New Roman"/>
          <w:lang w:val="en-GB"/>
        </w:rPr>
        <w:t xml:space="preserve"> items in</w:t>
      </w:r>
      <w:r w:rsidR="00B26C91" w:rsidRPr="00901D0D">
        <w:rPr>
          <w:rFonts w:eastAsia="Calibri" w:cs="Times New Roman"/>
          <w:lang w:val="en-GB"/>
        </w:rPr>
        <w:t xml:space="preserve"> </w:t>
      </w:r>
      <w:r w:rsidR="00802A01" w:rsidRPr="00901D0D">
        <w:rPr>
          <w:rFonts w:eastAsia="Calibri" w:cs="Times New Roman"/>
          <w:lang w:val="en-GB"/>
        </w:rPr>
        <w:t xml:space="preserve">an </w:t>
      </w:r>
      <w:r w:rsidRPr="00901D0D">
        <w:rPr>
          <w:rFonts w:eastAsia="Calibri" w:cs="Times New Roman"/>
          <w:lang w:val="en-GB"/>
        </w:rPr>
        <w:t>anomalistic context.</w:t>
      </w:r>
      <w:r w:rsidR="00785CBB" w:rsidRPr="00901D0D">
        <w:rPr>
          <w:rFonts w:eastAsia="Calibri" w:cs="Times New Roman"/>
          <w:lang w:val="en-GB"/>
        </w:rPr>
        <w:t xml:space="preserve"> </w:t>
      </w:r>
    </w:p>
    <w:p w14:paraId="58A14985" w14:textId="252DBF0E" w:rsidR="00B36638" w:rsidRPr="00901D0D" w:rsidRDefault="00C83075" w:rsidP="00454576">
      <w:pPr>
        <w:spacing w:after="200"/>
        <w:contextualSpacing/>
        <w:rPr>
          <w:rFonts w:eastAsia="Calibri" w:cs="Times New Roman"/>
          <w:lang w:val="en-GB"/>
        </w:rPr>
      </w:pPr>
      <w:r w:rsidRPr="00901D0D">
        <w:rPr>
          <w:rFonts w:eastAsia="Calibri" w:cs="Times New Roman"/>
          <w:lang w:val="en-GB"/>
        </w:rPr>
        <w:t>O</w:t>
      </w:r>
      <w:r w:rsidR="00671BBD" w:rsidRPr="00901D0D">
        <w:rPr>
          <w:rFonts w:eastAsia="Calibri" w:cs="Times New Roman"/>
          <w:lang w:val="en-GB"/>
        </w:rPr>
        <w:t xml:space="preserve">ur </w:t>
      </w:r>
      <w:r w:rsidR="002050A6">
        <w:rPr>
          <w:rFonts w:eastAsia="Calibri" w:cs="Times New Roman"/>
          <w:lang w:val="en-GB"/>
        </w:rPr>
        <w:t xml:space="preserve">lack of context </w:t>
      </w:r>
      <w:r w:rsidR="00671BBD" w:rsidRPr="00901D0D">
        <w:rPr>
          <w:rFonts w:eastAsia="Calibri" w:cs="Times New Roman"/>
          <w:lang w:val="en-GB"/>
        </w:rPr>
        <w:t xml:space="preserve">findings </w:t>
      </w:r>
      <w:r w:rsidR="00454576" w:rsidRPr="00901D0D">
        <w:rPr>
          <w:rFonts w:eastAsia="Calibri" w:cs="Times New Roman"/>
          <w:lang w:val="en-GB"/>
        </w:rPr>
        <w:t>differs</w:t>
      </w:r>
      <w:r w:rsidRPr="00901D0D">
        <w:rPr>
          <w:rFonts w:eastAsia="Calibri" w:cs="Times New Roman"/>
          <w:lang w:val="en-GB"/>
        </w:rPr>
        <w:t>, though,</w:t>
      </w:r>
      <w:r w:rsidR="00671BBD" w:rsidRPr="00901D0D">
        <w:rPr>
          <w:rFonts w:eastAsia="Calibri" w:cs="Times New Roman"/>
          <w:lang w:val="en-GB"/>
        </w:rPr>
        <w:t xml:space="preserve"> from</w:t>
      </w:r>
      <w:r w:rsidR="00E17A4F" w:rsidRPr="00901D0D">
        <w:rPr>
          <w:rFonts w:eastAsia="Calibri" w:cs="Times New Roman"/>
          <w:lang w:val="en-GB"/>
        </w:rPr>
        <w:t xml:space="preserve"> </w:t>
      </w:r>
      <w:proofErr w:type="spellStart"/>
      <w:r w:rsidR="00E17A4F" w:rsidRPr="00901D0D">
        <w:rPr>
          <w:rFonts w:eastAsia="Calibri" w:cs="Times New Roman"/>
          <w:lang w:val="en-GB"/>
        </w:rPr>
        <w:t>Dagnall</w:t>
      </w:r>
      <w:proofErr w:type="spellEnd"/>
      <w:r w:rsidR="00E17A4F" w:rsidRPr="00901D0D">
        <w:rPr>
          <w:rFonts w:eastAsia="Calibri" w:cs="Times New Roman"/>
          <w:lang w:val="en-GB"/>
        </w:rPr>
        <w:t xml:space="preserve"> et al. (2016)</w:t>
      </w:r>
      <w:r w:rsidR="00416BAB">
        <w:rPr>
          <w:rFonts w:eastAsia="Calibri" w:cs="Times New Roman"/>
          <w:lang w:val="en-GB"/>
        </w:rPr>
        <w:t xml:space="preserve"> and </w:t>
      </w:r>
      <w:proofErr w:type="spellStart"/>
      <w:r w:rsidR="00416BAB">
        <w:rPr>
          <w:rFonts w:eastAsia="Calibri" w:cs="Times New Roman"/>
          <w:lang w:val="en-GB"/>
        </w:rPr>
        <w:t>Denovan</w:t>
      </w:r>
      <w:proofErr w:type="spellEnd"/>
      <w:r w:rsidR="00416BAB">
        <w:rPr>
          <w:rFonts w:eastAsia="Calibri" w:cs="Times New Roman"/>
          <w:lang w:val="en-GB"/>
        </w:rPr>
        <w:t xml:space="preserve"> et al. (2018)</w:t>
      </w:r>
      <w:r w:rsidR="00E17A4F" w:rsidRPr="00901D0D">
        <w:rPr>
          <w:rFonts w:eastAsia="Calibri" w:cs="Times New Roman"/>
          <w:lang w:val="en-GB"/>
        </w:rPr>
        <w:t xml:space="preserve"> </w:t>
      </w:r>
      <w:r w:rsidR="00671BBD" w:rsidRPr="00901D0D">
        <w:rPr>
          <w:rFonts w:eastAsia="Calibri" w:cs="Times New Roman"/>
          <w:lang w:val="en-GB"/>
        </w:rPr>
        <w:t xml:space="preserve">who found that anomalistic belief was more strongly related to performance on misperception of chance items presented in an anomalistic context. </w:t>
      </w:r>
      <w:r w:rsidRPr="00901D0D">
        <w:rPr>
          <w:rFonts w:eastAsia="Calibri" w:cs="Times New Roman"/>
          <w:lang w:val="en-GB"/>
        </w:rPr>
        <w:t>However, p</w:t>
      </w:r>
      <w:r w:rsidR="00671BBD" w:rsidRPr="00901D0D">
        <w:rPr>
          <w:rFonts w:eastAsia="Calibri" w:cs="Times New Roman"/>
          <w:lang w:val="en-GB"/>
        </w:rPr>
        <w:t xml:space="preserve">revious work on the role of context for the conjunction fallacy </w:t>
      </w:r>
      <w:r w:rsidRPr="00901D0D">
        <w:rPr>
          <w:rFonts w:eastAsia="Calibri" w:cs="Times New Roman"/>
          <w:lang w:val="en-GB"/>
        </w:rPr>
        <w:t xml:space="preserve">also </w:t>
      </w:r>
      <w:r w:rsidR="00671BBD" w:rsidRPr="00901D0D">
        <w:rPr>
          <w:rFonts w:eastAsia="Calibri" w:cs="Times New Roman"/>
          <w:lang w:val="en-GB"/>
        </w:rPr>
        <w:t>has produced mixed results</w:t>
      </w:r>
      <w:r w:rsidR="00120389" w:rsidRPr="00901D0D">
        <w:rPr>
          <w:rFonts w:eastAsia="Calibri" w:cs="Times New Roman"/>
          <w:lang w:val="en-GB"/>
        </w:rPr>
        <w:t xml:space="preserve"> (</w:t>
      </w:r>
      <w:proofErr w:type="spellStart"/>
      <w:r w:rsidR="00120389" w:rsidRPr="00901D0D">
        <w:rPr>
          <w:rFonts w:eastAsia="Calibri" w:cs="Times New Roman"/>
          <w:lang w:val="en-GB"/>
        </w:rPr>
        <w:t>Dagnall</w:t>
      </w:r>
      <w:proofErr w:type="spellEnd"/>
      <w:r w:rsidR="00120389" w:rsidRPr="00901D0D">
        <w:rPr>
          <w:rFonts w:eastAsia="Calibri" w:cs="Times New Roman"/>
          <w:lang w:val="en-GB"/>
        </w:rPr>
        <w:t xml:space="preserve"> et al., 2014; 2016; Rogers et al., 2009; 2011; 2016)</w:t>
      </w:r>
      <w:r w:rsidR="00671BBD" w:rsidRPr="00901D0D">
        <w:rPr>
          <w:rFonts w:eastAsia="Calibri" w:cs="Times New Roman"/>
          <w:lang w:val="en-GB"/>
        </w:rPr>
        <w:t xml:space="preserve">. </w:t>
      </w:r>
      <w:r w:rsidR="00454576">
        <w:rPr>
          <w:rFonts w:eastAsia="Calibri" w:cs="Times New Roman"/>
          <w:lang w:val="en-GB"/>
        </w:rPr>
        <w:t xml:space="preserve">One potential explanation is that people may endorse only a specific subset of anomalistic beliefs and therefore may not be more </w:t>
      </w:r>
      <w:r w:rsidR="00454576">
        <w:rPr>
          <w:rFonts w:eastAsia="Calibri" w:cs="Times New Roman"/>
          <w:lang w:val="en-GB"/>
        </w:rPr>
        <w:lastRenderedPageBreak/>
        <w:t xml:space="preserve">prone to probabilistic reasoning errors for stimuli that relate to a different anomalistic belief (e.g., someone with greater levels of belief in ghosts may not be more likely to make errors for a reasoning item about Ouija boards). However, our probabilistic reasoning stimuli related to a wide variety of anomalistic beliefs and had considerable overlap with the item content of </w:t>
      </w:r>
      <w:r w:rsidR="00006926">
        <w:rPr>
          <w:rFonts w:eastAsia="Calibri" w:cs="Times New Roman"/>
          <w:lang w:val="en-GB"/>
        </w:rPr>
        <w:t>our</w:t>
      </w:r>
      <w:r w:rsidR="00454576">
        <w:rPr>
          <w:rFonts w:eastAsia="Calibri" w:cs="Times New Roman"/>
          <w:lang w:val="en-GB"/>
        </w:rPr>
        <w:t xml:space="preserve"> anomalistic belief scales. Regardless, it may be beneficial</w:t>
      </w:r>
      <w:r w:rsidR="00006926">
        <w:rPr>
          <w:rFonts w:eastAsia="Calibri" w:cs="Times New Roman"/>
          <w:lang w:val="en-GB"/>
        </w:rPr>
        <w:t xml:space="preserve"> in future work</w:t>
      </w:r>
      <w:r w:rsidR="00454576">
        <w:rPr>
          <w:rFonts w:eastAsia="Calibri" w:cs="Times New Roman"/>
          <w:lang w:val="en-GB"/>
        </w:rPr>
        <w:t xml:space="preserve"> to systematically create scale questions and matching stimuli to more fully examine this hypothesis</w:t>
      </w:r>
      <w:r w:rsidR="00006926">
        <w:rPr>
          <w:rFonts w:eastAsia="Calibri" w:cs="Times New Roman"/>
          <w:lang w:val="en-GB"/>
        </w:rPr>
        <w:t xml:space="preserve">; </w:t>
      </w:r>
      <w:proofErr w:type="gramStart"/>
      <w:r w:rsidR="00006926">
        <w:rPr>
          <w:rFonts w:eastAsia="Calibri" w:cs="Times New Roman"/>
          <w:lang w:val="en-GB"/>
        </w:rPr>
        <w:t>however</w:t>
      </w:r>
      <w:proofErr w:type="gramEnd"/>
      <w:r w:rsidR="00006926">
        <w:rPr>
          <w:rFonts w:eastAsia="Calibri" w:cs="Times New Roman"/>
          <w:lang w:val="en-GB"/>
        </w:rPr>
        <w:t xml:space="preserve"> </w:t>
      </w:r>
      <w:r w:rsidR="00454576">
        <w:rPr>
          <w:rFonts w:eastAsia="Calibri" w:cs="Times New Roman"/>
          <w:lang w:val="en-GB"/>
        </w:rPr>
        <w:t>it w</w:t>
      </w:r>
      <w:r w:rsidR="00006926">
        <w:rPr>
          <w:rFonts w:eastAsia="Calibri" w:cs="Times New Roman"/>
          <w:lang w:val="en-GB"/>
        </w:rPr>
        <w:t>ou</w:t>
      </w:r>
      <w:r w:rsidR="00454576">
        <w:rPr>
          <w:rFonts w:eastAsia="Calibri" w:cs="Times New Roman"/>
          <w:lang w:val="en-GB"/>
        </w:rPr>
        <w:t>l</w:t>
      </w:r>
      <w:r w:rsidR="00006926">
        <w:rPr>
          <w:rFonts w:eastAsia="Calibri" w:cs="Times New Roman"/>
          <w:lang w:val="en-GB"/>
        </w:rPr>
        <w:t>d</w:t>
      </w:r>
      <w:r w:rsidR="00454576">
        <w:rPr>
          <w:rFonts w:eastAsia="Calibri" w:cs="Times New Roman"/>
          <w:lang w:val="en-GB"/>
        </w:rPr>
        <w:t xml:space="preserve"> be important to avoid the increased risk that a close alignment between scale items and stimuli may produce demand effects and/or lead participants to interpret the reasoning questions as though they </w:t>
      </w:r>
      <w:r w:rsidR="00006926">
        <w:rPr>
          <w:rFonts w:eastAsia="Calibri" w:cs="Times New Roman"/>
          <w:lang w:val="en-GB"/>
        </w:rPr>
        <w:t xml:space="preserve">also </w:t>
      </w:r>
      <w:r w:rsidR="00454576">
        <w:rPr>
          <w:rFonts w:eastAsia="Calibri" w:cs="Times New Roman"/>
          <w:lang w:val="en-GB"/>
        </w:rPr>
        <w:t>are belief questions.</w:t>
      </w:r>
      <w:r w:rsidR="00651F32" w:rsidRPr="00901D0D">
        <w:rPr>
          <w:rFonts w:eastAsia="Calibri" w:cs="Times New Roman"/>
          <w:lang w:val="en-GB"/>
        </w:rPr>
        <w:t xml:space="preserve"> </w:t>
      </w:r>
      <w:r w:rsidR="00006926">
        <w:rPr>
          <w:rFonts w:eastAsia="Calibri" w:cs="Times New Roman"/>
          <w:lang w:val="en-GB"/>
        </w:rPr>
        <w:t>It also is possible that i</w:t>
      </w:r>
      <w:r w:rsidR="00454576" w:rsidRPr="00901D0D">
        <w:rPr>
          <w:rFonts w:eastAsia="Calibri" w:cs="Times New Roman"/>
          <w:lang w:val="en-GB"/>
        </w:rPr>
        <w:t xml:space="preserve">tem </w:t>
      </w:r>
      <w:r w:rsidR="00651F32" w:rsidRPr="00901D0D">
        <w:rPr>
          <w:rFonts w:eastAsia="Calibri" w:cs="Times New Roman"/>
          <w:lang w:val="en-GB"/>
        </w:rPr>
        <w:t>difficulty</w:t>
      </w:r>
      <w:r w:rsidR="00454576">
        <w:rPr>
          <w:rFonts w:eastAsia="Calibri" w:cs="Times New Roman"/>
          <w:lang w:val="en-GB"/>
        </w:rPr>
        <w:t xml:space="preserve"> and/</w:t>
      </w:r>
      <w:r w:rsidR="00651F32" w:rsidRPr="00901D0D">
        <w:rPr>
          <w:rFonts w:eastAsia="Calibri" w:cs="Times New Roman"/>
          <w:lang w:val="en-GB"/>
        </w:rPr>
        <w:t>or the level of detail provided in the descriptions</w:t>
      </w:r>
      <w:r w:rsidR="00454576">
        <w:rPr>
          <w:rFonts w:eastAsia="Calibri" w:cs="Times New Roman"/>
          <w:lang w:val="en-GB"/>
        </w:rPr>
        <w:t xml:space="preserve"> </w:t>
      </w:r>
      <w:r w:rsidR="00651F32" w:rsidRPr="00901D0D">
        <w:rPr>
          <w:rFonts w:eastAsia="Calibri" w:cs="Times New Roman"/>
          <w:lang w:val="en-GB"/>
        </w:rPr>
        <w:t>influence</w:t>
      </w:r>
      <w:r w:rsidR="00006926">
        <w:rPr>
          <w:rFonts w:eastAsia="Calibri" w:cs="Times New Roman"/>
          <w:lang w:val="en-GB"/>
        </w:rPr>
        <w:t>s</w:t>
      </w:r>
      <w:r w:rsidR="00651F32" w:rsidRPr="00901D0D">
        <w:rPr>
          <w:rFonts w:eastAsia="Calibri" w:cs="Times New Roman"/>
          <w:lang w:val="en-GB"/>
        </w:rPr>
        <w:t xml:space="preserve"> the strength of </w:t>
      </w:r>
      <w:r w:rsidR="009F77C3" w:rsidRPr="00901D0D">
        <w:rPr>
          <w:rFonts w:eastAsia="Calibri" w:cs="Times New Roman"/>
          <w:lang w:val="en-GB"/>
        </w:rPr>
        <w:t>context</w:t>
      </w:r>
      <w:r w:rsidR="00651F32" w:rsidRPr="00901D0D">
        <w:rPr>
          <w:rFonts w:eastAsia="Calibri" w:cs="Times New Roman"/>
          <w:lang w:val="en-GB"/>
        </w:rPr>
        <w:t xml:space="preserve"> effects</w:t>
      </w:r>
      <w:r w:rsidRPr="00901D0D">
        <w:rPr>
          <w:rFonts w:eastAsia="Calibri" w:cs="Times New Roman"/>
          <w:lang w:val="en-GB"/>
        </w:rPr>
        <w:t xml:space="preserve">. For example, </w:t>
      </w:r>
      <w:r w:rsidR="00F53CA3" w:rsidRPr="00901D0D">
        <w:rPr>
          <w:rFonts w:eastAsia="Calibri" w:cs="Times New Roman"/>
          <w:lang w:val="en-GB"/>
        </w:rPr>
        <w:t xml:space="preserve">context may only play a role </w:t>
      </w:r>
      <w:r w:rsidR="002A6B07" w:rsidRPr="00901D0D">
        <w:rPr>
          <w:rFonts w:eastAsia="Calibri" w:cs="Times New Roman"/>
          <w:lang w:val="en-GB"/>
        </w:rPr>
        <w:t xml:space="preserve">if </w:t>
      </w:r>
      <w:r w:rsidR="00F53CA3" w:rsidRPr="00901D0D">
        <w:rPr>
          <w:rFonts w:eastAsia="Calibri" w:cs="Times New Roman"/>
          <w:lang w:val="en-GB"/>
        </w:rPr>
        <w:t xml:space="preserve">participants detect a </w:t>
      </w:r>
      <w:r w:rsidR="009C304C" w:rsidRPr="00901D0D">
        <w:rPr>
          <w:rFonts w:eastAsia="Calibri" w:cs="Times New Roman"/>
          <w:lang w:val="en-GB"/>
        </w:rPr>
        <w:t xml:space="preserve">conflict between the </w:t>
      </w:r>
      <w:r w:rsidR="00F53CA3" w:rsidRPr="00901D0D">
        <w:rPr>
          <w:rFonts w:eastAsia="Calibri" w:cs="Times New Roman"/>
          <w:lang w:val="en-GB"/>
        </w:rPr>
        <w:t xml:space="preserve">incorrect </w:t>
      </w:r>
      <w:r w:rsidR="009C304C" w:rsidRPr="00901D0D">
        <w:rPr>
          <w:rFonts w:eastAsia="Calibri" w:cs="Times New Roman"/>
          <w:lang w:val="en-GB"/>
        </w:rPr>
        <w:t>heuristic response</w:t>
      </w:r>
      <w:r w:rsidR="001F23EC" w:rsidRPr="00901D0D">
        <w:rPr>
          <w:rFonts w:eastAsia="Calibri" w:cs="Times New Roman"/>
          <w:lang w:val="en-GB"/>
        </w:rPr>
        <w:t xml:space="preserve"> and the correct </w:t>
      </w:r>
      <w:r w:rsidR="00F53CA3" w:rsidRPr="00901D0D">
        <w:rPr>
          <w:rFonts w:eastAsia="Calibri" w:cs="Times New Roman"/>
          <w:lang w:val="en-GB"/>
        </w:rPr>
        <w:t xml:space="preserve">systematic </w:t>
      </w:r>
      <w:r w:rsidR="001F23EC" w:rsidRPr="00901D0D">
        <w:rPr>
          <w:rFonts w:eastAsia="Calibri" w:cs="Times New Roman"/>
          <w:lang w:val="en-GB"/>
        </w:rPr>
        <w:t>answer</w:t>
      </w:r>
      <w:r w:rsidR="00F53CA3" w:rsidRPr="00901D0D">
        <w:rPr>
          <w:rFonts w:eastAsia="Calibri" w:cs="Times New Roman"/>
          <w:lang w:val="en-GB"/>
        </w:rPr>
        <w:t xml:space="preserve"> (i.e., people are aware of the two options and so choose the belief congruent option</w:t>
      </w:r>
      <w:r w:rsidR="002A6B07" w:rsidRPr="00901D0D">
        <w:rPr>
          <w:rFonts w:eastAsia="Calibri" w:cs="Times New Roman"/>
          <w:lang w:val="en-GB"/>
        </w:rPr>
        <w:t xml:space="preserve">; Pennycook, </w:t>
      </w:r>
      <w:proofErr w:type="spellStart"/>
      <w:r w:rsidR="002A6B07" w:rsidRPr="00901D0D">
        <w:rPr>
          <w:rFonts w:eastAsia="Calibri" w:cs="Times New Roman"/>
          <w:lang w:val="en-GB"/>
        </w:rPr>
        <w:t>Fugelsang</w:t>
      </w:r>
      <w:proofErr w:type="spellEnd"/>
      <w:r w:rsidR="002A6B07" w:rsidRPr="00901D0D">
        <w:rPr>
          <w:rFonts w:eastAsia="Calibri" w:cs="Times New Roman"/>
          <w:lang w:val="en-GB"/>
        </w:rPr>
        <w:t>, &amp; Koehler, 2012</w:t>
      </w:r>
      <w:r w:rsidR="00F53CA3" w:rsidRPr="00901D0D">
        <w:rPr>
          <w:rFonts w:eastAsia="Calibri" w:cs="Times New Roman"/>
          <w:lang w:val="en-GB"/>
        </w:rPr>
        <w:t>)</w:t>
      </w:r>
      <w:r w:rsidR="002A6B07" w:rsidRPr="00901D0D">
        <w:rPr>
          <w:rFonts w:eastAsia="Calibri" w:cs="Times New Roman"/>
          <w:lang w:val="en-GB"/>
        </w:rPr>
        <w:t>.</w:t>
      </w:r>
      <w:r w:rsidR="001F23EC" w:rsidRPr="00901D0D">
        <w:rPr>
          <w:rFonts w:eastAsia="Calibri" w:cs="Times New Roman"/>
          <w:lang w:val="en-GB"/>
        </w:rPr>
        <w:t xml:space="preserve"> </w:t>
      </w:r>
      <w:r w:rsidR="002A6B07" w:rsidRPr="00901D0D">
        <w:rPr>
          <w:rFonts w:eastAsia="Calibri" w:cs="Times New Roman"/>
          <w:lang w:val="en-GB"/>
        </w:rPr>
        <w:t>Stimul</w:t>
      </w:r>
      <w:r w:rsidR="00C3712D">
        <w:rPr>
          <w:rFonts w:eastAsia="Calibri" w:cs="Times New Roman"/>
          <w:lang w:val="en-GB"/>
        </w:rPr>
        <w:t>us</w:t>
      </w:r>
      <w:r w:rsidR="002A6B07" w:rsidRPr="00901D0D">
        <w:rPr>
          <w:rFonts w:eastAsia="Calibri" w:cs="Times New Roman"/>
          <w:lang w:val="en-GB"/>
        </w:rPr>
        <w:t xml:space="preserve"> </w:t>
      </w:r>
      <w:r w:rsidR="00F53CA3" w:rsidRPr="00901D0D">
        <w:rPr>
          <w:rFonts w:eastAsia="Calibri" w:cs="Times New Roman"/>
          <w:lang w:val="en-GB"/>
        </w:rPr>
        <w:t xml:space="preserve">difficulty may </w:t>
      </w:r>
      <w:r w:rsidR="00416BAB">
        <w:rPr>
          <w:rFonts w:eastAsia="Calibri" w:cs="Times New Roman"/>
          <w:lang w:val="en-GB"/>
        </w:rPr>
        <w:t xml:space="preserve">therefore </w:t>
      </w:r>
      <w:r w:rsidR="00F53CA3" w:rsidRPr="00901D0D">
        <w:rPr>
          <w:rFonts w:eastAsia="Calibri" w:cs="Times New Roman"/>
          <w:lang w:val="en-GB"/>
        </w:rPr>
        <w:t xml:space="preserve">influence the likelihood of conflict detection </w:t>
      </w:r>
      <w:r w:rsidR="002A6B07" w:rsidRPr="00901D0D">
        <w:rPr>
          <w:rFonts w:eastAsia="Calibri" w:cs="Times New Roman"/>
          <w:lang w:val="en-GB"/>
        </w:rPr>
        <w:t>because</w:t>
      </w:r>
      <w:r w:rsidR="001F23EC" w:rsidRPr="00901D0D">
        <w:rPr>
          <w:rFonts w:eastAsia="Calibri" w:cs="Times New Roman"/>
          <w:lang w:val="en-GB"/>
        </w:rPr>
        <w:t xml:space="preserve"> </w:t>
      </w:r>
      <w:r w:rsidR="00006926" w:rsidRPr="00901D0D">
        <w:rPr>
          <w:rFonts w:eastAsia="Calibri" w:cs="Times New Roman"/>
          <w:lang w:val="en-GB"/>
        </w:rPr>
        <w:t>people may choose either the heuristic answer (</w:t>
      </w:r>
      <w:r w:rsidR="00095A71">
        <w:rPr>
          <w:rFonts w:eastAsia="Calibri" w:cs="Times New Roman"/>
          <w:lang w:val="en-GB"/>
        </w:rPr>
        <w:t>for</w:t>
      </w:r>
      <w:r w:rsidR="00095A71" w:rsidRPr="00901D0D">
        <w:rPr>
          <w:rFonts w:eastAsia="Calibri" w:cs="Times New Roman"/>
          <w:lang w:val="en-GB"/>
        </w:rPr>
        <w:t xml:space="preserve"> </w:t>
      </w:r>
      <w:r w:rsidR="00006926" w:rsidRPr="00901D0D">
        <w:rPr>
          <w:rFonts w:eastAsia="Calibri" w:cs="Times New Roman"/>
          <w:lang w:val="en-GB"/>
        </w:rPr>
        <w:t>difficult</w:t>
      </w:r>
      <w:r w:rsidR="00006926">
        <w:rPr>
          <w:rFonts w:eastAsia="Calibri" w:cs="Times New Roman"/>
          <w:lang w:val="en-GB"/>
        </w:rPr>
        <w:t xml:space="preserve"> stimuli</w:t>
      </w:r>
      <w:r w:rsidR="00006926" w:rsidRPr="00901D0D">
        <w:rPr>
          <w:rFonts w:eastAsia="Calibri" w:cs="Times New Roman"/>
          <w:lang w:val="en-GB"/>
        </w:rPr>
        <w:t>) or the systematic answer (</w:t>
      </w:r>
      <w:r w:rsidR="00095A71">
        <w:rPr>
          <w:rFonts w:eastAsia="Calibri" w:cs="Times New Roman"/>
          <w:lang w:val="en-GB"/>
        </w:rPr>
        <w:t>for</w:t>
      </w:r>
      <w:r w:rsidR="00095A71" w:rsidRPr="00901D0D">
        <w:rPr>
          <w:rFonts w:eastAsia="Calibri" w:cs="Times New Roman"/>
          <w:lang w:val="en-GB"/>
        </w:rPr>
        <w:t xml:space="preserve"> </w:t>
      </w:r>
      <w:r w:rsidR="00006926" w:rsidRPr="00901D0D">
        <w:rPr>
          <w:rFonts w:eastAsia="Calibri" w:cs="Times New Roman"/>
          <w:lang w:val="en-GB"/>
        </w:rPr>
        <w:t>easy</w:t>
      </w:r>
      <w:r w:rsidR="00006926">
        <w:rPr>
          <w:rFonts w:eastAsia="Calibri" w:cs="Times New Roman"/>
          <w:lang w:val="en-GB"/>
        </w:rPr>
        <w:t xml:space="preserve"> stimuli</w:t>
      </w:r>
      <w:r w:rsidR="00006926" w:rsidRPr="00901D0D">
        <w:rPr>
          <w:rFonts w:eastAsia="Calibri" w:cs="Times New Roman"/>
          <w:lang w:val="en-GB"/>
        </w:rPr>
        <w:t>) without detecting any conflict between the response options</w:t>
      </w:r>
      <w:r w:rsidR="00FB49E4" w:rsidRPr="00901D0D">
        <w:rPr>
          <w:rFonts w:eastAsia="Calibri" w:cs="Times New Roman"/>
          <w:lang w:val="en-GB"/>
        </w:rPr>
        <w:t xml:space="preserve">. </w:t>
      </w:r>
    </w:p>
    <w:p w14:paraId="321FDBC7" w14:textId="60244897" w:rsidR="00922382" w:rsidRPr="00901D0D" w:rsidRDefault="00552069" w:rsidP="00301785">
      <w:pPr>
        <w:spacing w:after="200"/>
        <w:contextualSpacing/>
        <w:rPr>
          <w:rFonts w:eastAsia="Calibri" w:cs="Times New Roman"/>
          <w:lang w:val="en-GB"/>
        </w:rPr>
      </w:pPr>
      <w:r w:rsidRPr="00901D0D">
        <w:rPr>
          <w:rFonts w:eastAsia="Calibri" w:cs="Times New Roman"/>
          <w:lang w:val="en-GB"/>
        </w:rPr>
        <w:t xml:space="preserve">The </w:t>
      </w:r>
      <w:r w:rsidR="002A1AF8" w:rsidRPr="00901D0D">
        <w:rPr>
          <w:rFonts w:eastAsia="Calibri" w:cs="Times New Roman"/>
          <w:lang w:val="en-GB"/>
        </w:rPr>
        <w:t xml:space="preserve">positive </w:t>
      </w:r>
      <w:r w:rsidRPr="00901D0D">
        <w:rPr>
          <w:rFonts w:eastAsia="Calibri" w:cs="Times New Roman"/>
          <w:lang w:val="en-GB"/>
        </w:rPr>
        <w:t xml:space="preserve">relationship </w:t>
      </w:r>
      <w:r w:rsidR="00FB2BE1" w:rsidRPr="00901D0D">
        <w:rPr>
          <w:rFonts w:eastAsia="Calibri" w:cs="Times New Roman"/>
          <w:lang w:val="en-GB"/>
        </w:rPr>
        <w:t xml:space="preserve">found </w:t>
      </w:r>
      <w:r w:rsidRPr="00901D0D">
        <w:rPr>
          <w:rFonts w:eastAsia="Calibri" w:cs="Times New Roman"/>
          <w:lang w:val="en-GB"/>
        </w:rPr>
        <w:t>between</w:t>
      </w:r>
      <w:r w:rsidR="00BA03BF" w:rsidRPr="00901D0D">
        <w:rPr>
          <w:rFonts w:eastAsia="Calibri" w:cs="Times New Roman"/>
          <w:lang w:val="en-GB"/>
        </w:rPr>
        <w:t xml:space="preserve"> m</w:t>
      </w:r>
      <w:r w:rsidR="00B36638" w:rsidRPr="00901D0D">
        <w:rPr>
          <w:rFonts w:eastAsia="Calibri" w:cs="Times New Roman"/>
          <w:lang w:val="en-GB"/>
        </w:rPr>
        <w:t xml:space="preserve">isperception of chance </w:t>
      </w:r>
      <w:r w:rsidR="002A1AF8" w:rsidRPr="00901D0D">
        <w:rPr>
          <w:rFonts w:eastAsia="Calibri" w:cs="Times New Roman"/>
          <w:lang w:val="en-GB"/>
        </w:rPr>
        <w:t xml:space="preserve">errors </w:t>
      </w:r>
      <w:r w:rsidRPr="00901D0D">
        <w:rPr>
          <w:rFonts w:eastAsia="Calibri" w:cs="Times New Roman"/>
          <w:lang w:val="en-GB"/>
        </w:rPr>
        <w:t>and</w:t>
      </w:r>
      <w:r w:rsidR="009A1A0F" w:rsidRPr="00901D0D">
        <w:rPr>
          <w:rFonts w:eastAsia="Calibri" w:cs="Times New Roman"/>
          <w:lang w:val="en-GB"/>
        </w:rPr>
        <w:t xml:space="preserve"> </w:t>
      </w:r>
      <w:r w:rsidR="00B36638" w:rsidRPr="00901D0D">
        <w:rPr>
          <w:rFonts w:eastAsia="Calibri" w:cs="Times New Roman"/>
          <w:lang w:val="en-GB"/>
        </w:rPr>
        <w:t xml:space="preserve">experiential belief </w:t>
      </w:r>
      <w:r w:rsidR="00480FD3" w:rsidRPr="00901D0D">
        <w:rPr>
          <w:rFonts w:eastAsia="Calibri" w:cs="Times New Roman"/>
          <w:lang w:val="en-GB"/>
        </w:rPr>
        <w:t>is consistent with previous work on the conjunction fallacy and biases in evidence integration</w:t>
      </w:r>
      <w:r w:rsidRPr="00901D0D">
        <w:rPr>
          <w:rFonts w:eastAsia="Calibri" w:cs="Times New Roman"/>
          <w:lang w:val="en-GB"/>
        </w:rPr>
        <w:t>,</w:t>
      </w:r>
      <w:r w:rsidR="00480FD3" w:rsidRPr="00901D0D">
        <w:rPr>
          <w:rFonts w:eastAsia="Calibri" w:cs="Times New Roman"/>
          <w:lang w:val="en-GB"/>
        </w:rPr>
        <w:t xml:space="preserve"> </w:t>
      </w:r>
      <w:r w:rsidR="00DA0620" w:rsidRPr="00901D0D">
        <w:rPr>
          <w:rFonts w:eastAsia="Calibri" w:cs="Times New Roman"/>
          <w:lang w:val="en-GB"/>
        </w:rPr>
        <w:t xml:space="preserve">and </w:t>
      </w:r>
      <w:r w:rsidR="002A1AF8" w:rsidRPr="00901D0D">
        <w:rPr>
          <w:rFonts w:eastAsia="Calibri" w:cs="Times New Roman"/>
          <w:lang w:val="en-GB"/>
        </w:rPr>
        <w:t xml:space="preserve">thus </w:t>
      </w:r>
      <w:r w:rsidR="00DA0620" w:rsidRPr="00901D0D">
        <w:rPr>
          <w:rFonts w:eastAsia="Calibri" w:cs="Times New Roman"/>
          <w:lang w:val="en-GB"/>
        </w:rPr>
        <w:t xml:space="preserve">provides further evidence that there may be an important difference between experiential and theoretical anomalistic beliefs </w:t>
      </w:r>
      <w:r w:rsidR="00480FD3" w:rsidRPr="00901D0D">
        <w:rPr>
          <w:rFonts w:eastAsia="Calibri" w:cs="Times New Roman"/>
          <w:lang w:val="en-GB"/>
        </w:rPr>
        <w:t>(Prike et al., 2017; 201</w:t>
      </w:r>
      <w:r w:rsidR="00331C9E" w:rsidRPr="00901D0D">
        <w:rPr>
          <w:rFonts w:eastAsia="Calibri" w:cs="Times New Roman"/>
          <w:lang w:val="en-GB"/>
        </w:rPr>
        <w:t>8</w:t>
      </w:r>
      <w:r w:rsidR="00480FD3" w:rsidRPr="00901D0D">
        <w:rPr>
          <w:rFonts w:eastAsia="Calibri" w:cs="Times New Roman"/>
          <w:lang w:val="en-GB"/>
        </w:rPr>
        <w:t>)</w:t>
      </w:r>
      <w:r w:rsidR="009A1A0F" w:rsidRPr="00901D0D">
        <w:rPr>
          <w:rFonts w:eastAsia="Calibri" w:cs="Times New Roman"/>
          <w:lang w:val="en-GB"/>
        </w:rPr>
        <w:t>.</w:t>
      </w:r>
      <w:r w:rsidR="00922382" w:rsidRPr="00901D0D">
        <w:rPr>
          <w:rFonts w:eastAsia="Calibri" w:cs="Times New Roman"/>
          <w:lang w:val="en-GB"/>
        </w:rPr>
        <w:t xml:space="preserve"> </w:t>
      </w:r>
      <w:r w:rsidR="00BA03BF" w:rsidRPr="00901D0D">
        <w:rPr>
          <w:rFonts w:eastAsia="Calibri" w:cs="Times New Roman"/>
          <w:lang w:val="en-GB"/>
        </w:rPr>
        <w:t>One way to understand this</w:t>
      </w:r>
      <w:r w:rsidR="00B36638" w:rsidRPr="00901D0D">
        <w:rPr>
          <w:rFonts w:eastAsia="Calibri" w:cs="Times New Roman"/>
          <w:lang w:val="en-GB"/>
        </w:rPr>
        <w:t xml:space="preserve"> relationship </w:t>
      </w:r>
      <w:r w:rsidR="00BA03BF" w:rsidRPr="00901D0D">
        <w:rPr>
          <w:rFonts w:eastAsia="Calibri" w:cs="Times New Roman"/>
          <w:lang w:val="en-GB"/>
        </w:rPr>
        <w:t>is</w:t>
      </w:r>
      <w:r w:rsidR="00B36638" w:rsidRPr="00901D0D">
        <w:rPr>
          <w:rFonts w:eastAsia="Calibri" w:cs="Times New Roman"/>
          <w:lang w:val="en-GB"/>
        </w:rPr>
        <w:t xml:space="preserve"> </w:t>
      </w:r>
      <w:r w:rsidR="001E15DA" w:rsidRPr="00901D0D">
        <w:rPr>
          <w:rFonts w:eastAsia="Calibri" w:cs="Times New Roman"/>
          <w:lang w:val="en-GB"/>
        </w:rPr>
        <w:t>through consideration of</w:t>
      </w:r>
      <w:r w:rsidR="00B36638" w:rsidRPr="00901D0D">
        <w:rPr>
          <w:rFonts w:eastAsia="Calibri" w:cs="Times New Roman"/>
          <w:lang w:val="en-GB"/>
        </w:rPr>
        <w:t xml:space="preserve"> what </w:t>
      </w:r>
      <w:r w:rsidR="00802A01" w:rsidRPr="00901D0D">
        <w:rPr>
          <w:rFonts w:eastAsia="Calibri" w:cs="Times New Roman"/>
          <w:lang w:val="en-GB"/>
        </w:rPr>
        <w:t xml:space="preserve">differentiates </w:t>
      </w:r>
      <w:r w:rsidR="00B36638" w:rsidRPr="00901D0D">
        <w:rPr>
          <w:rFonts w:eastAsia="Calibri" w:cs="Times New Roman"/>
          <w:lang w:val="en-GB"/>
        </w:rPr>
        <w:t xml:space="preserve">experiential </w:t>
      </w:r>
      <w:r w:rsidR="00802A01" w:rsidRPr="00901D0D">
        <w:rPr>
          <w:rFonts w:eastAsia="Calibri" w:cs="Times New Roman"/>
          <w:lang w:val="en-GB"/>
        </w:rPr>
        <w:t xml:space="preserve">from </w:t>
      </w:r>
      <w:r w:rsidR="00B36638" w:rsidRPr="00901D0D">
        <w:rPr>
          <w:rFonts w:eastAsia="Calibri" w:cs="Times New Roman"/>
          <w:lang w:val="en-GB"/>
        </w:rPr>
        <w:t xml:space="preserve">theoretical anomalistic beliefs. </w:t>
      </w:r>
      <w:r w:rsidR="00BA03BF" w:rsidRPr="00901D0D">
        <w:rPr>
          <w:rFonts w:eastAsia="Calibri" w:cs="Times New Roman"/>
          <w:lang w:val="en-GB"/>
        </w:rPr>
        <w:t>That is, e</w:t>
      </w:r>
      <w:r w:rsidR="00B36638" w:rsidRPr="00901D0D">
        <w:rPr>
          <w:rFonts w:eastAsia="Calibri" w:cs="Times New Roman"/>
          <w:lang w:val="en-GB"/>
        </w:rPr>
        <w:t>xperiential beliefs</w:t>
      </w:r>
      <w:r w:rsidR="00BA03BF" w:rsidRPr="00901D0D">
        <w:rPr>
          <w:rFonts w:eastAsia="Calibri" w:cs="Times New Roman"/>
          <w:lang w:val="en-GB"/>
        </w:rPr>
        <w:t xml:space="preserve"> </w:t>
      </w:r>
      <w:r w:rsidR="00B36638" w:rsidRPr="00901D0D">
        <w:rPr>
          <w:rFonts w:eastAsia="Calibri" w:cs="Times New Roman"/>
          <w:lang w:val="en-GB"/>
        </w:rPr>
        <w:t xml:space="preserve">involve </w:t>
      </w:r>
      <w:r w:rsidR="00472FAB" w:rsidRPr="00901D0D">
        <w:rPr>
          <w:rFonts w:eastAsia="Calibri" w:cs="Times New Roman"/>
          <w:lang w:val="en-GB"/>
        </w:rPr>
        <w:t xml:space="preserve">actively </w:t>
      </w:r>
      <w:r w:rsidR="00B36638" w:rsidRPr="00901D0D">
        <w:rPr>
          <w:rFonts w:eastAsia="Calibri" w:cs="Times New Roman"/>
          <w:lang w:val="en-GB"/>
        </w:rPr>
        <w:t>interpreting experiences as having an anomalistic cause</w:t>
      </w:r>
      <w:r w:rsidR="00BA03BF" w:rsidRPr="00901D0D">
        <w:rPr>
          <w:rFonts w:eastAsia="Calibri" w:cs="Times New Roman"/>
          <w:lang w:val="en-GB"/>
        </w:rPr>
        <w:t>; for example, judging something you see out of the corner of your eye as a ghost</w:t>
      </w:r>
      <w:r w:rsidR="00472FAB" w:rsidRPr="00901D0D">
        <w:rPr>
          <w:rFonts w:eastAsia="Calibri" w:cs="Times New Roman"/>
          <w:lang w:val="en-GB"/>
        </w:rPr>
        <w:t xml:space="preserve"> (vs. </w:t>
      </w:r>
      <w:r w:rsidR="00BA03BF" w:rsidRPr="00901D0D">
        <w:rPr>
          <w:rFonts w:eastAsia="Calibri" w:cs="Times New Roman"/>
          <w:lang w:val="en-GB"/>
        </w:rPr>
        <w:t>as a perceptual illusion</w:t>
      </w:r>
      <w:r w:rsidR="00472FAB" w:rsidRPr="00901D0D">
        <w:rPr>
          <w:rFonts w:eastAsia="Calibri" w:cs="Times New Roman"/>
          <w:lang w:val="en-GB"/>
        </w:rPr>
        <w:t>)</w:t>
      </w:r>
      <w:r w:rsidR="00B36638" w:rsidRPr="00901D0D">
        <w:rPr>
          <w:rFonts w:eastAsia="Calibri" w:cs="Times New Roman"/>
          <w:lang w:val="en-GB"/>
        </w:rPr>
        <w:t xml:space="preserve">. </w:t>
      </w:r>
      <w:r w:rsidR="00BA03BF" w:rsidRPr="00901D0D">
        <w:rPr>
          <w:rFonts w:eastAsia="Calibri" w:cs="Times New Roman"/>
          <w:lang w:val="en-GB"/>
        </w:rPr>
        <w:t xml:space="preserve">Thus, as mentioned </w:t>
      </w:r>
      <w:r w:rsidR="00BA03BF" w:rsidRPr="00901D0D">
        <w:rPr>
          <w:rFonts w:eastAsia="Calibri" w:cs="Times New Roman"/>
          <w:lang w:val="en-GB"/>
        </w:rPr>
        <w:lastRenderedPageBreak/>
        <w:t xml:space="preserve">in the Introduction, </w:t>
      </w:r>
      <w:r w:rsidR="001E15DA" w:rsidRPr="00901D0D">
        <w:rPr>
          <w:rFonts w:eastAsia="Calibri" w:cs="Times New Roman"/>
          <w:lang w:val="en-GB"/>
        </w:rPr>
        <w:t>mis</w:t>
      </w:r>
      <w:r w:rsidR="00B36638" w:rsidRPr="00901D0D">
        <w:rPr>
          <w:rFonts w:eastAsia="Calibri" w:cs="Times New Roman"/>
          <w:lang w:val="en-GB"/>
        </w:rPr>
        <w:t>perception of chance may play a particularly pronounced role in relation to experiential beliefs</w:t>
      </w:r>
      <w:r w:rsidR="00BA03BF" w:rsidRPr="00901D0D">
        <w:rPr>
          <w:rFonts w:eastAsia="Calibri" w:cs="Times New Roman"/>
          <w:lang w:val="en-GB"/>
        </w:rPr>
        <w:t xml:space="preserve"> because many experiences that are assigned</w:t>
      </w:r>
      <w:r w:rsidR="00BA1DD4" w:rsidRPr="00901D0D">
        <w:rPr>
          <w:rFonts w:eastAsia="Calibri" w:cs="Times New Roman"/>
          <w:lang w:val="en-GB"/>
        </w:rPr>
        <w:t xml:space="preserve"> an anomalistic explanation are likely to be coincidences or strange experiences</w:t>
      </w:r>
      <w:r w:rsidR="007442C8" w:rsidRPr="00901D0D">
        <w:rPr>
          <w:rFonts w:eastAsia="Calibri" w:cs="Times New Roman"/>
          <w:lang w:val="en-GB"/>
        </w:rPr>
        <w:t xml:space="preserve"> (</w:t>
      </w:r>
      <w:bookmarkStart w:id="15" w:name="_Hlk511593415"/>
      <w:proofErr w:type="spellStart"/>
      <w:r w:rsidR="007442C8" w:rsidRPr="00901D0D">
        <w:rPr>
          <w:rFonts w:eastAsia="Calibri" w:cs="Times New Roman"/>
          <w:lang w:val="en-GB"/>
        </w:rPr>
        <w:t>Hadlaczky</w:t>
      </w:r>
      <w:proofErr w:type="spellEnd"/>
      <w:r w:rsidR="007442C8" w:rsidRPr="00901D0D">
        <w:rPr>
          <w:rFonts w:eastAsia="Calibri" w:cs="Times New Roman"/>
          <w:lang w:val="en-GB"/>
        </w:rPr>
        <w:t xml:space="preserve"> &amp; </w:t>
      </w:r>
      <w:proofErr w:type="spellStart"/>
      <w:r w:rsidR="007442C8" w:rsidRPr="00901D0D">
        <w:rPr>
          <w:rFonts w:eastAsia="Calibri" w:cs="Times New Roman"/>
          <w:lang w:val="en-GB"/>
        </w:rPr>
        <w:t>Westerlund</w:t>
      </w:r>
      <w:proofErr w:type="spellEnd"/>
      <w:r w:rsidR="007442C8" w:rsidRPr="00901D0D">
        <w:rPr>
          <w:rFonts w:eastAsia="Calibri" w:cs="Times New Roman"/>
          <w:lang w:val="en-GB"/>
        </w:rPr>
        <w:t xml:space="preserve">, 2011; Ross, </w:t>
      </w:r>
      <w:proofErr w:type="spellStart"/>
      <w:r w:rsidR="007442C8" w:rsidRPr="00901D0D">
        <w:rPr>
          <w:rFonts w:eastAsia="Calibri" w:cs="Times New Roman"/>
          <w:lang w:val="en-GB"/>
        </w:rPr>
        <w:t>Hartig</w:t>
      </w:r>
      <w:proofErr w:type="spellEnd"/>
      <w:r w:rsidR="007442C8" w:rsidRPr="00901D0D">
        <w:rPr>
          <w:rFonts w:eastAsia="Calibri" w:cs="Times New Roman"/>
          <w:lang w:val="en-GB"/>
        </w:rPr>
        <w:t>, &amp; McKay, 201</w:t>
      </w:r>
      <w:r w:rsidR="00E850D3" w:rsidRPr="00901D0D">
        <w:rPr>
          <w:rFonts w:eastAsia="Calibri" w:cs="Times New Roman"/>
          <w:lang w:val="en-GB"/>
        </w:rPr>
        <w:t>7</w:t>
      </w:r>
      <w:bookmarkEnd w:id="15"/>
      <w:r w:rsidR="007442C8" w:rsidRPr="00901D0D">
        <w:rPr>
          <w:rFonts w:eastAsia="Calibri" w:cs="Times New Roman"/>
          <w:lang w:val="en-GB"/>
        </w:rPr>
        <w:t>)</w:t>
      </w:r>
      <w:r w:rsidR="00B36638" w:rsidRPr="00901D0D">
        <w:rPr>
          <w:rFonts w:eastAsia="Calibri" w:cs="Times New Roman"/>
          <w:lang w:val="en-GB"/>
        </w:rPr>
        <w:t xml:space="preserve">. In contrast, theoretical anomalistic beliefs </w:t>
      </w:r>
      <w:r w:rsidR="00480FD3" w:rsidRPr="00901D0D">
        <w:rPr>
          <w:rFonts w:eastAsia="Calibri" w:cs="Times New Roman"/>
          <w:lang w:val="en-GB"/>
        </w:rPr>
        <w:t>are less likely to involve evaluating whether a</w:t>
      </w:r>
      <w:r w:rsidR="002A1AF8" w:rsidRPr="00901D0D">
        <w:rPr>
          <w:rFonts w:eastAsia="Calibri" w:cs="Times New Roman"/>
          <w:lang w:val="en-GB"/>
        </w:rPr>
        <w:t xml:space="preserve"> particular</w:t>
      </w:r>
      <w:r w:rsidR="00480FD3" w:rsidRPr="00901D0D">
        <w:rPr>
          <w:rFonts w:eastAsia="Calibri" w:cs="Times New Roman"/>
          <w:lang w:val="en-GB"/>
        </w:rPr>
        <w:t xml:space="preserve"> experience could have occurred by chance</w:t>
      </w:r>
      <w:r w:rsidR="00095A71">
        <w:rPr>
          <w:rFonts w:eastAsia="Calibri" w:cs="Times New Roman"/>
          <w:lang w:val="en-GB"/>
        </w:rPr>
        <w:t xml:space="preserve"> because they </w:t>
      </w:r>
      <w:r w:rsidR="00BA1DD4" w:rsidRPr="00901D0D">
        <w:rPr>
          <w:rFonts w:eastAsia="Calibri" w:cs="Times New Roman"/>
          <w:lang w:val="en-GB"/>
        </w:rPr>
        <w:t>only need to involve the possibility that something potentially exists (or is true) in a general and/or abstract sense</w:t>
      </w:r>
      <w:r w:rsidR="00B36638" w:rsidRPr="00901D0D">
        <w:rPr>
          <w:rFonts w:eastAsia="Calibri" w:cs="Times New Roman"/>
          <w:lang w:val="en-GB"/>
        </w:rPr>
        <w:t xml:space="preserve">. </w:t>
      </w:r>
    </w:p>
    <w:p w14:paraId="0246976D" w14:textId="3F517F79" w:rsidR="00381E0A" w:rsidRPr="00901D0D" w:rsidRDefault="00095A71" w:rsidP="00DD1D3B">
      <w:pPr>
        <w:spacing w:after="200"/>
        <w:contextualSpacing/>
        <w:rPr>
          <w:rFonts w:eastAsia="Calibri" w:cs="Times New Roman"/>
          <w:lang w:val="en-GB"/>
        </w:rPr>
      </w:pPr>
      <w:r>
        <w:rPr>
          <w:rFonts w:eastAsia="Calibri" w:cs="Times New Roman"/>
          <w:lang w:val="en-GB"/>
        </w:rPr>
        <w:t>Unlike</w:t>
      </w:r>
      <w:r w:rsidR="00BA1DD4" w:rsidRPr="00901D0D">
        <w:rPr>
          <w:rFonts w:eastAsia="Calibri" w:cs="Times New Roman"/>
          <w:lang w:val="en-GB"/>
        </w:rPr>
        <w:t xml:space="preserve"> misperception of chance, the</w:t>
      </w:r>
      <w:r w:rsidR="00922382" w:rsidRPr="00901D0D">
        <w:rPr>
          <w:rFonts w:eastAsia="Calibri" w:cs="Times New Roman"/>
          <w:lang w:val="en-GB"/>
        </w:rPr>
        <w:t xml:space="preserve"> propensity to commit the base rate fallacy was </w:t>
      </w:r>
      <w:r w:rsidR="00BA1DD4" w:rsidRPr="00901D0D">
        <w:rPr>
          <w:rFonts w:eastAsia="Calibri" w:cs="Times New Roman"/>
          <w:lang w:val="en-GB"/>
        </w:rPr>
        <w:t xml:space="preserve">not related </w:t>
      </w:r>
      <w:r w:rsidR="00922382" w:rsidRPr="00901D0D">
        <w:rPr>
          <w:rFonts w:eastAsia="Calibri" w:cs="Times New Roman"/>
          <w:lang w:val="en-GB"/>
        </w:rPr>
        <w:t>to any individual subset of</w:t>
      </w:r>
      <w:r w:rsidR="00A05AF9" w:rsidRPr="00901D0D">
        <w:rPr>
          <w:rFonts w:eastAsia="Calibri" w:cs="Times New Roman"/>
          <w:lang w:val="en-GB"/>
        </w:rPr>
        <w:t xml:space="preserve"> anomalistic</w:t>
      </w:r>
      <w:r w:rsidR="00922382" w:rsidRPr="00901D0D">
        <w:rPr>
          <w:rFonts w:eastAsia="Calibri" w:cs="Times New Roman"/>
          <w:lang w:val="en-GB"/>
        </w:rPr>
        <w:t xml:space="preserve"> belief</w:t>
      </w:r>
      <w:r w:rsidR="00CC4B71" w:rsidRPr="00901D0D">
        <w:rPr>
          <w:rFonts w:eastAsia="Calibri" w:cs="Times New Roman"/>
          <w:lang w:val="en-GB"/>
        </w:rPr>
        <w:t>, which</w:t>
      </w:r>
      <w:r w:rsidR="002A1AF8" w:rsidRPr="00901D0D">
        <w:rPr>
          <w:rFonts w:eastAsia="Calibri" w:cs="Times New Roman"/>
          <w:lang w:val="en-GB"/>
        </w:rPr>
        <w:t xml:space="preserve"> </w:t>
      </w:r>
      <w:r>
        <w:rPr>
          <w:rFonts w:eastAsia="Calibri" w:cs="Times New Roman"/>
          <w:lang w:val="en-GB"/>
        </w:rPr>
        <w:t>highlights</w:t>
      </w:r>
      <w:r w:rsidRPr="00901D0D">
        <w:rPr>
          <w:rFonts w:eastAsia="Calibri" w:cs="Times New Roman"/>
          <w:lang w:val="en-GB"/>
        </w:rPr>
        <w:t xml:space="preserve"> </w:t>
      </w:r>
      <w:r w:rsidR="004200AC" w:rsidRPr="00901D0D">
        <w:rPr>
          <w:rFonts w:eastAsia="Calibri" w:cs="Times New Roman"/>
          <w:lang w:val="en-GB"/>
        </w:rPr>
        <w:t xml:space="preserve">that one particular type of belief (e.g., experiential) may not be </w:t>
      </w:r>
      <w:r w:rsidR="005B2441" w:rsidRPr="00901D0D">
        <w:rPr>
          <w:rFonts w:eastAsia="Calibri" w:cs="Times New Roman"/>
          <w:lang w:val="en-GB"/>
        </w:rPr>
        <w:t>uniquely</w:t>
      </w:r>
      <w:r w:rsidR="004200AC" w:rsidRPr="00901D0D">
        <w:rPr>
          <w:rFonts w:eastAsia="Calibri" w:cs="Times New Roman"/>
          <w:lang w:val="en-GB"/>
        </w:rPr>
        <w:t xml:space="preserve"> related to </w:t>
      </w:r>
      <w:r w:rsidR="005B2441" w:rsidRPr="00901D0D">
        <w:rPr>
          <w:rFonts w:eastAsia="Calibri" w:cs="Times New Roman"/>
          <w:lang w:val="en-GB"/>
        </w:rPr>
        <w:t xml:space="preserve">performance for all </w:t>
      </w:r>
      <w:r w:rsidR="00CC4B71" w:rsidRPr="00901D0D">
        <w:rPr>
          <w:rFonts w:eastAsia="Calibri" w:cs="Times New Roman"/>
          <w:lang w:val="en-GB"/>
        </w:rPr>
        <w:t xml:space="preserve">probabilistic reasoning </w:t>
      </w:r>
      <w:r w:rsidR="005B2441" w:rsidRPr="00901D0D">
        <w:rPr>
          <w:rFonts w:eastAsia="Calibri" w:cs="Times New Roman"/>
          <w:lang w:val="en-GB"/>
        </w:rPr>
        <w:t xml:space="preserve">tasks. </w:t>
      </w:r>
      <w:r w:rsidR="00DD1D3B" w:rsidRPr="00901D0D">
        <w:rPr>
          <w:rFonts w:eastAsia="Calibri" w:cs="Times New Roman"/>
          <w:lang w:val="en-GB"/>
        </w:rPr>
        <w:t>However, it is important to note that</w:t>
      </w:r>
      <w:r w:rsidR="00381E0A" w:rsidRPr="00901D0D">
        <w:rPr>
          <w:rFonts w:eastAsia="Calibri" w:cs="Times New Roman"/>
          <w:lang w:val="en-GB"/>
        </w:rPr>
        <w:t xml:space="preserve"> the average proportions correct </w:t>
      </w:r>
      <w:r w:rsidR="00DD1D3B" w:rsidRPr="00901D0D">
        <w:rPr>
          <w:rFonts w:eastAsia="Calibri" w:cs="Times New Roman"/>
          <w:lang w:val="en-GB"/>
        </w:rPr>
        <w:t xml:space="preserve">on the base rate fallacy task </w:t>
      </w:r>
      <w:r w:rsidR="00381E0A" w:rsidRPr="00901D0D">
        <w:rPr>
          <w:rFonts w:eastAsia="Calibri" w:cs="Times New Roman"/>
          <w:lang w:val="en-GB"/>
        </w:rPr>
        <w:t>were either below chance (control context) or at chance level (anomalistic context).</w:t>
      </w:r>
      <w:r w:rsidR="00A7067E" w:rsidRPr="00901D0D">
        <w:rPr>
          <w:rFonts w:eastAsia="Calibri" w:cs="Times New Roman"/>
          <w:lang w:val="en-GB"/>
        </w:rPr>
        <w:t xml:space="preserve"> </w:t>
      </w:r>
      <w:r w:rsidR="00DD1D3B" w:rsidRPr="00901D0D">
        <w:rPr>
          <w:rFonts w:eastAsia="Calibri" w:cs="Times New Roman"/>
          <w:lang w:val="en-GB"/>
        </w:rPr>
        <w:t>Thus</w:t>
      </w:r>
      <w:r w:rsidR="0013287C" w:rsidRPr="00901D0D">
        <w:rPr>
          <w:rFonts w:eastAsia="Calibri" w:cs="Times New Roman"/>
          <w:lang w:val="en-GB"/>
        </w:rPr>
        <w:t xml:space="preserve">, consistent with previous research, </w:t>
      </w:r>
      <w:r w:rsidR="00D45593" w:rsidRPr="00901D0D">
        <w:rPr>
          <w:rFonts w:eastAsia="Calibri" w:cs="Times New Roman"/>
          <w:lang w:val="en-GB"/>
        </w:rPr>
        <w:t>p</w:t>
      </w:r>
      <w:r w:rsidR="00A7067E" w:rsidRPr="00901D0D">
        <w:rPr>
          <w:rFonts w:eastAsia="Calibri" w:cs="Times New Roman"/>
          <w:lang w:val="en-GB"/>
        </w:rPr>
        <w:t>articipants</w:t>
      </w:r>
      <w:r w:rsidR="00D45593" w:rsidRPr="00901D0D">
        <w:rPr>
          <w:rFonts w:eastAsia="Calibri" w:cs="Times New Roman"/>
          <w:lang w:val="en-GB"/>
        </w:rPr>
        <w:t xml:space="preserve"> were just as</w:t>
      </w:r>
      <w:r w:rsidR="00A7067E" w:rsidRPr="00901D0D">
        <w:rPr>
          <w:rFonts w:eastAsia="Calibri" w:cs="Times New Roman"/>
          <w:lang w:val="en-GB"/>
        </w:rPr>
        <w:t xml:space="preserve"> likely</w:t>
      </w:r>
      <w:r w:rsidR="00D45593" w:rsidRPr="00901D0D">
        <w:rPr>
          <w:rFonts w:eastAsia="Calibri" w:cs="Times New Roman"/>
          <w:lang w:val="en-GB"/>
        </w:rPr>
        <w:t xml:space="preserve"> (or more likely </w:t>
      </w:r>
      <w:r w:rsidR="00AE27EE" w:rsidRPr="00901D0D">
        <w:rPr>
          <w:rFonts w:eastAsia="Calibri" w:cs="Times New Roman"/>
          <w:lang w:val="en-GB"/>
        </w:rPr>
        <w:t>for</w:t>
      </w:r>
      <w:r w:rsidR="00D45593" w:rsidRPr="00901D0D">
        <w:rPr>
          <w:rFonts w:eastAsia="Calibri" w:cs="Times New Roman"/>
          <w:lang w:val="en-GB"/>
        </w:rPr>
        <w:t xml:space="preserve"> the control context) </w:t>
      </w:r>
      <w:r w:rsidR="00A7067E" w:rsidRPr="00901D0D">
        <w:rPr>
          <w:rFonts w:eastAsia="Calibri" w:cs="Times New Roman"/>
          <w:lang w:val="en-GB"/>
        </w:rPr>
        <w:t>to choose the answer supported by the superficial representative statement</w:t>
      </w:r>
      <w:r w:rsidR="00D45593" w:rsidRPr="00901D0D">
        <w:rPr>
          <w:rFonts w:eastAsia="Calibri" w:cs="Times New Roman"/>
          <w:lang w:val="en-GB"/>
        </w:rPr>
        <w:t xml:space="preserve"> </w:t>
      </w:r>
      <w:r w:rsidR="00A7067E" w:rsidRPr="00901D0D">
        <w:rPr>
          <w:rFonts w:eastAsia="Calibri" w:cs="Times New Roman"/>
          <w:lang w:val="en-GB"/>
        </w:rPr>
        <w:t>than to</w:t>
      </w:r>
      <w:r w:rsidR="00AE27EE" w:rsidRPr="00901D0D">
        <w:rPr>
          <w:rFonts w:eastAsia="Calibri" w:cs="Times New Roman"/>
          <w:lang w:val="en-GB"/>
        </w:rPr>
        <w:t xml:space="preserve"> </w:t>
      </w:r>
      <w:r w:rsidR="001061AE" w:rsidRPr="00901D0D">
        <w:rPr>
          <w:rFonts w:eastAsia="Calibri" w:cs="Times New Roman"/>
          <w:lang w:val="en-GB"/>
        </w:rPr>
        <w:t xml:space="preserve">use </w:t>
      </w:r>
      <w:r w:rsidR="00AE27EE" w:rsidRPr="00901D0D">
        <w:rPr>
          <w:rFonts w:eastAsia="Calibri" w:cs="Times New Roman"/>
          <w:lang w:val="en-GB"/>
        </w:rPr>
        <w:t>the statistical base rate information</w:t>
      </w:r>
      <w:r w:rsidR="0013287C" w:rsidRPr="00901D0D">
        <w:rPr>
          <w:rFonts w:eastAsia="Calibri" w:cs="Times New Roman"/>
          <w:lang w:val="en-GB"/>
        </w:rPr>
        <w:t xml:space="preserve"> </w:t>
      </w:r>
      <w:r w:rsidR="001061AE" w:rsidRPr="00901D0D">
        <w:rPr>
          <w:rFonts w:eastAsia="Calibri" w:cs="Times New Roman"/>
          <w:lang w:val="en-GB"/>
        </w:rPr>
        <w:t xml:space="preserve">to guide their decision </w:t>
      </w:r>
      <w:r w:rsidR="0013287C" w:rsidRPr="00901D0D">
        <w:rPr>
          <w:rFonts w:eastAsia="Calibri" w:cs="Times New Roman"/>
          <w:lang w:val="en-GB"/>
        </w:rPr>
        <w:t>(</w:t>
      </w:r>
      <w:bookmarkStart w:id="16" w:name="_Hlk511593464"/>
      <w:r w:rsidR="0013287C" w:rsidRPr="00901D0D">
        <w:rPr>
          <w:rFonts w:eastAsia="Calibri" w:cs="Times New Roman"/>
          <w:lang w:val="en-GB"/>
        </w:rPr>
        <w:t>Pennycook</w:t>
      </w:r>
      <w:r w:rsidR="001F23EC" w:rsidRPr="00901D0D">
        <w:rPr>
          <w:rFonts w:eastAsia="Calibri" w:cs="Times New Roman"/>
          <w:lang w:val="en-GB"/>
        </w:rPr>
        <w:t xml:space="preserve"> et al.</w:t>
      </w:r>
      <w:r w:rsidR="0013287C" w:rsidRPr="00901D0D">
        <w:rPr>
          <w:rFonts w:eastAsia="Calibri" w:cs="Times New Roman"/>
          <w:lang w:val="en-GB"/>
        </w:rPr>
        <w:t>, 201</w:t>
      </w:r>
      <w:r w:rsidR="007342E4" w:rsidRPr="00901D0D">
        <w:rPr>
          <w:rFonts w:eastAsia="Calibri" w:cs="Times New Roman"/>
          <w:lang w:val="en-GB"/>
        </w:rPr>
        <w:t>2</w:t>
      </w:r>
      <w:bookmarkEnd w:id="16"/>
      <w:r w:rsidR="0013287C" w:rsidRPr="00901D0D">
        <w:rPr>
          <w:rFonts w:eastAsia="Calibri" w:cs="Times New Roman"/>
          <w:lang w:val="en-GB"/>
        </w:rPr>
        <w:t>).</w:t>
      </w:r>
      <w:r w:rsidR="00AE27EE" w:rsidRPr="00901D0D">
        <w:rPr>
          <w:rFonts w:eastAsia="Calibri" w:cs="Times New Roman"/>
          <w:lang w:val="en-GB"/>
        </w:rPr>
        <w:t xml:space="preserve"> </w:t>
      </w:r>
      <w:r w:rsidR="00DC71E9" w:rsidRPr="00901D0D">
        <w:rPr>
          <w:rFonts w:eastAsia="Calibri" w:cs="Times New Roman"/>
          <w:lang w:val="en-GB"/>
        </w:rPr>
        <w:t>Th</w:t>
      </w:r>
      <w:r w:rsidR="00A15BFA" w:rsidRPr="00901D0D">
        <w:rPr>
          <w:rFonts w:eastAsia="Calibri" w:cs="Times New Roman"/>
          <w:lang w:val="en-GB"/>
        </w:rPr>
        <w:t xml:space="preserve">is combination of overall poor performance and </w:t>
      </w:r>
      <w:r w:rsidR="00DC71E9" w:rsidRPr="00901D0D">
        <w:rPr>
          <w:rFonts w:eastAsia="Calibri" w:cs="Times New Roman"/>
          <w:lang w:val="en-GB"/>
        </w:rPr>
        <w:t>negative relationships between</w:t>
      </w:r>
      <w:r w:rsidR="00DD23C9" w:rsidRPr="00901D0D">
        <w:rPr>
          <w:rFonts w:eastAsia="Calibri" w:cs="Times New Roman"/>
          <w:lang w:val="en-GB"/>
        </w:rPr>
        <w:t xml:space="preserve"> anomalistic belief </w:t>
      </w:r>
      <w:r w:rsidR="00DC71E9" w:rsidRPr="00901D0D">
        <w:rPr>
          <w:rFonts w:eastAsia="Calibri" w:cs="Times New Roman"/>
          <w:lang w:val="en-GB"/>
        </w:rPr>
        <w:t xml:space="preserve">and base rate fallacy accuracy </w:t>
      </w:r>
      <w:r w:rsidR="00F86B17" w:rsidRPr="00901D0D">
        <w:rPr>
          <w:rFonts w:eastAsia="Calibri" w:cs="Times New Roman"/>
          <w:lang w:val="en-GB"/>
        </w:rPr>
        <w:t>suggest</w:t>
      </w:r>
      <w:r w:rsidR="00FB048A" w:rsidRPr="00901D0D">
        <w:rPr>
          <w:rFonts w:eastAsia="Calibri" w:cs="Times New Roman"/>
          <w:lang w:val="en-GB"/>
        </w:rPr>
        <w:t>s</w:t>
      </w:r>
      <w:r w:rsidR="00F86B17" w:rsidRPr="00901D0D">
        <w:rPr>
          <w:rFonts w:eastAsia="Calibri" w:cs="Times New Roman"/>
          <w:lang w:val="en-GB"/>
        </w:rPr>
        <w:t xml:space="preserve"> </w:t>
      </w:r>
      <w:r w:rsidR="00DD23C9" w:rsidRPr="00901D0D">
        <w:rPr>
          <w:rFonts w:eastAsia="Calibri" w:cs="Times New Roman"/>
          <w:lang w:val="en-GB"/>
        </w:rPr>
        <w:t>that participants with high</w:t>
      </w:r>
      <w:r w:rsidR="00DE3AE4" w:rsidRPr="00901D0D">
        <w:rPr>
          <w:rFonts w:eastAsia="Calibri" w:cs="Times New Roman"/>
          <w:lang w:val="en-GB"/>
        </w:rPr>
        <w:t>er</w:t>
      </w:r>
      <w:r w:rsidR="00DD23C9" w:rsidRPr="00901D0D">
        <w:rPr>
          <w:rFonts w:eastAsia="Calibri" w:cs="Times New Roman"/>
          <w:lang w:val="en-GB"/>
        </w:rPr>
        <w:t xml:space="preserve"> levels of anomalistic belief were more likely to rely on the superficial representative statement than the base rate information, whereas </w:t>
      </w:r>
      <w:r w:rsidR="00F86B17" w:rsidRPr="00901D0D">
        <w:rPr>
          <w:rFonts w:eastAsia="Calibri" w:cs="Times New Roman"/>
          <w:lang w:val="en-GB"/>
        </w:rPr>
        <w:t xml:space="preserve">participants </w:t>
      </w:r>
      <w:r w:rsidR="00DD23C9" w:rsidRPr="00901D0D">
        <w:rPr>
          <w:rFonts w:eastAsia="Calibri" w:cs="Times New Roman"/>
          <w:lang w:val="en-GB"/>
        </w:rPr>
        <w:t>with low</w:t>
      </w:r>
      <w:r w:rsidR="00DE3AE4" w:rsidRPr="00901D0D">
        <w:rPr>
          <w:rFonts w:eastAsia="Calibri" w:cs="Times New Roman"/>
          <w:lang w:val="en-GB"/>
        </w:rPr>
        <w:t>er</w:t>
      </w:r>
      <w:r w:rsidR="00DD23C9" w:rsidRPr="00901D0D">
        <w:rPr>
          <w:rFonts w:eastAsia="Calibri" w:cs="Times New Roman"/>
          <w:lang w:val="en-GB"/>
        </w:rPr>
        <w:t xml:space="preserve"> levels of anomalistic belief were approximately equally likely to rely on either the representative information or the base rate.</w:t>
      </w:r>
      <w:r w:rsidR="005275FA" w:rsidRPr="00901D0D">
        <w:rPr>
          <w:rFonts w:eastAsia="Calibri" w:cs="Times New Roman"/>
          <w:lang w:val="en-GB"/>
        </w:rPr>
        <w:t xml:space="preserve"> </w:t>
      </w:r>
      <w:r>
        <w:rPr>
          <w:rFonts w:eastAsia="Calibri" w:cs="Times New Roman"/>
          <w:lang w:val="en-GB"/>
        </w:rPr>
        <w:t>Thus,</w:t>
      </w:r>
      <w:r w:rsidR="008F67A9" w:rsidRPr="00901D0D">
        <w:rPr>
          <w:rFonts w:eastAsia="Calibri" w:cs="Times New Roman"/>
          <w:lang w:val="en-GB"/>
        </w:rPr>
        <w:t xml:space="preserve"> </w:t>
      </w:r>
      <w:r w:rsidR="00A9792F" w:rsidRPr="00901D0D">
        <w:rPr>
          <w:rFonts w:eastAsia="Calibri" w:cs="Times New Roman"/>
          <w:lang w:val="en-GB"/>
        </w:rPr>
        <w:t xml:space="preserve">because </w:t>
      </w:r>
      <w:r w:rsidR="008F67A9" w:rsidRPr="00901D0D">
        <w:rPr>
          <w:rFonts w:eastAsia="Calibri" w:cs="Times New Roman"/>
          <w:lang w:val="en-GB"/>
        </w:rPr>
        <w:t xml:space="preserve">participants had a high likelihood </w:t>
      </w:r>
      <w:r w:rsidR="00A15BFA" w:rsidRPr="00901D0D">
        <w:rPr>
          <w:rFonts w:eastAsia="Calibri" w:cs="Times New Roman"/>
          <w:lang w:val="en-GB"/>
        </w:rPr>
        <w:t xml:space="preserve">overall </w:t>
      </w:r>
      <w:r w:rsidR="008F67A9" w:rsidRPr="00901D0D">
        <w:rPr>
          <w:rFonts w:eastAsia="Calibri" w:cs="Times New Roman"/>
          <w:lang w:val="en-GB"/>
        </w:rPr>
        <w:t xml:space="preserve">of choosing </w:t>
      </w:r>
      <w:r w:rsidR="00A9792F" w:rsidRPr="00901D0D">
        <w:rPr>
          <w:rFonts w:eastAsia="Calibri" w:cs="Times New Roman"/>
          <w:lang w:val="en-GB"/>
        </w:rPr>
        <w:t>the representative option,</w:t>
      </w:r>
      <w:r w:rsidR="008F67A9" w:rsidRPr="00901D0D">
        <w:rPr>
          <w:rFonts w:eastAsia="Calibri" w:cs="Times New Roman"/>
          <w:lang w:val="en-GB"/>
        </w:rPr>
        <w:t xml:space="preserve"> there </w:t>
      </w:r>
      <w:r>
        <w:rPr>
          <w:rFonts w:eastAsia="Calibri" w:cs="Times New Roman"/>
          <w:lang w:val="en-GB"/>
        </w:rPr>
        <w:t>may have been</w:t>
      </w:r>
      <w:r w:rsidR="008F67A9" w:rsidRPr="00901D0D">
        <w:rPr>
          <w:rFonts w:eastAsia="Calibri" w:cs="Times New Roman"/>
          <w:lang w:val="en-GB"/>
        </w:rPr>
        <w:t xml:space="preserve"> a limited range to find an association between a specific subtype of anomalistic belief and more reliance on the representative rather than base rate information</w:t>
      </w:r>
      <w:r w:rsidR="005275FA" w:rsidRPr="00901D0D">
        <w:rPr>
          <w:rFonts w:eastAsia="Calibri" w:cs="Times New Roman"/>
          <w:lang w:val="en-GB"/>
        </w:rPr>
        <w:t>.</w:t>
      </w:r>
    </w:p>
    <w:p w14:paraId="3E8E57CC" w14:textId="13228C14" w:rsidR="00B36638" w:rsidRPr="00901D0D" w:rsidRDefault="00FC407A" w:rsidP="00301785">
      <w:pPr>
        <w:spacing w:after="200"/>
        <w:contextualSpacing/>
        <w:rPr>
          <w:rFonts w:eastAsia="Calibri" w:cs="Times New Roman"/>
          <w:lang w:val="en-GB"/>
        </w:rPr>
      </w:pPr>
      <w:r w:rsidRPr="00901D0D">
        <w:rPr>
          <w:rFonts w:eastAsia="Calibri" w:cs="Times New Roman"/>
          <w:lang w:val="en-GB"/>
        </w:rPr>
        <w:lastRenderedPageBreak/>
        <w:t>Although we found a context effect for both types of probabilistic reasoning items, the pattern differed between them</w:t>
      </w:r>
      <w:r w:rsidR="00C468B3" w:rsidRPr="00901D0D">
        <w:rPr>
          <w:rFonts w:eastAsia="Calibri" w:cs="Times New Roman"/>
          <w:lang w:val="en-GB"/>
        </w:rPr>
        <w:t>.</w:t>
      </w:r>
      <w:r w:rsidR="00E345DA" w:rsidRPr="00901D0D">
        <w:rPr>
          <w:rFonts w:eastAsia="Calibri" w:cs="Times New Roman"/>
          <w:lang w:val="en-GB"/>
        </w:rPr>
        <w:t xml:space="preserve"> </w:t>
      </w:r>
      <w:r w:rsidR="00095A71">
        <w:rPr>
          <w:rFonts w:eastAsia="Calibri" w:cs="Times New Roman"/>
          <w:lang w:val="en-GB"/>
        </w:rPr>
        <w:t>One potential explanation for why b</w:t>
      </w:r>
      <w:r w:rsidR="00E7595D">
        <w:rPr>
          <w:rFonts w:eastAsia="Calibri" w:cs="Times New Roman"/>
          <w:lang w:val="en-GB"/>
        </w:rPr>
        <w:t>ase rate e</w:t>
      </w:r>
      <w:r w:rsidR="00FC58E3" w:rsidRPr="00901D0D">
        <w:rPr>
          <w:rFonts w:eastAsia="Calibri" w:cs="Times New Roman"/>
          <w:lang w:val="en-GB"/>
        </w:rPr>
        <w:t xml:space="preserve">rrors </w:t>
      </w:r>
      <w:r w:rsidR="002E00DC" w:rsidRPr="00901D0D">
        <w:rPr>
          <w:rFonts w:eastAsia="Calibri" w:cs="Times New Roman"/>
          <w:lang w:val="en-GB"/>
        </w:rPr>
        <w:t xml:space="preserve">were lower </w:t>
      </w:r>
      <w:r w:rsidR="00FC58E3" w:rsidRPr="00901D0D">
        <w:rPr>
          <w:rFonts w:eastAsia="Calibri" w:cs="Times New Roman"/>
          <w:lang w:val="en-GB"/>
        </w:rPr>
        <w:t xml:space="preserve">in the </w:t>
      </w:r>
      <w:r w:rsidR="002E00DC" w:rsidRPr="00901D0D">
        <w:rPr>
          <w:rFonts w:eastAsia="Calibri" w:cs="Times New Roman"/>
          <w:lang w:val="en-GB"/>
        </w:rPr>
        <w:t xml:space="preserve">anomalistic (vs. control) </w:t>
      </w:r>
      <w:r w:rsidR="00FC58E3" w:rsidRPr="00901D0D">
        <w:rPr>
          <w:rFonts w:eastAsia="Calibri" w:cs="Times New Roman"/>
          <w:lang w:val="en-GB"/>
        </w:rPr>
        <w:t>context</w:t>
      </w:r>
      <w:r w:rsidR="00CA1900" w:rsidRPr="00901D0D">
        <w:rPr>
          <w:rFonts w:eastAsia="Calibri" w:cs="Times New Roman"/>
          <w:lang w:val="en-GB"/>
        </w:rPr>
        <w:t xml:space="preserve"> is that</w:t>
      </w:r>
      <w:r w:rsidR="000E51DC" w:rsidRPr="00901D0D">
        <w:rPr>
          <w:rFonts w:eastAsia="Calibri" w:cs="Times New Roman"/>
          <w:lang w:val="en-GB"/>
        </w:rPr>
        <w:t xml:space="preserve">, regardless of level of anomalistic belief, </w:t>
      </w:r>
      <w:r w:rsidRPr="00901D0D">
        <w:rPr>
          <w:rFonts w:eastAsia="Calibri" w:cs="Times New Roman"/>
          <w:lang w:val="en-GB"/>
        </w:rPr>
        <w:t xml:space="preserve">participants </w:t>
      </w:r>
      <w:r w:rsidR="000E51DC" w:rsidRPr="00901D0D">
        <w:rPr>
          <w:rFonts w:eastAsia="Calibri" w:cs="Times New Roman"/>
          <w:lang w:val="en-GB"/>
        </w:rPr>
        <w:t>recognise</w:t>
      </w:r>
      <w:r w:rsidRPr="00901D0D">
        <w:rPr>
          <w:rFonts w:eastAsia="Calibri" w:cs="Times New Roman"/>
          <w:lang w:val="en-GB"/>
        </w:rPr>
        <w:t>d</w:t>
      </w:r>
      <w:r w:rsidR="000E51DC" w:rsidRPr="00901D0D">
        <w:rPr>
          <w:rFonts w:eastAsia="Calibri" w:cs="Times New Roman"/>
          <w:lang w:val="en-GB"/>
        </w:rPr>
        <w:t xml:space="preserve"> that anomalistic events are rare</w:t>
      </w:r>
      <w:r w:rsidRPr="00901D0D">
        <w:rPr>
          <w:rFonts w:eastAsia="Calibri" w:cs="Times New Roman"/>
          <w:lang w:val="en-GB"/>
        </w:rPr>
        <w:t>. T</w:t>
      </w:r>
      <w:r w:rsidR="000E51DC" w:rsidRPr="00901D0D">
        <w:rPr>
          <w:rFonts w:eastAsia="Calibri" w:cs="Times New Roman"/>
          <w:lang w:val="en-GB"/>
        </w:rPr>
        <w:t>herefore</w:t>
      </w:r>
      <w:r w:rsidRPr="00901D0D">
        <w:rPr>
          <w:rFonts w:eastAsia="Calibri" w:cs="Times New Roman"/>
          <w:lang w:val="en-GB"/>
        </w:rPr>
        <w:t>,</w:t>
      </w:r>
      <w:r w:rsidR="000E51DC" w:rsidRPr="00901D0D">
        <w:rPr>
          <w:rFonts w:eastAsia="Calibri" w:cs="Times New Roman"/>
          <w:lang w:val="en-GB"/>
        </w:rPr>
        <w:t xml:space="preserve"> </w:t>
      </w:r>
      <w:r w:rsidR="00FC58E3" w:rsidRPr="00901D0D">
        <w:rPr>
          <w:rFonts w:eastAsia="Calibri" w:cs="Times New Roman"/>
          <w:lang w:val="en-GB"/>
        </w:rPr>
        <w:t xml:space="preserve">when the stimuli context was anomalistic </w:t>
      </w:r>
      <w:r w:rsidR="000E51DC" w:rsidRPr="00901D0D">
        <w:rPr>
          <w:rFonts w:eastAsia="Calibri" w:cs="Times New Roman"/>
          <w:lang w:val="en-GB"/>
        </w:rPr>
        <w:t xml:space="preserve">the </w:t>
      </w:r>
      <w:r w:rsidR="00C468B3" w:rsidRPr="00901D0D">
        <w:rPr>
          <w:rFonts w:eastAsia="Calibri" w:cs="Times New Roman"/>
          <w:lang w:val="en-GB"/>
        </w:rPr>
        <w:t>superficial</w:t>
      </w:r>
      <w:r w:rsidR="000E51DC" w:rsidRPr="00901D0D">
        <w:rPr>
          <w:rFonts w:eastAsia="Calibri" w:cs="Times New Roman"/>
          <w:lang w:val="en-GB"/>
        </w:rPr>
        <w:t xml:space="preserve"> </w:t>
      </w:r>
      <w:r w:rsidR="00C468B3" w:rsidRPr="00901D0D">
        <w:rPr>
          <w:rFonts w:eastAsia="Calibri" w:cs="Times New Roman"/>
          <w:lang w:val="en-GB"/>
        </w:rPr>
        <w:t>descriptive information</w:t>
      </w:r>
      <w:r w:rsidR="005A528F" w:rsidRPr="00901D0D">
        <w:rPr>
          <w:rFonts w:eastAsia="Calibri" w:cs="Times New Roman"/>
          <w:lang w:val="en-GB"/>
        </w:rPr>
        <w:t xml:space="preserve"> </w:t>
      </w:r>
      <w:r w:rsidRPr="00901D0D">
        <w:rPr>
          <w:rFonts w:eastAsia="Calibri" w:cs="Times New Roman"/>
          <w:lang w:val="en-GB"/>
        </w:rPr>
        <w:t>wa</w:t>
      </w:r>
      <w:r w:rsidR="005A528F" w:rsidRPr="00901D0D">
        <w:rPr>
          <w:rFonts w:eastAsia="Calibri" w:cs="Times New Roman"/>
          <w:lang w:val="en-GB"/>
        </w:rPr>
        <w:t xml:space="preserve">s less likely to lead them </w:t>
      </w:r>
      <w:r w:rsidR="000A3C94" w:rsidRPr="00901D0D">
        <w:rPr>
          <w:rFonts w:eastAsia="Calibri" w:cs="Times New Roman"/>
          <w:lang w:val="en-GB"/>
        </w:rPr>
        <w:t xml:space="preserve">to </w:t>
      </w:r>
      <w:r w:rsidR="005A528F" w:rsidRPr="00901D0D">
        <w:rPr>
          <w:rFonts w:eastAsia="Calibri" w:cs="Times New Roman"/>
          <w:lang w:val="en-GB"/>
        </w:rPr>
        <w:t>overlook the base rate information</w:t>
      </w:r>
      <w:r w:rsidR="00C468B3" w:rsidRPr="00901D0D">
        <w:rPr>
          <w:rFonts w:eastAsia="Calibri" w:cs="Times New Roman"/>
          <w:lang w:val="en-GB"/>
        </w:rPr>
        <w:t xml:space="preserve">. </w:t>
      </w:r>
      <w:r w:rsidR="00923A1C" w:rsidRPr="00901D0D">
        <w:rPr>
          <w:rFonts w:eastAsia="Calibri" w:cs="Times New Roman"/>
          <w:lang w:val="en-GB"/>
        </w:rPr>
        <w:t xml:space="preserve">In contrast, misperception of chance </w:t>
      </w:r>
      <w:r w:rsidR="00E7595D">
        <w:rPr>
          <w:rFonts w:eastAsia="Calibri" w:cs="Times New Roman"/>
          <w:lang w:val="en-GB"/>
        </w:rPr>
        <w:t>errors</w:t>
      </w:r>
      <w:r w:rsidR="00E7595D" w:rsidRPr="00901D0D">
        <w:rPr>
          <w:rFonts w:eastAsia="Calibri" w:cs="Times New Roman"/>
          <w:lang w:val="en-GB"/>
        </w:rPr>
        <w:t xml:space="preserve"> </w:t>
      </w:r>
      <w:proofErr w:type="gramStart"/>
      <w:r w:rsidRPr="00901D0D">
        <w:rPr>
          <w:rFonts w:eastAsia="Calibri" w:cs="Times New Roman"/>
          <w:lang w:val="en-GB"/>
        </w:rPr>
        <w:t>were</w:t>
      </w:r>
      <w:proofErr w:type="gramEnd"/>
      <w:r w:rsidRPr="00901D0D">
        <w:rPr>
          <w:rFonts w:eastAsia="Calibri" w:cs="Times New Roman"/>
          <w:lang w:val="en-GB"/>
        </w:rPr>
        <w:t xml:space="preserve"> </w:t>
      </w:r>
      <w:r w:rsidR="00E345DA" w:rsidRPr="00901D0D">
        <w:rPr>
          <w:rFonts w:eastAsia="Calibri" w:cs="Times New Roman"/>
          <w:lang w:val="en-GB"/>
        </w:rPr>
        <w:t>lower</w:t>
      </w:r>
      <w:r w:rsidR="00923A1C" w:rsidRPr="00901D0D">
        <w:rPr>
          <w:rFonts w:eastAsia="Calibri" w:cs="Times New Roman"/>
          <w:lang w:val="en-GB"/>
        </w:rPr>
        <w:t xml:space="preserve"> </w:t>
      </w:r>
      <w:r w:rsidR="003D717A" w:rsidRPr="00901D0D">
        <w:rPr>
          <w:rFonts w:eastAsia="Calibri" w:cs="Times New Roman"/>
          <w:lang w:val="en-GB"/>
        </w:rPr>
        <w:t xml:space="preserve">for </w:t>
      </w:r>
      <w:r w:rsidR="00923A1C" w:rsidRPr="00901D0D">
        <w:rPr>
          <w:rFonts w:eastAsia="Calibri" w:cs="Times New Roman"/>
          <w:lang w:val="en-GB"/>
        </w:rPr>
        <w:t xml:space="preserve">the control </w:t>
      </w:r>
      <w:r w:rsidR="003D717A" w:rsidRPr="00901D0D">
        <w:rPr>
          <w:rFonts w:eastAsia="Calibri" w:cs="Times New Roman"/>
          <w:lang w:val="en-GB"/>
        </w:rPr>
        <w:t>(vs. anomalistic) stimuli</w:t>
      </w:r>
      <w:r w:rsidR="008E76E6" w:rsidRPr="00901D0D">
        <w:rPr>
          <w:rFonts w:eastAsia="Calibri" w:cs="Times New Roman"/>
          <w:lang w:val="en-GB"/>
        </w:rPr>
        <w:t xml:space="preserve">, which may be due in part to </w:t>
      </w:r>
      <w:r w:rsidR="00901D0D" w:rsidRPr="00901D0D">
        <w:rPr>
          <w:rFonts w:eastAsia="Calibri" w:cs="Times New Roman"/>
          <w:lang w:val="en-GB"/>
        </w:rPr>
        <w:t>familiarity</w:t>
      </w:r>
      <w:r w:rsidR="00923A1C" w:rsidRPr="00901D0D">
        <w:rPr>
          <w:rFonts w:eastAsia="Calibri" w:cs="Times New Roman"/>
          <w:lang w:val="en-GB"/>
        </w:rPr>
        <w:t xml:space="preserve">. </w:t>
      </w:r>
      <w:r w:rsidR="00095A71">
        <w:rPr>
          <w:rFonts w:eastAsia="Calibri" w:cs="Times New Roman"/>
          <w:lang w:val="en-GB"/>
        </w:rPr>
        <w:t>P</w:t>
      </w:r>
      <w:r w:rsidR="00923A1C" w:rsidRPr="00901D0D">
        <w:rPr>
          <w:rFonts w:eastAsia="Calibri" w:cs="Times New Roman"/>
          <w:lang w:val="en-GB"/>
        </w:rPr>
        <w:t xml:space="preserve">revious </w:t>
      </w:r>
      <w:r w:rsidR="003D717A" w:rsidRPr="00901D0D">
        <w:rPr>
          <w:rFonts w:eastAsia="Calibri" w:cs="Times New Roman"/>
          <w:lang w:val="en-GB"/>
        </w:rPr>
        <w:t>research</w:t>
      </w:r>
      <w:r w:rsidR="00923A1C" w:rsidRPr="00901D0D">
        <w:rPr>
          <w:rFonts w:eastAsia="Calibri" w:cs="Times New Roman"/>
          <w:lang w:val="en-GB"/>
        </w:rPr>
        <w:t xml:space="preserve"> has shown that </w:t>
      </w:r>
      <w:r w:rsidR="000A3C94" w:rsidRPr="00901D0D">
        <w:rPr>
          <w:rFonts w:eastAsia="Calibri" w:cs="Times New Roman"/>
          <w:lang w:val="en-GB"/>
        </w:rPr>
        <w:t>familiarity can influence performance on probabilistic reasoning tasks</w:t>
      </w:r>
      <w:r w:rsidR="00E345DA" w:rsidRPr="00901D0D">
        <w:rPr>
          <w:rFonts w:eastAsia="Calibri" w:cs="Times New Roman"/>
          <w:lang w:val="en-GB"/>
        </w:rPr>
        <w:t>; for example</w:t>
      </w:r>
      <w:r w:rsidR="000A3C94" w:rsidRPr="00901D0D">
        <w:rPr>
          <w:rFonts w:eastAsia="Calibri" w:cs="Times New Roman"/>
          <w:lang w:val="en-GB"/>
        </w:rPr>
        <w:t xml:space="preserve">, </w:t>
      </w:r>
      <w:r w:rsidR="00923A1C" w:rsidRPr="00901D0D">
        <w:rPr>
          <w:rFonts w:eastAsia="Calibri" w:cs="Times New Roman"/>
          <w:lang w:val="en-GB"/>
        </w:rPr>
        <w:t xml:space="preserve">people </w:t>
      </w:r>
      <w:r w:rsidR="00BE3207" w:rsidRPr="00901D0D">
        <w:rPr>
          <w:rFonts w:eastAsia="Calibri" w:cs="Times New Roman"/>
          <w:lang w:val="en-GB"/>
        </w:rPr>
        <w:t xml:space="preserve">perform </w:t>
      </w:r>
      <w:r w:rsidR="00923A1C" w:rsidRPr="00901D0D">
        <w:rPr>
          <w:rFonts w:eastAsia="Calibri" w:cs="Times New Roman"/>
          <w:lang w:val="en-GB"/>
        </w:rPr>
        <w:t xml:space="preserve">better </w:t>
      </w:r>
      <w:r w:rsidR="001061AE" w:rsidRPr="00901D0D">
        <w:rPr>
          <w:rFonts w:eastAsia="Calibri" w:cs="Times New Roman"/>
          <w:lang w:val="en-GB"/>
        </w:rPr>
        <w:t xml:space="preserve">on </w:t>
      </w:r>
      <w:r w:rsidR="00BE3207" w:rsidRPr="00901D0D">
        <w:rPr>
          <w:rFonts w:eastAsia="Calibri" w:cs="Times New Roman"/>
          <w:lang w:val="en-GB"/>
        </w:rPr>
        <w:t>tasks</w:t>
      </w:r>
      <w:r w:rsidR="001061AE" w:rsidRPr="00901D0D">
        <w:rPr>
          <w:rFonts w:eastAsia="Calibri" w:cs="Times New Roman"/>
          <w:lang w:val="en-GB"/>
        </w:rPr>
        <w:t xml:space="preserve"> that</w:t>
      </w:r>
      <w:r w:rsidR="00BE3207" w:rsidRPr="00901D0D">
        <w:rPr>
          <w:rFonts w:eastAsia="Calibri" w:cs="Times New Roman"/>
          <w:lang w:val="en-GB"/>
        </w:rPr>
        <w:t xml:space="preserve"> </w:t>
      </w:r>
      <w:r w:rsidR="001061AE" w:rsidRPr="00901D0D">
        <w:rPr>
          <w:rFonts w:eastAsia="Calibri" w:cs="Times New Roman"/>
          <w:lang w:val="en-GB"/>
        </w:rPr>
        <w:t xml:space="preserve">contain familiar and concrete, rather than abstract content </w:t>
      </w:r>
      <w:r w:rsidR="00BE3207" w:rsidRPr="00901D0D">
        <w:rPr>
          <w:rFonts w:eastAsia="Calibri" w:cs="Times New Roman"/>
          <w:lang w:val="en-GB"/>
        </w:rPr>
        <w:t>(</w:t>
      </w:r>
      <w:bookmarkStart w:id="17" w:name="_Hlk511593479"/>
      <w:proofErr w:type="spellStart"/>
      <w:r w:rsidR="001061AE" w:rsidRPr="00901D0D">
        <w:rPr>
          <w:rFonts w:eastAsia="Calibri" w:cs="Times New Roman"/>
          <w:lang w:val="en-GB"/>
        </w:rPr>
        <w:t>Markovits</w:t>
      </w:r>
      <w:proofErr w:type="spellEnd"/>
      <w:r w:rsidR="001061AE" w:rsidRPr="00901D0D">
        <w:rPr>
          <w:rFonts w:eastAsia="Calibri" w:cs="Times New Roman"/>
          <w:lang w:val="en-GB"/>
        </w:rPr>
        <w:t xml:space="preserve">, 1986; </w:t>
      </w:r>
      <w:proofErr w:type="spellStart"/>
      <w:r w:rsidR="001061AE" w:rsidRPr="00901D0D">
        <w:rPr>
          <w:rFonts w:eastAsia="Calibri" w:cs="Times New Roman"/>
          <w:lang w:val="en-GB"/>
        </w:rPr>
        <w:t>Markovits</w:t>
      </w:r>
      <w:proofErr w:type="spellEnd"/>
      <w:r w:rsidR="001061AE" w:rsidRPr="00901D0D">
        <w:rPr>
          <w:rFonts w:eastAsia="Calibri" w:cs="Times New Roman"/>
          <w:lang w:val="en-GB"/>
        </w:rPr>
        <w:t xml:space="preserve"> &amp; Vachon, 1990; McKenzie, 2006</w:t>
      </w:r>
      <w:bookmarkEnd w:id="17"/>
      <w:r w:rsidR="00923A1C" w:rsidRPr="00901D0D">
        <w:rPr>
          <w:rFonts w:eastAsia="Calibri" w:cs="Times New Roman"/>
          <w:lang w:val="en-GB"/>
        </w:rPr>
        <w:t>)</w:t>
      </w:r>
      <w:r w:rsidR="003D369A" w:rsidRPr="00901D0D">
        <w:rPr>
          <w:rFonts w:eastAsia="Calibri" w:cs="Times New Roman"/>
          <w:lang w:val="en-GB"/>
        </w:rPr>
        <w:t xml:space="preserve">. </w:t>
      </w:r>
      <w:r w:rsidR="00AB110C" w:rsidRPr="00901D0D">
        <w:rPr>
          <w:rFonts w:eastAsia="Calibri" w:cs="Times New Roman"/>
          <w:lang w:val="en-GB"/>
        </w:rPr>
        <w:t xml:space="preserve"> </w:t>
      </w:r>
      <w:r w:rsidR="008E76E6" w:rsidRPr="00901D0D">
        <w:rPr>
          <w:rFonts w:eastAsia="Calibri" w:cs="Times New Roman"/>
          <w:lang w:val="en-GB"/>
        </w:rPr>
        <w:t>P</w:t>
      </w:r>
      <w:r w:rsidR="00AB110C" w:rsidRPr="00901D0D">
        <w:rPr>
          <w:rFonts w:eastAsia="Calibri" w:cs="Times New Roman"/>
          <w:lang w:val="en-GB"/>
        </w:rPr>
        <w:t>articipants</w:t>
      </w:r>
      <w:r w:rsidR="008E76E6" w:rsidRPr="00901D0D">
        <w:rPr>
          <w:rFonts w:eastAsia="Calibri" w:cs="Times New Roman"/>
          <w:lang w:val="en-GB"/>
        </w:rPr>
        <w:t xml:space="preserve"> in our study likely</w:t>
      </w:r>
      <w:r w:rsidR="00AB110C" w:rsidRPr="00901D0D">
        <w:rPr>
          <w:rFonts w:eastAsia="Calibri" w:cs="Times New Roman"/>
          <w:lang w:val="en-GB"/>
        </w:rPr>
        <w:t xml:space="preserve"> were more familiar with the </w:t>
      </w:r>
      <w:r w:rsidR="001061AE" w:rsidRPr="00901D0D">
        <w:rPr>
          <w:rFonts w:eastAsia="Calibri" w:cs="Times New Roman"/>
          <w:lang w:val="en-GB"/>
        </w:rPr>
        <w:t xml:space="preserve">control </w:t>
      </w:r>
      <w:r w:rsidR="00AB110C" w:rsidRPr="00901D0D">
        <w:rPr>
          <w:rFonts w:eastAsia="Calibri" w:cs="Times New Roman"/>
          <w:lang w:val="en-GB"/>
        </w:rPr>
        <w:t xml:space="preserve">misperception of chance </w:t>
      </w:r>
      <w:r w:rsidR="008E76E6" w:rsidRPr="00901D0D">
        <w:rPr>
          <w:rFonts w:eastAsia="Calibri" w:cs="Times New Roman"/>
          <w:lang w:val="en-GB"/>
        </w:rPr>
        <w:t xml:space="preserve">materials </w:t>
      </w:r>
      <w:r w:rsidR="003D369A" w:rsidRPr="00901D0D">
        <w:rPr>
          <w:rFonts w:eastAsia="Calibri" w:cs="Times New Roman"/>
          <w:lang w:val="en-GB"/>
        </w:rPr>
        <w:t xml:space="preserve">(e.g., with standard coins, decks of cards) </w:t>
      </w:r>
      <w:r w:rsidR="001061AE" w:rsidRPr="00901D0D">
        <w:rPr>
          <w:rFonts w:eastAsia="Calibri" w:cs="Times New Roman"/>
          <w:lang w:val="en-GB"/>
        </w:rPr>
        <w:t>than the anomalistic items (e.g., tarot cards, Ouija board)</w:t>
      </w:r>
      <w:r w:rsidR="008E76E6" w:rsidRPr="00901D0D">
        <w:rPr>
          <w:rFonts w:eastAsia="Calibri" w:cs="Times New Roman"/>
          <w:lang w:val="en-GB"/>
        </w:rPr>
        <w:t xml:space="preserve">, which </w:t>
      </w:r>
      <w:r w:rsidR="003D369A" w:rsidRPr="00901D0D">
        <w:rPr>
          <w:rFonts w:eastAsia="Calibri" w:cs="Times New Roman"/>
          <w:lang w:val="en-GB"/>
        </w:rPr>
        <w:t xml:space="preserve">may have </w:t>
      </w:r>
      <w:r w:rsidR="008E76E6" w:rsidRPr="00901D0D">
        <w:rPr>
          <w:rFonts w:eastAsia="Calibri" w:cs="Times New Roman"/>
          <w:lang w:val="en-GB"/>
        </w:rPr>
        <w:t xml:space="preserve">contributed </w:t>
      </w:r>
      <w:r w:rsidR="003D369A" w:rsidRPr="00901D0D">
        <w:rPr>
          <w:rFonts w:eastAsia="Calibri" w:cs="Times New Roman"/>
          <w:lang w:val="en-GB"/>
        </w:rPr>
        <w:t xml:space="preserve">to </w:t>
      </w:r>
      <w:r w:rsidR="008E76E6" w:rsidRPr="00901D0D">
        <w:rPr>
          <w:rFonts w:eastAsia="Calibri" w:cs="Times New Roman"/>
          <w:lang w:val="en-GB"/>
        </w:rPr>
        <w:t xml:space="preserve">the </w:t>
      </w:r>
      <w:r w:rsidR="003D369A" w:rsidRPr="00901D0D">
        <w:rPr>
          <w:rFonts w:eastAsia="Calibri" w:cs="Times New Roman"/>
          <w:lang w:val="en-GB"/>
        </w:rPr>
        <w:t>increased probabilistic reasoning performance</w:t>
      </w:r>
      <w:r w:rsidR="001061AE" w:rsidRPr="00901D0D">
        <w:rPr>
          <w:rFonts w:eastAsia="Calibri" w:cs="Times New Roman"/>
          <w:lang w:val="en-GB"/>
        </w:rPr>
        <w:t xml:space="preserve"> for the control context items</w:t>
      </w:r>
      <w:r w:rsidR="003D369A" w:rsidRPr="00901D0D">
        <w:rPr>
          <w:rFonts w:eastAsia="Calibri" w:cs="Times New Roman"/>
          <w:lang w:val="en-GB"/>
        </w:rPr>
        <w:t>.</w:t>
      </w:r>
      <w:r w:rsidR="00852C4A" w:rsidRPr="00901D0D">
        <w:rPr>
          <w:rFonts w:eastAsia="Calibri" w:cs="Times New Roman"/>
          <w:lang w:val="en-GB"/>
        </w:rPr>
        <w:t xml:space="preserve"> Although </w:t>
      </w:r>
      <w:r w:rsidRPr="00901D0D">
        <w:rPr>
          <w:rFonts w:eastAsia="Calibri" w:cs="Times New Roman"/>
          <w:lang w:val="en-GB"/>
        </w:rPr>
        <w:t xml:space="preserve">it could be argued that </w:t>
      </w:r>
      <w:r w:rsidR="00852C4A" w:rsidRPr="00901D0D">
        <w:rPr>
          <w:rFonts w:eastAsia="Calibri" w:cs="Times New Roman"/>
          <w:lang w:val="en-GB"/>
        </w:rPr>
        <w:t xml:space="preserve">increased familiarity </w:t>
      </w:r>
      <w:r w:rsidR="008E76E6" w:rsidRPr="00901D0D">
        <w:rPr>
          <w:rFonts w:eastAsia="Calibri" w:cs="Times New Roman"/>
          <w:lang w:val="en-GB"/>
        </w:rPr>
        <w:t xml:space="preserve">should </w:t>
      </w:r>
      <w:r w:rsidR="00852C4A" w:rsidRPr="00901D0D">
        <w:rPr>
          <w:rFonts w:eastAsia="Calibri" w:cs="Times New Roman"/>
          <w:lang w:val="en-GB"/>
        </w:rPr>
        <w:t xml:space="preserve">also </w:t>
      </w:r>
      <w:r w:rsidRPr="00901D0D">
        <w:rPr>
          <w:rFonts w:eastAsia="Calibri" w:cs="Times New Roman"/>
          <w:lang w:val="en-GB"/>
        </w:rPr>
        <w:t>influence</w:t>
      </w:r>
      <w:r w:rsidR="00852C4A" w:rsidRPr="00901D0D">
        <w:rPr>
          <w:rFonts w:eastAsia="Calibri" w:cs="Times New Roman"/>
          <w:lang w:val="en-GB"/>
        </w:rPr>
        <w:t xml:space="preserve"> performance for the base rate fallacy task, </w:t>
      </w:r>
      <w:r w:rsidRPr="00901D0D">
        <w:rPr>
          <w:rFonts w:eastAsia="Calibri" w:cs="Times New Roman"/>
          <w:lang w:val="en-GB"/>
        </w:rPr>
        <w:t>the nature of the task makes it less conducive to familiarity effects</w:t>
      </w:r>
      <w:r w:rsidR="00852C4A" w:rsidRPr="00901D0D">
        <w:rPr>
          <w:rFonts w:eastAsia="Calibri" w:cs="Times New Roman"/>
          <w:lang w:val="en-GB"/>
        </w:rPr>
        <w:t xml:space="preserve">. </w:t>
      </w:r>
      <w:r w:rsidRPr="00901D0D">
        <w:rPr>
          <w:rFonts w:eastAsia="Calibri" w:cs="Times New Roman"/>
          <w:lang w:val="en-GB"/>
        </w:rPr>
        <w:t xml:space="preserve">Specifically, base rate items </w:t>
      </w:r>
      <w:r w:rsidR="008E76E6" w:rsidRPr="00901D0D">
        <w:rPr>
          <w:rFonts w:eastAsia="Calibri" w:cs="Times New Roman"/>
          <w:lang w:val="en-GB"/>
        </w:rPr>
        <w:t xml:space="preserve">do not require participants </w:t>
      </w:r>
      <w:r w:rsidR="00852C4A" w:rsidRPr="00901D0D">
        <w:rPr>
          <w:rFonts w:eastAsia="Calibri" w:cs="Times New Roman"/>
          <w:lang w:val="en-GB"/>
        </w:rPr>
        <w:t xml:space="preserve">to engage in any calculation or </w:t>
      </w:r>
      <w:r w:rsidR="00E57BC7" w:rsidRPr="00901D0D">
        <w:rPr>
          <w:rFonts w:eastAsia="Calibri" w:cs="Times New Roman"/>
          <w:lang w:val="en-GB"/>
        </w:rPr>
        <w:t>consideration of probabilities that may have benefitted from increased familiarity.</w:t>
      </w:r>
    </w:p>
    <w:p w14:paraId="75CAF6D6" w14:textId="133D356A" w:rsidR="00B36638" w:rsidRPr="00901D0D" w:rsidRDefault="004467FB" w:rsidP="00301785">
      <w:pPr>
        <w:spacing w:after="200"/>
        <w:contextualSpacing/>
        <w:rPr>
          <w:rFonts w:eastAsia="Calibri" w:cs="Times New Roman"/>
          <w:lang w:val="en-GB"/>
        </w:rPr>
      </w:pPr>
      <w:r w:rsidRPr="00901D0D">
        <w:rPr>
          <w:rFonts w:eastAsia="Calibri" w:cs="Times New Roman"/>
          <w:lang w:val="en-GB"/>
        </w:rPr>
        <w:t xml:space="preserve">Consistent with the </w:t>
      </w:r>
      <w:r w:rsidR="008D5BA4" w:rsidRPr="00901D0D">
        <w:rPr>
          <w:rFonts w:eastAsia="Calibri" w:cs="Times New Roman"/>
          <w:lang w:val="en-GB"/>
        </w:rPr>
        <w:t xml:space="preserve">claim </w:t>
      </w:r>
      <w:r w:rsidRPr="00901D0D">
        <w:rPr>
          <w:rFonts w:eastAsia="Calibri" w:cs="Times New Roman"/>
          <w:lang w:val="en-GB"/>
        </w:rPr>
        <w:t>that there is overlap between anomalistic beliefs and gambling attitudes</w:t>
      </w:r>
      <w:r w:rsidR="00DF3111" w:rsidRPr="00901D0D">
        <w:rPr>
          <w:rFonts w:eastAsia="Calibri" w:cs="Times New Roman"/>
          <w:lang w:val="en-GB"/>
        </w:rPr>
        <w:t xml:space="preserve"> </w:t>
      </w:r>
      <w:r w:rsidRPr="00901D0D">
        <w:rPr>
          <w:rFonts w:eastAsia="Calibri" w:cs="Times New Roman"/>
          <w:lang w:val="en-GB"/>
        </w:rPr>
        <w:t>(</w:t>
      </w:r>
      <w:proofErr w:type="spellStart"/>
      <w:r w:rsidRPr="00901D0D">
        <w:rPr>
          <w:lang w:val="en-GB"/>
        </w:rPr>
        <w:t>Joukhador</w:t>
      </w:r>
      <w:proofErr w:type="spellEnd"/>
      <w:r w:rsidRPr="00901D0D">
        <w:rPr>
          <w:lang w:val="en-GB"/>
        </w:rPr>
        <w:t xml:space="preserve"> et al., 2004; McInnes et al., 2014; </w:t>
      </w:r>
      <w:proofErr w:type="spellStart"/>
      <w:r w:rsidRPr="00901D0D">
        <w:rPr>
          <w:lang w:val="en-GB"/>
        </w:rPr>
        <w:t>Passanisi</w:t>
      </w:r>
      <w:proofErr w:type="spellEnd"/>
      <w:r w:rsidRPr="00901D0D">
        <w:rPr>
          <w:lang w:val="en-GB"/>
        </w:rPr>
        <w:t xml:space="preserve"> et al., 2017)</w:t>
      </w:r>
      <w:r w:rsidRPr="00901D0D">
        <w:rPr>
          <w:rFonts w:eastAsia="Calibri" w:cs="Times New Roman"/>
          <w:lang w:val="en-GB"/>
        </w:rPr>
        <w:t>, we found that more positive gambling attitudes were related to higher levels of anomalistic belief</w:t>
      </w:r>
      <w:r w:rsidR="00CC574D">
        <w:rPr>
          <w:rFonts w:eastAsia="Calibri" w:cs="Times New Roman"/>
          <w:lang w:val="en-GB"/>
        </w:rPr>
        <w:t xml:space="preserve"> for most of our measures</w:t>
      </w:r>
      <w:r w:rsidRPr="00901D0D">
        <w:rPr>
          <w:rFonts w:eastAsia="Calibri" w:cs="Times New Roman"/>
          <w:lang w:val="en-GB"/>
        </w:rPr>
        <w:t xml:space="preserve">. However, unlike </w:t>
      </w:r>
      <w:r w:rsidR="00480FD3" w:rsidRPr="00901D0D">
        <w:rPr>
          <w:rFonts w:eastAsia="Calibri" w:cs="Times New Roman"/>
          <w:lang w:val="en-GB"/>
        </w:rPr>
        <w:t xml:space="preserve">previous work </w:t>
      </w:r>
      <w:r w:rsidR="00202B79" w:rsidRPr="00901D0D">
        <w:rPr>
          <w:rFonts w:eastAsia="Calibri" w:cs="Times New Roman"/>
          <w:lang w:val="en-GB"/>
        </w:rPr>
        <w:t>on</w:t>
      </w:r>
      <w:r w:rsidR="00480FD3" w:rsidRPr="00901D0D">
        <w:rPr>
          <w:rFonts w:eastAsia="Calibri" w:cs="Times New Roman"/>
          <w:lang w:val="en-GB"/>
        </w:rPr>
        <w:t xml:space="preserve"> gambling and reasoning, we did not find a</w:t>
      </w:r>
      <w:r w:rsidR="00450489" w:rsidRPr="00901D0D">
        <w:rPr>
          <w:rFonts w:eastAsia="Calibri" w:cs="Times New Roman"/>
          <w:lang w:val="en-GB"/>
        </w:rPr>
        <w:t>ny</w:t>
      </w:r>
      <w:r w:rsidR="00480FD3" w:rsidRPr="00901D0D">
        <w:rPr>
          <w:rFonts w:eastAsia="Calibri" w:cs="Times New Roman"/>
          <w:lang w:val="en-GB"/>
        </w:rPr>
        <w:t xml:space="preserve"> relationship between gambling attitudes and probabilistic reasoning (</w:t>
      </w:r>
      <w:r w:rsidR="00F83634" w:rsidRPr="00901D0D">
        <w:rPr>
          <w:rFonts w:eastAsia="Calibri" w:cs="Times New Roman"/>
          <w:lang w:val="en-GB"/>
        </w:rPr>
        <w:t xml:space="preserve">Fortune &amp; Goodie, 2012; </w:t>
      </w:r>
      <w:proofErr w:type="spellStart"/>
      <w:r w:rsidR="007442C8" w:rsidRPr="00901D0D">
        <w:rPr>
          <w:rFonts w:eastAsia="Calibri" w:cs="Times New Roman"/>
          <w:lang w:val="en-GB"/>
        </w:rPr>
        <w:t>Gaissmaier</w:t>
      </w:r>
      <w:proofErr w:type="spellEnd"/>
      <w:r w:rsidR="007442C8" w:rsidRPr="00901D0D">
        <w:rPr>
          <w:rFonts w:eastAsia="Calibri" w:cs="Times New Roman"/>
          <w:lang w:val="en-GB"/>
        </w:rPr>
        <w:t xml:space="preserve"> et al., 2016; </w:t>
      </w:r>
      <w:r w:rsidR="00F83634" w:rsidRPr="00901D0D">
        <w:rPr>
          <w:rFonts w:eastAsia="Calibri" w:cs="Times New Roman"/>
          <w:lang w:val="en-GB"/>
        </w:rPr>
        <w:t xml:space="preserve">Goodie &amp; Fortune, 2013; </w:t>
      </w:r>
      <w:r w:rsidR="007442C8" w:rsidRPr="00901D0D">
        <w:rPr>
          <w:rFonts w:eastAsia="Calibri" w:cs="Times New Roman"/>
          <w:lang w:val="en-GB"/>
        </w:rPr>
        <w:t>Wilke et al., 2014; Xu &amp; Harvey, 2014</w:t>
      </w:r>
      <w:r w:rsidR="00F83634" w:rsidRPr="00901D0D">
        <w:rPr>
          <w:rFonts w:eastAsia="Calibri" w:cs="Times New Roman"/>
          <w:lang w:val="en-GB"/>
        </w:rPr>
        <w:t>)</w:t>
      </w:r>
      <w:r w:rsidR="00B36638" w:rsidRPr="00901D0D">
        <w:rPr>
          <w:rFonts w:eastAsia="Calibri" w:cs="Times New Roman"/>
          <w:lang w:val="en-GB"/>
        </w:rPr>
        <w:t xml:space="preserve">. </w:t>
      </w:r>
      <w:r w:rsidRPr="00901D0D">
        <w:rPr>
          <w:rFonts w:eastAsia="Calibri" w:cs="Times New Roman"/>
          <w:lang w:val="en-GB"/>
        </w:rPr>
        <w:t>I</w:t>
      </w:r>
      <w:r w:rsidR="00B36638" w:rsidRPr="00901D0D">
        <w:rPr>
          <w:rFonts w:eastAsia="Calibri" w:cs="Times New Roman"/>
          <w:lang w:val="en-GB"/>
        </w:rPr>
        <w:t>t is possible</w:t>
      </w:r>
      <w:r w:rsidR="00DF3111" w:rsidRPr="00901D0D">
        <w:rPr>
          <w:rFonts w:eastAsia="Calibri" w:cs="Times New Roman"/>
          <w:lang w:val="en-GB"/>
        </w:rPr>
        <w:t>, though,</w:t>
      </w:r>
      <w:r w:rsidR="00B36638" w:rsidRPr="00901D0D">
        <w:rPr>
          <w:rFonts w:eastAsia="Calibri" w:cs="Times New Roman"/>
          <w:lang w:val="en-GB"/>
        </w:rPr>
        <w:t xml:space="preserve"> that</w:t>
      </w:r>
      <w:r w:rsidR="00A05AF9" w:rsidRPr="00901D0D">
        <w:rPr>
          <w:rFonts w:eastAsia="Calibri" w:cs="Times New Roman"/>
          <w:lang w:val="en-GB"/>
        </w:rPr>
        <w:t xml:space="preserve"> the</w:t>
      </w:r>
      <w:r w:rsidR="00B36638" w:rsidRPr="00901D0D">
        <w:rPr>
          <w:rFonts w:eastAsia="Calibri" w:cs="Times New Roman"/>
          <w:lang w:val="en-GB"/>
        </w:rPr>
        <w:t xml:space="preserve"> </w:t>
      </w:r>
      <w:r w:rsidR="00E60D10" w:rsidRPr="00901D0D">
        <w:rPr>
          <w:rFonts w:eastAsia="Calibri" w:cs="Times New Roman"/>
          <w:lang w:val="en-GB"/>
        </w:rPr>
        <w:t xml:space="preserve">results </w:t>
      </w:r>
      <w:r w:rsidR="002A7235" w:rsidRPr="00901D0D">
        <w:rPr>
          <w:rFonts w:eastAsia="Calibri" w:cs="Times New Roman"/>
          <w:lang w:val="en-GB"/>
        </w:rPr>
        <w:t xml:space="preserve">would </w:t>
      </w:r>
      <w:r w:rsidR="00DF3111" w:rsidRPr="00901D0D">
        <w:rPr>
          <w:rFonts w:eastAsia="Calibri" w:cs="Times New Roman"/>
          <w:lang w:val="en-GB"/>
        </w:rPr>
        <w:t xml:space="preserve">have been different if we had </w:t>
      </w:r>
      <w:r w:rsidR="00DF3111" w:rsidRPr="00901D0D">
        <w:rPr>
          <w:rFonts w:eastAsia="Calibri" w:cs="Times New Roman"/>
          <w:lang w:val="en-GB"/>
        </w:rPr>
        <w:lastRenderedPageBreak/>
        <w:t>targeted</w:t>
      </w:r>
      <w:r w:rsidR="00E60D10" w:rsidRPr="00901D0D">
        <w:rPr>
          <w:rFonts w:eastAsia="Calibri" w:cs="Times New Roman"/>
          <w:lang w:val="en-GB"/>
        </w:rPr>
        <w:t xml:space="preserve"> problem or pathological gamblers</w:t>
      </w:r>
      <w:r w:rsidR="00B36638" w:rsidRPr="00901D0D">
        <w:rPr>
          <w:rFonts w:eastAsia="Calibri" w:cs="Times New Roman"/>
          <w:lang w:val="en-GB"/>
        </w:rPr>
        <w:t xml:space="preserve">. </w:t>
      </w:r>
      <w:r w:rsidR="00450489" w:rsidRPr="00901D0D">
        <w:rPr>
          <w:rFonts w:eastAsia="Calibri" w:cs="Times New Roman"/>
          <w:lang w:val="en-GB"/>
        </w:rPr>
        <w:t xml:space="preserve">Additionally, </w:t>
      </w:r>
      <w:r w:rsidR="002A7235" w:rsidRPr="00901D0D">
        <w:rPr>
          <w:rFonts w:eastAsia="Calibri" w:cs="Times New Roman"/>
          <w:lang w:val="en-GB"/>
        </w:rPr>
        <w:t xml:space="preserve">we used a measure of gambling attitudes </w:t>
      </w:r>
      <w:r w:rsidR="00DF3111" w:rsidRPr="00901D0D">
        <w:rPr>
          <w:rFonts w:eastAsia="Calibri" w:cs="Times New Roman"/>
          <w:lang w:val="en-GB"/>
        </w:rPr>
        <w:t xml:space="preserve">rather than </w:t>
      </w:r>
      <w:r w:rsidR="008733A6" w:rsidRPr="00901D0D">
        <w:rPr>
          <w:rFonts w:eastAsia="Calibri" w:cs="Times New Roman"/>
          <w:lang w:val="en-GB"/>
        </w:rPr>
        <w:t xml:space="preserve">gambling </w:t>
      </w:r>
      <w:r w:rsidR="00DF3111" w:rsidRPr="00901D0D">
        <w:rPr>
          <w:rFonts w:eastAsia="Calibri" w:cs="Times New Roman"/>
          <w:lang w:val="en-GB"/>
        </w:rPr>
        <w:t xml:space="preserve">behaviour. </w:t>
      </w:r>
      <w:r w:rsidR="008733A6" w:rsidRPr="00901D0D">
        <w:rPr>
          <w:rFonts w:eastAsia="Calibri" w:cs="Times New Roman"/>
          <w:lang w:val="en-GB"/>
        </w:rPr>
        <w:t>Although</w:t>
      </w:r>
      <w:r w:rsidR="00202B79" w:rsidRPr="00901D0D">
        <w:rPr>
          <w:rFonts w:eastAsia="Calibri" w:cs="Times New Roman"/>
          <w:lang w:val="en-GB"/>
        </w:rPr>
        <w:t xml:space="preserve"> </w:t>
      </w:r>
      <w:r w:rsidR="002A7235" w:rsidRPr="00901D0D">
        <w:rPr>
          <w:rFonts w:eastAsia="Calibri" w:cs="Times New Roman"/>
          <w:lang w:val="en-GB"/>
        </w:rPr>
        <w:t>previous research has shown that gambling attitudes are predictive of gambling behaviour and intentions to gamble (</w:t>
      </w:r>
      <w:bookmarkStart w:id="18" w:name="_Hlk511593560"/>
      <w:r w:rsidR="002A7235" w:rsidRPr="00901D0D">
        <w:rPr>
          <w:rFonts w:eastAsia="Calibri" w:cs="Times New Roman"/>
          <w:lang w:val="en-GB"/>
        </w:rPr>
        <w:t xml:space="preserve">Dahl, </w:t>
      </w:r>
      <w:proofErr w:type="spellStart"/>
      <w:r w:rsidR="002A7235" w:rsidRPr="00901D0D">
        <w:rPr>
          <w:rFonts w:eastAsia="Calibri" w:cs="Times New Roman"/>
          <w:lang w:val="en-GB"/>
        </w:rPr>
        <w:t>Tagler</w:t>
      </w:r>
      <w:proofErr w:type="spellEnd"/>
      <w:r w:rsidR="002A7235" w:rsidRPr="00901D0D">
        <w:rPr>
          <w:rFonts w:eastAsia="Calibri" w:cs="Times New Roman"/>
          <w:lang w:val="en-GB"/>
        </w:rPr>
        <w:t>, &amp; Hohman, 201</w:t>
      </w:r>
      <w:r w:rsidR="00463128" w:rsidRPr="00901D0D">
        <w:rPr>
          <w:rFonts w:eastAsia="Calibri" w:cs="Times New Roman"/>
          <w:lang w:val="en-GB"/>
        </w:rPr>
        <w:t>8</w:t>
      </w:r>
      <w:r w:rsidR="002A7235" w:rsidRPr="00901D0D">
        <w:rPr>
          <w:rFonts w:eastAsia="Calibri" w:cs="Times New Roman"/>
          <w:lang w:val="en-GB"/>
        </w:rPr>
        <w:t xml:space="preserve">; Moore &amp; </w:t>
      </w:r>
      <w:proofErr w:type="spellStart"/>
      <w:r w:rsidR="002A7235" w:rsidRPr="00901D0D">
        <w:rPr>
          <w:rFonts w:eastAsia="Calibri" w:cs="Times New Roman"/>
          <w:lang w:val="en-GB"/>
        </w:rPr>
        <w:t>Ohtsuka</w:t>
      </w:r>
      <w:proofErr w:type="spellEnd"/>
      <w:r w:rsidR="002A7235" w:rsidRPr="00901D0D">
        <w:rPr>
          <w:rFonts w:eastAsia="Calibri" w:cs="Times New Roman"/>
          <w:lang w:val="en-GB"/>
        </w:rPr>
        <w:t>, 1999</w:t>
      </w:r>
      <w:bookmarkEnd w:id="18"/>
      <w:r w:rsidR="002A7235" w:rsidRPr="00901D0D">
        <w:rPr>
          <w:rFonts w:eastAsia="Calibri" w:cs="Times New Roman"/>
          <w:lang w:val="en-GB"/>
        </w:rPr>
        <w:t>)</w:t>
      </w:r>
      <w:r w:rsidR="00A05AF9" w:rsidRPr="00901D0D">
        <w:rPr>
          <w:rFonts w:eastAsia="Calibri" w:cs="Times New Roman"/>
          <w:lang w:val="en-GB"/>
        </w:rPr>
        <w:t>,</w:t>
      </w:r>
      <w:r w:rsidR="002A7235" w:rsidRPr="00901D0D">
        <w:rPr>
          <w:rFonts w:eastAsia="Calibri" w:cs="Times New Roman"/>
          <w:lang w:val="en-GB"/>
        </w:rPr>
        <w:t xml:space="preserve"> </w:t>
      </w:r>
      <w:r w:rsidR="00450489" w:rsidRPr="00901D0D">
        <w:rPr>
          <w:rFonts w:eastAsia="Calibri" w:cs="Times New Roman"/>
          <w:lang w:val="en-GB"/>
        </w:rPr>
        <w:t xml:space="preserve">the relationship between </w:t>
      </w:r>
      <w:r w:rsidR="00EC1D56" w:rsidRPr="00901D0D">
        <w:rPr>
          <w:rFonts w:eastAsia="Calibri" w:cs="Times New Roman"/>
          <w:lang w:val="en-GB"/>
        </w:rPr>
        <w:t>probabilistic reasoning</w:t>
      </w:r>
      <w:r w:rsidR="00450489" w:rsidRPr="00901D0D">
        <w:rPr>
          <w:rFonts w:eastAsia="Calibri" w:cs="Times New Roman"/>
          <w:lang w:val="en-GB"/>
        </w:rPr>
        <w:t xml:space="preserve"> </w:t>
      </w:r>
      <w:r w:rsidR="002A7235" w:rsidRPr="00901D0D">
        <w:rPr>
          <w:rFonts w:eastAsia="Calibri" w:cs="Times New Roman"/>
          <w:lang w:val="en-GB"/>
        </w:rPr>
        <w:t xml:space="preserve">and gambling </w:t>
      </w:r>
      <w:r w:rsidR="008D5BA4" w:rsidRPr="00901D0D">
        <w:rPr>
          <w:rFonts w:eastAsia="Calibri" w:cs="Times New Roman"/>
          <w:lang w:val="en-GB"/>
        </w:rPr>
        <w:t xml:space="preserve">may </w:t>
      </w:r>
      <w:r w:rsidR="00EC1D56" w:rsidRPr="00901D0D">
        <w:rPr>
          <w:rFonts w:eastAsia="Calibri" w:cs="Times New Roman"/>
          <w:lang w:val="en-GB"/>
        </w:rPr>
        <w:t>exist</w:t>
      </w:r>
      <w:r w:rsidR="00450489" w:rsidRPr="00901D0D">
        <w:rPr>
          <w:rFonts w:eastAsia="Calibri" w:cs="Times New Roman"/>
          <w:lang w:val="en-GB"/>
        </w:rPr>
        <w:t xml:space="preserve"> for gambling behaviour rather than gambling attitudes. That is, poorer probabilistic reasoning may not be related to the attitudes that people hold towards gambling, but may be predictive of</w:t>
      </w:r>
      <w:r w:rsidR="00A05AF9" w:rsidRPr="00901D0D">
        <w:rPr>
          <w:rFonts w:eastAsia="Calibri" w:cs="Times New Roman"/>
          <w:lang w:val="en-GB"/>
        </w:rPr>
        <w:t xml:space="preserve"> the</w:t>
      </w:r>
      <w:r w:rsidR="00450489" w:rsidRPr="00901D0D">
        <w:rPr>
          <w:rFonts w:eastAsia="Calibri" w:cs="Times New Roman"/>
          <w:lang w:val="en-GB"/>
        </w:rPr>
        <w:t xml:space="preserve"> gambling behaviour that people engage in</w:t>
      </w:r>
      <w:r w:rsidR="00A05AF9" w:rsidRPr="00901D0D">
        <w:rPr>
          <w:rFonts w:eastAsia="Calibri" w:cs="Times New Roman"/>
          <w:lang w:val="en-GB"/>
        </w:rPr>
        <w:t xml:space="preserve">. </w:t>
      </w:r>
    </w:p>
    <w:p w14:paraId="7407BFF4" w14:textId="7E440247" w:rsidR="00D858E4" w:rsidRDefault="00CC574D" w:rsidP="003A450C">
      <w:pPr>
        <w:spacing w:after="200"/>
        <w:contextualSpacing/>
        <w:rPr>
          <w:rFonts w:eastAsia="Calibri" w:cs="Times New Roman"/>
          <w:lang w:val="en-GB"/>
        </w:rPr>
      </w:pPr>
      <w:r>
        <w:rPr>
          <w:rFonts w:eastAsia="Calibri" w:cs="Times New Roman"/>
          <w:lang w:val="en-GB"/>
        </w:rPr>
        <w:t>S</w:t>
      </w:r>
      <w:r w:rsidR="00C32B5F">
        <w:rPr>
          <w:rFonts w:eastAsia="Calibri" w:cs="Times New Roman"/>
          <w:lang w:val="en-GB"/>
        </w:rPr>
        <w:t>omewhat surprising</w:t>
      </w:r>
      <w:r>
        <w:rPr>
          <w:rFonts w:eastAsia="Calibri" w:cs="Times New Roman"/>
          <w:lang w:val="en-GB"/>
        </w:rPr>
        <w:t>ly,</w:t>
      </w:r>
      <w:r w:rsidR="00827489">
        <w:rPr>
          <w:rFonts w:eastAsia="Calibri" w:cs="Times New Roman"/>
          <w:lang w:val="en-GB"/>
        </w:rPr>
        <w:t xml:space="preserve"> </w:t>
      </w:r>
      <w:r>
        <w:rPr>
          <w:rFonts w:eastAsia="Calibri" w:cs="Times New Roman"/>
          <w:lang w:val="en-GB"/>
        </w:rPr>
        <w:t>w</w:t>
      </w:r>
      <w:r w:rsidR="00C32B5F">
        <w:rPr>
          <w:rFonts w:eastAsia="Calibri" w:cs="Times New Roman"/>
          <w:lang w:val="en-GB"/>
        </w:rPr>
        <w:t>e found that higher levels of education in psychology, mathematics, and statistics were related to poorer performance on the misperception of chance items</w:t>
      </w:r>
      <w:r>
        <w:rPr>
          <w:rFonts w:eastAsia="Calibri" w:cs="Times New Roman"/>
          <w:lang w:val="en-GB"/>
        </w:rPr>
        <w:t>, which</w:t>
      </w:r>
      <w:r w:rsidR="00F63F81">
        <w:rPr>
          <w:rFonts w:eastAsia="Calibri" w:cs="Times New Roman"/>
          <w:lang w:val="en-GB"/>
        </w:rPr>
        <w:t xml:space="preserve"> differs from previous work that generally </w:t>
      </w:r>
      <w:r>
        <w:rPr>
          <w:rFonts w:eastAsia="Calibri" w:cs="Times New Roman"/>
          <w:lang w:val="en-GB"/>
        </w:rPr>
        <w:t xml:space="preserve">has </w:t>
      </w:r>
      <w:r w:rsidR="00F63F81">
        <w:rPr>
          <w:rFonts w:eastAsia="Calibri" w:cs="Times New Roman"/>
          <w:lang w:val="en-GB"/>
        </w:rPr>
        <w:t>found positive correlations between education and reasoning ability (</w:t>
      </w:r>
      <w:proofErr w:type="spellStart"/>
      <w:r w:rsidR="00F63F81">
        <w:rPr>
          <w:rFonts w:eastAsia="Calibri" w:cs="Times New Roman"/>
          <w:lang w:val="en-GB"/>
        </w:rPr>
        <w:t>Hertwig</w:t>
      </w:r>
      <w:proofErr w:type="spellEnd"/>
      <w:r w:rsidR="00F63F81">
        <w:rPr>
          <w:rFonts w:eastAsia="Calibri" w:cs="Times New Roman"/>
          <w:lang w:val="en-GB"/>
        </w:rPr>
        <w:t xml:space="preserve"> et al. 2008; Siegrist &amp; Keller, 2011). However, </w:t>
      </w:r>
      <w:r w:rsidR="00CF2220">
        <w:rPr>
          <w:rFonts w:eastAsia="Calibri" w:cs="Times New Roman"/>
          <w:lang w:val="en-GB"/>
        </w:rPr>
        <w:t xml:space="preserve">previous work </w:t>
      </w:r>
      <w:r w:rsidR="0048574F">
        <w:rPr>
          <w:rFonts w:eastAsia="Calibri" w:cs="Times New Roman"/>
          <w:lang w:val="en-GB"/>
        </w:rPr>
        <w:t xml:space="preserve">also </w:t>
      </w:r>
      <w:r w:rsidR="00CF2220">
        <w:rPr>
          <w:rFonts w:eastAsia="Calibri" w:cs="Times New Roman"/>
          <w:lang w:val="en-GB"/>
        </w:rPr>
        <w:t xml:space="preserve">has found that the </w:t>
      </w:r>
      <w:r w:rsidR="0048574F">
        <w:rPr>
          <w:rFonts w:eastAsia="Calibri" w:cs="Times New Roman"/>
          <w:lang w:val="en-GB"/>
        </w:rPr>
        <w:t>relationship between</w:t>
      </w:r>
      <w:r w:rsidR="00CF2220">
        <w:rPr>
          <w:rFonts w:eastAsia="Calibri" w:cs="Times New Roman"/>
          <w:lang w:val="en-GB"/>
        </w:rPr>
        <w:t xml:space="preserve"> education </w:t>
      </w:r>
      <w:r w:rsidR="0048574F">
        <w:rPr>
          <w:rFonts w:eastAsia="Calibri" w:cs="Times New Roman"/>
          <w:lang w:val="en-GB"/>
        </w:rPr>
        <w:t xml:space="preserve">and </w:t>
      </w:r>
      <w:r w:rsidR="00CF2220">
        <w:rPr>
          <w:rFonts w:eastAsia="Calibri" w:cs="Times New Roman"/>
          <w:lang w:val="en-GB"/>
        </w:rPr>
        <w:t>performance depend</w:t>
      </w:r>
      <w:r w:rsidR="0048574F">
        <w:rPr>
          <w:rFonts w:eastAsia="Calibri" w:cs="Times New Roman"/>
          <w:lang w:val="en-GB"/>
        </w:rPr>
        <w:t>s</w:t>
      </w:r>
      <w:r w:rsidR="00CF2220">
        <w:rPr>
          <w:rFonts w:eastAsia="Calibri" w:cs="Times New Roman"/>
          <w:lang w:val="en-GB"/>
        </w:rPr>
        <w:t xml:space="preserve"> on the type of reasoning problems</w:t>
      </w:r>
      <w:r w:rsidR="0048574F">
        <w:rPr>
          <w:rFonts w:eastAsia="Calibri" w:cs="Times New Roman"/>
          <w:lang w:val="en-GB"/>
        </w:rPr>
        <w:t xml:space="preserve">: </w:t>
      </w:r>
      <w:r w:rsidR="00CF2220">
        <w:rPr>
          <w:rFonts w:eastAsia="Calibri" w:cs="Times New Roman"/>
          <w:lang w:val="en-GB"/>
        </w:rPr>
        <w:t>Education more consistently led to better performance on reasoning problems presented using frequencies rather than probabilities (Siegrist &amp; Keller, 2011)</w:t>
      </w:r>
      <w:r w:rsidR="00381083">
        <w:rPr>
          <w:rFonts w:eastAsia="Calibri" w:cs="Times New Roman"/>
          <w:lang w:val="en-GB"/>
        </w:rPr>
        <w:t>. Additionally,</w:t>
      </w:r>
      <w:r w:rsidR="00CF2220">
        <w:rPr>
          <w:rFonts w:eastAsia="Calibri" w:cs="Times New Roman"/>
          <w:lang w:val="en-GB"/>
        </w:rPr>
        <w:t xml:space="preserve"> </w:t>
      </w:r>
      <w:proofErr w:type="spellStart"/>
      <w:r w:rsidR="00CF2220">
        <w:rPr>
          <w:rFonts w:eastAsia="Calibri" w:cs="Times New Roman"/>
          <w:lang w:val="en-GB"/>
        </w:rPr>
        <w:t>Hertwig</w:t>
      </w:r>
      <w:proofErr w:type="spellEnd"/>
      <w:r w:rsidR="00CF2220">
        <w:rPr>
          <w:rFonts w:eastAsia="Calibri" w:cs="Times New Roman"/>
          <w:lang w:val="en-GB"/>
        </w:rPr>
        <w:t xml:space="preserve"> et al. (2008) found that education was associated with better performance on abstract probability problems but was not related to performance on items that approximated real-world scenarios.</w:t>
      </w:r>
      <w:r w:rsidR="00381083">
        <w:rPr>
          <w:rFonts w:eastAsia="Calibri" w:cs="Times New Roman"/>
          <w:lang w:val="en-GB"/>
        </w:rPr>
        <w:t xml:space="preserve"> </w:t>
      </w:r>
      <w:r w:rsidR="00436BE8">
        <w:rPr>
          <w:rFonts w:eastAsia="Calibri" w:cs="Times New Roman"/>
          <w:lang w:val="en-GB"/>
        </w:rPr>
        <w:t>Although t</w:t>
      </w:r>
      <w:r w:rsidR="00381083">
        <w:rPr>
          <w:rFonts w:eastAsia="Calibri" w:cs="Times New Roman"/>
          <w:lang w:val="en-GB"/>
        </w:rPr>
        <w:t xml:space="preserve">hese results </w:t>
      </w:r>
      <w:r w:rsidR="00D858E4">
        <w:rPr>
          <w:rFonts w:eastAsia="Calibri" w:cs="Times New Roman"/>
          <w:lang w:val="en-GB"/>
        </w:rPr>
        <w:t>may</w:t>
      </w:r>
      <w:r w:rsidR="00381083">
        <w:rPr>
          <w:rFonts w:eastAsia="Calibri" w:cs="Times New Roman"/>
          <w:lang w:val="en-GB"/>
        </w:rPr>
        <w:t xml:space="preserve"> explain why greater education may not have led to better performance on the misperception of chance items within this study, they do not explain the negative relationship. </w:t>
      </w:r>
      <w:r w:rsidR="0048574F">
        <w:rPr>
          <w:rFonts w:eastAsia="Calibri" w:cs="Times New Roman"/>
          <w:lang w:val="en-GB"/>
        </w:rPr>
        <w:t xml:space="preserve">One </w:t>
      </w:r>
      <w:r w:rsidR="00381083">
        <w:rPr>
          <w:rFonts w:eastAsia="Calibri" w:cs="Times New Roman"/>
          <w:lang w:val="en-GB"/>
        </w:rPr>
        <w:t xml:space="preserve">possible explanation for the negative relationship is </w:t>
      </w:r>
      <w:r w:rsidR="0017400B">
        <w:rPr>
          <w:rFonts w:eastAsia="Calibri" w:cs="Times New Roman"/>
          <w:lang w:val="en-GB"/>
        </w:rPr>
        <w:t xml:space="preserve">that people with greater education </w:t>
      </w:r>
      <w:r w:rsidR="00D858E4">
        <w:rPr>
          <w:rFonts w:eastAsia="Calibri" w:cs="Times New Roman"/>
          <w:lang w:val="en-GB"/>
        </w:rPr>
        <w:t>were</w:t>
      </w:r>
      <w:r w:rsidR="00F36D8A">
        <w:rPr>
          <w:rFonts w:eastAsia="Calibri" w:cs="Times New Roman"/>
          <w:lang w:val="en-GB"/>
        </w:rPr>
        <w:t xml:space="preserve"> overconfident in their abilities and did not take the time to slow down and consider their responses carefully. </w:t>
      </w:r>
      <w:r w:rsidR="000A2083">
        <w:rPr>
          <w:rFonts w:eastAsia="Calibri" w:cs="Times New Roman"/>
          <w:lang w:val="en-GB"/>
        </w:rPr>
        <w:t xml:space="preserve">Relatedly, </w:t>
      </w:r>
      <w:r w:rsidR="00F36D8A">
        <w:rPr>
          <w:rFonts w:eastAsia="Calibri" w:cs="Times New Roman"/>
          <w:lang w:val="en-GB"/>
        </w:rPr>
        <w:t xml:space="preserve">Sanchez and Dunning (2018) found that </w:t>
      </w:r>
      <w:r w:rsidR="000A2083">
        <w:rPr>
          <w:rFonts w:eastAsia="Calibri" w:cs="Times New Roman"/>
          <w:lang w:val="en-GB"/>
        </w:rPr>
        <w:t>for</w:t>
      </w:r>
      <w:r w:rsidR="00F36D8A">
        <w:rPr>
          <w:rFonts w:eastAsia="Calibri" w:cs="Times New Roman"/>
          <w:lang w:val="en-GB"/>
        </w:rPr>
        <w:t xml:space="preserve"> probabilistic learning tasks people did not initially start out overconfident but became overconfident </w:t>
      </w:r>
      <w:r w:rsidR="00D858E4">
        <w:rPr>
          <w:rFonts w:eastAsia="Calibri" w:cs="Times New Roman"/>
          <w:lang w:val="en-GB"/>
        </w:rPr>
        <w:t>after</w:t>
      </w:r>
      <w:r w:rsidR="00F36D8A">
        <w:rPr>
          <w:rFonts w:eastAsia="Calibri" w:cs="Times New Roman"/>
          <w:lang w:val="en-GB"/>
        </w:rPr>
        <w:t xml:space="preserve"> a small amount of practice</w:t>
      </w:r>
      <w:r w:rsidR="00AA2047">
        <w:rPr>
          <w:rFonts w:eastAsia="Calibri" w:cs="Times New Roman"/>
          <w:lang w:val="en-GB"/>
        </w:rPr>
        <w:t xml:space="preserve"> (i.e., “a little learning is a dangerous thing”).</w:t>
      </w:r>
      <w:r w:rsidR="000A2083">
        <w:rPr>
          <w:rFonts w:eastAsia="Calibri" w:cs="Times New Roman"/>
          <w:lang w:val="en-GB"/>
        </w:rPr>
        <w:t xml:space="preserve"> </w:t>
      </w:r>
      <w:r w:rsidR="00AA2047">
        <w:rPr>
          <w:rFonts w:eastAsia="Calibri" w:cs="Times New Roman"/>
          <w:lang w:val="en-GB"/>
        </w:rPr>
        <w:t xml:space="preserve">Because misperception of chance items often </w:t>
      </w:r>
      <w:proofErr w:type="gramStart"/>
      <w:r w:rsidR="00AA2047">
        <w:rPr>
          <w:rFonts w:eastAsia="Calibri" w:cs="Times New Roman"/>
          <w:lang w:val="en-GB"/>
        </w:rPr>
        <w:t>cue</w:t>
      </w:r>
      <w:proofErr w:type="gramEnd"/>
      <w:r w:rsidR="00AA2047">
        <w:rPr>
          <w:rFonts w:eastAsia="Calibri" w:cs="Times New Roman"/>
          <w:lang w:val="en-GB"/>
        </w:rPr>
        <w:t xml:space="preserve"> intuitive but incorrect responses, it </w:t>
      </w:r>
      <w:r w:rsidR="004E0515">
        <w:rPr>
          <w:rFonts w:eastAsia="Calibri" w:cs="Times New Roman"/>
          <w:lang w:val="en-GB"/>
        </w:rPr>
        <w:t xml:space="preserve">is </w:t>
      </w:r>
      <w:r w:rsidR="00AA2047">
        <w:rPr>
          <w:rFonts w:eastAsia="Calibri" w:cs="Times New Roman"/>
          <w:lang w:val="en-GB"/>
        </w:rPr>
        <w:lastRenderedPageBreak/>
        <w:t>possible that participants</w:t>
      </w:r>
      <w:r w:rsidR="000A2083">
        <w:rPr>
          <w:rFonts w:eastAsia="Calibri" w:cs="Times New Roman"/>
          <w:lang w:val="en-GB"/>
        </w:rPr>
        <w:t xml:space="preserve"> with higher education </w:t>
      </w:r>
      <w:r w:rsidR="00AA2047">
        <w:rPr>
          <w:rFonts w:eastAsia="Calibri" w:cs="Times New Roman"/>
          <w:lang w:val="en-GB"/>
        </w:rPr>
        <w:t xml:space="preserve">were more likely to </w:t>
      </w:r>
      <w:r w:rsidR="00A557F1">
        <w:rPr>
          <w:rFonts w:eastAsia="Calibri" w:cs="Times New Roman"/>
          <w:lang w:val="en-GB"/>
        </w:rPr>
        <w:t xml:space="preserve">be overconfident and </w:t>
      </w:r>
      <w:r w:rsidR="00AA2047">
        <w:rPr>
          <w:rFonts w:eastAsia="Calibri" w:cs="Times New Roman"/>
          <w:lang w:val="en-GB"/>
        </w:rPr>
        <w:t xml:space="preserve">assume their initial </w:t>
      </w:r>
      <w:r w:rsidR="00A557F1">
        <w:rPr>
          <w:rFonts w:eastAsia="Calibri" w:cs="Times New Roman"/>
          <w:lang w:val="en-GB"/>
        </w:rPr>
        <w:t xml:space="preserve">inaccurate intuitive </w:t>
      </w:r>
      <w:r w:rsidR="00AA2047">
        <w:rPr>
          <w:rFonts w:eastAsia="Calibri" w:cs="Times New Roman"/>
          <w:lang w:val="en-GB"/>
        </w:rPr>
        <w:t>response</w:t>
      </w:r>
      <w:r w:rsidR="00A557F1">
        <w:rPr>
          <w:rFonts w:eastAsia="Calibri" w:cs="Times New Roman"/>
          <w:lang w:val="en-GB"/>
        </w:rPr>
        <w:t>s</w:t>
      </w:r>
      <w:r w:rsidR="00AA2047">
        <w:rPr>
          <w:rFonts w:eastAsia="Calibri" w:cs="Times New Roman"/>
          <w:lang w:val="en-GB"/>
        </w:rPr>
        <w:t xml:space="preserve"> </w:t>
      </w:r>
      <w:r w:rsidR="00A557F1">
        <w:rPr>
          <w:rFonts w:eastAsia="Calibri" w:cs="Times New Roman"/>
          <w:lang w:val="en-GB"/>
        </w:rPr>
        <w:t xml:space="preserve">were </w:t>
      </w:r>
      <w:r w:rsidR="00AA2047">
        <w:rPr>
          <w:rFonts w:eastAsia="Calibri" w:cs="Times New Roman"/>
          <w:lang w:val="en-GB"/>
        </w:rPr>
        <w:t>correct</w:t>
      </w:r>
      <w:r w:rsidR="00A557F1">
        <w:rPr>
          <w:rFonts w:eastAsia="Calibri" w:cs="Times New Roman"/>
          <w:lang w:val="en-GB"/>
        </w:rPr>
        <w:t>, leading to a greater number of errors</w:t>
      </w:r>
      <w:r w:rsidR="000A2083">
        <w:rPr>
          <w:rFonts w:eastAsia="Calibri" w:cs="Times New Roman"/>
          <w:lang w:val="en-GB"/>
        </w:rPr>
        <w:t>.</w:t>
      </w:r>
    </w:p>
    <w:p w14:paraId="3354FA1A" w14:textId="10DAE0EA" w:rsidR="00C32B5F" w:rsidRDefault="000A2083" w:rsidP="003A450C">
      <w:pPr>
        <w:spacing w:after="200"/>
        <w:contextualSpacing/>
        <w:rPr>
          <w:rFonts w:eastAsia="Calibri" w:cs="Times New Roman"/>
          <w:lang w:val="en-GB"/>
        </w:rPr>
      </w:pPr>
      <w:r>
        <w:rPr>
          <w:rFonts w:eastAsia="Calibri" w:cs="Times New Roman"/>
          <w:lang w:val="en-GB"/>
        </w:rPr>
        <w:t>There also were several</w:t>
      </w:r>
      <w:r w:rsidR="00C32B5F">
        <w:rPr>
          <w:rFonts w:eastAsia="Calibri" w:cs="Times New Roman"/>
          <w:lang w:val="en-GB"/>
        </w:rPr>
        <w:t xml:space="preserve"> </w:t>
      </w:r>
      <w:r w:rsidR="00C67157">
        <w:rPr>
          <w:rFonts w:eastAsia="Calibri" w:cs="Times New Roman"/>
          <w:lang w:val="en-GB"/>
        </w:rPr>
        <w:t xml:space="preserve">positive correlations between </w:t>
      </w:r>
      <w:r w:rsidR="00C32B5F">
        <w:rPr>
          <w:rFonts w:eastAsia="Calibri" w:cs="Times New Roman"/>
          <w:lang w:val="en-GB"/>
        </w:rPr>
        <w:t xml:space="preserve">the education measures </w:t>
      </w:r>
      <w:r w:rsidR="00C67157">
        <w:rPr>
          <w:rFonts w:eastAsia="Calibri" w:cs="Times New Roman"/>
          <w:lang w:val="en-GB"/>
        </w:rPr>
        <w:t xml:space="preserve">and anomalistic belief. </w:t>
      </w:r>
      <w:r w:rsidR="007B1C06">
        <w:rPr>
          <w:rFonts w:eastAsia="Calibri" w:cs="Times New Roman"/>
          <w:lang w:val="en-GB"/>
        </w:rPr>
        <w:t xml:space="preserve">These findings </w:t>
      </w:r>
      <w:r w:rsidR="003A450C">
        <w:rPr>
          <w:rFonts w:eastAsia="Calibri" w:cs="Times New Roman"/>
          <w:lang w:val="en-GB"/>
        </w:rPr>
        <w:t xml:space="preserve">are somewhat counterintuitive, </w:t>
      </w:r>
      <w:r w:rsidR="00D858E4">
        <w:rPr>
          <w:rFonts w:eastAsia="Calibri" w:cs="Times New Roman"/>
          <w:lang w:val="en-GB"/>
        </w:rPr>
        <w:t>although</w:t>
      </w:r>
      <w:r w:rsidR="003A450C">
        <w:rPr>
          <w:rFonts w:eastAsia="Calibri" w:cs="Times New Roman"/>
          <w:lang w:val="en-GB"/>
        </w:rPr>
        <w:t xml:space="preserve"> </w:t>
      </w:r>
      <w:r w:rsidR="00A76C26">
        <w:rPr>
          <w:rFonts w:eastAsia="Calibri" w:cs="Times New Roman"/>
          <w:lang w:val="en-GB"/>
        </w:rPr>
        <w:t xml:space="preserve">other </w:t>
      </w:r>
      <w:r w:rsidR="003A450C">
        <w:rPr>
          <w:rFonts w:eastAsia="Calibri" w:cs="Times New Roman"/>
          <w:lang w:val="en-GB"/>
        </w:rPr>
        <w:t xml:space="preserve">recent studies have found positive correlations between education and anomalistic belief (Prike et al. 2017; 2018). One potential explanation is that having strange experiences that seem anomalistic </w:t>
      </w:r>
      <w:r w:rsidR="00897410">
        <w:rPr>
          <w:rFonts w:eastAsia="Calibri" w:cs="Times New Roman"/>
          <w:lang w:val="en-GB"/>
        </w:rPr>
        <w:t xml:space="preserve">and/or holding some anomalistic beliefs </w:t>
      </w:r>
      <w:r w:rsidR="003A450C">
        <w:rPr>
          <w:rFonts w:eastAsia="Calibri" w:cs="Times New Roman"/>
          <w:lang w:val="en-GB"/>
        </w:rPr>
        <w:t xml:space="preserve">may motivate people to pursue education in a topic </w:t>
      </w:r>
      <w:r w:rsidR="00D858E4">
        <w:rPr>
          <w:rFonts w:eastAsia="Calibri" w:cs="Times New Roman"/>
          <w:lang w:val="en-GB"/>
        </w:rPr>
        <w:t>like</w:t>
      </w:r>
      <w:r w:rsidR="003A450C">
        <w:rPr>
          <w:rFonts w:eastAsia="Calibri" w:cs="Times New Roman"/>
          <w:lang w:val="en-GB"/>
        </w:rPr>
        <w:t xml:space="preserve"> psychology</w:t>
      </w:r>
      <w:r w:rsidR="00D858E4">
        <w:rPr>
          <w:rFonts w:eastAsia="Calibri" w:cs="Times New Roman"/>
          <w:lang w:val="en-GB"/>
        </w:rPr>
        <w:t>.</w:t>
      </w:r>
      <w:r w:rsidR="003A450C">
        <w:rPr>
          <w:rFonts w:eastAsia="Calibri" w:cs="Times New Roman"/>
          <w:lang w:val="en-GB"/>
        </w:rPr>
        <w:t xml:space="preserve"> </w:t>
      </w:r>
      <w:r w:rsidR="00D858E4">
        <w:rPr>
          <w:rFonts w:eastAsia="Calibri" w:cs="Times New Roman"/>
          <w:lang w:val="en-GB"/>
        </w:rPr>
        <w:t>When s</w:t>
      </w:r>
      <w:r w:rsidR="00897410">
        <w:rPr>
          <w:rFonts w:eastAsia="Calibri" w:cs="Times New Roman"/>
          <w:lang w:val="en-GB"/>
        </w:rPr>
        <w:t xml:space="preserve">tudying </w:t>
      </w:r>
      <w:r w:rsidR="003A450C">
        <w:rPr>
          <w:rFonts w:eastAsia="Calibri" w:cs="Times New Roman"/>
          <w:lang w:val="en-GB"/>
        </w:rPr>
        <w:t xml:space="preserve">psychology people </w:t>
      </w:r>
      <w:r>
        <w:rPr>
          <w:rFonts w:eastAsia="Calibri" w:cs="Times New Roman"/>
          <w:lang w:val="en-GB"/>
        </w:rPr>
        <w:t xml:space="preserve">also </w:t>
      </w:r>
      <w:r w:rsidR="003A450C">
        <w:rPr>
          <w:rFonts w:eastAsia="Calibri" w:cs="Times New Roman"/>
          <w:lang w:val="en-GB"/>
        </w:rPr>
        <w:t xml:space="preserve">will </w:t>
      </w:r>
      <w:r w:rsidR="00897410">
        <w:rPr>
          <w:rFonts w:eastAsia="Calibri" w:cs="Times New Roman"/>
          <w:lang w:val="en-GB"/>
        </w:rPr>
        <w:t xml:space="preserve">likely complete statistics courses </w:t>
      </w:r>
      <w:r>
        <w:rPr>
          <w:rFonts w:eastAsia="Calibri" w:cs="Times New Roman"/>
          <w:lang w:val="en-GB"/>
        </w:rPr>
        <w:t>(</w:t>
      </w:r>
      <w:r w:rsidR="00897410">
        <w:rPr>
          <w:rFonts w:eastAsia="Calibri" w:cs="Times New Roman"/>
          <w:lang w:val="en-GB"/>
        </w:rPr>
        <w:t xml:space="preserve">as well as </w:t>
      </w:r>
      <w:r w:rsidR="00D858E4">
        <w:rPr>
          <w:rFonts w:eastAsia="Calibri" w:cs="Times New Roman"/>
          <w:lang w:val="en-GB"/>
        </w:rPr>
        <w:t xml:space="preserve">potentially some </w:t>
      </w:r>
      <w:r w:rsidR="00897410">
        <w:rPr>
          <w:rFonts w:eastAsia="Calibri" w:cs="Times New Roman"/>
          <w:lang w:val="en-GB"/>
        </w:rPr>
        <w:t>mathematics</w:t>
      </w:r>
      <w:r w:rsidR="00D858E4">
        <w:rPr>
          <w:rFonts w:eastAsia="Calibri" w:cs="Times New Roman"/>
          <w:lang w:val="en-GB"/>
        </w:rPr>
        <w:t xml:space="preserve"> </w:t>
      </w:r>
      <w:r>
        <w:rPr>
          <w:rFonts w:eastAsia="Calibri" w:cs="Times New Roman"/>
          <w:lang w:val="en-GB"/>
        </w:rPr>
        <w:t>courses),</w:t>
      </w:r>
      <w:r w:rsidR="00A76C26">
        <w:rPr>
          <w:rFonts w:eastAsia="Calibri" w:cs="Times New Roman"/>
          <w:lang w:val="en-GB"/>
        </w:rPr>
        <w:t xml:space="preserve"> which may help to explain the positive correlations found in this study</w:t>
      </w:r>
      <w:r w:rsidR="00D858E4">
        <w:rPr>
          <w:rFonts w:eastAsia="Calibri" w:cs="Times New Roman"/>
          <w:lang w:val="en-GB"/>
        </w:rPr>
        <w:t>.</w:t>
      </w:r>
      <w:r w:rsidR="00897410">
        <w:rPr>
          <w:rFonts w:eastAsia="Calibri" w:cs="Times New Roman"/>
          <w:lang w:val="en-GB"/>
        </w:rPr>
        <w:t xml:space="preserve"> However, the correlations </w:t>
      </w:r>
      <w:r>
        <w:rPr>
          <w:rFonts w:eastAsia="Calibri" w:cs="Times New Roman"/>
          <w:lang w:val="en-GB"/>
        </w:rPr>
        <w:t>were</w:t>
      </w:r>
      <w:r w:rsidR="00897410">
        <w:rPr>
          <w:rFonts w:eastAsia="Calibri" w:cs="Times New Roman"/>
          <w:lang w:val="en-GB"/>
        </w:rPr>
        <w:t xml:space="preserve"> generally quite weak, and </w:t>
      </w:r>
      <w:r w:rsidR="00D858E4">
        <w:rPr>
          <w:rFonts w:eastAsia="Calibri" w:cs="Times New Roman"/>
          <w:lang w:val="en-GB"/>
        </w:rPr>
        <w:t xml:space="preserve">further research </w:t>
      </w:r>
      <w:r>
        <w:rPr>
          <w:rFonts w:eastAsia="Calibri" w:cs="Times New Roman"/>
          <w:lang w:val="en-GB"/>
        </w:rPr>
        <w:t>is required to replicate the patterns and test the proposed explanations</w:t>
      </w:r>
      <w:r w:rsidR="00897410">
        <w:rPr>
          <w:rFonts w:eastAsia="Calibri" w:cs="Times New Roman"/>
          <w:lang w:val="en-GB"/>
        </w:rPr>
        <w:t>.</w:t>
      </w:r>
    </w:p>
    <w:p w14:paraId="0217E745" w14:textId="13F9775D" w:rsidR="009D04D7" w:rsidRPr="00901D0D" w:rsidRDefault="0006565A" w:rsidP="009D04D7">
      <w:pPr>
        <w:spacing w:after="200"/>
        <w:contextualSpacing/>
        <w:rPr>
          <w:rFonts w:eastAsia="Calibri" w:cs="Times New Roman"/>
          <w:lang w:val="en-GB"/>
        </w:rPr>
      </w:pPr>
      <w:r>
        <w:rPr>
          <w:rFonts w:eastAsia="Calibri" w:cs="Times New Roman"/>
          <w:lang w:val="en-GB"/>
        </w:rPr>
        <w:t>One</w:t>
      </w:r>
      <w:r w:rsidR="006B0DFF">
        <w:rPr>
          <w:rFonts w:eastAsia="Calibri" w:cs="Times New Roman"/>
          <w:lang w:val="en-GB"/>
        </w:rPr>
        <w:t xml:space="preserve"> limitation </w:t>
      </w:r>
      <w:r>
        <w:rPr>
          <w:rFonts w:eastAsia="Calibri" w:cs="Times New Roman"/>
          <w:lang w:val="en-GB"/>
        </w:rPr>
        <w:t xml:space="preserve">of </w:t>
      </w:r>
      <w:r w:rsidR="006B0DFF">
        <w:rPr>
          <w:rFonts w:eastAsia="Calibri" w:cs="Times New Roman"/>
          <w:lang w:val="en-GB"/>
        </w:rPr>
        <w:t>th</w:t>
      </w:r>
      <w:r>
        <w:rPr>
          <w:rFonts w:eastAsia="Calibri" w:cs="Times New Roman"/>
          <w:lang w:val="en-GB"/>
        </w:rPr>
        <w:t>e current</w:t>
      </w:r>
      <w:r w:rsidR="006B0DFF">
        <w:rPr>
          <w:rFonts w:eastAsia="Calibri" w:cs="Times New Roman"/>
          <w:lang w:val="en-GB"/>
        </w:rPr>
        <w:t xml:space="preserve"> </w:t>
      </w:r>
      <w:r w:rsidR="00F7537B">
        <w:rPr>
          <w:rFonts w:eastAsia="Calibri" w:cs="Times New Roman"/>
          <w:lang w:val="en-GB"/>
        </w:rPr>
        <w:t>study</w:t>
      </w:r>
      <w:r>
        <w:rPr>
          <w:rFonts w:eastAsia="Calibri" w:cs="Times New Roman"/>
          <w:lang w:val="en-GB"/>
        </w:rPr>
        <w:t xml:space="preserve"> is that it</w:t>
      </w:r>
      <w:r w:rsidR="00F7537B">
        <w:rPr>
          <w:rFonts w:eastAsia="Calibri" w:cs="Times New Roman"/>
          <w:lang w:val="en-GB"/>
        </w:rPr>
        <w:t xml:space="preserve"> used a correlational design</w:t>
      </w:r>
      <w:r w:rsidR="00436BE8">
        <w:rPr>
          <w:rFonts w:eastAsia="Calibri" w:cs="Times New Roman"/>
          <w:lang w:val="en-GB"/>
        </w:rPr>
        <w:t>, which means that</w:t>
      </w:r>
      <w:r w:rsidR="006B0DFF">
        <w:rPr>
          <w:rFonts w:eastAsia="Calibri" w:cs="Times New Roman"/>
          <w:lang w:val="en-GB"/>
        </w:rPr>
        <w:t xml:space="preserve"> rather than probabilistic reasoning contributing to greater anomalistic beliefs, it is possible that greater levels of anomalistic belief lead to poorer probabilistic reasoning. </w:t>
      </w:r>
      <w:r w:rsidR="009F70D2">
        <w:rPr>
          <w:rFonts w:eastAsia="Calibri" w:cs="Times New Roman"/>
          <w:lang w:val="en-GB"/>
        </w:rPr>
        <w:t xml:space="preserve">One </w:t>
      </w:r>
      <w:r w:rsidR="00D706B4">
        <w:rPr>
          <w:rFonts w:eastAsia="Calibri" w:cs="Times New Roman"/>
          <w:lang w:val="en-GB"/>
        </w:rPr>
        <w:t>explanation for why anomalistic belief might causally contribute to poorer probabilistic reasoning is that motivated reasoning may lead people to discount probabilistic information that threaten</w:t>
      </w:r>
      <w:r>
        <w:rPr>
          <w:rFonts w:eastAsia="Calibri" w:cs="Times New Roman"/>
          <w:lang w:val="en-GB"/>
        </w:rPr>
        <w:t>s</w:t>
      </w:r>
      <w:r w:rsidR="00D706B4">
        <w:rPr>
          <w:rFonts w:eastAsia="Calibri" w:cs="Times New Roman"/>
          <w:lang w:val="en-GB"/>
        </w:rPr>
        <w:t xml:space="preserve"> their anomalistic beliefs</w:t>
      </w:r>
      <w:r>
        <w:rPr>
          <w:rFonts w:eastAsia="Calibri" w:cs="Times New Roman"/>
          <w:lang w:val="en-GB"/>
        </w:rPr>
        <w:t xml:space="preserve"> (</w:t>
      </w:r>
      <w:r w:rsidR="00F8641F" w:rsidRPr="00901D0D">
        <w:rPr>
          <w:lang w:val="en-GB"/>
        </w:rPr>
        <w:t>Dawson</w:t>
      </w:r>
      <w:r w:rsidR="00F8641F">
        <w:rPr>
          <w:lang w:val="en-GB"/>
        </w:rPr>
        <w:t xml:space="preserve"> et al.</w:t>
      </w:r>
      <w:r w:rsidR="00F8641F" w:rsidRPr="00901D0D">
        <w:rPr>
          <w:lang w:val="en-GB"/>
        </w:rPr>
        <w:t>, 2002; Kahan</w:t>
      </w:r>
      <w:r w:rsidR="00F8641F">
        <w:rPr>
          <w:lang w:val="en-GB"/>
        </w:rPr>
        <w:t xml:space="preserve"> et al.</w:t>
      </w:r>
      <w:r w:rsidR="00F8641F" w:rsidRPr="00901D0D">
        <w:rPr>
          <w:lang w:val="en-GB"/>
        </w:rPr>
        <w:t xml:space="preserve">, 2017; </w:t>
      </w:r>
      <w:proofErr w:type="spellStart"/>
      <w:r w:rsidR="00F8641F" w:rsidRPr="00901D0D">
        <w:rPr>
          <w:lang w:val="en-GB"/>
        </w:rPr>
        <w:t>Kunda</w:t>
      </w:r>
      <w:proofErr w:type="spellEnd"/>
      <w:r w:rsidR="00F8641F" w:rsidRPr="00901D0D">
        <w:rPr>
          <w:lang w:val="en-GB"/>
        </w:rPr>
        <w:t>, 1990; Stanovich</w:t>
      </w:r>
      <w:r w:rsidR="00F8641F">
        <w:rPr>
          <w:lang w:val="en-GB"/>
        </w:rPr>
        <w:t xml:space="preserve"> et al.</w:t>
      </w:r>
      <w:r w:rsidR="00F8641F" w:rsidRPr="00901D0D">
        <w:rPr>
          <w:lang w:val="en-GB"/>
        </w:rPr>
        <w:t>, 2013</w:t>
      </w:r>
      <w:r>
        <w:rPr>
          <w:rFonts w:eastAsia="Calibri" w:cs="Times New Roman"/>
          <w:lang w:val="en-GB"/>
        </w:rPr>
        <w:t>)</w:t>
      </w:r>
      <w:r w:rsidR="00D706B4">
        <w:rPr>
          <w:rFonts w:eastAsia="Calibri" w:cs="Times New Roman"/>
          <w:lang w:val="en-GB"/>
        </w:rPr>
        <w:t xml:space="preserve">. </w:t>
      </w:r>
      <w:r>
        <w:rPr>
          <w:rFonts w:eastAsia="Calibri" w:cs="Times New Roman"/>
          <w:lang w:val="en-GB"/>
        </w:rPr>
        <w:t xml:space="preserve">As noted above, though, both our findings and other previous research has shown </w:t>
      </w:r>
      <w:r w:rsidR="00D706B4">
        <w:rPr>
          <w:rFonts w:eastAsia="Calibri" w:cs="Times New Roman"/>
          <w:lang w:val="en-GB"/>
        </w:rPr>
        <w:t xml:space="preserve">that anomalistic belief is related to poorer probabilistic reasoning even for items </w:t>
      </w:r>
      <w:r w:rsidR="00F343F7">
        <w:rPr>
          <w:rFonts w:eastAsia="Calibri" w:cs="Times New Roman"/>
          <w:lang w:val="en-GB"/>
        </w:rPr>
        <w:t>where</w:t>
      </w:r>
      <w:r w:rsidR="00827489">
        <w:rPr>
          <w:rFonts w:eastAsia="Calibri" w:cs="Times New Roman"/>
          <w:lang w:val="en-GB"/>
        </w:rPr>
        <w:t xml:space="preserve"> </w:t>
      </w:r>
      <w:r>
        <w:rPr>
          <w:rFonts w:eastAsia="Calibri" w:cs="Times New Roman"/>
          <w:lang w:val="en-GB"/>
        </w:rPr>
        <w:t xml:space="preserve">correct answers </w:t>
      </w:r>
      <w:r w:rsidR="00D706B4">
        <w:rPr>
          <w:rFonts w:eastAsia="Calibri" w:cs="Times New Roman"/>
          <w:lang w:val="en-GB"/>
        </w:rPr>
        <w:t xml:space="preserve">would not threaten </w:t>
      </w:r>
      <w:r w:rsidR="00F343F7">
        <w:rPr>
          <w:rFonts w:eastAsia="Calibri" w:cs="Times New Roman"/>
          <w:lang w:val="en-GB"/>
        </w:rPr>
        <w:t xml:space="preserve">people’s </w:t>
      </w:r>
      <w:r w:rsidR="00D706B4">
        <w:rPr>
          <w:rFonts w:eastAsia="Calibri" w:cs="Times New Roman"/>
          <w:lang w:val="en-GB"/>
        </w:rPr>
        <w:t>underlying beliefs</w:t>
      </w:r>
      <w:r w:rsidR="00F343F7">
        <w:rPr>
          <w:rFonts w:eastAsia="Calibri" w:cs="Times New Roman"/>
          <w:lang w:val="en-GB"/>
        </w:rPr>
        <w:t xml:space="preserve"> (i.e., neutral contexts</w:t>
      </w:r>
      <w:r w:rsidR="00D706B4">
        <w:rPr>
          <w:rFonts w:eastAsia="Calibri" w:cs="Times New Roman"/>
          <w:lang w:val="en-GB"/>
        </w:rPr>
        <w:t>)</w:t>
      </w:r>
      <w:r>
        <w:rPr>
          <w:rFonts w:eastAsia="Calibri" w:cs="Times New Roman"/>
          <w:lang w:val="en-GB"/>
        </w:rPr>
        <w:t xml:space="preserve">, which </w:t>
      </w:r>
      <w:r w:rsidR="00D706B4">
        <w:rPr>
          <w:rFonts w:eastAsia="Calibri" w:cs="Times New Roman"/>
          <w:lang w:val="en-GB"/>
        </w:rPr>
        <w:t xml:space="preserve">casts doubt on this explanation. Additionally, Bouvet and </w:t>
      </w:r>
      <w:proofErr w:type="spellStart"/>
      <w:r w:rsidR="00D706B4">
        <w:rPr>
          <w:rFonts w:eastAsia="Calibri" w:cs="Times New Roman"/>
          <w:lang w:val="en-GB"/>
        </w:rPr>
        <w:t>Bonnefon</w:t>
      </w:r>
      <w:proofErr w:type="spellEnd"/>
      <w:r w:rsidR="00D706B4">
        <w:rPr>
          <w:rFonts w:eastAsia="Calibri" w:cs="Times New Roman"/>
          <w:lang w:val="en-GB"/>
        </w:rPr>
        <w:t xml:space="preserve"> (2015) </w:t>
      </w:r>
      <w:r w:rsidR="00E73AD1">
        <w:rPr>
          <w:rFonts w:eastAsia="Calibri" w:cs="Times New Roman"/>
          <w:lang w:val="en-GB"/>
        </w:rPr>
        <w:t>measured</w:t>
      </w:r>
      <w:r w:rsidR="00D706B4">
        <w:rPr>
          <w:rFonts w:eastAsia="Calibri" w:cs="Times New Roman"/>
          <w:lang w:val="en-GB"/>
        </w:rPr>
        <w:t xml:space="preserve"> analytical thinking </w:t>
      </w:r>
      <w:r w:rsidR="00E73AD1">
        <w:rPr>
          <w:rFonts w:eastAsia="Calibri" w:cs="Times New Roman"/>
          <w:lang w:val="en-GB"/>
        </w:rPr>
        <w:t xml:space="preserve">at baseline and found that it was predictive of the likelihood that people would later accept anomalistic explanations for potentially anomalous experiences. </w:t>
      </w:r>
      <w:r w:rsidR="009D04D7">
        <w:rPr>
          <w:rFonts w:eastAsia="Calibri" w:cs="Times New Roman"/>
          <w:lang w:val="en-GB"/>
        </w:rPr>
        <w:t>I</w:t>
      </w:r>
      <w:r w:rsidR="009D04D7" w:rsidRPr="00901D0D">
        <w:rPr>
          <w:rFonts w:eastAsia="Calibri" w:cs="Times New Roman"/>
          <w:lang w:val="en-GB"/>
        </w:rPr>
        <w:t xml:space="preserve">t </w:t>
      </w:r>
      <w:r w:rsidR="009D04D7" w:rsidRPr="00901D0D">
        <w:rPr>
          <w:rFonts w:eastAsia="Calibri" w:cs="Times New Roman"/>
          <w:lang w:val="en-GB"/>
        </w:rPr>
        <w:lastRenderedPageBreak/>
        <w:t xml:space="preserve">is difficult to experimentally manipulate either anomalistic belief or reasoning ability, </w:t>
      </w:r>
      <w:r w:rsidR="009D04D7">
        <w:rPr>
          <w:rFonts w:eastAsia="Calibri" w:cs="Times New Roman"/>
          <w:lang w:val="en-GB"/>
        </w:rPr>
        <w:t xml:space="preserve">but </w:t>
      </w:r>
      <w:r w:rsidR="009D04D7" w:rsidRPr="00901D0D">
        <w:rPr>
          <w:rFonts w:eastAsia="Calibri" w:cs="Times New Roman"/>
          <w:lang w:val="en-GB"/>
        </w:rPr>
        <w:t xml:space="preserve">there are several avenues that may more closely link probabilistic reasoning and experiential anomalistic beliefs. For example, </w:t>
      </w:r>
      <w:r w:rsidR="009D04D7">
        <w:rPr>
          <w:rFonts w:eastAsia="Calibri" w:cs="Times New Roman"/>
          <w:lang w:val="en-GB"/>
        </w:rPr>
        <w:t>in</w:t>
      </w:r>
      <w:r w:rsidR="009D04D7" w:rsidRPr="00901D0D">
        <w:rPr>
          <w:rFonts w:eastAsia="Calibri" w:cs="Times New Roman"/>
          <w:lang w:val="en-GB"/>
        </w:rPr>
        <w:t xml:space="preserve"> future work more realistic and engrossing scenarios </w:t>
      </w:r>
      <w:r w:rsidR="009D04D7">
        <w:rPr>
          <w:rFonts w:eastAsia="Calibri" w:cs="Times New Roman"/>
          <w:lang w:val="en-GB"/>
        </w:rPr>
        <w:t xml:space="preserve">could be developed </w:t>
      </w:r>
      <w:r w:rsidR="009D04D7" w:rsidRPr="00901D0D">
        <w:rPr>
          <w:rFonts w:eastAsia="Calibri" w:cs="Times New Roman"/>
          <w:lang w:val="en-GB"/>
        </w:rPr>
        <w:t xml:space="preserve">that present ambiguous events that either can be (incorrectly) interpreted as an anomalistic experience or (correctly) explained using probabilistic reasoning. </w:t>
      </w:r>
      <w:r w:rsidR="009D04D7">
        <w:rPr>
          <w:rFonts w:eastAsia="Calibri" w:cs="Times New Roman"/>
          <w:lang w:val="en-GB"/>
        </w:rPr>
        <w:t xml:space="preserve">For instance, a more realistic scenario could provide a detailed description of a psychic reading, with some aspects of the description focused on a non-anomalistic explanation (e.g., the person knows a male with a name beginning with J, which may be interpreted either as evidence of psychic ability or as a highly probable statement because of the high frequency of male names beginning with J). </w:t>
      </w:r>
      <w:r w:rsidR="009D04D7" w:rsidRPr="00901D0D">
        <w:rPr>
          <w:rFonts w:eastAsia="Calibri" w:cs="Times New Roman"/>
          <w:lang w:val="en-GB"/>
        </w:rPr>
        <w:t>Additionally, monetary rewards could be offered for correct responses to increase motivation to engage in effortful probabilistic reasoning. A monetary reward would help to discern whether people higher in anomalistic belief simply differ in their preference or willingness to engage in systematic and analytical thinking (i.e., are cognitive misers) or whether they are unable to accurately complete the reasoning scenarios.</w:t>
      </w:r>
    </w:p>
    <w:p w14:paraId="248D4230" w14:textId="2F64A778" w:rsidR="006B0DFF" w:rsidRDefault="008B6A3B" w:rsidP="006B0DFF">
      <w:pPr>
        <w:spacing w:after="200"/>
        <w:contextualSpacing/>
        <w:rPr>
          <w:rFonts w:eastAsia="Calibri" w:cs="Times New Roman"/>
          <w:lang w:val="en-GB"/>
        </w:rPr>
      </w:pPr>
      <w:r>
        <w:rPr>
          <w:rFonts w:eastAsia="Calibri" w:cs="Times New Roman"/>
          <w:lang w:val="en-GB"/>
        </w:rPr>
        <w:t xml:space="preserve">A </w:t>
      </w:r>
      <w:r w:rsidR="006B0DFF">
        <w:rPr>
          <w:rFonts w:eastAsia="Calibri" w:cs="Times New Roman"/>
          <w:lang w:val="en-GB"/>
        </w:rPr>
        <w:t>greater endorsement of anomalistic beliefs and poorer probabilistic reasoning</w:t>
      </w:r>
      <w:r>
        <w:rPr>
          <w:rFonts w:eastAsia="Calibri" w:cs="Times New Roman"/>
          <w:lang w:val="en-GB"/>
        </w:rPr>
        <w:t xml:space="preserve"> also may be due to other variables. For example,</w:t>
      </w:r>
      <w:r w:rsidR="00811A8A">
        <w:rPr>
          <w:rFonts w:eastAsia="Calibri" w:cs="Times New Roman"/>
          <w:lang w:val="en-GB"/>
        </w:rPr>
        <w:t xml:space="preserve"> </w:t>
      </w:r>
      <w:r w:rsidR="006B7BB2">
        <w:rPr>
          <w:rFonts w:eastAsia="Calibri" w:cs="Times New Roman"/>
          <w:lang w:val="en-GB"/>
        </w:rPr>
        <w:t xml:space="preserve">people with greater levels of </w:t>
      </w:r>
      <w:r w:rsidR="00811A8A">
        <w:rPr>
          <w:rFonts w:eastAsia="Calibri" w:cs="Times New Roman"/>
          <w:lang w:val="en-GB"/>
        </w:rPr>
        <w:t xml:space="preserve">anomalistic </w:t>
      </w:r>
      <w:r w:rsidR="006B7BB2">
        <w:rPr>
          <w:rFonts w:eastAsia="Calibri" w:cs="Times New Roman"/>
          <w:lang w:val="en-GB"/>
        </w:rPr>
        <w:t xml:space="preserve">belief </w:t>
      </w:r>
      <w:r w:rsidR="001116A0">
        <w:rPr>
          <w:rFonts w:eastAsia="Calibri" w:cs="Times New Roman"/>
          <w:lang w:val="en-GB"/>
        </w:rPr>
        <w:t xml:space="preserve">also have a greater tendency </w:t>
      </w:r>
      <w:r w:rsidR="006B7BB2">
        <w:rPr>
          <w:rFonts w:eastAsia="Calibri" w:cs="Times New Roman"/>
          <w:lang w:val="en-GB"/>
        </w:rPr>
        <w:t xml:space="preserve">to make perceptual errors. Specifically, Simmonds-Moore (2014) found that paranormal believers made more misidentifications and had greater confidence in their guesses when attempting to identify </w:t>
      </w:r>
      <w:r w:rsidR="00234D27">
        <w:rPr>
          <w:rFonts w:eastAsia="Calibri" w:cs="Times New Roman"/>
          <w:lang w:val="en-GB"/>
        </w:rPr>
        <w:t>degraded visual stimuli</w:t>
      </w:r>
      <w:r w:rsidR="001116A0">
        <w:rPr>
          <w:rFonts w:eastAsia="Calibri" w:cs="Times New Roman"/>
          <w:lang w:val="en-GB"/>
        </w:rPr>
        <w:t>.</w:t>
      </w:r>
      <w:r w:rsidR="00234D27">
        <w:rPr>
          <w:rFonts w:eastAsia="Calibri" w:cs="Times New Roman"/>
          <w:lang w:val="en-GB"/>
        </w:rPr>
        <w:t xml:space="preserve"> </w:t>
      </w:r>
      <w:r w:rsidR="001116A0">
        <w:rPr>
          <w:rFonts w:eastAsia="Calibri" w:cs="Times New Roman"/>
          <w:lang w:val="en-GB"/>
        </w:rPr>
        <w:t xml:space="preserve">Similarly, </w:t>
      </w:r>
      <w:proofErr w:type="spellStart"/>
      <w:r w:rsidR="000A34F2" w:rsidRPr="000A34F2">
        <w:rPr>
          <w:rFonts w:eastAsia="Calibri" w:cs="Times New Roman"/>
          <w:lang w:val="en-GB"/>
        </w:rPr>
        <w:t>Riekki</w:t>
      </w:r>
      <w:proofErr w:type="spellEnd"/>
      <w:r w:rsidR="000A34F2" w:rsidRPr="000A34F2">
        <w:rPr>
          <w:rFonts w:eastAsia="Calibri" w:cs="Times New Roman"/>
          <w:lang w:val="en-GB"/>
        </w:rPr>
        <w:t xml:space="preserve">, Lindeman, </w:t>
      </w:r>
      <w:proofErr w:type="spellStart"/>
      <w:r w:rsidR="000A34F2" w:rsidRPr="000A34F2">
        <w:rPr>
          <w:rFonts w:eastAsia="Calibri" w:cs="Times New Roman"/>
          <w:lang w:val="en-GB"/>
        </w:rPr>
        <w:t>Aleneff</w:t>
      </w:r>
      <w:proofErr w:type="spellEnd"/>
      <w:r w:rsidR="000A34F2" w:rsidRPr="000A34F2">
        <w:rPr>
          <w:rFonts w:eastAsia="Calibri" w:cs="Times New Roman"/>
          <w:lang w:val="en-GB"/>
        </w:rPr>
        <w:t xml:space="preserve">, </w:t>
      </w:r>
      <w:proofErr w:type="spellStart"/>
      <w:r w:rsidR="000A34F2" w:rsidRPr="000A34F2">
        <w:rPr>
          <w:rFonts w:eastAsia="Calibri" w:cs="Times New Roman"/>
          <w:lang w:val="en-GB"/>
        </w:rPr>
        <w:t>Halme</w:t>
      </w:r>
      <w:proofErr w:type="spellEnd"/>
      <w:r w:rsidR="000A34F2" w:rsidRPr="000A34F2">
        <w:rPr>
          <w:rFonts w:eastAsia="Calibri" w:cs="Times New Roman"/>
          <w:lang w:val="en-GB"/>
        </w:rPr>
        <w:t xml:space="preserve">, and </w:t>
      </w:r>
      <w:proofErr w:type="spellStart"/>
      <w:r w:rsidR="000A34F2" w:rsidRPr="000A34F2">
        <w:rPr>
          <w:rFonts w:eastAsia="Calibri" w:cs="Times New Roman"/>
          <w:lang w:val="en-GB"/>
        </w:rPr>
        <w:t>Nuortimo</w:t>
      </w:r>
      <w:proofErr w:type="spellEnd"/>
      <w:r w:rsidR="000A34F2" w:rsidRPr="000A34F2" w:rsidDel="000A34F2">
        <w:rPr>
          <w:rFonts w:eastAsia="Calibri" w:cs="Times New Roman"/>
          <w:lang w:val="en-GB"/>
        </w:rPr>
        <w:t xml:space="preserve"> </w:t>
      </w:r>
      <w:r w:rsidR="00234D27">
        <w:rPr>
          <w:rFonts w:eastAsia="Calibri" w:cs="Times New Roman"/>
          <w:lang w:val="en-GB"/>
        </w:rPr>
        <w:t xml:space="preserve">(2013) found that </w:t>
      </w:r>
      <w:r w:rsidR="001116A0">
        <w:rPr>
          <w:rFonts w:eastAsia="Calibri" w:cs="Times New Roman"/>
          <w:lang w:val="en-GB"/>
        </w:rPr>
        <w:t xml:space="preserve">anomalistic believers had a more liberal answering criteria when deciding that an image contained a face-like region (e.g., a tree trunk with face-like features), however, they did not differ from non-believers in their sensitivity to detect the face-like regions. </w:t>
      </w:r>
      <w:r>
        <w:rPr>
          <w:rFonts w:eastAsia="Calibri" w:cs="Times New Roman"/>
          <w:lang w:val="en-GB"/>
        </w:rPr>
        <w:t>Therefore, i</w:t>
      </w:r>
      <w:r w:rsidR="009B3A21">
        <w:rPr>
          <w:rFonts w:eastAsia="Calibri" w:cs="Times New Roman"/>
          <w:lang w:val="en-GB"/>
        </w:rPr>
        <w:t>t is possible that</w:t>
      </w:r>
      <w:r w:rsidR="001116A0">
        <w:rPr>
          <w:rFonts w:eastAsia="Calibri" w:cs="Times New Roman"/>
          <w:lang w:val="en-GB"/>
        </w:rPr>
        <w:t xml:space="preserve"> </w:t>
      </w:r>
      <w:r w:rsidR="002D1AA1">
        <w:rPr>
          <w:rFonts w:eastAsia="Calibri" w:cs="Times New Roman"/>
          <w:lang w:val="en-GB"/>
        </w:rPr>
        <w:t>a predisposition towards</w:t>
      </w:r>
      <w:r w:rsidR="001116A0">
        <w:rPr>
          <w:rFonts w:eastAsia="Calibri" w:cs="Times New Roman"/>
          <w:lang w:val="en-GB"/>
        </w:rPr>
        <w:t xml:space="preserve"> finding</w:t>
      </w:r>
      <w:r w:rsidR="009B3A21">
        <w:rPr>
          <w:rFonts w:eastAsia="Calibri" w:cs="Times New Roman"/>
          <w:lang w:val="en-GB"/>
        </w:rPr>
        <w:t xml:space="preserve"> patterns</w:t>
      </w:r>
      <w:r w:rsidR="001116A0">
        <w:rPr>
          <w:rFonts w:eastAsia="Calibri" w:cs="Times New Roman"/>
          <w:lang w:val="en-GB"/>
        </w:rPr>
        <w:t xml:space="preserve">, </w:t>
      </w:r>
      <w:r w:rsidR="009B3A21">
        <w:rPr>
          <w:rFonts w:eastAsia="Calibri" w:cs="Times New Roman"/>
          <w:lang w:val="en-GB"/>
        </w:rPr>
        <w:t xml:space="preserve">even when </w:t>
      </w:r>
      <w:r w:rsidR="001116A0">
        <w:rPr>
          <w:rFonts w:eastAsia="Calibri" w:cs="Times New Roman"/>
          <w:lang w:val="en-GB"/>
        </w:rPr>
        <w:t xml:space="preserve">patterns are </w:t>
      </w:r>
      <w:r w:rsidR="009B3A21">
        <w:rPr>
          <w:rFonts w:eastAsia="Calibri" w:cs="Times New Roman"/>
          <w:lang w:val="en-GB"/>
        </w:rPr>
        <w:t xml:space="preserve">not </w:t>
      </w:r>
      <w:r w:rsidR="001116A0">
        <w:rPr>
          <w:rFonts w:eastAsia="Calibri" w:cs="Times New Roman"/>
          <w:lang w:val="en-GB"/>
        </w:rPr>
        <w:t>actually present</w:t>
      </w:r>
      <w:r w:rsidR="009B3A21">
        <w:rPr>
          <w:rFonts w:eastAsia="Calibri" w:cs="Times New Roman"/>
          <w:lang w:val="en-GB"/>
        </w:rPr>
        <w:t xml:space="preserve">, may lead to </w:t>
      </w:r>
      <w:r w:rsidR="002D1AA1">
        <w:rPr>
          <w:rFonts w:eastAsia="Calibri" w:cs="Times New Roman"/>
          <w:lang w:val="en-GB"/>
        </w:rPr>
        <w:t xml:space="preserve">both </w:t>
      </w:r>
      <w:r w:rsidR="009B3A21">
        <w:rPr>
          <w:rFonts w:eastAsia="Calibri" w:cs="Times New Roman"/>
          <w:lang w:val="en-GB"/>
        </w:rPr>
        <w:t>an increase in anomalistic beliefs and also to poorer probabilistic reasoning</w:t>
      </w:r>
      <w:r w:rsidR="001116A0">
        <w:rPr>
          <w:rFonts w:eastAsia="Calibri" w:cs="Times New Roman"/>
          <w:lang w:val="en-GB"/>
        </w:rPr>
        <w:t>.</w:t>
      </w:r>
      <w:r w:rsidR="009B3A21">
        <w:rPr>
          <w:rFonts w:eastAsia="Calibri" w:cs="Times New Roman"/>
          <w:lang w:val="en-GB"/>
        </w:rPr>
        <w:t xml:space="preserve"> </w:t>
      </w:r>
      <w:r w:rsidR="00BD4C29">
        <w:rPr>
          <w:rFonts w:eastAsia="Calibri" w:cs="Times New Roman"/>
          <w:lang w:val="en-GB"/>
        </w:rPr>
        <w:t xml:space="preserve">However, </w:t>
      </w:r>
      <w:r w:rsidR="00BD4C29">
        <w:rPr>
          <w:rFonts w:eastAsia="Calibri" w:cs="Times New Roman"/>
          <w:lang w:val="en-GB"/>
        </w:rPr>
        <w:lastRenderedPageBreak/>
        <w:t xml:space="preserve">it also </w:t>
      </w:r>
      <w:r>
        <w:rPr>
          <w:rFonts w:eastAsia="Calibri" w:cs="Times New Roman"/>
          <w:lang w:val="en-GB"/>
        </w:rPr>
        <w:t xml:space="preserve">may be </w:t>
      </w:r>
      <w:r w:rsidR="00BD4C29">
        <w:rPr>
          <w:rFonts w:eastAsia="Calibri" w:cs="Times New Roman"/>
          <w:lang w:val="en-GB"/>
        </w:rPr>
        <w:t xml:space="preserve">that poorer reasoning </w:t>
      </w:r>
      <w:r w:rsidR="002D1AA1">
        <w:rPr>
          <w:rFonts w:eastAsia="Calibri" w:cs="Times New Roman"/>
          <w:lang w:val="en-GB"/>
        </w:rPr>
        <w:t>contributes to an</w:t>
      </w:r>
      <w:r w:rsidR="00BD4C29">
        <w:rPr>
          <w:rFonts w:eastAsia="Calibri" w:cs="Times New Roman"/>
          <w:lang w:val="en-GB"/>
        </w:rPr>
        <w:t xml:space="preserve"> increased </w:t>
      </w:r>
      <w:r w:rsidR="002D1AA1">
        <w:rPr>
          <w:rFonts w:eastAsia="Calibri" w:cs="Times New Roman"/>
          <w:lang w:val="en-GB"/>
        </w:rPr>
        <w:t xml:space="preserve">likelihood of </w:t>
      </w:r>
      <w:r w:rsidR="00BD4C29">
        <w:rPr>
          <w:rFonts w:eastAsia="Calibri" w:cs="Times New Roman"/>
          <w:lang w:val="en-GB"/>
        </w:rPr>
        <w:t xml:space="preserve">finding </w:t>
      </w:r>
      <w:r w:rsidR="002D1AA1">
        <w:rPr>
          <w:rFonts w:eastAsia="Calibri" w:cs="Times New Roman"/>
          <w:lang w:val="en-GB"/>
        </w:rPr>
        <w:t>patterns because reasoning play</w:t>
      </w:r>
      <w:r>
        <w:rPr>
          <w:rFonts w:eastAsia="Calibri" w:cs="Times New Roman"/>
          <w:lang w:val="en-GB"/>
        </w:rPr>
        <w:t>s</w:t>
      </w:r>
      <w:r w:rsidR="002D1AA1">
        <w:rPr>
          <w:rFonts w:eastAsia="Calibri" w:cs="Times New Roman"/>
          <w:lang w:val="en-GB"/>
        </w:rPr>
        <w:t xml:space="preserve"> a crucial role in discriminating between meaningful </w:t>
      </w:r>
      <w:r w:rsidR="0077142A">
        <w:rPr>
          <w:rFonts w:eastAsia="Calibri" w:cs="Times New Roman"/>
          <w:lang w:val="en-GB"/>
        </w:rPr>
        <w:t xml:space="preserve">patterns </w:t>
      </w:r>
      <w:r w:rsidR="002D1AA1">
        <w:rPr>
          <w:rFonts w:eastAsia="Calibri" w:cs="Times New Roman"/>
          <w:lang w:val="en-GB"/>
        </w:rPr>
        <w:t>and those that are meaningless and/or are simply due to chance or randomness</w:t>
      </w:r>
      <w:r>
        <w:rPr>
          <w:rFonts w:eastAsia="Calibri" w:cs="Times New Roman"/>
          <w:lang w:val="en-GB"/>
        </w:rPr>
        <w:t xml:space="preserve"> (</w:t>
      </w:r>
      <w:r w:rsidR="007B1519">
        <w:rPr>
          <w:rFonts w:eastAsia="Calibri" w:cs="Times New Roman"/>
          <w:lang w:val="en-GB"/>
        </w:rPr>
        <w:t>Griffiths &amp; Tenenbaum, 2007; 2009</w:t>
      </w:r>
      <w:r>
        <w:rPr>
          <w:rFonts w:eastAsia="Calibri" w:cs="Times New Roman"/>
          <w:lang w:val="en-GB"/>
        </w:rPr>
        <w:t>)</w:t>
      </w:r>
      <w:r w:rsidR="002D1AA1">
        <w:rPr>
          <w:rFonts w:eastAsia="Calibri" w:cs="Times New Roman"/>
          <w:lang w:val="en-GB"/>
        </w:rPr>
        <w:t xml:space="preserve">. </w:t>
      </w:r>
      <w:r>
        <w:rPr>
          <w:rFonts w:eastAsia="Calibri" w:cs="Times New Roman"/>
          <w:lang w:val="en-GB"/>
        </w:rPr>
        <w:t>F</w:t>
      </w:r>
      <w:r w:rsidR="002D1AA1">
        <w:rPr>
          <w:rFonts w:eastAsia="Calibri" w:cs="Times New Roman"/>
          <w:lang w:val="en-GB"/>
        </w:rPr>
        <w:t>uture work</w:t>
      </w:r>
      <w:r>
        <w:rPr>
          <w:rFonts w:eastAsia="Calibri" w:cs="Times New Roman"/>
          <w:lang w:val="en-GB"/>
        </w:rPr>
        <w:t xml:space="preserve"> needs</w:t>
      </w:r>
      <w:r w:rsidR="002D1AA1">
        <w:rPr>
          <w:rFonts w:eastAsia="Calibri" w:cs="Times New Roman"/>
          <w:lang w:val="en-GB"/>
        </w:rPr>
        <w:t xml:space="preserve"> to more thoroughly investigate the relationships between pattern finding and probabilistic </w:t>
      </w:r>
      <w:proofErr w:type="gramStart"/>
      <w:r w:rsidR="002D1AA1">
        <w:rPr>
          <w:rFonts w:eastAsia="Calibri" w:cs="Times New Roman"/>
          <w:lang w:val="en-GB"/>
        </w:rPr>
        <w:t>reasoning</w:t>
      </w:r>
      <w:r>
        <w:rPr>
          <w:rFonts w:eastAsia="Calibri" w:cs="Times New Roman"/>
          <w:lang w:val="en-GB"/>
        </w:rPr>
        <w:t>, and</w:t>
      </w:r>
      <w:proofErr w:type="gramEnd"/>
      <w:r>
        <w:rPr>
          <w:rFonts w:eastAsia="Calibri" w:cs="Times New Roman"/>
          <w:lang w:val="en-GB"/>
        </w:rPr>
        <w:t xml:space="preserve"> </w:t>
      </w:r>
      <w:r w:rsidR="002D1AA1">
        <w:rPr>
          <w:rFonts w:eastAsia="Calibri" w:cs="Times New Roman"/>
          <w:lang w:val="en-GB"/>
        </w:rPr>
        <w:t>attempt to establish whether these variables are uniquely related to anomalistic belief.</w:t>
      </w:r>
    </w:p>
    <w:p w14:paraId="6974C126" w14:textId="43797605" w:rsidR="00045216" w:rsidRDefault="0071342B" w:rsidP="00ED3441">
      <w:pPr>
        <w:contextualSpacing/>
        <w:rPr>
          <w:rFonts w:eastAsia="Calibri" w:cs="Times New Roman"/>
          <w:lang w:val="en-GB"/>
        </w:rPr>
      </w:pPr>
      <w:r>
        <w:rPr>
          <w:rFonts w:eastAsia="Calibri" w:cs="Times New Roman"/>
          <w:lang w:val="en-GB"/>
        </w:rPr>
        <w:t>T</w:t>
      </w:r>
      <w:r w:rsidR="00B36638" w:rsidRPr="00901D0D">
        <w:rPr>
          <w:rFonts w:eastAsia="Calibri" w:cs="Times New Roman"/>
          <w:lang w:val="en-GB"/>
        </w:rPr>
        <w:t xml:space="preserve">he current study </w:t>
      </w:r>
      <w:r w:rsidR="00E9302E" w:rsidRPr="00901D0D">
        <w:rPr>
          <w:rFonts w:eastAsia="Calibri" w:cs="Times New Roman"/>
          <w:lang w:val="en-GB"/>
        </w:rPr>
        <w:t>showed</w:t>
      </w:r>
      <w:r w:rsidR="00B36638" w:rsidRPr="00901D0D">
        <w:rPr>
          <w:rFonts w:eastAsia="Calibri" w:cs="Times New Roman"/>
          <w:lang w:val="en-GB"/>
        </w:rPr>
        <w:t xml:space="preserve"> that</w:t>
      </w:r>
      <w:r w:rsidR="009A1A0F" w:rsidRPr="00901D0D">
        <w:rPr>
          <w:rFonts w:eastAsia="Calibri" w:cs="Times New Roman"/>
          <w:lang w:val="en-GB"/>
        </w:rPr>
        <w:t xml:space="preserve"> higher levels of</w:t>
      </w:r>
      <w:r w:rsidR="00B36638" w:rsidRPr="00901D0D">
        <w:rPr>
          <w:rFonts w:eastAsia="Calibri" w:cs="Times New Roman"/>
          <w:lang w:val="en-GB"/>
        </w:rPr>
        <w:t xml:space="preserve"> anomalistic belief </w:t>
      </w:r>
      <w:r w:rsidR="009169EF" w:rsidRPr="00901D0D">
        <w:rPr>
          <w:rFonts w:eastAsia="Calibri" w:cs="Times New Roman"/>
          <w:lang w:val="en-GB"/>
        </w:rPr>
        <w:t xml:space="preserve">were </w:t>
      </w:r>
      <w:r w:rsidR="00B36638" w:rsidRPr="00901D0D">
        <w:rPr>
          <w:rFonts w:eastAsia="Calibri" w:cs="Times New Roman"/>
          <w:lang w:val="en-GB"/>
        </w:rPr>
        <w:t xml:space="preserve">related to </w:t>
      </w:r>
      <w:r w:rsidR="00562623" w:rsidRPr="00901D0D">
        <w:rPr>
          <w:rFonts w:eastAsia="Calibri" w:cs="Times New Roman"/>
          <w:lang w:val="en-GB"/>
        </w:rPr>
        <w:t>poorer probabilistic reasoning</w:t>
      </w:r>
      <w:r w:rsidR="00BD3F4E" w:rsidRPr="00901D0D">
        <w:rPr>
          <w:rFonts w:eastAsia="Calibri" w:cs="Times New Roman"/>
          <w:lang w:val="en-GB"/>
        </w:rPr>
        <w:t xml:space="preserve"> for both misperception of chance and the base rate fallacy</w:t>
      </w:r>
      <w:r w:rsidR="00B36638" w:rsidRPr="00901D0D">
        <w:rPr>
          <w:rFonts w:eastAsia="Calibri" w:cs="Times New Roman"/>
          <w:lang w:val="en-GB"/>
        </w:rPr>
        <w:t xml:space="preserve">. </w:t>
      </w:r>
      <w:r w:rsidR="008733A6" w:rsidRPr="00901D0D">
        <w:rPr>
          <w:rFonts w:eastAsia="Calibri" w:cs="Times New Roman"/>
          <w:lang w:val="en-GB"/>
        </w:rPr>
        <w:t>Further</w:t>
      </w:r>
      <w:r w:rsidR="00E9302E" w:rsidRPr="00901D0D">
        <w:rPr>
          <w:rFonts w:eastAsia="Calibri" w:cs="Times New Roman"/>
          <w:lang w:val="en-GB"/>
        </w:rPr>
        <w:t xml:space="preserve">, </w:t>
      </w:r>
      <w:r w:rsidR="008733A6" w:rsidRPr="00901D0D">
        <w:rPr>
          <w:rFonts w:eastAsia="Calibri" w:cs="Times New Roman"/>
          <w:lang w:val="en-GB"/>
        </w:rPr>
        <w:t xml:space="preserve">finding that </w:t>
      </w:r>
      <w:r w:rsidR="00E9302E" w:rsidRPr="00901D0D">
        <w:rPr>
          <w:rFonts w:eastAsia="Calibri" w:cs="Times New Roman"/>
          <w:lang w:val="en-GB"/>
        </w:rPr>
        <w:t>m</w:t>
      </w:r>
      <w:r w:rsidR="00562623" w:rsidRPr="00901D0D">
        <w:rPr>
          <w:rFonts w:eastAsia="Calibri" w:cs="Times New Roman"/>
          <w:lang w:val="en-GB"/>
        </w:rPr>
        <w:t>isperception of chance was primarily related to experiential anomalistic beliefs</w:t>
      </w:r>
      <w:r w:rsidR="006E229B" w:rsidRPr="00901D0D">
        <w:rPr>
          <w:rFonts w:eastAsia="Calibri" w:cs="Times New Roman"/>
          <w:lang w:val="en-GB"/>
        </w:rPr>
        <w:t xml:space="preserve"> add</w:t>
      </w:r>
      <w:r w:rsidR="008733A6" w:rsidRPr="00901D0D">
        <w:rPr>
          <w:rFonts w:eastAsia="Calibri" w:cs="Times New Roman"/>
          <w:lang w:val="en-GB"/>
        </w:rPr>
        <w:t>s</w:t>
      </w:r>
      <w:r w:rsidR="006E229B" w:rsidRPr="00901D0D">
        <w:rPr>
          <w:rFonts w:eastAsia="Calibri" w:cs="Times New Roman"/>
          <w:lang w:val="en-GB"/>
        </w:rPr>
        <w:t xml:space="preserve"> to </w:t>
      </w:r>
      <w:r w:rsidR="008733A6" w:rsidRPr="00901D0D">
        <w:rPr>
          <w:rFonts w:eastAsia="Calibri" w:cs="Times New Roman"/>
          <w:lang w:val="en-GB"/>
        </w:rPr>
        <w:t xml:space="preserve">the </w:t>
      </w:r>
      <w:r w:rsidR="006E229B" w:rsidRPr="00901D0D">
        <w:rPr>
          <w:rFonts w:eastAsia="Calibri" w:cs="Times New Roman"/>
          <w:lang w:val="en-GB"/>
        </w:rPr>
        <w:t>recent work</w:t>
      </w:r>
      <w:r w:rsidR="006E0065" w:rsidRPr="00901D0D">
        <w:rPr>
          <w:rFonts w:eastAsia="Calibri" w:cs="Times New Roman"/>
          <w:lang w:val="en-GB"/>
        </w:rPr>
        <w:t xml:space="preserve"> that </w:t>
      </w:r>
      <w:r w:rsidR="009169EF" w:rsidRPr="00901D0D">
        <w:rPr>
          <w:rFonts w:eastAsia="Calibri" w:cs="Times New Roman"/>
          <w:lang w:val="en-GB"/>
        </w:rPr>
        <w:t>has highlighted the importance of</w:t>
      </w:r>
      <w:r w:rsidR="006E0065" w:rsidRPr="00901D0D">
        <w:rPr>
          <w:rFonts w:eastAsia="Calibri" w:cs="Times New Roman"/>
          <w:lang w:val="en-GB"/>
        </w:rPr>
        <w:t xml:space="preserve"> </w:t>
      </w:r>
      <w:r w:rsidR="006E229B" w:rsidRPr="00901D0D">
        <w:rPr>
          <w:rFonts w:eastAsia="Calibri" w:cs="Times New Roman"/>
          <w:lang w:val="en-GB"/>
        </w:rPr>
        <w:t>investigating the relationships between specific subsets of anomalistic belief and different reasoning/cognitive biases</w:t>
      </w:r>
      <w:r w:rsidR="006E0065" w:rsidRPr="00901D0D">
        <w:rPr>
          <w:rFonts w:eastAsia="Calibri" w:cs="Times New Roman"/>
          <w:lang w:val="en-GB"/>
        </w:rPr>
        <w:t xml:space="preserve"> </w:t>
      </w:r>
      <w:r w:rsidR="008733A6" w:rsidRPr="00901D0D">
        <w:rPr>
          <w:rFonts w:eastAsia="Calibri" w:cs="Times New Roman"/>
          <w:lang w:val="en-GB"/>
        </w:rPr>
        <w:t xml:space="preserve">(i.e., </w:t>
      </w:r>
      <w:r w:rsidR="006E0065" w:rsidRPr="00901D0D">
        <w:rPr>
          <w:rFonts w:eastAsia="Calibri" w:cs="Times New Roman"/>
          <w:lang w:val="en-GB"/>
        </w:rPr>
        <w:t xml:space="preserve">rather </w:t>
      </w:r>
      <w:r w:rsidR="008733A6" w:rsidRPr="00901D0D">
        <w:rPr>
          <w:rFonts w:eastAsia="Calibri" w:cs="Times New Roman"/>
          <w:lang w:val="en-GB"/>
        </w:rPr>
        <w:t xml:space="preserve">than just </w:t>
      </w:r>
      <w:r w:rsidR="006E0065" w:rsidRPr="00901D0D">
        <w:rPr>
          <w:rFonts w:eastAsia="Calibri" w:cs="Times New Roman"/>
          <w:lang w:val="en-GB"/>
        </w:rPr>
        <w:t>using broad overall measures</w:t>
      </w:r>
      <w:r w:rsidR="0022292E" w:rsidRPr="00901D0D">
        <w:rPr>
          <w:rFonts w:eastAsia="Calibri" w:cs="Times New Roman"/>
          <w:lang w:val="en-GB"/>
        </w:rPr>
        <w:t xml:space="preserve">; </w:t>
      </w:r>
      <w:proofErr w:type="spellStart"/>
      <w:r w:rsidR="0022292E" w:rsidRPr="00901D0D">
        <w:rPr>
          <w:rFonts w:eastAsia="Calibri" w:cs="Times New Roman"/>
          <w:lang w:val="en-GB"/>
        </w:rPr>
        <w:t>Dagnall</w:t>
      </w:r>
      <w:proofErr w:type="spellEnd"/>
      <w:r w:rsidR="0022292E" w:rsidRPr="00901D0D">
        <w:rPr>
          <w:rFonts w:eastAsia="Calibri" w:cs="Times New Roman"/>
          <w:lang w:val="en-GB"/>
        </w:rPr>
        <w:t xml:space="preserve"> et al. 2016; Prike et al. 2017; 2018; Rogers et al. 2016</w:t>
      </w:r>
      <w:r w:rsidR="008733A6" w:rsidRPr="00901D0D">
        <w:rPr>
          <w:rFonts w:eastAsia="Calibri" w:cs="Times New Roman"/>
          <w:lang w:val="en-GB"/>
        </w:rPr>
        <w:t>)</w:t>
      </w:r>
      <w:r w:rsidR="009169EF" w:rsidRPr="00901D0D">
        <w:rPr>
          <w:rFonts w:eastAsia="Calibri" w:cs="Times New Roman"/>
          <w:lang w:val="en-GB"/>
        </w:rPr>
        <w:t>.</w:t>
      </w:r>
      <w:r w:rsidR="006E0065" w:rsidRPr="00901D0D">
        <w:rPr>
          <w:rFonts w:eastAsia="Calibri" w:cs="Times New Roman"/>
          <w:lang w:val="en-GB"/>
        </w:rPr>
        <w:t xml:space="preserve"> </w:t>
      </w:r>
      <w:r w:rsidR="009169EF" w:rsidRPr="00901D0D">
        <w:rPr>
          <w:rFonts w:eastAsia="Calibri" w:cs="Times New Roman"/>
          <w:lang w:val="en-GB"/>
        </w:rPr>
        <w:t xml:space="preserve">Using this more fine-grained approach </w:t>
      </w:r>
      <w:r w:rsidR="008733A6" w:rsidRPr="00901D0D">
        <w:rPr>
          <w:rFonts w:eastAsia="Calibri" w:cs="Times New Roman"/>
          <w:lang w:val="en-GB"/>
        </w:rPr>
        <w:t xml:space="preserve">of focusing on specific types of belief </w:t>
      </w:r>
      <w:r w:rsidR="006E0065" w:rsidRPr="00901D0D">
        <w:rPr>
          <w:rFonts w:eastAsia="Calibri" w:cs="Times New Roman"/>
          <w:lang w:val="en-GB"/>
        </w:rPr>
        <w:t xml:space="preserve">allows for </w:t>
      </w:r>
      <w:r w:rsidR="00DE1EAF" w:rsidRPr="00901D0D">
        <w:rPr>
          <w:rFonts w:eastAsia="Calibri" w:cs="Times New Roman"/>
          <w:lang w:val="en-GB"/>
        </w:rPr>
        <w:t>the</w:t>
      </w:r>
      <w:r w:rsidR="006E0065" w:rsidRPr="00901D0D">
        <w:rPr>
          <w:rFonts w:eastAsia="Calibri" w:cs="Times New Roman"/>
          <w:lang w:val="en-GB"/>
        </w:rPr>
        <w:t xml:space="preserve"> relationships to be disentangled, leading to the development of a more nuanced understanding</w:t>
      </w:r>
      <w:r w:rsidR="0022292E" w:rsidRPr="00901D0D">
        <w:rPr>
          <w:rFonts w:eastAsia="Calibri" w:cs="Times New Roman"/>
          <w:lang w:val="en-GB"/>
        </w:rPr>
        <w:t xml:space="preserve"> </w:t>
      </w:r>
      <w:r w:rsidR="000A34F2">
        <w:rPr>
          <w:rFonts w:eastAsia="Calibri" w:cs="Times New Roman"/>
          <w:lang w:val="en-GB"/>
        </w:rPr>
        <w:t>of</w:t>
      </w:r>
      <w:r w:rsidR="000A34F2" w:rsidRPr="00901D0D">
        <w:rPr>
          <w:rFonts w:eastAsia="Calibri" w:cs="Times New Roman"/>
          <w:lang w:val="en-GB"/>
        </w:rPr>
        <w:t xml:space="preserve"> </w:t>
      </w:r>
      <w:r w:rsidR="0022292E" w:rsidRPr="00901D0D">
        <w:rPr>
          <w:rFonts w:eastAsia="Calibri" w:cs="Times New Roman"/>
          <w:lang w:val="en-GB"/>
        </w:rPr>
        <w:t>these non-</w:t>
      </w:r>
      <w:proofErr w:type="gramStart"/>
      <w:r w:rsidR="0022292E" w:rsidRPr="00901D0D">
        <w:rPr>
          <w:rFonts w:eastAsia="Calibri" w:cs="Times New Roman"/>
          <w:lang w:val="en-GB"/>
        </w:rPr>
        <w:t>evidence based</w:t>
      </w:r>
      <w:proofErr w:type="gramEnd"/>
      <w:r w:rsidR="0022292E" w:rsidRPr="00901D0D">
        <w:rPr>
          <w:rFonts w:eastAsia="Calibri" w:cs="Times New Roman"/>
          <w:lang w:val="en-GB"/>
        </w:rPr>
        <w:t xml:space="preserve"> beliefs</w:t>
      </w:r>
      <w:r w:rsidR="006E0065" w:rsidRPr="00901D0D">
        <w:rPr>
          <w:rFonts w:eastAsia="Calibri" w:cs="Times New Roman"/>
          <w:lang w:val="en-GB"/>
        </w:rPr>
        <w:t>.</w:t>
      </w:r>
      <w:r w:rsidR="006E229B" w:rsidRPr="00901D0D">
        <w:rPr>
          <w:rFonts w:eastAsia="Calibri" w:cs="Times New Roman"/>
          <w:lang w:val="en-GB"/>
        </w:rPr>
        <w:t xml:space="preserve"> </w:t>
      </w:r>
      <w:r w:rsidR="00562623" w:rsidRPr="00901D0D">
        <w:rPr>
          <w:rFonts w:eastAsia="Calibri" w:cs="Times New Roman"/>
          <w:lang w:val="en-GB"/>
        </w:rPr>
        <w:t xml:space="preserve">The </w:t>
      </w:r>
      <w:r w:rsidR="00A243F1" w:rsidRPr="00901D0D">
        <w:rPr>
          <w:rFonts w:eastAsia="Calibri" w:cs="Times New Roman"/>
          <w:lang w:val="en-GB"/>
        </w:rPr>
        <w:t xml:space="preserve">findings </w:t>
      </w:r>
      <w:r w:rsidR="00A76C26">
        <w:rPr>
          <w:rFonts w:eastAsia="Calibri" w:cs="Times New Roman"/>
          <w:lang w:val="en-GB"/>
        </w:rPr>
        <w:t xml:space="preserve">are also consistent with </w:t>
      </w:r>
      <w:r w:rsidR="00562623" w:rsidRPr="00901D0D">
        <w:rPr>
          <w:rFonts w:eastAsia="Calibri" w:cs="Times New Roman"/>
          <w:lang w:val="en-GB"/>
        </w:rPr>
        <w:t xml:space="preserve">the notion that poorer probabilistic reasoning may contribute to the formation of anomalistic beliefs and suggest that misperception of chance may </w:t>
      </w:r>
      <w:r w:rsidR="00745F57" w:rsidRPr="00901D0D">
        <w:rPr>
          <w:rFonts w:eastAsia="Calibri" w:cs="Times New Roman"/>
          <w:lang w:val="en-GB"/>
        </w:rPr>
        <w:t xml:space="preserve">have an important </w:t>
      </w:r>
      <w:r w:rsidR="0022292E" w:rsidRPr="00901D0D">
        <w:rPr>
          <w:rFonts w:eastAsia="Calibri" w:cs="Times New Roman"/>
          <w:lang w:val="en-GB"/>
        </w:rPr>
        <w:t>role i</w:t>
      </w:r>
      <w:r w:rsidR="00745F57" w:rsidRPr="00901D0D">
        <w:rPr>
          <w:rFonts w:eastAsia="Calibri" w:cs="Times New Roman"/>
          <w:lang w:val="en-GB"/>
        </w:rPr>
        <w:t>n whether people assign anomalistic explanations to experiences.</w:t>
      </w:r>
      <w:r w:rsidR="009169EF" w:rsidRPr="00901D0D">
        <w:rPr>
          <w:rFonts w:eastAsia="Calibri" w:cs="Times New Roman"/>
          <w:lang w:val="en-GB"/>
        </w:rPr>
        <w:t xml:space="preserve"> </w:t>
      </w:r>
      <w:r w:rsidR="00045216">
        <w:rPr>
          <w:rFonts w:eastAsia="Calibri" w:cs="Times New Roman"/>
          <w:lang w:val="en-GB"/>
        </w:rPr>
        <w:br w:type="page"/>
      </w:r>
    </w:p>
    <w:p w14:paraId="3BE5492F" w14:textId="77777777" w:rsidR="00045216" w:rsidRPr="00901D0D" w:rsidRDefault="00045216" w:rsidP="00045216">
      <w:pPr>
        <w:jc w:val="center"/>
        <w:rPr>
          <w:rFonts w:eastAsia="Arial" w:cs="Times New Roman"/>
          <w:b/>
          <w:kern w:val="24"/>
          <w:szCs w:val="24"/>
          <w:lang w:val="en-GB" w:eastAsia="ja-JP"/>
        </w:rPr>
      </w:pPr>
      <w:r w:rsidRPr="00901D0D">
        <w:rPr>
          <w:rFonts w:eastAsia="Arial" w:cs="Times New Roman"/>
          <w:kern w:val="24"/>
          <w:szCs w:val="24"/>
          <w:lang w:val="en-GB" w:eastAsia="ja-JP"/>
        </w:rPr>
        <w:lastRenderedPageBreak/>
        <w:t>Acknowledgements</w:t>
      </w:r>
    </w:p>
    <w:p w14:paraId="663573E0" w14:textId="17374FD1" w:rsidR="00045216" w:rsidRPr="00901D0D" w:rsidRDefault="00045216" w:rsidP="00045216">
      <w:pPr>
        <w:rPr>
          <w:rFonts w:eastAsia="Arial" w:cs="Times New Roman"/>
          <w:kern w:val="24"/>
          <w:szCs w:val="24"/>
          <w:lang w:val="en-GB" w:eastAsia="ja-JP"/>
        </w:rPr>
      </w:pPr>
      <w:r w:rsidRPr="00901D0D">
        <w:rPr>
          <w:rFonts w:eastAsia="Arial" w:cs="Times New Roman"/>
          <w:kern w:val="24"/>
          <w:szCs w:val="24"/>
          <w:lang w:val="en-GB" w:eastAsia="ja-JP"/>
        </w:rPr>
        <w:t xml:space="preserve">Toby Prike was supported by an Australian Government Research Training Program Scholarship. Portions of this research were presented at the 57th Annual Meeting of the Psychonomic Society, Boston, Massachusetts, USA. </w:t>
      </w:r>
      <w:r w:rsidR="00AC5F5F" w:rsidRPr="00AC5F5F">
        <w:rPr>
          <w:rFonts w:eastAsia="Arial" w:cs="Times New Roman"/>
          <w:kern w:val="24"/>
          <w:szCs w:val="24"/>
          <w:lang w:val="en-GB" w:eastAsia="ja-JP"/>
        </w:rPr>
        <w:t xml:space="preserve">The data supporting the conclusions of this article are available at: </w:t>
      </w:r>
      <w:r w:rsidR="00AE0D85" w:rsidRPr="00AE0D85">
        <w:rPr>
          <w:rFonts w:eastAsia="Arial" w:cs="Times New Roman"/>
          <w:kern w:val="24"/>
          <w:szCs w:val="24"/>
          <w:lang w:val="en-GB" w:eastAsia="ja-JP"/>
        </w:rPr>
        <w:t>https://osf.io/ygns3/ (</w:t>
      </w:r>
      <w:r w:rsidR="00AE0D85">
        <w:rPr>
          <w:rFonts w:eastAsia="Arial" w:cs="Times New Roman"/>
          <w:kern w:val="24"/>
          <w:szCs w:val="24"/>
          <w:lang w:val="en-GB" w:eastAsia="ja-JP"/>
        </w:rPr>
        <w:t>doi</w:t>
      </w:r>
      <w:r w:rsidR="00AE0D85" w:rsidRPr="00AE0D85">
        <w:rPr>
          <w:rFonts w:eastAsia="Arial" w:cs="Times New Roman"/>
          <w:kern w:val="24"/>
          <w:szCs w:val="24"/>
          <w:lang w:val="en-GB" w:eastAsia="ja-JP"/>
        </w:rPr>
        <w:t>: 10.17605/OSF.IO/YGNS3</w:t>
      </w:r>
      <w:r w:rsidR="00AE0D85">
        <w:rPr>
          <w:rFonts w:eastAsia="Arial" w:cs="Times New Roman"/>
          <w:kern w:val="24"/>
          <w:szCs w:val="24"/>
          <w:lang w:val="en-GB" w:eastAsia="ja-JP"/>
        </w:rPr>
        <w:t>)</w:t>
      </w:r>
      <w:r w:rsidR="00AC5F5F" w:rsidRPr="00AC5F5F">
        <w:rPr>
          <w:rFonts w:eastAsia="Arial" w:cs="Times New Roman"/>
          <w:kern w:val="24"/>
          <w:szCs w:val="24"/>
          <w:lang w:val="en-GB" w:eastAsia="ja-JP"/>
        </w:rPr>
        <w:t>. Raw data are also available from the authors upon request.</w:t>
      </w:r>
    </w:p>
    <w:p w14:paraId="45F212B6" w14:textId="38B7423C" w:rsidR="00562623" w:rsidRPr="00901D0D" w:rsidRDefault="00562623" w:rsidP="0022292E">
      <w:pPr>
        <w:contextualSpacing/>
        <w:rPr>
          <w:b/>
          <w:lang w:val="en-GB"/>
        </w:rPr>
      </w:pPr>
      <w:r w:rsidRPr="00901D0D">
        <w:rPr>
          <w:b/>
          <w:lang w:val="en-GB"/>
        </w:rPr>
        <w:br w:type="page"/>
      </w:r>
    </w:p>
    <w:p w14:paraId="6D9681FF" w14:textId="77777777" w:rsidR="00A77B49" w:rsidRPr="00901D0D" w:rsidRDefault="002C78E2" w:rsidP="008C6BF1">
      <w:pPr>
        <w:pStyle w:val="Heading1"/>
        <w:jc w:val="center"/>
        <w:rPr>
          <w:lang w:val="en-GB"/>
        </w:rPr>
      </w:pPr>
      <w:bookmarkStart w:id="19" w:name="_Hlk14201152"/>
      <w:r w:rsidRPr="00901D0D">
        <w:rPr>
          <w:lang w:val="en-GB"/>
        </w:rPr>
        <w:lastRenderedPageBreak/>
        <w:t>References</w:t>
      </w:r>
    </w:p>
    <w:bookmarkEnd w:id="19"/>
    <w:p w14:paraId="4D3B0C66" w14:textId="77777777" w:rsidR="00463128" w:rsidRPr="00901D0D" w:rsidRDefault="00463128" w:rsidP="00463128">
      <w:pPr>
        <w:autoSpaceDE w:val="0"/>
        <w:autoSpaceDN w:val="0"/>
        <w:adjustRightInd w:val="0"/>
        <w:ind w:left="720" w:hanging="720"/>
        <w:contextualSpacing/>
        <w:rPr>
          <w:rFonts w:eastAsia="Calibri" w:cs="Times New Roman"/>
          <w:lang w:val="en-GB"/>
        </w:rPr>
      </w:pPr>
      <w:proofErr w:type="spellStart"/>
      <w:r w:rsidRPr="00901D0D">
        <w:rPr>
          <w:rFonts w:eastAsia="Calibri" w:cs="Times New Roman"/>
          <w:lang w:val="en-GB"/>
        </w:rPr>
        <w:t>Aarnio</w:t>
      </w:r>
      <w:proofErr w:type="spellEnd"/>
      <w:r w:rsidRPr="00901D0D">
        <w:rPr>
          <w:rFonts w:eastAsia="Calibri" w:cs="Times New Roman"/>
          <w:lang w:val="en-GB"/>
        </w:rPr>
        <w:t xml:space="preserve">, K., &amp; Lindeman, M. (2005). Paranormal beliefs, education, and thinking styles. </w:t>
      </w:r>
      <w:r w:rsidRPr="00901D0D">
        <w:rPr>
          <w:rFonts w:eastAsia="Calibri" w:cs="Times New Roman"/>
          <w:i/>
          <w:lang w:val="en-GB"/>
        </w:rPr>
        <w:t>Personality and Individual Differences</w:t>
      </w:r>
      <w:r w:rsidRPr="00901D0D">
        <w:rPr>
          <w:rFonts w:eastAsia="Calibri" w:cs="Times New Roman"/>
          <w:lang w:val="en-GB"/>
        </w:rPr>
        <w:t xml:space="preserve">, </w:t>
      </w:r>
      <w:r w:rsidRPr="00901D0D">
        <w:rPr>
          <w:rFonts w:eastAsia="Calibri" w:cs="Times New Roman"/>
          <w:i/>
          <w:lang w:val="en-GB"/>
        </w:rPr>
        <w:t xml:space="preserve">39, </w:t>
      </w:r>
      <w:r w:rsidRPr="00901D0D">
        <w:rPr>
          <w:rFonts w:eastAsia="Calibri" w:cs="Times New Roman"/>
          <w:lang w:val="en-GB"/>
        </w:rPr>
        <w:t xml:space="preserve">1227–1236. </w:t>
      </w:r>
      <w:proofErr w:type="gramStart"/>
      <w:r w:rsidRPr="00901D0D">
        <w:rPr>
          <w:rFonts w:eastAsia="Calibri" w:cs="Times New Roman"/>
          <w:lang w:val="en-GB"/>
        </w:rPr>
        <w:t>doi:10.1016/j.paid</w:t>
      </w:r>
      <w:proofErr w:type="gramEnd"/>
      <w:r w:rsidRPr="00901D0D">
        <w:rPr>
          <w:rFonts w:eastAsia="Calibri" w:cs="Times New Roman"/>
          <w:lang w:val="en-GB"/>
        </w:rPr>
        <w:t>.2005.04.009</w:t>
      </w:r>
    </w:p>
    <w:p w14:paraId="6D5782A3" w14:textId="77777777" w:rsidR="00463128" w:rsidRPr="00901D0D" w:rsidRDefault="00463128" w:rsidP="00463128">
      <w:pPr>
        <w:autoSpaceDE w:val="0"/>
        <w:autoSpaceDN w:val="0"/>
        <w:adjustRightInd w:val="0"/>
        <w:ind w:left="720" w:hanging="720"/>
        <w:contextualSpacing/>
        <w:rPr>
          <w:highlight w:val="yellow"/>
          <w:lang w:val="en-GB"/>
        </w:rPr>
      </w:pPr>
      <w:r w:rsidRPr="00901D0D">
        <w:rPr>
          <w:lang w:val="en-GB"/>
        </w:rPr>
        <w:t xml:space="preserve">Alloy, L. B. &amp; </w:t>
      </w:r>
      <w:proofErr w:type="spellStart"/>
      <w:r w:rsidRPr="00901D0D">
        <w:rPr>
          <w:lang w:val="en-GB"/>
        </w:rPr>
        <w:t>Tabachnik</w:t>
      </w:r>
      <w:proofErr w:type="spellEnd"/>
      <w:r w:rsidRPr="00901D0D">
        <w:rPr>
          <w:lang w:val="en-GB"/>
        </w:rPr>
        <w:t xml:space="preserve">, N. (1984). Assessment of covariation by humans and animals: The joint influence of prior expectations and current situational information. </w:t>
      </w:r>
      <w:r w:rsidRPr="00901D0D">
        <w:rPr>
          <w:i/>
          <w:lang w:val="en-GB"/>
        </w:rPr>
        <w:t>Psychological Review, 91</w:t>
      </w:r>
      <w:r w:rsidRPr="00901D0D">
        <w:rPr>
          <w:lang w:val="en-GB"/>
        </w:rPr>
        <w:t>, 112-149.</w:t>
      </w:r>
    </w:p>
    <w:p w14:paraId="513BA265" w14:textId="77777777" w:rsidR="00463128" w:rsidRPr="00901D0D" w:rsidRDefault="00463128" w:rsidP="00463128">
      <w:pPr>
        <w:autoSpaceDE w:val="0"/>
        <w:autoSpaceDN w:val="0"/>
        <w:adjustRightInd w:val="0"/>
        <w:ind w:left="720" w:hanging="720"/>
        <w:contextualSpacing/>
        <w:rPr>
          <w:lang w:val="en-GB"/>
        </w:rPr>
      </w:pPr>
      <w:r w:rsidRPr="00901D0D">
        <w:rPr>
          <w:lang w:val="en-GB"/>
        </w:rPr>
        <w:t xml:space="preserve">Bar-Hillel, M. (1980). The base-rate fallacy in probability judgements. </w:t>
      </w:r>
      <w:r w:rsidRPr="00901D0D">
        <w:rPr>
          <w:i/>
          <w:lang w:val="en-GB"/>
        </w:rPr>
        <w:t xml:space="preserve">Acta </w:t>
      </w:r>
      <w:proofErr w:type="spellStart"/>
      <w:r w:rsidRPr="00901D0D">
        <w:rPr>
          <w:i/>
          <w:lang w:val="en-GB"/>
        </w:rPr>
        <w:t>Psychologica</w:t>
      </w:r>
      <w:proofErr w:type="spellEnd"/>
      <w:r w:rsidRPr="00901D0D">
        <w:rPr>
          <w:i/>
          <w:lang w:val="en-GB"/>
        </w:rPr>
        <w:t xml:space="preserve">, 44, </w:t>
      </w:r>
      <w:r w:rsidRPr="00901D0D">
        <w:rPr>
          <w:lang w:val="en-GB"/>
        </w:rPr>
        <w:t>211-233. doi:10.1016/0001-6918(80)90046-3</w:t>
      </w:r>
    </w:p>
    <w:p w14:paraId="3790CBBE" w14:textId="28BBF998" w:rsidR="00950ED4" w:rsidRDefault="00950ED4" w:rsidP="00950ED4">
      <w:pPr>
        <w:autoSpaceDE w:val="0"/>
        <w:autoSpaceDN w:val="0"/>
        <w:adjustRightInd w:val="0"/>
        <w:ind w:left="720" w:hanging="720"/>
        <w:contextualSpacing/>
        <w:rPr>
          <w:rFonts w:eastAsia="Calibri" w:cs="Times New Roman"/>
          <w:lang w:val="en-GB"/>
        </w:rPr>
      </w:pPr>
      <w:proofErr w:type="spellStart"/>
      <w:r w:rsidRPr="00950ED4">
        <w:rPr>
          <w:rFonts w:eastAsia="Calibri" w:cs="Times New Roman"/>
          <w:lang w:val="en-GB"/>
        </w:rPr>
        <w:t>Barbey</w:t>
      </w:r>
      <w:proofErr w:type="spellEnd"/>
      <w:r w:rsidRPr="00950ED4">
        <w:rPr>
          <w:rFonts w:eastAsia="Calibri" w:cs="Times New Roman"/>
          <w:lang w:val="en-GB"/>
        </w:rPr>
        <w:t xml:space="preserve">, A., &amp; </w:t>
      </w:r>
      <w:proofErr w:type="spellStart"/>
      <w:r w:rsidRPr="00950ED4">
        <w:rPr>
          <w:rFonts w:eastAsia="Calibri" w:cs="Times New Roman"/>
          <w:lang w:val="en-GB"/>
        </w:rPr>
        <w:t>Sloman</w:t>
      </w:r>
      <w:proofErr w:type="spellEnd"/>
      <w:r w:rsidRPr="00950ED4">
        <w:rPr>
          <w:rFonts w:eastAsia="Calibri" w:cs="Times New Roman"/>
          <w:lang w:val="en-GB"/>
        </w:rPr>
        <w:t xml:space="preserve">, S. (2007). Base-rate respect: From ecological rationality to dual processes. </w:t>
      </w:r>
      <w:proofErr w:type="spellStart"/>
      <w:r w:rsidRPr="00950ED4">
        <w:rPr>
          <w:rFonts w:eastAsia="Calibri" w:cs="Times New Roman"/>
          <w:i/>
          <w:lang w:val="en-GB"/>
        </w:rPr>
        <w:t>Behavioral</w:t>
      </w:r>
      <w:proofErr w:type="spellEnd"/>
      <w:r w:rsidRPr="00950ED4">
        <w:rPr>
          <w:rFonts w:eastAsia="Calibri" w:cs="Times New Roman"/>
          <w:i/>
          <w:lang w:val="en-GB"/>
        </w:rPr>
        <w:t xml:space="preserve"> and Brain Sciences, 30</w:t>
      </w:r>
      <w:r w:rsidRPr="00950ED4">
        <w:rPr>
          <w:rFonts w:eastAsia="Calibri" w:cs="Times New Roman"/>
          <w:lang w:val="en-GB"/>
        </w:rPr>
        <w:t>, 241-254. doi:10.1017/S0140525X07001653</w:t>
      </w:r>
    </w:p>
    <w:p w14:paraId="4BAC4836" w14:textId="754A1962" w:rsidR="00463128" w:rsidRPr="00901D0D" w:rsidRDefault="00463128" w:rsidP="00463128">
      <w:pPr>
        <w:autoSpaceDE w:val="0"/>
        <w:autoSpaceDN w:val="0"/>
        <w:adjustRightInd w:val="0"/>
        <w:ind w:left="720" w:hanging="720"/>
        <w:contextualSpacing/>
        <w:rPr>
          <w:rFonts w:eastAsia="Calibri" w:cs="Times New Roman"/>
          <w:lang w:val="en-GB"/>
        </w:rPr>
      </w:pPr>
      <w:r w:rsidRPr="00901D0D">
        <w:rPr>
          <w:rFonts w:eastAsia="Calibri" w:cs="Times New Roman"/>
          <w:lang w:val="en-GB"/>
        </w:rPr>
        <w:t xml:space="preserve">Blackmore, S. J., &amp; </w:t>
      </w:r>
      <w:proofErr w:type="spellStart"/>
      <w:r w:rsidRPr="00901D0D">
        <w:rPr>
          <w:rFonts w:eastAsia="Calibri" w:cs="Times New Roman"/>
          <w:lang w:val="en-GB"/>
        </w:rPr>
        <w:t>Tro</w:t>
      </w:r>
      <w:r w:rsidR="002D2F5F">
        <w:rPr>
          <w:rFonts w:eastAsia="MS Gothic" w:cs="Times New Roman"/>
          <w:b/>
          <w:bCs/>
          <w:szCs w:val="28"/>
          <w:lang w:val="en-GB"/>
        </w:rPr>
        <w:t>ś</w:t>
      </w:r>
      <w:r w:rsidRPr="00901D0D">
        <w:rPr>
          <w:rFonts w:eastAsia="Calibri" w:cs="Times New Roman"/>
          <w:lang w:val="en-GB"/>
        </w:rPr>
        <w:t>cianko</w:t>
      </w:r>
      <w:proofErr w:type="spellEnd"/>
      <w:r w:rsidRPr="00901D0D">
        <w:rPr>
          <w:rFonts w:eastAsia="Calibri" w:cs="Times New Roman"/>
          <w:lang w:val="en-GB"/>
        </w:rPr>
        <w:t xml:space="preserve">, T. (1985). Belief in the paranormal: Probability judgements, illusory control, and the chance baseline shift. </w:t>
      </w:r>
      <w:r w:rsidRPr="00901D0D">
        <w:rPr>
          <w:rFonts w:eastAsia="Calibri" w:cs="Times New Roman"/>
          <w:i/>
          <w:lang w:val="en-GB"/>
        </w:rPr>
        <w:t>British Journal of Psychology, 76,</w:t>
      </w:r>
      <w:r w:rsidRPr="00901D0D">
        <w:rPr>
          <w:rFonts w:eastAsia="Calibri" w:cs="Times New Roman"/>
          <w:lang w:val="en-GB"/>
        </w:rPr>
        <w:t xml:space="preserve"> 459–468. doi:10.1111/j.2044-</w:t>
      </w:r>
      <w:proofErr w:type="gramStart"/>
      <w:r w:rsidRPr="00901D0D">
        <w:rPr>
          <w:rFonts w:eastAsia="Calibri" w:cs="Times New Roman"/>
          <w:lang w:val="en-GB"/>
        </w:rPr>
        <w:t>8295.1985.tb</w:t>
      </w:r>
      <w:proofErr w:type="gramEnd"/>
      <w:r w:rsidRPr="00901D0D">
        <w:rPr>
          <w:rFonts w:eastAsia="Calibri" w:cs="Times New Roman"/>
          <w:lang w:val="en-GB"/>
        </w:rPr>
        <w:t>01969.x</w:t>
      </w:r>
    </w:p>
    <w:p w14:paraId="69AC76DF" w14:textId="77777777" w:rsidR="00245A59" w:rsidRPr="00245A59" w:rsidRDefault="00245A59" w:rsidP="00245A59">
      <w:pPr>
        <w:autoSpaceDE w:val="0"/>
        <w:autoSpaceDN w:val="0"/>
        <w:adjustRightInd w:val="0"/>
        <w:ind w:left="720" w:hanging="720"/>
        <w:contextualSpacing/>
        <w:rPr>
          <w:rFonts w:eastAsia="Calibri" w:cs="Times New Roman"/>
          <w:lang w:val="en-GB"/>
        </w:rPr>
      </w:pPr>
      <w:r w:rsidRPr="00245A59">
        <w:rPr>
          <w:rFonts w:eastAsia="Calibri" w:cs="Times New Roman"/>
          <w:lang w:val="en-GB"/>
        </w:rPr>
        <w:t xml:space="preserve">Blagrove, M., French, C. C., &amp; Jones, G. (2006). Probabilistic reasoning, affirmative bias, and belief in precognitive dreams. </w:t>
      </w:r>
      <w:r w:rsidRPr="00245A59">
        <w:rPr>
          <w:rFonts w:eastAsia="Calibri" w:cs="Times New Roman"/>
          <w:i/>
          <w:lang w:val="en-GB"/>
        </w:rPr>
        <w:t>Applied Cognitive Psychology, 20,</w:t>
      </w:r>
      <w:r w:rsidRPr="00245A59">
        <w:rPr>
          <w:rFonts w:eastAsia="Calibri" w:cs="Times New Roman"/>
          <w:lang w:val="en-GB"/>
        </w:rPr>
        <w:t xml:space="preserve"> 65–83. doi:10.1002/acp.1165</w:t>
      </w:r>
    </w:p>
    <w:p w14:paraId="0396FDD7" w14:textId="6AF4B2D8" w:rsidR="000A34F2" w:rsidRDefault="000A34F2" w:rsidP="000A34F2">
      <w:pPr>
        <w:autoSpaceDE w:val="0"/>
        <w:autoSpaceDN w:val="0"/>
        <w:adjustRightInd w:val="0"/>
        <w:ind w:left="720" w:hanging="720"/>
        <w:contextualSpacing/>
        <w:rPr>
          <w:rFonts w:eastAsia="Calibri" w:cs="Times New Roman"/>
          <w:lang w:val="en-US"/>
        </w:rPr>
      </w:pPr>
      <w:r w:rsidRPr="000A34F2">
        <w:rPr>
          <w:rFonts w:eastAsia="Calibri" w:cs="Times New Roman"/>
          <w:lang w:val="en-US"/>
        </w:rPr>
        <w:t xml:space="preserve">Bouvet, R., &amp; </w:t>
      </w:r>
      <w:proofErr w:type="spellStart"/>
      <w:r w:rsidRPr="000A34F2">
        <w:rPr>
          <w:rFonts w:eastAsia="Calibri" w:cs="Times New Roman"/>
          <w:lang w:val="en-US"/>
        </w:rPr>
        <w:t>Bonnefon</w:t>
      </w:r>
      <w:proofErr w:type="spellEnd"/>
      <w:r w:rsidRPr="000A34F2">
        <w:rPr>
          <w:rFonts w:eastAsia="Calibri" w:cs="Times New Roman"/>
          <w:lang w:val="en-US"/>
        </w:rPr>
        <w:t>, J. F. (2015). Non-reflective thinkers are predisposed to attribute supernatural</w:t>
      </w:r>
      <w:r>
        <w:rPr>
          <w:rFonts w:eastAsia="Calibri" w:cs="Times New Roman"/>
          <w:lang w:val="en-US"/>
        </w:rPr>
        <w:t xml:space="preserve"> </w:t>
      </w:r>
      <w:r w:rsidRPr="000A34F2">
        <w:rPr>
          <w:rFonts w:eastAsia="Calibri" w:cs="Times New Roman"/>
          <w:lang w:val="en-US"/>
        </w:rPr>
        <w:t xml:space="preserve">causation to uncanny experiences. </w:t>
      </w:r>
      <w:r w:rsidRPr="00AE0D85">
        <w:rPr>
          <w:rFonts w:eastAsia="Calibri" w:cs="Times New Roman"/>
          <w:i/>
          <w:lang w:val="en-US"/>
        </w:rPr>
        <w:t>Personality and Social Psychology Bulletin, 41</w:t>
      </w:r>
      <w:r w:rsidRPr="000A34F2">
        <w:rPr>
          <w:rFonts w:eastAsia="Calibri" w:cs="Times New Roman"/>
          <w:lang w:val="en-US"/>
        </w:rPr>
        <w:t>, 955-961.</w:t>
      </w:r>
      <w:r>
        <w:rPr>
          <w:rFonts w:eastAsia="Calibri" w:cs="Times New Roman"/>
          <w:lang w:val="en-US"/>
        </w:rPr>
        <w:t xml:space="preserve"> </w:t>
      </w:r>
      <w:r w:rsidRPr="000A34F2">
        <w:rPr>
          <w:rFonts w:eastAsia="Calibri" w:cs="Times New Roman"/>
          <w:lang w:val="en-US"/>
        </w:rPr>
        <w:t>doi:10.1177/0146167215585728</w:t>
      </w:r>
    </w:p>
    <w:p w14:paraId="71B4DAB3" w14:textId="190F8611" w:rsidR="00245A59" w:rsidRPr="00245A59" w:rsidRDefault="00245A59" w:rsidP="00245A59">
      <w:pPr>
        <w:autoSpaceDE w:val="0"/>
        <w:autoSpaceDN w:val="0"/>
        <w:adjustRightInd w:val="0"/>
        <w:ind w:left="720" w:hanging="720"/>
        <w:contextualSpacing/>
        <w:rPr>
          <w:rFonts w:eastAsia="Calibri" w:cs="Times New Roman"/>
          <w:lang w:val="en-US"/>
        </w:rPr>
      </w:pPr>
      <w:proofErr w:type="spellStart"/>
      <w:r w:rsidRPr="00245A59">
        <w:rPr>
          <w:rFonts w:eastAsia="Calibri" w:cs="Times New Roman"/>
          <w:lang w:val="en-US"/>
        </w:rPr>
        <w:t>Bressan</w:t>
      </w:r>
      <w:proofErr w:type="spellEnd"/>
      <w:r w:rsidRPr="00245A59">
        <w:rPr>
          <w:rFonts w:eastAsia="Calibri" w:cs="Times New Roman"/>
          <w:lang w:val="en-US"/>
        </w:rPr>
        <w:t xml:space="preserve">, P. (2002). The connection between random sequences, everyday coincidences, and belief in the paranormal. </w:t>
      </w:r>
      <w:r w:rsidRPr="00245A59">
        <w:rPr>
          <w:rFonts w:eastAsia="Calibri" w:cs="Times New Roman"/>
          <w:i/>
          <w:lang w:val="en-US"/>
        </w:rPr>
        <w:t>Applied Cognitive Psychology, 16,</w:t>
      </w:r>
      <w:r w:rsidRPr="00245A59">
        <w:rPr>
          <w:rFonts w:eastAsia="Calibri" w:cs="Times New Roman"/>
          <w:lang w:val="en-US"/>
        </w:rPr>
        <w:t xml:space="preserve"> 17–34. doi:10.1002/acp.754</w:t>
      </w:r>
    </w:p>
    <w:p w14:paraId="61316C12" w14:textId="31583FAF" w:rsidR="00463128" w:rsidRPr="00901D0D" w:rsidRDefault="00463128" w:rsidP="00463128">
      <w:pPr>
        <w:autoSpaceDE w:val="0"/>
        <w:autoSpaceDN w:val="0"/>
        <w:adjustRightInd w:val="0"/>
        <w:ind w:left="720" w:hanging="720"/>
        <w:contextualSpacing/>
        <w:rPr>
          <w:rFonts w:eastAsia="Calibri" w:cs="Times New Roman"/>
          <w:lang w:val="en-GB"/>
        </w:rPr>
      </w:pPr>
      <w:r w:rsidRPr="00901D0D">
        <w:rPr>
          <w:rFonts w:eastAsia="Calibri" w:cs="Times New Roman"/>
          <w:lang w:val="en-GB"/>
        </w:rPr>
        <w:lastRenderedPageBreak/>
        <w:t xml:space="preserve">Brotherton, R., &amp; French, C. C. (2014). Belief in conspiracy theories and susceptibility to the conjunction fallacy. </w:t>
      </w:r>
      <w:r w:rsidRPr="00901D0D">
        <w:rPr>
          <w:rFonts w:eastAsia="Calibri" w:cs="Times New Roman"/>
          <w:i/>
          <w:lang w:val="en-GB"/>
        </w:rPr>
        <w:t>Applied Cognitive Psychology, 28,</w:t>
      </w:r>
      <w:r w:rsidRPr="00901D0D">
        <w:rPr>
          <w:rFonts w:eastAsia="Calibri" w:cs="Times New Roman"/>
          <w:lang w:val="en-GB"/>
        </w:rPr>
        <w:t xml:space="preserve"> 238–248. doi:10.1002/acp.2995</w:t>
      </w:r>
    </w:p>
    <w:p w14:paraId="400BD81D" w14:textId="74D22252" w:rsidR="00463128" w:rsidRDefault="00463128" w:rsidP="00463128">
      <w:pPr>
        <w:autoSpaceDE w:val="0"/>
        <w:autoSpaceDN w:val="0"/>
        <w:adjustRightInd w:val="0"/>
        <w:ind w:left="720" w:hanging="720"/>
        <w:contextualSpacing/>
        <w:rPr>
          <w:rFonts w:eastAsia="Calibri" w:cs="Times New Roman"/>
          <w:lang w:val="en-GB"/>
        </w:rPr>
      </w:pPr>
      <w:r w:rsidRPr="00901D0D">
        <w:rPr>
          <w:rFonts w:eastAsia="Calibri" w:cs="Times New Roman"/>
          <w:lang w:val="en-GB"/>
        </w:rPr>
        <w:t xml:space="preserve">Brugger, P., Landis, T., &amp; Regard, M. (1990). A sheep–goat effect in repetition avoidance: Extrasensory perception as an effect if subjective probability? </w:t>
      </w:r>
      <w:r w:rsidRPr="00901D0D">
        <w:rPr>
          <w:rFonts w:eastAsia="Calibri" w:cs="Times New Roman"/>
          <w:i/>
          <w:lang w:val="en-GB"/>
        </w:rPr>
        <w:t>British Journal of Psychology, 81</w:t>
      </w:r>
      <w:r w:rsidRPr="00901D0D">
        <w:rPr>
          <w:rFonts w:eastAsia="Calibri" w:cs="Times New Roman"/>
          <w:lang w:val="en-GB"/>
        </w:rPr>
        <w:t>, 455–468. doi:10.1111/j.2044-</w:t>
      </w:r>
      <w:proofErr w:type="gramStart"/>
      <w:r w:rsidRPr="00901D0D">
        <w:rPr>
          <w:rFonts w:eastAsia="Calibri" w:cs="Times New Roman"/>
          <w:lang w:val="en-GB"/>
        </w:rPr>
        <w:t>8295.1990.tb</w:t>
      </w:r>
      <w:proofErr w:type="gramEnd"/>
      <w:r w:rsidRPr="00901D0D">
        <w:rPr>
          <w:rFonts w:eastAsia="Calibri" w:cs="Times New Roman"/>
          <w:lang w:val="en-GB"/>
        </w:rPr>
        <w:t>02372.x</w:t>
      </w:r>
    </w:p>
    <w:p w14:paraId="5A055745" w14:textId="77777777" w:rsidR="001D29B9" w:rsidRPr="001D29B9" w:rsidRDefault="001D29B9" w:rsidP="001D29B9">
      <w:pPr>
        <w:autoSpaceDE w:val="0"/>
        <w:autoSpaceDN w:val="0"/>
        <w:adjustRightInd w:val="0"/>
        <w:ind w:left="720" w:hanging="720"/>
        <w:contextualSpacing/>
        <w:rPr>
          <w:rFonts w:eastAsia="Calibri" w:cs="Times New Roman"/>
          <w:lang w:val="en-GB"/>
        </w:rPr>
      </w:pPr>
      <w:r w:rsidRPr="001D29B9">
        <w:rPr>
          <w:rFonts w:eastAsia="Calibri" w:cs="Times New Roman"/>
          <w:lang w:val="en-GB"/>
        </w:rPr>
        <w:t xml:space="preserve">Brugger, P., Regard, M., &amp; Landis, T. (1991). Belief in extrasensory perception and illusory control: A replication. </w:t>
      </w:r>
      <w:r w:rsidRPr="001D29B9">
        <w:rPr>
          <w:rFonts w:eastAsia="Calibri" w:cs="Times New Roman"/>
          <w:i/>
          <w:lang w:val="en-GB"/>
        </w:rPr>
        <w:t>The</w:t>
      </w:r>
      <w:r w:rsidRPr="001D29B9">
        <w:rPr>
          <w:rFonts w:eastAsia="Calibri" w:cs="Times New Roman"/>
          <w:lang w:val="en-GB"/>
        </w:rPr>
        <w:t xml:space="preserve"> </w:t>
      </w:r>
      <w:r w:rsidRPr="001D29B9">
        <w:rPr>
          <w:rFonts w:eastAsia="Calibri" w:cs="Times New Roman"/>
          <w:i/>
          <w:lang w:val="en-GB"/>
        </w:rPr>
        <w:t>Journal of Psychology, 125</w:t>
      </w:r>
      <w:r w:rsidRPr="001D29B9">
        <w:rPr>
          <w:rFonts w:eastAsia="Calibri" w:cs="Times New Roman"/>
          <w:lang w:val="en-GB"/>
        </w:rPr>
        <w:t>, 501-502. doi:10.1080/00223980.1991.10543314</w:t>
      </w:r>
    </w:p>
    <w:p w14:paraId="216EA7C1" w14:textId="77777777" w:rsidR="00463128" w:rsidRPr="00901D0D" w:rsidRDefault="00463128" w:rsidP="00463128">
      <w:pPr>
        <w:spacing w:after="160"/>
        <w:ind w:left="720" w:hanging="720"/>
        <w:contextualSpacing/>
        <w:rPr>
          <w:lang w:val="en-GB"/>
        </w:rPr>
      </w:pPr>
      <w:r w:rsidRPr="00901D0D">
        <w:rPr>
          <w:lang w:val="en-GB"/>
        </w:rPr>
        <w:t>Chapman University (2017). Paranormal America 2017: The Chapman University survey of American fears, Wave 4. Retrieved from: https://blogs.chapman.edu/wilkinson/2017/10/11/paranormal-america-2017/.</w:t>
      </w:r>
    </w:p>
    <w:p w14:paraId="29653548" w14:textId="45022C7F" w:rsidR="00B43EFC" w:rsidRDefault="00B43EFC" w:rsidP="00331C9E">
      <w:pPr>
        <w:ind w:left="720" w:hanging="720"/>
        <w:rPr>
          <w:lang w:val="en-GB"/>
        </w:rPr>
      </w:pPr>
      <w:r w:rsidRPr="00B43EFC">
        <w:rPr>
          <w:lang w:val="en-GB"/>
        </w:rPr>
        <w:t xml:space="preserve">Cohen, J. &amp; Cohen, P. (1983). </w:t>
      </w:r>
      <w:r w:rsidRPr="00B43EFC">
        <w:rPr>
          <w:i/>
          <w:lang w:val="en-GB"/>
        </w:rPr>
        <w:t xml:space="preserve">Applied Multiple Regression/Correlation Analysis for the </w:t>
      </w:r>
      <w:proofErr w:type="spellStart"/>
      <w:r w:rsidRPr="00B43EFC">
        <w:rPr>
          <w:i/>
          <w:lang w:val="en-GB"/>
        </w:rPr>
        <w:t>Behavioral</w:t>
      </w:r>
      <w:proofErr w:type="spellEnd"/>
      <w:r w:rsidRPr="00B43EFC">
        <w:rPr>
          <w:i/>
          <w:lang w:val="en-GB"/>
        </w:rPr>
        <w:t xml:space="preserve"> Sciences</w:t>
      </w:r>
      <w:r w:rsidRPr="00B43EFC">
        <w:rPr>
          <w:lang w:val="en-GB"/>
        </w:rPr>
        <w:t xml:space="preserve"> (2</w:t>
      </w:r>
      <w:r w:rsidRPr="00B43EFC">
        <w:rPr>
          <w:vertAlign w:val="superscript"/>
          <w:lang w:val="en-GB"/>
        </w:rPr>
        <w:t>nd</w:t>
      </w:r>
      <w:r w:rsidRPr="00B43EFC">
        <w:rPr>
          <w:lang w:val="en-GB"/>
        </w:rPr>
        <w:t xml:space="preserve"> ed). Hillsdale, NJ: Lawrence Erlbaum</w:t>
      </w:r>
    </w:p>
    <w:p w14:paraId="73245A7B" w14:textId="70A5F2EC" w:rsidR="00331C9E" w:rsidRPr="00901D0D" w:rsidRDefault="00331C9E" w:rsidP="00331C9E">
      <w:pPr>
        <w:ind w:left="720" w:hanging="720"/>
        <w:rPr>
          <w:lang w:val="en-GB"/>
        </w:rPr>
      </w:pPr>
      <w:proofErr w:type="spellStart"/>
      <w:r w:rsidRPr="00901D0D">
        <w:rPr>
          <w:lang w:val="en-GB"/>
        </w:rPr>
        <w:t>Croson</w:t>
      </w:r>
      <w:proofErr w:type="spellEnd"/>
      <w:r w:rsidRPr="00901D0D">
        <w:rPr>
          <w:lang w:val="en-GB"/>
        </w:rPr>
        <w:t xml:space="preserve">, R. &amp; </w:t>
      </w:r>
      <w:proofErr w:type="spellStart"/>
      <w:r w:rsidRPr="00901D0D">
        <w:rPr>
          <w:lang w:val="en-GB"/>
        </w:rPr>
        <w:t>Sundali</w:t>
      </w:r>
      <w:proofErr w:type="spellEnd"/>
      <w:r w:rsidRPr="00901D0D">
        <w:rPr>
          <w:lang w:val="en-GB"/>
        </w:rPr>
        <w:t xml:space="preserve">, J. (2005). The gambler’s fallacy and the hot hand: Empirical data from casinos. </w:t>
      </w:r>
      <w:r w:rsidRPr="00901D0D">
        <w:rPr>
          <w:i/>
          <w:lang w:val="en-GB"/>
        </w:rPr>
        <w:t xml:space="preserve">The Journal of Risk and Uncertainty, 30, </w:t>
      </w:r>
      <w:r w:rsidRPr="00901D0D">
        <w:rPr>
          <w:lang w:val="en-GB"/>
        </w:rPr>
        <w:t>195-209. doi:10.1007/s11166-005-1153-2</w:t>
      </w:r>
    </w:p>
    <w:p w14:paraId="2D265B13" w14:textId="77777777" w:rsidR="00463128" w:rsidRPr="00901D0D" w:rsidRDefault="00463128" w:rsidP="00463128">
      <w:pPr>
        <w:spacing w:after="160"/>
        <w:ind w:left="720" w:hanging="720"/>
        <w:contextualSpacing/>
        <w:rPr>
          <w:rFonts w:eastAsia="Calibri" w:cs="Times New Roman"/>
          <w:i/>
          <w:lang w:val="en-GB"/>
        </w:rPr>
      </w:pPr>
      <w:proofErr w:type="spellStart"/>
      <w:r w:rsidRPr="00901D0D">
        <w:rPr>
          <w:rFonts w:eastAsia="Calibri" w:cs="Times New Roman"/>
          <w:lang w:val="en-GB"/>
        </w:rPr>
        <w:t>Dagnall</w:t>
      </w:r>
      <w:proofErr w:type="spellEnd"/>
      <w:r w:rsidRPr="00901D0D">
        <w:rPr>
          <w:rFonts w:eastAsia="Calibri" w:cs="Times New Roman"/>
          <w:lang w:val="en-GB"/>
        </w:rPr>
        <w:t xml:space="preserve">, N., Drinkwater, K., </w:t>
      </w:r>
      <w:proofErr w:type="spellStart"/>
      <w:r w:rsidRPr="00901D0D">
        <w:rPr>
          <w:rFonts w:eastAsia="Calibri" w:cs="Times New Roman"/>
          <w:lang w:val="en-GB"/>
        </w:rPr>
        <w:t>Denovan</w:t>
      </w:r>
      <w:proofErr w:type="spellEnd"/>
      <w:r w:rsidRPr="00901D0D">
        <w:rPr>
          <w:rFonts w:eastAsia="Calibri" w:cs="Times New Roman"/>
          <w:lang w:val="en-GB"/>
        </w:rPr>
        <w:t xml:space="preserve">, A., Parker, A., &amp; Rowley, K. (2016). Misperception of chance, conjunction, framing effects and belief in the paranormal: A further evaluation. </w:t>
      </w:r>
      <w:r w:rsidRPr="00901D0D">
        <w:rPr>
          <w:rFonts w:eastAsia="Calibri" w:cs="Times New Roman"/>
          <w:i/>
          <w:lang w:val="en-GB"/>
        </w:rPr>
        <w:t xml:space="preserve">Applied Cognitive Psychology, 30, </w:t>
      </w:r>
      <w:r w:rsidRPr="00901D0D">
        <w:rPr>
          <w:rFonts w:eastAsia="Calibri" w:cs="Times New Roman"/>
          <w:lang w:val="en-GB"/>
        </w:rPr>
        <w:t>409-419. doi:10.1002/acp.3217</w:t>
      </w:r>
    </w:p>
    <w:p w14:paraId="3380B814" w14:textId="77777777" w:rsidR="00463128" w:rsidRPr="00901D0D" w:rsidRDefault="00463128" w:rsidP="00463128">
      <w:pPr>
        <w:spacing w:after="160"/>
        <w:ind w:left="720" w:hanging="720"/>
        <w:contextualSpacing/>
        <w:rPr>
          <w:rFonts w:eastAsia="Calibri" w:cs="Times New Roman"/>
          <w:lang w:val="en-GB"/>
        </w:rPr>
      </w:pPr>
      <w:proofErr w:type="spellStart"/>
      <w:r w:rsidRPr="00901D0D">
        <w:rPr>
          <w:rFonts w:eastAsia="Calibri" w:cs="Times New Roman"/>
          <w:lang w:val="en-GB"/>
        </w:rPr>
        <w:t>Dagnall</w:t>
      </w:r>
      <w:proofErr w:type="spellEnd"/>
      <w:r w:rsidRPr="00901D0D">
        <w:rPr>
          <w:rFonts w:eastAsia="Calibri" w:cs="Times New Roman"/>
          <w:lang w:val="en-GB"/>
        </w:rPr>
        <w:t xml:space="preserve">, N., Drinkwater, K., Parker, A., &amp; Rowley, K. (2014). Misperception of chance, conjunction, belief in the paranormal and reality testing: A reappraisal. </w:t>
      </w:r>
      <w:r w:rsidRPr="00901D0D">
        <w:rPr>
          <w:rFonts w:eastAsia="Calibri" w:cs="Times New Roman"/>
          <w:i/>
          <w:lang w:val="en-GB"/>
        </w:rPr>
        <w:t xml:space="preserve">Applied Cognitive Psychology, 28, </w:t>
      </w:r>
      <w:r w:rsidRPr="00901D0D">
        <w:rPr>
          <w:rFonts w:eastAsia="Calibri" w:cs="Times New Roman"/>
          <w:lang w:val="en-GB"/>
        </w:rPr>
        <w:t>711-719. doi:10.1002/acp.3057</w:t>
      </w:r>
    </w:p>
    <w:p w14:paraId="6C229860" w14:textId="77777777" w:rsidR="00463128" w:rsidRPr="00901D0D" w:rsidRDefault="00463128" w:rsidP="00463128">
      <w:pPr>
        <w:spacing w:after="160"/>
        <w:ind w:left="720" w:hanging="720"/>
        <w:contextualSpacing/>
        <w:rPr>
          <w:rFonts w:eastAsia="Calibri" w:cs="Times New Roman"/>
          <w:lang w:val="en-GB"/>
        </w:rPr>
      </w:pPr>
      <w:proofErr w:type="spellStart"/>
      <w:r w:rsidRPr="00901D0D">
        <w:rPr>
          <w:rFonts w:eastAsia="Calibri" w:cs="Times New Roman"/>
          <w:lang w:val="en-GB"/>
        </w:rPr>
        <w:t>Dagnall</w:t>
      </w:r>
      <w:proofErr w:type="spellEnd"/>
      <w:r w:rsidRPr="00901D0D">
        <w:rPr>
          <w:rFonts w:eastAsia="Calibri" w:cs="Times New Roman"/>
          <w:lang w:val="en-GB"/>
        </w:rPr>
        <w:t xml:space="preserve">, N., Parker, A., &amp; </w:t>
      </w:r>
      <w:proofErr w:type="spellStart"/>
      <w:r w:rsidRPr="00901D0D">
        <w:rPr>
          <w:rFonts w:eastAsia="Calibri" w:cs="Times New Roman"/>
          <w:lang w:val="en-GB"/>
        </w:rPr>
        <w:t>Munley</w:t>
      </w:r>
      <w:proofErr w:type="spellEnd"/>
      <w:r w:rsidRPr="00901D0D">
        <w:rPr>
          <w:rFonts w:eastAsia="Calibri" w:cs="Times New Roman"/>
          <w:lang w:val="en-GB"/>
        </w:rPr>
        <w:t xml:space="preserve">, G. (2007). Paranormal belief and reasoning. </w:t>
      </w:r>
      <w:r w:rsidRPr="00901D0D">
        <w:rPr>
          <w:rFonts w:eastAsia="Calibri" w:cs="Times New Roman"/>
          <w:i/>
          <w:lang w:val="en-GB"/>
        </w:rPr>
        <w:t>Personality &amp; Individual Differences, 43,</w:t>
      </w:r>
      <w:r w:rsidRPr="00901D0D">
        <w:rPr>
          <w:rFonts w:eastAsia="Calibri" w:cs="Times New Roman"/>
          <w:lang w:val="en-GB"/>
        </w:rPr>
        <w:t xml:space="preserve"> 1406–1415. </w:t>
      </w:r>
      <w:proofErr w:type="gramStart"/>
      <w:r w:rsidRPr="00901D0D">
        <w:rPr>
          <w:rFonts w:eastAsia="Calibri" w:cs="Times New Roman"/>
          <w:lang w:val="en-GB"/>
        </w:rPr>
        <w:t>doi:10.1016/j.paid</w:t>
      </w:r>
      <w:proofErr w:type="gramEnd"/>
      <w:r w:rsidRPr="00901D0D">
        <w:rPr>
          <w:rFonts w:eastAsia="Calibri" w:cs="Times New Roman"/>
          <w:lang w:val="en-GB"/>
        </w:rPr>
        <w:t>.2007.04.017</w:t>
      </w:r>
    </w:p>
    <w:p w14:paraId="11D04C7A" w14:textId="6877B3CC" w:rsidR="00331C9E" w:rsidRPr="00901D0D" w:rsidRDefault="00331C9E" w:rsidP="00331C9E">
      <w:pPr>
        <w:ind w:left="720" w:hanging="720"/>
        <w:rPr>
          <w:rFonts w:eastAsia="Calibri" w:cs="Times New Roman"/>
          <w:lang w:val="en-GB"/>
        </w:rPr>
      </w:pPr>
      <w:r w:rsidRPr="00901D0D">
        <w:rPr>
          <w:rFonts w:eastAsia="Calibri" w:cs="Times New Roman"/>
          <w:lang w:val="en-GB"/>
        </w:rPr>
        <w:lastRenderedPageBreak/>
        <w:t xml:space="preserve">Dahl, E., </w:t>
      </w:r>
      <w:proofErr w:type="spellStart"/>
      <w:r w:rsidRPr="00901D0D">
        <w:rPr>
          <w:rFonts w:eastAsia="Calibri" w:cs="Times New Roman"/>
          <w:lang w:val="en-GB"/>
        </w:rPr>
        <w:t>Tagler</w:t>
      </w:r>
      <w:proofErr w:type="spellEnd"/>
      <w:r w:rsidRPr="00901D0D">
        <w:rPr>
          <w:rFonts w:eastAsia="Calibri" w:cs="Times New Roman"/>
          <w:lang w:val="en-GB"/>
        </w:rPr>
        <w:t>, M. J., &amp; Hohman, Z. P. (</w:t>
      </w:r>
      <w:r w:rsidR="0021215D" w:rsidRPr="00901D0D">
        <w:rPr>
          <w:rFonts w:eastAsia="Calibri" w:cs="Times New Roman"/>
          <w:lang w:val="en-GB"/>
        </w:rPr>
        <w:t>2018</w:t>
      </w:r>
      <w:r w:rsidRPr="00901D0D">
        <w:rPr>
          <w:rFonts w:eastAsia="Calibri" w:cs="Times New Roman"/>
          <w:lang w:val="en-GB"/>
        </w:rPr>
        <w:t xml:space="preserve">). Gambling and the reasoned action model: Predicting past </w:t>
      </w:r>
      <w:proofErr w:type="spellStart"/>
      <w:r w:rsidRPr="00901D0D">
        <w:rPr>
          <w:rFonts w:eastAsia="Calibri" w:cs="Times New Roman"/>
          <w:lang w:val="en-GB"/>
        </w:rPr>
        <w:t>behavior</w:t>
      </w:r>
      <w:proofErr w:type="spellEnd"/>
      <w:r w:rsidRPr="00901D0D">
        <w:rPr>
          <w:rFonts w:eastAsia="Calibri" w:cs="Times New Roman"/>
          <w:lang w:val="en-GB"/>
        </w:rPr>
        <w:t xml:space="preserve">, intentions, and future behaviour. </w:t>
      </w:r>
      <w:r w:rsidRPr="00901D0D">
        <w:rPr>
          <w:rFonts w:eastAsia="Calibri" w:cs="Times New Roman"/>
          <w:i/>
          <w:lang w:val="en-GB"/>
        </w:rPr>
        <w:t xml:space="preserve">Journal of Gambling Studies, 34, </w:t>
      </w:r>
      <w:r w:rsidRPr="00901D0D">
        <w:rPr>
          <w:rFonts w:eastAsia="Calibri" w:cs="Times New Roman"/>
          <w:lang w:val="en-GB"/>
        </w:rPr>
        <w:t>101-118. doi:10.1007/s10899-017-9702-6</w:t>
      </w:r>
    </w:p>
    <w:p w14:paraId="063C9529" w14:textId="77777777" w:rsidR="00463128" w:rsidRPr="00901D0D" w:rsidRDefault="00463128" w:rsidP="00463128">
      <w:pPr>
        <w:spacing w:after="160"/>
        <w:ind w:left="720" w:hanging="720"/>
        <w:contextualSpacing/>
        <w:rPr>
          <w:lang w:val="en-GB"/>
        </w:rPr>
      </w:pPr>
      <w:r w:rsidRPr="00901D0D">
        <w:rPr>
          <w:lang w:val="en-GB"/>
        </w:rPr>
        <w:t xml:space="preserve">Dawson, E., Gilovich, T. &amp; Regan, D. T. (2002). Motivated reasoning and performance on the </w:t>
      </w:r>
      <w:proofErr w:type="spellStart"/>
      <w:r w:rsidRPr="00901D0D">
        <w:rPr>
          <w:lang w:val="en-GB"/>
        </w:rPr>
        <w:t>Wason</w:t>
      </w:r>
      <w:proofErr w:type="spellEnd"/>
      <w:r w:rsidRPr="00901D0D">
        <w:rPr>
          <w:lang w:val="en-GB"/>
        </w:rPr>
        <w:t xml:space="preserve"> selection task. </w:t>
      </w:r>
      <w:r w:rsidRPr="00901D0D">
        <w:rPr>
          <w:i/>
          <w:lang w:val="en-GB"/>
        </w:rPr>
        <w:t xml:space="preserve">Personality and Social Psychology Bulletin, 28, </w:t>
      </w:r>
      <w:r w:rsidRPr="00901D0D">
        <w:rPr>
          <w:lang w:val="en-GB"/>
        </w:rPr>
        <w:t>1379-1387. doi:10.1177/014616702236869</w:t>
      </w:r>
    </w:p>
    <w:p w14:paraId="4BF4303E" w14:textId="164E8780" w:rsidR="00D030EA" w:rsidRPr="00942056" w:rsidRDefault="00D030EA" w:rsidP="00D030EA">
      <w:pPr>
        <w:spacing w:after="160"/>
        <w:ind w:left="720" w:hanging="720"/>
        <w:contextualSpacing/>
        <w:rPr>
          <w:lang w:val="en-GB"/>
        </w:rPr>
      </w:pPr>
      <w:proofErr w:type="spellStart"/>
      <w:r>
        <w:rPr>
          <w:lang w:val="en-GB"/>
        </w:rPr>
        <w:t>Denovan</w:t>
      </w:r>
      <w:proofErr w:type="spellEnd"/>
      <w:r>
        <w:rPr>
          <w:lang w:val="en-GB"/>
        </w:rPr>
        <w:t xml:space="preserve">, A., </w:t>
      </w:r>
      <w:proofErr w:type="spellStart"/>
      <w:r>
        <w:rPr>
          <w:lang w:val="en-GB"/>
        </w:rPr>
        <w:t>Dagnall</w:t>
      </w:r>
      <w:proofErr w:type="spellEnd"/>
      <w:r>
        <w:rPr>
          <w:lang w:val="en-GB"/>
        </w:rPr>
        <w:t xml:space="preserve">, N., Drinkwater, K., &amp; Parker, A. (2018). </w:t>
      </w:r>
      <w:r w:rsidRPr="00D030EA">
        <w:rPr>
          <w:lang w:val="en-GB"/>
        </w:rPr>
        <w:t xml:space="preserve">Latent profile analysis of </w:t>
      </w:r>
      <w:proofErr w:type="spellStart"/>
      <w:r w:rsidRPr="00D030EA">
        <w:rPr>
          <w:lang w:val="en-GB"/>
        </w:rPr>
        <w:t>schizotypy</w:t>
      </w:r>
      <w:proofErr w:type="spellEnd"/>
      <w:r>
        <w:rPr>
          <w:lang w:val="en-GB"/>
        </w:rPr>
        <w:t xml:space="preserve"> </w:t>
      </w:r>
      <w:r w:rsidRPr="00D030EA">
        <w:rPr>
          <w:lang w:val="en-GB"/>
        </w:rPr>
        <w:t>and paranormal belief: Associations</w:t>
      </w:r>
      <w:r>
        <w:rPr>
          <w:lang w:val="en-GB"/>
        </w:rPr>
        <w:t xml:space="preserve"> </w:t>
      </w:r>
      <w:r w:rsidRPr="00D030EA">
        <w:rPr>
          <w:lang w:val="en-GB"/>
        </w:rPr>
        <w:t xml:space="preserve">with </w:t>
      </w:r>
      <w:r>
        <w:rPr>
          <w:lang w:val="en-GB"/>
        </w:rPr>
        <w:t>p</w:t>
      </w:r>
      <w:r w:rsidRPr="00D030EA">
        <w:rPr>
          <w:lang w:val="en-GB"/>
        </w:rPr>
        <w:t xml:space="preserve">robabilistic </w:t>
      </w:r>
      <w:r>
        <w:rPr>
          <w:lang w:val="en-GB"/>
        </w:rPr>
        <w:t>r</w:t>
      </w:r>
      <w:r w:rsidRPr="00D030EA">
        <w:rPr>
          <w:lang w:val="en-GB"/>
        </w:rPr>
        <w:t>easoning</w:t>
      </w:r>
      <w:r>
        <w:rPr>
          <w:lang w:val="en-GB"/>
        </w:rPr>
        <w:t xml:space="preserve"> p</w:t>
      </w:r>
      <w:r w:rsidRPr="00D030EA">
        <w:rPr>
          <w:lang w:val="en-GB"/>
        </w:rPr>
        <w:t>erformance</w:t>
      </w:r>
      <w:r>
        <w:rPr>
          <w:lang w:val="en-GB"/>
        </w:rPr>
        <w:t>.</w:t>
      </w:r>
      <w:r w:rsidR="00942056">
        <w:rPr>
          <w:lang w:val="en-GB"/>
        </w:rPr>
        <w:t xml:space="preserve"> </w:t>
      </w:r>
      <w:r w:rsidR="00942056">
        <w:rPr>
          <w:i/>
          <w:lang w:val="en-GB"/>
        </w:rPr>
        <w:t>Frontiers in Psychology, 9,</w:t>
      </w:r>
      <w:r w:rsidR="00942056">
        <w:rPr>
          <w:lang w:val="en-GB"/>
        </w:rPr>
        <w:t xml:space="preserve"> 35. </w:t>
      </w:r>
      <w:proofErr w:type="spellStart"/>
      <w:r w:rsidR="00942056">
        <w:rPr>
          <w:lang w:val="en-GB"/>
        </w:rPr>
        <w:t>doi</w:t>
      </w:r>
      <w:proofErr w:type="spellEnd"/>
      <w:r w:rsidR="00942056">
        <w:rPr>
          <w:lang w:val="en-GB"/>
        </w:rPr>
        <w:t>:</w:t>
      </w:r>
      <w:r w:rsidR="00942056">
        <w:t>1</w:t>
      </w:r>
      <w:r w:rsidR="00942056" w:rsidRPr="00942056">
        <w:rPr>
          <w:lang w:val="en-GB"/>
        </w:rPr>
        <w:t>0.3389/fpsyg.2018.00035</w:t>
      </w:r>
    </w:p>
    <w:p w14:paraId="69BEEAA0" w14:textId="1D4FA7A7" w:rsidR="00942056" w:rsidRPr="00942056" w:rsidRDefault="00942056" w:rsidP="00942056">
      <w:pPr>
        <w:spacing w:after="160"/>
        <w:ind w:left="720" w:hanging="720"/>
        <w:contextualSpacing/>
        <w:rPr>
          <w:lang w:val="en-GB"/>
        </w:rPr>
      </w:pPr>
      <w:r>
        <w:rPr>
          <w:lang w:val="en-GB"/>
        </w:rPr>
        <w:t xml:space="preserve">Drinkwater, K., </w:t>
      </w:r>
      <w:proofErr w:type="spellStart"/>
      <w:r>
        <w:rPr>
          <w:lang w:val="en-GB"/>
        </w:rPr>
        <w:t>Dagnall</w:t>
      </w:r>
      <w:proofErr w:type="spellEnd"/>
      <w:r>
        <w:rPr>
          <w:lang w:val="en-GB"/>
        </w:rPr>
        <w:t xml:space="preserve">, N., </w:t>
      </w:r>
      <w:proofErr w:type="spellStart"/>
      <w:r>
        <w:rPr>
          <w:lang w:val="en-GB"/>
        </w:rPr>
        <w:t>Denovan</w:t>
      </w:r>
      <w:proofErr w:type="spellEnd"/>
      <w:r>
        <w:rPr>
          <w:lang w:val="en-GB"/>
        </w:rPr>
        <w:t xml:space="preserve">, A., Parker, A., &amp; Clough, P. (2018). </w:t>
      </w:r>
      <w:r w:rsidRPr="00942056">
        <w:rPr>
          <w:lang w:val="en-GB"/>
        </w:rPr>
        <w:t>Predictors and associates of</w:t>
      </w:r>
      <w:r>
        <w:rPr>
          <w:lang w:val="en-GB"/>
        </w:rPr>
        <w:t xml:space="preserve"> </w:t>
      </w:r>
      <w:r w:rsidRPr="00942056">
        <w:rPr>
          <w:lang w:val="en-GB"/>
        </w:rPr>
        <w:t xml:space="preserve">problem–reaction–solution: </w:t>
      </w:r>
      <w:r>
        <w:rPr>
          <w:lang w:val="en-GB"/>
        </w:rPr>
        <w:t>S</w:t>
      </w:r>
      <w:r w:rsidRPr="00942056">
        <w:rPr>
          <w:lang w:val="en-GB"/>
        </w:rPr>
        <w:t>tatistical</w:t>
      </w:r>
      <w:r>
        <w:rPr>
          <w:lang w:val="en-GB"/>
        </w:rPr>
        <w:t xml:space="preserve"> </w:t>
      </w:r>
      <w:r w:rsidRPr="00942056">
        <w:rPr>
          <w:lang w:val="en-GB"/>
        </w:rPr>
        <w:t>bias, emotion-based reasoning, and</w:t>
      </w:r>
      <w:r>
        <w:rPr>
          <w:lang w:val="en-GB"/>
        </w:rPr>
        <w:t xml:space="preserve"> </w:t>
      </w:r>
      <w:r w:rsidRPr="00942056">
        <w:rPr>
          <w:lang w:val="en-GB"/>
        </w:rPr>
        <w:t>belief in the paranormal</w:t>
      </w:r>
      <w:r>
        <w:rPr>
          <w:lang w:val="en-GB"/>
        </w:rPr>
        <w:t xml:space="preserve">. </w:t>
      </w:r>
      <w:r>
        <w:rPr>
          <w:i/>
          <w:lang w:val="en-GB"/>
        </w:rPr>
        <w:t>SAGE Open, 8,</w:t>
      </w:r>
      <w:r>
        <w:rPr>
          <w:lang w:val="en-GB"/>
        </w:rPr>
        <w:t xml:space="preserve"> 1-11. doi:</w:t>
      </w:r>
      <w:r w:rsidRPr="00942056">
        <w:rPr>
          <w:lang w:val="en-GB"/>
        </w:rPr>
        <w:t>10.1177/2158244018762999</w:t>
      </w:r>
    </w:p>
    <w:p w14:paraId="5D330A27" w14:textId="5DB0FBF6" w:rsidR="00463128" w:rsidRPr="00901D0D" w:rsidRDefault="00463128" w:rsidP="00463128">
      <w:pPr>
        <w:spacing w:after="160"/>
        <w:ind w:left="720" w:hanging="720"/>
        <w:contextualSpacing/>
        <w:rPr>
          <w:lang w:val="en-GB"/>
        </w:rPr>
      </w:pPr>
      <w:r w:rsidRPr="00901D0D">
        <w:rPr>
          <w:lang w:val="en-GB"/>
        </w:rPr>
        <w:t xml:space="preserve">Drinkwater, K. </w:t>
      </w:r>
      <w:proofErr w:type="spellStart"/>
      <w:r w:rsidRPr="00901D0D">
        <w:rPr>
          <w:lang w:val="en-GB"/>
        </w:rPr>
        <w:t>Dagnall</w:t>
      </w:r>
      <w:proofErr w:type="spellEnd"/>
      <w:r w:rsidRPr="00901D0D">
        <w:rPr>
          <w:lang w:val="en-GB"/>
        </w:rPr>
        <w:t xml:space="preserve">, N. &amp; Parker, A. (2012). Reality testing, conspiracy theories, and paranormal beliefs. </w:t>
      </w:r>
      <w:r w:rsidRPr="00901D0D">
        <w:rPr>
          <w:i/>
          <w:lang w:val="en-GB"/>
        </w:rPr>
        <w:t xml:space="preserve">The Journal of Parapsychology, 76, </w:t>
      </w:r>
      <w:r w:rsidRPr="00901D0D">
        <w:rPr>
          <w:lang w:val="en-GB"/>
        </w:rPr>
        <w:t>57-77.</w:t>
      </w:r>
    </w:p>
    <w:p w14:paraId="0A196638" w14:textId="77777777" w:rsidR="00463128" w:rsidRPr="00901D0D" w:rsidRDefault="00463128" w:rsidP="00463128">
      <w:pPr>
        <w:spacing w:after="160"/>
        <w:ind w:left="720" w:hanging="720"/>
        <w:contextualSpacing/>
        <w:rPr>
          <w:rFonts w:eastAsia="Calibri" w:cs="Times New Roman"/>
          <w:lang w:val="en-GB"/>
        </w:rPr>
      </w:pPr>
      <w:proofErr w:type="spellStart"/>
      <w:r w:rsidRPr="00901D0D">
        <w:rPr>
          <w:lang w:val="en-GB"/>
        </w:rPr>
        <w:t>Fischoff</w:t>
      </w:r>
      <w:proofErr w:type="spellEnd"/>
      <w:r w:rsidRPr="00901D0D">
        <w:rPr>
          <w:lang w:val="en-GB"/>
        </w:rPr>
        <w:t xml:space="preserve">, B. &amp; Bar-Hillel, M. (1984). </w:t>
      </w:r>
      <w:proofErr w:type="spellStart"/>
      <w:r w:rsidRPr="00901D0D">
        <w:rPr>
          <w:lang w:val="en-GB"/>
        </w:rPr>
        <w:t>Diagnosticity</w:t>
      </w:r>
      <w:proofErr w:type="spellEnd"/>
      <w:r w:rsidRPr="00901D0D">
        <w:rPr>
          <w:lang w:val="en-GB"/>
        </w:rPr>
        <w:t xml:space="preserve"> and the base-rate effect. </w:t>
      </w:r>
      <w:r w:rsidRPr="00901D0D">
        <w:rPr>
          <w:i/>
          <w:lang w:val="en-GB"/>
        </w:rPr>
        <w:t xml:space="preserve">Memory &amp; Cognition, 12, </w:t>
      </w:r>
      <w:r w:rsidRPr="00901D0D">
        <w:rPr>
          <w:lang w:val="en-GB"/>
        </w:rPr>
        <w:t>402-410. doi:10.3758/BF03198301</w:t>
      </w:r>
    </w:p>
    <w:p w14:paraId="0E7DEEF2" w14:textId="77777777" w:rsidR="00331C9E" w:rsidRPr="00901D0D" w:rsidRDefault="00331C9E" w:rsidP="00331C9E">
      <w:pPr>
        <w:ind w:left="720" w:hanging="720"/>
        <w:rPr>
          <w:lang w:val="en-GB"/>
        </w:rPr>
      </w:pPr>
      <w:r w:rsidRPr="00901D0D">
        <w:rPr>
          <w:lang w:val="en-GB"/>
        </w:rPr>
        <w:t xml:space="preserve">Fortune, E. E. &amp; Goodie, A. S. (2012). Cognitive distortions as a component and treatment focus of pathological gambling: A review. </w:t>
      </w:r>
      <w:r w:rsidRPr="00901D0D">
        <w:rPr>
          <w:i/>
          <w:lang w:val="en-GB"/>
        </w:rPr>
        <w:t xml:space="preserve">Psychology of Addictive </w:t>
      </w:r>
      <w:proofErr w:type="spellStart"/>
      <w:r w:rsidRPr="00901D0D">
        <w:rPr>
          <w:i/>
          <w:lang w:val="en-GB"/>
        </w:rPr>
        <w:t>Behaviors</w:t>
      </w:r>
      <w:proofErr w:type="spellEnd"/>
      <w:r w:rsidRPr="00901D0D">
        <w:rPr>
          <w:i/>
          <w:lang w:val="en-GB"/>
        </w:rPr>
        <w:t xml:space="preserve">, 26, </w:t>
      </w:r>
      <w:r w:rsidRPr="00901D0D">
        <w:rPr>
          <w:lang w:val="en-GB"/>
        </w:rPr>
        <w:t>298-310. doi:10.1037/a0026422</w:t>
      </w:r>
    </w:p>
    <w:p w14:paraId="0B7322FA" w14:textId="77777777" w:rsidR="00463128" w:rsidRPr="00901D0D" w:rsidRDefault="00463128" w:rsidP="00463128">
      <w:pPr>
        <w:spacing w:after="160"/>
        <w:ind w:left="720" w:hanging="720"/>
        <w:contextualSpacing/>
        <w:rPr>
          <w:rFonts w:eastAsia="Calibri" w:cs="Times New Roman"/>
          <w:lang w:val="en-GB"/>
        </w:rPr>
      </w:pPr>
      <w:r w:rsidRPr="00901D0D">
        <w:rPr>
          <w:rFonts w:eastAsia="Calibri" w:cs="Times New Roman"/>
          <w:lang w:val="en-GB"/>
        </w:rPr>
        <w:t xml:space="preserve">French, C. C. (2001). </w:t>
      </w:r>
      <w:r w:rsidRPr="00901D0D">
        <w:rPr>
          <w:rFonts w:eastAsia="Calibri" w:cs="Times New Roman"/>
          <w:i/>
          <w:iCs/>
          <w:lang w:val="en-GB"/>
        </w:rPr>
        <w:t>Paranormal Perception? A Critical Evaluation</w:t>
      </w:r>
      <w:r w:rsidRPr="00901D0D">
        <w:rPr>
          <w:rFonts w:eastAsia="Calibri" w:cs="Times New Roman"/>
          <w:lang w:val="en-GB"/>
        </w:rPr>
        <w:t>, Monograph Series No. 42. London: Institute for Cultural Research. 1-24.</w:t>
      </w:r>
    </w:p>
    <w:p w14:paraId="5B117FE0" w14:textId="77777777" w:rsidR="00463128" w:rsidRPr="00901D0D" w:rsidRDefault="00463128" w:rsidP="00463128">
      <w:pPr>
        <w:spacing w:after="160"/>
        <w:ind w:left="720" w:hanging="720"/>
        <w:contextualSpacing/>
        <w:rPr>
          <w:rFonts w:eastAsia="Calibri" w:cs="Times New Roman"/>
          <w:i/>
          <w:lang w:val="en-GB"/>
        </w:rPr>
      </w:pPr>
      <w:r w:rsidRPr="00901D0D">
        <w:rPr>
          <w:rFonts w:eastAsia="Calibri" w:cs="Times New Roman"/>
          <w:lang w:val="en-GB"/>
        </w:rPr>
        <w:t>French, C. C., &amp; Stone, A. (2014).</w:t>
      </w:r>
      <w:r w:rsidRPr="00901D0D">
        <w:rPr>
          <w:rFonts w:eastAsia="Calibri" w:cs="Times New Roman"/>
          <w:i/>
          <w:lang w:val="en-GB"/>
        </w:rPr>
        <w:t xml:space="preserve"> Anomalistic psychology: exploring paranormal belief &amp; experience. </w:t>
      </w:r>
      <w:r w:rsidRPr="00901D0D">
        <w:rPr>
          <w:rFonts w:eastAsia="Calibri" w:cs="Times New Roman"/>
          <w:lang w:val="en-GB"/>
        </w:rPr>
        <w:t>London: Palgrave Macmillan.</w:t>
      </w:r>
      <w:r w:rsidRPr="00901D0D">
        <w:rPr>
          <w:rFonts w:eastAsia="Calibri" w:cs="Times New Roman"/>
          <w:i/>
          <w:lang w:val="en-GB"/>
        </w:rPr>
        <w:t xml:space="preserve"> </w:t>
      </w:r>
    </w:p>
    <w:p w14:paraId="22F463DF" w14:textId="77777777" w:rsidR="00331C9E" w:rsidRPr="00901D0D" w:rsidRDefault="00331C9E" w:rsidP="00331C9E">
      <w:pPr>
        <w:ind w:left="720" w:hanging="720"/>
        <w:rPr>
          <w:lang w:val="en-GB"/>
        </w:rPr>
      </w:pPr>
      <w:proofErr w:type="spellStart"/>
      <w:r w:rsidRPr="00901D0D">
        <w:rPr>
          <w:lang w:val="en-GB"/>
        </w:rPr>
        <w:lastRenderedPageBreak/>
        <w:t>Gaissmaier</w:t>
      </w:r>
      <w:proofErr w:type="spellEnd"/>
      <w:r w:rsidRPr="00901D0D">
        <w:rPr>
          <w:lang w:val="en-GB"/>
        </w:rPr>
        <w:t xml:space="preserve">, W., Wilke, A., </w:t>
      </w:r>
      <w:proofErr w:type="spellStart"/>
      <w:r w:rsidRPr="00901D0D">
        <w:rPr>
          <w:lang w:val="en-GB"/>
        </w:rPr>
        <w:t>Scheibehenne</w:t>
      </w:r>
      <w:proofErr w:type="spellEnd"/>
      <w:r w:rsidRPr="00901D0D">
        <w:rPr>
          <w:lang w:val="en-GB"/>
        </w:rPr>
        <w:t xml:space="preserve">, B., </w:t>
      </w:r>
      <w:proofErr w:type="spellStart"/>
      <w:r w:rsidRPr="00901D0D">
        <w:rPr>
          <w:lang w:val="en-GB"/>
        </w:rPr>
        <w:t>McCanney</w:t>
      </w:r>
      <w:proofErr w:type="spellEnd"/>
      <w:r w:rsidRPr="00901D0D">
        <w:rPr>
          <w:lang w:val="en-GB"/>
        </w:rPr>
        <w:t xml:space="preserve">, P., &amp; Barrett, H. C. (2016). Betting on illusory patterns: Probability matching in habitual gamblers. </w:t>
      </w:r>
      <w:r w:rsidRPr="00901D0D">
        <w:rPr>
          <w:i/>
          <w:lang w:val="en-GB"/>
        </w:rPr>
        <w:t xml:space="preserve">Journal of Gambling Studies, 32, </w:t>
      </w:r>
      <w:r w:rsidRPr="00901D0D">
        <w:rPr>
          <w:lang w:val="en-GB"/>
        </w:rPr>
        <w:t>143-156. doi:10.1007/s10899-015-9539-9</w:t>
      </w:r>
    </w:p>
    <w:p w14:paraId="3D922CDA" w14:textId="4AFCB2B3" w:rsidR="003E3A85" w:rsidRPr="003E3A85" w:rsidRDefault="003E3A85" w:rsidP="003E3A85">
      <w:pPr>
        <w:ind w:left="720" w:hanging="720"/>
        <w:rPr>
          <w:lang w:val="en-GB"/>
        </w:rPr>
      </w:pPr>
      <w:proofErr w:type="spellStart"/>
      <w:r w:rsidRPr="003E3A85">
        <w:rPr>
          <w:lang w:val="en-GB"/>
        </w:rPr>
        <w:t>Gigerenzer</w:t>
      </w:r>
      <w:proofErr w:type="spellEnd"/>
      <w:r>
        <w:rPr>
          <w:lang w:val="en-GB"/>
        </w:rPr>
        <w:t>, G.</w:t>
      </w:r>
      <w:r w:rsidRPr="003E3A85">
        <w:rPr>
          <w:lang w:val="en-GB"/>
        </w:rPr>
        <w:t xml:space="preserve"> (1991)</w:t>
      </w:r>
      <w:r>
        <w:rPr>
          <w:lang w:val="en-GB"/>
        </w:rPr>
        <w:t>.</w:t>
      </w:r>
      <w:r w:rsidRPr="003E3A85">
        <w:rPr>
          <w:lang w:val="en-GB"/>
        </w:rPr>
        <w:t xml:space="preserve"> How to make cognitive illusions disappear: Beyond “Heuristics and Biases”</w:t>
      </w:r>
      <w:r>
        <w:rPr>
          <w:lang w:val="en-GB"/>
        </w:rPr>
        <w:t>.</w:t>
      </w:r>
      <w:r w:rsidRPr="003E3A85">
        <w:rPr>
          <w:lang w:val="en-GB"/>
        </w:rPr>
        <w:t xml:space="preserve"> </w:t>
      </w:r>
      <w:r w:rsidRPr="003E3A85">
        <w:rPr>
          <w:i/>
          <w:lang w:val="en-GB"/>
        </w:rPr>
        <w:t>European Review of Social Psychology</w:t>
      </w:r>
      <w:r w:rsidRPr="003E3A85">
        <w:rPr>
          <w:lang w:val="en-GB"/>
        </w:rPr>
        <w:t xml:space="preserve">, </w:t>
      </w:r>
      <w:r w:rsidRPr="003E3A85">
        <w:rPr>
          <w:i/>
          <w:lang w:val="en-GB"/>
        </w:rPr>
        <w:t>2</w:t>
      </w:r>
      <w:r>
        <w:rPr>
          <w:lang w:val="en-GB"/>
        </w:rPr>
        <w:t>, 83-115.</w:t>
      </w:r>
      <w:r w:rsidRPr="003E3A85">
        <w:rPr>
          <w:lang w:val="en-GB"/>
        </w:rPr>
        <w:t xml:space="preserve"> </w:t>
      </w:r>
      <w:r>
        <w:rPr>
          <w:lang w:val="en-GB"/>
        </w:rPr>
        <w:t>doi</w:t>
      </w:r>
      <w:r w:rsidRPr="003E3A85">
        <w:rPr>
          <w:lang w:val="en-GB"/>
        </w:rPr>
        <w:t>:10.1080/14792779143000033</w:t>
      </w:r>
    </w:p>
    <w:p w14:paraId="14A81B69" w14:textId="667F52A3" w:rsidR="00331C9E" w:rsidRPr="00901D0D" w:rsidRDefault="00331C9E" w:rsidP="003E3A85">
      <w:pPr>
        <w:ind w:left="720" w:hanging="720"/>
        <w:rPr>
          <w:lang w:val="en-GB"/>
        </w:rPr>
      </w:pPr>
      <w:r w:rsidRPr="003E3A85">
        <w:rPr>
          <w:lang w:val="en-GB"/>
        </w:rPr>
        <w:t>G</w:t>
      </w:r>
      <w:r w:rsidRPr="00901D0D">
        <w:rPr>
          <w:lang w:val="en-GB"/>
        </w:rPr>
        <w:t xml:space="preserve">oodie, A. S. &amp; Fortune, E. E. (2013). Measuring cognitive distortions in pathological gambling: Review and meta-analyses. </w:t>
      </w:r>
      <w:r w:rsidRPr="00901D0D">
        <w:rPr>
          <w:i/>
          <w:lang w:val="en-GB"/>
        </w:rPr>
        <w:t xml:space="preserve">Psychology of Addictive </w:t>
      </w:r>
      <w:proofErr w:type="spellStart"/>
      <w:r w:rsidRPr="00901D0D">
        <w:rPr>
          <w:i/>
          <w:lang w:val="en-GB"/>
        </w:rPr>
        <w:t>Behaviors</w:t>
      </w:r>
      <w:proofErr w:type="spellEnd"/>
      <w:r w:rsidRPr="00901D0D">
        <w:rPr>
          <w:i/>
          <w:lang w:val="en-GB"/>
        </w:rPr>
        <w:t>, 27</w:t>
      </w:r>
      <w:r w:rsidRPr="00901D0D">
        <w:rPr>
          <w:lang w:val="en-GB"/>
        </w:rPr>
        <w:t>, 730-743. doi:10.1037/a0031892</w:t>
      </w:r>
    </w:p>
    <w:p w14:paraId="496390E9" w14:textId="77777777" w:rsidR="00463128" w:rsidRPr="00901D0D" w:rsidRDefault="00463128" w:rsidP="00463128">
      <w:pPr>
        <w:spacing w:after="160"/>
        <w:ind w:left="720" w:hanging="720"/>
        <w:contextualSpacing/>
        <w:rPr>
          <w:lang w:val="en-GB"/>
        </w:rPr>
      </w:pPr>
      <w:r w:rsidRPr="00901D0D">
        <w:rPr>
          <w:lang w:val="en-GB"/>
        </w:rPr>
        <w:t xml:space="preserve">Griffiths, T. L. &amp; Tenenbaum, J. B. (2007). From mere coincidences to meaningful discoveries. </w:t>
      </w:r>
      <w:r w:rsidRPr="00901D0D">
        <w:rPr>
          <w:i/>
          <w:lang w:val="en-GB"/>
        </w:rPr>
        <w:t xml:space="preserve">Cognition, 103, </w:t>
      </w:r>
      <w:r w:rsidRPr="00901D0D">
        <w:rPr>
          <w:lang w:val="en-GB"/>
        </w:rPr>
        <w:t xml:space="preserve">180-226. </w:t>
      </w:r>
      <w:proofErr w:type="gramStart"/>
      <w:r w:rsidRPr="00901D0D">
        <w:rPr>
          <w:lang w:val="en-GB"/>
        </w:rPr>
        <w:t>doi:10.1016/j.cognition</w:t>
      </w:r>
      <w:proofErr w:type="gramEnd"/>
      <w:r w:rsidRPr="00901D0D">
        <w:rPr>
          <w:lang w:val="en-GB"/>
        </w:rPr>
        <w:t>.2006.03.004</w:t>
      </w:r>
    </w:p>
    <w:p w14:paraId="0BBB2100" w14:textId="77777777" w:rsidR="00463128" w:rsidRPr="00901D0D" w:rsidRDefault="00463128" w:rsidP="00463128">
      <w:pPr>
        <w:spacing w:after="160"/>
        <w:ind w:left="720" w:hanging="720"/>
        <w:contextualSpacing/>
        <w:rPr>
          <w:rFonts w:eastAsia="Calibri" w:cs="Times New Roman"/>
          <w:lang w:val="en-GB"/>
        </w:rPr>
      </w:pPr>
      <w:r w:rsidRPr="00901D0D">
        <w:rPr>
          <w:lang w:val="en-GB"/>
        </w:rPr>
        <w:t xml:space="preserve">Griffiths, T. L. &amp; Tenenbaum, J. B. (2009). Theory-based causal induction. </w:t>
      </w:r>
      <w:r w:rsidRPr="00901D0D">
        <w:rPr>
          <w:i/>
          <w:lang w:val="en-GB"/>
        </w:rPr>
        <w:t xml:space="preserve">Psychological Review, 116, </w:t>
      </w:r>
      <w:r w:rsidRPr="00901D0D">
        <w:rPr>
          <w:lang w:val="en-GB"/>
        </w:rPr>
        <w:t>661-716. doi:10.1037/a0017201</w:t>
      </w:r>
    </w:p>
    <w:p w14:paraId="5ABA85A5" w14:textId="77777777" w:rsidR="00331C9E" w:rsidRPr="00901D0D" w:rsidRDefault="00331C9E" w:rsidP="00331C9E">
      <w:pPr>
        <w:ind w:left="720" w:hanging="720"/>
        <w:rPr>
          <w:rFonts w:eastAsia="Calibri" w:cs="Times New Roman"/>
          <w:lang w:val="en-GB"/>
        </w:rPr>
      </w:pPr>
      <w:proofErr w:type="spellStart"/>
      <w:r w:rsidRPr="00901D0D">
        <w:rPr>
          <w:rFonts w:eastAsia="Calibri" w:cs="Times New Roman"/>
          <w:lang w:val="en-GB"/>
        </w:rPr>
        <w:t>Hadlaczky</w:t>
      </w:r>
      <w:proofErr w:type="spellEnd"/>
      <w:r w:rsidRPr="00901D0D">
        <w:rPr>
          <w:rFonts w:eastAsia="Calibri" w:cs="Times New Roman"/>
          <w:lang w:val="en-GB"/>
        </w:rPr>
        <w:t xml:space="preserve">, G. &amp; </w:t>
      </w:r>
      <w:proofErr w:type="spellStart"/>
      <w:r w:rsidRPr="00901D0D">
        <w:rPr>
          <w:rFonts w:eastAsia="Calibri" w:cs="Times New Roman"/>
          <w:lang w:val="en-GB"/>
        </w:rPr>
        <w:t>Westerlund</w:t>
      </w:r>
      <w:proofErr w:type="spellEnd"/>
      <w:r w:rsidRPr="00901D0D">
        <w:rPr>
          <w:rFonts w:eastAsia="Calibri" w:cs="Times New Roman"/>
          <w:lang w:val="en-GB"/>
        </w:rPr>
        <w:t xml:space="preserve">, J. (2011). Sensitivity to coincidences and paranormal belief. </w:t>
      </w:r>
      <w:r w:rsidRPr="00901D0D">
        <w:rPr>
          <w:rFonts w:eastAsia="Calibri" w:cs="Times New Roman"/>
          <w:i/>
          <w:lang w:val="en-GB"/>
        </w:rPr>
        <w:t xml:space="preserve">Perceptual and Motor Skills, 113, </w:t>
      </w:r>
      <w:r w:rsidRPr="00901D0D">
        <w:rPr>
          <w:rFonts w:eastAsia="Calibri" w:cs="Times New Roman"/>
          <w:lang w:val="en-GB"/>
        </w:rPr>
        <w:t xml:space="preserve">894-908. </w:t>
      </w:r>
      <w:proofErr w:type="gramStart"/>
      <w:r w:rsidRPr="00901D0D">
        <w:rPr>
          <w:rFonts w:eastAsia="Calibri" w:cs="Times New Roman"/>
          <w:lang w:val="en-GB"/>
        </w:rPr>
        <w:t>doi:10.2466/09.22.PMS</w:t>
      </w:r>
      <w:proofErr w:type="gramEnd"/>
      <w:r w:rsidRPr="00901D0D">
        <w:rPr>
          <w:rFonts w:eastAsia="Calibri" w:cs="Times New Roman"/>
          <w:lang w:val="en-GB"/>
        </w:rPr>
        <w:t>.113.6.894-908</w:t>
      </w:r>
    </w:p>
    <w:p w14:paraId="3AFFF6BA" w14:textId="77777777" w:rsidR="00331C9E" w:rsidRPr="00901D0D" w:rsidRDefault="00331C9E" w:rsidP="00331C9E">
      <w:pPr>
        <w:ind w:left="720" w:hanging="720"/>
        <w:rPr>
          <w:lang w:val="en-GB"/>
        </w:rPr>
      </w:pPr>
      <w:proofErr w:type="spellStart"/>
      <w:r w:rsidRPr="00901D0D">
        <w:rPr>
          <w:lang w:val="en-GB"/>
        </w:rPr>
        <w:t>Hertwig</w:t>
      </w:r>
      <w:proofErr w:type="spellEnd"/>
      <w:r w:rsidRPr="00901D0D">
        <w:rPr>
          <w:lang w:val="en-GB"/>
        </w:rPr>
        <w:t xml:space="preserve">, R., </w:t>
      </w:r>
      <w:proofErr w:type="spellStart"/>
      <w:r w:rsidRPr="00901D0D">
        <w:rPr>
          <w:lang w:val="en-GB"/>
        </w:rPr>
        <w:t>Zangerl</w:t>
      </w:r>
      <w:proofErr w:type="spellEnd"/>
      <w:r w:rsidRPr="00901D0D">
        <w:rPr>
          <w:lang w:val="en-GB"/>
        </w:rPr>
        <w:t xml:space="preserve">, M. A., </w:t>
      </w:r>
      <w:proofErr w:type="spellStart"/>
      <w:r w:rsidRPr="00901D0D">
        <w:rPr>
          <w:lang w:val="en-GB"/>
        </w:rPr>
        <w:t>Biedert</w:t>
      </w:r>
      <w:proofErr w:type="spellEnd"/>
      <w:r w:rsidRPr="00901D0D">
        <w:rPr>
          <w:lang w:val="en-GB"/>
        </w:rPr>
        <w:t xml:space="preserve">, E., &amp; </w:t>
      </w:r>
      <w:proofErr w:type="spellStart"/>
      <w:r w:rsidRPr="00901D0D">
        <w:rPr>
          <w:lang w:val="en-GB"/>
        </w:rPr>
        <w:t>Margraf</w:t>
      </w:r>
      <w:proofErr w:type="spellEnd"/>
      <w:r w:rsidRPr="00901D0D">
        <w:rPr>
          <w:lang w:val="en-GB"/>
        </w:rPr>
        <w:t xml:space="preserve">, J. (2008). The public’s probabilistic numeracy: How tasks, education and exposure to games of chance shape it. </w:t>
      </w:r>
      <w:r w:rsidRPr="00901D0D">
        <w:rPr>
          <w:i/>
          <w:lang w:val="en-GB"/>
        </w:rPr>
        <w:t xml:space="preserve">Journal of </w:t>
      </w:r>
      <w:proofErr w:type="spellStart"/>
      <w:r w:rsidRPr="00901D0D">
        <w:rPr>
          <w:i/>
          <w:lang w:val="en-GB"/>
        </w:rPr>
        <w:t>Behavioral</w:t>
      </w:r>
      <w:proofErr w:type="spellEnd"/>
      <w:r w:rsidRPr="00901D0D">
        <w:rPr>
          <w:i/>
          <w:lang w:val="en-GB"/>
        </w:rPr>
        <w:t xml:space="preserve"> Decision Making, 21, </w:t>
      </w:r>
      <w:r w:rsidRPr="00901D0D">
        <w:rPr>
          <w:lang w:val="en-GB"/>
        </w:rPr>
        <w:t>457-470. doi:10.1002/bdm.611</w:t>
      </w:r>
    </w:p>
    <w:p w14:paraId="24EDB520" w14:textId="77777777" w:rsidR="00463128" w:rsidRPr="00901D0D" w:rsidRDefault="00463128" w:rsidP="00463128">
      <w:pPr>
        <w:spacing w:after="160"/>
        <w:ind w:left="720" w:hanging="720"/>
        <w:contextualSpacing/>
        <w:rPr>
          <w:rFonts w:eastAsia="Calibri" w:cs="Times New Roman"/>
          <w:lang w:val="en-GB"/>
        </w:rPr>
      </w:pPr>
      <w:r w:rsidRPr="00901D0D">
        <w:rPr>
          <w:rFonts w:eastAsia="Calibri" w:cs="Times New Roman"/>
          <w:lang w:val="en-GB"/>
        </w:rPr>
        <w:t xml:space="preserve">JASP Team (2017). JASP (Version </w:t>
      </w:r>
      <w:proofErr w:type="gramStart"/>
      <w:r w:rsidRPr="00901D0D">
        <w:rPr>
          <w:rFonts w:eastAsia="Calibri" w:cs="Times New Roman"/>
          <w:lang w:val="en-GB"/>
        </w:rPr>
        <w:t>0.8.1.1)[</w:t>
      </w:r>
      <w:proofErr w:type="gramEnd"/>
      <w:r w:rsidRPr="00901D0D">
        <w:rPr>
          <w:rFonts w:eastAsia="Calibri" w:cs="Times New Roman"/>
          <w:lang w:val="en-GB"/>
        </w:rPr>
        <w:t>Computer software]. Retrieved from https://jasp-stats.org/download/</w:t>
      </w:r>
    </w:p>
    <w:p w14:paraId="5E01AA11" w14:textId="77777777" w:rsidR="00331C9E" w:rsidRPr="00901D0D" w:rsidRDefault="00331C9E" w:rsidP="00331C9E">
      <w:pPr>
        <w:ind w:left="720" w:hanging="720"/>
        <w:rPr>
          <w:lang w:val="en-GB"/>
        </w:rPr>
      </w:pPr>
      <w:proofErr w:type="spellStart"/>
      <w:r w:rsidRPr="00901D0D">
        <w:rPr>
          <w:lang w:val="en-GB"/>
        </w:rPr>
        <w:t>Joukhador</w:t>
      </w:r>
      <w:proofErr w:type="spellEnd"/>
      <w:r w:rsidRPr="00901D0D">
        <w:rPr>
          <w:lang w:val="en-GB"/>
        </w:rPr>
        <w:t xml:space="preserve">, J., </w:t>
      </w:r>
      <w:proofErr w:type="spellStart"/>
      <w:r w:rsidRPr="00901D0D">
        <w:rPr>
          <w:lang w:val="en-GB"/>
        </w:rPr>
        <w:t>Blaszczynski</w:t>
      </w:r>
      <w:proofErr w:type="spellEnd"/>
      <w:r w:rsidRPr="00901D0D">
        <w:rPr>
          <w:lang w:val="en-GB"/>
        </w:rPr>
        <w:t xml:space="preserve">, A., &amp; </w:t>
      </w:r>
      <w:proofErr w:type="spellStart"/>
      <w:r w:rsidRPr="00901D0D">
        <w:rPr>
          <w:lang w:val="en-GB"/>
        </w:rPr>
        <w:t>Maccallum</w:t>
      </w:r>
      <w:proofErr w:type="spellEnd"/>
      <w:r w:rsidRPr="00901D0D">
        <w:rPr>
          <w:lang w:val="en-GB"/>
        </w:rPr>
        <w:t xml:space="preserve">, F. (2004). Superstitious beliefs in gambling among problem and non-problem gamblers: Preliminary data. </w:t>
      </w:r>
      <w:r w:rsidRPr="00901D0D">
        <w:rPr>
          <w:i/>
          <w:lang w:val="en-GB"/>
        </w:rPr>
        <w:t>Journal of Gambling Studies, 20,</w:t>
      </w:r>
      <w:r w:rsidRPr="00901D0D">
        <w:rPr>
          <w:lang w:val="en-GB"/>
        </w:rPr>
        <w:t xml:space="preserve"> 171-180. doi:10.1023/</w:t>
      </w:r>
      <w:proofErr w:type="gramStart"/>
      <w:r w:rsidRPr="00901D0D">
        <w:rPr>
          <w:lang w:val="en-GB"/>
        </w:rPr>
        <w:t>B:JOGS</w:t>
      </w:r>
      <w:proofErr w:type="gramEnd"/>
      <w:r w:rsidRPr="00901D0D">
        <w:rPr>
          <w:lang w:val="en-GB"/>
        </w:rPr>
        <w:t>.0000022308.27774.2b</w:t>
      </w:r>
    </w:p>
    <w:p w14:paraId="4E4A41F9" w14:textId="77777777" w:rsidR="00463128" w:rsidRPr="00901D0D" w:rsidRDefault="00463128" w:rsidP="00463128">
      <w:pPr>
        <w:spacing w:after="160"/>
        <w:ind w:left="720" w:hanging="720"/>
        <w:contextualSpacing/>
        <w:rPr>
          <w:lang w:val="en-GB"/>
        </w:rPr>
      </w:pPr>
      <w:r w:rsidRPr="00901D0D">
        <w:rPr>
          <w:lang w:val="en-GB"/>
        </w:rPr>
        <w:lastRenderedPageBreak/>
        <w:t xml:space="preserve">Kahan, D. M., Peters, E., Dawson, E. C., &amp; </w:t>
      </w:r>
      <w:proofErr w:type="spellStart"/>
      <w:r w:rsidRPr="00901D0D">
        <w:rPr>
          <w:lang w:val="en-GB"/>
        </w:rPr>
        <w:t>Slovic</w:t>
      </w:r>
      <w:proofErr w:type="spellEnd"/>
      <w:r w:rsidRPr="00901D0D">
        <w:rPr>
          <w:lang w:val="en-GB"/>
        </w:rPr>
        <w:t xml:space="preserve">, P. (2017). Motivated numeracy and enlightened self-government. </w:t>
      </w:r>
      <w:r w:rsidRPr="00901D0D">
        <w:rPr>
          <w:i/>
          <w:lang w:val="en-GB"/>
        </w:rPr>
        <w:t xml:space="preserve">Behavioural Public Policy, 1, </w:t>
      </w:r>
      <w:r w:rsidRPr="00901D0D">
        <w:rPr>
          <w:lang w:val="en-GB"/>
        </w:rPr>
        <w:t>54-86. doi:10.1017/bpp.2016.2</w:t>
      </w:r>
    </w:p>
    <w:p w14:paraId="6067807F" w14:textId="77777777" w:rsidR="005F484F" w:rsidRDefault="005F484F" w:rsidP="005F484F">
      <w:pPr>
        <w:spacing w:after="160"/>
        <w:ind w:left="720" w:hanging="720"/>
        <w:contextualSpacing/>
        <w:rPr>
          <w:rFonts w:eastAsia="Calibri" w:cs="Times New Roman"/>
          <w:lang w:val="en-GB"/>
        </w:rPr>
      </w:pPr>
      <w:r>
        <w:rPr>
          <w:lang w:val="en-GB"/>
        </w:rPr>
        <w:t xml:space="preserve">Kahneman, D. &amp; Tversky, A. (1972). Subjective probability: A judgment of representativeness. </w:t>
      </w:r>
      <w:r>
        <w:rPr>
          <w:i/>
          <w:lang w:val="en-GB"/>
        </w:rPr>
        <w:t xml:space="preserve">Cognitive Psychology, 3, </w:t>
      </w:r>
      <w:r>
        <w:rPr>
          <w:lang w:val="en-GB"/>
        </w:rPr>
        <w:t>430-454. doi:10.1016/0010-0285(72)90016-3</w:t>
      </w:r>
    </w:p>
    <w:p w14:paraId="39BA6A8E" w14:textId="67BB695D" w:rsidR="00463128" w:rsidRPr="00901D0D" w:rsidRDefault="00463128" w:rsidP="00463128">
      <w:pPr>
        <w:spacing w:after="160"/>
        <w:ind w:left="720" w:hanging="720"/>
        <w:contextualSpacing/>
        <w:rPr>
          <w:rFonts w:eastAsia="Calibri" w:cs="Times New Roman"/>
          <w:lang w:val="en-GB"/>
        </w:rPr>
      </w:pPr>
      <w:r w:rsidRPr="00901D0D">
        <w:rPr>
          <w:rFonts w:eastAsia="Calibri" w:cs="Times New Roman"/>
          <w:lang w:val="en-GB"/>
        </w:rPr>
        <w:t xml:space="preserve">Kahneman, D. &amp; Tversky, A. (1973). On the psychology of prediction, </w:t>
      </w:r>
      <w:r w:rsidRPr="00901D0D">
        <w:rPr>
          <w:rFonts w:eastAsia="Calibri" w:cs="Times New Roman"/>
          <w:i/>
          <w:lang w:val="en-GB"/>
        </w:rPr>
        <w:t>Psychological Review, 80</w:t>
      </w:r>
      <w:r w:rsidRPr="00901D0D">
        <w:rPr>
          <w:rFonts w:eastAsia="Calibri" w:cs="Times New Roman"/>
          <w:lang w:val="en-GB"/>
        </w:rPr>
        <w:t>, 237–51. doi:10.1037/h0034747</w:t>
      </w:r>
    </w:p>
    <w:p w14:paraId="3F96A12D" w14:textId="77777777" w:rsidR="00463128" w:rsidRPr="00901D0D" w:rsidRDefault="00463128" w:rsidP="00463128">
      <w:pPr>
        <w:spacing w:after="160"/>
        <w:ind w:left="720" w:hanging="720"/>
        <w:contextualSpacing/>
        <w:rPr>
          <w:rFonts w:eastAsia="Calibri" w:cs="Times New Roman"/>
          <w:i/>
          <w:lang w:val="en-GB"/>
        </w:rPr>
      </w:pPr>
      <w:proofErr w:type="spellStart"/>
      <w:r w:rsidRPr="00901D0D">
        <w:rPr>
          <w:lang w:val="en-GB"/>
        </w:rPr>
        <w:t>Kareev</w:t>
      </w:r>
      <w:proofErr w:type="spellEnd"/>
      <w:r w:rsidRPr="00901D0D">
        <w:rPr>
          <w:lang w:val="en-GB"/>
        </w:rPr>
        <w:t xml:space="preserve">, Y. (1995). Positive bias in the perception of covariation. </w:t>
      </w:r>
      <w:r w:rsidRPr="00901D0D">
        <w:rPr>
          <w:i/>
          <w:lang w:val="en-GB"/>
        </w:rPr>
        <w:t xml:space="preserve">Psychological Review, 102, </w:t>
      </w:r>
      <w:r w:rsidRPr="00901D0D">
        <w:rPr>
          <w:lang w:val="en-GB"/>
        </w:rPr>
        <w:t>490-502, doi:10.1037/0033-295X.102.3.490</w:t>
      </w:r>
    </w:p>
    <w:p w14:paraId="39558402" w14:textId="77777777" w:rsidR="00331C9E" w:rsidRPr="00901D0D" w:rsidRDefault="00331C9E" w:rsidP="00331C9E">
      <w:pPr>
        <w:ind w:left="720" w:hanging="720"/>
        <w:rPr>
          <w:lang w:val="en-GB"/>
        </w:rPr>
      </w:pPr>
      <w:proofErr w:type="spellStart"/>
      <w:r w:rsidRPr="00901D0D">
        <w:rPr>
          <w:lang w:val="en-GB"/>
        </w:rPr>
        <w:t>Kassinove</w:t>
      </w:r>
      <w:proofErr w:type="spellEnd"/>
      <w:r w:rsidRPr="00901D0D">
        <w:rPr>
          <w:lang w:val="en-GB"/>
        </w:rPr>
        <w:t xml:space="preserve">, J. I. (1998). Development of the Gambling Attitude Scales: Preliminary findings, </w:t>
      </w:r>
      <w:r w:rsidRPr="00901D0D">
        <w:rPr>
          <w:i/>
          <w:lang w:val="en-GB"/>
        </w:rPr>
        <w:t xml:space="preserve">Journal of Clinical Psychology, 54, </w:t>
      </w:r>
      <w:r w:rsidRPr="00901D0D">
        <w:rPr>
          <w:lang w:val="en-GB"/>
        </w:rPr>
        <w:t>763-771. doi:10.1002/(SICI)1097-4679(199810)54:6&lt;</w:t>
      </w:r>
      <w:proofErr w:type="gramStart"/>
      <w:r w:rsidRPr="00901D0D">
        <w:rPr>
          <w:lang w:val="en-GB"/>
        </w:rPr>
        <w:t>763::</w:t>
      </w:r>
      <w:proofErr w:type="gramEnd"/>
      <w:r w:rsidRPr="00901D0D">
        <w:rPr>
          <w:lang w:val="en-GB"/>
        </w:rPr>
        <w:t>AID-JCLP2&gt;3.0.CO;2-I</w:t>
      </w:r>
    </w:p>
    <w:p w14:paraId="33F8A311" w14:textId="3050DD22" w:rsidR="00B43EFC" w:rsidRPr="00B43EFC" w:rsidRDefault="00B43EFC" w:rsidP="00B43EFC">
      <w:pPr>
        <w:spacing w:after="160"/>
        <w:ind w:left="720" w:hanging="720"/>
        <w:contextualSpacing/>
        <w:rPr>
          <w:rFonts w:cs="Times New Roman"/>
          <w:lang w:val="en-GB"/>
        </w:rPr>
      </w:pPr>
      <w:r w:rsidRPr="00B43EFC">
        <w:rPr>
          <w:rFonts w:cs="Times New Roman"/>
          <w:szCs w:val="24"/>
          <w:lang w:val="en-US"/>
        </w:rPr>
        <w:t xml:space="preserve">Koehler, J. J. (1996). The base rate fallacy reconsidered: Descriptive, normative and methodological challenges. </w:t>
      </w:r>
      <w:r w:rsidRPr="00B43EFC">
        <w:rPr>
          <w:rFonts w:cs="Times New Roman"/>
          <w:i/>
          <w:iCs/>
          <w:szCs w:val="24"/>
          <w:lang w:val="en-US"/>
        </w:rPr>
        <w:t>Behavioral and Brain Sciences, 19</w:t>
      </w:r>
      <w:r w:rsidRPr="00B43EFC">
        <w:rPr>
          <w:rFonts w:cs="Times New Roman"/>
          <w:szCs w:val="24"/>
          <w:lang w:val="en-US"/>
        </w:rPr>
        <w:t>, 1-53.</w:t>
      </w:r>
      <w:r>
        <w:rPr>
          <w:rFonts w:cs="Times New Roman"/>
          <w:szCs w:val="24"/>
          <w:lang w:val="en-US"/>
        </w:rPr>
        <w:t xml:space="preserve"> doi:</w:t>
      </w:r>
      <w:r w:rsidRPr="00B43EFC">
        <w:rPr>
          <w:rFonts w:cs="Times New Roman"/>
          <w:szCs w:val="24"/>
          <w:lang w:val="en-US"/>
        </w:rPr>
        <w:t>10.1017/S0140525X00041157</w:t>
      </w:r>
    </w:p>
    <w:p w14:paraId="10B22227" w14:textId="59A898BE" w:rsidR="00463128" w:rsidRPr="00901D0D" w:rsidRDefault="00463128" w:rsidP="00463128">
      <w:pPr>
        <w:spacing w:after="160"/>
        <w:ind w:left="720" w:hanging="720"/>
        <w:contextualSpacing/>
        <w:rPr>
          <w:lang w:val="en-GB"/>
        </w:rPr>
      </w:pPr>
      <w:proofErr w:type="spellStart"/>
      <w:r w:rsidRPr="00901D0D">
        <w:rPr>
          <w:lang w:val="en-GB"/>
        </w:rPr>
        <w:t>Kunda</w:t>
      </w:r>
      <w:proofErr w:type="spellEnd"/>
      <w:r w:rsidRPr="00901D0D">
        <w:rPr>
          <w:lang w:val="en-GB"/>
        </w:rPr>
        <w:t xml:space="preserve">, Z. (1990). The case for motivated reasoning. </w:t>
      </w:r>
      <w:r w:rsidRPr="00901D0D">
        <w:rPr>
          <w:i/>
          <w:lang w:val="en-GB"/>
        </w:rPr>
        <w:t>Psychological Bulletin, 108</w:t>
      </w:r>
      <w:r w:rsidRPr="00901D0D">
        <w:rPr>
          <w:lang w:val="en-GB"/>
        </w:rPr>
        <w:t>, 480-498.</w:t>
      </w:r>
    </w:p>
    <w:p w14:paraId="38A9D690" w14:textId="282AED44" w:rsidR="0022580E" w:rsidRPr="0022580E" w:rsidRDefault="0022580E" w:rsidP="00463128">
      <w:pPr>
        <w:spacing w:after="160"/>
        <w:ind w:left="720" w:hanging="720"/>
        <w:contextualSpacing/>
        <w:rPr>
          <w:lang w:val="en-GB"/>
        </w:rPr>
      </w:pPr>
      <w:r>
        <w:rPr>
          <w:lang w:val="en-GB"/>
        </w:rPr>
        <w:t xml:space="preserve">Leonard, C. A. &amp; Williams, R. J. (2019). </w:t>
      </w:r>
      <w:r w:rsidRPr="0022580E">
        <w:rPr>
          <w:lang w:val="en-GB"/>
        </w:rPr>
        <w:t xml:space="preserve">Fallacious </w:t>
      </w:r>
      <w:r>
        <w:rPr>
          <w:lang w:val="en-GB"/>
        </w:rPr>
        <w:t>b</w:t>
      </w:r>
      <w:r w:rsidRPr="0022580E">
        <w:rPr>
          <w:lang w:val="en-GB"/>
        </w:rPr>
        <w:t xml:space="preserve">eliefs: Gambling </w:t>
      </w:r>
      <w:r>
        <w:rPr>
          <w:lang w:val="en-GB"/>
        </w:rPr>
        <w:t>s</w:t>
      </w:r>
      <w:r w:rsidRPr="0022580E">
        <w:rPr>
          <w:lang w:val="en-GB"/>
        </w:rPr>
        <w:t xml:space="preserve">pecific and </w:t>
      </w:r>
      <w:r>
        <w:rPr>
          <w:lang w:val="en-GB"/>
        </w:rPr>
        <w:t>b</w:t>
      </w:r>
      <w:r w:rsidRPr="0022580E">
        <w:rPr>
          <w:lang w:val="en-GB"/>
        </w:rPr>
        <w:t xml:space="preserve">elief in the </w:t>
      </w:r>
      <w:r>
        <w:rPr>
          <w:lang w:val="en-GB"/>
        </w:rPr>
        <w:t>p</w:t>
      </w:r>
      <w:r w:rsidRPr="0022580E">
        <w:rPr>
          <w:lang w:val="en-GB"/>
        </w:rPr>
        <w:t>aranormal</w:t>
      </w:r>
      <w:r>
        <w:rPr>
          <w:lang w:val="en-GB"/>
        </w:rPr>
        <w:t xml:space="preserve">. </w:t>
      </w:r>
      <w:r w:rsidRPr="0022580E">
        <w:rPr>
          <w:i/>
          <w:lang w:val="en-GB"/>
        </w:rPr>
        <w:t>Canadian Journal of Behavioural Science</w:t>
      </w:r>
      <w:r>
        <w:rPr>
          <w:i/>
          <w:lang w:val="en-GB"/>
        </w:rPr>
        <w:t xml:space="preserve">, 51, </w:t>
      </w:r>
      <w:r>
        <w:rPr>
          <w:lang w:val="en-GB"/>
        </w:rPr>
        <w:t xml:space="preserve">1-11. </w:t>
      </w:r>
      <w:proofErr w:type="spellStart"/>
      <w:r>
        <w:rPr>
          <w:lang w:val="en-GB"/>
        </w:rPr>
        <w:t>doi</w:t>
      </w:r>
      <w:proofErr w:type="spellEnd"/>
      <w:r>
        <w:rPr>
          <w:lang w:val="en-GB"/>
        </w:rPr>
        <w:t>:</w:t>
      </w:r>
      <w:r>
        <w:t>1</w:t>
      </w:r>
      <w:r w:rsidRPr="0022580E">
        <w:rPr>
          <w:lang w:val="en-GB"/>
        </w:rPr>
        <w:t>0.1037/cbs0000113</w:t>
      </w:r>
    </w:p>
    <w:p w14:paraId="223F6D63" w14:textId="77777777" w:rsidR="005F484F" w:rsidRDefault="005F484F" w:rsidP="005F484F">
      <w:pPr>
        <w:spacing w:after="160"/>
        <w:ind w:left="720" w:hanging="720"/>
        <w:contextualSpacing/>
        <w:rPr>
          <w:rFonts w:eastAsia="Calibri" w:cs="Times New Roman"/>
          <w:lang w:val="en-GB"/>
        </w:rPr>
      </w:pPr>
      <w:r>
        <w:rPr>
          <w:lang w:val="en-GB"/>
        </w:rPr>
        <w:t xml:space="preserve">Lopes, L. L. &amp; Oden, G. C. (1987). Distinguishing between random and </w:t>
      </w:r>
      <w:proofErr w:type="spellStart"/>
      <w:r>
        <w:rPr>
          <w:lang w:val="en-GB"/>
        </w:rPr>
        <w:t>nonrandom</w:t>
      </w:r>
      <w:proofErr w:type="spellEnd"/>
      <w:r>
        <w:rPr>
          <w:lang w:val="en-GB"/>
        </w:rPr>
        <w:t xml:space="preserve"> events. </w:t>
      </w:r>
      <w:r>
        <w:rPr>
          <w:i/>
          <w:lang w:val="en-GB"/>
        </w:rPr>
        <w:t xml:space="preserve">Journal of Experimental Psychology: Learning, Memory, and Cognition, 13, </w:t>
      </w:r>
      <w:r>
        <w:rPr>
          <w:lang w:val="en-GB"/>
        </w:rPr>
        <w:t>392-400.</w:t>
      </w:r>
    </w:p>
    <w:p w14:paraId="393E3778" w14:textId="4DF646B7" w:rsidR="00331C9E" w:rsidRPr="00901D0D" w:rsidRDefault="00331C9E" w:rsidP="00331C9E">
      <w:pPr>
        <w:ind w:left="720" w:hanging="720"/>
        <w:rPr>
          <w:rFonts w:eastAsia="Calibri" w:cs="Times New Roman"/>
          <w:lang w:val="en-GB"/>
        </w:rPr>
      </w:pPr>
      <w:proofErr w:type="spellStart"/>
      <w:r w:rsidRPr="00901D0D">
        <w:rPr>
          <w:rFonts w:eastAsia="Calibri" w:cs="Times New Roman"/>
          <w:lang w:val="en-GB"/>
        </w:rPr>
        <w:t>Markovits</w:t>
      </w:r>
      <w:proofErr w:type="spellEnd"/>
      <w:r w:rsidRPr="00901D0D">
        <w:rPr>
          <w:rFonts w:eastAsia="Calibri" w:cs="Times New Roman"/>
          <w:lang w:val="en-GB"/>
        </w:rPr>
        <w:t xml:space="preserve">, H. (1986). Familiarity effects in conditional reasoning. </w:t>
      </w:r>
      <w:r w:rsidRPr="00901D0D">
        <w:rPr>
          <w:rFonts w:eastAsia="Calibri" w:cs="Times New Roman"/>
          <w:i/>
          <w:lang w:val="en-GB"/>
        </w:rPr>
        <w:t xml:space="preserve">Journal of Educational Psychology, 78, </w:t>
      </w:r>
      <w:r w:rsidRPr="00901D0D">
        <w:rPr>
          <w:rFonts w:eastAsia="Calibri" w:cs="Times New Roman"/>
          <w:lang w:val="en-GB"/>
        </w:rPr>
        <w:t xml:space="preserve">492-494. </w:t>
      </w:r>
    </w:p>
    <w:p w14:paraId="22E2CF03" w14:textId="77777777" w:rsidR="00331C9E" w:rsidRPr="00901D0D" w:rsidRDefault="00331C9E" w:rsidP="00331C9E">
      <w:pPr>
        <w:ind w:left="720" w:hanging="720"/>
        <w:rPr>
          <w:rFonts w:eastAsia="Calibri" w:cs="Times New Roman"/>
          <w:lang w:val="en-GB"/>
        </w:rPr>
      </w:pPr>
      <w:proofErr w:type="spellStart"/>
      <w:r w:rsidRPr="00901D0D">
        <w:rPr>
          <w:rFonts w:eastAsia="Calibri" w:cs="Times New Roman"/>
          <w:lang w:val="en-GB"/>
        </w:rPr>
        <w:lastRenderedPageBreak/>
        <w:t>Markovits</w:t>
      </w:r>
      <w:proofErr w:type="spellEnd"/>
      <w:r w:rsidRPr="00901D0D">
        <w:rPr>
          <w:rFonts w:eastAsia="Calibri" w:cs="Times New Roman"/>
          <w:lang w:val="en-GB"/>
        </w:rPr>
        <w:t>, H. &amp; Vachon, R. (1990).</w:t>
      </w:r>
      <w:r w:rsidRPr="00901D0D">
        <w:rPr>
          <w:lang w:val="en-GB"/>
        </w:rPr>
        <w:t xml:space="preserve"> </w:t>
      </w:r>
      <w:r w:rsidRPr="00901D0D">
        <w:rPr>
          <w:rFonts w:eastAsia="Calibri" w:cs="Times New Roman"/>
          <w:lang w:val="en-GB"/>
        </w:rPr>
        <w:t xml:space="preserve">Conditional reasoning, representation, and level of abstraction. </w:t>
      </w:r>
      <w:r w:rsidRPr="00901D0D">
        <w:rPr>
          <w:rFonts w:eastAsia="Calibri" w:cs="Times New Roman"/>
          <w:i/>
          <w:lang w:val="en-GB"/>
        </w:rPr>
        <w:t xml:space="preserve">Developmental Psychology, 26, </w:t>
      </w:r>
      <w:r w:rsidRPr="00901D0D">
        <w:rPr>
          <w:rFonts w:eastAsia="Calibri" w:cs="Times New Roman"/>
          <w:lang w:val="en-GB"/>
        </w:rPr>
        <w:t>942-951.</w:t>
      </w:r>
    </w:p>
    <w:p w14:paraId="1B7CB1E4" w14:textId="77777777" w:rsidR="00331C9E" w:rsidRPr="00901D0D" w:rsidRDefault="00331C9E" w:rsidP="00331C9E">
      <w:pPr>
        <w:ind w:left="720" w:hanging="720"/>
        <w:rPr>
          <w:i/>
          <w:lang w:val="en-GB"/>
        </w:rPr>
      </w:pPr>
      <w:r w:rsidRPr="00901D0D">
        <w:rPr>
          <w:lang w:val="en-GB"/>
        </w:rPr>
        <w:t xml:space="preserve">McInnes, A., Hodges, D. C., &amp; Holub, A. (2014). The Gambling Cognitions Inventory: Scale development and psychometric validation with problem and pathological gamblers. </w:t>
      </w:r>
      <w:r w:rsidRPr="00901D0D">
        <w:rPr>
          <w:i/>
          <w:lang w:val="en-GB"/>
        </w:rPr>
        <w:t xml:space="preserve">International Gambling Studies, 14, </w:t>
      </w:r>
      <w:r w:rsidRPr="00901D0D">
        <w:rPr>
          <w:lang w:val="en-GB"/>
        </w:rPr>
        <w:t>410-431. doi:10.1080/14459795.2014.923483</w:t>
      </w:r>
    </w:p>
    <w:p w14:paraId="78451210" w14:textId="77777777" w:rsidR="00331C9E" w:rsidRPr="00901D0D" w:rsidRDefault="00331C9E" w:rsidP="00331C9E">
      <w:pPr>
        <w:ind w:left="720" w:hanging="720"/>
        <w:rPr>
          <w:rFonts w:cs="Times New Roman"/>
          <w:szCs w:val="24"/>
          <w:lang w:val="en-GB" w:eastAsia="en-GB"/>
        </w:rPr>
      </w:pPr>
      <w:r w:rsidRPr="00901D0D">
        <w:rPr>
          <w:rFonts w:eastAsia="Calibri" w:cs="Times New Roman"/>
          <w:lang w:val="en-GB"/>
        </w:rPr>
        <w:t>McKenzie, C. R. M. (2006</w:t>
      </w:r>
      <w:r w:rsidRPr="00901D0D">
        <w:rPr>
          <w:rFonts w:cs="Times New Roman"/>
          <w:szCs w:val="24"/>
          <w:lang w:val="en-GB" w:eastAsia="en-GB"/>
        </w:rPr>
        <w:t xml:space="preserve">). Increased sensitivity to differentially diagnostic answers using familiar materials: Implications for confirmation bias. </w:t>
      </w:r>
      <w:r w:rsidRPr="00901D0D">
        <w:rPr>
          <w:rFonts w:cs="Times New Roman"/>
          <w:i/>
          <w:szCs w:val="24"/>
          <w:lang w:val="en-GB" w:eastAsia="en-GB"/>
        </w:rPr>
        <w:t xml:space="preserve">Memory &amp; Cognition, 34, </w:t>
      </w:r>
      <w:r w:rsidRPr="00901D0D">
        <w:rPr>
          <w:rFonts w:cs="Times New Roman"/>
          <w:szCs w:val="24"/>
          <w:lang w:val="en-GB" w:eastAsia="en-GB"/>
        </w:rPr>
        <w:t>577-588. doi:10.3758/BF03193581</w:t>
      </w:r>
    </w:p>
    <w:p w14:paraId="41052364" w14:textId="2FA5596F" w:rsidR="00950ED4" w:rsidRDefault="00950ED4" w:rsidP="00463128">
      <w:pPr>
        <w:spacing w:after="160"/>
        <w:ind w:left="720" w:hanging="720"/>
        <w:contextualSpacing/>
        <w:rPr>
          <w:rFonts w:eastAsia="Calibri" w:cs="Times New Roman"/>
          <w:lang w:val="en-GB"/>
        </w:rPr>
      </w:pPr>
      <w:proofErr w:type="spellStart"/>
      <w:r w:rsidRPr="00950ED4">
        <w:rPr>
          <w:rFonts w:eastAsia="Calibri" w:cs="Times New Roman"/>
          <w:lang w:val="en-GB"/>
        </w:rPr>
        <w:t>Medin</w:t>
      </w:r>
      <w:proofErr w:type="spellEnd"/>
      <w:r w:rsidRPr="00950ED4">
        <w:rPr>
          <w:rFonts w:eastAsia="Calibri" w:cs="Times New Roman"/>
          <w:lang w:val="en-GB"/>
        </w:rPr>
        <w:t>, D.</w:t>
      </w:r>
      <w:r>
        <w:rPr>
          <w:rFonts w:eastAsia="Calibri" w:cs="Times New Roman"/>
          <w:lang w:val="en-GB"/>
        </w:rPr>
        <w:t xml:space="preserve"> </w:t>
      </w:r>
      <w:r w:rsidRPr="00950ED4">
        <w:rPr>
          <w:rFonts w:eastAsia="Calibri" w:cs="Times New Roman"/>
          <w:lang w:val="en-GB"/>
        </w:rPr>
        <w:t>L., &amp; Edelson, S.</w:t>
      </w:r>
      <w:r>
        <w:rPr>
          <w:rFonts w:eastAsia="Calibri" w:cs="Times New Roman"/>
          <w:lang w:val="en-GB"/>
        </w:rPr>
        <w:t xml:space="preserve"> </w:t>
      </w:r>
      <w:r w:rsidRPr="00950ED4">
        <w:rPr>
          <w:rFonts w:eastAsia="Calibri" w:cs="Times New Roman"/>
          <w:lang w:val="en-GB"/>
        </w:rPr>
        <w:t xml:space="preserve">M. (1988). Problem structure and the use of base-rate information from experience. </w:t>
      </w:r>
      <w:r w:rsidRPr="00950ED4">
        <w:rPr>
          <w:rFonts w:eastAsia="Calibri" w:cs="Times New Roman"/>
          <w:i/>
          <w:lang w:val="en-GB"/>
        </w:rPr>
        <w:t>Journal of Experimental Psychology: General, 117</w:t>
      </w:r>
      <w:r w:rsidRPr="00950ED4">
        <w:rPr>
          <w:rFonts w:eastAsia="Calibri" w:cs="Times New Roman"/>
          <w:lang w:val="en-GB"/>
        </w:rPr>
        <w:t>, 68-85.</w:t>
      </w:r>
      <w:r>
        <w:rPr>
          <w:rFonts w:eastAsia="Calibri" w:cs="Times New Roman"/>
          <w:lang w:val="en-GB"/>
        </w:rPr>
        <w:t xml:space="preserve"> doi:</w:t>
      </w:r>
      <w:r w:rsidRPr="00950ED4">
        <w:rPr>
          <w:rFonts w:eastAsia="Calibri" w:cs="Times New Roman"/>
          <w:lang w:val="en-GB"/>
        </w:rPr>
        <w:t>10.1037/0096-3445.117.1.68</w:t>
      </w:r>
    </w:p>
    <w:p w14:paraId="2FB12EA6" w14:textId="1C63F044" w:rsidR="00463128" w:rsidRPr="00901D0D" w:rsidRDefault="00463128" w:rsidP="00463128">
      <w:pPr>
        <w:spacing w:after="160"/>
        <w:ind w:left="720" w:hanging="720"/>
        <w:contextualSpacing/>
        <w:rPr>
          <w:rFonts w:eastAsia="Calibri" w:cs="Times New Roman"/>
          <w:lang w:val="en-GB"/>
        </w:rPr>
      </w:pPr>
      <w:r w:rsidRPr="00901D0D">
        <w:rPr>
          <w:rFonts w:eastAsia="Calibri" w:cs="Times New Roman"/>
          <w:lang w:val="en-GB"/>
        </w:rPr>
        <w:t xml:space="preserve">Moore, D. W. (2005). Three in four Americans believe in paranormal. Gallup News Service. Retrieved from </w:t>
      </w:r>
      <w:hyperlink r:id="rId10" w:history="1">
        <w:r w:rsidRPr="00901D0D">
          <w:rPr>
            <w:rStyle w:val="Hyperlink"/>
            <w:rFonts w:eastAsia="Calibri" w:cs="Times New Roman"/>
            <w:lang w:val="en-GB"/>
          </w:rPr>
          <w:t>http://www.gallup.com/poll/16915/Three-Four-Americans-Believe-Paranormal.aspx</w:t>
        </w:r>
      </w:hyperlink>
    </w:p>
    <w:p w14:paraId="3C6B99E1" w14:textId="77777777" w:rsidR="00331C9E" w:rsidRPr="00901D0D" w:rsidRDefault="00331C9E" w:rsidP="00331C9E">
      <w:pPr>
        <w:ind w:left="720" w:hanging="720"/>
        <w:rPr>
          <w:lang w:val="en-GB"/>
        </w:rPr>
      </w:pPr>
      <w:r w:rsidRPr="00901D0D">
        <w:rPr>
          <w:rFonts w:eastAsia="Calibri" w:cs="Times New Roman"/>
          <w:lang w:val="en-GB"/>
        </w:rPr>
        <w:t xml:space="preserve">Moore, S. M. &amp; </w:t>
      </w:r>
      <w:proofErr w:type="spellStart"/>
      <w:r w:rsidRPr="00901D0D">
        <w:rPr>
          <w:rFonts w:eastAsia="Calibri" w:cs="Times New Roman"/>
          <w:lang w:val="en-GB"/>
        </w:rPr>
        <w:t>Ohtsuka</w:t>
      </w:r>
      <w:proofErr w:type="spellEnd"/>
      <w:r w:rsidRPr="00901D0D">
        <w:rPr>
          <w:rFonts w:eastAsia="Calibri" w:cs="Times New Roman"/>
          <w:lang w:val="en-GB"/>
        </w:rPr>
        <w:t>, K. (1999).</w:t>
      </w:r>
      <w:r w:rsidRPr="00901D0D">
        <w:rPr>
          <w:lang w:val="en-GB"/>
        </w:rPr>
        <w:t xml:space="preserve"> </w:t>
      </w:r>
      <w:r w:rsidRPr="00901D0D">
        <w:rPr>
          <w:rFonts w:eastAsia="Calibri" w:cs="Times New Roman"/>
          <w:lang w:val="en-GB"/>
        </w:rPr>
        <w:t xml:space="preserve">The prediction of gambling </w:t>
      </w:r>
      <w:proofErr w:type="spellStart"/>
      <w:r w:rsidRPr="00901D0D">
        <w:rPr>
          <w:rFonts w:eastAsia="Calibri" w:cs="Times New Roman"/>
          <w:lang w:val="en-GB"/>
        </w:rPr>
        <w:t>behavior</w:t>
      </w:r>
      <w:proofErr w:type="spellEnd"/>
      <w:r w:rsidRPr="00901D0D">
        <w:rPr>
          <w:rFonts w:eastAsia="Calibri" w:cs="Times New Roman"/>
          <w:lang w:val="en-GB"/>
        </w:rPr>
        <w:t xml:space="preserve"> and problem gambling from attitudes and perceived norms. </w:t>
      </w:r>
      <w:r w:rsidRPr="00901D0D">
        <w:rPr>
          <w:rFonts w:eastAsia="Calibri" w:cs="Times New Roman"/>
          <w:i/>
          <w:lang w:val="en-GB"/>
        </w:rPr>
        <w:t xml:space="preserve">Social </w:t>
      </w:r>
      <w:proofErr w:type="spellStart"/>
      <w:r w:rsidRPr="00901D0D">
        <w:rPr>
          <w:rFonts w:eastAsia="Calibri" w:cs="Times New Roman"/>
          <w:i/>
          <w:lang w:val="en-GB"/>
        </w:rPr>
        <w:t>Behavior</w:t>
      </w:r>
      <w:proofErr w:type="spellEnd"/>
      <w:r w:rsidRPr="00901D0D">
        <w:rPr>
          <w:rFonts w:eastAsia="Calibri" w:cs="Times New Roman"/>
          <w:i/>
          <w:lang w:val="en-GB"/>
        </w:rPr>
        <w:t xml:space="preserve"> and Personality, 27,</w:t>
      </w:r>
      <w:r w:rsidRPr="00901D0D">
        <w:rPr>
          <w:rFonts w:eastAsia="Calibri" w:cs="Times New Roman"/>
          <w:lang w:val="en-GB"/>
        </w:rPr>
        <w:t xml:space="preserve"> 455-466.</w:t>
      </w:r>
    </w:p>
    <w:p w14:paraId="24D7B34B" w14:textId="77777777" w:rsidR="00331C9E" w:rsidRPr="005876BE" w:rsidRDefault="00331C9E" w:rsidP="00331C9E">
      <w:pPr>
        <w:ind w:left="720" w:hanging="720"/>
        <w:rPr>
          <w:lang w:val="es-ES"/>
        </w:rPr>
      </w:pPr>
      <w:r w:rsidRPr="00901D0D">
        <w:rPr>
          <w:lang w:val="en-GB"/>
        </w:rPr>
        <w:t xml:space="preserve">Morris R. &amp; Griffiths, M. D. (2013). The relationship between gambling affinity, impulsivity, sensation seeking, superstition, and irrational beliefs: An empirical study among committed gamblers. </w:t>
      </w:r>
      <w:r w:rsidRPr="005876BE">
        <w:rPr>
          <w:i/>
          <w:lang w:val="es-ES"/>
        </w:rPr>
        <w:t xml:space="preserve">Aloma: Revista de </w:t>
      </w:r>
      <w:proofErr w:type="spellStart"/>
      <w:r w:rsidRPr="005876BE">
        <w:rPr>
          <w:i/>
          <w:lang w:val="es-ES"/>
        </w:rPr>
        <w:t>Psicologia</w:t>
      </w:r>
      <w:proofErr w:type="spellEnd"/>
      <w:r w:rsidRPr="005876BE">
        <w:rPr>
          <w:i/>
          <w:lang w:val="es-ES"/>
        </w:rPr>
        <w:t xml:space="preserve">, </w:t>
      </w:r>
      <w:proofErr w:type="spellStart"/>
      <w:r w:rsidRPr="005876BE">
        <w:rPr>
          <w:i/>
          <w:lang w:val="es-ES"/>
        </w:rPr>
        <w:t>Ciències</w:t>
      </w:r>
      <w:proofErr w:type="spellEnd"/>
      <w:r w:rsidRPr="005876BE">
        <w:rPr>
          <w:i/>
          <w:lang w:val="es-ES"/>
        </w:rPr>
        <w:t xml:space="preserve"> de </w:t>
      </w:r>
      <w:proofErr w:type="spellStart"/>
      <w:r w:rsidRPr="005876BE">
        <w:rPr>
          <w:i/>
          <w:lang w:val="es-ES"/>
        </w:rPr>
        <w:t>l’Educació</w:t>
      </w:r>
      <w:proofErr w:type="spellEnd"/>
      <w:r w:rsidRPr="005876BE">
        <w:rPr>
          <w:i/>
          <w:lang w:val="es-ES"/>
        </w:rPr>
        <w:t xml:space="preserve"> i de </w:t>
      </w:r>
      <w:proofErr w:type="spellStart"/>
      <w:r w:rsidRPr="005876BE">
        <w:rPr>
          <w:i/>
          <w:lang w:val="es-ES"/>
        </w:rPr>
        <w:t>l’Esport</w:t>
      </w:r>
      <w:proofErr w:type="spellEnd"/>
      <w:r w:rsidRPr="005876BE">
        <w:rPr>
          <w:i/>
          <w:lang w:val="es-ES"/>
        </w:rPr>
        <w:t xml:space="preserve">, 31, </w:t>
      </w:r>
      <w:r w:rsidRPr="005876BE">
        <w:rPr>
          <w:lang w:val="es-ES"/>
        </w:rPr>
        <w:t xml:space="preserve">109-121. </w:t>
      </w:r>
    </w:p>
    <w:p w14:paraId="2555F301" w14:textId="77777777" w:rsidR="001D29B9" w:rsidRPr="001D29B9" w:rsidRDefault="001D29B9" w:rsidP="001D29B9">
      <w:pPr>
        <w:ind w:left="720" w:hanging="720"/>
        <w:rPr>
          <w:rFonts w:eastAsia="Arial" w:cs="Times New Roman"/>
          <w:szCs w:val="24"/>
          <w:lang w:val="en-GB"/>
        </w:rPr>
      </w:pPr>
      <w:proofErr w:type="spellStart"/>
      <w:r w:rsidRPr="001D29B9">
        <w:rPr>
          <w:rFonts w:eastAsia="Arial" w:cs="Times New Roman"/>
          <w:szCs w:val="24"/>
          <w:lang w:val="en-US"/>
        </w:rPr>
        <w:t>Musch</w:t>
      </w:r>
      <w:proofErr w:type="spellEnd"/>
      <w:r w:rsidRPr="001D29B9">
        <w:rPr>
          <w:rFonts w:eastAsia="Arial" w:cs="Times New Roman"/>
          <w:szCs w:val="24"/>
          <w:lang w:val="en-US"/>
        </w:rPr>
        <w:t xml:space="preserve">, J., &amp; Ehrenberg, K. (2002). Probability misjudgment, cognitive ability, and belief in the paranormal. </w:t>
      </w:r>
      <w:r w:rsidRPr="001D29B9">
        <w:rPr>
          <w:rFonts w:eastAsia="Arial" w:cs="Times New Roman"/>
          <w:i/>
          <w:szCs w:val="24"/>
          <w:lang w:val="en-US"/>
        </w:rPr>
        <w:t>British Journal of Psychology, 93,</w:t>
      </w:r>
      <w:r w:rsidRPr="001D29B9">
        <w:rPr>
          <w:rFonts w:eastAsia="Arial" w:cs="Times New Roman"/>
          <w:szCs w:val="24"/>
          <w:lang w:val="en-US"/>
        </w:rPr>
        <w:t xml:space="preserve"> 169–177. doi:10.1348/000712602162517</w:t>
      </w:r>
    </w:p>
    <w:p w14:paraId="1982ADF1" w14:textId="4557A921" w:rsidR="005853CE" w:rsidRDefault="005853CE" w:rsidP="005853CE">
      <w:pPr>
        <w:ind w:left="720" w:hanging="720"/>
        <w:rPr>
          <w:szCs w:val="24"/>
          <w:lang w:val="en-GB"/>
        </w:rPr>
      </w:pPr>
      <w:proofErr w:type="spellStart"/>
      <w:r>
        <w:rPr>
          <w:szCs w:val="24"/>
        </w:rPr>
        <w:lastRenderedPageBreak/>
        <w:t>Oskarsson</w:t>
      </w:r>
      <w:proofErr w:type="spellEnd"/>
      <w:r>
        <w:rPr>
          <w:szCs w:val="24"/>
        </w:rPr>
        <w:t xml:space="preserve">, T., Van Boven, L., McClelland, G. H., &amp; Hastie, R. (2009). What’s next? Judging sequences of binary events. </w:t>
      </w:r>
      <w:r>
        <w:rPr>
          <w:i/>
          <w:szCs w:val="24"/>
        </w:rPr>
        <w:t>Psychological Bulletin, 135,</w:t>
      </w:r>
      <w:r>
        <w:rPr>
          <w:szCs w:val="24"/>
        </w:rPr>
        <w:t xml:space="preserve"> 262–285. doi:10.1037/a0014821</w:t>
      </w:r>
    </w:p>
    <w:p w14:paraId="6D588513" w14:textId="6ED17873" w:rsidR="00331C9E" w:rsidRPr="00901D0D" w:rsidRDefault="00331C9E" w:rsidP="00331C9E">
      <w:pPr>
        <w:ind w:left="720" w:hanging="720"/>
        <w:rPr>
          <w:lang w:val="en-GB"/>
        </w:rPr>
      </w:pPr>
      <w:proofErr w:type="spellStart"/>
      <w:r w:rsidRPr="00901D0D">
        <w:rPr>
          <w:lang w:val="en-GB"/>
        </w:rPr>
        <w:t>Passanisi</w:t>
      </w:r>
      <w:proofErr w:type="spellEnd"/>
      <w:r w:rsidRPr="00901D0D">
        <w:rPr>
          <w:lang w:val="en-GB"/>
        </w:rPr>
        <w:t xml:space="preserve">, A., </w:t>
      </w:r>
      <w:proofErr w:type="spellStart"/>
      <w:r w:rsidRPr="00901D0D">
        <w:rPr>
          <w:lang w:val="en-GB"/>
        </w:rPr>
        <w:t>Craparo</w:t>
      </w:r>
      <w:proofErr w:type="spellEnd"/>
      <w:r w:rsidRPr="00901D0D">
        <w:rPr>
          <w:lang w:val="en-GB"/>
        </w:rPr>
        <w:t xml:space="preserve">, G., &amp; Pace, U. (2017). Magical thinking and decision-making strategies among late adolescent regular gamblers: A mediation model. </w:t>
      </w:r>
      <w:r w:rsidRPr="00901D0D">
        <w:rPr>
          <w:i/>
          <w:lang w:val="en-GB"/>
        </w:rPr>
        <w:t xml:space="preserve">Journal of Adolescence, 59, </w:t>
      </w:r>
      <w:r w:rsidRPr="00901D0D">
        <w:rPr>
          <w:lang w:val="en-GB"/>
        </w:rPr>
        <w:t xml:space="preserve">51-58. </w:t>
      </w:r>
      <w:proofErr w:type="gramStart"/>
      <w:r w:rsidRPr="00901D0D">
        <w:rPr>
          <w:lang w:val="en-GB"/>
        </w:rPr>
        <w:t>doi:10.1016/j.adolescence</w:t>
      </w:r>
      <w:proofErr w:type="gramEnd"/>
      <w:r w:rsidRPr="00901D0D">
        <w:rPr>
          <w:lang w:val="en-GB"/>
        </w:rPr>
        <w:t>.2017.05.016</w:t>
      </w:r>
    </w:p>
    <w:p w14:paraId="7EE50518" w14:textId="77777777" w:rsidR="00331C9E" w:rsidRPr="00901D0D" w:rsidRDefault="00331C9E" w:rsidP="00331C9E">
      <w:pPr>
        <w:ind w:left="720" w:hanging="720"/>
        <w:rPr>
          <w:rFonts w:eastAsia="Calibri" w:cs="Times New Roman"/>
          <w:lang w:val="en-GB"/>
        </w:rPr>
      </w:pPr>
      <w:r w:rsidRPr="00901D0D">
        <w:rPr>
          <w:rFonts w:eastAsia="Calibri" w:cs="Times New Roman"/>
          <w:lang w:val="en-GB"/>
        </w:rPr>
        <w:t xml:space="preserve">Pennycook, G., </w:t>
      </w:r>
      <w:proofErr w:type="spellStart"/>
      <w:r w:rsidRPr="00901D0D">
        <w:rPr>
          <w:rFonts w:eastAsia="Calibri" w:cs="Times New Roman"/>
          <w:lang w:val="en-GB"/>
        </w:rPr>
        <w:t>Fugelsang</w:t>
      </w:r>
      <w:proofErr w:type="spellEnd"/>
      <w:r w:rsidRPr="00901D0D">
        <w:rPr>
          <w:rFonts w:eastAsia="Calibri" w:cs="Times New Roman"/>
          <w:lang w:val="en-GB"/>
        </w:rPr>
        <w:t xml:space="preserve">, J. A., &amp; Koehler, D. J. (2012). Are we good at detecting conflict during reasoning? </w:t>
      </w:r>
      <w:r w:rsidRPr="00901D0D">
        <w:rPr>
          <w:rFonts w:eastAsia="Calibri" w:cs="Times New Roman"/>
          <w:i/>
          <w:lang w:val="en-GB"/>
        </w:rPr>
        <w:t xml:space="preserve">Cognition, 124, </w:t>
      </w:r>
      <w:r w:rsidRPr="00901D0D">
        <w:rPr>
          <w:rFonts w:eastAsia="Calibri" w:cs="Times New Roman"/>
          <w:lang w:val="en-GB"/>
        </w:rPr>
        <w:t xml:space="preserve">101-106. </w:t>
      </w:r>
      <w:proofErr w:type="gramStart"/>
      <w:r w:rsidRPr="00901D0D">
        <w:rPr>
          <w:rFonts w:eastAsia="Calibri" w:cs="Times New Roman"/>
          <w:lang w:val="en-GB"/>
        </w:rPr>
        <w:t>doi:10.1016/j.cognition</w:t>
      </w:r>
      <w:proofErr w:type="gramEnd"/>
      <w:r w:rsidRPr="00901D0D">
        <w:rPr>
          <w:rFonts w:eastAsia="Calibri" w:cs="Times New Roman"/>
          <w:lang w:val="en-GB"/>
        </w:rPr>
        <w:t>.2012.04.004</w:t>
      </w:r>
    </w:p>
    <w:p w14:paraId="20EF75B9" w14:textId="77777777" w:rsidR="00463128" w:rsidRPr="00901D0D" w:rsidRDefault="00463128" w:rsidP="00463128">
      <w:pPr>
        <w:ind w:left="720" w:hanging="720"/>
        <w:contextualSpacing/>
        <w:rPr>
          <w:rFonts w:eastAsia="Calibri" w:cs="Times New Roman"/>
          <w:lang w:val="en-GB"/>
        </w:rPr>
      </w:pPr>
      <w:r w:rsidRPr="00901D0D">
        <w:rPr>
          <w:rFonts w:eastAsia="Calibri" w:cs="Times New Roman"/>
          <w:lang w:val="en-GB"/>
        </w:rPr>
        <w:t xml:space="preserve">Prike, T., Arnold, M. M., Williamson, P. (2017). Psychics, aliens, or experience? Using the Anomalistic Belief Scale to examine the relationship between type of belief and probabilistic reasoning. </w:t>
      </w:r>
      <w:r w:rsidRPr="00901D0D">
        <w:rPr>
          <w:rFonts w:eastAsia="Calibri" w:cs="Times New Roman"/>
          <w:i/>
          <w:lang w:val="en-GB"/>
        </w:rPr>
        <w:t xml:space="preserve">Consciousness and Cognition, 53, </w:t>
      </w:r>
      <w:r w:rsidRPr="00901D0D">
        <w:rPr>
          <w:rFonts w:eastAsia="Calibri" w:cs="Times New Roman"/>
          <w:lang w:val="en-GB"/>
        </w:rPr>
        <w:t xml:space="preserve">151-164. </w:t>
      </w:r>
      <w:proofErr w:type="gramStart"/>
      <w:r w:rsidRPr="00901D0D">
        <w:rPr>
          <w:rFonts w:eastAsia="Calibri" w:cs="Times New Roman"/>
          <w:lang w:val="en-GB"/>
        </w:rPr>
        <w:t>doi:10.1016/j.concog</w:t>
      </w:r>
      <w:proofErr w:type="gramEnd"/>
      <w:r w:rsidRPr="00901D0D">
        <w:rPr>
          <w:rFonts w:eastAsia="Calibri" w:cs="Times New Roman"/>
          <w:lang w:val="en-GB"/>
        </w:rPr>
        <w:t>.2017.06.003</w:t>
      </w:r>
    </w:p>
    <w:p w14:paraId="1D840942" w14:textId="6C6B593D" w:rsidR="00463128" w:rsidRPr="00901D0D" w:rsidRDefault="00463128" w:rsidP="00463128">
      <w:pPr>
        <w:ind w:left="720" w:hanging="720"/>
        <w:contextualSpacing/>
        <w:rPr>
          <w:rFonts w:eastAsia="Calibri" w:cs="Times New Roman"/>
          <w:lang w:val="en-GB"/>
        </w:rPr>
      </w:pPr>
      <w:r w:rsidRPr="00901D0D">
        <w:rPr>
          <w:rFonts w:eastAsia="Calibri" w:cs="Times New Roman"/>
          <w:lang w:val="en-GB"/>
        </w:rPr>
        <w:t>Prike, T., Arnold, M. M., &amp; Williamson, P. (</w:t>
      </w:r>
      <w:r w:rsidR="00331C9E" w:rsidRPr="00901D0D">
        <w:rPr>
          <w:rFonts w:eastAsia="Calibri" w:cs="Times New Roman"/>
          <w:lang w:val="en-GB"/>
        </w:rPr>
        <w:t>2018</w:t>
      </w:r>
      <w:r w:rsidRPr="00901D0D">
        <w:rPr>
          <w:rFonts w:eastAsia="Calibri" w:cs="Times New Roman"/>
          <w:lang w:val="en-GB"/>
        </w:rPr>
        <w:t xml:space="preserve">). The </w:t>
      </w:r>
      <w:r w:rsidR="00A76C26" w:rsidRPr="00901D0D">
        <w:rPr>
          <w:rFonts w:eastAsia="Calibri" w:cs="Times New Roman"/>
          <w:lang w:val="en-GB"/>
        </w:rPr>
        <w:t>relationship between anomalistic belief and biases of evidence integration and jumping to conclusions</w:t>
      </w:r>
      <w:r w:rsidRPr="00901D0D">
        <w:rPr>
          <w:rFonts w:eastAsia="Calibri" w:cs="Times New Roman"/>
          <w:lang w:val="en-GB"/>
        </w:rPr>
        <w:t>.</w:t>
      </w:r>
      <w:r w:rsidR="00A76C26">
        <w:rPr>
          <w:rFonts w:eastAsia="Calibri" w:cs="Times New Roman"/>
          <w:lang w:val="en-GB"/>
        </w:rPr>
        <w:t xml:space="preserve"> </w:t>
      </w:r>
      <w:r w:rsidR="00A76C26" w:rsidRPr="00A76C26">
        <w:rPr>
          <w:rFonts w:eastAsia="Calibri" w:cs="Times New Roman"/>
          <w:i/>
          <w:lang w:val="en-GB"/>
        </w:rPr>
        <w:t xml:space="preserve">Acta </w:t>
      </w:r>
      <w:proofErr w:type="spellStart"/>
      <w:r w:rsidR="00A76C26" w:rsidRPr="00A76C26">
        <w:rPr>
          <w:rFonts w:eastAsia="Calibri" w:cs="Times New Roman"/>
          <w:i/>
          <w:lang w:val="en-GB"/>
        </w:rPr>
        <w:t>Psychologica</w:t>
      </w:r>
      <w:proofErr w:type="spellEnd"/>
      <w:r w:rsidR="00A76C26" w:rsidRPr="00A76C26">
        <w:rPr>
          <w:rFonts w:eastAsia="Calibri" w:cs="Times New Roman"/>
          <w:i/>
          <w:lang w:val="en-GB"/>
        </w:rPr>
        <w:t>,</w:t>
      </w:r>
      <w:r w:rsidR="00A76C26">
        <w:rPr>
          <w:rFonts w:eastAsia="Calibri" w:cs="Times New Roman"/>
          <w:i/>
          <w:lang w:val="en-GB"/>
        </w:rPr>
        <w:t xml:space="preserve"> 190, </w:t>
      </w:r>
      <w:r w:rsidR="00A76C26">
        <w:rPr>
          <w:rFonts w:eastAsia="Calibri" w:cs="Times New Roman"/>
          <w:lang w:val="en-GB"/>
        </w:rPr>
        <w:t xml:space="preserve">217-227. </w:t>
      </w:r>
      <w:proofErr w:type="gramStart"/>
      <w:r w:rsidR="00A76C26">
        <w:rPr>
          <w:rFonts w:eastAsia="Calibri" w:cs="Times New Roman"/>
          <w:lang w:val="en-GB"/>
        </w:rPr>
        <w:t>doi:</w:t>
      </w:r>
      <w:r w:rsidR="00A76C26" w:rsidRPr="00A76C26">
        <w:rPr>
          <w:rFonts w:eastAsia="Calibri" w:cs="Times New Roman"/>
          <w:lang w:val="en-GB"/>
        </w:rPr>
        <w:t>10.1016/j.actpsy</w:t>
      </w:r>
      <w:proofErr w:type="gramEnd"/>
      <w:r w:rsidR="00A76C26" w:rsidRPr="00A76C26">
        <w:rPr>
          <w:rFonts w:eastAsia="Calibri" w:cs="Times New Roman"/>
          <w:lang w:val="en-GB"/>
        </w:rPr>
        <w:t>.2018.08.006</w:t>
      </w:r>
    </w:p>
    <w:p w14:paraId="2F3E2B1C" w14:textId="77777777" w:rsidR="00331C9E" w:rsidRPr="00901D0D" w:rsidRDefault="00331C9E" w:rsidP="00331C9E">
      <w:pPr>
        <w:spacing w:after="160"/>
        <w:ind w:left="720" w:hanging="720"/>
        <w:contextualSpacing/>
        <w:rPr>
          <w:rFonts w:eastAsia="Calibri" w:cs="Times New Roman"/>
          <w:lang w:val="en-GB"/>
        </w:rPr>
      </w:pPr>
      <w:r w:rsidRPr="00901D0D">
        <w:rPr>
          <w:rFonts w:eastAsia="Calibri" w:cs="Times New Roman"/>
          <w:lang w:val="en-GB"/>
        </w:rPr>
        <w:t>Qualtrics (2017). Qualtrics [computer software]. Provo, Utah, USA.</w:t>
      </w:r>
    </w:p>
    <w:p w14:paraId="79B72285" w14:textId="6493E6F1" w:rsidR="000A34F2" w:rsidRDefault="000A34F2" w:rsidP="000A34F2">
      <w:pPr>
        <w:spacing w:after="160"/>
        <w:ind w:left="720" w:hanging="720"/>
        <w:contextualSpacing/>
        <w:rPr>
          <w:rFonts w:eastAsia="Calibri" w:cs="Times New Roman"/>
          <w:lang w:val="en-GB"/>
        </w:rPr>
      </w:pPr>
      <w:proofErr w:type="spellStart"/>
      <w:r w:rsidRPr="000A34F2">
        <w:rPr>
          <w:rFonts w:eastAsia="Calibri" w:cs="Times New Roman"/>
          <w:lang w:val="en-GB"/>
        </w:rPr>
        <w:t>Riekki</w:t>
      </w:r>
      <w:proofErr w:type="spellEnd"/>
      <w:r w:rsidRPr="000A34F2">
        <w:rPr>
          <w:rFonts w:eastAsia="Calibri" w:cs="Times New Roman"/>
          <w:lang w:val="en-GB"/>
        </w:rPr>
        <w:t xml:space="preserve">, T., Lindeman, M., </w:t>
      </w:r>
      <w:proofErr w:type="spellStart"/>
      <w:r w:rsidRPr="000A34F2">
        <w:rPr>
          <w:rFonts w:eastAsia="Calibri" w:cs="Times New Roman"/>
          <w:lang w:val="en-GB"/>
        </w:rPr>
        <w:t>Aleneff</w:t>
      </w:r>
      <w:proofErr w:type="spellEnd"/>
      <w:r w:rsidRPr="000A34F2">
        <w:rPr>
          <w:rFonts w:eastAsia="Calibri" w:cs="Times New Roman"/>
          <w:lang w:val="en-GB"/>
        </w:rPr>
        <w:t xml:space="preserve">, M., </w:t>
      </w:r>
      <w:proofErr w:type="spellStart"/>
      <w:r w:rsidRPr="000A34F2">
        <w:rPr>
          <w:rFonts w:eastAsia="Calibri" w:cs="Times New Roman"/>
          <w:lang w:val="en-GB"/>
        </w:rPr>
        <w:t>Halme</w:t>
      </w:r>
      <w:proofErr w:type="spellEnd"/>
      <w:r w:rsidRPr="000A34F2">
        <w:rPr>
          <w:rFonts w:eastAsia="Calibri" w:cs="Times New Roman"/>
          <w:lang w:val="en-GB"/>
        </w:rPr>
        <w:t xml:space="preserve">, A., &amp; </w:t>
      </w:r>
      <w:proofErr w:type="spellStart"/>
      <w:r w:rsidRPr="000A34F2">
        <w:rPr>
          <w:rFonts w:eastAsia="Calibri" w:cs="Times New Roman"/>
          <w:lang w:val="en-GB"/>
        </w:rPr>
        <w:t>Nuortimo</w:t>
      </w:r>
      <w:proofErr w:type="spellEnd"/>
      <w:r w:rsidRPr="000A34F2">
        <w:rPr>
          <w:rFonts w:eastAsia="Calibri" w:cs="Times New Roman"/>
          <w:lang w:val="en-GB"/>
        </w:rPr>
        <w:t>, A. (2013). Paranormal and</w:t>
      </w:r>
      <w:r>
        <w:rPr>
          <w:rFonts w:eastAsia="Calibri" w:cs="Times New Roman"/>
          <w:lang w:val="en-GB"/>
        </w:rPr>
        <w:t xml:space="preserve"> </w:t>
      </w:r>
      <w:r w:rsidRPr="000A34F2">
        <w:rPr>
          <w:rFonts w:eastAsia="Calibri" w:cs="Times New Roman"/>
          <w:lang w:val="en-GB"/>
        </w:rPr>
        <w:t xml:space="preserve">religious believers are more prone to illusory face perception than </w:t>
      </w:r>
      <w:proofErr w:type="spellStart"/>
      <w:r w:rsidRPr="000A34F2">
        <w:rPr>
          <w:rFonts w:eastAsia="Calibri" w:cs="Times New Roman"/>
          <w:lang w:val="en-GB"/>
        </w:rPr>
        <w:t>skeptics</w:t>
      </w:r>
      <w:proofErr w:type="spellEnd"/>
      <w:r w:rsidRPr="000A34F2">
        <w:rPr>
          <w:rFonts w:eastAsia="Calibri" w:cs="Times New Roman"/>
          <w:lang w:val="en-GB"/>
        </w:rPr>
        <w:t xml:space="preserve"> and</w:t>
      </w:r>
      <w:r>
        <w:rPr>
          <w:rFonts w:eastAsia="Calibri" w:cs="Times New Roman"/>
          <w:lang w:val="en-GB"/>
        </w:rPr>
        <w:t xml:space="preserve"> </w:t>
      </w:r>
      <w:r w:rsidRPr="000A34F2">
        <w:rPr>
          <w:rFonts w:eastAsia="Calibri" w:cs="Times New Roman"/>
          <w:lang w:val="en-GB"/>
        </w:rPr>
        <w:t xml:space="preserve">non-believers. </w:t>
      </w:r>
      <w:r w:rsidRPr="00AE0D85">
        <w:rPr>
          <w:rFonts w:eastAsia="Calibri" w:cs="Times New Roman"/>
          <w:i/>
          <w:lang w:val="en-GB"/>
        </w:rPr>
        <w:t>Applied Cognitive Psychology, 27</w:t>
      </w:r>
      <w:r w:rsidRPr="000A34F2">
        <w:rPr>
          <w:rFonts w:eastAsia="Calibri" w:cs="Times New Roman"/>
          <w:lang w:val="en-GB"/>
        </w:rPr>
        <w:t>, 150–155. doi:10.1002/acp.2874</w:t>
      </w:r>
    </w:p>
    <w:p w14:paraId="6A3062FF" w14:textId="05FDEE99" w:rsidR="001D29B9" w:rsidRPr="001D29B9" w:rsidRDefault="001D29B9" w:rsidP="001D29B9">
      <w:pPr>
        <w:spacing w:after="160"/>
        <w:ind w:left="720" w:hanging="720"/>
        <w:contextualSpacing/>
        <w:rPr>
          <w:rFonts w:eastAsia="Calibri" w:cs="Times New Roman"/>
          <w:lang w:val="en-GB"/>
        </w:rPr>
      </w:pPr>
      <w:r w:rsidRPr="001D29B9">
        <w:rPr>
          <w:rFonts w:eastAsia="Calibri" w:cs="Times New Roman"/>
          <w:lang w:val="en-GB"/>
        </w:rPr>
        <w:t xml:space="preserve">Roberts, M. J. &amp; Seager, P. B. (1999). Predicting belief in paranormal phenomena: A comparison of conditional and probabilistic reasoning. </w:t>
      </w:r>
      <w:r w:rsidRPr="001D29B9">
        <w:rPr>
          <w:rFonts w:eastAsia="Calibri" w:cs="Times New Roman"/>
          <w:i/>
          <w:lang w:val="en-GB"/>
        </w:rPr>
        <w:t xml:space="preserve">Applied Cognitive Psychology, 13, </w:t>
      </w:r>
      <w:r w:rsidRPr="001D29B9">
        <w:rPr>
          <w:rFonts w:eastAsia="Calibri" w:cs="Times New Roman"/>
          <w:lang w:val="en-GB"/>
        </w:rPr>
        <w:t>443-450. doi:10.1002/(SICI)1099-0720(199910)13:5&lt;</w:t>
      </w:r>
      <w:proofErr w:type="gramStart"/>
      <w:r w:rsidRPr="001D29B9">
        <w:rPr>
          <w:rFonts w:eastAsia="Calibri" w:cs="Times New Roman"/>
          <w:lang w:val="en-GB"/>
        </w:rPr>
        <w:t>443::</w:t>
      </w:r>
      <w:proofErr w:type="gramEnd"/>
      <w:r w:rsidRPr="001D29B9">
        <w:rPr>
          <w:rFonts w:eastAsia="Calibri" w:cs="Times New Roman"/>
          <w:lang w:val="en-GB"/>
        </w:rPr>
        <w:t>AID-ACP592&gt;3.0.CO;2-K</w:t>
      </w:r>
    </w:p>
    <w:p w14:paraId="6D63F4A7" w14:textId="0AB58576" w:rsidR="00463128" w:rsidRPr="00901D0D" w:rsidRDefault="00463128" w:rsidP="00463128">
      <w:pPr>
        <w:spacing w:after="160"/>
        <w:ind w:left="720" w:hanging="720"/>
        <w:contextualSpacing/>
        <w:rPr>
          <w:rFonts w:eastAsia="Calibri" w:cs="Times New Roman"/>
          <w:lang w:val="en-GB"/>
        </w:rPr>
      </w:pPr>
      <w:r w:rsidRPr="00901D0D">
        <w:rPr>
          <w:rFonts w:eastAsia="Calibri" w:cs="Times New Roman"/>
          <w:lang w:val="en-GB"/>
        </w:rPr>
        <w:lastRenderedPageBreak/>
        <w:t xml:space="preserve">Rogers, P., Davis, T., &amp; Fisk, J. (2009). Paranormal belief and susceptibility to the conjunction fallacy. </w:t>
      </w:r>
      <w:r w:rsidRPr="00901D0D">
        <w:rPr>
          <w:rFonts w:eastAsia="Calibri" w:cs="Times New Roman"/>
          <w:i/>
          <w:lang w:val="en-GB"/>
        </w:rPr>
        <w:t>Applied Cognitive Psychology, 23,</w:t>
      </w:r>
      <w:r w:rsidRPr="00901D0D">
        <w:rPr>
          <w:rFonts w:eastAsia="Calibri" w:cs="Times New Roman"/>
          <w:lang w:val="en-GB"/>
        </w:rPr>
        <w:t xml:space="preserve"> 524–542. doi:10.1002/acp.1472</w:t>
      </w:r>
    </w:p>
    <w:p w14:paraId="2EAD960B" w14:textId="09A6259B" w:rsidR="00463128" w:rsidRDefault="00463128" w:rsidP="00463128">
      <w:pPr>
        <w:spacing w:after="160"/>
        <w:ind w:left="720" w:hanging="720"/>
        <w:contextualSpacing/>
        <w:rPr>
          <w:rFonts w:eastAsia="Calibri" w:cs="Times New Roman"/>
          <w:lang w:val="en-GB"/>
        </w:rPr>
      </w:pPr>
      <w:r w:rsidRPr="00901D0D">
        <w:rPr>
          <w:rFonts w:eastAsia="Calibri" w:cs="Times New Roman"/>
          <w:lang w:val="en-GB"/>
        </w:rPr>
        <w:t>Rogers, P., Fisk, J.</w:t>
      </w:r>
      <w:r w:rsidR="00D030EA">
        <w:rPr>
          <w:rFonts w:eastAsia="Calibri" w:cs="Times New Roman"/>
          <w:lang w:val="en-GB"/>
        </w:rPr>
        <w:t xml:space="preserve"> E.</w:t>
      </w:r>
      <w:r w:rsidRPr="00901D0D">
        <w:rPr>
          <w:rFonts w:eastAsia="Calibri" w:cs="Times New Roman"/>
          <w:lang w:val="en-GB"/>
        </w:rPr>
        <w:t xml:space="preserve">, &amp; </w:t>
      </w:r>
      <w:proofErr w:type="spellStart"/>
      <w:r w:rsidRPr="00901D0D">
        <w:rPr>
          <w:rFonts w:eastAsia="Calibri" w:cs="Times New Roman"/>
          <w:lang w:val="en-GB"/>
        </w:rPr>
        <w:t>Lowrie</w:t>
      </w:r>
      <w:proofErr w:type="spellEnd"/>
      <w:r w:rsidRPr="00901D0D">
        <w:rPr>
          <w:rFonts w:eastAsia="Calibri" w:cs="Times New Roman"/>
          <w:lang w:val="en-GB"/>
        </w:rPr>
        <w:t xml:space="preserve">, E. (2016). Paranormal believers’ susceptibility to confirmatory versus </w:t>
      </w:r>
      <w:proofErr w:type="spellStart"/>
      <w:r w:rsidRPr="00901D0D">
        <w:rPr>
          <w:rFonts w:eastAsia="Calibri" w:cs="Times New Roman"/>
          <w:lang w:val="en-GB"/>
        </w:rPr>
        <w:t>disconfirmatory</w:t>
      </w:r>
      <w:proofErr w:type="spellEnd"/>
      <w:r w:rsidRPr="00901D0D">
        <w:rPr>
          <w:rFonts w:eastAsia="Calibri" w:cs="Times New Roman"/>
          <w:lang w:val="en-GB"/>
        </w:rPr>
        <w:t xml:space="preserve"> conjunctions. </w:t>
      </w:r>
      <w:r w:rsidRPr="00901D0D">
        <w:rPr>
          <w:rFonts w:eastAsia="Calibri" w:cs="Times New Roman"/>
          <w:i/>
          <w:lang w:val="en-GB"/>
        </w:rPr>
        <w:t>Applied Cognitive Psychology, 30,</w:t>
      </w:r>
      <w:r w:rsidRPr="00901D0D">
        <w:rPr>
          <w:rFonts w:eastAsia="Calibri" w:cs="Times New Roman"/>
          <w:lang w:val="en-GB"/>
        </w:rPr>
        <w:t xml:space="preserve"> 628-634. doi:10.1002/acp.3222</w:t>
      </w:r>
    </w:p>
    <w:p w14:paraId="1812203F" w14:textId="49614F45" w:rsidR="00D030EA" w:rsidRPr="00D030EA" w:rsidRDefault="00D030EA" w:rsidP="00D030EA">
      <w:pPr>
        <w:spacing w:after="160"/>
        <w:ind w:left="720" w:hanging="720"/>
        <w:contextualSpacing/>
        <w:rPr>
          <w:rFonts w:eastAsia="Calibri" w:cs="Times New Roman"/>
          <w:lang w:val="en-GB"/>
        </w:rPr>
      </w:pPr>
      <w:r>
        <w:rPr>
          <w:rFonts w:eastAsia="Calibri" w:cs="Times New Roman"/>
          <w:lang w:val="en-GB"/>
        </w:rPr>
        <w:t xml:space="preserve">Rogers, P., </w:t>
      </w:r>
      <w:r w:rsidRPr="00D030EA">
        <w:rPr>
          <w:rFonts w:eastAsia="Calibri" w:cs="Times New Roman"/>
          <w:lang w:val="en-GB"/>
        </w:rPr>
        <w:t>Fisk, J.</w:t>
      </w:r>
      <w:r>
        <w:rPr>
          <w:rFonts w:eastAsia="Calibri" w:cs="Times New Roman"/>
          <w:lang w:val="en-GB"/>
        </w:rPr>
        <w:t xml:space="preserve"> E.</w:t>
      </w:r>
      <w:r w:rsidRPr="00D030EA">
        <w:rPr>
          <w:rFonts w:eastAsia="Calibri" w:cs="Times New Roman"/>
          <w:lang w:val="en-GB"/>
        </w:rPr>
        <w:t xml:space="preserve">, &amp; </w:t>
      </w:r>
      <w:proofErr w:type="spellStart"/>
      <w:r w:rsidRPr="00D030EA">
        <w:rPr>
          <w:rFonts w:eastAsia="Calibri" w:cs="Times New Roman"/>
          <w:lang w:val="en-GB"/>
        </w:rPr>
        <w:t>Lowrie</w:t>
      </w:r>
      <w:proofErr w:type="spellEnd"/>
      <w:r w:rsidRPr="00D030EA">
        <w:rPr>
          <w:rFonts w:eastAsia="Calibri" w:cs="Times New Roman"/>
          <w:lang w:val="en-GB"/>
        </w:rPr>
        <w:t>, E. (201</w:t>
      </w:r>
      <w:r>
        <w:rPr>
          <w:rFonts w:eastAsia="Calibri" w:cs="Times New Roman"/>
          <w:lang w:val="en-GB"/>
        </w:rPr>
        <w:t>8</w:t>
      </w:r>
      <w:r w:rsidRPr="00D030EA">
        <w:rPr>
          <w:rFonts w:eastAsia="Calibri" w:cs="Times New Roman"/>
          <w:lang w:val="en-GB"/>
        </w:rPr>
        <w:t>).</w:t>
      </w:r>
      <w:r>
        <w:rPr>
          <w:rFonts w:eastAsia="Calibri" w:cs="Times New Roman"/>
          <w:lang w:val="en-GB"/>
        </w:rPr>
        <w:t xml:space="preserve"> </w:t>
      </w:r>
      <w:r w:rsidRPr="00D030EA">
        <w:rPr>
          <w:rFonts w:eastAsia="Calibri" w:cs="Times New Roman"/>
          <w:lang w:val="en-GB"/>
        </w:rPr>
        <w:t>Paranormal belief, thinking style preference and susceptibility to</w:t>
      </w:r>
      <w:r>
        <w:rPr>
          <w:rFonts w:eastAsia="Calibri" w:cs="Times New Roman"/>
          <w:lang w:val="en-GB"/>
        </w:rPr>
        <w:t xml:space="preserve"> </w:t>
      </w:r>
      <w:r w:rsidRPr="00D030EA">
        <w:rPr>
          <w:rFonts w:eastAsia="Calibri" w:cs="Times New Roman"/>
          <w:lang w:val="en-GB"/>
        </w:rPr>
        <w:t>confirmatory conjunction errors</w:t>
      </w:r>
      <w:r>
        <w:rPr>
          <w:rFonts w:eastAsia="Calibri" w:cs="Times New Roman"/>
          <w:lang w:val="en-GB"/>
        </w:rPr>
        <w:t xml:space="preserve">. </w:t>
      </w:r>
      <w:r>
        <w:rPr>
          <w:rFonts w:eastAsia="Calibri" w:cs="Times New Roman"/>
          <w:i/>
          <w:lang w:val="en-GB"/>
        </w:rPr>
        <w:t xml:space="preserve">Consciousness and Cognition, 65, </w:t>
      </w:r>
      <w:r w:rsidRPr="00D030EA">
        <w:rPr>
          <w:rFonts w:eastAsia="Calibri" w:cs="Times New Roman"/>
          <w:lang w:val="en-GB"/>
        </w:rPr>
        <w:t>182-196</w:t>
      </w:r>
      <w:r>
        <w:rPr>
          <w:rFonts w:eastAsia="Calibri" w:cs="Times New Roman"/>
          <w:lang w:val="en-GB"/>
        </w:rPr>
        <w:t xml:space="preserve">. </w:t>
      </w:r>
      <w:proofErr w:type="gramStart"/>
      <w:r>
        <w:rPr>
          <w:rFonts w:eastAsia="Calibri" w:cs="Times New Roman"/>
          <w:lang w:val="en-GB"/>
        </w:rPr>
        <w:t>doi:</w:t>
      </w:r>
      <w:r w:rsidRPr="00D030EA">
        <w:rPr>
          <w:rFonts w:eastAsia="Calibri" w:cs="Times New Roman"/>
          <w:lang w:val="en-GB"/>
        </w:rPr>
        <w:t>10.1016/j.concog</w:t>
      </w:r>
      <w:proofErr w:type="gramEnd"/>
      <w:r w:rsidRPr="00D030EA">
        <w:rPr>
          <w:rFonts w:eastAsia="Calibri" w:cs="Times New Roman"/>
          <w:lang w:val="en-GB"/>
        </w:rPr>
        <w:t>.2018.07.013</w:t>
      </w:r>
    </w:p>
    <w:p w14:paraId="5461E2B6" w14:textId="6FC85FCB" w:rsidR="00463128" w:rsidRPr="00901D0D" w:rsidRDefault="00463128" w:rsidP="00463128">
      <w:pPr>
        <w:spacing w:after="160"/>
        <w:ind w:left="720" w:hanging="720"/>
        <w:contextualSpacing/>
        <w:rPr>
          <w:rFonts w:eastAsia="Calibri" w:cs="Times New Roman"/>
          <w:lang w:val="en-GB"/>
        </w:rPr>
      </w:pPr>
      <w:r w:rsidRPr="00901D0D">
        <w:rPr>
          <w:rFonts w:eastAsia="Calibri" w:cs="Times New Roman"/>
          <w:lang w:val="en-GB"/>
        </w:rPr>
        <w:t>Rogers, P., Fisk, J.</w:t>
      </w:r>
      <w:r w:rsidR="00D030EA">
        <w:rPr>
          <w:rFonts w:eastAsia="Calibri" w:cs="Times New Roman"/>
          <w:lang w:val="en-GB"/>
        </w:rPr>
        <w:t xml:space="preserve"> E.</w:t>
      </w:r>
      <w:r w:rsidRPr="00901D0D">
        <w:rPr>
          <w:rFonts w:eastAsia="Calibri" w:cs="Times New Roman"/>
          <w:lang w:val="en-GB"/>
        </w:rPr>
        <w:t xml:space="preserve">, &amp; Wiltshire, D. (2011). Paranormal belief, conjunction and confirmation biases. The role of constituent relatedness in paranormal believers’ susceptibility to the conjunction fallacy. </w:t>
      </w:r>
      <w:r w:rsidRPr="00901D0D">
        <w:rPr>
          <w:rFonts w:eastAsia="Calibri" w:cs="Times New Roman"/>
          <w:i/>
          <w:lang w:val="en-GB"/>
        </w:rPr>
        <w:t>Applied Cognitive Psychology, 25,</w:t>
      </w:r>
      <w:r w:rsidRPr="00901D0D">
        <w:rPr>
          <w:rFonts w:eastAsia="Calibri" w:cs="Times New Roman"/>
          <w:lang w:val="en-GB"/>
        </w:rPr>
        <w:t xml:space="preserve"> 692–702. doi:10.1002/acp.1732</w:t>
      </w:r>
    </w:p>
    <w:p w14:paraId="3729DF9F" w14:textId="77777777" w:rsidR="00331C9E" w:rsidRPr="00901D0D" w:rsidRDefault="00331C9E" w:rsidP="00331C9E">
      <w:pPr>
        <w:ind w:left="720" w:hanging="720"/>
        <w:rPr>
          <w:rFonts w:eastAsia="Calibri" w:cs="Times New Roman"/>
          <w:lang w:val="en-GB"/>
        </w:rPr>
      </w:pPr>
      <w:r w:rsidRPr="00901D0D">
        <w:rPr>
          <w:rFonts w:eastAsia="Calibri" w:cs="Times New Roman"/>
          <w:lang w:val="en-GB"/>
        </w:rPr>
        <w:t xml:space="preserve">Ross, R. M., </w:t>
      </w:r>
      <w:proofErr w:type="spellStart"/>
      <w:r w:rsidRPr="00901D0D">
        <w:rPr>
          <w:rFonts w:eastAsia="Calibri" w:cs="Times New Roman"/>
          <w:lang w:val="en-GB"/>
        </w:rPr>
        <w:t>Hartig</w:t>
      </w:r>
      <w:proofErr w:type="spellEnd"/>
      <w:r w:rsidRPr="00901D0D">
        <w:rPr>
          <w:rFonts w:eastAsia="Calibri" w:cs="Times New Roman"/>
          <w:lang w:val="en-GB"/>
        </w:rPr>
        <w:t xml:space="preserve">, B., &amp; McKay, R. (2017). Analytic cognitive style predicts paranormal explanations of anomalous experiences but not the experiences themselves: Implications for cognitive theories of delusions. </w:t>
      </w:r>
      <w:r w:rsidRPr="00901D0D">
        <w:rPr>
          <w:rFonts w:eastAsia="Calibri" w:cs="Times New Roman"/>
          <w:i/>
          <w:lang w:val="en-GB"/>
        </w:rPr>
        <w:t xml:space="preserve">Journal of </w:t>
      </w:r>
      <w:proofErr w:type="spellStart"/>
      <w:r w:rsidRPr="00901D0D">
        <w:rPr>
          <w:rFonts w:eastAsia="Calibri" w:cs="Times New Roman"/>
          <w:i/>
          <w:lang w:val="en-GB"/>
        </w:rPr>
        <w:t>Behavior</w:t>
      </w:r>
      <w:proofErr w:type="spellEnd"/>
      <w:r w:rsidRPr="00901D0D">
        <w:rPr>
          <w:rFonts w:eastAsia="Calibri" w:cs="Times New Roman"/>
          <w:i/>
          <w:lang w:val="en-GB"/>
        </w:rPr>
        <w:t xml:space="preserve"> Therapy and Experimental Psychiatry, 56, </w:t>
      </w:r>
      <w:r w:rsidRPr="00901D0D">
        <w:rPr>
          <w:rFonts w:eastAsia="Calibri" w:cs="Times New Roman"/>
          <w:lang w:val="en-GB"/>
        </w:rPr>
        <w:t xml:space="preserve">90-96. </w:t>
      </w:r>
      <w:proofErr w:type="gramStart"/>
      <w:r w:rsidRPr="00901D0D">
        <w:rPr>
          <w:rFonts w:eastAsia="Calibri" w:cs="Times New Roman"/>
          <w:lang w:val="en-GB"/>
        </w:rPr>
        <w:t>doi:10.1016/j.jbtep</w:t>
      </w:r>
      <w:proofErr w:type="gramEnd"/>
      <w:r w:rsidRPr="00901D0D">
        <w:rPr>
          <w:rFonts w:eastAsia="Calibri" w:cs="Times New Roman"/>
          <w:lang w:val="en-GB"/>
        </w:rPr>
        <w:t>.2016.08.018</w:t>
      </w:r>
    </w:p>
    <w:p w14:paraId="096D5116" w14:textId="77777777" w:rsidR="00331C9E" w:rsidRPr="00901D0D" w:rsidRDefault="00331C9E" w:rsidP="00331C9E">
      <w:pPr>
        <w:ind w:left="720" w:hanging="720"/>
        <w:rPr>
          <w:lang w:val="en-GB"/>
        </w:rPr>
      </w:pPr>
      <w:proofErr w:type="spellStart"/>
      <w:r w:rsidRPr="00901D0D">
        <w:rPr>
          <w:lang w:val="en-GB"/>
        </w:rPr>
        <w:t>Ruscher</w:t>
      </w:r>
      <w:proofErr w:type="spellEnd"/>
      <w:r w:rsidRPr="00901D0D">
        <w:rPr>
          <w:lang w:val="en-GB"/>
        </w:rPr>
        <w:t xml:space="preserve">, J. B. (n.d.). </w:t>
      </w:r>
      <w:r w:rsidRPr="00901D0D">
        <w:rPr>
          <w:i/>
          <w:lang w:val="en-GB"/>
        </w:rPr>
        <w:t xml:space="preserve">Repeated measures multiple regression. </w:t>
      </w:r>
      <w:r w:rsidRPr="00901D0D">
        <w:rPr>
          <w:lang w:val="en-GB"/>
        </w:rPr>
        <w:t xml:space="preserve">Retrieved from </w:t>
      </w:r>
      <w:hyperlink r:id="rId11" w:history="1">
        <w:r w:rsidRPr="00901D0D">
          <w:rPr>
            <w:rStyle w:val="Hyperlink"/>
            <w:lang w:val="en-GB"/>
          </w:rPr>
          <w:t>http://www.tulane.edu/~PsycStat/ruscher/Psyc611/rmmr.pdf</w:t>
        </w:r>
      </w:hyperlink>
    </w:p>
    <w:p w14:paraId="08A3DF6A" w14:textId="40E8D815" w:rsidR="00CA0C84" w:rsidRPr="00CA0C84" w:rsidRDefault="00CA0C84" w:rsidP="00331C9E">
      <w:pPr>
        <w:ind w:left="720" w:hanging="720"/>
        <w:rPr>
          <w:lang w:val="en-GB"/>
        </w:rPr>
      </w:pPr>
      <w:r>
        <w:rPr>
          <w:lang w:val="en-GB"/>
        </w:rPr>
        <w:t xml:space="preserve">Sanchez, C. &amp; Dunning, D. (2018). Overconfidence among beginners: Is a little learning a dangerous thing? </w:t>
      </w:r>
      <w:r>
        <w:rPr>
          <w:i/>
          <w:lang w:val="en-GB"/>
        </w:rPr>
        <w:t>Journal of Personality and Social Psychology, 114</w:t>
      </w:r>
      <w:r>
        <w:rPr>
          <w:lang w:val="en-GB"/>
        </w:rPr>
        <w:t xml:space="preserve">, 10-28. </w:t>
      </w:r>
      <w:proofErr w:type="spellStart"/>
      <w:r>
        <w:rPr>
          <w:lang w:val="en-GB"/>
        </w:rPr>
        <w:t>doi</w:t>
      </w:r>
      <w:proofErr w:type="spellEnd"/>
      <w:r>
        <w:rPr>
          <w:lang w:val="en-GB"/>
        </w:rPr>
        <w:t>:</w:t>
      </w:r>
      <w:r w:rsidRPr="00CA0C84">
        <w:t xml:space="preserve"> </w:t>
      </w:r>
      <w:r w:rsidRPr="00CA0C84">
        <w:rPr>
          <w:lang w:val="en-GB"/>
        </w:rPr>
        <w:t>10.1037/pspa0000102</w:t>
      </w:r>
    </w:p>
    <w:p w14:paraId="03390144" w14:textId="48CCEAA3" w:rsidR="00331C9E" w:rsidRPr="00901D0D" w:rsidRDefault="00331C9E" w:rsidP="00331C9E">
      <w:pPr>
        <w:ind w:left="720" w:hanging="720"/>
        <w:rPr>
          <w:lang w:val="en-GB"/>
        </w:rPr>
      </w:pPr>
      <w:proofErr w:type="spellStart"/>
      <w:r w:rsidRPr="00901D0D">
        <w:rPr>
          <w:lang w:val="en-GB"/>
        </w:rPr>
        <w:t>Schulter</w:t>
      </w:r>
      <w:proofErr w:type="spellEnd"/>
      <w:r w:rsidRPr="00901D0D">
        <w:rPr>
          <w:lang w:val="en-GB"/>
        </w:rPr>
        <w:t xml:space="preserve">, G. &amp; </w:t>
      </w:r>
      <w:proofErr w:type="spellStart"/>
      <w:r w:rsidRPr="00901D0D">
        <w:rPr>
          <w:lang w:val="en-GB"/>
        </w:rPr>
        <w:t>Papousek</w:t>
      </w:r>
      <w:proofErr w:type="spellEnd"/>
      <w:r w:rsidRPr="00901D0D">
        <w:rPr>
          <w:lang w:val="en-GB"/>
        </w:rPr>
        <w:t>, I</w:t>
      </w:r>
      <w:r w:rsidR="00CA0C84">
        <w:rPr>
          <w:lang w:val="en-GB"/>
        </w:rPr>
        <w:t>.</w:t>
      </w:r>
      <w:r w:rsidRPr="00901D0D">
        <w:rPr>
          <w:lang w:val="en-GB"/>
        </w:rPr>
        <w:t xml:space="preserve"> (2008). Believing in paranormal phenomena: Relations to asymmetry of body and brain. </w:t>
      </w:r>
      <w:r w:rsidRPr="00901D0D">
        <w:rPr>
          <w:i/>
          <w:lang w:val="en-GB"/>
        </w:rPr>
        <w:t xml:space="preserve">Cortex, 44, </w:t>
      </w:r>
      <w:r w:rsidRPr="00901D0D">
        <w:rPr>
          <w:lang w:val="en-GB"/>
        </w:rPr>
        <w:t xml:space="preserve">1326-1335. </w:t>
      </w:r>
      <w:proofErr w:type="gramStart"/>
      <w:r w:rsidRPr="00901D0D">
        <w:rPr>
          <w:lang w:val="en-GB"/>
        </w:rPr>
        <w:t>doi:10.1016/j.cortex</w:t>
      </w:r>
      <w:proofErr w:type="gramEnd"/>
      <w:r w:rsidRPr="00901D0D">
        <w:rPr>
          <w:lang w:val="en-GB"/>
        </w:rPr>
        <w:t>.2007.08.022</w:t>
      </w:r>
    </w:p>
    <w:p w14:paraId="49D7EE7A" w14:textId="77777777" w:rsidR="00331C9E" w:rsidRPr="00901D0D" w:rsidRDefault="00331C9E" w:rsidP="00331C9E">
      <w:pPr>
        <w:spacing w:after="160"/>
        <w:ind w:left="720" w:hanging="720"/>
        <w:contextualSpacing/>
        <w:rPr>
          <w:rFonts w:eastAsia="Calibri" w:cs="Times New Roman"/>
          <w:lang w:val="en-GB"/>
        </w:rPr>
      </w:pPr>
      <w:r w:rsidRPr="00901D0D">
        <w:rPr>
          <w:rFonts w:eastAsia="Calibri" w:cs="Times New Roman"/>
          <w:lang w:val="en-GB"/>
        </w:rPr>
        <w:lastRenderedPageBreak/>
        <w:t xml:space="preserve">Shannon-Missal, L. (2013). Americans’ belief in god, miracles and heaven declines. </w:t>
      </w:r>
      <w:r w:rsidRPr="00901D0D">
        <w:rPr>
          <w:rFonts w:eastAsia="Calibri" w:cs="Times New Roman"/>
          <w:i/>
          <w:lang w:val="en-GB"/>
        </w:rPr>
        <w:t>Harris Interactive</w:t>
      </w:r>
      <w:r w:rsidRPr="00901D0D">
        <w:rPr>
          <w:rFonts w:eastAsia="Calibri" w:cs="Times New Roman"/>
          <w:lang w:val="en-GB"/>
        </w:rPr>
        <w:t>. Retrieved from http://www.theharrispoll.com/health-and-life/Americans__Belief_in_God__Miracles_and_Heaven_Declines.html</w:t>
      </w:r>
    </w:p>
    <w:p w14:paraId="4B1BD660" w14:textId="77777777" w:rsidR="00331C9E" w:rsidRPr="00901D0D" w:rsidRDefault="00331C9E" w:rsidP="00331C9E">
      <w:pPr>
        <w:ind w:left="720" w:hanging="720"/>
        <w:rPr>
          <w:lang w:val="en-GB"/>
        </w:rPr>
      </w:pPr>
      <w:r w:rsidRPr="00901D0D">
        <w:rPr>
          <w:lang w:val="en-GB"/>
        </w:rPr>
        <w:t xml:space="preserve">Siegrist, M. &amp; Keller, C. (2011). Natural frequencies and Bayesian reasoning: The impact of formal education and problem context. </w:t>
      </w:r>
      <w:r w:rsidRPr="00901D0D">
        <w:rPr>
          <w:i/>
          <w:lang w:val="en-GB"/>
        </w:rPr>
        <w:t xml:space="preserve">Journal of Risk Research, 14, </w:t>
      </w:r>
      <w:r w:rsidRPr="00901D0D">
        <w:rPr>
          <w:lang w:val="en-GB"/>
        </w:rPr>
        <w:t>1039-1055. doi:10.1080/13669877.2011.571786</w:t>
      </w:r>
    </w:p>
    <w:p w14:paraId="22303DD0" w14:textId="2FCECA30" w:rsidR="008F561A" w:rsidRPr="008F561A" w:rsidRDefault="008F561A" w:rsidP="00463128">
      <w:pPr>
        <w:spacing w:after="160"/>
        <w:ind w:left="720" w:hanging="720"/>
        <w:contextualSpacing/>
        <w:rPr>
          <w:lang w:val="en-GB"/>
        </w:rPr>
      </w:pPr>
      <w:r>
        <w:rPr>
          <w:lang w:val="en-GB"/>
        </w:rPr>
        <w:t xml:space="preserve">Simmonds-Moore, C. (2014). Exploring the perceptual biases associated with believing and disbelieving in paranormal phenomena. </w:t>
      </w:r>
      <w:r>
        <w:rPr>
          <w:i/>
          <w:lang w:val="en-GB"/>
        </w:rPr>
        <w:t xml:space="preserve">Consciousness and Cognition, 28, </w:t>
      </w:r>
      <w:r>
        <w:rPr>
          <w:lang w:val="en-GB"/>
        </w:rPr>
        <w:t xml:space="preserve">30-46. </w:t>
      </w:r>
      <w:proofErr w:type="gramStart"/>
      <w:r>
        <w:rPr>
          <w:lang w:val="en-GB"/>
        </w:rPr>
        <w:t>doi:</w:t>
      </w:r>
      <w:r w:rsidRPr="008F561A">
        <w:rPr>
          <w:lang w:val="en-GB"/>
        </w:rPr>
        <w:t>10.1016/j.concog</w:t>
      </w:r>
      <w:proofErr w:type="gramEnd"/>
      <w:r w:rsidRPr="008F561A">
        <w:rPr>
          <w:lang w:val="en-GB"/>
        </w:rPr>
        <w:t>.2014.06.004</w:t>
      </w:r>
    </w:p>
    <w:p w14:paraId="4A433B3B" w14:textId="79D958CA" w:rsidR="00463128" w:rsidRPr="00901D0D" w:rsidRDefault="00463128" w:rsidP="00463128">
      <w:pPr>
        <w:spacing w:after="160"/>
        <w:ind w:left="720" w:hanging="720"/>
        <w:contextualSpacing/>
        <w:rPr>
          <w:rFonts w:eastAsia="Calibri" w:cs="Times New Roman"/>
          <w:lang w:val="en-GB"/>
        </w:rPr>
      </w:pPr>
      <w:r w:rsidRPr="00901D0D">
        <w:rPr>
          <w:lang w:val="en-GB"/>
        </w:rPr>
        <w:t xml:space="preserve">Stanovich K. E., West, R. F., &amp; </w:t>
      </w:r>
      <w:proofErr w:type="spellStart"/>
      <w:r w:rsidRPr="00901D0D">
        <w:rPr>
          <w:lang w:val="en-GB"/>
        </w:rPr>
        <w:t>Toplak</w:t>
      </w:r>
      <w:proofErr w:type="spellEnd"/>
      <w:r w:rsidRPr="00901D0D">
        <w:rPr>
          <w:lang w:val="en-GB"/>
        </w:rPr>
        <w:t xml:space="preserve">, M. E. (2013). Myside bias, rational thinking, and intelligence. </w:t>
      </w:r>
      <w:r w:rsidRPr="00901D0D">
        <w:rPr>
          <w:i/>
          <w:lang w:val="en-GB"/>
        </w:rPr>
        <w:t xml:space="preserve">Current Directions in Psychological Science, 22, </w:t>
      </w:r>
      <w:r w:rsidRPr="00901D0D">
        <w:rPr>
          <w:lang w:val="en-GB"/>
        </w:rPr>
        <w:t>259-264. doi:10.1177/0963721413480174</w:t>
      </w:r>
    </w:p>
    <w:p w14:paraId="10441B7B" w14:textId="77777777" w:rsidR="00463128" w:rsidRPr="00901D0D" w:rsidRDefault="00463128" w:rsidP="00463128">
      <w:pPr>
        <w:ind w:left="720" w:hanging="720"/>
        <w:rPr>
          <w:rFonts w:eastAsia="Times New Roman" w:cs="Times New Roman"/>
          <w:i/>
          <w:iCs/>
          <w:szCs w:val="24"/>
          <w:lang w:val="en-GB" w:eastAsia="en-AU"/>
        </w:rPr>
      </w:pPr>
      <w:proofErr w:type="spellStart"/>
      <w:r w:rsidRPr="00901D0D">
        <w:rPr>
          <w:rFonts w:eastAsia="Times New Roman" w:cs="Times New Roman"/>
          <w:szCs w:val="24"/>
          <w:lang w:val="en-GB" w:eastAsia="en-AU"/>
        </w:rPr>
        <w:t>Steiger</w:t>
      </w:r>
      <w:proofErr w:type="spellEnd"/>
      <w:r w:rsidRPr="00901D0D">
        <w:rPr>
          <w:rFonts w:eastAsia="Times New Roman" w:cs="Times New Roman"/>
          <w:szCs w:val="24"/>
          <w:lang w:val="en-GB" w:eastAsia="en-AU"/>
        </w:rPr>
        <w:t xml:space="preserve">, J.H. (1980). Tests for comparing elements of a correlation matrix. </w:t>
      </w:r>
      <w:r w:rsidRPr="00901D0D">
        <w:rPr>
          <w:rFonts w:eastAsia="Times New Roman" w:cs="Times New Roman"/>
          <w:i/>
          <w:iCs/>
          <w:szCs w:val="24"/>
          <w:lang w:val="en-GB" w:eastAsia="en-AU"/>
        </w:rPr>
        <w:t xml:space="preserve">Psychological Bulletin, 87, </w:t>
      </w:r>
      <w:r w:rsidRPr="00901D0D">
        <w:rPr>
          <w:rFonts w:eastAsia="Times New Roman" w:cs="Times New Roman"/>
          <w:szCs w:val="24"/>
          <w:lang w:val="en-GB" w:eastAsia="en-AU"/>
        </w:rPr>
        <w:t>245-251.</w:t>
      </w:r>
    </w:p>
    <w:p w14:paraId="47C518D5" w14:textId="77777777" w:rsidR="00463128" w:rsidRPr="00901D0D" w:rsidRDefault="00463128" w:rsidP="00463128">
      <w:pPr>
        <w:spacing w:after="160"/>
        <w:ind w:left="720" w:hanging="720"/>
        <w:contextualSpacing/>
        <w:rPr>
          <w:rFonts w:eastAsia="Calibri" w:cs="Times New Roman"/>
          <w:lang w:val="en-GB"/>
        </w:rPr>
      </w:pPr>
      <w:proofErr w:type="spellStart"/>
      <w:r w:rsidRPr="00901D0D">
        <w:rPr>
          <w:rFonts w:eastAsia="Calibri" w:cs="Times New Roman"/>
          <w:lang w:val="en-GB"/>
        </w:rPr>
        <w:t>Thalbourne</w:t>
      </w:r>
      <w:proofErr w:type="spellEnd"/>
      <w:r w:rsidRPr="00901D0D">
        <w:rPr>
          <w:rFonts w:eastAsia="Calibri" w:cs="Times New Roman"/>
          <w:lang w:val="en-GB"/>
        </w:rPr>
        <w:t xml:space="preserve">, M. A., &amp; </w:t>
      </w:r>
      <w:proofErr w:type="spellStart"/>
      <w:r w:rsidRPr="00901D0D">
        <w:rPr>
          <w:rFonts w:eastAsia="Calibri" w:cs="Times New Roman"/>
          <w:lang w:val="en-GB"/>
        </w:rPr>
        <w:t>Delin</w:t>
      </w:r>
      <w:proofErr w:type="spellEnd"/>
      <w:r w:rsidRPr="00901D0D">
        <w:rPr>
          <w:rFonts w:eastAsia="Calibri" w:cs="Times New Roman"/>
          <w:lang w:val="en-GB"/>
        </w:rPr>
        <w:t xml:space="preserve">, P. S. (1993). A new instrument for measuring the sheep-goat variable: Its psychometric properties and factor structure. </w:t>
      </w:r>
      <w:r w:rsidRPr="00901D0D">
        <w:rPr>
          <w:rFonts w:eastAsia="Calibri" w:cs="Times New Roman"/>
          <w:i/>
          <w:lang w:val="en-GB"/>
        </w:rPr>
        <w:t>Journal of the Society for Psychical Research, 59,</w:t>
      </w:r>
      <w:r w:rsidRPr="00901D0D">
        <w:rPr>
          <w:rFonts w:eastAsia="Calibri" w:cs="Times New Roman"/>
          <w:lang w:val="en-GB"/>
        </w:rPr>
        <w:t xml:space="preserve"> 172–186. Retrieved from </w:t>
      </w:r>
      <w:hyperlink r:id="rId12" w:history="1">
        <w:r w:rsidRPr="00901D0D">
          <w:rPr>
            <w:rStyle w:val="Hyperlink"/>
            <w:rFonts w:eastAsia="Calibri" w:cs="Times New Roman"/>
            <w:lang w:val="en-GB"/>
          </w:rPr>
          <w:t>http://www.spr.ac.uk/page/spr-publications-parapsychology</w:t>
        </w:r>
      </w:hyperlink>
    </w:p>
    <w:p w14:paraId="6F567FFD" w14:textId="77777777" w:rsidR="00463128" w:rsidRPr="00901D0D" w:rsidRDefault="00463128" w:rsidP="00463128">
      <w:pPr>
        <w:spacing w:after="160"/>
        <w:ind w:left="720" w:hanging="720"/>
        <w:contextualSpacing/>
        <w:rPr>
          <w:rFonts w:eastAsia="Calibri" w:cs="Times New Roman"/>
          <w:lang w:val="en-GB"/>
        </w:rPr>
      </w:pPr>
      <w:proofErr w:type="spellStart"/>
      <w:r w:rsidRPr="00901D0D">
        <w:rPr>
          <w:rFonts w:eastAsia="Calibri" w:cs="Times New Roman"/>
          <w:lang w:val="en-GB"/>
        </w:rPr>
        <w:t>Tobacyk</w:t>
      </w:r>
      <w:proofErr w:type="spellEnd"/>
      <w:r w:rsidRPr="00901D0D">
        <w:rPr>
          <w:rFonts w:eastAsia="Calibri" w:cs="Times New Roman"/>
          <w:lang w:val="en-GB"/>
        </w:rPr>
        <w:t xml:space="preserve">, J. J. (2004). A revised paranormal belief scale. </w:t>
      </w:r>
      <w:r w:rsidRPr="00901D0D">
        <w:rPr>
          <w:rFonts w:eastAsia="Calibri" w:cs="Times New Roman"/>
          <w:i/>
          <w:lang w:val="en-GB"/>
        </w:rPr>
        <w:t>The International Journal of Transpersonal Studies, 23,</w:t>
      </w:r>
      <w:r w:rsidRPr="00901D0D">
        <w:rPr>
          <w:rFonts w:eastAsia="Calibri" w:cs="Times New Roman"/>
          <w:lang w:val="en-GB"/>
        </w:rPr>
        <w:t xml:space="preserve"> 94–99. Retrieved from http://www.transpersonalstudies.org/</w:t>
      </w:r>
    </w:p>
    <w:p w14:paraId="51F5637B" w14:textId="77777777" w:rsidR="005F484F" w:rsidRDefault="005F484F" w:rsidP="005F484F">
      <w:pPr>
        <w:spacing w:after="160"/>
        <w:ind w:left="720" w:hanging="720"/>
        <w:contextualSpacing/>
        <w:rPr>
          <w:rFonts w:eastAsia="Calibri" w:cs="Times New Roman"/>
          <w:lang w:val="en-GB"/>
        </w:rPr>
      </w:pPr>
      <w:r>
        <w:rPr>
          <w:rFonts w:eastAsia="Calibri" w:cs="Times New Roman"/>
          <w:lang w:val="en-GB"/>
        </w:rPr>
        <w:t xml:space="preserve">Tversky, A. &amp; Kahneman, D. (1974) Judgment under uncertainty: Heuristics and biases, </w:t>
      </w:r>
      <w:r>
        <w:rPr>
          <w:rFonts w:eastAsia="Calibri" w:cs="Times New Roman"/>
          <w:i/>
          <w:lang w:val="en-GB"/>
        </w:rPr>
        <w:t>Science, 185</w:t>
      </w:r>
      <w:r>
        <w:rPr>
          <w:rFonts w:eastAsia="Calibri" w:cs="Times New Roman"/>
          <w:lang w:val="en-GB"/>
        </w:rPr>
        <w:t>, 1124 –31. doi:10.1126/science.185.4157.1124</w:t>
      </w:r>
    </w:p>
    <w:p w14:paraId="102483E0" w14:textId="7DB97933" w:rsidR="00463128" w:rsidRPr="00901D0D" w:rsidRDefault="00463128" w:rsidP="00463128">
      <w:pPr>
        <w:ind w:left="720" w:hanging="720"/>
        <w:contextualSpacing/>
        <w:rPr>
          <w:rFonts w:eastAsia="Calibri" w:cs="Times New Roman"/>
          <w:lang w:val="en-GB"/>
        </w:rPr>
      </w:pPr>
      <w:r w:rsidRPr="005876BE">
        <w:rPr>
          <w:lang w:val="es-ES"/>
        </w:rPr>
        <w:lastRenderedPageBreak/>
        <w:t xml:space="preserve">Van </w:t>
      </w:r>
      <w:proofErr w:type="spellStart"/>
      <w:r w:rsidRPr="005876BE">
        <w:rPr>
          <w:lang w:val="es-ES"/>
        </w:rPr>
        <w:t>Prooijen</w:t>
      </w:r>
      <w:proofErr w:type="spellEnd"/>
      <w:r w:rsidRPr="005876BE">
        <w:rPr>
          <w:lang w:val="es-ES"/>
        </w:rPr>
        <w:t xml:space="preserve">, J. W., Douglas, K. M., &amp; De Inocencio, C. (2018). </w:t>
      </w:r>
      <w:r w:rsidRPr="00901D0D">
        <w:rPr>
          <w:lang w:val="en-GB"/>
        </w:rPr>
        <w:t xml:space="preserve">Connecting the dots: Illusory pattern perception predicts belief in conspiracies and the supernatural. </w:t>
      </w:r>
      <w:r w:rsidRPr="00901D0D">
        <w:rPr>
          <w:i/>
          <w:lang w:val="en-GB"/>
        </w:rPr>
        <w:t xml:space="preserve">European Journal of Social Psychology, 48, </w:t>
      </w:r>
      <w:r w:rsidRPr="00901D0D">
        <w:rPr>
          <w:lang w:val="en-GB"/>
        </w:rPr>
        <w:t>320-335. doi:10.1002/ejsp.2331</w:t>
      </w:r>
    </w:p>
    <w:p w14:paraId="7C0F3782" w14:textId="77777777" w:rsidR="005853CE" w:rsidRDefault="005853CE" w:rsidP="005853CE">
      <w:pPr>
        <w:spacing w:after="160"/>
        <w:ind w:left="720" w:hanging="720"/>
        <w:contextualSpacing/>
        <w:rPr>
          <w:rFonts w:eastAsia="Calibri" w:cs="Times New Roman"/>
          <w:lang w:val="en-GB"/>
        </w:rPr>
      </w:pPr>
      <w:proofErr w:type="spellStart"/>
      <w:r>
        <w:rPr>
          <w:lang w:val="en-GB"/>
        </w:rPr>
        <w:t>Wagenaar</w:t>
      </w:r>
      <w:proofErr w:type="spellEnd"/>
      <w:r>
        <w:rPr>
          <w:lang w:val="en-GB"/>
        </w:rPr>
        <w:t xml:space="preserve">, W. A. (1970). Subjective randomness and the capacity to generate information, </w:t>
      </w:r>
      <w:r>
        <w:rPr>
          <w:i/>
          <w:lang w:val="en-GB"/>
        </w:rPr>
        <w:t xml:space="preserve">Acta </w:t>
      </w:r>
      <w:proofErr w:type="spellStart"/>
      <w:r>
        <w:rPr>
          <w:i/>
          <w:lang w:val="en-GB"/>
        </w:rPr>
        <w:t>Psychologica</w:t>
      </w:r>
      <w:proofErr w:type="spellEnd"/>
      <w:r>
        <w:rPr>
          <w:i/>
          <w:lang w:val="en-GB"/>
        </w:rPr>
        <w:t xml:space="preserve">, 33, </w:t>
      </w:r>
      <w:r>
        <w:rPr>
          <w:lang w:val="en-GB"/>
        </w:rPr>
        <w:t>233-242. doi:10.1016/0001-6918(70)90135-6</w:t>
      </w:r>
    </w:p>
    <w:p w14:paraId="38D79BF6" w14:textId="77777777" w:rsidR="00463128" w:rsidRPr="00901D0D" w:rsidRDefault="00463128" w:rsidP="00463128">
      <w:pPr>
        <w:spacing w:after="160"/>
        <w:ind w:left="720" w:hanging="720"/>
        <w:contextualSpacing/>
        <w:rPr>
          <w:rFonts w:eastAsia="Calibri" w:cs="Times New Roman"/>
          <w:lang w:val="en-GB"/>
        </w:rPr>
      </w:pPr>
      <w:proofErr w:type="spellStart"/>
      <w:r w:rsidRPr="00901D0D">
        <w:rPr>
          <w:rFonts w:eastAsia="Calibri" w:cs="Times New Roman"/>
          <w:lang w:val="en-GB"/>
        </w:rPr>
        <w:t>Wagenmakers</w:t>
      </w:r>
      <w:proofErr w:type="spellEnd"/>
      <w:r w:rsidRPr="00901D0D">
        <w:rPr>
          <w:rFonts w:eastAsia="Calibri" w:cs="Times New Roman"/>
          <w:lang w:val="en-GB"/>
        </w:rPr>
        <w:t xml:space="preserve">, E. J. (2007). A practical solution to the pervasive problems of p values. </w:t>
      </w:r>
      <w:r w:rsidRPr="00942056">
        <w:rPr>
          <w:rFonts w:eastAsia="Calibri" w:cs="Times New Roman"/>
          <w:i/>
          <w:lang w:val="en-GB"/>
        </w:rPr>
        <w:t>Psychonomic Bulletin and Review, 14</w:t>
      </w:r>
      <w:r w:rsidRPr="00901D0D">
        <w:rPr>
          <w:rFonts w:eastAsia="Calibri" w:cs="Times New Roman"/>
          <w:lang w:val="en-GB"/>
        </w:rPr>
        <w:t>, 779–804. doi:10.3758/BF03194105</w:t>
      </w:r>
    </w:p>
    <w:p w14:paraId="2EB5F9B7" w14:textId="77777777" w:rsidR="001D29B9" w:rsidRPr="001D29B9" w:rsidRDefault="001D29B9" w:rsidP="001D29B9">
      <w:pPr>
        <w:ind w:left="720" w:hanging="720"/>
        <w:rPr>
          <w:rFonts w:eastAsia="Arial" w:cs="Times New Roman"/>
          <w:lang w:val="en-GB"/>
        </w:rPr>
      </w:pPr>
      <w:proofErr w:type="spellStart"/>
      <w:r w:rsidRPr="001D29B9">
        <w:rPr>
          <w:rFonts w:eastAsia="Arial" w:cs="Times New Roman"/>
          <w:lang w:val="en-GB"/>
        </w:rPr>
        <w:t>Wierzbicki</w:t>
      </w:r>
      <w:proofErr w:type="spellEnd"/>
      <w:r w:rsidRPr="001D29B9">
        <w:rPr>
          <w:rFonts w:eastAsia="Arial" w:cs="Times New Roman"/>
          <w:lang w:val="en-GB"/>
        </w:rPr>
        <w:t xml:space="preserve">, M. (1985). Reasoning errors and belief in the paranormal. </w:t>
      </w:r>
      <w:r w:rsidRPr="001D29B9">
        <w:rPr>
          <w:rFonts w:eastAsia="Arial" w:cs="Times New Roman"/>
          <w:i/>
          <w:lang w:val="en-GB"/>
        </w:rPr>
        <w:t>The Journal of Social Psychology, 125,</w:t>
      </w:r>
      <w:r w:rsidRPr="001D29B9">
        <w:rPr>
          <w:rFonts w:eastAsia="Arial" w:cs="Times New Roman"/>
          <w:lang w:val="en-GB"/>
        </w:rPr>
        <w:t xml:space="preserve"> 489-494. doi:10.1080/00224545.1985.9713529</w:t>
      </w:r>
    </w:p>
    <w:p w14:paraId="26A86262" w14:textId="71BA3E44" w:rsidR="00331C9E" w:rsidRPr="00901D0D" w:rsidRDefault="00331C9E" w:rsidP="00331C9E">
      <w:pPr>
        <w:ind w:left="720" w:hanging="720"/>
        <w:rPr>
          <w:lang w:val="en-GB"/>
        </w:rPr>
      </w:pPr>
      <w:r w:rsidRPr="00901D0D">
        <w:rPr>
          <w:lang w:val="en-GB"/>
        </w:rPr>
        <w:t xml:space="preserve">Wilke, A., </w:t>
      </w:r>
      <w:proofErr w:type="spellStart"/>
      <w:r w:rsidRPr="00901D0D">
        <w:rPr>
          <w:lang w:val="en-GB"/>
        </w:rPr>
        <w:t>Scheibehenne</w:t>
      </w:r>
      <w:proofErr w:type="spellEnd"/>
      <w:r w:rsidRPr="00901D0D">
        <w:rPr>
          <w:lang w:val="en-GB"/>
        </w:rPr>
        <w:t xml:space="preserve">, B., </w:t>
      </w:r>
      <w:proofErr w:type="spellStart"/>
      <w:r w:rsidRPr="00901D0D">
        <w:rPr>
          <w:lang w:val="en-GB"/>
        </w:rPr>
        <w:t>Gaissmaier</w:t>
      </w:r>
      <w:proofErr w:type="spellEnd"/>
      <w:r w:rsidRPr="00901D0D">
        <w:rPr>
          <w:lang w:val="en-GB"/>
        </w:rPr>
        <w:t xml:space="preserve">, W., </w:t>
      </w:r>
      <w:proofErr w:type="spellStart"/>
      <w:r w:rsidRPr="00901D0D">
        <w:rPr>
          <w:lang w:val="en-GB"/>
        </w:rPr>
        <w:t>McCanney</w:t>
      </w:r>
      <w:proofErr w:type="spellEnd"/>
      <w:r w:rsidRPr="00901D0D">
        <w:rPr>
          <w:lang w:val="en-GB"/>
        </w:rPr>
        <w:t xml:space="preserve">, P., &amp; Barrett, H. C. (2014). Illusionary pattern detection in habitual gamblers. </w:t>
      </w:r>
      <w:r w:rsidRPr="00901D0D">
        <w:rPr>
          <w:i/>
          <w:lang w:val="en-GB"/>
        </w:rPr>
        <w:t xml:space="preserve">Evolution and Human </w:t>
      </w:r>
      <w:proofErr w:type="spellStart"/>
      <w:r w:rsidRPr="00901D0D">
        <w:rPr>
          <w:i/>
          <w:lang w:val="en-GB"/>
        </w:rPr>
        <w:t>Behavior</w:t>
      </w:r>
      <w:proofErr w:type="spellEnd"/>
      <w:r w:rsidRPr="00901D0D">
        <w:rPr>
          <w:i/>
          <w:lang w:val="en-GB"/>
        </w:rPr>
        <w:t xml:space="preserve">, 35, </w:t>
      </w:r>
      <w:r w:rsidRPr="00901D0D">
        <w:rPr>
          <w:lang w:val="en-GB"/>
        </w:rPr>
        <w:t xml:space="preserve">291-297. </w:t>
      </w:r>
      <w:proofErr w:type="gramStart"/>
      <w:r w:rsidRPr="00901D0D">
        <w:rPr>
          <w:lang w:val="en-GB"/>
        </w:rPr>
        <w:t>doi:10.1016/j.evolhumbehav</w:t>
      </w:r>
      <w:proofErr w:type="gramEnd"/>
      <w:r w:rsidRPr="00901D0D">
        <w:rPr>
          <w:lang w:val="en-GB"/>
        </w:rPr>
        <w:t>.2014.02.010</w:t>
      </w:r>
    </w:p>
    <w:p w14:paraId="4286FD97" w14:textId="77777777" w:rsidR="00463128" w:rsidRPr="00901D0D" w:rsidRDefault="00463128" w:rsidP="00463128">
      <w:pPr>
        <w:spacing w:after="160"/>
        <w:ind w:left="720" w:hanging="720"/>
        <w:contextualSpacing/>
        <w:rPr>
          <w:rFonts w:eastAsia="Calibri" w:cs="Times New Roman"/>
          <w:lang w:val="en-GB"/>
        </w:rPr>
      </w:pPr>
      <w:r w:rsidRPr="00901D0D">
        <w:rPr>
          <w:rFonts w:eastAsia="Calibri" w:cs="Times New Roman"/>
          <w:lang w:val="en-GB"/>
        </w:rPr>
        <w:t xml:space="preserve">Wiseman, R., &amp; Watt, C. (2006). Belief in psychic ability and the misattribution hypothesis: A qualitative review. </w:t>
      </w:r>
      <w:r w:rsidRPr="00901D0D">
        <w:rPr>
          <w:rFonts w:eastAsia="Calibri" w:cs="Times New Roman"/>
          <w:i/>
          <w:lang w:val="en-GB"/>
        </w:rPr>
        <w:t>British Journal of Psychology, 97,</w:t>
      </w:r>
      <w:r w:rsidRPr="00901D0D">
        <w:rPr>
          <w:rFonts w:eastAsia="Calibri" w:cs="Times New Roman"/>
          <w:lang w:val="en-GB"/>
        </w:rPr>
        <w:t xml:space="preserve"> 323–338. doi:10.1348/000712605X72523</w:t>
      </w:r>
    </w:p>
    <w:p w14:paraId="1C444B57" w14:textId="77777777" w:rsidR="00331C9E" w:rsidRPr="00901D0D" w:rsidRDefault="00331C9E" w:rsidP="00331C9E">
      <w:pPr>
        <w:ind w:left="720" w:hanging="720"/>
        <w:rPr>
          <w:lang w:val="en-GB"/>
        </w:rPr>
      </w:pPr>
      <w:r w:rsidRPr="00901D0D">
        <w:rPr>
          <w:lang w:val="en-GB"/>
        </w:rPr>
        <w:t xml:space="preserve">Xu J. &amp; Harvey, N. (2014). Carry on winning: The gamblers’ fallacy creates hot hand effects in online gambling, </w:t>
      </w:r>
      <w:r w:rsidRPr="00901D0D">
        <w:rPr>
          <w:i/>
          <w:lang w:val="en-GB"/>
        </w:rPr>
        <w:t xml:space="preserve">Cognition, 131, </w:t>
      </w:r>
      <w:r w:rsidRPr="00901D0D">
        <w:rPr>
          <w:lang w:val="en-GB"/>
        </w:rPr>
        <w:t xml:space="preserve">173-180. </w:t>
      </w:r>
      <w:proofErr w:type="gramStart"/>
      <w:r w:rsidRPr="00901D0D">
        <w:rPr>
          <w:lang w:val="en-GB"/>
        </w:rPr>
        <w:t>doi:10.1016/j.cognition</w:t>
      </w:r>
      <w:proofErr w:type="gramEnd"/>
      <w:r w:rsidRPr="00901D0D">
        <w:rPr>
          <w:lang w:val="en-GB"/>
        </w:rPr>
        <w:t>.2014.01.002</w:t>
      </w:r>
    </w:p>
    <w:p w14:paraId="030AFDA9" w14:textId="77777777" w:rsidR="00331C9E" w:rsidRPr="00901D0D" w:rsidRDefault="00331C9E" w:rsidP="00331C9E">
      <w:pPr>
        <w:ind w:left="720" w:hanging="720"/>
        <w:rPr>
          <w:lang w:val="en-GB"/>
        </w:rPr>
      </w:pPr>
      <w:r w:rsidRPr="00901D0D">
        <w:rPr>
          <w:lang w:val="en-GB"/>
        </w:rPr>
        <w:t>Yakovenko, I., Hodgins, D. C., el-</w:t>
      </w:r>
      <w:proofErr w:type="spellStart"/>
      <w:r w:rsidRPr="00901D0D">
        <w:rPr>
          <w:lang w:val="en-GB"/>
        </w:rPr>
        <w:t>Guebaly</w:t>
      </w:r>
      <w:proofErr w:type="spellEnd"/>
      <w:r w:rsidRPr="00901D0D">
        <w:rPr>
          <w:lang w:val="en-GB"/>
        </w:rPr>
        <w:t xml:space="preserve">, N., Casey, D. M., Currie, S. R., Smith, G. J., Williams, R. J., &amp; </w:t>
      </w:r>
      <w:proofErr w:type="spellStart"/>
      <w:r w:rsidRPr="00901D0D">
        <w:rPr>
          <w:lang w:val="en-GB"/>
        </w:rPr>
        <w:t>Schopflocher</w:t>
      </w:r>
      <w:proofErr w:type="spellEnd"/>
      <w:r w:rsidRPr="00901D0D">
        <w:rPr>
          <w:lang w:val="en-GB"/>
        </w:rPr>
        <w:t xml:space="preserve">, D. P. (2016). Cognitive distortions predict future gambling involvement, </w:t>
      </w:r>
      <w:r w:rsidRPr="00901D0D">
        <w:rPr>
          <w:i/>
          <w:lang w:val="en-GB"/>
        </w:rPr>
        <w:t xml:space="preserve">International Gambling Studies, 16, </w:t>
      </w:r>
      <w:r w:rsidRPr="00901D0D">
        <w:rPr>
          <w:lang w:val="en-GB"/>
        </w:rPr>
        <w:t>175-192. doi:10.1080/14459795.2016.1147592</w:t>
      </w:r>
    </w:p>
    <w:p w14:paraId="10447ABB" w14:textId="77777777" w:rsidR="00331C9E" w:rsidRPr="00901D0D" w:rsidRDefault="00331C9E" w:rsidP="00463128">
      <w:pPr>
        <w:ind w:left="720" w:hanging="720"/>
        <w:rPr>
          <w:lang w:val="en-GB"/>
        </w:rPr>
      </w:pPr>
    </w:p>
    <w:p w14:paraId="2E251E59" w14:textId="77777777" w:rsidR="00331C9E" w:rsidRPr="00901D0D" w:rsidRDefault="00331C9E" w:rsidP="00463128">
      <w:pPr>
        <w:ind w:left="720" w:hanging="720"/>
        <w:rPr>
          <w:lang w:val="en-GB"/>
        </w:rPr>
      </w:pPr>
    </w:p>
    <w:p w14:paraId="6B6F242B" w14:textId="77777777" w:rsidR="008A5714" w:rsidRPr="00901D0D" w:rsidRDefault="008A5714">
      <w:pPr>
        <w:spacing w:after="200" w:line="276" w:lineRule="auto"/>
        <w:ind w:firstLine="0"/>
        <w:rPr>
          <w:rFonts w:eastAsiaTheme="majorEastAsia" w:cs="Times New Roman"/>
          <w:bCs/>
          <w:szCs w:val="24"/>
          <w:lang w:val="en-GB"/>
        </w:rPr>
      </w:pPr>
      <w:r w:rsidRPr="00901D0D">
        <w:rPr>
          <w:b/>
          <w:lang w:val="en-GB"/>
        </w:rPr>
        <w:br w:type="page"/>
      </w:r>
    </w:p>
    <w:p w14:paraId="44BDA189" w14:textId="6B670D1E" w:rsidR="007D6BF3" w:rsidRPr="00901D0D" w:rsidRDefault="007D6BF3" w:rsidP="007D6BF3">
      <w:pPr>
        <w:pStyle w:val="Heading1"/>
        <w:jc w:val="center"/>
        <w:rPr>
          <w:lang w:val="en-GB"/>
        </w:rPr>
      </w:pPr>
      <w:r w:rsidRPr="00901D0D">
        <w:rPr>
          <w:b w:val="0"/>
          <w:lang w:val="en-GB"/>
        </w:rPr>
        <w:lastRenderedPageBreak/>
        <w:t>Footnotes</w:t>
      </w:r>
    </w:p>
    <w:p w14:paraId="54FC3609" w14:textId="7E02F9A2" w:rsidR="00516392" w:rsidRPr="00901D0D" w:rsidRDefault="00516392" w:rsidP="00852C4A">
      <w:pPr>
        <w:tabs>
          <w:tab w:val="left" w:pos="3466"/>
        </w:tabs>
        <w:rPr>
          <w:lang w:val="en-GB"/>
        </w:rPr>
      </w:pPr>
      <w:r w:rsidRPr="00901D0D">
        <w:rPr>
          <w:vertAlign w:val="superscript"/>
          <w:lang w:val="en-GB"/>
        </w:rPr>
        <w:t xml:space="preserve">1 </w:t>
      </w:r>
      <w:proofErr w:type="spellStart"/>
      <w:r w:rsidR="002932C9" w:rsidRPr="00901D0D">
        <w:rPr>
          <w:lang w:val="en-GB"/>
        </w:rPr>
        <w:t>Dagnall</w:t>
      </w:r>
      <w:proofErr w:type="spellEnd"/>
      <w:r w:rsidR="002932C9" w:rsidRPr="00901D0D">
        <w:rPr>
          <w:lang w:val="en-GB"/>
        </w:rPr>
        <w:t xml:space="preserve"> et al. (2016) did not report whether the correlations were </w:t>
      </w:r>
      <w:r w:rsidR="009326E7">
        <w:rPr>
          <w:lang w:val="en-GB"/>
        </w:rPr>
        <w:t xml:space="preserve">statistically </w:t>
      </w:r>
      <w:r w:rsidR="002932C9" w:rsidRPr="00901D0D">
        <w:rPr>
          <w:lang w:val="en-GB"/>
        </w:rPr>
        <w:t>significantly different</w:t>
      </w:r>
      <w:r w:rsidR="0021285B" w:rsidRPr="00901D0D">
        <w:rPr>
          <w:lang w:val="en-GB"/>
        </w:rPr>
        <w:t>, h</w:t>
      </w:r>
      <w:r w:rsidR="002932C9" w:rsidRPr="00901D0D">
        <w:rPr>
          <w:lang w:val="en-GB"/>
        </w:rPr>
        <w:t xml:space="preserve">owever, </w:t>
      </w:r>
      <w:r w:rsidR="003561A8" w:rsidRPr="00901D0D">
        <w:rPr>
          <w:lang w:val="en-GB"/>
        </w:rPr>
        <w:t xml:space="preserve">we tested </w:t>
      </w:r>
      <w:r w:rsidR="003B575A" w:rsidRPr="00901D0D">
        <w:rPr>
          <w:lang w:val="en-GB"/>
        </w:rPr>
        <w:t>if they</w:t>
      </w:r>
      <w:r w:rsidR="009326E7">
        <w:rPr>
          <w:lang w:val="en-GB"/>
        </w:rPr>
        <w:t xml:space="preserve"> statistically</w:t>
      </w:r>
      <w:r w:rsidR="003B575A" w:rsidRPr="00901D0D">
        <w:rPr>
          <w:lang w:val="en-GB"/>
        </w:rPr>
        <w:t xml:space="preserve"> significantly differed</w:t>
      </w:r>
      <w:r w:rsidRPr="00901D0D">
        <w:rPr>
          <w:lang w:val="en-GB"/>
        </w:rPr>
        <w:t xml:space="preserve"> </w:t>
      </w:r>
      <w:r w:rsidR="00AD3511" w:rsidRPr="00901D0D">
        <w:rPr>
          <w:lang w:val="en-GB"/>
        </w:rPr>
        <w:t xml:space="preserve">using methods outlined in </w:t>
      </w:r>
      <w:proofErr w:type="spellStart"/>
      <w:r w:rsidR="00AD3511" w:rsidRPr="00901D0D">
        <w:rPr>
          <w:lang w:val="en-GB"/>
        </w:rPr>
        <w:t>St</w:t>
      </w:r>
      <w:r w:rsidR="00B80E4C" w:rsidRPr="00901D0D">
        <w:rPr>
          <w:lang w:val="en-GB"/>
        </w:rPr>
        <w:t>ei</w:t>
      </w:r>
      <w:r w:rsidR="00AD3511" w:rsidRPr="00901D0D">
        <w:rPr>
          <w:lang w:val="en-GB"/>
        </w:rPr>
        <w:t>ger</w:t>
      </w:r>
      <w:proofErr w:type="spellEnd"/>
      <w:r w:rsidR="00AD3511" w:rsidRPr="00901D0D">
        <w:rPr>
          <w:lang w:val="en-GB"/>
        </w:rPr>
        <w:t xml:space="preserve"> (1980)</w:t>
      </w:r>
      <w:r w:rsidRPr="00901D0D">
        <w:rPr>
          <w:lang w:val="en-GB"/>
        </w:rPr>
        <w:t>.</w:t>
      </w:r>
    </w:p>
    <w:p w14:paraId="020DFCC9" w14:textId="6DFE44F6" w:rsidR="00516392" w:rsidRPr="00901D0D" w:rsidRDefault="00516392" w:rsidP="00852C4A">
      <w:pPr>
        <w:tabs>
          <w:tab w:val="left" w:pos="3466"/>
        </w:tabs>
        <w:rPr>
          <w:lang w:val="en-GB"/>
        </w:rPr>
      </w:pPr>
      <w:r w:rsidRPr="00901D0D">
        <w:rPr>
          <w:vertAlign w:val="superscript"/>
          <w:lang w:val="en-GB"/>
        </w:rPr>
        <w:t xml:space="preserve">2 </w:t>
      </w:r>
      <w:r w:rsidR="002A5F72" w:rsidRPr="00901D0D">
        <w:rPr>
          <w:lang w:val="en-GB"/>
        </w:rPr>
        <w:t xml:space="preserve">The difference between correlations again </w:t>
      </w:r>
      <w:r w:rsidR="001828A9" w:rsidRPr="00901D0D">
        <w:rPr>
          <w:lang w:val="en-GB"/>
        </w:rPr>
        <w:t xml:space="preserve">was </w:t>
      </w:r>
      <w:r w:rsidR="002A5F72" w:rsidRPr="00901D0D">
        <w:rPr>
          <w:lang w:val="en-GB"/>
        </w:rPr>
        <w:t xml:space="preserve">not reported in </w:t>
      </w:r>
      <w:proofErr w:type="spellStart"/>
      <w:r w:rsidR="002A5F72" w:rsidRPr="00901D0D">
        <w:rPr>
          <w:lang w:val="en-GB"/>
        </w:rPr>
        <w:t>Dagnall</w:t>
      </w:r>
      <w:proofErr w:type="spellEnd"/>
      <w:r w:rsidR="002A5F72" w:rsidRPr="00901D0D">
        <w:rPr>
          <w:lang w:val="en-GB"/>
        </w:rPr>
        <w:t xml:space="preserve"> et al. (2016)</w:t>
      </w:r>
      <w:r w:rsidR="001828A9" w:rsidRPr="00901D0D">
        <w:rPr>
          <w:lang w:val="en-GB"/>
        </w:rPr>
        <w:t xml:space="preserve">, thus we tested </w:t>
      </w:r>
      <w:r w:rsidR="003B575A" w:rsidRPr="00901D0D">
        <w:rPr>
          <w:lang w:val="en-GB"/>
        </w:rPr>
        <w:t xml:space="preserve">if they </w:t>
      </w:r>
      <w:r w:rsidR="009326E7">
        <w:rPr>
          <w:lang w:val="en-GB"/>
        </w:rPr>
        <w:t xml:space="preserve">statistically </w:t>
      </w:r>
      <w:r w:rsidR="003B575A" w:rsidRPr="00901D0D">
        <w:rPr>
          <w:lang w:val="en-GB"/>
        </w:rPr>
        <w:t>significantly differed</w:t>
      </w:r>
      <w:r w:rsidR="001828A9" w:rsidRPr="00901D0D">
        <w:rPr>
          <w:lang w:val="en-GB"/>
        </w:rPr>
        <w:t xml:space="preserve"> </w:t>
      </w:r>
      <w:r w:rsidR="00C13264" w:rsidRPr="00901D0D">
        <w:rPr>
          <w:lang w:val="en-GB"/>
        </w:rPr>
        <w:t xml:space="preserve">using methods outlined in </w:t>
      </w:r>
      <w:proofErr w:type="spellStart"/>
      <w:r w:rsidR="00B80E4C" w:rsidRPr="00901D0D">
        <w:rPr>
          <w:lang w:val="en-GB"/>
        </w:rPr>
        <w:t>Steiger</w:t>
      </w:r>
      <w:proofErr w:type="spellEnd"/>
      <w:r w:rsidR="00B80E4C" w:rsidRPr="00901D0D">
        <w:rPr>
          <w:lang w:val="en-GB"/>
        </w:rPr>
        <w:t xml:space="preserve"> </w:t>
      </w:r>
      <w:r w:rsidR="00C13264" w:rsidRPr="00901D0D">
        <w:rPr>
          <w:lang w:val="en-GB"/>
        </w:rPr>
        <w:t>(1980</w:t>
      </w:r>
      <w:r w:rsidR="001828A9" w:rsidRPr="00901D0D">
        <w:rPr>
          <w:lang w:val="en-GB"/>
        </w:rPr>
        <w:t>)</w:t>
      </w:r>
      <w:r w:rsidR="002A5F72" w:rsidRPr="00901D0D">
        <w:rPr>
          <w:lang w:val="en-GB"/>
        </w:rPr>
        <w:t>.</w:t>
      </w:r>
      <w:r w:rsidRPr="00901D0D">
        <w:rPr>
          <w:lang w:val="en-GB"/>
        </w:rPr>
        <w:t xml:space="preserve">  </w:t>
      </w:r>
    </w:p>
    <w:p w14:paraId="3855E125" w14:textId="3581A675" w:rsidR="000753DE" w:rsidRPr="00901D0D" w:rsidRDefault="00516392" w:rsidP="000753DE">
      <w:pPr>
        <w:rPr>
          <w:lang w:val="en-GB"/>
        </w:rPr>
      </w:pPr>
      <w:r w:rsidRPr="00901D0D">
        <w:rPr>
          <w:vertAlign w:val="superscript"/>
          <w:lang w:val="en-GB"/>
        </w:rPr>
        <w:t xml:space="preserve">3 </w:t>
      </w:r>
      <w:r w:rsidR="000E7474" w:rsidRPr="00901D0D">
        <w:rPr>
          <w:lang w:val="en-GB"/>
        </w:rPr>
        <w:t>Minimum timing was decided based on the time taken to complete the survey without reading</w:t>
      </w:r>
      <w:r w:rsidR="000753DE" w:rsidRPr="00901D0D">
        <w:rPr>
          <w:lang w:val="en-GB"/>
        </w:rPr>
        <w:t xml:space="preserve"> and maximum time was decided so that participants could complete the study at a leisurely pace. Average time taken to complete the study was approximately half an hour (before participants removed, </w:t>
      </w:r>
      <w:r w:rsidR="000753DE" w:rsidRPr="00901D0D">
        <w:rPr>
          <w:i/>
          <w:lang w:val="en-GB"/>
        </w:rPr>
        <w:t>M</w:t>
      </w:r>
      <w:r w:rsidR="000753DE" w:rsidRPr="00901D0D">
        <w:rPr>
          <w:lang w:val="en-GB"/>
        </w:rPr>
        <w:t xml:space="preserve"> = 27:51, </w:t>
      </w:r>
      <w:r w:rsidR="000753DE" w:rsidRPr="00901D0D">
        <w:rPr>
          <w:i/>
          <w:lang w:val="en-GB"/>
        </w:rPr>
        <w:t>SD</w:t>
      </w:r>
      <w:r w:rsidR="000753DE" w:rsidRPr="00901D0D">
        <w:rPr>
          <w:lang w:val="en-GB"/>
        </w:rPr>
        <w:t xml:space="preserve"> = 15:19; after participants removed for timing, </w:t>
      </w:r>
      <w:r w:rsidR="000753DE" w:rsidRPr="00901D0D">
        <w:rPr>
          <w:i/>
          <w:lang w:val="en-GB"/>
        </w:rPr>
        <w:t>M</w:t>
      </w:r>
      <w:r w:rsidR="000753DE" w:rsidRPr="00901D0D">
        <w:rPr>
          <w:lang w:val="en-GB"/>
        </w:rPr>
        <w:t xml:space="preserve"> = 27:55, </w:t>
      </w:r>
      <w:r w:rsidR="000753DE" w:rsidRPr="00901D0D">
        <w:rPr>
          <w:i/>
          <w:lang w:val="en-GB"/>
        </w:rPr>
        <w:t>SD</w:t>
      </w:r>
      <w:r w:rsidR="000753DE" w:rsidRPr="00901D0D">
        <w:rPr>
          <w:lang w:val="en-GB"/>
        </w:rPr>
        <w:t xml:space="preserve"> = 11:13).</w:t>
      </w:r>
    </w:p>
    <w:p w14:paraId="39EADFA9" w14:textId="09EC89F5" w:rsidR="007D6BF3" w:rsidRDefault="00516392" w:rsidP="007D6BF3">
      <w:pPr>
        <w:rPr>
          <w:lang w:val="en-GB"/>
        </w:rPr>
      </w:pPr>
      <w:r w:rsidRPr="00901D0D">
        <w:rPr>
          <w:vertAlign w:val="superscript"/>
          <w:lang w:val="en-GB"/>
        </w:rPr>
        <w:t xml:space="preserve">4 </w:t>
      </w:r>
      <w:r w:rsidR="007D6BF3" w:rsidRPr="00901D0D">
        <w:rPr>
          <w:lang w:val="en-GB"/>
        </w:rPr>
        <w:t>The overall paranormal and extra-terrestrial belief questions showed the same patterns as the ABS and ASGS belief scales and/or the relevant factors of the ABS, however, the belief scales and factors provided a better understanding of the relationship between probabilistic reasoning and anomalistic belief. Therefore, the overall questions are not discussed further</w:t>
      </w:r>
      <w:r w:rsidR="004E2C7E">
        <w:rPr>
          <w:lang w:val="en-GB"/>
        </w:rPr>
        <w:t xml:space="preserve"> (see supplementary material)</w:t>
      </w:r>
      <w:r w:rsidR="007D6BF3" w:rsidRPr="00901D0D">
        <w:rPr>
          <w:lang w:val="en-GB"/>
        </w:rPr>
        <w:t>.</w:t>
      </w:r>
    </w:p>
    <w:p w14:paraId="3C2FD66B" w14:textId="75B98732" w:rsidR="00F96C98" w:rsidRPr="00F96C98" w:rsidRDefault="00F96C98" w:rsidP="002C582E">
      <w:pPr>
        <w:rPr>
          <w:lang w:val="en-GB"/>
        </w:rPr>
      </w:pPr>
      <w:r w:rsidRPr="00B43EFC">
        <w:rPr>
          <w:vertAlign w:val="superscript"/>
          <w:lang w:val="en-GB"/>
        </w:rPr>
        <w:t>5</w:t>
      </w:r>
      <w:r w:rsidRPr="002C582E">
        <w:t xml:space="preserve"> </w:t>
      </w:r>
      <w:r>
        <w:t xml:space="preserve">The </w:t>
      </w:r>
      <w:r w:rsidRPr="002C582E">
        <w:t>default prior</w:t>
      </w:r>
      <w:r>
        <w:t>s used in JASP</w:t>
      </w:r>
      <w:r w:rsidRPr="002C582E">
        <w:t xml:space="preserve"> for Bayesian repeated measures ANOVA</w:t>
      </w:r>
      <w:r>
        <w:t xml:space="preserve">s are </w:t>
      </w:r>
      <w:r w:rsidRPr="00B43EFC">
        <w:rPr>
          <w:i/>
        </w:rPr>
        <w:t>r</w:t>
      </w:r>
      <w:r w:rsidRPr="002C582E">
        <w:t xml:space="preserve"> scale fixed effects = 0.5</w:t>
      </w:r>
      <w:r>
        <w:t xml:space="preserve">, </w:t>
      </w:r>
      <w:proofErr w:type="spellStart"/>
      <w:r w:rsidRPr="00B43EFC">
        <w:rPr>
          <w:i/>
        </w:rPr>
        <w:t>r</w:t>
      </w:r>
      <w:proofErr w:type="spellEnd"/>
      <w:r w:rsidRPr="002C582E">
        <w:t xml:space="preserve"> scale random effects = 1</w:t>
      </w:r>
      <w:r>
        <w:t xml:space="preserve">, and </w:t>
      </w:r>
      <w:r w:rsidRPr="00B43EFC">
        <w:rPr>
          <w:i/>
        </w:rPr>
        <w:t>r</w:t>
      </w:r>
      <w:r w:rsidRPr="002C582E">
        <w:t xml:space="preserve"> scale covariates = 0.354</w:t>
      </w:r>
      <w:r>
        <w:t xml:space="preserve">. For Bayesian linear regressions JASP uses a default prior of </w:t>
      </w:r>
      <w:r w:rsidRPr="00B43EFC">
        <w:rPr>
          <w:i/>
        </w:rPr>
        <w:t>r</w:t>
      </w:r>
      <w:r w:rsidRPr="002C582E">
        <w:t xml:space="preserve"> scale = 0.354</w:t>
      </w:r>
      <w:r>
        <w:t xml:space="preserve">. All priors use a Cauchy distribution with </w:t>
      </w:r>
      <w:r w:rsidRPr="00B43EFC">
        <w:rPr>
          <w:i/>
        </w:rPr>
        <w:t>r</w:t>
      </w:r>
      <w:r w:rsidRPr="00F96C98">
        <w:t xml:space="preserve"> = </w:t>
      </w:r>
      <m:oMath>
        <m:f>
          <m:fPr>
            <m:type m:val="lin"/>
            <m:ctrlPr>
              <w:rPr>
                <w:rFonts w:ascii="Cambria Math" w:hAnsi="Cambria Math"/>
                <w:i/>
              </w:rPr>
            </m:ctrlPr>
          </m:fPr>
          <m:num>
            <m:r>
              <w:rPr>
                <w:rFonts w:ascii="Cambria Math" w:hAnsi="Cambria Math"/>
              </w:rPr>
              <m:t xml:space="preserve">1 </m:t>
            </m:r>
          </m:num>
          <m:den>
            <m:r>
              <w:rPr>
                <w:rFonts w:ascii="Cambria Math" w:hAnsi="Cambria Math"/>
              </w:rPr>
              <m:t>√2</m:t>
            </m:r>
          </m:den>
        </m:f>
      </m:oMath>
      <w:r w:rsidR="001D6DA8">
        <w:t>.</w:t>
      </w:r>
    </w:p>
    <w:p w14:paraId="05EB77B4" w14:textId="1BF5B424" w:rsidR="00E15CC3" w:rsidRDefault="00F96C98" w:rsidP="007D6BF3">
      <w:pPr>
        <w:rPr>
          <w:lang w:val="en-GB"/>
        </w:rPr>
      </w:pPr>
      <w:r w:rsidRPr="00F96C98">
        <w:rPr>
          <w:szCs w:val="24"/>
          <w:vertAlign w:val="superscript"/>
          <w:lang w:val="en-GB"/>
        </w:rPr>
        <w:t xml:space="preserve">6 </w:t>
      </w:r>
      <w:r w:rsidR="00516392" w:rsidRPr="00F96C98">
        <w:rPr>
          <w:szCs w:val="24"/>
          <w:lang w:val="en-GB"/>
        </w:rPr>
        <w:t xml:space="preserve">The </w:t>
      </w:r>
      <w:r w:rsidR="00E15CC3" w:rsidRPr="00F96C98">
        <w:rPr>
          <w:szCs w:val="24"/>
          <w:lang w:val="en-GB"/>
        </w:rPr>
        <w:t>reported degrees of freedom vary because some of the analyses include the ABS fa</w:t>
      </w:r>
      <w:r w:rsidR="00E15CC3" w:rsidRPr="00901D0D">
        <w:rPr>
          <w:lang w:val="en-GB"/>
        </w:rPr>
        <w:t>ctors, and some include only an overall anomalistic belief measure</w:t>
      </w:r>
      <w:r w:rsidR="005F1F9E" w:rsidRPr="00901D0D">
        <w:rPr>
          <w:lang w:val="en-GB"/>
        </w:rPr>
        <w:t xml:space="preserve"> (i.e., </w:t>
      </w:r>
      <w:r w:rsidR="00E15CC3" w:rsidRPr="00901D0D">
        <w:rPr>
          <w:lang w:val="en-GB"/>
        </w:rPr>
        <w:t>analyses with the ABS factors include an extra 3 variables and therefore the degrees of freedom are reduced</w:t>
      </w:r>
      <w:r w:rsidR="005F1F9E" w:rsidRPr="00901D0D">
        <w:rPr>
          <w:lang w:val="en-GB"/>
        </w:rPr>
        <w:t>)</w:t>
      </w:r>
      <w:r w:rsidR="00E15CC3" w:rsidRPr="00901D0D">
        <w:rPr>
          <w:lang w:val="en-GB"/>
        </w:rPr>
        <w:t>.</w:t>
      </w:r>
    </w:p>
    <w:p w14:paraId="7BDC324F" w14:textId="5C1F1CA1" w:rsidR="005538EA" w:rsidRPr="005538EA" w:rsidRDefault="005538EA" w:rsidP="007D6BF3">
      <w:pPr>
        <w:rPr>
          <w:lang w:val="en-GB"/>
        </w:rPr>
      </w:pPr>
      <w:r>
        <w:rPr>
          <w:vertAlign w:val="superscript"/>
          <w:lang w:val="en-GB"/>
        </w:rPr>
        <w:lastRenderedPageBreak/>
        <w:t>7</w:t>
      </w:r>
      <w:r w:rsidR="00B43EFC">
        <w:rPr>
          <w:lang w:val="en-GB"/>
        </w:rPr>
        <w:t>Analyses to test for significant differences in the strength of the relationships between the factors and the outcome variables (misperception of chance and base rate fallacy) were conducted based on methods described in Cohen and Cohen</w:t>
      </w:r>
      <w:r w:rsidR="009F31ED">
        <w:rPr>
          <w:lang w:val="en-GB"/>
        </w:rPr>
        <w:t xml:space="preserve"> </w:t>
      </w:r>
      <w:r w:rsidR="000313B3">
        <w:rPr>
          <w:lang w:val="en-GB"/>
        </w:rPr>
        <w:t xml:space="preserve">(1983) </w:t>
      </w:r>
      <w:r w:rsidR="009F31ED">
        <w:rPr>
          <w:lang w:val="en-GB"/>
        </w:rPr>
        <w:t>for testing differences between regression coefficients from the same regression equation</w:t>
      </w:r>
      <w:r w:rsidR="00B43EFC">
        <w:rPr>
          <w:lang w:val="en-GB"/>
        </w:rPr>
        <w:t>.</w:t>
      </w:r>
    </w:p>
    <w:p w14:paraId="3C14A097" w14:textId="06FC63FD" w:rsidR="007D6BF3" w:rsidRPr="0028484A" w:rsidRDefault="007D6BF3" w:rsidP="0028484A">
      <w:pPr>
        <w:spacing w:after="200"/>
        <w:rPr>
          <w:rFonts w:cs="Times New Roman"/>
          <w:szCs w:val="24"/>
          <w:lang w:val="en-GB"/>
        </w:rPr>
      </w:pPr>
      <w:r w:rsidRPr="00901D0D">
        <w:rPr>
          <w:rFonts w:cs="Times New Roman"/>
          <w:szCs w:val="24"/>
          <w:lang w:val="en-GB"/>
        </w:rPr>
        <w:br w:type="page"/>
      </w:r>
    </w:p>
    <w:p w14:paraId="7E61A149" w14:textId="77777777" w:rsidR="007D6BF3" w:rsidRPr="00901D0D" w:rsidRDefault="007D6BF3" w:rsidP="007D6BF3">
      <w:pPr>
        <w:ind w:firstLine="0"/>
        <w:contextualSpacing/>
        <w:outlineLvl w:val="0"/>
        <w:rPr>
          <w:rFonts w:eastAsia="MS Gothic" w:cs="Times New Roman"/>
          <w:bCs/>
          <w:szCs w:val="28"/>
          <w:lang w:val="en-GB"/>
        </w:rPr>
        <w:sectPr w:rsidR="007D6BF3" w:rsidRPr="00901D0D" w:rsidSect="005F2D1A">
          <w:headerReference w:type="even" r:id="rId13"/>
          <w:headerReference w:type="default" r:id="rId14"/>
          <w:type w:val="continuous"/>
          <w:pgSz w:w="11906" w:h="16838" w:code="9"/>
          <w:pgMar w:top="1440" w:right="1440" w:bottom="1440" w:left="1440" w:header="709" w:footer="709" w:gutter="0"/>
          <w:cols w:space="708"/>
          <w:docGrid w:linePitch="360"/>
        </w:sectPr>
      </w:pPr>
    </w:p>
    <w:p w14:paraId="2C069436" w14:textId="0278A479" w:rsidR="0028484A" w:rsidRPr="00901D0D" w:rsidRDefault="0028484A" w:rsidP="0028484A">
      <w:pPr>
        <w:ind w:firstLine="0"/>
        <w:contextualSpacing/>
        <w:outlineLvl w:val="0"/>
        <w:rPr>
          <w:rFonts w:eastAsia="MS Gothic" w:cs="Times New Roman"/>
          <w:bCs/>
          <w:szCs w:val="28"/>
          <w:lang w:val="en-GB"/>
        </w:rPr>
      </w:pPr>
      <w:r w:rsidRPr="00901D0D">
        <w:rPr>
          <w:rFonts w:eastAsia="MS Gothic" w:cs="Times New Roman"/>
          <w:bCs/>
          <w:szCs w:val="28"/>
          <w:lang w:val="en-GB"/>
        </w:rPr>
        <w:lastRenderedPageBreak/>
        <w:t xml:space="preserve">Table </w:t>
      </w:r>
      <w:r w:rsidR="000313B3">
        <w:rPr>
          <w:rFonts w:eastAsia="MS Gothic" w:cs="Times New Roman"/>
          <w:bCs/>
          <w:szCs w:val="28"/>
          <w:lang w:val="en-GB"/>
        </w:rPr>
        <w:t>1</w:t>
      </w:r>
      <w:r w:rsidRPr="00901D0D">
        <w:rPr>
          <w:rFonts w:eastAsia="MS Gothic" w:cs="Times New Roman"/>
          <w:bCs/>
          <w:szCs w:val="28"/>
          <w:lang w:val="en-GB"/>
        </w:rPr>
        <w:t>.</w:t>
      </w:r>
    </w:p>
    <w:p w14:paraId="1370934B" w14:textId="77777777" w:rsidR="0028484A" w:rsidRPr="00901D0D" w:rsidRDefault="0028484A" w:rsidP="0028484A">
      <w:pPr>
        <w:ind w:firstLine="0"/>
        <w:contextualSpacing/>
        <w:rPr>
          <w:rFonts w:eastAsia="Arial" w:cs="Times New Roman"/>
          <w:i/>
          <w:szCs w:val="24"/>
          <w:lang w:val="en-GB"/>
        </w:rPr>
      </w:pPr>
      <w:r w:rsidRPr="00901D0D">
        <w:rPr>
          <w:rFonts w:eastAsia="Arial" w:cs="Times New Roman"/>
          <w:i/>
          <w:szCs w:val="24"/>
          <w:lang w:val="en-GB"/>
        </w:rPr>
        <w:t>Mean scores for all scales.</w:t>
      </w:r>
    </w:p>
    <w:tbl>
      <w:tblPr>
        <w:tblStyle w:val="PlainTable41"/>
        <w:tblW w:w="9747" w:type="dxa"/>
        <w:tblLook w:val="04A0" w:firstRow="1" w:lastRow="0" w:firstColumn="1" w:lastColumn="0" w:noHBand="0" w:noVBand="1"/>
      </w:tblPr>
      <w:tblGrid>
        <w:gridCol w:w="3063"/>
        <w:gridCol w:w="1336"/>
        <w:gridCol w:w="1337"/>
        <w:gridCol w:w="1337"/>
        <w:gridCol w:w="1337"/>
        <w:gridCol w:w="1337"/>
      </w:tblGrid>
      <w:tr w:rsidR="0028484A" w:rsidRPr="00901D0D" w14:paraId="6C0B6FD4" w14:textId="77777777" w:rsidTr="00D92423">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063" w:type="dxa"/>
            <w:tcBorders>
              <w:top w:val="single" w:sz="4" w:space="0" w:color="auto"/>
              <w:bottom w:val="single" w:sz="4" w:space="0" w:color="auto"/>
            </w:tcBorders>
            <w:shd w:val="clear" w:color="auto" w:fill="auto"/>
            <w:vAlign w:val="center"/>
          </w:tcPr>
          <w:p w14:paraId="60CF5626" w14:textId="77777777" w:rsidR="0028484A" w:rsidRPr="00901D0D" w:rsidRDefault="0028484A" w:rsidP="00D92423">
            <w:pPr>
              <w:spacing w:before="120" w:after="120" w:line="240" w:lineRule="auto"/>
              <w:rPr>
                <w:rFonts w:cs="Times New Roman"/>
                <w:b w:val="0"/>
                <w:szCs w:val="24"/>
                <w:lang w:val="en-GB"/>
              </w:rPr>
            </w:pPr>
            <w:r w:rsidRPr="00901D0D">
              <w:rPr>
                <w:rFonts w:cs="Times New Roman"/>
                <w:b w:val="0"/>
                <w:szCs w:val="24"/>
                <w:lang w:val="en-GB"/>
              </w:rPr>
              <w:t>Scales</w:t>
            </w:r>
          </w:p>
        </w:tc>
        <w:tc>
          <w:tcPr>
            <w:tcW w:w="1336" w:type="dxa"/>
            <w:tcBorders>
              <w:top w:val="single" w:sz="4" w:space="0" w:color="auto"/>
              <w:bottom w:val="single" w:sz="4" w:space="0" w:color="auto"/>
            </w:tcBorders>
            <w:shd w:val="clear" w:color="auto" w:fill="auto"/>
            <w:vAlign w:val="center"/>
          </w:tcPr>
          <w:p w14:paraId="0D28C899" w14:textId="77777777" w:rsidR="0028484A" w:rsidRPr="00901D0D" w:rsidRDefault="0028484A" w:rsidP="00D92423">
            <w:pPr>
              <w:spacing w:before="120" w:after="120" w:line="240" w:lineRule="auto"/>
              <w:ind w:firstLine="0"/>
              <w:jc w:val="center"/>
              <w:cnfStyle w:val="100000000000" w:firstRow="1" w:lastRow="0" w:firstColumn="0" w:lastColumn="0" w:oddVBand="0" w:evenVBand="0" w:oddHBand="0" w:evenHBand="0" w:firstRowFirstColumn="0" w:firstRowLastColumn="0" w:lastRowFirstColumn="0" w:lastRowLastColumn="0"/>
              <w:rPr>
                <w:rFonts w:cs="Times New Roman"/>
                <w:b w:val="0"/>
                <w:szCs w:val="24"/>
                <w:lang w:val="en-GB"/>
              </w:rPr>
            </w:pPr>
            <w:r w:rsidRPr="00901D0D">
              <w:rPr>
                <w:rFonts w:eastAsia="Arial" w:cs="Times New Roman"/>
                <w:b w:val="0"/>
                <w:szCs w:val="24"/>
                <w:lang w:val="en-GB"/>
              </w:rPr>
              <w:t>Mean</w:t>
            </w:r>
          </w:p>
        </w:tc>
        <w:tc>
          <w:tcPr>
            <w:tcW w:w="1337" w:type="dxa"/>
            <w:tcBorders>
              <w:top w:val="single" w:sz="4" w:space="0" w:color="auto"/>
              <w:bottom w:val="single" w:sz="4" w:space="0" w:color="auto"/>
            </w:tcBorders>
            <w:shd w:val="clear" w:color="auto" w:fill="auto"/>
            <w:vAlign w:val="center"/>
          </w:tcPr>
          <w:p w14:paraId="70A4526C" w14:textId="77777777" w:rsidR="0028484A" w:rsidRPr="00901D0D" w:rsidRDefault="0028484A" w:rsidP="00D92423">
            <w:pPr>
              <w:spacing w:before="120" w:after="120" w:line="240" w:lineRule="auto"/>
              <w:ind w:firstLine="0"/>
              <w:jc w:val="center"/>
              <w:cnfStyle w:val="100000000000" w:firstRow="1" w:lastRow="0" w:firstColumn="0" w:lastColumn="0" w:oddVBand="0" w:evenVBand="0" w:oddHBand="0" w:evenHBand="0" w:firstRowFirstColumn="0" w:firstRowLastColumn="0" w:lastRowFirstColumn="0" w:lastRowLastColumn="0"/>
              <w:rPr>
                <w:rFonts w:cs="Times New Roman"/>
                <w:b w:val="0"/>
                <w:szCs w:val="24"/>
                <w:lang w:val="en-GB"/>
              </w:rPr>
            </w:pPr>
            <w:r w:rsidRPr="00901D0D">
              <w:rPr>
                <w:rFonts w:eastAsia="Arial" w:cs="Times New Roman"/>
                <w:b w:val="0"/>
                <w:szCs w:val="24"/>
                <w:lang w:val="en-GB"/>
              </w:rPr>
              <w:t>SD</w:t>
            </w:r>
          </w:p>
        </w:tc>
        <w:tc>
          <w:tcPr>
            <w:tcW w:w="1337" w:type="dxa"/>
            <w:tcBorders>
              <w:top w:val="single" w:sz="4" w:space="0" w:color="auto"/>
              <w:bottom w:val="single" w:sz="4" w:space="0" w:color="auto"/>
            </w:tcBorders>
            <w:shd w:val="clear" w:color="auto" w:fill="auto"/>
            <w:vAlign w:val="center"/>
          </w:tcPr>
          <w:p w14:paraId="6AFAE5F4" w14:textId="77777777" w:rsidR="0028484A" w:rsidRPr="00901D0D" w:rsidRDefault="0028484A" w:rsidP="00D92423">
            <w:pPr>
              <w:spacing w:before="120" w:after="120" w:line="240" w:lineRule="auto"/>
              <w:ind w:firstLine="0"/>
              <w:jc w:val="center"/>
              <w:cnfStyle w:val="100000000000" w:firstRow="1" w:lastRow="0" w:firstColumn="0" w:lastColumn="0" w:oddVBand="0" w:evenVBand="0" w:oddHBand="0" w:evenHBand="0" w:firstRowFirstColumn="0" w:firstRowLastColumn="0" w:lastRowFirstColumn="0" w:lastRowLastColumn="0"/>
              <w:rPr>
                <w:rFonts w:cs="Times New Roman"/>
                <w:b w:val="0"/>
                <w:szCs w:val="24"/>
                <w:lang w:val="en-GB"/>
              </w:rPr>
            </w:pPr>
            <w:r w:rsidRPr="00901D0D">
              <w:rPr>
                <w:rFonts w:eastAsia="Arial" w:cs="Times New Roman"/>
                <w:b w:val="0"/>
                <w:szCs w:val="24"/>
                <w:lang w:val="en-GB"/>
              </w:rPr>
              <w:t>Min.</w:t>
            </w:r>
          </w:p>
        </w:tc>
        <w:tc>
          <w:tcPr>
            <w:tcW w:w="1337" w:type="dxa"/>
            <w:tcBorders>
              <w:top w:val="single" w:sz="4" w:space="0" w:color="auto"/>
              <w:bottom w:val="single" w:sz="4" w:space="0" w:color="auto"/>
            </w:tcBorders>
            <w:shd w:val="clear" w:color="auto" w:fill="auto"/>
            <w:vAlign w:val="center"/>
          </w:tcPr>
          <w:p w14:paraId="3654B10F" w14:textId="77777777" w:rsidR="0028484A" w:rsidRPr="00901D0D" w:rsidRDefault="0028484A" w:rsidP="00D92423">
            <w:pPr>
              <w:spacing w:before="120" w:after="120" w:line="240" w:lineRule="auto"/>
              <w:ind w:firstLine="0"/>
              <w:jc w:val="center"/>
              <w:cnfStyle w:val="100000000000" w:firstRow="1" w:lastRow="0" w:firstColumn="0" w:lastColumn="0" w:oddVBand="0" w:evenVBand="0" w:oddHBand="0" w:evenHBand="0" w:firstRowFirstColumn="0" w:firstRowLastColumn="0" w:lastRowFirstColumn="0" w:lastRowLastColumn="0"/>
              <w:rPr>
                <w:rFonts w:cs="Times New Roman"/>
                <w:b w:val="0"/>
                <w:szCs w:val="24"/>
                <w:lang w:val="en-GB"/>
              </w:rPr>
            </w:pPr>
            <w:r w:rsidRPr="00901D0D">
              <w:rPr>
                <w:rFonts w:eastAsia="Arial" w:cs="Times New Roman"/>
                <w:b w:val="0"/>
                <w:szCs w:val="24"/>
                <w:lang w:val="en-GB"/>
              </w:rPr>
              <w:t>Max.</w:t>
            </w:r>
          </w:p>
        </w:tc>
        <w:tc>
          <w:tcPr>
            <w:tcW w:w="1337" w:type="dxa"/>
            <w:tcBorders>
              <w:top w:val="single" w:sz="4" w:space="0" w:color="auto"/>
              <w:bottom w:val="single" w:sz="4" w:space="0" w:color="auto"/>
            </w:tcBorders>
            <w:shd w:val="clear" w:color="auto" w:fill="auto"/>
            <w:vAlign w:val="center"/>
          </w:tcPr>
          <w:p w14:paraId="6A196A2F" w14:textId="77777777" w:rsidR="0028484A" w:rsidRPr="00901D0D" w:rsidRDefault="0028484A" w:rsidP="00D92423">
            <w:pPr>
              <w:spacing w:before="120" w:after="120"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Arial" w:cs="Times New Roman"/>
                <w:b w:val="0"/>
                <w:szCs w:val="24"/>
                <w:lang w:val="en-GB"/>
              </w:rPr>
            </w:pPr>
            <w:r w:rsidRPr="00901D0D">
              <w:rPr>
                <w:rFonts w:eastAsia="Calibri" w:cs="Times New Roman"/>
                <w:b w:val="0"/>
                <w:szCs w:val="24"/>
                <w:lang w:val="en-GB"/>
              </w:rPr>
              <w:t>α</w:t>
            </w:r>
          </w:p>
        </w:tc>
      </w:tr>
      <w:tr w:rsidR="0028484A" w:rsidRPr="00901D0D" w14:paraId="5751795B" w14:textId="77777777" w:rsidTr="00D92423">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063" w:type="dxa"/>
            <w:tcBorders>
              <w:top w:val="single" w:sz="4" w:space="0" w:color="auto"/>
            </w:tcBorders>
            <w:shd w:val="clear" w:color="auto" w:fill="auto"/>
            <w:vAlign w:val="center"/>
          </w:tcPr>
          <w:p w14:paraId="0DCE014B" w14:textId="77777777" w:rsidR="0028484A" w:rsidRPr="00901D0D" w:rsidRDefault="0028484A" w:rsidP="00D92423">
            <w:pPr>
              <w:numPr>
                <w:ilvl w:val="0"/>
                <w:numId w:val="8"/>
              </w:numPr>
              <w:spacing w:before="120" w:after="120" w:line="240" w:lineRule="auto"/>
              <w:rPr>
                <w:rFonts w:eastAsia="Arial" w:cs="Times New Roman"/>
                <w:b w:val="0"/>
                <w:bCs w:val="0"/>
                <w:caps/>
                <w:szCs w:val="24"/>
                <w:lang w:val="en-GB"/>
              </w:rPr>
            </w:pPr>
            <w:r w:rsidRPr="00901D0D">
              <w:rPr>
                <w:rFonts w:eastAsia="Arial" w:cs="Times New Roman"/>
                <w:b w:val="0"/>
                <w:bCs w:val="0"/>
                <w:caps/>
                <w:szCs w:val="24"/>
                <w:lang w:val="en-GB"/>
              </w:rPr>
              <w:t>ASGS</w:t>
            </w:r>
          </w:p>
        </w:tc>
        <w:tc>
          <w:tcPr>
            <w:tcW w:w="1336" w:type="dxa"/>
            <w:tcBorders>
              <w:top w:val="single" w:sz="4" w:space="0" w:color="auto"/>
            </w:tcBorders>
            <w:shd w:val="clear" w:color="auto" w:fill="auto"/>
            <w:vAlign w:val="center"/>
          </w:tcPr>
          <w:p w14:paraId="331455AA" w14:textId="77777777" w:rsidR="0028484A" w:rsidRPr="00901D0D" w:rsidRDefault="0028484A" w:rsidP="00D92423">
            <w:pPr>
              <w:spacing w:before="120" w:after="12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cs="Times New Roman"/>
                <w:szCs w:val="24"/>
                <w:lang w:val="en-GB"/>
              </w:rPr>
            </w:pPr>
            <w:r w:rsidRPr="00901D0D">
              <w:rPr>
                <w:rFonts w:cs="Times New Roman"/>
                <w:szCs w:val="24"/>
                <w:lang w:val="en-GB"/>
              </w:rPr>
              <w:t>2.70</w:t>
            </w:r>
          </w:p>
        </w:tc>
        <w:tc>
          <w:tcPr>
            <w:tcW w:w="1337" w:type="dxa"/>
            <w:tcBorders>
              <w:top w:val="single" w:sz="4" w:space="0" w:color="auto"/>
            </w:tcBorders>
            <w:shd w:val="clear" w:color="auto" w:fill="auto"/>
            <w:vAlign w:val="center"/>
          </w:tcPr>
          <w:p w14:paraId="2E27362C" w14:textId="77777777" w:rsidR="0028484A" w:rsidRPr="00901D0D" w:rsidRDefault="0028484A" w:rsidP="00D92423">
            <w:pPr>
              <w:spacing w:before="120" w:after="12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cs="Times New Roman"/>
                <w:szCs w:val="24"/>
                <w:lang w:val="en-GB"/>
              </w:rPr>
            </w:pPr>
            <w:r w:rsidRPr="00901D0D">
              <w:rPr>
                <w:rFonts w:cs="Times New Roman"/>
                <w:szCs w:val="24"/>
                <w:lang w:val="en-GB"/>
              </w:rPr>
              <w:t>1.33</w:t>
            </w:r>
          </w:p>
        </w:tc>
        <w:tc>
          <w:tcPr>
            <w:tcW w:w="1337" w:type="dxa"/>
            <w:tcBorders>
              <w:top w:val="single" w:sz="4" w:space="0" w:color="auto"/>
            </w:tcBorders>
            <w:shd w:val="clear" w:color="auto" w:fill="auto"/>
            <w:vAlign w:val="center"/>
          </w:tcPr>
          <w:p w14:paraId="3156008A" w14:textId="77777777" w:rsidR="0028484A" w:rsidRPr="00901D0D" w:rsidRDefault="0028484A" w:rsidP="00D92423">
            <w:pPr>
              <w:spacing w:before="120" w:after="12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cs="Times New Roman"/>
                <w:szCs w:val="24"/>
                <w:lang w:val="en-GB"/>
              </w:rPr>
            </w:pPr>
            <w:r w:rsidRPr="00901D0D">
              <w:rPr>
                <w:rFonts w:cs="Times New Roman"/>
                <w:szCs w:val="24"/>
                <w:lang w:val="en-GB"/>
              </w:rPr>
              <w:t>1.00</w:t>
            </w:r>
          </w:p>
        </w:tc>
        <w:tc>
          <w:tcPr>
            <w:tcW w:w="1337" w:type="dxa"/>
            <w:tcBorders>
              <w:top w:val="single" w:sz="4" w:space="0" w:color="auto"/>
            </w:tcBorders>
            <w:shd w:val="clear" w:color="auto" w:fill="auto"/>
            <w:vAlign w:val="center"/>
          </w:tcPr>
          <w:p w14:paraId="4B5F7DB5" w14:textId="77777777" w:rsidR="0028484A" w:rsidRPr="00901D0D" w:rsidRDefault="0028484A" w:rsidP="00D92423">
            <w:pPr>
              <w:spacing w:before="120" w:after="12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cs="Times New Roman"/>
                <w:szCs w:val="24"/>
                <w:lang w:val="en-GB"/>
              </w:rPr>
            </w:pPr>
            <w:r w:rsidRPr="00901D0D">
              <w:rPr>
                <w:rFonts w:cs="Times New Roman"/>
                <w:szCs w:val="24"/>
                <w:lang w:val="en-GB"/>
              </w:rPr>
              <w:t>6.56</w:t>
            </w:r>
          </w:p>
        </w:tc>
        <w:tc>
          <w:tcPr>
            <w:tcW w:w="1337" w:type="dxa"/>
            <w:tcBorders>
              <w:top w:val="single" w:sz="4" w:space="0" w:color="auto"/>
            </w:tcBorders>
            <w:shd w:val="clear" w:color="auto" w:fill="auto"/>
            <w:vAlign w:val="center"/>
          </w:tcPr>
          <w:p w14:paraId="29665ED9" w14:textId="77777777" w:rsidR="0028484A" w:rsidRPr="00901D0D" w:rsidRDefault="0028484A" w:rsidP="00D92423">
            <w:pPr>
              <w:spacing w:before="120" w:after="12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cs="Times New Roman"/>
                <w:szCs w:val="24"/>
                <w:lang w:val="en-GB"/>
              </w:rPr>
            </w:pPr>
            <w:r w:rsidRPr="00901D0D">
              <w:rPr>
                <w:rFonts w:eastAsia="Arial" w:cs="Times New Roman"/>
                <w:szCs w:val="24"/>
                <w:lang w:val="en-GB"/>
              </w:rPr>
              <w:t>.95</w:t>
            </w:r>
          </w:p>
        </w:tc>
      </w:tr>
      <w:tr w:rsidR="0028484A" w:rsidRPr="00901D0D" w14:paraId="5493D2DD" w14:textId="77777777" w:rsidTr="00D92423">
        <w:trPr>
          <w:trHeight w:val="680"/>
        </w:trPr>
        <w:tc>
          <w:tcPr>
            <w:cnfStyle w:val="001000000000" w:firstRow="0" w:lastRow="0" w:firstColumn="1" w:lastColumn="0" w:oddVBand="0" w:evenVBand="0" w:oddHBand="0" w:evenHBand="0" w:firstRowFirstColumn="0" w:firstRowLastColumn="0" w:lastRowFirstColumn="0" w:lastRowLastColumn="0"/>
            <w:tcW w:w="3063" w:type="dxa"/>
            <w:shd w:val="clear" w:color="auto" w:fill="auto"/>
            <w:vAlign w:val="center"/>
          </w:tcPr>
          <w:p w14:paraId="6BA97FAF" w14:textId="77777777" w:rsidR="0028484A" w:rsidRPr="00901D0D" w:rsidRDefault="0028484A" w:rsidP="00D92423">
            <w:pPr>
              <w:numPr>
                <w:ilvl w:val="0"/>
                <w:numId w:val="8"/>
              </w:numPr>
              <w:spacing w:before="120" w:after="120" w:line="240" w:lineRule="auto"/>
              <w:rPr>
                <w:rFonts w:eastAsia="Arial" w:cs="Times New Roman"/>
                <w:b w:val="0"/>
                <w:bCs w:val="0"/>
                <w:caps/>
                <w:szCs w:val="24"/>
                <w:lang w:val="en-GB"/>
              </w:rPr>
            </w:pPr>
            <w:r w:rsidRPr="00901D0D">
              <w:rPr>
                <w:rFonts w:eastAsia="Arial" w:cs="Times New Roman"/>
                <w:b w:val="0"/>
                <w:bCs w:val="0"/>
                <w:caps/>
                <w:szCs w:val="24"/>
                <w:lang w:val="en-GB"/>
              </w:rPr>
              <w:t>ABS</w:t>
            </w:r>
          </w:p>
        </w:tc>
        <w:tc>
          <w:tcPr>
            <w:tcW w:w="1336" w:type="dxa"/>
            <w:shd w:val="clear" w:color="auto" w:fill="auto"/>
            <w:vAlign w:val="center"/>
          </w:tcPr>
          <w:p w14:paraId="60943E6E" w14:textId="77777777" w:rsidR="0028484A" w:rsidRPr="00901D0D" w:rsidRDefault="0028484A" w:rsidP="00D92423">
            <w:pPr>
              <w:spacing w:before="120" w:after="12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Arial" w:cs="Times New Roman"/>
                <w:szCs w:val="24"/>
                <w:lang w:val="en-GB"/>
              </w:rPr>
            </w:pPr>
            <w:r w:rsidRPr="00901D0D">
              <w:rPr>
                <w:rFonts w:cs="Times New Roman"/>
                <w:szCs w:val="24"/>
                <w:lang w:val="en-GB"/>
              </w:rPr>
              <w:t>2.59</w:t>
            </w:r>
          </w:p>
        </w:tc>
        <w:tc>
          <w:tcPr>
            <w:tcW w:w="1337" w:type="dxa"/>
            <w:shd w:val="clear" w:color="auto" w:fill="auto"/>
            <w:vAlign w:val="center"/>
          </w:tcPr>
          <w:p w14:paraId="322BE47E" w14:textId="77777777" w:rsidR="0028484A" w:rsidRPr="00901D0D" w:rsidRDefault="0028484A" w:rsidP="00D92423">
            <w:pPr>
              <w:spacing w:before="120" w:after="12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Arial" w:cs="Times New Roman"/>
                <w:szCs w:val="24"/>
                <w:lang w:val="en-GB"/>
              </w:rPr>
            </w:pPr>
            <w:r w:rsidRPr="00901D0D">
              <w:rPr>
                <w:rFonts w:cs="Times New Roman"/>
                <w:szCs w:val="24"/>
                <w:lang w:val="en-GB"/>
              </w:rPr>
              <w:t>1.30</w:t>
            </w:r>
          </w:p>
        </w:tc>
        <w:tc>
          <w:tcPr>
            <w:tcW w:w="1337" w:type="dxa"/>
            <w:shd w:val="clear" w:color="auto" w:fill="auto"/>
            <w:vAlign w:val="center"/>
          </w:tcPr>
          <w:p w14:paraId="58E98A24" w14:textId="77777777" w:rsidR="0028484A" w:rsidRPr="00901D0D" w:rsidRDefault="0028484A" w:rsidP="00D92423">
            <w:pPr>
              <w:spacing w:before="120" w:after="12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Arial" w:cs="Times New Roman"/>
                <w:szCs w:val="24"/>
                <w:lang w:val="en-GB"/>
              </w:rPr>
            </w:pPr>
            <w:r w:rsidRPr="00901D0D">
              <w:rPr>
                <w:rFonts w:cs="Times New Roman"/>
                <w:szCs w:val="24"/>
                <w:lang w:val="en-GB"/>
              </w:rPr>
              <w:t>1.00</w:t>
            </w:r>
          </w:p>
        </w:tc>
        <w:tc>
          <w:tcPr>
            <w:tcW w:w="1337" w:type="dxa"/>
            <w:shd w:val="clear" w:color="auto" w:fill="auto"/>
            <w:vAlign w:val="center"/>
          </w:tcPr>
          <w:p w14:paraId="12657527" w14:textId="77777777" w:rsidR="0028484A" w:rsidRPr="00901D0D" w:rsidRDefault="0028484A" w:rsidP="00D92423">
            <w:pPr>
              <w:spacing w:before="120" w:after="12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Arial" w:cs="Times New Roman"/>
                <w:szCs w:val="24"/>
                <w:lang w:val="en-GB"/>
              </w:rPr>
            </w:pPr>
            <w:r w:rsidRPr="00901D0D">
              <w:rPr>
                <w:rFonts w:cs="Times New Roman"/>
                <w:szCs w:val="24"/>
                <w:lang w:val="en-GB"/>
              </w:rPr>
              <w:t>6.00</w:t>
            </w:r>
          </w:p>
        </w:tc>
        <w:tc>
          <w:tcPr>
            <w:tcW w:w="1337" w:type="dxa"/>
            <w:shd w:val="clear" w:color="auto" w:fill="auto"/>
            <w:vAlign w:val="center"/>
          </w:tcPr>
          <w:p w14:paraId="594C0620" w14:textId="77777777" w:rsidR="0028484A" w:rsidRPr="00901D0D" w:rsidRDefault="0028484A" w:rsidP="00D92423">
            <w:pPr>
              <w:spacing w:before="120" w:after="12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Arial" w:cs="Times New Roman"/>
                <w:szCs w:val="24"/>
                <w:lang w:val="en-GB"/>
              </w:rPr>
            </w:pPr>
            <w:r w:rsidRPr="00901D0D">
              <w:rPr>
                <w:rFonts w:eastAsia="Arial" w:cs="Times New Roman"/>
                <w:szCs w:val="24"/>
                <w:lang w:val="en-GB"/>
              </w:rPr>
              <w:t>.98</w:t>
            </w:r>
          </w:p>
        </w:tc>
      </w:tr>
      <w:tr w:rsidR="0028484A" w:rsidRPr="00901D0D" w14:paraId="5A54D7C8" w14:textId="77777777" w:rsidTr="00D92423">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063" w:type="dxa"/>
            <w:shd w:val="clear" w:color="auto" w:fill="auto"/>
            <w:vAlign w:val="center"/>
          </w:tcPr>
          <w:p w14:paraId="460D4EF0" w14:textId="77777777" w:rsidR="0028484A" w:rsidRPr="00901D0D" w:rsidRDefault="0028484A" w:rsidP="00D92423">
            <w:pPr>
              <w:numPr>
                <w:ilvl w:val="0"/>
                <w:numId w:val="8"/>
              </w:numPr>
              <w:spacing w:before="120" w:after="120" w:line="240" w:lineRule="auto"/>
              <w:rPr>
                <w:rFonts w:eastAsia="Arial" w:cs="Times New Roman"/>
                <w:b w:val="0"/>
                <w:bCs w:val="0"/>
                <w:caps/>
                <w:szCs w:val="24"/>
                <w:lang w:val="en-GB"/>
              </w:rPr>
            </w:pPr>
            <w:r w:rsidRPr="00901D0D">
              <w:rPr>
                <w:rFonts w:eastAsia="Arial" w:cs="Times New Roman"/>
                <w:b w:val="0"/>
                <w:bCs w:val="0"/>
                <w:szCs w:val="24"/>
                <w:lang w:val="en-GB"/>
              </w:rPr>
              <w:t>Experiential Factor</w:t>
            </w:r>
          </w:p>
        </w:tc>
        <w:tc>
          <w:tcPr>
            <w:tcW w:w="1336" w:type="dxa"/>
            <w:shd w:val="clear" w:color="auto" w:fill="auto"/>
            <w:vAlign w:val="center"/>
          </w:tcPr>
          <w:p w14:paraId="079A2130" w14:textId="77777777" w:rsidR="0028484A" w:rsidRPr="00901D0D" w:rsidRDefault="0028484A" w:rsidP="00D92423">
            <w:pPr>
              <w:spacing w:before="120" w:after="12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cs="Times New Roman"/>
                <w:szCs w:val="24"/>
                <w:lang w:val="en-GB"/>
              </w:rPr>
            </w:pPr>
            <w:r w:rsidRPr="00901D0D">
              <w:rPr>
                <w:rFonts w:cs="Times New Roman"/>
                <w:szCs w:val="24"/>
                <w:lang w:val="en-GB"/>
              </w:rPr>
              <w:t>1.78</w:t>
            </w:r>
          </w:p>
        </w:tc>
        <w:tc>
          <w:tcPr>
            <w:tcW w:w="1337" w:type="dxa"/>
            <w:shd w:val="clear" w:color="auto" w:fill="auto"/>
            <w:vAlign w:val="center"/>
          </w:tcPr>
          <w:p w14:paraId="3EF7D34D" w14:textId="77777777" w:rsidR="0028484A" w:rsidRPr="00901D0D" w:rsidRDefault="0028484A" w:rsidP="00D92423">
            <w:pPr>
              <w:spacing w:before="120" w:after="12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cs="Times New Roman"/>
                <w:szCs w:val="24"/>
                <w:lang w:val="en-GB"/>
              </w:rPr>
            </w:pPr>
            <w:r w:rsidRPr="00901D0D">
              <w:rPr>
                <w:rFonts w:cs="Times New Roman"/>
                <w:szCs w:val="24"/>
                <w:lang w:val="en-GB"/>
              </w:rPr>
              <w:t>1.17</w:t>
            </w:r>
          </w:p>
        </w:tc>
        <w:tc>
          <w:tcPr>
            <w:tcW w:w="1337" w:type="dxa"/>
            <w:shd w:val="clear" w:color="auto" w:fill="auto"/>
            <w:vAlign w:val="center"/>
          </w:tcPr>
          <w:p w14:paraId="447218E6" w14:textId="77777777" w:rsidR="0028484A" w:rsidRPr="00901D0D" w:rsidRDefault="0028484A" w:rsidP="00D92423">
            <w:pPr>
              <w:spacing w:before="120" w:after="12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cs="Times New Roman"/>
                <w:szCs w:val="24"/>
                <w:lang w:val="en-GB"/>
              </w:rPr>
            </w:pPr>
            <w:r w:rsidRPr="00901D0D">
              <w:rPr>
                <w:rFonts w:cs="Times New Roman"/>
                <w:szCs w:val="24"/>
                <w:lang w:val="en-GB"/>
              </w:rPr>
              <w:t>1.00</w:t>
            </w:r>
          </w:p>
        </w:tc>
        <w:tc>
          <w:tcPr>
            <w:tcW w:w="1337" w:type="dxa"/>
            <w:shd w:val="clear" w:color="auto" w:fill="auto"/>
            <w:vAlign w:val="center"/>
          </w:tcPr>
          <w:p w14:paraId="683206EB" w14:textId="77777777" w:rsidR="0028484A" w:rsidRPr="00901D0D" w:rsidRDefault="0028484A" w:rsidP="00D92423">
            <w:pPr>
              <w:spacing w:before="120" w:after="12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cs="Times New Roman"/>
                <w:szCs w:val="24"/>
                <w:lang w:val="en-GB"/>
              </w:rPr>
            </w:pPr>
            <w:r w:rsidRPr="00901D0D">
              <w:rPr>
                <w:rFonts w:cs="Times New Roman"/>
                <w:szCs w:val="24"/>
                <w:lang w:val="en-GB"/>
              </w:rPr>
              <w:t>5.93</w:t>
            </w:r>
          </w:p>
        </w:tc>
        <w:tc>
          <w:tcPr>
            <w:tcW w:w="1337" w:type="dxa"/>
            <w:shd w:val="clear" w:color="auto" w:fill="auto"/>
            <w:vAlign w:val="center"/>
          </w:tcPr>
          <w:p w14:paraId="62405DA1" w14:textId="77777777" w:rsidR="0028484A" w:rsidRPr="00901D0D" w:rsidRDefault="0028484A" w:rsidP="00D92423">
            <w:pPr>
              <w:spacing w:before="120" w:after="12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cs="Times New Roman"/>
                <w:szCs w:val="24"/>
                <w:lang w:val="en-GB"/>
              </w:rPr>
            </w:pPr>
            <w:r w:rsidRPr="00901D0D">
              <w:rPr>
                <w:rFonts w:eastAsia="Arial" w:cs="Times New Roman"/>
                <w:szCs w:val="24"/>
                <w:lang w:val="en-GB"/>
              </w:rPr>
              <w:t>.96</w:t>
            </w:r>
          </w:p>
        </w:tc>
      </w:tr>
      <w:tr w:rsidR="0028484A" w:rsidRPr="00901D0D" w14:paraId="14E295AF" w14:textId="77777777" w:rsidTr="00D92423">
        <w:trPr>
          <w:trHeight w:val="680"/>
        </w:trPr>
        <w:tc>
          <w:tcPr>
            <w:cnfStyle w:val="001000000000" w:firstRow="0" w:lastRow="0" w:firstColumn="1" w:lastColumn="0" w:oddVBand="0" w:evenVBand="0" w:oddHBand="0" w:evenHBand="0" w:firstRowFirstColumn="0" w:firstRowLastColumn="0" w:lastRowFirstColumn="0" w:lastRowLastColumn="0"/>
            <w:tcW w:w="3063" w:type="dxa"/>
            <w:shd w:val="clear" w:color="auto" w:fill="auto"/>
            <w:vAlign w:val="center"/>
          </w:tcPr>
          <w:p w14:paraId="03E6FBE3" w14:textId="77777777" w:rsidR="0028484A" w:rsidRPr="00901D0D" w:rsidRDefault="0028484A" w:rsidP="00D92423">
            <w:pPr>
              <w:numPr>
                <w:ilvl w:val="0"/>
                <w:numId w:val="8"/>
              </w:numPr>
              <w:spacing w:before="120" w:after="120" w:line="240" w:lineRule="auto"/>
              <w:rPr>
                <w:rFonts w:eastAsia="Arial" w:cs="Times New Roman"/>
                <w:b w:val="0"/>
                <w:bCs w:val="0"/>
                <w:caps/>
                <w:szCs w:val="24"/>
                <w:lang w:val="en-GB"/>
              </w:rPr>
            </w:pPr>
            <w:r w:rsidRPr="00901D0D">
              <w:rPr>
                <w:rFonts w:eastAsia="Arial" w:cs="Times New Roman"/>
                <w:b w:val="0"/>
                <w:bCs w:val="0"/>
                <w:szCs w:val="24"/>
                <w:lang w:val="en-GB"/>
              </w:rPr>
              <w:t>PSI Factor</w:t>
            </w:r>
          </w:p>
        </w:tc>
        <w:tc>
          <w:tcPr>
            <w:tcW w:w="1336" w:type="dxa"/>
            <w:shd w:val="clear" w:color="auto" w:fill="auto"/>
            <w:vAlign w:val="center"/>
          </w:tcPr>
          <w:p w14:paraId="4F59D9FA" w14:textId="77777777" w:rsidR="0028484A" w:rsidRPr="00901D0D" w:rsidRDefault="0028484A" w:rsidP="00D92423">
            <w:pPr>
              <w:spacing w:before="120" w:after="12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Arial" w:cs="Times New Roman"/>
                <w:szCs w:val="24"/>
                <w:lang w:val="en-GB"/>
              </w:rPr>
            </w:pPr>
            <w:r w:rsidRPr="00901D0D">
              <w:rPr>
                <w:rFonts w:cs="Times New Roman"/>
                <w:szCs w:val="24"/>
                <w:lang w:val="en-GB"/>
              </w:rPr>
              <w:t>2.82</w:t>
            </w:r>
          </w:p>
        </w:tc>
        <w:tc>
          <w:tcPr>
            <w:tcW w:w="1337" w:type="dxa"/>
            <w:shd w:val="clear" w:color="auto" w:fill="auto"/>
            <w:vAlign w:val="center"/>
          </w:tcPr>
          <w:p w14:paraId="450C3399" w14:textId="77777777" w:rsidR="0028484A" w:rsidRPr="00901D0D" w:rsidRDefault="0028484A" w:rsidP="00D92423">
            <w:pPr>
              <w:spacing w:before="120" w:after="12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Arial" w:cs="Times New Roman"/>
                <w:szCs w:val="24"/>
                <w:lang w:val="en-GB"/>
              </w:rPr>
            </w:pPr>
            <w:r w:rsidRPr="00901D0D">
              <w:rPr>
                <w:rFonts w:cs="Times New Roman"/>
                <w:szCs w:val="24"/>
                <w:lang w:val="en-GB"/>
              </w:rPr>
              <w:t>1.59</w:t>
            </w:r>
          </w:p>
        </w:tc>
        <w:tc>
          <w:tcPr>
            <w:tcW w:w="1337" w:type="dxa"/>
            <w:shd w:val="clear" w:color="auto" w:fill="auto"/>
            <w:vAlign w:val="center"/>
          </w:tcPr>
          <w:p w14:paraId="00243E04" w14:textId="77777777" w:rsidR="0028484A" w:rsidRPr="00901D0D" w:rsidRDefault="0028484A" w:rsidP="00D92423">
            <w:pPr>
              <w:spacing w:before="120" w:after="12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Arial" w:cs="Times New Roman"/>
                <w:szCs w:val="24"/>
                <w:lang w:val="en-GB"/>
              </w:rPr>
            </w:pPr>
            <w:r w:rsidRPr="00901D0D">
              <w:rPr>
                <w:rFonts w:cs="Times New Roman"/>
                <w:szCs w:val="24"/>
                <w:lang w:val="en-GB"/>
              </w:rPr>
              <w:t>1.00</w:t>
            </w:r>
          </w:p>
        </w:tc>
        <w:tc>
          <w:tcPr>
            <w:tcW w:w="1337" w:type="dxa"/>
            <w:shd w:val="clear" w:color="auto" w:fill="auto"/>
            <w:vAlign w:val="center"/>
          </w:tcPr>
          <w:p w14:paraId="096BD33B" w14:textId="77777777" w:rsidR="0028484A" w:rsidRPr="00901D0D" w:rsidRDefault="0028484A" w:rsidP="00D92423">
            <w:pPr>
              <w:spacing w:before="120" w:after="12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Arial" w:cs="Times New Roman"/>
                <w:szCs w:val="24"/>
                <w:lang w:val="en-GB"/>
              </w:rPr>
            </w:pPr>
            <w:r w:rsidRPr="00901D0D">
              <w:rPr>
                <w:rFonts w:cs="Times New Roman"/>
                <w:szCs w:val="24"/>
                <w:lang w:val="en-GB"/>
              </w:rPr>
              <w:t>6.92</w:t>
            </w:r>
          </w:p>
        </w:tc>
        <w:tc>
          <w:tcPr>
            <w:tcW w:w="1337" w:type="dxa"/>
            <w:shd w:val="clear" w:color="auto" w:fill="auto"/>
            <w:vAlign w:val="center"/>
          </w:tcPr>
          <w:p w14:paraId="0893459F" w14:textId="77777777" w:rsidR="0028484A" w:rsidRPr="00901D0D" w:rsidRDefault="0028484A" w:rsidP="00D92423">
            <w:pPr>
              <w:spacing w:before="120" w:after="12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Arial" w:cs="Times New Roman"/>
                <w:szCs w:val="24"/>
                <w:lang w:val="en-GB"/>
              </w:rPr>
            </w:pPr>
            <w:r w:rsidRPr="00901D0D">
              <w:rPr>
                <w:rFonts w:eastAsia="Arial" w:cs="Times New Roman"/>
                <w:szCs w:val="24"/>
                <w:lang w:val="en-GB"/>
              </w:rPr>
              <w:t>.96</w:t>
            </w:r>
          </w:p>
        </w:tc>
      </w:tr>
      <w:tr w:rsidR="0028484A" w:rsidRPr="00901D0D" w14:paraId="18976FC7" w14:textId="77777777" w:rsidTr="00D92423">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063" w:type="dxa"/>
            <w:shd w:val="clear" w:color="auto" w:fill="auto"/>
            <w:vAlign w:val="center"/>
          </w:tcPr>
          <w:p w14:paraId="5395163F" w14:textId="77777777" w:rsidR="0028484A" w:rsidRPr="00901D0D" w:rsidRDefault="0028484A" w:rsidP="00D92423">
            <w:pPr>
              <w:numPr>
                <w:ilvl w:val="0"/>
                <w:numId w:val="8"/>
              </w:numPr>
              <w:spacing w:before="120" w:after="120" w:line="240" w:lineRule="auto"/>
              <w:rPr>
                <w:rFonts w:eastAsia="Arial" w:cs="Times New Roman"/>
                <w:b w:val="0"/>
                <w:bCs w:val="0"/>
                <w:caps/>
                <w:szCs w:val="24"/>
                <w:lang w:val="en-GB"/>
              </w:rPr>
            </w:pPr>
            <w:r w:rsidRPr="00901D0D">
              <w:rPr>
                <w:rFonts w:eastAsia="Arial" w:cs="Times New Roman"/>
                <w:b w:val="0"/>
                <w:bCs w:val="0"/>
                <w:szCs w:val="24"/>
                <w:lang w:val="en-GB"/>
              </w:rPr>
              <w:t>ET Factor</w:t>
            </w:r>
          </w:p>
        </w:tc>
        <w:tc>
          <w:tcPr>
            <w:tcW w:w="1336" w:type="dxa"/>
            <w:shd w:val="clear" w:color="auto" w:fill="auto"/>
            <w:vAlign w:val="center"/>
          </w:tcPr>
          <w:p w14:paraId="19834043" w14:textId="77777777" w:rsidR="0028484A" w:rsidRPr="00901D0D" w:rsidRDefault="0028484A" w:rsidP="00D92423">
            <w:pPr>
              <w:spacing w:before="120" w:after="12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cs="Times New Roman"/>
                <w:szCs w:val="24"/>
                <w:lang w:val="en-GB"/>
              </w:rPr>
            </w:pPr>
            <w:r w:rsidRPr="00901D0D">
              <w:rPr>
                <w:rFonts w:cs="Times New Roman"/>
                <w:szCs w:val="24"/>
                <w:lang w:val="en-GB"/>
              </w:rPr>
              <w:t>3.22</w:t>
            </w:r>
          </w:p>
        </w:tc>
        <w:tc>
          <w:tcPr>
            <w:tcW w:w="1337" w:type="dxa"/>
            <w:shd w:val="clear" w:color="auto" w:fill="auto"/>
            <w:vAlign w:val="center"/>
          </w:tcPr>
          <w:p w14:paraId="5B4507DB" w14:textId="77777777" w:rsidR="0028484A" w:rsidRPr="00901D0D" w:rsidRDefault="0028484A" w:rsidP="00D92423">
            <w:pPr>
              <w:spacing w:before="120" w:after="12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cs="Times New Roman"/>
                <w:szCs w:val="24"/>
                <w:lang w:val="en-GB"/>
              </w:rPr>
            </w:pPr>
            <w:r w:rsidRPr="00901D0D">
              <w:rPr>
                <w:rFonts w:cs="Times New Roman"/>
                <w:szCs w:val="24"/>
                <w:lang w:val="en-GB"/>
              </w:rPr>
              <w:t>1.86</w:t>
            </w:r>
          </w:p>
        </w:tc>
        <w:tc>
          <w:tcPr>
            <w:tcW w:w="1337" w:type="dxa"/>
            <w:shd w:val="clear" w:color="auto" w:fill="auto"/>
            <w:vAlign w:val="center"/>
          </w:tcPr>
          <w:p w14:paraId="024B3B46" w14:textId="77777777" w:rsidR="0028484A" w:rsidRPr="00901D0D" w:rsidRDefault="0028484A" w:rsidP="00D92423">
            <w:pPr>
              <w:spacing w:before="120" w:after="12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cs="Times New Roman"/>
                <w:szCs w:val="24"/>
                <w:lang w:val="en-GB"/>
              </w:rPr>
            </w:pPr>
            <w:r w:rsidRPr="00901D0D">
              <w:rPr>
                <w:rFonts w:cs="Times New Roman"/>
                <w:szCs w:val="24"/>
                <w:lang w:val="en-GB"/>
              </w:rPr>
              <w:t>1.00</w:t>
            </w:r>
          </w:p>
        </w:tc>
        <w:tc>
          <w:tcPr>
            <w:tcW w:w="1337" w:type="dxa"/>
            <w:shd w:val="clear" w:color="auto" w:fill="auto"/>
            <w:vAlign w:val="center"/>
          </w:tcPr>
          <w:p w14:paraId="1B2D9053" w14:textId="77777777" w:rsidR="0028484A" w:rsidRPr="00901D0D" w:rsidRDefault="0028484A" w:rsidP="00D92423">
            <w:pPr>
              <w:spacing w:before="120" w:after="12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cs="Times New Roman"/>
                <w:szCs w:val="24"/>
                <w:lang w:val="en-GB"/>
              </w:rPr>
            </w:pPr>
            <w:r w:rsidRPr="00901D0D">
              <w:rPr>
                <w:rFonts w:cs="Times New Roman"/>
                <w:szCs w:val="24"/>
                <w:lang w:val="en-GB"/>
              </w:rPr>
              <w:t>7.00</w:t>
            </w:r>
          </w:p>
        </w:tc>
        <w:tc>
          <w:tcPr>
            <w:tcW w:w="1337" w:type="dxa"/>
            <w:shd w:val="clear" w:color="auto" w:fill="auto"/>
            <w:vAlign w:val="center"/>
          </w:tcPr>
          <w:p w14:paraId="3E0673DB" w14:textId="77777777" w:rsidR="0028484A" w:rsidRPr="00901D0D" w:rsidRDefault="0028484A" w:rsidP="00D92423">
            <w:pPr>
              <w:spacing w:before="120" w:after="12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cs="Times New Roman"/>
                <w:szCs w:val="24"/>
                <w:lang w:val="en-GB"/>
              </w:rPr>
            </w:pPr>
            <w:r w:rsidRPr="00901D0D">
              <w:rPr>
                <w:rFonts w:eastAsia="Arial" w:cs="Times New Roman"/>
                <w:szCs w:val="24"/>
                <w:lang w:val="en-GB"/>
              </w:rPr>
              <w:t>.96</w:t>
            </w:r>
          </w:p>
        </w:tc>
      </w:tr>
      <w:tr w:rsidR="0028484A" w:rsidRPr="00901D0D" w14:paraId="60856576" w14:textId="77777777" w:rsidTr="00D92423">
        <w:trPr>
          <w:trHeight w:val="680"/>
        </w:trPr>
        <w:tc>
          <w:tcPr>
            <w:cnfStyle w:val="001000000000" w:firstRow="0" w:lastRow="0" w:firstColumn="1" w:lastColumn="0" w:oddVBand="0" w:evenVBand="0" w:oddHBand="0" w:evenHBand="0" w:firstRowFirstColumn="0" w:firstRowLastColumn="0" w:lastRowFirstColumn="0" w:lastRowLastColumn="0"/>
            <w:tcW w:w="3063" w:type="dxa"/>
            <w:shd w:val="clear" w:color="auto" w:fill="auto"/>
            <w:vAlign w:val="center"/>
          </w:tcPr>
          <w:p w14:paraId="04A7E942" w14:textId="77777777" w:rsidR="0028484A" w:rsidRPr="00901D0D" w:rsidRDefault="0028484A" w:rsidP="00D92423">
            <w:pPr>
              <w:numPr>
                <w:ilvl w:val="0"/>
                <w:numId w:val="8"/>
              </w:numPr>
              <w:spacing w:before="120" w:after="120" w:line="240" w:lineRule="auto"/>
              <w:rPr>
                <w:rFonts w:eastAsia="Arial" w:cs="Times New Roman"/>
                <w:b w:val="0"/>
                <w:bCs w:val="0"/>
                <w:caps/>
                <w:szCs w:val="24"/>
                <w:lang w:val="en-GB"/>
              </w:rPr>
            </w:pPr>
            <w:r w:rsidRPr="00901D0D">
              <w:rPr>
                <w:rFonts w:eastAsia="Arial" w:cs="Times New Roman"/>
                <w:b w:val="0"/>
                <w:bCs w:val="0"/>
                <w:szCs w:val="24"/>
                <w:lang w:val="en-GB"/>
              </w:rPr>
              <w:t>Life After Death Factor</w:t>
            </w:r>
          </w:p>
        </w:tc>
        <w:tc>
          <w:tcPr>
            <w:tcW w:w="1336" w:type="dxa"/>
            <w:shd w:val="clear" w:color="auto" w:fill="auto"/>
            <w:vAlign w:val="center"/>
          </w:tcPr>
          <w:p w14:paraId="38AC32CA" w14:textId="77777777" w:rsidR="0028484A" w:rsidRPr="00901D0D" w:rsidRDefault="0028484A" w:rsidP="00D92423">
            <w:pPr>
              <w:spacing w:before="120" w:after="12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Arial" w:cs="Times New Roman"/>
                <w:szCs w:val="24"/>
                <w:lang w:val="en-GB"/>
              </w:rPr>
            </w:pPr>
            <w:r w:rsidRPr="00901D0D">
              <w:rPr>
                <w:rFonts w:cs="Times New Roman"/>
                <w:szCs w:val="24"/>
                <w:lang w:val="en-GB"/>
              </w:rPr>
              <w:t>3.28</w:t>
            </w:r>
          </w:p>
        </w:tc>
        <w:tc>
          <w:tcPr>
            <w:tcW w:w="1337" w:type="dxa"/>
            <w:shd w:val="clear" w:color="auto" w:fill="auto"/>
            <w:vAlign w:val="center"/>
          </w:tcPr>
          <w:p w14:paraId="4125307F" w14:textId="77777777" w:rsidR="0028484A" w:rsidRPr="00901D0D" w:rsidRDefault="0028484A" w:rsidP="00D92423">
            <w:pPr>
              <w:spacing w:before="120" w:after="12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Arial" w:cs="Times New Roman"/>
                <w:szCs w:val="24"/>
                <w:lang w:val="en-GB"/>
              </w:rPr>
            </w:pPr>
            <w:r w:rsidRPr="00901D0D">
              <w:rPr>
                <w:rFonts w:cs="Times New Roman"/>
                <w:szCs w:val="24"/>
                <w:lang w:val="en-GB"/>
              </w:rPr>
              <w:t>1.85</w:t>
            </w:r>
          </w:p>
        </w:tc>
        <w:tc>
          <w:tcPr>
            <w:tcW w:w="1337" w:type="dxa"/>
            <w:shd w:val="clear" w:color="auto" w:fill="auto"/>
            <w:vAlign w:val="center"/>
          </w:tcPr>
          <w:p w14:paraId="4AC24C0E" w14:textId="77777777" w:rsidR="0028484A" w:rsidRPr="00901D0D" w:rsidRDefault="0028484A" w:rsidP="00D92423">
            <w:pPr>
              <w:spacing w:before="120" w:after="12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Arial" w:cs="Times New Roman"/>
                <w:szCs w:val="24"/>
                <w:lang w:val="en-GB"/>
              </w:rPr>
            </w:pPr>
            <w:r w:rsidRPr="00901D0D">
              <w:rPr>
                <w:rFonts w:cs="Times New Roman"/>
                <w:szCs w:val="24"/>
                <w:lang w:val="en-GB"/>
              </w:rPr>
              <w:t>1.00</w:t>
            </w:r>
          </w:p>
        </w:tc>
        <w:tc>
          <w:tcPr>
            <w:tcW w:w="1337" w:type="dxa"/>
            <w:shd w:val="clear" w:color="auto" w:fill="auto"/>
            <w:vAlign w:val="center"/>
          </w:tcPr>
          <w:p w14:paraId="1AEC9FB6" w14:textId="77777777" w:rsidR="0028484A" w:rsidRPr="00901D0D" w:rsidRDefault="0028484A" w:rsidP="00D92423">
            <w:pPr>
              <w:spacing w:before="120" w:after="12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Arial" w:cs="Times New Roman"/>
                <w:szCs w:val="24"/>
                <w:lang w:val="en-GB"/>
              </w:rPr>
            </w:pPr>
            <w:r w:rsidRPr="00901D0D">
              <w:rPr>
                <w:rFonts w:cs="Times New Roman"/>
                <w:szCs w:val="24"/>
                <w:lang w:val="en-GB"/>
              </w:rPr>
              <w:t>7.00</w:t>
            </w:r>
          </w:p>
        </w:tc>
        <w:tc>
          <w:tcPr>
            <w:tcW w:w="1337" w:type="dxa"/>
            <w:shd w:val="clear" w:color="auto" w:fill="auto"/>
            <w:vAlign w:val="center"/>
          </w:tcPr>
          <w:p w14:paraId="02B7CECE" w14:textId="77777777" w:rsidR="0028484A" w:rsidRPr="00901D0D" w:rsidRDefault="0028484A" w:rsidP="00D92423">
            <w:pPr>
              <w:spacing w:before="120" w:after="12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Arial" w:cs="Times New Roman"/>
                <w:szCs w:val="24"/>
                <w:lang w:val="en-GB"/>
              </w:rPr>
            </w:pPr>
            <w:r w:rsidRPr="00901D0D">
              <w:rPr>
                <w:rFonts w:eastAsia="Arial" w:cs="Times New Roman"/>
                <w:szCs w:val="24"/>
                <w:lang w:val="en-GB"/>
              </w:rPr>
              <w:t>.91</w:t>
            </w:r>
          </w:p>
        </w:tc>
      </w:tr>
      <w:tr w:rsidR="0028484A" w:rsidRPr="00901D0D" w14:paraId="23A2ABE8" w14:textId="77777777" w:rsidTr="00D92423">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063" w:type="dxa"/>
            <w:shd w:val="clear" w:color="auto" w:fill="auto"/>
            <w:vAlign w:val="center"/>
          </w:tcPr>
          <w:p w14:paraId="78925BA6" w14:textId="77777777" w:rsidR="0028484A" w:rsidRPr="00901D0D" w:rsidRDefault="0028484A" w:rsidP="00D92423">
            <w:pPr>
              <w:numPr>
                <w:ilvl w:val="0"/>
                <w:numId w:val="8"/>
              </w:numPr>
              <w:spacing w:before="120" w:after="120" w:line="240" w:lineRule="auto"/>
              <w:rPr>
                <w:rFonts w:eastAsia="Arial" w:cs="Times New Roman"/>
                <w:b w:val="0"/>
                <w:bCs w:val="0"/>
                <w:caps/>
                <w:szCs w:val="24"/>
                <w:lang w:val="en-GB"/>
              </w:rPr>
            </w:pPr>
            <w:r w:rsidRPr="00901D0D">
              <w:rPr>
                <w:rFonts w:eastAsia="Arial" w:cs="Times New Roman"/>
                <w:b w:val="0"/>
                <w:bCs w:val="0"/>
                <w:szCs w:val="24"/>
                <w:lang w:val="en-GB"/>
              </w:rPr>
              <w:t>Gambling</w:t>
            </w:r>
          </w:p>
        </w:tc>
        <w:tc>
          <w:tcPr>
            <w:tcW w:w="1336" w:type="dxa"/>
            <w:shd w:val="clear" w:color="auto" w:fill="auto"/>
            <w:vAlign w:val="center"/>
          </w:tcPr>
          <w:p w14:paraId="21D2E2D9" w14:textId="77777777" w:rsidR="0028484A" w:rsidRPr="00901D0D" w:rsidRDefault="0028484A" w:rsidP="00D92423">
            <w:pPr>
              <w:spacing w:before="120" w:after="12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cs="Times New Roman"/>
                <w:szCs w:val="24"/>
                <w:lang w:val="en-GB"/>
              </w:rPr>
            </w:pPr>
            <w:r w:rsidRPr="00901D0D">
              <w:rPr>
                <w:rFonts w:cs="Times New Roman"/>
                <w:szCs w:val="24"/>
                <w:lang w:val="en-GB"/>
              </w:rPr>
              <w:t>3.59</w:t>
            </w:r>
          </w:p>
        </w:tc>
        <w:tc>
          <w:tcPr>
            <w:tcW w:w="1337" w:type="dxa"/>
            <w:shd w:val="clear" w:color="auto" w:fill="auto"/>
            <w:vAlign w:val="center"/>
          </w:tcPr>
          <w:p w14:paraId="325555E8" w14:textId="77777777" w:rsidR="0028484A" w:rsidRPr="00901D0D" w:rsidRDefault="0028484A" w:rsidP="00D92423">
            <w:pPr>
              <w:spacing w:before="120" w:after="12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cs="Times New Roman"/>
                <w:szCs w:val="24"/>
                <w:lang w:val="en-GB"/>
              </w:rPr>
            </w:pPr>
            <w:r w:rsidRPr="00901D0D">
              <w:rPr>
                <w:rFonts w:cs="Times New Roman"/>
                <w:szCs w:val="24"/>
                <w:lang w:val="en-GB"/>
              </w:rPr>
              <w:t>1.00</w:t>
            </w:r>
          </w:p>
        </w:tc>
        <w:tc>
          <w:tcPr>
            <w:tcW w:w="1337" w:type="dxa"/>
            <w:shd w:val="clear" w:color="auto" w:fill="auto"/>
            <w:vAlign w:val="center"/>
          </w:tcPr>
          <w:p w14:paraId="0ECD6C2B" w14:textId="77777777" w:rsidR="0028484A" w:rsidRPr="00901D0D" w:rsidRDefault="0028484A" w:rsidP="00D92423">
            <w:pPr>
              <w:spacing w:before="120" w:after="12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cs="Times New Roman"/>
                <w:szCs w:val="24"/>
                <w:lang w:val="en-GB"/>
              </w:rPr>
            </w:pPr>
            <w:r w:rsidRPr="00901D0D">
              <w:rPr>
                <w:rFonts w:cs="Times New Roman"/>
                <w:szCs w:val="24"/>
                <w:lang w:val="en-GB"/>
              </w:rPr>
              <w:t>1.39</w:t>
            </w:r>
          </w:p>
        </w:tc>
        <w:tc>
          <w:tcPr>
            <w:tcW w:w="1337" w:type="dxa"/>
            <w:shd w:val="clear" w:color="auto" w:fill="auto"/>
            <w:vAlign w:val="center"/>
          </w:tcPr>
          <w:p w14:paraId="79BB5AA6" w14:textId="77777777" w:rsidR="0028484A" w:rsidRPr="00901D0D" w:rsidRDefault="0028484A" w:rsidP="00D92423">
            <w:pPr>
              <w:spacing w:before="120" w:after="12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cs="Times New Roman"/>
                <w:szCs w:val="24"/>
                <w:lang w:val="en-GB"/>
              </w:rPr>
            </w:pPr>
            <w:r w:rsidRPr="00901D0D">
              <w:rPr>
                <w:rFonts w:cs="Times New Roman"/>
                <w:szCs w:val="24"/>
                <w:lang w:val="en-GB"/>
              </w:rPr>
              <w:t>6.00</w:t>
            </w:r>
          </w:p>
        </w:tc>
        <w:tc>
          <w:tcPr>
            <w:tcW w:w="1337" w:type="dxa"/>
            <w:shd w:val="clear" w:color="auto" w:fill="auto"/>
            <w:vAlign w:val="center"/>
          </w:tcPr>
          <w:p w14:paraId="239198E1" w14:textId="77777777" w:rsidR="0028484A" w:rsidRPr="00901D0D" w:rsidRDefault="0028484A" w:rsidP="00D92423">
            <w:pPr>
              <w:spacing w:before="120" w:after="12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cs="Times New Roman"/>
                <w:szCs w:val="24"/>
                <w:lang w:val="en-GB"/>
              </w:rPr>
            </w:pPr>
            <w:r w:rsidRPr="00901D0D">
              <w:rPr>
                <w:rFonts w:eastAsia="Arial" w:cs="Times New Roman"/>
                <w:szCs w:val="24"/>
                <w:lang w:val="en-GB"/>
              </w:rPr>
              <w:t>.97</w:t>
            </w:r>
          </w:p>
        </w:tc>
      </w:tr>
      <w:tr w:rsidR="0028484A" w:rsidRPr="00901D0D" w14:paraId="643FE512" w14:textId="77777777" w:rsidTr="00D92423">
        <w:trPr>
          <w:trHeight w:val="680"/>
        </w:trPr>
        <w:tc>
          <w:tcPr>
            <w:cnfStyle w:val="001000000000" w:firstRow="0" w:lastRow="0" w:firstColumn="1" w:lastColumn="0" w:oddVBand="0" w:evenVBand="0" w:oddHBand="0" w:evenHBand="0" w:firstRowFirstColumn="0" w:firstRowLastColumn="0" w:lastRowFirstColumn="0" w:lastRowLastColumn="0"/>
            <w:tcW w:w="3063" w:type="dxa"/>
            <w:shd w:val="clear" w:color="auto" w:fill="auto"/>
            <w:vAlign w:val="center"/>
          </w:tcPr>
          <w:p w14:paraId="32A9B7A7" w14:textId="77777777" w:rsidR="0028484A" w:rsidRPr="00901D0D" w:rsidRDefault="0028484A" w:rsidP="00D92423">
            <w:pPr>
              <w:numPr>
                <w:ilvl w:val="0"/>
                <w:numId w:val="8"/>
              </w:numPr>
              <w:spacing w:before="120" w:after="120" w:line="240" w:lineRule="auto"/>
              <w:rPr>
                <w:rFonts w:eastAsia="Arial" w:cs="Times New Roman"/>
                <w:b w:val="0"/>
                <w:bCs w:val="0"/>
                <w:caps/>
                <w:szCs w:val="24"/>
                <w:lang w:val="en-GB"/>
              </w:rPr>
            </w:pPr>
            <w:r w:rsidRPr="00901D0D">
              <w:rPr>
                <w:rFonts w:eastAsia="Arial" w:cs="Times New Roman"/>
                <w:b w:val="0"/>
                <w:bCs w:val="0"/>
                <w:szCs w:val="24"/>
                <w:lang w:val="en-GB"/>
              </w:rPr>
              <w:t>General Education</w:t>
            </w:r>
          </w:p>
        </w:tc>
        <w:tc>
          <w:tcPr>
            <w:tcW w:w="1336" w:type="dxa"/>
            <w:shd w:val="clear" w:color="auto" w:fill="auto"/>
            <w:vAlign w:val="center"/>
          </w:tcPr>
          <w:p w14:paraId="33F74960" w14:textId="77777777" w:rsidR="0028484A" w:rsidRPr="00901D0D" w:rsidRDefault="0028484A" w:rsidP="00D92423">
            <w:pPr>
              <w:spacing w:before="120" w:after="12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Arial" w:cs="Times New Roman"/>
                <w:szCs w:val="24"/>
                <w:lang w:val="en-GB"/>
              </w:rPr>
            </w:pPr>
            <w:r w:rsidRPr="00901D0D">
              <w:rPr>
                <w:rFonts w:cs="Times New Roman"/>
                <w:szCs w:val="24"/>
                <w:lang w:val="en-GB"/>
              </w:rPr>
              <w:t>3.60</w:t>
            </w:r>
          </w:p>
        </w:tc>
        <w:tc>
          <w:tcPr>
            <w:tcW w:w="1337" w:type="dxa"/>
            <w:shd w:val="clear" w:color="auto" w:fill="auto"/>
            <w:vAlign w:val="center"/>
          </w:tcPr>
          <w:p w14:paraId="30C6BB32" w14:textId="77777777" w:rsidR="0028484A" w:rsidRPr="00901D0D" w:rsidRDefault="0028484A" w:rsidP="00D92423">
            <w:pPr>
              <w:spacing w:before="120" w:after="12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Arial" w:cs="Times New Roman"/>
                <w:szCs w:val="24"/>
                <w:lang w:val="en-GB"/>
              </w:rPr>
            </w:pPr>
            <w:r w:rsidRPr="00901D0D">
              <w:rPr>
                <w:rFonts w:cs="Times New Roman"/>
                <w:szCs w:val="24"/>
                <w:lang w:val="en-GB"/>
              </w:rPr>
              <w:t>0.98</w:t>
            </w:r>
          </w:p>
        </w:tc>
        <w:tc>
          <w:tcPr>
            <w:tcW w:w="1337" w:type="dxa"/>
            <w:shd w:val="clear" w:color="auto" w:fill="auto"/>
            <w:vAlign w:val="center"/>
          </w:tcPr>
          <w:p w14:paraId="53084667" w14:textId="77777777" w:rsidR="0028484A" w:rsidRPr="00901D0D" w:rsidRDefault="0028484A" w:rsidP="00D92423">
            <w:pPr>
              <w:spacing w:before="120" w:after="12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Arial" w:cs="Times New Roman"/>
                <w:szCs w:val="24"/>
                <w:lang w:val="en-GB"/>
              </w:rPr>
            </w:pPr>
            <w:r w:rsidRPr="00901D0D">
              <w:rPr>
                <w:rFonts w:cs="Times New Roman"/>
                <w:szCs w:val="24"/>
                <w:lang w:val="en-GB"/>
              </w:rPr>
              <w:t>1.00</w:t>
            </w:r>
          </w:p>
        </w:tc>
        <w:tc>
          <w:tcPr>
            <w:tcW w:w="1337" w:type="dxa"/>
            <w:shd w:val="clear" w:color="auto" w:fill="auto"/>
            <w:vAlign w:val="center"/>
          </w:tcPr>
          <w:p w14:paraId="7F81C411" w14:textId="77777777" w:rsidR="0028484A" w:rsidRPr="00901D0D" w:rsidRDefault="0028484A" w:rsidP="00D92423">
            <w:pPr>
              <w:spacing w:before="120" w:after="12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Arial" w:cs="Times New Roman"/>
                <w:szCs w:val="24"/>
                <w:lang w:val="en-GB"/>
              </w:rPr>
            </w:pPr>
            <w:r w:rsidRPr="00901D0D">
              <w:rPr>
                <w:rFonts w:cs="Times New Roman"/>
                <w:szCs w:val="24"/>
                <w:lang w:val="en-GB"/>
              </w:rPr>
              <w:t>5.00</w:t>
            </w:r>
          </w:p>
        </w:tc>
        <w:tc>
          <w:tcPr>
            <w:tcW w:w="1337" w:type="dxa"/>
            <w:shd w:val="clear" w:color="auto" w:fill="auto"/>
            <w:vAlign w:val="center"/>
          </w:tcPr>
          <w:p w14:paraId="304BBA89" w14:textId="77777777" w:rsidR="0028484A" w:rsidRPr="00901D0D" w:rsidRDefault="0028484A" w:rsidP="00D92423">
            <w:pPr>
              <w:spacing w:before="120" w:after="12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Arial" w:cs="Times New Roman"/>
                <w:szCs w:val="24"/>
                <w:lang w:val="en-GB"/>
              </w:rPr>
            </w:pPr>
            <w:r w:rsidRPr="00901D0D">
              <w:rPr>
                <w:rFonts w:eastAsia="Arial" w:cs="Times New Roman"/>
                <w:szCs w:val="24"/>
                <w:lang w:val="en-GB"/>
              </w:rPr>
              <w:t>n/a</w:t>
            </w:r>
          </w:p>
        </w:tc>
      </w:tr>
      <w:tr w:rsidR="0028484A" w:rsidRPr="00901D0D" w14:paraId="2F4BC0A6" w14:textId="77777777" w:rsidTr="00D92423">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063" w:type="dxa"/>
            <w:shd w:val="clear" w:color="auto" w:fill="auto"/>
            <w:vAlign w:val="center"/>
          </w:tcPr>
          <w:p w14:paraId="0243D270" w14:textId="77777777" w:rsidR="0028484A" w:rsidRPr="00901D0D" w:rsidRDefault="0028484A" w:rsidP="00D92423">
            <w:pPr>
              <w:numPr>
                <w:ilvl w:val="0"/>
                <w:numId w:val="8"/>
              </w:numPr>
              <w:spacing w:before="120" w:after="120" w:line="240" w:lineRule="auto"/>
              <w:rPr>
                <w:rFonts w:eastAsia="Arial" w:cs="Times New Roman"/>
                <w:b w:val="0"/>
                <w:bCs w:val="0"/>
                <w:caps/>
                <w:szCs w:val="24"/>
                <w:lang w:val="en-GB"/>
              </w:rPr>
            </w:pPr>
            <w:r w:rsidRPr="00901D0D">
              <w:rPr>
                <w:rFonts w:eastAsia="Arial" w:cs="Times New Roman"/>
                <w:b w:val="0"/>
                <w:bCs w:val="0"/>
                <w:szCs w:val="24"/>
                <w:lang w:val="en-GB"/>
              </w:rPr>
              <w:t>Psychology Education</w:t>
            </w:r>
          </w:p>
        </w:tc>
        <w:tc>
          <w:tcPr>
            <w:tcW w:w="1336" w:type="dxa"/>
            <w:shd w:val="clear" w:color="auto" w:fill="auto"/>
            <w:vAlign w:val="center"/>
          </w:tcPr>
          <w:p w14:paraId="7EECBF91" w14:textId="77777777" w:rsidR="0028484A" w:rsidRPr="00901D0D" w:rsidRDefault="0028484A" w:rsidP="00D92423">
            <w:pPr>
              <w:spacing w:before="120" w:after="12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cs="Times New Roman"/>
                <w:szCs w:val="24"/>
                <w:lang w:val="en-GB"/>
              </w:rPr>
            </w:pPr>
            <w:r w:rsidRPr="00901D0D">
              <w:rPr>
                <w:rFonts w:cs="Times New Roman"/>
                <w:szCs w:val="24"/>
                <w:lang w:val="en-GB"/>
              </w:rPr>
              <w:t>2.20</w:t>
            </w:r>
          </w:p>
        </w:tc>
        <w:tc>
          <w:tcPr>
            <w:tcW w:w="1337" w:type="dxa"/>
            <w:shd w:val="clear" w:color="auto" w:fill="auto"/>
            <w:vAlign w:val="center"/>
          </w:tcPr>
          <w:p w14:paraId="5B7E1650" w14:textId="77777777" w:rsidR="0028484A" w:rsidRPr="00901D0D" w:rsidRDefault="0028484A" w:rsidP="00D92423">
            <w:pPr>
              <w:spacing w:before="120" w:after="12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cs="Times New Roman"/>
                <w:szCs w:val="24"/>
                <w:lang w:val="en-GB"/>
              </w:rPr>
            </w:pPr>
            <w:r w:rsidRPr="00901D0D">
              <w:rPr>
                <w:rFonts w:cs="Times New Roman"/>
                <w:szCs w:val="24"/>
                <w:lang w:val="en-GB"/>
              </w:rPr>
              <w:t>1.12</w:t>
            </w:r>
          </w:p>
        </w:tc>
        <w:tc>
          <w:tcPr>
            <w:tcW w:w="1337" w:type="dxa"/>
            <w:shd w:val="clear" w:color="auto" w:fill="auto"/>
            <w:vAlign w:val="center"/>
          </w:tcPr>
          <w:p w14:paraId="0F2AD68E" w14:textId="77777777" w:rsidR="0028484A" w:rsidRPr="00901D0D" w:rsidRDefault="0028484A" w:rsidP="00D92423">
            <w:pPr>
              <w:spacing w:before="120" w:after="12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cs="Times New Roman"/>
                <w:szCs w:val="24"/>
                <w:lang w:val="en-GB"/>
              </w:rPr>
            </w:pPr>
            <w:r w:rsidRPr="00901D0D">
              <w:rPr>
                <w:rFonts w:cs="Times New Roman"/>
                <w:szCs w:val="24"/>
                <w:lang w:val="en-GB"/>
              </w:rPr>
              <w:t>1.00</w:t>
            </w:r>
          </w:p>
        </w:tc>
        <w:tc>
          <w:tcPr>
            <w:tcW w:w="1337" w:type="dxa"/>
            <w:shd w:val="clear" w:color="auto" w:fill="auto"/>
            <w:vAlign w:val="center"/>
          </w:tcPr>
          <w:p w14:paraId="7975B0BE" w14:textId="77777777" w:rsidR="0028484A" w:rsidRPr="00901D0D" w:rsidRDefault="0028484A" w:rsidP="00D92423">
            <w:pPr>
              <w:spacing w:before="120" w:after="12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cs="Times New Roman"/>
                <w:szCs w:val="24"/>
                <w:lang w:val="en-GB"/>
              </w:rPr>
            </w:pPr>
            <w:r w:rsidRPr="00901D0D">
              <w:rPr>
                <w:rFonts w:cs="Times New Roman"/>
                <w:szCs w:val="24"/>
                <w:lang w:val="en-GB"/>
              </w:rPr>
              <w:t>5.00</w:t>
            </w:r>
          </w:p>
        </w:tc>
        <w:tc>
          <w:tcPr>
            <w:tcW w:w="1337" w:type="dxa"/>
            <w:shd w:val="clear" w:color="auto" w:fill="auto"/>
            <w:vAlign w:val="center"/>
          </w:tcPr>
          <w:p w14:paraId="330A5AD7" w14:textId="77777777" w:rsidR="0028484A" w:rsidRPr="00901D0D" w:rsidRDefault="0028484A" w:rsidP="00D92423">
            <w:pPr>
              <w:spacing w:before="120" w:after="12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cs="Times New Roman"/>
                <w:szCs w:val="24"/>
                <w:lang w:val="en-GB"/>
              </w:rPr>
            </w:pPr>
            <w:r w:rsidRPr="00901D0D">
              <w:rPr>
                <w:rFonts w:eastAsia="Arial" w:cs="Times New Roman"/>
                <w:szCs w:val="24"/>
                <w:lang w:val="en-GB"/>
              </w:rPr>
              <w:t>n/a</w:t>
            </w:r>
          </w:p>
        </w:tc>
      </w:tr>
      <w:tr w:rsidR="0028484A" w:rsidRPr="00901D0D" w14:paraId="70ED35B7" w14:textId="77777777" w:rsidTr="00D92423">
        <w:trPr>
          <w:trHeight w:val="680"/>
        </w:trPr>
        <w:tc>
          <w:tcPr>
            <w:cnfStyle w:val="001000000000" w:firstRow="0" w:lastRow="0" w:firstColumn="1" w:lastColumn="0" w:oddVBand="0" w:evenVBand="0" w:oddHBand="0" w:evenHBand="0" w:firstRowFirstColumn="0" w:firstRowLastColumn="0" w:lastRowFirstColumn="0" w:lastRowLastColumn="0"/>
            <w:tcW w:w="3063" w:type="dxa"/>
            <w:shd w:val="clear" w:color="auto" w:fill="auto"/>
            <w:vAlign w:val="center"/>
          </w:tcPr>
          <w:p w14:paraId="082A7248" w14:textId="77777777" w:rsidR="0028484A" w:rsidRPr="00901D0D" w:rsidRDefault="0028484A" w:rsidP="00D92423">
            <w:pPr>
              <w:numPr>
                <w:ilvl w:val="0"/>
                <w:numId w:val="8"/>
              </w:numPr>
              <w:spacing w:before="120" w:after="120" w:line="240" w:lineRule="auto"/>
              <w:rPr>
                <w:rFonts w:eastAsia="Arial" w:cs="Times New Roman"/>
                <w:b w:val="0"/>
                <w:bCs w:val="0"/>
                <w:caps/>
                <w:szCs w:val="24"/>
                <w:lang w:val="en-GB"/>
              </w:rPr>
            </w:pPr>
            <w:r w:rsidRPr="00901D0D">
              <w:rPr>
                <w:rFonts w:eastAsia="Arial" w:cs="Times New Roman"/>
                <w:b w:val="0"/>
                <w:bCs w:val="0"/>
                <w:szCs w:val="24"/>
                <w:lang w:val="en-GB"/>
              </w:rPr>
              <w:t>Mathematics Education</w:t>
            </w:r>
          </w:p>
        </w:tc>
        <w:tc>
          <w:tcPr>
            <w:tcW w:w="1336" w:type="dxa"/>
            <w:shd w:val="clear" w:color="auto" w:fill="auto"/>
            <w:vAlign w:val="center"/>
          </w:tcPr>
          <w:p w14:paraId="5F6EDCB1" w14:textId="77777777" w:rsidR="0028484A" w:rsidRPr="00901D0D" w:rsidRDefault="0028484A" w:rsidP="00D92423">
            <w:pPr>
              <w:spacing w:before="120" w:after="12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Arial" w:cs="Times New Roman"/>
                <w:szCs w:val="24"/>
                <w:lang w:val="en-GB"/>
              </w:rPr>
            </w:pPr>
            <w:r w:rsidRPr="00901D0D">
              <w:rPr>
                <w:rFonts w:cs="Times New Roman"/>
                <w:szCs w:val="24"/>
                <w:lang w:val="en-GB"/>
              </w:rPr>
              <w:t>2.74</w:t>
            </w:r>
          </w:p>
        </w:tc>
        <w:tc>
          <w:tcPr>
            <w:tcW w:w="1337" w:type="dxa"/>
            <w:shd w:val="clear" w:color="auto" w:fill="auto"/>
            <w:vAlign w:val="center"/>
          </w:tcPr>
          <w:p w14:paraId="3B155668" w14:textId="77777777" w:rsidR="0028484A" w:rsidRPr="00901D0D" w:rsidRDefault="0028484A" w:rsidP="00D92423">
            <w:pPr>
              <w:spacing w:before="120" w:after="12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Arial" w:cs="Times New Roman"/>
                <w:szCs w:val="24"/>
                <w:lang w:val="en-GB"/>
              </w:rPr>
            </w:pPr>
            <w:r w:rsidRPr="00901D0D">
              <w:rPr>
                <w:rFonts w:cs="Times New Roman"/>
                <w:szCs w:val="24"/>
                <w:lang w:val="en-GB"/>
              </w:rPr>
              <w:t>0.94</w:t>
            </w:r>
          </w:p>
        </w:tc>
        <w:tc>
          <w:tcPr>
            <w:tcW w:w="1337" w:type="dxa"/>
            <w:shd w:val="clear" w:color="auto" w:fill="auto"/>
            <w:vAlign w:val="center"/>
          </w:tcPr>
          <w:p w14:paraId="3CA0A108" w14:textId="77777777" w:rsidR="0028484A" w:rsidRPr="00901D0D" w:rsidRDefault="0028484A" w:rsidP="00D92423">
            <w:pPr>
              <w:spacing w:before="120" w:after="12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Arial" w:cs="Times New Roman"/>
                <w:szCs w:val="24"/>
                <w:lang w:val="en-GB"/>
              </w:rPr>
            </w:pPr>
            <w:r w:rsidRPr="00901D0D">
              <w:rPr>
                <w:rFonts w:cs="Times New Roman"/>
                <w:szCs w:val="24"/>
                <w:lang w:val="en-GB"/>
              </w:rPr>
              <w:t>1.00</w:t>
            </w:r>
          </w:p>
        </w:tc>
        <w:tc>
          <w:tcPr>
            <w:tcW w:w="1337" w:type="dxa"/>
            <w:shd w:val="clear" w:color="auto" w:fill="auto"/>
            <w:vAlign w:val="center"/>
          </w:tcPr>
          <w:p w14:paraId="794E9428" w14:textId="77777777" w:rsidR="0028484A" w:rsidRPr="00901D0D" w:rsidRDefault="0028484A" w:rsidP="00D92423">
            <w:pPr>
              <w:spacing w:before="120" w:after="12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Arial" w:cs="Times New Roman"/>
                <w:szCs w:val="24"/>
                <w:lang w:val="en-GB"/>
              </w:rPr>
            </w:pPr>
            <w:r w:rsidRPr="00901D0D">
              <w:rPr>
                <w:rFonts w:cs="Times New Roman"/>
                <w:szCs w:val="24"/>
                <w:lang w:val="en-GB"/>
              </w:rPr>
              <w:t>5.00</w:t>
            </w:r>
          </w:p>
        </w:tc>
        <w:tc>
          <w:tcPr>
            <w:tcW w:w="1337" w:type="dxa"/>
            <w:shd w:val="clear" w:color="auto" w:fill="auto"/>
            <w:vAlign w:val="center"/>
          </w:tcPr>
          <w:p w14:paraId="5696C415" w14:textId="77777777" w:rsidR="0028484A" w:rsidRPr="00901D0D" w:rsidRDefault="0028484A" w:rsidP="00D92423">
            <w:pPr>
              <w:spacing w:before="120" w:after="12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Arial" w:cs="Times New Roman"/>
                <w:szCs w:val="24"/>
                <w:lang w:val="en-GB"/>
              </w:rPr>
            </w:pPr>
            <w:r w:rsidRPr="00901D0D">
              <w:rPr>
                <w:rFonts w:eastAsia="Arial" w:cs="Times New Roman"/>
                <w:szCs w:val="24"/>
                <w:lang w:val="en-GB"/>
              </w:rPr>
              <w:t>n/a</w:t>
            </w:r>
          </w:p>
        </w:tc>
      </w:tr>
      <w:tr w:rsidR="0028484A" w:rsidRPr="00901D0D" w14:paraId="101DB1F2" w14:textId="77777777" w:rsidTr="00D92423">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063" w:type="dxa"/>
            <w:tcBorders>
              <w:bottom w:val="single" w:sz="4" w:space="0" w:color="auto"/>
            </w:tcBorders>
            <w:shd w:val="clear" w:color="auto" w:fill="auto"/>
            <w:vAlign w:val="center"/>
          </w:tcPr>
          <w:p w14:paraId="57329062" w14:textId="77777777" w:rsidR="0028484A" w:rsidRPr="00901D0D" w:rsidRDefault="0028484A" w:rsidP="00D92423">
            <w:pPr>
              <w:numPr>
                <w:ilvl w:val="0"/>
                <w:numId w:val="8"/>
              </w:numPr>
              <w:spacing w:before="120" w:after="120" w:line="240" w:lineRule="auto"/>
              <w:rPr>
                <w:rFonts w:eastAsia="Arial" w:cs="Times New Roman"/>
                <w:b w:val="0"/>
                <w:bCs w:val="0"/>
                <w:caps/>
                <w:szCs w:val="24"/>
                <w:lang w:val="en-GB"/>
              </w:rPr>
            </w:pPr>
            <w:r w:rsidRPr="00901D0D">
              <w:rPr>
                <w:rFonts w:eastAsia="Arial" w:cs="Times New Roman"/>
                <w:b w:val="0"/>
                <w:bCs w:val="0"/>
                <w:szCs w:val="24"/>
                <w:lang w:val="en-GB"/>
              </w:rPr>
              <w:t>Statistics Education</w:t>
            </w:r>
          </w:p>
        </w:tc>
        <w:tc>
          <w:tcPr>
            <w:tcW w:w="1336" w:type="dxa"/>
            <w:tcBorders>
              <w:bottom w:val="single" w:sz="4" w:space="0" w:color="auto"/>
            </w:tcBorders>
            <w:shd w:val="clear" w:color="auto" w:fill="auto"/>
            <w:vAlign w:val="center"/>
          </w:tcPr>
          <w:p w14:paraId="49D9F6D0" w14:textId="77777777" w:rsidR="0028484A" w:rsidRPr="00901D0D" w:rsidRDefault="0028484A" w:rsidP="00D92423">
            <w:pPr>
              <w:spacing w:before="120" w:after="12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cs="Times New Roman"/>
                <w:szCs w:val="24"/>
                <w:lang w:val="en-GB"/>
              </w:rPr>
            </w:pPr>
            <w:r w:rsidRPr="00901D0D">
              <w:rPr>
                <w:rFonts w:cs="Times New Roman"/>
                <w:szCs w:val="24"/>
                <w:lang w:val="en-GB"/>
              </w:rPr>
              <w:t>2.36</w:t>
            </w:r>
          </w:p>
        </w:tc>
        <w:tc>
          <w:tcPr>
            <w:tcW w:w="1337" w:type="dxa"/>
            <w:tcBorders>
              <w:bottom w:val="single" w:sz="4" w:space="0" w:color="auto"/>
            </w:tcBorders>
            <w:shd w:val="clear" w:color="auto" w:fill="auto"/>
            <w:vAlign w:val="center"/>
          </w:tcPr>
          <w:p w14:paraId="49DE6307" w14:textId="77777777" w:rsidR="0028484A" w:rsidRPr="00901D0D" w:rsidRDefault="0028484A" w:rsidP="00D92423">
            <w:pPr>
              <w:spacing w:before="120" w:after="12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cs="Times New Roman"/>
                <w:szCs w:val="24"/>
                <w:lang w:val="en-GB"/>
              </w:rPr>
            </w:pPr>
            <w:r w:rsidRPr="00901D0D">
              <w:rPr>
                <w:rFonts w:cs="Times New Roman"/>
                <w:szCs w:val="24"/>
                <w:lang w:val="en-GB"/>
              </w:rPr>
              <w:t>1.03</w:t>
            </w:r>
          </w:p>
        </w:tc>
        <w:tc>
          <w:tcPr>
            <w:tcW w:w="1337" w:type="dxa"/>
            <w:tcBorders>
              <w:bottom w:val="single" w:sz="4" w:space="0" w:color="auto"/>
            </w:tcBorders>
            <w:shd w:val="clear" w:color="auto" w:fill="auto"/>
            <w:vAlign w:val="center"/>
          </w:tcPr>
          <w:p w14:paraId="7389D8BC" w14:textId="77777777" w:rsidR="0028484A" w:rsidRPr="00901D0D" w:rsidRDefault="0028484A" w:rsidP="00D92423">
            <w:pPr>
              <w:spacing w:before="120" w:after="12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cs="Times New Roman"/>
                <w:szCs w:val="24"/>
                <w:lang w:val="en-GB"/>
              </w:rPr>
            </w:pPr>
            <w:r w:rsidRPr="00901D0D">
              <w:rPr>
                <w:rFonts w:cs="Times New Roman"/>
                <w:szCs w:val="24"/>
                <w:lang w:val="en-GB"/>
              </w:rPr>
              <w:t>1.00</w:t>
            </w:r>
          </w:p>
        </w:tc>
        <w:tc>
          <w:tcPr>
            <w:tcW w:w="1337" w:type="dxa"/>
            <w:tcBorders>
              <w:bottom w:val="single" w:sz="4" w:space="0" w:color="auto"/>
            </w:tcBorders>
            <w:shd w:val="clear" w:color="auto" w:fill="auto"/>
            <w:vAlign w:val="center"/>
          </w:tcPr>
          <w:p w14:paraId="0A4C924C" w14:textId="77777777" w:rsidR="0028484A" w:rsidRPr="00901D0D" w:rsidRDefault="0028484A" w:rsidP="00D92423">
            <w:pPr>
              <w:spacing w:before="120" w:after="12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cs="Times New Roman"/>
                <w:szCs w:val="24"/>
                <w:lang w:val="en-GB"/>
              </w:rPr>
            </w:pPr>
            <w:r w:rsidRPr="00901D0D">
              <w:rPr>
                <w:rFonts w:cs="Times New Roman"/>
                <w:szCs w:val="24"/>
                <w:lang w:val="en-GB"/>
              </w:rPr>
              <w:t>5.00</w:t>
            </w:r>
          </w:p>
        </w:tc>
        <w:tc>
          <w:tcPr>
            <w:tcW w:w="1337" w:type="dxa"/>
            <w:tcBorders>
              <w:bottom w:val="single" w:sz="4" w:space="0" w:color="auto"/>
            </w:tcBorders>
            <w:shd w:val="clear" w:color="auto" w:fill="auto"/>
            <w:vAlign w:val="center"/>
          </w:tcPr>
          <w:p w14:paraId="36951399" w14:textId="77777777" w:rsidR="0028484A" w:rsidRPr="00901D0D" w:rsidRDefault="0028484A" w:rsidP="00D92423">
            <w:pPr>
              <w:spacing w:before="120" w:after="12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cs="Times New Roman"/>
                <w:szCs w:val="24"/>
                <w:lang w:val="en-GB"/>
              </w:rPr>
            </w:pPr>
            <w:r w:rsidRPr="00901D0D">
              <w:rPr>
                <w:rFonts w:eastAsia="Arial" w:cs="Times New Roman"/>
                <w:szCs w:val="24"/>
                <w:lang w:val="en-GB"/>
              </w:rPr>
              <w:t>n/a</w:t>
            </w:r>
          </w:p>
        </w:tc>
      </w:tr>
    </w:tbl>
    <w:p w14:paraId="2D66BEA4" w14:textId="5E4050D4" w:rsidR="0028484A" w:rsidRDefault="0028484A" w:rsidP="0028484A">
      <w:pPr>
        <w:ind w:firstLine="0"/>
        <w:rPr>
          <w:rFonts w:eastAsia="MS Gothic"/>
          <w:bCs/>
          <w:szCs w:val="28"/>
          <w:lang w:val="en-GB"/>
        </w:rPr>
      </w:pPr>
      <w:r w:rsidRPr="0028484A">
        <w:rPr>
          <w:i/>
          <w:lang w:val="en-GB"/>
        </w:rPr>
        <w:t>Note</w:t>
      </w:r>
      <w:r w:rsidRPr="00901D0D">
        <w:rPr>
          <w:lang w:val="en-GB"/>
        </w:rPr>
        <w:t xml:space="preserve">: </w:t>
      </w:r>
      <w:r w:rsidRPr="0028484A">
        <w:rPr>
          <w:i/>
          <w:lang w:val="en-GB"/>
        </w:rPr>
        <w:t>n</w:t>
      </w:r>
      <w:r w:rsidRPr="00901D0D">
        <w:rPr>
          <w:rFonts w:eastAsia="Calibri"/>
          <w:lang w:val="en-GB"/>
        </w:rPr>
        <w:t xml:space="preserve"> = 178</w:t>
      </w:r>
    </w:p>
    <w:p w14:paraId="235C180E" w14:textId="77777777" w:rsidR="0028484A" w:rsidRDefault="0028484A">
      <w:pPr>
        <w:spacing w:after="200" w:line="276" w:lineRule="auto"/>
        <w:ind w:firstLine="0"/>
        <w:rPr>
          <w:rFonts w:eastAsia="MS Gothic" w:cs="Times New Roman"/>
          <w:bCs/>
          <w:szCs w:val="28"/>
          <w:lang w:val="en-GB"/>
        </w:rPr>
        <w:sectPr w:rsidR="0028484A" w:rsidSect="0028484A">
          <w:headerReference w:type="even" r:id="rId15"/>
          <w:headerReference w:type="default" r:id="rId16"/>
          <w:pgSz w:w="11906" w:h="16838" w:code="9"/>
          <w:pgMar w:top="1440" w:right="1440" w:bottom="1440" w:left="1440" w:header="709" w:footer="709" w:gutter="0"/>
          <w:cols w:space="708"/>
          <w:docGrid w:linePitch="360"/>
        </w:sectPr>
      </w:pPr>
    </w:p>
    <w:p w14:paraId="027564F6" w14:textId="65DB6315" w:rsidR="007D6BF3" w:rsidRPr="00901D0D" w:rsidRDefault="007D6BF3" w:rsidP="00021A63">
      <w:pPr>
        <w:ind w:firstLine="0"/>
        <w:outlineLvl w:val="0"/>
        <w:rPr>
          <w:rFonts w:eastAsia="MS Gothic" w:cs="Times New Roman"/>
          <w:bCs/>
          <w:szCs w:val="28"/>
          <w:lang w:val="en-GB"/>
        </w:rPr>
      </w:pPr>
      <w:r w:rsidRPr="00901D0D">
        <w:rPr>
          <w:rFonts w:eastAsia="MS Gothic" w:cs="Times New Roman"/>
          <w:bCs/>
          <w:szCs w:val="28"/>
          <w:lang w:val="en-GB"/>
        </w:rPr>
        <w:lastRenderedPageBreak/>
        <w:t xml:space="preserve">Table </w:t>
      </w:r>
      <w:r w:rsidR="000313B3">
        <w:rPr>
          <w:rFonts w:eastAsia="MS Gothic" w:cs="Times New Roman"/>
          <w:bCs/>
          <w:szCs w:val="28"/>
          <w:lang w:val="en-GB"/>
        </w:rPr>
        <w:t>2</w:t>
      </w:r>
      <w:r w:rsidRPr="00901D0D">
        <w:rPr>
          <w:rFonts w:eastAsia="MS Gothic" w:cs="Times New Roman"/>
          <w:bCs/>
          <w:szCs w:val="28"/>
          <w:lang w:val="en-GB"/>
        </w:rPr>
        <w:t>.</w:t>
      </w:r>
    </w:p>
    <w:p w14:paraId="6CAED328" w14:textId="77777777" w:rsidR="007D6BF3" w:rsidRPr="00901D0D" w:rsidRDefault="007D6BF3" w:rsidP="00021A63">
      <w:pPr>
        <w:ind w:firstLine="0"/>
        <w:rPr>
          <w:rFonts w:ascii="Calibri" w:eastAsia="Calibri" w:hAnsi="Calibri" w:cs="Times New Roman"/>
          <w:szCs w:val="24"/>
          <w:lang w:val="en-GB"/>
        </w:rPr>
      </w:pPr>
      <w:r w:rsidRPr="00901D0D">
        <w:rPr>
          <w:rFonts w:eastAsia="Arial" w:cs="Times New Roman"/>
          <w:i/>
          <w:szCs w:val="24"/>
          <w:lang w:val="en-GB"/>
        </w:rPr>
        <w:t>Correlations for Base Rate, Misperception of Chance, and all scales</w:t>
      </w:r>
    </w:p>
    <w:tbl>
      <w:tblPr>
        <w:tblStyle w:val="PlainTable41"/>
        <w:tblW w:w="15221" w:type="dxa"/>
        <w:tblLayout w:type="fixed"/>
        <w:tblCellMar>
          <w:left w:w="57" w:type="dxa"/>
          <w:right w:w="57" w:type="dxa"/>
        </w:tblCellMar>
        <w:tblLook w:val="04A0" w:firstRow="1" w:lastRow="0" w:firstColumn="1" w:lastColumn="0" w:noHBand="0" w:noVBand="1"/>
      </w:tblPr>
      <w:tblGrid>
        <w:gridCol w:w="709"/>
        <w:gridCol w:w="709"/>
        <w:gridCol w:w="709"/>
        <w:gridCol w:w="674"/>
        <w:gridCol w:w="624"/>
        <w:gridCol w:w="680"/>
        <w:gridCol w:w="680"/>
        <w:gridCol w:w="680"/>
        <w:gridCol w:w="624"/>
        <w:gridCol w:w="624"/>
        <w:gridCol w:w="624"/>
        <w:gridCol w:w="624"/>
        <w:gridCol w:w="624"/>
        <w:gridCol w:w="624"/>
        <w:gridCol w:w="624"/>
        <w:gridCol w:w="624"/>
        <w:gridCol w:w="624"/>
        <w:gridCol w:w="624"/>
        <w:gridCol w:w="624"/>
        <w:gridCol w:w="624"/>
        <w:gridCol w:w="624"/>
        <w:gridCol w:w="624"/>
        <w:gridCol w:w="510"/>
        <w:gridCol w:w="510"/>
      </w:tblGrid>
      <w:tr w:rsidR="00426DDC" w:rsidRPr="00901D0D" w14:paraId="304CCAF4" w14:textId="52FBC819" w:rsidTr="00B01C3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01" w:type="dxa"/>
            <w:gridSpan w:val="4"/>
            <w:tcBorders>
              <w:top w:val="single" w:sz="4" w:space="0" w:color="auto"/>
              <w:bottom w:val="single" w:sz="4" w:space="0" w:color="auto"/>
            </w:tcBorders>
            <w:shd w:val="clear" w:color="auto" w:fill="auto"/>
            <w:vAlign w:val="center"/>
          </w:tcPr>
          <w:p w14:paraId="09E7A2AB" w14:textId="77777777" w:rsidR="00426DDC" w:rsidRPr="00901D0D" w:rsidRDefault="00426DDC" w:rsidP="00021A63">
            <w:pPr>
              <w:ind w:firstLine="0"/>
              <w:contextualSpacing/>
              <w:rPr>
                <w:rFonts w:eastAsia="Calibri" w:cs="Times New Roman"/>
                <w:b w:val="0"/>
                <w:sz w:val="22"/>
                <w:lang w:val="en-GB"/>
              </w:rPr>
            </w:pPr>
            <w:r w:rsidRPr="00901D0D">
              <w:rPr>
                <w:rFonts w:eastAsia="Arial" w:cs="Times New Roman"/>
                <w:b w:val="0"/>
                <w:sz w:val="22"/>
                <w:lang w:val="en-GB"/>
              </w:rPr>
              <w:t>Scales</w:t>
            </w:r>
          </w:p>
        </w:tc>
        <w:tc>
          <w:tcPr>
            <w:tcW w:w="624" w:type="dxa"/>
            <w:tcBorders>
              <w:top w:val="single" w:sz="4" w:space="0" w:color="auto"/>
              <w:bottom w:val="single" w:sz="4" w:space="0" w:color="auto"/>
            </w:tcBorders>
            <w:shd w:val="clear" w:color="auto" w:fill="auto"/>
            <w:vAlign w:val="center"/>
          </w:tcPr>
          <w:p w14:paraId="16582B5A" w14:textId="77777777" w:rsidR="00426DDC" w:rsidRPr="00901D0D" w:rsidRDefault="00426DDC" w:rsidP="00021A63">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sz w:val="22"/>
                <w:lang w:val="en-GB"/>
              </w:rPr>
            </w:pPr>
            <w:r w:rsidRPr="00901D0D">
              <w:rPr>
                <w:rFonts w:eastAsia="Calibri" w:cs="Times New Roman"/>
                <w:b w:val="0"/>
                <w:sz w:val="22"/>
                <w:lang w:val="en-GB"/>
              </w:rPr>
              <w:t>1.</w:t>
            </w:r>
          </w:p>
        </w:tc>
        <w:tc>
          <w:tcPr>
            <w:tcW w:w="680" w:type="dxa"/>
            <w:tcBorders>
              <w:top w:val="single" w:sz="4" w:space="0" w:color="auto"/>
              <w:bottom w:val="single" w:sz="4" w:space="0" w:color="auto"/>
            </w:tcBorders>
            <w:shd w:val="clear" w:color="auto" w:fill="auto"/>
            <w:vAlign w:val="center"/>
          </w:tcPr>
          <w:p w14:paraId="4F83DC22" w14:textId="77777777" w:rsidR="00426DDC" w:rsidRPr="00901D0D" w:rsidRDefault="00426DDC" w:rsidP="00021A63">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sz w:val="22"/>
                <w:lang w:val="en-GB"/>
              </w:rPr>
            </w:pPr>
            <w:r w:rsidRPr="00901D0D">
              <w:rPr>
                <w:rFonts w:eastAsia="Calibri" w:cs="Times New Roman"/>
                <w:b w:val="0"/>
                <w:sz w:val="22"/>
                <w:lang w:val="en-GB"/>
              </w:rPr>
              <w:t>2.</w:t>
            </w:r>
          </w:p>
        </w:tc>
        <w:tc>
          <w:tcPr>
            <w:tcW w:w="680" w:type="dxa"/>
            <w:tcBorders>
              <w:top w:val="single" w:sz="4" w:space="0" w:color="auto"/>
              <w:bottom w:val="single" w:sz="4" w:space="0" w:color="auto"/>
            </w:tcBorders>
            <w:shd w:val="clear" w:color="auto" w:fill="auto"/>
            <w:vAlign w:val="center"/>
          </w:tcPr>
          <w:p w14:paraId="10A0E649" w14:textId="77777777" w:rsidR="00426DDC" w:rsidRPr="00901D0D" w:rsidRDefault="00426DDC" w:rsidP="00021A63">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sz w:val="22"/>
                <w:lang w:val="en-GB"/>
              </w:rPr>
            </w:pPr>
            <w:r w:rsidRPr="00901D0D">
              <w:rPr>
                <w:rFonts w:eastAsia="Calibri" w:cs="Times New Roman"/>
                <w:b w:val="0"/>
                <w:sz w:val="22"/>
                <w:lang w:val="en-GB"/>
              </w:rPr>
              <w:t>3.</w:t>
            </w:r>
          </w:p>
        </w:tc>
        <w:tc>
          <w:tcPr>
            <w:tcW w:w="680" w:type="dxa"/>
            <w:tcBorders>
              <w:top w:val="single" w:sz="4" w:space="0" w:color="auto"/>
              <w:bottom w:val="single" w:sz="4" w:space="0" w:color="auto"/>
            </w:tcBorders>
            <w:shd w:val="clear" w:color="auto" w:fill="auto"/>
            <w:vAlign w:val="center"/>
          </w:tcPr>
          <w:p w14:paraId="07AF4182" w14:textId="77777777" w:rsidR="00426DDC" w:rsidRPr="00901D0D" w:rsidRDefault="00426DDC" w:rsidP="00021A63">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sz w:val="22"/>
                <w:lang w:val="en-GB"/>
              </w:rPr>
            </w:pPr>
            <w:r w:rsidRPr="00901D0D">
              <w:rPr>
                <w:rFonts w:eastAsia="Calibri" w:cs="Times New Roman"/>
                <w:b w:val="0"/>
                <w:sz w:val="22"/>
                <w:lang w:val="en-GB"/>
              </w:rPr>
              <w:t>4.</w:t>
            </w:r>
          </w:p>
        </w:tc>
        <w:tc>
          <w:tcPr>
            <w:tcW w:w="624" w:type="dxa"/>
            <w:tcBorders>
              <w:top w:val="single" w:sz="4" w:space="0" w:color="auto"/>
              <w:bottom w:val="single" w:sz="4" w:space="0" w:color="auto"/>
            </w:tcBorders>
            <w:shd w:val="clear" w:color="auto" w:fill="auto"/>
            <w:vAlign w:val="center"/>
          </w:tcPr>
          <w:p w14:paraId="6970DA89" w14:textId="77777777" w:rsidR="00426DDC" w:rsidRPr="00901D0D" w:rsidRDefault="00426DDC" w:rsidP="00021A63">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sz w:val="22"/>
                <w:lang w:val="en-GB"/>
              </w:rPr>
            </w:pPr>
            <w:r w:rsidRPr="00901D0D">
              <w:rPr>
                <w:rFonts w:eastAsia="Calibri" w:cs="Times New Roman"/>
                <w:b w:val="0"/>
                <w:sz w:val="22"/>
                <w:lang w:val="en-GB"/>
              </w:rPr>
              <w:t>5.</w:t>
            </w:r>
          </w:p>
        </w:tc>
        <w:tc>
          <w:tcPr>
            <w:tcW w:w="624" w:type="dxa"/>
            <w:tcBorders>
              <w:top w:val="single" w:sz="4" w:space="0" w:color="auto"/>
              <w:bottom w:val="single" w:sz="4" w:space="0" w:color="auto"/>
            </w:tcBorders>
            <w:shd w:val="clear" w:color="auto" w:fill="auto"/>
            <w:vAlign w:val="center"/>
          </w:tcPr>
          <w:p w14:paraId="297CB075" w14:textId="77777777" w:rsidR="00426DDC" w:rsidRPr="00901D0D" w:rsidRDefault="00426DDC" w:rsidP="00021A63">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sz w:val="22"/>
                <w:lang w:val="en-GB"/>
              </w:rPr>
            </w:pPr>
            <w:r w:rsidRPr="00901D0D">
              <w:rPr>
                <w:rFonts w:eastAsia="Calibri" w:cs="Times New Roman"/>
                <w:b w:val="0"/>
                <w:sz w:val="22"/>
                <w:lang w:val="en-GB"/>
              </w:rPr>
              <w:t>6.</w:t>
            </w:r>
          </w:p>
        </w:tc>
        <w:tc>
          <w:tcPr>
            <w:tcW w:w="624" w:type="dxa"/>
            <w:tcBorders>
              <w:top w:val="single" w:sz="4" w:space="0" w:color="auto"/>
              <w:bottom w:val="single" w:sz="4" w:space="0" w:color="auto"/>
            </w:tcBorders>
            <w:shd w:val="clear" w:color="auto" w:fill="auto"/>
            <w:vAlign w:val="center"/>
          </w:tcPr>
          <w:p w14:paraId="2F8A478E" w14:textId="77777777" w:rsidR="00426DDC" w:rsidRPr="00901D0D" w:rsidRDefault="00426DDC" w:rsidP="00021A63">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sz w:val="22"/>
                <w:lang w:val="en-GB"/>
              </w:rPr>
            </w:pPr>
            <w:r w:rsidRPr="00901D0D">
              <w:rPr>
                <w:rFonts w:eastAsia="Calibri" w:cs="Times New Roman"/>
                <w:b w:val="0"/>
                <w:sz w:val="22"/>
                <w:lang w:val="en-GB"/>
              </w:rPr>
              <w:t>7.</w:t>
            </w:r>
          </w:p>
        </w:tc>
        <w:tc>
          <w:tcPr>
            <w:tcW w:w="624" w:type="dxa"/>
            <w:tcBorders>
              <w:top w:val="single" w:sz="4" w:space="0" w:color="auto"/>
              <w:bottom w:val="single" w:sz="4" w:space="0" w:color="auto"/>
            </w:tcBorders>
            <w:shd w:val="clear" w:color="auto" w:fill="auto"/>
            <w:vAlign w:val="center"/>
          </w:tcPr>
          <w:p w14:paraId="66E7DE43" w14:textId="77777777" w:rsidR="00426DDC" w:rsidRPr="00901D0D" w:rsidRDefault="00426DDC" w:rsidP="00021A63">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sz w:val="22"/>
                <w:lang w:val="en-GB"/>
              </w:rPr>
            </w:pPr>
            <w:r w:rsidRPr="00901D0D">
              <w:rPr>
                <w:rFonts w:eastAsia="Calibri" w:cs="Times New Roman"/>
                <w:b w:val="0"/>
                <w:sz w:val="22"/>
                <w:lang w:val="en-GB"/>
              </w:rPr>
              <w:t>8.</w:t>
            </w:r>
          </w:p>
        </w:tc>
        <w:tc>
          <w:tcPr>
            <w:tcW w:w="624" w:type="dxa"/>
            <w:tcBorders>
              <w:top w:val="single" w:sz="4" w:space="0" w:color="auto"/>
              <w:bottom w:val="single" w:sz="4" w:space="0" w:color="auto"/>
            </w:tcBorders>
            <w:shd w:val="clear" w:color="auto" w:fill="auto"/>
            <w:vAlign w:val="center"/>
          </w:tcPr>
          <w:p w14:paraId="68469BB6" w14:textId="77777777" w:rsidR="00426DDC" w:rsidRPr="00901D0D" w:rsidRDefault="00426DDC" w:rsidP="00021A63">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sz w:val="22"/>
                <w:lang w:val="en-GB"/>
              </w:rPr>
            </w:pPr>
            <w:r w:rsidRPr="00901D0D">
              <w:rPr>
                <w:rFonts w:eastAsia="Calibri" w:cs="Times New Roman"/>
                <w:b w:val="0"/>
                <w:sz w:val="22"/>
                <w:lang w:val="en-GB"/>
              </w:rPr>
              <w:t>9.</w:t>
            </w:r>
          </w:p>
        </w:tc>
        <w:tc>
          <w:tcPr>
            <w:tcW w:w="624" w:type="dxa"/>
            <w:tcBorders>
              <w:top w:val="single" w:sz="4" w:space="0" w:color="auto"/>
              <w:bottom w:val="single" w:sz="4" w:space="0" w:color="auto"/>
            </w:tcBorders>
            <w:shd w:val="clear" w:color="auto" w:fill="auto"/>
            <w:vAlign w:val="center"/>
          </w:tcPr>
          <w:p w14:paraId="77D07A1E" w14:textId="77777777" w:rsidR="00426DDC" w:rsidRPr="00901D0D" w:rsidRDefault="00426DDC" w:rsidP="00021A63">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sz w:val="22"/>
                <w:lang w:val="en-GB"/>
              </w:rPr>
            </w:pPr>
            <w:r w:rsidRPr="00901D0D">
              <w:rPr>
                <w:rFonts w:eastAsia="Calibri" w:cs="Times New Roman"/>
                <w:b w:val="0"/>
                <w:sz w:val="22"/>
                <w:lang w:val="en-GB"/>
              </w:rPr>
              <w:t>10.</w:t>
            </w:r>
          </w:p>
        </w:tc>
        <w:tc>
          <w:tcPr>
            <w:tcW w:w="624" w:type="dxa"/>
            <w:tcBorders>
              <w:top w:val="single" w:sz="4" w:space="0" w:color="auto"/>
              <w:bottom w:val="single" w:sz="4" w:space="0" w:color="auto"/>
            </w:tcBorders>
            <w:shd w:val="clear" w:color="auto" w:fill="auto"/>
            <w:vAlign w:val="center"/>
          </w:tcPr>
          <w:p w14:paraId="13E9CB69" w14:textId="77777777" w:rsidR="00426DDC" w:rsidRPr="00901D0D" w:rsidRDefault="00426DDC" w:rsidP="00021A63">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sz w:val="22"/>
                <w:lang w:val="en-GB"/>
              </w:rPr>
            </w:pPr>
            <w:r w:rsidRPr="00901D0D">
              <w:rPr>
                <w:rFonts w:eastAsia="Calibri" w:cs="Times New Roman"/>
                <w:b w:val="0"/>
                <w:sz w:val="22"/>
                <w:lang w:val="en-GB"/>
              </w:rPr>
              <w:t>11.</w:t>
            </w:r>
          </w:p>
        </w:tc>
        <w:tc>
          <w:tcPr>
            <w:tcW w:w="624" w:type="dxa"/>
            <w:tcBorders>
              <w:top w:val="single" w:sz="4" w:space="0" w:color="auto"/>
              <w:bottom w:val="single" w:sz="4" w:space="0" w:color="auto"/>
            </w:tcBorders>
            <w:shd w:val="clear" w:color="auto" w:fill="auto"/>
            <w:vAlign w:val="center"/>
          </w:tcPr>
          <w:p w14:paraId="0B2D2E06" w14:textId="77777777" w:rsidR="00426DDC" w:rsidRPr="00901D0D" w:rsidRDefault="00426DDC" w:rsidP="00021A63">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sz w:val="22"/>
                <w:lang w:val="en-GB"/>
              </w:rPr>
            </w:pPr>
            <w:r w:rsidRPr="00901D0D">
              <w:rPr>
                <w:rFonts w:eastAsia="Calibri" w:cs="Times New Roman"/>
                <w:b w:val="0"/>
                <w:sz w:val="22"/>
                <w:lang w:val="en-GB"/>
              </w:rPr>
              <w:t>12.</w:t>
            </w:r>
          </w:p>
        </w:tc>
        <w:tc>
          <w:tcPr>
            <w:tcW w:w="624" w:type="dxa"/>
            <w:tcBorders>
              <w:top w:val="single" w:sz="4" w:space="0" w:color="auto"/>
              <w:bottom w:val="single" w:sz="4" w:space="0" w:color="auto"/>
            </w:tcBorders>
            <w:shd w:val="clear" w:color="auto" w:fill="auto"/>
            <w:vAlign w:val="center"/>
          </w:tcPr>
          <w:p w14:paraId="5F4B5C77" w14:textId="77777777" w:rsidR="00426DDC" w:rsidRPr="00901D0D" w:rsidRDefault="00426DDC" w:rsidP="00021A63">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sz w:val="22"/>
                <w:lang w:val="en-GB"/>
              </w:rPr>
            </w:pPr>
            <w:r w:rsidRPr="00901D0D">
              <w:rPr>
                <w:rFonts w:eastAsia="Calibri" w:cs="Times New Roman"/>
                <w:b w:val="0"/>
                <w:sz w:val="22"/>
                <w:lang w:val="en-GB"/>
              </w:rPr>
              <w:t>13.</w:t>
            </w:r>
          </w:p>
        </w:tc>
        <w:tc>
          <w:tcPr>
            <w:tcW w:w="624" w:type="dxa"/>
            <w:tcBorders>
              <w:top w:val="single" w:sz="4" w:space="0" w:color="auto"/>
              <w:bottom w:val="single" w:sz="4" w:space="0" w:color="auto"/>
            </w:tcBorders>
            <w:shd w:val="clear" w:color="auto" w:fill="auto"/>
            <w:vAlign w:val="center"/>
          </w:tcPr>
          <w:p w14:paraId="69273B96" w14:textId="77777777" w:rsidR="00426DDC" w:rsidRPr="00901D0D" w:rsidRDefault="00426DDC" w:rsidP="00021A63">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sz w:val="22"/>
                <w:lang w:val="en-GB"/>
              </w:rPr>
            </w:pPr>
            <w:r w:rsidRPr="00901D0D">
              <w:rPr>
                <w:rFonts w:eastAsia="Calibri" w:cs="Times New Roman"/>
                <w:b w:val="0"/>
                <w:sz w:val="22"/>
                <w:lang w:val="en-GB"/>
              </w:rPr>
              <w:t>14.</w:t>
            </w:r>
          </w:p>
        </w:tc>
        <w:tc>
          <w:tcPr>
            <w:tcW w:w="624" w:type="dxa"/>
            <w:tcBorders>
              <w:top w:val="single" w:sz="4" w:space="0" w:color="auto"/>
              <w:bottom w:val="single" w:sz="4" w:space="0" w:color="auto"/>
            </w:tcBorders>
            <w:shd w:val="clear" w:color="auto" w:fill="auto"/>
            <w:vAlign w:val="center"/>
          </w:tcPr>
          <w:p w14:paraId="2125DB16" w14:textId="280FBE2B" w:rsidR="00426DDC" w:rsidRPr="00901D0D" w:rsidRDefault="00426DDC" w:rsidP="00021A63">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sz w:val="22"/>
                <w:lang w:val="en-GB"/>
              </w:rPr>
            </w:pPr>
            <w:r w:rsidRPr="00901D0D">
              <w:rPr>
                <w:rFonts w:eastAsia="Calibri" w:cs="Times New Roman"/>
                <w:b w:val="0"/>
                <w:sz w:val="22"/>
                <w:lang w:val="en-GB"/>
              </w:rPr>
              <w:t>15.</w:t>
            </w:r>
          </w:p>
        </w:tc>
        <w:tc>
          <w:tcPr>
            <w:tcW w:w="624" w:type="dxa"/>
            <w:tcBorders>
              <w:top w:val="single" w:sz="4" w:space="0" w:color="auto"/>
              <w:bottom w:val="single" w:sz="4" w:space="0" w:color="auto"/>
            </w:tcBorders>
            <w:shd w:val="clear" w:color="auto" w:fill="auto"/>
            <w:vAlign w:val="center"/>
          </w:tcPr>
          <w:p w14:paraId="44529C8E" w14:textId="7EFF34FC" w:rsidR="00426DDC" w:rsidRPr="00901D0D" w:rsidRDefault="00426DDC" w:rsidP="00021A63">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sz w:val="22"/>
                <w:lang w:val="en-GB"/>
              </w:rPr>
            </w:pPr>
            <w:r w:rsidRPr="00901D0D">
              <w:rPr>
                <w:rFonts w:eastAsia="Calibri" w:cs="Times New Roman"/>
                <w:b w:val="0"/>
                <w:sz w:val="22"/>
                <w:lang w:val="en-GB"/>
              </w:rPr>
              <w:t>16.</w:t>
            </w:r>
          </w:p>
        </w:tc>
        <w:tc>
          <w:tcPr>
            <w:tcW w:w="624" w:type="dxa"/>
            <w:tcBorders>
              <w:top w:val="single" w:sz="4" w:space="0" w:color="auto"/>
              <w:bottom w:val="single" w:sz="4" w:space="0" w:color="auto"/>
            </w:tcBorders>
            <w:shd w:val="clear" w:color="auto" w:fill="auto"/>
            <w:vAlign w:val="center"/>
          </w:tcPr>
          <w:p w14:paraId="5EF26D3A" w14:textId="07993135" w:rsidR="00426DDC" w:rsidRPr="00901D0D" w:rsidRDefault="00426DDC" w:rsidP="00021A63">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sz w:val="22"/>
                <w:lang w:val="en-GB"/>
              </w:rPr>
            </w:pPr>
            <w:r w:rsidRPr="00901D0D">
              <w:rPr>
                <w:rFonts w:eastAsia="Calibri" w:cs="Times New Roman"/>
                <w:b w:val="0"/>
                <w:sz w:val="22"/>
                <w:lang w:val="en-GB"/>
              </w:rPr>
              <w:t>17.</w:t>
            </w:r>
          </w:p>
        </w:tc>
        <w:tc>
          <w:tcPr>
            <w:tcW w:w="624" w:type="dxa"/>
            <w:tcBorders>
              <w:top w:val="single" w:sz="4" w:space="0" w:color="auto"/>
              <w:bottom w:val="single" w:sz="4" w:space="0" w:color="auto"/>
            </w:tcBorders>
            <w:shd w:val="clear" w:color="auto" w:fill="auto"/>
            <w:vAlign w:val="center"/>
          </w:tcPr>
          <w:p w14:paraId="0DE8F323" w14:textId="1B0178ED" w:rsidR="00426DDC" w:rsidRPr="00901D0D" w:rsidRDefault="00426DDC" w:rsidP="00021A63">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sz w:val="22"/>
                <w:lang w:val="en-GB"/>
              </w:rPr>
            </w:pPr>
            <w:r w:rsidRPr="00901D0D">
              <w:rPr>
                <w:rFonts w:eastAsia="Calibri" w:cs="Times New Roman"/>
                <w:b w:val="0"/>
                <w:sz w:val="22"/>
                <w:lang w:val="en-GB"/>
              </w:rPr>
              <w:t>18.</w:t>
            </w:r>
          </w:p>
        </w:tc>
        <w:tc>
          <w:tcPr>
            <w:tcW w:w="510" w:type="dxa"/>
            <w:tcBorders>
              <w:top w:val="single" w:sz="4" w:space="0" w:color="auto"/>
              <w:bottom w:val="single" w:sz="4" w:space="0" w:color="auto"/>
            </w:tcBorders>
            <w:shd w:val="clear" w:color="auto" w:fill="auto"/>
            <w:vAlign w:val="center"/>
          </w:tcPr>
          <w:p w14:paraId="7800DD90" w14:textId="3B1FF765" w:rsidR="00426DDC" w:rsidRPr="00901D0D" w:rsidRDefault="00426DDC" w:rsidP="00021A63">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sz w:val="22"/>
                <w:lang w:val="en-GB"/>
              </w:rPr>
            </w:pPr>
            <w:r w:rsidRPr="00901D0D">
              <w:rPr>
                <w:rFonts w:eastAsia="Calibri" w:cs="Times New Roman"/>
                <w:b w:val="0"/>
                <w:sz w:val="22"/>
                <w:lang w:val="en-GB"/>
              </w:rPr>
              <w:t>19.</w:t>
            </w:r>
          </w:p>
        </w:tc>
        <w:tc>
          <w:tcPr>
            <w:tcW w:w="510" w:type="dxa"/>
            <w:tcBorders>
              <w:top w:val="single" w:sz="4" w:space="0" w:color="auto"/>
              <w:bottom w:val="single" w:sz="4" w:space="0" w:color="auto"/>
            </w:tcBorders>
            <w:shd w:val="clear" w:color="auto" w:fill="auto"/>
            <w:vAlign w:val="center"/>
          </w:tcPr>
          <w:p w14:paraId="20384C9D" w14:textId="48AC0847" w:rsidR="00426DDC" w:rsidRPr="00901D0D" w:rsidRDefault="00426DDC" w:rsidP="00021A63">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sz w:val="22"/>
                <w:lang w:val="en-GB"/>
              </w:rPr>
            </w:pPr>
            <w:r w:rsidRPr="00901D0D">
              <w:rPr>
                <w:rFonts w:eastAsia="Calibri" w:cs="Times New Roman"/>
                <w:b w:val="0"/>
                <w:sz w:val="22"/>
                <w:lang w:val="en-GB"/>
              </w:rPr>
              <w:t>20.</w:t>
            </w:r>
          </w:p>
        </w:tc>
      </w:tr>
      <w:tr w:rsidR="00426DDC" w:rsidRPr="00901D0D" w14:paraId="285B7E01" w14:textId="2ADFDB3C" w:rsidTr="00B01C3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01" w:type="dxa"/>
            <w:gridSpan w:val="4"/>
            <w:tcBorders>
              <w:top w:val="single" w:sz="4" w:space="0" w:color="auto"/>
            </w:tcBorders>
            <w:shd w:val="clear" w:color="auto" w:fill="auto"/>
            <w:vAlign w:val="center"/>
          </w:tcPr>
          <w:p w14:paraId="2E24A061" w14:textId="6C5C484F" w:rsidR="00426DDC" w:rsidRPr="00901D0D" w:rsidRDefault="00426DDC" w:rsidP="00021A63">
            <w:pPr>
              <w:ind w:firstLine="0"/>
              <w:contextualSpacing/>
              <w:rPr>
                <w:rFonts w:eastAsia="Arial" w:cs="Times New Roman"/>
                <w:b w:val="0"/>
                <w:sz w:val="22"/>
                <w:lang w:val="en-GB"/>
              </w:rPr>
            </w:pPr>
            <w:r w:rsidRPr="00901D0D">
              <w:rPr>
                <w:rFonts w:eastAsia="Arial" w:cs="Times New Roman"/>
                <w:b w:val="0"/>
                <w:sz w:val="22"/>
                <w:lang w:val="en-GB"/>
              </w:rPr>
              <w:t>Reasoning Tasks</w:t>
            </w:r>
          </w:p>
        </w:tc>
        <w:tc>
          <w:tcPr>
            <w:tcW w:w="624" w:type="dxa"/>
            <w:tcBorders>
              <w:top w:val="single" w:sz="4" w:space="0" w:color="auto"/>
            </w:tcBorders>
            <w:shd w:val="clear" w:color="auto" w:fill="auto"/>
            <w:vAlign w:val="center"/>
          </w:tcPr>
          <w:p w14:paraId="4E296AE0"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b/>
                <w:sz w:val="20"/>
                <w:szCs w:val="20"/>
                <w:lang w:val="en-GB"/>
              </w:rPr>
            </w:pPr>
          </w:p>
        </w:tc>
        <w:tc>
          <w:tcPr>
            <w:tcW w:w="680" w:type="dxa"/>
            <w:tcBorders>
              <w:top w:val="single" w:sz="4" w:space="0" w:color="auto"/>
            </w:tcBorders>
            <w:shd w:val="clear" w:color="auto" w:fill="auto"/>
            <w:vAlign w:val="center"/>
          </w:tcPr>
          <w:p w14:paraId="25F5F1B6"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b/>
                <w:sz w:val="20"/>
                <w:szCs w:val="20"/>
                <w:lang w:val="en-GB"/>
              </w:rPr>
            </w:pPr>
          </w:p>
        </w:tc>
        <w:tc>
          <w:tcPr>
            <w:tcW w:w="680" w:type="dxa"/>
            <w:tcBorders>
              <w:top w:val="single" w:sz="4" w:space="0" w:color="auto"/>
            </w:tcBorders>
            <w:shd w:val="clear" w:color="auto" w:fill="auto"/>
            <w:vAlign w:val="center"/>
          </w:tcPr>
          <w:p w14:paraId="6746A0E4"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b/>
                <w:sz w:val="20"/>
                <w:szCs w:val="20"/>
                <w:lang w:val="en-GB"/>
              </w:rPr>
            </w:pPr>
          </w:p>
        </w:tc>
        <w:tc>
          <w:tcPr>
            <w:tcW w:w="680" w:type="dxa"/>
            <w:tcBorders>
              <w:top w:val="single" w:sz="4" w:space="0" w:color="auto"/>
            </w:tcBorders>
            <w:shd w:val="clear" w:color="auto" w:fill="auto"/>
            <w:vAlign w:val="center"/>
          </w:tcPr>
          <w:p w14:paraId="1B973980"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b/>
                <w:sz w:val="20"/>
                <w:szCs w:val="20"/>
                <w:lang w:val="en-GB"/>
              </w:rPr>
            </w:pPr>
          </w:p>
        </w:tc>
        <w:tc>
          <w:tcPr>
            <w:tcW w:w="624" w:type="dxa"/>
            <w:tcBorders>
              <w:top w:val="single" w:sz="4" w:space="0" w:color="auto"/>
            </w:tcBorders>
            <w:shd w:val="clear" w:color="auto" w:fill="auto"/>
            <w:vAlign w:val="center"/>
          </w:tcPr>
          <w:p w14:paraId="1385A1D8"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b/>
                <w:sz w:val="20"/>
                <w:szCs w:val="20"/>
                <w:lang w:val="en-GB"/>
              </w:rPr>
            </w:pPr>
          </w:p>
        </w:tc>
        <w:tc>
          <w:tcPr>
            <w:tcW w:w="624" w:type="dxa"/>
            <w:tcBorders>
              <w:top w:val="single" w:sz="4" w:space="0" w:color="auto"/>
            </w:tcBorders>
            <w:shd w:val="clear" w:color="auto" w:fill="auto"/>
            <w:vAlign w:val="center"/>
          </w:tcPr>
          <w:p w14:paraId="089E93BE"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b/>
                <w:sz w:val="20"/>
                <w:szCs w:val="20"/>
                <w:lang w:val="en-GB"/>
              </w:rPr>
            </w:pPr>
          </w:p>
        </w:tc>
        <w:tc>
          <w:tcPr>
            <w:tcW w:w="624" w:type="dxa"/>
            <w:tcBorders>
              <w:top w:val="single" w:sz="4" w:space="0" w:color="auto"/>
            </w:tcBorders>
            <w:shd w:val="clear" w:color="auto" w:fill="auto"/>
            <w:vAlign w:val="center"/>
          </w:tcPr>
          <w:p w14:paraId="4696A34F"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b/>
                <w:sz w:val="20"/>
                <w:szCs w:val="20"/>
                <w:lang w:val="en-GB"/>
              </w:rPr>
            </w:pPr>
          </w:p>
        </w:tc>
        <w:tc>
          <w:tcPr>
            <w:tcW w:w="624" w:type="dxa"/>
            <w:tcBorders>
              <w:top w:val="single" w:sz="4" w:space="0" w:color="auto"/>
            </w:tcBorders>
            <w:shd w:val="clear" w:color="auto" w:fill="auto"/>
            <w:vAlign w:val="center"/>
          </w:tcPr>
          <w:p w14:paraId="1C03EBE3"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b/>
                <w:sz w:val="20"/>
                <w:szCs w:val="20"/>
                <w:lang w:val="en-GB"/>
              </w:rPr>
            </w:pPr>
          </w:p>
        </w:tc>
        <w:tc>
          <w:tcPr>
            <w:tcW w:w="624" w:type="dxa"/>
            <w:tcBorders>
              <w:top w:val="single" w:sz="4" w:space="0" w:color="auto"/>
            </w:tcBorders>
            <w:shd w:val="clear" w:color="auto" w:fill="auto"/>
            <w:vAlign w:val="center"/>
          </w:tcPr>
          <w:p w14:paraId="5D7D234D"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b/>
                <w:sz w:val="20"/>
                <w:szCs w:val="20"/>
                <w:lang w:val="en-GB"/>
              </w:rPr>
            </w:pPr>
          </w:p>
        </w:tc>
        <w:tc>
          <w:tcPr>
            <w:tcW w:w="624" w:type="dxa"/>
            <w:tcBorders>
              <w:top w:val="single" w:sz="4" w:space="0" w:color="auto"/>
            </w:tcBorders>
            <w:shd w:val="clear" w:color="auto" w:fill="auto"/>
            <w:vAlign w:val="center"/>
          </w:tcPr>
          <w:p w14:paraId="24C037E3"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b/>
                <w:sz w:val="20"/>
                <w:szCs w:val="20"/>
                <w:lang w:val="en-GB"/>
              </w:rPr>
            </w:pPr>
          </w:p>
        </w:tc>
        <w:tc>
          <w:tcPr>
            <w:tcW w:w="624" w:type="dxa"/>
            <w:tcBorders>
              <w:top w:val="single" w:sz="4" w:space="0" w:color="auto"/>
            </w:tcBorders>
            <w:shd w:val="clear" w:color="auto" w:fill="auto"/>
            <w:vAlign w:val="center"/>
          </w:tcPr>
          <w:p w14:paraId="7D2CBD0D"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b/>
                <w:sz w:val="20"/>
                <w:szCs w:val="20"/>
                <w:lang w:val="en-GB"/>
              </w:rPr>
            </w:pPr>
          </w:p>
        </w:tc>
        <w:tc>
          <w:tcPr>
            <w:tcW w:w="624" w:type="dxa"/>
            <w:tcBorders>
              <w:top w:val="single" w:sz="4" w:space="0" w:color="auto"/>
            </w:tcBorders>
            <w:shd w:val="clear" w:color="auto" w:fill="auto"/>
            <w:vAlign w:val="center"/>
          </w:tcPr>
          <w:p w14:paraId="385DA7C4"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b/>
                <w:sz w:val="20"/>
                <w:szCs w:val="20"/>
                <w:lang w:val="en-GB"/>
              </w:rPr>
            </w:pPr>
          </w:p>
        </w:tc>
        <w:tc>
          <w:tcPr>
            <w:tcW w:w="624" w:type="dxa"/>
            <w:tcBorders>
              <w:top w:val="single" w:sz="4" w:space="0" w:color="auto"/>
            </w:tcBorders>
            <w:shd w:val="clear" w:color="auto" w:fill="auto"/>
            <w:vAlign w:val="center"/>
          </w:tcPr>
          <w:p w14:paraId="7BF9D068"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b/>
                <w:sz w:val="20"/>
                <w:szCs w:val="20"/>
                <w:lang w:val="en-GB"/>
              </w:rPr>
            </w:pPr>
          </w:p>
        </w:tc>
        <w:tc>
          <w:tcPr>
            <w:tcW w:w="624" w:type="dxa"/>
            <w:tcBorders>
              <w:top w:val="single" w:sz="4" w:space="0" w:color="auto"/>
            </w:tcBorders>
            <w:shd w:val="clear" w:color="auto" w:fill="auto"/>
            <w:vAlign w:val="center"/>
          </w:tcPr>
          <w:p w14:paraId="39BD2D8D"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b/>
                <w:sz w:val="20"/>
                <w:szCs w:val="20"/>
                <w:lang w:val="en-GB"/>
              </w:rPr>
            </w:pPr>
          </w:p>
        </w:tc>
        <w:tc>
          <w:tcPr>
            <w:tcW w:w="624" w:type="dxa"/>
            <w:tcBorders>
              <w:top w:val="single" w:sz="4" w:space="0" w:color="auto"/>
            </w:tcBorders>
            <w:shd w:val="clear" w:color="auto" w:fill="auto"/>
            <w:vAlign w:val="center"/>
          </w:tcPr>
          <w:p w14:paraId="29895929"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b/>
                <w:sz w:val="20"/>
                <w:szCs w:val="20"/>
                <w:lang w:val="en-GB"/>
              </w:rPr>
            </w:pPr>
          </w:p>
        </w:tc>
        <w:tc>
          <w:tcPr>
            <w:tcW w:w="624" w:type="dxa"/>
            <w:tcBorders>
              <w:top w:val="single" w:sz="4" w:space="0" w:color="auto"/>
            </w:tcBorders>
            <w:shd w:val="clear" w:color="auto" w:fill="auto"/>
            <w:vAlign w:val="center"/>
          </w:tcPr>
          <w:p w14:paraId="152E32B1"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b/>
                <w:sz w:val="20"/>
                <w:szCs w:val="20"/>
                <w:lang w:val="en-GB"/>
              </w:rPr>
            </w:pPr>
          </w:p>
        </w:tc>
        <w:tc>
          <w:tcPr>
            <w:tcW w:w="624" w:type="dxa"/>
            <w:tcBorders>
              <w:top w:val="single" w:sz="4" w:space="0" w:color="auto"/>
            </w:tcBorders>
            <w:shd w:val="clear" w:color="auto" w:fill="auto"/>
            <w:vAlign w:val="center"/>
          </w:tcPr>
          <w:p w14:paraId="7E55330E"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b/>
                <w:sz w:val="20"/>
                <w:szCs w:val="20"/>
                <w:lang w:val="en-GB"/>
              </w:rPr>
            </w:pPr>
          </w:p>
        </w:tc>
        <w:tc>
          <w:tcPr>
            <w:tcW w:w="624" w:type="dxa"/>
            <w:tcBorders>
              <w:top w:val="single" w:sz="4" w:space="0" w:color="auto"/>
            </w:tcBorders>
            <w:shd w:val="clear" w:color="auto" w:fill="auto"/>
            <w:vAlign w:val="center"/>
          </w:tcPr>
          <w:p w14:paraId="4D548FAC"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b/>
                <w:sz w:val="20"/>
                <w:szCs w:val="20"/>
                <w:lang w:val="en-GB"/>
              </w:rPr>
            </w:pPr>
          </w:p>
        </w:tc>
        <w:tc>
          <w:tcPr>
            <w:tcW w:w="510" w:type="dxa"/>
            <w:tcBorders>
              <w:top w:val="single" w:sz="4" w:space="0" w:color="auto"/>
            </w:tcBorders>
            <w:shd w:val="clear" w:color="auto" w:fill="auto"/>
            <w:vAlign w:val="center"/>
          </w:tcPr>
          <w:p w14:paraId="56B5ABC0"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b/>
                <w:sz w:val="20"/>
                <w:szCs w:val="20"/>
                <w:lang w:val="en-GB"/>
              </w:rPr>
            </w:pPr>
          </w:p>
        </w:tc>
        <w:tc>
          <w:tcPr>
            <w:tcW w:w="510" w:type="dxa"/>
            <w:tcBorders>
              <w:top w:val="single" w:sz="4" w:space="0" w:color="auto"/>
            </w:tcBorders>
            <w:shd w:val="clear" w:color="auto" w:fill="auto"/>
            <w:vAlign w:val="center"/>
          </w:tcPr>
          <w:p w14:paraId="68EA491D" w14:textId="5440D845"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b/>
                <w:sz w:val="20"/>
                <w:szCs w:val="20"/>
                <w:lang w:val="en-GB"/>
              </w:rPr>
            </w:pPr>
          </w:p>
        </w:tc>
      </w:tr>
      <w:tr w:rsidR="00426DDC" w:rsidRPr="00901D0D" w14:paraId="30A4D34C" w14:textId="7F03BFD6" w:rsidTr="00B01C37">
        <w:trPr>
          <w:trHeight w:val="20"/>
        </w:trPr>
        <w:tc>
          <w:tcPr>
            <w:cnfStyle w:val="001000000000" w:firstRow="0" w:lastRow="0" w:firstColumn="1" w:lastColumn="0" w:oddVBand="0" w:evenVBand="0" w:oddHBand="0" w:evenHBand="0" w:firstRowFirstColumn="0" w:firstRowLastColumn="0" w:lastRowFirstColumn="0" w:lastRowLastColumn="0"/>
            <w:tcW w:w="2801" w:type="dxa"/>
            <w:gridSpan w:val="4"/>
            <w:shd w:val="clear" w:color="auto" w:fill="auto"/>
            <w:vAlign w:val="center"/>
          </w:tcPr>
          <w:p w14:paraId="0D12C48A" w14:textId="287D55DD" w:rsidR="00426DDC" w:rsidRPr="00901D0D" w:rsidRDefault="00426DDC" w:rsidP="00021A63">
            <w:pPr>
              <w:numPr>
                <w:ilvl w:val="0"/>
                <w:numId w:val="21"/>
              </w:numPr>
              <w:contextualSpacing/>
              <w:rPr>
                <w:rFonts w:eastAsia="Calibri" w:cs="Times New Roman"/>
                <w:b w:val="0"/>
                <w:sz w:val="22"/>
                <w:lang w:val="en-GB"/>
              </w:rPr>
            </w:pPr>
            <w:r w:rsidRPr="00901D0D">
              <w:rPr>
                <w:rFonts w:eastAsia="Arial" w:cs="Times New Roman"/>
                <w:b w:val="0"/>
                <w:sz w:val="22"/>
                <w:lang w:val="en-GB"/>
              </w:rPr>
              <w:t>Base Rate – Control</w:t>
            </w:r>
          </w:p>
        </w:tc>
        <w:tc>
          <w:tcPr>
            <w:tcW w:w="624" w:type="dxa"/>
            <w:shd w:val="clear" w:color="auto" w:fill="auto"/>
            <w:vAlign w:val="center"/>
          </w:tcPr>
          <w:p w14:paraId="240AAA11" w14:textId="77777777" w:rsidR="00426DDC" w:rsidRPr="00901D0D" w:rsidRDefault="00426DDC"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80" w:type="dxa"/>
            <w:shd w:val="clear" w:color="auto" w:fill="auto"/>
            <w:vAlign w:val="center"/>
          </w:tcPr>
          <w:p w14:paraId="482B100A" w14:textId="77777777" w:rsidR="00426DDC" w:rsidRPr="00901D0D" w:rsidRDefault="00426DDC"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80" w:type="dxa"/>
            <w:shd w:val="clear" w:color="auto" w:fill="auto"/>
            <w:vAlign w:val="center"/>
          </w:tcPr>
          <w:p w14:paraId="37131C83" w14:textId="77777777" w:rsidR="00426DDC" w:rsidRPr="00901D0D" w:rsidRDefault="00426DDC"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80" w:type="dxa"/>
            <w:shd w:val="clear" w:color="auto" w:fill="auto"/>
            <w:vAlign w:val="center"/>
          </w:tcPr>
          <w:p w14:paraId="73398F00" w14:textId="77777777" w:rsidR="00426DDC" w:rsidRPr="00901D0D" w:rsidRDefault="00426DDC"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022FE2CC" w14:textId="77777777" w:rsidR="00426DDC" w:rsidRPr="00901D0D" w:rsidRDefault="00426DDC"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021C5FE4" w14:textId="77777777" w:rsidR="00426DDC" w:rsidRPr="00901D0D" w:rsidRDefault="00426DDC"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15974EA7" w14:textId="77777777" w:rsidR="00426DDC" w:rsidRPr="00901D0D" w:rsidRDefault="00426DDC"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68B11635" w14:textId="77777777" w:rsidR="00426DDC" w:rsidRPr="00901D0D" w:rsidRDefault="00426DDC"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6CADD4A6" w14:textId="77777777" w:rsidR="00426DDC" w:rsidRPr="00901D0D" w:rsidRDefault="00426DDC"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63C3D36C" w14:textId="77777777" w:rsidR="00426DDC" w:rsidRPr="00901D0D" w:rsidRDefault="00426DDC"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6A92BE75" w14:textId="77777777" w:rsidR="00426DDC" w:rsidRPr="00901D0D" w:rsidRDefault="00426DDC"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1AA181BF" w14:textId="77777777" w:rsidR="00426DDC" w:rsidRPr="00901D0D" w:rsidRDefault="00426DDC"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40FB3DCD" w14:textId="77777777" w:rsidR="00426DDC" w:rsidRPr="00901D0D" w:rsidRDefault="00426DDC"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017EAAE8" w14:textId="77777777" w:rsidR="00426DDC" w:rsidRPr="00901D0D" w:rsidRDefault="00426DDC"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736F3A0E" w14:textId="77777777" w:rsidR="00426DDC" w:rsidRPr="00901D0D" w:rsidRDefault="00426DDC"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0D1318A3" w14:textId="77777777" w:rsidR="00426DDC" w:rsidRPr="00901D0D" w:rsidRDefault="00426DDC"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508897A1" w14:textId="77777777" w:rsidR="00426DDC" w:rsidRPr="00901D0D" w:rsidRDefault="00426DDC"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0B6DF698" w14:textId="77777777" w:rsidR="00426DDC" w:rsidRPr="00901D0D" w:rsidRDefault="00426DDC"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510" w:type="dxa"/>
            <w:shd w:val="clear" w:color="auto" w:fill="auto"/>
            <w:vAlign w:val="center"/>
          </w:tcPr>
          <w:p w14:paraId="73B52ADF" w14:textId="77777777" w:rsidR="00426DDC" w:rsidRPr="00901D0D" w:rsidRDefault="00426DDC"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510" w:type="dxa"/>
            <w:shd w:val="clear" w:color="auto" w:fill="auto"/>
            <w:vAlign w:val="center"/>
          </w:tcPr>
          <w:p w14:paraId="4DE380EF" w14:textId="128AD90B" w:rsidR="00426DDC" w:rsidRPr="00901D0D" w:rsidRDefault="00426DDC"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r>
      <w:tr w:rsidR="0067541E" w:rsidRPr="00901D0D" w14:paraId="709FC9F0" w14:textId="2BD624F8" w:rsidTr="00B01C3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01" w:type="dxa"/>
            <w:gridSpan w:val="4"/>
            <w:shd w:val="clear" w:color="auto" w:fill="auto"/>
            <w:vAlign w:val="center"/>
          </w:tcPr>
          <w:p w14:paraId="3E4AD949" w14:textId="5042E6A9" w:rsidR="0067541E" w:rsidRPr="00901D0D" w:rsidRDefault="0067541E" w:rsidP="0067541E">
            <w:pPr>
              <w:numPr>
                <w:ilvl w:val="0"/>
                <w:numId w:val="21"/>
              </w:numPr>
              <w:contextualSpacing/>
              <w:rPr>
                <w:rFonts w:eastAsia="Calibri" w:cs="Times New Roman"/>
                <w:b w:val="0"/>
                <w:sz w:val="22"/>
                <w:lang w:val="en-GB"/>
              </w:rPr>
            </w:pPr>
            <w:r w:rsidRPr="00901D0D">
              <w:rPr>
                <w:rFonts w:eastAsia="Arial" w:cs="Times New Roman"/>
                <w:b w:val="0"/>
                <w:sz w:val="22"/>
                <w:lang w:val="en-GB"/>
              </w:rPr>
              <w:t>Base Rate –Anomalistic</w:t>
            </w:r>
          </w:p>
        </w:tc>
        <w:tc>
          <w:tcPr>
            <w:tcW w:w="624" w:type="dxa"/>
            <w:tcBorders>
              <w:left w:val="nil"/>
            </w:tcBorders>
            <w:shd w:val="clear" w:color="auto" w:fill="auto"/>
            <w:vAlign w:val="center"/>
          </w:tcPr>
          <w:p w14:paraId="587E94B8" w14:textId="4B776D04" w:rsidR="0067541E" w:rsidRPr="00901D0D" w:rsidRDefault="00951509"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r w:rsidRPr="00901D0D">
              <w:rPr>
                <w:rFonts w:cs="Times New Roman"/>
                <w:color w:val="000000"/>
                <w:sz w:val="20"/>
                <w:szCs w:val="20"/>
                <w:lang w:val="en-GB"/>
              </w:rPr>
              <w:t>.59</w:t>
            </w:r>
            <w:r w:rsidRPr="00901D0D">
              <w:rPr>
                <w:rFonts w:cs="Times New Roman"/>
                <w:color w:val="000000"/>
                <w:sz w:val="20"/>
                <w:szCs w:val="20"/>
                <w:vertAlign w:val="superscript"/>
                <w:lang w:val="en-GB"/>
              </w:rPr>
              <w:t>***</w:t>
            </w:r>
          </w:p>
        </w:tc>
        <w:tc>
          <w:tcPr>
            <w:tcW w:w="680" w:type="dxa"/>
            <w:shd w:val="clear" w:color="auto" w:fill="auto"/>
            <w:vAlign w:val="center"/>
          </w:tcPr>
          <w:p w14:paraId="0B1C3076" w14:textId="16245FFE"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r w:rsidRPr="00901D0D">
              <w:rPr>
                <w:rFonts w:cs="Times New Roman"/>
                <w:color w:val="000000"/>
                <w:sz w:val="20"/>
                <w:szCs w:val="20"/>
                <w:lang w:val="en-GB"/>
              </w:rPr>
              <w:t> </w:t>
            </w:r>
          </w:p>
        </w:tc>
        <w:tc>
          <w:tcPr>
            <w:tcW w:w="680" w:type="dxa"/>
            <w:shd w:val="clear" w:color="auto" w:fill="auto"/>
            <w:vAlign w:val="center"/>
          </w:tcPr>
          <w:p w14:paraId="537BDBA2" w14:textId="24FE7140"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r w:rsidRPr="00901D0D">
              <w:rPr>
                <w:rFonts w:cs="Times New Roman"/>
                <w:color w:val="000000"/>
                <w:sz w:val="20"/>
                <w:szCs w:val="20"/>
                <w:lang w:val="en-GB"/>
              </w:rPr>
              <w:t> </w:t>
            </w:r>
          </w:p>
        </w:tc>
        <w:tc>
          <w:tcPr>
            <w:tcW w:w="680" w:type="dxa"/>
            <w:shd w:val="clear" w:color="auto" w:fill="auto"/>
            <w:vAlign w:val="center"/>
          </w:tcPr>
          <w:p w14:paraId="51A5BB9A"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5E1AF669"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4B6BF076"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06F4C24D"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76CEB8DE"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739725FD"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0899592B"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7DFE7CA4"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27009E5C"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5DC7EFC9"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5A46CCFB"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6932A6A7"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57303CF8"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33FE3F6B"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6C3220CF"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510" w:type="dxa"/>
            <w:shd w:val="clear" w:color="auto" w:fill="auto"/>
            <w:vAlign w:val="center"/>
          </w:tcPr>
          <w:p w14:paraId="4E788446"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510" w:type="dxa"/>
            <w:shd w:val="clear" w:color="auto" w:fill="auto"/>
            <w:vAlign w:val="center"/>
          </w:tcPr>
          <w:p w14:paraId="51551742" w14:textId="083AAFD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r>
      <w:tr w:rsidR="0079383E" w:rsidRPr="00901D0D" w14:paraId="3812B35A" w14:textId="486A1EA9" w:rsidTr="00B01C37">
        <w:trPr>
          <w:trHeight w:val="20"/>
        </w:trPr>
        <w:tc>
          <w:tcPr>
            <w:cnfStyle w:val="001000000000" w:firstRow="0" w:lastRow="0" w:firstColumn="1" w:lastColumn="0" w:oddVBand="0" w:evenVBand="0" w:oddHBand="0" w:evenHBand="0" w:firstRowFirstColumn="0" w:firstRowLastColumn="0" w:lastRowFirstColumn="0" w:lastRowLastColumn="0"/>
            <w:tcW w:w="2801" w:type="dxa"/>
            <w:gridSpan w:val="4"/>
            <w:shd w:val="clear" w:color="auto" w:fill="auto"/>
            <w:vAlign w:val="center"/>
          </w:tcPr>
          <w:p w14:paraId="3D12DFD8" w14:textId="24B9E59E" w:rsidR="0067541E" w:rsidRPr="00901D0D" w:rsidRDefault="0067541E" w:rsidP="0067541E">
            <w:pPr>
              <w:numPr>
                <w:ilvl w:val="0"/>
                <w:numId w:val="21"/>
              </w:numPr>
              <w:contextualSpacing/>
              <w:rPr>
                <w:rFonts w:eastAsia="Calibri" w:cs="Times New Roman"/>
                <w:b w:val="0"/>
                <w:sz w:val="22"/>
                <w:lang w:val="en-GB"/>
              </w:rPr>
            </w:pPr>
            <w:r w:rsidRPr="00901D0D">
              <w:rPr>
                <w:rFonts w:eastAsia="Arial" w:cs="Times New Roman"/>
                <w:b w:val="0"/>
                <w:sz w:val="22"/>
                <w:lang w:val="en-GB"/>
              </w:rPr>
              <w:t>Chance – Control</w:t>
            </w:r>
          </w:p>
        </w:tc>
        <w:tc>
          <w:tcPr>
            <w:tcW w:w="624" w:type="dxa"/>
            <w:tcBorders>
              <w:top w:val="nil"/>
              <w:left w:val="nil"/>
            </w:tcBorders>
            <w:shd w:val="clear" w:color="auto" w:fill="auto"/>
            <w:vAlign w:val="center"/>
          </w:tcPr>
          <w:p w14:paraId="18222B6D" w14:textId="3F9E1CB4" w:rsidR="0067541E" w:rsidRPr="00901D0D" w:rsidRDefault="00951509"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r w:rsidRPr="00901D0D">
              <w:rPr>
                <w:rFonts w:cs="Times New Roman"/>
                <w:color w:val="000000"/>
                <w:sz w:val="20"/>
                <w:szCs w:val="20"/>
                <w:lang w:val="en-GB"/>
              </w:rPr>
              <w:t>.26</w:t>
            </w:r>
            <w:r w:rsidRPr="00901D0D">
              <w:rPr>
                <w:rFonts w:cs="Times New Roman"/>
                <w:color w:val="000000"/>
                <w:sz w:val="20"/>
                <w:szCs w:val="20"/>
                <w:vertAlign w:val="superscript"/>
                <w:lang w:val="en-GB"/>
              </w:rPr>
              <w:t>***</w:t>
            </w:r>
          </w:p>
        </w:tc>
        <w:tc>
          <w:tcPr>
            <w:tcW w:w="680" w:type="dxa"/>
            <w:tcBorders>
              <w:top w:val="nil"/>
            </w:tcBorders>
            <w:shd w:val="clear" w:color="auto" w:fill="auto"/>
            <w:vAlign w:val="center"/>
          </w:tcPr>
          <w:p w14:paraId="71E8B2C9" w14:textId="06909652"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r w:rsidRPr="00901D0D">
              <w:rPr>
                <w:rFonts w:cs="Times New Roman"/>
                <w:color w:val="000000"/>
                <w:sz w:val="20"/>
                <w:szCs w:val="20"/>
                <w:lang w:val="en-GB"/>
              </w:rPr>
              <w:t>.</w:t>
            </w:r>
            <w:r w:rsidR="00951509" w:rsidRPr="00901D0D">
              <w:rPr>
                <w:rFonts w:cs="Times New Roman"/>
                <w:color w:val="000000"/>
                <w:sz w:val="20"/>
                <w:szCs w:val="20"/>
                <w:lang w:val="en-GB"/>
              </w:rPr>
              <w:t>30</w:t>
            </w:r>
            <w:r w:rsidRPr="00901D0D">
              <w:rPr>
                <w:rFonts w:cs="Times New Roman"/>
                <w:color w:val="000000"/>
                <w:sz w:val="20"/>
                <w:szCs w:val="20"/>
                <w:vertAlign w:val="superscript"/>
                <w:lang w:val="en-GB"/>
              </w:rPr>
              <w:t>*</w:t>
            </w:r>
            <w:r w:rsidR="00951509"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p>
        </w:tc>
        <w:tc>
          <w:tcPr>
            <w:tcW w:w="680" w:type="dxa"/>
            <w:tcBorders>
              <w:top w:val="nil"/>
            </w:tcBorders>
            <w:shd w:val="clear" w:color="auto" w:fill="auto"/>
            <w:vAlign w:val="center"/>
          </w:tcPr>
          <w:p w14:paraId="071FC016" w14:textId="2F60E4EC"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r w:rsidRPr="00901D0D">
              <w:rPr>
                <w:rFonts w:cs="Times New Roman"/>
                <w:color w:val="000000"/>
                <w:sz w:val="20"/>
                <w:szCs w:val="20"/>
                <w:lang w:val="en-GB"/>
              </w:rPr>
              <w:t> </w:t>
            </w:r>
          </w:p>
        </w:tc>
        <w:tc>
          <w:tcPr>
            <w:tcW w:w="680" w:type="dxa"/>
            <w:shd w:val="clear" w:color="auto" w:fill="auto"/>
            <w:vAlign w:val="center"/>
          </w:tcPr>
          <w:p w14:paraId="6818B13B"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165408D7"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30E3E2DE"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3183326B"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11320F90"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488BAEE0"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31C09D9E"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456B92DC"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4AEDE14E"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22E94FF2"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6BACABE3"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5A4B0D6A"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0C4E6F5B"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424137BC"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560A26A7"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510" w:type="dxa"/>
            <w:shd w:val="clear" w:color="auto" w:fill="auto"/>
            <w:vAlign w:val="center"/>
          </w:tcPr>
          <w:p w14:paraId="7EF6608D"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510" w:type="dxa"/>
            <w:shd w:val="clear" w:color="auto" w:fill="auto"/>
            <w:vAlign w:val="center"/>
          </w:tcPr>
          <w:p w14:paraId="2A271183" w14:textId="007761FA"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r>
      <w:tr w:rsidR="0079383E" w:rsidRPr="00901D0D" w14:paraId="38DA672F" w14:textId="37D79972" w:rsidTr="00B01C3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01" w:type="dxa"/>
            <w:gridSpan w:val="4"/>
            <w:shd w:val="clear" w:color="auto" w:fill="auto"/>
            <w:vAlign w:val="center"/>
          </w:tcPr>
          <w:p w14:paraId="40774D80" w14:textId="00902BEB" w:rsidR="0067541E" w:rsidRPr="00901D0D" w:rsidRDefault="0067541E" w:rsidP="0067541E">
            <w:pPr>
              <w:numPr>
                <w:ilvl w:val="0"/>
                <w:numId w:val="21"/>
              </w:numPr>
              <w:contextualSpacing/>
              <w:rPr>
                <w:rFonts w:eastAsia="Calibri" w:cs="Times New Roman"/>
                <w:b w:val="0"/>
                <w:sz w:val="22"/>
                <w:lang w:val="en-GB"/>
              </w:rPr>
            </w:pPr>
            <w:r w:rsidRPr="00901D0D">
              <w:rPr>
                <w:rFonts w:eastAsia="Arial" w:cs="Times New Roman"/>
                <w:b w:val="0"/>
                <w:sz w:val="22"/>
                <w:lang w:val="en-GB"/>
              </w:rPr>
              <w:t>Chance – Anomalistic</w:t>
            </w:r>
          </w:p>
        </w:tc>
        <w:tc>
          <w:tcPr>
            <w:tcW w:w="624" w:type="dxa"/>
            <w:tcBorders>
              <w:top w:val="nil"/>
              <w:left w:val="nil"/>
            </w:tcBorders>
            <w:shd w:val="clear" w:color="auto" w:fill="auto"/>
            <w:vAlign w:val="center"/>
          </w:tcPr>
          <w:p w14:paraId="3BE4FE1E" w14:textId="05F7AD7A" w:rsidR="0067541E" w:rsidRPr="00901D0D" w:rsidRDefault="00951509"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r w:rsidRPr="00901D0D">
              <w:rPr>
                <w:rFonts w:cs="Times New Roman"/>
                <w:color w:val="000000"/>
                <w:sz w:val="20"/>
                <w:szCs w:val="20"/>
                <w:lang w:val="en-GB"/>
              </w:rPr>
              <w:t>.26</w:t>
            </w:r>
            <w:r w:rsidR="0067541E"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r w:rsidR="0067541E" w:rsidRPr="00901D0D">
              <w:rPr>
                <w:rFonts w:cs="Times New Roman"/>
                <w:color w:val="000000"/>
                <w:sz w:val="20"/>
                <w:szCs w:val="20"/>
                <w:vertAlign w:val="superscript"/>
                <w:lang w:val="en-GB"/>
              </w:rPr>
              <w:t>*</w:t>
            </w:r>
          </w:p>
        </w:tc>
        <w:tc>
          <w:tcPr>
            <w:tcW w:w="680" w:type="dxa"/>
            <w:tcBorders>
              <w:top w:val="nil"/>
            </w:tcBorders>
            <w:shd w:val="clear" w:color="auto" w:fill="auto"/>
            <w:vAlign w:val="center"/>
          </w:tcPr>
          <w:p w14:paraId="5AF59DD6" w14:textId="5813E1DA" w:rsidR="0067541E" w:rsidRPr="00901D0D" w:rsidRDefault="00951509"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r w:rsidRPr="00901D0D">
              <w:rPr>
                <w:rFonts w:cs="Times New Roman"/>
                <w:color w:val="000000"/>
                <w:sz w:val="20"/>
                <w:szCs w:val="20"/>
                <w:lang w:val="en-GB"/>
              </w:rPr>
              <w:t>.41</w:t>
            </w:r>
            <w:r w:rsidR="0067541E"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r w:rsidR="0067541E" w:rsidRPr="00901D0D">
              <w:rPr>
                <w:rFonts w:cs="Times New Roman"/>
                <w:color w:val="000000"/>
                <w:sz w:val="20"/>
                <w:szCs w:val="20"/>
                <w:vertAlign w:val="superscript"/>
                <w:lang w:val="en-GB"/>
              </w:rPr>
              <w:t>*</w:t>
            </w:r>
          </w:p>
        </w:tc>
        <w:tc>
          <w:tcPr>
            <w:tcW w:w="680" w:type="dxa"/>
            <w:tcBorders>
              <w:top w:val="nil"/>
            </w:tcBorders>
            <w:shd w:val="clear" w:color="auto" w:fill="auto"/>
            <w:vAlign w:val="center"/>
          </w:tcPr>
          <w:p w14:paraId="1BB50BE3" w14:textId="0D4AC276"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r w:rsidRPr="00901D0D">
              <w:rPr>
                <w:rFonts w:cs="Times New Roman"/>
                <w:color w:val="000000"/>
                <w:sz w:val="20"/>
                <w:szCs w:val="20"/>
                <w:lang w:val="en-GB"/>
              </w:rPr>
              <w:t>.8</w:t>
            </w:r>
            <w:r w:rsidR="00951509" w:rsidRPr="00901D0D">
              <w:rPr>
                <w:rFonts w:cs="Times New Roman"/>
                <w:color w:val="000000"/>
                <w:sz w:val="20"/>
                <w:szCs w:val="20"/>
                <w:lang w:val="en-GB"/>
              </w:rPr>
              <w:t>4</w:t>
            </w:r>
            <w:r w:rsidRPr="00901D0D">
              <w:rPr>
                <w:rFonts w:cs="Times New Roman"/>
                <w:color w:val="000000"/>
                <w:sz w:val="20"/>
                <w:szCs w:val="20"/>
                <w:vertAlign w:val="superscript"/>
                <w:lang w:val="en-GB"/>
              </w:rPr>
              <w:t>*</w:t>
            </w:r>
            <w:r w:rsidR="00951509"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p>
        </w:tc>
        <w:tc>
          <w:tcPr>
            <w:tcW w:w="680" w:type="dxa"/>
            <w:shd w:val="clear" w:color="auto" w:fill="auto"/>
            <w:vAlign w:val="center"/>
          </w:tcPr>
          <w:p w14:paraId="0B95C195"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0B303ADD"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544ED992"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6FFD9319"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6E0116D9"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3AD66AE8"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4ED02BA9"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2327C305"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47715B60"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62CB536E"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2D4C8FD5"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6D36B54B"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66D5F30F"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43928E8D"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7D8D1E5E"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510" w:type="dxa"/>
            <w:shd w:val="clear" w:color="auto" w:fill="auto"/>
            <w:vAlign w:val="center"/>
          </w:tcPr>
          <w:p w14:paraId="388194ED"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510" w:type="dxa"/>
            <w:shd w:val="clear" w:color="auto" w:fill="auto"/>
            <w:vAlign w:val="center"/>
          </w:tcPr>
          <w:p w14:paraId="65266F7F" w14:textId="4CE2EBEC"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r>
      <w:tr w:rsidR="00426DDC" w:rsidRPr="00901D0D" w14:paraId="2430105F" w14:textId="0E90471D" w:rsidTr="00B01C37">
        <w:trPr>
          <w:trHeight w:val="20"/>
        </w:trPr>
        <w:tc>
          <w:tcPr>
            <w:cnfStyle w:val="001000000000" w:firstRow="0" w:lastRow="0" w:firstColumn="1" w:lastColumn="0" w:oddVBand="0" w:evenVBand="0" w:oddHBand="0" w:evenHBand="0" w:firstRowFirstColumn="0" w:firstRowLastColumn="0" w:lastRowFirstColumn="0" w:lastRowLastColumn="0"/>
            <w:tcW w:w="2801" w:type="dxa"/>
            <w:gridSpan w:val="4"/>
            <w:shd w:val="clear" w:color="auto" w:fill="auto"/>
            <w:vAlign w:val="center"/>
          </w:tcPr>
          <w:p w14:paraId="19C06611" w14:textId="179D1010" w:rsidR="00426DDC" w:rsidRPr="00901D0D" w:rsidRDefault="00426DDC" w:rsidP="00021A63">
            <w:pPr>
              <w:ind w:firstLine="0"/>
              <w:contextualSpacing/>
              <w:rPr>
                <w:rFonts w:eastAsia="Arial" w:cs="Times New Roman"/>
                <w:b w:val="0"/>
                <w:sz w:val="22"/>
                <w:lang w:val="en-GB"/>
              </w:rPr>
            </w:pPr>
            <w:r w:rsidRPr="00901D0D">
              <w:rPr>
                <w:rFonts w:eastAsia="Arial" w:cs="Times New Roman"/>
                <w:b w:val="0"/>
                <w:sz w:val="22"/>
                <w:lang w:val="en-GB"/>
              </w:rPr>
              <w:t>Anomalistic Belief</w:t>
            </w:r>
          </w:p>
        </w:tc>
        <w:tc>
          <w:tcPr>
            <w:tcW w:w="624" w:type="dxa"/>
            <w:shd w:val="clear" w:color="auto" w:fill="auto"/>
            <w:vAlign w:val="center"/>
          </w:tcPr>
          <w:p w14:paraId="05186BA0" w14:textId="77777777" w:rsidR="00426DDC" w:rsidRPr="00901D0D" w:rsidRDefault="00426DDC"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80" w:type="dxa"/>
            <w:shd w:val="clear" w:color="auto" w:fill="auto"/>
            <w:vAlign w:val="center"/>
          </w:tcPr>
          <w:p w14:paraId="14E59D9D" w14:textId="77777777" w:rsidR="00426DDC" w:rsidRPr="00901D0D" w:rsidRDefault="00426DDC"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80" w:type="dxa"/>
            <w:shd w:val="clear" w:color="auto" w:fill="auto"/>
            <w:vAlign w:val="center"/>
          </w:tcPr>
          <w:p w14:paraId="47DC4443" w14:textId="77777777" w:rsidR="00426DDC" w:rsidRPr="00901D0D" w:rsidRDefault="00426DDC"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80" w:type="dxa"/>
            <w:shd w:val="clear" w:color="auto" w:fill="auto"/>
            <w:vAlign w:val="center"/>
          </w:tcPr>
          <w:p w14:paraId="683388F7" w14:textId="77777777" w:rsidR="00426DDC" w:rsidRPr="00901D0D" w:rsidRDefault="00426DDC"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1C1A68A3" w14:textId="77777777" w:rsidR="00426DDC" w:rsidRPr="00901D0D" w:rsidRDefault="00426DDC"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3C2D0730" w14:textId="77777777" w:rsidR="00426DDC" w:rsidRPr="00901D0D" w:rsidRDefault="00426DDC"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26798B57" w14:textId="77777777" w:rsidR="00426DDC" w:rsidRPr="00901D0D" w:rsidRDefault="00426DDC"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1FE34659" w14:textId="77777777" w:rsidR="00426DDC" w:rsidRPr="00901D0D" w:rsidRDefault="00426DDC"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6D0E9195" w14:textId="77777777" w:rsidR="00426DDC" w:rsidRPr="00901D0D" w:rsidRDefault="00426DDC"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62F3E562" w14:textId="77777777" w:rsidR="00426DDC" w:rsidRPr="00901D0D" w:rsidRDefault="00426DDC"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41B3BBF0" w14:textId="77777777" w:rsidR="00426DDC" w:rsidRPr="00901D0D" w:rsidRDefault="00426DDC"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273DD023" w14:textId="77777777" w:rsidR="00426DDC" w:rsidRPr="00901D0D" w:rsidRDefault="00426DDC"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0966A26A" w14:textId="77777777" w:rsidR="00426DDC" w:rsidRPr="00901D0D" w:rsidRDefault="00426DDC"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41716BDD" w14:textId="77777777" w:rsidR="00426DDC" w:rsidRPr="00901D0D" w:rsidRDefault="00426DDC"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3743CF55" w14:textId="77777777" w:rsidR="00426DDC" w:rsidRPr="00901D0D" w:rsidRDefault="00426DDC"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3F75C5BF" w14:textId="77777777" w:rsidR="00426DDC" w:rsidRPr="00901D0D" w:rsidRDefault="00426DDC"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344EC776" w14:textId="77777777" w:rsidR="00426DDC" w:rsidRPr="00901D0D" w:rsidRDefault="00426DDC"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1F782B3D" w14:textId="77777777" w:rsidR="00426DDC" w:rsidRPr="00901D0D" w:rsidRDefault="00426DDC"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510" w:type="dxa"/>
            <w:shd w:val="clear" w:color="auto" w:fill="auto"/>
            <w:vAlign w:val="center"/>
          </w:tcPr>
          <w:p w14:paraId="1C5E33B3" w14:textId="77777777" w:rsidR="00426DDC" w:rsidRPr="00901D0D" w:rsidRDefault="00426DDC"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510" w:type="dxa"/>
            <w:shd w:val="clear" w:color="auto" w:fill="auto"/>
            <w:vAlign w:val="center"/>
          </w:tcPr>
          <w:p w14:paraId="5004CD32" w14:textId="5E3B19EB" w:rsidR="00426DDC" w:rsidRPr="00901D0D" w:rsidRDefault="00426DDC"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r>
      <w:tr w:rsidR="0067541E" w:rsidRPr="00901D0D" w14:paraId="2B5A569F" w14:textId="6340D0B4" w:rsidTr="00B01C3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01" w:type="dxa"/>
            <w:gridSpan w:val="4"/>
            <w:shd w:val="clear" w:color="auto" w:fill="auto"/>
            <w:vAlign w:val="center"/>
          </w:tcPr>
          <w:p w14:paraId="2DB53CA8" w14:textId="77777777" w:rsidR="0067541E" w:rsidRPr="00901D0D" w:rsidRDefault="0067541E" w:rsidP="0067541E">
            <w:pPr>
              <w:numPr>
                <w:ilvl w:val="0"/>
                <w:numId w:val="21"/>
              </w:numPr>
              <w:contextualSpacing/>
              <w:rPr>
                <w:rFonts w:eastAsia="Calibri" w:cs="Times New Roman"/>
                <w:b w:val="0"/>
                <w:sz w:val="22"/>
                <w:lang w:val="en-GB"/>
              </w:rPr>
            </w:pPr>
            <w:r w:rsidRPr="00901D0D">
              <w:rPr>
                <w:rFonts w:eastAsia="Arial" w:cs="Times New Roman"/>
                <w:b w:val="0"/>
                <w:sz w:val="22"/>
                <w:lang w:val="en-GB"/>
              </w:rPr>
              <w:t>ASGS</w:t>
            </w:r>
          </w:p>
        </w:tc>
        <w:tc>
          <w:tcPr>
            <w:tcW w:w="624" w:type="dxa"/>
            <w:shd w:val="clear" w:color="auto" w:fill="auto"/>
            <w:vAlign w:val="center"/>
          </w:tcPr>
          <w:p w14:paraId="1CE4D6EB" w14:textId="67AB6B18"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r w:rsidRPr="00901D0D">
              <w:rPr>
                <w:rFonts w:cs="Times New Roman"/>
                <w:color w:val="000000"/>
                <w:sz w:val="20"/>
                <w:szCs w:val="20"/>
                <w:lang w:val="en-GB"/>
              </w:rPr>
              <w:t>-</w:t>
            </w:r>
            <w:r w:rsidR="00951509" w:rsidRPr="00901D0D">
              <w:rPr>
                <w:rFonts w:cs="Times New Roman"/>
                <w:color w:val="000000"/>
                <w:sz w:val="20"/>
                <w:szCs w:val="20"/>
                <w:lang w:val="en-GB"/>
              </w:rPr>
              <w:t>.15</w:t>
            </w:r>
          </w:p>
        </w:tc>
        <w:tc>
          <w:tcPr>
            <w:tcW w:w="680" w:type="dxa"/>
            <w:shd w:val="clear" w:color="auto" w:fill="auto"/>
            <w:vAlign w:val="center"/>
          </w:tcPr>
          <w:p w14:paraId="1215BFB4" w14:textId="2FC05049"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r w:rsidRPr="00901D0D">
              <w:rPr>
                <w:rFonts w:cs="Times New Roman"/>
                <w:color w:val="000000"/>
                <w:sz w:val="20"/>
                <w:szCs w:val="20"/>
                <w:lang w:val="en-GB"/>
              </w:rPr>
              <w:t>-.</w:t>
            </w:r>
            <w:r w:rsidR="00951509" w:rsidRPr="00901D0D">
              <w:rPr>
                <w:rFonts w:cs="Times New Roman"/>
                <w:color w:val="000000"/>
                <w:sz w:val="20"/>
                <w:szCs w:val="20"/>
                <w:lang w:val="en-GB"/>
              </w:rPr>
              <w:t>20</w:t>
            </w:r>
            <w:r w:rsidRPr="00901D0D">
              <w:rPr>
                <w:rFonts w:cs="Times New Roman"/>
                <w:color w:val="000000"/>
                <w:sz w:val="20"/>
                <w:szCs w:val="20"/>
                <w:vertAlign w:val="superscript"/>
                <w:lang w:val="en-GB"/>
              </w:rPr>
              <w:t>*</w:t>
            </w:r>
            <w:r w:rsidR="00951509"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p>
        </w:tc>
        <w:tc>
          <w:tcPr>
            <w:tcW w:w="680" w:type="dxa"/>
            <w:shd w:val="clear" w:color="auto" w:fill="auto"/>
            <w:vAlign w:val="center"/>
          </w:tcPr>
          <w:p w14:paraId="6768170F" w14:textId="02682C9C"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r w:rsidRPr="00901D0D">
              <w:rPr>
                <w:rFonts w:cs="Times New Roman"/>
                <w:color w:val="000000"/>
                <w:sz w:val="20"/>
                <w:szCs w:val="20"/>
                <w:lang w:val="en-GB"/>
              </w:rPr>
              <w:t>-.24</w:t>
            </w:r>
            <w:r w:rsidR="00951509"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p>
        </w:tc>
        <w:tc>
          <w:tcPr>
            <w:tcW w:w="680" w:type="dxa"/>
            <w:shd w:val="clear" w:color="auto" w:fill="auto"/>
            <w:vAlign w:val="center"/>
          </w:tcPr>
          <w:p w14:paraId="1F497CE8" w14:textId="7E3ECDA4"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r w:rsidRPr="00901D0D">
              <w:rPr>
                <w:rFonts w:cs="Times New Roman"/>
                <w:color w:val="000000"/>
                <w:sz w:val="20"/>
                <w:szCs w:val="20"/>
                <w:lang w:val="en-GB"/>
              </w:rPr>
              <w:t>-</w:t>
            </w:r>
            <w:r w:rsidR="00951509" w:rsidRPr="00901D0D">
              <w:rPr>
                <w:rFonts w:cs="Times New Roman"/>
                <w:color w:val="000000"/>
                <w:sz w:val="20"/>
                <w:szCs w:val="20"/>
                <w:lang w:val="en-GB"/>
              </w:rPr>
              <w:t>.27</w:t>
            </w:r>
            <w:r w:rsidRPr="00901D0D">
              <w:rPr>
                <w:rFonts w:cs="Times New Roman"/>
                <w:color w:val="000000"/>
                <w:sz w:val="20"/>
                <w:szCs w:val="20"/>
                <w:vertAlign w:val="superscript"/>
                <w:lang w:val="en-GB"/>
              </w:rPr>
              <w:t>*</w:t>
            </w:r>
            <w:r w:rsidR="00951509"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p>
        </w:tc>
        <w:tc>
          <w:tcPr>
            <w:tcW w:w="624" w:type="dxa"/>
            <w:shd w:val="clear" w:color="auto" w:fill="auto"/>
            <w:vAlign w:val="center"/>
          </w:tcPr>
          <w:p w14:paraId="61499DAE" w14:textId="26502E33"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r w:rsidRPr="00901D0D">
              <w:rPr>
                <w:rFonts w:cs="Times New Roman"/>
                <w:color w:val="000000"/>
                <w:sz w:val="20"/>
                <w:szCs w:val="20"/>
                <w:lang w:val="en-GB"/>
              </w:rPr>
              <w:t> </w:t>
            </w:r>
          </w:p>
        </w:tc>
        <w:tc>
          <w:tcPr>
            <w:tcW w:w="624" w:type="dxa"/>
            <w:shd w:val="clear" w:color="auto" w:fill="auto"/>
            <w:vAlign w:val="center"/>
          </w:tcPr>
          <w:p w14:paraId="60330E66"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21BC585E"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5196C48C"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1FFF03C1"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153FD53D"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4CE43BA2"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6AD091B6"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5E72E77B"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792736F7"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7074A766"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4646F60E"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2E185C40"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34812115"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510" w:type="dxa"/>
            <w:shd w:val="clear" w:color="auto" w:fill="auto"/>
            <w:vAlign w:val="center"/>
          </w:tcPr>
          <w:p w14:paraId="37C2DF98"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510" w:type="dxa"/>
            <w:shd w:val="clear" w:color="auto" w:fill="auto"/>
            <w:vAlign w:val="center"/>
          </w:tcPr>
          <w:p w14:paraId="4893658D" w14:textId="64F22002"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r>
      <w:tr w:rsidR="0067541E" w:rsidRPr="00901D0D" w14:paraId="0127A592" w14:textId="59ABBC18" w:rsidTr="00B01C37">
        <w:trPr>
          <w:trHeight w:val="20"/>
        </w:trPr>
        <w:tc>
          <w:tcPr>
            <w:cnfStyle w:val="001000000000" w:firstRow="0" w:lastRow="0" w:firstColumn="1" w:lastColumn="0" w:oddVBand="0" w:evenVBand="0" w:oddHBand="0" w:evenHBand="0" w:firstRowFirstColumn="0" w:firstRowLastColumn="0" w:lastRowFirstColumn="0" w:lastRowLastColumn="0"/>
            <w:tcW w:w="2801" w:type="dxa"/>
            <w:gridSpan w:val="4"/>
            <w:shd w:val="clear" w:color="auto" w:fill="auto"/>
            <w:vAlign w:val="center"/>
          </w:tcPr>
          <w:p w14:paraId="43B9DBF1" w14:textId="77777777" w:rsidR="0067541E" w:rsidRPr="00901D0D" w:rsidRDefault="0067541E" w:rsidP="0067541E">
            <w:pPr>
              <w:numPr>
                <w:ilvl w:val="0"/>
                <w:numId w:val="21"/>
              </w:numPr>
              <w:contextualSpacing/>
              <w:rPr>
                <w:rFonts w:eastAsia="Calibri" w:cs="Times New Roman"/>
                <w:b w:val="0"/>
                <w:sz w:val="22"/>
                <w:lang w:val="en-GB"/>
              </w:rPr>
            </w:pPr>
            <w:r w:rsidRPr="00901D0D">
              <w:rPr>
                <w:rFonts w:eastAsia="Arial" w:cs="Times New Roman"/>
                <w:b w:val="0"/>
                <w:sz w:val="22"/>
                <w:lang w:val="en-GB"/>
              </w:rPr>
              <w:t>ABS</w:t>
            </w:r>
          </w:p>
        </w:tc>
        <w:tc>
          <w:tcPr>
            <w:tcW w:w="624" w:type="dxa"/>
            <w:shd w:val="clear" w:color="auto" w:fill="auto"/>
            <w:vAlign w:val="center"/>
          </w:tcPr>
          <w:p w14:paraId="4C377FA5" w14:textId="2F7A291D"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r w:rsidRPr="00901D0D">
              <w:rPr>
                <w:rFonts w:cs="Times New Roman"/>
                <w:color w:val="000000"/>
                <w:sz w:val="20"/>
                <w:szCs w:val="20"/>
                <w:lang w:val="en-GB"/>
              </w:rPr>
              <w:t>-.1</w:t>
            </w:r>
            <w:r w:rsidR="00951509" w:rsidRPr="00901D0D">
              <w:rPr>
                <w:rFonts w:cs="Times New Roman"/>
                <w:color w:val="000000"/>
                <w:sz w:val="20"/>
                <w:szCs w:val="20"/>
                <w:lang w:val="en-GB"/>
              </w:rPr>
              <w:t>9</w:t>
            </w:r>
            <w:r w:rsidRPr="00901D0D">
              <w:rPr>
                <w:rFonts w:cs="Times New Roman"/>
                <w:color w:val="000000"/>
                <w:sz w:val="20"/>
                <w:szCs w:val="20"/>
                <w:vertAlign w:val="superscript"/>
                <w:lang w:val="en-GB"/>
              </w:rPr>
              <w:t>*</w:t>
            </w:r>
          </w:p>
        </w:tc>
        <w:tc>
          <w:tcPr>
            <w:tcW w:w="680" w:type="dxa"/>
            <w:shd w:val="clear" w:color="auto" w:fill="auto"/>
            <w:vAlign w:val="center"/>
          </w:tcPr>
          <w:p w14:paraId="0828C7A5" w14:textId="3D5F1D42"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r w:rsidRPr="00901D0D">
              <w:rPr>
                <w:rFonts w:cs="Times New Roman"/>
                <w:color w:val="000000"/>
                <w:sz w:val="20"/>
                <w:szCs w:val="20"/>
                <w:lang w:val="en-GB"/>
              </w:rPr>
              <w:t>-</w:t>
            </w:r>
            <w:r w:rsidR="00951509" w:rsidRPr="00901D0D">
              <w:rPr>
                <w:rFonts w:cs="Times New Roman"/>
                <w:color w:val="000000"/>
                <w:sz w:val="20"/>
                <w:szCs w:val="20"/>
                <w:lang w:val="en-GB"/>
              </w:rPr>
              <w:t>.22</w:t>
            </w:r>
            <w:r w:rsidRPr="00901D0D">
              <w:rPr>
                <w:rFonts w:cs="Times New Roman"/>
                <w:color w:val="000000"/>
                <w:sz w:val="20"/>
                <w:szCs w:val="20"/>
                <w:vertAlign w:val="superscript"/>
                <w:lang w:val="en-GB"/>
              </w:rPr>
              <w:t>*</w:t>
            </w:r>
            <w:r w:rsidR="00951509"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p>
        </w:tc>
        <w:tc>
          <w:tcPr>
            <w:tcW w:w="680" w:type="dxa"/>
            <w:shd w:val="clear" w:color="auto" w:fill="auto"/>
            <w:vAlign w:val="center"/>
          </w:tcPr>
          <w:p w14:paraId="1F7FAB3B" w14:textId="3680B338" w:rsidR="0067541E" w:rsidRPr="00901D0D" w:rsidRDefault="00951509"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r w:rsidRPr="00901D0D">
              <w:rPr>
                <w:rFonts w:cs="Times New Roman"/>
                <w:color w:val="000000"/>
                <w:sz w:val="20"/>
                <w:szCs w:val="20"/>
                <w:lang w:val="en-GB"/>
              </w:rPr>
              <w:t>-.30</w:t>
            </w:r>
            <w:r w:rsidR="0067541E"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r w:rsidR="0067541E" w:rsidRPr="00901D0D">
              <w:rPr>
                <w:rFonts w:cs="Times New Roman"/>
                <w:color w:val="000000"/>
                <w:sz w:val="20"/>
                <w:szCs w:val="20"/>
                <w:vertAlign w:val="superscript"/>
                <w:lang w:val="en-GB"/>
              </w:rPr>
              <w:t>*</w:t>
            </w:r>
          </w:p>
        </w:tc>
        <w:tc>
          <w:tcPr>
            <w:tcW w:w="680" w:type="dxa"/>
            <w:shd w:val="clear" w:color="auto" w:fill="auto"/>
            <w:vAlign w:val="center"/>
          </w:tcPr>
          <w:p w14:paraId="7FD8C94D" w14:textId="4C19ABBE" w:rsidR="0067541E" w:rsidRPr="00901D0D" w:rsidRDefault="00951509"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r w:rsidRPr="00901D0D">
              <w:rPr>
                <w:rFonts w:cs="Times New Roman"/>
                <w:color w:val="000000"/>
                <w:sz w:val="20"/>
                <w:szCs w:val="20"/>
                <w:lang w:val="en-GB"/>
              </w:rPr>
              <w:t>-.32</w:t>
            </w:r>
            <w:r w:rsidR="0067541E"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r w:rsidR="0067541E" w:rsidRPr="00901D0D">
              <w:rPr>
                <w:rFonts w:cs="Times New Roman"/>
                <w:color w:val="000000"/>
                <w:sz w:val="20"/>
                <w:szCs w:val="20"/>
                <w:vertAlign w:val="superscript"/>
                <w:lang w:val="en-GB"/>
              </w:rPr>
              <w:t>*</w:t>
            </w:r>
          </w:p>
        </w:tc>
        <w:tc>
          <w:tcPr>
            <w:tcW w:w="624" w:type="dxa"/>
            <w:shd w:val="clear" w:color="auto" w:fill="auto"/>
            <w:vAlign w:val="center"/>
          </w:tcPr>
          <w:p w14:paraId="3AAF8B21" w14:textId="734D1053"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r w:rsidRPr="00901D0D">
              <w:rPr>
                <w:rFonts w:cs="Times New Roman"/>
                <w:color w:val="000000"/>
                <w:sz w:val="20"/>
                <w:szCs w:val="20"/>
                <w:lang w:val="en-GB"/>
              </w:rPr>
              <w:t>.9</w:t>
            </w:r>
            <w:r w:rsidR="00951509" w:rsidRPr="00901D0D">
              <w:rPr>
                <w:rFonts w:cs="Times New Roman"/>
                <w:color w:val="000000"/>
                <w:sz w:val="20"/>
                <w:szCs w:val="20"/>
                <w:lang w:val="en-GB"/>
              </w:rPr>
              <w:t>1</w:t>
            </w:r>
            <w:r w:rsidRPr="00901D0D">
              <w:rPr>
                <w:rFonts w:cs="Times New Roman"/>
                <w:color w:val="000000"/>
                <w:sz w:val="20"/>
                <w:szCs w:val="20"/>
                <w:vertAlign w:val="superscript"/>
                <w:lang w:val="en-GB"/>
              </w:rPr>
              <w:t>*</w:t>
            </w:r>
            <w:r w:rsidR="00951509"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p>
        </w:tc>
        <w:tc>
          <w:tcPr>
            <w:tcW w:w="624" w:type="dxa"/>
            <w:shd w:val="clear" w:color="auto" w:fill="auto"/>
            <w:vAlign w:val="center"/>
          </w:tcPr>
          <w:p w14:paraId="7B794A13"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771BB9FA"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7DBAAE6B"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7DC22FC9"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1DB02809"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09FC980C"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3A61AF5E"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50918D07"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7ADC2440"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6A679BDD"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23D36DCA"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1690FDF9"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7CEA4060"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510" w:type="dxa"/>
            <w:shd w:val="clear" w:color="auto" w:fill="auto"/>
            <w:vAlign w:val="center"/>
          </w:tcPr>
          <w:p w14:paraId="4568A934"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510" w:type="dxa"/>
            <w:shd w:val="clear" w:color="auto" w:fill="auto"/>
            <w:vAlign w:val="center"/>
          </w:tcPr>
          <w:p w14:paraId="2C5BD7CF" w14:textId="4A088F2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r>
      <w:tr w:rsidR="00426DDC" w:rsidRPr="00901D0D" w14:paraId="69406FF6" w14:textId="5A72FA09" w:rsidTr="00B01C3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01" w:type="dxa"/>
            <w:gridSpan w:val="4"/>
            <w:shd w:val="clear" w:color="auto" w:fill="auto"/>
            <w:vAlign w:val="center"/>
          </w:tcPr>
          <w:p w14:paraId="2CEACA9E" w14:textId="6814319E" w:rsidR="00426DDC" w:rsidRPr="00901D0D" w:rsidRDefault="00426DDC" w:rsidP="00021A63">
            <w:pPr>
              <w:ind w:firstLine="0"/>
              <w:contextualSpacing/>
              <w:rPr>
                <w:rFonts w:eastAsia="Arial" w:cs="Times New Roman"/>
                <w:b w:val="0"/>
                <w:sz w:val="22"/>
                <w:lang w:val="en-GB"/>
              </w:rPr>
            </w:pPr>
            <w:r w:rsidRPr="00901D0D">
              <w:rPr>
                <w:rFonts w:eastAsia="Arial" w:cs="Times New Roman"/>
                <w:b w:val="0"/>
                <w:sz w:val="22"/>
                <w:lang w:val="en-GB"/>
              </w:rPr>
              <w:t>ABS Factors</w:t>
            </w:r>
          </w:p>
        </w:tc>
        <w:tc>
          <w:tcPr>
            <w:tcW w:w="624" w:type="dxa"/>
            <w:shd w:val="clear" w:color="auto" w:fill="auto"/>
            <w:vAlign w:val="center"/>
          </w:tcPr>
          <w:p w14:paraId="466BCEDD"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80" w:type="dxa"/>
            <w:shd w:val="clear" w:color="auto" w:fill="auto"/>
            <w:vAlign w:val="center"/>
          </w:tcPr>
          <w:p w14:paraId="30EBC85B"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80" w:type="dxa"/>
            <w:shd w:val="clear" w:color="auto" w:fill="auto"/>
            <w:vAlign w:val="center"/>
          </w:tcPr>
          <w:p w14:paraId="60721D41"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80" w:type="dxa"/>
            <w:shd w:val="clear" w:color="auto" w:fill="auto"/>
            <w:vAlign w:val="center"/>
          </w:tcPr>
          <w:p w14:paraId="14D92A6C"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6A3D229C"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4665AF69"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460728D5"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1BB65D7B"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3E2CF2F4"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5D71481D"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5DE879B1"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3A91707D"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7895488B"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120CF43C"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16025F77"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74151E83"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6EC95A5B"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4948AEF1"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510" w:type="dxa"/>
            <w:shd w:val="clear" w:color="auto" w:fill="auto"/>
            <w:vAlign w:val="center"/>
          </w:tcPr>
          <w:p w14:paraId="5CB5BF52"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510" w:type="dxa"/>
            <w:shd w:val="clear" w:color="auto" w:fill="auto"/>
            <w:vAlign w:val="center"/>
          </w:tcPr>
          <w:p w14:paraId="07EF234F" w14:textId="5B300828"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r>
      <w:tr w:rsidR="0067541E" w:rsidRPr="00901D0D" w14:paraId="378F529E" w14:textId="7C2A40B9" w:rsidTr="00B01C37">
        <w:trPr>
          <w:trHeight w:val="20"/>
        </w:trPr>
        <w:tc>
          <w:tcPr>
            <w:cnfStyle w:val="001000000000" w:firstRow="0" w:lastRow="0" w:firstColumn="1" w:lastColumn="0" w:oddVBand="0" w:evenVBand="0" w:oddHBand="0" w:evenHBand="0" w:firstRowFirstColumn="0" w:firstRowLastColumn="0" w:lastRowFirstColumn="0" w:lastRowLastColumn="0"/>
            <w:tcW w:w="2801" w:type="dxa"/>
            <w:gridSpan w:val="4"/>
            <w:shd w:val="clear" w:color="auto" w:fill="auto"/>
            <w:vAlign w:val="center"/>
          </w:tcPr>
          <w:p w14:paraId="69077494" w14:textId="02C65498" w:rsidR="0067541E" w:rsidRPr="00901D0D" w:rsidRDefault="0067541E" w:rsidP="0067541E">
            <w:pPr>
              <w:numPr>
                <w:ilvl w:val="0"/>
                <w:numId w:val="21"/>
              </w:numPr>
              <w:contextualSpacing/>
              <w:rPr>
                <w:rFonts w:eastAsia="Calibri" w:cs="Times New Roman"/>
                <w:b w:val="0"/>
                <w:sz w:val="22"/>
                <w:lang w:val="en-GB"/>
              </w:rPr>
            </w:pPr>
            <w:r w:rsidRPr="00901D0D">
              <w:rPr>
                <w:rFonts w:eastAsia="Arial" w:cs="Times New Roman"/>
                <w:b w:val="0"/>
                <w:sz w:val="22"/>
                <w:lang w:val="en-GB"/>
              </w:rPr>
              <w:t xml:space="preserve">Experiential </w:t>
            </w:r>
          </w:p>
        </w:tc>
        <w:tc>
          <w:tcPr>
            <w:tcW w:w="624" w:type="dxa"/>
            <w:shd w:val="clear" w:color="auto" w:fill="auto"/>
            <w:vAlign w:val="center"/>
          </w:tcPr>
          <w:p w14:paraId="5E1047DA" w14:textId="1EFDE32F"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r w:rsidRPr="00901D0D">
              <w:rPr>
                <w:rFonts w:cs="Times New Roman"/>
                <w:color w:val="000000"/>
                <w:sz w:val="20"/>
                <w:szCs w:val="20"/>
                <w:lang w:val="en-GB"/>
              </w:rPr>
              <w:t>-.1</w:t>
            </w:r>
            <w:r w:rsidR="00951509" w:rsidRPr="00901D0D">
              <w:rPr>
                <w:rFonts w:cs="Times New Roman"/>
                <w:color w:val="000000"/>
                <w:sz w:val="20"/>
                <w:szCs w:val="20"/>
                <w:lang w:val="en-GB"/>
              </w:rPr>
              <w:t>3</w:t>
            </w:r>
          </w:p>
        </w:tc>
        <w:tc>
          <w:tcPr>
            <w:tcW w:w="680" w:type="dxa"/>
            <w:shd w:val="clear" w:color="auto" w:fill="auto"/>
            <w:vAlign w:val="center"/>
          </w:tcPr>
          <w:p w14:paraId="31A165B1" w14:textId="3CE19122"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r w:rsidRPr="00901D0D">
              <w:rPr>
                <w:rFonts w:cs="Times New Roman"/>
                <w:color w:val="000000"/>
                <w:sz w:val="20"/>
                <w:szCs w:val="20"/>
                <w:lang w:val="en-GB"/>
              </w:rPr>
              <w:t>-</w:t>
            </w:r>
            <w:r w:rsidR="00951509" w:rsidRPr="00901D0D">
              <w:rPr>
                <w:rFonts w:cs="Times New Roman"/>
                <w:color w:val="000000"/>
                <w:sz w:val="20"/>
                <w:szCs w:val="20"/>
                <w:lang w:val="en-GB"/>
              </w:rPr>
              <w:t>.23</w:t>
            </w:r>
            <w:r w:rsidRPr="00901D0D">
              <w:rPr>
                <w:rFonts w:cs="Times New Roman"/>
                <w:color w:val="000000"/>
                <w:sz w:val="20"/>
                <w:szCs w:val="20"/>
                <w:vertAlign w:val="superscript"/>
                <w:lang w:val="en-GB"/>
              </w:rPr>
              <w:t>*</w:t>
            </w:r>
            <w:r w:rsidR="00951509"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p>
        </w:tc>
        <w:tc>
          <w:tcPr>
            <w:tcW w:w="680" w:type="dxa"/>
            <w:shd w:val="clear" w:color="auto" w:fill="auto"/>
            <w:vAlign w:val="center"/>
          </w:tcPr>
          <w:p w14:paraId="17C6F592" w14:textId="5839A203" w:rsidR="0067541E" w:rsidRPr="00901D0D" w:rsidRDefault="00951509"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r w:rsidRPr="00901D0D">
              <w:rPr>
                <w:rFonts w:cs="Times New Roman"/>
                <w:color w:val="000000"/>
                <w:sz w:val="20"/>
                <w:szCs w:val="20"/>
                <w:lang w:val="en-GB"/>
              </w:rPr>
              <w:t>-.41</w:t>
            </w:r>
            <w:r w:rsidR="0067541E"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r w:rsidR="0067541E" w:rsidRPr="00901D0D">
              <w:rPr>
                <w:rFonts w:cs="Times New Roman"/>
                <w:color w:val="000000"/>
                <w:sz w:val="20"/>
                <w:szCs w:val="20"/>
                <w:vertAlign w:val="superscript"/>
                <w:lang w:val="en-GB"/>
              </w:rPr>
              <w:t>*</w:t>
            </w:r>
          </w:p>
        </w:tc>
        <w:tc>
          <w:tcPr>
            <w:tcW w:w="680" w:type="dxa"/>
            <w:shd w:val="clear" w:color="auto" w:fill="auto"/>
            <w:vAlign w:val="center"/>
          </w:tcPr>
          <w:p w14:paraId="46C79357" w14:textId="6624618A"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r w:rsidRPr="00901D0D">
              <w:rPr>
                <w:rFonts w:cs="Times New Roman"/>
                <w:color w:val="000000"/>
                <w:sz w:val="20"/>
                <w:szCs w:val="20"/>
                <w:lang w:val="en-GB"/>
              </w:rPr>
              <w:t>-.44</w:t>
            </w:r>
            <w:r w:rsidRPr="00901D0D">
              <w:rPr>
                <w:rFonts w:cs="Times New Roman"/>
                <w:color w:val="000000"/>
                <w:sz w:val="20"/>
                <w:szCs w:val="20"/>
                <w:vertAlign w:val="superscript"/>
                <w:lang w:val="en-GB"/>
              </w:rPr>
              <w:t>*</w:t>
            </w:r>
            <w:r w:rsidR="00951509"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p>
        </w:tc>
        <w:tc>
          <w:tcPr>
            <w:tcW w:w="624" w:type="dxa"/>
            <w:shd w:val="clear" w:color="auto" w:fill="auto"/>
            <w:vAlign w:val="center"/>
          </w:tcPr>
          <w:p w14:paraId="716C5E5F" w14:textId="6B6E7EBA"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r w:rsidRPr="00901D0D">
              <w:rPr>
                <w:rFonts w:cs="Times New Roman"/>
                <w:color w:val="000000"/>
                <w:sz w:val="20"/>
                <w:szCs w:val="20"/>
                <w:lang w:val="en-GB"/>
              </w:rPr>
              <w:t>.</w:t>
            </w:r>
            <w:r w:rsidR="00951509" w:rsidRPr="00901D0D">
              <w:rPr>
                <w:rFonts w:cs="Times New Roman"/>
                <w:color w:val="000000"/>
                <w:sz w:val="20"/>
                <w:szCs w:val="20"/>
                <w:lang w:val="en-GB"/>
              </w:rPr>
              <w:t>74</w:t>
            </w:r>
            <w:r w:rsidRPr="00901D0D">
              <w:rPr>
                <w:rFonts w:cs="Times New Roman"/>
                <w:color w:val="000000"/>
                <w:sz w:val="20"/>
                <w:szCs w:val="20"/>
                <w:vertAlign w:val="superscript"/>
                <w:lang w:val="en-GB"/>
              </w:rPr>
              <w:t>*</w:t>
            </w:r>
            <w:r w:rsidR="00951509"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p>
        </w:tc>
        <w:tc>
          <w:tcPr>
            <w:tcW w:w="624" w:type="dxa"/>
            <w:shd w:val="clear" w:color="auto" w:fill="auto"/>
            <w:vAlign w:val="center"/>
          </w:tcPr>
          <w:p w14:paraId="656D66AF" w14:textId="259D0B20"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r w:rsidRPr="00901D0D">
              <w:rPr>
                <w:rFonts w:cs="Times New Roman"/>
                <w:color w:val="000000"/>
                <w:sz w:val="20"/>
                <w:szCs w:val="20"/>
                <w:lang w:val="en-GB"/>
              </w:rPr>
              <w:t>.8</w:t>
            </w:r>
            <w:r w:rsidR="00951509" w:rsidRPr="00901D0D">
              <w:rPr>
                <w:rFonts w:cs="Times New Roman"/>
                <w:color w:val="000000"/>
                <w:sz w:val="20"/>
                <w:szCs w:val="20"/>
                <w:lang w:val="en-GB"/>
              </w:rPr>
              <w:t>3</w:t>
            </w:r>
            <w:r w:rsidRPr="00901D0D">
              <w:rPr>
                <w:rFonts w:cs="Times New Roman"/>
                <w:color w:val="000000"/>
                <w:sz w:val="20"/>
                <w:szCs w:val="20"/>
                <w:vertAlign w:val="superscript"/>
                <w:lang w:val="en-GB"/>
              </w:rPr>
              <w:t>*</w:t>
            </w:r>
            <w:r w:rsidR="00951509"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p>
        </w:tc>
        <w:tc>
          <w:tcPr>
            <w:tcW w:w="624" w:type="dxa"/>
            <w:shd w:val="clear" w:color="auto" w:fill="auto"/>
            <w:vAlign w:val="center"/>
          </w:tcPr>
          <w:p w14:paraId="3109314D" w14:textId="5DD08FAC"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r w:rsidRPr="00901D0D">
              <w:rPr>
                <w:rFonts w:cs="Times New Roman"/>
                <w:color w:val="000000"/>
                <w:sz w:val="20"/>
                <w:szCs w:val="20"/>
                <w:lang w:val="en-GB"/>
              </w:rPr>
              <w:t> </w:t>
            </w:r>
          </w:p>
        </w:tc>
        <w:tc>
          <w:tcPr>
            <w:tcW w:w="624" w:type="dxa"/>
            <w:shd w:val="clear" w:color="auto" w:fill="auto"/>
            <w:vAlign w:val="center"/>
          </w:tcPr>
          <w:p w14:paraId="48B515C3" w14:textId="093FD14A"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r w:rsidRPr="00901D0D">
              <w:rPr>
                <w:rFonts w:cs="Times New Roman"/>
                <w:color w:val="000000"/>
                <w:sz w:val="20"/>
                <w:szCs w:val="20"/>
                <w:lang w:val="en-GB"/>
              </w:rPr>
              <w:t> </w:t>
            </w:r>
          </w:p>
        </w:tc>
        <w:tc>
          <w:tcPr>
            <w:tcW w:w="624" w:type="dxa"/>
            <w:shd w:val="clear" w:color="auto" w:fill="auto"/>
            <w:vAlign w:val="center"/>
          </w:tcPr>
          <w:p w14:paraId="6610BBEB" w14:textId="4CA6F920"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r w:rsidRPr="00901D0D">
              <w:rPr>
                <w:rFonts w:cs="Times New Roman"/>
                <w:color w:val="000000"/>
                <w:sz w:val="20"/>
                <w:szCs w:val="20"/>
                <w:lang w:val="en-GB"/>
              </w:rPr>
              <w:t> </w:t>
            </w:r>
          </w:p>
        </w:tc>
        <w:tc>
          <w:tcPr>
            <w:tcW w:w="624" w:type="dxa"/>
            <w:shd w:val="clear" w:color="auto" w:fill="auto"/>
            <w:vAlign w:val="center"/>
          </w:tcPr>
          <w:p w14:paraId="2B061DA9"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24AC9677"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0C15244E"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221E8C58"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08FAD4CE"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19C2853B"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567DEA38"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2EEA9AD5"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45584407"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510" w:type="dxa"/>
            <w:shd w:val="clear" w:color="auto" w:fill="auto"/>
            <w:vAlign w:val="center"/>
          </w:tcPr>
          <w:p w14:paraId="2995EFFF"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510" w:type="dxa"/>
            <w:shd w:val="clear" w:color="auto" w:fill="auto"/>
            <w:vAlign w:val="center"/>
          </w:tcPr>
          <w:p w14:paraId="7C01EDCB" w14:textId="43798FFF"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r>
      <w:tr w:rsidR="0067541E" w:rsidRPr="00901D0D" w14:paraId="3B4B70C7" w14:textId="710C76DC" w:rsidTr="00B01C3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01" w:type="dxa"/>
            <w:gridSpan w:val="4"/>
            <w:shd w:val="clear" w:color="auto" w:fill="auto"/>
            <w:vAlign w:val="center"/>
          </w:tcPr>
          <w:p w14:paraId="10613CEF" w14:textId="6242E406" w:rsidR="0067541E" w:rsidRPr="00901D0D" w:rsidRDefault="0067541E" w:rsidP="0067541E">
            <w:pPr>
              <w:numPr>
                <w:ilvl w:val="0"/>
                <w:numId w:val="21"/>
              </w:numPr>
              <w:contextualSpacing/>
              <w:rPr>
                <w:rFonts w:eastAsia="Calibri" w:cs="Times New Roman"/>
                <w:b w:val="0"/>
                <w:sz w:val="22"/>
                <w:lang w:val="en-GB"/>
              </w:rPr>
            </w:pPr>
            <w:r w:rsidRPr="00901D0D">
              <w:rPr>
                <w:rFonts w:eastAsia="Arial" w:cs="Times New Roman"/>
                <w:b w:val="0"/>
                <w:sz w:val="22"/>
                <w:lang w:val="en-GB"/>
              </w:rPr>
              <w:t>PSI</w:t>
            </w:r>
          </w:p>
        </w:tc>
        <w:tc>
          <w:tcPr>
            <w:tcW w:w="624" w:type="dxa"/>
            <w:shd w:val="clear" w:color="auto" w:fill="auto"/>
            <w:vAlign w:val="center"/>
          </w:tcPr>
          <w:p w14:paraId="7D6B65E0" w14:textId="61BED3C4" w:rsidR="0067541E" w:rsidRPr="00901D0D" w:rsidRDefault="00951509"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w:t>
            </w:r>
            <w:r w:rsidR="0067541E" w:rsidRPr="00901D0D">
              <w:rPr>
                <w:rFonts w:cs="Times New Roman"/>
                <w:sz w:val="20"/>
                <w:szCs w:val="20"/>
                <w:lang w:val="en-GB"/>
              </w:rPr>
              <w:t>.14</w:t>
            </w:r>
          </w:p>
        </w:tc>
        <w:tc>
          <w:tcPr>
            <w:tcW w:w="680" w:type="dxa"/>
            <w:shd w:val="clear" w:color="auto" w:fill="auto"/>
            <w:vAlign w:val="center"/>
          </w:tcPr>
          <w:p w14:paraId="1C304667" w14:textId="1E2E722A"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.18</w:t>
            </w:r>
            <w:r w:rsidRPr="00901D0D">
              <w:rPr>
                <w:rFonts w:cs="Times New Roman"/>
                <w:color w:val="000000"/>
                <w:sz w:val="20"/>
                <w:szCs w:val="20"/>
                <w:vertAlign w:val="superscript"/>
                <w:lang w:val="en-GB"/>
              </w:rPr>
              <w:t>*</w:t>
            </w:r>
          </w:p>
        </w:tc>
        <w:tc>
          <w:tcPr>
            <w:tcW w:w="680" w:type="dxa"/>
            <w:shd w:val="clear" w:color="auto" w:fill="auto"/>
            <w:vAlign w:val="center"/>
          </w:tcPr>
          <w:p w14:paraId="030992FF" w14:textId="17E9BC5E"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-.20</w:t>
            </w:r>
            <w:r w:rsidRPr="00901D0D">
              <w:rPr>
                <w:rFonts w:cs="Times New Roman"/>
                <w:color w:val="000000"/>
                <w:sz w:val="20"/>
                <w:szCs w:val="20"/>
                <w:vertAlign w:val="superscript"/>
                <w:lang w:val="en-GB"/>
              </w:rPr>
              <w:t>*</w:t>
            </w:r>
            <w:r w:rsidR="00951509" w:rsidRPr="00901D0D">
              <w:rPr>
                <w:rFonts w:cs="Times New Roman"/>
                <w:color w:val="000000"/>
                <w:sz w:val="20"/>
                <w:szCs w:val="20"/>
                <w:vertAlign w:val="superscript"/>
                <w:lang w:val="en-GB"/>
              </w:rPr>
              <w:t>*</w:t>
            </w:r>
          </w:p>
        </w:tc>
        <w:tc>
          <w:tcPr>
            <w:tcW w:w="680" w:type="dxa"/>
            <w:shd w:val="clear" w:color="auto" w:fill="auto"/>
            <w:vAlign w:val="center"/>
          </w:tcPr>
          <w:p w14:paraId="2158EF3F" w14:textId="1280768C"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-.22</w:t>
            </w:r>
            <w:r w:rsidRPr="00901D0D">
              <w:rPr>
                <w:rFonts w:cs="Times New Roman"/>
                <w:color w:val="000000"/>
                <w:sz w:val="20"/>
                <w:szCs w:val="20"/>
                <w:vertAlign w:val="superscript"/>
                <w:lang w:val="en-GB"/>
              </w:rPr>
              <w:t>**</w:t>
            </w:r>
          </w:p>
        </w:tc>
        <w:tc>
          <w:tcPr>
            <w:tcW w:w="624" w:type="dxa"/>
            <w:shd w:val="clear" w:color="auto" w:fill="auto"/>
            <w:vAlign w:val="center"/>
          </w:tcPr>
          <w:p w14:paraId="6BDEF69D" w14:textId="0E7C5E7E"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92</w:t>
            </w:r>
            <w:r w:rsidRPr="00901D0D">
              <w:rPr>
                <w:rFonts w:cs="Times New Roman"/>
                <w:color w:val="000000"/>
                <w:sz w:val="20"/>
                <w:szCs w:val="20"/>
                <w:vertAlign w:val="superscript"/>
                <w:lang w:val="en-GB"/>
              </w:rPr>
              <w:t>*</w:t>
            </w:r>
            <w:r w:rsidR="00951509"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p>
        </w:tc>
        <w:tc>
          <w:tcPr>
            <w:tcW w:w="624" w:type="dxa"/>
            <w:shd w:val="clear" w:color="auto" w:fill="auto"/>
            <w:vAlign w:val="center"/>
          </w:tcPr>
          <w:p w14:paraId="63A7D4C0" w14:textId="407FB9E4"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.9</w:t>
            </w:r>
            <w:r w:rsidR="00951509" w:rsidRPr="00901D0D">
              <w:rPr>
                <w:rFonts w:cs="Times New Roman"/>
                <w:sz w:val="20"/>
                <w:szCs w:val="20"/>
                <w:lang w:val="en-GB"/>
              </w:rPr>
              <w:t>3</w:t>
            </w:r>
            <w:r w:rsidRPr="00901D0D">
              <w:rPr>
                <w:rFonts w:cs="Times New Roman"/>
                <w:color w:val="000000"/>
                <w:sz w:val="20"/>
                <w:szCs w:val="20"/>
                <w:vertAlign w:val="superscript"/>
                <w:lang w:val="en-GB"/>
              </w:rPr>
              <w:t>*</w:t>
            </w:r>
            <w:r w:rsidR="00951509"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p>
        </w:tc>
        <w:tc>
          <w:tcPr>
            <w:tcW w:w="624" w:type="dxa"/>
            <w:shd w:val="clear" w:color="auto" w:fill="auto"/>
            <w:vAlign w:val="center"/>
          </w:tcPr>
          <w:p w14:paraId="3899C35C" w14:textId="3AF137BE"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.66</w:t>
            </w:r>
            <w:r w:rsidRPr="00901D0D">
              <w:rPr>
                <w:rFonts w:cs="Times New Roman"/>
                <w:color w:val="000000"/>
                <w:sz w:val="20"/>
                <w:szCs w:val="20"/>
                <w:vertAlign w:val="superscript"/>
                <w:lang w:val="en-GB"/>
              </w:rPr>
              <w:t>*</w:t>
            </w:r>
            <w:r w:rsidR="00951509"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p>
        </w:tc>
        <w:tc>
          <w:tcPr>
            <w:tcW w:w="624" w:type="dxa"/>
            <w:shd w:val="clear" w:color="auto" w:fill="auto"/>
            <w:vAlign w:val="center"/>
          </w:tcPr>
          <w:p w14:paraId="7DE872B1" w14:textId="58CAA0E5"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 </w:t>
            </w:r>
          </w:p>
        </w:tc>
        <w:tc>
          <w:tcPr>
            <w:tcW w:w="624" w:type="dxa"/>
            <w:shd w:val="clear" w:color="auto" w:fill="auto"/>
            <w:vAlign w:val="center"/>
          </w:tcPr>
          <w:p w14:paraId="5984DB13" w14:textId="2EE09481"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 </w:t>
            </w:r>
          </w:p>
        </w:tc>
        <w:tc>
          <w:tcPr>
            <w:tcW w:w="624" w:type="dxa"/>
            <w:shd w:val="clear" w:color="auto" w:fill="auto"/>
            <w:vAlign w:val="center"/>
          </w:tcPr>
          <w:p w14:paraId="58D53B99"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075C324E"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77028604"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36DC43AF"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3B1D70B5"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7379AB50"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1DAE1AEB"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0EC6992B"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55077337"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510" w:type="dxa"/>
            <w:shd w:val="clear" w:color="auto" w:fill="auto"/>
            <w:vAlign w:val="center"/>
          </w:tcPr>
          <w:p w14:paraId="37B0CE17"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510" w:type="dxa"/>
            <w:shd w:val="clear" w:color="auto" w:fill="auto"/>
            <w:vAlign w:val="center"/>
          </w:tcPr>
          <w:p w14:paraId="0638C857" w14:textId="7824D29D"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r>
      <w:tr w:rsidR="0067541E" w:rsidRPr="00901D0D" w14:paraId="7676A884" w14:textId="4B6A732B" w:rsidTr="00B01C37">
        <w:trPr>
          <w:trHeight w:val="20"/>
        </w:trPr>
        <w:tc>
          <w:tcPr>
            <w:cnfStyle w:val="001000000000" w:firstRow="0" w:lastRow="0" w:firstColumn="1" w:lastColumn="0" w:oddVBand="0" w:evenVBand="0" w:oddHBand="0" w:evenHBand="0" w:firstRowFirstColumn="0" w:firstRowLastColumn="0" w:lastRowFirstColumn="0" w:lastRowLastColumn="0"/>
            <w:tcW w:w="2801" w:type="dxa"/>
            <w:gridSpan w:val="4"/>
            <w:shd w:val="clear" w:color="auto" w:fill="auto"/>
            <w:vAlign w:val="center"/>
          </w:tcPr>
          <w:p w14:paraId="5832601A" w14:textId="14ABCFD8" w:rsidR="0067541E" w:rsidRPr="00901D0D" w:rsidRDefault="0067541E" w:rsidP="0067541E">
            <w:pPr>
              <w:numPr>
                <w:ilvl w:val="0"/>
                <w:numId w:val="21"/>
              </w:numPr>
              <w:contextualSpacing/>
              <w:rPr>
                <w:rFonts w:eastAsia="Arial" w:cs="Times New Roman"/>
                <w:b w:val="0"/>
                <w:sz w:val="22"/>
                <w:lang w:val="en-GB"/>
              </w:rPr>
            </w:pPr>
            <w:r w:rsidRPr="00901D0D">
              <w:rPr>
                <w:rFonts w:eastAsia="Arial" w:cs="Times New Roman"/>
                <w:b w:val="0"/>
                <w:sz w:val="22"/>
                <w:lang w:val="en-GB"/>
              </w:rPr>
              <w:t>ET</w:t>
            </w:r>
          </w:p>
        </w:tc>
        <w:tc>
          <w:tcPr>
            <w:tcW w:w="624" w:type="dxa"/>
            <w:shd w:val="clear" w:color="auto" w:fill="auto"/>
            <w:vAlign w:val="center"/>
          </w:tcPr>
          <w:p w14:paraId="1F9DAF2C" w14:textId="0D01510D"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-.21</w:t>
            </w:r>
            <w:r w:rsidRPr="00901D0D">
              <w:rPr>
                <w:rFonts w:cs="Times New Roman"/>
                <w:color w:val="000000"/>
                <w:sz w:val="20"/>
                <w:szCs w:val="20"/>
                <w:vertAlign w:val="superscript"/>
                <w:lang w:val="en-GB"/>
              </w:rPr>
              <w:t>**</w:t>
            </w:r>
          </w:p>
        </w:tc>
        <w:tc>
          <w:tcPr>
            <w:tcW w:w="680" w:type="dxa"/>
            <w:shd w:val="clear" w:color="auto" w:fill="auto"/>
            <w:vAlign w:val="center"/>
          </w:tcPr>
          <w:p w14:paraId="7F55E9C5" w14:textId="5180D6A2"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-.1</w:t>
            </w:r>
            <w:r w:rsidR="00951509" w:rsidRPr="00901D0D">
              <w:rPr>
                <w:rFonts w:cs="Times New Roman"/>
                <w:sz w:val="20"/>
                <w:szCs w:val="20"/>
                <w:lang w:val="en-GB"/>
              </w:rPr>
              <w:t>7</w:t>
            </w:r>
            <w:r w:rsidRPr="00901D0D">
              <w:rPr>
                <w:rFonts w:cs="Times New Roman"/>
                <w:color w:val="000000"/>
                <w:sz w:val="20"/>
                <w:szCs w:val="20"/>
                <w:vertAlign w:val="superscript"/>
                <w:lang w:val="en-GB"/>
              </w:rPr>
              <w:t>*</w:t>
            </w:r>
          </w:p>
        </w:tc>
        <w:tc>
          <w:tcPr>
            <w:tcW w:w="680" w:type="dxa"/>
            <w:shd w:val="clear" w:color="auto" w:fill="auto"/>
            <w:vAlign w:val="center"/>
          </w:tcPr>
          <w:p w14:paraId="1DF63303" w14:textId="7CEC2EF2"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-.20</w:t>
            </w:r>
            <w:r w:rsidRPr="00901D0D">
              <w:rPr>
                <w:rFonts w:cs="Times New Roman"/>
                <w:color w:val="000000"/>
                <w:sz w:val="20"/>
                <w:szCs w:val="20"/>
                <w:vertAlign w:val="superscript"/>
                <w:lang w:val="en-GB"/>
              </w:rPr>
              <w:t>*</w:t>
            </w:r>
            <w:r w:rsidR="00951509" w:rsidRPr="00901D0D">
              <w:rPr>
                <w:rFonts w:cs="Times New Roman"/>
                <w:color w:val="000000"/>
                <w:sz w:val="20"/>
                <w:szCs w:val="20"/>
                <w:vertAlign w:val="superscript"/>
                <w:lang w:val="en-GB"/>
              </w:rPr>
              <w:t>*</w:t>
            </w:r>
          </w:p>
        </w:tc>
        <w:tc>
          <w:tcPr>
            <w:tcW w:w="680" w:type="dxa"/>
            <w:shd w:val="clear" w:color="auto" w:fill="auto"/>
            <w:vAlign w:val="center"/>
          </w:tcPr>
          <w:p w14:paraId="090FCB17" w14:textId="0BD2011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20</w:t>
            </w:r>
            <w:r w:rsidR="00951509"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p>
        </w:tc>
        <w:tc>
          <w:tcPr>
            <w:tcW w:w="624" w:type="dxa"/>
            <w:shd w:val="clear" w:color="auto" w:fill="auto"/>
            <w:vAlign w:val="center"/>
          </w:tcPr>
          <w:p w14:paraId="3DEEF265" w14:textId="75A109FE"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60</w:t>
            </w:r>
            <w:r w:rsidRPr="00901D0D">
              <w:rPr>
                <w:rFonts w:cs="Times New Roman"/>
                <w:color w:val="000000"/>
                <w:sz w:val="20"/>
                <w:szCs w:val="20"/>
                <w:vertAlign w:val="superscript"/>
                <w:lang w:val="en-GB"/>
              </w:rPr>
              <w:t>*</w:t>
            </w:r>
            <w:r w:rsidR="00951509"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p>
        </w:tc>
        <w:tc>
          <w:tcPr>
            <w:tcW w:w="624" w:type="dxa"/>
            <w:shd w:val="clear" w:color="auto" w:fill="auto"/>
            <w:vAlign w:val="center"/>
          </w:tcPr>
          <w:p w14:paraId="12D5D9A5" w14:textId="68EA7CEF" w:rsidR="0067541E" w:rsidRPr="00901D0D" w:rsidRDefault="00951509"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.79</w:t>
            </w:r>
            <w:r w:rsidR="0067541E" w:rsidRPr="00901D0D">
              <w:rPr>
                <w:rFonts w:cs="Times New Roman"/>
                <w:color w:val="000000"/>
                <w:sz w:val="20"/>
                <w:szCs w:val="20"/>
                <w:vertAlign w:val="superscript"/>
                <w:lang w:val="en-GB"/>
              </w:rPr>
              <w:t>*</w:t>
            </w:r>
            <w:r w:rsidR="004C5E2F" w:rsidRPr="00901D0D">
              <w:rPr>
                <w:rFonts w:cs="Times New Roman"/>
                <w:color w:val="000000"/>
                <w:sz w:val="20"/>
                <w:szCs w:val="20"/>
                <w:vertAlign w:val="superscript"/>
                <w:lang w:val="en-GB"/>
              </w:rPr>
              <w:t>*</w:t>
            </w:r>
            <w:r w:rsidR="0067541E" w:rsidRPr="00901D0D">
              <w:rPr>
                <w:rFonts w:cs="Times New Roman"/>
                <w:color w:val="000000"/>
                <w:sz w:val="20"/>
                <w:szCs w:val="20"/>
                <w:vertAlign w:val="superscript"/>
                <w:lang w:val="en-GB"/>
              </w:rPr>
              <w:t>*</w:t>
            </w:r>
          </w:p>
        </w:tc>
        <w:tc>
          <w:tcPr>
            <w:tcW w:w="624" w:type="dxa"/>
            <w:shd w:val="clear" w:color="auto" w:fill="auto"/>
            <w:vAlign w:val="center"/>
          </w:tcPr>
          <w:p w14:paraId="310B5753" w14:textId="400AD990" w:rsidR="0067541E" w:rsidRPr="00901D0D" w:rsidRDefault="00951509"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.53</w:t>
            </w:r>
            <w:r w:rsidR="0067541E"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r w:rsidR="0067541E" w:rsidRPr="00901D0D">
              <w:rPr>
                <w:rFonts w:cs="Times New Roman"/>
                <w:color w:val="000000"/>
                <w:sz w:val="20"/>
                <w:szCs w:val="20"/>
                <w:vertAlign w:val="superscript"/>
                <w:lang w:val="en-GB"/>
              </w:rPr>
              <w:t>*</w:t>
            </w:r>
          </w:p>
        </w:tc>
        <w:tc>
          <w:tcPr>
            <w:tcW w:w="624" w:type="dxa"/>
            <w:shd w:val="clear" w:color="auto" w:fill="auto"/>
            <w:vAlign w:val="center"/>
          </w:tcPr>
          <w:p w14:paraId="1B21D077" w14:textId="477309F0" w:rsidR="0067541E" w:rsidRPr="00901D0D" w:rsidRDefault="00951509"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.63</w:t>
            </w:r>
            <w:r w:rsidR="0067541E"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r w:rsidR="0067541E" w:rsidRPr="00901D0D">
              <w:rPr>
                <w:rFonts w:cs="Times New Roman"/>
                <w:color w:val="000000"/>
                <w:sz w:val="20"/>
                <w:szCs w:val="20"/>
                <w:vertAlign w:val="superscript"/>
                <w:lang w:val="en-GB"/>
              </w:rPr>
              <w:t>*</w:t>
            </w:r>
          </w:p>
        </w:tc>
        <w:tc>
          <w:tcPr>
            <w:tcW w:w="624" w:type="dxa"/>
            <w:shd w:val="clear" w:color="auto" w:fill="auto"/>
            <w:vAlign w:val="center"/>
          </w:tcPr>
          <w:p w14:paraId="7B471961" w14:textId="4CEC331F"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 </w:t>
            </w:r>
          </w:p>
        </w:tc>
        <w:tc>
          <w:tcPr>
            <w:tcW w:w="624" w:type="dxa"/>
            <w:shd w:val="clear" w:color="auto" w:fill="auto"/>
            <w:vAlign w:val="center"/>
          </w:tcPr>
          <w:p w14:paraId="71A58842"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p>
        </w:tc>
        <w:tc>
          <w:tcPr>
            <w:tcW w:w="624" w:type="dxa"/>
            <w:shd w:val="clear" w:color="auto" w:fill="auto"/>
            <w:vAlign w:val="center"/>
          </w:tcPr>
          <w:p w14:paraId="76694D13"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40BED0E8"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7361299F"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7186B4B1"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57CED4EC"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34CB4DDB"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2701B2CB"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25FF6D6F"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510" w:type="dxa"/>
            <w:shd w:val="clear" w:color="auto" w:fill="auto"/>
            <w:vAlign w:val="center"/>
          </w:tcPr>
          <w:p w14:paraId="501B5F3B"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510" w:type="dxa"/>
            <w:shd w:val="clear" w:color="auto" w:fill="auto"/>
            <w:vAlign w:val="center"/>
          </w:tcPr>
          <w:p w14:paraId="4DD10FFD" w14:textId="14DF285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r>
      <w:tr w:rsidR="0067541E" w:rsidRPr="00901D0D" w14:paraId="65533C60" w14:textId="685F2ECE" w:rsidTr="00B01C3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01" w:type="dxa"/>
            <w:gridSpan w:val="4"/>
            <w:shd w:val="clear" w:color="auto" w:fill="auto"/>
            <w:vAlign w:val="center"/>
          </w:tcPr>
          <w:p w14:paraId="412BC79D" w14:textId="2D145E8E" w:rsidR="0067541E" w:rsidRPr="00901D0D" w:rsidRDefault="0067541E" w:rsidP="0067541E">
            <w:pPr>
              <w:numPr>
                <w:ilvl w:val="0"/>
                <w:numId w:val="21"/>
              </w:numPr>
              <w:contextualSpacing/>
              <w:rPr>
                <w:rFonts w:eastAsia="Arial" w:cs="Times New Roman"/>
                <w:b w:val="0"/>
                <w:sz w:val="22"/>
                <w:lang w:val="en-GB"/>
              </w:rPr>
            </w:pPr>
            <w:r w:rsidRPr="00901D0D">
              <w:rPr>
                <w:rFonts w:eastAsia="Arial" w:cs="Times New Roman"/>
                <w:b w:val="0"/>
                <w:sz w:val="22"/>
                <w:lang w:val="en-GB"/>
              </w:rPr>
              <w:t xml:space="preserve"> LAD</w:t>
            </w:r>
          </w:p>
        </w:tc>
        <w:tc>
          <w:tcPr>
            <w:tcW w:w="624" w:type="dxa"/>
            <w:shd w:val="clear" w:color="auto" w:fill="auto"/>
            <w:vAlign w:val="center"/>
          </w:tcPr>
          <w:p w14:paraId="4795AF05" w14:textId="3C757F74" w:rsidR="0067541E" w:rsidRPr="00901D0D" w:rsidRDefault="00951509"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-.17</w:t>
            </w:r>
            <w:r w:rsidR="0067541E" w:rsidRPr="00901D0D">
              <w:rPr>
                <w:rFonts w:cs="Times New Roman"/>
                <w:color w:val="000000"/>
                <w:sz w:val="20"/>
                <w:szCs w:val="20"/>
                <w:vertAlign w:val="superscript"/>
                <w:lang w:val="en-GB"/>
              </w:rPr>
              <w:t>*</w:t>
            </w:r>
          </w:p>
        </w:tc>
        <w:tc>
          <w:tcPr>
            <w:tcW w:w="680" w:type="dxa"/>
            <w:shd w:val="clear" w:color="auto" w:fill="auto"/>
            <w:vAlign w:val="center"/>
          </w:tcPr>
          <w:p w14:paraId="54683C9D" w14:textId="56B6F8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-.16</w:t>
            </w:r>
            <w:r w:rsidRPr="00901D0D">
              <w:rPr>
                <w:rFonts w:cs="Times New Roman"/>
                <w:color w:val="000000"/>
                <w:sz w:val="20"/>
                <w:szCs w:val="20"/>
                <w:vertAlign w:val="superscript"/>
                <w:lang w:val="en-GB"/>
              </w:rPr>
              <w:t>*</w:t>
            </w:r>
          </w:p>
        </w:tc>
        <w:tc>
          <w:tcPr>
            <w:tcW w:w="680" w:type="dxa"/>
            <w:shd w:val="clear" w:color="auto" w:fill="auto"/>
            <w:vAlign w:val="center"/>
          </w:tcPr>
          <w:p w14:paraId="3DEA3F28" w14:textId="5E21B10B"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-.2</w:t>
            </w:r>
            <w:r w:rsidR="00951509" w:rsidRPr="00901D0D">
              <w:rPr>
                <w:rFonts w:cs="Times New Roman"/>
                <w:sz w:val="20"/>
                <w:szCs w:val="20"/>
                <w:lang w:val="en-GB"/>
              </w:rPr>
              <w:t>1</w:t>
            </w:r>
            <w:r w:rsidRPr="00901D0D">
              <w:rPr>
                <w:rFonts w:cs="Times New Roman"/>
                <w:color w:val="000000"/>
                <w:sz w:val="20"/>
                <w:szCs w:val="20"/>
                <w:vertAlign w:val="superscript"/>
                <w:lang w:val="en-GB"/>
              </w:rPr>
              <w:t>**</w:t>
            </w:r>
          </w:p>
        </w:tc>
        <w:tc>
          <w:tcPr>
            <w:tcW w:w="680" w:type="dxa"/>
            <w:shd w:val="clear" w:color="auto" w:fill="auto"/>
            <w:vAlign w:val="center"/>
          </w:tcPr>
          <w:p w14:paraId="5E85BF7D" w14:textId="65508C42"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.20</w:t>
            </w:r>
            <w:r w:rsidRPr="00901D0D">
              <w:rPr>
                <w:rFonts w:cs="Times New Roman"/>
                <w:color w:val="000000"/>
                <w:sz w:val="20"/>
                <w:szCs w:val="20"/>
                <w:vertAlign w:val="superscript"/>
                <w:lang w:val="en-GB"/>
              </w:rPr>
              <w:t>**</w:t>
            </w:r>
          </w:p>
        </w:tc>
        <w:tc>
          <w:tcPr>
            <w:tcW w:w="624" w:type="dxa"/>
            <w:shd w:val="clear" w:color="auto" w:fill="auto"/>
            <w:vAlign w:val="center"/>
          </w:tcPr>
          <w:p w14:paraId="4C101612" w14:textId="3ABFC7C1" w:rsidR="0067541E" w:rsidRPr="00901D0D" w:rsidRDefault="00951509"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.78</w:t>
            </w:r>
            <w:r w:rsidR="0067541E"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r w:rsidR="0067541E" w:rsidRPr="00901D0D">
              <w:rPr>
                <w:rFonts w:cs="Times New Roman"/>
                <w:color w:val="000000"/>
                <w:sz w:val="20"/>
                <w:szCs w:val="20"/>
                <w:vertAlign w:val="superscript"/>
                <w:lang w:val="en-GB"/>
              </w:rPr>
              <w:t>*</w:t>
            </w:r>
          </w:p>
        </w:tc>
        <w:tc>
          <w:tcPr>
            <w:tcW w:w="624" w:type="dxa"/>
            <w:shd w:val="clear" w:color="auto" w:fill="auto"/>
            <w:vAlign w:val="center"/>
          </w:tcPr>
          <w:p w14:paraId="202B8D74" w14:textId="264AEB7C"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.81</w:t>
            </w:r>
            <w:r w:rsidRPr="00901D0D">
              <w:rPr>
                <w:rFonts w:cs="Times New Roman"/>
                <w:color w:val="000000"/>
                <w:sz w:val="20"/>
                <w:szCs w:val="20"/>
                <w:vertAlign w:val="superscript"/>
                <w:lang w:val="en-GB"/>
              </w:rPr>
              <w:t>*</w:t>
            </w:r>
            <w:r w:rsidR="00951509"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p>
        </w:tc>
        <w:tc>
          <w:tcPr>
            <w:tcW w:w="624" w:type="dxa"/>
            <w:shd w:val="clear" w:color="auto" w:fill="auto"/>
            <w:vAlign w:val="center"/>
          </w:tcPr>
          <w:p w14:paraId="41DE579C" w14:textId="6A0E8E9A"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55</w:t>
            </w:r>
            <w:r w:rsidRPr="00901D0D">
              <w:rPr>
                <w:rFonts w:cs="Times New Roman"/>
                <w:color w:val="000000"/>
                <w:sz w:val="20"/>
                <w:szCs w:val="20"/>
                <w:vertAlign w:val="superscript"/>
                <w:lang w:val="en-GB"/>
              </w:rPr>
              <w:t>*</w:t>
            </w:r>
            <w:r w:rsidR="00951509"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p>
        </w:tc>
        <w:tc>
          <w:tcPr>
            <w:tcW w:w="624" w:type="dxa"/>
            <w:shd w:val="clear" w:color="auto" w:fill="auto"/>
            <w:vAlign w:val="center"/>
          </w:tcPr>
          <w:p w14:paraId="09D3C58E" w14:textId="6E03330B" w:rsidR="0067541E" w:rsidRPr="00901D0D" w:rsidRDefault="00951509"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.78</w:t>
            </w:r>
            <w:r w:rsidR="0067541E"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r w:rsidR="0067541E" w:rsidRPr="00901D0D">
              <w:rPr>
                <w:rFonts w:cs="Times New Roman"/>
                <w:color w:val="000000"/>
                <w:sz w:val="20"/>
                <w:szCs w:val="20"/>
                <w:vertAlign w:val="superscript"/>
                <w:lang w:val="en-GB"/>
              </w:rPr>
              <w:t>*</w:t>
            </w:r>
          </w:p>
        </w:tc>
        <w:tc>
          <w:tcPr>
            <w:tcW w:w="624" w:type="dxa"/>
            <w:shd w:val="clear" w:color="auto" w:fill="auto"/>
            <w:vAlign w:val="center"/>
          </w:tcPr>
          <w:p w14:paraId="1C4E8FD0" w14:textId="7C57131B"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.52</w:t>
            </w:r>
            <w:r w:rsidRPr="00901D0D">
              <w:rPr>
                <w:rFonts w:cs="Times New Roman"/>
                <w:color w:val="000000"/>
                <w:sz w:val="20"/>
                <w:szCs w:val="20"/>
                <w:vertAlign w:val="superscript"/>
                <w:lang w:val="en-GB"/>
              </w:rPr>
              <w:t>*</w:t>
            </w:r>
            <w:r w:rsidR="00951509"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p>
        </w:tc>
        <w:tc>
          <w:tcPr>
            <w:tcW w:w="624" w:type="dxa"/>
            <w:shd w:val="clear" w:color="auto" w:fill="auto"/>
            <w:vAlign w:val="center"/>
          </w:tcPr>
          <w:p w14:paraId="0CEFCD06"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p>
        </w:tc>
        <w:tc>
          <w:tcPr>
            <w:tcW w:w="624" w:type="dxa"/>
            <w:shd w:val="clear" w:color="auto" w:fill="auto"/>
            <w:vAlign w:val="center"/>
          </w:tcPr>
          <w:p w14:paraId="669903F8"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173A220E"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2C392836"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27C87124"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4FA93D88"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2AAA60E0"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10E44CB1"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0D3A4BD8"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510" w:type="dxa"/>
            <w:shd w:val="clear" w:color="auto" w:fill="auto"/>
            <w:vAlign w:val="center"/>
          </w:tcPr>
          <w:p w14:paraId="26E7A735"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510" w:type="dxa"/>
            <w:shd w:val="clear" w:color="auto" w:fill="auto"/>
            <w:vAlign w:val="center"/>
          </w:tcPr>
          <w:p w14:paraId="26938322" w14:textId="45213B2B"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r>
      <w:tr w:rsidR="004C5E2F" w:rsidRPr="00901D0D" w14:paraId="6F72CE36" w14:textId="041A7138" w:rsidTr="00B01C37">
        <w:trPr>
          <w:gridAfter w:val="21"/>
          <w:wAfter w:w="13094" w:type="dxa"/>
          <w:trHeight w:val="2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vAlign w:val="center"/>
          </w:tcPr>
          <w:p w14:paraId="0CEF3D71" w14:textId="77777777" w:rsidR="004C5E2F" w:rsidRPr="00901D0D" w:rsidRDefault="004C5E2F" w:rsidP="00021A63">
            <w:pPr>
              <w:ind w:firstLine="0"/>
              <w:contextualSpacing/>
              <w:jc w:val="center"/>
              <w:rPr>
                <w:rFonts w:eastAsia="Calibri" w:cs="Times New Roman"/>
                <w:sz w:val="22"/>
                <w:lang w:val="en-GB"/>
              </w:rPr>
            </w:pPr>
          </w:p>
        </w:tc>
        <w:tc>
          <w:tcPr>
            <w:tcW w:w="709" w:type="dxa"/>
            <w:shd w:val="clear" w:color="auto" w:fill="auto"/>
            <w:vAlign w:val="center"/>
          </w:tcPr>
          <w:p w14:paraId="2DC8C3A0" w14:textId="77777777" w:rsidR="004C5E2F" w:rsidRPr="00901D0D" w:rsidRDefault="004C5E2F" w:rsidP="00021A63">
            <w:pPr>
              <w:ind w:firstLine="0"/>
              <w:contextualSpacing/>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lang w:val="en-GB"/>
              </w:rPr>
            </w:pPr>
          </w:p>
        </w:tc>
        <w:tc>
          <w:tcPr>
            <w:tcW w:w="709" w:type="dxa"/>
            <w:shd w:val="clear" w:color="auto" w:fill="auto"/>
            <w:vAlign w:val="center"/>
          </w:tcPr>
          <w:p w14:paraId="057617DC" w14:textId="200653C7" w:rsidR="004C5E2F" w:rsidRPr="00901D0D" w:rsidRDefault="004C5E2F" w:rsidP="00021A63">
            <w:pPr>
              <w:ind w:firstLine="0"/>
              <w:contextualSpacing/>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lang w:val="en-GB"/>
              </w:rPr>
            </w:pPr>
          </w:p>
        </w:tc>
      </w:tr>
    </w:tbl>
    <w:p w14:paraId="50674DD7" w14:textId="07784A03" w:rsidR="004C5E2F" w:rsidRPr="00901D0D" w:rsidRDefault="004C5E2F" w:rsidP="004C5E2F">
      <w:pPr>
        <w:jc w:val="right"/>
        <w:rPr>
          <w:bCs/>
          <w:lang w:val="en-GB"/>
        </w:rPr>
      </w:pPr>
      <w:r w:rsidRPr="00901D0D">
        <w:rPr>
          <w:bCs/>
          <w:lang w:val="en-GB"/>
        </w:rPr>
        <w:t>(continued)</w:t>
      </w:r>
      <w:r w:rsidRPr="00901D0D">
        <w:rPr>
          <w:bCs/>
          <w:lang w:val="en-GB"/>
        </w:rPr>
        <w:br w:type="page"/>
      </w:r>
    </w:p>
    <w:p w14:paraId="27BDE395" w14:textId="23AF0B40" w:rsidR="004C5E2F" w:rsidRPr="00901D0D" w:rsidRDefault="004C5E2F" w:rsidP="009326E7">
      <w:pPr>
        <w:spacing w:line="360" w:lineRule="auto"/>
        <w:ind w:firstLine="0"/>
        <w:rPr>
          <w:lang w:val="en-GB"/>
        </w:rPr>
      </w:pPr>
      <w:r w:rsidRPr="00901D0D">
        <w:rPr>
          <w:lang w:val="en-GB"/>
        </w:rPr>
        <w:lastRenderedPageBreak/>
        <w:t xml:space="preserve">Table </w:t>
      </w:r>
      <w:r w:rsidR="000313B3">
        <w:rPr>
          <w:lang w:val="en-GB"/>
        </w:rPr>
        <w:t>2</w:t>
      </w:r>
      <w:r w:rsidRPr="00901D0D">
        <w:rPr>
          <w:lang w:val="en-GB"/>
        </w:rPr>
        <w:t>.</w:t>
      </w:r>
    </w:p>
    <w:p w14:paraId="3AD094C9" w14:textId="77777777" w:rsidR="004C5E2F" w:rsidRPr="00901D0D" w:rsidRDefault="004C5E2F" w:rsidP="009326E7">
      <w:pPr>
        <w:spacing w:line="360" w:lineRule="auto"/>
        <w:ind w:firstLine="0"/>
        <w:rPr>
          <w:rFonts w:ascii="Calibri" w:eastAsia="Calibri" w:hAnsi="Calibri" w:cs="Times New Roman"/>
          <w:szCs w:val="24"/>
          <w:lang w:val="en-GB"/>
        </w:rPr>
      </w:pPr>
      <w:r w:rsidRPr="00901D0D">
        <w:rPr>
          <w:rFonts w:eastAsia="Arial" w:cs="Times New Roman"/>
          <w:i/>
          <w:szCs w:val="24"/>
          <w:lang w:val="en-GB"/>
        </w:rPr>
        <w:t>Correlations for Base Rate, Misperception of Chance, and all scales</w:t>
      </w:r>
    </w:p>
    <w:tbl>
      <w:tblPr>
        <w:tblStyle w:val="PlainTable41"/>
        <w:tblW w:w="15222" w:type="dxa"/>
        <w:tblLayout w:type="fixed"/>
        <w:tblCellMar>
          <w:left w:w="57" w:type="dxa"/>
          <w:right w:w="57" w:type="dxa"/>
        </w:tblCellMar>
        <w:tblLook w:val="04A0" w:firstRow="1" w:lastRow="0" w:firstColumn="1" w:lastColumn="0" w:noHBand="0" w:noVBand="1"/>
      </w:tblPr>
      <w:tblGrid>
        <w:gridCol w:w="2802"/>
        <w:gridCol w:w="624"/>
        <w:gridCol w:w="680"/>
        <w:gridCol w:w="680"/>
        <w:gridCol w:w="680"/>
        <w:gridCol w:w="624"/>
        <w:gridCol w:w="624"/>
        <w:gridCol w:w="624"/>
        <w:gridCol w:w="624"/>
        <w:gridCol w:w="624"/>
        <w:gridCol w:w="624"/>
        <w:gridCol w:w="624"/>
        <w:gridCol w:w="624"/>
        <w:gridCol w:w="624"/>
        <w:gridCol w:w="624"/>
        <w:gridCol w:w="624"/>
        <w:gridCol w:w="624"/>
        <w:gridCol w:w="624"/>
        <w:gridCol w:w="624"/>
        <w:gridCol w:w="510"/>
        <w:gridCol w:w="510"/>
      </w:tblGrid>
      <w:tr w:rsidR="006E0065" w:rsidRPr="00901D0D" w14:paraId="7952B097" w14:textId="77777777" w:rsidTr="00B01C3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auto"/>
              <w:bottom w:val="single" w:sz="4" w:space="0" w:color="auto"/>
            </w:tcBorders>
            <w:shd w:val="clear" w:color="auto" w:fill="auto"/>
            <w:vAlign w:val="center"/>
          </w:tcPr>
          <w:p w14:paraId="2DF69D49" w14:textId="764501E9" w:rsidR="006E0065" w:rsidRPr="00901D0D" w:rsidRDefault="006E0065" w:rsidP="006E0065">
            <w:pPr>
              <w:ind w:firstLine="0"/>
              <w:contextualSpacing/>
              <w:rPr>
                <w:rFonts w:eastAsia="Calibri" w:cs="Times New Roman"/>
                <w:b w:val="0"/>
                <w:sz w:val="22"/>
                <w:lang w:val="en-GB"/>
              </w:rPr>
            </w:pPr>
            <w:r w:rsidRPr="00901D0D">
              <w:rPr>
                <w:rFonts w:eastAsia="Arial" w:cs="Times New Roman"/>
                <w:b w:val="0"/>
                <w:sz w:val="22"/>
                <w:lang w:val="en-GB"/>
              </w:rPr>
              <w:t>Scales</w:t>
            </w:r>
          </w:p>
        </w:tc>
        <w:tc>
          <w:tcPr>
            <w:tcW w:w="624" w:type="dxa"/>
            <w:tcBorders>
              <w:top w:val="single" w:sz="4" w:space="0" w:color="auto"/>
              <w:bottom w:val="single" w:sz="4" w:space="0" w:color="auto"/>
            </w:tcBorders>
            <w:shd w:val="clear" w:color="auto" w:fill="auto"/>
            <w:vAlign w:val="center"/>
          </w:tcPr>
          <w:p w14:paraId="68FCD65A" w14:textId="77777777" w:rsidR="006E0065" w:rsidRPr="00901D0D" w:rsidRDefault="006E0065" w:rsidP="006E0065">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sz w:val="22"/>
                <w:lang w:val="en-GB"/>
              </w:rPr>
            </w:pPr>
            <w:r w:rsidRPr="00901D0D">
              <w:rPr>
                <w:rFonts w:eastAsia="Calibri" w:cs="Times New Roman"/>
                <w:b w:val="0"/>
                <w:sz w:val="22"/>
                <w:lang w:val="en-GB"/>
              </w:rPr>
              <w:t>1.</w:t>
            </w:r>
          </w:p>
        </w:tc>
        <w:tc>
          <w:tcPr>
            <w:tcW w:w="680" w:type="dxa"/>
            <w:tcBorders>
              <w:top w:val="single" w:sz="4" w:space="0" w:color="auto"/>
              <w:bottom w:val="single" w:sz="4" w:space="0" w:color="auto"/>
            </w:tcBorders>
            <w:shd w:val="clear" w:color="auto" w:fill="auto"/>
            <w:vAlign w:val="center"/>
          </w:tcPr>
          <w:p w14:paraId="46B83CEC" w14:textId="77777777" w:rsidR="006E0065" w:rsidRPr="00901D0D" w:rsidRDefault="006E0065" w:rsidP="006E0065">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sz w:val="22"/>
                <w:lang w:val="en-GB"/>
              </w:rPr>
            </w:pPr>
            <w:r w:rsidRPr="00901D0D">
              <w:rPr>
                <w:rFonts w:eastAsia="Calibri" w:cs="Times New Roman"/>
                <w:b w:val="0"/>
                <w:sz w:val="22"/>
                <w:lang w:val="en-GB"/>
              </w:rPr>
              <w:t>2.</w:t>
            </w:r>
          </w:p>
        </w:tc>
        <w:tc>
          <w:tcPr>
            <w:tcW w:w="680" w:type="dxa"/>
            <w:tcBorders>
              <w:top w:val="single" w:sz="4" w:space="0" w:color="auto"/>
              <w:bottom w:val="single" w:sz="4" w:space="0" w:color="auto"/>
            </w:tcBorders>
            <w:shd w:val="clear" w:color="auto" w:fill="auto"/>
            <w:vAlign w:val="center"/>
          </w:tcPr>
          <w:p w14:paraId="2505F7BD" w14:textId="77777777" w:rsidR="006E0065" w:rsidRPr="00901D0D" w:rsidRDefault="006E0065" w:rsidP="006E0065">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sz w:val="22"/>
                <w:lang w:val="en-GB"/>
              </w:rPr>
            </w:pPr>
            <w:r w:rsidRPr="00901D0D">
              <w:rPr>
                <w:rFonts w:eastAsia="Calibri" w:cs="Times New Roman"/>
                <w:b w:val="0"/>
                <w:sz w:val="22"/>
                <w:lang w:val="en-GB"/>
              </w:rPr>
              <w:t>3.</w:t>
            </w:r>
          </w:p>
        </w:tc>
        <w:tc>
          <w:tcPr>
            <w:tcW w:w="680" w:type="dxa"/>
            <w:tcBorders>
              <w:top w:val="single" w:sz="4" w:space="0" w:color="auto"/>
              <w:bottom w:val="single" w:sz="4" w:space="0" w:color="auto"/>
            </w:tcBorders>
            <w:shd w:val="clear" w:color="auto" w:fill="auto"/>
            <w:vAlign w:val="center"/>
          </w:tcPr>
          <w:p w14:paraId="70FDC481" w14:textId="77777777" w:rsidR="006E0065" w:rsidRPr="00901D0D" w:rsidRDefault="006E0065" w:rsidP="006E0065">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sz w:val="22"/>
                <w:lang w:val="en-GB"/>
              </w:rPr>
            </w:pPr>
            <w:r w:rsidRPr="00901D0D">
              <w:rPr>
                <w:rFonts w:eastAsia="Calibri" w:cs="Times New Roman"/>
                <w:b w:val="0"/>
                <w:sz w:val="22"/>
                <w:lang w:val="en-GB"/>
              </w:rPr>
              <w:t>4.</w:t>
            </w:r>
          </w:p>
        </w:tc>
        <w:tc>
          <w:tcPr>
            <w:tcW w:w="624" w:type="dxa"/>
            <w:tcBorders>
              <w:top w:val="single" w:sz="4" w:space="0" w:color="auto"/>
              <w:bottom w:val="single" w:sz="4" w:space="0" w:color="auto"/>
            </w:tcBorders>
            <w:shd w:val="clear" w:color="auto" w:fill="auto"/>
            <w:vAlign w:val="center"/>
          </w:tcPr>
          <w:p w14:paraId="52688791" w14:textId="77777777" w:rsidR="006E0065" w:rsidRPr="00901D0D" w:rsidRDefault="006E0065" w:rsidP="006E0065">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sz w:val="22"/>
                <w:lang w:val="en-GB"/>
              </w:rPr>
            </w:pPr>
            <w:r w:rsidRPr="00901D0D">
              <w:rPr>
                <w:rFonts w:eastAsia="Calibri" w:cs="Times New Roman"/>
                <w:b w:val="0"/>
                <w:sz w:val="22"/>
                <w:lang w:val="en-GB"/>
              </w:rPr>
              <w:t>5.</w:t>
            </w:r>
          </w:p>
        </w:tc>
        <w:tc>
          <w:tcPr>
            <w:tcW w:w="624" w:type="dxa"/>
            <w:tcBorders>
              <w:top w:val="single" w:sz="4" w:space="0" w:color="auto"/>
              <w:bottom w:val="single" w:sz="4" w:space="0" w:color="auto"/>
            </w:tcBorders>
            <w:shd w:val="clear" w:color="auto" w:fill="auto"/>
            <w:vAlign w:val="center"/>
          </w:tcPr>
          <w:p w14:paraId="0F25A583" w14:textId="77777777" w:rsidR="006E0065" w:rsidRPr="00901D0D" w:rsidRDefault="006E0065" w:rsidP="006E0065">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sz w:val="22"/>
                <w:lang w:val="en-GB"/>
              </w:rPr>
            </w:pPr>
            <w:r w:rsidRPr="00901D0D">
              <w:rPr>
                <w:rFonts w:eastAsia="Calibri" w:cs="Times New Roman"/>
                <w:b w:val="0"/>
                <w:sz w:val="22"/>
                <w:lang w:val="en-GB"/>
              </w:rPr>
              <w:t>6.</w:t>
            </w:r>
          </w:p>
        </w:tc>
        <w:tc>
          <w:tcPr>
            <w:tcW w:w="624" w:type="dxa"/>
            <w:tcBorders>
              <w:top w:val="single" w:sz="4" w:space="0" w:color="auto"/>
              <w:bottom w:val="single" w:sz="4" w:space="0" w:color="auto"/>
            </w:tcBorders>
            <w:shd w:val="clear" w:color="auto" w:fill="auto"/>
            <w:vAlign w:val="center"/>
          </w:tcPr>
          <w:p w14:paraId="324B5248" w14:textId="77777777" w:rsidR="006E0065" w:rsidRPr="00901D0D" w:rsidRDefault="006E0065" w:rsidP="006E0065">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sz w:val="22"/>
                <w:lang w:val="en-GB"/>
              </w:rPr>
            </w:pPr>
            <w:r w:rsidRPr="00901D0D">
              <w:rPr>
                <w:rFonts w:eastAsia="Calibri" w:cs="Times New Roman"/>
                <w:b w:val="0"/>
                <w:sz w:val="22"/>
                <w:lang w:val="en-GB"/>
              </w:rPr>
              <w:t>7.</w:t>
            </w:r>
          </w:p>
        </w:tc>
        <w:tc>
          <w:tcPr>
            <w:tcW w:w="624" w:type="dxa"/>
            <w:tcBorders>
              <w:top w:val="single" w:sz="4" w:space="0" w:color="auto"/>
              <w:bottom w:val="single" w:sz="4" w:space="0" w:color="auto"/>
            </w:tcBorders>
            <w:shd w:val="clear" w:color="auto" w:fill="auto"/>
            <w:vAlign w:val="center"/>
          </w:tcPr>
          <w:p w14:paraId="0EA056C5" w14:textId="77777777" w:rsidR="006E0065" w:rsidRPr="00901D0D" w:rsidRDefault="006E0065" w:rsidP="006E0065">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sz w:val="22"/>
                <w:lang w:val="en-GB"/>
              </w:rPr>
            </w:pPr>
            <w:r w:rsidRPr="00901D0D">
              <w:rPr>
                <w:rFonts w:eastAsia="Calibri" w:cs="Times New Roman"/>
                <w:b w:val="0"/>
                <w:sz w:val="22"/>
                <w:lang w:val="en-GB"/>
              </w:rPr>
              <w:t>8.</w:t>
            </w:r>
          </w:p>
        </w:tc>
        <w:tc>
          <w:tcPr>
            <w:tcW w:w="624" w:type="dxa"/>
            <w:tcBorders>
              <w:top w:val="single" w:sz="4" w:space="0" w:color="auto"/>
              <w:bottom w:val="single" w:sz="4" w:space="0" w:color="auto"/>
            </w:tcBorders>
            <w:shd w:val="clear" w:color="auto" w:fill="auto"/>
            <w:vAlign w:val="center"/>
          </w:tcPr>
          <w:p w14:paraId="382D8966" w14:textId="77777777" w:rsidR="006E0065" w:rsidRPr="00901D0D" w:rsidRDefault="006E0065" w:rsidP="006E0065">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sz w:val="22"/>
                <w:lang w:val="en-GB"/>
              </w:rPr>
            </w:pPr>
            <w:r w:rsidRPr="00901D0D">
              <w:rPr>
                <w:rFonts w:eastAsia="Calibri" w:cs="Times New Roman"/>
                <w:b w:val="0"/>
                <w:sz w:val="22"/>
                <w:lang w:val="en-GB"/>
              </w:rPr>
              <w:t>9.</w:t>
            </w:r>
          </w:p>
        </w:tc>
        <w:tc>
          <w:tcPr>
            <w:tcW w:w="624" w:type="dxa"/>
            <w:tcBorders>
              <w:top w:val="single" w:sz="4" w:space="0" w:color="auto"/>
              <w:bottom w:val="single" w:sz="4" w:space="0" w:color="auto"/>
            </w:tcBorders>
            <w:shd w:val="clear" w:color="auto" w:fill="auto"/>
            <w:vAlign w:val="center"/>
          </w:tcPr>
          <w:p w14:paraId="45FCF2FC" w14:textId="77777777" w:rsidR="006E0065" w:rsidRPr="00901D0D" w:rsidRDefault="006E0065" w:rsidP="006E0065">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sz w:val="22"/>
                <w:lang w:val="en-GB"/>
              </w:rPr>
            </w:pPr>
            <w:r w:rsidRPr="00901D0D">
              <w:rPr>
                <w:rFonts w:eastAsia="Calibri" w:cs="Times New Roman"/>
                <w:b w:val="0"/>
                <w:sz w:val="22"/>
                <w:lang w:val="en-GB"/>
              </w:rPr>
              <w:t>10.</w:t>
            </w:r>
          </w:p>
        </w:tc>
        <w:tc>
          <w:tcPr>
            <w:tcW w:w="624" w:type="dxa"/>
            <w:tcBorders>
              <w:top w:val="single" w:sz="4" w:space="0" w:color="auto"/>
              <w:bottom w:val="single" w:sz="4" w:space="0" w:color="auto"/>
            </w:tcBorders>
            <w:shd w:val="clear" w:color="auto" w:fill="auto"/>
            <w:vAlign w:val="center"/>
          </w:tcPr>
          <w:p w14:paraId="14027ABA" w14:textId="77777777" w:rsidR="006E0065" w:rsidRPr="00901D0D" w:rsidRDefault="006E0065" w:rsidP="006E0065">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sz w:val="22"/>
                <w:lang w:val="en-GB"/>
              </w:rPr>
            </w:pPr>
            <w:r w:rsidRPr="00901D0D">
              <w:rPr>
                <w:rFonts w:eastAsia="Calibri" w:cs="Times New Roman"/>
                <w:b w:val="0"/>
                <w:sz w:val="22"/>
                <w:lang w:val="en-GB"/>
              </w:rPr>
              <w:t>11.</w:t>
            </w:r>
          </w:p>
        </w:tc>
        <w:tc>
          <w:tcPr>
            <w:tcW w:w="624" w:type="dxa"/>
            <w:tcBorders>
              <w:top w:val="single" w:sz="4" w:space="0" w:color="auto"/>
              <w:bottom w:val="single" w:sz="4" w:space="0" w:color="auto"/>
            </w:tcBorders>
            <w:shd w:val="clear" w:color="auto" w:fill="auto"/>
            <w:vAlign w:val="center"/>
          </w:tcPr>
          <w:p w14:paraId="3E2AE87E" w14:textId="77777777" w:rsidR="006E0065" w:rsidRPr="00901D0D" w:rsidRDefault="006E0065" w:rsidP="006E0065">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sz w:val="22"/>
                <w:lang w:val="en-GB"/>
              </w:rPr>
            </w:pPr>
            <w:r w:rsidRPr="00901D0D">
              <w:rPr>
                <w:rFonts w:eastAsia="Calibri" w:cs="Times New Roman"/>
                <w:b w:val="0"/>
                <w:sz w:val="22"/>
                <w:lang w:val="en-GB"/>
              </w:rPr>
              <w:t>12.</w:t>
            </w:r>
          </w:p>
        </w:tc>
        <w:tc>
          <w:tcPr>
            <w:tcW w:w="624" w:type="dxa"/>
            <w:tcBorders>
              <w:top w:val="single" w:sz="4" w:space="0" w:color="auto"/>
              <w:bottom w:val="single" w:sz="4" w:space="0" w:color="auto"/>
            </w:tcBorders>
            <w:shd w:val="clear" w:color="auto" w:fill="auto"/>
            <w:vAlign w:val="center"/>
          </w:tcPr>
          <w:p w14:paraId="0F260916" w14:textId="77777777" w:rsidR="006E0065" w:rsidRPr="00901D0D" w:rsidRDefault="006E0065" w:rsidP="006E0065">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sz w:val="22"/>
                <w:lang w:val="en-GB"/>
              </w:rPr>
            </w:pPr>
            <w:r w:rsidRPr="00901D0D">
              <w:rPr>
                <w:rFonts w:eastAsia="Calibri" w:cs="Times New Roman"/>
                <w:b w:val="0"/>
                <w:sz w:val="22"/>
                <w:lang w:val="en-GB"/>
              </w:rPr>
              <w:t>13.</w:t>
            </w:r>
          </w:p>
        </w:tc>
        <w:tc>
          <w:tcPr>
            <w:tcW w:w="624" w:type="dxa"/>
            <w:tcBorders>
              <w:top w:val="single" w:sz="4" w:space="0" w:color="auto"/>
              <w:bottom w:val="single" w:sz="4" w:space="0" w:color="auto"/>
            </w:tcBorders>
            <w:shd w:val="clear" w:color="auto" w:fill="auto"/>
            <w:vAlign w:val="center"/>
          </w:tcPr>
          <w:p w14:paraId="41374644" w14:textId="77777777" w:rsidR="006E0065" w:rsidRPr="00901D0D" w:rsidRDefault="006E0065" w:rsidP="006E0065">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sz w:val="22"/>
                <w:lang w:val="en-GB"/>
              </w:rPr>
            </w:pPr>
            <w:r w:rsidRPr="00901D0D">
              <w:rPr>
                <w:rFonts w:eastAsia="Calibri" w:cs="Times New Roman"/>
                <w:b w:val="0"/>
                <w:sz w:val="22"/>
                <w:lang w:val="en-GB"/>
              </w:rPr>
              <w:t>14.</w:t>
            </w:r>
          </w:p>
        </w:tc>
        <w:tc>
          <w:tcPr>
            <w:tcW w:w="624" w:type="dxa"/>
            <w:tcBorders>
              <w:top w:val="single" w:sz="4" w:space="0" w:color="auto"/>
              <w:bottom w:val="single" w:sz="4" w:space="0" w:color="auto"/>
            </w:tcBorders>
            <w:shd w:val="clear" w:color="auto" w:fill="auto"/>
            <w:vAlign w:val="center"/>
          </w:tcPr>
          <w:p w14:paraId="008F7E2A" w14:textId="77777777" w:rsidR="006E0065" w:rsidRPr="00901D0D" w:rsidRDefault="006E0065" w:rsidP="006E0065">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sz w:val="22"/>
                <w:lang w:val="en-GB"/>
              </w:rPr>
            </w:pPr>
            <w:r w:rsidRPr="00901D0D">
              <w:rPr>
                <w:rFonts w:eastAsia="Calibri" w:cs="Times New Roman"/>
                <w:b w:val="0"/>
                <w:sz w:val="22"/>
                <w:lang w:val="en-GB"/>
              </w:rPr>
              <w:t>15.</w:t>
            </w:r>
          </w:p>
        </w:tc>
        <w:tc>
          <w:tcPr>
            <w:tcW w:w="624" w:type="dxa"/>
            <w:tcBorders>
              <w:top w:val="single" w:sz="4" w:space="0" w:color="auto"/>
              <w:bottom w:val="single" w:sz="4" w:space="0" w:color="auto"/>
            </w:tcBorders>
            <w:shd w:val="clear" w:color="auto" w:fill="auto"/>
            <w:vAlign w:val="center"/>
          </w:tcPr>
          <w:p w14:paraId="1BE7D479" w14:textId="77777777" w:rsidR="006E0065" w:rsidRPr="00901D0D" w:rsidRDefault="006E0065" w:rsidP="006E0065">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sz w:val="22"/>
                <w:lang w:val="en-GB"/>
              </w:rPr>
            </w:pPr>
            <w:r w:rsidRPr="00901D0D">
              <w:rPr>
                <w:rFonts w:eastAsia="Calibri" w:cs="Times New Roman"/>
                <w:b w:val="0"/>
                <w:sz w:val="22"/>
                <w:lang w:val="en-GB"/>
              </w:rPr>
              <w:t>16.</w:t>
            </w:r>
          </w:p>
        </w:tc>
        <w:tc>
          <w:tcPr>
            <w:tcW w:w="624" w:type="dxa"/>
            <w:tcBorders>
              <w:top w:val="single" w:sz="4" w:space="0" w:color="auto"/>
              <w:bottom w:val="single" w:sz="4" w:space="0" w:color="auto"/>
            </w:tcBorders>
            <w:shd w:val="clear" w:color="auto" w:fill="auto"/>
            <w:vAlign w:val="center"/>
          </w:tcPr>
          <w:p w14:paraId="27CED6D0" w14:textId="77777777" w:rsidR="006E0065" w:rsidRPr="00901D0D" w:rsidRDefault="006E0065" w:rsidP="006E0065">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sz w:val="22"/>
                <w:lang w:val="en-GB"/>
              </w:rPr>
            </w:pPr>
            <w:r w:rsidRPr="00901D0D">
              <w:rPr>
                <w:rFonts w:eastAsia="Calibri" w:cs="Times New Roman"/>
                <w:b w:val="0"/>
                <w:sz w:val="22"/>
                <w:lang w:val="en-GB"/>
              </w:rPr>
              <w:t>17.</w:t>
            </w:r>
          </w:p>
        </w:tc>
        <w:tc>
          <w:tcPr>
            <w:tcW w:w="624" w:type="dxa"/>
            <w:tcBorders>
              <w:top w:val="single" w:sz="4" w:space="0" w:color="auto"/>
              <w:bottom w:val="single" w:sz="4" w:space="0" w:color="auto"/>
            </w:tcBorders>
            <w:shd w:val="clear" w:color="auto" w:fill="auto"/>
            <w:vAlign w:val="center"/>
          </w:tcPr>
          <w:p w14:paraId="4513B906" w14:textId="77777777" w:rsidR="006E0065" w:rsidRPr="00901D0D" w:rsidRDefault="006E0065" w:rsidP="006E0065">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sz w:val="22"/>
                <w:lang w:val="en-GB"/>
              </w:rPr>
            </w:pPr>
            <w:r w:rsidRPr="00901D0D">
              <w:rPr>
                <w:rFonts w:eastAsia="Calibri" w:cs="Times New Roman"/>
                <w:b w:val="0"/>
                <w:sz w:val="22"/>
                <w:lang w:val="en-GB"/>
              </w:rPr>
              <w:t>18.</w:t>
            </w:r>
          </w:p>
        </w:tc>
        <w:tc>
          <w:tcPr>
            <w:tcW w:w="510" w:type="dxa"/>
            <w:tcBorders>
              <w:top w:val="single" w:sz="4" w:space="0" w:color="auto"/>
              <w:bottom w:val="single" w:sz="4" w:space="0" w:color="auto"/>
            </w:tcBorders>
            <w:shd w:val="clear" w:color="auto" w:fill="auto"/>
            <w:vAlign w:val="center"/>
          </w:tcPr>
          <w:p w14:paraId="20ADFA01" w14:textId="77777777" w:rsidR="006E0065" w:rsidRPr="00901D0D" w:rsidRDefault="006E0065" w:rsidP="006E0065">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sz w:val="22"/>
                <w:lang w:val="en-GB"/>
              </w:rPr>
            </w:pPr>
            <w:r w:rsidRPr="00901D0D">
              <w:rPr>
                <w:rFonts w:eastAsia="Calibri" w:cs="Times New Roman"/>
                <w:b w:val="0"/>
                <w:sz w:val="22"/>
                <w:lang w:val="en-GB"/>
              </w:rPr>
              <w:t>19.</w:t>
            </w:r>
          </w:p>
        </w:tc>
        <w:tc>
          <w:tcPr>
            <w:tcW w:w="510" w:type="dxa"/>
            <w:tcBorders>
              <w:top w:val="single" w:sz="4" w:space="0" w:color="auto"/>
              <w:bottom w:val="single" w:sz="4" w:space="0" w:color="auto"/>
            </w:tcBorders>
            <w:shd w:val="clear" w:color="auto" w:fill="auto"/>
            <w:vAlign w:val="center"/>
          </w:tcPr>
          <w:p w14:paraId="4D5CB9DA" w14:textId="77777777" w:rsidR="006E0065" w:rsidRPr="00901D0D" w:rsidRDefault="006E0065" w:rsidP="006E0065">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sz w:val="22"/>
                <w:lang w:val="en-GB"/>
              </w:rPr>
            </w:pPr>
            <w:r w:rsidRPr="00901D0D">
              <w:rPr>
                <w:rFonts w:eastAsia="Calibri" w:cs="Times New Roman"/>
                <w:b w:val="0"/>
                <w:sz w:val="22"/>
                <w:lang w:val="en-GB"/>
              </w:rPr>
              <w:t>20.</w:t>
            </w:r>
          </w:p>
        </w:tc>
      </w:tr>
      <w:tr w:rsidR="00BB11BD" w:rsidRPr="00901D0D" w14:paraId="6CB43BE1" w14:textId="77777777" w:rsidTr="00B01C3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vAlign w:val="center"/>
          </w:tcPr>
          <w:p w14:paraId="162DAF4C" w14:textId="7C2C1F65" w:rsidR="00BB11BD" w:rsidRPr="00901D0D" w:rsidRDefault="00BB11BD" w:rsidP="00BB11BD">
            <w:pPr>
              <w:ind w:firstLine="0"/>
              <w:contextualSpacing/>
              <w:rPr>
                <w:rFonts w:eastAsia="Arial" w:cs="Times New Roman"/>
                <w:b w:val="0"/>
                <w:sz w:val="22"/>
                <w:lang w:val="en-GB"/>
              </w:rPr>
            </w:pPr>
            <w:r w:rsidRPr="00901D0D">
              <w:rPr>
                <w:rFonts w:eastAsia="Arial" w:cs="Times New Roman"/>
                <w:b w:val="0"/>
                <w:sz w:val="22"/>
                <w:lang w:val="en-GB"/>
              </w:rPr>
              <w:t>Gambling Attitudes</w:t>
            </w:r>
          </w:p>
        </w:tc>
        <w:tc>
          <w:tcPr>
            <w:tcW w:w="624" w:type="dxa"/>
            <w:shd w:val="clear" w:color="auto" w:fill="auto"/>
            <w:vAlign w:val="center"/>
          </w:tcPr>
          <w:p w14:paraId="71AAAA29" w14:textId="77777777" w:rsidR="00BB11BD" w:rsidRPr="00901D0D" w:rsidRDefault="00BB11BD"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p>
        </w:tc>
        <w:tc>
          <w:tcPr>
            <w:tcW w:w="680" w:type="dxa"/>
            <w:shd w:val="clear" w:color="auto" w:fill="auto"/>
            <w:vAlign w:val="center"/>
          </w:tcPr>
          <w:p w14:paraId="3B4ED68A" w14:textId="77777777" w:rsidR="00BB11BD" w:rsidRPr="00901D0D" w:rsidRDefault="00BB11BD"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p>
        </w:tc>
        <w:tc>
          <w:tcPr>
            <w:tcW w:w="680" w:type="dxa"/>
            <w:shd w:val="clear" w:color="auto" w:fill="auto"/>
            <w:vAlign w:val="center"/>
          </w:tcPr>
          <w:p w14:paraId="5A89387C" w14:textId="77777777" w:rsidR="00BB11BD" w:rsidRPr="00901D0D" w:rsidRDefault="00BB11BD"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p>
        </w:tc>
        <w:tc>
          <w:tcPr>
            <w:tcW w:w="680" w:type="dxa"/>
            <w:shd w:val="clear" w:color="auto" w:fill="auto"/>
            <w:vAlign w:val="center"/>
          </w:tcPr>
          <w:p w14:paraId="5D48CA68" w14:textId="77777777" w:rsidR="00BB11BD" w:rsidRPr="00901D0D" w:rsidRDefault="00BB11BD"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p>
        </w:tc>
        <w:tc>
          <w:tcPr>
            <w:tcW w:w="624" w:type="dxa"/>
            <w:shd w:val="clear" w:color="auto" w:fill="auto"/>
            <w:vAlign w:val="center"/>
          </w:tcPr>
          <w:p w14:paraId="4C89DE0F" w14:textId="77777777" w:rsidR="00BB11BD" w:rsidRPr="00901D0D" w:rsidRDefault="00BB11BD"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p>
        </w:tc>
        <w:tc>
          <w:tcPr>
            <w:tcW w:w="624" w:type="dxa"/>
            <w:shd w:val="clear" w:color="auto" w:fill="auto"/>
            <w:vAlign w:val="center"/>
          </w:tcPr>
          <w:p w14:paraId="6018BCF7" w14:textId="77777777" w:rsidR="00BB11BD" w:rsidRPr="00901D0D" w:rsidRDefault="00BB11BD"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p>
        </w:tc>
        <w:tc>
          <w:tcPr>
            <w:tcW w:w="624" w:type="dxa"/>
            <w:shd w:val="clear" w:color="auto" w:fill="auto"/>
            <w:vAlign w:val="center"/>
          </w:tcPr>
          <w:p w14:paraId="30162F91" w14:textId="77777777" w:rsidR="00BB11BD" w:rsidRPr="00901D0D" w:rsidRDefault="00BB11BD"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p>
        </w:tc>
        <w:tc>
          <w:tcPr>
            <w:tcW w:w="624" w:type="dxa"/>
            <w:shd w:val="clear" w:color="auto" w:fill="auto"/>
            <w:vAlign w:val="center"/>
          </w:tcPr>
          <w:p w14:paraId="5E2B8D5D" w14:textId="77777777" w:rsidR="00BB11BD" w:rsidRPr="00901D0D" w:rsidRDefault="00BB11BD"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p>
        </w:tc>
        <w:tc>
          <w:tcPr>
            <w:tcW w:w="624" w:type="dxa"/>
            <w:shd w:val="clear" w:color="auto" w:fill="auto"/>
            <w:vAlign w:val="center"/>
          </w:tcPr>
          <w:p w14:paraId="47DB11C2" w14:textId="77777777" w:rsidR="00BB11BD" w:rsidRPr="00901D0D" w:rsidRDefault="00BB11BD"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p>
        </w:tc>
        <w:tc>
          <w:tcPr>
            <w:tcW w:w="624" w:type="dxa"/>
            <w:shd w:val="clear" w:color="auto" w:fill="auto"/>
            <w:vAlign w:val="center"/>
          </w:tcPr>
          <w:p w14:paraId="3A452BAC" w14:textId="77777777" w:rsidR="00BB11BD" w:rsidRPr="00901D0D" w:rsidRDefault="00BB11BD"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p>
        </w:tc>
        <w:tc>
          <w:tcPr>
            <w:tcW w:w="624" w:type="dxa"/>
            <w:shd w:val="clear" w:color="auto" w:fill="auto"/>
            <w:vAlign w:val="center"/>
          </w:tcPr>
          <w:p w14:paraId="0AA94A6B" w14:textId="77777777" w:rsidR="00BB11BD" w:rsidRPr="00901D0D" w:rsidRDefault="00BB11BD"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1B9891B0" w14:textId="77777777" w:rsidR="00BB11BD" w:rsidRPr="00901D0D" w:rsidRDefault="00BB11BD"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4719C3DC" w14:textId="77777777" w:rsidR="00BB11BD" w:rsidRPr="00901D0D" w:rsidRDefault="00BB11BD"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427BAE3B" w14:textId="77777777" w:rsidR="00BB11BD" w:rsidRPr="00901D0D" w:rsidRDefault="00BB11BD"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1DD7E913" w14:textId="77777777" w:rsidR="00BB11BD" w:rsidRPr="00901D0D" w:rsidRDefault="00BB11BD"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7F1536FF" w14:textId="77777777" w:rsidR="00BB11BD" w:rsidRPr="00901D0D" w:rsidRDefault="00BB11BD"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6BEBBE35" w14:textId="77777777" w:rsidR="00BB11BD" w:rsidRPr="00901D0D" w:rsidRDefault="00BB11BD"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4DECF4E8" w14:textId="77777777" w:rsidR="00BB11BD" w:rsidRPr="00901D0D" w:rsidRDefault="00BB11BD"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510" w:type="dxa"/>
            <w:shd w:val="clear" w:color="auto" w:fill="auto"/>
            <w:vAlign w:val="center"/>
          </w:tcPr>
          <w:p w14:paraId="167C59A7" w14:textId="77777777" w:rsidR="00BB11BD" w:rsidRPr="00901D0D" w:rsidRDefault="00BB11BD"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510" w:type="dxa"/>
            <w:shd w:val="clear" w:color="auto" w:fill="auto"/>
            <w:vAlign w:val="center"/>
          </w:tcPr>
          <w:p w14:paraId="3B880853" w14:textId="77777777" w:rsidR="00BB11BD" w:rsidRPr="00901D0D" w:rsidRDefault="00BB11BD"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r>
      <w:tr w:rsidR="0067541E" w:rsidRPr="00901D0D" w14:paraId="704688A5" w14:textId="1E7E1456" w:rsidTr="00B01C37">
        <w:trPr>
          <w:trHeight w:val="20"/>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vAlign w:val="center"/>
          </w:tcPr>
          <w:p w14:paraId="0E0E3992" w14:textId="697126E6" w:rsidR="0067541E" w:rsidRPr="00901D0D" w:rsidRDefault="0067541E" w:rsidP="0067541E">
            <w:pPr>
              <w:numPr>
                <w:ilvl w:val="0"/>
                <w:numId w:val="21"/>
              </w:numPr>
              <w:contextualSpacing/>
              <w:rPr>
                <w:rFonts w:eastAsia="Arial" w:cs="Times New Roman"/>
                <w:b w:val="0"/>
                <w:sz w:val="22"/>
                <w:lang w:val="en-GB"/>
              </w:rPr>
            </w:pPr>
            <w:r w:rsidRPr="00901D0D">
              <w:rPr>
                <w:rFonts w:eastAsia="Arial" w:cs="Times New Roman"/>
                <w:b w:val="0"/>
                <w:sz w:val="22"/>
                <w:lang w:val="en-GB"/>
              </w:rPr>
              <w:t>Overall Gambling</w:t>
            </w:r>
          </w:p>
        </w:tc>
        <w:tc>
          <w:tcPr>
            <w:tcW w:w="624" w:type="dxa"/>
            <w:shd w:val="clear" w:color="auto" w:fill="auto"/>
            <w:vAlign w:val="center"/>
          </w:tcPr>
          <w:p w14:paraId="52C356DA" w14:textId="32896810" w:rsidR="0067541E" w:rsidRPr="00901D0D" w:rsidRDefault="00951509"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.04</w:t>
            </w:r>
          </w:p>
        </w:tc>
        <w:tc>
          <w:tcPr>
            <w:tcW w:w="680" w:type="dxa"/>
            <w:shd w:val="clear" w:color="auto" w:fill="auto"/>
            <w:vAlign w:val="center"/>
          </w:tcPr>
          <w:p w14:paraId="2AE7C79B" w14:textId="4198C4F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-.0</w:t>
            </w:r>
            <w:r w:rsidR="00951509" w:rsidRPr="00901D0D">
              <w:rPr>
                <w:rFonts w:cs="Times New Roman"/>
                <w:sz w:val="20"/>
                <w:szCs w:val="20"/>
                <w:lang w:val="en-GB"/>
              </w:rPr>
              <w:t>5</w:t>
            </w:r>
          </w:p>
        </w:tc>
        <w:tc>
          <w:tcPr>
            <w:tcW w:w="680" w:type="dxa"/>
            <w:shd w:val="clear" w:color="auto" w:fill="auto"/>
            <w:vAlign w:val="center"/>
          </w:tcPr>
          <w:p w14:paraId="18E15A0E" w14:textId="6C9F70EF"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-.05</w:t>
            </w:r>
          </w:p>
        </w:tc>
        <w:tc>
          <w:tcPr>
            <w:tcW w:w="680" w:type="dxa"/>
            <w:shd w:val="clear" w:color="auto" w:fill="auto"/>
            <w:vAlign w:val="center"/>
          </w:tcPr>
          <w:p w14:paraId="18488F46" w14:textId="7EACA389" w:rsidR="0067541E" w:rsidRPr="00901D0D" w:rsidRDefault="00951509"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w:t>
            </w:r>
            <w:r w:rsidR="0067541E" w:rsidRPr="00901D0D">
              <w:rPr>
                <w:rFonts w:cs="Times New Roman"/>
                <w:sz w:val="20"/>
                <w:szCs w:val="20"/>
                <w:lang w:val="en-GB"/>
              </w:rPr>
              <w:t>.07</w:t>
            </w:r>
          </w:p>
        </w:tc>
        <w:tc>
          <w:tcPr>
            <w:tcW w:w="624" w:type="dxa"/>
            <w:shd w:val="clear" w:color="auto" w:fill="auto"/>
            <w:vAlign w:val="center"/>
          </w:tcPr>
          <w:p w14:paraId="32AD2F25" w14:textId="42CE43C2"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.2</w:t>
            </w:r>
            <w:r w:rsidR="00951509" w:rsidRPr="00901D0D">
              <w:rPr>
                <w:rFonts w:cs="Times New Roman"/>
                <w:sz w:val="20"/>
                <w:szCs w:val="20"/>
                <w:lang w:val="en-GB"/>
              </w:rPr>
              <w:t>6</w:t>
            </w:r>
            <w:r w:rsidRPr="00901D0D">
              <w:rPr>
                <w:rFonts w:cs="Times New Roman"/>
                <w:color w:val="000000"/>
                <w:sz w:val="20"/>
                <w:szCs w:val="20"/>
                <w:vertAlign w:val="superscript"/>
                <w:lang w:val="en-GB"/>
              </w:rPr>
              <w:t>*</w:t>
            </w:r>
            <w:r w:rsidR="00951509"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p>
        </w:tc>
        <w:tc>
          <w:tcPr>
            <w:tcW w:w="624" w:type="dxa"/>
            <w:shd w:val="clear" w:color="auto" w:fill="auto"/>
            <w:vAlign w:val="center"/>
          </w:tcPr>
          <w:p w14:paraId="38F6798E" w14:textId="4D8384EF"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28</w:t>
            </w:r>
            <w:r w:rsidRPr="00901D0D">
              <w:rPr>
                <w:rFonts w:cs="Times New Roman"/>
                <w:color w:val="000000"/>
                <w:sz w:val="20"/>
                <w:szCs w:val="20"/>
                <w:vertAlign w:val="superscript"/>
                <w:lang w:val="en-GB"/>
              </w:rPr>
              <w:t>*</w:t>
            </w:r>
            <w:r w:rsidR="00951509"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p>
        </w:tc>
        <w:tc>
          <w:tcPr>
            <w:tcW w:w="624" w:type="dxa"/>
            <w:shd w:val="clear" w:color="auto" w:fill="auto"/>
            <w:vAlign w:val="center"/>
          </w:tcPr>
          <w:p w14:paraId="62A211A1" w14:textId="459D85AE" w:rsidR="0067541E" w:rsidRPr="00901D0D" w:rsidRDefault="00951509"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.15</w:t>
            </w:r>
            <w:r w:rsidR="0067541E" w:rsidRPr="00901D0D">
              <w:rPr>
                <w:rFonts w:cs="Times New Roman"/>
                <w:color w:val="000000"/>
                <w:sz w:val="20"/>
                <w:szCs w:val="20"/>
                <w:vertAlign w:val="superscript"/>
                <w:lang w:val="en-GB"/>
              </w:rPr>
              <w:t>*</w:t>
            </w:r>
          </w:p>
        </w:tc>
        <w:tc>
          <w:tcPr>
            <w:tcW w:w="624" w:type="dxa"/>
            <w:shd w:val="clear" w:color="auto" w:fill="auto"/>
            <w:vAlign w:val="center"/>
          </w:tcPr>
          <w:p w14:paraId="7E8B2D8B" w14:textId="661250D3"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.27</w:t>
            </w:r>
            <w:r w:rsidRPr="00901D0D">
              <w:rPr>
                <w:rFonts w:cs="Times New Roman"/>
                <w:color w:val="000000"/>
                <w:sz w:val="20"/>
                <w:szCs w:val="20"/>
                <w:vertAlign w:val="superscript"/>
                <w:lang w:val="en-GB"/>
              </w:rPr>
              <w:t>*</w:t>
            </w:r>
            <w:r w:rsidR="00951509"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p>
        </w:tc>
        <w:tc>
          <w:tcPr>
            <w:tcW w:w="624" w:type="dxa"/>
            <w:shd w:val="clear" w:color="auto" w:fill="auto"/>
            <w:vAlign w:val="center"/>
          </w:tcPr>
          <w:p w14:paraId="3C5F2874" w14:textId="7E396A20"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22</w:t>
            </w:r>
            <w:r w:rsidRPr="00901D0D">
              <w:rPr>
                <w:rFonts w:cs="Times New Roman"/>
                <w:color w:val="000000"/>
                <w:sz w:val="20"/>
                <w:szCs w:val="20"/>
                <w:vertAlign w:val="superscript"/>
                <w:lang w:val="en-GB"/>
              </w:rPr>
              <w:t>*</w:t>
            </w:r>
            <w:r w:rsidR="00951509"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p>
        </w:tc>
        <w:tc>
          <w:tcPr>
            <w:tcW w:w="624" w:type="dxa"/>
            <w:shd w:val="clear" w:color="auto" w:fill="auto"/>
            <w:vAlign w:val="center"/>
          </w:tcPr>
          <w:p w14:paraId="299FC6D4" w14:textId="5533FCA5"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.33</w:t>
            </w:r>
            <w:r w:rsidRPr="00901D0D">
              <w:rPr>
                <w:rFonts w:cs="Times New Roman"/>
                <w:color w:val="000000"/>
                <w:sz w:val="20"/>
                <w:szCs w:val="20"/>
                <w:vertAlign w:val="superscript"/>
                <w:lang w:val="en-GB"/>
              </w:rPr>
              <w:t>*</w:t>
            </w:r>
            <w:r w:rsidR="00951509"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p>
        </w:tc>
        <w:tc>
          <w:tcPr>
            <w:tcW w:w="624" w:type="dxa"/>
            <w:shd w:val="clear" w:color="auto" w:fill="auto"/>
            <w:vAlign w:val="center"/>
          </w:tcPr>
          <w:p w14:paraId="719B80F0" w14:textId="50F0F70B"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75AE73CA" w14:textId="4742421A"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409D0F48"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64602395"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5741F095"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17B75BB9"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4AA7EBCE"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27159D1A"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510" w:type="dxa"/>
            <w:shd w:val="clear" w:color="auto" w:fill="auto"/>
            <w:vAlign w:val="center"/>
          </w:tcPr>
          <w:p w14:paraId="11D0CD34"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510" w:type="dxa"/>
            <w:shd w:val="clear" w:color="auto" w:fill="auto"/>
            <w:vAlign w:val="center"/>
          </w:tcPr>
          <w:p w14:paraId="65DEF0AC" w14:textId="0A058BCC"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r>
      <w:tr w:rsidR="0067541E" w:rsidRPr="00901D0D" w14:paraId="26F8D152" w14:textId="34C3D0A0" w:rsidTr="00B01C3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vAlign w:val="center"/>
          </w:tcPr>
          <w:p w14:paraId="1F8CDCE8" w14:textId="34EE3619" w:rsidR="0067541E" w:rsidRPr="00901D0D" w:rsidRDefault="0067541E" w:rsidP="0067541E">
            <w:pPr>
              <w:numPr>
                <w:ilvl w:val="0"/>
                <w:numId w:val="21"/>
              </w:numPr>
              <w:contextualSpacing/>
              <w:rPr>
                <w:rFonts w:eastAsia="Arial" w:cs="Times New Roman"/>
                <w:b w:val="0"/>
                <w:sz w:val="22"/>
                <w:lang w:val="en-GB"/>
              </w:rPr>
            </w:pPr>
            <w:r w:rsidRPr="00901D0D">
              <w:rPr>
                <w:rFonts w:eastAsia="Arial" w:cs="Times New Roman"/>
                <w:b w:val="0"/>
                <w:sz w:val="22"/>
                <w:lang w:val="en-GB"/>
              </w:rPr>
              <w:t xml:space="preserve"> General</w:t>
            </w:r>
          </w:p>
        </w:tc>
        <w:tc>
          <w:tcPr>
            <w:tcW w:w="624" w:type="dxa"/>
            <w:shd w:val="clear" w:color="auto" w:fill="auto"/>
            <w:vAlign w:val="center"/>
          </w:tcPr>
          <w:p w14:paraId="7A036122" w14:textId="6AA603FC" w:rsidR="0067541E" w:rsidRPr="00901D0D" w:rsidRDefault="00951509"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.05</w:t>
            </w:r>
          </w:p>
        </w:tc>
        <w:tc>
          <w:tcPr>
            <w:tcW w:w="680" w:type="dxa"/>
            <w:shd w:val="clear" w:color="auto" w:fill="auto"/>
            <w:vAlign w:val="center"/>
          </w:tcPr>
          <w:p w14:paraId="6EB23FAC" w14:textId="6704B31C"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.02</w:t>
            </w:r>
          </w:p>
        </w:tc>
        <w:tc>
          <w:tcPr>
            <w:tcW w:w="680" w:type="dxa"/>
            <w:shd w:val="clear" w:color="auto" w:fill="auto"/>
            <w:vAlign w:val="center"/>
          </w:tcPr>
          <w:p w14:paraId="4741A019" w14:textId="47A95291"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.11</w:t>
            </w:r>
          </w:p>
        </w:tc>
        <w:tc>
          <w:tcPr>
            <w:tcW w:w="680" w:type="dxa"/>
            <w:shd w:val="clear" w:color="auto" w:fill="auto"/>
            <w:vAlign w:val="center"/>
          </w:tcPr>
          <w:p w14:paraId="3BA7A73D" w14:textId="78559C4D"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-.12</w:t>
            </w:r>
          </w:p>
        </w:tc>
        <w:tc>
          <w:tcPr>
            <w:tcW w:w="624" w:type="dxa"/>
            <w:shd w:val="clear" w:color="auto" w:fill="auto"/>
            <w:vAlign w:val="center"/>
          </w:tcPr>
          <w:p w14:paraId="29C7A5EE" w14:textId="67ADA622"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26</w:t>
            </w:r>
            <w:r w:rsidRPr="00901D0D">
              <w:rPr>
                <w:rFonts w:cs="Times New Roman"/>
                <w:color w:val="000000"/>
                <w:sz w:val="20"/>
                <w:szCs w:val="20"/>
                <w:vertAlign w:val="superscript"/>
                <w:lang w:val="en-GB"/>
              </w:rPr>
              <w:t>*</w:t>
            </w:r>
            <w:r w:rsidR="00951509"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p>
        </w:tc>
        <w:tc>
          <w:tcPr>
            <w:tcW w:w="624" w:type="dxa"/>
            <w:shd w:val="clear" w:color="auto" w:fill="auto"/>
            <w:vAlign w:val="center"/>
          </w:tcPr>
          <w:p w14:paraId="6B355BF9" w14:textId="667CDC02"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.2</w:t>
            </w:r>
            <w:r w:rsidR="00951509" w:rsidRPr="00901D0D">
              <w:rPr>
                <w:rFonts w:cs="Times New Roman"/>
                <w:sz w:val="20"/>
                <w:szCs w:val="20"/>
                <w:lang w:val="en-GB"/>
              </w:rPr>
              <w:t>9</w:t>
            </w:r>
            <w:r w:rsidRPr="00901D0D">
              <w:rPr>
                <w:rFonts w:cs="Times New Roman"/>
                <w:color w:val="000000"/>
                <w:sz w:val="20"/>
                <w:szCs w:val="20"/>
                <w:vertAlign w:val="superscript"/>
                <w:lang w:val="en-GB"/>
              </w:rPr>
              <w:t>*</w:t>
            </w:r>
            <w:r w:rsidR="00951509"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p>
        </w:tc>
        <w:tc>
          <w:tcPr>
            <w:tcW w:w="624" w:type="dxa"/>
            <w:shd w:val="clear" w:color="auto" w:fill="auto"/>
            <w:vAlign w:val="center"/>
          </w:tcPr>
          <w:p w14:paraId="7916485A" w14:textId="6CBB3BDA"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16</w:t>
            </w:r>
            <w:r w:rsidRPr="00901D0D">
              <w:rPr>
                <w:rFonts w:cs="Times New Roman"/>
                <w:color w:val="000000"/>
                <w:sz w:val="20"/>
                <w:szCs w:val="20"/>
                <w:vertAlign w:val="superscript"/>
                <w:lang w:val="en-GB"/>
              </w:rPr>
              <w:t>*</w:t>
            </w:r>
          </w:p>
        </w:tc>
        <w:tc>
          <w:tcPr>
            <w:tcW w:w="624" w:type="dxa"/>
            <w:shd w:val="clear" w:color="auto" w:fill="auto"/>
            <w:vAlign w:val="center"/>
          </w:tcPr>
          <w:p w14:paraId="66E2B049" w14:textId="5434F21C" w:rsidR="0067541E" w:rsidRPr="00901D0D" w:rsidRDefault="00951509"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.27</w:t>
            </w:r>
            <w:r w:rsidR="0067541E"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r w:rsidR="0067541E" w:rsidRPr="00901D0D">
              <w:rPr>
                <w:rFonts w:cs="Times New Roman"/>
                <w:color w:val="000000"/>
                <w:sz w:val="20"/>
                <w:szCs w:val="20"/>
                <w:vertAlign w:val="superscript"/>
                <w:lang w:val="en-GB"/>
              </w:rPr>
              <w:t>*</w:t>
            </w:r>
          </w:p>
        </w:tc>
        <w:tc>
          <w:tcPr>
            <w:tcW w:w="624" w:type="dxa"/>
            <w:shd w:val="clear" w:color="auto" w:fill="auto"/>
            <w:vAlign w:val="center"/>
          </w:tcPr>
          <w:p w14:paraId="2191C9A5" w14:textId="2534D467" w:rsidR="0067541E" w:rsidRPr="00901D0D" w:rsidRDefault="00951509"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.24</w:t>
            </w:r>
            <w:r w:rsidR="0067541E"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r w:rsidR="0067541E" w:rsidRPr="00901D0D">
              <w:rPr>
                <w:rFonts w:cs="Times New Roman"/>
                <w:color w:val="000000"/>
                <w:sz w:val="20"/>
                <w:szCs w:val="20"/>
                <w:vertAlign w:val="superscript"/>
                <w:lang w:val="en-GB"/>
              </w:rPr>
              <w:t>*</w:t>
            </w:r>
          </w:p>
        </w:tc>
        <w:tc>
          <w:tcPr>
            <w:tcW w:w="624" w:type="dxa"/>
            <w:shd w:val="clear" w:color="auto" w:fill="auto"/>
            <w:vAlign w:val="center"/>
          </w:tcPr>
          <w:p w14:paraId="70F192B5" w14:textId="3EB8EB3C" w:rsidR="0067541E" w:rsidRPr="00901D0D" w:rsidRDefault="00951509"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.33</w:t>
            </w:r>
            <w:r w:rsidR="0067541E"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r w:rsidR="0067541E" w:rsidRPr="00901D0D">
              <w:rPr>
                <w:rFonts w:cs="Times New Roman"/>
                <w:color w:val="000000"/>
                <w:sz w:val="20"/>
                <w:szCs w:val="20"/>
                <w:vertAlign w:val="superscript"/>
                <w:lang w:val="en-GB"/>
              </w:rPr>
              <w:t>*</w:t>
            </w:r>
          </w:p>
        </w:tc>
        <w:tc>
          <w:tcPr>
            <w:tcW w:w="624" w:type="dxa"/>
            <w:shd w:val="clear" w:color="auto" w:fill="auto"/>
            <w:vAlign w:val="center"/>
          </w:tcPr>
          <w:p w14:paraId="7E962CCD" w14:textId="02905C2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.95</w:t>
            </w:r>
            <w:r w:rsidRPr="00901D0D">
              <w:rPr>
                <w:rFonts w:cs="Times New Roman"/>
                <w:color w:val="000000"/>
                <w:sz w:val="20"/>
                <w:szCs w:val="20"/>
                <w:vertAlign w:val="superscript"/>
                <w:lang w:val="en-GB"/>
              </w:rPr>
              <w:t>*</w:t>
            </w:r>
            <w:r w:rsidR="00951509"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p>
        </w:tc>
        <w:tc>
          <w:tcPr>
            <w:tcW w:w="624" w:type="dxa"/>
            <w:shd w:val="clear" w:color="auto" w:fill="auto"/>
            <w:vAlign w:val="center"/>
          </w:tcPr>
          <w:p w14:paraId="6241A8D6"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0BF6F708"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1C6FA6DB"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0260D4D6"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57D1CED6"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62AF1985"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338B1427"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510" w:type="dxa"/>
            <w:shd w:val="clear" w:color="auto" w:fill="auto"/>
            <w:vAlign w:val="center"/>
          </w:tcPr>
          <w:p w14:paraId="176D3614"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510" w:type="dxa"/>
            <w:shd w:val="clear" w:color="auto" w:fill="auto"/>
            <w:vAlign w:val="center"/>
          </w:tcPr>
          <w:p w14:paraId="5727514E" w14:textId="125D114B"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r>
      <w:tr w:rsidR="0067541E" w:rsidRPr="00901D0D" w14:paraId="0A422445" w14:textId="1A670C9B" w:rsidTr="00B01C37">
        <w:trPr>
          <w:trHeight w:val="20"/>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vAlign w:val="center"/>
          </w:tcPr>
          <w:p w14:paraId="19B65EB0" w14:textId="698C624F" w:rsidR="0067541E" w:rsidRPr="00901D0D" w:rsidRDefault="0067541E" w:rsidP="0067541E">
            <w:pPr>
              <w:numPr>
                <w:ilvl w:val="0"/>
                <w:numId w:val="21"/>
              </w:numPr>
              <w:contextualSpacing/>
              <w:rPr>
                <w:rFonts w:eastAsia="Arial" w:cs="Times New Roman"/>
                <w:b w:val="0"/>
                <w:sz w:val="22"/>
                <w:lang w:val="en-GB"/>
              </w:rPr>
            </w:pPr>
            <w:r w:rsidRPr="00901D0D">
              <w:rPr>
                <w:rFonts w:eastAsia="Arial" w:cs="Times New Roman"/>
                <w:b w:val="0"/>
                <w:sz w:val="22"/>
                <w:lang w:val="en-GB"/>
              </w:rPr>
              <w:t xml:space="preserve"> Casino</w:t>
            </w:r>
          </w:p>
        </w:tc>
        <w:tc>
          <w:tcPr>
            <w:tcW w:w="624" w:type="dxa"/>
            <w:shd w:val="clear" w:color="auto" w:fill="auto"/>
            <w:vAlign w:val="center"/>
          </w:tcPr>
          <w:p w14:paraId="045B56B7" w14:textId="0C6148DA" w:rsidR="0067541E" w:rsidRPr="00901D0D" w:rsidRDefault="00951509"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.02</w:t>
            </w:r>
          </w:p>
        </w:tc>
        <w:tc>
          <w:tcPr>
            <w:tcW w:w="680" w:type="dxa"/>
            <w:shd w:val="clear" w:color="auto" w:fill="auto"/>
            <w:vAlign w:val="center"/>
          </w:tcPr>
          <w:p w14:paraId="3F1A569D" w14:textId="6073A509"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.01</w:t>
            </w:r>
          </w:p>
        </w:tc>
        <w:tc>
          <w:tcPr>
            <w:tcW w:w="680" w:type="dxa"/>
            <w:shd w:val="clear" w:color="auto" w:fill="auto"/>
            <w:vAlign w:val="center"/>
          </w:tcPr>
          <w:p w14:paraId="70799E59" w14:textId="0F0C3E22" w:rsidR="0067541E" w:rsidRPr="00901D0D" w:rsidRDefault="00951509"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.00</w:t>
            </w:r>
          </w:p>
        </w:tc>
        <w:tc>
          <w:tcPr>
            <w:tcW w:w="680" w:type="dxa"/>
            <w:shd w:val="clear" w:color="auto" w:fill="auto"/>
            <w:vAlign w:val="center"/>
          </w:tcPr>
          <w:p w14:paraId="04BCA9F5" w14:textId="5C5EA2B5" w:rsidR="0067541E" w:rsidRPr="00901D0D" w:rsidRDefault="00951509"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-.02</w:t>
            </w:r>
          </w:p>
        </w:tc>
        <w:tc>
          <w:tcPr>
            <w:tcW w:w="624" w:type="dxa"/>
            <w:shd w:val="clear" w:color="auto" w:fill="auto"/>
            <w:vAlign w:val="center"/>
          </w:tcPr>
          <w:p w14:paraId="54D0C597" w14:textId="0BCB63B6"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.22</w:t>
            </w:r>
            <w:r w:rsidRPr="00901D0D">
              <w:rPr>
                <w:rFonts w:cs="Times New Roman"/>
                <w:color w:val="000000"/>
                <w:sz w:val="20"/>
                <w:szCs w:val="20"/>
                <w:vertAlign w:val="superscript"/>
                <w:lang w:val="en-GB"/>
              </w:rPr>
              <w:t>**</w:t>
            </w:r>
          </w:p>
        </w:tc>
        <w:tc>
          <w:tcPr>
            <w:tcW w:w="624" w:type="dxa"/>
            <w:shd w:val="clear" w:color="auto" w:fill="auto"/>
            <w:vAlign w:val="center"/>
          </w:tcPr>
          <w:p w14:paraId="6839046D" w14:textId="20C0B238"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22</w:t>
            </w:r>
            <w:r w:rsidRPr="00901D0D">
              <w:rPr>
                <w:rFonts w:cs="Times New Roman"/>
                <w:color w:val="000000"/>
                <w:sz w:val="20"/>
                <w:szCs w:val="20"/>
                <w:vertAlign w:val="superscript"/>
                <w:lang w:val="en-GB"/>
              </w:rPr>
              <w:t>**</w:t>
            </w:r>
          </w:p>
        </w:tc>
        <w:tc>
          <w:tcPr>
            <w:tcW w:w="624" w:type="dxa"/>
            <w:shd w:val="clear" w:color="auto" w:fill="auto"/>
            <w:vAlign w:val="center"/>
          </w:tcPr>
          <w:p w14:paraId="6E6BA9E1" w14:textId="5DB74EA1"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.04</w:t>
            </w:r>
          </w:p>
        </w:tc>
        <w:tc>
          <w:tcPr>
            <w:tcW w:w="624" w:type="dxa"/>
            <w:shd w:val="clear" w:color="auto" w:fill="auto"/>
            <w:vAlign w:val="center"/>
          </w:tcPr>
          <w:p w14:paraId="3361063D" w14:textId="705144AA"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.2</w:t>
            </w:r>
            <w:r w:rsidR="00951509" w:rsidRPr="00901D0D">
              <w:rPr>
                <w:rFonts w:cs="Times New Roman"/>
                <w:sz w:val="20"/>
                <w:szCs w:val="20"/>
                <w:lang w:val="en-GB"/>
              </w:rPr>
              <w:t>5</w:t>
            </w:r>
            <w:r w:rsidRPr="00901D0D">
              <w:rPr>
                <w:rFonts w:cs="Times New Roman"/>
                <w:color w:val="000000"/>
                <w:sz w:val="20"/>
                <w:szCs w:val="20"/>
                <w:vertAlign w:val="superscript"/>
                <w:lang w:val="en-GB"/>
              </w:rPr>
              <w:t>*</w:t>
            </w:r>
            <w:r w:rsidR="00951509"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p>
        </w:tc>
        <w:tc>
          <w:tcPr>
            <w:tcW w:w="624" w:type="dxa"/>
            <w:shd w:val="clear" w:color="auto" w:fill="auto"/>
            <w:vAlign w:val="center"/>
          </w:tcPr>
          <w:p w14:paraId="2C392269" w14:textId="76C53919"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.19</w:t>
            </w:r>
            <w:r w:rsidRPr="00901D0D">
              <w:rPr>
                <w:rFonts w:cs="Times New Roman"/>
                <w:color w:val="000000"/>
                <w:sz w:val="20"/>
                <w:szCs w:val="20"/>
                <w:vertAlign w:val="superscript"/>
                <w:lang w:val="en-GB"/>
              </w:rPr>
              <w:t>*</w:t>
            </w:r>
          </w:p>
        </w:tc>
        <w:tc>
          <w:tcPr>
            <w:tcW w:w="624" w:type="dxa"/>
            <w:shd w:val="clear" w:color="auto" w:fill="auto"/>
            <w:vAlign w:val="center"/>
          </w:tcPr>
          <w:p w14:paraId="26E9DE3A" w14:textId="47C532DF"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.30</w:t>
            </w:r>
            <w:r w:rsidRPr="00901D0D">
              <w:rPr>
                <w:rFonts w:cs="Times New Roman"/>
                <w:color w:val="000000"/>
                <w:sz w:val="20"/>
                <w:szCs w:val="20"/>
                <w:vertAlign w:val="superscript"/>
                <w:lang w:val="en-GB"/>
              </w:rPr>
              <w:t>*</w:t>
            </w:r>
            <w:r w:rsidR="00951509"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p>
        </w:tc>
        <w:tc>
          <w:tcPr>
            <w:tcW w:w="624" w:type="dxa"/>
            <w:shd w:val="clear" w:color="auto" w:fill="auto"/>
            <w:vAlign w:val="center"/>
          </w:tcPr>
          <w:p w14:paraId="74FF26DE" w14:textId="3F2CF82E"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94</w:t>
            </w:r>
            <w:r w:rsidRPr="00901D0D">
              <w:rPr>
                <w:rFonts w:cs="Times New Roman"/>
                <w:color w:val="000000"/>
                <w:sz w:val="20"/>
                <w:szCs w:val="20"/>
                <w:vertAlign w:val="superscript"/>
                <w:lang w:val="en-GB"/>
              </w:rPr>
              <w:t>*</w:t>
            </w:r>
            <w:r w:rsidR="00951509"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p>
        </w:tc>
        <w:tc>
          <w:tcPr>
            <w:tcW w:w="624" w:type="dxa"/>
            <w:shd w:val="clear" w:color="auto" w:fill="auto"/>
            <w:vAlign w:val="center"/>
          </w:tcPr>
          <w:p w14:paraId="7B82FDA5" w14:textId="6CFF78BA" w:rsidR="0067541E" w:rsidRPr="00901D0D" w:rsidRDefault="00951509"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.92</w:t>
            </w:r>
            <w:r w:rsidR="0067541E"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r w:rsidR="0067541E" w:rsidRPr="00901D0D">
              <w:rPr>
                <w:rFonts w:cs="Times New Roman"/>
                <w:color w:val="000000"/>
                <w:sz w:val="20"/>
                <w:szCs w:val="20"/>
                <w:vertAlign w:val="superscript"/>
                <w:lang w:val="en-GB"/>
              </w:rPr>
              <w:t>*</w:t>
            </w:r>
          </w:p>
        </w:tc>
        <w:tc>
          <w:tcPr>
            <w:tcW w:w="624" w:type="dxa"/>
            <w:shd w:val="clear" w:color="auto" w:fill="auto"/>
            <w:vAlign w:val="center"/>
          </w:tcPr>
          <w:p w14:paraId="6B498B77"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7F783D0D"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42CB206C"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05A79D17"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3B89D9FB"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44F9246A"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510" w:type="dxa"/>
            <w:shd w:val="clear" w:color="auto" w:fill="auto"/>
            <w:vAlign w:val="center"/>
          </w:tcPr>
          <w:p w14:paraId="12DDE699"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510" w:type="dxa"/>
            <w:shd w:val="clear" w:color="auto" w:fill="auto"/>
            <w:vAlign w:val="center"/>
          </w:tcPr>
          <w:p w14:paraId="7E5B6607" w14:textId="53C049D9"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r>
      <w:tr w:rsidR="0067541E" w:rsidRPr="00901D0D" w14:paraId="78C0C702" w14:textId="136624F0" w:rsidTr="00B01C3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vAlign w:val="center"/>
          </w:tcPr>
          <w:p w14:paraId="254CD1E6" w14:textId="23F35818" w:rsidR="0067541E" w:rsidRPr="00901D0D" w:rsidRDefault="0067541E" w:rsidP="0067541E">
            <w:pPr>
              <w:numPr>
                <w:ilvl w:val="0"/>
                <w:numId w:val="21"/>
              </w:numPr>
              <w:contextualSpacing/>
              <w:rPr>
                <w:rFonts w:eastAsia="Arial" w:cs="Times New Roman"/>
                <w:b w:val="0"/>
                <w:sz w:val="22"/>
                <w:lang w:val="en-GB"/>
              </w:rPr>
            </w:pPr>
            <w:r w:rsidRPr="00901D0D">
              <w:rPr>
                <w:rFonts w:eastAsia="Arial" w:cs="Times New Roman"/>
                <w:b w:val="0"/>
                <w:sz w:val="22"/>
                <w:lang w:val="en-GB"/>
              </w:rPr>
              <w:t xml:space="preserve"> Horses</w:t>
            </w:r>
          </w:p>
        </w:tc>
        <w:tc>
          <w:tcPr>
            <w:tcW w:w="624" w:type="dxa"/>
            <w:shd w:val="clear" w:color="auto" w:fill="auto"/>
            <w:vAlign w:val="center"/>
          </w:tcPr>
          <w:p w14:paraId="0F1D1B2E" w14:textId="142DF835" w:rsidR="0067541E" w:rsidRPr="00901D0D" w:rsidRDefault="00951509"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.03</w:t>
            </w:r>
          </w:p>
        </w:tc>
        <w:tc>
          <w:tcPr>
            <w:tcW w:w="680" w:type="dxa"/>
            <w:shd w:val="clear" w:color="auto" w:fill="auto"/>
            <w:vAlign w:val="center"/>
          </w:tcPr>
          <w:p w14:paraId="6AA87725" w14:textId="43B93D34"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.09</w:t>
            </w:r>
          </w:p>
        </w:tc>
        <w:tc>
          <w:tcPr>
            <w:tcW w:w="680" w:type="dxa"/>
            <w:shd w:val="clear" w:color="auto" w:fill="auto"/>
            <w:vAlign w:val="center"/>
          </w:tcPr>
          <w:p w14:paraId="5BEFB290" w14:textId="0483790A"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.13</w:t>
            </w:r>
          </w:p>
        </w:tc>
        <w:tc>
          <w:tcPr>
            <w:tcW w:w="680" w:type="dxa"/>
            <w:shd w:val="clear" w:color="auto" w:fill="auto"/>
            <w:vAlign w:val="center"/>
          </w:tcPr>
          <w:p w14:paraId="15A21C47" w14:textId="17F79601"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.12</w:t>
            </w:r>
          </w:p>
        </w:tc>
        <w:tc>
          <w:tcPr>
            <w:tcW w:w="624" w:type="dxa"/>
            <w:shd w:val="clear" w:color="auto" w:fill="auto"/>
            <w:vAlign w:val="center"/>
          </w:tcPr>
          <w:p w14:paraId="07237ABB" w14:textId="2AFB44AC"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23</w:t>
            </w:r>
            <w:r w:rsidRPr="00901D0D">
              <w:rPr>
                <w:rFonts w:cs="Times New Roman"/>
                <w:color w:val="000000"/>
                <w:sz w:val="20"/>
                <w:szCs w:val="20"/>
                <w:vertAlign w:val="superscript"/>
                <w:lang w:val="en-GB"/>
              </w:rPr>
              <w:t>**</w:t>
            </w:r>
          </w:p>
        </w:tc>
        <w:tc>
          <w:tcPr>
            <w:tcW w:w="624" w:type="dxa"/>
            <w:shd w:val="clear" w:color="auto" w:fill="auto"/>
            <w:vAlign w:val="center"/>
          </w:tcPr>
          <w:p w14:paraId="77280E7A" w14:textId="59ADBD31"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.28</w:t>
            </w:r>
            <w:r w:rsidRPr="00901D0D">
              <w:rPr>
                <w:rFonts w:cs="Times New Roman"/>
                <w:color w:val="000000"/>
                <w:sz w:val="20"/>
                <w:szCs w:val="20"/>
                <w:vertAlign w:val="superscript"/>
                <w:lang w:val="en-GB"/>
              </w:rPr>
              <w:t>*</w:t>
            </w:r>
            <w:r w:rsidR="00951509"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p>
        </w:tc>
        <w:tc>
          <w:tcPr>
            <w:tcW w:w="624" w:type="dxa"/>
            <w:shd w:val="clear" w:color="auto" w:fill="auto"/>
            <w:vAlign w:val="center"/>
          </w:tcPr>
          <w:p w14:paraId="56C06783" w14:textId="034A0528"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31</w:t>
            </w:r>
            <w:r w:rsidRPr="00901D0D">
              <w:rPr>
                <w:rFonts w:cs="Times New Roman"/>
                <w:color w:val="000000"/>
                <w:sz w:val="20"/>
                <w:szCs w:val="20"/>
                <w:vertAlign w:val="superscript"/>
                <w:lang w:val="en-GB"/>
              </w:rPr>
              <w:t>*</w:t>
            </w:r>
            <w:r w:rsidR="00951509"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p>
        </w:tc>
        <w:tc>
          <w:tcPr>
            <w:tcW w:w="624" w:type="dxa"/>
            <w:shd w:val="clear" w:color="auto" w:fill="auto"/>
            <w:vAlign w:val="center"/>
          </w:tcPr>
          <w:p w14:paraId="2E4FFCE9" w14:textId="78C420D8"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.22</w:t>
            </w:r>
            <w:r w:rsidRPr="00901D0D">
              <w:rPr>
                <w:rFonts w:cs="Times New Roman"/>
                <w:color w:val="000000"/>
                <w:sz w:val="20"/>
                <w:szCs w:val="20"/>
                <w:vertAlign w:val="superscript"/>
                <w:lang w:val="en-GB"/>
              </w:rPr>
              <w:t>**</w:t>
            </w:r>
          </w:p>
        </w:tc>
        <w:tc>
          <w:tcPr>
            <w:tcW w:w="624" w:type="dxa"/>
            <w:shd w:val="clear" w:color="auto" w:fill="auto"/>
            <w:vAlign w:val="center"/>
          </w:tcPr>
          <w:p w14:paraId="4DA634D6" w14:textId="4F08AB2E"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.20</w:t>
            </w:r>
            <w:r w:rsidRPr="00901D0D">
              <w:rPr>
                <w:rFonts w:cs="Times New Roman"/>
                <w:color w:val="000000"/>
                <w:sz w:val="20"/>
                <w:szCs w:val="20"/>
                <w:vertAlign w:val="superscript"/>
                <w:lang w:val="en-GB"/>
              </w:rPr>
              <w:t>*</w:t>
            </w:r>
            <w:r w:rsidR="00951509"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p>
        </w:tc>
        <w:tc>
          <w:tcPr>
            <w:tcW w:w="624" w:type="dxa"/>
            <w:shd w:val="clear" w:color="auto" w:fill="auto"/>
            <w:vAlign w:val="center"/>
          </w:tcPr>
          <w:p w14:paraId="7C45C670" w14:textId="18426251"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.2</w:t>
            </w:r>
            <w:r w:rsidR="00951509" w:rsidRPr="00901D0D">
              <w:rPr>
                <w:rFonts w:cs="Times New Roman"/>
                <w:sz w:val="20"/>
                <w:szCs w:val="20"/>
                <w:lang w:val="en-GB"/>
              </w:rPr>
              <w:t>1</w:t>
            </w:r>
            <w:r w:rsidRPr="00901D0D">
              <w:rPr>
                <w:rFonts w:cs="Times New Roman"/>
                <w:color w:val="000000"/>
                <w:sz w:val="20"/>
                <w:szCs w:val="20"/>
                <w:vertAlign w:val="superscript"/>
                <w:lang w:val="en-GB"/>
              </w:rPr>
              <w:t>**</w:t>
            </w:r>
          </w:p>
        </w:tc>
        <w:tc>
          <w:tcPr>
            <w:tcW w:w="624" w:type="dxa"/>
            <w:shd w:val="clear" w:color="auto" w:fill="auto"/>
            <w:vAlign w:val="center"/>
          </w:tcPr>
          <w:p w14:paraId="1BDAA895" w14:textId="286C1E0A"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.7</w:t>
            </w:r>
            <w:r w:rsidR="00951509" w:rsidRPr="00901D0D">
              <w:rPr>
                <w:rFonts w:cs="Times New Roman"/>
                <w:sz w:val="20"/>
                <w:szCs w:val="20"/>
                <w:lang w:val="en-GB"/>
              </w:rPr>
              <w:t>8</w:t>
            </w:r>
            <w:r w:rsidRPr="00901D0D">
              <w:rPr>
                <w:rFonts w:cs="Times New Roman"/>
                <w:color w:val="000000"/>
                <w:sz w:val="20"/>
                <w:szCs w:val="20"/>
                <w:vertAlign w:val="superscript"/>
                <w:lang w:val="en-GB"/>
              </w:rPr>
              <w:t>*</w:t>
            </w:r>
            <w:r w:rsidR="00951509"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p>
        </w:tc>
        <w:tc>
          <w:tcPr>
            <w:tcW w:w="624" w:type="dxa"/>
            <w:shd w:val="clear" w:color="auto" w:fill="auto"/>
            <w:vAlign w:val="center"/>
          </w:tcPr>
          <w:p w14:paraId="2E821334" w14:textId="1D269A70"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67</w:t>
            </w:r>
            <w:r w:rsidRPr="00901D0D">
              <w:rPr>
                <w:rFonts w:cs="Times New Roman"/>
                <w:color w:val="000000"/>
                <w:sz w:val="20"/>
                <w:szCs w:val="20"/>
                <w:vertAlign w:val="superscript"/>
                <w:lang w:val="en-GB"/>
              </w:rPr>
              <w:t>*</w:t>
            </w:r>
            <w:r w:rsidR="00951509"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p>
        </w:tc>
        <w:tc>
          <w:tcPr>
            <w:tcW w:w="624" w:type="dxa"/>
            <w:shd w:val="clear" w:color="auto" w:fill="auto"/>
            <w:vAlign w:val="center"/>
          </w:tcPr>
          <w:p w14:paraId="4F2778C6" w14:textId="52187F30"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.59</w:t>
            </w:r>
            <w:r w:rsidRPr="00901D0D">
              <w:rPr>
                <w:rFonts w:cs="Times New Roman"/>
                <w:color w:val="000000"/>
                <w:sz w:val="20"/>
                <w:szCs w:val="20"/>
                <w:vertAlign w:val="superscript"/>
                <w:lang w:val="en-GB"/>
              </w:rPr>
              <w:t>*</w:t>
            </w:r>
            <w:r w:rsidR="00951509"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p>
        </w:tc>
        <w:tc>
          <w:tcPr>
            <w:tcW w:w="624" w:type="dxa"/>
            <w:shd w:val="clear" w:color="auto" w:fill="auto"/>
            <w:vAlign w:val="center"/>
          </w:tcPr>
          <w:p w14:paraId="38511753"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19F8AB5D"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73D2CAF3"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6360EC2A"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2E5598F8"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510" w:type="dxa"/>
            <w:shd w:val="clear" w:color="auto" w:fill="auto"/>
            <w:vAlign w:val="center"/>
          </w:tcPr>
          <w:p w14:paraId="7D306CA7"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510" w:type="dxa"/>
            <w:shd w:val="clear" w:color="auto" w:fill="auto"/>
            <w:vAlign w:val="center"/>
          </w:tcPr>
          <w:p w14:paraId="50A3D18B" w14:textId="65E42A1C"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r>
      <w:tr w:rsidR="0067541E" w:rsidRPr="00901D0D" w14:paraId="152758B0" w14:textId="37AAB0D7" w:rsidTr="00B01C37">
        <w:trPr>
          <w:trHeight w:val="20"/>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vAlign w:val="center"/>
          </w:tcPr>
          <w:p w14:paraId="5FA06D75" w14:textId="67A5E8EF" w:rsidR="0067541E" w:rsidRPr="00901D0D" w:rsidRDefault="0067541E" w:rsidP="0067541E">
            <w:pPr>
              <w:numPr>
                <w:ilvl w:val="0"/>
                <w:numId w:val="21"/>
              </w:numPr>
              <w:contextualSpacing/>
              <w:rPr>
                <w:rFonts w:eastAsia="Arial" w:cs="Times New Roman"/>
                <w:b w:val="0"/>
                <w:sz w:val="22"/>
                <w:lang w:val="en-GB"/>
              </w:rPr>
            </w:pPr>
            <w:r w:rsidRPr="00901D0D">
              <w:rPr>
                <w:rFonts w:eastAsia="Arial" w:cs="Times New Roman"/>
                <w:b w:val="0"/>
                <w:sz w:val="22"/>
                <w:lang w:val="en-GB"/>
              </w:rPr>
              <w:t xml:space="preserve"> Lottery</w:t>
            </w:r>
          </w:p>
        </w:tc>
        <w:tc>
          <w:tcPr>
            <w:tcW w:w="624" w:type="dxa"/>
            <w:shd w:val="clear" w:color="auto" w:fill="auto"/>
            <w:vAlign w:val="center"/>
          </w:tcPr>
          <w:p w14:paraId="2894156B" w14:textId="7D9FD655"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.02</w:t>
            </w:r>
          </w:p>
        </w:tc>
        <w:tc>
          <w:tcPr>
            <w:tcW w:w="680" w:type="dxa"/>
            <w:shd w:val="clear" w:color="auto" w:fill="auto"/>
            <w:vAlign w:val="center"/>
          </w:tcPr>
          <w:p w14:paraId="540683A2" w14:textId="72AB59EA"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.06</w:t>
            </w:r>
          </w:p>
        </w:tc>
        <w:tc>
          <w:tcPr>
            <w:tcW w:w="680" w:type="dxa"/>
            <w:shd w:val="clear" w:color="auto" w:fill="auto"/>
            <w:vAlign w:val="center"/>
          </w:tcPr>
          <w:p w14:paraId="18F4CEEC" w14:textId="6AA2EB23" w:rsidR="0067541E" w:rsidRPr="00901D0D" w:rsidRDefault="00951509"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.05</w:t>
            </w:r>
          </w:p>
        </w:tc>
        <w:tc>
          <w:tcPr>
            <w:tcW w:w="680" w:type="dxa"/>
            <w:shd w:val="clear" w:color="auto" w:fill="auto"/>
            <w:vAlign w:val="center"/>
          </w:tcPr>
          <w:p w14:paraId="02B2EAE3" w14:textId="07991CEE" w:rsidR="0067541E" w:rsidRPr="00901D0D" w:rsidRDefault="00951509"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.02</w:t>
            </w:r>
          </w:p>
        </w:tc>
        <w:tc>
          <w:tcPr>
            <w:tcW w:w="624" w:type="dxa"/>
            <w:shd w:val="clear" w:color="auto" w:fill="auto"/>
            <w:vAlign w:val="center"/>
          </w:tcPr>
          <w:p w14:paraId="24E9ADF4" w14:textId="0486329C"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.19</w:t>
            </w:r>
            <w:r w:rsidRPr="00901D0D">
              <w:rPr>
                <w:rFonts w:cs="Times New Roman"/>
                <w:color w:val="000000"/>
                <w:sz w:val="20"/>
                <w:szCs w:val="20"/>
                <w:vertAlign w:val="superscript"/>
                <w:lang w:val="en-GB"/>
              </w:rPr>
              <w:t>**</w:t>
            </w:r>
          </w:p>
        </w:tc>
        <w:tc>
          <w:tcPr>
            <w:tcW w:w="624" w:type="dxa"/>
            <w:shd w:val="clear" w:color="auto" w:fill="auto"/>
            <w:vAlign w:val="center"/>
          </w:tcPr>
          <w:p w14:paraId="33C338EB" w14:textId="0125A4F4"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20</w:t>
            </w:r>
            <w:r w:rsidRPr="00901D0D">
              <w:rPr>
                <w:rFonts w:cs="Times New Roman"/>
                <w:color w:val="000000"/>
                <w:sz w:val="20"/>
                <w:szCs w:val="20"/>
                <w:vertAlign w:val="superscript"/>
                <w:lang w:val="en-GB"/>
              </w:rPr>
              <w:t>**</w:t>
            </w:r>
          </w:p>
        </w:tc>
        <w:tc>
          <w:tcPr>
            <w:tcW w:w="624" w:type="dxa"/>
            <w:shd w:val="clear" w:color="auto" w:fill="auto"/>
            <w:vAlign w:val="center"/>
          </w:tcPr>
          <w:p w14:paraId="636B6097" w14:textId="6799F311"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.0</w:t>
            </w:r>
            <w:r w:rsidR="00951509" w:rsidRPr="00901D0D">
              <w:rPr>
                <w:rFonts w:cs="Times New Roman"/>
                <w:sz w:val="20"/>
                <w:szCs w:val="20"/>
                <w:lang w:val="en-GB"/>
              </w:rPr>
              <w:t>3</w:t>
            </w:r>
          </w:p>
        </w:tc>
        <w:tc>
          <w:tcPr>
            <w:tcW w:w="624" w:type="dxa"/>
            <w:shd w:val="clear" w:color="auto" w:fill="auto"/>
            <w:vAlign w:val="center"/>
          </w:tcPr>
          <w:p w14:paraId="29657D2A" w14:textId="172CFEAD"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.23</w:t>
            </w:r>
            <w:r w:rsidRPr="00901D0D">
              <w:rPr>
                <w:rFonts w:cs="Times New Roman"/>
                <w:color w:val="000000"/>
                <w:sz w:val="20"/>
                <w:szCs w:val="20"/>
                <w:vertAlign w:val="superscript"/>
                <w:lang w:val="en-GB"/>
              </w:rPr>
              <w:t>**</w:t>
            </w:r>
          </w:p>
        </w:tc>
        <w:tc>
          <w:tcPr>
            <w:tcW w:w="624" w:type="dxa"/>
            <w:shd w:val="clear" w:color="auto" w:fill="auto"/>
            <w:vAlign w:val="center"/>
          </w:tcPr>
          <w:p w14:paraId="357F74D9" w14:textId="00FA2184" w:rsidR="0067541E" w:rsidRPr="00901D0D" w:rsidRDefault="00951509"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.14</w:t>
            </w:r>
          </w:p>
        </w:tc>
        <w:tc>
          <w:tcPr>
            <w:tcW w:w="624" w:type="dxa"/>
            <w:shd w:val="clear" w:color="auto" w:fill="auto"/>
            <w:vAlign w:val="center"/>
          </w:tcPr>
          <w:p w14:paraId="75B27255" w14:textId="3DC7BE0B"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33</w:t>
            </w:r>
            <w:r w:rsidRPr="00901D0D">
              <w:rPr>
                <w:rFonts w:cs="Times New Roman"/>
                <w:color w:val="000000"/>
                <w:sz w:val="20"/>
                <w:szCs w:val="20"/>
                <w:vertAlign w:val="superscript"/>
                <w:lang w:val="en-GB"/>
              </w:rPr>
              <w:t>*</w:t>
            </w:r>
            <w:r w:rsidR="00951509"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p>
        </w:tc>
        <w:tc>
          <w:tcPr>
            <w:tcW w:w="624" w:type="dxa"/>
            <w:shd w:val="clear" w:color="auto" w:fill="auto"/>
            <w:vAlign w:val="center"/>
          </w:tcPr>
          <w:p w14:paraId="59D92E59" w14:textId="696DE418"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87</w:t>
            </w:r>
            <w:r w:rsidRPr="00901D0D">
              <w:rPr>
                <w:rFonts w:cs="Times New Roman"/>
                <w:color w:val="000000"/>
                <w:sz w:val="20"/>
                <w:szCs w:val="20"/>
                <w:vertAlign w:val="superscript"/>
                <w:lang w:val="en-GB"/>
              </w:rPr>
              <w:t>*</w:t>
            </w:r>
            <w:r w:rsidR="00951509"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p>
        </w:tc>
        <w:tc>
          <w:tcPr>
            <w:tcW w:w="624" w:type="dxa"/>
            <w:shd w:val="clear" w:color="auto" w:fill="auto"/>
            <w:vAlign w:val="center"/>
          </w:tcPr>
          <w:p w14:paraId="7BD3F5C1" w14:textId="2275D2D9" w:rsidR="0067541E" w:rsidRPr="00901D0D" w:rsidRDefault="00951509"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.78</w:t>
            </w:r>
            <w:r w:rsidR="0067541E"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r w:rsidR="0067541E" w:rsidRPr="00901D0D">
              <w:rPr>
                <w:rFonts w:cs="Times New Roman"/>
                <w:color w:val="000000"/>
                <w:sz w:val="20"/>
                <w:szCs w:val="20"/>
                <w:vertAlign w:val="superscript"/>
                <w:lang w:val="en-GB"/>
              </w:rPr>
              <w:t>*</w:t>
            </w:r>
          </w:p>
        </w:tc>
        <w:tc>
          <w:tcPr>
            <w:tcW w:w="624" w:type="dxa"/>
            <w:shd w:val="clear" w:color="auto" w:fill="auto"/>
            <w:vAlign w:val="center"/>
          </w:tcPr>
          <w:p w14:paraId="0D87DCC3" w14:textId="127247C5"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.8</w:t>
            </w:r>
            <w:r w:rsidR="00951509" w:rsidRPr="00901D0D">
              <w:rPr>
                <w:rFonts w:cs="Times New Roman"/>
                <w:sz w:val="20"/>
                <w:szCs w:val="20"/>
                <w:lang w:val="en-GB"/>
              </w:rPr>
              <w:t>1</w:t>
            </w:r>
            <w:r w:rsidRPr="00901D0D">
              <w:rPr>
                <w:rFonts w:cs="Times New Roman"/>
                <w:color w:val="000000"/>
                <w:sz w:val="20"/>
                <w:szCs w:val="20"/>
                <w:vertAlign w:val="superscript"/>
                <w:lang w:val="en-GB"/>
              </w:rPr>
              <w:t>*</w:t>
            </w:r>
            <w:r w:rsidR="00951509"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p>
        </w:tc>
        <w:tc>
          <w:tcPr>
            <w:tcW w:w="624" w:type="dxa"/>
            <w:shd w:val="clear" w:color="auto" w:fill="auto"/>
            <w:vAlign w:val="center"/>
          </w:tcPr>
          <w:p w14:paraId="302CCAD4" w14:textId="1F89353D"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50</w:t>
            </w:r>
            <w:r w:rsidRPr="00901D0D">
              <w:rPr>
                <w:rFonts w:cs="Times New Roman"/>
                <w:color w:val="000000"/>
                <w:sz w:val="20"/>
                <w:szCs w:val="20"/>
                <w:vertAlign w:val="superscript"/>
                <w:lang w:val="en-GB"/>
              </w:rPr>
              <w:t>*</w:t>
            </w:r>
            <w:r w:rsidR="00951509"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p>
        </w:tc>
        <w:tc>
          <w:tcPr>
            <w:tcW w:w="624" w:type="dxa"/>
            <w:shd w:val="clear" w:color="auto" w:fill="auto"/>
            <w:vAlign w:val="center"/>
          </w:tcPr>
          <w:p w14:paraId="416E0460"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34AABD27"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72E68198"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5EAB0600"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510" w:type="dxa"/>
            <w:shd w:val="clear" w:color="auto" w:fill="auto"/>
            <w:vAlign w:val="center"/>
          </w:tcPr>
          <w:p w14:paraId="3C163196"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510" w:type="dxa"/>
            <w:shd w:val="clear" w:color="auto" w:fill="auto"/>
            <w:vAlign w:val="center"/>
          </w:tcPr>
          <w:p w14:paraId="2A4EFECD" w14:textId="45C545DE"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r>
      <w:tr w:rsidR="00426DDC" w:rsidRPr="00901D0D" w14:paraId="6713FEC0" w14:textId="3391B805" w:rsidTr="00B01C3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vAlign w:val="center"/>
          </w:tcPr>
          <w:p w14:paraId="1FE5BB3D" w14:textId="0521097C" w:rsidR="00426DDC" w:rsidRPr="00901D0D" w:rsidRDefault="00426DDC" w:rsidP="00021A63">
            <w:pPr>
              <w:ind w:firstLine="0"/>
              <w:contextualSpacing/>
              <w:rPr>
                <w:rFonts w:eastAsia="Arial" w:cs="Times New Roman"/>
                <w:b w:val="0"/>
                <w:sz w:val="22"/>
                <w:lang w:val="en-GB"/>
              </w:rPr>
            </w:pPr>
            <w:r w:rsidRPr="00901D0D">
              <w:rPr>
                <w:rFonts w:eastAsia="Arial" w:cs="Times New Roman"/>
                <w:b w:val="0"/>
                <w:sz w:val="22"/>
                <w:lang w:val="en-GB"/>
              </w:rPr>
              <w:t>Education</w:t>
            </w:r>
          </w:p>
        </w:tc>
        <w:tc>
          <w:tcPr>
            <w:tcW w:w="624" w:type="dxa"/>
            <w:shd w:val="clear" w:color="auto" w:fill="auto"/>
            <w:vAlign w:val="center"/>
          </w:tcPr>
          <w:p w14:paraId="4B4CC536"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p>
        </w:tc>
        <w:tc>
          <w:tcPr>
            <w:tcW w:w="680" w:type="dxa"/>
            <w:shd w:val="clear" w:color="auto" w:fill="auto"/>
            <w:vAlign w:val="center"/>
          </w:tcPr>
          <w:p w14:paraId="5B368F58"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p>
        </w:tc>
        <w:tc>
          <w:tcPr>
            <w:tcW w:w="680" w:type="dxa"/>
            <w:shd w:val="clear" w:color="auto" w:fill="auto"/>
            <w:vAlign w:val="center"/>
          </w:tcPr>
          <w:p w14:paraId="5725FDEE"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p>
        </w:tc>
        <w:tc>
          <w:tcPr>
            <w:tcW w:w="680" w:type="dxa"/>
            <w:shd w:val="clear" w:color="auto" w:fill="auto"/>
            <w:vAlign w:val="center"/>
          </w:tcPr>
          <w:p w14:paraId="678B80EE"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p>
        </w:tc>
        <w:tc>
          <w:tcPr>
            <w:tcW w:w="624" w:type="dxa"/>
            <w:shd w:val="clear" w:color="auto" w:fill="auto"/>
            <w:vAlign w:val="center"/>
          </w:tcPr>
          <w:p w14:paraId="6DDE12C2"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p>
        </w:tc>
        <w:tc>
          <w:tcPr>
            <w:tcW w:w="624" w:type="dxa"/>
            <w:shd w:val="clear" w:color="auto" w:fill="auto"/>
            <w:vAlign w:val="center"/>
          </w:tcPr>
          <w:p w14:paraId="7B8296AE"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p>
        </w:tc>
        <w:tc>
          <w:tcPr>
            <w:tcW w:w="624" w:type="dxa"/>
            <w:shd w:val="clear" w:color="auto" w:fill="auto"/>
            <w:vAlign w:val="center"/>
          </w:tcPr>
          <w:p w14:paraId="5BDB9B4D"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p>
        </w:tc>
        <w:tc>
          <w:tcPr>
            <w:tcW w:w="624" w:type="dxa"/>
            <w:shd w:val="clear" w:color="auto" w:fill="auto"/>
            <w:vAlign w:val="center"/>
          </w:tcPr>
          <w:p w14:paraId="12E1D030"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p>
        </w:tc>
        <w:tc>
          <w:tcPr>
            <w:tcW w:w="624" w:type="dxa"/>
            <w:shd w:val="clear" w:color="auto" w:fill="auto"/>
            <w:vAlign w:val="center"/>
          </w:tcPr>
          <w:p w14:paraId="7BFC7489"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p>
        </w:tc>
        <w:tc>
          <w:tcPr>
            <w:tcW w:w="624" w:type="dxa"/>
            <w:shd w:val="clear" w:color="auto" w:fill="auto"/>
            <w:vAlign w:val="center"/>
          </w:tcPr>
          <w:p w14:paraId="1F0FA754"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p>
        </w:tc>
        <w:tc>
          <w:tcPr>
            <w:tcW w:w="624" w:type="dxa"/>
            <w:shd w:val="clear" w:color="auto" w:fill="auto"/>
            <w:vAlign w:val="center"/>
          </w:tcPr>
          <w:p w14:paraId="36930939"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41D5A307"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3BDC1CC8"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06490B50"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3B43A9B2"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2DD1DCE5"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693D9C39"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6C38ECF1"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510" w:type="dxa"/>
            <w:shd w:val="clear" w:color="auto" w:fill="auto"/>
            <w:vAlign w:val="center"/>
          </w:tcPr>
          <w:p w14:paraId="5345B3F5" w14:textId="77777777"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510" w:type="dxa"/>
            <w:shd w:val="clear" w:color="auto" w:fill="auto"/>
            <w:vAlign w:val="center"/>
          </w:tcPr>
          <w:p w14:paraId="784D5E78" w14:textId="3A791C76" w:rsidR="00426DDC" w:rsidRPr="00901D0D" w:rsidRDefault="00426DDC"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r>
      <w:tr w:rsidR="0067541E" w:rsidRPr="00901D0D" w14:paraId="564D07AE" w14:textId="4B2E2CCF" w:rsidTr="00B01C37">
        <w:trPr>
          <w:trHeight w:val="20"/>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vAlign w:val="center"/>
          </w:tcPr>
          <w:p w14:paraId="5CF503DF" w14:textId="3E31E45A" w:rsidR="0067541E" w:rsidRPr="00901D0D" w:rsidRDefault="0067541E" w:rsidP="0067541E">
            <w:pPr>
              <w:numPr>
                <w:ilvl w:val="0"/>
                <w:numId w:val="21"/>
              </w:numPr>
              <w:contextualSpacing/>
              <w:rPr>
                <w:rFonts w:eastAsia="Arial" w:cs="Times New Roman"/>
                <w:b w:val="0"/>
                <w:sz w:val="22"/>
                <w:lang w:val="en-GB"/>
              </w:rPr>
            </w:pPr>
            <w:r w:rsidRPr="00901D0D">
              <w:rPr>
                <w:rFonts w:eastAsia="Arial" w:cs="Times New Roman"/>
                <w:b w:val="0"/>
                <w:sz w:val="22"/>
                <w:lang w:val="en-GB"/>
              </w:rPr>
              <w:t xml:space="preserve"> General</w:t>
            </w:r>
          </w:p>
        </w:tc>
        <w:tc>
          <w:tcPr>
            <w:tcW w:w="624" w:type="dxa"/>
            <w:shd w:val="clear" w:color="auto" w:fill="auto"/>
            <w:vAlign w:val="center"/>
          </w:tcPr>
          <w:p w14:paraId="3EA26B70" w14:textId="79A93FF2" w:rsidR="0067541E" w:rsidRPr="00901D0D" w:rsidRDefault="00951509"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.17</w:t>
            </w:r>
            <w:r w:rsidR="0067541E" w:rsidRPr="00901D0D">
              <w:rPr>
                <w:rFonts w:cs="Times New Roman"/>
                <w:color w:val="000000"/>
                <w:sz w:val="20"/>
                <w:szCs w:val="20"/>
                <w:vertAlign w:val="superscript"/>
                <w:lang w:val="en-GB"/>
              </w:rPr>
              <w:t>*</w:t>
            </w:r>
          </w:p>
        </w:tc>
        <w:tc>
          <w:tcPr>
            <w:tcW w:w="680" w:type="dxa"/>
            <w:shd w:val="clear" w:color="auto" w:fill="auto"/>
            <w:vAlign w:val="center"/>
          </w:tcPr>
          <w:p w14:paraId="780070F7" w14:textId="0CB6C9BB" w:rsidR="0067541E" w:rsidRPr="00901D0D" w:rsidRDefault="00951509"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.06</w:t>
            </w:r>
          </w:p>
        </w:tc>
        <w:tc>
          <w:tcPr>
            <w:tcW w:w="680" w:type="dxa"/>
            <w:shd w:val="clear" w:color="auto" w:fill="auto"/>
            <w:vAlign w:val="center"/>
          </w:tcPr>
          <w:p w14:paraId="43FAA64C" w14:textId="4FA0FEC9" w:rsidR="0067541E" w:rsidRPr="00901D0D" w:rsidRDefault="00951509"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-.00</w:t>
            </w:r>
          </w:p>
        </w:tc>
        <w:tc>
          <w:tcPr>
            <w:tcW w:w="680" w:type="dxa"/>
            <w:shd w:val="clear" w:color="auto" w:fill="auto"/>
            <w:vAlign w:val="center"/>
          </w:tcPr>
          <w:p w14:paraId="01CA811D" w14:textId="74CF598C"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-.0</w:t>
            </w:r>
            <w:r w:rsidR="00951509" w:rsidRPr="00901D0D">
              <w:rPr>
                <w:rFonts w:cs="Times New Roman"/>
                <w:sz w:val="20"/>
                <w:szCs w:val="20"/>
                <w:lang w:val="en-GB"/>
              </w:rPr>
              <w:t>1</w:t>
            </w:r>
          </w:p>
        </w:tc>
        <w:tc>
          <w:tcPr>
            <w:tcW w:w="624" w:type="dxa"/>
            <w:shd w:val="clear" w:color="auto" w:fill="auto"/>
            <w:vAlign w:val="center"/>
          </w:tcPr>
          <w:p w14:paraId="50C7DE4C" w14:textId="3311F76A"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.0</w:t>
            </w:r>
            <w:r w:rsidR="00951509" w:rsidRPr="00901D0D">
              <w:rPr>
                <w:rFonts w:cs="Times New Roman"/>
                <w:sz w:val="20"/>
                <w:szCs w:val="20"/>
                <w:lang w:val="en-GB"/>
              </w:rPr>
              <w:t>9</w:t>
            </w:r>
          </w:p>
        </w:tc>
        <w:tc>
          <w:tcPr>
            <w:tcW w:w="624" w:type="dxa"/>
            <w:shd w:val="clear" w:color="auto" w:fill="auto"/>
            <w:vAlign w:val="center"/>
          </w:tcPr>
          <w:p w14:paraId="1EA7DC43" w14:textId="632503B9" w:rsidR="0067541E" w:rsidRPr="00901D0D" w:rsidRDefault="00951509"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.12</w:t>
            </w:r>
          </w:p>
        </w:tc>
        <w:tc>
          <w:tcPr>
            <w:tcW w:w="624" w:type="dxa"/>
            <w:shd w:val="clear" w:color="auto" w:fill="auto"/>
            <w:vAlign w:val="center"/>
          </w:tcPr>
          <w:p w14:paraId="28B9A7DF" w14:textId="2C801BFF"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23</w:t>
            </w:r>
            <w:r w:rsidRPr="00901D0D">
              <w:rPr>
                <w:rFonts w:cs="Times New Roman"/>
                <w:color w:val="000000"/>
                <w:sz w:val="20"/>
                <w:szCs w:val="20"/>
                <w:vertAlign w:val="superscript"/>
                <w:lang w:val="en-GB"/>
              </w:rPr>
              <w:t>**</w:t>
            </w:r>
          </w:p>
        </w:tc>
        <w:tc>
          <w:tcPr>
            <w:tcW w:w="624" w:type="dxa"/>
            <w:shd w:val="clear" w:color="auto" w:fill="auto"/>
            <w:vAlign w:val="center"/>
          </w:tcPr>
          <w:p w14:paraId="7569CBF5" w14:textId="2892E19C" w:rsidR="0067541E" w:rsidRPr="00901D0D" w:rsidRDefault="00951509"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.07</w:t>
            </w:r>
          </w:p>
        </w:tc>
        <w:tc>
          <w:tcPr>
            <w:tcW w:w="624" w:type="dxa"/>
            <w:shd w:val="clear" w:color="auto" w:fill="auto"/>
            <w:vAlign w:val="center"/>
          </w:tcPr>
          <w:p w14:paraId="76C26DD0" w14:textId="54BC335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.09</w:t>
            </w:r>
          </w:p>
        </w:tc>
        <w:tc>
          <w:tcPr>
            <w:tcW w:w="624" w:type="dxa"/>
            <w:shd w:val="clear" w:color="auto" w:fill="auto"/>
            <w:vAlign w:val="center"/>
          </w:tcPr>
          <w:p w14:paraId="1BFBAF7D" w14:textId="61D27BD1" w:rsidR="0067541E" w:rsidRPr="00901D0D" w:rsidRDefault="00951509"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w:t>
            </w:r>
            <w:r w:rsidR="0067541E" w:rsidRPr="00901D0D">
              <w:rPr>
                <w:rFonts w:cs="Times New Roman"/>
                <w:sz w:val="20"/>
                <w:szCs w:val="20"/>
                <w:lang w:val="en-GB"/>
              </w:rPr>
              <w:t>.05</w:t>
            </w:r>
          </w:p>
        </w:tc>
        <w:tc>
          <w:tcPr>
            <w:tcW w:w="624" w:type="dxa"/>
            <w:shd w:val="clear" w:color="auto" w:fill="auto"/>
            <w:vAlign w:val="center"/>
          </w:tcPr>
          <w:p w14:paraId="218809AE" w14:textId="00D55407" w:rsidR="0067541E" w:rsidRPr="00901D0D" w:rsidRDefault="00951509"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w:t>
            </w:r>
            <w:r w:rsidR="0067541E" w:rsidRPr="00901D0D">
              <w:rPr>
                <w:rFonts w:cs="Times New Roman"/>
                <w:sz w:val="20"/>
                <w:szCs w:val="20"/>
                <w:lang w:val="en-GB"/>
              </w:rPr>
              <w:t>.0</w:t>
            </w:r>
            <w:r w:rsidRPr="00901D0D">
              <w:rPr>
                <w:rFonts w:cs="Times New Roman"/>
                <w:sz w:val="20"/>
                <w:szCs w:val="20"/>
                <w:lang w:val="en-GB"/>
              </w:rPr>
              <w:t>8</w:t>
            </w:r>
          </w:p>
        </w:tc>
        <w:tc>
          <w:tcPr>
            <w:tcW w:w="624" w:type="dxa"/>
            <w:shd w:val="clear" w:color="auto" w:fill="auto"/>
            <w:vAlign w:val="center"/>
          </w:tcPr>
          <w:p w14:paraId="7AE825AF" w14:textId="3ED56082"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-.0</w:t>
            </w:r>
            <w:r w:rsidR="00951509" w:rsidRPr="00901D0D">
              <w:rPr>
                <w:rFonts w:cs="Times New Roman"/>
                <w:sz w:val="20"/>
                <w:szCs w:val="20"/>
                <w:lang w:val="en-GB"/>
              </w:rPr>
              <w:t>6</w:t>
            </w:r>
          </w:p>
        </w:tc>
        <w:tc>
          <w:tcPr>
            <w:tcW w:w="624" w:type="dxa"/>
            <w:shd w:val="clear" w:color="auto" w:fill="auto"/>
            <w:vAlign w:val="center"/>
          </w:tcPr>
          <w:p w14:paraId="36FAA3BC" w14:textId="45380863"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-.12</w:t>
            </w:r>
          </w:p>
        </w:tc>
        <w:tc>
          <w:tcPr>
            <w:tcW w:w="624" w:type="dxa"/>
            <w:shd w:val="clear" w:color="auto" w:fill="auto"/>
            <w:vAlign w:val="center"/>
          </w:tcPr>
          <w:p w14:paraId="48683232" w14:textId="4D1E7141"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06</w:t>
            </w:r>
          </w:p>
        </w:tc>
        <w:tc>
          <w:tcPr>
            <w:tcW w:w="624" w:type="dxa"/>
            <w:shd w:val="clear" w:color="auto" w:fill="auto"/>
            <w:vAlign w:val="center"/>
          </w:tcPr>
          <w:p w14:paraId="605A8C44" w14:textId="095247B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-.16</w:t>
            </w:r>
            <w:r w:rsidRPr="00901D0D">
              <w:rPr>
                <w:rFonts w:cs="Times New Roman"/>
                <w:color w:val="000000"/>
                <w:sz w:val="20"/>
                <w:szCs w:val="20"/>
                <w:vertAlign w:val="superscript"/>
                <w:lang w:val="en-GB"/>
              </w:rPr>
              <w:t>*</w:t>
            </w:r>
          </w:p>
        </w:tc>
        <w:tc>
          <w:tcPr>
            <w:tcW w:w="624" w:type="dxa"/>
            <w:shd w:val="clear" w:color="auto" w:fill="auto"/>
            <w:vAlign w:val="center"/>
          </w:tcPr>
          <w:p w14:paraId="0CC40052"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215BB03F"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58ACD953"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510" w:type="dxa"/>
            <w:shd w:val="clear" w:color="auto" w:fill="auto"/>
            <w:vAlign w:val="center"/>
          </w:tcPr>
          <w:p w14:paraId="3B43ED15"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510" w:type="dxa"/>
            <w:shd w:val="clear" w:color="auto" w:fill="auto"/>
            <w:vAlign w:val="center"/>
          </w:tcPr>
          <w:p w14:paraId="4579EDEC" w14:textId="341596B8"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r>
      <w:tr w:rsidR="0067541E" w:rsidRPr="00901D0D" w14:paraId="277AF88B" w14:textId="71A93FB6" w:rsidTr="00B01C3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vAlign w:val="center"/>
          </w:tcPr>
          <w:p w14:paraId="642C7966" w14:textId="61E22C10" w:rsidR="0067541E" w:rsidRPr="00901D0D" w:rsidRDefault="0067541E" w:rsidP="0067541E">
            <w:pPr>
              <w:numPr>
                <w:ilvl w:val="0"/>
                <w:numId w:val="21"/>
              </w:numPr>
              <w:contextualSpacing/>
              <w:rPr>
                <w:rFonts w:eastAsia="Arial" w:cs="Times New Roman"/>
                <w:b w:val="0"/>
                <w:sz w:val="22"/>
                <w:lang w:val="en-GB"/>
              </w:rPr>
            </w:pPr>
            <w:r w:rsidRPr="00901D0D">
              <w:rPr>
                <w:rFonts w:eastAsia="Arial" w:cs="Times New Roman"/>
                <w:b w:val="0"/>
                <w:sz w:val="22"/>
                <w:lang w:val="en-GB"/>
              </w:rPr>
              <w:t xml:space="preserve"> Psychology</w:t>
            </w:r>
          </w:p>
        </w:tc>
        <w:tc>
          <w:tcPr>
            <w:tcW w:w="624" w:type="dxa"/>
            <w:shd w:val="clear" w:color="auto" w:fill="auto"/>
            <w:vAlign w:val="center"/>
          </w:tcPr>
          <w:p w14:paraId="193A1A12" w14:textId="0640C783"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.1</w:t>
            </w:r>
            <w:r w:rsidR="00951509" w:rsidRPr="00901D0D">
              <w:rPr>
                <w:rFonts w:cs="Times New Roman"/>
                <w:sz w:val="20"/>
                <w:szCs w:val="20"/>
                <w:lang w:val="en-GB"/>
              </w:rPr>
              <w:t>2</w:t>
            </w:r>
          </w:p>
        </w:tc>
        <w:tc>
          <w:tcPr>
            <w:tcW w:w="680" w:type="dxa"/>
            <w:shd w:val="clear" w:color="auto" w:fill="auto"/>
            <w:vAlign w:val="center"/>
          </w:tcPr>
          <w:p w14:paraId="6506DA1C" w14:textId="4D51549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.07</w:t>
            </w:r>
          </w:p>
        </w:tc>
        <w:tc>
          <w:tcPr>
            <w:tcW w:w="680" w:type="dxa"/>
            <w:shd w:val="clear" w:color="auto" w:fill="auto"/>
            <w:vAlign w:val="center"/>
          </w:tcPr>
          <w:p w14:paraId="52EA5F81" w14:textId="4859B329"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.27</w:t>
            </w:r>
            <w:r w:rsidRPr="00901D0D">
              <w:rPr>
                <w:rFonts w:cs="Times New Roman"/>
                <w:color w:val="000000"/>
                <w:sz w:val="20"/>
                <w:szCs w:val="20"/>
                <w:vertAlign w:val="superscript"/>
                <w:lang w:val="en-GB"/>
              </w:rPr>
              <w:t>*</w:t>
            </w:r>
            <w:r w:rsidR="00951509"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p>
        </w:tc>
        <w:tc>
          <w:tcPr>
            <w:tcW w:w="680" w:type="dxa"/>
            <w:shd w:val="clear" w:color="auto" w:fill="auto"/>
            <w:vAlign w:val="center"/>
          </w:tcPr>
          <w:p w14:paraId="045EB0F5" w14:textId="33F789E3" w:rsidR="0067541E" w:rsidRPr="00901D0D" w:rsidRDefault="00951509"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-.17</w:t>
            </w:r>
            <w:r w:rsidR="0067541E" w:rsidRPr="00901D0D">
              <w:rPr>
                <w:rFonts w:cs="Times New Roman"/>
                <w:color w:val="000000"/>
                <w:sz w:val="20"/>
                <w:szCs w:val="20"/>
                <w:vertAlign w:val="superscript"/>
                <w:lang w:val="en-GB"/>
              </w:rPr>
              <w:t>*</w:t>
            </w:r>
          </w:p>
        </w:tc>
        <w:tc>
          <w:tcPr>
            <w:tcW w:w="624" w:type="dxa"/>
            <w:shd w:val="clear" w:color="auto" w:fill="auto"/>
            <w:vAlign w:val="center"/>
          </w:tcPr>
          <w:p w14:paraId="3FB7595B" w14:textId="7CDB32A2" w:rsidR="0067541E" w:rsidRPr="00901D0D" w:rsidRDefault="00951509"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.14</w:t>
            </w:r>
          </w:p>
        </w:tc>
        <w:tc>
          <w:tcPr>
            <w:tcW w:w="624" w:type="dxa"/>
            <w:shd w:val="clear" w:color="auto" w:fill="auto"/>
            <w:vAlign w:val="center"/>
          </w:tcPr>
          <w:p w14:paraId="77EBD44B" w14:textId="7F8E9888"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16</w:t>
            </w:r>
            <w:r w:rsidRPr="00901D0D">
              <w:rPr>
                <w:rFonts w:cs="Times New Roman"/>
                <w:color w:val="000000"/>
                <w:sz w:val="20"/>
                <w:szCs w:val="20"/>
                <w:vertAlign w:val="superscript"/>
                <w:lang w:val="en-GB"/>
              </w:rPr>
              <w:t>*</w:t>
            </w:r>
          </w:p>
        </w:tc>
        <w:tc>
          <w:tcPr>
            <w:tcW w:w="624" w:type="dxa"/>
            <w:shd w:val="clear" w:color="auto" w:fill="auto"/>
            <w:vAlign w:val="center"/>
          </w:tcPr>
          <w:p w14:paraId="2D3C3217" w14:textId="3AF1D899" w:rsidR="0067541E" w:rsidRPr="00901D0D" w:rsidRDefault="00951509"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.24</w:t>
            </w:r>
            <w:r w:rsidR="0067541E" w:rsidRPr="00901D0D">
              <w:rPr>
                <w:rFonts w:cs="Times New Roman"/>
                <w:color w:val="000000"/>
                <w:sz w:val="20"/>
                <w:szCs w:val="20"/>
                <w:vertAlign w:val="superscript"/>
                <w:lang w:val="en-GB"/>
              </w:rPr>
              <w:t>**</w:t>
            </w:r>
          </w:p>
        </w:tc>
        <w:tc>
          <w:tcPr>
            <w:tcW w:w="624" w:type="dxa"/>
            <w:shd w:val="clear" w:color="auto" w:fill="auto"/>
            <w:vAlign w:val="center"/>
          </w:tcPr>
          <w:p w14:paraId="795A651C" w14:textId="6871B598" w:rsidR="0067541E" w:rsidRPr="00901D0D" w:rsidRDefault="00951509"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.13</w:t>
            </w:r>
          </w:p>
        </w:tc>
        <w:tc>
          <w:tcPr>
            <w:tcW w:w="624" w:type="dxa"/>
            <w:shd w:val="clear" w:color="auto" w:fill="auto"/>
            <w:vAlign w:val="center"/>
          </w:tcPr>
          <w:p w14:paraId="1BE5CB53" w14:textId="55838C71"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.06</w:t>
            </w:r>
          </w:p>
        </w:tc>
        <w:tc>
          <w:tcPr>
            <w:tcW w:w="624" w:type="dxa"/>
            <w:shd w:val="clear" w:color="auto" w:fill="auto"/>
            <w:vAlign w:val="center"/>
          </w:tcPr>
          <w:p w14:paraId="59B5F536" w14:textId="1392370F" w:rsidR="0067541E" w:rsidRPr="00901D0D" w:rsidRDefault="00951509"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.09</w:t>
            </w:r>
          </w:p>
        </w:tc>
        <w:tc>
          <w:tcPr>
            <w:tcW w:w="624" w:type="dxa"/>
            <w:shd w:val="clear" w:color="auto" w:fill="auto"/>
            <w:vAlign w:val="center"/>
          </w:tcPr>
          <w:p w14:paraId="348CEC17" w14:textId="4F6B99FE"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.0</w:t>
            </w:r>
            <w:r w:rsidR="00951509" w:rsidRPr="00901D0D">
              <w:rPr>
                <w:rFonts w:cs="Times New Roman"/>
                <w:sz w:val="20"/>
                <w:szCs w:val="20"/>
                <w:lang w:val="en-GB"/>
              </w:rPr>
              <w:t>1</w:t>
            </w:r>
          </w:p>
        </w:tc>
        <w:tc>
          <w:tcPr>
            <w:tcW w:w="624" w:type="dxa"/>
            <w:shd w:val="clear" w:color="auto" w:fill="auto"/>
            <w:vAlign w:val="center"/>
          </w:tcPr>
          <w:p w14:paraId="1D49EF2C" w14:textId="1AE43EE2"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-.01</w:t>
            </w:r>
          </w:p>
        </w:tc>
        <w:tc>
          <w:tcPr>
            <w:tcW w:w="624" w:type="dxa"/>
            <w:shd w:val="clear" w:color="auto" w:fill="auto"/>
            <w:vAlign w:val="center"/>
          </w:tcPr>
          <w:p w14:paraId="38692308" w14:textId="40F4D62B"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.04</w:t>
            </w:r>
          </w:p>
        </w:tc>
        <w:tc>
          <w:tcPr>
            <w:tcW w:w="624" w:type="dxa"/>
            <w:shd w:val="clear" w:color="auto" w:fill="auto"/>
            <w:vAlign w:val="center"/>
          </w:tcPr>
          <w:p w14:paraId="3471BEA7" w14:textId="208419A9" w:rsidR="0067541E" w:rsidRPr="00901D0D" w:rsidRDefault="00951509"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.09</w:t>
            </w:r>
          </w:p>
        </w:tc>
        <w:tc>
          <w:tcPr>
            <w:tcW w:w="624" w:type="dxa"/>
            <w:shd w:val="clear" w:color="auto" w:fill="auto"/>
            <w:vAlign w:val="center"/>
          </w:tcPr>
          <w:p w14:paraId="0AABD0DB" w14:textId="3495DF91"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-.01</w:t>
            </w:r>
          </w:p>
        </w:tc>
        <w:tc>
          <w:tcPr>
            <w:tcW w:w="624" w:type="dxa"/>
            <w:shd w:val="clear" w:color="auto" w:fill="auto"/>
            <w:vAlign w:val="center"/>
          </w:tcPr>
          <w:p w14:paraId="7C782045" w14:textId="47F367A3"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.31</w:t>
            </w:r>
            <w:r w:rsidRPr="00901D0D">
              <w:rPr>
                <w:rFonts w:cs="Times New Roman"/>
                <w:color w:val="000000"/>
                <w:sz w:val="20"/>
                <w:szCs w:val="20"/>
                <w:vertAlign w:val="superscript"/>
                <w:lang w:val="en-GB"/>
              </w:rPr>
              <w:t>*</w:t>
            </w:r>
            <w:r w:rsidR="00951509"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p>
        </w:tc>
        <w:tc>
          <w:tcPr>
            <w:tcW w:w="624" w:type="dxa"/>
            <w:shd w:val="clear" w:color="auto" w:fill="auto"/>
            <w:vAlign w:val="center"/>
          </w:tcPr>
          <w:p w14:paraId="71EE9177"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624" w:type="dxa"/>
            <w:shd w:val="clear" w:color="auto" w:fill="auto"/>
            <w:vAlign w:val="center"/>
          </w:tcPr>
          <w:p w14:paraId="5A40041F"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510" w:type="dxa"/>
            <w:shd w:val="clear" w:color="auto" w:fill="auto"/>
            <w:vAlign w:val="center"/>
          </w:tcPr>
          <w:p w14:paraId="4EC93FC7"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510" w:type="dxa"/>
            <w:shd w:val="clear" w:color="auto" w:fill="auto"/>
            <w:vAlign w:val="center"/>
          </w:tcPr>
          <w:p w14:paraId="04FE262D" w14:textId="37EB091C"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r>
      <w:tr w:rsidR="0067541E" w:rsidRPr="00901D0D" w14:paraId="472BA9EF" w14:textId="250B45F8" w:rsidTr="00B01C37">
        <w:trPr>
          <w:trHeight w:val="20"/>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vAlign w:val="center"/>
          </w:tcPr>
          <w:p w14:paraId="5728CDDA" w14:textId="0EA1A966" w:rsidR="0067541E" w:rsidRPr="00901D0D" w:rsidRDefault="0067541E" w:rsidP="0067541E">
            <w:pPr>
              <w:numPr>
                <w:ilvl w:val="0"/>
                <w:numId w:val="21"/>
              </w:numPr>
              <w:contextualSpacing/>
              <w:rPr>
                <w:rFonts w:eastAsia="Arial" w:cs="Times New Roman"/>
                <w:b w:val="0"/>
                <w:sz w:val="22"/>
                <w:lang w:val="en-GB"/>
              </w:rPr>
            </w:pPr>
            <w:r w:rsidRPr="00901D0D">
              <w:rPr>
                <w:rFonts w:eastAsia="Arial" w:cs="Times New Roman"/>
                <w:b w:val="0"/>
                <w:sz w:val="22"/>
                <w:lang w:val="en-GB"/>
              </w:rPr>
              <w:t xml:space="preserve"> Mathematics</w:t>
            </w:r>
          </w:p>
        </w:tc>
        <w:tc>
          <w:tcPr>
            <w:tcW w:w="624" w:type="dxa"/>
            <w:shd w:val="clear" w:color="auto" w:fill="auto"/>
            <w:vAlign w:val="center"/>
          </w:tcPr>
          <w:p w14:paraId="536DFF62" w14:textId="46C00764" w:rsidR="0067541E" w:rsidRPr="00901D0D" w:rsidRDefault="00951509"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.07</w:t>
            </w:r>
          </w:p>
        </w:tc>
        <w:tc>
          <w:tcPr>
            <w:tcW w:w="680" w:type="dxa"/>
            <w:shd w:val="clear" w:color="auto" w:fill="auto"/>
            <w:vAlign w:val="center"/>
          </w:tcPr>
          <w:p w14:paraId="3DEB2E9D" w14:textId="25FD503C"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.05</w:t>
            </w:r>
          </w:p>
        </w:tc>
        <w:tc>
          <w:tcPr>
            <w:tcW w:w="680" w:type="dxa"/>
            <w:shd w:val="clear" w:color="auto" w:fill="auto"/>
            <w:vAlign w:val="center"/>
          </w:tcPr>
          <w:p w14:paraId="026818FA" w14:textId="59E171BD"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.21</w:t>
            </w:r>
            <w:r w:rsidRPr="00901D0D">
              <w:rPr>
                <w:rFonts w:cs="Times New Roman"/>
                <w:color w:val="000000"/>
                <w:sz w:val="20"/>
                <w:szCs w:val="20"/>
                <w:vertAlign w:val="superscript"/>
                <w:lang w:val="en-GB"/>
              </w:rPr>
              <w:t>**</w:t>
            </w:r>
          </w:p>
        </w:tc>
        <w:tc>
          <w:tcPr>
            <w:tcW w:w="680" w:type="dxa"/>
            <w:shd w:val="clear" w:color="auto" w:fill="auto"/>
            <w:vAlign w:val="center"/>
          </w:tcPr>
          <w:p w14:paraId="6E92DD6C" w14:textId="3210F6DF" w:rsidR="0067541E" w:rsidRPr="00901D0D" w:rsidRDefault="00951509"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-.21</w:t>
            </w:r>
            <w:r w:rsidR="0067541E" w:rsidRPr="00901D0D">
              <w:rPr>
                <w:rFonts w:cs="Times New Roman"/>
                <w:color w:val="000000"/>
                <w:sz w:val="20"/>
                <w:szCs w:val="20"/>
                <w:vertAlign w:val="superscript"/>
                <w:lang w:val="en-GB"/>
              </w:rPr>
              <w:t>**</w:t>
            </w:r>
          </w:p>
        </w:tc>
        <w:tc>
          <w:tcPr>
            <w:tcW w:w="624" w:type="dxa"/>
            <w:shd w:val="clear" w:color="auto" w:fill="auto"/>
            <w:vAlign w:val="center"/>
          </w:tcPr>
          <w:p w14:paraId="134577B1" w14:textId="0032780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.16</w:t>
            </w:r>
            <w:r w:rsidRPr="00901D0D">
              <w:rPr>
                <w:rFonts w:cs="Times New Roman"/>
                <w:color w:val="000000"/>
                <w:sz w:val="20"/>
                <w:szCs w:val="20"/>
                <w:vertAlign w:val="superscript"/>
                <w:lang w:val="en-GB"/>
              </w:rPr>
              <w:t>*</w:t>
            </w:r>
          </w:p>
        </w:tc>
        <w:tc>
          <w:tcPr>
            <w:tcW w:w="624" w:type="dxa"/>
            <w:shd w:val="clear" w:color="auto" w:fill="auto"/>
            <w:vAlign w:val="center"/>
          </w:tcPr>
          <w:p w14:paraId="6B0D8AA7" w14:textId="7891EE34"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20</w:t>
            </w:r>
            <w:r w:rsidRPr="00901D0D">
              <w:rPr>
                <w:rFonts w:cs="Times New Roman"/>
                <w:color w:val="000000"/>
                <w:sz w:val="20"/>
                <w:szCs w:val="20"/>
                <w:vertAlign w:val="superscript"/>
                <w:lang w:val="en-GB"/>
              </w:rPr>
              <w:t>**</w:t>
            </w:r>
          </w:p>
        </w:tc>
        <w:tc>
          <w:tcPr>
            <w:tcW w:w="624" w:type="dxa"/>
            <w:shd w:val="clear" w:color="auto" w:fill="auto"/>
            <w:vAlign w:val="center"/>
          </w:tcPr>
          <w:p w14:paraId="018D2235" w14:textId="7CBA5430" w:rsidR="0067541E" w:rsidRPr="00901D0D" w:rsidRDefault="00951509"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.28</w:t>
            </w:r>
            <w:r w:rsidR="0067541E"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r w:rsidR="0067541E" w:rsidRPr="00901D0D">
              <w:rPr>
                <w:rFonts w:cs="Times New Roman"/>
                <w:color w:val="000000"/>
                <w:sz w:val="20"/>
                <w:szCs w:val="20"/>
                <w:vertAlign w:val="superscript"/>
                <w:lang w:val="en-GB"/>
              </w:rPr>
              <w:t>*</w:t>
            </w:r>
          </w:p>
        </w:tc>
        <w:tc>
          <w:tcPr>
            <w:tcW w:w="624" w:type="dxa"/>
            <w:shd w:val="clear" w:color="auto" w:fill="auto"/>
            <w:vAlign w:val="center"/>
          </w:tcPr>
          <w:p w14:paraId="1E65F059" w14:textId="3B131CEB"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.1</w:t>
            </w:r>
            <w:r w:rsidR="00951509" w:rsidRPr="00901D0D">
              <w:rPr>
                <w:rFonts w:cs="Times New Roman"/>
                <w:sz w:val="20"/>
                <w:szCs w:val="20"/>
                <w:lang w:val="en-GB"/>
              </w:rPr>
              <w:t>6</w:t>
            </w:r>
            <w:r w:rsidRPr="00901D0D">
              <w:rPr>
                <w:rFonts w:cs="Times New Roman"/>
                <w:color w:val="000000"/>
                <w:sz w:val="20"/>
                <w:szCs w:val="20"/>
                <w:vertAlign w:val="superscript"/>
                <w:lang w:val="en-GB"/>
              </w:rPr>
              <w:t>*</w:t>
            </w:r>
          </w:p>
        </w:tc>
        <w:tc>
          <w:tcPr>
            <w:tcW w:w="624" w:type="dxa"/>
            <w:shd w:val="clear" w:color="auto" w:fill="auto"/>
            <w:vAlign w:val="center"/>
          </w:tcPr>
          <w:p w14:paraId="47C23670" w14:textId="68FBF06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.1</w:t>
            </w:r>
            <w:r w:rsidR="00951509" w:rsidRPr="00901D0D">
              <w:rPr>
                <w:rFonts w:cs="Times New Roman"/>
                <w:sz w:val="20"/>
                <w:szCs w:val="20"/>
                <w:lang w:val="en-GB"/>
              </w:rPr>
              <w:t>3</w:t>
            </w:r>
          </w:p>
        </w:tc>
        <w:tc>
          <w:tcPr>
            <w:tcW w:w="624" w:type="dxa"/>
            <w:shd w:val="clear" w:color="auto" w:fill="auto"/>
            <w:vAlign w:val="center"/>
          </w:tcPr>
          <w:p w14:paraId="00AF3D32" w14:textId="7BE4CCD0" w:rsidR="0067541E" w:rsidRPr="00901D0D" w:rsidRDefault="00951509"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.05</w:t>
            </w:r>
          </w:p>
        </w:tc>
        <w:tc>
          <w:tcPr>
            <w:tcW w:w="624" w:type="dxa"/>
            <w:shd w:val="clear" w:color="auto" w:fill="auto"/>
            <w:vAlign w:val="center"/>
          </w:tcPr>
          <w:p w14:paraId="5DCB6281" w14:textId="60E77CAE" w:rsidR="0067541E" w:rsidRPr="00901D0D" w:rsidRDefault="00951509"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w:t>
            </w:r>
            <w:r w:rsidR="0067541E" w:rsidRPr="00901D0D">
              <w:rPr>
                <w:rFonts w:cs="Times New Roman"/>
                <w:sz w:val="20"/>
                <w:szCs w:val="20"/>
                <w:lang w:val="en-GB"/>
              </w:rPr>
              <w:t>.09</w:t>
            </w:r>
          </w:p>
        </w:tc>
        <w:tc>
          <w:tcPr>
            <w:tcW w:w="624" w:type="dxa"/>
            <w:shd w:val="clear" w:color="auto" w:fill="auto"/>
            <w:vAlign w:val="center"/>
          </w:tcPr>
          <w:p w14:paraId="5E8EE9AC" w14:textId="48E6F3E6"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-.0</w:t>
            </w:r>
            <w:r w:rsidR="00951509" w:rsidRPr="00901D0D">
              <w:rPr>
                <w:rFonts w:cs="Times New Roman"/>
                <w:sz w:val="20"/>
                <w:szCs w:val="20"/>
                <w:lang w:val="en-GB"/>
              </w:rPr>
              <w:t>8</w:t>
            </w:r>
          </w:p>
        </w:tc>
        <w:tc>
          <w:tcPr>
            <w:tcW w:w="624" w:type="dxa"/>
            <w:shd w:val="clear" w:color="auto" w:fill="auto"/>
            <w:vAlign w:val="center"/>
          </w:tcPr>
          <w:p w14:paraId="2BA745A0" w14:textId="3C00D415"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.13</w:t>
            </w:r>
          </w:p>
        </w:tc>
        <w:tc>
          <w:tcPr>
            <w:tcW w:w="624" w:type="dxa"/>
            <w:shd w:val="clear" w:color="auto" w:fill="auto"/>
            <w:vAlign w:val="center"/>
          </w:tcPr>
          <w:p w14:paraId="4B26D24E" w14:textId="56BAD5E2" w:rsidR="0067541E" w:rsidRPr="00901D0D" w:rsidRDefault="00951509"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.04</w:t>
            </w:r>
          </w:p>
        </w:tc>
        <w:tc>
          <w:tcPr>
            <w:tcW w:w="624" w:type="dxa"/>
            <w:shd w:val="clear" w:color="auto" w:fill="auto"/>
            <w:vAlign w:val="center"/>
          </w:tcPr>
          <w:p w14:paraId="2B5EE99B" w14:textId="69FD08DB" w:rsidR="0067541E" w:rsidRPr="00901D0D" w:rsidRDefault="00951509"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-.16</w:t>
            </w:r>
            <w:r w:rsidR="0067541E" w:rsidRPr="00901D0D">
              <w:rPr>
                <w:rFonts w:cs="Times New Roman"/>
                <w:color w:val="000000"/>
                <w:sz w:val="20"/>
                <w:szCs w:val="20"/>
                <w:vertAlign w:val="superscript"/>
                <w:lang w:val="en-GB"/>
              </w:rPr>
              <w:t>*</w:t>
            </w:r>
          </w:p>
        </w:tc>
        <w:tc>
          <w:tcPr>
            <w:tcW w:w="624" w:type="dxa"/>
            <w:shd w:val="clear" w:color="auto" w:fill="auto"/>
            <w:vAlign w:val="center"/>
          </w:tcPr>
          <w:p w14:paraId="7334AF08" w14:textId="5FDBA9F6" w:rsidR="0067541E" w:rsidRPr="00901D0D" w:rsidRDefault="00951509"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.51</w:t>
            </w:r>
            <w:r w:rsidR="0067541E"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r w:rsidR="0067541E" w:rsidRPr="00901D0D">
              <w:rPr>
                <w:rFonts w:cs="Times New Roman"/>
                <w:color w:val="000000"/>
                <w:sz w:val="20"/>
                <w:szCs w:val="20"/>
                <w:vertAlign w:val="superscript"/>
                <w:lang w:val="en-GB"/>
              </w:rPr>
              <w:t>*</w:t>
            </w:r>
          </w:p>
        </w:tc>
        <w:tc>
          <w:tcPr>
            <w:tcW w:w="624" w:type="dxa"/>
            <w:shd w:val="clear" w:color="auto" w:fill="auto"/>
            <w:vAlign w:val="center"/>
          </w:tcPr>
          <w:p w14:paraId="4C2C3B01" w14:textId="14397247" w:rsidR="0067541E" w:rsidRPr="00901D0D" w:rsidRDefault="00951509"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.42</w:t>
            </w:r>
            <w:r w:rsidR="0067541E"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r w:rsidR="0067541E" w:rsidRPr="00901D0D">
              <w:rPr>
                <w:rFonts w:cs="Times New Roman"/>
                <w:color w:val="000000"/>
                <w:sz w:val="20"/>
                <w:szCs w:val="20"/>
                <w:vertAlign w:val="superscript"/>
                <w:lang w:val="en-GB"/>
              </w:rPr>
              <w:t>*</w:t>
            </w:r>
          </w:p>
        </w:tc>
        <w:tc>
          <w:tcPr>
            <w:tcW w:w="624" w:type="dxa"/>
            <w:shd w:val="clear" w:color="auto" w:fill="auto"/>
            <w:vAlign w:val="center"/>
          </w:tcPr>
          <w:p w14:paraId="25D5EE9A"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510" w:type="dxa"/>
            <w:shd w:val="clear" w:color="auto" w:fill="auto"/>
            <w:vAlign w:val="center"/>
          </w:tcPr>
          <w:p w14:paraId="3FAE3C61" w14:textId="77777777"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c>
          <w:tcPr>
            <w:tcW w:w="510" w:type="dxa"/>
            <w:shd w:val="clear" w:color="auto" w:fill="auto"/>
            <w:vAlign w:val="center"/>
          </w:tcPr>
          <w:p w14:paraId="3C8808B8" w14:textId="19A08F82"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r>
      <w:tr w:rsidR="0067541E" w:rsidRPr="00901D0D" w14:paraId="7F0BACF9" w14:textId="49C35B93" w:rsidTr="00B01C3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vAlign w:val="center"/>
          </w:tcPr>
          <w:p w14:paraId="7123228B" w14:textId="4707FD2B" w:rsidR="0067541E" w:rsidRPr="00901D0D" w:rsidRDefault="0067541E" w:rsidP="0067541E">
            <w:pPr>
              <w:numPr>
                <w:ilvl w:val="0"/>
                <w:numId w:val="21"/>
              </w:numPr>
              <w:contextualSpacing/>
              <w:rPr>
                <w:rFonts w:eastAsia="Arial" w:cs="Times New Roman"/>
                <w:b w:val="0"/>
                <w:sz w:val="22"/>
                <w:lang w:val="en-GB"/>
              </w:rPr>
            </w:pPr>
            <w:r w:rsidRPr="00901D0D">
              <w:rPr>
                <w:rFonts w:eastAsia="Arial" w:cs="Times New Roman"/>
                <w:b w:val="0"/>
                <w:sz w:val="22"/>
                <w:lang w:val="en-GB"/>
              </w:rPr>
              <w:t xml:space="preserve"> Statistics</w:t>
            </w:r>
          </w:p>
        </w:tc>
        <w:tc>
          <w:tcPr>
            <w:tcW w:w="624" w:type="dxa"/>
            <w:shd w:val="clear" w:color="auto" w:fill="auto"/>
            <w:vAlign w:val="center"/>
          </w:tcPr>
          <w:p w14:paraId="6BF11DD6" w14:textId="14FB895C" w:rsidR="0067541E" w:rsidRPr="00901D0D" w:rsidRDefault="00951509"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.13</w:t>
            </w:r>
          </w:p>
        </w:tc>
        <w:tc>
          <w:tcPr>
            <w:tcW w:w="680" w:type="dxa"/>
            <w:shd w:val="clear" w:color="auto" w:fill="auto"/>
            <w:vAlign w:val="center"/>
          </w:tcPr>
          <w:p w14:paraId="1C1297F3" w14:textId="48B97C56"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.06</w:t>
            </w:r>
          </w:p>
        </w:tc>
        <w:tc>
          <w:tcPr>
            <w:tcW w:w="680" w:type="dxa"/>
            <w:shd w:val="clear" w:color="auto" w:fill="auto"/>
            <w:vAlign w:val="center"/>
          </w:tcPr>
          <w:p w14:paraId="105C0CD6" w14:textId="6B220618"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.22</w:t>
            </w:r>
            <w:r w:rsidRPr="00901D0D">
              <w:rPr>
                <w:rFonts w:cs="Times New Roman"/>
                <w:color w:val="000000"/>
                <w:sz w:val="20"/>
                <w:szCs w:val="20"/>
                <w:vertAlign w:val="superscript"/>
                <w:lang w:val="en-GB"/>
              </w:rPr>
              <w:t>**</w:t>
            </w:r>
          </w:p>
        </w:tc>
        <w:tc>
          <w:tcPr>
            <w:tcW w:w="680" w:type="dxa"/>
            <w:shd w:val="clear" w:color="auto" w:fill="auto"/>
            <w:vAlign w:val="center"/>
          </w:tcPr>
          <w:p w14:paraId="36653320" w14:textId="4FDB99EF"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-.17</w:t>
            </w:r>
            <w:r w:rsidRPr="00901D0D">
              <w:rPr>
                <w:rFonts w:cs="Times New Roman"/>
                <w:color w:val="000000"/>
                <w:sz w:val="20"/>
                <w:szCs w:val="20"/>
                <w:vertAlign w:val="superscript"/>
                <w:lang w:val="en-GB"/>
              </w:rPr>
              <w:t>*</w:t>
            </w:r>
          </w:p>
        </w:tc>
        <w:tc>
          <w:tcPr>
            <w:tcW w:w="624" w:type="dxa"/>
            <w:shd w:val="clear" w:color="auto" w:fill="auto"/>
            <w:vAlign w:val="center"/>
          </w:tcPr>
          <w:p w14:paraId="6367341B" w14:textId="2B334BBB"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.16</w:t>
            </w:r>
            <w:r w:rsidRPr="00901D0D">
              <w:rPr>
                <w:rFonts w:cs="Times New Roman"/>
                <w:color w:val="000000"/>
                <w:sz w:val="20"/>
                <w:szCs w:val="20"/>
                <w:vertAlign w:val="superscript"/>
                <w:lang w:val="en-GB"/>
              </w:rPr>
              <w:t>*</w:t>
            </w:r>
          </w:p>
        </w:tc>
        <w:tc>
          <w:tcPr>
            <w:tcW w:w="624" w:type="dxa"/>
            <w:shd w:val="clear" w:color="auto" w:fill="auto"/>
            <w:vAlign w:val="center"/>
          </w:tcPr>
          <w:p w14:paraId="0946D5B7" w14:textId="27D112CD"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.16</w:t>
            </w:r>
            <w:r w:rsidRPr="00901D0D">
              <w:rPr>
                <w:rFonts w:cs="Times New Roman"/>
                <w:color w:val="000000"/>
                <w:sz w:val="20"/>
                <w:szCs w:val="20"/>
                <w:vertAlign w:val="superscript"/>
                <w:lang w:val="en-GB"/>
              </w:rPr>
              <w:t>*</w:t>
            </w:r>
          </w:p>
        </w:tc>
        <w:tc>
          <w:tcPr>
            <w:tcW w:w="624" w:type="dxa"/>
            <w:shd w:val="clear" w:color="auto" w:fill="auto"/>
            <w:vAlign w:val="center"/>
          </w:tcPr>
          <w:p w14:paraId="7D818227" w14:textId="1CA67404"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24</w:t>
            </w:r>
            <w:r w:rsidRPr="00901D0D">
              <w:rPr>
                <w:rFonts w:cs="Times New Roman"/>
                <w:color w:val="000000"/>
                <w:sz w:val="20"/>
                <w:szCs w:val="20"/>
                <w:vertAlign w:val="superscript"/>
                <w:lang w:val="en-GB"/>
              </w:rPr>
              <w:t>**</w:t>
            </w:r>
          </w:p>
        </w:tc>
        <w:tc>
          <w:tcPr>
            <w:tcW w:w="624" w:type="dxa"/>
            <w:shd w:val="clear" w:color="auto" w:fill="auto"/>
            <w:vAlign w:val="center"/>
          </w:tcPr>
          <w:p w14:paraId="6C6B069B" w14:textId="7D654D51"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.13</w:t>
            </w:r>
          </w:p>
        </w:tc>
        <w:tc>
          <w:tcPr>
            <w:tcW w:w="624" w:type="dxa"/>
            <w:shd w:val="clear" w:color="auto" w:fill="auto"/>
            <w:vAlign w:val="center"/>
          </w:tcPr>
          <w:p w14:paraId="60E94CA3" w14:textId="27436E51"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.07</w:t>
            </w:r>
          </w:p>
        </w:tc>
        <w:tc>
          <w:tcPr>
            <w:tcW w:w="624" w:type="dxa"/>
            <w:shd w:val="clear" w:color="auto" w:fill="auto"/>
            <w:vAlign w:val="center"/>
          </w:tcPr>
          <w:p w14:paraId="712DEB71" w14:textId="0E7A10D7" w:rsidR="0067541E" w:rsidRPr="00901D0D" w:rsidRDefault="00951509"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.08</w:t>
            </w:r>
          </w:p>
        </w:tc>
        <w:tc>
          <w:tcPr>
            <w:tcW w:w="624" w:type="dxa"/>
            <w:shd w:val="clear" w:color="auto" w:fill="auto"/>
            <w:vAlign w:val="center"/>
          </w:tcPr>
          <w:p w14:paraId="09AE5347" w14:textId="21DF0485" w:rsidR="0067541E" w:rsidRPr="00901D0D" w:rsidRDefault="00951509"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w:t>
            </w:r>
            <w:r w:rsidR="0067541E" w:rsidRPr="00901D0D">
              <w:rPr>
                <w:rFonts w:cs="Times New Roman"/>
                <w:sz w:val="20"/>
                <w:szCs w:val="20"/>
                <w:lang w:val="en-GB"/>
              </w:rPr>
              <w:t>.07</w:t>
            </w:r>
          </w:p>
        </w:tc>
        <w:tc>
          <w:tcPr>
            <w:tcW w:w="624" w:type="dxa"/>
            <w:shd w:val="clear" w:color="auto" w:fill="auto"/>
            <w:vAlign w:val="center"/>
          </w:tcPr>
          <w:p w14:paraId="7FBD7CC4" w14:textId="5F27977E"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-.05</w:t>
            </w:r>
          </w:p>
        </w:tc>
        <w:tc>
          <w:tcPr>
            <w:tcW w:w="624" w:type="dxa"/>
            <w:shd w:val="clear" w:color="auto" w:fill="auto"/>
            <w:vAlign w:val="center"/>
          </w:tcPr>
          <w:p w14:paraId="23687154" w14:textId="31FEE648"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.10</w:t>
            </w:r>
          </w:p>
        </w:tc>
        <w:tc>
          <w:tcPr>
            <w:tcW w:w="624" w:type="dxa"/>
            <w:shd w:val="clear" w:color="auto" w:fill="auto"/>
            <w:vAlign w:val="center"/>
          </w:tcPr>
          <w:p w14:paraId="78D05C62" w14:textId="5F00534E" w:rsidR="0067541E" w:rsidRPr="00901D0D" w:rsidRDefault="00951509"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.05</w:t>
            </w:r>
          </w:p>
        </w:tc>
        <w:tc>
          <w:tcPr>
            <w:tcW w:w="624" w:type="dxa"/>
            <w:shd w:val="clear" w:color="auto" w:fill="auto"/>
            <w:vAlign w:val="center"/>
          </w:tcPr>
          <w:p w14:paraId="6C7516A2" w14:textId="59A142E5"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.15</w:t>
            </w:r>
          </w:p>
        </w:tc>
        <w:tc>
          <w:tcPr>
            <w:tcW w:w="624" w:type="dxa"/>
            <w:shd w:val="clear" w:color="auto" w:fill="auto"/>
            <w:vAlign w:val="center"/>
          </w:tcPr>
          <w:p w14:paraId="62F22894" w14:textId="091422BB"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51</w:t>
            </w:r>
            <w:r w:rsidRPr="00901D0D">
              <w:rPr>
                <w:rFonts w:cs="Times New Roman"/>
                <w:color w:val="000000"/>
                <w:sz w:val="20"/>
                <w:szCs w:val="20"/>
                <w:vertAlign w:val="superscript"/>
                <w:lang w:val="en-GB"/>
              </w:rPr>
              <w:t>*</w:t>
            </w:r>
            <w:r w:rsidR="00951509"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p>
        </w:tc>
        <w:tc>
          <w:tcPr>
            <w:tcW w:w="624" w:type="dxa"/>
            <w:shd w:val="clear" w:color="auto" w:fill="auto"/>
            <w:vAlign w:val="center"/>
          </w:tcPr>
          <w:p w14:paraId="57959562" w14:textId="1D4B26F0"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.4</w:t>
            </w:r>
            <w:r w:rsidR="00951509" w:rsidRPr="00901D0D">
              <w:rPr>
                <w:rFonts w:cs="Times New Roman"/>
                <w:sz w:val="20"/>
                <w:szCs w:val="20"/>
                <w:lang w:val="en-GB"/>
              </w:rPr>
              <w:t>6</w:t>
            </w:r>
            <w:r w:rsidRPr="00901D0D">
              <w:rPr>
                <w:rFonts w:cs="Times New Roman"/>
                <w:color w:val="000000"/>
                <w:sz w:val="20"/>
                <w:szCs w:val="20"/>
                <w:vertAlign w:val="superscript"/>
                <w:lang w:val="en-GB"/>
              </w:rPr>
              <w:t>*</w:t>
            </w:r>
            <w:r w:rsidR="00951509"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p>
        </w:tc>
        <w:tc>
          <w:tcPr>
            <w:tcW w:w="624" w:type="dxa"/>
            <w:shd w:val="clear" w:color="auto" w:fill="auto"/>
            <w:vAlign w:val="center"/>
          </w:tcPr>
          <w:p w14:paraId="7EE3E370" w14:textId="4DE753D0"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67</w:t>
            </w:r>
            <w:r w:rsidRPr="00901D0D">
              <w:rPr>
                <w:rFonts w:cs="Times New Roman"/>
                <w:color w:val="000000"/>
                <w:sz w:val="20"/>
                <w:szCs w:val="20"/>
                <w:vertAlign w:val="superscript"/>
                <w:lang w:val="en-GB"/>
              </w:rPr>
              <w:t>*</w:t>
            </w:r>
            <w:r w:rsidR="00951509" w:rsidRPr="00901D0D">
              <w:rPr>
                <w:rFonts w:cs="Times New Roman"/>
                <w:color w:val="000000"/>
                <w:sz w:val="20"/>
                <w:szCs w:val="20"/>
                <w:vertAlign w:val="superscript"/>
                <w:lang w:val="en-GB"/>
              </w:rPr>
              <w:t>*</w:t>
            </w:r>
            <w:r w:rsidRPr="00901D0D">
              <w:rPr>
                <w:rFonts w:cs="Times New Roman"/>
                <w:color w:val="000000"/>
                <w:sz w:val="20"/>
                <w:szCs w:val="20"/>
                <w:vertAlign w:val="superscript"/>
                <w:lang w:val="en-GB"/>
              </w:rPr>
              <w:t>*</w:t>
            </w:r>
          </w:p>
        </w:tc>
        <w:tc>
          <w:tcPr>
            <w:tcW w:w="510" w:type="dxa"/>
            <w:shd w:val="clear" w:color="auto" w:fill="auto"/>
            <w:vAlign w:val="center"/>
          </w:tcPr>
          <w:p w14:paraId="67A62847"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c>
          <w:tcPr>
            <w:tcW w:w="510" w:type="dxa"/>
            <w:shd w:val="clear" w:color="auto" w:fill="auto"/>
            <w:vAlign w:val="center"/>
          </w:tcPr>
          <w:p w14:paraId="669D0359" w14:textId="1A4F1A06"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r>
      <w:tr w:rsidR="00E37420" w:rsidRPr="00901D0D" w14:paraId="78D225EB" w14:textId="77777777" w:rsidTr="00B01C37">
        <w:trPr>
          <w:trHeight w:val="20"/>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vAlign w:val="center"/>
          </w:tcPr>
          <w:p w14:paraId="089472FF" w14:textId="4F5DACD5" w:rsidR="00E37420" w:rsidRPr="00901D0D" w:rsidRDefault="00E37420" w:rsidP="00E37420">
            <w:pPr>
              <w:ind w:firstLine="0"/>
              <w:contextualSpacing/>
              <w:rPr>
                <w:rFonts w:eastAsia="Arial" w:cs="Times New Roman"/>
                <w:b w:val="0"/>
                <w:sz w:val="22"/>
                <w:lang w:val="en-GB"/>
              </w:rPr>
            </w:pPr>
            <w:r w:rsidRPr="00901D0D">
              <w:rPr>
                <w:rFonts w:eastAsia="Arial" w:cs="Times New Roman"/>
                <w:b w:val="0"/>
                <w:sz w:val="22"/>
                <w:lang w:val="en-GB"/>
              </w:rPr>
              <w:t>Order</w:t>
            </w:r>
          </w:p>
        </w:tc>
        <w:tc>
          <w:tcPr>
            <w:tcW w:w="624" w:type="dxa"/>
            <w:shd w:val="clear" w:color="auto" w:fill="auto"/>
            <w:vAlign w:val="center"/>
          </w:tcPr>
          <w:p w14:paraId="420C4427" w14:textId="77777777" w:rsidR="00E37420" w:rsidRPr="00901D0D" w:rsidRDefault="00E37420"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p>
        </w:tc>
        <w:tc>
          <w:tcPr>
            <w:tcW w:w="680" w:type="dxa"/>
            <w:shd w:val="clear" w:color="auto" w:fill="auto"/>
            <w:vAlign w:val="center"/>
          </w:tcPr>
          <w:p w14:paraId="6B9F69C0" w14:textId="77777777" w:rsidR="00E37420" w:rsidRPr="00901D0D" w:rsidRDefault="00E37420"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p>
        </w:tc>
        <w:tc>
          <w:tcPr>
            <w:tcW w:w="680" w:type="dxa"/>
            <w:shd w:val="clear" w:color="auto" w:fill="auto"/>
            <w:vAlign w:val="center"/>
          </w:tcPr>
          <w:p w14:paraId="5DA8E5EE" w14:textId="77777777" w:rsidR="00E37420" w:rsidRPr="00901D0D" w:rsidRDefault="00E37420"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p>
        </w:tc>
        <w:tc>
          <w:tcPr>
            <w:tcW w:w="680" w:type="dxa"/>
            <w:shd w:val="clear" w:color="auto" w:fill="auto"/>
            <w:vAlign w:val="center"/>
          </w:tcPr>
          <w:p w14:paraId="3389CCFA" w14:textId="77777777" w:rsidR="00E37420" w:rsidRPr="00901D0D" w:rsidRDefault="00E37420"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p>
        </w:tc>
        <w:tc>
          <w:tcPr>
            <w:tcW w:w="624" w:type="dxa"/>
            <w:shd w:val="clear" w:color="auto" w:fill="auto"/>
            <w:vAlign w:val="center"/>
          </w:tcPr>
          <w:p w14:paraId="488973C7" w14:textId="77777777" w:rsidR="00E37420" w:rsidRPr="00901D0D" w:rsidRDefault="00E37420"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p>
        </w:tc>
        <w:tc>
          <w:tcPr>
            <w:tcW w:w="624" w:type="dxa"/>
            <w:shd w:val="clear" w:color="auto" w:fill="auto"/>
            <w:vAlign w:val="center"/>
          </w:tcPr>
          <w:p w14:paraId="5C2B74C7" w14:textId="77777777" w:rsidR="00E37420" w:rsidRPr="00901D0D" w:rsidRDefault="00E37420"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p>
        </w:tc>
        <w:tc>
          <w:tcPr>
            <w:tcW w:w="624" w:type="dxa"/>
            <w:shd w:val="clear" w:color="auto" w:fill="auto"/>
            <w:vAlign w:val="center"/>
          </w:tcPr>
          <w:p w14:paraId="0A2BEE2F" w14:textId="77777777" w:rsidR="00E37420" w:rsidRPr="00901D0D" w:rsidRDefault="00E37420"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p>
        </w:tc>
        <w:tc>
          <w:tcPr>
            <w:tcW w:w="624" w:type="dxa"/>
            <w:shd w:val="clear" w:color="auto" w:fill="auto"/>
            <w:vAlign w:val="center"/>
          </w:tcPr>
          <w:p w14:paraId="525D262A" w14:textId="77777777" w:rsidR="00E37420" w:rsidRPr="00901D0D" w:rsidRDefault="00E37420"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p>
        </w:tc>
        <w:tc>
          <w:tcPr>
            <w:tcW w:w="624" w:type="dxa"/>
            <w:shd w:val="clear" w:color="auto" w:fill="auto"/>
            <w:vAlign w:val="center"/>
          </w:tcPr>
          <w:p w14:paraId="5A8DEFB9" w14:textId="77777777" w:rsidR="00E37420" w:rsidRPr="00901D0D" w:rsidRDefault="00E37420"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p>
        </w:tc>
        <w:tc>
          <w:tcPr>
            <w:tcW w:w="624" w:type="dxa"/>
            <w:shd w:val="clear" w:color="auto" w:fill="auto"/>
            <w:vAlign w:val="center"/>
          </w:tcPr>
          <w:p w14:paraId="12327D94" w14:textId="77777777" w:rsidR="00E37420" w:rsidRPr="00901D0D" w:rsidRDefault="00E37420"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p>
        </w:tc>
        <w:tc>
          <w:tcPr>
            <w:tcW w:w="624" w:type="dxa"/>
            <w:shd w:val="clear" w:color="auto" w:fill="auto"/>
            <w:vAlign w:val="center"/>
          </w:tcPr>
          <w:p w14:paraId="3608436C" w14:textId="77777777" w:rsidR="00E37420" w:rsidRPr="00901D0D" w:rsidRDefault="00E37420"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p>
        </w:tc>
        <w:tc>
          <w:tcPr>
            <w:tcW w:w="624" w:type="dxa"/>
            <w:shd w:val="clear" w:color="auto" w:fill="auto"/>
            <w:vAlign w:val="center"/>
          </w:tcPr>
          <w:p w14:paraId="760F69F6" w14:textId="77777777" w:rsidR="00E37420" w:rsidRPr="00901D0D" w:rsidRDefault="00E37420"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p>
        </w:tc>
        <w:tc>
          <w:tcPr>
            <w:tcW w:w="624" w:type="dxa"/>
            <w:shd w:val="clear" w:color="auto" w:fill="auto"/>
            <w:vAlign w:val="center"/>
          </w:tcPr>
          <w:p w14:paraId="4860F981" w14:textId="77777777" w:rsidR="00E37420" w:rsidRPr="00901D0D" w:rsidRDefault="00E37420"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p>
        </w:tc>
        <w:tc>
          <w:tcPr>
            <w:tcW w:w="624" w:type="dxa"/>
            <w:shd w:val="clear" w:color="auto" w:fill="auto"/>
            <w:vAlign w:val="center"/>
          </w:tcPr>
          <w:p w14:paraId="4B509C82" w14:textId="77777777" w:rsidR="00E37420" w:rsidRPr="00901D0D" w:rsidRDefault="00E37420"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p>
        </w:tc>
        <w:tc>
          <w:tcPr>
            <w:tcW w:w="624" w:type="dxa"/>
            <w:shd w:val="clear" w:color="auto" w:fill="auto"/>
            <w:vAlign w:val="center"/>
          </w:tcPr>
          <w:p w14:paraId="6E910E7A" w14:textId="77777777" w:rsidR="00E37420" w:rsidRPr="00901D0D" w:rsidRDefault="00E37420"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p>
        </w:tc>
        <w:tc>
          <w:tcPr>
            <w:tcW w:w="624" w:type="dxa"/>
            <w:shd w:val="clear" w:color="auto" w:fill="auto"/>
            <w:vAlign w:val="center"/>
          </w:tcPr>
          <w:p w14:paraId="4DE543B3" w14:textId="77777777" w:rsidR="00E37420" w:rsidRPr="00901D0D" w:rsidRDefault="00E37420"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p>
        </w:tc>
        <w:tc>
          <w:tcPr>
            <w:tcW w:w="624" w:type="dxa"/>
            <w:shd w:val="clear" w:color="auto" w:fill="auto"/>
            <w:vAlign w:val="center"/>
          </w:tcPr>
          <w:p w14:paraId="6F62FAB9" w14:textId="77777777" w:rsidR="00E37420" w:rsidRPr="00901D0D" w:rsidRDefault="00E37420"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p>
        </w:tc>
        <w:tc>
          <w:tcPr>
            <w:tcW w:w="624" w:type="dxa"/>
            <w:shd w:val="clear" w:color="auto" w:fill="auto"/>
            <w:vAlign w:val="center"/>
          </w:tcPr>
          <w:p w14:paraId="43397D19" w14:textId="77777777" w:rsidR="00E37420" w:rsidRPr="00901D0D" w:rsidRDefault="00E37420"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p>
        </w:tc>
        <w:tc>
          <w:tcPr>
            <w:tcW w:w="510" w:type="dxa"/>
            <w:shd w:val="clear" w:color="auto" w:fill="auto"/>
            <w:vAlign w:val="center"/>
          </w:tcPr>
          <w:p w14:paraId="0F810585" w14:textId="77777777" w:rsidR="00E37420" w:rsidRPr="00901D0D" w:rsidRDefault="00E37420"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p>
        </w:tc>
        <w:tc>
          <w:tcPr>
            <w:tcW w:w="510" w:type="dxa"/>
            <w:shd w:val="clear" w:color="auto" w:fill="auto"/>
            <w:vAlign w:val="center"/>
          </w:tcPr>
          <w:p w14:paraId="63BD8632" w14:textId="77777777" w:rsidR="00E37420" w:rsidRPr="00901D0D" w:rsidRDefault="00E37420"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p>
        </w:tc>
      </w:tr>
      <w:tr w:rsidR="0067541E" w:rsidRPr="00901D0D" w14:paraId="78C881C7" w14:textId="77777777" w:rsidTr="00B01C3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vAlign w:val="center"/>
          </w:tcPr>
          <w:p w14:paraId="41E97F1F" w14:textId="4C0CA7F5" w:rsidR="0067541E" w:rsidRPr="00901D0D" w:rsidRDefault="0067541E" w:rsidP="0067541E">
            <w:pPr>
              <w:numPr>
                <w:ilvl w:val="0"/>
                <w:numId w:val="21"/>
              </w:numPr>
              <w:contextualSpacing/>
              <w:rPr>
                <w:rFonts w:eastAsia="Arial" w:cs="Times New Roman"/>
                <w:b w:val="0"/>
                <w:sz w:val="22"/>
                <w:lang w:val="en-GB"/>
              </w:rPr>
            </w:pPr>
            <w:r w:rsidRPr="00901D0D">
              <w:rPr>
                <w:rFonts w:eastAsia="Arial" w:cs="Times New Roman"/>
                <w:b w:val="0"/>
                <w:sz w:val="22"/>
                <w:lang w:val="en-GB"/>
              </w:rPr>
              <w:t xml:space="preserve"> Survey</w:t>
            </w:r>
          </w:p>
        </w:tc>
        <w:tc>
          <w:tcPr>
            <w:tcW w:w="624" w:type="dxa"/>
            <w:shd w:val="clear" w:color="auto" w:fill="auto"/>
            <w:vAlign w:val="center"/>
          </w:tcPr>
          <w:p w14:paraId="35BE94C4" w14:textId="74736791" w:rsidR="0067541E" w:rsidRPr="00901D0D" w:rsidRDefault="00951509"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.02</w:t>
            </w:r>
          </w:p>
        </w:tc>
        <w:tc>
          <w:tcPr>
            <w:tcW w:w="680" w:type="dxa"/>
            <w:shd w:val="clear" w:color="auto" w:fill="auto"/>
            <w:vAlign w:val="center"/>
          </w:tcPr>
          <w:p w14:paraId="6B5DE823" w14:textId="6CC1251B" w:rsidR="0067541E" w:rsidRPr="00901D0D" w:rsidRDefault="00951509"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.05</w:t>
            </w:r>
          </w:p>
        </w:tc>
        <w:tc>
          <w:tcPr>
            <w:tcW w:w="680" w:type="dxa"/>
            <w:shd w:val="clear" w:color="auto" w:fill="auto"/>
            <w:vAlign w:val="center"/>
          </w:tcPr>
          <w:p w14:paraId="0C9F64C1" w14:textId="05A9BC58" w:rsidR="0067541E" w:rsidRPr="00901D0D" w:rsidRDefault="00951509"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.03</w:t>
            </w:r>
          </w:p>
        </w:tc>
        <w:tc>
          <w:tcPr>
            <w:tcW w:w="680" w:type="dxa"/>
            <w:shd w:val="clear" w:color="auto" w:fill="auto"/>
            <w:vAlign w:val="center"/>
          </w:tcPr>
          <w:p w14:paraId="59E8F217" w14:textId="79ECB6F5"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.00</w:t>
            </w:r>
          </w:p>
        </w:tc>
        <w:tc>
          <w:tcPr>
            <w:tcW w:w="624" w:type="dxa"/>
            <w:shd w:val="clear" w:color="auto" w:fill="auto"/>
            <w:vAlign w:val="center"/>
          </w:tcPr>
          <w:p w14:paraId="589C3C1D" w14:textId="69ED1EB2"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-.15</w:t>
            </w:r>
            <w:r w:rsidRPr="00901D0D">
              <w:rPr>
                <w:rFonts w:cs="Times New Roman"/>
                <w:color w:val="000000"/>
                <w:sz w:val="20"/>
                <w:szCs w:val="20"/>
                <w:vertAlign w:val="superscript"/>
                <w:lang w:val="en-GB"/>
              </w:rPr>
              <w:t>*</w:t>
            </w:r>
          </w:p>
        </w:tc>
        <w:tc>
          <w:tcPr>
            <w:tcW w:w="624" w:type="dxa"/>
            <w:shd w:val="clear" w:color="auto" w:fill="auto"/>
            <w:vAlign w:val="center"/>
          </w:tcPr>
          <w:p w14:paraId="7CBB039E" w14:textId="3CD3E3A5" w:rsidR="0067541E" w:rsidRPr="00901D0D" w:rsidRDefault="00951509"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.02</w:t>
            </w:r>
          </w:p>
        </w:tc>
        <w:tc>
          <w:tcPr>
            <w:tcW w:w="624" w:type="dxa"/>
            <w:shd w:val="clear" w:color="auto" w:fill="auto"/>
            <w:vAlign w:val="center"/>
          </w:tcPr>
          <w:p w14:paraId="2D86B17F" w14:textId="38F7DB0A"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-.00</w:t>
            </w:r>
          </w:p>
        </w:tc>
        <w:tc>
          <w:tcPr>
            <w:tcW w:w="624" w:type="dxa"/>
            <w:shd w:val="clear" w:color="auto" w:fill="auto"/>
            <w:vAlign w:val="center"/>
          </w:tcPr>
          <w:p w14:paraId="23541A99" w14:textId="2FEBFDB4" w:rsidR="0067541E" w:rsidRPr="00901D0D" w:rsidRDefault="00951509"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w:t>
            </w:r>
            <w:r w:rsidR="0067541E" w:rsidRPr="00901D0D">
              <w:rPr>
                <w:rFonts w:cs="Times New Roman"/>
                <w:sz w:val="20"/>
                <w:szCs w:val="20"/>
                <w:lang w:val="en-GB"/>
              </w:rPr>
              <w:t>.0</w:t>
            </w:r>
            <w:r w:rsidRPr="00901D0D">
              <w:rPr>
                <w:rFonts w:cs="Times New Roman"/>
                <w:sz w:val="20"/>
                <w:szCs w:val="20"/>
                <w:lang w:val="en-GB"/>
              </w:rPr>
              <w:t>1</w:t>
            </w:r>
          </w:p>
        </w:tc>
        <w:tc>
          <w:tcPr>
            <w:tcW w:w="624" w:type="dxa"/>
            <w:shd w:val="clear" w:color="auto" w:fill="auto"/>
            <w:vAlign w:val="center"/>
          </w:tcPr>
          <w:p w14:paraId="6C8D21AB" w14:textId="5D15C56A"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.09</w:t>
            </w:r>
          </w:p>
        </w:tc>
        <w:tc>
          <w:tcPr>
            <w:tcW w:w="624" w:type="dxa"/>
            <w:shd w:val="clear" w:color="auto" w:fill="auto"/>
            <w:vAlign w:val="center"/>
          </w:tcPr>
          <w:p w14:paraId="7D517EE6" w14:textId="2A95E61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901D0D">
              <w:rPr>
                <w:rFonts w:cs="Times New Roman"/>
                <w:sz w:val="20"/>
                <w:szCs w:val="20"/>
                <w:lang w:val="en-GB"/>
              </w:rPr>
              <w:t>-.03</w:t>
            </w:r>
          </w:p>
        </w:tc>
        <w:tc>
          <w:tcPr>
            <w:tcW w:w="624" w:type="dxa"/>
            <w:shd w:val="clear" w:color="auto" w:fill="auto"/>
            <w:vAlign w:val="center"/>
          </w:tcPr>
          <w:p w14:paraId="3A7E3F68" w14:textId="7C1F27D2"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.03</w:t>
            </w:r>
          </w:p>
        </w:tc>
        <w:tc>
          <w:tcPr>
            <w:tcW w:w="624" w:type="dxa"/>
            <w:shd w:val="clear" w:color="auto" w:fill="auto"/>
            <w:vAlign w:val="center"/>
          </w:tcPr>
          <w:p w14:paraId="18534A62" w14:textId="487BCE7D"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-.0</w:t>
            </w:r>
            <w:r w:rsidR="00951509" w:rsidRPr="00901D0D">
              <w:rPr>
                <w:rFonts w:cs="Times New Roman"/>
                <w:sz w:val="20"/>
                <w:szCs w:val="20"/>
                <w:lang w:val="en-GB"/>
              </w:rPr>
              <w:t>2</w:t>
            </w:r>
          </w:p>
        </w:tc>
        <w:tc>
          <w:tcPr>
            <w:tcW w:w="624" w:type="dxa"/>
            <w:shd w:val="clear" w:color="auto" w:fill="auto"/>
            <w:vAlign w:val="center"/>
          </w:tcPr>
          <w:p w14:paraId="4E593DA9" w14:textId="7B8DA79D"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.03</w:t>
            </w:r>
          </w:p>
        </w:tc>
        <w:tc>
          <w:tcPr>
            <w:tcW w:w="624" w:type="dxa"/>
            <w:shd w:val="clear" w:color="auto" w:fill="auto"/>
            <w:vAlign w:val="center"/>
          </w:tcPr>
          <w:p w14:paraId="509F4EBD" w14:textId="2A88C243"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-.04</w:t>
            </w:r>
          </w:p>
        </w:tc>
        <w:tc>
          <w:tcPr>
            <w:tcW w:w="624" w:type="dxa"/>
            <w:shd w:val="clear" w:color="auto" w:fill="auto"/>
            <w:vAlign w:val="center"/>
          </w:tcPr>
          <w:p w14:paraId="0A9C9A68" w14:textId="2A02D1E3"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.03</w:t>
            </w:r>
          </w:p>
        </w:tc>
        <w:tc>
          <w:tcPr>
            <w:tcW w:w="624" w:type="dxa"/>
            <w:shd w:val="clear" w:color="auto" w:fill="auto"/>
            <w:vAlign w:val="center"/>
          </w:tcPr>
          <w:p w14:paraId="34DC30EB" w14:textId="1044B13B" w:rsidR="0067541E" w:rsidRPr="00901D0D" w:rsidRDefault="00951509"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.17</w:t>
            </w:r>
            <w:r w:rsidR="0067541E" w:rsidRPr="00901D0D">
              <w:rPr>
                <w:rFonts w:cs="Times New Roman"/>
                <w:color w:val="000000"/>
                <w:sz w:val="20"/>
                <w:szCs w:val="20"/>
                <w:vertAlign w:val="superscript"/>
                <w:lang w:val="en-GB"/>
              </w:rPr>
              <w:t>*</w:t>
            </w:r>
          </w:p>
        </w:tc>
        <w:tc>
          <w:tcPr>
            <w:tcW w:w="624" w:type="dxa"/>
            <w:shd w:val="clear" w:color="auto" w:fill="auto"/>
            <w:vAlign w:val="center"/>
          </w:tcPr>
          <w:p w14:paraId="7E4D767E" w14:textId="2835427B"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.02</w:t>
            </w:r>
          </w:p>
        </w:tc>
        <w:tc>
          <w:tcPr>
            <w:tcW w:w="624" w:type="dxa"/>
            <w:shd w:val="clear" w:color="auto" w:fill="auto"/>
            <w:vAlign w:val="center"/>
          </w:tcPr>
          <w:p w14:paraId="7CC7B8C7" w14:textId="2BEA6BB9"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.0</w:t>
            </w:r>
            <w:r w:rsidR="00951509" w:rsidRPr="00901D0D">
              <w:rPr>
                <w:rFonts w:cs="Times New Roman"/>
                <w:sz w:val="20"/>
                <w:szCs w:val="20"/>
                <w:lang w:val="en-GB"/>
              </w:rPr>
              <w:t>5</w:t>
            </w:r>
          </w:p>
        </w:tc>
        <w:tc>
          <w:tcPr>
            <w:tcW w:w="510" w:type="dxa"/>
            <w:shd w:val="clear" w:color="auto" w:fill="auto"/>
            <w:vAlign w:val="center"/>
          </w:tcPr>
          <w:p w14:paraId="1508B7FC" w14:textId="567C2DF1"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10</w:t>
            </w:r>
          </w:p>
        </w:tc>
        <w:tc>
          <w:tcPr>
            <w:tcW w:w="510" w:type="dxa"/>
            <w:shd w:val="clear" w:color="auto" w:fill="auto"/>
            <w:vAlign w:val="center"/>
          </w:tcPr>
          <w:p w14:paraId="0A87049C" w14:textId="77777777" w:rsidR="0067541E" w:rsidRPr="00901D0D" w:rsidRDefault="0067541E" w:rsidP="00BB11BD">
            <w:pPr>
              <w:tabs>
                <w:tab w:val="decimal" w:pos="85"/>
              </w:tabs>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lang w:val="en-GB"/>
              </w:rPr>
            </w:pPr>
          </w:p>
        </w:tc>
      </w:tr>
      <w:tr w:rsidR="0067541E" w:rsidRPr="00901D0D" w14:paraId="4DD3657E" w14:textId="77777777" w:rsidTr="00B01C37">
        <w:trPr>
          <w:trHeight w:val="20"/>
        </w:trPr>
        <w:tc>
          <w:tcPr>
            <w:cnfStyle w:val="001000000000" w:firstRow="0" w:lastRow="0" w:firstColumn="1" w:lastColumn="0" w:oddVBand="0" w:evenVBand="0" w:oddHBand="0" w:evenHBand="0" w:firstRowFirstColumn="0" w:firstRowLastColumn="0" w:lastRowFirstColumn="0" w:lastRowLastColumn="0"/>
            <w:tcW w:w="2802" w:type="dxa"/>
            <w:tcBorders>
              <w:bottom w:val="single" w:sz="4" w:space="0" w:color="auto"/>
            </w:tcBorders>
            <w:shd w:val="clear" w:color="auto" w:fill="auto"/>
            <w:vAlign w:val="center"/>
          </w:tcPr>
          <w:p w14:paraId="231734D8" w14:textId="35EB0EF6" w:rsidR="0067541E" w:rsidRPr="00901D0D" w:rsidRDefault="0067541E" w:rsidP="0067541E">
            <w:pPr>
              <w:numPr>
                <w:ilvl w:val="0"/>
                <w:numId w:val="21"/>
              </w:numPr>
              <w:contextualSpacing/>
              <w:rPr>
                <w:rFonts w:eastAsia="Arial" w:cs="Times New Roman"/>
                <w:b w:val="0"/>
                <w:sz w:val="22"/>
                <w:lang w:val="en-GB"/>
              </w:rPr>
            </w:pPr>
            <w:r w:rsidRPr="00901D0D">
              <w:rPr>
                <w:rFonts w:eastAsia="Arial" w:cs="Times New Roman"/>
                <w:b w:val="0"/>
                <w:sz w:val="22"/>
                <w:lang w:val="en-GB"/>
              </w:rPr>
              <w:t xml:space="preserve"> Counterbalance</w:t>
            </w:r>
          </w:p>
        </w:tc>
        <w:tc>
          <w:tcPr>
            <w:tcW w:w="624" w:type="dxa"/>
            <w:tcBorders>
              <w:bottom w:val="single" w:sz="4" w:space="0" w:color="auto"/>
            </w:tcBorders>
            <w:shd w:val="clear" w:color="auto" w:fill="auto"/>
            <w:vAlign w:val="center"/>
          </w:tcPr>
          <w:p w14:paraId="4C52F6FF" w14:textId="2DE28611"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.10</w:t>
            </w:r>
          </w:p>
        </w:tc>
        <w:tc>
          <w:tcPr>
            <w:tcW w:w="680" w:type="dxa"/>
            <w:tcBorders>
              <w:bottom w:val="single" w:sz="4" w:space="0" w:color="auto"/>
            </w:tcBorders>
            <w:shd w:val="clear" w:color="auto" w:fill="auto"/>
            <w:vAlign w:val="center"/>
          </w:tcPr>
          <w:p w14:paraId="25DA6BC8" w14:textId="198DB764"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.07</w:t>
            </w:r>
          </w:p>
        </w:tc>
        <w:tc>
          <w:tcPr>
            <w:tcW w:w="680" w:type="dxa"/>
            <w:tcBorders>
              <w:bottom w:val="single" w:sz="4" w:space="0" w:color="auto"/>
            </w:tcBorders>
            <w:shd w:val="clear" w:color="auto" w:fill="auto"/>
            <w:vAlign w:val="center"/>
          </w:tcPr>
          <w:p w14:paraId="476594A6" w14:textId="54630801" w:rsidR="0067541E" w:rsidRPr="00901D0D" w:rsidRDefault="00951509"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w:t>
            </w:r>
            <w:r w:rsidR="0067541E" w:rsidRPr="00901D0D">
              <w:rPr>
                <w:rFonts w:cs="Times New Roman"/>
                <w:sz w:val="20"/>
                <w:szCs w:val="20"/>
                <w:lang w:val="en-GB"/>
              </w:rPr>
              <w:t>.0</w:t>
            </w:r>
            <w:r w:rsidRPr="00901D0D">
              <w:rPr>
                <w:rFonts w:cs="Times New Roman"/>
                <w:sz w:val="20"/>
                <w:szCs w:val="20"/>
                <w:lang w:val="en-GB"/>
              </w:rPr>
              <w:t>0</w:t>
            </w:r>
          </w:p>
        </w:tc>
        <w:tc>
          <w:tcPr>
            <w:tcW w:w="680" w:type="dxa"/>
            <w:tcBorders>
              <w:bottom w:val="single" w:sz="4" w:space="0" w:color="auto"/>
            </w:tcBorders>
            <w:shd w:val="clear" w:color="auto" w:fill="auto"/>
            <w:vAlign w:val="center"/>
          </w:tcPr>
          <w:p w14:paraId="1F04789A" w14:textId="65E671BA"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-.03</w:t>
            </w:r>
          </w:p>
        </w:tc>
        <w:tc>
          <w:tcPr>
            <w:tcW w:w="624" w:type="dxa"/>
            <w:tcBorders>
              <w:bottom w:val="single" w:sz="4" w:space="0" w:color="auto"/>
            </w:tcBorders>
            <w:shd w:val="clear" w:color="auto" w:fill="auto"/>
            <w:vAlign w:val="center"/>
          </w:tcPr>
          <w:p w14:paraId="09936CB0" w14:textId="7E8EA045" w:rsidR="0067541E" w:rsidRPr="00901D0D" w:rsidRDefault="00951509"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w:t>
            </w:r>
            <w:r w:rsidR="0067541E" w:rsidRPr="00901D0D">
              <w:rPr>
                <w:rFonts w:cs="Times New Roman"/>
                <w:sz w:val="20"/>
                <w:szCs w:val="20"/>
                <w:lang w:val="en-GB"/>
              </w:rPr>
              <w:t>.04</w:t>
            </w:r>
          </w:p>
        </w:tc>
        <w:tc>
          <w:tcPr>
            <w:tcW w:w="624" w:type="dxa"/>
            <w:tcBorders>
              <w:bottom w:val="single" w:sz="4" w:space="0" w:color="auto"/>
            </w:tcBorders>
            <w:shd w:val="clear" w:color="auto" w:fill="auto"/>
            <w:vAlign w:val="center"/>
          </w:tcPr>
          <w:p w14:paraId="77BD4D03" w14:textId="45F5F8A0"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-.0</w:t>
            </w:r>
            <w:r w:rsidR="00951509" w:rsidRPr="00901D0D">
              <w:rPr>
                <w:rFonts w:cs="Times New Roman"/>
                <w:sz w:val="20"/>
                <w:szCs w:val="20"/>
                <w:lang w:val="en-GB"/>
              </w:rPr>
              <w:t>3</w:t>
            </w:r>
          </w:p>
        </w:tc>
        <w:tc>
          <w:tcPr>
            <w:tcW w:w="624" w:type="dxa"/>
            <w:tcBorders>
              <w:bottom w:val="single" w:sz="4" w:space="0" w:color="auto"/>
            </w:tcBorders>
            <w:shd w:val="clear" w:color="auto" w:fill="auto"/>
            <w:vAlign w:val="center"/>
          </w:tcPr>
          <w:p w14:paraId="34406B52" w14:textId="3BBF67A4" w:rsidR="0067541E" w:rsidRPr="00901D0D" w:rsidRDefault="00951509"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.03</w:t>
            </w:r>
          </w:p>
        </w:tc>
        <w:tc>
          <w:tcPr>
            <w:tcW w:w="624" w:type="dxa"/>
            <w:tcBorders>
              <w:bottom w:val="single" w:sz="4" w:space="0" w:color="auto"/>
            </w:tcBorders>
            <w:shd w:val="clear" w:color="auto" w:fill="auto"/>
            <w:vAlign w:val="center"/>
          </w:tcPr>
          <w:p w14:paraId="2661ECC0" w14:textId="1CAE37A4" w:rsidR="0067541E" w:rsidRPr="00901D0D" w:rsidRDefault="00951509"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-.08</w:t>
            </w:r>
          </w:p>
        </w:tc>
        <w:tc>
          <w:tcPr>
            <w:tcW w:w="624" w:type="dxa"/>
            <w:tcBorders>
              <w:bottom w:val="single" w:sz="4" w:space="0" w:color="auto"/>
            </w:tcBorders>
            <w:shd w:val="clear" w:color="auto" w:fill="auto"/>
            <w:vAlign w:val="center"/>
          </w:tcPr>
          <w:p w14:paraId="15C451ED" w14:textId="58C01C98" w:rsidR="0067541E" w:rsidRPr="00901D0D" w:rsidRDefault="00951509"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-.01</w:t>
            </w:r>
          </w:p>
        </w:tc>
        <w:tc>
          <w:tcPr>
            <w:tcW w:w="624" w:type="dxa"/>
            <w:tcBorders>
              <w:bottom w:val="single" w:sz="4" w:space="0" w:color="auto"/>
            </w:tcBorders>
            <w:shd w:val="clear" w:color="auto" w:fill="auto"/>
            <w:vAlign w:val="center"/>
          </w:tcPr>
          <w:p w14:paraId="2787B236" w14:textId="53A8D180"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.02</w:t>
            </w:r>
          </w:p>
        </w:tc>
        <w:tc>
          <w:tcPr>
            <w:tcW w:w="624" w:type="dxa"/>
            <w:tcBorders>
              <w:bottom w:val="single" w:sz="4" w:space="0" w:color="auto"/>
            </w:tcBorders>
            <w:shd w:val="clear" w:color="auto" w:fill="auto"/>
            <w:vAlign w:val="center"/>
          </w:tcPr>
          <w:p w14:paraId="1BCC958A" w14:textId="6BBA2C9F" w:rsidR="0067541E" w:rsidRPr="00901D0D" w:rsidRDefault="00951509"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w:t>
            </w:r>
            <w:r w:rsidR="0067541E" w:rsidRPr="00901D0D">
              <w:rPr>
                <w:rFonts w:cs="Times New Roman"/>
                <w:sz w:val="20"/>
                <w:szCs w:val="20"/>
                <w:lang w:val="en-GB"/>
              </w:rPr>
              <w:t>.0</w:t>
            </w:r>
            <w:r w:rsidRPr="00901D0D">
              <w:rPr>
                <w:rFonts w:cs="Times New Roman"/>
                <w:sz w:val="20"/>
                <w:szCs w:val="20"/>
                <w:lang w:val="en-GB"/>
              </w:rPr>
              <w:t>1</w:t>
            </w:r>
          </w:p>
        </w:tc>
        <w:tc>
          <w:tcPr>
            <w:tcW w:w="624" w:type="dxa"/>
            <w:tcBorders>
              <w:bottom w:val="single" w:sz="4" w:space="0" w:color="auto"/>
            </w:tcBorders>
            <w:shd w:val="clear" w:color="auto" w:fill="auto"/>
            <w:vAlign w:val="center"/>
          </w:tcPr>
          <w:p w14:paraId="12919365" w14:textId="50AD5B24"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-.05</w:t>
            </w:r>
          </w:p>
        </w:tc>
        <w:tc>
          <w:tcPr>
            <w:tcW w:w="624" w:type="dxa"/>
            <w:tcBorders>
              <w:bottom w:val="single" w:sz="4" w:space="0" w:color="auto"/>
            </w:tcBorders>
            <w:shd w:val="clear" w:color="auto" w:fill="auto"/>
            <w:vAlign w:val="center"/>
          </w:tcPr>
          <w:p w14:paraId="75D04F5F" w14:textId="119D8EB5"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.03</w:t>
            </w:r>
          </w:p>
        </w:tc>
        <w:tc>
          <w:tcPr>
            <w:tcW w:w="624" w:type="dxa"/>
            <w:tcBorders>
              <w:bottom w:val="single" w:sz="4" w:space="0" w:color="auto"/>
            </w:tcBorders>
            <w:shd w:val="clear" w:color="auto" w:fill="auto"/>
            <w:vAlign w:val="center"/>
          </w:tcPr>
          <w:p w14:paraId="5381ECDE" w14:textId="6E3F3146" w:rsidR="0067541E" w:rsidRPr="00901D0D" w:rsidRDefault="00951509"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.06</w:t>
            </w:r>
          </w:p>
        </w:tc>
        <w:tc>
          <w:tcPr>
            <w:tcW w:w="624" w:type="dxa"/>
            <w:tcBorders>
              <w:bottom w:val="single" w:sz="4" w:space="0" w:color="auto"/>
            </w:tcBorders>
            <w:shd w:val="clear" w:color="auto" w:fill="auto"/>
            <w:vAlign w:val="center"/>
          </w:tcPr>
          <w:p w14:paraId="3A68D624" w14:textId="6BCAACB8"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.02</w:t>
            </w:r>
          </w:p>
        </w:tc>
        <w:tc>
          <w:tcPr>
            <w:tcW w:w="624" w:type="dxa"/>
            <w:tcBorders>
              <w:bottom w:val="single" w:sz="4" w:space="0" w:color="auto"/>
            </w:tcBorders>
            <w:shd w:val="clear" w:color="auto" w:fill="auto"/>
            <w:vAlign w:val="center"/>
          </w:tcPr>
          <w:p w14:paraId="62EC0695" w14:textId="6884C12A"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.03</w:t>
            </w:r>
          </w:p>
        </w:tc>
        <w:tc>
          <w:tcPr>
            <w:tcW w:w="624" w:type="dxa"/>
            <w:tcBorders>
              <w:bottom w:val="single" w:sz="4" w:space="0" w:color="auto"/>
            </w:tcBorders>
            <w:shd w:val="clear" w:color="auto" w:fill="auto"/>
            <w:vAlign w:val="center"/>
          </w:tcPr>
          <w:p w14:paraId="13C5645D" w14:textId="6BB5601E"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.04</w:t>
            </w:r>
          </w:p>
        </w:tc>
        <w:tc>
          <w:tcPr>
            <w:tcW w:w="624" w:type="dxa"/>
            <w:tcBorders>
              <w:bottom w:val="single" w:sz="4" w:space="0" w:color="auto"/>
            </w:tcBorders>
            <w:shd w:val="clear" w:color="auto" w:fill="auto"/>
            <w:vAlign w:val="center"/>
          </w:tcPr>
          <w:p w14:paraId="16A7FC49" w14:textId="04511956"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10</w:t>
            </w:r>
          </w:p>
        </w:tc>
        <w:tc>
          <w:tcPr>
            <w:tcW w:w="510" w:type="dxa"/>
            <w:tcBorders>
              <w:bottom w:val="single" w:sz="4" w:space="0" w:color="auto"/>
            </w:tcBorders>
            <w:shd w:val="clear" w:color="auto" w:fill="auto"/>
            <w:vAlign w:val="center"/>
          </w:tcPr>
          <w:p w14:paraId="45862E59" w14:textId="734CF542"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w:t>
            </w:r>
            <w:r w:rsidR="00951509" w:rsidRPr="00901D0D">
              <w:rPr>
                <w:rFonts w:cs="Times New Roman"/>
                <w:sz w:val="20"/>
                <w:szCs w:val="20"/>
                <w:lang w:val="en-GB"/>
              </w:rPr>
              <w:t>10</w:t>
            </w:r>
          </w:p>
        </w:tc>
        <w:tc>
          <w:tcPr>
            <w:tcW w:w="510" w:type="dxa"/>
            <w:tcBorders>
              <w:bottom w:val="single" w:sz="4" w:space="0" w:color="auto"/>
            </w:tcBorders>
            <w:shd w:val="clear" w:color="auto" w:fill="auto"/>
            <w:vAlign w:val="center"/>
          </w:tcPr>
          <w:p w14:paraId="47ACDE27" w14:textId="7EDAB40E" w:rsidR="0067541E" w:rsidRPr="00901D0D" w:rsidRDefault="0067541E" w:rsidP="00BB11BD">
            <w:pPr>
              <w:tabs>
                <w:tab w:val="decimal" w:pos="85"/>
              </w:tabs>
              <w:ind w:firstLine="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lang w:val="en-GB"/>
              </w:rPr>
            </w:pPr>
            <w:r w:rsidRPr="00901D0D">
              <w:rPr>
                <w:rFonts w:cs="Times New Roman"/>
                <w:sz w:val="20"/>
                <w:szCs w:val="20"/>
                <w:lang w:val="en-GB"/>
              </w:rPr>
              <w:t>.0</w:t>
            </w:r>
            <w:r w:rsidR="00951509" w:rsidRPr="00901D0D">
              <w:rPr>
                <w:rFonts w:cs="Times New Roman"/>
                <w:sz w:val="20"/>
                <w:szCs w:val="20"/>
                <w:lang w:val="en-GB"/>
              </w:rPr>
              <w:t>6</w:t>
            </w:r>
          </w:p>
        </w:tc>
      </w:tr>
    </w:tbl>
    <w:p w14:paraId="08327FC5" w14:textId="330C3343" w:rsidR="00A1571C" w:rsidRPr="00901D0D" w:rsidRDefault="00A1571C" w:rsidP="001D633E">
      <w:pPr>
        <w:spacing w:line="240" w:lineRule="auto"/>
        <w:ind w:firstLine="0"/>
        <w:rPr>
          <w:rFonts w:eastAsia="Calibri" w:cs="Times New Roman"/>
          <w:sz w:val="22"/>
          <w:lang w:val="en-GB"/>
        </w:rPr>
      </w:pPr>
      <w:bookmarkStart w:id="20" w:name="_Hlk14200725"/>
      <w:r w:rsidRPr="00901D0D">
        <w:rPr>
          <w:rFonts w:eastAsia="Arial" w:cs="Times New Roman"/>
          <w:sz w:val="22"/>
          <w:lang w:val="en-GB"/>
        </w:rPr>
        <w:t xml:space="preserve">*Correlation is </w:t>
      </w:r>
      <w:r w:rsidR="009326E7" w:rsidRPr="009326E7">
        <w:rPr>
          <w:rFonts w:eastAsia="Arial" w:cs="Times New Roman"/>
          <w:sz w:val="22"/>
          <w:lang w:val="en-GB"/>
        </w:rPr>
        <w:t xml:space="preserve">statistically </w:t>
      </w:r>
      <w:r w:rsidRPr="00901D0D">
        <w:rPr>
          <w:rFonts w:eastAsia="Arial" w:cs="Times New Roman"/>
          <w:sz w:val="22"/>
          <w:lang w:val="en-GB"/>
        </w:rPr>
        <w:t xml:space="preserve">significant at the level </w:t>
      </w:r>
      <w:r w:rsidRPr="00901D0D">
        <w:rPr>
          <w:rFonts w:eastAsia="Arial" w:cs="Times New Roman"/>
          <w:i/>
          <w:sz w:val="22"/>
          <w:lang w:val="en-GB"/>
        </w:rPr>
        <w:t xml:space="preserve">p </w:t>
      </w:r>
      <w:r w:rsidRPr="00901D0D">
        <w:rPr>
          <w:rFonts w:eastAsia="Arial" w:cs="Times New Roman"/>
          <w:sz w:val="22"/>
          <w:lang w:val="en-GB"/>
        </w:rPr>
        <w:t xml:space="preserve">&lt; .05, **Correlation is </w:t>
      </w:r>
      <w:r w:rsidR="009326E7" w:rsidRPr="009326E7">
        <w:rPr>
          <w:rFonts w:eastAsia="Arial" w:cs="Times New Roman"/>
          <w:sz w:val="22"/>
          <w:lang w:val="en-GB"/>
        </w:rPr>
        <w:t xml:space="preserve">statistically </w:t>
      </w:r>
      <w:r w:rsidRPr="00901D0D">
        <w:rPr>
          <w:rFonts w:eastAsia="Arial" w:cs="Times New Roman"/>
          <w:sz w:val="22"/>
          <w:lang w:val="en-GB"/>
        </w:rPr>
        <w:t xml:space="preserve">significant at the level </w:t>
      </w:r>
      <w:r w:rsidRPr="00901D0D">
        <w:rPr>
          <w:rFonts w:eastAsia="Arial" w:cs="Times New Roman"/>
          <w:i/>
          <w:sz w:val="22"/>
          <w:lang w:val="en-GB"/>
        </w:rPr>
        <w:t xml:space="preserve">p </w:t>
      </w:r>
      <w:r w:rsidRPr="00901D0D">
        <w:rPr>
          <w:rFonts w:eastAsia="Arial" w:cs="Times New Roman"/>
          <w:sz w:val="22"/>
          <w:lang w:val="en-GB"/>
        </w:rPr>
        <w:t xml:space="preserve">&lt; .01, </w:t>
      </w:r>
      <w:r w:rsidR="00F65D86">
        <w:rPr>
          <w:rFonts w:eastAsia="Arial" w:cs="Times New Roman"/>
          <w:sz w:val="22"/>
          <w:lang w:val="en-GB"/>
        </w:rPr>
        <w:t>*</w:t>
      </w:r>
      <w:r w:rsidRPr="00901D0D">
        <w:rPr>
          <w:rFonts w:eastAsia="Arial" w:cs="Times New Roman"/>
          <w:sz w:val="22"/>
          <w:lang w:val="en-GB"/>
        </w:rPr>
        <w:t xml:space="preserve">**Correlation is </w:t>
      </w:r>
      <w:r w:rsidR="009326E7" w:rsidRPr="009326E7">
        <w:rPr>
          <w:rFonts w:eastAsia="Arial" w:cs="Times New Roman"/>
          <w:sz w:val="22"/>
          <w:lang w:val="en-GB"/>
        </w:rPr>
        <w:t xml:space="preserve">statistically </w:t>
      </w:r>
      <w:r w:rsidRPr="00901D0D">
        <w:rPr>
          <w:rFonts w:eastAsia="Arial" w:cs="Times New Roman"/>
          <w:sz w:val="22"/>
          <w:lang w:val="en-GB"/>
        </w:rPr>
        <w:t xml:space="preserve">significant at the level </w:t>
      </w:r>
      <w:r w:rsidRPr="00901D0D">
        <w:rPr>
          <w:rFonts w:eastAsia="Arial" w:cs="Times New Roman"/>
          <w:i/>
          <w:sz w:val="22"/>
          <w:lang w:val="en-GB"/>
        </w:rPr>
        <w:t xml:space="preserve">p </w:t>
      </w:r>
      <w:r w:rsidRPr="00901D0D">
        <w:rPr>
          <w:rFonts w:eastAsia="Arial" w:cs="Times New Roman"/>
          <w:sz w:val="22"/>
          <w:lang w:val="en-GB"/>
        </w:rPr>
        <w:t>&lt; .001.</w:t>
      </w:r>
    </w:p>
    <w:p w14:paraId="7DA649AF" w14:textId="3A7AE050" w:rsidR="00140F51" w:rsidRPr="00901D0D" w:rsidRDefault="00140F51" w:rsidP="00BB11BD">
      <w:pPr>
        <w:pStyle w:val="Heading1"/>
        <w:rPr>
          <w:b w:val="0"/>
          <w:lang w:val="en-GB"/>
        </w:rPr>
      </w:pPr>
      <w:bookmarkStart w:id="21" w:name="_Hlk488760656"/>
      <w:bookmarkEnd w:id="20"/>
      <w:r w:rsidRPr="00901D0D">
        <w:rPr>
          <w:b w:val="0"/>
          <w:lang w:val="en-GB"/>
        </w:rPr>
        <w:lastRenderedPageBreak/>
        <w:t xml:space="preserve">Table </w:t>
      </w:r>
      <w:r w:rsidR="000313B3">
        <w:rPr>
          <w:b w:val="0"/>
          <w:lang w:val="en-GB"/>
        </w:rPr>
        <w:t>3</w:t>
      </w:r>
      <w:r w:rsidRPr="00901D0D">
        <w:rPr>
          <w:b w:val="0"/>
          <w:lang w:val="en-GB"/>
        </w:rPr>
        <w:t>.</w:t>
      </w:r>
    </w:p>
    <w:p w14:paraId="6F65BEA0" w14:textId="6EAE98BF" w:rsidR="00140F51" w:rsidRPr="00901D0D" w:rsidRDefault="00140F51" w:rsidP="00BB11BD">
      <w:pPr>
        <w:ind w:firstLine="0"/>
        <w:rPr>
          <w:szCs w:val="24"/>
          <w:lang w:val="en-GB"/>
        </w:rPr>
      </w:pPr>
      <w:r w:rsidRPr="00901D0D">
        <w:rPr>
          <w:rFonts w:eastAsia="Arial" w:cs="Times New Roman"/>
          <w:i/>
          <w:szCs w:val="24"/>
          <w:lang w:val="en-GB"/>
        </w:rPr>
        <w:t xml:space="preserve">Regressions Predicting Proportion Correct for Misperception of Chance using Anomalistic Belief (i.e., ASGS, ABS Total, or ABS Factors) </w:t>
      </w:r>
    </w:p>
    <w:tbl>
      <w:tblPr>
        <w:tblStyle w:val="PlainTable41"/>
        <w:tblW w:w="5203" w:type="pct"/>
        <w:tblLook w:val="04A0" w:firstRow="1" w:lastRow="0" w:firstColumn="1" w:lastColumn="0" w:noHBand="0" w:noVBand="1"/>
      </w:tblPr>
      <w:tblGrid>
        <w:gridCol w:w="3757"/>
        <w:gridCol w:w="1006"/>
        <w:gridCol w:w="1284"/>
        <w:gridCol w:w="950"/>
        <w:gridCol w:w="950"/>
        <w:gridCol w:w="1226"/>
        <w:gridCol w:w="892"/>
        <w:gridCol w:w="892"/>
        <w:gridCol w:w="892"/>
        <w:gridCol w:w="892"/>
        <w:gridCol w:w="892"/>
        <w:gridCol w:w="892"/>
      </w:tblGrid>
      <w:tr w:rsidR="00140F51" w:rsidRPr="00901D0D" w14:paraId="2E4EA297" w14:textId="77777777" w:rsidTr="009E009D">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293" w:type="pct"/>
            <w:tcBorders>
              <w:top w:val="single" w:sz="4" w:space="0" w:color="auto"/>
              <w:bottom w:val="single" w:sz="4" w:space="0" w:color="auto"/>
            </w:tcBorders>
            <w:shd w:val="clear" w:color="auto" w:fill="auto"/>
            <w:vAlign w:val="center"/>
          </w:tcPr>
          <w:p w14:paraId="2D4EEA4D" w14:textId="77777777" w:rsidR="00140F51" w:rsidRPr="00901D0D" w:rsidRDefault="00140F51" w:rsidP="00BB11BD">
            <w:pPr>
              <w:ind w:firstLine="0"/>
              <w:contextualSpacing/>
              <w:jc w:val="center"/>
              <w:rPr>
                <w:rFonts w:eastAsia="Arial" w:cs="Times New Roman"/>
                <w:b w:val="0"/>
                <w:sz w:val="22"/>
                <w:lang w:val="en-GB"/>
              </w:rPr>
            </w:pPr>
            <w:bookmarkStart w:id="22" w:name="_Hlk503382391"/>
            <w:r w:rsidRPr="00901D0D">
              <w:rPr>
                <w:rFonts w:eastAsia="Arial" w:cs="Times New Roman"/>
                <w:b w:val="0"/>
                <w:sz w:val="22"/>
                <w:lang w:val="en-GB"/>
              </w:rPr>
              <w:t>Variables</w:t>
            </w:r>
          </w:p>
        </w:tc>
        <w:tc>
          <w:tcPr>
            <w:tcW w:w="346" w:type="pct"/>
            <w:tcBorders>
              <w:top w:val="single" w:sz="4" w:space="0" w:color="auto"/>
              <w:bottom w:val="single" w:sz="4" w:space="0" w:color="auto"/>
            </w:tcBorders>
            <w:shd w:val="clear" w:color="auto" w:fill="auto"/>
            <w:vAlign w:val="center"/>
          </w:tcPr>
          <w:p w14:paraId="477F4E49" w14:textId="77777777" w:rsidR="00140F51" w:rsidRPr="00901D0D" w:rsidRDefault="00140F51" w:rsidP="00BB11BD">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Arial" w:cs="Times New Roman"/>
                <w:b w:val="0"/>
                <w:sz w:val="22"/>
                <w:lang w:val="en-GB"/>
              </w:rPr>
            </w:pPr>
            <w:r w:rsidRPr="00901D0D">
              <w:rPr>
                <w:rFonts w:eastAsia="Arial" w:cs="Times New Roman"/>
                <w:b w:val="0"/>
                <w:i/>
                <w:sz w:val="22"/>
                <w:lang w:val="en-GB"/>
              </w:rPr>
              <w:t>β</w:t>
            </w:r>
          </w:p>
        </w:tc>
        <w:tc>
          <w:tcPr>
            <w:tcW w:w="442" w:type="pct"/>
            <w:tcBorders>
              <w:top w:val="single" w:sz="4" w:space="0" w:color="auto"/>
              <w:bottom w:val="single" w:sz="4" w:space="0" w:color="auto"/>
            </w:tcBorders>
            <w:shd w:val="clear" w:color="auto" w:fill="auto"/>
            <w:vAlign w:val="center"/>
          </w:tcPr>
          <w:p w14:paraId="79EB16D7" w14:textId="77777777" w:rsidR="00140F51" w:rsidRPr="00901D0D" w:rsidRDefault="00140F51" w:rsidP="00BB11BD">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Arial" w:cs="Times New Roman"/>
                <w:b w:val="0"/>
                <w:i/>
                <w:sz w:val="22"/>
                <w:lang w:val="en-GB"/>
              </w:rPr>
            </w:pPr>
            <w:r w:rsidRPr="00901D0D">
              <w:rPr>
                <w:rFonts w:eastAsia="Arial" w:cs="Times New Roman"/>
                <w:b w:val="0"/>
                <w:i/>
                <w:sz w:val="22"/>
                <w:lang w:val="en-GB"/>
              </w:rPr>
              <w:t>β CI 95%</w:t>
            </w:r>
          </w:p>
        </w:tc>
        <w:tc>
          <w:tcPr>
            <w:tcW w:w="327" w:type="pct"/>
            <w:tcBorders>
              <w:top w:val="single" w:sz="4" w:space="0" w:color="auto"/>
              <w:bottom w:val="single" w:sz="4" w:space="0" w:color="auto"/>
            </w:tcBorders>
            <w:shd w:val="clear" w:color="auto" w:fill="auto"/>
            <w:vAlign w:val="center"/>
          </w:tcPr>
          <w:p w14:paraId="4AD82B85" w14:textId="77777777" w:rsidR="00140F51" w:rsidRPr="00901D0D" w:rsidRDefault="00140F51" w:rsidP="00BB11BD">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Arial" w:cs="Times New Roman"/>
                <w:b w:val="0"/>
                <w:sz w:val="22"/>
                <w:lang w:val="en-GB"/>
              </w:rPr>
            </w:pPr>
            <w:r w:rsidRPr="00901D0D">
              <w:rPr>
                <w:rFonts w:eastAsia="Arial" w:cs="Times New Roman"/>
                <w:b w:val="0"/>
                <w:i/>
                <w:sz w:val="22"/>
                <w:lang w:val="en-GB"/>
              </w:rPr>
              <w:t>t</w:t>
            </w:r>
          </w:p>
        </w:tc>
        <w:tc>
          <w:tcPr>
            <w:tcW w:w="327" w:type="pct"/>
            <w:tcBorders>
              <w:top w:val="single" w:sz="4" w:space="0" w:color="auto"/>
              <w:bottom w:val="single" w:sz="4" w:space="0" w:color="auto"/>
            </w:tcBorders>
            <w:shd w:val="clear" w:color="auto" w:fill="auto"/>
            <w:vAlign w:val="center"/>
          </w:tcPr>
          <w:p w14:paraId="620A5911" w14:textId="77777777" w:rsidR="00140F51" w:rsidRPr="00901D0D" w:rsidRDefault="00140F51" w:rsidP="00BB11BD">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Arial" w:cs="Times New Roman"/>
                <w:b w:val="0"/>
                <w:i/>
                <w:sz w:val="22"/>
                <w:lang w:val="en-GB"/>
              </w:rPr>
            </w:pPr>
            <w:r w:rsidRPr="00901D0D">
              <w:rPr>
                <w:rFonts w:eastAsia="Calibri" w:cs="Times New Roman"/>
                <w:b w:val="0"/>
                <w:i/>
                <w:sz w:val="22"/>
                <w:lang w:val="en-GB"/>
              </w:rPr>
              <w:t>p</w:t>
            </w:r>
          </w:p>
        </w:tc>
        <w:tc>
          <w:tcPr>
            <w:tcW w:w="422" w:type="pct"/>
            <w:tcBorders>
              <w:top w:val="single" w:sz="4" w:space="0" w:color="auto"/>
              <w:bottom w:val="single" w:sz="4" w:space="0" w:color="auto"/>
            </w:tcBorders>
            <w:shd w:val="clear" w:color="auto" w:fill="auto"/>
            <w:vAlign w:val="center"/>
          </w:tcPr>
          <w:p w14:paraId="4207D384" w14:textId="77777777" w:rsidR="00140F51" w:rsidRPr="00901D0D" w:rsidRDefault="00140F51" w:rsidP="00BB11BD">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i/>
                <w:sz w:val="22"/>
                <w:lang w:val="en-GB"/>
              </w:rPr>
            </w:pPr>
            <w:r w:rsidRPr="00901D0D">
              <w:rPr>
                <w:rFonts w:eastAsia="Calibri" w:cs="Times New Roman"/>
                <w:b w:val="0"/>
                <w:i/>
                <w:sz w:val="22"/>
                <w:lang w:val="en-GB"/>
              </w:rPr>
              <w:t>BF</w:t>
            </w:r>
            <w:r w:rsidRPr="00901D0D">
              <w:rPr>
                <w:rFonts w:eastAsia="Calibri" w:cs="Times New Roman"/>
                <w:b w:val="0"/>
                <w:i/>
                <w:sz w:val="22"/>
                <w:vertAlign w:val="subscript"/>
                <w:lang w:val="en-GB"/>
              </w:rPr>
              <w:t>10</w:t>
            </w:r>
          </w:p>
        </w:tc>
        <w:tc>
          <w:tcPr>
            <w:tcW w:w="307" w:type="pct"/>
            <w:tcBorders>
              <w:top w:val="single" w:sz="4" w:space="0" w:color="auto"/>
              <w:bottom w:val="single" w:sz="4" w:space="0" w:color="auto"/>
            </w:tcBorders>
            <w:shd w:val="clear" w:color="auto" w:fill="auto"/>
            <w:vAlign w:val="center"/>
          </w:tcPr>
          <w:p w14:paraId="414A4FD6" w14:textId="77777777" w:rsidR="00140F51" w:rsidRPr="00901D0D" w:rsidRDefault="00140F51" w:rsidP="00BB11BD">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Arial" w:cs="Times New Roman"/>
                <w:b w:val="0"/>
                <w:i/>
                <w:sz w:val="22"/>
                <w:lang w:val="en-GB"/>
              </w:rPr>
            </w:pPr>
            <w:r w:rsidRPr="00901D0D">
              <w:rPr>
                <w:rFonts w:eastAsia="Calibri" w:cs="Times New Roman"/>
                <w:b w:val="0"/>
                <w:i/>
                <w:sz w:val="22"/>
                <w:lang w:val="en-GB"/>
              </w:rPr>
              <w:t>F</w:t>
            </w:r>
          </w:p>
        </w:tc>
        <w:tc>
          <w:tcPr>
            <w:tcW w:w="307" w:type="pct"/>
            <w:tcBorders>
              <w:top w:val="single" w:sz="4" w:space="0" w:color="auto"/>
              <w:bottom w:val="single" w:sz="4" w:space="0" w:color="auto"/>
            </w:tcBorders>
            <w:shd w:val="clear" w:color="auto" w:fill="auto"/>
            <w:vAlign w:val="center"/>
          </w:tcPr>
          <w:p w14:paraId="5AE59943" w14:textId="77777777" w:rsidR="00140F51" w:rsidRPr="00901D0D" w:rsidRDefault="00140F51" w:rsidP="00BB11BD">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i/>
                <w:sz w:val="22"/>
                <w:lang w:val="en-GB"/>
              </w:rPr>
            </w:pPr>
            <w:r w:rsidRPr="00901D0D">
              <w:rPr>
                <w:rFonts w:eastAsia="Calibri" w:cs="Times New Roman"/>
                <w:b w:val="0"/>
                <w:i/>
                <w:sz w:val="22"/>
                <w:lang w:val="en-GB"/>
              </w:rPr>
              <w:t>R</w:t>
            </w:r>
            <w:r w:rsidRPr="00901D0D">
              <w:rPr>
                <w:rFonts w:eastAsia="Calibri" w:cs="Times New Roman"/>
                <w:b w:val="0"/>
                <w:i/>
                <w:sz w:val="22"/>
                <w:vertAlign w:val="superscript"/>
                <w:lang w:val="en-GB"/>
              </w:rPr>
              <w:t>2</w:t>
            </w:r>
          </w:p>
        </w:tc>
        <w:tc>
          <w:tcPr>
            <w:tcW w:w="307" w:type="pct"/>
            <w:tcBorders>
              <w:top w:val="single" w:sz="4" w:space="0" w:color="auto"/>
              <w:bottom w:val="single" w:sz="4" w:space="0" w:color="auto"/>
            </w:tcBorders>
            <w:shd w:val="clear" w:color="auto" w:fill="auto"/>
            <w:vAlign w:val="center"/>
          </w:tcPr>
          <w:p w14:paraId="353574FC" w14:textId="77777777" w:rsidR="00140F51" w:rsidRPr="00901D0D" w:rsidRDefault="00140F51" w:rsidP="00BB11BD">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i/>
                <w:sz w:val="22"/>
                <w:lang w:val="en-GB"/>
              </w:rPr>
            </w:pPr>
            <w:r w:rsidRPr="00901D0D">
              <w:rPr>
                <w:rFonts w:eastAsia="Calibri" w:cs="Times New Roman"/>
                <w:b w:val="0"/>
                <w:i/>
                <w:sz w:val="22"/>
                <w:lang w:val="en-GB"/>
              </w:rPr>
              <w:t>Adj. R</w:t>
            </w:r>
            <w:r w:rsidRPr="00901D0D">
              <w:rPr>
                <w:rFonts w:eastAsia="Calibri" w:cs="Times New Roman"/>
                <w:b w:val="0"/>
                <w:i/>
                <w:sz w:val="22"/>
                <w:vertAlign w:val="superscript"/>
                <w:lang w:val="en-GB"/>
              </w:rPr>
              <w:t>2</w:t>
            </w:r>
          </w:p>
        </w:tc>
        <w:tc>
          <w:tcPr>
            <w:tcW w:w="307" w:type="pct"/>
            <w:tcBorders>
              <w:top w:val="single" w:sz="4" w:space="0" w:color="auto"/>
              <w:bottom w:val="single" w:sz="4" w:space="0" w:color="auto"/>
            </w:tcBorders>
            <w:shd w:val="clear" w:color="auto" w:fill="auto"/>
            <w:vAlign w:val="center"/>
          </w:tcPr>
          <w:p w14:paraId="5ED5B2A0" w14:textId="77777777" w:rsidR="00140F51" w:rsidRPr="00901D0D" w:rsidRDefault="00140F51" w:rsidP="00BB11BD">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i/>
                <w:sz w:val="22"/>
                <w:lang w:val="en-GB"/>
              </w:rPr>
            </w:pPr>
            <w:r w:rsidRPr="00901D0D">
              <w:rPr>
                <w:rFonts w:eastAsia="Calibri" w:cs="Times New Roman"/>
                <w:b w:val="0"/>
                <w:i/>
                <w:sz w:val="22"/>
                <w:lang w:val="en-GB"/>
              </w:rPr>
              <w:t>ΔF*</w:t>
            </w:r>
          </w:p>
        </w:tc>
        <w:tc>
          <w:tcPr>
            <w:tcW w:w="307" w:type="pct"/>
            <w:tcBorders>
              <w:top w:val="single" w:sz="4" w:space="0" w:color="auto"/>
              <w:bottom w:val="single" w:sz="4" w:space="0" w:color="auto"/>
            </w:tcBorders>
            <w:shd w:val="clear" w:color="auto" w:fill="auto"/>
            <w:vAlign w:val="center"/>
          </w:tcPr>
          <w:p w14:paraId="47327E1D" w14:textId="77777777" w:rsidR="00140F51" w:rsidRPr="00901D0D" w:rsidRDefault="00140F51" w:rsidP="00BB11BD">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i/>
                <w:sz w:val="22"/>
                <w:lang w:val="en-GB"/>
              </w:rPr>
            </w:pPr>
            <w:r w:rsidRPr="00901D0D">
              <w:rPr>
                <w:rFonts w:eastAsia="Calibri" w:cs="Times New Roman"/>
                <w:b w:val="0"/>
                <w:i/>
                <w:sz w:val="22"/>
                <w:lang w:val="en-GB"/>
              </w:rPr>
              <w:t>ΔR</w:t>
            </w:r>
            <w:r w:rsidRPr="00901D0D">
              <w:rPr>
                <w:rFonts w:eastAsia="Calibri" w:cs="Times New Roman"/>
                <w:b w:val="0"/>
                <w:i/>
                <w:sz w:val="22"/>
                <w:vertAlign w:val="superscript"/>
                <w:lang w:val="en-GB"/>
              </w:rPr>
              <w:t>2</w:t>
            </w:r>
            <w:r w:rsidRPr="00901D0D">
              <w:rPr>
                <w:rFonts w:eastAsia="Calibri" w:cs="Times New Roman"/>
                <w:b w:val="0"/>
                <w:i/>
                <w:sz w:val="22"/>
                <w:lang w:val="en-GB"/>
              </w:rPr>
              <w:t>*</w:t>
            </w:r>
          </w:p>
        </w:tc>
        <w:tc>
          <w:tcPr>
            <w:tcW w:w="307" w:type="pct"/>
            <w:tcBorders>
              <w:top w:val="single" w:sz="4" w:space="0" w:color="auto"/>
              <w:bottom w:val="single" w:sz="4" w:space="0" w:color="auto"/>
            </w:tcBorders>
            <w:shd w:val="clear" w:color="auto" w:fill="auto"/>
            <w:vAlign w:val="center"/>
          </w:tcPr>
          <w:p w14:paraId="771CFE24" w14:textId="77777777" w:rsidR="00140F51" w:rsidRPr="00901D0D" w:rsidRDefault="00140F51" w:rsidP="00BB11BD">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i/>
                <w:sz w:val="22"/>
                <w:lang w:val="en-GB"/>
              </w:rPr>
            </w:pPr>
            <w:proofErr w:type="spellStart"/>
            <w:r w:rsidRPr="00901D0D">
              <w:rPr>
                <w:rFonts w:eastAsia="Calibri" w:cs="Times New Roman"/>
                <w:b w:val="0"/>
                <w:i/>
                <w:sz w:val="22"/>
                <w:lang w:val="en-GB"/>
              </w:rPr>
              <w:t>Δp</w:t>
            </w:r>
            <w:proofErr w:type="spellEnd"/>
            <w:r w:rsidRPr="00901D0D">
              <w:rPr>
                <w:rFonts w:eastAsia="Calibri" w:cs="Times New Roman"/>
                <w:b w:val="0"/>
                <w:i/>
                <w:sz w:val="22"/>
                <w:lang w:val="en-GB"/>
              </w:rPr>
              <w:t>*</w:t>
            </w:r>
          </w:p>
        </w:tc>
      </w:tr>
      <w:bookmarkEnd w:id="22"/>
      <w:tr w:rsidR="00140F51" w:rsidRPr="00901D0D" w14:paraId="360E5E96" w14:textId="77777777" w:rsidTr="009E009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293" w:type="pct"/>
            <w:tcBorders>
              <w:top w:val="single" w:sz="4" w:space="0" w:color="auto"/>
            </w:tcBorders>
            <w:shd w:val="clear" w:color="auto" w:fill="auto"/>
            <w:vAlign w:val="center"/>
          </w:tcPr>
          <w:p w14:paraId="19C049E8" w14:textId="77777777" w:rsidR="00140F51" w:rsidRPr="00901D0D" w:rsidRDefault="00140F51" w:rsidP="00BB11BD">
            <w:pPr>
              <w:ind w:left="360" w:firstLine="0"/>
              <w:contextualSpacing/>
              <w:rPr>
                <w:rFonts w:eastAsia="Arial" w:cs="Times New Roman"/>
                <w:b w:val="0"/>
                <w:sz w:val="22"/>
                <w:lang w:val="en-GB"/>
              </w:rPr>
            </w:pPr>
            <w:r w:rsidRPr="00901D0D">
              <w:rPr>
                <w:b w:val="0"/>
                <w:sz w:val="22"/>
                <w:lang w:val="en-GB"/>
              </w:rPr>
              <w:t>Step 1 (All Models)</w:t>
            </w:r>
          </w:p>
        </w:tc>
        <w:tc>
          <w:tcPr>
            <w:tcW w:w="346" w:type="pct"/>
            <w:tcBorders>
              <w:top w:val="single" w:sz="4" w:space="0" w:color="auto"/>
            </w:tcBorders>
            <w:shd w:val="clear" w:color="auto" w:fill="auto"/>
            <w:vAlign w:val="center"/>
          </w:tcPr>
          <w:p w14:paraId="00E014F7" w14:textId="77777777" w:rsidR="00140F51" w:rsidRPr="00901D0D" w:rsidRDefault="00140F51"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442" w:type="pct"/>
            <w:tcBorders>
              <w:top w:val="single" w:sz="4" w:space="0" w:color="auto"/>
            </w:tcBorders>
            <w:shd w:val="clear" w:color="auto" w:fill="auto"/>
            <w:vAlign w:val="center"/>
          </w:tcPr>
          <w:p w14:paraId="2F90E661" w14:textId="77777777" w:rsidR="00140F51" w:rsidRPr="00901D0D" w:rsidRDefault="00140F51" w:rsidP="00BB11BD">
            <w:pPr>
              <w:tabs>
                <w:tab w:val="decimal" w:pos="142"/>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27" w:type="pct"/>
            <w:tcBorders>
              <w:top w:val="single" w:sz="4" w:space="0" w:color="auto"/>
            </w:tcBorders>
            <w:shd w:val="clear" w:color="auto" w:fill="auto"/>
            <w:vAlign w:val="center"/>
          </w:tcPr>
          <w:p w14:paraId="64E2D5E1" w14:textId="77777777" w:rsidR="00140F51" w:rsidRPr="00901D0D" w:rsidRDefault="00140F51" w:rsidP="00BB11BD">
            <w:pPr>
              <w:tabs>
                <w:tab w:val="decimal" w:pos="255"/>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27" w:type="pct"/>
            <w:tcBorders>
              <w:top w:val="single" w:sz="4" w:space="0" w:color="auto"/>
            </w:tcBorders>
            <w:shd w:val="clear" w:color="auto" w:fill="auto"/>
            <w:vAlign w:val="center"/>
          </w:tcPr>
          <w:p w14:paraId="6D33F862" w14:textId="19AB12E1" w:rsidR="00140F51" w:rsidRPr="00901D0D" w:rsidRDefault="00E6652E" w:rsidP="00BB11BD">
            <w:pPr>
              <w:tabs>
                <w:tab w:val="decimal" w:pos="255"/>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.004</w:t>
            </w:r>
          </w:p>
        </w:tc>
        <w:tc>
          <w:tcPr>
            <w:tcW w:w="422" w:type="pct"/>
            <w:tcBorders>
              <w:top w:val="single" w:sz="4" w:space="0" w:color="auto"/>
            </w:tcBorders>
            <w:shd w:val="clear" w:color="auto" w:fill="auto"/>
            <w:vAlign w:val="center"/>
          </w:tcPr>
          <w:p w14:paraId="7DCCAF73" w14:textId="7721E13C" w:rsidR="00140F51" w:rsidRPr="00901D0D" w:rsidRDefault="00634142" w:rsidP="00BB11BD">
            <w:pPr>
              <w:tabs>
                <w:tab w:val="decimal" w:pos="369"/>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4.49</w:t>
            </w:r>
          </w:p>
        </w:tc>
        <w:tc>
          <w:tcPr>
            <w:tcW w:w="307" w:type="pct"/>
            <w:tcBorders>
              <w:top w:val="single" w:sz="4" w:space="0" w:color="auto"/>
            </w:tcBorders>
            <w:shd w:val="clear" w:color="auto" w:fill="auto"/>
            <w:vAlign w:val="center"/>
          </w:tcPr>
          <w:p w14:paraId="3073C5B1" w14:textId="5738173E" w:rsidR="00140F51" w:rsidRPr="00901D0D" w:rsidRDefault="00E6652E" w:rsidP="00BB11BD">
            <w:pPr>
              <w:tabs>
                <w:tab w:val="decimal" w:pos="227"/>
              </w:tabs>
              <w:ind w:firstLine="0"/>
              <w:contextualSpacing/>
              <w:jc w:val="both"/>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4.56</w:t>
            </w:r>
          </w:p>
        </w:tc>
        <w:tc>
          <w:tcPr>
            <w:tcW w:w="307" w:type="pct"/>
            <w:tcBorders>
              <w:top w:val="single" w:sz="4" w:space="0" w:color="auto"/>
            </w:tcBorders>
            <w:shd w:val="clear" w:color="auto" w:fill="auto"/>
            <w:vAlign w:val="center"/>
          </w:tcPr>
          <w:p w14:paraId="6473D4F7" w14:textId="03ED2589" w:rsidR="00140F51" w:rsidRPr="00901D0D" w:rsidRDefault="00140F51"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w:t>
            </w:r>
            <w:r w:rsidR="00E6652E" w:rsidRPr="00901D0D">
              <w:rPr>
                <w:rFonts w:eastAsia="Arial" w:cs="Times New Roman"/>
                <w:sz w:val="22"/>
                <w:lang w:val="en-GB"/>
              </w:rPr>
              <w:t>07</w:t>
            </w:r>
          </w:p>
        </w:tc>
        <w:tc>
          <w:tcPr>
            <w:tcW w:w="307" w:type="pct"/>
            <w:tcBorders>
              <w:top w:val="single" w:sz="4" w:space="0" w:color="auto"/>
            </w:tcBorders>
            <w:shd w:val="clear" w:color="auto" w:fill="auto"/>
            <w:vAlign w:val="center"/>
          </w:tcPr>
          <w:p w14:paraId="4ABDF460" w14:textId="541E9F4F" w:rsidR="00140F51" w:rsidRPr="00901D0D" w:rsidRDefault="00140F51"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w:t>
            </w:r>
            <w:r w:rsidR="00E6652E" w:rsidRPr="00901D0D">
              <w:rPr>
                <w:rFonts w:eastAsia="Arial" w:cs="Times New Roman"/>
                <w:sz w:val="22"/>
                <w:lang w:val="en-GB"/>
              </w:rPr>
              <w:t>06</w:t>
            </w:r>
          </w:p>
        </w:tc>
        <w:tc>
          <w:tcPr>
            <w:tcW w:w="307" w:type="pct"/>
            <w:tcBorders>
              <w:top w:val="single" w:sz="4" w:space="0" w:color="auto"/>
            </w:tcBorders>
            <w:shd w:val="clear" w:color="auto" w:fill="auto"/>
            <w:vAlign w:val="center"/>
          </w:tcPr>
          <w:p w14:paraId="7454EF3F" w14:textId="77777777" w:rsidR="00140F51" w:rsidRPr="00901D0D" w:rsidRDefault="00140F51"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tcBorders>
              <w:top w:val="single" w:sz="4" w:space="0" w:color="auto"/>
            </w:tcBorders>
            <w:shd w:val="clear" w:color="auto" w:fill="auto"/>
            <w:vAlign w:val="center"/>
          </w:tcPr>
          <w:p w14:paraId="796B450F" w14:textId="77777777" w:rsidR="00140F51" w:rsidRPr="00901D0D" w:rsidRDefault="00140F51"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tcBorders>
              <w:top w:val="single" w:sz="4" w:space="0" w:color="auto"/>
            </w:tcBorders>
            <w:shd w:val="clear" w:color="auto" w:fill="auto"/>
            <w:vAlign w:val="center"/>
          </w:tcPr>
          <w:p w14:paraId="23455659" w14:textId="77777777" w:rsidR="00140F51" w:rsidRPr="00901D0D" w:rsidRDefault="00140F51"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r>
      <w:tr w:rsidR="00E6652E" w:rsidRPr="00901D0D" w14:paraId="319BE972" w14:textId="77777777" w:rsidTr="00E6652E">
        <w:trPr>
          <w:trHeight w:val="227"/>
        </w:trPr>
        <w:tc>
          <w:tcPr>
            <w:cnfStyle w:val="001000000000" w:firstRow="0" w:lastRow="0" w:firstColumn="1" w:lastColumn="0" w:oddVBand="0" w:evenVBand="0" w:oddHBand="0" w:evenHBand="0" w:firstRowFirstColumn="0" w:firstRowLastColumn="0" w:lastRowFirstColumn="0" w:lastRowLastColumn="0"/>
            <w:tcW w:w="1293" w:type="pct"/>
            <w:shd w:val="clear" w:color="auto" w:fill="auto"/>
            <w:vAlign w:val="center"/>
          </w:tcPr>
          <w:p w14:paraId="604F7A8E" w14:textId="452A4D0B" w:rsidR="00E6652E" w:rsidRPr="00901D0D" w:rsidRDefault="00E6652E" w:rsidP="00BB11BD">
            <w:pPr>
              <w:ind w:left="360" w:firstLine="0"/>
              <w:contextualSpacing/>
              <w:jc w:val="right"/>
              <w:rPr>
                <w:rFonts w:eastAsia="Arial" w:cs="Times New Roman"/>
                <w:b w:val="0"/>
                <w:sz w:val="22"/>
                <w:lang w:val="en-GB"/>
              </w:rPr>
            </w:pPr>
            <w:r w:rsidRPr="00901D0D">
              <w:rPr>
                <w:b w:val="0"/>
                <w:sz w:val="22"/>
                <w:lang w:val="en-GB"/>
              </w:rPr>
              <w:t>Psychology</w:t>
            </w:r>
          </w:p>
        </w:tc>
        <w:tc>
          <w:tcPr>
            <w:tcW w:w="346" w:type="pct"/>
            <w:shd w:val="clear" w:color="auto" w:fill="auto"/>
          </w:tcPr>
          <w:p w14:paraId="641D8029" w14:textId="508C9AA5" w:rsidR="00E6652E" w:rsidRPr="00901D0D" w:rsidRDefault="00E6652E"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lang w:val="en-GB"/>
              </w:rPr>
              <w:t>-.16</w:t>
            </w:r>
          </w:p>
        </w:tc>
        <w:tc>
          <w:tcPr>
            <w:tcW w:w="442" w:type="pct"/>
            <w:shd w:val="clear" w:color="auto" w:fill="auto"/>
            <w:vAlign w:val="center"/>
          </w:tcPr>
          <w:p w14:paraId="5ACA9848" w14:textId="1B0111F9" w:rsidR="00E6652E" w:rsidRPr="00901D0D" w:rsidRDefault="00E6652E" w:rsidP="00BB11BD">
            <w:pPr>
              <w:tabs>
                <w:tab w:val="decimal" w:pos="142"/>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[-.32, .01]</w:t>
            </w:r>
          </w:p>
        </w:tc>
        <w:tc>
          <w:tcPr>
            <w:tcW w:w="327" w:type="pct"/>
            <w:shd w:val="clear" w:color="auto" w:fill="auto"/>
            <w:vAlign w:val="center"/>
          </w:tcPr>
          <w:p w14:paraId="2940F7DF" w14:textId="787127AB" w:rsidR="00E6652E" w:rsidRPr="00901D0D" w:rsidRDefault="00E6652E" w:rsidP="00BB11BD">
            <w:pPr>
              <w:tabs>
                <w:tab w:val="decimal" w:pos="255"/>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-1.89</w:t>
            </w:r>
          </w:p>
        </w:tc>
        <w:tc>
          <w:tcPr>
            <w:tcW w:w="327" w:type="pct"/>
            <w:shd w:val="clear" w:color="auto" w:fill="auto"/>
            <w:vAlign w:val="center"/>
          </w:tcPr>
          <w:p w14:paraId="3C71E733" w14:textId="592D8B24" w:rsidR="00E6652E" w:rsidRPr="00901D0D" w:rsidRDefault="00E6652E" w:rsidP="00BB11BD">
            <w:pPr>
              <w:tabs>
                <w:tab w:val="decimal" w:pos="255"/>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.06</w:t>
            </w:r>
          </w:p>
        </w:tc>
        <w:tc>
          <w:tcPr>
            <w:tcW w:w="422" w:type="pct"/>
            <w:shd w:val="clear" w:color="auto" w:fill="auto"/>
            <w:vAlign w:val="center"/>
          </w:tcPr>
          <w:p w14:paraId="78BF6A6A" w14:textId="69CAAA83" w:rsidR="00E6652E" w:rsidRPr="00901D0D" w:rsidRDefault="00634142" w:rsidP="00BB11BD">
            <w:pPr>
              <w:tabs>
                <w:tab w:val="decimal" w:pos="369"/>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1.33</w:t>
            </w:r>
          </w:p>
        </w:tc>
        <w:tc>
          <w:tcPr>
            <w:tcW w:w="307" w:type="pct"/>
            <w:shd w:val="clear" w:color="auto" w:fill="auto"/>
            <w:vAlign w:val="center"/>
          </w:tcPr>
          <w:p w14:paraId="62624B02" w14:textId="77777777" w:rsidR="00E6652E" w:rsidRPr="00901D0D" w:rsidRDefault="00E6652E" w:rsidP="00BB11BD">
            <w:pPr>
              <w:tabs>
                <w:tab w:val="decimal" w:pos="227"/>
              </w:tabs>
              <w:ind w:firstLine="0"/>
              <w:contextualSpacing/>
              <w:jc w:val="both"/>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6FE47825" w14:textId="77777777" w:rsidR="00E6652E" w:rsidRPr="00901D0D" w:rsidRDefault="00E6652E"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2AE21D47" w14:textId="77777777" w:rsidR="00E6652E" w:rsidRPr="00901D0D" w:rsidRDefault="00E6652E"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3F89EDC2" w14:textId="77777777" w:rsidR="00E6652E" w:rsidRPr="00901D0D" w:rsidRDefault="00E6652E"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2972F176" w14:textId="77777777" w:rsidR="00E6652E" w:rsidRPr="00901D0D" w:rsidRDefault="00E6652E"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39A6085F" w14:textId="77777777" w:rsidR="00E6652E" w:rsidRPr="00901D0D" w:rsidRDefault="00E6652E"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r>
      <w:tr w:rsidR="00E6652E" w:rsidRPr="00901D0D" w14:paraId="25043C6F" w14:textId="77777777" w:rsidTr="00E6652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293" w:type="pct"/>
            <w:shd w:val="clear" w:color="auto" w:fill="auto"/>
            <w:vAlign w:val="center"/>
          </w:tcPr>
          <w:p w14:paraId="45579873" w14:textId="22C20F02" w:rsidR="00E6652E" w:rsidRPr="00901D0D" w:rsidRDefault="00E6652E" w:rsidP="00BB11BD">
            <w:pPr>
              <w:ind w:left="360" w:firstLine="0"/>
              <w:contextualSpacing/>
              <w:jc w:val="right"/>
              <w:rPr>
                <w:b w:val="0"/>
                <w:sz w:val="22"/>
                <w:lang w:val="en-GB"/>
              </w:rPr>
            </w:pPr>
            <w:r w:rsidRPr="00901D0D">
              <w:rPr>
                <w:b w:val="0"/>
                <w:sz w:val="22"/>
                <w:lang w:val="en-GB"/>
              </w:rPr>
              <w:t>Mathematics</w:t>
            </w:r>
          </w:p>
        </w:tc>
        <w:tc>
          <w:tcPr>
            <w:tcW w:w="346" w:type="pct"/>
            <w:shd w:val="clear" w:color="auto" w:fill="auto"/>
          </w:tcPr>
          <w:p w14:paraId="4C804C0B" w14:textId="015B49B4" w:rsidR="00E6652E" w:rsidRPr="00901D0D" w:rsidRDefault="00E6652E"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lang w:val="en-GB"/>
              </w:rPr>
              <w:t>-.11</w:t>
            </w:r>
          </w:p>
        </w:tc>
        <w:tc>
          <w:tcPr>
            <w:tcW w:w="442" w:type="pct"/>
            <w:shd w:val="clear" w:color="auto" w:fill="auto"/>
            <w:vAlign w:val="center"/>
          </w:tcPr>
          <w:p w14:paraId="70F21AC9" w14:textId="5360EE02" w:rsidR="00E6652E" w:rsidRPr="00901D0D" w:rsidRDefault="00E6652E" w:rsidP="00BB11BD">
            <w:pPr>
              <w:tabs>
                <w:tab w:val="decimal" w:pos="142"/>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[-.31, .09]</w:t>
            </w:r>
          </w:p>
        </w:tc>
        <w:tc>
          <w:tcPr>
            <w:tcW w:w="327" w:type="pct"/>
            <w:shd w:val="clear" w:color="auto" w:fill="auto"/>
            <w:vAlign w:val="center"/>
          </w:tcPr>
          <w:p w14:paraId="12FA743A" w14:textId="39B9EAA4" w:rsidR="00E6652E" w:rsidRPr="00901D0D" w:rsidRDefault="00E6652E" w:rsidP="00BB11BD">
            <w:pPr>
              <w:tabs>
                <w:tab w:val="decimal" w:pos="255"/>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-1.11</w:t>
            </w:r>
          </w:p>
        </w:tc>
        <w:tc>
          <w:tcPr>
            <w:tcW w:w="327" w:type="pct"/>
            <w:shd w:val="clear" w:color="auto" w:fill="auto"/>
            <w:vAlign w:val="center"/>
          </w:tcPr>
          <w:p w14:paraId="2D499B6E" w14:textId="2E0FAD31" w:rsidR="00E6652E" w:rsidRPr="00901D0D" w:rsidRDefault="00E6652E" w:rsidP="00BB11BD">
            <w:pPr>
              <w:tabs>
                <w:tab w:val="decimal" w:pos="255"/>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.27</w:t>
            </w:r>
          </w:p>
        </w:tc>
        <w:tc>
          <w:tcPr>
            <w:tcW w:w="422" w:type="pct"/>
            <w:shd w:val="clear" w:color="auto" w:fill="auto"/>
            <w:vAlign w:val="center"/>
          </w:tcPr>
          <w:p w14:paraId="7BDC93F0" w14:textId="1EFC5D33" w:rsidR="00E6652E" w:rsidRPr="00901D0D" w:rsidRDefault="00634142" w:rsidP="00BB11BD">
            <w:pPr>
              <w:tabs>
                <w:tab w:val="decimal" w:pos="369"/>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0.45</w:t>
            </w:r>
          </w:p>
        </w:tc>
        <w:tc>
          <w:tcPr>
            <w:tcW w:w="307" w:type="pct"/>
            <w:shd w:val="clear" w:color="auto" w:fill="auto"/>
            <w:vAlign w:val="center"/>
          </w:tcPr>
          <w:p w14:paraId="58245B3E" w14:textId="77777777" w:rsidR="00E6652E" w:rsidRPr="00901D0D" w:rsidRDefault="00E6652E" w:rsidP="00BB11BD">
            <w:pPr>
              <w:tabs>
                <w:tab w:val="decimal" w:pos="227"/>
              </w:tabs>
              <w:ind w:firstLine="0"/>
              <w:contextualSpacing/>
              <w:jc w:val="both"/>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05CD3983" w14:textId="77777777" w:rsidR="00E6652E" w:rsidRPr="00901D0D" w:rsidRDefault="00E6652E"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2D23FDDB" w14:textId="77777777" w:rsidR="00E6652E" w:rsidRPr="00901D0D" w:rsidRDefault="00E6652E"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58CE74ED" w14:textId="77777777" w:rsidR="00E6652E" w:rsidRPr="00901D0D" w:rsidRDefault="00E6652E"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0368950C" w14:textId="77777777" w:rsidR="00E6652E" w:rsidRPr="00901D0D" w:rsidRDefault="00E6652E"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5E2AA4E1" w14:textId="77777777" w:rsidR="00E6652E" w:rsidRPr="00901D0D" w:rsidRDefault="00E6652E"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r>
      <w:tr w:rsidR="00E6652E" w:rsidRPr="00901D0D" w14:paraId="08C7F008" w14:textId="77777777" w:rsidTr="00E6652E">
        <w:trPr>
          <w:trHeight w:val="227"/>
        </w:trPr>
        <w:tc>
          <w:tcPr>
            <w:cnfStyle w:val="001000000000" w:firstRow="0" w:lastRow="0" w:firstColumn="1" w:lastColumn="0" w:oddVBand="0" w:evenVBand="0" w:oddHBand="0" w:evenHBand="0" w:firstRowFirstColumn="0" w:firstRowLastColumn="0" w:lastRowFirstColumn="0" w:lastRowLastColumn="0"/>
            <w:tcW w:w="1293" w:type="pct"/>
            <w:shd w:val="clear" w:color="auto" w:fill="auto"/>
            <w:vAlign w:val="center"/>
          </w:tcPr>
          <w:p w14:paraId="2E8F28FF" w14:textId="2CB840A0" w:rsidR="00E6652E" w:rsidRPr="00901D0D" w:rsidRDefault="00E6652E" w:rsidP="00BB11BD">
            <w:pPr>
              <w:ind w:left="360" w:firstLine="0"/>
              <w:contextualSpacing/>
              <w:jc w:val="right"/>
              <w:rPr>
                <w:rFonts w:eastAsia="Arial" w:cs="Times New Roman"/>
                <w:b w:val="0"/>
                <w:sz w:val="22"/>
                <w:lang w:val="en-GB"/>
              </w:rPr>
            </w:pPr>
            <w:r w:rsidRPr="00901D0D">
              <w:rPr>
                <w:b w:val="0"/>
                <w:sz w:val="22"/>
                <w:lang w:val="en-GB"/>
              </w:rPr>
              <w:t>Statistics</w:t>
            </w:r>
          </w:p>
        </w:tc>
        <w:tc>
          <w:tcPr>
            <w:tcW w:w="346" w:type="pct"/>
            <w:shd w:val="clear" w:color="auto" w:fill="auto"/>
          </w:tcPr>
          <w:p w14:paraId="45247ABB" w14:textId="643EA7F7" w:rsidR="00E6652E" w:rsidRPr="00901D0D" w:rsidRDefault="00E6652E"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lang w:val="en-GB"/>
              </w:rPr>
              <w:t>-.06</w:t>
            </w:r>
          </w:p>
        </w:tc>
        <w:tc>
          <w:tcPr>
            <w:tcW w:w="442" w:type="pct"/>
            <w:shd w:val="clear" w:color="auto" w:fill="auto"/>
            <w:vAlign w:val="center"/>
          </w:tcPr>
          <w:p w14:paraId="23852556" w14:textId="6563EB57" w:rsidR="00E6652E" w:rsidRPr="00901D0D" w:rsidRDefault="00E6652E" w:rsidP="00BB11BD">
            <w:pPr>
              <w:tabs>
                <w:tab w:val="decimal" w:pos="142"/>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[-.26, .14]</w:t>
            </w:r>
          </w:p>
        </w:tc>
        <w:tc>
          <w:tcPr>
            <w:tcW w:w="327" w:type="pct"/>
            <w:shd w:val="clear" w:color="auto" w:fill="auto"/>
            <w:vAlign w:val="center"/>
          </w:tcPr>
          <w:p w14:paraId="45F62012" w14:textId="2D0521E8" w:rsidR="00E6652E" w:rsidRPr="00901D0D" w:rsidRDefault="00E6652E" w:rsidP="00BB11BD">
            <w:pPr>
              <w:tabs>
                <w:tab w:val="decimal" w:pos="255"/>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-0.59</w:t>
            </w:r>
          </w:p>
        </w:tc>
        <w:tc>
          <w:tcPr>
            <w:tcW w:w="327" w:type="pct"/>
            <w:shd w:val="clear" w:color="auto" w:fill="auto"/>
            <w:vAlign w:val="center"/>
          </w:tcPr>
          <w:p w14:paraId="0E39257D" w14:textId="552B677B" w:rsidR="00E6652E" w:rsidRPr="00901D0D" w:rsidRDefault="00E6652E" w:rsidP="00BB11BD">
            <w:pPr>
              <w:tabs>
                <w:tab w:val="decimal" w:pos="255"/>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.56</w:t>
            </w:r>
          </w:p>
        </w:tc>
        <w:tc>
          <w:tcPr>
            <w:tcW w:w="422" w:type="pct"/>
            <w:shd w:val="clear" w:color="auto" w:fill="auto"/>
            <w:vAlign w:val="center"/>
          </w:tcPr>
          <w:p w14:paraId="415FE2CF" w14:textId="52903FCC" w:rsidR="00E6652E" w:rsidRPr="00901D0D" w:rsidRDefault="00E6652E" w:rsidP="00BB11BD">
            <w:pPr>
              <w:tabs>
                <w:tab w:val="decimal" w:pos="369"/>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w:t>
            </w:r>
            <w:r w:rsidR="00634142" w:rsidRPr="00901D0D">
              <w:rPr>
                <w:rFonts w:eastAsia="Arial" w:cs="Times New Roman"/>
                <w:sz w:val="22"/>
                <w:lang w:val="en-GB"/>
              </w:rPr>
              <w:t>30</w:t>
            </w:r>
          </w:p>
        </w:tc>
        <w:tc>
          <w:tcPr>
            <w:tcW w:w="307" w:type="pct"/>
            <w:shd w:val="clear" w:color="auto" w:fill="auto"/>
            <w:vAlign w:val="center"/>
          </w:tcPr>
          <w:p w14:paraId="168CF419" w14:textId="77777777" w:rsidR="00E6652E" w:rsidRPr="00901D0D" w:rsidRDefault="00E6652E" w:rsidP="00BB11BD">
            <w:pPr>
              <w:tabs>
                <w:tab w:val="decimal" w:pos="227"/>
              </w:tabs>
              <w:ind w:firstLine="0"/>
              <w:contextualSpacing/>
              <w:jc w:val="both"/>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387D0ED7" w14:textId="77777777" w:rsidR="00E6652E" w:rsidRPr="00901D0D" w:rsidRDefault="00E6652E"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30AF2AF1" w14:textId="77777777" w:rsidR="00E6652E" w:rsidRPr="00901D0D" w:rsidRDefault="00E6652E"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4B0F3B6A" w14:textId="77777777" w:rsidR="00E6652E" w:rsidRPr="00901D0D" w:rsidRDefault="00E6652E"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22671F83" w14:textId="77777777" w:rsidR="00E6652E" w:rsidRPr="00901D0D" w:rsidRDefault="00E6652E"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69309B6F" w14:textId="77777777" w:rsidR="00E6652E" w:rsidRPr="00901D0D" w:rsidRDefault="00E6652E"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r>
      <w:tr w:rsidR="00140F51" w:rsidRPr="00901D0D" w14:paraId="609A1A5E" w14:textId="77777777" w:rsidTr="009E009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293" w:type="pct"/>
            <w:shd w:val="clear" w:color="auto" w:fill="auto"/>
            <w:vAlign w:val="center"/>
          </w:tcPr>
          <w:p w14:paraId="4739FFD1" w14:textId="77777777" w:rsidR="00140F51" w:rsidRPr="00901D0D" w:rsidRDefault="00140F51" w:rsidP="00BB11BD">
            <w:pPr>
              <w:ind w:left="360" w:firstLine="0"/>
              <w:contextualSpacing/>
              <w:rPr>
                <w:rFonts w:eastAsia="Arial" w:cs="Times New Roman"/>
                <w:b w:val="0"/>
                <w:sz w:val="22"/>
                <w:lang w:val="en-GB"/>
              </w:rPr>
            </w:pPr>
            <w:r w:rsidRPr="00901D0D">
              <w:rPr>
                <w:b w:val="0"/>
                <w:sz w:val="22"/>
                <w:lang w:val="en-GB"/>
              </w:rPr>
              <w:t>Step 2 ASGS Model</w:t>
            </w:r>
          </w:p>
        </w:tc>
        <w:tc>
          <w:tcPr>
            <w:tcW w:w="346" w:type="pct"/>
            <w:shd w:val="clear" w:color="auto" w:fill="auto"/>
            <w:vAlign w:val="center"/>
          </w:tcPr>
          <w:p w14:paraId="1717D510" w14:textId="77777777" w:rsidR="00140F51" w:rsidRPr="00901D0D" w:rsidRDefault="00140F51"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442" w:type="pct"/>
            <w:shd w:val="clear" w:color="auto" w:fill="auto"/>
            <w:vAlign w:val="center"/>
          </w:tcPr>
          <w:p w14:paraId="08557C04" w14:textId="77777777" w:rsidR="00140F51" w:rsidRPr="00901D0D" w:rsidRDefault="00140F51" w:rsidP="00BB11BD">
            <w:pPr>
              <w:tabs>
                <w:tab w:val="decimal" w:pos="142"/>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27" w:type="pct"/>
            <w:shd w:val="clear" w:color="auto" w:fill="auto"/>
            <w:vAlign w:val="center"/>
          </w:tcPr>
          <w:p w14:paraId="52835794" w14:textId="77777777" w:rsidR="00140F51" w:rsidRPr="00901D0D" w:rsidRDefault="00140F51" w:rsidP="00BB11BD">
            <w:pPr>
              <w:tabs>
                <w:tab w:val="decimal" w:pos="255"/>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27" w:type="pct"/>
            <w:shd w:val="clear" w:color="auto" w:fill="auto"/>
            <w:vAlign w:val="center"/>
          </w:tcPr>
          <w:p w14:paraId="13C3B677" w14:textId="77777777" w:rsidR="00140F51" w:rsidRPr="00901D0D" w:rsidRDefault="00140F51" w:rsidP="00BB11BD">
            <w:pPr>
              <w:tabs>
                <w:tab w:val="decimal" w:pos="255"/>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&lt; .001</w:t>
            </w:r>
          </w:p>
        </w:tc>
        <w:tc>
          <w:tcPr>
            <w:tcW w:w="422" w:type="pct"/>
            <w:shd w:val="clear" w:color="auto" w:fill="auto"/>
            <w:vAlign w:val="center"/>
          </w:tcPr>
          <w:p w14:paraId="563BA3B5" w14:textId="02EC5FE3" w:rsidR="00140F51" w:rsidRPr="00901D0D" w:rsidRDefault="00634142" w:rsidP="00BB11BD">
            <w:pPr>
              <w:tabs>
                <w:tab w:val="decimal" w:pos="369"/>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27.61</w:t>
            </w:r>
          </w:p>
        </w:tc>
        <w:tc>
          <w:tcPr>
            <w:tcW w:w="307" w:type="pct"/>
            <w:shd w:val="clear" w:color="auto" w:fill="auto"/>
            <w:vAlign w:val="center"/>
          </w:tcPr>
          <w:p w14:paraId="49044499" w14:textId="5B2EF215" w:rsidR="00140F51" w:rsidRPr="00901D0D" w:rsidRDefault="00E6652E" w:rsidP="00BB11BD">
            <w:pPr>
              <w:tabs>
                <w:tab w:val="decimal" w:pos="227"/>
              </w:tabs>
              <w:ind w:firstLine="0"/>
              <w:contextualSpacing/>
              <w:jc w:val="both"/>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4.78</w:t>
            </w:r>
          </w:p>
        </w:tc>
        <w:tc>
          <w:tcPr>
            <w:tcW w:w="307" w:type="pct"/>
            <w:shd w:val="clear" w:color="auto" w:fill="auto"/>
            <w:vAlign w:val="center"/>
          </w:tcPr>
          <w:p w14:paraId="43C8865C" w14:textId="1743689F" w:rsidR="00140F51" w:rsidRPr="00901D0D" w:rsidRDefault="00140F51"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.1</w:t>
            </w:r>
            <w:r w:rsidR="00E6652E" w:rsidRPr="00901D0D">
              <w:rPr>
                <w:rFonts w:eastAsia="Arial" w:cs="Times New Roman"/>
                <w:sz w:val="22"/>
                <w:lang w:val="en-GB"/>
              </w:rPr>
              <w:t>2</w:t>
            </w:r>
          </w:p>
        </w:tc>
        <w:tc>
          <w:tcPr>
            <w:tcW w:w="307" w:type="pct"/>
            <w:shd w:val="clear" w:color="auto" w:fill="auto"/>
            <w:vAlign w:val="center"/>
          </w:tcPr>
          <w:p w14:paraId="7ED75D05" w14:textId="44A46CAF" w:rsidR="00140F51" w:rsidRPr="00901D0D" w:rsidRDefault="00140F51"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w:t>
            </w:r>
            <w:r w:rsidR="00E6652E" w:rsidRPr="00901D0D">
              <w:rPr>
                <w:rFonts w:eastAsia="Arial" w:cs="Times New Roman"/>
                <w:sz w:val="22"/>
                <w:lang w:val="en-GB"/>
              </w:rPr>
              <w:t>10</w:t>
            </w:r>
          </w:p>
        </w:tc>
        <w:tc>
          <w:tcPr>
            <w:tcW w:w="307" w:type="pct"/>
            <w:shd w:val="clear" w:color="auto" w:fill="auto"/>
            <w:vAlign w:val="center"/>
          </w:tcPr>
          <w:p w14:paraId="271894B6" w14:textId="7CA45701" w:rsidR="00140F51" w:rsidRPr="00901D0D" w:rsidRDefault="00E6652E"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4.80</w:t>
            </w:r>
          </w:p>
        </w:tc>
        <w:tc>
          <w:tcPr>
            <w:tcW w:w="307" w:type="pct"/>
            <w:shd w:val="clear" w:color="auto" w:fill="auto"/>
            <w:vAlign w:val="center"/>
          </w:tcPr>
          <w:p w14:paraId="750DC263" w14:textId="0B921016" w:rsidR="00140F51" w:rsidRPr="00901D0D" w:rsidRDefault="00140F51"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w:t>
            </w:r>
            <w:r w:rsidR="00E6652E" w:rsidRPr="00901D0D">
              <w:rPr>
                <w:rFonts w:eastAsia="Arial" w:cs="Times New Roman"/>
                <w:sz w:val="22"/>
                <w:lang w:val="en-GB"/>
              </w:rPr>
              <w:t>5</w:t>
            </w:r>
          </w:p>
        </w:tc>
        <w:tc>
          <w:tcPr>
            <w:tcW w:w="307" w:type="pct"/>
            <w:shd w:val="clear" w:color="auto" w:fill="auto"/>
            <w:vAlign w:val="center"/>
          </w:tcPr>
          <w:p w14:paraId="2BE7399E" w14:textId="0F757145" w:rsidR="00140F51" w:rsidRPr="00901D0D" w:rsidRDefault="00140F51"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w:t>
            </w:r>
            <w:r w:rsidR="00E6652E" w:rsidRPr="00901D0D">
              <w:rPr>
                <w:rFonts w:eastAsia="Arial" w:cs="Times New Roman"/>
                <w:sz w:val="22"/>
                <w:lang w:val="en-GB"/>
              </w:rPr>
              <w:t>009</w:t>
            </w:r>
          </w:p>
        </w:tc>
      </w:tr>
      <w:tr w:rsidR="009E009D" w:rsidRPr="00901D0D" w14:paraId="2040F722" w14:textId="77777777" w:rsidTr="009E009D">
        <w:trPr>
          <w:trHeight w:val="227"/>
        </w:trPr>
        <w:tc>
          <w:tcPr>
            <w:cnfStyle w:val="001000000000" w:firstRow="0" w:lastRow="0" w:firstColumn="1" w:lastColumn="0" w:oddVBand="0" w:evenVBand="0" w:oddHBand="0" w:evenHBand="0" w:firstRowFirstColumn="0" w:firstRowLastColumn="0" w:lastRowFirstColumn="0" w:lastRowLastColumn="0"/>
            <w:tcW w:w="1293" w:type="pct"/>
            <w:shd w:val="clear" w:color="auto" w:fill="auto"/>
            <w:vAlign w:val="center"/>
          </w:tcPr>
          <w:p w14:paraId="12F27C4A" w14:textId="39B996BD" w:rsidR="009E009D" w:rsidRPr="00901D0D" w:rsidRDefault="009E009D" w:rsidP="00BB11BD">
            <w:pPr>
              <w:ind w:left="360" w:firstLine="0"/>
              <w:contextualSpacing/>
              <w:jc w:val="right"/>
              <w:rPr>
                <w:rFonts w:eastAsia="Arial" w:cs="Times New Roman"/>
                <w:b w:val="0"/>
                <w:sz w:val="22"/>
                <w:lang w:val="en-GB"/>
              </w:rPr>
            </w:pPr>
            <w:r w:rsidRPr="00901D0D">
              <w:rPr>
                <w:b w:val="0"/>
                <w:sz w:val="22"/>
                <w:lang w:val="en-GB"/>
              </w:rPr>
              <w:t>Psychology</w:t>
            </w:r>
          </w:p>
        </w:tc>
        <w:tc>
          <w:tcPr>
            <w:tcW w:w="346" w:type="pct"/>
            <w:shd w:val="clear" w:color="auto" w:fill="auto"/>
            <w:vAlign w:val="center"/>
          </w:tcPr>
          <w:p w14:paraId="7B96EB2F" w14:textId="1C788EA5" w:rsidR="009E009D" w:rsidRPr="00901D0D" w:rsidRDefault="00E6652E"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-.14</w:t>
            </w:r>
          </w:p>
        </w:tc>
        <w:tc>
          <w:tcPr>
            <w:tcW w:w="442" w:type="pct"/>
            <w:shd w:val="clear" w:color="auto" w:fill="auto"/>
            <w:vAlign w:val="center"/>
          </w:tcPr>
          <w:p w14:paraId="67C97524" w14:textId="71B14C80" w:rsidR="009E009D" w:rsidRPr="00901D0D" w:rsidRDefault="009E009D" w:rsidP="00BB11BD">
            <w:pPr>
              <w:tabs>
                <w:tab w:val="decimal" w:pos="142"/>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w:t>
            </w:r>
            <w:r w:rsidR="00E6652E" w:rsidRPr="00901D0D">
              <w:rPr>
                <w:rFonts w:eastAsia="Arial" w:cs="Times New Roman"/>
                <w:sz w:val="22"/>
                <w:lang w:val="en-GB"/>
              </w:rPr>
              <w:t>30</w:t>
            </w:r>
            <w:r w:rsidRPr="00901D0D">
              <w:rPr>
                <w:rFonts w:eastAsia="Arial" w:cs="Times New Roman"/>
                <w:sz w:val="22"/>
                <w:lang w:val="en-GB"/>
              </w:rPr>
              <w:t xml:space="preserve">, </w:t>
            </w:r>
            <w:r w:rsidR="00E6652E" w:rsidRPr="00901D0D">
              <w:rPr>
                <w:rFonts w:eastAsia="Arial" w:cs="Times New Roman"/>
                <w:sz w:val="22"/>
                <w:lang w:val="en-GB"/>
              </w:rPr>
              <w:t>.02</w:t>
            </w:r>
            <w:r w:rsidRPr="00901D0D">
              <w:rPr>
                <w:rFonts w:eastAsia="Arial" w:cs="Times New Roman"/>
                <w:sz w:val="22"/>
                <w:lang w:val="en-GB"/>
              </w:rPr>
              <w:t>]</w:t>
            </w:r>
          </w:p>
        </w:tc>
        <w:tc>
          <w:tcPr>
            <w:tcW w:w="327" w:type="pct"/>
            <w:shd w:val="clear" w:color="auto" w:fill="auto"/>
            <w:vAlign w:val="center"/>
          </w:tcPr>
          <w:p w14:paraId="369FC4B7" w14:textId="1C029079" w:rsidR="009E009D" w:rsidRPr="00901D0D" w:rsidRDefault="009E009D" w:rsidP="00BB11BD">
            <w:pPr>
              <w:tabs>
                <w:tab w:val="decimal" w:pos="255"/>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w:t>
            </w:r>
            <w:r w:rsidR="00E6652E" w:rsidRPr="00901D0D">
              <w:rPr>
                <w:rFonts w:eastAsia="Arial" w:cs="Times New Roman"/>
                <w:sz w:val="22"/>
                <w:lang w:val="en-GB"/>
              </w:rPr>
              <w:t>1.73</w:t>
            </w:r>
          </w:p>
        </w:tc>
        <w:tc>
          <w:tcPr>
            <w:tcW w:w="327" w:type="pct"/>
            <w:shd w:val="clear" w:color="auto" w:fill="auto"/>
            <w:vAlign w:val="center"/>
          </w:tcPr>
          <w:p w14:paraId="2A4A63C5" w14:textId="4DDCFB31" w:rsidR="009E009D" w:rsidRPr="00901D0D" w:rsidRDefault="00E6652E" w:rsidP="00BB11BD">
            <w:pPr>
              <w:tabs>
                <w:tab w:val="decimal" w:pos="255"/>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.09</w:t>
            </w:r>
          </w:p>
        </w:tc>
        <w:tc>
          <w:tcPr>
            <w:tcW w:w="422" w:type="pct"/>
            <w:shd w:val="clear" w:color="auto" w:fill="auto"/>
            <w:vAlign w:val="center"/>
          </w:tcPr>
          <w:p w14:paraId="02E23464" w14:textId="412734B9" w:rsidR="009E009D" w:rsidRPr="00901D0D" w:rsidRDefault="00634142" w:rsidP="00BB11BD">
            <w:pPr>
              <w:tabs>
                <w:tab w:val="decimal" w:pos="369"/>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1.16</w:t>
            </w:r>
          </w:p>
        </w:tc>
        <w:tc>
          <w:tcPr>
            <w:tcW w:w="307" w:type="pct"/>
            <w:shd w:val="clear" w:color="auto" w:fill="auto"/>
            <w:vAlign w:val="center"/>
          </w:tcPr>
          <w:p w14:paraId="3B00A02B" w14:textId="77777777" w:rsidR="009E009D" w:rsidRPr="00901D0D" w:rsidRDefault="009E009D" w:rsidP="00BB11BD">
            <w:pPr>
              <w:tabs>
                <w:tab w:val="decimal" w:pos="227"/>
              </w:tabs>
              <w:ind w:firstLine="0"/>
              <w:contextualSpacing/>
              <w:jc w:val="both"/>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220D622C" w14:textId="77777777" w:rsidR="009E009D" w:rsidRPr="00901D0D" w:rsidRDefault="009E009D"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767C0693" w14:textId="77777777" w:rsidR="009E009D" w:rsidRPr="00901D0D" w:rsidRDefault="009E009D"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0F153861" w14:textId="77777777" w:rsidR="009E009D" w:rsidRPr="00901D0D" w:rsidRDefault="009E009D"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3C20A832" w14:textId="77777777" w:rsidR="009E009D" w:rsidRPr="00901D0D" w:rsidRDefault="009E009D"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4BE16087" w14:textId="77777777" w:rsidR="009E009D" w:rsidRPr="00901D0D" w:rsidRDefault="009E009D"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r>
      <w:tr w:rsidR="009E009D" w:rsidRPr="00901D0D" w14:paraId="7E32A45E" w14:textId="77777777" w:rsidTr="009E009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293" w:type="pct"/>
            <w:shd w:val="clear" w:color="auto" w:fill="auto"/>
            <w:vAlign w:val="center"/>
          </w:tcPr>
          <w:p w14:paraId="77558FE4" w14:textId="57ACCFAD" w:rsidR="009E009D" w:rsidRPr="00901D0D" w:rsidRDefault="009E009D" w:rsidP="00BB11BD">
            <w:pPr>
              <w:ind w:left="360" w:firstLine="0"/>
              <w:contextualSpacing/>
              <w:jc w:val="right"/>
              <w:rPr>
                <w:b w:val="0"/>
                <w:sz w:val="22"/>
                <w:lang w:val="en-GB"/>
              </w:rPr>
            </w:pPr>
            <w:r w:rsidRPr="00901D0D">
              <w:rPr>
                <w:b w:val="0"/>
                <w:sz w:val="22"/>
                <w:lang w:val="en-GB"/>
              </w:rPr>
              <w:t>Mathematics</w:t>
            </w:r>
          </w:p>
        </w:tc>
        <w:tc>
          <w:tcPr>
            <w:tcW w:w="346" w:type="pct"/>
            <w:shd w:val="clear" w:color="auto" w:fill="auto"/>
            <w:vAlign w:val="center"/>
          </w:tcPr>
          <w:p w14:paraId="287E150A" w14:textId="3F0659DB" w:rsidR="009E009D" w:rsidRPr="00901D0D" w:rsidRDefault="00E6652E"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-.09</w:t>
            </w:r>
          </w:p>
        </w:tc>
        <w:tc>
          <w:tcPr>
            <w:tcW w:w="442" w:type="pct"/>
            <w:shd w:val="clear" w:color="auto" w:fill="auto"/>
            <w:vAlign w:val="center"/>
          </w:tcPr>
          <w:p w14:paraId="07F9FA2D" w14:textId="40B3782B" w:rsidR="009E009D" w:rsidRPr="00901D0D" w:rsidRDefault="009E009D" w:rsidP="00BB11BD">
            <w:pPr>
              <w:tabs>
                <w:tab w:val="decimal" w:pos="142"/>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w:t>
            </w:r>
            <w:r w:rsidR="00E6652E" w:rsidRPr="00901D0D">
              <w:rPr>
                <w:rFonts w:eastAsia="Arial" w:cs="Times New Roman"/>
                <w:sz w:val="22"/>
                <w:lang w:val="en-GB"/>
              </w:rPr>
              <w:t>29</w:t>
            </w:r>
            <w:r w:rsidRPr="00901D0D">
              <w:rPr>
                <w:rFonts w:eastAsia="Arial" w:cs="Times New Roman"/>
                <w:sz w:val="22"/>
                <w:lang w:val="en-GB"/>
              </w:rPr>
              <w:t>, .</w:t>
            </w:r>
            <w:r w:rsidR="00E6652E" w:rsidRPr="00901D0D">
              <w:rPr>
                <w:rFonts w:eastAsia="Arial" w:cs="Times New Roman"/>
                <w:sz w:val="22"/>
                <w:lang w:val="en-GB"/>
              </w:rPr>
              <w:t>10</w:t>
            </w:r>
            <w:r w:rsidRPr="00901D0D">
              <w:rPr>
                <w:rFonts w:eastAsia="Arial" w:cs="Times New Roman"/>
                <w:sz w:val="22"/>
                <w:lang w:val="en-GB"/>
              </w:rPr>
              <w:t>]</w:t>
            </w:r>
          </w:p>
        </w:tc>
        <w:tc>
          <w:tcPr>
            <w:tcW w:w="327" w:type="pct"/>
            <w:shd w:val="clear" w:color="auto" w:fill="auto"/>
            <w:vAlign w:val="center"/>
          </w:tcPr>
          <w:p w14:paraId="1BFF4626" w14:textId="11375982" w:rsidR="009E009D" w:rsidRPr="00901D0D" w:rsidRDefault="00E6652E" w:rsidP="00BB11BD">
            <w:pPr>
              <w:tabs>
                <w:tab w:val="decimal" w:pos="255"/>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-0.96</w:t>
            </w:r>
          </w:p>
        </w:tc>
        <w:tc>
          <w:tcPr>
            <w:tcW w:w="327" w:type="pct"/>
            <w:shd w:val="clear" w:color="auto" w:fill="auto"/>
            <w:vAlign w:val="center"/>
          </w:tcPr>
          <w:p w14:paraId="2B32E351" w14:textId="0622B67B" w:rsidR="009E009D" w:rsidRPr="00901D0D" w:rsidRDefault="009E009D" w:rsidP="00BB11BD">
            <w:pPr>
              <w:tabs>
                <w:tab w:val="decimal" w:pos="255"/>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w:t>
            </w:r>
            <w:r w:rsidR="00E6652E" w:rsidRPr="00901D0D">
              <w:rPr>
                <w:rFonts w:eastAsia="Arial" w:cs="Times New Roman"/>
                <w:sz w:val="22"/>
                <w:lang w:val="en-GB"/>
              </w:rPr>
              <w:t>34</w:t>
            </w:r>
          </w:p>
        </w:tc>
        <w:tc>
          <w:tcPr>
            <w:tcW w:w="422" w:type="pct"/>
            <w:shd w:val="clear" w:color="auto" w:fill="auto"/>
            <w:vAlign w:val="center"/>
          </w:tcPr>
          <w:p w14:paraId="5A476727" w14:textId="181E6BF6" w:rsidR="009E009D" w:rsidRPr="00901D0D" w:rsidRDefault="009E009D" w:rsidP="00BB11BD">
            <w:pPr>
              <w:tabs>
                <w:tab w:val="decimal" w:pos="369"/>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w:t>
            </w:r>
            <w:r w:rsidR="00634142" w:rsidRPr="00901D0D">
              <w:rPr>
                <w:rFonts w:eastAsia="Arial" w:cs="Times New Roman"/>
                <w:sz w:val="22"/>
                <w:lang w:val="en-GB"/>
              </w:rPr>
              <w:t>46</w:t>
            </w:r>
          </w:p>
        </w:tc>
        <w:tc>
          <w:tcPr>
            <w:tcW w:w="307" w:type="pct"/>
            <w:shd w:val="clear" w:color="auto" w:fill="auto"/>
            <w:vAlign w:val="center"/>
          </w:tcPr>
          <w:p w14:paraId="004D1D03" w14:textId="77777777" w:rsidR="009E009D" w:rsidRPr="00901D0D" w:rsidRDefault="009E009D" w:rsidP="00BB11BD">
            <w:pPr>
              <w:tabs>
                <w:tab w:val="decimal" w:pos="227"/>
              </w:tabs>
              <w:ind w:firstLine="0"/>
              <w:contextualSpacing/>
              <w:jc w:val="both"/>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295EA766" w14:textId="77777777" w:rsidR="009E009D" w:rsidRPr="00901D0D" w:rsidRDefault="009E009D"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2F48CD72" w14:textId="77777777" w:rsidR="009E009D" w:rsidRPr="00901D0D" w:rsidRDefault="009E009D"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16FE6B07" w14:textId="77777777" w:rsidR="009E009D" w:rsidRPr="00901D0D" w:rsidRDefault="009E009D"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395CB280" w14:textId="77777777" w:rsidR="009E009D" w:rsidRPr="00901D0D" w:rsidRDefault="009E009D"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3438B2DD" w14:textId="77777777" w:rsidR="009E009D" w:rsidRPr="00901D0D" w:rsidRDefault="009E009D"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r>
      <w:tr w:rsidR="009E009D" w:rsidRPr="00901D0D" w14:paraId="551FF797" w14:textId="77777777" w:rsidTr="009E009D">
        <w:trPr>
          <w:trHeight w:val="227"/>
        </w:trPr>
        <w:tc>
          <w:tcPr>
            <w:cnfStyle w:val="001000000000" w:firstRow="0" w:lastRow="0" w:firstColumn="1" w:lastColumn="0" w:oddVBand="0" w:evenVBand="0" w:oddHBand="0" w:evenHBand="0" w:firstRowFirstColumn="0" w:firstRowLastColumn="0" w:lastRowFirstColumn="0" w:lastRowLastColumn="0"/>
            <w:tcW w:w="1293" w:type="pct"/>
            <w:shd w:val="clear" w:color="auto" w:fill="auto"/>
            <w:vAlign w:val="center"/>
          </w:tcPr>
          <w:p w14:paraId="77D8B36A" w14:textId="19BD5D19" w:rsidR="009E009D" w:rsidRPr="00901D0D" w:rsidRDefault="009E009D" w:rsidP="00BB11BD">
            <w:pPr>
              <w:ind w:left="360" w:firstLine="0"/>
              <w:contextualSpacing/>
              <w:jc w:val="right"/>
              <w:rPr>
                <w:rFonts w:eastAsia="Arial" w:cs="Times New Roman"/>
                <w:b w:val="0"/>
                <w:sz w:val="22"/>
                <w:lang w:val="en-GB"/>
              </w:rPr>
            </w:pPr>
            <w:r w:rsidRPr="00901D0D">
              <w:rPr>
                <w:b w:val="0"/>
                <w:sz w:val="22"/>
                <w:lang w:val="en-GB"/>
              </w:rPr>
              <w:t>Statistics</w:t>
            </w:r>
          </w:p>
        </w:tc>
        <w:tc>
          <w:tcPr>
            <w:tcW w:w="346" w:type="pct"/>
            <w:shd w:val="clear" w:color="auto" w:fill="auto"/>
            <w:vAlign w:val="center"/>
          </w:tcPr>
          <w:p w14:paraId="4F67E0B8" w14:textId="3A5EA83C" w:rsidR="009E009D" w:rsidRPr="00901D0D" w:rsidRDefault="009E009D"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w:t>
            </w:r>
            <w:r w:rsidR="00E6652E" w:rsidRPr="00901D0D">
              <w:rPr>
                <w:rFonts w:eastAsia="Arial" w:cs="Times New Roman"/>
                <w:sz w:val="22"/>
                <w:lang w:val="en-GB"/>
              </w:rPr>
              <w:t>04</w:t>
            </w:r>
          </w:p>
        </w:tc>
        <w:tc>
          <w:tcPr>
            <w:tcW w:w="442" w:type="pct"/>
            <w:shd w:val="clear" w:color="auto" w:fill="auto"/>
            <w:vAlign w:val="center"/>
          </w:tcPr>
          <w:p w14:paraId="5F24CC62" w14:textId="21A6EACE" w:rsidR="009E009D" w:rsidRPr="00901D0D" w:rsidRDefault="009E009D" w:rsidP="00BB11BD">
            <w:pPr>
              <w:tabs>
                <w:tab w:val="decimal" w:pos="142"/>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w:t>
            </w:r>
            <w:r w:rsidR="00E6652E" w:rsidRPr="00901D0D">
              <w:rPr>
                <w:rFonts w:eastAsia="Arial" w:cs="Times New Roman"/>
                <w:sz w:val="22"/>
                <w:lang w:val="en-GB"/>
              </w:rPr>
              <w:t>24</w:t>
            </w:r>
            <w:r w:rsidRPr="00901D0D">
              <w:rPr>
                <w:rFonts w:eastAsia="Arial" w:cs="Times New Roman"/>
                <w:sz w:val="22"/>
                <w:lang w:val="en-GB"/>
              </w:rPr>
              <w:t>, .</w:t>
            </w:r>
            <w:r w:rsidR="00E6652E" w:rsidRPr="00901D0D">
              <w:rPr>
                <w:rFonts w:eastAsia="Arial" w:cs="Times New Roman"/>
                <w:sz w:val="22"/>
                <w:lang w:val="en-GB"/>
              </w:rPr>
              <w:t>15</w:t>
            </w:r>
            <w:r w:rsidRPr="00901D0D">
              <w:rPr>
                <w:rFonts w:eastAsia="Arial" w:cs="Times New Roman"/>
                <w:sz w:val="22"/>
                <w:lang w:val="en-GB"/>
              </w:rPr>
              <w:t>]</w:t>
            </w:r>
          </w:p>
        </w:tc>
        <w:tc>
          <w:tcPr>
            <w:tcW w:w="327" w:type="pct"/>
            <w:shd w:val="clear" w:color="auto" w:fill="auto"/>
            <w:vAlign w:val="center"/>
          </w:tcPr>
          <w:p w14:paraId="21C1A7C4" w14:textId="734C74DB" w:rsidR="009E009D" w:rsidRPr="00901D0D" w:rsidRDefault="009E009D" w:rsidP="00BB11BD">
            <w:pPr>
              <w:tabs>
                <w:tab w:val="decimal" w:pos="255"/>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w:t>
            </w:r>
            <w:r w:rsidR="00E6652E" w:rsidRPr="00901D0D">
              <w:rPr>
                <w:rFonts w:eastAsia="Arial" w:cs="Times New Roman"/>
                <w:sz w:val="22"/>
                <w:lang w:val="en-GB"/>
              </w:rPr>
              <w:t>0.44</w:t>
            </w:r>
          </w:p>
        </w:tc>
        <w:tc>
          <w:tcPr>
            <w:tcW w:w="327" w:type="pct"/>
            <w:shd w:val="clear" w:color="auto" w:fill="auto"/>
            <w:vAlign w:val="center"/>
          </w:tcPr>
          <w:p w14:paraId="1D4DCDB7" w14:textId="0677FEF8" w:rsidR="009E009D" w:rsidRPr="00901D0D" w:rsidRDefault="009E009D" w:rsidP="00BB11BD">
            <w:pPr>
              <w:tabs>
                <w:tab w:val="decimal" w:pos="255"/>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w:t>
            </w:r>
            <w:r w:rsidR="00E6652E" w:rsidRPr="00901D0D">
              <w:rPr>
                <w:rFonts w:eastAsia="Arial" w:cs="Times New Roman"/>
                <w:sz w:val="22"/>
                <w:lang w:val="en-GB"/>
              </w:rPr>
              <w:t>66</w:t>
            </w:r>
          </w:p>
        </w:tc>
        <w:tc>
          <w:tcPr>
            <w:tcW w:w="422" w:type="pct"/>
            <w:shd w:val="clear" w:color="auto" w:fill="auto"/>
            <w:vAlign w:val="center"/>
          </w:tcPr>
          <w:p w14:paraId="4CD9B235" w14:textId="6220832C" w:rsidR="009E009D" w:rsidRPr="00901D0D" w:rsidRDefault="009E009D" w:rsidP="00BB11BD">
            <w:pPr>
              <w:tabs>
                <w:tab w:val="decimal" w:pos="369"/>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w:t>
            </w:r>
            <w:r w:rsidR="00634142" w:rsidRPr="00901D0D">
              <w:rPr>
                <w:rFonts w:eastAsia="Arial" w:cs="Times New Roman"/>
                <w:sz w:val="22"/>
                <w:lang w:val="en-GB"/>
              </w:rPr>
              <w:t>33</w:t>
            </w:r>
          </w:p>
        </w:tc>
        <w:tc>
          <w:tcPr>
            <w:tcW w:w="307" w:type="pct"/>
            <w:shd w:val="clear" w:color="auto" w:fill="auto"/>
            <w:vAlign w:val="center"/>
          </w:tcPr>
          <w:p w14:paraId="56967518" w14:textId="77777777" w:rsidR="009E009D" w:rsidRPr="00901D0D" w:rsidRDefault="009E009D" w:rsidP="00BB11BD">
            <w:pPr>
              <w:tabs>
                <w:tab w:val="decimal" w:pos="227"/>
              </w:tabs>
              <w:ind w:firstLine="0"/>
              <w:contextualSpacing/>
              <w:jc w:val="both"/>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6516EB63" w14:textId="77777777" w:rsidR="009E009D" w:rsidRPr="00901D0D" w:rsidRDefault="009E009D"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3B5134B8" w14:textId="77777777" w:rsidR="009E009D" w:rsidRPr="00901D0D" w:rsidRDefault="009E009D"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35604512" w14:textId="77777777" w:rsidR="009E009D" w:rsidRPr="00901D0D" w:rsidRDefault="009E009D"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49468F4B" w14:textId="77777777" w:rsidR="009E009D" w:rsidRPr="00901D0D" w:rsidRDefault="009E009D"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32F3FC39" w14:textId="77777777" w:rsidR="009E009D" w:rsidRPr="00901D0D" w:rsidRDefault="009E009D"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r>
      <w:tr w:rsidR="00140F51" w:rsidRPr="00901D0D" w14:paraId="7C4FED0D" w14:textId="77777777" w:rsidTr="009E009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293" w:type="pct"/>
            <w:shd w:val="clear" w:color="auto" w:fill="auto"/>
            <w:vAlign w:val="center"/>
          </w:tcPr>
          <w:p w14:paraId="466A3060" w14:textId="278E5C04" w:rsidR="00140F51" w:rsidRPr="00901D0D" w:rsidRDefault="009E009D" w:rsidP="00BB11BD">
            <w:pPr>
              <w:ind w:left="360" w:firstLine="0"/>
              <w:contextualSpacing/>
              <w:jc w:val="right"/>
              <w:rPr>
                <w:b w:val="0"/>
                <w:sz w:val="22"/>
                <w:lang w:val="en-GB"/>
              </w:rPr>
            </w:pPr>
            <w:r w:rsidRPr="00901D0D">
              <w:rPr>
                <w:b w:val="0"/>
                <w:sz w:val="22"/>
                <w:lang w:val="en-GB"/>
              </w:rPr>
              <w:t>Overall Gambling</w:t>
            </w:r>
          </w:p>
        </w:tc>
        <w:tc>
          <w:tcPr>
            <w:tcW w:w="346" w:type="pct"/>
            <w:shd w:val="clear" w:color="auto" w:fill="auto"/>
            <w:vAlign w:val="center"/>
          </w:tcPr>
          <w:p w14:paraId="72CEA884" w14:textId="6327FA71" w:rsidR="00140F51" w:rsidRPr="00901D0D" w:rsidRDefault="00140F51"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w:t>
            </w:r>
            <w:r w:rsidR="00E6652E" w:rsidRPr="00901D0D">
              <w:rPr>
                <w:rFonts w:eastAsia="Arial" w:cs="Times New Roman"/>
                <w:sz w:val="22"/>
                <w:lang w:val="en-GB"/>
              </w:rPr>
              <w:t>02</w:t>
            </w:r>
          </w:p>
        </w:tc>
        <w:tc>
          <w:tcPr>
            <w:tcW w:w="442" w:type="pct"/>
            <w:shd w:val="clear" w:color="auto" w:fill="auto"/>
            <w:vAlign w:val="center"/>
          </w:tcPr>
          <w:p w14:paraId="7D23C164" w14:textId="4632E286" w:rsidR="00140F51" w:rsidRPr="00901D0D" w:rsidRDefault="00140F51" w:rsidP="00BB11BD">
            <w:pPr>
              <w:tabs>
                <w:tab w:val="decimal" w:pos="142"/>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w:t>
            </w:r>
            <w:r w:rsidR="00E6652E" w:rsidRPr="00901D0D">
              <w:rPr>
                <w:rFonts w:eastAsia="Arial" w:cs="Times New Roman"/>
                <w:sz w:val="22"/>
                <w:lang w:val="en-GB"/>
              </w:rPr>
              <w:t>16</w:t>
            </w:r>
            <w:r w:rsidRPr="00901D0D">
              <w:rPr>
                <w:rFonts w:eastAsia="Arial" w:cs="Times New Roman"/>
                <w:sz w:val="22"/>
                <w:lang w:val="en-GB"/>
              </w:rPr>
              <w:t>, .</w:t>
            </w:r>
            <w:r w:rsidR="00E6652E" w:rsidRPr="00901D0D">
              <w:rPr>
                <w:rFonts w:eastAsia="Arial" w:cs="Times New Roman"/>
                <w:sz w:val="22"/>
                <w:lang w:val="en-GB"/>
              </w:rPr>
              <w:t>13</w:t>
            </w:r>
            <w:r w:rsidRPr="00901D0D">
              <w:rPr>
                <w:rFonts w:eastAsia="Arial" w:cs="Times New Roman"/>
                <w:sz w:val="22"/>
                <w:lang w:val="en-GB"/>
              </w:rPr>
              <w:t>]</w:t>
            </w:r>
          </w:p>
        </w:tc>
        <w:tc>
          <w:tcPr>
            <w:tcW w:w="327" w:type="pct"/>
            <w:shd w:val="clear" w:color="auto" w:fill="auto"/>
            <w:vAlign w:val="center"/>
          </w:tcPr>
          <w:p w14:paraId="5FBF19D4" w14:textId="32DF5C2C" w:rsidR="00140F51" w:rsidRPr="00901D0D" w:rsidRDefault="00140F51" w:rsidP="00BB11BD">
            <w:pPr>
              <w:tabs>
                <w:tab w:val="decimal" w:pos="255"/>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w:t>
            </w:r>
            <w:r w:rsidR="00E6652E" w:rsidRPr="00901D0D">
              <w:rPr>
                <w:rFonts w:eastAsia="Arial" w:cs="Times New Roman"/>
                <w:sz w:val="22"/>
                <w:lang w:val="en-GB"/>
              </w:rPr>
              <w:t>0.21</w:t>
            </w:r>
          </w:p>
        </w:tc>
        <w:tc>
          <w:tcPr>
            <w:tcW w:w="327" w:type="pct"/>
            <w:shd w:val="clear" w:color="auto" w:fill="auto"/>
            <w:vAlign w:val="center"/>
          </w:tcPr>
          <w:p w14:paraId="414EC7A3" w14:textId="56E0B2EA" w:rsidR="00140F51" w:rsidRPr="00901D0D" w:rsidRDefault="00140F51" w:rsidP="00BB11BD">
            <w:pPr>
              <w:tabs>
                <w:tab w:val="decimal" w:pos="255"/>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w:t>
            </w:r>
            <w:r w:rsidR="00E6652E" w:rsidRPr="00901D0D">
              <w:rPr>
                <w:rFonts w:eastAsia="Arial" w:cs="Times New Roman"/>
                <w:sz w:val="22"/>
                <w:lang w:val="en-GB"/>
              </w:rPr>
              <w:t>83</w:t>
            </w:r>
          </w:p>
        </w:tc>
        <w:tc>
          <w:tcPr>
            <w:tcW w:w="422" w:type="pct"/>
            <w:shd w:val="clear" w:color="auto" w:fill="auto"/>
            <w:vAlign w:val="center"/>
          </w:tcPr>
          <w:p w14:paraId="064D8818" w14:textId="145521C7" w:rsidR="00140F51" w:rsidRPr="00901D0D" w:rsidRDefault="00140F51" w:rsidP="00BB11BD">
            <w:pPr>
              <w:tabs>
                <w:tab w:val="decimal" w:pos="369"/>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w:t>
            </w:r>
            <w:r w:rsidR="00634142" w:rsidRPr="00901D0D">
              <w:rPr>
                <w:rFonts w:eastAsia="Arial" w:cs="Times New Roman"/>
                <w:sz w:val="22"/>
                <w:lang w:val="en-GB"/>
              </w:rPr>
              <w:t>31</w:t>
            </w:r>
          </w:p>
        </w:tc>
        <w:tc>
          <w:tcPr>
            <w:tcW w:w="307" w:type="pct"/>
            <w:shd w:val="clear" w:color="auto" w:fill="auto"/>
            <w:vAlign w:val="center"/>
          </w:tcPr>
          <w:p w14:paraId="676AA5F5" w14:textId="77777777" w:rsidR="00140F51" w:rsidRPr="00901D0D" w:rsidRDefault="00140F51" w:rsidP="00BB11BD">
            <w:pPr>
              <w:tabs>
                <w:tab w:val="decimal" w:pos="227"/>
              </w:tabs>
              <w:ind w:firstLine="0"/>
              <w:contextualSpacing/>
              <w:jc w:val="both"/>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016D8C69" w14:textId="77777777" w:rsidR="00140F51" w:rsidRPr="00901D0D" w:rsidRDefault="00140F51"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62B05AE7" w14:textId="77777777" w:rsidR="00140F51" w:rsidRPr="00901D0D" w:rsidRDefault="00140F51"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229C4A0E" w14:textId="77777777" w:rsidR="00140F51" w:rsidRPr="00901D0D" w:rsidRDefault="00140F51"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60D1BCDF" w14:textId="77777777" w:rsidR="00140F51" w:rsidRPr="00901D0D" w:rsidRDefault="00140F51"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6947A348" w14:textId="77777777" w:rsidR="00140F51" w:rsidRPr="00901D0D" w:rsidRDefault="00140F51"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r>
      <w:tr w:rsidR="00140F51" w:rsidRPr="00901D0D" w14:paraId="36E92363" w14:textId="77777777" w:rsidTr="009E009D">
        <w:trPr>
          <w:trHeight w:val="227"/>
        </w:trPr>
        <w:tc>
          <w:tcPr>
            <w:cnfStyle w:val="001000000000" w:firstRow="0" w:lastRow="0" w:firstColumn="1" w:lastColumn="0" w:oddVBand="0" w:evenVBand="0" w:oddHBand="0" w:evenHBand="0" w:firstRowFirstColumn="0" w:firstRowLastColumn="0" w:lastRowFirstColumn="0" w:lastRowLastColumn="0"/>
            <w:tcW w:w="1293" w:type="pct"/>
            <w:shd w:val="clear" w:color="auto" w:fill="auto"/>
            <w:vAlign w:val="center"/>
          </w:tcPr>
          <w:p w14:paraId="2145FB25" w14:textId="77777777" w:rsidR="00140F51" w:rsidRPr="00901D0D" w:rsidRDefault="00140F51" w:rsidP="00BB11BD">
            <w:pPr>
              <w:ind w:left="360" w:firstLine="0"/>
              <w:contextualSpacing/>
              <w:jc w:val="right"/>
              <w:rPr>
                <w:rFonts w:eastAsia="Arial" w:cs="Times New Roman"/>
                <w:b w:val="0"/>
                <w:sz w:val="22"/>
                <w:lang w:val="en-GB"/>
              </w:rPr>
            </w:pPr>
            <w:r w:rsidRPr="00901D0D">
              <w:rPr>
                <w:b w:val="0"/>
                <w:sz w:val="22"/>
                <w:lang w:val="en-GB"/>
              </w:rPr>
              <w:t>ASGS</w:t>
            </w:r>
          </w:p>
        </w:tc>
        <w:tc>
          <w:tcPr>
            <w:tcW w:w="346" w:type="pct"/>
            <w:shd w:val="clear" w:color="auto" w:fill="auto"/>
            <w:vAlign w:val="center"/>
          </w:tcPr>
          <w:p w14:paraId="14C071D1" w14:textId="7F53BBB0" w:rsidR="00140F51" w:rsidRPr="00901D0D" w:rsidRDefault="00140F51"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w:t>
            </w:r>
            <w:r w:rsidR="00E6652E" w:rsidRPr="00901D0D">
              <w:rPr>
                <w:rFonts w:eastAsia="Arial" w:cs="Times New Roman"/>
                <w:sz w:val="22"/>
                <w:lang w:val="en-GB"/>
              </w:rPr>
              <w:t>22</w:t>
            </w:r>
          </w:p>
        </w:tc>
        <w:tc>
          <w:tcPr>
            <w:tcW w:w="442" w:type="pct"/>
            <w:shd w:val="clear" w:color="auto" w:fill="auto"/>
            <w:vAlign w:val="center"/>
          </w:tcPr>
          <w:p w14:paraId="35DB1B52" w14:textId="437B8661" w:rsidR="00140F51" w:rsidRPr="00901D0D" w:rsidRDefault="00140F51" w:rsidP="00BB11BD">
            <w:pPr>
              <w:tabs>
                <w:tab w:val="decimal" w:pos="142"/>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w:t>
            </w:r>
            <w:r w:rsidR="00E6652E" w:rsidRPr="00901D0D">
              <w:rPr>
                <w:rFonts w:eastAsia="Arial" w:cs="Times New Roman"/>
                <w:sz w:val="22"/>
                <w:lang w:val="en-GB"/>
              </w:rPr>
              <w:t>3</w:t>
            </w:r>
            <w:r w:rsidRPr="00901D0D">
              <w:rPr>
                <w:rFonts w:eastAsia="Arial" w:cs="Times New Roman"/>
                <w:sz w:val="22"/>
                <w:lang w:val="en-GB"/>
              </w:rPr>
              <w:t xml:space="preserve">7, </w:t>
            </w:r>
            <w:r w:rsidR="00E6652E" w:rsidRPr="00901D0D">
              <w:rPr>
                <w:rFonts w:eastAsia="Arial" w:cs="Times New Roman"/>
                <w:sz w:val="22"/>
                <w:lang w:val="en-GB"/>
              </w:rPr>
              <w:t>-</w:t>
            </w:r>
            <w:r w:rsidRPr="00901D0D">
              <w:rPr>
                <w:rFonts w:eastAsia="Arial" w:cs="Times New Roman"/>
                <w:sz w:val="22"/>
                <w:lang w:val="en-GB"/>
              </w:rPr>
              <w:t>.</w:t>
            </w:r>
            <w:r w:rsidR="00E6652E" w:rsidRPr="00901D0D">
              <w:rPr>
                <w:rFonts w:eastAsia="Arial" w:cs="Times New Roman"/>
                <w:sz w:val="22"/>
                <w:lang w:val="en-GB"/>
              </w:rPr>
              <w:t>07</w:t>
            </w:r>
            <w:r w:rsidRPr="00901D0D">
              <w:rPr>
                <w:rFonts w:eastAsia="Arial" w:cs="Times New Roman"/>
                <w:sz w:val="22"/>
                <w:lang w:val="en-GB"/>
              </w:rPr>
              <w:t>]</w:t>
            </w:r>
          </w:p>
        </w:tc>
        <w:tc>
          <w:tcPr>
            <w:tcW w:w="327" w:type="pct"/>
            <w:shd w:val="clear" w:color="auto" w:fill="auto"/>
            <w:vAlign w:val="center"/>
          </w:tcPr>
          <w:p w14:paraId="31B3DBB4" w14:textId="288FAEC2" w:rsidR="00140F51" w:rsidRPr="00901D0D" w:rsidRDefault="00140F51" w:rsidP="00BB11BD">
            <w:pPr>
              <w:tabs>
                <w:tab w:val="decimal" w:pos="255"/>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w:t>
            </w:r>
            <w:r w:rsidR="00E6652E" w:rsidRPr="00901D0D">
              <w:rPr>
                <w:rFonts w:eastAsia="Arial" w:cs="Times New Roman"/>
                <w:sz w:val="22"/>
                <w:lang w:val="en-GB"/>
              </w:rPr>
              <w:t>2</w:t>
            </w:r>
            <w:r w:rsidRPr="00901D0D">
              <w:rPr>
                <w:rFonts w:eastAsia="Arial" w:cs="Times New Roman"/>
                <w:sz w:val="22"/>
                <w:lang w:val="en-GB"/>
              </w:rPr>
              <w:t>.</w:t>
            </w:r>
            <w:r w:rsidR="00E6652E" w:rsidRPr="00901D0D">
              <w:rPr>
                <w:rFonts w:eastAsia="Arial" w:cs="Times New Roman"/>
                <w:sz w:val="22"/>
                <w:lang w:val="en-GB"/>
              </w:rPr>
              <w:t>91</w:t>
            </w:r>
          </w:p>
        </w:tc>
        <w:tc>
          <w:tcPr>
            <w:tcW w:w="327" w:type="pct"/>
            <w:shd w:val="clear" w:color="auto" w:fill="auto"/>
            <w:vAlign w:val="center"/>
          </w:tcPr>
          <w:p w14:paraId="5C0043BC" w14:textId="73D91EAB" w:rsidR="00140F51" w:rsidRPr="00901D0D" w:rsidRDefault="00140F51" w:rsidP="00BB11BD">
            <w:pPr>
              <w:tabs>
                <w:tab w:val="decimal" w:pos="255"/>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w:t>
            </w:r>
            <w:r w:rsidR="00E6652E" w:rsidRPr="00901D0D">
              <w:rPr>
                <w:rFonts w:eastAsia="Arial" w:cs="Times New Roman"/>
                <w:sz w:val="22"/>
                <w:lang w:val="en-GB"/>
              </w:rPr>
              <w:t>004</w:t>
            </w:r>
          </w:p>
        </w:tc>
        <w:tc>
          <w:tcPr>
            <w:tcW w:w="422" w:type="pct"/>
            <w:shd w:val="clear" w:color="auto" w:fill="auto"/>
            <w:vAlign w:val="center"/>
          </w:tcPr>
          <w:p w14:paraId="113357BF" w14:textId="20FD8D43" w:rsidR="00140F51" w:rsidRPr="00901D0D" w:rsidRDefault="00634142" w:rsidP="00BB11BD">
            <w:pPr>
              <w:tabs>
                <w:tab w:val="decimal" w:pos="369"/>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12.89</w:t>
            </w:r>
          </w:p>
        </w:tc>
        <w:tc>
          <w:tcPr>
            <w:tcW w:w="307" w:type="pct"/>
            <w:shd w:val="clear" w:color="auto" w:fill="auto"/>
            <w:vAlign w:val="center"/>
          </w:tcPr>
          <w:p w14:paraId="79B9E2B2" w14:textId="77777777" w:rsidR="00140F51" w:rsidRPr="00901D0D" w:rsidRDefault="00140F51" w:rsidP="00BB11BD">
            <w:pPr>
              <w:tabs>
                <w:tab w:val="decimal" w:pos="227"/>
              </w:tabs>
              <w:ind w:firstLine="0"/>
              <w:contextualSpacing/>
              <w:jc w:val="both"/>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6B3ABC39" w14:textId="77777777" w:rsidR="00140F51" w:rsidRPr="00901D0D" w:rsidRDefault="00140F51"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4753D6C2" w14:textId="77777777" w:rsidR="00140F51" w:rsidRPr="00901D0D" w:rsidRDefault="00140F51"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7662BAA6" w14:textId="77777777" w:rsidR="00140F51" w:rsidRPr="00901D0D" w:rsidRDefault="00140F51"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449F5AE8" w14:textId="77777777" w:rsidR="00140F51" w:rsidRPr="00901D0D" w:rsidRDefault="00140F51"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306F3FA3" w14:textId="77777777" w:rsidR="00140F51" w:rsidRPr="00901D0D" w:rsidRDefault="00140F51"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r>
      <w:tr w:rsidR="00140F51" w:rsidRPr="00901D0D" w14:paraId="1CFDD71D" w14:textId="77777777" w:rsidTr="009E009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293" w:type="pct"/>
            <w:shd w:val="clear" w:color="auto" w:fill="auto"/>
            <w:vAlign w:val="center"/>
          </w:tcPr>
          <w:p w14:paraId="28FF5845" w14:textId="77777777" w:rsidR="00140F51" w:rsidRPr="00901D0D" w:rsidRDefault="00140F51" w:rsidP="00BB11BD">
            <w:pPr>
              <w:ind w:left="360" w:firstLine="0"/>
              <w:contextualSpacing/>
              <w:rPr>
                <w:rFonts w:eastAsia="Arial" w:cs="Times New Roman"/>
                <w:b w:val="0"/>
                <w:sz w:val="22"/>
                <w:lang w:val="en-GB"/>
              </w:rPr>
            </w:pPr>
            <w:r w:rsidRPr="00901D0D">
              <w:rPr>
                <w:b w:val="0"/>
                <w:sz w:val="22"/>
                <w:lang w:val="en-GB"/>
              </w:rPr>
              <w:t>Step 2 ABS Model</w:t>
            </w:r>
          </w:p>
        </w:tc>
        <w:tc>
          <w:tcPr>
            <w:tcW w:w="346" w:type="pct"/>
            <w:shd w:val="clear" w:color="auto" w:fill="auto"/>
            <w:vAlign w:val="center"/>
          </w:tcPr>
          <w:p w14:paraId="66EA1798" w14:textId="77777777" w:rsidR="00140F51" w:rsidRPr="00901D0D" w:rsidRDefault="00140F51"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442" w:type="pct"/>
            <w:shd w:val="clear" w:color="auto" w:fill="auto"/>
            <w:vAlign w:val="center"/>
          </w:tcPr>
          <w:p w14:paraId="3D981BD4" w14:textId="77777777" w:rsidR="00140F51" w:rsidRPr="00901D0D" w:rsidRDefault="00140F51" w:rsidP="00BB11BD">
            <w:pPr>
              <w:tabs>
                <w:tab w:val="decimal" w:pos="142"/>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27" w:type="pct"/>
            <w:shd w:val="clear" w:color="auto" w:fill="auto"/>
            <w:vAlign w:val="center"/>
          </w:tcPr>
          <w:p w14:paraId="0F70664A" w14:textId="77777777" w:rsidR="00140F51" w:rsidRPr="00901D0D" w:rsidRDefault="00140F51" w:rsidP="00BB11BD">
            <w:pPr>
              <w:tabs>
                <w:tab w:val="decimal" w:pos="255"/>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27" w:type="pct"/>
            <w:shd w:val="clear" w:color="auto" w:fill="auto"/>
            <w:vAlign w:val="center"/>
          </w:tcPr>
          <w:p w14:paraId="6610E94A" w14:textId="77777777" w:rsidR="00140F51" w:rsidRPr="00901D0D" w:rsidRDefault="00140F51" w:rsidP="00BB11BD">
            <w:pPr>
              <w:tabs>
                <w:tab w:val="decimal" w:pos="255"/>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&lt; .001</w:t>
            </w:r>
          </w:p>
        </w:tc>
        <w:tc>
          <w:tcPr>
            <w:tcW w:w="422" w:type="pct"/>
            <w:shd w:val="clear" w:color="auto" w:fill="auto"/>
            <w:vAlign w:val="center"/>
          </w:tcPr>
          <w:p w14:paraId="31D2B5DE" w14:textId="3A20FF22" w:rsidR="00140F51" w:rsidRPr="00901D0D" w:rsidRDefault="00634142" w:rsidP="00BB11BD">
            <w:pPr>
              <w:tabs>
                <w:tab w:val="decimal" w:pos="369"/>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300.96</w:t>
            </w:r>
          </w:p>
        </w:tc>
        <w:tc>
          <w:tcPr>
            <w:tcW w:w="307" w:type="pct"/>
            <w:shd w:val="clear" w:color="auto" w:fill="auto"/>
            <w:vAlign w:val="center"/>
          </w:tcPr>
          <w:p w14:paraId="7B97D465" w14:textId="6353FF4A" w:rsidR="00140F51" w:rsidRPr="00901D0D" w:rsidRDefault="00F52FAC" w:rsidP="00BB11BD">
            <w:pPr>
              <w:tabs>
                <w:tab w:val="decimal" w:pos="227"/>
              </w:tabs>
              <w:ind w:firstLine="0"/>
              <w:contextualSpacing/>
              <w:jc w:val="both"/>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6.00</w:t>
            </w:r>
          </w:p>
        </w:tc>
        <w:tc>
          <w:tcPr>
            <w:tcW w:w="307" w:type="pct"/>
            <w:shd w:val="clear" w:color="auto" w:fill="auto"/>
            <w:vAlign w:val="center"/>
          </w:tcPr>
          <w:p w14:paraId="0ABC233A" w14:textId="6973B53E" w:rsidR="00140F51" w:rsidRPr="00901D0D" w:rsidRDefault="00140F51"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.1</w:t>
            </w:r>
            <w:r w:rsidR="00F52FAC" w:rsidRPr="00901D0D">
              <w:rPr>
                <w:rFonts w:eastAsia="Arial" w:cs="Times New Roman"/>
                <w:sz w:val="22"/>
                <w:lang w:val="en-GB"/>
              </w:rPr>
              <w:t>5</w:t>
            </w:r>
          </w:p>
        </w:tc>
        <w:tc>
          <w:tcPr>
            <w:tcW w:w="307" w:type="pct"/>
            <w:shd w:val="clear" w:color="auto" w:fill="auto"/>
            <w:vAlign w:val="center"/>
          </w:tcPr>
          <w:p w14:paraId="6EA01759" w14:textId="5023B2B4" w:rsidR="00140F51" w:rsidRPr="00901D0D" w:rsidRDefault="00140F51"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.1</w:t>
            </w:r>
            <w:r w:rsidR="00F52FAC" w:rsidRPr="00901D0D">
              <w:rPr>
                <w:rFonts w:eastAsia="Arial" w:cs="Times New Roman"/>
                <w:sz w:val="22"/>
                <w:lang w:val="en-GB"/>
              </w:rPr>
              <w:t>2</w:t>
            </w:r>
          </w:p>
        </w:tc>
        <w:tc>
          <w:tcPr>
            <w:tcW w:w="307" w:type="pct"/>
            <w:shd w:val="clear" w:color="auto" w:fill="auto"/>
            <w:vAlign w:val="center"/>
          </w:tcPr>
          <w:p w14:paraId="0EACA2C7" w14:textId="3911B955" w:rsidR="00140F51" w:rsidRPr="00901D0D" w:rsidRDefault="00F52FAC"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7.64</w:t>
            </w:r>
          </w:p>
        </w:tc>
        <w:tc>
          <w:tcPr>
            <w:tcW w:w="307" w:type="pct"/>
            <w:shd w:val="clear" w:color="auto" w:fill="auto"/>
            <w:vAlign w:val="center"/>
          </w:tcPr>
          <w:p w14:paraId="0FED6012" w14:textId="2DAEA2FF" w:rsidR="00140F51" w:rsidRPr="00901D0D" w:rsidRDefault="00140F51"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w:t>
            </w:r>
            <w:r w:rsidR="00F52FAC" w:rsidRPr="00901D0D">
              <w:rPr>
                <w:rFonts w:eastAsia="Arial" w:cs="Times New Roman"/>
                <w:sz w:val="22"/>
                <w:lang w:val="en-GB"/>
              </w:rPr>
              <w:t>8</w:t>
            </w:r>
          </w:p>
        </w:tc>
        <w:tc>
          <w:tcPr>
            <w:tcW w:w="307" w:type="pct"/>
            <w:shd w:val="clear" w:color="auto" w:fill="auto"/>
            <w:vAlign w:val="center"/>
          </w:tcPr>
          <w:p w14:paraId="208B59B9" w14:textId="383167C3" w:rsidR="00140F51" w:rsidRPr="00901D0D" w:rsidRDefault="00F52FAC"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&lt;</w:t>
            </w:r>
            <w:r w:rsidR="00140F51" w:rsidRPr="00901D0D">
              <w:rPr>
                <w:rFonts w:eastAsia="Arial" w:cs="Times New Roman"/>
                <w:sz w:val="22"/>
                <w:lang w:val="en-GB"/>
              </w:rPr>
              <w:t>.</w:t>
            </w:r>
            <w:r w:rsidRPr="00901D0D">
              <w:rPr>
                <w:rFonts w:eastAsia="Arial" w:cs="Times New Roman"/>
                <w:sz w:val="22"/>
                <w:lang w:val="en-GB"/>
              </w:rPr>
              <w:t>001</w:t>
            </w:r>
          </w:p>
        </w:tc>
      </w:tr>
      <w:tr w:rsidR="00140F51" w:rsidRPr="00901D0D" w14:paraId="509A7BB5" w14:textId="77777777" w:rsidTr="009E009D">
        <w:trPr>
          <w:trHeight w:val="227"/>
        </w:trPr>
        <w:tc>
          <w:tcPr>
            <w:cnfStyle w:val="001000000000" w:firstRow="0" w:lastRow="0" w:firstColumn="1" w:lastColumn="0" w:oddVBand="0" w:evenVBand="0" w:oddHBand="0" w:evenHBand="0" w:firstRowFirstColumn="0" w:firstRowLastColumn="0" w:lastRowFirstColumn="0" w:lastRowLastColumn="0"/>
            <w:tcW w:w="1293" w:type="pct"/>
            <w:shd w:val="clear" w:color="auto" w:fill="auto"/>
            <w:vAlign w:val="center"/>
          </w:tcPr>
          <w:p w14:paraId="51324342" w14:textId="1248605F" w:rsidR="00140F51" w:rsidRPr="00901D0D" w:rsidRDefault="009E009D" w:rsidP="00BB11BD">
            <w:pPr>
              <w:ind w:left="360" w:firstLine="0"/>
              <w:contextualSpacing/>
              <w:jc w:val="right"/>
              <w:rPr>
                <w:rFonts w:eastAsia="Arial" w:cs="Times New Roman"/>
                <w:b w:val="0"/>
                <w:sz w:val="22"/>
                <w:lang w:val="en-GB"/>
              </w:rPr>
            </w:pPr>
            <w:r w:rsidRPr="00901D0D">
              <w:rPr>
                <w:b w:val="0"/>
                <w:sz w:val="22"/>
                <w:lang w:val="en-GB"/>
              </w:rPr>
              <w:t>Psychology</w:t>
            </w:r>
          </w:p>
        </w:tc>
        <w:tc>
          <w:tcPr>
            <w:tcW w:w="346" w:type="pct"/>
            <w:shd w:val="clear" w:color="auto" w:fill="auto"/>
            <w:vAlign w:val="center"/>
          </w:tcPr>
          <w:p w14:paraId="104B1F02" w14:textId="2D952301" w:rsidR="00140F51" w:rsidRPr="00901D0D" w:rsidRDefault="00140F51"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w:t>
            </w:r>
            <w:r w:rsidR="00E6652E" w:rsidRPr="00901D0D">
              <w:rPr>
                <w:rFonts w:eastAsia="Arial" w:cs="Times New Roman"/>
                <w:sz w:val="22"/>
                <w:lang w:val="en-GB"/>
              </w:rPr>
              <w:t>13</w:t>
            </w:r>
          </w:p>
        </w:tc>
        <w:tc>
          <w:tcPr>
            <w:tcW w:w="442" w:type="pct"/>
            <w:shd w:val="clear" w:color="auto" w:fill="auto"/>
            <w:vAlign w:val="center"/>
          </w:tcPr>
          <w:p w14:paraId="2CF15603" w14:textId="3106A3D7" w:rsidR="00140F51" w:rsidRPr="00901D0D" w:rsidRDefault="00140F51" w:rsidP="00BB11BD">
            <w:pPr>
              <w:tabs>
                <w:tab w:val="decimal" w:pos="142"/>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w:t>
            </w:r>
            <w:r w:rsidR="00E6652E" w:rsidRPr="00901D0D">
              <w:rPr>
                <w:rFonts w:eastAsia="Arial" w:cs="Times New Roman"/>
                <w:sz w:val="22"/>
                <w:lang w:val="en-GB"/>
              </w:rPr>
              <w:t>29</w:t>
            </w:r>
            <w:r w:rsidRPr="00901D0D">
              <w:rPr>
                <w:rFonts w:eastAsia="Arial" w:cs="Times New Roman"/>
                <w:sz w:val="22"/>
                <w:lang w:val="en-GB"/>
              </w:rPr>
              <w:t xml:space="preserve">, </w:t>
            </w:r>
            <w:r w:rsidR="00F52FAC" w:rsidRPr="00901D0D">
              <w:rPr>
                <w:rFonts w:eastAsia="Arial" w:cs="Times New Roman"/>
                <w:sz w:val="22"/>
                <w:lang w:val="en-GB"/>
              </w:rPr>
              <w:t>.03</w:t>
            </w:r>
            <w:r w:rsidRPr="00901D0D">
              <w:rPr>
                <w:rFonts w:eastAsia="Arial" w:cs="Times New Roman"/>
                <w:sz w:val="22"/>
                <w:lang w:val="en-GB"/>
              </w:rPr>
              <w:t>]</w:t>
            </w:r>
          </w:p>
        </w:tc>
        <w:tc>
          <w:tcPr>
            <w:tcW w:w="327" w:type="pct"/>
            <w:shd w:val="clear" w:color="auto" w:fill="auto"/>
            <w:vAlign w:val="center"/>
          </w:tcPr>
          <w:p w14:paraId="417D731A" w14:textId="63A96802" w:rsidR="00140F51" w:rsidRPr="00901D0D" w:rsidRDefault="00140F51" w:rsidP="00BB11BD">
            <w:pPr>
              <w:tabs>
                <w:tab w:val="decimal" w:pos="255"/>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w:t>
            </w:r>
            <w:r w:rsidR="00F52FAC" w:rsidRPr="00901D0D">
              <w:rPr>
                <w:rFonts w:eastAsia="Arial" w:cs="Times New Roman"/>
                <w:sz w:val="22"/>
                <w:lang w:val="en-GB"/>
              </w:rPr>
              <w:t>1.65</w:t>
            </w:r>
          </w:p>
        </w:tc>
        <w:tc>
          <w:tcPr>
            <w:tcW w:w="327" w:type="pct"/>
            <w:shd w:val="clear" w:color="auto" w:fill="auto"/>
            <w:vAlign w:val="center"/>
          </w:tcPr>
          <w:p w14:paraId="04B58743" w14:textId="7E78F79F" w:rsidR="00140F51" w:rsidRPr="00901D0D" w:rsidRDefault="00F52FAC" w:rsidP="00BB11BD">
            <w:pPr>
              <w:tabs>
                <w:tab w:val="decimal" w:pos="255"/>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.10</w:t>
            </w:r>
          </w:p>
        </w:tc>
        <w:tc>
          <w:tcPr>
            <w:tcW w:w="422" w:type="pct"/>
            <w:shd w:val="clear" w:color="auto" w:fill="auto"/>
            <w:vAlign w:val="center"/>
          </w:tcPr>
          <w:p w14:paraId="4312CE83" w14:textId="1EE8933F" w:rsidR="00140F51" w:rsidRPr="00901D0D" w:rsidRDefault="00634142" w:rsidP="00BB11BD">
            <w:pPr>
              <w:tabs>
                <w:tab w:val="decimal" w:pos="369"/>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0.99</w:t>
            </w:r>
          </w:p>
        </w:tc>
        <w:tc>
          <w:tcPr>
            <w:tcW w:w="307" w:type="pct"/>
            <w:shd w:val="clear" w:color="auto" w:fill="auto"/>
            <w:vAlign w:val="center"/>
          </w:tcPr>
          <w:p w14:paraId="438941C5" w14:textId="77777777" w:rsidR="00140F51" w:rsidRPr="00901D0D" w:rsidRDefault="00140F51" w:rsidP="00BB11BD">
            <w:pPr>
              <w:tabs>
                <w:tab w:val="decimal" w:pos="227"/>
              </w:tabs>
              <w:ind w:firstLine="0"/>
              <w:contextualSpacing/>
              <w:jc w:val="both"/>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03ACF5AA" w14:textId="77777777" w:rsidR="00140F51" w:rsidRPr="00901D0D" w:rsidRDefault="00140F51"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1D593F18" w14:textId="77777777" w:rsidR="00140F51" w:rsidRPr="00901D0D" w:rsidRDefault="00140F51"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03D64860" w14:textId="77777777" w:rsidR="00140F51" w:rsidRPr="00901D0D" w:rsidRDefault="00140F51"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4EA33762" w14:textId="77777777" w:rsidR="00140F51" w:rsidRPr="00901D0D" w:rsidRDefault="00140F51"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66908064" w14:textId="77777777" w:rsidR="00140F51" w:rsidRPr="00901D0D" w:rsidRDefault="00140F51"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r>
      <w:tr w:rsidR="00140F51" w:rsidRPr="00901D0D" w14:paraId="2B704C65" w14:textId="77777777" w:rsidTr="009E009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293" w:type="pct"/>
            <w:shd w:val="clear" w:color="auto" w:fill="auto"/>
            <w:vAlign w:val="center"/>
          </w:tcPr>
          <w:p w14:paraId="5188A080" w14:textId="4504DA3E" w:rsidR="00140F51" w:rsidRPr="00901D0D" w:rsidRDefault="009E009D" w:rsidP="00BB11BD">
            <w:pPr>
              <w:ind w:left="360" w:firstLine="0"/>
              <w:contextualSpacing/>
              <w:jc w:val="right"/>
              <w:rPr>
                <w:b w:val="0"/>
                <w:sz w:val="22"/>
                <w:lang w:val="en-GB"/>
              </w:rPr>
            </w:pPr>
            <w:r w:rsidRPr="00901D0D">
              <w:rPr>
                <w:b w:val="0"/>
                <w:sz w:val="22"/>
                <w:lang w:val="en-GB"/>
              </w:rPr>
              <w:t>Mathematics</w:t>
            </w:r>
          </w:p>
        </w:tc>
        <w:tc>
          <w:tcPr>
            <w:tcW w:w="346" w:type="pct"/>
            <w:shd w:val="clear" w:color="auto" w:fill="auto"/>
            <w:vAlign w:val="center"/>
          </w:tcPr>
          <w:p w14:paraId="01822EDD" w14:textId="204A1528" w:rsidR="00140F51" w:rsidRPr="00901D0D" w:rsidRDefault="00E6652E"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-.07</w:t>
            </w:r>
          </w:p>
        </w:tc>
        <w:tc>
          <w:tcPr>
            <w:tcW w:w="442" w:type="pct"/>
            <w:shd w:val="clear" w:color="auto" w:fill="auto"/>
            <w:vAlign w:val="center"/>
          </w:tcPr>
          <w:p w14:paraId="7A4C7806" w14:textId="24B34F7A" w:rsidR="00140F51" w:rsidRPr="00901D0D" w:rsidRDefault="00140F51" w:rsidP="00BB11BD">
            <w:pPr>
              <w:tabs>
                <w:tab w:val="decimal" w:pos="142"/>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w:t>
            </w:r>
            <w:r w:rsidR="00F52FAC" w:rsidRPr="00901D0D">
              <w:rPr>
                <w:rFonts w:eastAsia="Arial" w:cs="Times New Roman"/>
                <w:sz w:val="22"/>
                <w:lang w:val="en-GB"/>
              </w:rPr>
              <w:t>26</w:t>
            </w:r>
            <w:r w:rsidRPr="00901D0D">
              <w:rPr>
                <w:rFonts w:eastAsia="Arial" w:cs="Times New Roman"/>
                <w:sz w:val="22"/>
                <w:lang w:val="en-GB"/>
              </w:rPr>
              <w:t xml:space="preserve"> .</w:t>
            </w:r>
            <w:r w:rsidR="00F52FAC" w:rsidRPr="00901D0D">
              <w:rPr>
                <w:rFonts w:eastAsia="Arial" w:cs="Times New Roman"/>
                <w:sz w:val="22"/>
                <w:lang w:val="en-GB"/>
              </w:rPr>
              <w:t>12</w:t>
            </w:r>
            <w:r w:rsidRPr="00901D0D">
              <w:rPr>
                <w:rFonts w:eastAsia="Arial" w:cs="Times New Roman"/>
                <w:sz w:val="22"/>
                <w:lang w:val="en-GB"/>
              </w:rPr>
              <w:t>]</w:t>
            </w:r>
          </w:p>
        </w:tc>
        <w:tc>
          <w:tcPr>
            <w:tcW w:w="327" w:type="pct"/>
            <w:shd w:val="clear" w:color="auto" w:fill="auto"/>
            <w:vAlign w:val="center"/>
          </w:tcPr>
          <w:p w14:paraId="62A570AB" w14:textId="11E46E0E" w:rsidR="00140F51" w:rsidRPr="00901D0D" w:rsidRDefault="00F52FAC" w:rsidP="00BB11BD">
            <w:pPr>
              <w:tabs>
                <w:tab w:val="decimal" w:pos="255"/>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-0.73</w:t>
            </w:r>
          </w:p>
        </w:tc>
        <w:tc>
          <w:tcPr>
            <w:tcW w:w="327" w:type="pct"/>
            <w:shd w:val="clear" w:color="auto" w:fill="auto"/>
            <w:vAlign w:val="center"/>
          </w:tcPr>
          <w:p w14:paraId="7FE04A7A" w14:textId="26A2178F" w:rsidR="00140F51" w:rsidRPr="00901D0D" w:rsidRDefault="00140F51" w:rsidP="00BB11BD">
            <w:pPr>
              <w:tabs>
                <w:tab w:val="decimal" w:pos="255"/>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.4</w:t>
            </w:r>
            <w:r w:rsidR="00F52FAC" w:rsidRPr="00901D0D">
              <w:rPr>
                <w:rFonts w:eastAsia="Arial" w:cs="Times New Roman"/>
                <w:sz w:val="22"/>
                <w:lang w:val="en-GB"/>
              </w:rPr>
              <w:t>7</w:t>
            </w:r>
          </w:p>
        </w:tc>
        <w:tc>
          <w:tcPr>
            <w:tcW w:w="422" w:type="pct"/>
            <w:shd w:val="clear" w:color="auto" w:fill="auto"/>
            <w:vAlign w:val="center"/>
          </w:tcPr>
          <w:p w14:paraId="5A961BE9" w14:textId="5B658DD5" w:rsidR="00140F51" w:rsidRPr="00901D0D" w:rsidRDefault="00634142" w:rsidP="00BB11BD">
            <w:pPr>
              <w:tabs>
                <w:tab w:val="decimal" w:pos="369"/>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0.36</w:t>
            </w:r>
          </w:p>
        </w:tc>
        <w:tc>
          <w:tcPr>
            <w:tcW w:w="307" w:type="pct"/>
            <w:shd w:val="clear" w:color="auto" w:fill="auto"/>
            <w:vAlign w:val="center"/>
          </w:tcPr>
          <w:p w14:paraId="4BB9A192" w14:textId="77777777" w:rsidR="00140F51" w:rsidRPr="00901D0D" w:rsidRDefault="00140F51" w:rsidP="00BB11BD">
            <w:pPr>
              <w:tabs>
                <w:tab w:val="decimal" w:pos="227"/>
              </w:tabs>
              <w:ind w:firstLine="0"/>
              <w:contextualSpacing/>
              <w:jc w:val="both"/>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2B783568" w14:textId="77777777" w:rsidR="00140F51" w:rsidRPr="00901D0D" w:rsidRDefault="00140F51"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3DA5A8AE" w14:textId="77777777" w:rsidR="00140F51" w:rsidRPr="00901D0D" w:rsidRDefault="00140F51"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1744E325" w14:textId="77777777" w:rsidR="00140F51" w:rsidRPr="00901D0D" w:rsidRDefault="00140F51"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48CAC44E" w14:textId="77777777" w:rsidR="00140F51" w:rsidRPr="00901D0D" w:rsidRDefault="00140F51"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25D9B137" w14:textId="77777777" w:rsidR="00140F51" w:rsidRPr="00901D0D" w:rsidRDefault="00140F51"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r>
    </w:tbl>
    <w:p w14:paraId="0E2F8820" w14:textId="77777777" w:rsidR="00140F51" w:rsidRPr="00901D0D" w:rsidRDefault="00140F51" w:rsidP="006E0065">
      <w:pPr>
        <w:spacing w:line="360" w:lineRule="auto"/>
        <w:jc w:val="right"/>
        <w:rPr>
          <w:lang w:val="en-GB"/>
        </w:rPr>
      </w:pPr>
      <w:r w:rsidRPr="00901D0D">
        <w:rPr>
          <w:lang w:val="en-GB"/>
        </w:rPr>
        <w:t>(continued)</w:t>
      </w:r>
    </w:p>
    <w:p w14:paraId="5085E766" w14:textId="65EFA0C9" w:rsidR="00140F51" w:rsidRPr="00901D0D" w:rsidRDefault="00140F51" w:rsidP="00BB11BD">
      <w:pPr>
        <w:ind w:firstLine="0"/>
        <w:rPr>
          <w:lang w:val="en-GB"/>
        </w:rPr>
      </w:pPr>
      <w:r w:rsidRPr="00901D0D">
        <w:rPr>
          <w:lang w:val="en-GB"/>
        </w:rPr>
        <w:lastRenderedPageBreak/>
        <w:t xml:space="preserve">Table </w:t>
      </w:r>
      <w:r w:rsidR="000313B3">
        <w:rPr>
          <w:lang w:val="en-GB"/>
        </w:rPr>
        <w:t>3</w:t>
      </w:r>
      <w:r w:rsidRPr="00901D0D">
        <w:rPr>
          <w:lang w:val="en-GB"/>
        </w:rPr>
        <w:t>.</w:t>
      </w:r>
    </w:p>
    <w:p w14:paraId="76FDD9F1" w14:textId="77777777" w:rsidR="00140F51" w:rsidRPr="00901D0D" w:rsidRDefault="00140F51" w:rsidP="00BB11BD">
      <w:pPr>
        <w:ind w:firstLine="0"/>
        <w:rPr>
          <w:szCs w:val="24"/>
          <w:lang w:val="en-GB"/>
        </w:rPr>
      </w:pPr>
      <w:r w:rsidRPr="00901D0D">
        <w:rPr>
          <w:rFonts w:eastAsia="Arial" w:cs="Times New Roman"/>
          <w:i/>
          <w:szCs w:val="24"/>
          <w:lang w:val="en-GB"/>
        </w:rPr>
        <w:t xml:space="preserve">Regressions Predicting Proportion Correct for Misperception of Chance using Anomalistic Belief (i.e., ASGS, ABS Total, or ABS Factors) </w:t>
      </w:r>
    </w:p>
    <w:tbl>
      <w:tblPr>
        <w:tblStyle w:val="PlainTable41"/>
        <w:tblW w:w="5203" w:type="pct"/>
        <w:tblLook w:val="04A0" w:firstRow="1" w:lastRow="0" w:firstColumn="1" w:lastColumn="0" w:noHBand="0" w:noVBand="1"/>
      </w:tblPr>
      <w:tblGrid>
        <w:gridCol w:w="3757"/>
        <w:gridCol w:w="1006"/>
        <w:gridCol w:w="1284"/>
        <w:gridCol w:w="950"/>
        <w:gridCol w:w="950"/>
        <w:gridCol w:w="1226"/>
        <w:gridCol w:w="892"/>
        <w:gridCol w:w="892"/>
        <w:gridCol w:w="892"/>
        <w:gridCol w:w="892"/>
        <w:gridCol w:w="892"/>
        <w:gridCol w:w="892"/>
      </w:tblGrid>
      <w:tr w:rsidR="00634142" w:rsidRPr="00901D0D" w14:paraId="1ECFFE90" w14:textId="77777777" w:rsidTr="00F52FAC">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293" w:type="pct"/>
            <w:tcBorders>
              <w:top w:val="single" w:sz="4" w:space="0" w:color="auto"/>
              <w:bottom w:val="single" w:sz="4" w:space="0" w:color="auto"/>
            </w:tcBorders>
            <w:shd w:val="clear" w:color="auto" w:fill="auto"/>
            <w:vAlign w:val="center"/>
          </w:tcPr>
          <w:p w14:paraId="1214D9DB" w14:textId="77777777" w:rsidR="00140F51" w:rsidRPr="00901D0D" w:rsidRDefault="00140F51" w:rsidP="00BB11BD">
            <w:pPr>
              <w:ind w:firstLine="0"/>
              <w:contextualSpacing/>
              <w:jc w:val="center"/>
              <w:rPr>
                <w:rFonts w:eastAsia="Arial" w:cs="Times New Roman"/>
                <w:b w:val="0"/>
                <w:sz w:val="22"/>
                <w:lang w:val="en-GB"/>
              </w:rPr>
            </w:pPr>
            <w:r w:rsidRPr="00901D0D">
              <w:rPr>
                <w:rFonts w:eastAsia="Arial" w:cs="Times New Roman"/>
                <w:b w:val="0"/>
                <w:sz w:val="22"/>
                <w:lang w:val="en-GB"/>
              </w:rPr>
              <w:t>Variables</w:t>
            </w:r>
          </w:p>
        </w:tc>
        <w:tc>
          <w:tcPr>
            <w:tcW w:w="346" w:type="pct"/>
            <w:tcBorders>
              <w:top w:val="single" w:sz="4" w:space="0" w:color="auto"/>
              <w:bottom w:val="single" w:sz="4" w:space="0" w:color="auto"/>
            </w:tcBorders>
            <w:shd w:val="clear" w:color="auto" w:fill="auto"/>
            <w:vAlign w:val="center"/>
          </w:tcPr>
          <w:p w14:paraId="44F64FEB" w14:textId="77777777" w:rsidR="00140F51" w:rsidRPr="00901D0D" w:rsidRDefault="00140F51" w:rsidP="00BB11BD">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Arial" w:cs="Times New Roman"/>
                <w:b w:val="0"/>
                <w:sz w:val="22"/>
                <w:lang w:val="en-GB"/>
              </w:rPr>
            </w:pPr>
            <w:r w:rsidRPr="00901D0D">
              <w:rPr>
                <w:rFonts w:eastAsia="Arial" w:cs="Times New Roman"/>
                <w:b w:val="0"/>
                <w:i/>
                <w:sz w:val="22"/>
                <w:lang w:val="en-GB"/>
              </w:rPr>
              <w:t>β</w:t>
            </w:r>
          </w:p>
        </w:tc>
        <w:tc>
          <w:tcPr>
            <w:tcW w:w="442" w:type="pct"/>
            <w:tcBorders>
              <w:top w:val="single" w:sz="4" w:space="0" w:color="auto"/>
              <w:bottom w:val="single" w:sz="4" w:space="0" w:color="auto"/>
            </w:tcBorders>
            <w:shd w:val="clear" w:color="auto" w:fill="auto"/>
            <w:vAlign w:val="center"/>
          </w:tcPr>
          <w:p w14:paraId="3864CE67" w14:textId="77777777" w:rsidR="00140F51" w:rsidRPr="00901D0D" w:rsidRDefault="00140F51" w:rsidP="00BB11BD">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Arial" w:cs="Times New Roman"/>
                <w:b w:val="0"/>
                <w:i/>
                <w:sz w:val="22"/>
                <w:lang w:val="en-GB"/>
              </w:rPr>
            </w:pPr>
            <w:r w:rsidRPr="00901D0D">
              <w:rPr>
                <w:rFonts w:eastAsia="Arial" w:cs="Times New Roman"/>
                <w:b w:val="0"/>
                <w:i/>
                <w:sz w:val="22"/>
                <w:lang w:val="en-GB"/>
              </w:rPr>
              <w:t>β CI 95%</w:t>
            </w:r>
          </w:p>
        </w:tc>
        <w:tc>
          <w:tcPr>
            <w:tcW w:w="327" w:type="pct"/>
            <w:tcBorders>
              <w:top w:val="single" w:sz="4" w:space="0" w:color="auto"/>
              <w:bottom w:val="single" w:sz="4" w:space="0" w:color="auto"/>
            </w:tcBorders>
            <w:shd w:val="clear" w:color="auto" w:fill="auto"/>
            <w:vAlign w:val="center"/>
          </w:tcPr>
          <w:p w14:paraId="0E4F0BB4" w14:textId="77777777" w:rsidR="00140F51" w:rsidRPr="00901D0D" w:rsidRDefault="00140F51" w:rsidP="00BB11BD">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Arial" w:cs="Times New Roman"/>
                <w:b w:val="0"/>
                <w:sz w:val="22"/>
                <w:lang w:val="en-GB"/>
              </w:rPr>
            </w:pPr>
            <w:r w:rsidRPr="00901D0D">
              <w:rPr>
                <w:rFonts w:eastAsia="Arial" w:cs="Times New Roman"/>
                <w:b w:val="0"/>
                <w:i/>
                <w:sz w:val="22"/>
                <w:lang w:val="en-GB"/>
              </w:rPr>
              <w:t>t</w:t>
            </w:r>
          </w:p>
        </w:tc>
        <w:tc>
          <w:tcPr>
            <w:tcW w:w="327" w:type="pct"/>
            <w:tcBorders>
              <w:top w:val="single" w:sz="4" w:space="0" w:color="auto"/>
              <w:bottom w:val="single" w:sz="4" w:space="0" w:color="auto"/>
            </w:tcBorders>
            <w:shd w:val="clear" w:color="auto" w:fill="auto"/>
            <w:vAlign w:val="center"/>
          </w:tcPr>
          <w:p w14:paraId="0980BA68" w14:textId="77E99480" w:rsidR="00140F51" w:rsidRPr="00901D0D" w:rsidRDefault="00F52FAC" w:rsidP="00BB11BD">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Arial" w:cs="Times New Roman"/>
                <w:b w:val="0"/>
                <w:i/>
                <w:sz w:val="22"/>
                <w:lang w:val="en-GB"/>
              </w:rPr>
            </w:pPr>
            <w:r w:rsidRPr="00901D0D">
              <w:rPr>
                <w:rFonts w:eastAsia="Calibri" w:cs="Times New Roman"/>
                <w:b w:val="0"/>
                <w:i/>
                <w:sz w:val="22"/>
                <w:lang w:val="en-GB"/>
              </w:rPr>
              <w:t>P</w:t>
            </w:r>
          </w:p>
        </w:tc>
        <w:tc>
          <w:tcPr>
            <w:tcW w:w="422" w:type="pct"/>
            <w:tcBorders>
              <w:top w:val="single" w:sz="4" w:space="0" w:color="auto"/>
              <w:bottom w:val="single" w:sz="4" w:space="0" w:color="auto"/>
            </w:tcBorders>
            <w:shd w:val="clear" w:color="auto" w:fill="auto"/>
            <w:vAlign w:val="center"/>
          </w:tcPr>
          <w:p w14:paraId="2A7BDC3C" w14:textId="77777777" w:rsidR="00140F51" w:rsidRPr="00901D0D" w:rsidRDefault="00140F51" w:rsidP="00BB11BD">
            <w:pPr>
              <w:tabs>
                <w:tab w:val="decimal" w:pos="369"/>
              </w:tabs>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i/>
                <w:sz w:val="22"/>
                <w:lang w:val="en-GB"/>
              </w:rPr>
            </w:pPr>
            <w:r w:rsidRPr="00901D0D">
              <w:rPr>
                <w:rFonts w:eastAsia="Calibri" w:cs="Times New Roman"/>
                <w:b w:val="0"/>
                <w:i/>
                <w:sz w:val="22"/>
                <w:lang w:val="en-GB"/>
              </w:rPr>
              <w:t>BF</w:t>
            </w:r>
            <w:r w:rsidRPr="00901D0D">
              <w:rPr>
                <w:rFonts w:eastAsia="Calibri" w:cs="Times New Roman"/>
                <w:b w:val="0"/>
                <w:i/>
                <w:sz w:val="22"/>
                <w:vertAlign w:val="subscript"/>
                <w:lang w:val="en-GB"/>
              </w:rPr>
              <w:t>10</w:t>
            </w:r>
          </w:p>
        </w:tc>
        <w:tc>
          <w:tcPr>
            <w:tcW w:w="307" w:type="pct"/>
            <w:tcBorders>
              <w:top w:val="single" w:sz="4" w:space="0" w:color="auto"/>
              <w:bottom w:val="single" w:sz="4" w:space="0" w:color="auto"/>
            </w:tcBorders>
            <w:shd w:val="clear" w:color="auto" w:fill="auto"/>
            <w:vAlign w:val="center"/>
          </w:tcPr>
          <w:p w14:paraId="6CBCA2F7" w14:textId="77777777" w:rsidR="00140F51" w:rsidRPr="00901D0D" w:rsidRDefault="00140F51" w:rsidP="00BB11BD">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Arial" w:cs="Times New Roman"/>
                <w:b w:val="0"/>
                <w:i/>
                <w:sz w:val="22"/>
                <w:lang w:val="en-GB"/>
              </w:rPr>
            </w:pPr>
            <w:r w:rsidRPr="00901D0D">
              <w:rPr>
                <w:rFonts w:eastAsia="Calibri" w:cs="Times New Roman"/>
                <w:b w:val="0"/>
                <w:i/>
                <w:sz w:val="22"/>
                <w:lang w:val="en-GB"/>
              </w:rPr>
              <w:t>F</w:t>
            </w:r>
          </w:p>
        </w:tc>
        <w:tc>
          <w:tcPr>
            <w:tcW w:w="307" w:type="pct"/>
            <w:tcBorders>
              <w:top w:val="single" w:sz="4" w:space="0" w:color="auto"/>
              <w:bottom w:val="single" w:sz="4" w:space="0" w:color="auto"/>
            </w:tcBorders>
            <w:shd w:val="clear" w:color="auto" w:fill="auto"/>
            <w:vAlign w:val="center"/>
          </w:tcPr>
          <w:p w14:paraId="1BC4CE46" w14:textId="77777777" w:rsidR="00140F51" w:rsidRPr="00901D0D" w:rsidRDefault="00140F51" w:rsidP="00BB11BD">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i/>
                <w:sz w:val="22"/>
                <w:lang w:val="en-GB"/>
              </w:rPr>
            </w:pPr>
            <w:r w:rsidRPr="00901D0D">
              <w:rPr>
                <w:rFonts w:eastAsia="Calibri" w:cs="Times New Roman"/>
                <w:b w:val="0"/>
                <w:i/>
                <w:sz w:val="22"/>
                <w:lang w:val="en-GB"/>
              </w:rPr>
              <w:t>R</w:t>
            </w:r>
            <w:r w:rsidRPr="00901D0D">
              <w:rPr>
                <w:rFonts w:eastAsia="Calibri" w:cs="Times New Roman"/>
                <w:b w:val="0"/>
                <w:i/>
                <w:sz w:val="22"/>
                <w:vertAlign w:val="superscript"/>
                <w:lang w:val="en-GB"/>
              </w:rPr>
              <w:t>2</w:t>
            </w:r>
          </w:p>
        </w:tc>
        <w:tc>
          <w:tcPr>
            <w:tcW w:w="307" w:type="pct"/>
            <w:tcBorders>
              <w:top w:val="single" w:sz="4" w:space="0" w:color="auto"/>
              <w:bottom w:val="single" w:sz="4" w:space="0" w:color="auto"/>
            </w:tcBorders>
            <w:shd w:val="clear" w:color="auto" w:fill="auto"/>
            <w:vAlign w:val="center"/>
          </w:tcPr>
          <w:p w14:paraId="682A26AC" w14:textId="77777777" w:rsidR="00140F51" w:rsidRPr="00901D0D" w:rsidRDefault="00140F51" w:rsidP="00BB11BD">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i/>
                <w:sz w:val="22"/>
                <w:lang w:val="en-GB"/>
              </w:rPr>
            </w:pPr>
            <w:r w:rsidRPr="00901D0D">
              <w:rPr>
                <w:rFonts w:eastAsia="Calibri" w:cs="Times New Roman"/>
                <w:b w:val="0"/>
                <w:i/>
                <w:sz w:val="22"/>
                <w:lang w:val="en-GB"/>
              </w:rPr>
              <w:t>Adj. R</w:t>
            </w:r>
            <w:r w:rsidRPr="00901D0D">
              <w:rPr>
                <w:rFonts w:eastAsia="Calibri" w:cs="Times New Roman"/>
                <w:b w:val="0"/>
                <w:i/>
                <w:sz w:val="22"/>
                <w:vertAlign w:val="superscript"/>
                <w:lang w:val="en-GB"/>
              </w:rPr>
              <w:t>2</w:t>
            </w:r>
          </w:p>
        </w:tc>
        <w:tc>
          <w:tcPr>
            <w:tcW w:w="307" w:type="pct"/>
            <w:tcBorders>
              <w:top w:val="single" w:sz="4" w:space="0" w:color="auto"/>
              <w:bottom w:val="single" w:sz="4" w:space="0" w:color="auto"/>
            </w:tcBorders>
            <w:shd w:val="clear" w:color="auto" w:fill="auto"/>
            <w:vAlign w:val="center"/>
          </w:tcPr>
          <w:p w14:paraId="341A8D1F" w14:textId="77777777" w:rsidR="00140F51" w:rsidRPr="00901D0D" w:rsidRDefault="00140F51" w:rsidP="00BB11BD">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i/>
                <w:sz w:val="22"/>
                <w:lang w:val="en-GB"/>
              </w:rPr>
            </w:pPr>
            <w:r w:rsidRPr="00901D0D">
              <w:rPr>
                <w:rFonts w:eastAsia="Calibri" w:cs="Times New Roman"/>
                <w:b w:val="0"/>
                <w:i/>
                <w:sz w:val="22"/>
                <w:lang w:val="en-GB"/>
              </w:rPr>
              <w:t>ΔF*</w:t>
            </w:r>
          </w:p>
        </w:tc>
        <w:tc>
          <w:tcPr>
            <w:tcW w:w="307" w:type="pct"/>
            <w:tcBorders>
              <w:top w:val="single" w:sz="4" w:space="0" w:color="auto"/>
              <w:bottom w:val="single" w:sz="4" w:space="0" w:color="auto"/>
            </w:tcBorders>
            <w:shd w:val="clear" w:color="auto" w:fill="auto"/>
            <w:vAlign w:val="center"/>
          </w:tcPr>
          <w:p w14:paraId="79A4A2AB" w14:textId="77777777" w:rsidR="00140F51" w:rsidRPr="00901D0D" w:rsidRDefault="00140F51" w:rsidP="00BB11BD">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i/>
                <w:sz w:val="22"/>
                <w:lang w:val="en-GB"/>
              </w:rPr>
            </w:pPr>
            <w:r w:rsidRPr="00901D0D">
              <w:rPr>
                <w:rFonts w:eastAsia="Calibri" w:cs="Times New Roman"/>
                <w:b w:val="0"/>
                <w:i/>
                <w:sz w:val="22"/>
                <w:lang w:val="en-GB"/>
              </w:rPr>
              <w:t>ΔR</w:t>
            </w:r>
            <w:r w:rsidRPr="00901D0D">
              <w:rPr>
                <w:rFonts w:eastAsia="Calibri" w:cs="Times New Roman"/>
                <w:b w:val="0"/>
                <w:i/>
                <w:sz w:val="22"/>
                <w:vertAlign w:val="superscript"/>
                <w:lang w:val="en-GB"/>
              </w:rPr>
              <w:t>2</w:t>
            </w:r>
            <w:r w:rsidRPr="00901D0D">
              <w:rPr>
                <w:rFonts w:eastAsia="Calibri" w:cs="Times New Roman"/>
                <w:b w:val="0"/>
                <w:i/>
                <w:sz w:val="22"/>
                <w:lang w:val="en-GB"/>
              </w:rPr>
              <w:t>*</w:t>
            </w:r>
          </w:p>
        </w:tc>
        <w:tc>
          <w:tcPr>
            <w:tcW w:w="307" w:type="pct"/>
            <w:tcBorders>
              <w:top w:val="single" w:sz="4" w:space="0" w:color="auto"/>
              <w:bottom w:val="single" w:sz="4" w:space="0" w:color="auto"/>
            </w:tcBorders>
            <w:shd w:val="clear" w:color="auto" w:fill="auto"/>
            <w:vAlign w:val="center"/>
          </w:tcPr>
          <w:p w14:paraId="3C01741B" w14:textId="77777777" w:rsidR="00140F51" w:rsidRPr="00901D0D" w:rsidRDefault="00140F51" w:rsidP="00BB11BD">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i/>
                <w:sz w:val="22"/>
                <w:lang w:val="en-GB"/>
              </w:rPr>
            </w:pPr>
            <w:proofErr w:type="spellStart"/>
            <w:r w:rsidRPr="00901D0D">
              <w:rPr>
                <w:rFonts w:eastAsia="Calibri" w:cs="Times New Roman"/>
                <w:b w:val="0"/>
                <w:i/>
                <w:sz w:val="22"/>
                <w:lang w:val="en-GB"/>
              </w:rPr>
              <w:t>Δp</w:t>
            </w:r>
            <w:proofErr w:type="spellEnd"/>
            <w:r w:rsidRPr="00901D0D">
              <w:rPr>
                <w:rFonts w:eastAsia="Calibri" w:cs="Times New Roman"/>
                <w:b w:val="0"/>
                <w:i/>
                <w:sz w:val="22"/>
                <w:lang w:val="en-GB"/>
              </w:rPr>
              <w:t>*</w:t>
            </w:r>
          </w:p>
        </w:tc>
      </w:tr>
      <w:tr w:rsidR="00634142" w:rsidRPr="00901D0D" w14:paraId="4263DB44" w14:textId="77777777" w:rsidTr="00F52FA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293" w:type="pct"/>
            <w:shd w:val="clear" w:color="auto" w:fill="auto"/>
            <w:vAlign w:val="center"/>
          </w:tcPr>
          <w:p w14:paraId="2C658A1E" w14:textId="746C9AA8" w:rsidR="00140F51" w:rsidRPr="00901D0D" w:rsidRDefault="009E009D" w:rsidP="00BB11BD">
            <w:pPr>
              <w:ind w:left="360" w:firstLine="0"/>
              <w:contextualSpacing/>
              <w:jc w:val="right"/>
              <w:rPr>
                <w:rFonts w:eastAsia="Arial" w:cs="Times New Roman"/>
                <w:b w:val="0"/>
                <w:sz w:val="22"/>
                <w:lang w:val="en-GB"/>
              </w:rPr>
            </w:pPr>
            <w:r w:rsidRPr="00901D0D">
              <w:rPr>
                <w:b w:val="0"/>
                <w:sz w:val="22"/>
                <w:lang w:val="en-GB"/>
              </w:rPr>
              <w:t>Statistics</w:t>
            </w:r>
          </w:p>
        </w:tc>
        <w:tc>
          <w:tcPr>
            <w:tcW w:w="346" w:type="pct"/>
            <w:shd w:val="clear" w:color="auto" w:fill="auto"/>
            <w:vAlign w:val="center"/>
          </w:tcPr>
          <w:p w14:paraId="4E707664" w14:textId="51DD0ABA" w:rsidR="00140F51" w:rsidRPr="00901D0D" w:rsidRDefault="00140F51"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w:t>
            </w:r>
            <w:r w:rsidR="00E6652E" w:rsidRPr="00901D0D">
              <w:rPr>
                <w:rFonts w:eastAsia="Arial" w:cs="Times New Roman"/>
                <w:sz w:val="22"/>
                <w:lang w:val="en-GB"/>
              </w:rPr>
              <w:t>05</w:t>
            </w:r>
          </w:p>
        </w:tc>
        <w:tc>
          <w:tcPr>
            <w:tcW w:w="442" w:type="pct"/>
            <w:shd w:val="clear" w:color="auto" w:fill="auto"/>
            <w:vAlign w:val="center"/>
          </w:tcPr>
          <w:p w14:paraId="4B7ABDD5" w14:textId="56FFA06F" w:rsidR="00140F51" w:rsidRPr="00901D0D" w:rsidRDefault="00140F51" w:rsidP="00BB11BD">
            <w:pPr>
              <w:tabs>
                <w:tab w:val="decimal" w:pos="142"/>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w:t>
            </w:r>
            <w:r w:rsidR="00F52FAC" w:rsidRPr="00901D0D">
              <w:rPr>
                <w:rFonts w:eastAsia="Arial" w:cs="Times New Roman"/>
                <w:sz w:val="22"/>
                <w:lang w:val="en-GB"/>
              </w:rPr>
              <w:t>25</w:t>
            </w:r>
            <w:r w:rsidRPr="00901D0D">
              <w:rPr>
                <w:rFonts w:eastAsia="Arial" w:cs="Times New Roman"/>
                <w:sz w:val="22"/>
                <w:lang w:val="en-GB"/>
              </w:rPr>
              <w:t>, .</w:t>
            </w:r>
            <w:r w:rsidR="00F52FAC" w:rsidRPr="00901D0D">
              <w:rPr>
                <w:rFonts w:eastAsia="Arial" w:cs="Times New Roman"/>
                <w:sz w:val="22"/>
                <w:lang w:val="en-GB"/>
              </w:rPr>
              <w:t>14</w:t>
            </w:r>
            <w:r w:rsidRPr="00901D0D">
              <w:rPr>
                <w:rFonts w:eastAsia="Arial" w:cs="Times New Roman"/>
                <w:sz w:val="22"/>
                <w:lang w:val="en-GB"/>
              </w:rPr>
              <w:t>]</w:t>
            </w:r>
          </w:p>
        </w:tc>
        <w:tc>
          <w:tcPr>
            <w:tcW w:w="327" w:type="pct"/>
            <w:shd w:val="clear" w:color="auto" w:fill="auto"/>
            <w:vAlign w:val="center"/>
          </w:tcPr>
          <w:p w14:paraId="3ED1769C" w14:textId="075CBE4F" w:rsidR="00140F51" w:rsidRPr="00901D0D" w:rsidRDefault="00140F51" w:rsidP="00BB11BD">
            <w:pPr>
              <w:tabs>
                <w:tab w:val="decimal" w:pos="255"/>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w:t>
            </w:r>
            <w:r w:rsidR="00F52FAC" w:rsidRPr="00901D0D">
              <w:rPr>
                <w:rFonts w:eastAsia="Arial" w:cs="Times New Roman"/>
                <w:sz w:val="22"/>
                <w:lang w:val="en-GB"/>
              </w:rPr>
              <w:t>0.52</w:t>
            </w:r>
          </w:p>
        </w:tc>
        <w:tc>
          <w:tcPr>
            <w:tcW w:w="327" w:type="pct"/>
            <w:shd w:val="clear" w:color="auto" w:fill="auto"/>
            <w:vAlign w:val="center"/>
          </w:tcPr>
          <w:p w14:paraId="04C01D89" w14:textId="549B61C3" w:rsidR="00140F51" w:rsidRPr="00901D0D" w:rsidRDefault="00140F51" w:rsidP="00BB11BD">
            <w:pPr>
              <w:tabs>
                <w:tab w:val="decimal" w:pos="255"/>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w:t>
            </w:r>
            <w:r w:rsidR="00F52FAC" w:rsidRPr="00901D0D">
              <w:rPr>
                <w:rFonts w:eastAsia="Arial" w:cs="Times New Roman"/>
                <w:sz w:val="22"/>
                <w:lang w:val="en-GB"/>
              </w:rPr>
              <w:t>60</w:t>
            </w:r>
          </w:p>
        </w:tc>
        <w:tc>
          <w:tcPr>
            <w:tcW w:w="422" w:type="pct"/>
            <w:shd w:val="clear" w:color="auto" w:fill="auto"/>
            <w:vAlign w:val="center"/>
          </w:tcPr>
          <w:p w14:paraId="5939C298" w14:textId="61FF1C30" w:rsidR="00140F51" w:rsidRPr="00901D0D" w:rsidRDefault="00140F51" w:rsidP="00BB11BD">
            <w:pPr>
              <w:tabs>
                <w:tab w:val="decimal" w:pos="680"/>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w:t>
            </w:r>
            <w:r w:rsidR="00634142" w:rsidRPr="00901D0D">
              <w:rPr>
                <w:rFonts w:eastAsia="Arial" w:cs="Times New Roman"/>
                <w:sz w:val="22"/>
                <w:lang w:val="en-GB"/>
              </w:rPr>
              <w:t>32</w:t>
            </w:r>
          </w:p>
        </w:tc>
        <w:tc>
          <w:tcPr>
            <w:tcW w:w="307" w:type="pct"/>
            <w:shd w:val="clear" w:color="auto" w:fill="auto"/>
            <w:vAlign w:val="center"/>
          </w:tcPr>
          <w:p w14:paraId="17EB3968" w14:textId="77777777" w:rsidR="00140F51" w:rsidRPr="00901D0D" w:rsidRDefault="00140F51"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36060BBF" w14:textId="77777777" w:rsidR="00140F51" w:rsidRPr="00901D0D" w:rsidRDefault="00140F51"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20FD645F" w14:textId="77777777" w:rsidR="00140F51" w:rsidRPr="00901D0D" w:rsidRDefault="00140F51"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34005D04" w14:textId="77777777" w:rsidR="00140F51" w:rsidRPr="00901D0D" w:rsidRDefault="00140F51"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0CFD2764" w14:textId="77777777" w:rsidR="00140F51" w:rsidRPr="00901D0D" w:rsidRDefault="00140F51"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66DCDEFF" w14:textId="77777777" w:rsidR="00140F51" w:rsidRPr="00901D0D" w:rsidRDefault="00140F51"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r>
      <w:tr w:rsidR="00634142" w:rsidRPr="00901D0D" w14:paraId="1CC67415" w14:textId="77777777" w:rsidTr="00F52FAC">
        <w:trPr>
          <w:trHeight w:val="227"/>
        </w:trPr>
        <w:tc>
          <w:tcPr>
            <w:cnfStyle w:val="001000000000" w:firstRow="0" w:lastRow="0" w:firstColumn="1" w:lastColumn="0" w:oddVBand="0" w:evenVBand="0" w:oddHBand="0" w:evenHBand="0" w:firstRowFirstColumn="0" w:firstRowLastColumn="0" w:lastRowFirstColumn="0" w:lastRowLastColumn="0"/>
            <w:tcW w:w="1293" w:type="pct"/>
            <w:shd w:val="clear" w:color="auto" w:fill="auto"/>
            <w:vAlign w:val="center"/>
          </w:tcPr>
          <w:p w14:paraId="0BDF987F" w14:textId="543FE806" w:rsidR="00140F51" w:rsidRPr="00901D0D" w:rsidRDefault="009E009D" w:rsidP="00BB11BD">
            <w:pPr>
              <w:ind w:left="360" w:firstLine="0"/>
              <w:contextualSpacing/>
              <w:jc w:val="right"/>
              <w:rPr>
                <w:b w:val="0"/>
                <w:sz w:val="22"/>
                <w:lang w:val="en-GB"/>
              </w:rPr>
            </w:pPr>
            <w:r w:rsidRPr="00901D0D">
              <w:rPr>
                <w:b w:val="0"/>
                <w:sz w:val="22"/>
                <w:lang w:val="en-GB"/>
              </w:rPr>
              <w:t>Overall Gambling</w:t>
            </w:r>
          </w:p>
        </w:tc>
        <w:tc>
          <w:tcPr>
            <w:tcW w:w="346" w:type="pct"/>
            <w:shd w:val="clear" w:color="auto" w:fill="auto"/>
            <w:vAlign w:val="center"/>
          </w:tcPr>
          <w:p w14:paraId="1BE9FCFB" w14:textId="5313A645" w:rsidR="00140F51" w:rsidRPr="00901D0D" w:rsidRDefault="00E6652E"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.01</w:t>
            </w:r>
          </w:p>
        </w:tc>
        <w:tc>
          <w:tcPr>
            <w:tcW w:w="442" w:type="pct"/>
            <w:shd w:val="clear" w:color="auto" w:fill="auto"/>
            <w:vAlign w:val="center"/>
          </w:tcPr>
          <w:p w14:paraId="7A9AEF8A" w14:textId="4F9BECF5" w:rsidR="00140F51" w:rsidRPr="00901D0D" w:rsidRDefault="00140F51" w:rsidP="00BB11BD">
            <w:pPr>
              <w:tabs>
                <w:tab w:val="decimal" w:pos="142"/>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w:t>
            </w:r>
            <w:r w:rsidR="00F52FAC" w:rsidRPr="00901D0D">
              <w:rPr>
                <w:rFonts w:eastAsia="Arial" w:cs="Times New Roman"/>
                <w:sz w:val="22"/>
                <w:lang w:val="en-GB"/>
              </w:rPr>
              <w:t>14</w:t>
            </w:r>
            <w:r w:rsidRPr="00901D0D">
              <w:rPr>
                <w:rFonts w:eastAsia="Arial" w:cs="Times New Roman"/>
                <w:sz w:val="22"/>
                <w:lang w:val="en-GB"/>
              </w:rPr>
              <w:t>, .</w:t>
            </w:r>
            <w:r w:rsidR="00F52FAC" w:rsidRPr="00901D0D">
              <w:rPr>
                <w:rFonts w:eastAsia="Arial" w:cs="Times New Roman"/>
                <w:sz w:val="22"/>
                <w:lang w:val="en-GB"/>
              </w:rPr>
              <w:t>16</w:t>
            </w:r>
            <w:r w:rsidRPr="00901D0D">
              <w:rPr>
                <w:rFonts w:eastAsia="Arial" w:cs="Times New Roman"/>
                <w:sz w:val="22"/>
                <w:lang w:val="en-GB"/>
              </w:rPr>
              <w:t>]</w:t>
            </w:r>
          </w:p>
        </w:tc>
        <w:tc>
          <w:tcPr>
            <w:tcW w:w="327" w:type="pct"/>
            <w:shd w:val="clear" w:color="auto" w:fill="auto"/>
            <w:vAlign w:val="center"/>
          </w:tcPr>
          <w:p w14:paraId="24E4707A" w14:textId="6D6C6A7F" w:rsidR="00140F51" w:rsidRPr="00901D0D" w:rsidRDefault="00F52FAC" w:rsidP="00BB11BD">
            <w:pPr>
              <w:tabs>
                <w:tab w:val="decimal" w:pos="255"/>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0.11</w:t>
            </w:r>
          </w:p>
        </w:tc>
        <w:tc>
          <w:tcPr>
            <w:tcW w:w="327" w:type="pct"/>
            <w:shd w:val="clear" w:color="auto" w:fill="auto"/>
            <w:vAlign w:val="center"/>
          </w:tcPr>
          <w:p w14:paraId="6ABBCF29" w14:textId="6E322C6A" w:rsidR="00140F51" w:rsidRPr="00901D0D" w:rsidRDefault="00140F51" w:rsidP="00BB11BD">
            <w:pPr>
              <w:tabs>
                <w:tab w:val="decimal" w:pos="255"/>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w:t>
            </w:r>
            <w:r w:rsidR="00F52FAC" w:rsidRPr="00901D0D">
              <w:rPr>
                <w:rFonts w:eastAsia="Arial" w:cs="Times New Roman"/>
                <w:sz w:val="22"/>
                <w:lang w:val="en-GB"/>
              </w:rPr>
              <w:t>91</w:t>
            </w:r>
          </w:p>
        </w:tc>
        <w:tc>
          <w:tcPr>
            <w:tcW w:w="422" w:type="pct"/>
            <w:shd w:val="clear" w:color="auto" w:fill="auto"/>
            <w:vAlign w:val="center"/>
          </w:tcPr>
          <w:p w14:paraId="420745BD" w14:textId="12E9484A" w:rsidR="00140F51" w:rsidRPr="00901D0D" w:rsidRDefault="00140F51" w:rsidP="00BB11BD">
            <w:pPr>
              <w:tabs>
                <w:tab w:val="decimal" w:pos="680"/>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w:t>
            </w:r>
            <w:r w:rsidR="00634142" w:rsidRPr="00901D0D">
              <w:rPr>
                <w:rFonts w:eastAsia="Arial" w:cs="Times New Roman"/>
                <w:sz w:val="22"/>
                <w:lang w:val="en-GB"/>
              </w:rPr>
              <w:t>29</w:t>
            </w:r>
          </w:p>
        </w:tc>
        <w:tc>
          <w:tcPr>
            <w:tcW w:w="307" w:type="pct"/>
            <w:shd w:val="clear" w:color="auto" w:fill="auto"/>
            <w:vAlign w:val="center"/>
          </w:tcPr>
          <w:p w14:paraId="2C0B4871" w14:textId="77777777" w:rsidR="00140F51" w:rsidRPr="00901D0D" w:rsidRDefault="00140F51"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47E6D64A" w14:textId="77777777" w:rsidR="00140F51" w:rsidRPr="00901D0D" w:rsidRDefault="00140F51"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7DB7BA68" w14:textId="77777777" w:rsidR="00140F51" w:rsidRPr="00901D0D" w:rsidRDefault="00140F51"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0C772CB5" w14:textId="77777777" w:rsidR="00140F51" w:rsidRPr="00901D0D" w:rsidRDefault="00140F51"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52FAD838" w14:textId="77777777" w:rsidR="00140F51" w:rsidRPr="00901D0D" w:rsidRDefault="00140F51"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7C45CC95" w14:textId="77777777" w:rsidR="00140F51" w:rsidRPr="00901D0D" w:rsidRDefault="00140F51"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r>
      <w:tr w:rsidR="00634142" w:rsidRPr="00901D0D" w14:paraId="0D56690F" w14:textId="77777777" w:rsidTr="00F52FA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293" w:type="pct"/>
            <w:shd w:val="clear" w:color="auto" w:fill="auto"/>
            <w:vAlign w:val="center"/>
          </w:tcPr>
          <w:p w14:paraId="045FF82A" w14:textId="77777777" w:rsidR="00140F51" w:rsidRPr="00901D0D" w:rsidRDefault="00140F51" w:rsidP="00BB11BD">
            <w:pPr>
              <w:ind w:left="360" w:firstLine="0"/>
              <w:contextualSpacing/>
              <w:jc w:val="right"/>
              <w:rPr>
                <w:rFonts w:eastAsia="Arial" w:cs="Times New Roman"/>
                <w:b w:val="0"/>
                <w:sz w:val="22"/>
                <w:lang w:val="en-GB"/>
              </w:rPr>
            </w:pPr>
            <w:r w:rsidRPr="00901D0D">
              <w:rPr>
                <w:b w:val="0"/>
                <w:sz w:val="22"/>
                <w:lang w:val="en-GB"/>
              </w:rPr>
              <w:t>ABS</w:t>
            </w:r>
          </w:p>
        </w:tc>
        <w:tc>
          <w:tcPr>
            <w:tcW w:w="346" w:type="pct"/>
            <w:shd w:val="clear" w:color="auto" w:fill="auto"/>
            <w:vAlign w:val="center"/>
          </w:tcPr>
          <w:p w14:paraId="70C00F03" w14:textId="5965A198" w:rsidR="00140F51" w:rsidRPr="00901D0D" w:rsidRDefault="00140F51"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w:t>
            </w:r>
            <w:r w:rsidR="00E6652E" w:rsidRPr="00901D0D">
              <w:rPr>
                <w:rFonts w:eastAsia="Arial" w:cs="Times New Roman"/>
                <w:sz w:val="22"/>
                <w:lang w:val="en-GB"/>
              </w:rPr>
              <w:t>28</w:t>
            </w:r>
          </w:p>
        </w:tc>
        <w:tc>
          <w:tcPr>
            <w:tcW w:w="442" w:type="pct"/>
            <w:shd w:val="clear" w:color="auto" w:fill="auto"/>
            <w:vAlign w:val="center"/>
          </w:tcPr>
          <w:p w14:paraId="130CE94B" w14:textId="3DC8E938" w:rsidR="00140F51" w:rsidRPr="00901D0D" w:rsidRDefault="00140F51" w:rsidP="00BB11BD">
            <w:pPr>
              <w:tabs>
                <w:tab w:val="decimal" w:pos="142"/>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w:t>
            </w:r>
            <w:r w:rsidR="00F52FAC" w:rsidRPr="00901D0D">
              <w:rPr>
                <w:rFonts w:eastAsia="Arial" w:cs="Times New Roman"/>
                <w:sz w:val="22"/>
                <w:lang w:val="en-GB"/>
              </w:rPr>
              <w:t>43</w:t>
            </w:r>
            <w:r w:rsidRPr="00901D0D">
              <w:rPr>
                <w:rFonts w:eastAsia="Arial" w:cs="Times New Roman"/>
                <w:sz w:val="22"/>
                <w:lang w:val="en-GB"/>
              </w:rPr>
              <w:t xml:space="preserve">, </w:t>
            </w:r>
            <w:r w:rsidR="00F52FAC" w:rsidRPr="00901D0D">
              <w:rPr>
                <w:rFonts w:eastAsia="Arial" w:cs="Times New Roman"/>
                <w:sz w:val="22"/>
                <w:lang w:val="en-GB"/>
              </w:rPr>
              <w:t>-</w:t>
            </w:r>
            <w:r w:rsidRPr="00901D0D">
              <w:rPr>
                <w:rFonts w:eastAsia="Arial" w:cs="Times New Roman"/>
                <w:sz w:val="22"/>
                <w:lang w:val="en-GB"/>
              </w:rPr>
              <w:t>.</w:t>
            </w:r>
            <w:r w:rsidR="00F52FAC" w:rsidRPr="00901D0D">
              <w:rPr>
                <w:rFonts w:eastAsia="Arial" w:cs="Times New Roman"/>
                <w:sz w:val="22"/>
                <w:lang w:val="en-GB"/>
              </w:rPr>
              <w:t>13</w:t>
            </w:r>
            <w:r w:rsidRPr="00901D0D">
              <w:rPr>
                <w:rFonts w:eastAsia="Arial" w:cs="Times New Roman"/>
                <w:sz w:val="22"/>
                <w:lang w:val="en-GB"/>
              </w:rPr>
              <w:t>]</w:t>
            </w:r>
          </w:p>
        </w:tc>
        <w:tc>
          <w:tcPr>
            <w:tcW w:w="327" w:type="pct"/>
            <w:shd w:val="clear" w:color="auto" w:fill="auto"/>
            <w:vAlign w:val="center"/>
          </w:tcPr>
          <w:p w14:paraId="715E97D1" w14:textId="12B89CC8" w:rsidR="00140F51" w:rsidRPr="00901D0D" w:rsidRDefault="00140F51" w:rsidP="00BB11BD">
            <w:pPr>
              <w:tabs>
                <w:tab w:val="decimal" w:pos="255"/>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w:t>
            </w:r>
            <w:r w:rsidR="00F52FAC" w:rsidRPr="00901D0D">
              <w:rPr>
                <w:rFonts w:eastAsia="Arial" w:cs="Times New Roman"/>
                <w:sz w:val="22"/>
                <w:lang w:val="en-GB"/>
              </w:rPr>
              <w:t>3</w:t>
            </w:r>
            <w:r w:rsidRPr="00901D0D">
              <w:rPr>
                <w:rFonts w:eastAsia="Arial" w:cs="Times New Roman"/>
                <w:sz w:val="22"/>
                <w:lang w:val="en-GB"/>
              </w:rPr>
              <w:t>.</w:t>
            </w:r>
            <w:r w:rsidR="00F52FAC" w:rsidRPr="00901D0D">
              <w:rPr>
                <w:rFonts w:eastAsia="Arial" w:cs="Times New Roman"/>
                <w:sz w:val="22"/>
                <w:lang w:val="en-GB"/>
              </w:rPr>
              <w:t>76</w:t>
            </w:r>
          </w:p>
        </w:tc>
        <w:tc>
          <w:tcPr>
            <w:tcW w:w="327" w:type="pct"/>
            <w:shd w:val="clear" w:color="auto" w:fill="auto"/>
            <w:vAlign w:val="center"/>
          </w:tcPr>
          <w:p w14:paraId="54F32842" w14:textId="3335A815" w:rsidR="00140F51" w:rsidRPr="00901D0D" w:rsidRDefault="00F52FAC" w:rsidP="00BB11BD">
            <w:pPr>
              <w:tabs>
                <w:tab w:val="decimal" w:pos="255"/>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&lt;.001</w:t>
            </w:r>
          </w:p>
        </w:tc>
        <w:tc>
          <w:tcPr>
            <w:tcW w:w="422" w:type="pct"/>
            <w:shd w:val="clear" w:color="auto" w:fill="auto"/>
            <w:vAlign w:val="center"/>
          </w:tcPr>
          <w:p w14:paraId="0F5C4538" w14:textId="1A86F31C" w:rsidR="00140F51" w:rsidRPr="00901D0D" w:rsidRDefault="00634142" w:rsidP="00BB11BD">
            <w:pPr>
              <w:tabs>
                <w:tab w:val="decimal" w:pos="680"/>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140.51</w:t>
            </w:r>
          </w:p>
        </w:tc>
        <w:tc>
          <w:tcPr>
            <w:tcW w:w="307" w:type="pct"/>
            <w:shd w:val="clear" w:color="auto" w:fill="auto"/>
            <w:vAlign w:val="center"/>
          </w:tcPr>
          <w:p w14:paraId="61D835A1" w14:textId="77777777" w:rsidR="00140F51" w:rsidRPr="00901D0D" w:rsidRDefault="00140F51"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3E8E5BD9" w14:textId="77777777" w:rsidR="00140F51" w:rsidRPr="00901D0D" w:rsidRDefault="00140F51"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76665F0F" w14:textId="77777777" w:rsidR="00140F51" w:rsidRPr="00901D0D" w:rsidRDefault="00140F51"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5059AA60" w14:textId="77777777" w:rsidR="00140F51" w:rsidRPr="00901D0D" w:rsidRDefault="00140F51"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1AE9FC52" w14:textId="77777777" w:rsidR="00140F51" w:rsidRPr="00901D0D" w:rsidRDefault="00140F51"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1D81884B" w14:textId="77777777" w:rsidR="00140F51" w:rsidRPr="00901D0D" w:rsidRDefault="00140F51"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r>
      <w:tr w:rsidR="00634142" w:rsidRPr="00901D0D" w14:paraId="44E71322" w14:textId="77777777" w:rsidTr="00F52FAC">
        <w:trPr>
          <w:trHeight w:val="227"/>
        </w:trPr>
        <w:tc>
          <w:tcPr>
            <w:cnfStyle w:val="001000000000" w:firstRow="0" w:lastRow="0" w:firstColumn="1" w:lastColumn="0" w:oddVBand="0" w:evenVBand="0" w:oddHBand="0" w:evenHBand="0" w:firstRowFirstColumn="0" w:firstRowLastColumn="0" w:lastRowFirstColumn="0" w:lastRowLastColumn="0"/>
            <w:tcW w:w="1293" w:type="pct"/>
            <w:shd w:val="clear" w:color="auto" w:fill="auto"/>
            <w:vAlign w:val="center"/>
          </w:tcPr>
          <w:p w14:paraId="470926B0" w14:textId="77777777" w:rsidR="00140F51" w:rsidRPr="00901D0D" w:rsidRDefault="00140F51" w:rsidP="00BB11BD">
            <w:pPr>
              <w:ind w:left="360" w:firstLine="0"/>
              <w:contextualSpacing/>
              <w:rPr>
                <w:rFonts w:eastAsia="Arial" w:cs="Times New Roman"/>
                <w:b w:val="0"/>
                <w:sz w:val="22"/>
                <w:lang w:val="en-GB"/>
              </w:rPr>
            </w:pPr>
            <w:r w:rsidRPr="00901D0D">
              <w:rPr>
                <w:b w:val="0"/>
                <w:sz w:val="22"/>
                <w:lang w:val="en-GB"/>
              </w:rPr>
              <w:t>Step 2 ABS Factors Model</w:t>
            </w:r>
          </w:p>
        </w:tc>
        <w:tc>
          <w:tcPr>
            <w:tcW w:w="346" w:type="pct"/>
            <w:shd w:val="clear" w:color="auto" w:fill="auto"/>
            <w:vAlign w:val="center"/>
          </w:tcPr>
          <w:p w14:paraId="451DF74B" w14:textId="77777777" w:rsidR="00140F51" w:rsidRPr="00901D0D" w:rsidRDefault="00140F51"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442" w:type="pct"/>
            <w:shd w:val="clear" w:color="auto" w:fill="auto"/>
            <w:vAlign w:val="center"/>
          </w:tcPr>
          <w:p w14:paraId="29A4CB6B" w14:textId="77777777" w:rsidR="00140F51" w:rsidRPr="00901D0D" w:rsidRDefault="00140F51" w:rsidP="00BB11BD">
            <w:pPr>
              <w:tabs>
                <w:tab w:val="decimal" w:pos="142"/>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27" w:type="pct"/>
            <w:shd w:val="clear" w:color="auto" w:fill="auto"/>
            <w:vAlign w:val="center"/>
          </w:tcPr>
          <w:p w14:paraId="321C932D" w14:textId="77777777" w:rsidR="00140F51" w:rsidRPr="00901D0D" w:rsidRDefault="00140F51" w:rsidP="00BB11BD">
            <w:pPr>
              <w:tabs>
                <w:tab w:val="decimal" w:pos="255"/>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27" w:type="pct"/>
            <w:shd w:val="clear" w:color="auto" w:fill="auto"/>
            <w:vAlign w:val="center"/>
          </w:tcPr>
          <w:p w14:paraId="0D46EDE2" w14:textId="77777777" w:rsidR="00140F51" w:rsidRPr="00901D0D" w:rsidRDefault="00140F51" w:rsidP="00BB11BD">
            <w:pPr>
              <w:tabs>
                <w:tab w:val="decimal" w:pos="255"/>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&lt; .001</w:t>
            </w:r>
          </w:p>
        </w:tc>
        <w:tc>
          <w:tcPr>
            <w:tcW w:w="422" w:type="pct"/>
            <w:shd w:val="clear" w:color="auto" w:fill="auto"/>
            <w:vAlign w:val="center"/>
          </w:tcPr>
          <w:p w14:paraId="7520A3FB" w14:textId="381AE604" w:rsidR="00140F51" w:rsidRPr="00901D0D" w:rsidRDefault="00634142" w:rsidP="00BB11BD">
            <w:pPr>
              <w:tabs>
                <w:tab w:val="decimal" w:pos="680"/>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18464.60</w:t>
            </w:r>
          </w:p>
        </w:tc>
        <w:tc>
          <w:tcPr>
            <w:tcW w:w="307" w:type="pct"/>
            <w:shd w:val="clear" w:color="auto" w:fill="auto"/>
            <w:vAlign w:val="center"/>
          </w:tcPr>
          <w:p w14:paraId="003FCCD3" w14:textId="7E43EDD3" w:rsidR="00140F51" w:rsidRPr="00901D0D" w:rsidRDefault="00F52FAC"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6.27</w:t>
            </w:r>
          </w:p>
        </w:tc>
        <w:tc>
          <w:tcPr>
            <w:tcW w:w="307" w:type="pct"/>
            <w:shd w:val="clear" w:color="auto" w:fill="auto"/>
            <w:vAlign w:val="center"/>
          </w:tcPr>
          <w:p w14:paraId="2AA158DA" w14:textId="05B9BDEA" w:rsidR="00140F51" w:rsidRPr="00901D0D" w:rsidRDefault="00140F51"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.2</w:t>
            </w:r>
            <w:r w:rsidR="00F52FAC" w:rsidRPr="00901D0D">
              <w:rPr>
                <w:rFonts w:eastAsia="Arial" w:cs="Times New Roman"/>
                <w:sz w:val="22"/>
                <w:lang w:val="en-GB"/>
              </w:rPr>
              <w:t>3</w:t>
            </w:r>
          </w:p>
        </w:tc>
        <w:tc>
          <w:tcPr>
            <w:tcW w:w="307" w:type="pct"/>
            <w:shd w:val="clear" w:color="auto" w:fill="auto"/>
            <w:vAlign w:val="center"/>
          </w:tcPr>
          <w:p w14:paraId="0ADA5E65" w14:textId="67E5B082" w:rsidR="00140F51" w:rsidRPr="00901D0D" w:rsidRDefault="00140F51"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w:t>
            </w:r>
            <w:r w:rsidR="00F52FAC" w:rsidRPr="00901D0D">
              <w:rPr>
                <w:rFonts w:eastAsia="Arial" w:cs="Times New Roman"/>
                <w:sz w:val="22"/>
                <w:lang w:val="en-GB"/>
              </w:rPr>
              <w:t>19</w:t>
            </w:r>
          </w:p>
        </w:tc>
        <w:tc>
          <w:tcPr>
            <w:tcW w:w="307" w:type="pct"/>
            <w:shd w:val="clear" w:color="auto" w:fill="auto"/>
            <w:vAlign w:val="center"/>
          </w:tcPr>
          <w:p w14:paraId="7663F738" w14:textId="477589A0" w:rsidR="00140F51" w:rsidRPr="00901D0D" w:rsidRDefault="00F52FAC"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6.84</w:t>
            </w:r>
          </w:p>
        </w:tc>
        <w:tc>
          <w:tcPr>
            <w:tcW w:w="307" w:type="pct"/>
            <w:shd w:val="clear" w:color="auto" w:fill="auto"/>
            <w:vAlign w:val="center"/>
          </w:tcPr>
          <w:p w14:paraId="741017D3" w14:textId="597BC5B8" w:rsidR="00140F51" w:rsidRPr="00901D0D" w:rsidRDefault="00140F51"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w:t>
            </w:r>
            <w:r w:rsidR="00F52FAC" w:rsidRPr="00901D0D">
              <w:rPr>
                <w:rFonts w:eastAsia="Arial" w:cs="Times New Roman"/>
                <w:sz w:val="22"/>
                <w:lang w:val="en-GB"/>
              </w:rPr>
              <w:t>16</w:t>
            </w:r>
          </w:p>
        </w:tc>
        <w:tc>
          <w:tcPr>
            <w:tcW w:w="307" w:type="pct"/>
            <w:shd w:val="clear" w:color="auto" w:fill="auto"/>
            <w:vAlign w:val="center"/>
          </w:tcPr>
          <w:p w14:paraId="286EFCDB" w14:textId="77777777" w:rsidR="00140F51" w:rsidRPr="00901D0D" w:rsidRDefault="00140F51"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&lt; .001</w:t>
            </w:r>
          </w:p>
        </w:tc>
      </w:tr>
      <w:tr w:rsidR="00634142" w:rsidRPr="00901D0D" w14:paraId="216BE8EE" w14:textId="77777777" w:rsidTr="005473D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293" w:type="pct"/>
            <w:shd w:val="clear" w:color="auto" w:fill="auto"/>
            <w:vAlign w:val="center"/>
          </w:tcPr>
          <w:p w14:paraId="6FD5D451" w14:textId="649BA2CB" w:rsidR="00F52FAC" w:rsidRPr="00901D0D" w:rsidRDefault="00F52FAC" w:rsidP="00BB11BD">
            <w:pPr>
              <w:ind w:left="360" w:firstLine="0"/>
              <w:contextualSpacing/>
              <w:jc w:val="right"/>
              <w:rPr>
                <w:rFonts w:eastAsia="Arial" w:cs="Times New Roman"/>
                <w:b w:val="0"/>
                <w:sz w:val="22"/>
                <w:lang w:val="en-GB"/>
              </w:rPr>
            </w:pPr>
            <w:r w:rsidRPr="00901D0D">
              <w:rPr>
                <w:b w:val="0"/>
                <w:sz w:val="22"/>
                <w:lang w:val="en-GB"/>
              </w:rPr>
              <w:t>Psychology</w:t>
            </w:r>
          </w:p>
        </w:tc>
        <w:tc>
          <w:tcPr>
            <w:tcW w:w="346" w:type="pct"/>
            <w:shd w:val="clear" w:color="auto" w:fill="auto"/>
          </w:tcPr>
          <w:p w14:paraId="793F26E0" w14:textId="763B9973" w:rsidR="00F52FAC" w:rsidRPr="00901D0D" w:rsidRDefault="00F52FAC"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lang w:val="en-GB"/>
              </w:rPr>
              <w:t>-.10</w:t>
            </w:r>
          </w:p>
        </w:tc>
        <w:tc>
          <w:tcPr>
            <w:tcW w:w="442" w:type="pct"/>
            <w:shd w:val="clear" w:color="auto" w:fill="auto"/>
            <w:vAlign w:val="center"/>
          </w:tcPr>
          <w:p w14:paraId="06C35E88" w14:textId="4958379B" w:rsidR="00F52FAC" w:rsidRPr="00901D0D" w:rsidRDefault="00F52FAC" w:rsidP="00BB11BD">
            <w:pPr>
              <w:tabs>
                <w:tab w:val="decimal" w:pos="142"/>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w:t>
            </w:r>
            <w:r w:rsidR="001164CB" w:rsidRPr="00901D0D">
              <w:rPr>
                <w:rFonts w:eastAsia="Arial" w:cs="Times New Roman"/>
                <w:sz w:val="22"/>
                <w:lang w:val="en-GB"/>
              </w:rPr>
              <w:t>2</w:t>
            </w:r>
            <w:r w:rsidRPr="00901D0D">
              <w:rPr>
                <w:rFonts w:eastAsia="Arial" w:cs="Times New Roman"/>
                <w:sz w:val="22"/>
                <w:lang w:val="en-GB"/>
              </w:rPr>
              <w:t xml:space="preserve">5, </w:t>
            </w:r>
            <w:r w:rsidR="001164CB" w:rsidRPr="00901D0D">
              <w:rPr>
                <w:rFonts w:eastAsia="Arial" w:cs="Times New Roman"/>
                <w:sz w:val="22"/>
                <w:lang w:val="en-GB"/>
              </w:rPr>
              <w:t>.06</w:t>
            </w:r>
            <w:r w:rsidRPr="00901D0D">
              <w:rPr>
                <w:rFonts w:eastAsia="Arial" w:cs="Times New Roman"/>
                <w:sz w:val="22"/>
                <w:lang w:val="en-GB"/>
              </w:rPr>
              <w:t>]</w:t>
            </w:r>
          </w:p>
        </w:tc>
        <w:tc>
          <w:tcPr>
            <w:tcW w:w="327" w:type="pct"/>
            <w:shd w:val="clear" w:color="auto" w:fill="auto"/>
          </w:tcPr>
          <w:p w14:paraId="100E4454" w14:textId="2BBA83E8" w:rsidR="00F52FAC" w:rsidRPr="00901D0D" w:rsidRDefault="00F52FAC" w:rsidP="00BB11BD">
            <w:pPr>
              <w:tabs>
                <w:tab w:val="decimal" w:pos="255"/>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lang w:val="en-GB"/>
              </w:rPr>
              <w:t>-1.25</w:t>
            </w:r>
          </w:p>
        </w:tc>
        <w:tc>
          <w:tcPr>
            <w:tcW w:w="327" w:type="pct"/>
            <w:shd w:val="clear" w:color="auto" w:fill="auto"/>
          </w:tcPr>
          <w:p w14:paraId="0E5FF17B" w14:textId="623C3BD6" w:rsidR="00F52FAC" w:rsidRPr="00901D0D" w:rsidRDefault="00F52FAC" w:rsidP="00BB11BD">
            <w:pPr>
              <w:tabs>
                <w:tab w:val="decimal" w:pos="255"/>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lang w:val="en-GB"/>
              </w:rPr>
              <w:t>.21</w:t>
            </w:r>
          </w:p>
        </w:tc>
        <w:tc>
          <w:tcPr>
            <w:tcW w:w="422" w:type="pct"/>
            <w:shd w:val="clear" w:color="auto" w:fill="auto"/>
            <w:vAlign w:val="center"/>
          </w:tcPr>
          <w:p w14:paraId="11BFC08C" w14:textId="7AF6F96C" w:rsidR="00F52FAC" w:rsidRPr="00901D0D" w:rsidRDefault="00566389" w:rsidP="00BB11BD">
            <w:pPr>
              <w:tabs>
                <w:tab w:val="decimal" w:pos="680"/>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0.63</w:t>
            </w:r>
          </w:p>
        </w:tc>
        <w:tc>
          <w:tcPr>
            <w:tcW w:w="307" w:type="pct"/>
            <w:shd w:val="clear" w:color="auto" w:fill="auto"/>
            <w:vAlign w:val="center"/>
          </w:tcPr>
          <w:p w14:paraId="044A6B91" w14:textId="77777777" w:rsidR="00F52FAC" w:rsidRPr="00901D0D" w:rsidRDefault="00F52FAC"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360D4FB3" w14:textId="77777777" w:rsidR="00F52FAC" w:rsidRPr="00901D0D" w:rsidRDefault="00F52FAC"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37B75E72" w14:textId="77777777" w:rsidR="00F52FAC" w:rsidRPr="00901D0D" w:rsidRDefault="00F52FAC"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10AEFBC8" w14:textId="77777777" w:rsidR="00F52FAC" w:rsidRPr="00901D0D" w:rsidRDefault="00F52FAC"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23FDDC42" w14:textId="77777777" w:rsidR="00F52FAC" w:rsidRPr="00901D0D" w:rsidRDefault="00F52FAC"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5CF79715" w14:textId="77777777" w:rsidR="00F52FAC" w:rsidRPr="00901D0D" w:rsidRDefault="00F52FAC"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r>
      <w:tr w:rsidR="00634142" w:rsidRPr="00901D0D" w14:paraId="49210F90" w14:textId="77777777" w:rsidTr="005473D8">
        <w:trPr>
          <w:trHeight w:val="227"/>
        </w:trPr>
        <w:tc>
          <w:tcPr>
            <w:cnfStyle w:val="001000000000" w:firstRow="0" w:lastRow="0" w:firstColumn="1" w:lastColumn="0" w:oddVBand="0" w:evenVBand="0" w:oddHBand="0" w:evenHBand="0" w:firstRowFirstColumn="0" w:firstRowLastColumn="0" w:lastRowFirstColumn="0" w:lastRowLastColumn="0"/>
            <w:tcW w:w="1293" w:type="pct"/>
            <w:shd w:val="clear" w:color="auto" w:fill="auto"/>
            <w:vAlign w:val="center"/>
          </w:tcPr>
          <w:p w14:paraId="43D3C64E" w14:textId="2D26A224" w:rsidR="00F52FAC" w:rsidRPr="00901D0D" w:rsidRDefault="00F52FAC" w:rsidP="00BB11BD">
            <w:pPr>
              <w:ind w:left="360" w:firstLine="0"/>
              <w:contextualSpacing/>
              <w:jc w:val="right"/>
              <w:rPr>
                <w:b w:val="0"/>
                <w:sz w:val="22"/>
                <w:lang w:val="en-GB"/>
              </w:rPr>
            </w:pPr>
            <w:r w:rsidRPr="00901D0D">
              <w:rPr>
                <w:b w:val="0"/>
                <w:sz w:val="22"/>
                <w:lang w:val="en-GB"/>
              </w:rPr>
              <w:t>Mathematics</w:t>
            </w:r>
          </w:p>
        </w:tc>
        <w:tc>
          <w:tcPr>
            <w:tcW w:w="346" w:type="pct"/>
            <w:shd w:val="clear" w:color="auto" w:fill="auto"/>
          </w:tcPr>
          <w:p w14:paraId="2E6B81FE" w14:textId="5EC06E9A" w:rsidR="00F52FAC" w:rsidRPr="00901D0D" w:rsidRDefault="00F52FAC"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lang w:val="en-GB"/>
              </w:rPr>
              <w:t>-.05</w:t>
            </w:r>
          </w:p>
        </w:tc>
        <w:tc>
          <w:tcPr>
            <w:tcW w:w="442" w:type="pct"/>
            <w:shd w:val="clear" w:color="auto" w:fill="auto"/>
            <w:vAlign w:val="center"/>
          </w:tcPr>
          <w:p w14:paraId="6D66B713" w14:textId="47082933" w:rsidR="00F52FAC" w:rsidRPr="00901D0D" w:rsidRDefault="00F52FAC" w:rsidP="00BB11BD">
            <w:pPr>
              <w:tabs>
                <w:tab w:val="decimal" w:pos="142"/>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w:t>
            </w:r>
            <w:r w:rsidR="001164CB" w:rsidRPr="00901D0D">
              <w:rPr>
                <w:rFonts w:eastAsia="Arial" w:cs="Times New Roman"/>
                <w:sz w:val="22"/>
                <w:lang w:val="en-GB"/>
              </w:rPr>
              <w:t>24</w:t>
            </w:r>
            <w:r w:rsidRPr="00901D0D">
              <w:rPr>
                <w:rFonts w:eastAsia="Arial" w:cs="Times New Roman"/>
                <w:sz w:val="22"/>
                <w:lang w:val="en-GB"/>
              </w:rPr>
              <w:t xml:space="preserve"> .</w:t>
            </w:r>
            <w:r w:rsidR="001164CB" w:rsidRPr="00901D0D">
              <w:rPr>
                <w:rFonts w:eastAsia="Arial" w:cs="Times New Roman"/>
                <w:sz w:val="22"/>
                <w:lang w:val="en-GB"/>
              </w:rPr>
              <w:t>14</w:t>
            </w:r>
            <w:r w:rsidRPr="00901D0D">
              <w:rPr>
                <w:rFonts w:eastAsia="Arial" w:cs="Times New Roman"/>
                <w:sz w:val="22"/>
                <w:lang w:val="en-GB"/>
              </w:rPr>
              <w:t>]</w:t>
            </w:r>
          </w:p>
        </w:tc>
        <w:tc>
          <w:tcPr>
            <w:tcW w:w="327" w:type="pct"/>
            <w:shd w:val="clear" w:color="auto" w:fill="auto"/>
          </w:tcPr>
          <w:p w14:paraId="188A50E3" w14:textId="596B74C2" w:rsidR="00F52FAC" w:rsidRPr="00901D0D" w:rsidRDefault="00F52FAC" w:rsidP="00BB11BD">
            <w:pPr>
              <w:tabs>
                <w:tab w:val="decimal" w:pos="255"/>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lang w:val="en-GB"/>
              </w:rPr>
              <w:t>-0.52</w:t>
            </w:r>
          </w:p>
        </w:tc>
        <w:tc>
          <w:tcPr>
            <w:tcW w:w="327" w:type="pct"/>
            <w:shd w:val="clear" w:color="auto" w:fill="auto"/>
          </w:tcPr>
          <w:p w14:paraId="0D4DC70B" w14:textId="657292C2" w:rsidR="00F52FAC" w:rsidRPr="00901D0D" w:rsidRDefault="00F52FAC" w:rsidP="00BB11BD">
            <w:pPr>
              <w:tabs>
                <w:tab w:val="decimal" w:pos="255"/>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lang w:val="en-GB"/>
              </w:rPr>
              <w:t>.60</w:t>
            </w:r>
          </w:p>
        </w:tc>
        <w:tc>
          <w:tcPr>
            <w:tcW w:w="422" w:type="pct"/>
            <w:shd w:val="clear" w:color="auto" w:fill="auto"/>
            <w:vAlign w:val="center"/>
          </w:tcPr>
          <w:p w14:paraId="7BD9BBC5" w14:textId="6FCB997F" w:rsidR="00F52FAC" w:rsidRPr="00901D0D" w:rsidRDefault="00F52FAC" w:rsidP="00BB11BD">
            <w:pPr>
              <w:tabs>
                <w:tab w:val="decimal" w:pos="680"/>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w:t>
            </w:r>
            <w:r w:rsidR="00566389" w:rsidRPr="00901D0D">
              <w:rPr>
                <w:rFonts w:eastAsia="Arial" w:cs="Times New Roman"/>
                <w:sz w:val="22"/>
                <w:lang w:val="en-GB"/>
              </w:rPr>
              <w:t>36</w:t>
            </w:r>
          </w:p>
        </w:tc>
        <w:tc>
          <w:tcPr>
            <w:tcW w:w="307" w:type="pct"/>
            <w:shd w:val="clear" w:color="auto" w:fill="auto"/>
            <w:vAlign w:val="center"/>
          </w:tcPr>
          <w:p w14:paraId="6B057F68" w14:textId="77777777" w:rsidR="00F52FAC" w:rsidRPr="00901D0D" w:rsidRDefault="00F52FAC"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4CF5A8F3" w14:textId="77777777" w:rsidR="00F52FAC" w:rsidRPr="00901D0D" w:rsidRDefault="00F52FAC"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075F48F9" w14:textId="77777777" w:rsidR="00F52FAC" w:rsidRPr="00901D0D" w:rsidRDefault="00F52FAC"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6D7F3200" w14:textId="77777777" w:rsidR="00F52FAC" w:rsidRPr="00901D0D" w:rsidRDefault="00F52FAC"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43AE1705" w14:textId="77777777" w:rsidR="00F52FAC" w:rsidRPr="00901D0D" w:rsidRDefault="00F52FAC"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08B5FFC0" w14:textId="77777777" w:rsidR="00F52FAC" w:rsidRPr="00901D0D" w:rsidRDefault="00F52FAC"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r>
      <w:tr w:rsidR="00634142" w:rsidRPr="00901D0D" w14:paraId="7C514A06" w14:textId="77777777" w:rsidTr="005473D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293" w:type="pct"/>
            <w:shd w:val="clear" w:color="auto" w:fill="auto"/>
            <w:vAlign w:val="center"/>
          </w:tcPr>
          <w:p w14:paraId="145EE49A" w14:textId="7878D4A4" w:rsidR="00F52FAC" w:rsidRPr="00901D0D" w:rsidRDefault="00F52FAC" w:rsidP="00BB11BD">
            <w:pPr>
              <w:ind w:left="360" w:firstLine="0"/>
              <w:contextualSpacing/>
              <w:jc w:val="right"/>
              <w:rPr>
                <w:rFonts w:eastAsia="Arial" w:cs="Times New Roman"/>
                <w:b w:val="0"/>
                <w:sz w:val="22"/>
                <w:lang w:val="en-GB"/>
              </w:rPr>
            </w:pPr>
            <w:r w:rsidRPr="00901D0D">
              <w:rPr>
                <w:b w:val="0"/>
                <w:sz w:val="22"/>
                <w:lang w:val="en-GB"/>
              </w:rPr>
              <w:t>Statistics</w:t>
            </w:r>
          </w:p>
        </w:tc>
        <w:tc>
          <w:tcPr>
            <w:tcW w:w="346" w:type="pct"/>
            <w:shd w:val="clear" w:color="auto" w:fill="auto"/>
          </w:tcPr>
          <w:p w14:paraId="1774A0E5" w14:textId="161CD569" w:rsidR="00F52FAC" w:rsidRPr="00901D0D" w:rsidRDefault="00F52FAC"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lang w:val="en-GB"/>
              </w:rPr>
              <w:t>-.03</w:t>
            </w:r>
          </w:p>
        </w:tc>
        <w:tc>
          <w:tcPr>
            <w:tcW w:w="442" w:type="pct"/>
            <w:shd w:val="clear" w:color="auto" w:fill="auto"/>
            <w:vAlign w:val="center"/>
          </w:tcPr>
          <w:p w14:paraId="704D2676" w14:textId="7B8D88F3" w:rsidR="00F52FAC" w:rsidRPr="00901D0D" w:rsidRDefault="00F52FAC" w:rsidP="00BB11BD">
            <w:pPr>
              <w:tabs>
                <w:tab w:val="decimal" w:pos="142"/>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[-.2</w:t>
            </w:r>
            <w:r w:rsidR="001164CB" w:rsidRPr="00901D0D">
              <w:rPr>
                <w:rFonts w:eastAsia="Arial" w:cs="Times New Roman"/>
                <w:sz w:val="22"/>
                <w:lang w:val="en-GB"/>
              </w:rPr>
              <w:t>2</w:t>
            </w:r>
            <w:r w:rsidRPr="00901D0D">
              <w:rPr>
                <w:rFonts w:eastAsia="Arial" w:cs="Times New Roman"/>
                <w:sz w:val="22"/>
                <w:lang w:val="en-GB"/>
              </w:rPr>
              <w:t>, .</w:t>
            </w:r>
            <w:r w:rsidR="001164CB" w:rsidRPr="00901D0D">
              <w:rPr>
                <w:rFonts w:eastAsia="Arial" w:cs="Times New Roman"/>
                <w:sz w:val="22"/>
                <w:lang w:val="en-GB"/>
              </w:rPr>
              <w:t>15</w:t>
            </w:r>
            <w:r w:rsidRPr="00901D0D">
              <w:rPr>
                <w:rFonts w:eastAsia="Arial" w:cs="Times New Roman"/>
                <w:sz w:val="22"/>
                <w:lang w:val="en-GB"/>
              </w:rPr>
              <w:t>]</w:t>
            </w:r>
          </w:p>
        </w:tc>
        <w:tc>
          <w:tcPr>
            <w:tcW w:w="327" w:type="pct"/>
            <w:shd w:val="clear" w:color="auto" w:fill="auto"/>
          </w:tcPr>
          <w:p w14:paraId="5AC982B0" w14:textId="2A5ECC24" w:rsidR="00F52FAC" w:rsidRPr="00901D0D" w:rsidRDefault="00F52FAC" w:rsidP="00BB11BD">
            <w:pPr>
              <w:tabs>
                <w:tab w:val="decimal" w:pos="255"/>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lang w:val="en-GB"/>
              </w:rPr>
              <w:t>-0.35</w:t>
            </w:r>
          </w:p>
        </w:tc>
        <w:tc>
          <w:tcPr>
            <w:tcW w:w="327" w:type="pct"/>
            <w:shd w:val="clear" w:color="auto" w:fill="auto"/>
          </w:tcPr>
          <w:p w14:paraId="7FA783A8" w14:textId="7695EA5C" w:rsidR="00F52FAC" w:rsidRPr="00901D0D" w:rsidRDefault="00F52FAC" w:rsidP="00BB11BD">
            <w:pPr>
              <w:tabs>
                <w:tab w:val="decimal" w:pos="255"/>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lang w:val="en-GB"/>
              </w:rPr>
              <w:t>.73</w:t>
            </w:r>
          </w:p>
        </w:tc>
        <w:tc>
          <w:tcPr>
            <w:tcW w:w="422" w:type="pct"/>
            <w:shd w:val="clear" w:color="auto" w:fill="auto"/>
            <w:vAlign w:val="center"/>
          </w:tcPr>
          <w:p w14:paraId="5872CF8C" w14:textId="70CC8150" w:rsidR="00F52FAC" w:rsidRPr="00901D0D" w:rsidRDefault="00F52FAC" w:rsidP="00BB11BD">
            <w:pPr>
              <w:tabs>
                <w:tab w:val="decimal" w:pos="680"/>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0.3</w:t>
            </w:r>
            <w:r w:rsidR="00566389" w:rsidRPr="00901D0D">
              <w:rPr>
                <w:rFonts w:eastAsia="Arial" w:cs="Times New Roman"/>
                <w:sz w:val="22"/>
                <w:lang w:val="en-GB"/>
              </w:rPr>
              <w:t>3</w:t>
            </w:r>
          </w:p>
        </w:tc>
        <w:tc>
          <w:tcPr>
            <w:tcW w:w="307" w:type="pct"/>
            <w:shd w:val="clear" w:color="auto" w:fill="auto"/>
            <w:vAlign w:val="center"/>
          </w:tcPr>
          <w:p w14:paraId="47911017" w14:textId="77777777" w:rsidR="00F52FAC" w:rsidRPr="00901D0D" w:rsidRDefault="00F52FAC"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23232137" w14:textId="77777777" w:rsidR="00F52FAC" w:rsidRPr="00901D0D" w:rsidRDefault="00F52FAC"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15BE132D" w14:textId="77777777" w:rsidR="00F52FAC" w:rsidRPr="00901D0D" w:rsidRDefault="00F52FAC"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37F250CF" w14:textId="77777777" w:rsidR="00F52FAC" w:rsidRPr="00901D0D" w:rsidRDefault="00F52FAC"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6612D629" w14:textId="77777777" w:rsidR="00F52FAC" w:rsidRPr="00901D0D" w:rsidRDefault="00F52FAC"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7BAECF3D" w14:textId="77777777" w:rsidR="00F52FAC" w:rsidRPr="00901D0D" w:rsidRDefault="00F52FAC"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r>
      <w:tr w:rsidR="00634142" w:rsidRPr="00901D0D" w14:paraId="7A454CE2" w14:textId="77777777" w:rsidTr="005473D8">
        <w:trPr>
          <w:trHeight w:val="227"/>
        </w:trPr>
        <w:tc>
          <w:tcPr>
            <w:cnfStyle w:val="001000000000" w:firstRow="0" w:lastRow="0" w:firstColumn="1" w:lastColumn="0" w:oddVBand="0" w:evenVBand="0" w:oddHBand="0" w:evenHBand="0" w:firstRowFirstColumn="0" w:firstRowLastColumn="0" w:lastRowFirstColumn="0" w:lastRowLastColumn="0"/>
            <w:tcW w:w="1293" w:type="pct"/>
            <w:shd w:val="clear" w:color="auto" w:fill="auto"/>
            <w:vAlign w:val="center"/>
          </w:tcPr>
          <w:p w14:paraId="5591B38D" w14:textId="5F7C4710" w:rsidR="00F52FAC" w:rsidRPr="00901D0D" w:rsidRDefault="00F52FAC" w:rsidP="00BB11BD">
            <w:pPr>
              <w:ind w:left="360" w:firstLine="0"/>
              <w:contextualSpacing/>
              <w:jc w:val="right"/>
              <w:rPr>
                <w:b w:val="0"/>
                <w:sz w:val="22"/>
                <w:lang w:val="en-GB"/>
              </w:rPr>
            </w:pPr>
            <w:r w:rsidRPr="00901D0D">
              <w:rPr>
                <w:b w:val="0"/>
                <w:sz w:val="22"/>
                <w:lang w:val="en-GB"/>
              </w:rPr>
              <w:t>Overall Gambling</w:t>
            </w:r>
          </w:p>
        </w:tc>
        <w:tc>
          <w:tcPr>
            <w:tcW w:w="346" w:type="pct"/>
            <w:shd w:val="clear" w:color="auto" w:fill="auto"/>
          </w:tcPr>
          <w:p w14:paraId="51A20D4D" w14:textId="2D391497" w:rsidR="00F52FAC" w:rsidRPr="00901D0D" w:rsidRDefault="00F52FAC"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lang w:val="en-GB"/>
              </w:rPr>
              <w:t>-.02</w:t>
            </w:r>
          </w:p>
        </w:tc>
        <w:tc>
          <w:tcPr>
            <w:tcW w:w="442" w:type="pct"/>
            <w:shd w:val="clear" w:color="auto" w:fill="auto"/>
            <w:vAlign w:val="center"/>
          </w:tcPr>
          <w:p w14:paraId="50E51E16" w14:textId="44555EC2" w:rsidR="00F52FAC" w:rsidRPr="00901D0D" w:rsidRDefault="00F52FAC" w:rsidP="00BB11BD">
            <w:pPr>
              <w:tabs>
                <w:tab w:val="decimal" w:pos="142"/>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w:t>
            </w:r>
            <w:r w:rsidR="001164CB" w:rsidRPr="00901D0D">
              <w:rPr>
                <w:rFonts w:eastAsia="Arial" w:cs="Times New Roman"/>
                <w:sz w:val="22"/>
                <w:lang w:val="en-GB"/>
              </w:rPr>
              <w:t>16</w:t>
            </w:r>
            <w:r w:rsidRPr="00901D0D">
              <w:rPr>
                <w:rFonts w:eastAsia="Arial" w:cs="Times New Roman"/>
                <w:sz w:val="22"/>
                <w:lang w:val="en-GB"/>
              </w:rPr>
              <w:t>, .</w:t>
            </w:r>
            <w:r w:rsidR="001164CB" w:rsidRPr="00901D0D">
              <w:rPr>
                <w:rFonts w:eastAsia="Arial" w:cs="Times New Roman"/>
                <w:sz w:val="22"/>
                <w:lang w:val="en-GB"/>
              </w:rPr>
              <w:t>12</w:t>
            </w:r>
            <w:r w:rsidRPr="00901D0D">
              <w:rPr>
                <w:rFonts w:eastAsia="Arial" w:cs="Times New Roman"/>
                <w:sz w:val="22"/>
                <w:lang w:val="en-GB"/>
              </w:rPr>
              <w:t>]</w:t>
            </w:r>
          </w:p>
        </w:tc>
        <w:tc>
          <w:tcPr>
            <w:tcW w:w="327" w:type="pct"/>
            <w:shd w:val="clear" w:color="auto" w:fill="auto"/>
          </w:tcPr>
          <w:p w14:paraId="00C0070A" w14:textId="39114C93" w:rsidR="00F52FAC" w:rsidRPr="00901D0D" w:rsidRDefault="00F52FAC" w:rsidP="00BB11BD">
            <w:pPr>
              <w:tabs>
                <w:tab w:val="decimal" w:pos="255"/>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lang w:val="en-GB"/>
              </w:rPr>
              <w:t>-0.25</w:t>
            </w:r>
          </w:p>
        </w:tc>
        <w:tc>
          <w:tcPr>
            <w:tcW w:w="327" w:type="pct"/>
            <w:shd w:val="clear" w:color="auto" w:fill="auto"/>
          </w:tcPr>
          <w:p w14:paraId="61DAC453" w14:textId="0529F86F" w:rsidR="00F52FAC" w:rsidRPr="00901D0D" w:rsidRDefault="00F52FAC" w:rsidP="00BB11BD">
            <w:pPr>
              <w:tabs>
                <w:tab w:val="decimal" w:pos="255"/>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lang w:val="en-GB"/>
              </w:rPr>
              <w:t>.80</w:t>
            </w:r>
          </w:p>
        </w:tc>
        <w:tc>
          <w:tcPr>
            <w:tcW w:w="422" w:type="pct"/>
            <w:shd w:val="clear" w:color="auto" w:fill="auto"/>
            <w:vAlign w:val="center"/>
          </w:tcPr>
          <w:p w14:paraId="20AA9F1D" w14:textId="72B27E04" w:rsidR="00F52FAC" w:rsidRPr="00901D0D" w:rsidRDefault="00F52FAC" w:rsidP="00BB11BD">
            <w:pPr>
              <w:tabs>
                <w:tab w:val="decimal" w:pos="680"/>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w:t>
            </w:r>
            <w:r w:rsidR="00566389" w:rsidRPr="00901D0D">
              <w:rPr>
                <w:rFonts w:eastAsia="Arial" w:cs="Times New Roman"/>
                <w:sz w:val="22"/>
                <w:lang w:val="en-GB"/>
              </w:rPr>
              <w:t>32</w:t>
            </w:r>
          </w:p>
        </w:tc>
        <w:tc>
          <w:tcPr>
            <w:tcW w:w="307" w:type="pct"/>
            <w:shd w:val="clear" w:color="auto" w:fill="auto"/>
            <w:vAlign w:val="center"/>
          </w:tcPr>
          <w:p w14:paraId="4CA6DD3F" w14:textId="77777777" w:rsidR="00F52FAC" w:rsidRPr="00901D0D" w:rsidRDefault="00F52FAC"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38829F31" w14:textId="77777777" w:rsidR="00F52FAC" w:rsidRPr="00901D0D" w:rsidRDefault="00F52FAC"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0621E476" w14:textId="77777777" w:rsidR="00F52FAC" w:rsidRPr="00901D0D" w:rsidRDefault="00F52FAC"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5D46252F" w14:textId="77777777" w:rsidR="00F52FAC" w:rsidRPr="00901D0D" w:rsidRDefault="00F52FAC"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670D5D41" w14:textId="77777777" w:rsidR="00F52FAC" w:rsidRPr="00901D0D" w:rsidRDefault="00F52FAC"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06BF7702" w14:textId="77777777" w:rsidR="00F52FAC" w:rsidRPr="00901D0D" w:rsidRDefault="00F52FAC"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r>
      <w:tr w:rsidR="00634142" w:rsidRPr="00901D0D" w14:paraId="0E5C5146" w14:textId="77777777" w:rsidTr="005473D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293" w:type="pct"/>
            <w:shd w:val="clear" w:color="auto" w:fill="auto"/>
            <w:vAlign w:val="center"/>
          </w:tcPr>
          <w:p w14:paraId="4FA36D0A" w14:textId="77777777" w:rsidR="00F52FAC" w:rsidRPr="00901D0D" w:rsidRDefault="00F52FAC" w:rsidP="00BB11BD">
            <w:pPr>
              <w:ind w:left="360" w:firstLine="0"/>
              <w:contextualSpacing/>
              <w:jc w:val="right"/>
              <w:rPr>
                <w:rFonts w:eastAsia="Arial" w:cs="Times New Roman"/>
                <w:b w:val="0"/>
                <w:sz w:val="22"/>
                <w:lang w:val="en-GB"/>
              </w:rPr>
            </w:pPr>
            <w:r w:rsidRPr="00901D0D">
              <w:rPr>
                <w:b w:val="0"/>
                <w:sz w:val="22"/>
                <w:lang w:val="en-GB"/>
              </w:rPr>
              <w:t>Experiential</w:t>
            </w:r>
          </w:p>
        </w:tc>
        <w:tc>
          <w:tcPr>
            <w:tcW w:w="346" w:type="pct"/>
            <w:shd w:val="clear" w:color="auto" w:fill="auto"/>
          </w:tcPr>
          <w:p w14:paraId="4B9B0B0C" w14:textId="4565677C" w:rsidR="00F52FAC" w:rsidRPr="00901D0D" w:rsidRDefault="00F52FAC"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lang w:val="en-GB"/>
              </w:rPr>
              <w:t>-.47</w:t>
            </w:r>
          </w:p>
        </w:tc>
        <w:tc>
          <w:tcPr>
            <w:tcW w:w="442" w:type="pct"/>
            <w:shd w:val="clear" w:color="auto" w:fill="auto"/>
            <w:vAlign w:val="center"/>
          </w:tcPr>
          <w:p w14:paraId="1603B336" w14:textId="33FF5AB1" w:rsidR="00F52FAC" w:rsidRPr="00901D0D" w:rsidRDefault="00F52FAC" w:rsidP="00BB11BD">
            <w:pPr>
              <w:tabs>
                <w:tab w:val="decimal" w:pos="142"/>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[-.66, -.</w:t>
            </w:r>
            <w:r w:rsidR="001164CB" w:rsidRPr="00901D0D">
              <w:rPr>
                <w:rFonts w:eastAsia="Arial" w:cs="Times New Roman"/>
                <w:sz w:val="22"/>
                <w:lang w:val="en-GB"/>
              </w:rPr>
              <w:t>28</w:t>
            </w:r>
            <w:r w:rsidRPr="00901D0D">
              <w:rPr>
                <w:rFonts w:eastAsia="Arial" w:cs="Times New Roman"/>
                <w:sz w:val="22"/>
                <w:lang w:val="en-GB"/>
              </w:rPr>
              <w:t>]</w:t>
            </w:r>
          </w:p>
        </w:tc>
        <w:tc>
          <w:tcPr>
            <w:tcW w:w="327" w:type="pct"/>
            <w:shd w:val="clear" w:color="auto" w:fill="auto"/>
          </w:tcPr>
          <w:p w14:paraId="26FEEF04" w14:textId="254D5D06" w:rsidR="00F52FAC" w:rsidRPr="00901D0D" w:rsidRDefault="00F52FAC" w:rsidP="00BB11BD">
            <w:pPr>
              <w:tabs>
                <w:tab w:val="decimal" w:pos="255"/>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lang w:val="en-GB"/>
              </w:rPr>
              <w:t>-4.93</w:t>
            </w:r>
          </w:p>
        </w:tc>
        <w:tc>
          <w:tcPr>
            <w:tcW w:w="327" w:type="pct"/>
            <w:shd w:val="clear" w:color="auto" w:fill="auto"/>
          </w:tcPr>
          <w:p w14:paraId="1D244279" w14:textId="41584D2F" w:rsidR="00F52FAC" w:rsidRPr="00901D0D" w:rsidRDefault="00F52FAC" w:rsidP="00BB11BD">
            <w:pPr>
              <w:tabs>
                <w:tab w:val="decimal" w:pos="255"/>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lang w:val="en-GB"/>
              </w:rPr>
              <w:t>&lt;.001</w:t>
            </w:r>
          </w:p>
        </w:tc>
        <w:tc>
          <w:tcPr>
            <w:tcW w:w="422" w:type="pct"/>
            <w:shd w:val="clear" w:color="auto" w:fill="auto"/>
            <w:vAlign w:val="center"/>
          </w:tcPr>
          <w:p w14:paraId="1316E384" w14:textId="4499644D" w:rsidR="00F52FAC" w:rsidRPr="00901D0D" w:rsidRDefault="00566389" w:rsidP="00BB11BD">
            <w:pPr>
              <w:tabs>
                <w:tab w:val="decimal" w:pos="680"/>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7871.01</w:t>
            </w:r>
          </w:p>
        </w:tc>
        <w:tc>
          <w:tcPr>
            <w:tcW w:w="307" w:type="pct"/>
            <w:shd w:val="clear" w:color="auto" w:fill="auto"/>
            <w:vAlign w:val="center"/>
          </w:tcPr>
          <w:p w14:paraId="70230456" w14:textId="77777777" w:rsidR="00F52FAC" w:rsidRPr="00901D0D" w:rsidRDefault="00F52FAC"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0A6A38BA" w14:textId="77777777" w:rsidR="00F52FAC" w:rsidRPr="00901D0D" w:rsidRDefault="00F52FAC"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280EF730" w14:textId="77777777" w:rsidR="00F52FAC" w:rsidRPr="00901D0D" w:rsidRDefault="00F52FAC"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612DA814" w14:textId="77777777" w:rsidR="00F52FAC" w:rsidRPr="00901D0D" w:rsidRDefault="00F52FAC"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2F95F796" w14:textId="77777777" w:rsidR="00F52FAC" w:rsidRPr="00901D0D" w:rsidRDefault="00F52FAC"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2747F3AF" w14:textId="77777777" w:rsidR="00F52FAC" w:rsidRPr="00901D0D" w:rsidRDefault="00F52FAC"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r>
      <w:tr w:rsidR="00634142" w:rsidRPr="00901D0D" w14:paraId="30D34652" w14:textId="77777777" w:rsidTr="005473D8">
        <w:trPr>
          <w:trHeight w:val="227"/>
        </w:trPr>
        <w:tc>
          <w:tcPr>
            <w:cnfStyle w:val="001000000000" w:firstRow="0" w:lastRow="0" w:firstColumn="1" w:lastColumn="0" w:oddVBand="0" w:evenVBand="0" w:oddHBand="0" w:evenHBand="0" w:firstRowFirstColumn="0" w:firstRowLastColumn="0" w:lastRowFirstColumn="0" w:lastRowLastColumn="0"/>
            <w:tcW w:w="1293" w:type="pct"/>
            <w:shd w:val="clear" w:color="auto" w:fill="auto"/>
            <w:vAlign w:val="center"/>
          </w:tcPr>
          <w:p w14:paraId="06A6B5F6" w14:textId="77777777" w:rsidR="00F52FAC" w:rsidRPr="00901D0D" w:rsidRDefault="00F52FAC" w:rsidP="00BB11BD">
            <w:pPr>
              <w:ind w:left="360" w:firstLine="0"/>
              <w:contextualSpacing/>
              <w:jc w:val="right"/>
              <w:rPr>
                <w:rFonts w:eastAsia="Arial" w:cs="Times New Roman"/>
                <w:b w:val="0"/>
                <w:sz w:val="22"/>
                <w:lang w:val="en-GB"/>
              </w:rPr>
            </w:pPr>
            <w:r w:rsidRPr="00901D0D">
              <w:rPr>
                <w:b w:val="0"/>
                <w:sz w:val="22"/>
                <w:lang w:val="en-GB"/>
              </w:rPr>
              <w:t>PSI</w:t>
            </w:r>
          </w:p>
        </w:tc>
        <w:tc>
          <w:tcPr>
            <w:tcW w:w="346" w:type="pct"/>
            <w:shd w:val="clear" w:color="auto" w:fill="auto"/>
          </w:tcPr>
          <w:p w14:paraId="449F5571" w14:textId="25FD95EB" w:rsidR="00F52FAC" w:rsidRPr="00901D0D" w:rsidRDefault="00F52FAC"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lang w:val="en-GB"/>
              </w:rPr>
              <w:t>.20</w:t>
            </w:r>
          </w:p>
        </w:tc>
        <w:tc>
          <w:tcPr>
            <w:tcW w:w="442" w:type="pct"/>
            <w:shd w:val="clear" w:color="auto" w:fill="auto"/>
            <w:vAlign w:val="center"/>
          </w:tcPr>
          <w:p w14:paraId="2F9D96EF" w14:textId="24E4C90E" w:rsidR="00F52FAC" w:rsidRPr="00901D0D" w:rsidRDefault="00F52FAC" w:rsidP="00BB11BD">
            <w:pPr>
              <w:tabs>
                <w:tab w:val="decimal" w:pos="142"/>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w:t>
            </w:r>
            <w:r w:rsidR="001164CB" w:rsidRPr="00901D0D">
              <w:rPr>
                <w:rFonts w:eastAsia="Arial" w:cs="Times New Roman"/>
                <w:sz w:val="22"/>
                <w:lang w:val="en-GB"/>
              </w:rPr>
              <w:t>05</w:t>
            </w:r>
            <w:r w:rsidRPr="00901D0D">
              <w:rPr>
                <w:rFonts w:eastAsia="Arial" w:cs="Times New Roman"/>
                <w:sz w:val="22"/>
                <w:lang w:val="en-GB"/>
              </w:rPr>
              <w:t>, .</w:t>
            </w:r>
            <w:r w:rsidR="001164CB" w:rsidRPr="00901D0D">
              <w:rPr>
                <w:rFonts w:eastAsia="Arial" w:cs="Times New Roman"/>
                <w:sz w:val="22"/>
                <w:lang w:val="en-GB"/>
              </w:rPr>
              <w:t>45</w:t>
            </w:r>
            <w:r w:rsidRPr="00901D0D">
              <w:rPr>
                <w:rFonts w:eastAsia="Arial" w:cs="Times New Roman"/>
                <w:sz w:val="22"/>
                <w:lang w:val="en-GB"/>
              </w:rPr>
              <w:t>]</w:t>
            </w:r>
          </w:p>
        </w:tc>
        <w:tc>
          <w:tcPr>
            <w:tcW w:w="327" w:type="pct"/>
            <w:shd w:val="clear" w:color="auto" w:fill="auto"/>
          </w:tcPr>
          <w:p w14:paraId="4BB42238" w14:textId="7D8AFB37" w:rsidR="00F52FAC" w:rsidRPr="00901D0D" w:rsidRDefault="00F52FAC" w:rsidP="00BB11BD">
            <w:pPr>
              <w:tabs>
                <w:tab w:val="decimal" w:pos="255"/>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lang w:val="en-GB"/>
              </w:rPr>
              <w:t>1.55</w:t>
            </w:r>
          </w:p>
        </w:tc>
        <w:tc>
          <w:tcPr>
            <w:tcW w:w="327" w:type="pct"/>
            <w:shd w:val="clear" w:color="auto" w:fill="auto"/>
          </w:tcPr>
          <w:p w14:paraId="58919E8D" w14:textId="0D048E9C" w:rsidR="00F52FAC" w:rsidRPr="00901D0D" w:rsidRDefault="00F52FAC" w:rsidP="00BB11BD">
            <w:pPr>
              <w:tabs>
                <w:tab w:val="decimal" w:pos="255"/>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lang w:val="en-GB"/>
              </w:rPr>
              <w:t>.12</w:t>
            </w:r>
          </w:p>
        </w:tc>
        <w:tc>
          <w:tcPr>
            <w:tcW w:w="422" w:type="pct"/>
            <w:shd w:val="clear" w:color="auto" w:fill="auto"/>
            <w:vAlign w:val="center"/>
          </w:tcPr>
          <w:p w14:paraId="657C69C0" w14:textId="494834DF" w:rsidR="00F52FAC" w:rsidRPr="00901D0D" w:rsidRDefault="00F52FAC" w:rsidP="00BB11BD">
            <w:pPr>
              <w:tabs>
                <w:tab w:val="decimal" w:pos="680"/>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w:t>
            </w:r>
            <w:r w:rsidR="00566389" w:rsidRPr="00901D0D">
              <w:rPr>
                <w:rFonts w:eastAsia="Arial" w:cs="Times New Roman"/>
                <w:sz w:val="22"/>
                <w:lang w:val="en-GB"/>
              </w:rPr>
              <w:t>93</w:t>
            </w:r>
          </w:p>
        </w:tc>
        <w:tc>
          <w:tcPr>
            <w:tcW w:w="307" w:type="pct"/>
            <w:shd w:val="clear" w:color="auto" w:fill="auto"/>
            <w:vAlign w:val="center"/>
          </w:tcPr>
          <w:p w14:paraId="70F1E57B" w14:textId="77777777" w:rsidR="00F52FAC" w:rsidRPr="00901D0D" w:rsidRDefault="00F52FAC"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0AFD8DC2" w14:textId="77777777" w:rsidR="00F52FAC" w:rsidRPr="00901D0D" w:rsidRDefault="00F52FAC"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3C33F882" w14:textId="77777777" w:rsidR="00F52FAC" w:rsidRPr="00901D0D" w:rsidRDefault="00F52FAC"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30D17370" w14:textId="77777777" w:rsidR="00F52FAC" w:rsidRPr="00901D0D" w:rsidRDefault="00F52FAC"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6E464BDA" w14:textId="77777777" w:rsidR="00F52FAC" w:rsidRPr="00901D0D" w:rsidRDefault="00F52FAC"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19D8E4EE" w14:textId="77777777" w:rsidR="00F52FAC" w:rsidRPr="00901D0D" w:rsidRDefault="00F52FAC"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r>
      <w:tr w:rsidR="00634142" w:rsidRPr="00901D0D" w14:paraId="0FDA4E7A" w14:textId="77777777" w:rsidTr="005473D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293" w:type="pct"/>
            <w:shd w:val="clear" w:color="auto" w:fill="auto"/>
            <w:vAlign w:val="center"/>
          </w:tcPr>
          <w:p w14:paraId="343D72AF" w14:textId="77777777" w:rsidR="00F52FAC" w:rsidRPr="00901D0D" w:rsidRDefault="00F52FAC" w:rsidP="00BB11BD">
            <w:pPr>
              <w:ind w:left="360" w:firstLine="0"/>
              <w:contextualSpacing/>
              <w:jc w:val="right"/>
              <w:rPr>
                <w:rFonts w:eastAsia="Arial" w:cs="Times New Roman"/>
                <w:b w:val="0"/>
                <w:sz w:val="22"/>
                <w:lang w:val="en-GB"/>
              </w:rPr>
            </w:pPr>
            <w:r w:rsidRPr="00901D0D">
              <w:rPr>
                <w:b w:val="0"/>
                <w:sz w:val="22"/>
                <w:lang w:val="en-GB"/>
              </w:rPr>
              <w:t>ET</w:t>
            </w:r>
          </w:p>
        </w:tc>
        <w:tc>
          <w:tcPr>
            <w:tcW w:w="346" w:type="pct"/>
            <w:shd w:val="clear" w:color="auto" w:fill="auto"/>
          </w:tcPr>
          <w:p w14:paraId="34657493" w14:textId="52F0CF12" w:rsidR="00F52FAC" w:rsidRPr="00901D0D" w:rsidRDefault="00F52FAC"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lang w:val="en-GB"/>
              </w:rPr>
              <w:t>-.02</w:t>
            </w:r>
          </w:p>
        </w:tc>
        <w:tc>
          <w:tcPr>
            <w:tcW w:w="442" w:type="pct"/>
            <w:shd w:val="clear" w:color="auto" w:fill="auto"/>
            <w:vAlign w:val="center"/>
          </w:tcPr>
          <w:p w14:paraId="3335EC71" w14:textId="6EA6A461" w:rsidR="00F52FAC" w:rsidRPr="00901D0D" w:rsidRDefault="00F52FAC" w:rsidP="00BB11BD">
            <w:pPr>
              <w:tabs>
                <w:tab w:val="decimal" w:pos="142"/>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w:t>
            </w:r>
            <w:r w:rsidR="001164CB" w:rsidRPr="00901D0D">
              <w:rPr>
                <w:rFonts w:eastAsia="Arial" w:cs="Times New Roman"/>
                <w:sz w:val="22"/>
                <w:lang w:val="en-GB"/>
              </w:rPr>
              <w:t>20</w:t>
            </w:r>
            <w:r w:rsidRPr="00901D0D">
              <w:rPr>
                <w:rFonts w:eastAsia="Arial" w:cs="Times New Roman"/>
                <w:sz w:val="22"/>
                <w:lang w:val="en-GB"/>
              </w:rPr>
              <w:t>, .</w:t>
            </w:r>
            <w:r w:rsidR="001164CB" w:rsidRPr="00901D0D">
              <w:rPr>
                <w:rFonts w:eastAsia="Arial" w:cs="Times New Roman"/>
                <w:sz w:val="22"/>
                <w:lang w:val="en-GB"/>
              </w:rPr>
              <w:t>15</w:t>
            </w:r>
            <w:r w:rsidRPr="00901D0D">
              <w:rPr>
                <w:rFonts w:eastAsia="Arial" w:cs="Times New Roman"/>
                <w:sz w:val="22"/>
                <w:lang w:val="en-GB"/>
              </w:rPr>
              <w:t>]</w:t>
            </w:r>
          </w:p>
        </w:tc>
        <w:tc>
          <w:tcPr>
            <w:tcW w:w="327" w:type="pct"/>
            <w:shd w:val="clear" w:color="auto" w:fill="auto"/>
          </w:tcPr>
          <w:p w14:paraId="36BC7801" w14:textId="40928A5D" w:rsidR="00F52FAC" w:rsidRPr="00901D0D" w:rsidRDefault="00F52FAC" w:rsidP="00BB11BD">
            <w:pPr>
              <w:tabs>
                <w:tab w:val="decimal" w:pos="255"/>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lang w:val="en-GB"/>
              </w:rPr>
              <w:t>-0.25</w:t>
            </w:r>
          </w:p>
        </w:tc>
        <w:tc>
          <w:tcPr>
            <w:tcW w:w="327" w:type="pct"/>
            <w:shd w:val="clear" w:color="auto" w:fill="auto"/>
          </w:tcPr>
          <w:p w14:paraId="775486BE" w14:textId="5B2D996C" w:rsidR="00F52FAC" w:rsidRPr="00901D0D" w:rsidRDefault="00F52FAC" w:rsidP="00BB11BD">
            <w:pPr>
              <w:tabs>
                <w:tab w:val="decimal" w:pos="255"/>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lang w:val="en-GB"/>
              </w:rPr>
              <w:t>.80</w:t>
            </w:r>
          </w:p>
        </w:tc>
        <w:tc>
          <w:tcPr>
            <w:tcW w:w="422" w:type="pct"/>
            <w:shd w:val="clear" w:color="auto" w:fill="auto"/>
            <w:vAlign w:val="center"/>
          </w:tcPr>
          <w:p w14:paraId="00C212B3" w14:textId="7E4877EE" w:rsidR="00F52FAC" w:rsidRPr="00901D0D" w:rsidRDefault="00F52FAC" w:rsidP="00BB11BD">
            <w:pPr>
              <w:tabs>
                <w:tab w:val="decimal" w:pos="680"/>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w:t>
            </w:r>
            <w:r w:rsidR="00566389" w:rsidRPr="00901D0D">
              <w:rPr>
                <w:rFonts w:eastAsia="Arial" w:cs="Times New Roman"/>
                <w:sz w:val="22"/>
                <w:lang w:val="en-GB"/>
              </w:rPr>
              <w:t>32</w:t>
            </w:r>
          </w:p>
        </w:tc>
        <w:tc>
          <w:tcPr>
            <w:tcW w:w="307" w:type="pct"/>
            <w:shd w:val="clear" w:color="auto" w:fill="auto"/>
            <w:vAlign w:val="center"/>
          </w:tcPr>
          <w:p w14:paraId="30541141" w14:textId="77777777" w:rsidR="00F52FAC" w:rsidRPr="00901D0D" w:rsidRDefault="00F52FAC"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2426B53F" w14:textId="77777777" w:rsidR="00F52FAC" w:rsidRPr="00901D0D" w:rsidRDefault="00F52FAC"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7C03ED90" w14:textId="77777777" w:rsidR="00F52FAC" w:rsidRPr="00901D0D" w:rsidRDefault="00F52FAC"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3DBDB44C" w14:textId="77777777" w:rsidR="00F52FAC" w:rsidRPr="00901D0D" w:rsidRDefault="00F52FAC"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31BA96F6" w14:textId="77777777" w:rsidR="00F52FAC" w:rsidRPr="00901D0D" w:rsidRDefault="00F52FAC"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5E3E1C8E" w14:textId="77777777" w:rsidR="00F52FAC" w:rsidRPr="00901D0D" w:rsidRDefault="00F52FAC"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r>
      <w:tr w:rsidR="00634142" w:rsidRPr="00901D0D" w14:paraId="7CF156C0" w14:textId="77777777" w:rsidTr="005473D8">
        <w:trPr>
          <w:trHeight w:val="227"/>
        </w:trPr>
        <w:tc>
          <w:tcPr>
            <w:cnfStyle w:val="001000000000" w:firstRow="0" w:lastRow="0" w:firstColumn="1" w:lastColumn="0" w:oddVBand="0" w:evenVBand="0" w:oddHBand="0" w:evenHBand="0" w:firstRowFirstColumn="0" w:firstRowLastColumn="0" w:lastRowFirstColumn="0" w:lastRowLastColumn="0"/>
            <w:tcW w:w="1293" w:type="pct"/>
            <w:tcBorders>
              <w:bottom w:val="single" w:sz="4" w:space="0" w:color="auto"/>
            </w:tcBorders>
            <w:shd w:val="clear" w:color="auto" w:fill="auto"/>
            <w:vAlign w:val="center"/>
          </w:tcPr>
          <w:p w14:paraId="45015E75" w14:textId="77777777" w:rsidR="00F52FAC" w:rsidRPr="00901D0D" w:rsidRDefault="00F52FAC" w:rsidP="00BB11BD">
            <w:pPr>
              <w:ind w:left="360" w:firstLine="0"/>
              <w:contextualSpacing/>
              <w:jc w:val="right"/>
              <w:rPr>
                <w:rFonts w:eastAsia="Arial" w:cs="Times New Roman"/>
                <w:b w:val="0"/>
                <w:sz w:val="22"/>
                <w:lang w:val="en-GB"/>
              </w:rPr>
            </w:pPr>
            <w:r w:rsidRPr="00901D0D">
              <w:rPr>
                <w:b w:val="0"/>
                <w:sz w:val="22"/>
                <w:lang w:val="en-GB"/>
              </w:rPr>
              <w:t>LAD</w:t>
            </w:r>
          </w:p>
        </w:tc>
        <w:tc>
          <w:tcPr>
            <w:tcW w:w="346" w:type="pct"/>
            <w:tcBorders>
              <w:bottom w:val="single" w:sz="4" w:space="0" w:color="auto"/>
            </w:tcBorders>
            <w:shd w:val="clear" w:color="auto" w:fill="auto"/>
          </w:tcPr>
          <w:p w14:paraId="60919AEC" w14:textId="2680E066" w:rsidR="00F52FAC" w:rsidRPr="00901D0D" w:rsidRDefault="00F52FAC"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lang w:val="en-GB"/>
              </w:rPr>
              <w:t>-.08</w:t>
            </w:r>
          </w:p>
        </w:tc>
        <w:tc>
          <w:tcPr>
            <w:tcW w:w="442" w:type="pct"/>
            <w:tcBorders>
              <w:bottom w:val="single" w:sz="4" w:space="0" w:color="auto"/>
            </w:tcBorders>
            <w:shd w:val="clear" w:color="auto" w:fill="auto"/>
            <w:vAlign w:val="center"/>
          </w:tcPr>
          <w:p w14:paraId="4CF14991" w14:textId="0177220E" w:rsidR="00F52FAC" w:rsidRPr="00901D0D" w:rsidRDefault="00F52FAC" w:rsidP="00BB11BD">
            <w:pPr>
              <w:tabs>
                <w:tab w:val="decimal" w:pos="142"/>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w:t>
            </w:r>
            <w:r w:rsidR="001164CB" w:rsidRPr="00901D0D">
              <w:rPr>
                <w:rFonts w:eastAsia="Arial" w:cs="Times New Roman"/>
                <w:sz w:val="22"/>
                <w:lang w:val="en-GB"/>
              </w:rPr>
              <w:t>30</w:t>
            </w:r>
            <w:r w:rsidRPr="00901D0D">
              <w:rPr>
                <w:rFonts w:eastAsia="Arial" w:cs="Times New Roman"/>
                <w:sz w:val="22"/>
                <w:lang w:val="en-GB"/>
              </w:rPr>
              <w:t>, .</w:t>
            </w:r>
            <w:r w:rsidR="001164CB" w:rsidRPr="00901D0D">
              <w:rPr>
                <w:rFonts w:eastAsia="Arial" w:cs="Times New Roman"/>
                <w:sz w:val="22"/>
                <w:lang w:val="en-GB"/>
              </w:rPr>
              <w:t>14</w:t>
            </w:r>
            <w:r w:rsidRPr="00901D0D">
              <w:rPr>
                <w:rFonts w:eastAsia="Arial" w:cs="Times New Roman"/>
                <w:sz w:val="22"/>
                <w:lang w:val="en-GB"/>
              </w:rPr>
              <w:t>]</w:t>
            </w:r>
          </w:p>
        </w:tc>
        <w:tc>
          <w:tcPr>
            <w:tcW w:w="327" w:type="pct"/>
            <w:tcBorders>
              <w:bottom w:val="single" w:sz="4" w:space="0" w:color="auto"/>
            </w:tcBorders>
            <w:shd w:val="clear" w:color="auto" w:fill="auto"/>
          </w:tcPr>
          <w:p w14:paraId="5FA026DA" w14:textId="37E103BE" w:rsidR="00F52FAC" w:rsidRPr="00901D0D" w:rsidRDefault="00F52FAC" w:rsidP="00BB11BD">
            <w:pPr>
              <w:tabs>
                <w:tab w:val="decimal" w:pos="255"/>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lang w:val="en-GB"/>
              </w:rPr>
              <w:t>-0.72</w:t>
            </w:r>
          </w:p>
        </w:tc>
        <w:tc>
          <w:tcPr>
            <w:tcW w:w="327" w:type="pct"/>
            <w:tcBorders>
              <w:bottom w:val="single" w:sz="4" w:space="0" w:color="auto"/>
            </w:tcBorders>
            <w:shd w:val="clear" w:color="auto" w:fill="auto"/>
          </w:tcPr>
          <w:p w14:paraId="1DFF579B" w14:textId="7D090F70" w:rsidR="00F52FAC" w:rsidRPr="00901D0D" w:rsidRDefault="00F52FAC" w:rsidP="00BB11BD">
            <w:pPr>
              <w:tabs>
                <w:tab w:val="decimal" w:pos="255"/>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lang w:val="en-GB"/>
              </w:rPr>
              <w:t>.47</w:t>
            </w:r>
          </w:p>
        </w:tc>
        <w:tc>
          <w:tcPr>
            <w:tcW w:w="422" w:type="pct"/>
            <w:tcBorders>
              <w:bottom w:val="single" w:sz="4" w:space="0" w:color="auto"/>
            </w:tcBorders>
            <w:shd w:val="clear" w:color="auto" w:fill="auto"/>
            <w:vAlign w:val="center"/>
          </w:tcPr>
          <w:p w14:paraId="67D0AA0D" w14:textId="26406BF4" w:rsidR="00F52FAC" w:rsidRPr="00901D0D" w:rsidRDefault="00F52FAC" w:rsidP="00BB11BD">
            <w:pPr>
              <w:tabs>
                <w:tab w:val="decimal" w:pos="680"/>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w:t>
            </w:r>
            <w:r w:rsidR="00566389" w:rsidRPr="00901D0D">
              <w:rPr>
                <w:rFonts w:eastAsia="Arial" w:cs="Times New Roman"/>
                <w:sz w:val="22"/>
                <w:lang w:val="en-GB"/>
              </w:rPr>
              <w:t>40</w:t>
            </w:r>
          </w:p>
        </w:tc>
        <w:tc>
          <w:tcPr>
            <w:tcW w:w="307" w:type="pct"/>
            <w:tcBorders>
              <w:bottom w:val="single" w:sz="4" w:space="0" w:color="auto"/>
            </w:tcBorders>
            <w:shd w:val="clear" w:color="auto" w:fill="auto"/>
            <w:vAlign w:val="center"/>
          </w:tcPr>
          <w:p w14:paraId="4B189F45" w14:textId="77777777" w:rsidR="00F52FAC" w:rsidRPr="00901D0D" w:rsidRDefault="00F52FAC"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tcBorders>
              <w:bottom w:val="single" w:sz="4" w:space="0" w:color="auto"/>
            </w:tcBorders>
            <w:shd w:val="clear" w:color="auto" w:fill="auto"/>
            <w:vAlign w:val="center"/>
          </w:tcPr>
          <w:p w14:paraId="0AA2FF26" w14:textId="77777777" w:rsidR="00F52FAC" w:rsidRPr="00901D0D" w:rsidRDefault="00F52FAC"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tcBorders>
              <w:bottom w:val="single" w:sz="4" w:space="0" w:color="auto"/>
            </w:tcBorders>
            <w:shd w:val="clear" w:color="auto" w:fill="auto"/>
            <w:vAlign w:val="center"/>
          </w:tcPr>
          <w:p w14:paraId="2A23098E" w14:textId="77777777" w:rsidR="00F52FAC" w:rsidRPr="00901D0D" w:rsidRDefault="00F52FAC"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tcBorders>
              <w:bottom w:val="single" w:sz="4" w:space="0" w:color="auto"/>
            </w:tcBorders>
            <w:shd w:val="clear" w:color="auto" w:fill="auto"/>
            <w:vAlign w:val="center"/>
          </w:tcPr>
          <w:p w14:paraId="1D3261A2" w14:textId="77777777" w:rsidR="00F52FAC" w:rsidRPr="00901D0D" w:rsidRDefault="00F52FAC"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tcBorders>
              <w:bottom w:val="single" w:sz="4" w:space="0" w:color="auto"/>
            </w:tcBorders>
            <w:shd w:val="clear" w:color="auto" w:fill="auto"/>
            <w:vAlign w:val="center"/>
          </w:tcPr>
          <w:p w14:paraId="30D83D8C" w14:textId="77777777" w:rsidR="00F52FAC" w:rsidRPr="00901D0D" w:rsidRDefault="00F52FAC"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tcBorders>
              <w:bottom w:val="single" w:sz="4" w:space="0" w:color="auto"/>
            </w:tcBorders>
            <w:shd w:val="clear" w:color="auto" w:fill="auto"/>
            <w:vAlign w:val="center"/>
          </w:tcPr>
          <w:p w14:paraId="72BDF873" w14:textId="77777777" w:rsidR="00F52FAC" w:rsidRPr="00901D0D" w:rsidRDefault="00F52FAC"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r>
    </w:tbl>
    <w:p w14:paraId="5199F112" w14:textId="77777777" w:rsidR="00140F51" w:rsidRPr="00901D0D" w:rsidRDefault="00140F51" w:rsidP="00BB11BD">
      <w:pPr>
        <w:ind w:firstLine="0"/>
        <w:rPr>
          <w:rFonts w:eastAsia="Arial" w:cs="Times New Roman"/>
          <w:szCs w:val="24"/>
          <w:lang w:val="en-GB"/>
        </w:rPr>
      </w:pPr>
      <w:r w:rsidRPr="00901D0D">
        <w:rPr>
          <w:rFonts w:eastAsia="Arial" w:cs="Times New Roman"/>
          <w:szCs w:val="24"/>
          <w:lang w:val="en-GB"/>
        </w:rPr>
        <w:t>*change statistics represent change from Step 1.</w:t>
      </w:r>
    </w:p>
    <w:p w14:paraId="2C8966F7" w14:textId="77777777" w:rsidR="009E009D" w:rsidRPr="00901D0D" w:rsidRDefault="00140F51" w:rsidP="00BB11BD">
      <w:pPr>
        <w:ind w:firstLine="0"/>
        <w:rPr>
          <w:rFonts w:eastAsia="Calibri" w:cs="Times New Roman"/>
          <w:szCs w:val="24"/>
          <w:lang w:val="en-GB"/>
        </w:rPr>
      </w:pPr>
      <w:r w:rsidRPr="00901D0D">
        <w:rPr>
          <w:rFonts w:eastAsia="Arial" w:cs="Times New Roman"/>
          <w:i/>
          <w:lang w:val="en-GB"/>
        </w:rPr>
        <w:t>Β</w:t>
      </w:r>
      <w:r w:rsidRPr="00901D0D">
        <w:rPr>
          <w:rFonts w:eastAsia="Calibri" w:cs="Times New Roman"/>
          <w:szCs w:val="24"/>
          <w:lang w:val="en-GB"/>
        </w:rPr>
        <w:t xml:space="preserve"> represents standardised regression coefficients</w:t>
      </w:r>
    </w:p>
    <w:p w14:paraId="1DE65C08" w14:textId="2EE6CA30" w:rsidR="009E009D" w:rsidRPr="00901D0D" w:rsidRDefault="009E009D" w:rsidP="00BB11BD">
      <w:pPr>
        <w:pStyle w:val="Heading1"/>
        <w:rPr>
          <w:b w:val="0"/>
          <w:lang w:val="en-GB"/>
        </w:rPr>
      </w:pPr>
      <w:r w:rsidRPr="00901D0D">
        <w:rPr>
          <w:b w:val="0"/>
          <w:lang w:val="en-GB"/>
        </w:rPr>
        <w:lastRenderedPageBreak/>
        <w:t xml:space="preserve">Table </w:t>
      </w:r>
      <w:r w:rsidR="000313B3">
        <w:rPr>
          <w:b w:val="0"/>
          <w:lang w:val="en-GB"/>
        </w:rPr>
        <w:t>4</w:t>
      </w:r>
      <w:r w:rsidRPr="00901D0D">
        <w:rPr>
          <w:b w:val="0"/>
          <w:lang w:val="en-GB"/>
        </w:rPr>
        <w:t>.</w:t>
      </w:r>
    </w:p>
    <w:p w14:paraId="296555C1" w14:textId="4DEE4AE8" w:rsidR="009E009D" w:rsidRPr="00901D0D" w:rsidRDefault="009E009D" w:rsidP="00BB11BD">
      <w:pPr>
        <w:ind w:firstLine="0"/>
        <w:contextualSpacing/>
        <w:rPr>
          <w:szCs w:val="24"/>
          <w:lang w:val="en-GB"/>
        </w:rPr>
      </w:pPr>
      <w:r w:rsidRPr="00901D0D">
        <w:rPr>
          <w:rFonts w:eastAsia="Arial" w:cs="Times New Roman"/>
          <w:i/>
          <w:szCs w:val="24"/>
          <w:lang w:val="en-GB"/>
        </w:rPr>
        <w:t>Regressions Predicting Proportion Correct for Base Rate Fallacy using Anomalistic Belief (i.e., ASGS, ABS Total, or ABS Factors)</w:t>
      </w:r>
    </w:p>
    <w:tbl>
      <w:tblPr>
        <w:tblStyle w:val="PlainTable41"/>
        <w:tblW w:w="5206" w:type="pct"/>
        <w:tblLook w:val="04A0" w:firstRow="1" w:lastRow="0" w:firstColumn="1" w:lastColumn="0" w:noHBand="0" w:noVBand="1"/>
      </w:tblPr>
      <w:tblGrid>
        <w:gridCol w:w="3749"/>
        <w:gridCol w:w="8"/>
        <w:gridCol w:w="993"/>
        <w:gridCol w:w="8"/>
        <w:gridCol w:w="1269"/>
        <w:gridCol w:w="8"/>
        <w:gridCol w:w="936"/>
        <w:gridCol w:w="12"/>
        <w:gridCol w:w="936"/>
        <w:gridCol w:w="12"/>
        <w:gridCol w:w="1212"/>
        <w:gridCol w:w="15"/>
        <w:gridCol w:w="878"/>
        <w:gridCol w:w="15"/>
        <w:gridCol w:w="881"/>
        <w:gridCol w:w="15"/>
        <w:gridCol w:w="892"/>
        <w:gridCol w:w="9"/>
        <w:gridCol w:w="887"/>
        <w:gridCol w:w="9"/>
        <w:gridCol w:w="887"/>
        <w:gridCol w:w="9"/>
        <w:gridCol w:w="884"/>
        <w:gridCol w:w="9"/>
      </w:tblGrid>
      <w:tr w:rsidR="005473D8" w:rsidRPr="00901D0D" w14:paraId="0884E8E9" w14:textId="77777777" w:rsidTr="00BB11BD">
        <w:trPr>
          <w:gridAfter w:val="1"/>
          <w:cnfStyle w:val="100000000000" w:firstRow="1" w:lastRow="0" w:firstColumn="0" w:lastColumn="0" w:oddVBand="0" w:evenVBand="0" w:oddHBand="0" w:evenHBand="0" w:firstRowFirstColumn="0" w:firstRowLastColumn="0" w:lastRowFirstColumn="0" w:lastRowLastColumn="0"/>
          <w:wAfter w:w="3" w:type="pct"/>
          <w:trHeight w:val="283"/>
        </w:trPr>
        <w:tc>
          <w:tcPr>
            <w:cnfStyle w:val="001000000000" w:firstRow="0" w:lastRow="0" w:firstColumn="1" w:lastColumn="0" w:oddVBand="0" w:evenVBand="0" w:oddHBand="0" w:evenHBand="0" w:firstRowFirstColumn="0" w:firstRowLastColumn="0" w:lastRowFirstColumn="0" w:lastRowLastColumn="0"/>
            <w:tcW w:w="1290" w:type="pct"/>
            <w:tcBorders>
              <w:top w:val="single" w:sz="4" w:space="0" w:color="auto"/>
              <w:bottom w:val="single" w:sz="4" w:space="0" w:color="auto"/>
            </w:tcBorders>
            <w:shd w:val="clear" w:color="auto" w:fill="auto"/>
            <w:vAlign w:val="center"/>
          </w:tcPr>
          <w:p w14:paraId="2F97A574" w14:textId="77777777" w:rsidR="009E009D" w:rsidRPr="00901D0D" w:rsidRDefault="009E009D" w:rsidP="00BB11BD">
            <w:pPr>
              <w:ind w:firstLine="0"/>
              <w:contextualSpacing/>
              <w:jc w:val="center"/>
              <w:rPr>
                <w:rFonts w:eastAsia="Arial" w:cs="Times New Roman"/>
                <w:b w:val="0"/>
                <w:sz w:val="22"/>
                <w:lang w:val="en-GB"/>
              </w:rPr>
            </w:pPr>
            <w:bookmarkStart w:id="23" w:name="_Hlk506832386"/>
            <w:bookmarkStart w:id="24" w:name="_Hlk488760812"/>
            <w:r w:rsidRPr="00901D0D">
              <w:rPr>
                <w:rFonts w:eastAsia="Arial" w:cs="Times New Roman"/>
                <w:b w:val="0"/>
                <w:sz w:val="22"/>
                <w:lang w:val="en-GB"/>
              </w:rPr>
              <w:t>Variables</w:t>
            </w:r>
          </w:p>
        </w:tc>
        <w:tc>
          <w:tcPr>
            <w:tcW w:w="345" w:type="pct"/>
            <w:gridSpan w:val="2"/>
            <w:tcBorders>
              <w:top w:val="single" w:sz="4" w:space="0" w:color="auto"/>
              <w:bottom w:val="single" w:sz="4" w:space="0" w:color="auto"/>
            </w:tcBorders>
            <w:shd w:val="clear" w:color="auto" w:fill="auto"/>
            <w:vAlign w:val="center"/>
          </w:tcPr>
          <w:p w14:paraId="67B332E6" w14:textId="77777777" w:rsidR="009E009D" w:rsidRPr="00901D0D" w:rsidRDefault="009E009D" w:rsidP="00BB11BD">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Arial" w:cs="Times New Roman"/>
                <w:b w:val="0"/>
                <w:sz w:val="22"/>
                <w:lang w:val="en-GB"/>
              </w:rPr>
            </w:pPr>
            <w:r w:rsidRPr="00901D0D">
              <w:rPr>
                <w:rFonts w:eastAsia="Arial" w:cs="Times New Roman"/>
                <w:b w:val="0"/>
                <w:i/>
                <w:sz w:val="22"/>
                <w:lang w:val="en-GB"/>
              </w:rPr>
              <w:t>β</w:t>
            </w:r>
          </w:p>
        </w:tc>
        <w:tc>
          <w:tcPr>
            <w:tcW w:w="440" w:type="pct"/>
            <w:gridSpan w:val="2"/>
            <w:tcBorders>
              <w:top w:val="single" w:sz="4" w:space="0" w:color="auto"/>
              <w:bottom w:val="single" w:sz="4" w:space="0" w:color="auto"/>
            </w:tcBorders>
            <w:shd w:val="clear" w:color="auto" w:fill="auto"/>
            <w:vAlign w:val="center"/>
          </w:tcPr>
          <w:p w14:paraId="60B480A3" w14:textId="77777777" w:rsidR="009E009D" w:rsidRPr="00901D0D" w:rsidRDefault="009E009D" w:rsidP="00BB11BD">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Arial" w:cs="Times New Roman"/>
                <w:b w:val="0"/>
                <w:i/>
                <w:sz w:val="22"/>
                <w:lang w:val="en-GB"/>
              </w:rPr>
            </w:pPr>
            <w:r w:rsidRPr="00901D0D">
              <w:rPr>
                <w:rFonts w:eastAsia="Arial" w:cs="Times New Roman"/>
                <w:b w:val="0"/>
                <w:i/>
                <w:sz w:val="22"/>
                <w:lang w:val="en-GB"/>
              </w:rPr>
              <w:t>β CI 95%</w:t>
            </w:r>
          </w:p>
        </w:tc>
        <w:tc>
          <w:tcPr>
            <w:tcW w:w="325" w:type="pct"/>
            <w:gridSpan w:val="2"/>
            <w:tcBorders>
              <w:top w:val="single" w:sz="4" w:space="0" w:color="auto"/>
              <w:bottom w:val="single" w:sz="4" w:space="0" w:color="auto"/>
            </w:tcBorders>
            <w:shd w:val="clear" w:color="auto" w:fill="auto"/>
            <w:vAlign w:val="center"/>
          </w:tcPr>
          <w:p w14:paraId="07B7DA50" w14:textId="77777777" w:rsidR="009E009D" w:rsidRPr="00901D0D" w:rsidRDefault="009E009D" w:rsidP="00BB11BD">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Arial" w:cs="Times New Roman"/>
                <w:b w:val="0"/>
                <w:sz w:val="22"/>
                <w:lang w:val="en-GB"/>
              </w:rPr>
            </w:pPr>
            <w:r w:rsidRPr="00901D0D">
              <w:rPr>
                <w:rFonts w:eastAsia="Arial" w:cs="Times New Roman"/>
                <w:b w:val="0"/>
                <w:i/>
                <w:sz w:val="22"/>
                <w:lang w:val="en-GB"/>
              </w:rPr>
              <w:t>t</w:t>
            </w:r>
          </w:p>
        </w:tc>
        <w:tc>
          <w:tcPr>
            <w:tcW w:w="326" w:type="pct"/>
            <w:gridSpan w:val="2"/>
            <w:tcBorders>
              <w:top w:val="single" w:sz="4" w:space="0" w:color="auto"/>
              <w:bottom w:val="single" w:sz="4" w:space="0" w:color="auto"/>
            </w:tcBorders>
            <w:shd w:val="clear" w:color="auto" w:fill="auto"/>
            <w:vAlign w:val="center"/>
          </w:tcPr>
          <w:p w14:paraId="333EF486" w14:textId="77777777" w:rsidR="009E009D" w:rsidRPr="00901D0D" w:rsidRDefault="009E009D" w:rsidP="00BB11BD">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Arial" w:cs="Times New Roman"/>
                <w:b w:val="0"/>
                <w:i/>
                <w:sz w:val="22"/>
                <w:lang w:val="en-GB"/>
              </w:rPr>
            </w:pPr>
            <w:r w:rsidRPr="00901D0D">
              <w:rPr>
                <w:rFonts w:eastAsia="Calibri" w:cs="Times New Roman"/>
                <w:b w:val="0"/>
                <w:i/>
                <w:sz w:val="22"/>
                <w:lang w:val="en-GB"/>
              </w:rPr>
              <w:t>p</w:t>
            </w:r>
          </w:p>
        </w:tc>
        <w:tc>
          <w:tcPr>
            <w:tcW w:w="421" w:type="pct"/>
            <w:gridSpan w:val="2"/>
            <w:tcBorders>
              <w:top w:val="single" w:sz="4" w:space="0" w:color="auto"/>
              <w:bottom w:val="single" w:sz="4" w:space="0" w:color="auto"/>
            </w:tcBorders>
            <w:shd w:val="clear" w:color="auto" w:fill="auto"/>
            <w:vAlign w:val="center"/>
          </w:tcPr>
          <w:p w14:paraId="11377AC5" w14:textId="77777777" w:rsidR="009E009D" w:rsidRPr="00901D0D" w:rsidRDefault="009E009D" w:rsidP="00BB11BD">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i/>
                <w:sz w:val="22"/>
                <w:lang w:val="en-GB"/>
              </w:rPr>
            </w:pPr>
            <w:r w:rsidRPr="00901D0D">
              <w:rPr>
                <w:rFonts w:eastAsia="Calibri" w:cs="Times New Roman"/>
                <w:b w:val="0"/>
                <w:i/>
                <w:sz w:val="22"/>
                <w:lang w:val="en-GB"/>
              </w:rPr>
              <w:t>BF</w:t>
            </w:r>
            <w:r w:rsidRPr="00901D0D">
              <w:rPr>
                <w:rFonts w:eastAsia="Calibri" w:cs="Times New Roman"/>
                <w:b w:val="0"/>
                <w:i/>
                <w:sz w:val="22"/>
                <w:vertAlign w:val="subscript"/>
                <w:lang w:val="en-GB"/>
              </w:rPr>
              <w:t>10</w:t>
            </w:r>
          </w:p>
        </w:tc>
        <w:tc>
          <w:tcPr>
            <w:tcW w:w="307" w:type="pct"/>
            <w:gridSpan w:val="2"/>
            <w:tcBorders>
              <w:top w:val="single" w:sz="4" w:space="0" w:color="auto"/>
              <w:bottom w:val="single" w:sz="4" w:space="0" w:color="auto"/>
            </w:tcBorders>
            <w:shd w:val="clear" w:color="auto" w:fill="auto"/>
            <w:vAlign w:val="center"/>
          </w:tcPr>
          <w:p w14:paraId="186D92FD" w14:textId="77777777" w:rsidR="009E009D" w:rsidRPr="00901D0D" w:rsidRDefault="009E009D" w:rsidP="00BB11BD">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Arial" w:cs="Times New Roman"/>
                <w:b w:val="0"/>
                <w:i/>
                <w:sz w:val="22"/>
                <w:lang w:val="en-GB"/>
              </w:rPr>
            </w:pPr>
            <w:r w:rsidRPr="00901D0D">
              <w:rPr>
                <w:rFonts w:eastAsia="Calibri" w:cs="Times New Roman"/>
                <w:b w:val="0"/>
                <w:i/>
                <w:sz w:val="22"/>
                <w:lang w:val="en-GB"/>
              </w:rPr>
              <w:t>F</w:t>
            </w:r>
          </w:p>
        </w:tc>
        <w:tc>
          <w:tcPr>
            <w:tcW w:w="308" w:type="pct"/>
            <w:gridSpan w:val="2"/>
            <w:tcBorders>
              <w:top w:val="single" w:sz="4" w:space="0" w:color="auto"/>
              <w:bottom w:val="single" w:sz="4" w:space="0" w:color="auto"/>
            </w:tcBorders>
            <w:shd w:val="clear" w:color="auto" w:fill="auto"/>
            <w:vAlign w:val="center"/>
          </w:tcPr>
          <w:p w14:paraId="3EACA8F6" w14:textId="77777777" w:rsidR="009E009D" w:rsidRPr="00901D0D" w:rsidRDefault="009E009D" w:rsidP="00BB11BD">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i/>
                <w:sz w:val="22"/>
                <w:lang w:val="en-GB"/>
              </w:rPr>
            </w:pPr>
            <w:r w:rsidRPr="00901D0D">
              <w:rPr>
                <w:rFonts w:eastAsia="Calibri" w:cs="Times New Roman"/>
                <w:b w:val="0"/>
                <w:i/>
                <w:sz w:val="22"/>
                <w:lang w:val="en-GB"/>
              </w:rPr>
              <w:t>R</w:t>
            </w:r>
            <w:r w:rsidRPr="00901D0D">
              <w:rPr>
                <w:rFonts w:eastAsia="Calibri" w:cs="Times New Roman"/>
                <w:b w:val="0"/>
                <w:i/>
                <w:sz w:val="22"/>
                <w:vertAlign w:val="superscript"/>
                <w:lang w:val="en-GB"/>
              </w:rPr>
              <w:t>2</w:t>
            </w:r>
          </w:p>
        </w:tc>
        <w:tc>
          <w:tcPr>
            <w:tcW w:w="312" w:type="pct"/>
            <w:gridSpan w:val="2"/>
            <w:tcBorders>
              <w:top w:val="single" w:sz="4" w:space="0" w:color="auto"/>
              <w:bottom w:val="single" w:sz="4" w:space="0" w:color="auto"/>
            </w:tcBorders>
            <w:shd w:val="clear" w:color="auto" w:fill="auto"/>
            <w:vAlign w:val="center"/>
          </w:tcPr>
          <w:p w14:paraId="00DAAFED" w14:textId="77777777" w:rsidR="009E009D" w:rsidRPr="00901D0D" w:rsidRDefault="009E009D" w:rsidP="00BB11BD">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i/>
                <w:sz w:val="22"/>
                <w:lang w:val="en-GB"/>
              </w:rPr>
            </w:pPr>
            <w:r w:rsidRPr="00901D0D">
              <w:rPr>
                <w:rFonts w:eastAsia="Calibri" w:cs="Times New Roman"/>
                <w:b w:val="0"/>
                <w:i/>
                <w:sz w:val="22"/>
                <w:lang w:val="en-GB"/>
              </w:rPr>
              <w:t>Adj. R</w:t>
            </w:r>
            <w:r w:rsidRPr="00901D0D">
              <w:rPr>
                <w:rFonts w:eastAsia="Calibri" w:cs="Times New Roman"/>
                <w:b w:val="0"/>
                <w:i/>
                <w:sz w:val="22"/>
                <w:vertAlign w:val="superscript"/>
                <w:lang w:val="en-GB"/>
              </w:rPr>
              <w:t>2</w:t>
            </w:r>
          </w:p>
        </w:tc>
        <w:tc>
          <w:tcPr>
            <w:tcW w:w="308" w:type="pct"/>
            <w:gridSpan w:val="2"/>
            <w:tcBorders>
              <w:top w:val="single" w:sz="4" w:space="0" w:color="auto"/>
              <w:bottom w:val="single" w:sz="4" w:space="0" w:color="auto"/>
            </w:tcBorders>
            <w:shd w:val="clear" w:color="auto" w:fill="auto"/>
            <w:vAlign w:val="center"/>
          </w:tcPr>
          <w:p w14:paraId="609BC04E" w14:textId="77777777" w:rsidR="009E009D" w:rsidRPr="00901D0D" w:rsidRDefault="009E009D" w:rsidP="00BB11BD">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i/>
                <w:sz w:val="22"/>
                <w:lang w:val="en-GB"/>
              </w:rPr>
            </w:pPr>
            <w:r w:rsidRPr="00901D0D">
              <w:rPr>
                <w:rFonts w:eastAsia="Calibri" w:cs="Times New Roman"/>
                <w:b w:val="0"/>
                <w:i/>
                <w:sz w:val="22"/>
                <w:lang w:val="en-GB"/>
              </w:rPr>
              <w:t>ΔF*</w:t>
            </w:r>
          </w:p>
        </w:tc>
        <w:tc>
          <w:tcPr>
            <w:tcW w:w="308" w:type="pct"/>
            <w:gridSpan w:val="2"/>
            <w:tcBorders>
              <w:top w:val="single" w:sz="4" w:space="0" w:color="auto"/>
              <w:bottom w:val="single" w:sz="4" w:space="0" w:color="auto"/>
            </w:tcBorders>
            <w:shd w:val="clear" w:color="auto" w:fill="auto"/>
            <w:vAlign w:val="center"/>
          </w:tcPr>
          <w:p w14:paraId="522D6CCB" w14:textId="77777777" w:rsidR="009E009D" w:rsidRPr="00901D0D" w:rsidRDefault="009E009D" w:rsidP="00BB11BD">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i/>
                <w:sz w:val="22"/>
                <w:lang w:val="en-GB"/>
              </w:rPr>
            </w:pPr>
            <w:r w:rsidRPr="00901D0D">
              <w:rPr>
                <w:rFonts w:eastAsia="Calibri" w:cs="Times New Roman"/>
                <w:b w:val="0"/>
                <w:i/>
                <w:sz w:val="22"/>
                <w:lang w:val="en-GB"/>
              </w:rPr>
              <w:t>ΔR</w:t>
            </w:r>
            <w:r w:rsidRPr="00901D0D">
              <w:rPr>
                <w:rFonts w:eastAsia="Calibri" w:cs="Times New Roman"/>
                <w:b w:val="0"/>
                <w:i/>
                <w:sz w:val="22"/>
                <w:vertAlign w:val="superscript"/>
                <w:lang w:val="en-GB"/>
              </w:rPr>
              <w:t>2</w:t>
            </w:r>
            <w:r w:rsidRPr="00901D0D">
              <w:rPr>
                <w:rFonts w:eastAsia="Calibri" w:cs="Times New Roman"/>
                <w:b w:val="0"/>
                <w:i/>
                <w:sz w:val="22"/>
                <w:lang w:val="en-GB"/>
              </w:rPr>
              <w:t>*</w:t>
            </w:r>
          </w:p>
        </w:tc>
        <w:tc>
          <w:tcPr>
            <w:tcW w:w="307" w:type="pct"/>
            <w:gridSpan w:val="2"/>
            <w:tcBorders>
              <w:top w:val="single" w:sz="4" w:space="0" w:color="auto"/>
              <w:bottom w:val="single" w:sz="4" w:space="0" w:color="auto"/>
            </w:tcBorders>
            <w:shd w:val="clear" w:color="auto" w:fill="auto"/>
            <w:vAlign w:val="center"/>
          </w:tcPr>
          <w:p w14:paraId="33B381BC" w14:textId="77777777" w:rsidR="009E009D" w:rsidRPr="00901D0D" w:rsidRDefault="009E009D" w:rsidP="00BB11BD">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i/>
                <w:sz w:val="22"/>
                <w:lang w:val="en-GB"/>
              </w:rPr>
            </w:pPr>
            <w:proofErr w:type="spellStart"/>
            <w:r w:rsidRPr="00901D0D">
              <w:rPr>
                <w:rFonts w:eastAsia="Calibri" w:cs="Times New Roman"/>
                <w:b w:val="0"/>
                <w:i/>
                <w:sz w:val="22"/>
                <w:lang w:val="en-GB"/>
              </w:rPr>
              <w:t>Δp</w:t>
            </w:r>
            <w:proofErr w:type="spellEnd"/>
            <w:r w:rsidRPr="00901D0D">
              <w:rPr>
                <w:rFonts w:eastAsia="Calibri" w:cs="Times New Roman"/>
                <w:b w:val="0"/>
                <w:i/>
                <w:sz w:val="22"/>
                <w:lang w:val="en-GB"/>
              </w:rPr>
              <w:t>*</w:t>
            </w:r>
          </w:p>
        </w:tc>
      </w:tr>
      <w:bookmarkEnd w:id="23"/>
      <w:tr w:rsidR="005473D8" w:rsidRPr="00901D0D" w14:paraId="09395D78" w14:textId="77777777" w:rsidTr="00BB11B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293" w:type="pct"/>
            <w:gridSpan w:val="2"/>
            <w:tcBorders>
              <w:top w:val="single" w:sz="4" w:space="0" w:color="auto"/>
            </w:tcBorders>
            <w:shd w:val="clear" w:color="auto" w:fill="auto"/>
            <w:vAlign w:val="center"/>
          </w:tcPr>
          <w:p w14:paraId="6DE7DD6D" w14:textId="77777777" w:rsidR="009E009D" w:rsidRPr="00901D0D" w:rsidRDefault="009E009D" w:rsidP="00BB11BD">
            <w:pPr>
              <w:ind w:left="360" w:firstLine="0"/>
              <w:contextualSpacing/>
              <w:rPr>
                <w:rFonts w:eastAsia="Arial" w:cs="Times New Roman"/>
                <w:b w:val="0"/>
                <w:sz w:val="22"/>
                <w:lang w:val="en-GB"/>
              </w:rPr>
            </w:pPr>
            <w:r w:rsidRPr="00901D0D">
              <w:rPr>
                <w:b w:val="0"/>
                <w:sz w:val="22"/>
                <w:lang w:val="en-GB"/>
              </w:rPr>
              <w:t>Step 1 (All Models)</w:t>
            </w:r>
          </w:p>
        </w:tc>
        <w:tc>
          <w:tcPr>
            <w:tcW w:w="345" w:type="pct"/>
            <w:gridSpan w:val="2"/>
            <w:tcBorders>
              <w:top w:val="single" w:sz="4" w:space="0" w:color="auto"/>
            </w:tcBorders>
            <w:shd w:val="clear" w:color="auto" w:fill="auto"/>
            <w:vAlign w:val="center"/>
          </w:tcPr>
          <w:p w14:paraId="732693EF" w14:textId="77777777" w:rsidR="009E009D" w:rsidRPr="00901D0D" w:rsidRDefault="009E009D"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440" w:type="pct"/>
            <w:gridSpan w:val="2"/>
            <w:tcBorders>
              <w:top w:val="single" w:sz="4" w:space="0" w:color="auto"/>
            </w:tcBorders>
            <w:shd w:val="clear" w:color="auto" w:fill="auto"/>
            <w:vAlign w:val="center"/>
          </w:tcPr>
          <w:p w14:paraId="2A06230C" w14:textId="77777777" w:rsidR="009E009D" w:rsidRPr="00901D0D" w:rsidRDefault="009E009D" w:rsidP="00BB11BD">
            <w:pPr>
              <w:tabs>
                <w:tab w:val="decimal" w:pos="142"/>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26" w:type="pct"/>
            <w:gridSpan w:val="2"/>
            <w:tcBorders>
              <w:top w:val="single" w:sz="4" w:space="0" w:color="auto"/>
            </w:tcBorders>
            <w:shd w:val="clear" w:color="auto" w:fill="auto"/>
            <w:vAlign w:val="center"/>
          </w:tcPr>
          <w:p w14:paraId="487B5A80" w14:textId="77777777" w:rsidR="009E009D" w:rsidRPr="00901D0D" w:rsidRDefault="009E009D" w:rsidP="00BB11BD">
            <w:pPr>
              <w:tabs>
                <w:tab w:val="decimal" w:pos="255"/>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26" w:type="pct"/>
            <w:gridSpan w:val="2"/>
            <w:tcBorders>
              <w:top w:val="single" w:sz="4" w:space="0" w:color="auto"/>
            </w:tcBorders>
            <w:shd w:val="clear" w:color="auto" w:fill="auto"/>
            <w:vAlign w:val="center"/>
          </w:tcPr>
          <w:p w14:paraId="3F4BC3DB" w14:textId="08B6E296" w:rsidR="009E009D" w:rsidRPr="00901D0D" w:rsidRDefault="009E009D" w:rsidP="00BB11BD">
            <w:pPr>
              <w:tabs>
                <w:tab w:val="decimal" w:pos="255"/>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w:t>
            </w:r>
            <w:r w:rsidR="001164CB" w:rsidRPr="00901D0D">
              <w:rPr>
                <w:rFonts w:eastAsia="Arial" w:cs="Times New Roman"/>
                <w:sz w:val="22"/>
                <w:lang w:val="en-GB"/>
              </w:rPr>
              <w:t>9</w:t>
            </w:r>
          </w:p>
        </w:tc>
        <w:tc>
          <w:tcPr>
            <w:tcW w:w="422" w:type="pct"/>
            <w:gridSpan w:val="2"/>
            <w:tcBorders>
              <w:top w:val="single" w:sz="4" w:space="0" w:color="auto"/>
            </w:tcBorders>
            <w:shd w:val="clear" w:color="auto" w:fill="auto"/>
            <w:vAlign w:val="center"/>
          </w:tcPr>
          <w:p w14:paraId="58A57CDA" w14:textId="107A333B" w:rsidR="009E009D" w:rsidRPr="00901D0D" w:rsidRDefault="00566389" w:rsidP="00BB11BD">
            <w:pPr>
              <w:tabs>
                <w:tab w:val="decimal" w:pos="284"/>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0.60</w:t>
            </w:r>
          </w:p>
        </w:tc>
        <w:tc>
          <w:tcPr>
            <w:tcW w:w="307" w:type="pct"/>
            <w:gridSpan w:val="2"/>
            <w:tcBorders>
              <w:top w:val="single" w:sz="4" w:space="0" w:color="auto"/>
            </w:tcBorders>
            <w:shd w:val="clear" w:color="auto" w:fill="auto"/>
            <w:vAlign w:val="center"/>
          </w:tcPr>
          <w:p w14:paraId="5FB39E4C" w14:textId="44063A5C" w:rsidR="009E009D" w:rsidRPr="00901D0D" w:rsidRDefault="001164CB"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2.84</w:t>
            </w:r>
          </w:p>
        </w:tc>
        <w:tc>
          <w:tcPr>
            <w:tcW w:w="308" w:type="pct"/>
            <w:gridSpan w:val="2"/>
            <w:tcBorders>
              <w:top w:val="single" w:sz="4" w:space="0" w:color="auto"/>
            </w:tcBorders>
            <w:shd w:val="clear" w:color="auto" w:fill="auto"/>
            <w:vAlign w:val="center"/>
          </w:tcPr>
          <w:p w14:paraId="08CCA10E" w14:textId="1805A5B2" w:rsidR="009E009D" w:rsidRPr="00901D0D" w:rsidRDefault="009E009D"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w:t>
            </w:r>
            <w:r w:rsidR="001164CB" w:rsidRPr="00901D0D">
              <w:rPr>
                <w:rFonts w:eastAsia="Arial" w:cs="Times New Roman"/>
                <w:sz w:val="22"/>
                <w:lang w:val="en-GB"/>
              </w:rPr>
              <w:t>2</w:t>
            </w:r>
          </w:p>
        </w:tc>
        <w:tc>
          <w:tcPr>
            <w:tcW w:w="310" w:type="pct"/>
            <w:gridSpan w:val="2"/>
            <w:tcBorders>
              <w:top w:val="single" w:sz="4" w:space="0" w:color="auto"/>
            </w:tcBorders>
            <w:shd w:val="clear" w:color="auto" w:fill="auto"/>
            <w:vAlign w:val="center"/>
          </w:tcPr>
          <w:p w14:paraId="2D4B4897" w14:textId="6EA5DA7B" w:rsidR="009E009D" w:rsidRPr="00901D0D" w:rsidRDefault="009E009D"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w:t>
            </w:r>
            <w:r w:rsidR="001164CB" w:rsidRPr="00901D0D">
              <w:rPr>
                <w:rFonts w:eastAsia="Arial" w:cs="Times New Roman"/>
                <w:sz w:val="22"/>
                <w:lang w:val="en-GB"/>
              </w:rPr>
              <w:t>1</w:t>
            </w:r>
          </w:p>
        </w:tc>
        <w:tc>
          <w:tcPr>
            <w:tcW w:w="308" w:type="pct"/>
            <w:gridSpan w:val="2"/>
            <w:tcBorders>
              <w:top w:val="single" w:sz="4" w:space="0" w:color="auto"/>
            </w:tcBorders>
            <w:shd w:val="clear" w:color="auto" w:fill="auto"/>
            <w:vAlign w:val="center"/>
          </w:tcPr>
          <w:p w14:paraId="3C2C8CAB" w14:textId="77777777" w:rsidR="009E009D" w:rsidRPr="00901D0D" w:rsidRDefault="009E009D"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8" w:type="pct"/>
            <w:gridSpan w:val="2"/>
            <w:tcBorders>
              <w:top w:val="single" w:sz="4" w:space="0" w:color="auto"/>
            </w:tcBorders>
            <w:shd w:val="clear" w:color="auto" w:fill="auto"/>
            <w:vAlign w:val="center"/>
          </w:tcPr>
          <w:p w14:paraId="141D3E5C" w14:textId="77777777" w:rsidR="009E009D" w:rsidRPr="00901D0D" w:rsidRDefault="009E009D"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gridSpan w:val="2"/>
            <w:tcBorders>
              <w:top w:val="single" w:sz="4" w:space="0" w:color="auto"/>
            </w:tcBorders>
            <w:shd w:val="clear" w:color="auto" w:fill="auto"/>
            <w:vAlign w:val="center"/>
          </w:tcPr>
          <w:p w14:paraId="40EE18C7" w14:textId="77777777" w:rsidR="009E009D" w:rsidRPr="00901D0D" w:rsidRDefault="009E009D"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r>
      <w:tr w:rsidR="005473D8" w:rsidRPr="00901D0D" w14:paraId="168BC816" w14:textId="77777777" w:rsidTr="00BB11BD">
        <w:trPr>
          <w:trHeight w:val="283"/>
        </w:trPr>
        <w:tc>
          <w:tcPr>
            <w:cnfStyle w:val="001000000000" w:firstRow="0" w:lastRow="0" w:firstColumn="1" w:lastColumn="0" w:oddVBand="0" w:evenVBand="0" w:oddHBand="0" w:evenHBand="0" w:firstRowFirstColumn="0" w:firstRowLastColumn="0" w:lastRowFirstColumn="0" w:lastRowLastColumn="0"/>
            <w:tcW w:w="1293" w:type="pct"/>
            <w:gridSpan w:val="2"/>
            <w:shd w:val="clear" w:color="auto" w:fill="auto"/>
            <w:vAlign w:val="center"/>
          </w:tcPr>
          <w:p w14:paraId="78C36988" w14:textId="355DA3C1" w:rsidR="009E009D" w:rsidRPr="00901D0D" w:rsidRDefault="009E009D" w:rsidP="00BB11BD">
            <w:pPr>
              <w:ind w:left="360" w:firstLine="0"/>
              <w:contextualSpacing/>
              <w:jc w:val="right"/>
              <w:rPr>
                <w:b w:val="0"/>
                <w:sz w:val="22"/>
                <w:lang w:val="en-GB"/>
              </w:rPr>
            </w:pPr>
            <w:r w:rsidRPr="00901D0D">
              <w:rPr>
                <w:b w:val="0"/>
                <w:sz w:val="22"/>
                <w:lang w:val="en-GB"/>
              </w:rPr>
              <w:t>General Education</w:t>
            </w:r>
          </w:p>
        </w:tc>
        <w:tc>
          <w:tcPr>
            <w:tcW w:w="345" w:type="pct"/>
            <w:gridSpan w:val="2"/>
            <w:shd w:val="clear" w:color="auto" w:fill="auto"/>
            <w:vAlign w:val="center"/>
          </w:tcPr>
          <w:p w14:paraId="7BB4754C" w14:textId="2CC8B6AE" w:rsidR="009E009D" w:rsidRPr="00901D0D" w:rsidRDefault="001164CB"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.13</w:t>
            </w:r>
          </w:p>
        </w:tc>
        <w:tc>
          <w:tcPr>
            <w:tcW w:w="440" w:type="pct"/>
            <w:gridSpan w:val="2"/>
            <w:shd w:val="clear" w:color="auto" w:fill="auto"/>
            <w:vAlign w:val="center"/>
          </w:tcPr>
          <w:p w14:paraId="5504DE38" w14:textId="50F622CC" w:rsidR="009E009D" w:rsidRPr="00901D0D" w:rsidRDefault="009E009D" w:rsidP="00BB11BD">
            <w:pPr>
              <w:tabs>
                <w:tab w:val="decimal" w:pos="142"/>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w:t>
            </w:r>
            <w:r w:rsidR="001164CB" w:rsidRPr="00901D0D">
              <w:rPr>
                <w:rFonts w:eastAsia="Arial" w:cs="Times New Roman"/>
                <w:sz w:val="22"/>
                <w:lang w:val="en-GB"/>
              </w:rPr>
              <w:t>02</w:t>
            </w:r>
            <w:r w:rsidRPr="00901D0D">
              <w:rPr>
                <w:rFonts w:eastAsia="Arial" w:cs="Times New Roman"/>
                <w:sz w:val="22"/>
                <w:lang w:val="en-GB"/>
              </w:rPr>
              <w:t>, .</w:t>
            </w:r>
            <w:r w:rsidR="001164CB" w:rsidRPr="00901D0D">
              <w:rPr>
                <w:rFonts w:eastAsia="Arial" w:cs="Times New Roman"/>
                <w:sz w:val="22"/>
                <w:lang w:val="en-GB"/>
              </w:rPr>
              <w:t>2</w:t>
            </w:r>
            <w:r w:rsidRPr="00901D0D">
              <w:rPr>
                <w:rFonts w:eastAsia="Arial" w:cs="Times New Roman"/>
                <w:sz w:val="22"/>
                <w:lang w:val="en-GB"/>
              </w:rPr>
              <w:t>7]</w:t>
            </w:r>
          </w:p>
        </w:tc>
        <w:tc>
          <w:tcPr>
            <w:tcW w:w="326" w:type="pct"/>
            <w:gridSpan w:val="2"/>
            <w:shd w:val="clear" w:color="auto" w:fill="auto"/>
            <w:vAlign w:val="center"/>
          </w:tcPr>
          <w:p w14:paraId="36CDDCB1" w14:textId="13202091" w:rsidR="009E009D" w:rsidRPr="00901D0D" w:rsidRDefault="001164CB" w:rsidP="00BB11BD">
            <w:pPr>
              <w:tabs>
                <w:tab w:val="decimal" w:pos="255"/>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1.68</w:t>
            </w:r>
          </w:p>
        </w:tc>
        <w:tc>
          <w:tcPr>
            <w:tcW w:w="326" w:type="pct"/>
            <w:gridSpan w:val="2"/>
            <w:shd w:val="clear" w:color="auto" w:fill="auto"/>
            <w:vAlign w:val="center"/>
          </w:tcPr>
          <w:p w14:paraId="12983DAF" w14:textId="31FB2660" w:rsidR="009E009D" w:rsidRPr="00901D0D" w:rsidRDefault="009E009D" w:rsidP="00BB11BD">
            <w:pPr>
              <w:tabs>
                <w:tab w:val="decimal" w:pos="255"/>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w:t>
            </w:r>
            <w:r w:rsidR="001164CB" w:rsidRPr="00901D0D">
              <w:rPr>
                <w:rFonts w:eastAsia="Arial" w:cs="Times New Roman"/>
                <w:sz w:val="22"/>
                <w:lang w:val="en-GB"/>
              </w:rPr>
              <w:t>09</w:t>
            </w:r>
          </w:p>
        </w:tc>
        <w:tc>
          <w:tcPr>
            <w:tcW w:w="422" w:type="pct"/>
            <w:gridSpan w:val="2"/>
            <w:shd w:val="clear" w:color="auto" w:fill="auto"/>
            <w:vAlign w:val="center"/>
          </w:tcPr>
          <w:p w14:paraId="75830BB5" w14:textId="3B0C0BC4" w:rsidR="009E009D" w:rsidRPr="00901D0D" w:rsidRDefault="009E009D" w:rsidP="00BB11BD">
            <w:pPr>
              <w:tabs>
                <w:tab w:val="decimal" w:pos="284"/>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w:t>
            </w:r>
            <w:r w:rsidR="00566389" w:rsidRPr="00901D0D">
              <w:rPr>
                <w:rFonts w:eastAsia="Arial" w:cs="Times New Roman"/>
                <w:sz w:val="22"/>
                <w:lang w:val="en-GB"/>
              </w:rPr>
              <w:t>60</w:t>
            </w:r>
          </w:p>
        </w:tc>
        <w:tc>
          <w:tcPr>
            <w:tcW w:w="307" w:type="pct"/>
            <w:gridSpan w:val="2"/>
            <w:shd w:val="clear" w:color="auto" w:fill="auto"/>
            <w:vAlign w:val="center"/>
          </w:tcPr>
          <w:p w14:paraId="3F65143E" w14:textId="77777777" w:rsidR="009E009D" w:rsidRPr="00901D0D" w:rsidRDefault="009E009D"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8" w:type="pct"/>
            <w:gridSpan w:val="2"/>
            <w:shd w:val="clear" w:color="auto" w:fill="auto"/>
            <w:vAlign w:val="center"/>
          </w:tcPr>
          <w:p w14:paraId="23C6612C" w14:textId="77777777" w:rsidR="009E009D" w:rsidRPr="00901D0D" w:rsidRDefault="009E009D"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10" w:type="pct"/>
            <w:gridSpan w:val="2"/>
            <w:shd w:val="clear" w:color="auto" w:fill="auto"/>
            <w:vAlign w:val="center"/>
          </w:tcPr>
          <w:p w14:paraId="0C8A95E0" w14:textId="77777777" w:rsidR="009E009D" w:rsidRPr="00901D0D" w:rsidRDefault="009E009D"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8" w:type="pct"/>
            <w:gridSpan w:val="2"/>
            <w:shd w:val="clear" w:color="auto" w:fill="auto"/>
            <w:vAlign w:val="center"/>
          </w:tcPr>
          <w:p w14:paraId="3BA47164" w14:textId="77777777" w:rsidR="009E009D" w:rsidRPr="00901D0D" w:rsidRDefault="009E009D"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8" w:type="pct"/>
            <w:gridSpan w:val="2"/>
            <w:shd w:val="clear" w:color="auto" w:fill="auto"/>
            <w:vAlign w:val="center"/>
          </w:tcPr>
          <w:p w14:paraId="2E9ED9F4" w14:textId="77777777" w:rsidR="009E009D" w:rsidRPr="00901D0D" w:rsidRDefault="009E009D"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gridSpan w:val="2"/>
            <w:shd w:val="clear" w:color="auto" w:fill="auto"/>
            <w:vAlign w:val="center"/>
          </w:tcPr>
          <w:p w14:paraId="1F1C2A34" w14:textId="77777777" w:rsidR="009E009D" w:rsidRPr="00901D0D" w:rsidRDefault="009E009D"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r>
      <w:tr w:rsidR="005473D8" w:rsidRPr="00901D0D" w14:paraId="4CD13F07" w14:textId="77777777" w:rsidTr="00BB11B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293" w:type="pct"/>
            <w:gridSpan w:val="2"/>
            <w:shd w:val="clear" w:color="auto" w:fill="auto"/>
            <w:vAlign w:val="center"/>
          </w:tcPr>
          <w:p w14:paraId="5B3BC37F" w14:textId="77777777" w:rsidR="009E009D" w:rsidRPr="00901D0D" w:rsidRDefault="009E009D" w:rsidP="00BB11BD">
            <w:pPr>
              <w:ind w:left="360" w:firstLine="0"/>
              <w:contextualSpacing/>
              <w:rPr>
                <w:rFonts w:eastAsia="Arial" w:cs="Times New Roman"/>
                <w:b w:val="0"/>
                <w:sz w:val="22"/>
                <w:lang w:val="en-GB"/>
              </w:rPr>
            </w:pPr>
            <w:r w:rsidRPr="00901D0D">
              <w:rPr>
                <w:b w:val="0"/>
                <w:sz w:val="22"/>
                <w:lang w:val="en-GB"/>
              </w:rPr>
              <w:t>Step 2 ASGS Model</w:t>
            </w:r>
          </w:p>
        </w:tc>
        <w:tc>
          <w:tcPr>
            <w:tcW w:w="345" w:type="pct"/>
            <w:gridSpan w:val="2"/>
            <w:shd w:val="clear" w:color="auto" w:fill="auto"/>
            <w:vAlign w:val="center"/>
          </w:tcPr>
          <w:p w14:paraId="1EC7CF15" w14:textId="77777777" w:rsidR="009E009D" w:rsidRPr="00901D0D" w:rsidRDefault="009E009D"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440" w:type="pct"/>
            <w:gridSpan w:val="2"/>
            <w:shd w:val="clear" w:color="auto" w:fill="auto"/>
            <w:vAlign w:val="center"/>
          </w:tcPr>
          <w:p w14:paraId="72601A57" w14:textId="77777777" w:rsidR="009E009D" w:rsidRPr="00901D0D" w:rsidRDefault="009E009D" w:rsidP="00BB11BD">
            <w:pPr>
              <w:tabs>
                <w:tab w:val="decimal" w:pos="142"/>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26" w:type="pct"/>
            <w:gridSpan w:val="2"/>
            <w:shd w:val="clear" w:color="auto" w:fill="auto"/>
            <w:vAlign w:val="center"/>
          </w:tcPr>
          <w:p w14:paraId="6BDF60E8" w14:textId="77777777" w:rsidR="009E009D" w:rsidRPr="00901D0D" w:rsidRDefault="009E009D" w:rsidP="00BB11BD">
            <w:pPr>
              <w:tabs>
                <w:tab w:val="decimal" w:pos="255"/>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26" w:type="pct"/>
            <w:gridSpan w:val="2"/>
            <w:shd w:val="clear" w:color="auto" w:fill="auto"/>
            <w:vAlign w:val="center"/>
          </w:tcPr>
          <w:p w14:paraId="7395944C" w14:textId="01631685" w:rsidR="009E009D" w:rsidRPr="00901D0D" w:rsidRDefault="009E009D" w:rsidP="00BB11BD">
            <w:pPr>
              <w:tabs>
                <w:tab w:val="decimal" w:pos="255"/>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w:t>
            </w:r>
            <w:r w:rsidR="001164CB" w:rsidRPr="00901D0D">
              <w:rPr>
                <w:rFonts w:eastAsia="Arial" w:cs="Times New Roman"/>
                <w:sz w:val="22"/>
                <w:lang w:val="en-GB"/>
              </w:rPr>
              <w:t>1</w:t>
            </w:r>
          </w:p>
        </w:tc>
        <w:tc>
          <w:tcPr>
            <w:tcW w:w="422" w:type="pct"/>
            <w:gridSpan w:val="2"/>
            <w:shd w:val="clear" w:color="auto" w:fill="auto"/>
            <w:vAlign w:val="center"/>
          </w:tcPr>
          <w:p w14:paraId="4C6716BA" w14:textId="582C33EC" w:rsidR="009E009D" w:rsidRPr="00901D0D" w:rsidRDefault="00566389" w:rsidP="00BB11BD">
            <w:pPr>
              <w:tabs>
                <w:tab w:val="decimal" w:pos="284"/>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1.69</w:t>
            </w:r>
          </w:p>
        </w:tc>
        <w:tc>
          <w:tcPr>
            <w:tcW w:w="307" w:type="pct"/>
            <w:gridSpan w:val="2"/>
            <w:shd w:val="clear" w:color="auto" w:fill="auto"/>
            <w:vAlign w:val="center"/>
          </w:tcPr>
          <w:p w14:paraId="29DFC5CC" w14:textId="1629529B" w:rsidR="009E009D" w:rsidRPr="00901D0D" w:rsidRDefault="001164CB"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3.80</w:t>
            </w:r>
          </w:p>
        </w:tc>
        <w:tc>
          <w:tcPr>
            <w:tcW w:w="308" w:type="pct"/>
            <w:gridSpan w:val="2"/>
            <w:shd w:val="clear" w:color="auto" w:fill="auto"/>
            <w:vAlign w:val="center"/>
          </w:tcPr>
          <w:p w14:paraId="08B3EFFD" w14:textId="2CD6FFFF" w:rsidR="009E009D" w:rsidRPr="00901D0D" w:rsidRDefault="009E009D"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w:t>
            </w:r>
            <w:r w:rsidR="001164CB" w:rsidRPr="00901D0D">
              <w:rPr>
                <w:rFonts w:eastAsia="Arial" w:cs="Times New Roman"/>
                <w:sz w:val="22"/>
                <w:lang w:val="en-GB"/>
              </w:rPr>
              <w:t>6</w:t>
            </w:r>
          </w:p>
        </w:tc>
        <w:tc>
          <w:tcPr>
            <w:tcW w:w="310" w:type="pct"/>
            <w:gridSpan w:val="2"/>
            <w:shd w:val="clear" w:color="auto" w:fill="auto"/>
            <w:vAlign w:val="center"/>
          </w:tcPr>
          <w:p w14:paraId="7A0A7E52" w14:textId="2CC3598F" w:rsidR="009E009D" w:rsidRPr="00901D0D" w:rsidRDefault="009E009D"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w:t>
            </w:r>
            <w:r w:rsidR="001164CB" w:rsidRPr="00901D0D">
              <w:rPr>
                <w:rFonts w:eastAsia="Arial" w:cs="Times New Roman"/>
                <w:sz w:val="22"/>
                <w:lang w:val="en-GB"/>
              </w:rPr>
              <w:t>5</w:t>
            </w:r>
          </w:p>
        </w:tc>
        <w:tc>
          <w:tcPr>
            <w:tcW w:w="308" w:type="pct"/>
            <w:gridSpan w:val="2"/>
            <w:shd w:val="clear" w:color="auto" w:fill="auto"/>
            <w:vAlign w:val="center"/>
          </w:tcPr>
          <w:p w14:paraId="7F9CFF94" w14:textId="08A65C3E" w:rsidR="009E009D" w:rsidRPr="00901D0D" w:rsidRDefault="001164CB"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4</w:t>
            </w:r>
            <w:r w:rsidR="009E009D" w:rsidRPr="00901D0D">
              <w:rPr>
                <w:rFonts w:eastAsia="Arial" w:cs="Times New Roman"/>
                <w:sz w:val="22"/>
                <w:lang w:val="en-GB"/>
              </w:rPr>
              <w:t>.</w:t>
            </w:r>
            <w:r w:rsidRPr="00901D0D">
              <w:rPr>
                <w:rFonts w:eastAsia="Arial" w:cs="Times New Roman"/>
                <w:sz w:val="22"/>
                <w:lang w:val="en-GB"/>
              </w:rPr>
              <w:t>23</w:t>
            </w:r>
          </w:p>
        </w:tc>
        <w:tc>
          <w:tcPr>
            <w:tcW w:w="308" w:type="pct"/>
            <w:gridSpan w:val="2"/>
            <w:shd w:val="clear" w:color="auto" w:fill="auto"/>
            <w:vAlign w:val="center"/>
          </w:tcPr>
          <w:p w14:paraId="4505D145" w14:textId="3268466F" w:rsidR="009E009D" w:rsidRPr="00901D0D" w:rsidRDefault="009E009D"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w:t>
            </w:r>
            <w:r w:rsidR="001164CB" w:rsidRPr="00901D0D">
              <w:rPr>
                <w:rFonts w:eastAsia="Arial" w:cs="Times New Roman"/>
                <w:sz w:val="22"/>
                <w:lang w:val="en-GB"/>
              </w:rPr>
              <w:t>05</w:t>
            </w:r>
          </w:p>
        </w:tc>
        <w:tc>
          <w:tcPr>
            <w:tcW w:w="307" w:type="pct"/>
            <w:gridSpan w:val="2"/>
            <w:shd w:val="clear" w:color="auto" w:fill="auto"/>
            <w:vAlign w:val="center"/>
          </w:tcPr>
          <w:p w14:paraId="0B3A0B54" w14:textId="67E7A294" w:rsidR="009E009D" w:rsidRPr="00901D0D" w:rsidRDefault="009E009D"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w:t>
            </w:r>
            <w:r w:rsidR="001164CB" w:rsidRPr="00901D0D">
              <w:rPr>
                <w:rFonts w:eastAsia="Arial" w:cs="Times New Roman"/>
                <w:sz w:val="22"/>
                <w:lang w:val="en-GB"/>
              </w:rPr>
              <w:t>02</w:t>
            </w:r>
          </w:p>
        </w:tc>
      </w:tr>
      <w:tr w:rsidR="005473D8" w:rsidRPr="00901D0D" w14:paraId="064FE37F" w14:textId="77777777" w:rsidTr="00BB11BD">
        <w:trPr>
          <w:trHeight w:val="283"/>
        </w:trPr>
        <w:tc>
          <w:tcPr>
            <w:cnfStyle w:val="001000000000" w:firstRow="0" w:lastRow="0" w:firstColumn="1" w:lastColumn="0" w:oddVBand="0" w:evenVBand="0" w:oddHBand="0" w:evenHBand="0" w:firstRowFirstColumn="0" w:firstRowLastColumn="0" w:lastRowFirstColumn="0" w:lastRowLastColumn="0"/>
            <w:tcW w:w="1293" w:type="pct"/>
            <w:gridSpan w:val="2"/>
            <w:shd w:val="clear" w:color="auto" w:fill="auto"/>
            <w:vAlign w:val="center"/>
          </w:tcPr>
          <w:p w14:paraId="126BBB26" w14:textId="5E03ED98" w:rsidR="005473D8" w:rsidRPr="00901D0D" w:rsidRDefault="005473D8" w:rsidP="00BB11BD">
            <w:pPr>
              <w:ind w:left="360" w:firstLine="0"/>
              <w:contextualSpacing/>
              <w:jc w:val="right"/>
              <w:rPr>
                <w:b w:val="0"/>
                <w:sz w:val="22"/>
                <w:lang w:val="en-GB"/>
              </w:rPr>
            </w:pPr>
            <w:r w:rsidRPr="00901D0D">
              <w:rPr>
                <w:b w:val="0"/>
                <w:sz w:val="22"/>
                <w:lang w:val="en-GB"/>
              </w:rPr>
              <w:t>General Education</w:t>
            </w:r>
          </w:p>
        </w:tc>
        <w:tc>
          <w:tcPr>
            <w:tcW w:w="345" w:type="pct"/>
            <w:gridSpan w:val="2"/>
            <w:shd w:val="clear" w:color="auto" w:fill="auto"/>
          </w:tcPr>
          <w:p w14:paraId="49F75ED8" w14:textId="74E38E3B" w:rsidR="005473D8" w:rsidRPr="00901D0D" w:rsidRDefault="005473D8"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lang w:val="en-GB"/>
              </w:rPr>
              <w:t>.15</w:t>
            </w:r>
          </w:p>
        </w:tc>
        <w:tc>
          <w:tcPr>
            <w:tcW w:w="440" w:type="pct"/>
            <w:gridSpan w:val="2"/>
            <w:shd w:val="clear" w:color="auto" w:fill="auto"/>
            <w:vAlign w:val="center"/>
          </w:tcPr>
          <w:p w14:paraId="31FE6D98" w14:textId="4F313661" w:rsidR="005473D8" w:rsidRPr="00901D0D" w:rsidRDefault="005473D8" w:rsidP="00BB11BD">
            <w:pPr>
              <w:tabs>
                <w:tab w:val="decimal" w:pos="142"/>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[.00, .30]</w:t>
            </w:r>
          </w:p>
        </w:tc>
        <w:tc>
          <w:tcPr>
            <w:tcW w:w="326" w:type="pct"/>
            <w:gridSpan w:val="2"/>
            <w:shd w:val="clear" w:color="auto" w:fill="auto"/>
          </w:tcPr>
          <w:p w14:paraId="08BF33FE" w14:textId="66A9F4C9" w:rsidR="005473D8" w:rsidRPr="00901D0D" w:rsidRDefault="005473D8" w:rsidP="00BB11BD">
            <w:pPr>
              <w:tabs>
                <w:tab w:val="decimal" w:pos="255"/>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lang w:val="en-GB"/>
              </w:rPr>
              <w:t>2.02</w:t>
            </w:r>
          </w:p>
        </w:tc>
        <w:tc>
          <w:tcPr>
            <w:tcW w:w="326" w:type="pct"/>
            <w:gridSpan w:val="2"/>
            <w:shd w:val="clear" w:color="auto" w:fill="auto"/>
          </w:tcPr>
          <w:p w14:paraId="2A3A4D99" w14:textId="34C8B456" w:rsidR="005473D8" w:rsidRPr="00901D0D" w:rsidRDefault="005473D8" w:rsidP="00BB11BD">
            <w:pPr>
              <w:tabs>
                <w:tab w:val="decimal" w:pos="255"/>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lang w:val="en-GB"/>
              </w:rPr>
              <w:t>.04</w:t>
            </w:r>
          </w:p>
        </w:tc>
        <w:tc>
          <w:tcPr>
            <w:tcW w:w="422" w:type="pct"/>
            <w:gridSpan w:val="2"/>
            <w:shd w:val="clear" w:color="auto" w:fill="auto"/>
            <w:vAlign w:val="center"/>
          </w:tcPr>
          <w:p w14:paraId="19BFB483" w14:textId="32D0B6C8" w:rsidR="005473D8" w:rsidRPr="00901D0D" w:rsidRDefault="00566389" w:rsidP="00BB11BD">
            <w:pPr>
              <w:tabs>
                <w:tab w:val="decimal" w:pos="284"/>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1.72</w:t>
            </w:r>
          </w:p>
        </w:tc>
        <w:tc>
          <w:tcPr>
            <w:tcW w:w="307" w:type="pct"/>
            <w:gridSpan w:val="2"/>
            <w:shd w:val="clear" w:color="auto" w:fill="auto"/>
            <w:vAlign w:val="center"/>
          </w:tcPr>
          <w:p w14:paraId="6A7CB577" w14:textId="77777777" w:rsidR="005473D8" w:rsidRPr="00901D0D" w:rsidRDefault="005473D8"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8" w:type="pct"/>
            <w:gridSpan w:val="2"/>
            <w:shd w:val="clear" w:color="auto" w:fill="auto"/>
            <w:vAlign w:val="center"/>
          </w:tcPr>
          <w:p w14:paraId="4D4A990E" w14:textId="77777777" w:rsidR="005473D8" w:rsidRPr="00901D0D" w:rsidRDefault="005473D8"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10" w:type="pct"/>
            <w:gridSpan w:val="2"/>
            <w:shd w:val="clear" w:color="auto" w:fill="auto"/>
            <w:vAlign w:val="center"/>
          </w:tcPr>
          <w:p w14:paraId="41DE8D78" w14:textId="77777777" w:rsidR="005473D8" w:rsidRPr="00901D0D" w:rsidRDefault="005473D8"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8" w:type="pct"/>
            <w:gridSpan w:val="2"/>
            <w:shd w:val="clear" w:color="auto" w:fill="auto"/>
            <w:vAlign w:val="center"/>
          </w:tcPr>
          <w:p w14:paraId="11E61734" w14:textId="77777777" w:rsidR="005473D8" w:rsidRPr="00901D0D" w:rsidRDefault="005473D8"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8" w:type="pct"/>
            <w:gridSpan w:val="2"/>
            <w:shd w:val="clear" w:color="auto" w:fill="auto"/>
            <w:vAlign w:val="center"/>
          </w:tcPr>
          <w:p w14:paraId="4314DADD" w14:textId="77777777" w:rsidR="005473D8" w:rsidRPr="00901D0D" w:rsidRDefault="005473D8"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gridSpan w:val="2"/>
            <w:shd w:val="clear" w:color="auto" w:fill="auto"/>
            <w:vAlign w:val="center"/>
          </w:tcPr>
          <w:p w14:paraId="121D3A3D" w14:textId="77777777" w:rsidR="005473D8" w:rsidRPr="00901D0D" w:rsidRDefault="005473D8"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r>
      <w:tr w:rsidR="005473D8" w:rsidRPr="00901D0D" w14:paraId="36DD5D3D" w14:textId="77777777" w:rsidTr="00BB11B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293" w:type="pct"/>
            <w:gridSpan w:val="2"/>
            <w:shd w:val="clear" w:color="auto" w:fill="auto"/>
            <w:vAlign w:val="center"/>
          </w:tcPr>
          <w:p w14:paraId="41D72E7E" w14:textId="0FB81BAB" w:rsidR="005473D8" w:rsidRPr="00901D0D" w:rsidRDefault="005473D8" w:rsidP="00BB11BD">
            <w:pPr>
              <w:ind w:left="360" w:firstLine="0"/>
              <w:contextualSpacing/>
              <w:jc w:val="right"/>
              <w:rPr>
                <w:b w:val="0"/>
                <w:sz w:val="22"/>
                <w:lang w:val="en-GB"/>
              </w:rPr>
            </w:pPr>
            <w:r w:rsidRPr="00901D0D">
              <w:rPr>
                <w:b w:val="0"/>
                <w:sz w:val="22"/>
                <w:lang w:val="en-GB"/>
              </w:rPr>
              <w:t>Overall Gambling</w:t>
            </w:r>
          </w:p>
        </w:tc>
        <w:tc>
          <w:tcPr>
            <w:tcW w:w="345" w:type="pct"/>
            <w:gridSpan w:val="2"/>
            <w:shd w:val="clear" w:color="auto" w:fill="auto"/>
          </w:tcPr>
          <w:p w14:paraId="771F69D1" w14:textId="00C2DA72" w:rsidR="005473D8" w:rsidRPr="00901D0D" w:rsidRDefault="005473D8"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lang w:val="en-GB"/>
              </w:rPr>
              <w:t>.06</w:t>
            </w:r>
          </w:p>
        </w:tc>
        <w:tc>
          <w:tcPr>
            <w:tcW w:w="440" w:type="pct"/>
            <w:gridSpan w:val="2"/>
            <w:shd w:val="clear" w:color="auto" w:fill="auto"/>
            <w:vAlign w:val="center"/>
          </w:tcPr>
          <w:p w14:paraId="0B2B7329" w14:textId="48A8A1DB" w:rsidR="005473D8" w:rsidRPr="00901D0D" w:rsidRDefault="005473D8" w:rsidP="00BB11BD">
            <w:pPr>
              <w:tabs>
                <w:tab w:val="decimal" w:pos="142"/>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[-.09, -.21]</w:t>
            </w:r>
          </w:p>
        </w:tc>
        <w:tc>
          <w:tcPr>
            <w:tcW w:w="326" w:type="pct"/>
            <w:gridSpan w:val="2"/>
            <w:shd w:val="clear" w:color="auto" w:fill="auto"/>
          </w:tcPr>
          <w:p w14:paraId="1CEDA5AB" w14:textId="111BA45D" w:rsidR="005473D8" w:rsidRPr="00901D0D" w:rsidRDefault="005473D8" w:rsidP="00BB11BD">
            <w:pPr>
              <w:tabs>
                <w:tab w:val="decimal" w:pos="255"/>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lang w:val="en-GB"/>
              </w:rPr>
              <w:t>0.78</w:t>
            </w:r>
          </w:p>
        </w:tc>
        <w:tc>
          <w:tcPr>
            <w:tcW w:w="326" w:type="pct"/>
            <w:gridSpan w:val="2"/>
            <w:shd w:val="clear" w:color="auto" w:fill="auto"/>
          </w:tcPr>
          <w:p w14:paraId="63F94651" w14:textId="0FFAA38E" w:rsidR="005473D8" w:rsidRPr="00901D0D" w:rsidRDefault="005473D8" w:rsidP="00BB11BD">
            <w:pPr>
              <w:tabs>
                <w:tab w:val="decimal" w:pos="255"/>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lang w:val="en-GB"/>
              </w:rPr>
              <w:t>.44</w:t>
            </w:r>
          </w:p>
        </w:tc>
        <w:tc>
          <w:tcPr>
            <w:tcW w:w="422" w:type="pct"/>
            <w:gridSpan w:val="2"/>
            <w:shd w:val="clear" w:color="auto" w:fill="auto"/>
            <w:vAlign w:val="center"/>
          </w:tcPr>
          <w:p w14:paraId="6D0B9047" w14:textId="0C00EC87" w:rsidR="005473D8" w:rsidRPr="00901D0D" w:rsidRDefault="00566389" w:rsidP="00BB11BD">
            <w:pPr>
              <w:tabs>
                <w:tab w:val="decimal" w:pos="284"/>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0.35</w:t>
            </w:r>
          </w:p>
        </w:tc>
        <w:tc>
          <w:tcPr>
            <w:tcW w:w="307" w:type="pct"/>
            <w:gridSpan w:val="2"/>
            <w:shd w:val="clear" w:color="auto" w:fill="auto"/>
            <w:vAlign w:val="center"/>
          </w:tcPr>
          <w:p w14:paraId="6FAAE17C" w14:textId="77777777" w:rsidR="005473D8" w:rsidRPr="00901D0D" w:rsidRDefault="005473D8"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8" w:type="pct"/>
            <w:gridSpan w:val="2"/>
            <w:shd w:val="clear" w:color="auto" w:fill="auto"/>
            <w:vAlign w:val="center"/>
          </w:tcPr>
          <w:p w14:paraId="09994F41" w14:textId="77777777" w:rsidR="005473D8" w:rsidRPr="00901D0D" w:rsidRDefault="005473D8"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10" w:type="pct"/>
            <w:gridSpan w:val="2"/>
            <w:shd w:val="clear" w:color="auto" w:fill="auto"/>
            <w:vAlign w:val="center"/>
          </w:tcPr>
          <w:p w14:paraId="5982382B" w14:textId="77777777" w:rsidR="005473D8" w:rsidRPr="00901D0D" w:rsidRDefault="005473D8"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8" w:type="pct"/>
            <w:gridSpan w:val="2"/>
            <w:shd w:val="clear" w:color="auto" w:fill="auto"/>
            <w:vAlign w:val="center"/>
          </w:tcPr>
          <w:p w14:paraId="73B1B55D" w14:textId="77777777" w:rsidR="005473D8" w:rsidRPr="00901D0D" w:rsidRDefault="005473D8"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8" w:type="pct"/>
            <w:gridSpan w:val="2"/>
            <w:shd w:val="clear" w:color="auto" w:fill="auto"/>
            <w:vAlign w:val="center"/>
          </w:tcPr>
          <w:p w14:paraId="0387B8A2" w14:textId="77777777" w:rsidR="005473D8" w:rsidRPr="00901D0D" w:rsidRDefault="005473D8"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gridSpan w:val="2"/>
            <w:shd w:val="clear" w:color="auto" w:fill="auto"/>
            <w:vAlign w:val="center"/>
          </w:tcPr>
          <w:p w14:paraId="08C2DE78" w14:textId="77777777" w:rsidR="005473D8" w:rsidRPr="00901D0D" w:rsidRDefault="005473D8"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r>
      <w:tr w:rsidR="005473D8" w:rsidRPr="00901D0D" w14:paraId="00106185" w14:textId="77777777" w:rsidTr="00BB11BD">
        <w:trPr>
          <w:trHeight w:val="283"/>
        </w:trPr>
        <w:tc>
          <w:tcPr>
            <w:cnfStyle w:val="001000000000" w:firstRow="0" w:lastRow="0" w:firstColumn="1" w:lastColumn="0" w:oddVBand="0" w:evenVBand="0" w:oddHBand="0" w:evenHBand="0" w:firstRowFirstColumn="0" w:firstRowLastColumn="0" w:lastRowFirstColumn="0" w:lastRowLastColumn="0"/>
            <w:tcW w:w="1293" w:type="pct"/>
            <w:gridSpan w:val="2"/>
            <w:shd w:val="clear" w:color="auto" w:fill="auto"/>
            <w:vAlign w:val="center"/>
          </w:tcPr>
          <w:p w14:paraId="2DCB63DF" w14:textId="77777777" w:rsidR="005473D8" w:rsidRPr="00901D0D" w:rsidRDefault="005473D8" w:rsidP="00BB11BD">
            <w:pPr>
              <w:ind w:left="360" w:firstLine="0"/>
              <w:contextualSpacing/>
              <w:jc w:val="right"/>
              <w:rPr>
                <w:rFonts w:eastAsia="Arial" w:cs="Times New Roman"/>
                <w:b w:val="0"/>
                <w:sz w:val="22"/>
                <w:lang w:val="en-GB"/>
              </w:rPr>
            </w:pPr>
            <w:r w:rsidRPr="00901D0D">
              <w:rPr>
                <w:b w:val="0"/>
                <w:sz w:val="22"/>
                <w:lang w:val="en-GB"/>
              </w:rPr>
              <w:t>ASGS</w:t>
            </w:r>
          </w:p>
        </w:tc>
        <w:tc>
          <w:tcPr>
            <w:tcW w:w="345" w:type="pct"/>
            <w:gridSpan w:val="2"/>
            <w:shd w:val="clear" w:color="auto" w:fill="auto"/>
          </w:tcPr>
          <w:p w14:paraId="6EC33601" w14:textId="036BE42F" w:rsidR="005473D8" w:rsidRPr="00901D0D" w:rsidRDefault="005473D8"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lang w:val="en-GB"/>
              </w:rPr>
              <w:t>-.22</w:t>
            </w:r>
          </w:p>
        </w:tc>
        <w:tc>
          <w:tcPr>
            <w:tcW w:w="440" w:type="pct"/>
            <w:gridSpan w:val="2"/>
            <w:shd w:val="clear" w:color="auto" w:fill="auto"/>
            <w:vAlign w:val="center"/>
          </w:tcPr>
          <w:p w14:paraId="51FBB5F4" w14:textId="61DC4105" w:rsidR="005473D8" w:rsidRPr="00901D0D" w:rsidRDefault="005473D8" w:rsidP="00BB11BD">
            <w:pPr>
              <w:tabs>
                <w:tab w:val="decimal" w:pos="142"/>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[-.37, -.07]</w:t>
            </w:r>
          </w:p>
        </w:tc>
        <w:tc>
          <w:tcPr>
            <w:tcW w:w="326" w:type="pct"/>
            <w:gridSpan w:val="2"/>
            <w:shd w:val="clear" w:color="auto" w:fill="auto"/>
          </w:tcPr>
          <w:p w14:paraId="40803991" w14:textId="3217361B" w:rsidR="005473D8" w:rsidRPr="00901D0D" w:rsidRDefault="005473D8" w:rsidP="00BB11BD">
            <w:pPr>
              <w:tabs>
                <w:tab w:val="decimal" w:pos="255"/>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lang w:val="en-GB"/>
              </w:rPr>
              <w:t>-2.91</w:t>
            </w:r>
          </w:p>
        </w:tc>
        <w:tc>
          <w:tcPr>
            <w:tcW w:w="326" w:type="pct"/>
            <w:gridSpan w:val="2"/>
            <w:shd w:val="clear" w:color="auto" w:fill="auto"/>
          </w:tcPr>
          <w:p w14:paraId="122D470C" w14:textId="3020FB2F" w:rsidR="005473D8" w:rsidRPr="00901D0D" w:rsidRDefault="005473D8" w:rsidP="00BB11BD">
            <w:pPr>
              <w:tabs>
                <w:tab w:val="decimal" w:pos="255"/>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lang w:val="en-GB"/>
              </w:rPr>
              <w:t>.004</w:t>
            </w:r>
          </w:p>
        </w:tc>
        <w:tc>
          <w:tcPr>
            <w:tcW w:w="422" w:type="pct"/>
            <w:gridSpan w:val="2"/>
            <w:shd w:val="clear" w:color="auto" w:fill="auto"/>
            <w:vAlign w:val="center"/>
          </w:tcPr>
          <w:p w14:paraId="6E0B42E4" w14:textId="1A7EB0AA" w:rsidR="005473D8" w:rsidRPr="00901D0D" w:rsidRDefault="00566389" w:rsidP="00BB11BD">
            <w:pPr>
              <w:tabs>
                <w:tab w:val="decimal" w:pos="284"/>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11.91</w:t>
            </w:r>
          </w:p>
        </w:tc>
        <w:tc>
          <w:tcPr>
            <w:tcW w:w="307" w:type="pct"/>
            <w:gridSpan w:val="2"/>
            <w:shd w:val="clear" w:color="auto" w:fill="auto"/>
            <w:vAlign w:val="center"/>
          </w:tcPr>
          <w:p w14:paraId="4112131F" w14:textId="77777777" w:rsidR="005473D8" w:rsidRPr="00901D0D" w:rsidRDefault="005473D8"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8" w:type="pct"/>
            <w:gridSpan w:val="2"/>
            <w:shd w:val="clear" w:color="auto" w:fill="auto"/>
            <w:vAlign w:val="center"/>
          </w:tcPr>
          <w:p w14:paraId="6D74747C" w14:textId="77777777" w:rsidR="005473D8" w:rsidRPr="00901D0D" w:rsidRDefault="005473D8"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10" w:type="pct"/>
            <w:gridSpan w:val="2"/>
            <w:shd w:val="clear" w:color="auto" w:fill="auto"/>
            <w:vAlign w:val="center"/>
          </w:tcPr>
          <w:p w14:paraId="27A5AC4A" w14:textId="77777777" w:rsidR="005473D8" w:rsidRPr="00901D0D" w:rsidRDefault="005473D8"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8" w:type="pct"/>
            <w:gridSpan w:val="2"/>
            <w:shd w:val="clear" w:color="auto" w:fill="auto"/>
            <w:vAlign w:val="center"/>
          </w:tcPr>
          <w:p w14:paraId="19CF5473" w14:textId="77777777" w:rsidR="005473D8" w:rsidRPr="00901D0D" w:rsidRDefault="005473D8"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8" w:type="pct"/>
            <w:gridSpan w:val="2"/>
            <w:shd w:val="clear" w:color="auto" w:fill="auto"/>
            <w:vAlign w:val="center"/>
          </w:tcPr>
          <w:p w14:paraId="41E770C8" w14:textId="77777777" w:rsidR="005473D8" w:rsidRPr="00901D0D" w:rsidRDefault="005473D8"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gridSpan w:val="2"/>
            <w:shd w:val="clear" w:color="auto" w:fill="auto"/>
            <w:vAlign w:val="center"/>
          </w:tcPr>
          <w:p w14:paraId="66DE7A8D" w14:textId="77777777" w:rsidR="005473D8" w:rsidRPr="00901D0D" w:rsidRDefault="005473D8"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r>
      <w:tr w:rsidR="005473D8" w:rsidRPr="00901D0D" w14:paraId="45029818" w14:textId="77777777" w:rsidTr="00BB11B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293" w:type="pct"/>
            <w:gridSpan w:val="2"/>
            <w:shd w:val="clear" w:color="auto" w:fill="auto"/>
            <w:vAlign w:val="center"/>
          </w:tcPr>
          <w:p w14:paraId="0F79ED2F" w14:textId="77777777" w:rsidR="009E009D" w:rsidRPr="00901D0D" w:rsidRDefault="009E009D" w:rsidP="00BB11BD">
            <w:pPr>
              <w:ind w:left="360" w:firstLine="0"/>
              <w:contextualSpacing/>
              <w:rPr>
                <w:rFonts w:eastAsia="Arial" w:cs="Times New Roman"/>
                <w:b w:val="0"/>
                <w:sz w:val="22"/>
                <w:lang w:val="en-GB"/>
              </w:rPr>
            </w:pPr>
            <w:r w:rsidRPr="00901D0D">
              <w:rPr>
                <w:b w:val="0"/>
                <w:sz w:val="22"/>
                <w:lang w:val="en-GB"/>
              </w:rPr>
              <w:t>Step 2 ABS Model</w:t>
            </w:r>
          </w:p>
        </w:tc>
        <w:tc>
          <w:tcPr>
            <w:tcW w:w="345" w:type="pct"/>
            <w:gridSpan w:val="2"/>
            <w:shd w:val="clear" w:color="auto" w:fill="auto"/>
            <w:vAlign w:val="center"/>
          </w:tcPr>
          <w:p w14:paraId="538CCA96" w14:textId="77777777" w:rsidR="009E009D" w:rsidRPr="00901D0D" w:rsidRDefault="009E009D"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440" w:type="pct"/>
            <w:gridSpan w:val="2"/>
            <w:shd w:val="clear" w:color="auto" w:fill="auto"/>
            <w:vAlign w:val="center"/>
          </w:tcPr>
          <w:p w14:paraId="5B44D1EC" w14:textId="77777777" w:rsidR="009E009D" w:rsidRPr="00901D0D" w:rsidRDefault="009E009D" w:rsidP="00BB11BD">
            <w:pPr>
              <w:tabs>
                <w:tab w:val="decimal" w:pos="142"/>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26" w:type="pct"/>
            <w:gridSpan w:val="2"/>
            <w:shd w:val="clear" w:color="auto" w:fill="auto"/>
            <w:vAlign w:val="center"/>
          </w:tcPr>
          <w:p w14:paraId="7A3634E8" w14:textId="77777777" w:rsidR="009E009D" w:rsidRPr="00901D0D" w:rsidRDefault="009E009D" w:rsidP="00BB11BD">
            <w:pPr>
              <w:tabs>
                <w:tab w:val="decimal" w:pos="255"/>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26" w:type="pct"/>
            <w:gridSpan w:val="2"/>
            <w:shd w:val="clear" w:color="auto" w:fill="auto"/>
            <w:vAlign w:val="center"/>
          </w:tcPr>
          <w:p w14:paraId="0C9890E2" w14:textId="0C8C191D" w:rsidR="009E009D" w:rsidRPr="00901D0D" w:rsidRDefault="009E009D" w:rsidP="00BB11BD">
            <w:pPr>
              <w:tabs>
                <w:tab w:val="decimal" w:pos="255"/>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w:t>
            </w:r>
            <w:r w:rsidR="005473D8" w:rsidRPr="00901D0D">
              <w:rPr>
                <w:rFonts w:eastAsia="Arial" w:cs="Times New Roman"/>
                <w:sz w:val="22"/>
                <w:lang w:val="en-GB"/>
              </w:rPr>
              <w:t>0</w:t>
            </w:r>
            <w:r w:rsidRPr="00901D0D">
              <w:rPr>
                <w:rFonts w:eastAsia="Arial" w:cs="Times New Roman"/>
                <w:sz w:val="22"/>
                <w:lang w:val="en-GB"/>
              </w:rPr>
              <w:t>2</w:t>
            </w:r>
          </w:p>
        </w:tc>
        <w:tc>
          <w:tcPr>
            <w:tcW w:w="422" w:type="pct"/>
            <w:gridSpan w:val="2"/>
            <w:shd w:val="clear" w:color="auto" w:fill="auto"/>
            <w:vAlign w:val="center"/>
          </w:tcPr>
          <w:p w14:paraId="53FAF775" w14:textId="094C3763" w:rsidR="009E009D" w:rsidRPr="00901D0D" w:rsidRDefault="00566389" w:rsidP="00BB11BD">
            <w:pPr>
              <w:tabs>
                <w:tab w:val="decimal" w:pos="284"/>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10.13</w:t>
            </w:r>
          </w:p>
        </w:tc>
        <w:tc>
          <w:tcPr>
            <w:tcW w:w="307" w:type="pct"/>
            <w:gridSpan w:val="2"/>
            <w:shd w:val="clear" w:color="auto" w:fill="auto"/>
            <w:vAlign w:val="center"/>
          </w:tcPr>
          <w:p w14:paraId="5DF416AC" w14:textId="78EB48EC" w:rsidR="009E009D" w:rsidRPr="00901D0D" w:rsidRDefault="005473D8"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5.21</w:t>
            </w:r>
          </w:p>
        </w:tc>
        <w:tc>
          <w:tcPr>
            <w:tcW w:w="308" w:type="pct"/>
            <w:gridSpan w:val="2"/>
            <w:shd w:val="clear" w:color="auto" w:fill="auto"/>
            <w:vAlign w:val="center"/>
          </w:tcPr>
          <w:p w14:paraId="7816B626" w14:textId="75EC771A" w:rsidR="009E009D" w:rsidRPr="00901D0D" w:rsidRDefault="009E009D"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w:t>
            </w:r>
            <w:r w:rsidR="005473D8" w:rsidRPr="00901D0D">
              <w:rPr>
                <w:rFonts w:eastAsia="Arial" w:cs="Times New Roman"/>
                <w:sz w:val="22"/>
                <w:lang w:val="en-GB"/>
              </w:rPr>
              <w:t>8</w:t>
            </w:r>
          </w:p>
        </w:tc>
        <w:tc>
          <w:tcPr>
            <w:tcW w:w="310" w:type="pct"/>
            <w:gridSpan w:val="2"/>
            <w:shd w:val="clear" w:color="auto" w:fill="auto"/>
            <w:vAlign w:val="center"/>
          </w:tcPr>
          <w:p w14:paraId="1A56BEB4" w14:textId="5E1F9B45" w:rsidR="009E009D" w:rsidRPr="00901D0D" w:rsidRDefault="009E009D"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w:t>
            </w:r>
            <w:r w:rsidR="005473D8" w:rsidRPr="00901D0D">
              <w:rPr>
                <w:rFonts w:eastAsia="Arial" w:cs="Times New Roman"/>
                <w:sz w:val="22"/>
                <w:lang w:val="en-GB"/>
              </w:rPr>
              <w:t>7</w:t>
            </w:r>
          </w:p>
        </w:tc>
        <w:tc>
          <w:tcPr>
            <w:tcW w:w="308" w:type="pct"/>
            <w:gridSpan w:val="2"/>
            <w:shd w:val="clear" w:color="auto" w:fill="auto"/>
            <w:vAlign w:val="center"/>
          </w:tcPr>
          <w:p w14:paraId="0CDEAC47" w14:textId="4488080F" w:rsidR="009E009D" w:rsidRPr="00901D0D" w:rsidRDefault="005473D8"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6.31</w:t>
            </w:r>
          </w:p>
        </w:tc>
        <w:tc>
          <w:tcPr>
            <w:tcW w:w="308" w:type="pct"/>
            <w:gridSpan w:val="2"/>
            <w:shd w:val="clear" w:color="auto" w:fill="auto"/>
            <w:vAlign w:val="center"/>
          </w:tcPr>
          <w:p w14:paraId="5583CBB3" w14:textId="05E77726" w:rsidR="009E009D" w:rsidRPr="00901D0D" w:rsidRDefault="009E009D"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w:t>
            </w:r>
            <w:r w:rsidR="005473D8" w:rsidRPr="00901D0D">
              <w:rPr>
                <w:rFonts w:eastAsia="Arial" w:cs="Times New Roman"/>
                <w:sz w:val="22"/>
                <w:lang w:val="en-GB"/>
              </w:rPr>
              <w:t>07</w:t>
            </w:r>
          </w:p>
        </w:tc>
        <w:tc>
          <w:tcPr>
            <w:tcW w:w="307" w:type="pct"/>
            <w:gridSpan w:val="2"/>
            <w:shd w:val="clear" w:color="auto" w:fill="auto"/>
            <w:vAlign w:val="center"/>
          </w:tcPr>
          <w:p w14:paraId="3C2A7CCD" w14:textId="2CF53029" w:rsidR="009E009D" w:rsidRPr="00901D0D" w:rsidRDefault="009E009D"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w:t>
            </w:r>
            <w:r w:rsidR="005473D8" w:rsidRPr="00901D0D">
              <w:rPr>
                <w:rFonts w:eastAsia="Arial" w:cs="Times New Roman"/>
                <w:sz w:val="22"/>
                <w:lang w:val="en-GB"/>
              </w:rPr>
              <w:t>002</w:t>
            </w:r>
          </w:p>
        </w:tc>
      </w:tr>
      <w:tr w:rsidR="005473D8" w:rsidRPr="00901D0D" w14:paraId="461A57D9" w14:textId="77777777" w:rsidTr="00BB11BD">
        <w:trPr>
          <w:trHeight w:val="283"/>
        </w:trPr>
        <w:tc>
          <w:tcPr>
            <w:cnfStyle w:val="001000000000" w:firstRow="0" w:lastRow="0" w:firstColumn="1" w:lastColumn="0" w:oddVBand="0" w:evenVBand="0" w:oddHBand="0" w:evenHBand="0" w:firstRowFirstColumn="0" w:firstRowLastColumn="0" w:lastRowFirstColumn="0" w:lastRowLastColumn="0"/>
            <w:tcW w:w="1293" w:type="pct"/>
            <w:gridSpan w:val="2"/>
            <w:shd w:val="clear" w:color="auto" w:fill="auto"/>
            <w:vAlign w:val="center"/>
          </w:tcPr>
          <w:p w14:paraId="0F919F79" w14:textId="11449149" w:rsidR="005473D8" w:rsidRPr="00901D0D" w:rsidRDefault="005473D8" w:rsidP="00BB11BD">
            <w:pPr>
              <w:ind w:left="360" w:firstLine="0"/>
              <w:contextualSpacing/>
              <w:jc w:val="right"/>
              <w:rPr>
                <w:b w:val="0"/>
                <w:sz w:val="22"/>
                <w:lang w:val="en-GB"/>
              </w:rPr>
            </w:pPr>
            <w:r w:rsidRPr="00901D0D">
              <w:rPr>
                <w:b w:val="0"/>
                <w:sz w:val="22"/>
                <w:lang w:val="en-GB"/>
              </w:rPr>
              <w:t>General Education</w:t>
            </w:r>
          </w:p>
        </w:tc>
        <w:tc>
          <w:tcPr>
            <w:tcW w:w="345" w:type="pct"/>
            <w:gridSpan w:val="2"/>
            <w:shd w:val="clear" w:color="auto" w:fill="auto"/>
          </w:tcPr>
          <w:p w14:paraId="609F94C2" w14:textId="466FBEF4" w:rsidR="005473D8" w:rsidRPr="00901D0D" w:rsidRDefault="005473D8"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lang w:val="en-GB"/>
              </w:rPr>
              <w:t>.16</w:t>
            </w:r>
          </w:p>
        </w:tc>
        <w:tc>
          <w:tcPr>
            <w:tcW w:w="440" w:type="pct"/>
            <w:gridSpan w:val="2"/>
            <w:shd w:val="clear" w:color="auto" w:fill="auto"/>
            <w:vAlign w:val="center"/>
          </w:tcPr>
          <w:p w14:paraId="651AD255" w14:textId="5F3DD292" w:rsidR="005473D8" w:rsidRPr="00901D0D" w:rsidRDefault="005473D8" w:rsidP="00BB11BD">
            <w:pPr>
              <w:tabs>
                <w:tab w:val="decimal" w:pos="142"/>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[.02, .31]</w:t>
            </w:r>
          </w:p>
        </w:tc>
        <w:tc>
          <w:tcPr>
            <w:tcW w:w="326" w:type="pct"/>
            <w:gridSpan w:val="2"/>
            <w:shd w:val="clear" w:color="auto" w:fill="auto"/>
          </w:tcPr>
          <w:p w14:paraId="5103EA62" w14:textId="57D7C118" w:rsidR="005473D8" w:rsidRPr="00901D0D" w:rsidRDefault="005473D8" w:rsidP="00BB11BD">
            <w:pPr>
              <w:tabs>
                <w:tab w:val="decimal" w:pos="255"/>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lang w:val="en-GB"/>
              </w:rPr>
              <w:t>2.23</w:t>
            </w:r>
          </w:p>
        </w:tc>
        <w:tc>
          <w:tcPr>
            <w:tcW w:w="326" w:type="pct"/>
            <w:gridSpan w:val="2"/>
            <w:shd w:val="clear" w:color="auto" w:fill="auto"/>
          </w:tcPr>
          <w:p w14:paraId="1E4393D6" w14:textId="154DDF9F" w:rsidR="005473D8" w:rsidRPr="00901D0D" w:rsidRDefault="005473D8" w:rsidP="00BB11BD">
            <w:pPr>
              <w:tabs>
                <w:tab w:val="decimal" w:pos="255"/>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lang w:val="en-GB"/>
              </w:rPr>
              <w:t>.03</w:t>
            </w:r>
          </w:p>
        </w:tc>
        <w:tc>
          <w:tcPr>
            <w:tcW w:w="422" w:type="pct"/>
            <w:gridSpan w:val="2"/>
            <w:shd w:val="clear" w:color="auto" w:fill="auto"/>
            <w:vAlign w:val="center"/>
          </w:tcPr>
          <w:p w14:paraId="218B313E" w14:textId="4BF58B55" w:rsidR="005473D8" w:rsidRPr="00901D0D" w:rsidRDefault="00566389" w:rsidP="00BB11BD">
            <w:pPr>
              <w:tabs>
                <w:tab w:val="decimal" w:pos="284"/>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2.47</w:t>
            </w:r>
          </w:p>
        </w:tc>
        <w:tc>
          <w:tcPr>
            <w:tcW w:w="307" w:type="pct"/>
            <w:gridSpan w:val="2"/>
            <w:shd w:val="clear" w:color="auto" w:fill="auto"/>
            <w:vAlign w:val="center"/>
          </w:tcPr>
          <w:p w14:paraId="73ECC959" w14:textId="77777777" w:rsidR="005473D8" w:rsidRPr="00901D0D" w:rsidRDefault="005473D8"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8" w:type="pct"/>
            <w:gridSpan w:val="2"/>
            <w:shd w:val="clear" w:color="auto" w:fill="auto"/>
            <w:vAlign w:val="center"/>
          </w:tcPr>
          <w:p w14:paraId="5DF55384" w14:textId="77777777" w:rsidR="005473D8" w:rsidRPr="00901D0D" w:rsidRDefault="005473D8"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10" w:type="pct"/>
            <w:gridSpan w:val="2"/>
            <w:shd w:val="clear" w:color="auto" w:fill="auto"/>
            <w:vAlign w:val="center"/>
          </w:tcPr>
          <w:p w14:paraId="2791D648" w14:textId="77777777" w:rsidR="005473D8" w:rsidRPr="00901D0D" w:rsidRDefault="005473D8"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8" w:type="pct"/>
            <w:gridSpan w:val="2"/>
            <w:shd w:val="clear" w:color="auto" w:fill="auto"/>
            <w:vAlign w:val="center"/>
          </w:tcPr>
          <w:p w14:paraId="20D64E24" w14:textId="77777777" w:rsidR="005473D8" w:rsidRPr="00901D0D" w:rsidRDefault="005473D8"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8" w:type="pct"/>
            <w:gridSpan w:val="2"/>
            <w:shd w:val="clear" w:color="auto" w:fill="auto"/>
            <w:vAlign w:val="center"/>
          </w:tcPr>
          <w:p w14:paraId="58808794" w14:textId="77777777" w:rsidR="005473D8" w:rsidRPr="00901D0D" w:rsidRDefault="005473D8"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gridSpan w:val="2"/>
            <w:shd w:val="clear" w:color="auto" w:fill="auto"/>
            <w:vAlign w:val="center"/>
          </w:tcPr>
          <w:p w14:paraId="55DE2410" w14:textId="77777777" w:rsidR="005473D8" w:rsidRPr="00901D0D" w:rsidRDefault="005473D8"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r>
      <w:tr w:rsidR="005473D8" w:rsidRPr="00901D0D" w14:paraId="7C5E9005" w14:textId="77777777" w:rsidTr="00BB11B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293" w:type="pct"/>
            <w:gridSpan w:val="2"/>
            <w:shd w:val="clear" w:color="auto" w:fill="auto"/>
            <w:vAlign w:val="center"/>
          </w:tcPr>
          <w:p w14:paraId="7BA8F818" w14:textId="46FA27B8" w:rsidR="005473D8" w:rsidRPr="00901D0D" w:rsidRDefault="005473D8" w:rsidP="00BB11BD">
            <w:pPr>
              <w:ind w:left="360" w:firstLine="0"/>
              <w:contextualSpacing/>
              <w:jc w:val="right"/>
              <w:rPr>
                <w:b w:val="0"/>
                <w:sz w:val="22"/>
                <w:lang w:val="en-GB"/>
              </w:rPr>
            </w:pPr>
            <w:r w:rsidRPr="00901D0D">
              <w:rPr>
                <w:b w:val="0"/>
                <w:sz w:val="22"/>
                <w:lang w:val="en-GB"/>
              </w:rPr>
              <w:t>Overall Gambling</w:t>
            </w:r>
          </w:p>
        </w:tc>
        <w:tc>
          <w:tcPr>
            <w:tcW w:w="345" w:type="pct"/>
            <w:gridSpan w:val="2"/>
            <w:shd w:val="clear" w:color="auto" w:fill="auto"/>
          </w:tcPr>
          <w:p w14:paraId="1C42AFE0" w14:textId="24D09E36" w:rsidR="005473D8" w:rsidRPr="00901D0D" w:rsidRDefault="005473D8"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lang w:val="en-GB"/>
              </w:rPr>
              <w:t>.08</w:t>
            </w:r>
          </w:p>
        </w:tc>
        <w:tc>
          <w:tcPr>
            <w:tcW w:w="440" w:type="pct"/>
            <w:gridSpan w:val="2"/>
            <w:shd w:val="clear" w:color="auto" w:fill="auto"/>
            <w:vAlign w:val="center"/>
          </w:tcPr>
          <w:p w14:paraId="4561E14B" w14:textId="51AEF23B" w:rsidR="005473D8" w:rsidRPr="00901D0D" w:rsidRDefault="005473D8" w:rsidP="00BB11BD">
            <w:pPr>
              <w:tabs>
                <w:tab w:val="decimal" w:pos="142"/>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[-.07, .23]</w:t>
            </w:r>
          </w:p>
        </w:tc>
        <w:tc>
          <w:tcPr>
            <w:tcW w:w="326" w:type="pct"/>
            <w:gridSpan w:val="2"/>
            <w:shd w:val="clear" w:color="auto" w:fill="auto"/>
          </w:tcPr>
          <w:p w14:paraId="570CC792" w14:textId="7E4DA216" w:rsidR="005473D8" w:rsidRPr="00901D0D" w:rsidRDefault="005473D8" w:rsidP="00BB11BD">
            <w:pPr>
              <w:tabs>
                <w:tab w:val="decimal" w:pos="255"/>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lang w:val="en-GB"/>
              </w:rPr>
              <w:t>1.04</w:t>
            </w:r>
          </w:p>
        </w:tc>
        <w:tc>
          <w:tcPr>
            <w:tcW w:w="326" w:type="pct"/>
            <w:gridSpan w:val="2"/>
            <w:shd w:val="clear" w:color="auto" w:fill="auto"/>
          </w:tcPr>
          <w:p w14:paraId="20511744" w14:textId="7B71B730" w:rsidR="005473D8" w:rsidRPr="00901D0D" w:rsidRDefault="005473D8" w:rsidP="00BB11BD">
            <w:pPr>
              <w:tabs>
                <w:tab w:val="decimal" w:pos="255"/>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lang w:val="en-GB"/>
              </w:rPr>
              <w:t>.30</w:t>
            </w:r>
          </w:p>
        </w:tc>
        <w:tc>
          <w:tcPr>
            <w:tcW w:w="422" w:type="pct"/>
            <w:gridSpan w:val="2"/>
            <w:shd w:val="clear" w:color="auto" w:fill="auto"/>
            <w:vAlign w:val="center"/>
          </w:tcPr>
          <w:p w14:paraId="61F63C68" w14:textId="25EF28D4" w:rsidR="005473D8" w:rsidRPr="00901D0D" w:rsidRDefault="00566389" w:rsidP="00BB11BD">
            <w:pPr>
              <w:tabs>
                <w:tab w:val="decimal" w:pos="284"/>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0.42</w:t>
            </w:r>
          </w:p>
        </w:tc>
        <w:tc>
          <w:tcPr>
            <w:tcW w:w="307" w:type="pct"/>
            <w:gridSpan w:val="2"/>
            <w:shd w:val="clear" w:color="auto" w:fill="auto"/>
            <w:vAlign w:val="center"/>
          </w:tcPr>
          <w:p w14:paraId="3E783E2B" w14:textId="77777777" w:rsidR="005473D8" w:rsidRPr="00901D0D" w:rsidRDefault="005473D8"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8" w:type="pct"/>
            <w:gridSpan w:val="2"/>
            <w:shd w:val="clear" w:color="auto" w:fill="auto"/>
            <w:vAlign w:val="center"/>
          </w:tcPr>
          <w:p w14:paraId="25F5D00A" w14:textId="77777777" w:rsidR="005473D8" w:rsidRPr="00901D0D" w:rsidRDefault="005473D8"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10" w:type="pct"/>
            <w:gridSpan w:val="2"/>
            <w:shd w:val="clear" w:color="auto" w:fill="auto"/>
            <w:vAlign w:val="center"/>
          </w:tcPr>
          <w:p w14:paraId="623ACFFF" w14:textId="77777777" w:rsidR="005473D8" w:rsidRPr="00901D0D" w:rsidRDefault="005473D8"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8" w:type="pct"/>
            <w:gridSpan w:val="2"/>
            <w:shd w:val="clear" w:color="auto" w:fill="auto"/>
            <w:vAlign w:val="center"/>
          </w:tcPr>
          <w:p w14:paraId="054A449B" w14:textId="77777777" w:rsidR="005473D8" w:rsidRPr="00901D0D" w:rsidRDefault="005473D8"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8" w:type="pct"/>
            <w:gridSpan w:val="2"/>
            <w:shd w:val="clear" w:color="auto" w:fill="auto"/>
            <w:vAlign w:val="center"/>
          </w:tcPr>
          <w:p w14:paraId="0D368F0E" w14:textId="77777777" w:rsidR="005473D8" w:rsidRPr="00901D0D" w:rsidRDefault="005473D8"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gridSpan w:val="2"/>
            <w:shd w:val="clear" w:color="auto" w:fill="auto"/>
            <w:vAlign w:val="center"/>
          </w:tcPr>
          <w:p w14:paraId="011ACE07" w14:textId="77777777" w:rsidR="005473D8" w:rsidRPr="00901D0D" w:rsidRDefault="005473D8"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r>
      <w:tr w:rsidR="005473D8" w:rsidRPr="00901D0D" w14:paraId="1018788F" w14:textId="77777777" w:rsidTr="00BB11BD">
        <w:trPr>
          <w:trHeight w:val="283"/>
        </w:trPr>
        <w:tc>
          <w:tcPr>
            <w:cnfStyle w:val="001000000000" w:firstRow="0" w:lastRow="0" w:firstColumn="1" w:lastColumn="0" w:oddVBand="0" w:evenVBand="0" w:oddHBand="0" w:evenHBand="0" w:firstRowFirstColumn="0" w:firstRowLastColumn="0" w:lastRowFirstColumn="0" w:lastRowLastColumn="0"/>
            <w:tcW w:w="1293" w:type="pct"/>
            <w:gridSpan w:val="2"/>
            <w:shd w:val="clear" w:color="auto" w:fill="auto"/>
            <w:vAlign w:val="center"/>
          </w:tcPr>
          <w:p w14:paraId="47D38AEC" w14:textId="77777777" w:rsidR="005473D8" w:rsidRPr="00901D0D" w:rsidRDefault="005473D8" w:rsidP="00BB11BD">
            <w:pPr>
              <w:ind w:left="360" w:firstLine="0"/>
              <w:contextualSpacing/>
              <w:jc w:val="right"/>
              <w:rPr>
                <w:rFonts w:eastAsia="Arial" w:cs="Times New Roman"/>
                <w:b w:val="0"/>
                <w:sz w:val="22"/>
                <w:lang w:val="en-GB"/>
              </w:rPr>
            </w:pPr>
            <w:r w:rsidRPr="00901D0D">
              <w:rPr>
                <w:b w:val="0"/>
                <w:sz w:val="22"/>
                <w:lang w:val="en-GB"/>
              </w:rPr>
              <w:t>ABS</w:t>
            </w:r>
          </w:p>
        </w:tc>
        <w:tc>
          <w:tcPr>
            <w:tcW w:w="345" w:type="pct"/>
            <w:gridSpan w:val="2"/>
            <w:shd w:val="clear" w:color="auto" w:fill="auto"/>
          </w:tcPr>
          <w:p w14:paraId="19855CDF" w14:textId="1EC11605" w:rsidR="005473D8" w:rsidRPr="00901D0D" w:rsidRDefault="005473D8"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lang w:val="en-GB"/>
              </w:rPr>
              <w:t>-.27</w:t>
            </w:r>
          </w:p>
        </w:tc>
        <w:tc>
          <w:tcPr>
            <w:tcW w:w="440" w:type="pct"/>
            <w:gridSpan w:val="2"/>
            <w:shd w:val="clear" w:color="auto" w:fill="auto"/>
            <w:vAlign w:val="center"/>
          </w:tcPr>
          <w:p w14:paraId="2C48A863" w14:textId="4110D803" w:rsidR="005473D8" w:rsidRPr="00901D0D" w:rsidRDefault="005473D8" w:rsidP="00BB11BD">
            <w:pPr>
              <w:tabs>
                <w:tab w:val="decimal" w:pos="142"/>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[-.42, -.12]</w:t>
            </w:r>
          </w:p>
        </w:tc>
        <w:tc>
          <w:tcPr>
            <w:tcW w:w="326" w:type="pct"/>
            <w:gridSpan w:val="2"/>
            <w:shd w:val="clear" w:color="auto" w:fill="auto"/>
          </w:tcPr>
          <w:p w14:paraId="7A709B7A" w14:textId="16545E95" w:rsidR="005473D8" w:rsidRPr="00901D0D" w:rsidRDefault="005473D8" w:rsidP="00BB11BD">
            <w:pPr>
              <w:tabs>
                <w:tab w:val="decimal" w:pos="255"/>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lang w:val="en-GB"/>
              </w:rPr>
              <w:t>-3.55</w:t>
            </w:r>
          </w:p>
        </w:tc>
        <w:tc>
          <w:tcPr>
            <w:tcW w:w="326" w:type="pct"/>
            <w:gridSpan w:val="2"/>
            <w:shd w:val="clear" w:color="auto" w:fill="auto"/>
          </w:tcPr>
          <w:p w14:paraId="4D099C64" w14:textId="4657A540" w:rsidR="005473D8" w:rsidRPr="00901D0D" w:rsidRDefault="005473D8" w:rsidP="00BB11BD">
            <w:pPr>
              <w:tabs>
                <w:tab w:val="decimal" w:pos="255"/>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lang w:val="en-GB"/>
              </w:rPr>
              <w:t>&lt;.001</w:t>
            </w:r>
          </w:p>
        </w:tc>
        <w:tc>
          <w:tcPr>
            <w:tcW w:w="422" w:type="pct"/>
            <w:gridSpan w:val="2"/>
            <w:shd w:val="clear" w:color="auto" w:fill="auto"/>
            <w:vAlign w:val="center"/>
          </w:tcPr>
          <w:p w14:paraId="04C198F3" w14:textId="62FE0489" w:rsidR="005473D8" w:rsidRPr="00901D0D" w:rsidRDefault="00566389" w:rsidP="00BB11BD">
            <w:pPr>
              <w:tabs>
                <w:tab w:val="decimal" w:pos="284"/>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71.40</w:t>
            </w:r>
          </w:p>
        </w:tc>
        <w:tc>
          <w:tcPr>
            <w:tcW w:w="307" w:type="pct"/>
            <w:gridSpan w:val="2"/>
            <w:shd w:val="clear" w:color="auto" w:fill="auto"/>
            <w:vAlign w:val="center"/>
          </w:tcPr>
          <w:p w14:paraId="121555FB" w14:textId="77777777" w:rsidR="005473D8" w:rsidRPr="00901D0D" w:rsidRDefault="005473D8"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8" w:type="pct"/>
            <w:gridSpan w:val="2"/>
            <w:shd w:val="clear" w:color="auto" w:fill="auto"/>
            <w:vAlign w:val="center"/>
          </w:tcPr>
          <w:p w14:paraId="57903E65" w14:textId="77777777" w:rsidR="005473D8" w:rsidRPr="00901D0D" w:rsidRDefault="005473D8"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10" w:type="pct"/>
            <w:gridSpan w:val="2"/>
            <w:shd w:val="clear" w:color="auto" w:fill="auto"/>
            <w:vAlign w:val="center"/>
          </w:tcPr>
          <w:p w14:paraId="53B69C15" w14:textId="77777777" w:rsidR="005473D8" w:rsidRPr="00901D0D" w:rsidRDefault="005473D8"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8" w:type="pct"/>
            <w:gridSpan w:val="2"/>
            <w:shd w:val="clear" w:color="auto" w:fill="auto"/>
            <w:vAlign w:val="center"/>
          </w:tcPr>
          <w:p w14:paraId="1F8EA0FB" w14:textId="77777777" w:rsidR="005473D8" w:rsidRPr="00901D0D" w:rsidRDefault="005473D8"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8" w:type="pct"/>
            <w:gridSpan w:val="2"/>
            <w:shd w:val="clear" w:color="auto" w:fill="auto"/>
            <w:vAlign w:val="center"/>
          </w:tcPr>
          <w:p w14:paraId="3DC27E5F" w14:textId="77777777" w:rsidR="005473D8" w:rsidRPr="00901D0D" w:rsidRDefault="005473D8"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gridSpan w:val="2"/>
            <w:shd w:val="clear" w:color="auto" w:fill="auto"/>
            <w:vAlign w:val="center"/>
          </w:tcPr>
          <w:p w14:paraId="6976DD66" w14:textId="77777777" w:rsidR="005473D8" w:rsidRPr="00901D0D" w:rsidRDefault="005473D8"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r>
    </w:tbl>
    <w:p w14:paraId="54F26567" w14:textId="77777777" w:rsidR="00812171" w:rsidRPr="00901D0D" w:rsidRDefault="00812171" w:rsidP="00812171">
      <w:pPr>
        <w:spacing w:line="360" w:lineRule="auto"/>
        <w:jc w:val="right"/>
        <w:rPr>
          <w:lang w:val="en-GB"/>
        </w:rPr>
      </w:pPr>
      <w:r w:rsidRPr="00901D0D">
        <w:rPr>
          <w:lang w:val="en-GB"/>
        </w:rPr>
        <w:t>(continued)</w:t>
      </w:r>
    </w:p>
    <w:p w14:paraId="4ADE931E" w14:textId="008CD121" w:rsidR="00812171" w:rsidRPr="00901D0D" w:rsidRDefault="00812171" w:rsidP="00812171">
      <w:pPr>
        <w:jc w:val="right"/>
        <w:rPr>
          <w:lang w:val="en-GB"/>
        </w:rPr>
      </w:pPr>
    </w:p>
    <w:p w14:paraId="353F8607" w14:textId="77777777" w:rsidR="00812171" w:rsidRPr="00901D0D" w:rsidRDefault="00812171" w:rsidP="00812171">
      <w:pPr>
        <w:spacing w:after="200" w:line="276" w:lineRule="auto"/>
        <w:ind w:firstLine="0"/>
        <w:jc w:val="right"/>
        <w:rPr>
          <w:lang w:val="en-GB"/>
        </w:rPr>
      </w:pPr>
      <w:r w:rsidRPr="00901D0D">
        <w:rPr>
          <w:lang w:val="en-GB"/>
        </w:rPr>
        <w:br w:type="page"/>
      </w:r>
    </w:p>
    <w:p w14:paraId="559C0C26" w14:textId="54BA4C99" w:rsidR="00812171" w:rsidRPr="00901D0D" w:rsidRDefault="00812171" w:rsidP="00AD3511">
      <w:pPr>
        <w:ind w:firstLine="0"/>
        <w:rPr>
          <w:lang w:val="en-GB"/>
        </w:rPr>
      </w:pPr>
      <w:r w:rsidRPr="00901D0D">
        <w:rPr>
          <w:lang w:val="en-GB"/>
        </w:rPr>
        <w:lastRenderedPageBreak/>
        <w:t xml:space="preserve">Table </w:t>
      </w:r>
      <w:r w:rsidR="000313B3">
        <w:rPr>
          <w:lang w:val="en-GB"/>
        </w:rPr>
        <w:t>4</w:t>
      </w:r>
      <w:r w:rsidRPr="00901D0D">
        <w:rPr>
          <w:lang w:val="en-GB"/>
        </w:rPr>
        <w:t>.</w:t>
      </w:r>
    </w:p>
    <w:p w14:paraId="5E8AEF6F" w14:textId="77777777" w:rsidR="00812171" w:rsidRPr="00901D0D" w:rsidRDefault="00812171" w:rsidP="00812171">
      <w:pPr>
        <w:ind w:firstLine="0"/>
        <w:contextualSpacing/>
        <w:rPr>
          <w:szCs w:val="24"/>
          <w:lang w:val="en-GB"/>
        </w:rPr>
      </w:pPr>
      <w:r w:rsidRPr="00901D0D">
        <w:rPr>
          <w:rFonts w:eastAsia="Arial" w:cs="Times New Roman"/>
          <w:i/>
          <w:szCs w:val="24"/>
          <w:lang w:val="en-GB"/>
        </w:rPr>
        <w:t>Regressions Predicting Proportion Correct for Base Rate Fallacy using Anomalistic Belief (i.e., ASGS, ABS Total, or ABS Factors)</w:t>
      </w:r>
    </w:p>
    <w:tbl>
      <w:tblPr>
        <w:tblStyle w:val="PlainTable41"/>
        <w:tblW w:w="5203" w:type="pct"/>
        <w:tblLook w:val="04A0" w:firstRow="1" w:lastRow="0" w:firstColumn="1" w:lastColumn="0" w:noHBand="0" w:noVBand="1"/>
      </w:tblPr>
      <w:tblGrid>
        <w:gridCol w:w="3751"/>
        <w:gridCol w:w="10"/>
        <w:gridCol w:w="994"/>
        <w:gridCol w:w="9"/>
        <w:gridCol w:w="1269"/>
        <w:gridCol w:w="12"/>
        <w:gridCol w:w="933"/>
        <w:gridCol w:w="15"/>
        <w:gridCol w:w="933"/>
        <w:gridCol w:w="15"/>
        <w:gridCol w:w="1208"/>
        <w:gridCol w:w="17"/>
        <w:gridCol w:w="874"/>
        <w:gridCol w:w="17"/>
        <w:gridCol w:w="877"/>
        <w:gridCol w:w="17"/>
        <w:gridCol w:w="892"/>
        <w:gridCol w:w="895"/>
        <w:gridCol w:w="895"/>
        <w:gridCol w:w="892"/>
      </w:tblGrid>
      <w:tr w:rsidR="00BB11BD" w:rsidRPr="00901D0D" w14:paraId="0DF08A29" w14:textId="77777777" w:rsidTr="00812171">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291" w:type="pct"/>
            <w:tcBorders>
              <w:top w:val="single" w:sz="4" w:space="0" w:color="auto"/>
              <w:bottom w:val="single" w:sz="4" w:space="0" w:color="auto"/>
            </w:tcBorders>
            <w:shd w:val="clear" w:color="auto" w:fill="auto"/>
            <w:vAlign w:val="center"/>
          </w:tcPr>
          <w:p w14:paraId="131CA29C" w14:textId="77777777" w:rsidR="00BB11BD" w:rsidRPr="00901D0D" w:rsidRDefault="00BB11BD" w:rsidP="00BB11BD">
            <w:pPr>
              <w:ind w:firstLine="0"/>
              <w:contextualSpacing/>
              <w:jc w:val="center"/>
              <w:rPr>
                <w:rFonts w:eastAsia="Arial" w:cs="Times New Roman"/>
                <w:b w:val="0"/>
                <w:sz w:val="22"/>
                <w:lang w:val="en-GB"/>
              </w:rPr>
            </w:pPr>
            <w:r w:rsidRPr="00901D0D">
              <w:rPr>
                <w:rFonts w:eastAsia="Arial" w:cs="Times New Roman"/>
                <w:b w:val="0"/>
                <w:sz w:val="22"/>
                <w:lang w:val="en-GB"/>
              </w:rPr>
              <w:t>Variables</w:t>
            </w:r>
          </w:p>
        </w:tc>
        <w:tc>
          <w:tcPr>
            <w:tcW w:w="345" w:type="pct"/>
            <w:gridSpan w:val="2"/>
            <w:tcBorders>
              <w:top w:val="single" w:sz="4" w:space="0" w:color="auto"/>
              <w:bottom w:val="single" w:sz="4" w:space="0" w:color="auto"/>
            </w:tcBorders>
            <w:shd w:val="clear" w:color="auto" w:fill="auto"/>
            <w:vAlign w:val="center"/>
          </w:tcPr>
          <w:p w14:paraId="4C96F0D8" w14:textId="77777777" w:rsidR="00BB11BD" w:rsidRPr="00901D0D" w:rsidRDefault="00BB11BD" w:rsidP="00BB11BD">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Arial" w:cs="Times New Roman"/>
                <w:b w:val="0"/>
                <w:sz w:val="22"/>
                <w:lang w:val="en-GB"/>
              </w:rPr>
            </w:pPr>
            <w:r w:rsidRPr="00901D0D">
              <w:rPr>
                <w:rFonts w:eastAsia="Arial" w:cs="Times New Roman"/>
                <w:b w:val="0"/>
                <w:i/>
                <w:sz w:val="22"/>
                <w:lang w:val="en-GB"/>
              </w:rPr>
              <w:t>β</w:t>
            </w:r>
          </w:p>
        </w:tc>
        <w:tc>
          <w:tcPr>
            <w:tcW w:w="440" w:type="pct"/>
            <w:gridSpan w:val="2"/>
            <w:tcBorders>
              <w:top w:val="single" w:sz="4" w:space="0" w:color="auto"/>
              <w:bottom w:val="single" w:sz="4" w:space="0" w:color="auto"/>
            </w:tcBorders>
            <w:shd w:val="clear" w:color="auto" w:fill="auto"/>
            <w:vAlign w:val="center"/>
          </w:tcPr>
          <w:p w14:paraId="55A274D2" w14:textId="77777777" w:rsidR="00BB11BD" w:rsidRPr="00901D0D" w:rsidRDefault="00BB11BD" w:rsidP="00BB11BD">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Arial" w:cs="Times New Roman"/>
                <w:b w:val="0"/>
                <w:i/>
                <w:sz w:val="22"/>
                <w:lang w:val="en-GB"/>
              </w:rPr>
            </w:pPr>
            <w:r w:rsidRPr="00901D0D">
              <w:rPr>
                <w:rFonts w:eastAsia="Arial" w:cs="Times New Roman"/>
                <w:b w:val="0"/>
                <w:i/>
                <w:sz w:val="22"/>
                <w:lang w:val="en-GB"/>
              </w:rPr>
              <w:t>β CI 95%</w:t>
            </w:r>
          </w:p>
        </w:tc>
        <w:tc>
          <w:tcPr>
            <w:tcW w:w="325" w:type="pct"/>
            <w:gridSpan w:val="2"/>
            <w:tcBorders>
              <w:top w:val="single" w:sz="4" w:space="0" w:color="auto"/>
              <w:bottom w:val="single" w:sz="4" w:space="0" w:color="auto"/>
            </w:tcBorders>
            <w:shd w:val="clear" w:color="auto" w:fill="auto"/>
            <w:vAlign w:val="center"/>
          </w:tcPr>
          <w:p w14:paraId="54687AC6" w14:textId="77777777" w:rsidR="00BB11BD" w:rsidRPr="00901D0D" w:rsidRDefault="00BB11BD" w:rsidP="00BB11BD">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Arial" w:cs="Times New Roman"/>
                <w:b w:val="0"/>
                <w:sz w:val="22"/>
                <w:lang w:val="en-GB"/>
              </w:rPr>
            </w:pPr>
            <w:r w:rsidRPr="00901D0D">
              <w:rPr>
                <w:rFonts w:eastAsia="Arial" w:cs="Times New Roman"/>
                <w:b w:val="0"/>
                <w:i/>
                <w:sz w:val="22"/>
                <w:lang w:val="en-GB"/>
              </w:rPr>
              <w:t>t</w:t>
            </w:r>
          </w:p>
        </w:tc>
        <w:tc>
          <w:tcPr>
            <w:tcW w:w="326" w:type="pct"/>
            <w:gridSpan w:val="2"/>
            <w:tcBorders>
              <w:top w:val="single" w:sz="4" w:space="0" w:color="auto"/>
              <w:bottom w:val="single" w:sz="4" w:space="0" w:color="auto"/>
            </w:tcBorders>
            <w:shd w:val="clear" w:color="auto" w:fill="auto"/>
            <w:vAlign w:val="center"/>
          </w:tcPr>
          <w:p w14:paraId="473AD9A4" w14:textId="77777777" w:rsidR="00BB11BD" w:rsidRPr="00901D0D" w:rsidRDefault="00BB11BD" w:rsidP="00BB11BD">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Arial" w:cs="Times New Roman"/>
                <w:b w:val="0"/>
                <w:i/>
                <w:sz w:val="22"/>
                <w:lang w:val="en-GB"/>
              </w:rPr>
            </w:pPr>
            <w:r w:rsidRPr="00901D0D">
              <w:rPr>
                <w:rFonts w:eastAsia="Calibri" w:cs="Times New Roman"/>
                <w:b w:val="0"/>
                <w:i/>
                <w:sz w:val="22"/>
                <w:lang w:val="en-GB"/>
              </w:rPr>
              <w:t>p</w:t>
            </w:r>
          </w:p>
        </w:tc>
        <w:tc>
          <w:tcPr>
            <w:tcW w:w="421" w:type="pct"/>
            <w:gridSpan w:val="2"/>
            <w:tcBorders>
              <w:top w:val="single" w:sz="4" w:space="0" w:color="auto"/>
              <w:bottom w:val="single" w:sz="4" w:space="0" w:color="auto"/>
            </w:tcBorders>
            <w:shd w:val="clear" w:color="auto" w:fill="auto"/>
            <w:vAlign w:val="center"/>
          </w:tcPr>
          <w:p w14:paraId="37BC4F02" w14:textId="77777777" w:rsidR="00BB11BD" w:rsidRPr="00901D0D" w:rsidRDefault="00BB11BD" w:rsidP="00BB11BD">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i/>
                <w:sz w:val="22"/>
                <w:lang w:val="en-GB"/>
              </w:rPr>
            </w:pPr>
            <w:r w:rsidRPr="00901D0D">
              <w:rPr>
                <w:rFonts w:eastAsia="Calibri" w:cs="Times New Roman"/>
                <w:b w:val="0"/>
                <w:i/>
                <w:sz w:val="22"/>
                <w:lang w:val="en-GB"/>
              </w:rPr>
              <w:t>BF</w:t>
            </w:r>
            <w:r w:rsidRPr="00901D0D">
              <w:rPr>
                <w:rFonts w:eastAsia="Calibri" w:cs="Times New Roman"/>
                <w:b w:val="0"/>
                <w:i/>
                <w:sz w:val="22"/>
                <w:vertAlign w:val="subscript"/>
                <w:lang w:val="en-GB"/>
              </w:rPr>
              <w:t>10</w:t>
            </w:r>
          </w:p>
        </w:tc>
        <w:tc>
          <w:tcPr>
            <w:tcW w:w="307" w:type="pct"/>
            <w:gridSpan w:val="2"/>
            <w:tcBorders>
              <w:top w:val="single" w:sz="4" w:space="0" w:color="auto"/>
              <w:bottom w:val="single" w:sz="4" w:space="0" w:color="auto"/>
            </w:tcBorders>
            <w:shd w:val="clear" w:color="auto" w:fill="auto"/>
            <w:vAlign w:val="center"/>
          </w:tcPr>
          <w:p w14:paraId="4E2FBED1" w14:textId="77777777" w:rsidR="00BB11BD" w:rsidRPr="00901D0D" w:rsidRDefault="00BB11BD" w:rsidP="00BB11BD">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Arial" w:cs="Times New Roman"/>
                <w:b w:val="0"/>
                <w:i/>
                <w:sz w:val="22"/>
                <w:lang w:val="en-GB"/>
              </w:rPr>
            </w:pPr>
            <w:r w:rsidRPr="00901D0D">
              <w:rPr>
                <w:rFonts w:eastAsia="Calibri" w:cs="Times New Roman"/>
                <w:b w:val="0"/>
                <w:i/>
                <w:sz w:val="22"/>
                <w:lang w:val="en-GB"/>
              </w:rPr>
              <w:t>F</w:t>
            </w:r>
          </w:p>
        </w:tc>
        <w:tc>
          <w:tcPr>
            <w:tcW w:w="308" w:type="pct"/>
            <w:gridSpan w:val="2"/>
            <w:tcBorders>
              <w:top w:val="single" w:sz="4" w:space="0" w:color="auto"/>
              <w:bottom w:val="single" w:sz="4" w:space="0" w:color="auto"/>
            </w:tcBorders>
            <w:shd w:val="clear" w:color="auto" w:fill="auto"/>
            <w:vAlign w:val="center"/>
          </w:tcPr>
          <w:p w14:paraId="18B82F85" w14:textId="77777777" w:rsidR="00BB11BD" w:rsidRPr="00901D0D" w:rsidRDefault="00BB11BD" w:rsidP="00BB11BD">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i/>
                <w:sz w:val="22"/>
                <w:lang w:val="en-GB"/>
              </w:rPr>
            </w:pPr>
            <w:r w:rsidRPr="00901D0D">
              <w:rPr>
                <w:rFonts w:eastAsia="Calibri" w:cs="Times New Roman"/>
                <w:b w:val="0"/>
                <w:i/>
                <w:sz w:val="22"/>
                <w:lang w:val="en-GB"/>
              </w:rPr>
              <w:t>R</w:t>
            </w:r>
            <w:r w:rsidRPr="00901D0D">
              <w:rPr>
                <w:rFonts w:eastAsia="Calibri" w:cs="Times New Roman"/>
                <w:b w:val="0"/>
                <w:i/>
                <w:sz w:val="22"/>
                <w:vertAlign w:val="superscript"/>
                <w:lang w:val="en-GB"/>
              </w:rPr>
              <w:t>2</w:t>
            </w:r>
          </w:p>
        </w:tc>
        <w:tc>
          <w:tcPr>
            <w:tcW w:w="313" w:type="pct"/>
            <w:gridSpan w:val="2"/>
            <w:tcBorders>
              <w:top w:val="single" w:sz="4" w:space="0" w:color="auto"/>
              <w:bottom w:val="single" w:sz="4" w:space="0" w:color="auto"/>
            </w:tcBorders>
            <w:shd w:val="clear" w:color="auto" w:fill="auto"/>
            <w:vAlign w:val="center"/>
          </w:tcPr>
          <w:p w14:paraId="6D03C1C1" w14:textId="77777777" w:rsidR="00BB11BD" w:rsidRPr="00901D0D" w:rsidRDefault="00BB11BD" w:rsidP="00BB11BD">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i/>
                <w:sz w:val="22"/>
                <w:lang w:val="en-GB"/>
              </w:rPr>
            </w:pPr>
            <w:r w:rsidRPr="00901D0D">
              <w:rPr>
                <w:rFonts w:eastAsia="Calibri" w:cs="Times New Roman"/>
                <w:b w:val="0"/>
                <w:i/>
                <w:sz w:val="22"/>
                <w:lang w:val="en-GB"/>
              </w:rPr>
              <w:t>Adj. R</w:t>
            </w:r>
            <w:r w:rsidRPr="00901D0D">
              <w:rPr>
                <w:rFonts w:eastAsia="Calibri" w:cs="Times New Roman"/>
                <w:b w:val="0"/>
                <w:i/>
                <w:sz w:val="22"/>
                <w:vertAlign w:val="superscript"/>
                <w:lang w:val="en-GB"/>
              </w:rPr>
              <w:t>2</w:t>
            </w:r>
          </w:p>
        </w:tc>
        <w:tc>
          <w:tcPr>
            <w:tcW w:w="308" w:type="pct"/>
            <w:tcBorders>
              <w:top w:val="single" w:sz="4" w:space="0" w:color="auto"/>
              <w:bottom w:val="single" w:sz="4" w:space="0" w:color="auto"/>
            </w:tcBorders>
            <w:shd w:val="clear" w:color="auto" w:fill="auto"/>
            <w:vAlign w:val="center"/>
          </w:tcPr>
          <w:p w14:paraId="442CEB0B" w14:textId="77777777" w:rsidR="00BB11BD" w:rsidRPr="00901D0D" w:rsidRDefault="00BB11BD" w:rsidP="00BB11BD">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i/>
                <w:sz w:val="22"/>
                <w:lang w:val="en-GB"/>
              </w:rPr>
            </w:pPr>
            <w:r w:rsidRPr="00901D0D">
              <w:rPr>
                <w:rFonts w:eastAsia="Calibri" w:cs="Times New Roman"/>
                <w:b w:val="0"/>
                <w:i/>
                <w:sz w:val="22"/>
                <w:lang w:val="en-GB"/>
              </w:rPr>
              <w:t>ΔF*</w:t>
            </w:r>
          </w:p>
        </w:tc>
        <w:tc>
          <w:tcPr>
            <w:tcW w:w="308" w:type="pct"/>
            <w:tcBorders>
              <w:top w:val="single" w:sz="4" w:space="0" w:color="auto"/>
              <w:bottom w:val="single" w:sz="4" w:space="0" w:color="auto"/>
            </w:tcBorders>
            <w:shd w:val="clear" w:color="auto" w:fill="auto"/>
            <w:vAlign w:val="center"/>
          </w:tcPr>
          <w:p w14:paraId="0A41EE6C" w14:textId="77777777" w:rsidR="00BB11BD" w:rsidRPr="00901D0D" w:rsidRDefault="00BB11BD" w:rsidP="00BB11BD">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i/>
                <w:sz w:val="22"/>
                <w:lang w:val="en-GB"/>
              </w:rPr>
            </w:pPr>
            <w:r w:rsidRPr="00901D0D">
              <w:rPr>
                <w:rFonts w:eastAsia="Calibri" w:cs="Times New Roman"/>
                <w:b w:val="0"/>
                <w:i/>
                <w:sz w:val="22"/>
                <w:lang w:val="en-GB"/>
              </w:rPr>
              <w:t>ΔR</w:t>
            </w:r>
            <w:r w:rsidRPr="00901D0D">
              <w:rPr>
                <w:rFonts w:eastAsia="Calibri" w:cs="Times New Roman"/>
                <w:b w:val="0"/>
                <w:i/>
                <w:sz w:val="22"/>
                <w:vertAlign w:val="superscript"/>
                <w:lang w:val="en-GB"/>
              </w:rPr>
              <w:t>2</w:t>
            </w:r>
            <w:r w:rsidRPr="00901D0D">
              <w:rPr>
                <w:rFonts w:eastAsia="Calibri" w:cs="Times New Roman"/>
                <w:b w:val="0"/>
                <w:i/>
                <w:sz w:val="22"/>
                <w:lang w:val="en-GB"/>
              </w:rPr>
              <w:t>*</w:t>
            </w:r>
          </w:p>
        </w:tc>
        <w:tc>
          <w:tcPr>
            <w:tcW w:w="307" w:type="pct"/>
            <w:tcBorders>
              <w:top w:val="single" w:sz="4" w:space="0" w:color="auto"/>
              <w:bottom w:val="single" w:sz="4" w:space="0" w:color="auto"/>
            </w:tcBorders>
            <w:shd w:val="clear" w:color="auto" w:fill="auto"/>
            <w:vAlign w:val="center"/>
          </w:tcPr>
          <w:p w14:paraId="1E646E84" w14:textId="77777777" w:rsidR="00BB11BD" w:rsidRPr="00901D0D" w:rsidRDefault="00BB11BD" w:rsidP="00BB11BD">
            <w:pPr>
              <w:ind w:firstLine="0"/>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i/>
                <w:sz w:val="22"/>
                <w:lang w:val="en-GB"/>
              </w:rPr>
            </w:pPr>
            <w:proofErr w:type="spellStart"/>
            <w:r w:rsidRPr="00901D0D">
              <w:rPr>
                <w:rFonts w:eastAsia="Calibri" w:cs="Times New Roman"/>
                <w:b w:val="0"/>
                <w:i/>
                <w:sz w:val="22"/>
                <w:lang w:val="en-GB"/>
              </w:rPr>
              <w:t>Δp</w:t>
            </w:r>
            <w:proofErr w:type="spellEnd"/>
            <w:r w:rsidRPr="00901D0D">
              <w:rPr>
                <w:rFonts w:eastAsia="Calibri" w:cs="Times New Roman"/>
                <w:b w:val="0"/>
                <w:i/>
                <w:sz w:val="22"/>
                <w:lang w:val="en-GB"/>
              </w:rPr>
              <w:t>*</w:t>
            </w:r>
          </w:p>
        </w:tc>
      </w:tr>
      <w:tr w:rsidR="009E009D" w:rsidRPr="00901D0D" w14:paraId="559BCBDC" w14:textId="77777777" w:rsidTr="00BB11B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294" w:type="pct"/>
            <w:gridSpan w:val="2"/>
            <w:shd w:val="clear" w:color="auto" w:fill="auto"/>
            <w:vAlign w:val="center"/>
          </w:tcPr>
          <w:p w14:paraId="67AAA254" w14:textId="77777777" w:rsidR="009E009D" w:rsidRPr="00901D0D" w:rsidRDefault="009E009D" w:rsidP="00BB11BD">
            <w:pPr>
              <w:ind w:left="360" w:firstLine="0"/>
              <w:contextualSpacing/>
              <w:rPr>
                <w:rFonts w:eastAsia="Arial" w:cs="Times New Roman"/>
                <w:b w:val="0"/>
                <w:sz w:val="22"/>
                <w:lang w:val="en-GB"/>
              </w:rPr>
            </w:pPr>
            <w:r w:rsidRPr="00901D0D">
              <w:rPr>
                <w:b w:val="0"/>
                <w:sz w:val="22"/>
                <w:lang w:val="en-GB"/>
              </w:rPr>
              <w:t>Step 2 ABS Factors Model</w:t>
            </w:r>
          </w:p>
        </w:tc>
        <w:tc>
          <w:tcPr>
            <w:tcW w:w="345" w:type="pct"/>
            <w:gridSpan w:val="2"/>
            <w:shd w:val="clear" w:color="auto" w:fill="auto"/>
            <w:vAlign w:val="center"/>
          </w:tcPr>
          <w:p w14:paraId="18224C4E" w14:textId="77777777" w:rsidR="009E009D" w:rsidRPr="00901D0D" w:rsidRDefault="009E009D"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441" w:type="pct"/>
            <w:gridSpan w:val="2"/>
            <w:shd w:val="clear" w:color="auto" w:fill="auto"/>
            <w:vAlign w:val="center"/>
          </w:tcPr>
          <w:p w14:paraId="76D6135D" w14:textId="77777777" w:rsidR="009E009D" w:rsidRPr="00901D0D" w:rsidRDefault="009E009D" w:rsidP="00BB11BD">
            <w:pPr>
              <w:tabs>
                <w:tab w:val="decimal" w:pos="142"/>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26" w:type="pct"/>
            <w:gridSpan w:val="2"/>
            <w:shd w:val="clear" w:color="auto" w:fill="auto"/>
            <w:vAlign w:val="center"/>
          </w:tcPr>
          <w:p w14:paraId="0DB1DE7C" w14:textId="77777777" w:rsidR="009E009D" w:rsidRPr="00901D0D" w:rsidRDefault="009E009D" w:rsidP="00BB11BD">
            <w:pPr>
              <w:tabs>
                <w:tab w:val="decimal" w:pos="255"/>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26" w:type="pct"/>
            <w:gridSpan w:val="2"/>
            <w:shd w:val="clear" w:color="auto" w:fill="auto"/>
            <w:vAlign w:val="center"/>
          </w:tcPr>
          <w:p w14:paraId="7BB0ECB9" w14:textId="7EF10452" w:rsidR="009E009D" w:rsidRPr="00901D0D" w:rsidRDefault="009E009D" w:rsidP="00BB11BD">
            <w:pPr>
              <w:tabs>
                <w:tab w:val="decimal" w:pos="255"/>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w:t>
            </w:r>
            <w:r w:rsidR="00486F27" w:rsidRPr="00901D0D">
              <w:rPr>
                <w:rFonts w:eastAsia="Arial" w:cs="Times New Roman"/>
                <w:sz w:val="22"/>
                <w:lang w:val="en-GB"/>
              </w:rPr>
              <w:t>1</w:t>
            </w:r>
          </w:p>
        </w:tc>
        <w:tc>
          <w:tcPr>
            <w:tcW w:w="422" w:type="pct"/>
            <w:gridSpan w:val="2"/>
            <w:shd w:val="clear" w:color="auto" w:fill="auto"/>
            <w:vAlign w:val="center"/>
          </w:tcPr>
          <w:p w14:paraId="4D765F74" w14:textId="4600EC76" w:rsidR="009E009D" w:rsidRPr="00901D0D" w:rsidRDefault="009E009D" w:rsidP="00BB11BD">
            <w:pPr>
              <w:tabs>
                <w:tab w:val="decimal" w:pos="284"/>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w:t>
            </w:r>
            <w:r w:rsidR="00566389" w:rsidRPr="00901D0D">
              <w:rPr>
                <w:rFonts w:eastAsia="Arial" w:cs="Times New Roman"/>
                <w:sz w:val="22"/>
                <w:lang w:val="en-GB"/>
              </w:rPr>
              <w:t>80</w:t>
            </w:r>
          </w:p>
        </w:tc>
        <w:tc>
          <w:tcPr>
            <w:tcW w:w="307" w:type="pct"/>
            <w:gridSpan w:val="2"/>
            <w:shd w:val="clear" w:color="auto" w:fill="auto"/>
            <w:vAlign w:val="center"/>
          </w:tcPr>
          <w:p w14:paraId="5138D4DC" w14:textId="1F558C57" w:rsidR="009E009D" w:rsidRPr="00901D0D" w:rsidRDefault="009E009D"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2.</w:t>
            </w:r>
            <w:r w:rsidR="00486F27" w:rsidRPr="00901D0D">
              <w:rPr>
                <w:rFonts w:eastAsia="Arial" w:cs="Times New Roman"/>
                <w:sz w:val="22"/>
                <w:lang w:val="en-GB"/>
              </w:rPr>
              <w:t>92</w:t>
            </w:r>
          </w:p>
        </w:tc>
        <w:tc>
          <w:tcPr>
            <w:tcW w:w="308" w:type="pct"/>
            <w:gridSpan w:val="2"/>
            <w:shd w:val="clear" w:color="auto" w:fill="auto"/>
            <w:vAlign w:val="center"/>
          </w:tcPr>
          <w:p w14:paraId="0C4ACF19" w14:textId="74F89DF5" w:rsidR="009E009D" w:rsidRPr="00901D0D" w:rsidRDefault="009E009D"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w:t>
            </w:r>
            <w:r w:rsidR="005473D8" w:rsidRPr="00901D0D">
              <w:rPr>
                <w:rFonts w:eastAsia="Arial" w:cs="Times New Roman"/>
                <w:sz w:val="22"/>
                <w:lang w:val="en-GB"/>
              </w:rPr>
              <w:t>9</w:t>
            </w:r>
          </w:p>
        </w:tc>
        <w:tc>
          <w:tcPr>
            <w:tcW w:w="307" w:type="pct"/>
            <w:shd w:val="clear" w:color="auto" w:fill="auto"/>
            <w:vAlign w:val="center"/>
          </w:tcPr>
          <w:p w14:paraId="2CF79706" w14:textId="37F430BE" w:rsidR="009E009D" w:rsidRPr="00901D0D" w:rsidRDefault="009E009D"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w:t>
            </w:r>
            <w:r w:rsidR="005473D8" w:rsidRPr="00901D0D">
              <w:rPr>
                <w:rFonts w:eastAsia="Arial" w:cs="Times New Roman"/>
                <w:sz w:val="22"/>
                <w:lang w:val="en-GB"/>
              </w:rPr>
              <w:t>6</w:t>
            </w:r>
          </w:p>
        </w:tc>
        <w:tc>
          <w:tcPr>
            <w:tcW w:w="308" w:type="pct"/>
            <w:shd w:val="clear" w:color="auto" w:fill="auto"/>
            <w:vAlign w:val="center"/>
          </w:tcPr>
          <w:p w14:paraId="316989B6" w14:textId="55C8E5FD" w:rsidR="009E009D" w:rsidRPr="00901D0D" w:rsidRDefault="005473D8"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2.91</w:t>
            </w:r>
          </w:p>
        </w:tc>
        <w:tc>
          <w:tcPr>
            <w:tcW w:w="308" w:type="pct"/>
            <w:shd w:val="clear" w:color="auto" w:fill="auto"/>
            <w:vAlign w:val="center"/>
          </w:tcPr>
          <w:p w14:paraId="38D4DE5D" w14:textId="61C7C3A3" w:rsidR="009E009D" w:rsidRPr="00901D0D" w:rsidRDefault="009E009D"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w:t>
            </w:r>
            <w:r w:rsidR="005473D8" w:rsidRPr="00901D0D">
              <w:rPr>
                <w:rFonts w:eastAsia="Arial" w:cs="Times New Roman"/>
                <w:sz w:val="22"/>
                <w:lang w:val="en-GB"/>
              </w:rPr>
              <w:t>8</w:t>
            </w:r>
          </w:p>
        </w:tc>
        <w:tc>
          <w:tcPr>
            <w:tcW w:w="307" w:type="pct"/>
            <w:shd w:val="clear" w:color="auto" w:fill="auto"/>
            <w:vAlign w:val="center"/>
          </w:tcPr>
          <w:p w14:paraId="5963680E" w14:textId="5CBD507F" w:rsidR="009E009D" w:rsidRPr="00901D0D" w:rsidRDefault="009E009D"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w:t>
            </w:r>
            <w:r w:rsidR="005473D8" w:rsidRPr="00901D0D">
              <w:rPr>
                <w:rFonts w:eastAsia="Arial" w:cs="Times New Roman"/>
                <w:sz w:val="22"/>
                <w:lang w:val="en-GB"/>
              </w:rPr>
              <w:t>02</w:t>
            </w:r>
          </w:p>
        </w:tc>
      </w:tr>
      <w:tr w:rsidR="00486F27" w:rsidRPr="00901D0D" w14:paraId="59C887C6" w14:textId="77777777" w:rsidTr="00BB11BD">
        <w:trPr>
          <w:trHeight w:val="283"/>
        </w:trPr>
        <w:tc>
          <w:tcPr>
            <w:cnfStyle w:val="001000000000" w:firstRow="0" w:lastRow="0" w:firstColumn="1" w:lastColumn="0" w:oddVBand="0" w:evenVBand="0" w:oddHBand="0" w:evenHBand="0" w:firstRowFirstColumn="0" w:firstRowLastColumn="0" w:lastRowFirstColumn="0" w:lastRowLastColumn="0"/>
            <w:tcW w:w="1294" w:type="pct"/>
            <w:gridSpan w:val="2"/>
            <w:shd w:val="clear" w:color="auto" w:fill="auto"/>
            <w:vAlign w:val="center"/>
          </w:tcPr>
          <w:p w14:paraId="54E88A8A" w14:textId="59E665EA" w:rsidR="00486F27" w:rsidRPr="00901D0D" w:rsidRDefault="00486F27" w:rsidP="00BB11BD">
            <w:pPr>
              <w:ind w:left="360" w:firstLine="0"/>
              <w:contextualSpacing/>
              <w:jc w:val="right"/>
              <w:rPr>
                <w:b w:val="0"/>
                <w:sz w:val="22"/>
                <w:lang w:val="en-GB"/>
              </w:rPr>
            </w:pPr>
            <w:r w:rsidRPr="00901D0D">
              <w:rPr>
                <w:b w:val="0"/>
                <w:sz w:val="22"/>
                <w:lang w:val="en-GB"/>
              </w:rPr>
              <w:t>General Education</w:t>
            </w:r>
          </w:p>
        </w:tc>
        <w:tc>
          <w:tcPr>
            <w:tcW w:w="345" w:type="pct"/>
            <w:gridSpan w:val="2"/>
            <w:shd w:val="clear" w:color="auto" w:fill="auto"/>
          </w:tcPr>
          <w:p w14:paraId="7817C53E" w14:textId="151EC97E" w:rsidR="00486F27" w:rsidRPr="00901D0D" w:rsidRDefault="00486F27"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lang w:val="en-GB"/>
              </w:rPr>
              <w:t>.18</w:t>
            </w:r>
          </w:p>
        </w:tc>
        <w:tc>
          <w:tcPr>
            <w:tcW w:w="441" w:type="pct"/>
            <w:gridSpan w:val="2"/>
            <w:shd w:val="clear" w:color="auto" w:fill="auto"/>
            <w:vAlign w:val="center"/>
          </w:tcPr>
          <w:p w14:paraId="42F6D80E" w14:textId="55A145AB" w:rsidR="00486F27" w:rsidRPr="00901D0D" w:rsidRDefault="00486F27" w:rsidP="00BB11BD">
            <w:pPr>
              <w:tabs>
                <w:tab w:val="decimal" w:pos="142"/>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[.03, .33]</w:t>
            </w:r>
          </w:p>
        </w:tc>
        <w:tc>
          <w:tcPr>
            <w:tcW w:w="326" w:type="pct"/>
            <w:gridSpan w:val="2"/>
            <w:shd w:val="clear" w:color="auto" w:fill="auto"/>
          </w:tcPr>
          <w:p w14:paraId="12CB66BB" w14:textId="2D4E544E" w:rsidR="00486F27" w:rsidRPr="00901D0D" w:rsidRDefault="00486F27" w:rsidP="00BB11BD">
            <w:pPr>
              <w:tabs>
                <w:tab w:val="decimal" w:pos="255"/>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lang w:val="en-GB"/>
              </w:rPr>
              <w:t>2.35</w:t>
            </w:r>
          </w:p>
        </w:tc>
        <w:tc>
          <w:tcPr>
            <w:tcW w:w="326" w:type="pct"/>
            <w:gridSpan w:val="2"/>
            <w:shd w:val="clear" w:color="auto" w:fill="auto"/>
          </w:tcPr>
          <w:p w14:paraId="2030DF04" w14:textId="25EA34F7" w:rsidR="00486F27" w:rsidRPr="00901D0D" w:rsidRDefault="00486F27" w:rsidP="00BB11BD">
            <w:pPr>
              <w:tabs>
                <w:tab w:val="decimal" w:pos="255"/>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lang w:val="en-GB"/>
              </w:rPr>
              <w:t>.02</w:t>
            </w:r>
          </w:p>
        </w:tc>
        <w:tc>
          <w:tcPr>
            <w:tcW w:w="422" w:type="pct"/>
            <w:gridSpan w:val="2"/>
            <w:shd w:val="clear" w:color="auto" w:fill="auto"/>
          </w:tcPr>
          <w:p w14:paraId="0DE85015" w14:textId="2040AE1A" w:rsidR="00486F27" w:rsidRPr="00901D0D" w:rsidRDefault="00566389" w:rsidP="00BB11BD">
            <w:pPr>
              <w:tabs>
                <w:tab w:val="decimal" w:pos="284"/>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3.81</w:t>
            </w:r>
          </w:p>
        </w:tc>
        <w:tc>
          <w:tcPr>
            <w:tcW w:w="307" w:type="pct"/>
            <w:gridSpan w:val="2"/>
            <w:shd w:val="clear" w:color="auto" w:fill="auto"/>
            <w:vAlign w:val="center"/>
          </w:tcPr>
          <w:p w14:paraId="2454EEE0" w14:textId="77777777" w:rsidR="00486F27" w:rsidRPr="00901D0D" w:rsidRDefault="00486F27"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8" w:type="pct"/>
            <w:gridSpan w:val="2"/>
            <w:shd w:val="clear" w:color="auto" w:fill="auto"/>
            <w:vAlign w:val="center"/>
          </w:tcPr>
          <w:p w14:paraId="695CD885" w14:textId="77777777" w:rsidR="00486F27" w:rsidRPr="00901D0D" w:rsidRDefault="00486F27"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29EB5BA8" w14:textId="77777777" w:rsidR="00486F27" w:rsidRPr="00901D0D" w:rsidRDefault="00486F27"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8" w:type="pct"/>
            <w:shd w:val="clear" w:color="auto" w:fill="auto"/>
            <w:vAlign w:val="center"/>
          </w:tcPr>
          <w:p w14:paraId="452800BE" w14:textId="77777777" w:rsidR="00486F27" w:rsidRPr="00901D0D" w:rsidRDefault="00486F27"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8" w:type="pct"/>
            <w:shd w:val="clear" w:color="auto" w:fill="auto"/>
            <w:vAlign w:val="center"/>
          </w:tcPr>
          <w:p w14:paraId="2AB14228" w14:textId="77777777" w:rsidR="00486F27" w:rsidRPr="00901D0D" w:rsidRDefault="00486F27"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6D43B6CB" w14:textId="77777777" w:rsidR="00486F27" w:rsidRPr="00901D0D" w:rsidRDefault="00486F27"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r>
      <w:tr w:rsidR="00486F27" w:rsidRPr="00901D0D" w14:paraId="67683612" w14:textId="77777777" w:rsidTr="00BB11B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294" w:type="pct"/>
            <w:gridSpan w:val="2"/>
            <w:shd w:val="clear" w:color="auto" w:fill="auto"/>
            <w:vAlign w:val="center"/>
          </w:tcPr>
          <w:p w14:paraId="7D0DA4D9" w14:textId="52646C3C" w:rsidR="00486F27" w:rsidRPr="00901D0D" w:rsidRDefault="00486F27" w:rsidP="00BB11BD">
            <w:pPr>
              <w:ind w:left="360" w:firstLine="0"/>
              <w:contextualSpacing/>
              <w:jc w:val="right"/>
              <w:rPr>
                <w:b w:val="0"/>
                <w:sz w:val="22"/>
                <w:lang w:val="en-GB"/>
              </w:rPr>
            </w:pPr>
            <w:r w:rsidRPr="00901D0D">
              <w:rPr>
                <w:b w:val="0"/>
                <w:sz w:val="22"/>
                <w:lang w:val="en-GB"/>
              </w:rPr>
              <w:t>Overall Gambling</w:t>
            </w:r>
          </w:p>
        </w:tc>
        <w:tc>
          <w:tcPr>
            <w:tcW w:w="345" w:type="pct"/>
            <w:gridSpan w:val="2"/>
            <w:shd w:val="clear" w:color="auto" w:fill="auto"/>
          </w:tcPr>
          <w:p w14:paraId="0F7A0495" w14:textId="7CF48F94" w:rsidR="00486F27" w:rsidRPr="00901D0D" w:rsidRDefault="00486F27"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lang w:val="en-GB"/>
              </w:rPr>
              <w:t>.07</w:t>
            </w:r>
          </w:p>
        </w:tc>
        <w:tc>
          <w:tcPr>
            <w:tcW w:w="441" w:type="pct"/>
            <w:gridSpan w:val="2"/>
            <w:shd w:val="clear" w:color="auto" w:fill="auto"/>
            <w:vAlign w:val="center"/>
          </w:tcPr>
          <w:p w14:paraId="570E8365" w14:textId="4C542C45" w:rsidR="00486F27" w:rsidRPr="00901D0D" w:rsidRDefault="00486F27" w:rsidP="00BB11BD">
            <w:pPr>
              <w:tabs>
                <w:tab w:val="decimal" w:pos="142"/>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[-.08, .22]</w:t>
            </w:r>
          </w:p>
        </w:tc>
        <w:tc>
          <w:tcPr>
            <w:tcW w:w="326" w:type="pct"/>
            <w:gridSpan w:val="2"/>
            <w:shd w:val="clear" w:color="auto" w:fill="auto"/>
          </w:tcPr>
          <w:p w14:paraId="62D3AD87" w14:textId="5C3AF0E0" w:rsidR="00486F27" w:rsidRPr="00901D0D" w:rsidRDefault="00486F27" w:rsidP="00BB11BD">
            <w:pPr>
              <w:tabs>
                <w:tab w:val="decimal" w:pos="255"/>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lang w:val="en-GB"/>
              </w:rPr>
              <w:t>0.93</w:t>
            </w:r>
          </w:p>
        </w:tc>
        <w:tc>
          <w:tcPr>
            <w:tcW w:w="326" w:type="pct"/>
            <w:gridSpan w:val="2"/>
            <w:shd w:val="clear" w:color="auto" w:fill="auto"/>
          </w:tcPr>
          <w:p w14:paraId="6DB50D33" w14:textId="5C0841A0" w:rsidR="00486F27" w:rsidRPr="00901D0D" w:rsidRDefault="00486F27" w:rsidP="00BB11BD">
            <w:pPr>
              <w:tabs>
                <w:tab w:val="decimal" w:pos="255"/>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lang w:val="en-GB"/>
              </w:rPr>
              <w:t>.36</w:t>
            </w:r>
          </w:p>
        </w:tc>
        <w:tc>
          <w:tcPr>
            <w:tcW w:w="422" w:type="pct"/>
            <w:gridSpan w:val="2"/>
            <w:shd w:val="clear" w:color="auto" w:fill="auto"/>
          </w:tcPr>
          <w:p w14:paraId="55C852B7" w14:textId="6C63D86F" w:rsidR="00486F27" w:rsidRPr="00901D0D" w:rsidRDefault="00566389" w:rsidP="00BB11BD">
            <w:pPr>
              <w:tabs>
                <w:tab w:val="decimal" w:pos="284"/>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0.51</w:t>
            </w:r>
          </w:p>
        </w:tc>
        <w:tc>
          <w:tcPr>
            <w:tcW w:w="307" w:type="pct"/>
            <w:gridSpan w:val="2"/>
            <w:shd w:val="clear" w:color="auto" w:fill="auto"/>
            <w:vAlign w:val="center"/>
          </w:tcPr>
          <w:p w14:paraId="011A139F" w14:textId="77777777" w:rsidR="00486F27" w:rsidRPr="00901D0D" w:rsidRDefault="00486F27"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8" w:type="pct"/>
            <w:gridSpan w:val="2"/>
            <w:shd w:val="clear" w:color="auto" w:fill="auto"/>
            <w:vAlign w:val="center"/>
          </w:tcPr>
          <w:p w14:paraId="606F65C5" w14:textId="77777777" w:rsidR="00486F27" w:rsidRPr="00901D0D" w:rsidRDefault="00486F27"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2CA01A73" w14:textId="77777777" w:rsidR="00486F27" w:rsidRPr="00901D0D" w:rsidRDefault="00486F27"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8" w:type="pct"/>
            <w:shd w:val="clear" w:color="auto" w:fill="auto"/>
            <w:vAlign w:val="center"/>
          </w:tcPr>
          <w:p w14:paraId="15237197" w14:textId="77777777" w:rsidR="00486F27" w:rsidRPr="00901D0D" w:rsidRDefault="00486F27"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8" w:type="pct"/>
            <w:shd w:val="clear" w:color="auto" w:fill="auto"/>
            <w:vAlign w:val="center"/>
          </w:tcPr>
          <w:p w14:paraId="0BC97018" w14:textId="77777777" w:rsidR="00486F27" w:rsidRPr="00901D0D" w:rsidRDefault="00486F27"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49DE1213" w14:textId="77777777" w:rsidR="00486F27" w:rsidRPr="00901D0D" w:rsidRDefault="00486F27"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r>
      <w:tr w:rsidR="00486F27" w:rsidRPr="00901D0D" w14:paraId="4A0F9BAC" w14:textId="77777777" w:rsidTr="00BB11BD">
        <w:trPr>
          <w:trHeight w:val="283"/>
        </w:trPr>
        <w:tc>
          <w:tcPr>
            <w:cnfStyle w:val="001000000000" w:firstRow="0" w:lastRow="0" w:firstColumn="1" w:lastColumn="0" w:oddVBand="0" w:evenVBand="0" w:oddHBand="0" w:evenHBand="0" w:firstRowFirstColumn="0" w:firstRowLastColumn="0" w:lastRowFirstColumn="0" w:lastRowLastColumn="0"/>
            <w:tcW w:w="1294" w:type="pct"/>
            <w:gridSpan w:val="2"/>
            <w:shd w:val="clear" w:color="auto" w:fill="auto"/>
            <w:vAlign w:val="center"/>
          </w:tcPr>
          <w:p w14:paraId="0E37F76C" w14:textId="77777777" w:rsidR="00486F27" w:rsidRPr="00901D0D" w:rsidRDefault="00486F27" w:rsidP="00BB11BD">
            <w:pPr>
              <w:ind w:left="360" w:firstLine="0"/>
              <w:contextualSpacing/>
              <w:jc w:val="right"/>
              <w:rPr>
                <w:rFonts w:eastAsia="Arial" w:cs="Times New Roman"/>
                <w:b w:val="0"/>
                <w:sz w:val="22"/>
                <w:lang w:val="en-GB"/>
              </w:rPr>
            </w:pPr>
            <w:r w:rsidRPr="00901D0D">
              <w:rPr>
                <w:b w:val="0"/>
                <w:sz w:val="22"/>
                <w:lang w:val="en-GB"/>
              </w:rPr>
              <w:t>Experiential</w:t>
            </w:r>
          </w:p>
        </w:tc>
        <w:tc>
          <w:tcPr>
            <w:tcW w:w="345" w:type="pct"/>
            <w:gridSpan w:val="2"/>
            <w:shd w:val="clear" w:color="auto" w:fill="auto"/>
          </w:tcPr>
          <w:p w14:paraId="141BAC06" w14:textId="558FD791" w:rsidR="00486F27" w:rsidRPr="00901D0D" w:rsidRDefault="00486F27"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lang w:val="en-GB"/>
              </w:rPr>
              <w:t>-.18</w:t>
            </w:r>
          </w:p>
        </w:tc>
        <w:tc>
          <w:tcPr>
            <w:tcW w:w="441" w:type="pct"/>
            <w:gridSpan w:val="2"/>
            <w:shd w:val="clear" w:color="auto" w:fill="auto"/>
            <w:vAlign w:val="center"/>
          </w:tcPr>
          <w:p w14:paraId="04A32817" w14:textId="25EB07C1" w:rsidR="00486F27" w:rsidRPr="00901D0D" w:rsidRDefault="00486F27" w:rsidP="00BB11BD">
            <w:pPr>
              <w:tabs>
                <w:tab w:val="decimal" w:pos="142"/>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[-.38, .02]</w:t>
            </w:r>
          </w:p>
        </w:tc>
        <w:tc>
          <w:tcPr>
            <w:tcW w:w="326" w:type="pct"/>
            <w:gridSpan w:val="2"/>
            <w:shd w:val="clear" w:color="auto" w:fill="auto"/>
          </w:tcPr>
          <w:p w14:paraId="0245BFE5" w14:textId="4B000703" w:rsidR="00486F27" w:rsidRPr="00901D0D" w:rsidRDefault="00486F27" w:rsidP="00BB11BD">
            <w:pPr>
              <w:tabs>
                <w:tab w:val="decimal" w:pos="255"/>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lang w:val="en-GB"/>
              </w:rPr>
              <w:t>-1.76</w:t>
            </w:r>
          </w:p>
        </w:tc>
        <w:tc>
          <w:tcPr>
            <w:tcW w:w="326" w:type="pct"/>
            <w:gridSpan w:val="2"/>
            <w:shd w:val="clear" w:color="auto" w:fill="auto"/>
          </w:tcPr>
          <w:p w14:paraId="48DF56E2" w14:textId="08050814" w:rsidR="00486F27" w:rsidRPr="00901D0D" w:rsidRDefault="00486F27" w:rsidP="00BB11BD">
            <w:pPr>
              <w:tabs>
                <w:tab w:val="decimal" w:pos="255"/>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lang w:val="en-GB"/>
              </w:rPr>
              <w:t>.08</w:t>
            </w:r>
          </w:p>
        </w:tc>
        <w:tc>
          <w:tcPr>
            <w:tcW w:w="422" w:type="pct"/>
            <w:gridSpan w:val="2"/>
            <w:shd w:val="clear" w:color="auto" w:fill="auto"/>
          </w:tcPr>
          <w:p w14:paraId="3B14F9C4" w14:textId="4D7314FB" w:rsidR="00486F27" w:rsidRPr="00901D0D" w:rsidRDefault="00566389" w:rsidP="00BB11BD">
            <w:pPr>
              <w:tabs>
                <w:tab w:val="decimal" w:pos="284"/>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1.35</w:t>
            </w:r>
          </w:p>
        </w:tc>
        <w:tc>
          <w:tcPr>
            <w:tcW w:w="307" w:type="pct"/>
            <w:gridSpan w:val="2"/>
            <w:shd w:val="clear" w:color="auto" w:fill="auto"/>
            <w:vAlign w:val="center"/>
          </w:tcPr>
          <w:p w14:paraId="2EBEA0A2" w14:textId="77777777" w:rsidR="00486F27" w:rsidRPr="00901D0D" w:rsidRDefault="00486F27"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8" w:type="pct"/>
            <w:gridSpan w:val="2"/>
            <w:shd w:val="clear" w:color="auto" w:fill="auto"/>
            <w:vAlign w:val="center"/>
          </w:tcPr>
          <w:p w14:paraId="622524D1" w14:textId="77777777" w:rsidR="00486F27" w:rsidRPr="00901D0D" w:rsidRDefault="00486F27"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46024815" w14:textId="77777777" w:rsidR="00486F27" w:rsidRPr="00901D0D" w:rsidRDefault="00486F27"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8" w:type="pct"/>
            <w:shd w:val="clear" w:color="auto" w:fill="auto"/>
            <w:vAlign w:val="center"/>
          </w:tcPr>
          <w:p w14:paraId="60942585" w14:textId="77777777" w:rsidR="00486F27" w:rsidRPr="00901D0D" w:rsidRDefault="00486F27"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8" w:type="pct"/>
            <w:shd w:val="clear" w:color="auto" w:fill="auto"/>
            <w:vAlign w:val="center"/>
          </w:tcPr>
          <w:p w14:paraId="2E703BA1" w14:textId="77777777" w:rsidR="00486F27" w:rsidRPr="00901D0D" w:rsidRDefault="00486F27"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22AC60F0" w14:textId="77777777" w:rsidR="00486F27" w:rsidRPr="00901D0D" w:rsidRDefault="00486F27"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r>
      <w:tr w:rsidR="00486F27" w:rsidRPr="00901D0D" w14:paraId="6EAE9767" w14:textId="77777777" w:rsidTr="00BB11B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294" w:type="pct"/>
            <w:gridSpan w:val="2"/>
            <w:shd w:val="clear" w:color="auto" w:fill="auto"/>
            <w:vAlign w:val="center"/>
          </w:tcPr>
          <w:p w14:paraId="53D3F012" w14:textId="77777777" w:rsidR="00486F27" w:rsidRPr="00901D0D" w:rsidRDefault="00486F27" w:rsidP="00BB11BD">
            <w:pPr>
              <w:ind w:left="360" w:firstLine="0"/>
              <w:contextualSpacing/>
              <w:jc w:val="right"/>
              <w:rPr>
                <w:rFonts w:eastAsia="Arial" w:cs="Times New Roman"/>
                <w:b w:val="0"/>
                <w:sz w:val="22"/>
                <w:lang w:val="en-GB"/>
              </w:rPr>
            </w:pPr>
            <w:r w:rsidRPr="00901D0D">
              <w:rPr>
                <w:b w:val="0"/>
                <w:sz w:val="22"/>
                <w:lang w:val="en-GB"/>
              </w:rPr>
              <w:t>PSI</w:t>
            </w:r>
          </w:p>
        </w:tc>
        <w:tc>
          <w:tcPr>
            <w:tcW w:w="345" w:type="pct"/>
            <w:gridSpan w:val="2"/>
            <w:shd w:val="clear" w:color="auto" w:fill="auto"/>
          </w:tcPr>
          <w:p w14:paraId="04ADD389" w14:textId="2E9F54F9" w:rsidR="00486F27" w:rsidRPr="00901D0D" w:rsidRDefault="00486F27"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lang w:val="en-GB"/>
              </w:rPr>
              <w:t>.05</w:t>
            </w:r>
          </w:p>
        </w:tc>
        <w:tc>
          <w:tcPr>
            <w:tcW w:w="441" w:type="pct"/>
            <w:gridSpan w:val="2"/>
            <w:shd w:val="clear" w:color="auto" w:fill="auto"/>
            <w:vAlign w:val="center"/>
          </w:tcPr>
          <w:p w14:paraId="1B98DEF3" w14:textId="3339D097" w:rsidR="00486F27" w:rsidRPr="00901D0D" w:rsidRDefault="00486F27" w:rsidP="00BB11BD">
            <w:pPr>
              <w:tabs>
                <w:tab w:val="decimal" w:pos="142"/>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[-.23, .32]</w:t>
            </w:r>
          </w:p>
        </w:tc>
        <w:tc>
          <w:tcPr>
            <w:tcW w:w="326" w:type="pct"/>
            <w:gridSpan w:val="2"/>
            <w:shd w:val="clear" w:color="auto" w:fill="auto"/>
          </w:tcPr>
          <w:p w14:paraId="52ADE240" w14:textId="3F7D58B0" w:rsidR="00486F27" w:rsidRPr="00901D0D" w:rsidRDefault="00486F27" w:rsidP="00BB11BD">
            <w:pPr>
              <w:tabs>
                <w:tab w:val="decimal" w:pos="255"/>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lang w:val="en-GB"/>
              </w:rPr>
              <w:t>0.34</w:t>
            </w:r>
          </w:p>
        </w:tc>
        <w:tc>
          <w:tcPr>
            <w:tcW w:w="326" w:type="pct"/>
            <w:gridSpan w:val="2"/>
            <w:shd w:val="clear" w:color="auto" w:fill="auto"/>
          </w:tcPr>
          <w:p w14:paraId="73CD8026" w14:textId="544B6799" w:rsidR="00486F27" w:rsidRPr="00901D0D" w:rsidRDefault="00486F27" w:rsidP="00BB11BD">
            <w:pPr>
              <w:tabs>
                <w:tab w:val="decimal" w:pos="255"/>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lang w:val="en-GB"/>
              </w:rPr>
              <w:t>.74</w:t>
            </w:r>
          </w:p>
        </w:tc>
        <w:tc>
          <w:tcPr>
            <w:tcW w:w="422" w:type="pct"/>
            <w:gridSpan w:val="2"/>
            <w:shd w:val="clear" w:color="auto" w:fill="auto"/>
          </w:tcPr>
          <w:p w14:paraId="2DBA15E9" w14:textId="52F8C85C" w:rsidR="00486F27" w:rsidRPr="00901D0D" w:rsidRDefault="00566389" w:rsidP="00BB11BD">
            <w:pPr>
              <w:tabs>
                <w:tab w:val="decimal" w:pos="284"/>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0.36</w:t>
            </w:r>
          </w:p>
        </w:tc>
        <w:tc>
          <w:tcPr>
            <w:tcW w:w="307" w:type="pct"/>
            <w:gridSpan w:val="2"/>
            <w:shd w:val="clear" w:color="auto" w:fill="auto"/>
            <w:vAlign w:val="center"/>
          </w:tcPr>
          <w:p w14:paraId="56E758E5" w14:textId="77777777" w:rsidR="00486F27" w:rsidRPr="00901D0D" w:rsidRDefault="00486F27"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8" w:type="pct"/>
            <w:gridSpan w:val="2"/>
            <w:shd w:val="clear" w:color="auto" w:fill="auto"/>
            <w:vAlign w:val="center"/>
          </w:tcPr>
          <w:p w14:paraId="044A2D73" w14:textId="77777777" w:rsidR="00486F27" w:rsidRPr="00901D0D" w:rsidRDefault="00486F27"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2CBE499A" w14:textId="77777777" w:rsidR="00486F27" w:rsidRPr="00901D0D" w:rsidRDefault="00486F27"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8" w:type="pct"/>
            <w:shd w:val="clear" w:color="auto" w:fill="auto"/>
            <w:vAlign w:val="center"/>
          </w:tcPr>
          <w:p w14:paraId="1B1A74F6" w14:textId="77777777" w:rsidR="00486F27" w:rsidRPr="00901D0D" w:rsidRDefault="00486F27"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8" w:type="pct"/>
            <w:shd w:val="clear" w:color="auto" w:fill="auto"/>
            <w:vAlign w:val="center"/>
          </w:tcPr>
          <w:p w14:paraId="6105B6F0" w14:textId="77777777" w:rsidR="00486F27" w:rsidRPr="00901D0D" w:rsidRDefault="00486F27"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33481085" w14:textId="77777777" w:rsidR="00486F27" w:rsidRPr="00901D0D" w:rsidRDefault="00486F27"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r>
      <w:tr w:rsidR="00486F27" w:rsidRPr="00901D0D" w14:paraId="5EA45373" w14:textId="77777777" w:rsidTr="00BB11BD">
        <w:trPr>
          <w:trHeight w:val="283"/>
        </w:trPr>
        <w:tc>
          <w:tcPr>
            <w:cnfStyle w:val="001000000000" w:firstRow="0" w:lastRow="0" w:firstColumn="1" w:lastColumn="0" w:oddVBand="0" w:evenVBand="0" w:oddHBand="0" w:evenHBand="0" w:firstRowFirstColumn="0" w:firstRowLastColumn="0" w:lastRowFirstColumn="0" w:lastRowLastColumn="0"/>
            <w:tcW w:w="1294" w:type="pct"/>
            <w:gridSpan w:val="2"/>
            <w:shd w:val="clear" w:color="auto" w:fill="auto"/>
            <w:vAlign w:val="center"/>
          </w:tcPr>
          <w:p w14:paraId="3AF3497F" w14:textId="77777777" w:rsidR="00486F27" w:rsidRPr="00901D0D" w:rsidRDefault="00486F27" w:rsidP="00BB11BD">
            <w:pPr>
              <w:ind w:left="360" w:firstLine="0"/>
              <w:contextualSpacing/>
              <w:jc w:val="right"/>
              <w:rPr>
                <w:rFonts w:eastAsia="Arial" w:cs="Times New Roman"/>
                <w:b w:val="0"/>
                <w:sz w:val="22"/>
                <w:lang w:val="en-GB"/>
              </w:rPr>
            </w:pPr>
            <w:r w:rsidRPr="00901D0D">
              <w:rPr>
                <w:b w:val="0"/>
                <w:sz w:val="22"/>
                <w:lang w:val="en-GB"/>
              </w:rPr>
              <w:t>ET</w:t>
            </w:r>
          </w:p>
        </w:tc>
        <w:tc>
          <w:tcPr>
            <w:tcW w:w="345" w:type="pct"/>
            <w:gridSpan w:val="2"/>
            <w:shd w:val="clear" w:color="auto" w:fill="auto"/>
          </w:tcPr>
          <w:p w14:paraId="22576960" w14:textId="2BD1378D" w:rsidR="00486F27" w:rsidRPr="00901D0D" w:rsidRDefault="00486F27"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lang w:val="en-GB"/>
              </w:rPr>
              <w:t>-.15</w:t>
            </w:r>
          </w:p>
        </w:tc>
        <w:tc>
          <w:tcPr>
            <w:tcW w:w="441" w:type="pct"/>
            <w:gridSpan w:val="2"/>
            <w:shd w:val="clear" w:color="auto" w:fill="auto"/>
            <w:vAlign w:val="center"/>
          </w:tcPr>
          <w:p w14:paraId="0E72525B" w14:textId="41885995" w:rsidR="00486F27" w:rsidRPr="00901D0D" w:rsidRDefault="00486F27" w:rsidP="00BB11BD">
            <w:pPr>
              <w:tabs>
                <w:tab w:val="decimal" w:pos="142"/>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[-.33, .04]</w:t>
            </w:r>
          </w:p>
        </w:tc>
        <w:tc>
          <w:tcPr>
            <w:tcW w:w="326" w:type="pct"/>
            <w:gridSpan w:val="2"/>
            <w:shd w:val="clear" w:color="auto" w:fill="auto"/>
          </w:tcPr>
          <w:p w14:paraId="52CE35AA" w14:textId="78ABD900" w:rsidR="00486F27" w:rsidRPr="00901D0D" w:rsidRDefault="00486F27" w:rsidP="00BB11BD">
            <w:pPr>
              <w:tabs>
                <w:tab w:val="decimal" w:pos="255"/>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lang w:val="en-GB"/>
              </w:rPr>
              <w:t>-1.52</w:t>
            </w:r>
          </w:p>
        </w:tc>
        <w:tc>
          <w:tcPr>
            <w:tcW w:w="326" w:type="pct"/>
            <w:gridSpan w:val="2"/>
            <w:shd w:val="clear" w:color="auto" w:fill="auto"/>
          </w:tcPr>
          <w:p w14:paraId="4BED94F9" w14:textId="6035518D" w:rsidR="00486F27" w:rsidRPr="00901D0D" w:rsidRDefault="00486F27" w:rsidP="00BB11BD">
            <w:pPr>
              <w:tabs>
                <w:tab w:val="decimal" w:pos="255"/>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lang w:val="en-GB"/>
              </w:rPr>
              <w:t>.13</w:t>
            </w:r>
          </w:p>
        </w:tc>
        <w:tc>
          <w:tcPr>
            <w:tcW w:w="422" w:type="pct"/>
            <w:gridSpan w:val="2"/>
            <w:shd w:val="clear" w:color="auto" w:fill="auto"/>
          </w:tcPr>
          <w:p w14:paraId="7478E29B" w14:textId="2D2B4FD5" w:rsidR="00486F27" w:rsidRPr="00901D0D" w:rsidRDefault="00566389" w:rsidP="00BB11BD">
            <w:pPr>
              <w:tabs>
                <w:tab w:val="decimal" w:pos="284"/>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0.96</w:t>
            </w:r>
          </w:p>
        </w:tc>
        <w:tc>
          <w:tcPr>
            <w:tcW w:w="307" w:type="pct"/>
            <w:gridSpan w:val="2"/>
            <w:shd w:val="clear" w:color="auto" w:fill="auto"/>
            <w:vAlign w:val="center"/>
          </w:tcPr>
          <w:p w14:paraId="5C9A3F74" w14:textId="77777777" w:rsidR="00486F27" w:rsidRPr="00901D0D" w:rsidRDefault="00486F27"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8" w:type="pct"/>
            <w:gridSpan w:val="2"/>
            <w:shd w:val="clear" w:color="auto" w:fill="auto"/>
            <w:vAlign w:val="center"/>
          </w:tcPr>
          <w:p w14:paraId="24813BC1" w14:textId="77777777" w:rsidR="00486F27" w:rsidRPr="00901D0D" w:rsidRDefault="00486F27"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0CDE2333" w14:textId="77777777" w:rsidR="00486F27" w:rsidRPr="00901D0D" w:rsidRDefault="00486F27"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8" w:type="pct"/>
            <w:shd w:val="clear" w:color="auto" w:fill="auto"/>
            <w:vAlign w:val="center"/>
          </w:tcPr>
          <w:p w14:paraId="40F904F7" w14:textId="77777777" w:rsidR="00486F27" w:rsidRPr="00901D0D" w:rsidRDefault="00486F27"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8" w:type="pct"/>
            <w:shd w:val="clear" w:color="auto" w:fill="auto"/>
            <w:vAlign w:val="center"/>
          </w:tcPr>
          <w:p w14:paraId="2C403C5E" w14:textId="77777777" w:rsidR="00486F27" w:rsidRPr="00901D0D" w:rsidRDefault="00486F27"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c>
          <w:tcPr>
            <w:tcW w:w="307" w:type="pct"/>
            <w:shd w:val="clear" w:color="auto" w:fill="auto"/>
            <w:vAlign w:val="center"/>
          </w:tcPr>
          <w:p w14:paraId="3758A450" w14:textId="77777777" w:rsidR="00486F27" w:rsidRPr="00901D0D" w:rsidRDefault="00486F27" w:rsidP="00BB11BD">
            <w:pPr>
              <w:tabs>
                <w:tab w:val="decimal" w:pos="227"/>
              </w:tabs>
              <w:ind w:firstLine="0"/>
              <w:contextualSpacing/>
              <w:cnfStyle w:val="000000000000" w:firstRow="0" w:lastRow="0" w:firstColumn="0" w:lastColumn="0" w:oddVBand="0" w:evenVBand="0" w:oddHBand="0" w:evenHBand="0" w:firstRowFirstColumn="0" w:firstRowLastColumn="0" w:lastRowFirstColumn="0" w:lastRowLastColumn="0"/>
              <w:rPr>
                <w:rFonts w:eastAsia="Arial" w:cs="Times New Roman"/>
                <w:sz w:val="22"/>
                <w:lang w:val="en-GB"/>
              </w:rPr>
            </w:pPr>
          </w:p>
        </w:tc>
      </w:tr>
      <w:tr w:rsidR="00486F27" w:rsidRPr="00901D0D" w14:paraId="0940B0B6" w14:textId="77777777" w:rsidTr="00BB11B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294" w:type="pct"/>
            <w:gridSpan w:val="2"/>
            <w:tcBorders>
              <w:bottom w:val="single" w:sz="4" w:space="0" w:color="auto"/>
            </w:tcBorders>
            <w:shd w:val="clear" w:color="auto" w:fill="auto"/>
            <w:vAlign w:val="center"/>
          </w:tcPr>
          <w:p w14:paraId="61223A11" w14:textId="77777777" w:rsidR="00486F27" w:rsidRPr="00901D0D" w:rsidRDefault="00486F27" w:rsidP="00BB11BD">
            <w:pPr>
              <w:ind w:left="360" w:firstLine="0"/>
              <w:contextualSpacing/>
              <w:jc w:val="right"/>
              <w:rPr>
                <w:rFonts w:eastAsia="Arial" w:cs="Times New Roman"/>
                <w:b w:val="0"/>
                <w:sz w:val="22"/>
                <w:lang w:val="en-GB"/>
              </w:rPr>
            </w:pPr>
            <w:r w:rsidRPr="00901D0D">
              <w:rPr>
                <w:b w:val="0"/>
                <w:sz w:val="22"/>
                <w:lang w:val="en-GB"/>
              </w:rPr>
              <w:t>LAD</w:t>
            </w:r>
          </w:p>
        </w:tc>
        <w:tc>
          <w:tcPr>
            <w:tcW w:w="345" w:type="pct"/>
            <w:gridSpan w:val="2"/>
            <w:tcBorders>
              <w:bottom w:val="single" w:sz="4" w:space="0" w:color="auto"/>
            </w:tcBorders>
            <w:shd w:val="clear" w:color="auto" w:fill="auto"/>
          </w:tcPr>
          <w:p w14:paraId="791A8F77" w14:textId="20A57B85" w:rsidR="00486F27" w:rsidRPr="00901D0D" w:rsidRDefault="00486F27"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lang w:val="en-GB"/>
              </w:rPr>
              <w:t>-.06</w:t>
            </w:r>
          </w:p>
        </w:tc>
        <w:tc>
          <w:tcPr>
            <w:tcW w:w="441" w:type="pct"/>
            <w:gridSpan w:val="2"/>
            <w:tcBorders>
              <w:bottom w:val="single" w:sz="4" w:space="0" w:color="auto"/>
            </w:tcBorders>
            <w:shd w:val="clear" w:color="auto" w:fill="auto"/>
            <w:vAlign w:val="center"/>
          </w:tcPr>
          <w:p w14:paraId="0AFEBAA6" w14:textId="37E577A1" w:rsidR="00486F27" w:rsidRPr="00901D0D" w:rsidRDefault="00486F27" w:rsidP="00BB11BD">
            <w:pPr>
              <w:tabs>
                <w:tab w:val="decimal" w:pos="142"/>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[-.30, .18]</w:t>
            </w:r>
          </w:p>
        </w:tc>
        <w:tc>
          <w:tcPr>
            <w:tcW w:w="326" w:type="pct"/>
            <w:gridSpan w:val="2"/>
            <w:tcBorders>
              <w:bottom w:val="single" w:sz="4" w:space="0" w:color="auto"/>
            </w:tcBorders>
            <w:shd w:val="clear" w:color="auto" w:fill="auto"/>
          </w:tcPr>
          <w:p w14:paraId="694B33DD" w14:textId="5B6F1026" w:rsidR="00486F27" w:rsidRPr="00901D0D" w:rsidRDefault="00486F27" w:rsidP="00BB11BD">
            <w:pPr>
              <w:tabs>
                <w:tab w:val="decimal" w:pos="255"/>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lang w:val="en-GB"/>
              </w:rPr>
              <w:t>-0.50</w:t>
            </w:r>
          </w:p>
        </w:tc>
        <w:tc>
          <w:tcPr>
            <w:tcW w:w="326" w:type="pct"/>
            <w:gridSpan w:val="2"/>
            <w:tcBorders>
              <w:bottom w:val="single" w:sz="4" w:space="0" w:color="auto"/>
            </w:tcBorders>
            <w:shd w:val="clear" w:color="auto" w:fill="auto"/>
          </w:tcPr>
          <w:p w14:paraId="0511A305" w14:textId="6E646E1F" w:rsidR="00486F27" w:rsidRPr="00901D0D" w:rsidRDefault="00486F27" w:rsidP="00BB11BD">
            <w:pPr>
              <w:tabs>
                <w:tab w:val="decimal" w:pos="255"/>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lang w:val="en-GB"/>
              </w:rPr>
              <w:t>.62</w:t>
            </w:r>
          </w:p>
        </w:tc>
        <w:tc>
          <w:tcPr>
            <w:tcW w:w="422" w:type="pct"/>
            <w:gridSpan w:val="2"/>
            <w:tcBorders>
              <w:bottom w:val="single" w:sz="4" w:space="0" w:color="auto"/>
            </w:tcBorders>
            <w:shd w:val="clear" w:color="auto" w:fill="auto"/>
          </w:tcPr>
          <w:p w14:paraId="10A7A25A" w14:textId="71A2731F" w:rsidR="00486F27" w:rsidRPr="00901D0D" w:rsidRDefault="00566389" w:rsidP="00BB11BD">
            <w:pPr>
              <w:tabs>
                <w:tab w:val="decimal" w:pos="284"/>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r w:rsidRPr="00901D0D">
              <w:rPr>
                <w:rFonts w:eastAsia="Arial" w:cs="Times New Roman"/>
                <w:sz w:val="22"/>
                <w:lang w:val="en-GB"/>
              </w:rPr>
              <w:t>0.39</w:t>
            </w:r>
          </w:p>
        </w:tc>
        <w:tc>
          <w:tcPr>
            <w:tcW w:w="307" w:type="pct"/>
            <w:gridSpan w:val="2"/>
            <w:tcBorders>
              <w:bottom w:val="single" w:sz="4" w:space="0" w:color="auto"/>
            </w:tcBorders>
            <w:shd w:val="clear" w:color="auto" w:fill="auto"/>
            <w:vAlign w:val="center"/>
          </w:tcPr>
          <w:p w14:paraId="0A0C1EA1" w14:textId="77777777" w:rsidR="00486F27" w:rsidRPr="00901D0D" w:rsidRDefault="00486F27"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8" w:type="pct"/>
            <w:gridSpan w:val="2"/>
            <w:tcBorders>
              <w:bottom w:val="single" w:sz="4" w:space="0" w:color="auto"/>
            </w:tcBorders>
            <w:shd w:val="clear" w:color="auto" w:fill="auto"/>
            <w:vAlign w:val="center"/>
          </w:tcPr>
          <w:p w14:paraId="0DFFC85B" w14:textId="77777777" w:rsidR="00486F27" w:rsidRPr="00901D0D" w:rsidRDefault="00486F27"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tcBorders>
              <w:bottom w:val="single" w:sz="4" w:space="0" w:color="auto"/>
            </w:tcBorders>
            <w:shd w:val="clear" w:color="auto" w:fill="auto"/>
            <w:vAlign w:val="center"/>
          </w:tcPr>
          <w:p w14:paraId="28B5F193" w14:textId="77777777" w:rsidR="00486F27" w:rsidRPr="00901D0D" w:rsidRDefault="00486F27"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8" w:type="pct"/>
            <w:tcBorders>
              <w:bottom w:val="single" w:sz="4" w:space="0" w:color="auto"/>
            </w:tcBorders>
            <w:shd w:val="clear" w:color="auto" w:fill="auto"/>
            <w:vAlign w:val="center"/>
          </w:tcPr>
          <w:p w14:paraId="670155D0" w14:textId="77777777" w:rsidR="00486F27" w:rsidRPr="00901D0D" w:rsidRDefault="00486F27"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8" w:type="pct"/>
            <w:tcBorders>
              <w:bottom w:val="single" w:sz="4" w:space="0" w:color="auto"/>
            </w:tcBorders>
            <w:shd w:val="clear" w:color="auto" w:fill="auto"/>
            <w:vAlign w:val="center"/>
          </w:tcPr>
          <w:p w14:paraId="3945FC5B" w14:textId="77777777" w:rsidR="00486F27" w:rsidRPr="00901D0D" w:rsidRDefault="00486F27"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c>
          <w:tcPr>
            <w:tcW w:w="307" w:type="pct"/>
            <w:tcBorders>
              <w:bottom w:val="single" w:sz="4" w:space="0" w:color="auto"/>
            </w:tcBorders>
            <w:shd w:val="clear" w:color="auto" w:fill="auto"/>
            <w:vAlign w:val="center"/>
          </w:tcPr>
          <w:p w14:paraId="4CEF0932" w14:textId="77777777" w:rsidR="00486F27" w:rsidRPr="00901D0D" w:rsidRDefault="00486F27" w:rsidP="00BB11BD">
            <w:pPr>
              <w:tabs>
                <w:tab w:val="decimal" w:pos="227"/>
              </w:tabs>
              <w:ind w:firstLine="0"/>
              <w:contextualSpacing/>
              <w:cnfStyle w:val="000000100000" w:firstRow="0" w:lastRow="0" w:firstColumn="0" w:lastColumn="0" w:oddVBand="0" w:evenVBand="0" w:oddHBand="1" w:evenHBand="0" w:firstRowFirstColumn="0" w:firstRowLastColumn="0" w:lastRowFirstColumn="0" w:lastRowLastColumn="0"/>
              <w:rPr>
                <w:rFonts w:eastAsia="Arial" w:cs="Times New Roman"/>
                <w:sz w:val="22"/>
                <w:lang w:val="en-GB"/>
              </w:rPr>
            </w:pPr>
          </w:p>
        </w:tc>
      </w:tr>
    </w:tbl>
    <w:bookmarkEnd w:id="24"/>
    <w:p w14:paraId="11C7FF07" w14:textId="77777777" w:rsidR="009E009D" w:rsidRPr="00901D0D" w:rsidRDefault="009E009D" w:rsidP="00BB11BD">
      <w:pPr>
        <w:ind w:firstLine="0"/>
        <w:rPr>
          <w:rFonts w:eastAsia="Arial" w:cs="Times New Roman"/>
          <w:szCs w:val="24"/>
          <w:lang w:val="en-GB"/>
        </w:rPr>
      </w:pPr>
      <w:r w:rsidRPr="00901D0D">
        <w:rPr>
          <w:rFonts w:eastAsia="Arial" w:cs="Times New Roman"/>
          <w:szCs w:val="24"/>
          <w:lang w:val="en-GB"/>
        </w:rPr>
        <w:t>*change statistics represent change from Step 1.</w:t>
      </w:r>
    </w:p>
    <w:p w14:paraId="5371E194" w14:textId="2913DB25" w:rsidR="00922005" w:rsidRDefault="009E009D" w:rsidP="002B511E">
      <w:pPr>
        <w:ind w:firstLine="0"/>
        <w:rPr>
          <w:rFonts w:eastAsia="Calibri" w:cs="Times New Roman"/>
          <w:szCs w:val="24"/>
          <w:lang w:val="en-GB"/>
        </w:rPr>
      </w:pPr>
      <w:r w:rsidRPr="00901D0D">
        <w:rPr>
          <w:rFonts w:eastAsia="Arial" w:cs="Times New Roman"/>
          <w:i/>
          <w:lang w:val="en-GB"/>
        </w:rPr>
        <w:t>β</w:t>
      </w:r>
      <w:r w:rsidRPr="00901D0D">
        <w:rPr>
          <w:rFonts w:eastAsia="Calibri" w:cs="Times New Roman"/>
          <w:szCs w:val="24"/>
          <w:lang w:val="en-GB"/>
        </w:rPr>
        <w:t xml:space="preserve"> represents standardised regression coefficien</w:t>
      </w:r>
      <w:r w:rsidR="002B511E">
        <w:rPr>
          <w:rFonts w:eastAsia="Calibri" w:cs="Times New Roman"/>
          <w:szCs w:val="24"/>
          <w:lang w:val="en-GB"/>
        </w:rPr>
        <w:t>t</w:t>
      </w:r>
      <w:bookmarkEnd w:id="21"/>
    </w:p>
    <w:p w14:paraId="79CAE3CB" w14:textId="77777777" w:rsidR="00922005" w:rsidRDefault="00922005">
      <w:pPr>
        <w:spacing w:after="200" w:line="276" w:lineRule="auto"/>
        <w:ind w:firstLine="0"/>
        <w:rPr>
          <w:rFonts w:eastAsia="Calibri" w:cs="Times New Roman"/>
          <w:szCs w:val="24"/>
          <w:lang w:val="en-GB"/>
        </w:rPr>
      </w:pPr>
      <w:r>
        <w:rPr>
          <w:rFonts w:eastAsia="Calibri" w:cs="Times New Roman"/>
          <w:szCs w:val="24"/>
          <w:lang w:val="en-GB"/>
        </w:rPr>
        <w:br w:type="page"/>
      </w:r>
    </w:p>
    <w:p w14:paraId="050EBB7F" w14:textId="594414BF" w:rsidR="00922005" w:rsidRPr="00922005" w:rsidRDefault="00922005" w:rsidP="00342C2F">
      <w:pPr>
        <w:ind w:firstLine="0"/>
        <w:jc w:val="center"/>
        <w:outlineLvl w:val="0"/>
        <w:rPr>
          <w:rFonts w:eastAsia="MS Gothic" w:cs="Times New Roman"/>
          <w:bCs/>
          <w:szCs w:val="28"/>
          <w:lang w:val="en-GB"/>
        </w:rPr>
      </w:pPr>
      <w:r>
        <w:rPr>
          <w:rFonts w:eastAsia="MS Gothic" w:cs="Times New Roman"/>
          <w:bCs/>
          <w:szCs w:val="28"/>
          <w:lang w:val="en-GB"/>
        </w:rPr>
        <w:lastRenderedPageBreak/>
        <w:t>Appendix</w:t>
      </w:r>
      <w:r w:rsidRPr="00922005">
        <w:rPr>
          <w:rFonts w:eastAsia="MS Gothic" w:cs="Times New Roman"/>
          <w:bCs/>
          <w:szCs w:val="28"/>
          <w:lang w:val="en-GB"/>
        </w:rPr>
        <w:t xml:space="preserve"> </w:t>
      </w:r>
      <w:r w:rsidR="00AB5758">
        <w:rPr>
          <w:rFonts w:eastAsia="MS Gothic" w:cs="Times New Roman"/>
          <w:bCs/>
          <w:szCs w:val="28"/>
          <w:lang w:val="en-GB"/>
        </w:rPr>
        <w:t>A</w:t>
      </w:r>
    </w:p>
    <w:p w14:paraId="213BAA3D" w14:textId="77777777" w:rsidR="00922005" w:rsidRPr="00922005" w:rsidRDefault="00922005" w:rsidP="00922005">
      <w:pPr>
        <w:ind w:firstLine="0"/>
        <w:rPr>
          <w:rFonts w:ascii="Calibri" w:eastAsia="Calibri" w:hAnsi="Calibri" w:cs="Times New Roman"/>
          <w:szCs w:val="24"/>
          <w:lang w:val="en-GB"/>
        </w:rPr>
      </w:pPr>
      <w:r w:rsidRPr="00922005">
        <w:rPr>
          <w:rFonts w:eastAsia="Arial" w:cs="Times New Roman"/>
          <w:i/>
          <w:szCs w:val="24"/>
          <w:lang w:val="en-GB"/>
        </w:rPr>
        <w:t>Summary of Misperception of Chance Results from Previous Studies</w:t>
      </w:r>
    </w:p>
    <w:tbl>
      <w:tblPr>
        <w:tblStyle w:val="PlainTable413"/>
        <w:tblW w:w="14627" w:type="dxa"/>
        <w:tblInd w:w="0" w:type="dxa"/>
        <w:tblLook w:val="04A0" w:firstRow="1" w:lastRow="0" w:firstColumn="1" w:lastColumn="0" w:noHBand="0" w:noVBand="1"/>
      </w:tblPr>
      <w:tblGrid>
        <w:gridCol w:w="3369"/>
        <w:gridCol w:w="850"/>
        <w:gridCol w:w="851"/>
        <w:gridCol w:w="1842"/>
        <w:gridCol w:w="2778"/>
        <w:gridCol w:w="1818"/>
        <w:gridCol w:w="2347"/>
        <w:gridCol w:w="772"/>
      </w:tblGrid>
      <w:tr w:rsidR="00922005" w:rsidRPr="00922005" w14:paraId="650E2D3C" w14:textId="77777777" w:rsidTr="00245A5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69" w:type="dxa"/>
            <w:tcBorders>
              <w:top w:val="single" w:sz="4" w:space="0" w:color="auto"/>
              <w:left w:val="nil"/>
              <w:bottom w:val="single" w:sz="4" w:space="0" w:color="auto"/>
              <w:right w:val="nil"/>
            </w:tcBorders>
            <w:shd w:val="clear" w:color="auto" w:fill="auto"/>
            <w:hideMark/>
          </w:tcPr>
          <w:p w14:paraId="08FEBB5B" w14:textId="77777777" w:rsidR="00922005" w:rsidRPr="00922005" w:rsidRDefault="00922005" w:rsidP="00922005">
            <w:pPr>
              <w:spacing w:line="300" w:lineRule="exact"/>
              <w:ind w:firstLine="0"/>
              <w:rPr>
                <w:rFonts w:eastAsia="MS Gothic"/>
                <w:b w:val="0"/>
                <w:szCs w:val="24"/>
              </w:rPr>
            </w:pPr>
            <w:r w:rsidRPr="00922005">
              <w:rPr>
                <w:rFonts w:eastAsia="MS Gothic"/>
                <w:b w:val="0"/>
                <w:szCs w:val="24"/>
              </w:rPr>
              <w:t>Study</w:t>
            </w:r>
          </w:p>
        </w:tc>
        <w:tc>
          <w:tcPr>
            <w:tcW w:w="850" w:type="dxa"/>
            <w:tcBorders>
              <w:top w:val="single" w:sz="4" w:space="0" w:color="auto"/>
              <w:left w:val="nil"/>
              <w:bottom w:val="single" w:sz="4" w:space="0" w:color="auto"/>
              <w:right w:val="nil"/>
            </w:tcBorders>
            <w:shd w:val="clear" w:color="auto" w:fill="auto"/>
            <w:hideMark/>
          </w:tcPr>
          <w:p w14:paraId="2F6659B1" w14:textId="77777777" w:rsidR="00922005" w:rsidRPr="00922005" w:rsidRDefault="00922005" w:rsidP="00922005">
            <w:pPr>
              <w:spacing w:line="300" w:lineRule="exact"/>
              <w:ind w:firstLine="0"/>
              <w:cnfStyle w:val="100000000000" w:firstRow="1" w:lastRow="0" w:firstColumn="0" w:lastColumn="0" w:oddVBand="0" w:evenVBand="0" w:oddHBand="0" w:evenHBand="0" w:firstRowFirstColumn="0" w:firstRowLastColumn="0" w:lastRowFirstColumn="0" w:lastRowLastColumn="0"/>
              <w:rPr>
                <w:rFonts w:eastAsia="MS Gothic"/>
                <w:b w:val="0"/>
                <w:szCs w:val="24"/>
              </w:rPr>
            </w:pPr>
            <w:r w:rsidRPr="00922005">
              <w:rPr>
                <w:rFonts w:eastAsia="MS Gothic"/>
                <w:b w:val="0"/>
                <w:i/>
                <w:iCs/>
                <w:szCs w:val="24"/>
              </w:rPr>
              <w:t>Expt.</w:t>
            </w:r>
          </w:p>
        </w:tc>
        <w:tc>
          <w:tcPr>
            <w:tcW w:w="851" w:type="dxa"/>
            <w:tcBorders>
              <w:top w:val="single" w:sz="4" w:space="0" w:color="auto"/>
              <w:left w:val="nil"/>
              <w:bottom w:val="single" w:sz="4" w:space="0" w:color="auto"/>
              <w:right w:val="nil"/>
            </w:tcBorders>
            <w:shd w:val="clear" w:color="auto" w:fill="auto"/>
            <w:hideMark/>
          </w:tcPr>
          <w:p w14:paraId="048BA7A8" w14:textId="77777777" w:rsidR="00922005" w:rsidRPr="00922005" w:rsidRDefault="00922005" w:rsidP="00922005">
            <w:pPr>
              <w:spacing w:line="300" w:lineRule="exact"/>
              <w:ind w:firstLine="0"/>
              <w:cnfStyle w:val="100000000000" w:firstRow="1" w:lastRow="0" w:firstColumn="0" w:lastColumn="0" w:oddVBand="0" w:evenVBand="0" w:oddHBand="0" w:evenHBand="0" w:firstRowFirstColumn="0" w:firstRowLastColumn="0" w:lastRowFirstColumn="0" w:lastRowLastColumn="0"/>
              <w:rPr>
                <w:rFonts w:eastAsia="MS Gothic"/>
                <w:b w:val="0"/>
                <w:szCs w:val="24"/>
              </w:rPr>
            </w:pPr>
            <w:r w:rsidRPr="00922005">
              <w:rPr>
                <w:rFonts w:eastAsia="MS Gothic"/>
                <w:b w:val="0"/>
                <w:i/>
                <w:iCs/>
                <w:szCs w:val="24"/>
              </w:rPr>
              <w:t>n</w:t>
            </w:r>
          </w:p>
        </w:tc>
        <w:tc>
          <w:tcPr>
            <w:tcW w:w="1842" w:type="dxa"/>
            <w:tcBorders>
              <w:top w:val="single" w:sz="4" w:space="0" w:color="auto"/>
              <w:left w:val="nil"/>
              <w:bottom w:val="single" w:sz="4" w:space="0" w:color="auto"/>
              <w:right w:val="nil"/>
            </w:tcBorders>
            <w:shd w:val="clear" w:color="auto" w:fill="auto"/>
            <w:hideMark/>
          </w:tcPr>
          <w:p w14:paraId="7CAB8F06" w14:textId="77777777" w:rsidR="00922005" w:rsidRPr="00922005" w:rsidRDefault="00922005" w:rsidP="00922005">
            <w:pPr>
              <w:spacing w:line="300" w:lineRule="exact"/>
              <w:ind w:firstLine="0"/>
              <w:cnfStyle w:val="100000000000" w:firstRow="1" w:lastRow="0" w:firstColumn="0" w:lastColumn="0" w:oddVBand="0" w:evenVBand="0" w:oddHBand="0" w:evenHBand="0" w:firstRowFirstColumn="0" w:firstRowLastColumn="0" w:lastRowFirstColumn="0" w:lastRowLastColumn="0"/>
              <w:rPr>
                <w:rFonts w:eastAsia="MS Gothic"/>
                <w:b w:val="0"/>
                <w:szCs w:val="24"/>
              </w:rPr>
            </w:pPr>
            <w:r w:rsidRPr="00922005">
              <w:rPr>
                <w:rFonts w:eastAsia="MS Gothic"/>
                <w:b w:val="0"/>
                <w:szCs w:val="24"/>
              </w:rPr>
              <w:t xml:space="preserve">Belief </w:t>
            </w:r>
            <w:proofErr w:type="spellStart"/>
            <w:r w:rsidRPr="00922005">
              <w:rPr>
                <w:rFonts w:eastAsia="MS Gothic"/>
                <w:b w:val="0"/>
                <w:szCs w:val="24"/>
              </w:rPr>
              <w:t>Measure</w:t>
            </w:r>
            <w:r w:rsidRPr="00922005">
              <w:rPr>
                <w:rFonts w:eastAsia="MS Gothic"/>
                <w:b w:val="0"/>
                <w:szCs w:val="24"/>
                <w:vertAlign w:val="superscript"/>
              </w:rPr>
              <w:t>a</w:t>
            </w:r>
            <w:proofErr w:type="spellEnd"/>
          </w:p>
        </w:tc>
        <w:tc>
          <w:tcPr>
            <w:tcW w:w="2778" w:type="dxa"/>
            <w:tcBorders>
              <w:top w:val="single" w:sz="4" w:space="0" w:color="auto"/>
              <w:left w:val="nil"/>
              <w:bottom w:val="single" w:sz="4" w:space="0" w:color="auto"/>
              <w:right w:val="nil"/>
            </w:tcBorders>
            <w:shd w:val="clear" w:color="auto" w:fill="auto"/>
            <w:hideMark/>
          </w:tcPr>
          <w:p w14:paraId="5C9AE5D2" w14:textId="77777777" w:rsidR="00922005" w:rsidRPr="00922005" w:rsidRDefault="00922005" w:rsidP="00922005">
            <w:pPr>
              <w:spacing w:line="300" w:lineRule="exact"/>
              <w:ind w:firstLine="0"/>
              <w:cnfStyle w:val="100000000000" w:firstRow="1" w:lastRow="0" w:firstColumn="0" w:lastColumn="0" w:oddVBand="0" w:evenVBand="0" w:oddHBand="0" w:evenHBand="0" w:firstRowFirstColumn="0" w:firstRowLastColumn="0" w:lastRowFirstColumn="0" w:lastRowLastColumn="0"/>
              <w:rPr>
                <w:rFonts w:eastAsia="MS Gothic"/>
                <w:b w:val="0"/>
                <w:szCs w:val="24"/>
              </w:rPr>
            </w:pPr>
            <w:r w:rsidRPr="00922005">
              <w:rPr>
                <w:rFonts w:eastAsia="MS Gothic"/>
                <w:b w:val="0"/>
                <w:szCs w:val="24"/>
              </w:rPr>
              <w:t>Reasoning Measure</w:t>
            </w:r>
          </w:p>
        </w:tc>
        <w:tc>
          <w:tcPr>
            <w:tcW w:w="1818" w:type="dxa"/>
            <w:tcBorders>
              <w:top w:val="single" w:sz="4" w:space="0" w:color="auto"/>
              <w:left w:val="nil"/>
              <w:bottom w:val="single" w:sz="4" w:space="0" w:color="auto"/>
              <w:right w:val="nil"/>
            </w:tcBorders>
            <w:shd w:val="clear" w:color="auto" w:fill="auto"/>
            <w:hideMark/>
          </w:tcPr>
          <w:p w14:paraId="3D6F80E1" w14:textId="77777777" w:rsidR="00922005" w:rsidRPr="00922005" w:rsidRDefault="00922005" w:rsidP="00922005">
            <w:pPr>
              <w:spacing w:line="300" w:lineRule="exact"/>
              <w:ind w:firstLine="0"/>
              <w:cnfStyle w:val="100000000000" w:firstRow="1" w:lastRow="0" w:firstColumn="0" w:lastColumn="0" w:oddVBand="0" w:evenVBand="0" w:oddHBand="0" w:evenHBand="0" w:firstRowFirstColumn="0" w:firstRowLastColumn="0" w:lastRowFirstColumn="0" w:lastRowLastColumn="0"/>
              <w:rPr>
                <w:rFonts w:eastAsia="MS Gothic"/>
                <w:b w:val="0"/>
                <w:szCs w:val="24"/>
              </w:rPr>
            </w:pPr>
            <w:proofErr w:type="spellStart"/>
            <w:r w:rsidRPr="00922005">
              <w:rPr>
                <w:rFonts w:eastAsia="MS Gothic"/>
                <w:b w:val="0"/>
                <w:szCs w:val="24"/>
              </w:rPr>
              <w:t>Grouping</w:t>
            </w:r>
            <w:r w:rsidRPr="00922005">
              <w:rPr>
                <w:rFonts w:eastAsia="MS Gothic"/>
                <w:b w:val="0"/>
                <w:szCs w:val="24"/>
                <w:vertAlign w:val="superscript"/>
              </w:rPr>
              <w:t>b</w:t>
            </w:r>
            <w:proofErr w:type="spellEnd"/>
          </w:p>
        </w:tc>
        <w:tc>
          <w:tcPr>
            <w:tcW w:w="2347" w:type="dxa"/>
            <w:tcBorders>
              <w:top w:val="single" w:sz="4" w:space="0" w:color="auto"/>
              <w:left w:val="nil"/>
              <w:bottom w:val="single" w:sz="4" w:space="0" w:color="auto"/>
              <w:right w:val="nil"/>
            </w:tcBorders>
            <w:shd w:val="clear" w:color="auto" w:fill="auto"/>
            <w:hideMark/>
          </w:tcPr>
          <w:p w14:paraId="79B01E89" w14:textId="77777777" w:rsidR="00922005" w:rsidRPr="00922005" w:rsidRDefault="00922005" w:rsidP="00922005">
            <w:pPr>
              <w:spacing w:line="300" w:lineRule="exact"/>
              <w:ind w:firstLine="0"/>
              <w:cnfStyle w:val="100000000000" w:firstRow="1" w:lastRow="0" w:firstColumn="0" w:lastColumn="0" w:oddVBand="0" w:evenVBand="0" w:oddHBand="0" w:evenHBand="0" w:firstRowFirstColumn="0" w:firstRowLastColumn="0" w:lastRowFirstColumn="0" w:lastRowLastColumn="0"/>
              <w:rPr>
                <w:rFonts w:eastAsia="MS Gothic"/>
                <w:b w:val="0"/>
                <w:szCs w:val="24"/>
              </w:rPr>
            </w:pPr>
            <w:r w:rsidRPr="00922005">
              <w:rPr>
                <w:rFonts w:eastAsia="MS Gothic"/>
                <w:b w:val="0"/>
                <w:szCs w:val="24"/>
              </w:rPr>
              <w:t>Result</w:t>
            </w:r>
          </w:p>
        </w:tc>
        <w:tc>
          <w:tcPr>
            <w:tcW w:w="772" w:type="dxa"/>
            <w:tcBorders>
              <w:top w:val="single" w:sz="4" w:space="0" w:color="auto"/>
              <w:left w:val="nil"/>
              <w:bottom w:val="single" w:sz="4" w:space="0" w:color="auto"/>
              <w:right w:val="nil"/>
            </w:tcBorders>
            <w:shd w:val="clear" w:color="auto" w:fill="auto"/>
            <w:hideMark/>
          </w:tcPr>
          <w:p w14:paraId="74907610" w14:textId="77777777" w:rsidR="00922005" w:rsidRPr="00922005" w:rsidRDefault="00922005" w:rsidP="00922005">
            <w:pPr>
              <w:spacing w:line="300" w:lineRule="exact"/>
              <w:ind w:firstLine="0"/>
              <w:cnfStyle w:val="100000000000" w:firstRow="1" w:lastRow="0" w:firstColumn="0" w:lastColumn="0" w:oddVBand="0" w:evenVBand="0" w:oddHBand="0" w:evenHBand="0" w:firstRowFirstColumn="0" w:firstRowLastColumn="0" w:lastRowFirstColumn="0" w:lastRowLastColumn="0"/>
              <w:rPr>
                <w:rFonts w:eastAsia="MS Gothic"/>
                <w:b w:val="0"/>
                <w:szCs w:val="24"/>
              </w:rPr>
            </w:pPr>
            <w:r w:rsidRPr="00922005">
              <w:rPr>
                <w:rFonts w:eastAsia="MS Gothic"/>
                <w:b w:val="0"/>
                <w:i/>
                <w:iCs/>
                <w:szCs w:val="24"/>
              </w:rPr>
              <w:t>p</w:t>
            </w:r>
          </w:p>
        </w:tc>
      </w:tr>
      <w:tr w:rsidR="00922005" w:rsidRPr="00922005" w14:paraId="4B278036" w14:textId="77777777" w:rsidTr="00245A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69" w:type="dxa"/>
            <w:tcBorders>
              <w:top w:val="single" w:sz="4" w:space="0" w:color="auto"/>
              <w:left w:val="nil"/>
              <w:bottom w:val="nil"/>
              <w:right w:val="nil"/>
            </w:tcBorders>
            <w:shd w:val="clear" w:color="auto" w:fill="auto"/>
            <w:hideMark/>
          </w:tcPr>
          <w:p w14:paraId="6BEA4683" w14:textId="77777777" w:rsidR="00922005" w:rsidRPr="00922005" w:rsidRDefault="00922005" w:rsidP="00922005">
            <w:pPr>
              <w:spacing w:line="300" w:lineRule="exact"/>
              <w:ind w:firstLine="0"/>
              <w:rPr>
                <w:rFonts w:eastAsia="MS Gothic"/>
                <w:b w:val="0"/>
                <w:sz w:val="22"/>
              </w:rPr>
            </w:pPr>
            <w:r w:rsidRPr="00922005">
              <w:rPr>
                <w:rFonts w:eastAsia="MS Gothic"/>
                <w:b w:val="0"/>
                <w:sz w:val="22"/>
              </w:rPr>
              <w:t xml:space="preserve">Blackmore &amp; </w:t>
            </w:r>
            <w:proofErr w:type="spellStart"/>
            <w:r w:rsidRPr="00922005">
              <w:rPr>
                <w:rFonts w:eastAsia="MS Gothic"/>
                <w:b w:val="0"/>
                <w:sz w:val="22"/>
              </w:rPr>
              <w:t>Trościanko</w:t>
            </w:r>
            <w:proofErr w:type="spellEnd"/>
            <w:r w:rsidRPr="00922005">
              <w:rPr>
                <w:rFonts w:eastAsia="MS Gothic"/>
                <w:b w:val="0"/>
                <w:sz w:val="22"/>
              </w:rPr>
              <w:t xml:space="preserve"> (1985)</w:t>
            </w:r>
          </w:p>
        </w:tc>
        <w:tc>
          <w:tcPr>
            <w:tcW w:w="850" w:type="dxa"/>
            <w:tcBorders>
              <w:top w:val="single" w:sz="4" w:space="0" w:color="auto"/>
              <w:left w:val="nil"/>
              <w:bottom w:val="nil"/>
              <w:right w:val="nil"/>
            </w:tcBorders>
            <w:shd w:val="clear" w:color="auto" w:fill="auto"/>
            <w:hideMark/>
          </w:tcPr>
          <w:p w14:paraId="15A00920"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1</w:t>
            </w:r>
          </w:p>
        </w:tc>
        <w:tc>
          <w:tcPr>
            <w:tcW w:w="851" w:type="dxa"/>
            <w:tcBorders>
              <w:top w:val="single" w:sz="4" w:space="0" w:color="auto"/>
              <w:left w:val="nil"/>
              <w:bottom w:val="nil"/>
              <w:right w:val="nil"/>
            </w:tcBorders>
            <w:shd w:val="clear" w:color="auto" w:fill="auto"/>
            <w:hideMark/>
          </w:tcPr>
          <w:p w14:paraId="378ADC14"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50</w:t>
            </w:r>
          </w:p>
        </w:tc>
        <w:tc>
          <w:tcPr>
            <w:tcW w:w="1842" w:type="dxa"/>
            <w:tcBorders>
              <w:top w:val="single" w:sz="4" w:space="0" w:color="auto"/>
              <w:left w:val="nil"/>
              <w:bottom w:val="nil"/>
              <w:right w:val="nil"/>
            </w:tcBorders>
            <w:shd w:val="clear" w:color="auto" w:fill="auto"/>
            <w:hideMark/>
          </w:tcPr>
          <w:p w14:paraId="6529C1BB"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Custom</w:t>
            </w:r>
          </w:p>
        </w:tc>
        <w:tc>
          <w:tcPr>
            <w:tcW w:w="2778" w:type="dxa"/>
            <w:tcBorders>
              <w:top w:val="single" w:sz="4" w:space="0" w:color="auto"/>
              <w:left w:val="nil"/>
              <w:bottom w:val="nil"/>
              <w:right w:val="nil"/>
            </w:tcBorders>
            <w:shd w:val="clear" w:color="auto" w:fill="auto"/>
            <w:hideMark/>
          </w:tcPr>
          <w:p w14:paraId="0DFA144E"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Randomness Judgements</w:t>
            </w:r>
          </w:p>
        </w:tc>
        <w:tc>
          <w:tcPr>
            <w:tcW w:w="1818" w:type="dxa"/>
            <w:tcBorders>
              <w:top w:val="single" w:sz="4" w:space="0" w:color="auto"/>
              <w:left w:val="nil"/>
              <w:bottom w:val="nil"/>
              <w:right w:val="nil"/>
            </w:tcBorders>
            <w:shd w:val="clear" w:color="auto" w:fill="auto"/>
            <w:hideMark/>
          </w:tcPr>
          <w:p w14:paraId="4DE9A0FE"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Mean Split</w:t>
            </w:r>
          </w:p>
        </w:tc>
        <w:tc>
          <w:tcPr>
            <w:tcW w:w="2347" w:type="dxa"/>
            <w:tcBorders>
              <w:top w:val="single" w:sz="4" w:space="0" w:color="auto"/>
              <w:left w:val="nil"/>
              <w:bottom w:val="nil"/>
              <w:right w:val="nil"/>
            </w:tcBorders>
            <w:shd w:val="clear" w:color="auto" w:fill="auto"/>
            <w:hideMark/>
          </w:tcPr>
          <w:p w14:paraId="16D21401"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Not reported</w:t>
            </w:r>
          </w:p>
        </w:tc>
        <w:tc>
          <w:tcPr>
            <w:tcW w:w="772" w:type="dxa"/>
            <w:tcBorders>
              <w:top w:val="single" w:sz="4" w:space="0" w:color="auto"/>
              <w:left w:val="nil"/>
              <w:bottom w:val="nil"/>
              <w:right w:val="nil"/>
            </w:tcBorders>
            <w:shd w:val="clear" w:color="auto" w:fill="auto"/>
            <w:hideMark/>
          </w:tcPr>
          <w:p w14:paraId="14563B24"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ns</w:t>
            </w:r>
          </w:p>
        </w:tc>
      </w:tr>
      <w:tr w:rsidR="00922005" w:rsidRPr="00922005" w14:paraId="28A3F851" w14:textId="77777777" w:rsidTr="00245A59">
        <w:trPr>
          <w:trHeight w:val="397"/>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tcPr>
          <w:p w14:paraId="456E70EF" w14:textId="77777777" w:rsidR="00922005" w:rsidRPr="00922005" w:rsidRDefault="00922005" w:rsidP="00922005">
            <w:pPr>
              <w:spacing w:line="300" w:lineRule="exact"/>
              <w:ind w:firstLine="0"/>
              <w:rPr>
                <w:rFonts w:eastAsia="MS Gothic"/>
                <w:b w:val="0"/>
                <w:sz w:val="22"/>
              </w:rPr>
            </w:pPr>
          </w:p>
        </w:tc>
        <w:tc>
          <w:tcPr>
            <w:tcW w:w="850" w:type="dxa"/>
            <w:shd w:val="clear" w:color="auto" w:fill="auto"/>
          </w:tcPr>
          <w:p w14:paraId="38EF4815"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p>
        </w:tc>
        <w:tc>
          <w:tcPr>
            <w:tcW w:w="851" w:type="dxa"/>
            <w:shd w:val="clear" w:color="auto" w:fill="auto"/>
          </w:tcPr>
          <w:p w14:paraId="4EAD1D80"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p>
        </w:tc>
        <w:tc>
          <w:tcPr>
            <w:tcW w:w="1842" w:type="dxa"/>
            <w:shd w:val="clear" w:color="auto" w:fill="auto"/>
            <w:hideMark/>
          </w:tcPr>
          <w:p w14:paraId="6251A977"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Custom</w:t>
            </w:r>
          </w:p>
        </w:tc>
        <w:tc>
          <w:tcPr>
            <w:tcW w:w="2778" w:type="dxa"/>
            <w:shd w:val="clear" w:color="auto" w:fill="auto"/>
            <w:hideMark/>
          </w:tcPr>
          <w:p w14:paraId="71DF1EA2"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Coin Tossing</w:t>
            </w:r>
          </w:p>
        </w:tc>
        <w:tc>
          <w:tcPr>
            <w:tcW w:w="1818" w:type="dxa"/>
            <w:shd w:val="clear" w:color="auto" w:fill="auto"/>
            <w:hideMark/>
          </w:tcPr>
          <w:p w14:paraId="17A715FB"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Mean Split</w:t>
            </w:r>
          </w:p>
        </w:tc>
        <w:tc>
          <w:tcPr>
            <w:tcW w:w="2347" w:type="dxa"/>
            <w:shd w:val="clear" w:color="auto" w:fill="auto"/>
            <w:hideMark/>
          </w:tcPr>
          <w:p w14:paraId="0002EBAB"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i/>
                <w:sz w:val="22"/>
              </w:rPr>
            </w:pPr>
            <w:proofErr w:type="gramStart"/>
            <w:r w:rsidRPr="00922005">
              <w:rPr>
                <w:rFonts w:eastAsia="MS Gothic"/>
                <w:bCs/>
                <w:i/>
                <w:sz w:val="22"/>
              </w:rPr>
              <w:t>t</w:t>
            </w:r>
            <w:r w:rsidRPr="00922005">
              <w:rPr>
                <w:rFonts w:eastAsia="MS Gothic"/>
                <w:bCs/>
                <w:sz w:val="22"/>
              </w:rPr>
              <w:t>(</w:t>
            </w:r>
            <w:proofErr w:type="gramEnd"/>
            <w:r w:rsidRPr="00922005">
              <w:rPr>
                <w:rFonts w:eastAsia="MS Gothic"/>
                <w:bCs/>
                <w:sz w:val="22"/>
              </w:rPr>
              <w:t xml:space="preserve">48) = 2.00, </w:t>
            </w:r>
            <w:r w:rsidRPr="00922005">
              <w:rPr>
                <w:rFonts w:eastAsia="MS Gothic"/>
                <w:bCs/>
                <w:i/>
                <w:sz w:val="22"/>
              </w:rPr>
              <w:t xml:space="preserve">d </w:t>
            </w:r>
            <w:r w:rsidRPr="00922005">
              <w:rPr>
                <w:rFonts w:eastAsia="MS Gothic"/>
                <w:bCs/>
                <w:sz w:val="22"/>
              </w:rPr>
              <w:t>= 0.58</w:t>
            </w:r>
            <w:r w:rsidRPr="00922005">
              <w:rPr>
                <w:rFonts w:eastAsia="MS Gothic"/>
                <w:bCs/>
                <w:i/>
                <w:sz w:val="22"/>
              </w:rPr>
              <w:t xml:space="preserve"> </w:t>
            </w:r>
          </w:p>
        </w:tc>
        <w:tc>
          <w:tcPr>
            <w:tcW w:w="772" w:type="dxa"/>
            <w:shd w:val="clear" w:color="auto" w:fill="auto"/>
            <w:hideMark/>
          </w:tcPr>
          <w:p w14:paraId="0B17BC6A"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.051</w:t>
            </w:r>
          </w:p>
        </w:tc>
      </w:tr>
      <w:tr w:rsidR="00922005" w:rsidRPr="00922005" w14:paraId="199E9735" w14:textId="77777777" w:rsidTr="00245A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tcPr>
          <w:p w14:paraId="3579F984" w14:textId="77777777" w:rsidR="00922005" w:rsidRPr="00922005" w:rsidRDefault="00922005" w:rsidP="00922005">
            <w:pPr>
              <w:spacing w:line="300" w:lineRule="exact"/>
              <w:ind w:firstLine="0"/>
              <w:rPr>
                <w:rFonts w:eastAsia="MS Gothic"/>
                <w:b w:val="0"/>
                <w:sz w:val="22"/>
              </w:rPr>
            </w:pPr>
          </w:p>
        </w:tc>
        <w:tc>
          <w:tcPr>
            <w:tcW w:w="850" w:type="dxa"/>
            <w:shd w:val="clear" w:color="auto" w:fill="auto"/>
          </w:tcPr>
          <w:p w14:paraId="2365FF44"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p>
        </w:tc>
        <w:tc>
          <w:tcPr>
            <w:tcW w:w="851" w:type="dxa"/>
            <w:shd w:val="clear" w:color="auto" w:fill="auto"/>
          </w:tcPr>
          <w:p w14:paraId="1AFEA407"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p>
        </w:tc>
        <w:tc>
          <w:tcPr>
            <w:tcW w:w="1842" w:type="dxa"/>
            <w:shd w:val="clear" w:color="auto" w:fill="auto"/>
            <w:hideMark/>
          </w:tcPr>
          <w:p w14:paraId="35E76F98"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Custom</w:t>
            </w:r>
          </w:p>
        </w:tc>
        <w:tc>
          <w:tcPr>
            <w:tcW w:w="2778" w:type="dxa"/>
            <w:shd w:val="clear" w:color="auto" w:fill="auto"/>
            <w:hideMark/>
          </w:tcPr>
          <w:p w14:paraId="0AB0E5E6"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Sampling Questions</w:t>
            </w:r>
          </w:p>
        </w:tc>
        <w:tc>
          <w:tcPr>
            <w:tcW w:w="1818" w:type="dxa"/>
            <w:shd w:val="clear" w:color="auto" w:fill="auto"/>
            <w:hideMark/>
          </w:tcPr>
          <w:p w14:paraId="3F706D90"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Mean Split</w:t>
            </w:r>
          </w:p>
        </w:tc>
        <w:tc>
          <w:tcPr>
            <w:tcW w:w="2347" w:type="dxa"/>
            <w:shd w:val="clear" w:color="auto" w:fill="auto"/>
            <w:hideMark/>
          </w:tcPr>
          <w:p w14:paraId="57281251"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Not reported</w:t>
            </w:r>
          </w:p>
        </w:tc>
        <w:tc>
          <w:tcPr>
            <w:tcW w:w="772" w:type="dxa"/>
            <w:shd w:val="clear" w:color="auto" w:fill="auto"/>
            <w:hideMark/>
          </w:tcPr>
          <w:p w14:paraId="37538192"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ns</w:t>
            </w:r>
          </w:p>
        </w:tc>
      </w:tr>
      <w:tr w:rsidR="00922005" w:rsidRPr="00922005" w14:paraId="206CE543" w14:textId="77777777" w:rsidTr="00245A59">
        <w:trPr>
          <w:trHeight w:val="397"/>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tcPr>
          <w:p w14:paraId="741B8592" w14:textId="77777777" w:rsidR="00922005" w:rsidRPr="00922005" w:rsidRDefault="00922005" w:rsidP="00922005">
            <w:pPr>
              <w:spacing w:line="300" w:lineRule="exact"/>
              <w:ind w:firstLine="0"/>
              <w:rPr>
                <w:rFonts w:eastAsia="MS Gothic"/>
                <w:b w:val="0"/>
                <w:sz w:val="22"/>
              </w:rPr>
            </w:pPr>
          </w:p>
        </w:tc>
        <w:tc>
          <w:tcPr>
            <w:tcW w:w="850" w:type="dxa"/>
            <w:shd w:val="clear" w:color="auto" w:fill="auto"/>
            <w:hideMark/>
          </w:tcPr>
          <w:p w14:paraId="5EE03084"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2</w:t>
            </w:r>
          </w:p>
        </w:tc>
        <w:tc>
          <w:tcPr>
            <w:tcW w:w="851" w:type="dxa"/>
            <w:shd w:val="clear" w:color="auto" w:fill="auto"/>
            <w:hideMark/>
          </w:tcPr>
          <w:p w14:paraId="59B2292B"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100</w:t>
            </w:r>
          </w:p>
        </w:tc>
        <w:tc>
          <w:tcPr>
            <w:tcW w:w="1842" w:type="dxa"/>
            <w:shd w:val="clear" w:color="auto" w:fill="auto"/>
            <w:hideMark/>
          </w:tcPr>
          <w:p w14:paraId="22E24212"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Custom</w:t>
            </w:r>
          </w:p>
        </w:tc>
        <w:tc>
          <w:tcPr>
            <w:tcW w:w="2778" w:type="dxa"/>
            <w:shd w:val="clear" w:color="auto" w:fill="auto"/>
            <w:hideMark/>
          </w:tcPr>
          <w:p w14:paraId="5D0D7225"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Randomness Judgements</w:t>
            </w:r>
          </w:p>
        </w:tc>
        <w:tc>
          <w:tcPr>
            <w:tcW w:w="1818" w:type="dxa"/>
            <w:shd w:val="clear" w:color="auto" w:fill="auto"/>
            <w:hideMark/>
          </w:tcPr>
          <w:p w14:paraId="67E0EBD3"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Mean Split</w:t>
            </w:r>
          </w:p>
        </w:tc>
        <w:tc>
          <w:tcPr>
            <w:tcW w:w="2347" w:type="dxa"/>
            <w:shd w:val="clear" w:color="auto" w:fill="auto"/>
            <w:hideMark/>
          </w:tcPr>
          <w:p w14:paraId="3AC3FD8E"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Not reported</w:t>
            </w:r>
          </w:p>
        </w:tc>
        <w:tc>
          <w:tcPr>
            <w:tcW w:w="772" w:type="dxa"/>
            <w:shd w:val="clear" w:color="auto" w:fill="auto"/>
            <w:hideMark/>
          </w:tcPr>
          <w:p w14:paraId="0BE30CC0"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ns</w:t>
            </w:r>
          </w:p>
        </w:tc>
      </w:tr>
      <w:tr w:rsidR="00922005" w:rsidRPr="00922005" w14:paraId="08DE39A1" w14:textId="77777777" w:rsidTr="00245A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tcPr>
          <w:p w14:paraId="0CA40812" w14:textId="77777777" w:rsidR="00922005" w:rsidRPr="00922005" w:rsidRDefault="00922005" w:rsidP="00922005">
            <w:pPr>
              <w:spacing w:line="300" w:lineRule="exact"/>
              <w:ind w:firstLine="0"/>
              <w:rPr>
                <w:rFonts w:eastAsia="MS Gothic"/>
                <w:b w:val="0"/>
                <w:sz w:val="22"/>
              </w:rPr>
            </w:pPr>
          </w:p>
        </w:tc>
        <w:tc>
          <w:tcPr>
            <w:tcW w:w="850" w:type="dxa"/>
            <w:shd w:val="clear" w:color="auto" w:fill="auto"/>
          </w:tcPr>
          <w:p w14:paraId="0BD64E05"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p>
        </w:tc>
        <w:tc>
          <w:tcPr>
            <w:tcW w:w="851" w:type="dxa"/>
            <w:shd w:val="clear" w:color="auto" w:fill="auto"/>
          </w:tcPr>
          <w:p w14:paraId="377BC120"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p>
        </w:tc>
        <w:tc>
          <w:tcPr>
            <w:tcW w:w="1842" w:type="dxa"/>
            <w:shd w:val="clear" w:color="auto" w:fill="auto"/>
            <w:hideMark/>
          </w:tcPr>
          <w:p w14:paraId="21ACC204"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Custom</w:t>
            </w:r>
          </w:p>
        </w:tc>
        <w:tc>
          <w:tcPr>
            <w:tcW w:w="2778" w:type="dxa"/>
            <w:shd w:val="clear" w:color="auto" w:fill="auto"/>
            <w:hideMark/>
          </w:tcPr>
          <w:p w14:paraId="7B9BE1AD"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Coin Tossing</w:t>
            </w:r>
          </w:p>
        </w:tc>
        <w:tc>
          <w:tcPr>
            <w:tcW w:w="1818" w:type="dxa"/>
            <w:shd w:val="clear" w:color="auto" w:fill="auto"/>
            <w:hideMark/>
          </w:tcPr>
          <w:p w14:paraId="262D9BF7"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Mean Split</w:t>
            </w:r>
          </w:p>
        </w:tc>
        <w:tc>
          <w:tcPr>
            <w:tcW w:w="2347" w:type="dxa"/>
            <w:shd w:val="clear" w:color="auto" w:fill="auto"/>
            <w:hideMark/>
          </w:tcPr>
          <w:p w14:paraId="3EC51EC8"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Not reported</w:t>
            </w:r>
          </w:p>
        </w:tc>
        <w:tc>
          <w:tcPr>
            <w:tcW w:w="772" w:type="dxa"/>
            <w:shd w:val="clear" w:color="auto" w:fill="auto"/>
            <w:hideMark/>
          </w:tcPr>
          <w:p w14:paraId="2B3AC682"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ns</w:t>
            </w:r>
          </w:p>
        </w:tc>
      </w:tr>
      <w:tr w:rsidR="00922005" w:rsidRPr="00922005" w14:paraId="5C900DE3" w14:textId="77777777" w:rsidTr="00245A59">
        <w:trPr>
          <w:trHeight w:val="397"/>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tcPr>
          <w:p w14:paraId="50558524" w14:textId="77777777" w:rsidR="00922005" w:rsidRPr="00922005" w:rsidRDefault="00922005" w:rsidP="00922005">
            <w:pPr>
              <w:spacing w:line="300" w:lineRule="exact"/>
              <w:ind w:firstLine="0"/>
              <w:rPr>
                <w:rFonts w:eastAsia="MS Gothic"/>
                <w:b w:val="0"/>
                <w:sz w:val="22"/>
              </w:rPr>
            </w:pPr>
          </w:p>
        </w:tc>
        <w:tc>
          <w:tcPr>
            <w:tcW w:w="850" w:type="dxa"/>
            <w:shd w:val="clear" w:color="auto" w:fill="auto"/>
          </w:tcPr>
          <w:p w14:paraId="7BE1A3FF"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p>
        </w:tc>
        <w:tc>
          <w:tcPr>
            <w:tcW w:w="851" w:type="dxa"/>
            <w:shd w:val="clear" w:color="auto" w:fill="auto"/>
          </w:tcPr>
          <w:p w14:paraId="1A5D5963"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p>
        </w:tc>
        <w:tc>
          <w:tcPr>
            <w:tcW w:w="1842" w:type="dxa"/>
            <w:shd w:val="clear" w:color="auto" w:fill="auto"/>
            <w:hideMark/>
          </w:tcPr>
          <w:p w14:paraId="0A3AE63D"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Custom</w:t>
            </w:r>
          </w:p>
        </w:tc>
        <w:tc>
          <w:tcPr>
            <w:tcW w:w="2778" w:type="dxa"/>
            <w:shd w:val="clear" w:color="auto" w:fill="auto"/>
            <w:hideMark/>
          </w:tcPr>
          <w:p w14:paraId="109F5947"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Sampling Questions</w:t>
            </w:r>
          </w:p>
        </w:tc>
        <w:tc>
          <w:tcPr>
            <w:tcW w:w="1818" w:type="dxa"/>
            <w:shd w:val="clear" w:color="auto" w:fill="auto"/>
            <w:hideMark/>
          </w:tcPr>
          <w:p w14:paraId="4C30A53A"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Mean Split</w:t>
            </w:r>
          </w:p>
        </w:tc>
        <w:tc>
          <w:tcPr>
            <w:tcW w:w="2347" w:type="dxa"/>
            <w:shd w:val="clear" w:color="auto" w:fill="auto"/>
            <w:hideMark/>
          </w:tcPr>
          <w:p w14:paraId="013F70E6"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proofErr w:type="gramStart"/>
            <w:r w:rsidRPr="00922005">
              <w:rPr>
                <w:rFonts w:eastAsia="MS Gothic"/>
                <w:bCs/>
                <w:i/>
                <w:sz w:val="22"/>
              </w:rPr>
              <w:t>t</w:t>
            </w:r>
            <w:r w:rsidRPr="00922005">
              <w:rPr>
                <w:rFonts w:eastAsia="MS Gothic"/>
                <w:bCs/>
                <w:sz w:val="22"/>
              </w:rPr>
              <w:t>(</w:t>
            </w:r>
            <w:proofErr w:type="gramEnd"/>
            <w:r w:rsidRPr="00922005">
              <w:rPr>
                <w:rFonts w:eastAsia="MS Gothic"/>
                <w:bCs/>
                <w:sz w:val="22"/>
              </w:rPr>
              <w:t xml:space="preserve">98) = 2.58, </w:t>
            </w:r>
            <w:r w:rsidRPr="00922005">
              <w:rPr>
                <w:rFonts w:eastAsia="MS Gothic"/>
                <w:bCs/>
                <w:i/>
                <w:sz w:val="22"/>
              </w:rPr>
              <w:t xml:space="preserve">d </w:t>
            </w:r>
            <w:r w:rsidRPr="00922005">
              <w:rPr>
                <w:rFonts w:eastAsia="MS Gothic"/>
                <w:bCs/>
                <w:sz w:val="22"/>
              </w:rPr>
              <w:t>= 0.52</w:t>
            </w:r>
          </w:p>
        </w:tc>
        <w:tc>
          <w:tcPr>
            <w:tcW w:w="772" w:type="dxa"/>
            <w:shd w:val="clear" w:color="auto" w:fill="auto"/>
            <w:hideMark/>
          </w:tcPr>
          <w:p w14:paraId="79DADE53"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.011</w:t>
            </w:r>
          </w:p>
        </w:tc>
      </w:tr>
      <w:tr w:rsidR="00922005" w:rsidRPr="00922005" w14:paraId="3EC54241" w14:textId="77777777" w:rsidTr="00245A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tcPr>
          <w:p w14:paraId="1D71ACE3" w14:textId="77777777" w:rsidR="00922005" w:rsidRPr="00922005" w:rsidRDefault="00922005" w:rsidP="00922005">
            <w:pPr>
              <w:spacing w:after="120" w:line="300" w:lineRule="exact"/>
              <w:ind w:firstLine="0"/>
              <w:rPr>
                <w:rFonts w:eastAsia="MS Gothic"/>
                <w:b w:val="0"/>
                <w:sz w:val="22"/>
              </w:rPr>
            </w:pPr>
          </w:p>
        </w:tc>
        <w:tc>
          <w:tcPr>
            <w:tcW w:w="850" w:type="dxa"/>
            <w:shd w:val="clear" w:color="auto" w:fill="auto"/>
            <w:hideMark/>
          </w:tcPr>
          <w:p w14:paraId="2D0237C3" w14:textId="77777777" w:rsidR="00922005" w:rsidRPr="00922005" w:rsidRDefault="00922005" w:rsidP="00922005">
            <w:pPr>
              <w:spacing w:after="120"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3</w:t>
            </w:r>
          </w:p>
        </w:tc>
        <w:tc>
          <w:tcPr>
            <w:tcW w:w="851" w:type="dxa"/>
            <w:shd w:val="clear" w:color="auto" w:fill="auto"/>
            <w:hideMark/>
          </w:tcPr>
          <w:p w14:paraId="49220FA0" w14:textId="77777777" w:rsidR="00922005" w:rsidRPr="00922005" w:rsidRDefault="00922005" w:rsidP="00922005">
            <w:pPr>
              <w:spacing w:after="120"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53</w:t>
            </w:r>
          </w:p>
        </w:tc>
        <w:tc>
          <w:tcPr>
            <w:tcW w:w="1842" w:type="dxa"/>
            <w:shd w:val="clear" w:color="auto" w:fill="auto"/>
            <w:hideMark/>
          </w:tcPr>
          <w:p w14:paraId="3ABE5A85" w14:textId="77777777" w:rsidR="00922005" w:rsidRPr="00922005" w:rsidRDefault="00922005" w:rsidP="00922005">
            <w:pPr>
              <w:spacing w:after="120"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Custom</w:t>
            </w:r>
          </w:p>
        </w:tc>
        <w:tc>
          <w:tcPr>
            <w:tcW w:w="2778" w:type="dxa"/>
            <w:shd w:val="clear" w:color="auto" w:fill="auto"/>
            <w:hideMark/>
          </w:tcPr>
          <w:p w14:paraId="33A381A6" w14:textId="77777777" w:rsidR="00922005" w:rsidRPr="00922005" w:rsidRDefault="00922005" w:rsidP="00922005">
            <w:pPr>
              <w:spacing w:after="120"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Estimate of Chance</w:t>
            </w:r>
          </w:p>
        </w:tc>
        <w:tc>
          <w:tcPr>
            <w:tcW w:w="1818" w:type="dxa"/>
            <w:shd w:val="clear" w:color="auto" w:fill="auto"/>
            <w:hideMark/>
          </w:tcPr>
          <w:p w14:paraId="22B19546" w14:textId="77777777" w:rsidR="00922005" w:rsidRPr="00922005" w:rsidRDefault="00922005" w:rsidP="00922005">
            <w:pPr>
              <w:spacing w:after="120"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Mean Split</w:t>
            </w:r>
          </w:p>
        </w:tc>
        <w:tc>
          <w:tcPr>
            <w:tcW w:w="2347" w:type="dxa"/>
            <w:shd w:val="clear" w:color="auto" w:fill="auto"/>
            <w:hideMark/>
          </w:tcPr>
          <w:p w14:paraId="11B85B59" w14:textId="77777777" w:rsidR="00922005" w:rsidRPr="00922005" w:rsidRDefault="00922005" w:rsidP="00922005">
            <w:pPr>
              <w:spacing w:after="120"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proofErr w:type="gramStart"/>
            <w:r w:rsidRPr="00922005">
              <w:rPr>
                <w:rFonts w:eastAsia="MS Gothic"/>
                <w:bCs/>
                <w:i/>
                <w:sz w:val="22"/>
              </w:rPr>
              <w:t>t</w:t>
            </w:r>
            <w:r w:rsidRPr="00922005">
              <w:rPr>
                <w:rFonts w:eastAsia="MS Gothic"/>
                <w:bCs/>
                <w:sz w:val="22"/>
              </w:rPr>
              <w:t>(</w:t>
            </w:r>
            <w:proofErr w:type="gramEnd"/>
            <w:r w:rsidRPr="00922005">
              <w:rPr>
                <w:rFonts w:eastAsia="MS Gothic"/>
                <w:bCs/>
                <w:sz w:val="22"/>
              </w:rPr>
              <w:t xml:space="preserve">98) = 2.10, </w:t>
            </w:r>
            <w:r w:rsidRPr="00922005">
              <w:rPr>
                <w:rFonts w:eastAsia="MS Gothic"/>
                <w:bCs/>
                <w:i/>
                <w:sz w:val="22"/>
              </w:rPr>
              <w:t xml:space="preserve">d </w:t>
            </w:r>
            <w:r w:rsidRPr="00922005">
              <w:rPr>
                <w:rFonts w:eastAsia="MS Gothic"/>
                <w:bCs/>
                <w:sz w:val="22"/>
              </w:rPr>
              <w:t>= 0.42</w:t>
            </w:r>
          </w:p>
        </w:tc>
        <w:tc>
          <w:tcPr>
            <w:tcW w:w="772" w:type="dxa"/>
            <w:shd w:val="clear" w:color="auto" w:fill="auto"/>
            <w:hideMark/>
          </w:tcPr>
          <w:p w14:paraId="689532A8" w14:textId="77777777" w:rsidR="00922005" w:rsidRPr="00922005" w:rsidRDefault="00922005" w:rsidP="00922005">
            <w:pPr>
              <w:spacing w:after="120"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.038</w:t>
            </w:r>
          </w:p>
        </w:tc>
      </w:tr>
      <w:tr w:rsidR="00922005" w:rsidRPr="00922005" w14:paraId="5071E7DB" w14:textId="77777777" w:rsidTr="00245A59">
        <w:trPr>
          <w:trHeight w:val="397"/>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hideMark/>
          </w:tcPr>
          <w:p w14:paraId="308B8EAE" w14:textId="77777777" w:rsidR="00922005" w:rsidRPr="00922005" w:rsidRDefault="00922005" w:rsidP="00922005">
            <w:pPr>
              <w:spacing w:after="120" w:line="300" w:lineRule="exact"/>
              <w:ind w:firstLine="0"/>
              <w:rPr>
                <w:rFonts w:eastAsia="MS Gothic"/>
                <w:b w:val="0"/>
                <w:sz w:val="22"/>
              </w:rPr>
            </w:pPr>
            <w:r w:rsidRPr="00922005">
              <w:rPr>
                <w:rFonts w:eastAsia="MS Gothic"/>
                <w:b w:val="0"/>
                <w:sz w:val="22"/>
              </w:rPr>
              <w:t>Blagrove et al. (2006)</w:t>
            </w:r>
          </w:p>
        </w:tc>
        <w:tc>
          <w:tcPr>
            <w:tcW w:w="850" w:type="dxa"/>
            <w:shd w:val="clear" w:color="auto" w:fill="auto"/>
          </w:tcPr>
          <w:p w14:paraId="74ED8598" w14:textId="77777777" w:rsidR="00922005" w:rsidRPr="00922005" w:rsidRDefault="00922005" w:rsidP="00922005">
            <w:pPr>
              <w:spacing w:after="120"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p>
        </w:tc>
        <w:tc>
          <w:tcPr>
            <w:tcW w:w="851" w:type="dxa"/>
            <w:shd w:val="clear" w:color="auto" w:fill="auto"/>
            <w:hideMark/>
          </w:tcPr>
          <w:p w14:paraId="572B16FF" w14:textId="77777777" w:rsidR="00922005" w:rsidRPr="00922005" w:rsidRDefault="00922005" w:rsidP="00922005">
            <w:pPr>
              <w:spacing w:after="120"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385</w:t>
            </w:r>
          </w:p>
        </w:tc>
        <w:tc>
          <w:tcPr>
            <w:tcW w:w="1842" w:type="dxa"/>
            <w:shd w:val="clear" w:color="auto" w:fill="auto"/>
            <w:hideMark/>
          </w:tcPr>
          <w:p w14:paraId="2B1E1B5D" w14:textId="77777777" w:rsidR="00922005" w:rsidRPr="00922005" w:rsidRDefault="00922005" w:rsidP="00922005">
            <w:pPr>
              <w:spacing w:after="120"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Dreams</w:t>
            </w:r>
          </w:p>
        </w:tc>
        <w:tc>
          <w:tcPr>
            <w:tcW w:w="2778" w:type="dxa"/>
            <w:shd w:val="clear" w:color="auto" w:fill="auto"/>
            <w:hideMark/>
          </w:tcPr>
          <w:p w14:paraId="3D0C99C0" w14:textId="77777777" w:rsidR="00922005" w:rsidRPr="00922005" w:rsidRDefault="00922005" w:rsidP="00922005">
            <w:pPr>
              <w:spacing w:after="120"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Dice Rolls</w:t>
            </w:r>
          </w:p>
        </w:tc>
        <w:tc>
          <w:tcPr>
            <w:tcW w:w="1818" w:type="dxa"/>
            <w:shd w:val="clear" w:color="auto" w:fill="auto"/>
            <w:hideMark/>
          </w:tcPr>
          <w:p w14:paraId="277321DC" w14:textId="77777777" w:rsidR="00922005" w:rsidRPr="00922005" w:rsidRDefault="00922005" w:rsidP="00922005">
            <w:pPr>
              <w:spacing w:after="120"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Categorical</w:t>
            </w:r>
          </w:p>
        </w:tc>
        <w:tc>
          <w:tcPr>
            <w:tcW w:w="2347" w:type="dxa"/>
            <w:shd w:val="clear" w:color="auto" w:fill="auto"/>
            <w:hideMark/>
          </w:tcPr>
          <w:p w14:paraId="06E6B6DD" w14:textId="77777777" w:rsidR="00922005" w:rsidRPr="00922005" w:rsidRDefault="00922005" w:rsidP="00922005">
            <w:pPr>
              <w:spacing w:after="120"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i/>
                <w:sz w:val="22"/>
              </w:rPr>
            </w:pPr>
            <w:r w:rsidRPr="00922005">
              <w:rPr>
                <w:rFonts w:eastAsia="MS Gothic"/>
                <w:bCs/>
                <w:i/>
                <w:sz w:val="22"/>
              </w:rPr>
              <w:t>χ</w:t>
            </w:r>
            <w:r w:rsidRPr="00922005">
              <w:rPr>
                <w:rFonts w:eastAsia="MS Gothic"/>
                <w:bCs/>
                <w:sz w:val="22"/>
                <w:vertAlign w:val="superscript"/>
              </w:rPr>
              <w:t>2</w:t>
            </w:r>
            <w:r w:rsidRPr="00922005">
              <w:rPr>
                <w:rFonts w:eastAsia="MS Gothic"/>
                <w:bCs/>
                <w:sz w:val="22"/>
              </w:rPr>
              <w:t xml:space="preserve">(4) = 4.43, </w:t>
            </w:r>
            <w:r w:rsidRPr="00922005">
              <w:rPr>
                <w:rFonts w:eastAsia="MS Gothic"/>
                <w:bCs/>
                <w:i/>
                <w:sz w:val="22"/>
              </w:rPr>
              <w:t>V</w:t>
            </w:r>
            <w:r w:rsidRPr="00922005">
              <w:rPr>
                <w:rFonts w:eastAsia="MS Gothic"/>
                <w:bCs/>
                <w:sz w:val="22"/>
              </w:rPr>
              <w:t xml:space="preserve"> = .05</w:t>
            </w:r>
          </w:p>
        </w:tc>
        <w:tc>
          <w:tcPr>
            <w:tcW w:w="772" w:type="dxa"/>
            <w:shd w:val="clear" w:color="auto" w:fill="auto"/>
            <w:hideMark/>
          </w:tcPr>
          <w:p w14:paraId="5C01E9C4" w14:textId="77777777" w:rsidR="00922005" w:rsidRPr="00922005" w:rsidRDefault="00922005" w:rsidP="00922005">
            <w:pPr>
              <w:spacing w:after="120"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.35</w:t>
            </w:r>
          </w:p>
        </w:tc>
      </w:tr>
      <w:tr w:rsidR="00922005" w:rsidRPr="00922005" w14:paraId="70C0EA53" w14:textId="77777777" w:rsidTr="00245A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hideMark/>
          </w:tcPr>
          <w:p w14:paraId="3CD8ACBA" w14:textId="77777777" w:rsidR="00922005" w:rsidRPr="00922005" w:rsidRDefault="00922005" w:rsidP="00922005">
            <w:pPr>
              <w:spacing w:line="300" w:lineRule="exact"/>
              <w:ind w:firstLine="0"/>
              <w:rPr>
                <w:rFonts w:eastAsia="MS Gothic"/>
                <w:b w:val="0"/>
                <w:sz w:val="22"/>
              </w:rPr>
            </w:pPr>
            <w:proofErr w:type="spellStart"/>
            <w:r w:rsidRPr="00922005">
              <w:rPr>
                <w:rFonts w:eastAsia="MS Gothic"/>
                <w:b w:val="0"/>
                <w:sz w:val="22"/>
              </w:rPr>
              <w:t>Bressan</w:t>
            </w:r>
            <w:proofErr w:type="spellEnd"/>
            <w:r w:rsidRPr="00922005">
              <w:rPr>
                <w:rFonts w:eastAsia="MS Gothic"/>
                <w:b w:val="0"/>
                <w:sz w:val="22"/>
              </w:rPr>
              <w:t xml:space="preserve"> (2002)</w:t>
            </w:r>
          </w:p>
        </w:tc>
        <w:tc>
          <w:tcPr>
            <w:tcW w:w="850" w:type="dxa"/>
            <w:shd w:val="clear" w:color="auto" w:fill="auto"/>
            <w:hideMark/>
          </w:tcPr>
          <w:p w14:paraId="5F673230"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1</w:t>
            </w:r>
          </w:p>
        </w:tc>
        <w:tc>
          <w:tcPr>
            <w:tcW w:w="851" w:type="dxa"/>
            <w:shd w:val="clear" w:color="auto" w:fill="auto"/>
            <w:hideMark/>
          </w:tcPr>
          <w:p w14:paraId="14FD3461"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111</w:t>
            </w:r>
          </w:p>
        </w:tc>
        <w:tc>
          <w:tcPr>
            <w:tcW w:w="1842" w:type="dxa"/>
            <w:shd w:val="clear" w:color="auto" w:fill="auto"/>
            <w:hideMark/>
          </w:tcPr>
          <w:p w14:paraId="50CF3804"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Custom</w:t>
            </w:r>
          </w:p>
        </w:tc>
        <w:tc>
          <w:tcPr>
            <w:tcW w:w="2778" w:type="dxa"/>
            <w:shd w:val="clear" w:color="auto" w:fill="auto"/>
            <w:hideMark/>
          </w:tcPr>
          <w:p w14:paraId="38A4D5EF"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Sampling Questions</w:t>
            </w:r>
          </w:p>
        </w:tc>
        <w:tc>
          <w:tcPr>
            <w:tcW w:w="1818" w:type="dxa"/>
            <w:shd w:val="clear" w:color="auto" w:fill="auto"/>
            <w:hideMark/>
          </w:tcPr>
          <w:p w14:paraId="26AFFB8E"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Quartiles</w:t>
            </w:r>
          </w:p>
        </w:tc>
        <w:tc>
          <w:tcPr>
            <w:tcW w:w="2347" w:type="dxa"/>
            <w:shd w:val="clear" w:color="auto" w:fill="auto"/>
            <w:hideMark/>
          </w:tcPr>
          <w:p w14:paraId="4852463C"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proofErr w:type="gramStart"/>
            <w:r w:rsidRPr="00922005">
              <w:rPr>
                <w:rFonts w:eastAsia="MS Gothic"/>
                <w:bCs/>
                <w:i/>
                <w:sz w:val="22"/>
              </w:rPr>
              <w:t>t</w:t>
            </w:r>
            <w:r w:rsidRPr="00922005">
              <w:rPr>
                <w:rFonts w:eastAsia="MS Gothic"/>
                <w:bCs/>
                <w:sz w:val="22"/>
              </w:rPr>
              <w:t>(</w:t>
            </w:r>
            <w:proofErr w:type="gramEnd"/>
            <w:r w:rsidRPr="00922005">
              <w:rPr>
                <w:rFonts w:eastAsia="MS Gothic"/>
                <w:bCs/>
                <w:sz w:val="22"/>
              </w:rPr>
              <w:t>54) &lt; 1.5</w:t>
            </w:r>
          </w:p>
        </w:tc>
        <w:tc>
          <w:tcPr>
            <w:tcW w:w="772" w:type="dxa"/>
            <w:shd w:val="clear" w:color="auto" w:fill="auto"/>
            <w:hideMark/>
          </w:tcPr>
          <w:p w14:paraId="175D48DC"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ns</w:t>
            </w:r>
          </w:p>
        </w:tc>
      </w:tr>
      <w:tr w:rsidR="00922005" w:rsidRPr="00922005" w14:paraId="5CACF0D8" w14:textId="77777777" w:rsidTr="00245A59">
        <w:trPr>
          <w:trHeight w:val="397"/>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tcPr>
          <w:p w14:paraId="33EA5A27" w14:textId="77777777" w:rsidR="00922005" w:rsidRPr="00922005" w:rsidRDefault="00922005" w:rsidP="00922005">
            <w:pPr>
              <w:spacing w:line="300" w:lineRule="exact"/>
              <w:ind w:firstLine="0"/>
              <w:rPr>
                <w:rFonts w:eastAsia="MS Gothic"/>
                <w:b w:val="0"/>
                <w:sz w:val="22"/>
              </w:rPr>
            </w:pPr>
          </w:p>
        </w:tc>
        <w:tc>
          <w:tcPr>
            <w:tcW w:w="850" w:type="dxa"/>
            <w:shd w:val="clear" w:color="auto" w:fill="auto"/>
          </w:tcPr>
          <w:p w14:paraId="40916881"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p>
        </w:tc>
        <w:tc>
          <w:tcPr>
            <w:tcW w:w="851" w:type="dxa"/>
            <w:shd w:val="clear" w:color="auto" w:fill="auto"/>
          </w:tcPr>
          <w:p w14:paraId="2562EAA4"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p>
        </w:tc>
        <w:tc>
          <w:tcPr>
            <w:tcW w:w="1842" w:type="dxa"/>
            <w:shd w:val="clear" w:color="auto" w:fill="auto"/>
            <w:hideMark/>
          </w:tcPr>
          <w:p w14:paraId="5ED05DE2"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Custom</w:t>
            </w:r>
          </w:p>
        </w:tc>
        <w:tc>
          <w:tcPr>
            <w:tcW w:w="2778" w:type="dxa"/>
            <w:shd w:val="clear" w:color="auto" w:fill="auto"/>
            <w:hideMark/>
          </w:tcPr>
          <w:p w14:paraId="7AAE8BCD"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Maternity Ward Problem</w:t>
            </w:r>
          </w:p>
        </w:tc>
        <w:tc>
          <w:tcPr>
            <w:tcW w:w="1818" w:type="dxa"/>
            <w:shd w:val="clear" w:color="auto" w:fill="auto"/>
            <w:hideMark/>
          </w:tcPr>
          <w:p w14:paraId="15363C79"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Quartiles</w:t>
            </w:r>
          </w:p>
        </w:tc>
        <w:tc>
          <w:tcPr>
            <w:tcW w:w="2347" w:type="dxa"/>
            <w:shd w:val="clear" w:color="auto" w:fill="auto"/>
            <w:hideMark/>
          </w:tcPr>
          <w:p w14:paraId="5CBAB151"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Not reported</w:t>
            </w:r>
          </w:p>
        </w:tc>
        <w:tc>
          <w:tcPr>
            <w:tcW w:w="772" w:type="dxa"/>
            <w:shd w:val="clear" w:color="auto" w:fill="auto"/>
            <w:hideMark/>
          </w:tcPr>
          <w:p w14:paraId="01315595"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ns</w:t>
            </w:r>
          </w:p>
        </w:tc>
      </w:tr>
      <w:tr w:rsidR="00922005" w:rsidRPr="00922005" w14:paraId="536405D6" w14:textId="77777777" w:rsidTr="00245A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tcPr>
          <w:p w14:paraId="71A085C1" w14:textId="77777777" w:rsidR="00922005" w:rsidRPr="00922005" w:rsidRDefault="00922005" w:rsidP="00922005">
            <w:pPr>
              <w:spacing w:line="300" w:lineRule="exact"/>
              <w:ind w:firstLine="0"/>
              <w:rPr>
                <w:rFonts w:eastAsia="MS Gothic"/>
                <w:b w:val="0"/>
                <w:sz w:val="22"/>
              </w:rPr>
            </w:pPr>
          </w:p>
        </w:tc>
        <w:tc>
          <w:tcPr>
            <w:tcW w:w="850" w:type="dxa"/>
            <w:shd w:val="clear" w:color="auto" w:fill="auto"/>
            <w:hideMark/>
          </w:tcPr>
          <w:p w14:paraId="36382903"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2</w:t>
            </w:r>
          </w:p>
        </w:tc>
        <w:tc>
          <w:tcPr>
            <w:tcW w:w="851" w:type="dxa"/>
            <w:shd w:val="clear" w:color="auto" w:fill="auto"/>
            <w:hideMark/>
          </w:tcPr>
          <w:p w14:paraId="238A2126"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103</w:t>
            </w:r>
          </w:p>
        </w:tc>
        <w:tc>
          <w:tcPr>
            <w:tcW w:w="1842" w:type="dxa"/>
            <w:shd w:val="clear" w:color="auto" w:fill="auto"/>
            <w:hideMark/>
          </w:tcPr>
          <w:p w14:paraId="0526661B"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Custom</w:t>
            </w:r>
          </w:p>
        </w:tc>
        <w:tc>
          <w:tcPr>
            <w:tcW w:w="2778" w:type="dxa"/>
            <w:shd w:val="clear" w:color="auto" w:fill="auto"/>
            <w:hideMark/>
          </w:tcPr>
          <w:p w14:paraId="2D27CF3C"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Pollster Problem</w:t>
            </w:r>
          </w:p>
        </w:tc>
        <w:tc>
          <w:tcPr>
            <w:tcW w:w="1818" w:type="dxa"/>
            <w:shd w:val="clear" w:color="auto" w:fill="auto"/>
            <w:hideMark/>
          </w:tcPr>
          <w:p w14:paraId="6B45F7D4"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Continuous</w:t>
            </w:r>
          </w:p>
        </w:tc>
        <w:tc>
          <w:tcPr>
            <w:tcW w:w="2347" w:type="dxa"/>
            <w:shd w:val="clear" w:color="auto" w:fill="auto"/>
            <w:hideMark/>
          </w:tcPr>
          <w:p w14:paraId="76416158"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i/>
                <w:sz w:val="22"/>
              </w:rPr>
              <w:t>r</w:t>
            </w:r>
            <w:r w:rsidRPr="00922005">
              <w:rPr>
                <w:rFonts w:eastAsia="MS Gothic"/>
                <w:bCs/>
                <w:sz w:val="22"/>
              </w:rPr>
              <w:t xml:space="preserve"> = -.07</w:t>
            </w:r>
          </w:p>
        </w:tc>
        <w:tc>
          <w:tcPr>
            <w:tcW w:w="772" w:type="dxa"/>
            <w:shd w:val="clear" w:color="auto" w:fill="auto"/>
            <w:hideMark/>
          </w:tcPr>
          <w:p w14:paraId="45406B5F"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.48</w:t>
            </w:r>
          </w:p>
        </w:tc>
      </w:tr>
      <w:tr w:rsidR="00922005" w:rsidRPr="00922005" w14:paraId="28DC4A37" w14:textId="77777777" w:rsidTr="00245A59">
        <w:trPr>
          <w:trHeight w:val="397"/>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tcPr>
          <w:p w14:paraId="3F40B2EA" w14:textId="77777777" w:rsidR="00922005" w:rsidRPr="00922005" w:rsidRDefault="00922005" w:rsidP="00922005">
            <w:pPr>
              <w:spacing w:line="300" w:lineRule="exact"/>
              <w:ind w:firstLine="0"/>
              <w:rPr>
                <w:rFonts w:eastAsia="MS Gothic"/>
                <w:b w:val="0"/>
                <w:sz w:val="22"/>
              </w:rPr>
            </w:pPr>
          </w:p>
        </w:tc>
        <w:tc>
          <w:tcPr>
            <w:tcW w:w="850" w:type="dxa"/>
            <w:shd w:val="clear" w:color="auto" w:fill="auto"/>
          </w:tcPr>
          <w:p w14:paraId="301CA27C"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p>
        </w:tc>
        <w:tc>
          <w:tcPr>
            <w:tcW w:w="851" w:type="dxa"/>
            <w:shd w:val="clear" w:color="auto" w:fill="auto"/>
          </w:tcPr>
          <w:p w14:paraId="559242F7"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p>
        </w:tc>
        <w:tc>
          <w:tcPr>
            <w:tcW w:w="1842" w:type="dxa"/>
            <w:shd w:val="clear" w:color="auto" w:fill="auto"/>
            <w:hideMark/>
          </w:tcPr>
          <w:p w14:paraId="671FE85A"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Custom</w:t>
            </w:r>
          </w:p>
        </w:tc>
        <w:tc>
          <w:tcPr>
            <w:tcW w:w="2778" w:type="dxa"/>
            <w:shd w:val="clear" w:color="auto" w:fill="auto"/>
            <w:hideMark/>
          </w:tcPr>
          <w:p w14:paraId="4E21B0BE"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Coin Tossing</w:t>
            </w:r>
          </w:p>
        </w:tc>
        <w:tc>
          <w:tcPr>
            <w:tcW w:w="1818" w:type="dxa"/>
            <w:shd w:val="clear" w:color="auto" w:fill="auto"/>
            <w:hideMark/>
          </w:tcPr>
          <w:p w14:paraId="7D864003"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Continuous</w:t>
            </w:r>
          </w:p>
        </w:tc>
        <w:tc>
          <w:tcPr>
            <w:tcW w:w="2347" w:type="dxa"/>
            <w:shd w:val="clear" w:color="auto" w:fill="auto"/>
            <w:hideMark/>
          </w:tcPr>
          <w:p w14:paraId="2252AEE0"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i/>
                <w:sz w:val="22"/>
              </w:rPr>
            </w:pPr>
            <w:proofErr w:type="spellStart"/>
            <w:r w:rsidRPr="00922005">
              <w:rPr>
                <w:rFonts w:eastAsia="MS Gothic"/>
                <w:bCs/>
                <w:i/>
                <w:sz w:val="22"/>
              </w:rPr>
              <w:t>r</w:t>
            </w:r>
            <w:r w:rsidRPr="00922005">
              <w:rPr>
                <w:rFonts w:eastAsia="MS Gothic"/>
                <w:bCs/>
                <w:i/>
                <w:sz w:val="22"/>
                <w:vertAlign w:val="subscript"/>
              </w:rPr>
              <w:t>s</w:t>
            </w:r>
            <w:proofErr w:type="spellEnd"/>
            <w:r w:rsidRPr="00922005">
              <w:rPr>
                <w:rFonts w:eastAsia="MS Gothic"/>
                <w:bCs/>
                <w:sz w:val="22"/>
              </w:rPr>
              <w:t xml:space="preserve"> = -.38</w:t>
            </w:r>
          </w:p>
        </w:tc>
        <w:tc>
          <w:tcPr>
            <w:tcW w:w="772" w:type="dxa"/>
            <w:shd w:val="clear" w:color="auto" w:fill="auto"/>
            <w:hideMark/>
          </w:tcPr>
          <w:p w14:paraId="590B7D8C"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&lt;.001</w:t>
            </w:r>
          </w:p>
        </w:tc>
      </w:tr>
      <w:tr w:rsidR="00922005" w:rsidRPr="00922005" w14:paraId="5B046360" w14:textId="77777777" w:rsidTr="00245A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tcPr>
          <w:p w14:paraId="2617D81B" w14:textId="77777777" w:rsidR="00922005" w:rsidRPr="00922005" w:rsidRDefault="00922005" w:rsidP="00922005">
            <w:pPr>
              <w:spacing w:line="300" w:lineRule="exact"/>
              <w:ind w:firstLine="0"/>
              <w:rPr>
                <w:rFonts w:eastAsia="MS Gothic"/>
                <w:b w:val="0"/>
                <w:sz w:val="22"/>
              </w:rPr>
            </w:pPr>
          </w:p>
        </w:tc>
        <w:tc>
          <w:tcPr>
            <w:tcW w:w="850" w:type="dxa"/>
            <w:shd w:val="clear" w:color="auto" w:fill="auto"/>
          </w:tcPr>
          <w:p w14:paraId="7BCA3927"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p>
        </w:tc>
        <w:tc>
          <w:tcPr>
            <w:tcW w:w="851" w:type="dxa"/>
            <w:shd w:val="clear" w:color="auto" w:fill="auto"/>
          </w:tcPr>
          <w:p w14:paraId="17FF99F6"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p>
        </w:tc>
        <w:tc>
          <w:tcPr>
            <w:tcW w:w="1842" w:type="dxa"/>
            <w:shd w:val="clear" w:color="auto" w:fill="auto"/>
            <w:hideMark/>
          </w:tcPr>
          <w:p w14:paraId="43C23188"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Custom</w:t>
            </w:r>
          </w:p>
        </w:tc>
        <w:tc>
          <w:tcPr>
            <w:tcW w:w="2778" w:type="dxa"/>
            <w:shd w:val="clear" w:color="auto" w:fill="auto"/>
            <w:hideMark/>
          </w:tcPr>
          <w:p w14:paraId="0BF30CF8"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Birth Orders</w:t>
            </w:r>
          </w:p>
        </w:tc>
        <w:tc>
          <w:tcPr>
            <w:tcW w:w="1818" w:type="dxa"/>
            <w:shd w:val="clear" w:color="auto" w:fill="auto"/>
            <w:hideMark/>
          </w:tcPr>
          <w:p w14:paraId="0645426A"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Continuous</w:t>
            </w:r>
          </w:p>
        </w:tc>
        <w:tc>
          <w:tcPr>
            <w:tcW w:w="2347" w:type="dxa"/>
            <w:shd w:val="clear" w:color="auto" w:fill="auto"/>
            <w:hideMark/>
          </w:tcPr>
          <w:p w14:paraId="2A119874"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i/>
                <w:sz w:val="22"/>
              </w:rPr>
            </w:pPr>
            <w:r w:rsidRPr="00922005">
              <w:rPr>
                <w:rFonts w:eastAsia="MS Gothic"/>
                <w:bCs/>
                <w:i/>
                <w:sz w:val="22"/>
              </w:rPr>
              <w:t>r</w:t>
            </w:r>
            <w:r w:rsidRPr="00922005">
              <w:rPr>
                <w:rFonts w:eastAsia="MS Gothic"/>
                <w:bCs/>
                <w:sz w:val="22"/>
              </w:rPr>
              <w:t xml:space="preserve"> = -.05</w:t>
            </w:r>
          </w:p>
        </w:tc>
        <w:tc>
          <w:tcPr>
            <w:tcW w:w="772" w:type="dxa"/>
            <w:shd w:val="clear" w:color="auto" w:fill="auto"/>
            <w:hideMark/>
          </w:tcPr>
          <w:p w14:paraId="0012599C"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.62</w:t>
            </w:r>
          </w:p>
        </w:tc>
      </w:tr>
      <w:tr w:rsidR="00922005" w:rsidRPr="00922005" w14:paraId="28DEABA1" w14:textId="77777777" w:rsidTr="00245A59">
        <w:trPr>
          <w:trHeight w:val="397"/>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tcPr>
          <w:p w14:paraId="5265526F" w14:textId="77777777" w:rsidR="00922005" w:rsidRPr="00922005" w:rsidRDefault="00922005" w:rsidP="00922005">
            <w:pPr>
              <w:spacing w:after="120" w:line="300" w:lineRule="exact"/>
              <w:ind w:firstLine="0"/>
              <w:rPr>
                <w:rFonts w:eastAsia="MS Gothic"/>
                <w:b w:val="0"/>
                <w:sz w:val="22"/>
              </w:rPr>
            </w:pPr>
          </w:p>
        </w:tc>
        <w:tc>
          <w:tcPr>
            <w:tcW w:w="850" w:type="dxa"/>
            <w:shd w:val="clear" w:color="auto" w:fill="auto"/>
          </w:tcPr>
          <w:p w14:paraId="14185DC5" w14:textId="77777777" w:rsidR="00922005" w:rsidRPr="00922005" w:rsidRDefault="00922005" w:rsidP="00922005">
            <w:pPr>
              <w:spacing w:after="120"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p>
        </w:tc>
        <w:tc>
          <w:tcPr>
            <w:tcW w:w="851" w:type="dxa"/>
            <w:shd w:val="clear" w:color="auto" w:fill="auto"/>
          </w:tcPr>
          <w:p w14:paraId="05D20232" w14:textId="77777777" w:rsidR="00922005" w:rsidRPr="00922005" w:rsidRDefault="00922005" w:rsidP="00922005">
            <w:pPr>
              <w:spacing w:after="120"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p>
        </w:tc>
        <w:tc>
          <w:tcPr>
            <w:tcW w:w="1842" w:type="dxa"/>
            <w:shd w:val="clear" w:color="auto" w:fill="auto"/>
            <w:hideMark/>
          </w:tcPr>
          <w:p w14:paraId="64AAF168" w14:textId="77777777" w:rsidR="00922005" w:rsidRPr="00922005" w:rsidRDefault="00922005" w:rsidP="00922005">
            <w:pPr>
              <w:spacing w:after="120"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Custom</w:t>
            </w:r>
          </w:p>
        </w:tc>
        <w:tc>
          <w:tcPr>
            <w:tcW w:w="2778" w:type="dxa"/>
            <w:shd w:val="clear" w:color="auto" w:fill="auto"/>
            <w:hideMark/>
          </w:tcPr>
          <w:p w14:paraId="0CFC1A4C" w14:textId="77777777" w:rsidR="00922005" w:rsidRPr="00922005" w:rsidRDefault="00922005" w:rsidP="00922005">
            <w:pPr>
              <w:spacing w:after="120"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Dice Sequence</w:t>
            </w:r>
          </w:p>
        </w:tc>
        <w:tc>
          <w:tcPr>
            <w:tcW w:w="1818" w:type="dxa"/>
            <w:shd w:val="clear" w:color="auto" w:fill="auto"/>
            <w:hideMark/>
          </w:tcPr>
          <w:p w14:paraId="3E897E39" w14:textId="77777777" w:rsidR="00922005" w:rsidRPr="00922005" w:rsidRDefault="00922005" w:rsidP="00922005">
            <w:pPr>
              <w:spacing w:after="120"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Continuous</w:t>
            </w:r>
          </w:p>
        </w:tc>
        <w:tc>
          <w:tcPr>
            <w:tcW w:w="2347" w:type="dxa"/>
            <w:shd w:val="clear" w:color="auto" w:fill="auto"/>
            <w:hideMark/>
          </w:tcPr>
          <w:p w14:paraId="3BBC156B" w14:textId="77777777" w:rsidR="00922005" w:rsidRPr="00922005" w:rsidRDefault="00922005" w:rsidP="00922005">
            <w:pPr>
              <w:spacing w:after="120"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i/>
                <w:sz w:val="22"/>
              </w:rPr>
            </w:pPr>
            <w:proofErr w:type="spellStart"/>
            <w:r w:rsidRPr="00922005">
              <w:rPr>
                <w:rFonts w:eastAsia="MS Gothic"/>
                <w:bCs/>
                <w:i/>
                <w:sz w:val="22"/>
              </w:rPr>
              <w:t>r</w:t>
            </w:r>
            <w:r w:rsidRPr="00922005">
              <w:rPr>
                <w:rFonts w:eastAsia="MS Gothic"/>
                <w:bCs/>
                <w:i/>
                <w:sz w:val="22"/>
                <w:vertAlign w:val="subscript"/>
              </w:rPr>
              <w:t>s</w:t>
            </w:r>
            <w:proofErr w:type="spellEnd"/>
            <w:r w:rsidRPr="00922005">
              <w:rPr>
                <w:rFonts w:eastAsia="MS Gothic"/>
                <w:bCs/>
                <w:sz w:val="22"/>
              </w:rPr>
              <w:t xml:space="preserve"> = -.27</w:t>
            </w:r>
          </w:p>
        </w:tc>
        <w:tc>
          <w:tcPr>
            <w:tcW w:w="772" w:type="dxa"/>
            <w:shd w:val="clear" w:color="auto" w:fill="auto"/>
            <w:hideMark/>
          </w:tcPr>
          <w:p w14:paraId="398E7300" w14:textId="77777777" w:rsidR="00922005" w:rsidRPr="00922005" w:rsidRDefault="00922005" w:rsidP="00922005">
            <w:pPr>
              <w:spacing w:after="120"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.006</w:t>
            </w:r>
          </w:p>
        </w:tc>
      </w:tr>
      <w:tr w:rsidR="00922005" w:rsidRPr="00922005" w14:paraId="50C6B5C9" w14:textId="77777777" w:rsidTr="00245A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hideMark/>
          </w:tcPr>
          <w:p w14:paraId="016B1729" w14:textId="77777777" w:rsidR="00922005" w:rsidRPr="00922005" w:rsidRDefault="00922005" w:rsidP="00922005">
            <w:pPr>
              <w:spacing w:after="120" w:line="300" w:lineRule="exact"/>
              <w:ind w:firstLine="0"/>
              <w:rPr>
                <w:rFonts w:eastAsia="MS Gothic"/>
                <w:b w:val="0"/>
                <w:sz w:val="22"/>
              </w:rPr>
            </w:pPr>
            <w:r w:rsidRPr="00922005">
              <w:rPr>
                <w:rFonts w:eastAsia="MS Gothic"/>
                <w:b w:val="0"/>
                <w:sz w:val="22"/>
              </w:rPr>
              <w:t>Brugger et al. (1990)</w:t>
            </w:r>
          </w:p>
        </w:tc>
        <w:tc>
          <w:tcPr>
            <w:tcW w:w="850" w:type="dxa"/>
            <w:shd w:val="clear" w:color="auto" w:fill="auto"/>
          </w:tcPr>
          <w:p w14:paraId="046420F1" w14:textId="77777777" w:rsidR="00922005" w:rsidRPr="00922005" w:rsidRDefault="00922005" w:rsidP="00922005">
            <w:pPr>
              <w:spacing w:after="120"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p>
        </w:tc>
        <w:tc>
          <w:tcPr>
            <w:tcW w:w="851" w:type="dxa"/>
            <w:shd w:val="clear" w:color="auto" w:fill="auto"/>
            <w:hideMark/>
          </w:tcPr>
          <w:p w14:paraId="10507501" w14:textId="77777777" w:rsidR="00922005" w:rsidRPr="00922005" w:rsidRDefault="00922005" w:rsidP="00922005">
            <w:pPr>
              <w:spacing w:after="120"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48</w:t>
            </w:r>
          </w:p>
        </w:tc>
        <w:tc>
          <w:tcPr>
            <w:tcW w:w="1842" w:type="dxa"/>
            <w:shd w:val="clear" w:color="auto" w:fill="auto"/>
            <w:hideMark/>
          </w:tcPr>
          <w:p w14:paraId="79A54FDB" w14:textId="77777777" w:rsidR="00922005" w:rsidRPr="00922005" w:rsidRDefault="00922005" w:rsidP="00922005">
            <w:pPr>
              <w:spacing w:after="120"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2 ESP Questions</w:t>
            </w:r>
          </w:p>
        </w:tc>
        <w:tc>
          <w:tcPr>
            <w:tcW w:w="2778" w:type="dxa"/>
            <w:shd w:val="clear" w:color="auto" w:fill="auto"/>
            <w:hideMark/>
          </w:tcPr>
          <w:p w14:paraId="55F570BC" w14:textId="77777777" w:rsidR="00922005" w:rsidRPr="00922005" w:rsidRDefault="00922005" w:rsidP="00922005">
            <w:pPr>
              <w:spacing w:after="120"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Dice Sequence</w:t>
            </w:r>
          </w:p>
        </w:tc>
        <w:tc>
          <w:tcPr>
            <w:tcW w:w="1818" w:type="dxa"/>
            <w:shd w:val="clear" w:color="auto" w:fill="auto"/>
            <w:hideMark/>
          </w:tcPr>
          <w:p w14:paraId="43F2C92B" w14:textId="77777777" w:rsidR="00922005" w:rsidRPr="00922005" w:rsidRDefault="00922005" w:rsidP="00922005">
            <w:pPr>
              <w:spacing w:after="120"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Based on Scale</w:t>
            </w:r>
          </w:p>
        </w:tc>
        <w:tc>
          <w:tcPr>
            <w:tcW w:w="2347" w:type="dxa"/>
            <w:shd w:val="clear" w:color="auto" w:fill="auto"/>
            <w:hideMark/>
          </w:tcPr>
          <w:p w14:paraId="541C4D89" w14:textId="77777777" w:rsidR="00922005" w:rsidRPr="00922005" w:rsidRDefault="00922005" w:rsidP="00922005">
            <w:pPr>
              <w:spacing w:after="120"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i/>
                <w:sz w:val="22"/>
              </w:rPr>
            </w:pPr>
            <w:proofErr w:type="gramStart"/>
            <w:r w:rsidRPr="00922005">
              <w:rPr>
                <w:rFonts w:eastAsia="MS Gothic"/>
                <w:bCs/>
                <w:i/>
                <w:sz w:val="22"/>
              </w:rPr>
              <w:t>t</w:t>
            </w:r>
            <w:r w:rsidRPr="00922005">
              <w:rPr>
                <w:rFonts w:eastAsia="MS Gothic"/>
                <w:bCs/>
                <w:sz w:val="22"/>
              </w:rPr>
              <w:t>(</w:t>
            </w:r>
            <w:proofErr w:type="gramEnd"/>
            <w:r w:rsidRPr="00922005">
              <w:rPr>
                <w:rFonts w:eastAsia="MS Gothic"/>
                <w:bCs/>
                <w:sz w:val="22"/>
              </w:rPr>
              <w:t xml:space="preserve">37) = 3.11, </w:t>
            </w:r>
            <w:r w:rsidRPr="00922005">
              <w:rPr>
                <w:rFonts w:eastAsia="MS Gothic"/>
                <w:bCs/>
                <w:i/>
                <w:sz w:val="22"/>
              </w:rPr>
              <w:t xml:space="preserve">d </w:t>
            </w:r>
            <w:r w:rsidRPr="00922005">
              <w:rPr>
                <w:rFonts w:eastAsia="MS Gothic"/>
                <w:bCs/>
                <w:sz w:val="22"/>
              </w:rPr>
              <w:t>= 1.03</w:t>
            </w:r>
          </w:p>
        </w:tc>
        <w:tc>
          <w:tcPr>
            <w:tcW w:w="772" w:type="dxa"/>
            <w:shd w:val="clear" w:color="auto" w:fill="auto"/>
            <w:hideMark/>
          </w:tcPr>
          <w:p w14:paraId="5CD77595" w14:textId="77777777" w:rsidR="00922005" w:rsidRPr="00922005" w:rsidRDefault="00922005" w:rsidP="00922005">
            <w:pPr>
              <w:spacing w:after="120"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.004</w:t>
            </w:r>
          </w:p>
        </w:tc>
      </w:tr>
      <w:tr w:rsidR="00922005" w:rsidRPr="00922005" w14:paraId="501B033C" w14:textId="77777777" w:rsidTr="00245A59">
        <w:trPr>
          <w:trHeight w:val="397"/>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hideMark/>
          </w:tcPr>
          <w:p w14:paraId="7238C5FF" w14:textId="77777777" w:rsidR="00922005" w:rsidRPr="00922005" w:rsidRDefault="00922005" w:rsidP="00922005">
            <w:pPr>
              <w:spacing w:after="120" w:line="300" w:lineRule="exact"/>
              <w:ind w:firstLine="0"/>
              <w:rPr>
                <w:rFonts w:eastAsia="MS Gothic"/>
                <w:b w:val="0"/>
                <w:sz w:val="22"/>
              </w:rPr>
            </w:pPr>
            <w:r w:rsidRPr="00922005">
              <w:rPr>
                <w:rFonts w:eastAsia="MS Gothic"/>
                <w:b w:val="0"/>
                <w:sz w:val="22"/>
              </w:rPr>
              <w:t>Brugger et al. (1991)</w:t>
            </w:r>
          </w:p>
        </w:tc>
        <w:tc>
          <w:tcPr>
            <w:tcW w:w="850" w:type="dxa"/>
            <w:shd w:val="clear" w:color="auto" w:fill="auto"/>
          </w:tcPr>
          <w:p w14:paraId="0710A9A6" w14:textId="77777777" w:rsidR="00922005" w:rsidRPr="00922005" w:rsidRDefault="00922005" w:rsidP="00922005">
            <w:pPr>
              <w:spacing w:after="120"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p>
        </w:tc>
        <w:tc>
          <w:tcPr>
            <w:tcW w:w="851" w:type="dxa"/>
            <w:shd w:val="clear" w:color="auto" w:fill="auto"/>
            <w:hideMark/>
          </w:tcPr>
          <w:p w14:paraId="2548E8E6" w14:textId="77777777" w:rsidR="00922005" w:rsidRPr="00922005" w:rsidRDefault="00922005" w:rsidP="00922005">
            <w:pPr>
              <w:spacing w:after="120"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95</w:t>
            </w:r>
          </w:p>
        </w:tc>
        <w:tc>
          <w:tcPr>
            <w:tcW w:w="1842" w:type="dxa"/>
            <w:shd w:val="clear" w:color="auto" w:fill="auto"/>
            <w:hideMark/>
          </w:tcPr>
          <w:p w14:paraId="791B7DBE" w14:textId="77777777" w:rsidR="00922005" w:rsidRPr="00922005" w:rsidRDefault="00922005" w:rsidP="00922005">
            <w:pPr>
              <w:spacing w:after="120"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1 ESP Question</w:t>
            </w:r>
          </w:p>
        </w:tc>
        <w:tc>
          <w:tcPr>
            <w:tcW w:w="2778" w:type="dxa"/>
            <w:shd w:val="clear" w:color="auto" w:fill="auto"/>
            <w:hideMark/>
          </w:tcPr>
          <w:p w14:paraId="2EB3D916" w14:textId="77777777" w:rsidR="00922005" w:rsidRPr="00922005" w:rsidRDefault="00922005" w:rsidP="00922005">
            <w:pPr>
              <w:spacing w:after="120"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Dice Rolls</w:t>
            </w:r>
          </w:p>
        </w:tc>
        <w:tc>
          <w:tcPr>
            <w:tcW w:w="1818" w:type="dxa"/>
            <w:shd w:val="clear" w:color="auto" w:fill="auto"/>
            <w:hideMark/>
          </w:tcPr>
          <w:p w14:paraId="449BEC98" w14:textId="77777777" w:rsidR="00922005" w:rsidRPr="00922005" w:rsidRDefault="00922005" w:rsidP="00922005">
            <w:pPr>
              <w:spacing w:after="120"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Based on Scale</w:t>
            </w:r>
          </w:p>
        </w:tc>
        <w:tc>
          <w:tcPr>
            <w:tcW w:w="2347" w:type="dxa"/>
            <w:shd w:val="clear" w:color="auto" w:fill="auto"/>
            <w:hideMark/>
          </w:tcPr>
          <w:p w14:paraId="2CD067A0" w14:textId="77777777" w:rsidR="00922005" w:rsidRPr="00922005" w:rsidRDefault="00922005" w:rsidP="00922005">
            <w:pPr>
              <w:spacing w:after="120"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i/>
                <w:sz w:val="22"/>
              </w:rPr>
            </w:pPr>
            <w:r w:rsidRPr="00922005">
              <w:rPr>
                <w:rFonts w:eastAsia="MS Gothic"/>
                <w:bCs/>
                <w:i/>
                <w:sz w:val="22"/>
              </w:rPr>
              <w:t>χ</w:t>
            </w:r>
            <w:r w:rsidRPr="00922005">
              <w:rPr>
                <w:rFonts w:eastAsia="MS Gothic"/>
                <w:bCs/>
                <w:sz w:val="22"/>
                <w:vertAlign w:val="superscript"/>
              </w:rPr>
              <w:t>2</w:t>
            </w:r>
            <w:r w:rsidRPr="00922005">
              <w:rPr>
                <w:rFonts w:eastAsia="MS Gothic"/>
                <w:bCs/>
                <w:sz w:val="22"/>
              </w:rPr>
              <w:t>(1) = 3.92, φ = .20</w:t>
            </w:r>
          </w:p>
        </w:tc>
        <w:tc>
          <w:tcPr>
            <w:tcW w:w="772" w:type="dxa"/>
            <w:shd w:val="clear" w:color="auto" w:fill="auto"/>
            <w:hideMark/>
          </w:tcPr>
          <w:p w14:paraId="522427E3" w14:textId="77777777" w:rsidR="00922005" w:rsidRPr="00922005" w:rsidRDefault="00922005" w:rsidP="00922005">
            <w:pPr>
              <w:spacing w:after="120"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.046</w:t>
            </w:r>
          </w:p>
        </w:tc>
      </w:tr>
      <w:tr w:rsidR="00922005" w:rsidRPr="00922005" w14:paraId="4272E476" w14:textId="77777777" w:rsidTr="00245A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tcPr>
          <w:p w14:paraId="3757F17C" w14:textId="77777777" w:rsidR="00922005" w:rsidRPr="00922005" w:rsidRDefault="00922005" w:rsidP="00922005">
            <w:pPr>
              <w:spacing w:after="120" w:line="300" w:lineRule="exact"/>
              <w:ind w:firstLine="0"/>
              <w:rPr>
                <w:rFonts w:eastAsia="MS Gothic"/>
                <w:b w:val="0"/>
                <w:sz w:val="22"/>
              </w:rPr>
            </w:pPr>
            <w:proofErr w:type="spellStart"/>
            <w:r w:rsidRPr="00922005">
              <w:rPr>
                <w:rFonts w:eastAsia="MS Gothic"/>
                <w:b w:val="0"/>
                <w:sz w:val="22"/>
              </w:rPr>
              <w:t>Dagnall</w:t>
            </w:r>
            <w:proofErr w:type="spellEnd"/>
            <w:r w:rsidRPr="00922005">
              <w:rPr>
                <w:rFonts w:eastAsia="MS Gothic"/>
                <w:b w:val="0"/>
                <w:sz w:val="22"/>
              </w:rPr>
              <w:t xml:space="preserve"> et al. (2007)</w:t>
            </w:r>
          </w:p>
        </w:tc>
        <w:tc>
          <w:tcPr>
            <w:tcW w:w="850" w:type="dxa"/>
            <w:shd w:val="clear" w:color="auto" w:fill="auto"/>
          </w:tcPr>
          <w:p w14:paraId="43D7EFF9" w14:textId="77777777" w:rsidR="00922005" w:rsidRPr="00922005" w:rsidRDefault="00922005" w:rsidP="00922005">
            <w:pPr>
              <w:spacing w:after="120"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p>
        </w:tc>
        <w:tc>
          <w:tcPr>
            <w:tcW w:w="851" w:type="dxa"/>
            <w:shd w:val="clear" w:color="auto" w:fill="auto"/>
          </w:tcPr>
          <w:p w14:paraId="4E1DF9B3" w14:textId="77777777" w:rsidR="00922005" w:rsidRPr="00922005" w:rsidRDefault="00922005" w:rsidP="00922005">
            <w:pPr>
              <w:spacing w:after="120"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96</w:t>
            </w:r>
          </w:p>
        </w:tc>
        <w:tc>
          <w:tcPr>
            <w:tcW w:w="1842" w:type="dxa"/>
            <w:shd w:val="clear" w:color="auto" w:fill="auto"/>
          </w:tcPr>
          <w:p w14:paraId="6F01247C" w14:textId="77777777" w:rsidR="00922005" w:rsidRPr="00922005" w:rsidRDefault="00922005" w:rsidP="00922005">
            <w:pPr>
              <w:spacing w:after="120"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R-PBS</w:t>
            </w:r>
          </w:p>
        </w:tc>
        <w:tc>
          <w:tcPr>
            <w:tcW w:w="2778" w:type="dxa"/>
            <w:shd w:val="clear" w:color="auto" w:fill="auto"/>
          </w:tcPr>
          <w:p w14:paraId="19E1AECC" w14:textId="77777777" w:rsidR="00922005" w:rsidRPr="00922005" w:rsidRDefault="00922005" w:rsidP="00922005">
            <w:pPr>
              <w:spacing w:after="120"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Randomness Judgements</w:t>
            </w:r>
          </w:p>
        </w:tc>
        <w:tc>
          <w:tcPr>
            <w:tcW w:w="1818" w:type="dxa"/>
            <w:shd w:val="clear" w:color="auto" w:fill="auto"/>
          </w:tcPr>
          <w:p w14:paraId="01FB846E" w14:textId="77777777" w:rsidR="00922005" w:rsidRPr="00922005" w:rsidRDefault="00922005" w:rsidP="00922005">
            <w:pPr>
              <w:spacing w:after="120"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Continuous</w:t>
            </w:r>
          </w:p>
        </w:tc>
        <w:tc>
          <w:tcPr>
            <w:tcW w:w="2347" w:type="dxa"/>
            <w:shd w:val="clear" w:color="auto" w:fill="auto"/>
          </w:tcPr>
          <w:p w14:paraId="29142BE8" w14:textId="77777777" w:rsidR="00922005" w:rsidRPr="00922005" w:rsidRDefault="00922005" w:rsidP="00922005">
            <w:pPr>
              <w:spacing w:after="120"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i/>
                <w:sz w:val="22"/>
              </w:rPr>
            </w:pPr>
            <w:r w:rsidRPr="00922005">
              <w:rPr>
                <w:rFonts w:eastAsia="MS Gothic"/>
                <w:bCs/>
                <w:i/>
                <w:sz w:val="22"/>
              </w:rPr>
              <w:t xml:space="preserve">r </w:t>
            </w:r>
            <w:r w:rsidRPr="00922005">
              <w:rPr>
                <w:rFonts w:eastAsia="MS Gothic"/>
                <w:bCs/>
                <w:sz w:val="22"/>
              </w:rPr>
              <w:t>= -.32</w:t>
            </w:r>
          </w:p>
        </w:tc>
        <w:tc>
          <w:tcPr>
            <w:tcW w:w="772" w:type="dxa"/>
            <w:shd w:val="clear" w:color="auto" w:fill="auto"/>
          </w:tcPr>
          <w:p w14:paraId="05E522C0" w14:textId="77777777" w:rsidR="00922005" w:rsidRPr="00922005" w:rsidRDefault="00922005" w:rsidP="00922005">
            <w:pPr>
              <w:spacing w:after="120"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.001</w:t>
            </w:r>
          </w:p>
        </w:tc>
      </w:tr>
    </w:tbl>
    <w:p w14:paraId="4CB34BFF" w14:textId="77777777" w:rsidR="00922005" w:rsidRPr="00922005" w:rsidRDefault="00922005" w:rsidP="00922005">
      <w:pPr>
        <w:jc w:val="right"/>
        <w:rPr>
          <w:rFonts w:eastAsia="Arial" w:cs="Times New Roman"/>
          <w:lang w:val="en-GB"/>
        </w:rPr>
      </w:pPr>
      <w:r w:rsidRPr="00922005">
        <w:rPr>
          <w:rFonts w:eastAsia="Arial" w:cs="Times New Roman"/>
          <w:lang w:val="en-GB"/>
        </w:rPr>
        <w:t>(continued)</w:t>
      </w:r>
    </w:p>
    <w:p w14:paraId="15775A45" w14:textId="23DCCDC9" w:rsidR="00922005" w:rsidRPr="00922005" w:rsidRDefault="00922005" w:rsidP="00342C2F">
      <w:pPr>
        <w:ind w:firstLine="0"/>
        <w:jc w:val="center"/>
        <w:rPr>
          <w:rFonts w:eastAsia="Arial" w:cs="Times New Roman"/>
          <w:lang w:val="en-GB"/>
        </w:rPr>
      </w:pPr>
      <w:r>
        <w:rPr>
          <w:rFonts w:eastAsia="Arial" w:cs="Times New Roman"/>
          <w:lang w:val="en-GB"/>
        </w:rPr>
        <w:lastRenderedPageBreak/>
        <w:t>Appendix</w:t>
      </w:r>
      <w:r w:rsidRPr="00922005">
        <w:rPr>
          <w:rFonts w:eastAsia="Arial" w:cs="Times New Roman"/>
          <w:lang w:val="en-GB"/>
        </w:rPr>
        <w:t xml:space="preserve"> </w:t>
      </w:r>
      <w:r w:rsidR="00AB5758">
        <w:rPr>
          <w:rFonts w:eastAsia="Arial" w:cs="Times New Roman"/>
          <w:lang w:val="en-GB"/>
        </w:rPr>
        <w:t>A</w:t>
      </w:r>
    </w:p>
    <w:p w14:paraId="1ECEBA5F" w14:textId="77777777" w:rsidR="00922005" w:rsidRPr="00922005" w:rsidRDefault="00922005" w:rsidP="00922005">
      <w:pPr>
        <w:ind w:firstLine="0"/>
        <w:rPr>
          <w:rFonts w:ascii="Calibri" w:eastAsia="Calibri" w:hAnsi="Calibri" w:cs="Times New Roman"/>
          <w:szCs w:val="24"/>
          <w:lang w:val="en-GB"/>
        </w:rPr>
      </w:pPr>
      <w:r w:rsidRPr="00922005">
        <w:rPr>
          <w:rFonts w:eastAsia="Arial" w:cs="Times New Roman"/>
          <w:i/>
          <w:szCs w:val="24"/>
          <w:lang w:val="en-GB"/>
        </w:rPr>
        <w:t>Summary of Misperception of Chance Results from Previous Studies</w:t>
      </w:r>
    </w:p>
    <w:tbl>
      <w:tblPr>
        <w:tblStyle w:val="PlainTable413"/>
        <w:tblW w:w="14627" w:type="dxa"/>
        <w:tblInd w:w="0" w:type="dxa"/>
        <w:tblLook w:val="04A0" w:firstRow="1" w:lastRow="0" w:firstColumn="1" w:lastColumn="0" w:noHBand="0" w:noVBand="1"/>
      </w:tblPr>
      <w:tblGrid>
        <w:gridCol w:w="3369"/>
        <w:gridCol w:w="850"/>
        <w:gridCol w:w="851"/>
        <w:gridCol w:w="1842"/>
        <w:gridCol w:w="2778"/>
        <w:gridCol w:w="1818"/>
        <w:gridCol w:w="2347"/>
        <w:gridCol w:w="772"/>
      </w:tblGrid>
      <w:tr w:rsidR="00922005" w:rsidRPr="00922005" w14:paraId="48272526" w14:textId="77777777" w:rsidTr="00245A5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69" w:type="dxa"/>
            <w:tcBorders>
              <w:top w:val="single" w:sz="4" w:space="0" w:color="auto"/>
              <w:left w:val="nil"/>
              <w:bottom w:val="single" w:sz="4" w:space="0" w:color="auto"/>
              <w:right w:val="nil"/>
            </w:tcBorders>
            <w:shd w:val="clear" w:color="auto" w:fill="auto"/>
            <w:hideMark/>
          </w:tcPr>
          <w:p w14:paraId="7BD095EA" w14:textId="77777777" w:rsidR="00922005" w:rsidRPr="00922005" w:rsidRDefault="00922005" w:rsidP="00922005">
            <w:pPr>
              <w:spacing w:line="300" w:lineRule="exact"/>
              <w:ind w:firstLine="0"/>
              <w:rPr>
                <w:rFonts w:eastAsia="MS Gothic"/>
                <w:b w:val="0"/>
                <w:sz w:val="22"/>
              </w:rPr>
            </w:pPr>
            <w:r w:rsidRPr="00922005">
              <w:rPr>
                <w:rFonts w:eastAsia="MS Gothic"/>
                <w:b w:val="0"/>
                <w:szCs w:val="24"/>
              </w:rPr>
              <w:t>Study</w:t>
            </w:r>
          </w:p>
        </w:tc>
        <w:tc>
          <w:tcPr>
            <w:tcW w:w="850" w:type="dxa"/>
            <w:tcBorders>
              <w:top w:val="single" w:sz="4" w:space="0" w:color="auto"/>
              <w:left w:val="nil"/>
              <w:bottom w:val="single" w:sz="4" w:space="0" w:color="auto"/>
              <w:right w:val="nil"/>
            </w:tcBorders>
            <w:shd w:val="clear" w:color="auto" w:fill="auto"/>
            <w:hideMark/>
          </w:tcPr>
          <w:p w14:paraId="0C14362F" w14:textId="77777777" w:rsidR="00922005" w:rsidRPr="00922005" w:rsidRDefault="00922005" w:rsidP="00922005">
            <w:pPr>
              <w:spacing w:line="300" w:lineRule="exact"/>
              <w:ind w:firstLine="0"/>
              <w:cnfStyle w:val="100000000000" w:firstRow="1" w:lastRow="0" w:firstColumn="0" w:lastColumn="0" w:oddVBand="0" w:evenVBand="0" w:oddHBand="0" w:evenHBand="0" w:firstRowFirstColumn="0" w:firstRowLastColumn="0" w:lastRowFirstColumn="0" w:lastRowLastColumn="0"/>
              <w:rPr>
                <w:rFonts w:eastAsia="MS Gothic"/>
                <w:b w:val="0"/>
                <w:sz w:val="22"/>
              </w:rPr>
            </w:pPr>
            <w:r w:rsidRPr="00922005">
              <w:rPr>
                <w:rFonts w:eastAsia="MS Gothic"/>
                <w:b w:val="0"/>
                <w:i/>
                <w:iCs/>
                <w:szCs w:val="24"/>
              </w:rPr>
              <w:t>Expt.</w:t>
            </w:r>
          </w:p>
        </w:tc>
        <w:tc>
          <w:tcPr>
            <w:tcW w:w="851" w:type="dxa"/>
            <w:tcBorders>
              <w:top w:val="single" w:sz="4" w:space="0" w:color="auto"/>
              <w:left w:val="nil"/>
              <w:bottom w:val="single" w:sz="4" w:space="0" w:color="auto"/>
              <w:right w:val="nil"/>
            </w:tcBorders>
            <w:shd w:val="clear" w:color="auto" w:fill="auto"/>
            <w:hideMark/>
          </w:tcPr>
          <w:p w14:paraId="7E6F6C6E" w14:textId="77777777" w:rsidR="00922005" w:rsidRPr="00922005" w:rsidRDefault="00922005" w:rsidP="00922005">
            <w:pPr>
              <w:spacing w:line="300" w:lineRule="exact"/>
              <w:ind w:firstLine="0"/>
              <w:cnfStyle w:val="100000000000" w:firstRow="1" w:lastRow="0" w:firstColumn="0" w:lastColumn="0" w:oddVBand="0" w:evenVBand="0" w:oddHBand="0" w:evenHBand="0" w:firstRowFirstColumn="0" w:firstRowLastColumn="0" w:lastRowFirstColumn="0" w:lastRowLastColumn="0"/>
              <w:rPr>
                <w:rFonts w:eastAsia="MS Gothic"/>
                <w:b w:val="0"/>
                <w:sz w:val="22"/>
              </w:rPr>
            </w:pPr>
            <w:r w:rsidRPr="00922005">
              <w:rPr>
                <w:rFonts w:eastAsia="MS Gothic"/>
                <w:b w:val="0"/>
                <w:i/>
                <w:iCs/>
                <w:szCs w:val="24"/>
              </w:rPr>
              <w:t>n</w:t>
            </w:r>
          </w:p>
        </w:tc>
        <w:tc>
          <w:tcPr>
            <w:tcW w:w="1842" w:type="dxa"/>
            <w:tcBorders>
              <w:top w:val="single" w:sz="4" w:space="0" w:color="auto"/>
              <w:left w:val="nil"/>
              <w:bottom w:val="single" w:sz="4" w:space="0" w:color="auto"/>
              <w:right w:val="nil"/>
            </w:tcBorders>
            <w:shd w:val="clear" w:color="auto" w:fill="auto"/>
            <w:hideMark/>
          </w:tcPr>
          <w:p w14:paraId="139FC37B" w14:textId="77777777" w:rsidR="00922005" w:rsidRPr="00922005" w:rsidRDefault="00922005" w:rsidP="00922005">
            <w:pPr>
              <w:spacing w:line="300" w:lineRule="exact"/>
              <w:ind w:firstLine="0"/>
              <w:cnfStyle w:val="100000000000" w:firstRow="1" w:lastRow="0" w:firstColumn="0" w:lastColumn="0" w:oddVBand="0" w:evenVBand="0" w:oddHBand="0" w:evenHBand="0" w:firstRowFirstColumn="0" w:firstRowLastColumn="0" w:lastRowFirstColumn="0" w:lastRowLastColumn="0"/>
              <w:rPr>
                <w:rFonts w:eastAsia="MS Gothic"/>
                <w:b w:val="0"/>
                <w:sz w:val="22"/>
              </w:rPr>
            </w:pPr>
            <w:r w:rsidRPr="00922005">
              <w:rPr>
                <w:rFonts w:eastAsia="MS Gothic"/>
                <w:b w:val="0"/>
                <w:szCs w:val="24"/>
              </w:rPr>
              <w:t xml:space="preserve">Belief </w:t>
            </w:r>
            <w:proofErr w:type="spellStart"/>
            <w:r w:rsidRPr="00922005">
              <w:rPr>
                <w:rFonts w:eastAsia="MS Gothic"/>
                <w:b w:val="0"/>
                <w:szCs w:val="24"/>
              </w:rPr>
              <w:t>Measure</w:t>
            </w:r>
            <w:r w:rsidRPr="00922005">
              <w:rPr>
                <w:rFonts w:eastAsia="MS Gothic"/>
                <w:b w:val="0"/>
                <w:szCs w:val="24"/>
                <w:vertAlign w:val="superscript"/>
              </w:rPr>
              <w:t>a</w:t>
            </w:r>
            <w:proofErr w:type="spellEnd"/>
          </w:p>
        </w:tc>
        <w:tc>
          <w:tcPr>
            <w:tcW w:w="2778" w:type="dxa"/>
            <w:tcBorders>
              <w:top w:val="single" w:sz="4" w:space="0" w:color="auto"/>
              <w:left w:val="nil"/>
              <w:bottom w:val="single" w:sz="4" w:space="0" w:color="auto"/>
              <w:right w:val="nil"/>
            </w:tcBorders>
            <w:shd w:val="clear" w:color="auto" w:fill="auto"/>
            <w:hideMark/>
          </w:tcPr>
          <w:p w14:paraId="731B018C" w14:textId="77777777" w:rsidR="00922005" w:rsidRPr="00922005" w:rsidRDefault="00922005" w:rsidP="00922005">
            <w:pPr>
              <w:spacing w:line="300" w:lineRule="exact"/>
              <w:ind w:firstLine="0"/>
              <w:cnfStyle w:val="100000000000" w:firstRow="1" w:lastRow="0" w:firstColumn="0" w:lastColumn="0" w:oddVBand="0" w:evenVBand="0" w:oddHBand="0" w:evenHBand="0" w:firstRowFirstColumn="0" w:firstRowLastColumn="0" w:lastRowFirstColumn="0" w:lastRowLastColumn="0"/>
              <w:rPr>
                <w:rFonts w:eastAsia="MS Gothic"/>
                <w:b w:val="0"/>
                <w:sz w:val="22"/>
              </w:rPr>
            </w:pPr>
            <w:r w:rsidRPr="00922005">
              <w:rPr>
                <w:rFonts w:eastAsia="MS Gothic"/>
                <w:b w:val="0"/>
                <w:szCs w:val="24"/>
              </w:rPr>
              <w:t>Reasoning Measure</w:t>
            </w:r>
          </w:p>
        </w:tc>
        <w:tc>
          <w:tcPr>
            <w:tcW w:w="1818" w:type="dxa"/>
            <w:tcBorders>
              <w:top w:val="single" w:sz="4" w:space="0" w:color="auto"/>
              <w:left w:val="nil"/>
              <w:bottom w:val="single" w:sz="4" w:space="0" w:color="auto"/>
              <w:right w:val="nil"/>
            </w:tcBorders>
            <w:shd w:val="clear" w:color="auto" w:fill="auto"/>
            <w:hideMark/>
          </w:tcPr>
          <w:p w14:paraId="6E175D14" w14:textId="77777777" w:rsidR="00922005" w:rsidRPr="00922005" w:rsidRDefault="00922005" w:rsidP="00922005">
            <w:pPr>
              <w:spacing w:line="300" w:lineRule="exact"/>
              <w:ind w:firstLine="0"/>
              <w:cnfStyle w:val="100000000000" w:firstRow="1" w:lastRow="0" w:firstColumn="0" w:lastColumn="0" w:oddVBand="0" w:evenVBand="0" w:oddHBand="0" w:evenHBand="0" w:firstRowFirstColumn="0" w:firstRowLastColumn="0" w:lastRowFirstColumn="0" w:lastRowLastColumn="0"/>
              <w:rPr>
                <w:rFonts w:eastAsia="MS Gothic"/>
                <w:b w:val="0"/>
                <w:sz w:val="22"/>
                <w:vertAlign w:val="superscript"/>
              </w:rPr>
            </w:pPr>
            <w:proofErr w:type="spellStart"/>
            <w:r w:rsidRPr="00922005">
              <w:rPr>
                <w:rFonts w:eastAsia="MS Gothic"/>
                <w:b w:val="0"/>
                <w:szCs w:val="24"/>
              </w:rPr>
              <w:t>Grouping</w:t>
            </w:r>
            <w:r w:rsidRPr="00922005">
              <w:rPr>
                <w:rFonts w:eastAsia="MS Gothic"/>
                <w:b w:val="0"/>
                <w:szCs w:val="24"/>
                <w:vertAlign w:val="superscript"/>
              </w:rPr>
              <w:t>b</w:t>
            </w:r>
            <w:proofErr w:type="spellEnd"/>
          </w:p>
        </w:tc>
        <w:tc>
          <w:tcPr>
            <w:tcW w:w="2347" w:type="dxa"/>
            <w:tcBorders>
              <w:top w:val="single" w:sz="4" w:space="0" w:color="auto"/>
              <w:left w:val="nil"/>
              <w:bottom w:val="single" w:sz="4" w:space="0" w:color="auto"/>
              <w:right w:val="nil"/>
            </w:tcBorders>
            <w:shd w:val="clear" w:color="auto" w:fill="auto"/>
            <w:hideMark/>
          </w:tcPr>
          <w:p w14:paraId="115AC6F9" w14:textId="77777777" w:rsidR="00922005" w:rsidRPr="00922005" w:rsidRDefault="00922005" w:rsidP="00922005">
            <w:pPr>
              <w:spacing w:line="300" w:lineRule="exact"/>
              <w:ind w:firstLine="0"/>
              <w:cnfStyle w:val="100000000000" w:firstRow="1" w:lastRow="0" w:firstColumn="0" w:lastColumn="0" w:oddVBand="0" w:evenVBand="0" w:oddHBand="0" w:evenHBand="0" w:firstRowFirstColumn="0" w:firstRowLastColumn="0" w:lastRowFirstColumn="0" w:lastRowLastColumn="0"/>
              <w:rPr>
                <w:rFonts w:eastAsia="MS Gothic"/>
                <w:b w:val="0"/>
                <w:i/>
                <w:sz w:val="22"/>
              </w:rPr>
            </w:pPr>
            <w:r w:rsidRPr="00922005">
              <w:rPr>
                <w:rFonts w:eastAsia="MS Gothic"/>
                <w:b w:val="0"/>
                <w:szCs w:val="24"/>
              </w:rPr>
              <w:t>Result</w:t>
            </w:r>
          </w:p>
        </w:tc>
        <w:tc>
          <w:tcPr>
            <w:tcW w:w="772" w:type="dxa"/>
            <w:tcBorders>
              <w:top w:val="single" w:sz="4" w:space="0" w:color="auto"/>
              <w:left w:val="nil"/>
              <w:bottom w:val="single" w:sz="4" w:space="0" w:color="auto"/>
              <w:right w:val="nil"/>
            </w:tcBorders>
            <w:shd w:val="clear" w:color="auto" w:fill="auto"/>
            <w:hideMark/>
          </w:tcPr>
          <w:p w14:paraId="628FF7ED" w14:textId="77777777" w:rsidR="00922005" w:rsidRPr="00922005" w:rsidRDefault="00922005" w:rsidP="00922005">
            <w:pPr>
              <w:spacing w:line="300" w:lineRule="exact"/>
              <w:ind w:firstLine="0"/>
              <w:cnfStyle w:val="100000000000" w:firstRow="1" w:lastRow="0" w:firstColumn="0" w:lastColumn="0" w:oddVBand="0" w:evenVBand="0" w:oddHBand="0" w:evenHBand="0" w:firstRowFirstColumn="0" w:firstRowLastColumn="0" w:lastRowFirstColumn="0" w:lastRowLastColumn="0"/>
              <w:rPr>
                <w:rFonts w:eastAsia="MS Gothic"/>
                <w:b w:val="0"/>
                <w:sz w:val="22"/>
              </w:rPr>
            </w:pPr>
            <w:r w:rsidRPr="00922005">
              <w:rPr>
                <w:rFonts w:eastAsia="MS Gothic"/>
                <w:b w:val="0"/>
                <w:i/>
                <w:iCs/>
                <w:szCs w:val="24"/>
              </w:rPr>
              <w:t>p</w:t>
            </w:r>
          </w:p>
        </w:tc>
      </w:tr>
      <w:tr w:rsidR="00922005" w:rsidRPr="00922005" w14:paraId="2B47335B" w14:textId="77777777" w:rsidTr="00245A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hideMark/>
          </w:tcPr>
          <w:p w14:paraId="20C90BC8" w14:textId="77777777" w:rsidR="00922005" w:rsidRPr="00922005" w:rsidRDefault="00922005" w:rsidP="00922005">
            <w:pPr>
              <w:spacing w:line="300" w:lineRule="exact"/>
              <w:ind w:firstLine="0"/>
              <w:rPr>
                <w:rFonts w:eastAsia="MS Gothic"/>
                <w:b w:val="0"/>
                <w:sz w:val="22"/>
              </w:rPr>
            </w:pPr>
            <w:proofErr w:type="spellStart"/>
            <w:r w:rsidRPr="00922005">
              <w:rPr>
                <w:rFonts w:eastAsia="MS Gothic"/>
                <w:b w:val="0"/>
                <w:sz w:val="22"/>
              </w:rPr>
              <w:t>Dagnall</w:t>
            </w:r>
            <w:proofErr w:type="spellEnd"/>
            <w:r w:rsidRPr="00922005">
              <w:rPr>
                <w:rFonts w:eastAsia="MS Gothic"/>
                <w:b w:val="0"/>
                <w:sz w:val="22"/>
              </w:rPr>
              <w:t xml:space="preserve"> et al. (2014)</w:t>
            </w:r>
          </w:p>
        </w:tc>
        <w:tc>
          <w:tcPr>
            <w:tcW w:w="850" w:type="dxa"/>
            <w:shd w:val="clear" w:color="auto" w:fill="auto"/>
          </w:tcPr>
          <w:p w14:paraId="5BD5BD7D"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p>
        </w:tc>
        <w:tc>
          <w:tcPr>
            <w:tcW w:w="851" w:type="dxa"/>
            <w:shd w:val="clear" w:color="auto" w:fill="auto"/>
            <w:hideMark/>
          </w:tcPr>
          <w:p w14:paraId="31D34957"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305</w:t>
            </w:r>
          </w:p>
        </w:tc>
        <w:tc>
          <w:tcPr>
            <w:tcW w:w="1842" w:type="dxa"/>
            <w:shd w:val="clear" w:color="auto" w:fill="auto"/>
            <w:hideMark/>
          </w:tcPr>
          <w:p w14:paraId="11B15BC9"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R-PBS</w:t>
            </w:r>
          </w:p>
        </w:tc>
        <w:tc>
          <w:tcPr>
            <w:tcW w:w="2778" w:type="dxa"/>
            <w:shd w:val="clear" w:color="auto" w:fill="auto"/>
            <w:hideMark/>
          </w:tcPr>
          <w:p w14:paraId="5C1AE4F1"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Randomness Judgements</w:t>
            </w:r>
          </w:p>
        </w:tc>
        <w:tc>
          <w:tcPr>
            <w:tcW w:w="1818" w:type="dxa"/>
            <w:shd w:val="clear" w:color="auto" w:fill="auto"/>
            <w:hideMark/>
          </w:tcPr>
          <w:p w14:paraId="0ECDD0DD"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Continuous</w:t>
            </w:r>
          </w:p>
        </w:tc>
        <w:tc>
          <w:tcPr>
            <w:tcW w:w="2347" w:type="dxa"/>
            <w:shd w:val="clear" w:color="auto" w:fill="auto"/>
            <w:hideMark/>
          </w:tcPr>
          <w:p w14:paraId="08D26390"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i/>
                <w:sz w:val="22"/>
              </w:rPr>
            </w:pPr>
            <w:r w:rsidRPr="00922005">
              <w:rPr>
                <w:rFonts w:eastAsia="MS Gothic"/>
                <w:bCs/>
                <w:i/>
                <w:sz w:val="22"/>
              </w:rPr>
              <w:t xml:space="preserve">r </w:t>
            </w:r>
            <w:r w:rsidRPr="00922005">
              <w:rPr>
                <w:rFonts w:eastAsia="MS Gothic"/>
                <w:bCs/>
                <w:sz w:val="22"/>
              </w:rPr>
              <w:t>= -.17</w:t>
            </w:r>
          </w:p>
        </w:tc>
        <w:tc>
          <w:tcPr>
            <w:tcW w:w="772" w:type="dxa"/>
            <w:shd w:val="clear" w:color="auto" w:fill="auto"/>
            <w:hideMark/>
          </w:tcPr>
          <w:p w14:paraId="0A424469"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.003</w:t>
            </w:r>
          </w:p>
        </w:tc>
      </w:tr>
      <w:tr w:rsidR="00922005" w:rsidRPr="00922005" w14:paraId="2E3062F7" w14:textId="77777777" w:rsidTr="00245A59">
        <w:trPr>
          <w:trHeight w:val="397"/>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tcPr>
          <w:p w14:paraId="658A0146" w14:textId="77777777" w:rsidR="00922005" w:rsidRPr="00922005" w:rsidRDefault="00922005" w:rsidP="00922005">
            <w:pPr>
              <w:spacing w:line="300" w:lineRule="exact"/>
              <w:ind w:firstLine="0"/>
              <w:rPr>
                <w:rFonts w:eastAsia="MS Gothic"/>
                <w:b w:val="0"/>
                <w:sz w:val="22"/>
              </w:rPr>
            </w:pPr>
          </w:p>
        </w:tc>
        <w:tc>
          <w:tcPr>
            <w:tcW w:w="850" w:type="dxa"/>
            <w:shd w:val="clear" w:color="auto" w:fill="auto"/>
          </w:tcPr>
          <w:p w14:paraId="7A5FC4C0"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p>
        </w:tc>
        <w:tc>
          <w:tcPr>
            <w:tcW w:w="851" w:type="dxa"/>
            <w:shd w:val="clear" w:color="auto" w:fill="auto"/>
          </w:tcPr>
          <w:p w14:paraId="470BF049"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p>
        </w:tc>
        <w:tc>
          <w:tcPr>
            <w:tcW w:w="1842" w:type="dxa"/>
            <w:shd w:val="clear" w:color="auto" w:fill="auto"/>
            <w:hideMark/>
          </w:tcPr>
          <w:p w14:paraId="300E0826"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ASGS</w:t>
            </w:r>
          </w:p>
        </w:tc>
        <w:tc>
          <w:tcPr>
            <w:tcW w:w="2778" w:type="dxa"/>
            <w:shd w:val="clear" w:color="auto" w:fill="auto"/>
            <w:hideMark/>
          </w:tcPr>
          <w:p w14:paraId="255B554D"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Randomness Judgements</w:t>
            </w:r>
          </w:p>
        </w:tc>
        <w:tc>
          <w:tcPr>
            <w:tcW w:w="1818" w:type="dxa"/>
            <w:shd w:val="clear" w:color="auto" w:fill="auto"/>
            <w:hideMark/>
          </w:tcPr>
          <w:p w14:paraId="3BE426FE"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Continuous</w:t>
            </w:r>
          </w:p>
        </w:tc>
        <w:tc>
          <w:tcPr>
            <w:tcW w:w="2347" w:type="dxa"/>
            <w:shd w:val="clear" w:color="auto" w:fill="auto"/>
            <w:hideMark/>
          </w:tcPr>
          <w:p w14:paraId="3AB8A4B5"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i/>
                <w:sz w:val="22"/>
              </w:rPr>
            </w:pPr>
            <w:r w:rsidRPr="00922005">
              <w:rPr>
                <w:rFonts w:eastAsia="MS Gothic"/>
                <w:bCs/>
                <w:i/>
                <w:sz w:val="22"/>
              </w:rPr>
              <w:t xml:space="preserve">r </w:t>
            </w:r>
            <w:r w:rsidRPr="00922005">
              <w:rPr>
                <w:rFonts w:eastAsia="MS Gothic"/>
                <w:bCs/>
                <w:sz w:val="22"/>
              </w:rPr>
              <w:t>= -.18</w:t>
            </w:r>
          </w:p>
        </w:tc>
        <w:tc>
          <w:tcPr>
            <w:tcW w:w="772" w:type="dxa"/>
            <w:shd w:val="clear" w:color="auto" w:fill="auto"/>
            <w:hideMark/>
          </w:tcPr>
          <w:p w14:paraId="589383B4"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.002</w:t>
            </w:r>
          </w:p>
        </w:tc>
      </w:tr>
      <w:tr w:rsidR="00922005" w:rsidRPr="00922005" w14:paraId="7B026E2A" w14:textId="77777777" w:rsidTr="00245A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tcPr>
          <w:p w14:paraId="115157A7" w14:textId="77777777" w:rsidR="00922005" w:rsidRPr="00922005" w:rsidRDefault="00922005" w:rsidP="00922005">
            <w:pPr>
              <w:spacing w:line="300" w:lineRule="exact"/>
              <w:ind w:firstLine="0"/>
              <w:rPr>
                <w:rFonts w:eastAsia="MS Gothic"/>
                <w:b w:val="0"/>
                <w:sz w:val="22"/>
              </w:rPr>
            </w:pPr>
          </w:p>
        </w:tc>
        <w:tc>
          <w:tcPr>
            <w:tcW w:w="850" w:type="dxa"/>
            <w:shd w:val="clear" w:color="auto" w:fill="auto"/>
          </w:tcPr>
          <w:p w14:paraId="789C64CD"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p>
        </w:tc>
        <w:tc>
          <w:tcPr>
            <w:tcW w:w="851" w:type="dxa"/>
            <w:shd w:val="clear" w:color="auto" w:fill="auto"/>
          </w:tcPr>
          <w:p w14:paraId="22D40316"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p>
        </w:tc>
        <w:tc>
          <w:tcPr>
            <w:tcW w:w="1842" w:type="dxa"/>
            <w:shd w:val="clear" w:color="auto" w:fill="auto"/>
            <w:hideMark/>
          </w:tcPr>
          <w:p w14:paraId="3A872B26"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MMU-N</w:t>
            </w:r>
          </w:p>
        </w:tc>
        <w:tc>
          <w:tcPr>
            <w:tcW w:w="2778" w:type="dxa"/>
            <w:shd w:val="clear" w:color="auto" w:fill="auto"/>
            <w:hideMark/>
          </w:tcPr>
          <w:p w14:paraId="6E8F2792"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Randomness Judgements</w:t>
            </w:r>
          </w:p>
        </w:tc>
        <w:tc>
          <w:tcPr>
            <w:tcW w:w="1818" w:type="dxa"/>
            <w:shd w:val="clear" w:color="auto" w:fill="auto"/>
            <w:hideMark/>
          </w:tcPr>
          <w:p w14:paraId="04EDF2EB"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Continuous</w:t>
            </w:r>
          </w:p>
        </w:tc>
        <w:tc>
          <w:tcPr>
            <w:tcW w:w="2347" w:type="dxa"/>
            <w:shd w:val="clear" w:color="auto" w:fill="auto"/>
            <w:hideMark/>
          </w:tcPr>
          <w:p w14:paraId="378CE3FC"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i/>
                <w:sz w:val="22"/>
              </w:rPr>
            </w:pPr>
            <w:r w:rsidRPr="00922005">
              <w:rPr>
                <w:rFonts w:eastAsia="MS Gothic"/>
                <w:bCs/>
                <w:i/>
                <w:sz w:val="22"/>
              </w:rPr>
              <w:t xml:space="preserve">r </w:t>
            </w:r>
            <w:r w:rsidRPr="00922005">
              <w:rPr>
                <w:rFonts w:eastAsia="MS Gothic"/>
                <w:bCs/>
                <w:sz w:val="22"/>
              </w:rPr>
              <w:t>= -.19</w:t>
            </w:r>
          </w:p>
        </w:tc>
        <w:tc>
          <w:tcPr>
            <w:tcW w:w="772" w:type="dxa"/>
            <w:shd w:val="clear" w:color="auto" w:fill="auto"/>
            <w:hideMark/>
          </w:tcPr>
          <w:p w14:paraId="33130062"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.001</w:t>
            </w:r>
          </w:p>
        </w:tc>
      </w:tr>
      <w:tr w:rsidR="00922005" w:rsidRPr="00922005" w14:paraId="673F6EEB" w14:textId="77777777" w:rsidTr="00245A59">
        <w:trPr>
          <w:trHeight w:val="397"/>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tcPr>
          <w:p w14:paraId="274934CD" w14:textId="77777777" w:rsidR="00922005" w:rsidRPr="00922005" w:rsidRDefault="00922005" w:rsidP="00922005">
            <w:pPr>
              <w:spacing w:line="300" w:lineRule="exact"/>
              <w:ind w:firstLine="0"/>
              <w:rPr>
                <w:rFonts w:eastAsia="MS Gothic"/>
                <w:b w:val="0"/>
                <w:sz w:val="22"/>
              </w:rPr>
            </w:pPr>
          </w:p>
        </w:tc>
        <w:tc>
          <w:tcPr>
            <w:tcW w:w="850" w:type="dxa"/>
            <w:shd w:val="clear" w:color="auto" w:fill="auto"/>
          </w:tcPr>
          <w:p w14:paraId="3E7B538C"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p>
        </w:tc>
        <w:tc>
          <w:tcPr>
            <w:tcW w:w="851" w:type="dxa"/>
            <w:shd w:val="clear" w:color="auto" w:fill="auto"/>
          </w:tcPr>
          <w:p w14:paraId="1C40E8BE"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p>
        </w:tc>
        <w:tc>
          <w:tcPr>
            <w:tcW w:w="1842" w:type="dxa"/>
            <w:shd w:val="clear" w:color="auto" w:fill="auto"/>
            <w:hideMark/>
          </w:tcPr>
          <w:p w14:paraId="012D946C"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R-PBS</w:t>
            </w:r>
          </w:p>
        </w:tc>
        <w:tc>
          <w:tcPr>
            <w:tcW w:w="2778" w:type="dxa"/>
            <w:shd w:val="clear" w:color="auto" w:fill="auto"/>
            <w:hideMark/>
          </w:tcPr>
          <w:p w14:paraId="4CA3AD14"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Probability Judgements</w:t>
            </w:r>
          </w:p>
        </w:tc>
        <w:tc>
          <w:tcPr>
            <w:tcW w:w="1818" w:type="dxa"/>
            <w:shd w:val="clear" w:color="auto" w:fill="auto"/>
            <w:hideMark/>
          </w:tcPr>
          <w:p w14:paraId="3E33BACC"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Continuous</w:t>
            </w:r>
          </w:p>
        </w:tc>
        <w:tc>
          <w:tcPr>
            <w:tcW w:w="2347" w:type="dxa"/>
            <w:shd w:val="clear" w:color="auto" w:fill="auto"/>
            <w:hideMark/>
          </w:tcPr>
          <w:p w14:paraId="619203F1"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i/>
                <w:sz w:val="22"/>
              </w:rPr>
              <w:t xml:space="preserve">r </w:t>
            </w:r>
            <w:r w:rsidRPr="00922005">
              <w:rPr>
                <w:rFonts w:eastAsia="MS Gothic"/>
                <w:bCs/>
                <w:sz w:val="22"/>
              </w:rPr>
              <w:t>= -.10</w:t>
            </w:r>
          </w:p>
        </w:tc>
        <w:tc>
          <w:tcPr>
            <w:tcW w:w="772" w:type="dxa"/>
            <w:shd w:val="clear" w:color="auto" w:fill="auto"/>
            <w:hideMark/>
          </w:tcPr>
          <w:p w14:paraId="39AE1A9B"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.08</w:t>
            </w:r>
          </w:p>
        </w:tc>
      </w:tr>
      <w:tr w:rsidR="00922005" w:rsidRPr="00922005" w14:paraId="39C1C9DB" w14:textId="77777777" w:rsidTr="00245A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tcPr>
          <w:p w14:paraId="078F1992" w14:textId="77777777" w:rsidR="00922005" w:rsidRPr="00922005" w:rsidRDefault="00922005" w:rsidP="00922005">
            <w:pPr>
              <w:spacing w:line="300" w:lineRule="exact"/>
              <w:ind w:firstLine="0"/>
              <w:rPr>
                <w:rFonts w:eastAsia="MS Gothic"/>
                <w:b w:val="0"/>
                <w:sz w:val="22"/>
              </w:rPr>
            </w:pPr>
          </w:p>
        </w:tc>
        <w:tc>
          <w:tcPr>
            <w:tcW w:w="850" w:type="dxa"/>
            <w:shd w:val="clear" w:color="auto" w:fill="auto"/>
          </w:tcPr>
          <w:p w14:paraId="17D4B49B"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p>
        </w:tc>
        <w:tc>
          <w:tcPr>
            <w:tcW w:w="851" w:type="dxa"/>
            <w:shd w:val="clear" w:color="auto" w:fill="auto"/>
          </w:tcPr>
          <w:p w14:paraId="56216B7C"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p>
        </w:tc>
        <w:tc>
          <w:tcPr>
            <w:tcW w:w="1842" w:type="dxa"/>
            <w:shd w:val="clear" w:color="auto" w:fill="auto"/>
            <w:hideMark/>
          </w:tcPr>
          <w:p w14:paraId="5B255155"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ASGS</w:t>
            </w:r>
          </w:p>
        </w:tc>
        <w:tc>
          <w:tcPr>
            <w:tcW w:w="2778" w:type="dxa"/>
            <w:shd w:val="clear" w:color="auto" w:fill="auto"/>
            <w:hideMark/>
          </w:tcPr>
          <w:p w14:paraId="41AE0930"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Probability Judgements</w:t>
            </w:r>
          </w:p>
        </w:tc>
        <w:tc>
          <w:tcPr>
            <w:tcW w:w="1818" w:type="dxa"/>
            <w:shd w:val="clear" w:color="auto" w:fill="auto"/>
            <w:hideMark/>
          </w:tcPr>
          <w:p w14:paraId="4CA35213"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Continuous</w:t>
            </w:r>
          </w:p>
        </w:tc>
        <w:tc>
          <w:tcPr>
            <w:tcW w:w="2347" w:type="dxa"/>
            <w:shd w:val="clear" w:color="auto" w:fill="auto"/>
            <w:hideMark/>
          </w:tcPr>
          <w:p w14:paraId="3090825D"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i/>
                <w:sz w:val="22"/>
              </w:rPr>
              <w:t xml:space="preserve">r </w:t>
            </w:r>
            <w:r w:rsidRPr="00922005">
              <w:rPr>
                <w:rFonts w:eastAsia="MS Gothic"/>
                <w:bCs/>
                <w:sz w:val="22"/>
              </w:rPr>
              <w:t>= -.14</w:t>
            </w:r>
          </w:p>
        </w:tc>
        <w:tc>
          <w:tcPr>
            <w:tcW w:w="772" w:type="dxa"/>
            <w:shd w:val="clear" w:color="auto" w:fill="auto"/>
            <w:hideMark/>
          </w:tcPr>
          <w:p w14:paraId="32E5ECFF"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.014</w:t>
            </w:r>
          </w:p>
        </w:tc>
      </w:tr>
      <w:tr w:rsidR="00922005" w:rsidRPr="00922005" w14:paraId="5AD8A79B" w14:textId="77777777" w:rsidTr="00245A59">
        <w:trPr>
          <w:trHeight w:val="397"/>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tcPr>
          <w:p w14:paraId="5A699A84" w14:textId="77777777" w:rsidR="00922005" w:rsidRPr="00922005" w:rsidRDefault="00922005" w:rsidP="00922005">
            <w:pPr>
              <w:spacing w:after="120" w:line="300" w:lineRule="exact"/>
              <w:ind w:firstLine="0"/>
              <w:rPr>
                <w:rFonts w:eastAsia="MS Gothic"/>
                <w:b w:val="0"/>
                <w:sz w:val="22"/>
              </w:rPr>
            </w:pPr>
          </w:p>
        </w:tc>
        <w:tc>
          <w:tcPr>
            <w:tcW w:w="850" w:type="dxa"/>
            <w:shd w:val="clear" w:color="auto" w:fill="auto"/>
          </w:tcPr>
          <w:p w14:paraId="2059B07E" w14:textId="77777777" w:rsidR="00922005" w:rsidRPr="00922005" w:rsidRDefault="00922005" w:rsidP="00922005">
            <w:pPr>
              <w:spacing w:after="120"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p>
        </w:tc>
        <w:tc>
          <w:tcPr>
            <w:tcW w:w="851" w:type="dxa"/>
            <w:shd w:val="clear" w:color="auto" w:fill="auto"/>
          </w:tcPr>
          <w:p w14:paraId="2BD492E3" w14:textId="77777777" w:rsidR="00922005" w:rsidRPr="00922005" w:rsidRDefault="00922005" w:rsidP="00922005">
            <w:pPr>
              <w:spacing w:after="120"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p>
        </w:tc>
        <w:tc>
          <w:tcPr>
            <w:tcW w:w="1842" w:type="dxa"/>
            <w:shd w:val="clear" w:color="auto" w:fill="auto"/>
            <w:hideMark/>
          </w:tcPr>
          <w:p w14:paraId="1513E263" w14:textId="77777777" w:rsidR="00922005" w:rsidRPr="00922005" w:rsidRDefault="00922005" w:rsidP="00922005">
            <w:pPr>
              <w:spacing w:after="120"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MMU-N</w:t>
            </w:r>
          </w:p>
        </w:tc>
        <w:tc>
          <w:tcPr>
            <w:tcW w:w="2778" w:type="dxa"/>
            <w:shd w:val="clear" w:color="auto" w:fill="auto"/>
            <w:hideMark/>
          </w:tcPr>
          <w:p w14:paraId="36E0B43A" w14:textId="77777777" w:rsidR="00922005" w:rsidRPr="00922005" w:rsidRDefault="00922005" w:rsidP="00922005">
            <w:pPr>
              <w:spacing w:after="120"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Probability Judgements</w:t>
            </w:r>
          </w:p>
        </w:tc>
        <w:tc>
          <w:tcPr>
            <w:tcW w:w="1818" w:type="dxa"/>
            <w:shd w:val="clear" w:color="auto" w:fill="auto"/>
            <w:hideMark/>
          </w:tcPr>
          <w:p w14:paraId="656EDAC0" w14:textId="77777777" w:rsidR="00922005" w:rsidRPr="00922005" w:rsidRDefault="00922005" w:rsidP="00922005">
            <w:pPr>
              <w:spacing w:after="120"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Continuous</w:t>
            </w:r>
          </w:p>
        </w:tc>
        <w:tc>
          <w:tcPr>
            <w:tcW w:w="2347" w:type="dxa"/>
            <w:shd w:val="clear" w:color="auto" w:fill="auto"/>
            <w:hideMark/>
          </w:tcPr>
          <w:p w14:paraId="68CAF51A" w14:textId="77777777" w:rsidR="00922005" w:rsidRPr="00922005" w:rsidRDefault="00922005" w:rsidP="00922005">
            <w:pPr>
              <w:spacing w:after="120"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i/>
                <w:sz w:val="22"/>
              </w:rPr>
            </w:pPr>
            <w:r w:rsidRPr="00922005">
              <w:rPr>
                <w:rFonts w:eastAsia="MS Gothic"/>
                <w:bCs/>
                <w:i/>
                <w:sz w:val="22"/>
              </w:rPr>
              <w:t xml:space="preserve">r </w:t>
            </w:r>
            <w:r w:rsidRPr="00922005">
              <w:rPr>
                <w:rFonts w:eastAsia="MS Gothic"/>
                <w:bCs/>
                <w:sz w:val="22"/>
              </w:rPr>
              <w:t>= -.14</w:t>
            </w:r>
          </w:p>
        </w:tc>
        <w:tc>
          <w:tcPr>
            <w:tcW w:w="772" w:type="dxa"/>
            <w:shd w:val="clear" w:color="auto" w:fill="auto"/>
            <w:hideMark/>
          </w:tcPr>
          <w:p w14:paraId="4D29E23A" w14:textId="77777777" w:rsidR="00922005" w:rsidRPr="00922005" w:rsidRDefault="00922005" w:rsidP="00922005">
            <w:pPr>
              <w:spacing w:after="120"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.014</w:t>
            </w:r>
          </w:p>
        </w:tc>
      </w:tr>
      <w:tr w:rsidR="00922005" w:rsidRPr="00922005" w14:paraId="4AC35D73" w14:textId="77777777" w:rsidTr="00245A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hideMark/>
          </w:tcPr>
          <w:p w14:paraId="44A2CBA9" w14:textId="77777777" w:rsidR="00922005" w:rsidRPr="00922005" w:rsidRDefault="00922005" w:rsidP="00922005">
            <w:pPr>
              <w:spacing w:line="300" w:lineRule="exact"/>
              <w:ind w:firstLine="0"/>
              <w:rPr>
                <w:rFonts w:eastAsia="MS Gothic"/>
                <w:b w:val="0"/>
                <w:sz w:val="22"/>
              </w:rPr>
            </w:pPr>
            <w:proofErr w:type="spellStart"/>
            <w:r w:rsidRPr="00922005">
              <w:rPr>
                <w:rFonts w:eastAsia="MS Gothic"/>
                <w:b w:val="0"/>
                <w:sz w:val="22"/>
              </w:rPr>
              <w:t>Dagnall</w:t>
            </w:r>
            <w:proofErr w:type="spellEnd"/>
            <w:r w:rsidRPr="00922005">
              <w:rPr>
                <w:rFonts w:eastAsia="MS Gothic"/>
                <w:b w:val="0"/>
                <w:sz w:val="22"/>
              </w:rPr>
              <w:t xml:space="preserve"> et al. (2016)</w:t>
            </w:r>
          </w:p>
        </w:tc>
        <w:tc>
          <w:tcPr>
            <w:tcW w:w="850" w:type="dxa"/>
            <w:shd w:val="clear" w:color="auto" w:fill="auto"/>
          </w:tcPr>
          <w:p w14:paraId="346BF0E1"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p>
        </w:tc>
        <w:tc>
          <w:tcPr>
            <w:tcW w:w="851" w:type="dxa"/>
            <w:shd w:val="clear" w:color="auto" w:fill="auto"/>
            <w:hideMark/>
          </w:tcPr>
          <w:p w14:paraId="2C04C374"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254</w:t>
            </w:r>
          </w:p>
        </w:tc>
        <w:tc>
          <w:tcPr>
            <w:tcW w:w="1842" w:type="dxa"/>
            <w:shd w:val="clear" w:color="auto" w:fill="auto"/>
            <w:hideMark/>
          </w:tcPr>
          <w:p w14:paraId="4DCAF934"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R-PBS</w:t>
            </w:r>
          </w:p>
        </w:tc>
        <w:tc>
          <w:tcPr>
            <w:tcW w:w="2778" w:type="dxa"/>
            <w:shd w:val="clear" w:color="auto" w:fill="auto"/>
            <w:hideMark/>
          </w:tcPr>
          <w:p w14:paraId="7EC72557"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Randomness (Control)</w:t>
            </w:r>
          </w:p>
        </w:tc>
        <w:tc>
          <w:tcPr>
            <w:tcW w:w="1818" w:type="dxa"/>
            <w:shd w:val="clear" w:color="auto" w:fill="auto"/>
            <w:hideMark/>
          </w:tcPr>
          <w:p w14:paraId="38F07890"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Continuous</w:t>
            </w:r>
          </w:p>
        </w:tc>
        <w:tc>
          <w:tcPr>
            <w:tcW w:w="2347" w:type="dxa"/>
            <w:shd w:val="clear" w:color="auto" w:fill="auto"/>
            <w:hideMark/>
          </w:tcPr>
          <w:p w14:paraId="7C4DECD3"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i/>
                <w:sz w:val="22"/>
              </w:rPr>
              <w:t xml:space="preserve">r </w:t>
            </w:r>
            <w:r w:rsidRPr="00922005">
              <w:rPr>
                <w:rFonts w:eastAsia="MS Gothic"/>
                <w:bCs/>
                <w:sz w:val="22"/>
              </w:rPr>
              <w:t>= -.25</w:t>
            </w:r>
          </w:p>
        </w:tc>
        <w:tc>
          <w:tcPr>
            <w:tcW w:w="772" w:type="dxa"/>
            <w:shd w:val="clear" w:color="auto" w:fill="auto"/>
            <w:hideMark/>
          </w:tcPr>
          <w:p w14:paraId="5483438D"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&lt;.001</w:t>
            </w:r>
          </w:p>
        </w:tc>
      </w:tr>
      <w:tr w:rsidR="00922005" w:rsidRPr="00922005" w14:paraId="1C00EF3C" w14:textId="77777777" w:rsidTr="00245A59">
        <w:trPr>
          <w:trHeight w:val="397"/>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tcPr>
          <w:p w14:paraId="43E4EDD4" w14:textId="77777777" w:rsidR="00922005" w:rsidRPr="00922005" w:rsidRDefault="00922005" w:rsidP="00922005">
            <w:pPr>
              <w:spacing w:after="120" w:line="300" w:lineRule="exact"/>
              <w:ind w:firstLine="0"/>
              <w:rPr>
                <w:rFonts w:eastAsia="MS Gothic"/>
                <w:b w:val="0"/>
                <w:sz w:val="22"/>
              </w:rPr>
            </w:pPr>
          </w:p>
        </w:tc>
        <w:tc>
          <w:tcPr>
            <w:tcW w:w="850" w:type="dxa"/>
            <w:shd w:val="clear" w:color="auto" w:fill="auto"/>
          </w:tcPr>
          <w:p w14:paraId="4084AAD1" w14:textId="77777777" w:rsidR="00922005" w:rsidRPr="00922005" w:rsidRDefault="00922005" w:rsidP="00922005">
            <w:pPr>
              <w:spacing w:after="120"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p>
        </w:tc>
        <w:tc>
          <w:tcPr>
            <w:tcW w:w="851" w:type="dxa"/>
            <w:shd w:val="clear" w:color="auto" w:fill="auto"/>
          </w:tcPr>
          <w:p w14:paraId="3C99F4BC" w14:textId="77777777" w:rsidR="00922005" w:rsidRPr="00922005" w:rsidRDefault="00922005" w:rsidP="00922005">
            <w:pPr>
              <w:spacing w:after="120"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p>
        </w:tc>
        <w:tc>
          <w:tcPr>
            <w:tcW w:w="1842" w:type="dxa"/>
            <w:shd w:val="clear" w:color="auto" w:fill="auto"/>
            <w:hideMark/>
          </w:tcPr>
          <w:p w14:paraId="794E9DD8" w14:textId="77777777" w:rsidR="00922005" w:rsidRPr="00922005" w:rsidRDefault="00922005" w:rsidP="00922005">
            <w:pPr>
              <w:spacing w:after="120"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R-PBS</w:t>
            </w:r>
          </w:p>
        </w:tc>
        <w:tc>
          <w:tcPr>
            <w:tcW w:w="2778" w:type="dxa"/>
            <w:shd w:val="clear" w:color="auto" w:fill="auto"/>
            <w:hideMark/>
          </w:tcPr>
          <w:p w14:paraId="580A6798" w14:textId="77777777" w:rsidR="00922005" w:rsidRPr="00922005" w:rsidRDefault="00922005" w:rsidP="00922005">
            <w:pPr>
              <w:spacing w:after="120"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Randomness (Paranormal)</w:t>
            </w:r>
          </w:p>
        </w:tc>
        <w:tc>
          <w:tcPr>
            <w:tcW w:w="1818" w:type="dxa"/>
            <w:shd w:val="clear" w:color="auto" w:fill="auto"/>
            <w:hideMark/>
          </w:tcPr>
          <w:p w14:paraId="22352370" w14:textId="77777777" w:rsidR="00922005" w:rsidRPr="00922005" w:rsidRDefault="00922005" w:rsidP="00922005">
            <w:pPr>
              <w:spacing w:after="120"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Continuous</w:t>
            </w:r>
          </w:p>
        </w:tc>
        <w:tc>
          <w:tcPr>
            <w:tcW w:w="2347" w:type="dxa"/>
            <w:shd w:val="clear" w:color="auto" w:fill="auto"/>
            <w:hideMark/>
          </w:tcPr>
          <w:p w14:paraId="6B9D44C5" w14:textId="77777777" w:rsidR="00922005" w:rsidRPr="00922005" w:rsidRDefault="00922005" w:rsidP="00922005">
            <w:pPr>
              <w:spacing w:after="120"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i/>
                <w:sz w:val="22"/>
              </w:rPr>
              <w:t xml:space="preserve">r </w:t>
            </w:r>
            <w:r w:rsidRPr="00922005">
              <w:rPr>
                <w:rFonts w:eastAsia="MS Gothic"/>
                <w:bCs/>
                <w:sz w:val="22"/>
              </w:rPr>
              <w:t>= -.38</w:t>
            </w:r>
          </w:p>
        </w:tc>
        <w:tc>
          <w:tcPr>
            <w:tcW w:w="772" w:type="dxa"/>
            <w:shd w:val="clear" w:color="auto" w:fill="auto"/>
            <w:hideMark/>
          </w:tcPr>
          <w:p w14:paraId="0B64258B" w14:textId="77777777" w:rsidR="00922005" w:rsidRPr="00922005" w:rsidRDefault="00922005" w:rsidP="00922005">
            <w:pPr>
              <w:spacing w:after="120"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&lt;.001</w:t>
            </w:r>
          </w:p>
        </w:tc>
      </w:tr>
      <w:tr w:rsidR="00922005" w:rsidRPr="00922005" w14:paraId="15A1F8D1" w14:textId="77777777" w:rsidTr="00245A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hideMark/>
          </w:tcPr>
          <w:p w14:paraId="6AE68AF0" w14:textId="77777777" w:rsidR="00922005" w:rsidRPr="00922005" w:rsidRDefault="00922005" w:rsidP="00922005">
            <w:pPr>
              <w:spacing w:line="300" w:lineRule="exact"/>
              <w:ind w:firstLine="0"/>
              <w:rPr>
                <w:rFonts w:eastAsia="MS Gothic"/>
                <w:b w:val="0"/>
                <w:sz w:val="22"/>
              </w:rPr>
            </w:pPr>
            <w:proofErr w:type="spellStart"/>
            <w:r w:rsidRPr="00922005">
              <w:rPr>
                <w:rFonts w:eastAsia="MS Gothic"/>
                <w:b w:val="0"/>
                <w:sz w:val="22"/>
              </w:rPr>
              <w:t>Denovan</w:t>
            </w:r>
            <w:proofErr w:type="spellEnd"/>
            <w:r w:rsidRPr="00922005">
              <w:rPr>
                <w:rFonts w:eastAsia="MS Gothic"/>
                <w:b w:val="0"/>
                <w:sz w:val="22"/>
              </w:rPr>
              <w:t xml:space="preserve"> et al. (2018)</w:t>
            </w:r>
          </w:p>
        </w:tc>
        <w:tc>
          <w:tcPr>
            <w:tcW w:w="850" w:type="dxa"/>
            <w:shd w:val="clear" w:color="auto" w:fill="auto"/>
          </w:tcPr>
          <w:p w14:paraId="296D1798"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p>
        </w:tc>
        <w:tc>
          <w:tcPr>
            <w:tcW w:w="851" w:type="dxa"/>
            <w:shd w:val="clear" w:color="auto" w:fill="auto"/>
            <w:hideMark/>
          </w:tcPr>
          <w:p w14:paraId="592EE62D"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725</w:t>
            </w:r>
          </w:p>
        </w:tc>
        <w:tc>
          <w:tcPr>
            <w:tcW w:w="1842" w:type="dxa"/>
            <w:shd w:val="clear" w:color="auto" w:fill="auto"/>
            <w:hideMark/>
          </w:tcPr>
          <w:p w14:paraId="774142E2"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R-PBS</w:t>
            </w:r>
          </w:p>
        </w:tc>
        <w:tc>
          <w:tcPr>
            <w:tcW w:w="2778" w:type="dxa"/>
            <w:shd w:val="clear" w:color="auto" w:fill="auto"/>
            <w:hideMark/>
          </w:tcPr>
          <w:p w14:paraId="1DAFBF94"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Randomness (Control)</w:t>
            </w:r>
          </w:p>
        </w:tc>
        <w:tc>
          <w:tcPr>
            <w:tcW w:w="1818" w:type="dxa"/>
            <w:shd w:val="clear" w:color="auto" w:fill="auto"/>
            <w:hideMark/>
          </w:tcPr>
          <w:p w14:paraId="7A5564C2"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Continuous</w:t>
            </w:r>
          </w:p>
        </w:tc>
        <w:tc>
          <w:tcPr>
            <w:tcW w:w="2347" w:type="dxa"/>
            <w:shd w:val="clear" w:color="auto" w:fill="auto"/>
            <w:hideMark/>
          </w:tcPr>
          <w:p w14:paraId="39075812"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i/>
                <w:sz w:val="22"/>
              </w:rPr>
            </w:pPr>
            <w:r w:rsidRPr="00922005">
              <w:rPr>
                <w:rFonts w:eastAsia="MS Gothic"/>
                <w:bCs/>
                <w:i/>
                <w:sz w:val="22"/>
              </w:rPr>
              <w:t xml:space="preserve">r </w:t>
            </w:r>
            <w:r w:rsidRPr="00922005">
              <w:rPr>
                <w:rFonts w:eastAsia="MS Gothic"/>
                <w:bCs/>
                <w:sz w:val="22"/>
              </w:rPr>
              <w:t>= -.24</w:t>
            </w:r>
          </w:p>
        </w:tc>
        <w:tc>
          <w:tcPr>
            <w:tcW w:w="772" w:type="dxa"/>
            <w:shd w:val="clear" w:color="auto" w:fill="auto"/>
            <w:hideMark/>
          </w:tcPr>
          <w:p w14:paraId="69CA6C19"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&lt;.001</w:t>
            </w:r>
          </w:p>
        </w:tc>
      </w:tr>
      <w:tr w:rsidR="00922005" w:rsidRPr="00922005" w14:paraId="114F608D" w14:textId="77777777" w:rsidTr="00245A59">
        <w:trPr>
          <w:trHeight w:val="397"/>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tcPr>
          <w:p w14:paraId="01D31577" w14:textId="77777777" w:rsidR="00922005" w:rsidRPr="00922005" w:rsidRDefault="00922005" w:rsidP="00922005">
            <w:pPr>
              <w:spacing w:after="120" w:line="300" w:lineRule="exact"/>
              <w:ind w:firstLine="0"/>
              <w:rPr>
                <w:rFonts w:eastAsia="MS Gothic"/>
                <w:b w:val="0"/>
                <w:sz w:val="22"/>
              </w:rPr>
            </w:pPr>
          </w:p>
        </w:tc>
        <w:tc>
          <w:tcPr>
            <w:tcW w:w="850" w:type="dxa"/>
            <w:shd w:val="clear" w:color="auto" w:fill="auto"/>
          </w:tcPr>
          <w:p w14:paraId="19EB17CD" w14:textId="77777777" w:rsidR="00922005" w:rsidRPr="00922005" w:rsidRDefault="00922005" w:rsidP="00922005">
            <w:pPr>
              <w:spacing w:after="120"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p>
        </w:tc>
        <w:tc>
          <w:tcPr>
            <w:tcW w:w="851" w:type="dxa"/>
            <w:shd w:val="clear" w:color="auto" w:fill="auto"/>
          </w:tcPr>
          <w:p w14:paraId="6AFCD556" w14:textId="77777777" w:rsidR="00922005" w:rsidRPr="00922005" w:rsidRDefault="00922005" w:rsidP="00922005">
            <w:pPr>
              <w:spacing w:after="120"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p>
        </w:tc>
        <w:tc>
          <w:tcPr>
            <w:tcW w:w="1842" w:type="dxa"/>
            <w:shd w:val="clear" w:color="auto" w:fill="auto"/>
            <w:hideMark/>
          </w:tcPr>
          <w:p w14:paraId="00912820" w14:textId="77777777" w:rsidR="00922005" w:rsidRPr="00922005" w:rsidRDefault="00922005" w:rsidP="00922005">
            <w:pPr>
              <w:spacing w:after="120"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R-PBS</w:t>
            </w:r>
          </w:p>
        </w:tc>
        <w:tc>
          <w:tcPr>
            <w:tcW w:w="2778" w:type="dxa"/>
            <w:shd w:val="clear" w:color="auto" w:fill="auto"/>
            <w:hideMark/>
          </w:tcPr>
          <w:p w14:paraId="5BBD0C0B" w14:textId="77777777" w:rsidR="00922005" w:rsidRPr="00922005" w:rsidRDefault="00922005" w:rsidP="00922005">
            <w:pPr>
              <w:spacing w:after="120"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Randomness (Paranormal)</w:t>
            </w:r>
          </w:p>
        </w:tc>
        <w:tc>
          <w:tcPr>
            <w:tcW w:w="1818" w:type="dxa"/>
            <w:shd w:val="clear" w:color="auto" w:fill="auto"/>
            <w:hideMark/>
          </w:tcPr>
          <w:p w14:paraId="7E83F994" w14:textId="77777777" w:rsidR="00922005" w:rsidRPr="00922005" w:rsidRDefault="00922005" w:rsidP="00922005">
            <w:pPr>
              <w:spacing w:after="120"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Continuous</w:t>
            </w:r>
          </w:p>
        </w:tc>
        <w:tc>
          <w:tcPr>
            <w:tcW w:w="2347" w:type="dxa"/>
            <w:shd w:val="clear" w:color="auto" w:fill="auto"/>
            <w:hideMark/>
          </w:tcPr>
          <w:p w14:paraId="280AAA8A" w14:textId="77777777" w:rsidR="00922005" w:rsidRPr="00922005" w:rsidRDefault="00922005" w:rsidP="00922005">
            <w:pPr>
              <w:spacing w:after="120"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i/>
                <w:sz w:val="22"/>
              </w:rPr>
            </w:pPr>
            <w:r w:rsidRPr="00922005">
              <w:rPr>
                <w:rFonts w:eastAsia="MS Gothic"/>
                <w:bCs/>
                <w:i/>
                <w:sz w:val="22"/>
              </w:rPr>
              <w:t xml:space="preserve">r </w:t>
            </w:r>
            <w:r w:rsidRPr="00922005">
              <w:rPr>
                <w:rFonts w:eastAsia="MS Gothic"/>
                <w:bCs/>
                <w:sz w:val="22"/>
              </w:rPr>
              <w:t>= -.37</w:t>
            </w:r>
          </w:p>
        </w:tc>
        <w:tc>
          <w:tcPr>
            <w:tcW w:w="772" w:type="dxa"/>
            <w:shd w:val="clear" w:color="auto" w:fill="auto"/>
            <w:hideMark/>
          </w:tcPr>
          <w:p w14:paraId="3C3D28B4" w14:textId="77777777" w:rsidR="00922005" w:rsidRPr="00922005" w:rsidRDefault="00922005" w:rsidP="00922005">
            <w:pPr>
              <w:spacing w:after="120"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&lt;.001</w:t>
            </w:r>
          </w:p>
        </w:tc>
      </w:tr>
      <w:tr w:rsidR="00922005" w:rsidRPr="00922005" w14:paraId="2CC79E3D" w14:textId="77777777" w:rsidTr="00245A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hideMark/>
          </w:tcPr>
          <w:p w14:paraId="2D37CEED" w14:textId="77777777" w:rsidR="00922005" w:rsidRPr="00922005" w:rsidRDefault="00922005" w:rsidP="00922005">
            <w:pPr>
              <w:spacing w:after="120" w:line="300" w:lineRule="exact"/>
              <w:ind w:firstLine="0"/>
              <w:rPr>
                <w:rFonts w:eastAsia="MS Gothic"/>
                <w:b w:val="0"/>
                <w:sz w:val="22"/>
              </w:rPr>
            </w:pPr>
            <w:r w:rsidRPr="00922005">
              <w:rPr>
                <w:rFonts w:eastAsia="MS Gothic"/>
                <w:b w:val="0"/>
                <w:sz w:val="22"/>
              </w:rPr>
              <w:t>Drinkwater et al. (2018)</w:t>
            </w:r>
          </w:p>
        </w:tc>
        <w:tc>
          <w:tcPr>
            <w:tcW w:w="850" w:type="dxa"/>
            <w:shd w:val="clear" w:color="auto" w:fill="auto"/>
          </w:tcPr>
          <w:p w14:paraId="510A1B6F" w14:textId="77777777" w:rsidR="00922005" w:rsidRPr="00922005" w:rsidRDefault="00922005" w:rsidP="00922005">
            <w:pPr>
              <w:spacing w:after="120"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p>
        </w:tc>
        <w:tc>
          <w:tcPr>
            <w:tcW w:w="851" w:type="dxa"/>
            <w:shd w:val="clear" w:color="auto" w:fill="auto"/>
            <w:hideMark/>
          </w:tcPr>
          <w:p w14:paraId="0BCB5A27" w14:textId="77777777" w:rsidR="00922005" w:rsidRPr="00922005" w:rsidRDefault="00922005" w:rsidP="00922005">
            <w:pPr>
              <w:spacing w:after="120"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248</w:t>
            </w:r>
          </w:p>
        </w:tc>
        <w:tc>
          <w:tcPr>
            <w:tcW w:w="1842" w:type="dxa"/>
            <w:shd w:val="clear" w:color="auto" w:fill="auto"/>
            <w:hideMark/>
          </w:tcPr>
          <w:p w14:paraId="134E4211" w14:textId="77777777" w:rsidR="00922005" w:rsidRPr="00922005" w:rsidRDefault="00922005" w:rsidP="00922005">
            <w:pPr>
              <w:spacing w:after="120"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R-PBS</w:t>
            </w:r>
          </w:p>
        </w:tc>
        <w:tc>
          <w:tcPr>
            <w:tcW w:w="2778" w:type="dxa"/>
            <w:shd w:val="clear" w:color="auto" w:fill="auto"/>
            <w:hideMark/>
          </w:tcPr>
          <w:p w14:paraId="3C494CFC" w14:textId="77777777" w:rsidR="00922005" w:rsidRPr="00922005" w:rsidRDefault="00922005" w:rsidP="00922005">
            <w:pPr>
              <w:spacing w:after="120"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Randomness Judgements</w:t>
            </w:r>
          </w:p>
        </w:tc>
        <w:tc>
          <w:tcPr>
            <w:tcW w:w="1818" w:type="dxa"/>
            <w:shd w:val="clear" w:color="auto" w:fill="auto"/>
            <w:hideMark/>
          </w:tcPr>
          <w:p w14:paraId="631B2BF9" w14:textId="77777777" w:rsidR="00922005" w:rsidRPr="00922005" w:rsidRDefault="00922005" w:rsidP="00922005">
            <w:pPr>
              <w:spacing w:after="120"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Continuous</w:t>
            </w:r>
          </w:p>
        </w:tc>
        <w:tc>
          <w:tcPr>
            <w:tcW w:w="2347" w:type="dxa"/>
            <w:shd w:val="clear" w:color="auto" w:fill="auto"/>
            <w:hideMark/>
          </w:tcPr>
          <w:p w14:paraId="2472D3CA" w14:textId="77777777" w:rsidR="00922005" w:rsidRPr="00922005" w:rsidRDefault="00922005" w:rsidP="00922005">
            <w:pPr>
              <w:spacing w:after="120"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i/>
                <w:sz w:val="22"/>
              </w:rPr>
            </w:pPr>
            <w:r w:rsidRPr="00922005">
              <w:rPr>
                <w:rFonts w:eastAsia="MS Gothic"/>
                <w:bCs/>
                <w:i/>
                <w:sz w:val="22"/>
              </w:rPr>
              <w:t xml:space="preserve">r </w:t>
            </w:r>
            <w:r w:rsidRPr="00922005">
              <w:rPr>
                <w:rFonts w:eastAsia="MS Gothic"/>
                <w:bCs/>
                <w:sz w:val="22"/>
              </w:rPr>
              <w:t>= -.28</w:t>
            </w:r>
          </w:p>
        </w:tc>
        <w:tc>
          <w:tcPr>
            <w:tcW w:w="772" w:type="dxa"/>
            <w:shd w:val="clear" w:color="auto" w:fill="auto"/>
            <w:hideMark/>
          </w:tcPr>
          <w:p w14:paraId="6433A82C" w14:textId="77777777" w:rsidR="00922005" w:rsidRPr="00922005" w:rsidRDefault="00922005" w:rsidP="00922005">
            <w:pPr>
              <w:spacing w:after="120"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&lt;.001</w:t>
            </w:r>
          </w:p>
        </w:tc>
      </w:tr>
      <w:tr w:rsidR="00922005" w:rsidRPr="00922005" w14:paraId="4F688DFE" w14:textId="77777777" w:rsidTr="00245A59">
        <w:trPr>
          <w:trHeight w:val="397"/>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hideMark/>
          </w:tcPr>
          <w:p w14:paraId="010E667A" w14:textId="77777777" w:rsidR="00922005" w:rsidRPr="00922005" w:rsidRDefault="00922005" w:rsidP="00922005">
            <w:pPr>
              <w:spacing w:line="300" w:lineRule="exact"/>
              <w:ind w:firstLine="0"/>
              <w:rPr>
                <w:rFonts w:eastAsia="MS Gothic"/>
                <w:b w:val="0"/>
                <w:sz w:val="22"/>
              </w:rPr>
            </w:pPr>
            <w:proofErr w:type="spellStart"/>
            <w:r w:rsidRPr="00922005">
              <w:rPr>
                <w:rFonts w:eastAsia="MS Gothic"/>
                <w:b w:val="0"/>
                <w:sz w:val="22"/>
              </w:rPr>
              <w:t>Musch</w:t>
            </w:r>
            <w:proofErr w:type="spellEnd"/>
            <w:r w:rsidRPr="00922005">
              <w:rPr>
                <w:rFonts w:eastAsia="MS Gothic"/>
                <w:b w:val="0"/>
                <w:sz w:val="22"/>
              </w:rPr>
              <w:t xml:space="preserve"> &amp; Ehrenberg (2002)</w:t>
            </w:r>
          </w:p>
        </w:tc>
        <w:tc>
          <w:tcPr>
            <w:tcW w:w="850" w:type="dxa"/>
            <w:shd w:val="clear" w:color="auto" w:fill="auto"/>
          </w:tcPr>
          <w:p w14:paraId="207E0168"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p>
        </w:tc>
        <w:tc>
          <w:tcPr>
            <w:tcW w:w="851" w:type="dxa"/>
            <w:shd w:val="clear" w:color="auto" w:fill="auto"/>
            <w:hideMark/>
          </w:tcPr>
          <w:p w14:paraId="1D08B745"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123</w:t>
            </w:r>
          </w:p>
        </w:tc>
        <w:tc>
          <w:tcPr>
            <w:tcW w:w="1842" w:type="dxa"/>
            <w:shd w:val="clear" w:color="auto" w:fill="auto"/>
            <w:hideMark/>
          </w:tcPr>
          <w:p w14:paraId="726B91CA"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Custom</w:t>
            </w:r>
          </w:p>
        </w:tc>
        <w:tc>
          <w:tcPr>
            <w:tcW w:w="2778" w:type="dxa"/>
            <w:shd w:val="clear" w:color="auto" w:fill="auto"/>
            <w:hideMark/>
          </w:tcPr>
          <w:p w14:paraId="23C4F206"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Dice Sequence</w:t>
            </w:r>
          </w:p>
        </w:tc>
        <w:tc>
          <w:tcPr>
            <w:tcW w:w="1818" w:type="dxa"/>
            <w:shd w:val="clear" w:color="auto" w:fill="auto"/>
            <w:hideMark/>
          </w:tcPr>
          <w:p w14:paraId="5585A72C"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Continuous</w:t>
            </w:r>
          </w:p>
        </w:tc>
        <w:tc>
          <w:tcPr>
            <w:tcW w:w="2347" w:type="dxa"/>
            <w:shd w:val="clear" w:color="auto" w:fill="auto"/>
            <w:hideMark/>
          </w:tcPr>
          <w:p w14:paraId="036B1868"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i/>
                <w:sz w:val="22"/>
              </w:rPr>
            </w:pPr>
            <w:r w:rsidRPr="00922005">
              <w:rPr>
                <w:rFonts w:eastAsia="MS Gothic"/>
                <w:bCs/>
                <w:i/>
                <w:sz w:val="22"/>
              </w:rPr>
              <w:t xml:space="preserve">r </w:t>
            </w:r>
            <w:r w:rsidRPr="00922005">
              <w:rPr>
                <w:rFonts w:eastAsia="MS Gothic"/>
                <w:bCs/>
                <w:sz w:val="22"/>
              </w:rPr>
              <w:t>= -.25</w:t>
            </w:r>
          </w:p>
        </w:tc>
        <w:tc>
          <w:tcPr>
            <w:tcW w:w="772" w:type="dxa"/>
            <w:shd w:val="clear" w:color="auto" w:fill="auto"/>
            <w:hideMark/>
          </w:tcPr>
          <w:p w14:paraId="3E9403F4"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.005</w:t>
            </w:r>
          </w:p>
        </w:tc>
      </w:tr>
      <w:tr w:rsidR="00922005" w:rsidRPr="00922005" w14:paraId="74F1F920" w14:textId="77777777" w:rsidTr="00245A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tcPr>
          <w:p w14:paraId="791C27C1" w14:textId="77777777" w:rsidR="00922005" w:rsidRPr="00922005" w:rsidRDefault="00922005" w:rsidP="00922005">
            <w:pPr>
              <w:spacing w:line="300" w:lineRule="exact"/>
              <w:ind w:firstLine="0"/>
              <w:rPr>
                <w:rFonts w:eastAsia="MS Gothic"/>
                <w:b w:val="0"/>
                <w:sz w:val="22"/>
              </w:rPr>
            </w:pPr>
          </w:p>
        </w:tc>
        <w:tc>
          <w:tcPr>
            <w:tcW w:w="850" w:type="dxa"/>
            <w:shd w:val="clear" w:color="auto" w:fill="auto"/>
          </w:tcPr>
          <w:p w14:paraId="482E1930"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p>
        </w:tc>
        <w:tc>
          <w:tcPr>
            <w:tcW w:w="851" w:type="dxa"/>
            <w:shd w:val="clear" w:color="auto" w:fill="auto"/>
          </w:tcPr>
          <w:p w14:paraId="2B892CDE"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p>
        </w:tc>
        <w:tc>
          <w:tcPr>
            <w:tcW w:w="1842" w:type="dxa"/>
            <w:shd w:val="clear" w:color="auto" w:fill="auto"/>
          </w:tcPr>
          <w:p w14:paraId="488AFFBD" w14:textId="27AB2AE2" w:rsidR="00922005" w:rsidRPr="00922005" w:rsidRDefault="000A34F2"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Pr>
                <w:rFonts w:eastAsia="MS Gothic"/>
                <w:bCs/>
                <w:sz w:val="22"/>
              </w:rPr>
              <w:t>Custom</w:t>
            </w:r>
          </w:p>
        </w:tc>
        <w:tc>
          <w:tcPr>
            <w:tcW w:w="2778" w:type="dxa"/>
            <w:shd w:val="clear" w:color="auto" w:fill="auto"/>
            <w:hideMark/>
          </w:tcPr>
          <w:p w14:paraId="1781CD41"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Dice Rolls</w:t>
            </w:r>
          </w:p>
        </w:tc>
        <w:tc>
          <w:tcPr>
            <w:tcW w:w="1818" w:type="dxa"/>
            <w:shd w:val="clear" w:color="auto" w:fill="auto"/>
            <w:hideMark/>
          </w:tcPr>
          <w:p w14:paraId="69ABF70D"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Continuous</w:t>
            </w:r>
          </w:p>
        </w:tc>
        <w:tc>
          <w:tcPr>
            <w:tcW w:w="2347" w:type="dxa"/>
            <w:shd w:val="clear" w:color="auto" w:fill="auto"/>
            <w:hideMark/>
          </w:tcPr>
          <w:p w14:paraId="05318FA8"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i/>
                <w:sz w:val="22"/>
              </w:rPr>
            </w:pPr>
            <w:r w:rsidRPr="00922005">
              <w:rPr>
                <w:rFonts w:eastAsia="MS Gothic"/>
                <w:bCs/>
                <w:i/>
                <w:sz w:val="22"/>
              </w:rPr>
              <w:t xml:space="preserve">r </w:t>
            </w:r>
            <w:r w:rsidRPr="00922005">
              <w:rPr>
                <w:rFonts w:eastAsia="MS Gothic"/>
                <w:bCs/>
                <w:sz w:val="22"/>
              </w:rPr>
              <w:t>= -.20</w:t>
            </w:r>
          </w:p>
        </w:tc>
        <w:tc>
          <w:tcPr>
            <w:tcW w:w="772" w:type="dxa"/>
            <w:shd w:val="clear" w:color="auto" w:fill="auto"/>
            <w:hideMark/>
          </w:tcPr>
          <w:p w14:paraId="5960E304"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.027</w:t>
            </w:r>
          </w:p>
        </w:tc>
      </w:tr>
      <w:tr w:rsidR="00922005" w:rsidRPr="00922005" w14:paraId="7675A5B4" w14:textId="77777777" w:rsidTr="00245A59">
        <w:trPr>
          <w:trHeight w:val="397"/>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tcPr>
          <w:p w14:paraId="01EF3751" w14:textId="77777777" w:rsidR="00922005" w:rsidRPr="00922005" w:rsidRDefault="00922005" w:rsidP="00922005">
            <w:pPr>
              <w:spacing w:line="300" w:lineRule="exact"/>
              <w:ind w:firstLine="0"/>
              <w:rPr>
                <w:rFonts w:eastAsia="MS Gothic"/>
                <w:b w:val="0"/>
                <w:sz w:val="22"/>
              </w:rPr>
            </w:pPr>
          </w:p>
        </w:tc>
        <w:tc>
          <w:tcPr>
            <w:tcW w:w="850" w:type="dxa"/>
            <w:shd w:val="clear" w:color="auto" w:fill="auto"/>
          </w:tcPr>
          <w:p w14:paraId="5129C71C"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p>
        </w:tc>
        <w:tc>
          <w:tcPr>
            <w:tcW w:w="851" w:type="dxa"/>
            <w:shd w:val="clear" w:color="auto" w:fill="auto"/>
          </w:tcPr>
          <w:p w14:paraId="4AC86F37"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p>
        </w:tc>
        <w:tc>
          <w:tcPr>
            <w:tcW w:w="1842" w:type="dxa"/>
            <w:shd w:val="clear" w:color="auto" w:fill="auto"/>
          </w:tcPr>
          <w:p w14:paraId="065F6CFF" w14:textId="4B52F675" w:rsidR="00922005" w:rsidRPr="00922005" w:rsidRDefault="000A34F2"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Pr>
                <w:rFonts w:eastAsia="MS Gothic"/>
                <w:bCs/>
                <w:sz w:val="22"/>
              </w:rPr>
              <w:t>Custom</w:t>
            </w:r>
          </w:p>
        </w:tc>
        <w:tc>
          <w:tcPr>
            <w:tcW w:w="2778" w:type="dxa"/>
            <w:shd w:val="clear" w:color="auto" w:fill="auto"/>
            <w:hideMark/>
          </w:tcPr>
          <w:p w14:paraId="15E52837"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Birthday Paradox 1</w:t>
            </w:r>
          </w:p>
        </w:tc>
        <w:tc>
          <w:tcPr>
            <w:tcW w:w="1818" w:type="dxa"/>
            <w:shd w:val="clear" w:color="auto" w:fill="auto"/>
            <w:hideMark/>
          </w:tcPr>
          <w:p w14:paraId="13447497"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Continuous</w:t>
            </w:r>
          </w:p>
        </w:tc>
        <w:tc>
          <w:tcPr>
            <w:tcW w:w="2347" w:type="dxa"/>
            <w:shd w:val="clear" w:color="auto" w:fill="auto"/>
            <w:hideMark/>
          </w:tcPr>
          <w:p w14:paraId="44397795"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i/>
                <w:sz w:val="22"/>
              </w:rPr>
            </w:pPr>
            <w:r w:rsidRPr="00922005">
              <w:rPr>
                <w:rFonts w:eastAsia="MS Gothic"/>
                <w:bCs/>
                <w:i/>
                <w:sz w:val="22"/>
              </w:rPr>
              <w:t xml:space="preserve">r </w:t>
            </w:r>
            <w:r w:rsidRPr="00922005">
              <w:rPr>
                <w:rFonts w:eastAsia="MS Gothic"/>
                <w:bCs/>
                <w:sz w:val="22"/>
              </w:rPr>
              <w:t>= -.04</w:t>
            </w:r>
          </w:p>
        </w:tc>
        <w:tc>
          <w:tcPr>
            <w:tcW w:w="772" w:type="dxa"/>
            <w:shd w:val="clear" w:color="auto" w:fill="auto"/>
            <w:hideMark/>
          </w:tcPr>
          <w:p w14:paraId="6BAD67D7" w14:textId="77777777" w:rsidR="00922005" w:rsidRPr="00922005" w:rsidRDefault="00922005" w:rsidP="00922005">
            <w:pPr>
              <w:spacing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.66</w:t>
            </w:r>
          </w:p>
        </w:tc>
      </w:tr>
      <w:tr w:rsidR="00922005" w:rsidRPr="00922005" w14:paraId="54111C2F" w14:textId="77777777" w:rsidTr="00245A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tcPr>
          <w:p w14:paraId="1A62DB4F" w14:textId="77777777" w:rsidR="00922005" w:rsidRPr="00922005" w:rsidRDefault="00922005" w:rsidP="00922005">
            <w:pPr>
              <w:spacing w:line="300" w:lineRule="exact"/>
              <w:ind w:firstLine="0"/>
              <w:rPr>
                <w:rFonts w:eastAsia="MS Gothic"/>
                <w:b w:val="0"/>
                <w:sz w:val="22"/>
              </w:rPr>
            </w:pPr>
          </w:p>
        </w:tc>
        <w:tc>
          <w:tcPr>
            <w:tcW w:w="850" w:type="dxa"/>
            <w:shd w:val="clear" w:color="auto" w:fill="auto"/>
          </w:tcPr>
          <w:p w14:paraId="5D843559"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p>
        </w:tc>
        <w:tc>
          <w:tcPr>
            <w:tcW w:w="851" w:type="dxa"/>
            <w:shd w:val="clear" w:color="auto" w:fill="auto"/>
          </w:tcPr>
          <w:p w14:paraId="33FF7465"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p>
        </w:tc>
        <w:tc>
          <w:tcPr>
            <w:tcW w:w="1842" w:type="dxa"/>
            <w:shd w:val="clear" w:color="auto" w:fill="auto"/>
          </w:tcPr>
          <w:p w14:paraId="6A211118" w14:textId="63268F74" w:rsidR="00922005" w:rsidRPr="00922005" w:rsidRDefault="000A34F2"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Pr>
                <w:rFonts w:eastAsia="MS Gothic"/>
                <w:bCs/>
                <w:sz w:val="22"/>
              </w:rPr>
              <w:t>Custom</w:t>
            </w:r>
          </w:p>
        </w:tc>
        <w:tc>
          <w:tcPr>
            <w:tcW w:w="2778" w:type="dxa"/>
            <w:shd w:val="clear" w:color="auto" w:fill="auto"/>
            <w:hideMark/>
          </w:tcPr>
          <w:p w14:paraId="1199ADB9"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Birthday Paradox 2</w:t>
            </w:r>
          </w:p>
        </w:tc>
        <w:tc>
          <w:tcPr>
            <w:tcW w:w="1818" w:type="dxa"/>
            <w:shd w:val="clear" w:color="auto" w:fill="auto"/>
            <w:hideMark/>
          </w:tcPr>
          <w:p w14:paraId="4FAA4A2E"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Continuous</w:t>
            </w:r>
          </w:p>
        </w:tc>
        <w:tc>
          <w:tcPr>
            <w:tcW w:w="2347" w:type="dxa"/>
            <w:shd w:val="clear" w:color="auto" w:fill="auto"/>
            <w:hideMark/>
          </w:tcPr>
          <w:p w14:paraId="52EC947C"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i/>
                <w:sz w:val="22"/>
              </w:rPr>
            </w:pPr>
            <w:r w:rsidRPr="00922005">
              <w:rPr>
                <w:rFonts w:eastAsia="MS Gothic"/>
                <w:bCs/>
                <w:i/>
                <w:sz w:val="22"/>
              </w:rPr>
              <w:t xml:space="preserve">r </w:t>
            </w:r>
            <w:r w:rsidRPr="00922005">
              <w:rPr>
                <w:rFonts w:eastAsia="MS Gothic"/>
                <w:bCs/>
                <w:sz w:val="22"/>
              </w:rPr>
              <w:t>= .12</w:t>
            </w:r>
          </w:p>
        </w:tc>
        <w:tc>
          <w:tcPr>
            <w:tcW w:w="772" w:type="dxa"/>
            <w:shd w:val="clear" w:color="auto" w:fill="auto"/>
            <w:hideMark/>
          </w:tcPr>
          <w:p w14:paraId="590947B7"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.19</w:t>
            </w:r>
          </w:p>
        </w:tc>
      </w:tr>
      <w:tr w:rsidR="00922005" w:rsidRPr="00922005" w14:paraId="72A78D8E" w14:textId="77777777" w:rsidTr="00245A59">
        <w:trPr>
          <w:trHeight w:val="397"/>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tcPr>
          <w:p w14:paraId="2F7315B6" w14:textId="77777777" w:rsidR="00922005" w:rsidRPr="00922005" w:rsidRDefault="00922005" w:rsidP="00922005">
            <w:pPr>
              <w:spacing w:after="120" w:line="300" w:lineRule="exact"/>
              <w:ind w:firstLine="0"/>
              <w:rPr>
                <w:rFonts w:eastAsia="MS Gothic"/>
                <w:b w:val="0"/>
                <w:sz w:val="22"/>
              </w:rPr>
            </w:pPr>
          </w:p>
        </w:tc>
        <w:tc>
          <w:tcPr>
            <w:tcW w:w="850" w:type="dxa"/>
            <w:shd w:val="clear" w:color="auto" w:fill="auto"/>
          </w:tcPr>
          <w:p w14:paraId="6D14AA66" w14:textId="77777777" w:rsidR="00922005" w:rsidRPr="00922005" w:rsidRDefault="00922005" w:rsidP="00922005">
            <w:pPr>
              <w:spacing w:after="120"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p>
        </w:tc>
        <w:tc>
          <w:tcPr>
            <w:tcW w:w="851" w:type="dxa"/>
            <w:shd w:val="clear" w:color="auto" w:fill="auto"/>
          </w:tcPr>
          <w:p w14:paraId="4CDA0F9A" w14:textId="77777777" w:rsidR="00922005" w:rsidRPr="00922005" w:rsidRDefault="00922005" w:rsidP="00922005">
            <w:pPr>
              <w:spacing w:after="120"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p>
        </w:tc>
        <w:tc>
          <w:tcPr>
            <w:tcW w:w="1842" w:type="dxa"/>
            <w:shd w:val="clear" w:color="auto" w:fill="auto"/>
          </w:tcPr>
          <w:p w14:paraId="64956D38" w14:textId="3DB37360" w:rsidR="00922005" w:rsidRPr="00922005" w:rsidRDefault="000A34F2" w:rsidP="00922005">
            <w:pPr>
              <w:spacing w:after="120"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Pr>
                <w:rFonts w:eastAsia="MS Gothic"/>
                <w:bCs/>
                <w:sz w:val="22"/>
              </w:rPr>
              <w:t>Custom</w:t>
            </w:r>
          </w:p>
        </w:tc>
        <w:tc>
          <w:tcPr>
            <w:tcW w:w="2778" w:type="dxa"/>
            <w:shd w:val="clear" w:color="auto" w:fill="auto"/>
            <w:hideMark/>
          </w:tcPr>
          <w:p w14:paraId="538BFB39" w14:textId="77777777" w:rsidR="00922005" w:rsidRPr="00922005" w:rsidRDefault="00922005" w:rsidP="00922005">
            <w:pPr>
              <w:spacing w:after="120"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Coin Tossing</w:t>
            </w:r>
          </w:p>
        </w:tc>
        <w:tc>
          <w:tcPr>
            <w:tcW w:w="1818" w:type="dxa"/>
            <w:shd w:val="clear" w:color="auto" w:fill="auto"/>
            <w:hideMark/>
          </w:tcPr>
          <w:p w14:paraId="3C31998A" w14:textId="77777777" w:rsidR="00922005" w:rsidRPr="00922005" w:rsidRDefault="00922005" w:rsidP="00922005">
            <w:pPr>
              <w:spacing w:after="120"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Continuous</w:t>
            </w:r>
          </w:p>
        </w:tc>
        <w:tc>
          <w:tcPr>
            <w:tcW w:w="2347" w:type="dxa"/>
            <w:shd w:val="clear" w:color="auto" w:fill="auto"/>
            <w:hideMark/>
          </w:tcPr>
          <w:p w14:paraId="55DC292F" w14:textId="77777777" w:rsidR="00922005" w:rsidRPr="00922005" w:rsidRDefault="00922005" w:rsidP="00922005">
            <w:pPr>
              <w:spacing w:after="120"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i/>
                <w:sz w:val="22"/>
              </w:rPr>
            </w:pPr>
            <w:r w:rsidRPr="00922005">
              <w:rPr>
                <w:rFonts w:eastAsia="MS Gothic"/>
                <w:bCs/>
                <w:i/>
                <w:sz w:val="22"/>
              </w:rPr>
              <w:t xml:space="preserve">r </w:t>
            </w:r>
            <w:r w:rsidRPr="00922005">
              <w:rPr>
                <w:rFonts w:eastAsia="MS Gothic"/>
                <w:bCs/>
                <w:sz w:val="22"/>
              </w:rPr>
              <w:t>= -.21</w:t>
            </w:r>
          </w:p>
        </w:tc>
        <w:tc>
          <w:tcPr>
            <w:tcW w:w="772" w:type="dxa"/>
            <w:shd w:val="clear" w:color="auto" w:fill="auto"/>
            <w:hideMark/>
          </w:tcPr>
          <w:p w14:paraId="7A24D90C" w14:textId="77777777" w:rsidR="00922005" w:rsidRPr="00922005" w:rsidRDefault="00922005" w:rsidP="00922005">
            <w:pPr>
              <w:spacing w:after="120" w:line="300" w:lineRule="exact"/>
              <w:ind w:firstLine="0"/>
              <w:cnfStyle w:val="000000000000" w:firstRow="0" w:lastRow="0" w:firstColumn="0" w:lastColumn="0" w:oddVBand="0" w:evenVBand="0" w:oddHBand="0" w:evenHBand="0" w:firstRowFirstColumn="0" w:firstRowLastColumn="0" w:lastRowFirstColumn="0" w:lastRowLastColumn="0"/>
              <w:rPr>
                <w:rFonts w:eastAsia="MS Gothic"/>
                <w:bCs/>
                <w:sz w:val="22"/>
              </w:rPr>
            </w:pPr>
            <w:r w:rsidRPr="00922005">
              <w:rPr>
                <w:rFonts w:eastAsia="MS Gothic"/>
                <w:bCs/>
                <w:sz w:val="22"/>
              </w:rPr>
              <w:t>.020</w:t>
            </w:r>
          </w:p>
        </w:tc>
      </w:tr>
      <w:tr w:rsidR="00922005" w:rsidRPr="00922005" w14:paraId="4937D60A" w14:textId="77777777" w:rsidTr="00245A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69" w:type="dxa"/>
            <w:tcBorders>
              <w:top w:val="nil"/>
              <w:left w:val="nil"/>
              <w:bottom w:val="single" w:sz="4" w:space="0" w:color="auto"/>
              <w:right w:val="nil"/>
            </w:tcBorders>
            <w:shd w:val="clear" w:color="auto" w:fill="auto"/>
            <w:hideMark/>
          </w:tcPr>
          <w:p w14:paraId="20EE6584" w14:textId="77777777" w:rsidR="00922005" w:rsidRPr="00922005" w:rsidRDefault="00922005" w:rsidP="00922005">
            <w:pPr>
              <w:spacing w:line="300" w:lineRule="exact"/>
              <w:ind w:firstLine="0"/>
              <w:rPr>
                <w:rFonts w:eastAsia="MS Gothic"/>
                <w:b w:val="0"/>
                <w:sz w:val="22"/>
              </w:rPr>
            </w:pPr>
            <w:r w:rsidRPr="00922005">
              <w:rPr>
                <w:rFonts w:eastAsia="MS Gothic"/>
                <w:b w:val="0"/>
                <w:sz w:val="22"/>
              </w:rPr>
              <w:t>Roberts &amp; Seager (1999)</w:t>
            </w:r>
          </w:p>
        </w:tc>
        <w:tc>
          <w:tcPr>
            <w:tcW w:w="850" w:type="dxa"/>
            <w:tcBorders>
              <w:top w:val="nil"/>
              <w:left w:val="nil"/>
              <w:bottom w:val="single" w:sz="4" w:space="0" w:color="auto"/>
              <w:right w:val="nil"/>
            </w:tcBorders>
            <w:shd w:val="clear" w:color="auto" w:fill="auto"/>
          </w:tcPr>
          <w:p w14:paraId="74B94634"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p>
        </w:tc>
        <w:tc>
          <w:tcPr>
            <w:tcW w:w="851" w:type="dxa"/>
            <w:tcBorders>
              <w:top w:val="nil"/>
              <w:left w:val="nil"/>
              <w:bottom w:val="single" w:sz="4" w:space="0" w:color="auto"/>
              <w:right w:val="nil"/>
            </w:tcBorders>
            <w:shd w:val="clear" w:color="auto" w:fill="auto"/>
            <w:hideMark/>
          </w:tcPr>
          <w:p w14:paraId="02C71D26"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65</w:t>
            </w:r>
          </w:p>
        </w:tc>
        <w:tc>
          <w:tcPr>
            <w:tcW w:w="1842" w:type="dxa"/>
            <w:tcBorders>
              <w:top w:val="nil"/>
              <w:left w:val="nil"/>
              <w:bottom w:val="single" w:sz="4" w:space="0" w:color="auto"/>
              <w:right w:val="nil"/>
            </w:tcBorders>
            <w:shd w:val="clear" w:color="auto" w:fill="auto"/>
            <w:hideMark/>
          </w:tcPr>
          <w:p w14:paraId="2BB5EFC8"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BPS + PSI</w:t>
            </w:r>
          </w:p>
        </w:tc>
        <w:tc>
          <w:tcPr>
            <w:tcW w:w="2778" w:type="dxa"/>
            <w:tcBorders>
              <w:top w:val="nil"/>
              <w:left w:val="nil"/>
              <w:bottom w:val="single" w:sz="4" w:space="0" w:color="auto"/>
              <w:right w:val="nil"/>
            </w:tcBorders>
            <w:shd w:val="clear" w:color="auto" w:fill="auto"/>
            <w:hideMark/>
          </w:tcPr>
          <w:p w14:paraId="7DBC8F3E"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Probabilistic Reasoning</w:t>
            </w:r>
          </w:p>
        </w:tc>
        <w:tc>
          <w:tcPr>
            <w:tcW w:w="1818" w:type="dxa"/>
            <w:tcBorders>
              <w:top w:val="nil"/>
              <w:left w:val="nil"/>
              <w:bottom w:val="single" w:sz="4" w:space="0" w:color="auto"/>
              <w:right w:val="nil"/>
            </w:tcBorders>
            <w:shd w:val="clear" w:color="auto" w:fill="auto"/>
            <w:hideMark/>
          </w:tcPr>
          <w:p w14:paraId="45D02839"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Continuous</w:t>
            </w:r>
          </w:p>
        </w:tc>
        <w:tc>
          <w:tcPr>
            <w:tcW w:w="2347" w:type="dxa"/>
            <w:tcBorders>
              <w:top w:val="nil"/>
              <w:left w:val="nil"/>
              <w:bottom w:val="single" w:sz="4" w:space="0" w:color="auto"/>
              <w:right w:val="nil"/>
            </w:tcBorders>
            <w:shd w:val="clear" w:color="auto" w:fill="auto"/>
            <w:hideMark/>
          </w:tcPr>
          <w:p w14:paraId="5DA3DF5B"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i/>
                <w:sz w:val="22"/>
              </w:rPr>
              <w:t xml:space="preserve">r </w:t>
            </w:r>
            <w:r w:rsidRPr="00922005">
              <w:rPr>
                <w:rFonts w:eastAsia="MS Gothic"/>
                <w:bCs/>
                <w:sz w:val="22"/>
              </w:rPr>
              <w:t>= .01</w:t>
            </w:r>
          </w:p>
        </w:tc>
        <w:tc>
          <w:tcPr>
            <w:tcW w:w="772" w:type="dxa"/>
            <w:tcBorders>
              <w:top w:val="nil"/>
              <w:left w:val="nil"/>
              <w:bottom w:val="single" w:sz="4" w:space="0" w:color="auto"/>
              <w:right w:val="nil"/>
            </w:tcBorders>
            <w:shd w:val="clear" w:color="auto" w:fill="auto"/>
            <w:hideMark/>
          </w:tcPr>
          <w:p w14:paraId="72BC9F4A" w14:textId="77777777" w:rsidR="00922005" w:rsidRPr="00922005" w:rsidRDefault="00922005" w:rsidP="00922005">
            <w:pPr>
              <w:spacing w:line="300" w:lineRule="exact"/>
              <w:ind w:firstLine="0"/>
              <w:cnfStyle w:val="000000100000" w:firstRow="0" w:lastRow="0" w:firstColumn="0" w:lastColumn="0" w:oddVBand="0" w:evenVBand="0" w:oddHBand="1" w:evenHBand="0" w:firstRowFirstColumn="0" w:firstRowLastColumn="0" w:lastRowFirstColumn="0" w:lastRowLastColumn="0"/>
              <w:rPr>
                <w:rFonts w:eastAsia="MS Gothic"/>
                <w:bCs/>
                <w:sz w:val="22"/>
              </w:rPr>
            </w:pPr>
            <w:r w:rsidRPr="00922005">
              <w:rPr>
                <w:rFonts w:eastAsia="MS Gothic"/>
                <w:bCs/>
                <w:sz w:val="22"/>
              </w:rPr>
              <w:t>.94</w:t>
            </w:r>
          </w:p>
        </w:tc>
      </w:tr>
    </w:tbl>
    <w:p w14:paraId="7E1B16B8" w14:textId="77777777" w:rsidR="00922005" w:rsidRPr="00922005" w:rsidRDefault="00922005" w:rsidP="00922005">
      <w:pPr>
        <w:spacing w:line="240" w:lineRule="auto"/>
        <w:ind w:firstLine="0"/>
        <w:rPr>
          <w:rFonts w:eastAsia="MS Gothic" w:cs="Times New Roman"/>
          <w:bCs/>
          <w:sz w:val="22"/>
          <w:lang w:val="en-GB"/>
        </w:rPr>
        <w:sectPr w:rsidR="00922005" w:rsidRPr="00922005">
          <w:pgSz w:w="16838" w:h="11906" w:orient="landscape"/>
          <w:pgMar w:top="1440" w:right="1440" w:bottom="1440" w:left="1440" w:header="709" w:footer="709" w:gutter="0"/>
          <w:cols w:space="720"/>
        </w:sectPr>
      </w:pPr>
      <w:r w:rsidRPr="00922005">
        <w:rPr>
          <w:rFonts w:eastAsia="MS Gothic" w:cs="Times New Roman"/>
          <w:bCs/>
          <w:sz w:val="22"/>
          <w:vertAlign w:val="superscript"/>
          <w:lang w:val="en-GB"/>
        </w:rPr>
        <w:t xml:space="preserve">a </w:t>
      </w:r>
      <w:r w:rsidRPr="00922005">
        <w:rPr>
          <w:rFonts w:eastAsia="MS Gothic" w:cs="Times New Roman"/>
          <w:bCs/>
          <w:sz w:val="22"/>
          <w:lang w:val="en-GB"/>
        </w:rPr>
        <w:t xml:space="preserve">R-PBS, Revised-Paranormal Belief Scale; ASGS, Australian Sheep Goat Scale; MMU-N, Manchester Metropolitan University New; BPS, Belief in Paranormal Scale. </w:t>
      </w:r>
      <w:r w:rsidRPr="00922005">
        <w:rPr>
          <w:rFonts w:eastAsia="MS Gothic" w:cs="Times New Roman"/>
          <w:bCs/>
          <w:sz w:val="22"/>
          <w:vertAlign w:val="superscript"/>
          <w:lang w:val="en-GB"/>
        </w:rPr>
        <w:t xml:space="preserve">b </w:t>
      </w:r>
      <w:r w:rsidRPr="00922005">
        <w:rPr>
          <w:rFonts w:eastAsia="MS Gothic" w:cs="Times New Roman"/>
          <w:bCs/>
          <w:sz w:val="22"/>
          <w:lang w:val="en-GB"/>
        </w:rPr>
        <w:t>Grouping refers to how participants were categorised as anomalistic believers (vs. non-believers) or if belief was a continuous measure.</w:t>
      </w:r>
    </w:p>
    <w:p w14:paraId="70438FEB" w14:textId="68CF6F29" w:rsidR="00922005" w:rsidRPr="00922005" w:rsidRDefault="00922005" w:rsidP="00342C2F">
      <w:pPr>
        <w:ind w:firstLine="0"/>
        <w:jc w:val="center"/>
        <w:outlineLvl w:val="0"/>
        <w:rPr>
          <w:rFonts w:eastAsia="MS Gothic" w:cs="Times New Roman"/>
          <w:bCs/>
          <w:szCs w:val="28"/>
          <w:lang w:val="en-GB"/>
        </w:rPr>
      </w:pPr>
      <w:r>
        <w:rPr>
          <w:rFonts w:eastAsia="MS Gothic" w:cs="Times New Roman"/>
          <w:bCs/>
          <w:szCs w:val="28"/>
          <w:lang w:val="en-GB"/>
        </w:rPr>
        <w:lastRenderedPageBreak/>
        <w:t>Appendix</w:t>
      </w:r>
      <w:r w:rsidRPr="00922005">
        <w:rPr>
          <w:rFonts w:eastAsia="MS Gothic" w:cs="Times New Roman"/>
          <w:bCs/>
          <w:szCs w:val="28"/>
          <w:lang w:val="en-GB"/>
        </w:rPr>
        <w:t xml:space="preserve"> </w:t>
      </w:r>
      <w:r w:rsidR="00AB5758">
        <w:rPr>
          <w:rFonts w:eastAsia="MS Gothic" w:cs="Times New Roman"/>
          <w:bCs/>
          <w:szCs w:val="28"/>
          <w:lang w:val="en-GB"/>
        </w:rPr>
        <w:t>B</w:t>
      </w:r>
    </w:p>
    <w:p w14:paraId="6AF52CF8" w14:textId="77777777" w:rsidR="00922005" w:rsidRPr="00922005" w:rsidRDefault="00922005" w:rsidP="00922005">
      <w:pPr>
        <w:ind w:firstLine="0"/>
        <w:rPr>
          <w:rFonts w:ascii="Calibri" w:eastAsia="Calibri" w:hAnsi="Calibri" w:cs="Times New Roman"/>
          <w:szCs w:val="24"/>
          <w:lang w:val="en-GB"/>
        </w:rPr>
      </w:pPr>
      <w:r w:rsidRPr="00922005">
        <w:rPr>
          <w:rFonts w:eastAsia="Arial" w:cs="Times New Roman"/>
          <w:i/>
          <w:szCs w:val="24"/>
          <w:lang w:val="en-GB"/>
        </w:rPr>
        <w:t>Summary of Base Rate Fallacy Results from Previous Studies</w:t>
      </w:r>
    </w:p>
    <w:tbl>
      <w:tblPr>
        <w:tblStyle w:val="PlainTable413"/>
        <w:tblW w:w="13525" w:type="dxa"/>
        <w:tblInd w:w="0" w:type="dxa"/>
        <w:tblLook w:val="04A0" w:firstRow="1" w:lastRow="0" w:firstColumn="1" w:lastColumn="0" w:noHBand="0" w:noVBand="1"/>
      </w:tblPr>
      <w:tblGrid>
        <w:gridCol w:w="3652"/>
        <w:gridCol w:w="707"/>
        <w:gridCol w:w="1871"/>
        <w:gridCol w:w="2759"/>
        <w:gridCol w:w="1417"/>
        <w:gridCol w:w="2347"/>
        <w:gridCol w:w="772"/>
      </w:tblGrid>
      <w:tr w:rsidR="000A34F2" w:rsidRPr="00922005" w14:paraId="55928863" w14:textId="77777777" w:rsidTr="00AE0D85">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652" w:type="dxa"/>
            <w:tcBorders>
              <w:top w:val="single" w:sz="4" w:space="0" w:color="auto"/>
              <w:left w:val="nil"/>
              <w:bottom w:val="single" w:sz="4" w:space="0" w:color="auto"/>
              <w:right w:val="nil"/>
            </w:tcBorders>
            <w:shd w:val="clear" w:color="auto" w:fill="auto"/>
            <w:hideMark/>
          </w:tcPr>
          <w:p w14:paraId="5ACB1702" w14:textId="77777777" w:rsidR="000A34F2" w:rsidRPr="00EC424B" w:rsidRDefault="000A34F2" w:rsidP="00922005">
            <w:pPr>
              <w:ind w:firstLine="0"/>
              <w:rPr>
                <w:rFonts w:eastAsia="MS Gothic"/>
                <w:b w:val="0"/>
                <w:szCs w:val="28"/>
              </w:rPr>
            </w:pPr>
            <w:r w:rsidRPr="00EC424B">
              <w:rPr>
                <w:rFonts w:eastAsia="MS Gothic"/>
                <w:b w:val="0"/>
                <w:szCs w:val="28"/>
              </w:rPr>
              <w:t>Study</w:t>
            </w:r>
          </w:p>
        </w:tc>
        <w:tc>
          <w:tcPr>
            <w:tcW w:w="707" w:type="dxa"/>
            <w:tcBorders>
              <w:top w:val="single" w:sz="4" w:space="0" w:color="auto"/>
              <w:left w:val="nil"/>
              <w:bottom w:val="single" w:sz="4" w:space="0" w:color="auto"/>
              <w:right w:val="nil"/>
            </w:tcBorders>
            <w:shd w:val="clear" w:color="auto" w:fill="auto"/>
            <w:hideMark/>
          </w:tcPr>
          <w:p w14:paraId="493638B9" w14:textId="77777777" w:rsidR="000A34F2" w:rsidRPr="00EC424B" w:rsidRDefault="000A34F2" w:rsidP="00922005">
            <w:pPr>
              <w:ind w:firstLine="0"/>
              <w:cnfStyle w:val="100000000000" w:firstRow="1" w:lastRow="0" w:firstColumn="0" w:lastColumn="0" w:oddVBand="0" w:evenVBand="0" w:oddHBand="0" w:evenHBand="0" w:firstRowFirstColumn="0" w:firstRowLastColumn="0" w:lastRowFirstColumn="0" w:lastRowLastColumn="0"/>
              <w:rPr>
                <w:rFonts w:eastAsia="MS Gothic"/>
                <w:b w:val="0"/>
                <w:i/>
                <w:iCs/>
                <w:szCs w:val="28"/>
              </w:rPr>
            </w:pPr>
            <w:r w:rsidRPr="00EC424B">
              <w:rPr>
                <w:rFonts w:eastAsia="MS Gothic"/>
                <w:b w:val="0"/>
                <w:i/>
                <w:iCs/>
                <w:szCs w:val="28"/>
              </w:rPr>
              <w:t>n</w:t>
            </w:r>
          </w:p>
        </w:tc>
        <w:tc>
          <w:tcPr>
            <w:tcW w:w="1871" w:type="dxa"/>
            <w:tcBorders>
              <w:top w:val="single" w:sz="4" w:space="0" w:color="auto"/>
              <w:left w:val="nil"/>
              <w:bottom w:val="single" w:sz="4" w:space="0" w:color="auto"/>
              <w:right w:val="nil"/>
            </w:tcBorders>
            <w:shd w:val="clear" w:color="auto" w:fill="auto"/>
            <w:hideMark/>
          </w:tcPr>
          <w:p w14:paraId="402ADB9C" w14:textId="77777777" w:rsidR="000A34F2" w:rsidRPr="00EC424B" w:rsidRDefault="000A34F2" w:rsidP="00922005">
            <w:pPr>
              <w:ind w:firstLine="0"/>
              <w:cnfStyle w:val="100000000000" w:firstRow="1" w:lastRow="0" w:firstColumn="0" w:lastColumn="0" w:oddVBand="0" w:evenVBand="0" w:oddHBand="0" w:evenHBand="0" w:firstRowFirstColumn="0" w:firstRowLastColumn="0" w:lastRowFirstColumn="0" w:lastRowLastColumn="0"/>
              <w:rPr>
                <w:rFonts w:eastAsia="MS Gothic"/>
                <w:b w:val="0"/>
                <w:szCs w:val="28"/>
              </w:rPr>
            </w:pPr>
            <w:r w:rsidRPr="00EC424B">
              <w:rPr>
                <w:rFonts w:eastAsia="MS Gothic"/>
                <w:b w:val="0"/>
                <w:szCs w:val="28"/>
              </w:rPr>
              <w:t xml:space="preserve">Belief </w:t>
            </w:r>
            <w:proofErr w:type="spellStart"/>
            <w:r w:rsidRPr="00EC424B">
              <w:rPr>
                <w:rFonts w:eastAsia="MS Gothic"/>
                <w:b w:val="0"/>
                <w:szCs w:val="28"/>
              </w:rPr>
              <w:t>Measure</w:t>
            </w:r>
            <w:r w:rsidRPr="00EC424B">
              <w:rPr>
                <w:rFonts w:eastAsia="MS Gothic"/>
                <w:b w:val="0"/>
                <w:szCs w:val="28"/>
                <w:vertAlign w:val="superscript"/>
              </w:rPr>
              <w:t>a</w:t>
            </w:r>
            <w:proofErr w:type="spellEnd"/>
          </w:p>
        </w:tc>
        <w:tc>
          <w:tcPr>
            <w:tcW w:w="2759" w:type="dxa"/>
            <w:tcBorders>
              <w:top w:val="single" w:sz="4" w:space="0" w:color="auto"/>
              <w:left w:val="nil"/>
              <w:bottom w:val="single" w:sz="4" w:space="0" w:color="auto"/>
              <w:right w:val="nil"/>
            </w:tcBorders>
            <w:shd w:val="clear" w:color="auto" w:fill="auto"/>
            <w:hideMark/>
          </w:tcPr>
          <w:p w14:paraId="4737D7AC" w14:textId="77777777" w:rsidR="000A34F2" w:rsidRPr="00EC424B" w:rsidRDefault="000A34F2" w:rsidP="00922005">
            <w:pPr>
              <w:ind w:firstLine="0"/>
              <w:cnfStyle w:val="100000000000" w:firstRow="1" w:lastRow="0" w:firstColumn="0" w:lastColumn="0" w:oddVBand="0" w:evenVBand="0" w:oddHBand="0" w:evenHBand="0" w:firstRowFirstColumn="0" w:firstRowLastColumn="0" w:lastRowFirstColumn="0" w:lastRowLastColumn="0"/>
              <w:rPr>
                <w:rFonts w:eastAsia="MS Gothic"/>
                <w:b w:val="0"/>
                <w:szCs w:val="28"/>
              </w:rPr>
            </w:pPr>
            <w:r w:rsidRPr="00EC424B">
              <w:rPr>
                <w:rFonts w:eastAsia="MS Gothic"/>
                <w:b w:val="0"/>
                <w:szCs w:val="28"/>
              </w:rPr>
              <w:t>Reasoning Measure</w:t>
            </w:r>
          </w:p>
        </w:tc>
        <w:tc>
          <w:tcPr>
            <w:tcW w:w="1417" w:type="dxa"/>
            <w:tcBorders>
              <w:top w:val="single" w:sz="4" w:space="0" w:color="auto"/>
              <w:left w:val="nil"/>
              <w:bottom w:val="single" w:sz="4" w:space="0" w:color="auto"/>
              <w:right w:val="nil"/>
            </w:tcBorders>
            <w:shd w:val="clear" w:color="auto" w:fill="auto"/>
            <w:hideMark/>
          </w:tcPr>
          <w:p w14:paraId="4459BFD2" w14:textId="77777777" w:rsidR="000A34F2" w:rsidRPr="00EC424B" w:rsidRDefault="000A34F2" w:rsidP="00922005">
            <w:pPr>
              <w:ind w:firstLine="0"/>
              <w:cnfStyle w:val="100000000000" w:firstRow="1" w:lastRow="0" w:firstColumn="0" w:lastColumn="0" w:oddVBand="0" w:evenVBand="0" w:oddHBand="0" w:evenHBand="0" w:firstRowFirstColumn="0" w:firstRowLastColumn="0" w:lastRowFirstColumn="0" w:lastRowLastColumn="0"/>
              <w:rPr>
                <w:rFonts w:eastAsia="MS Gothic"/>
                <w:b w:val="0"/>
                <w:szCs w:val="28"/>
              </w:rPr>
            </w:pPr>
            <w:proofErr w:type="spellStart"/>
            <w:r w:rsidRPr="00EC424B">
              <w:rPr>
                <w:rFonts w:eastAsia="MS Gothic"/>
                <w:b w:val="0"/>
                <w:szCs w:val="28"/>
              </w:rPr>
              <w:t>Grouping</w:t>
            </w:r>
            <w:r w:rsidRPr="00EC424B">
              <w:rPr>
                <w:rFonts w:eastAsia="MS Gothic"/>
                <w:b w:val="0"/>
                <w:szCs w:val="28"/>
                <w:vertAlign w:val="superscript"/>
              </w:rPr>
              <w:t>b</w:t>
            </w:r>
            <w:proofErr w:type="spellEnd"/>
          </w:p>
        </w:tc>
        <w:tc>
          <w:tcPr>
            <w:tcW w:w="2347" w:type="dxa"/>
            <w:tcBorders>
              <w:top w:val="single" w:sz="4" w:space="0" w:color="auto"/>
              <w:left w:val="nil"/>
              <w:bottom w:val="single" w:sz="4" w:space="0" w:color="auto"/>
              <w:right w:val="nil"/>
            </w:tcBorders>
            <w:shd w:val="clear" w:color="auto" w:fill="auto"/>
            <w:hideMark/>
          </w:tcPr>
          <w:p w14:paraId="4220A911" w14:textId="77777777" w:rsidR="000A34F2" w:rsidRPr="00EC424B" w:rsidRDefault="000A34F2" w:rsidP="00922005">
            <w:pPr>
              <w:ind w:firstLine="0"/>
              <w:cnfStyle w:val="100000000000" w:firstRow="1" w:lastRow="0" w:firstColumn="0" w:lastColumn="0" w:oddVBand="0" w:evenVBand="0" w:oddHBand="0" w:evenHBand="0" w:firstRowFirstColumn="0" w:firstRowLastColumn="0" w:lastRowFirstColumn="0" w:lastRowLastColumn="0"/>
              <w:rPr>
                <w:rFonts w:eastAsia="MS Gothic"/>
                <w:b w:val="0"/>
                <w:szCs w:val="28"/>
              </w:rPr>
            </w:pPr>
            <w:r w:rsidRPr="00EC424B">
              <w:rPr>
                <w:rFonts w:eastAsia="MS Gothic"/>
                <w:b w:val="0"/>
                <w:szCs w:val="28"/>
              </w:rPr>
              <w:t>Result</w:t>
            </w:r>
          </w:p>
        </w:tc>
        <w:tc>
          <w:tcPr>
            <w:tcW w:w="772" w:type="dxa"/>
            <w:tcBorders>
              <w:top w:val="single" w:sz="4" w:space="0" w:color="auto"/>
              <w:left w:val="nil"/>
              <w:bottom w:val="single" w:sz="4" w:space="0" w:color="auto"/>
              <w:right w:val="nil"/>
            </w:tcBorders>
            <w:shd w:val="clear" w:color="auto" w:fill="auto"/>
            <w:hideMark/>
          </w:tcPr>
          <w:p w14:paraId="7A02B97A" w14:textId="77777777" w:rsidR="000A34F2" w:rsidRPr="00EC424B" w:rsidRDefault="000A34F2" w:rsidP="00922005">
            <w:pPr>
              <w:ind w:firstLine="0"/>
              <w:cnfStyle w:val="100000000000" w:firstRow="1" w:lastRow="0" w:firstColumn="0" w:lastColumn="0" w:oddVBand="0" w:evenVBand="0" w:oddHBand="0" w:evenHBand="0" w:firstRowFirstColumn="0" w:firstRowLastColumn="0" w:lastRowFirstColumn="0" w:lastRowLastColumn="0"/>
              <w:rPr>
                <w:rFonts w:eastAsia="MS Gothic"/>
                <w:b w:val="0"/>
                <w:szCs w:val="28"/>
              </w:rPr>
            </w:pPr>
            <w:r w:rsidRPr="00EC424B">
              <w:rPr>
                <w:rFonts w:eastAsia="MS Gothic"/>
                <w:b w:val="0"/>
                <w:i/>
                <w:iCs/>
                <w:szCs w:val="28"/>
              </w:rPr>
              <w:t>p</w:t>
            </w:r>
          </w:p>
        </w:tc>
      </w:tr>
      <w:tr w:rsidR="000A34F2" w:rsidRPr="00922005" w14:paraId="1617805A" w14:textId="77777777" w:rsidTr="00AE0D8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652" w:type="dxa"/>
            <w:tcBorders>
              <w:top w:val="single" w:sz="4" w:space="0" w:color="auto"/>
              <w:left w:val="nil"/>
              <w:bottom w:val="nil"/>
              <w:right w:val="nil"/>
            </w:tcBorders>
            <w:shd w:val="clear" w:color="auto" w:fill="auto"/>
            <w:hideMark/>
          </w:tcPr>
          <w:p w14:paraId="71871C99" w14:textId="77777777" w:rsidR="000A34F2" w:rsidRPr="00EC424B" w:rsidRDefault="000A34F2" w:rsidP="00922005">
            <w:pPr>
              <w:ind w:firstLine="0"/>
              <w:rPr>
                <w:rFonts w:eastAsia="MS Gothic"/>
                <w:b w:val="0"/>
                <w:szCs w:val="28"/>
              </w:rPr>
            </w:pPr>
            <w:proofErr w:type="spellStart"/>
            <w:r w:rsidRPr="00EC424B">
              <w:rPr>
                <w:rFonts w:eastAsia="MS Gothic"/>
                <w:b w:val="0"/>
                <w:szCs w:val="28"/>
              </w:rPr>
              <w:t>Dagnall</w:t>
            </w:r>
            <w:proofErr w:type="spellEnd"/>
            <w:r w:rsidRPr="00EC424B">
              <w:rPr>
                <w:rFonts w:eastAsia="MS Gothic"/>
                <w:b w:val="0"/>
                <w:szCs w:val="28"/>
              </w:rPr>
              <w:t xml:space="preserve"> et al. (2007)</w:t>
            </w:r>
          </w:p>
        </w:tc>
        <w:tc>
          <w:tcPr>
            <w:tcW w:w="707" w:type="dxa"/>
            <w:tcBorders>
              <w:top w:val="single" w:sz="4" w:space="0" w:color="auto"/>
              <w:left w:val="nil"/>
              <w:bottom w:val="nil"/>
              <w:right w:val="nil"/>
            </w:tcBorders>
            <w:shd w:val="clear" w:color="auto" w:fill="auto"/>
            <w:hideMark/>
          </w:tcPr>
          <w:p w14:paraId="0FC5CCC6" w14:textId="77777777" w:rsidR="000A34F2" w:rsidRPr="00EC424B" w:rsidRDefault="000A34F2" w:rsidP="00922005">
            <w:pPr>
              <w:ind w:firstLine="0"/>
              <w:cnfStyle w:val="000000100000" w:firstRow="0" w:lastRow="0" w:firstColumn="0" w:lastColumn="0" w:oddVBand="0" w:evenVBand="0" w:oddHBand="1" w:evenHBand="0" w:firstRowFirstColumn="0" w:firstRowLastColumn="0" w:lastRowFirstColumn="0" w:lastRowLastColumn="0"/>
              <w:rPr>
                <w:rFonts w:eastAsia="MS Gothic"/>
                <w:bCs/>
                <w:szCs w:val="28"/>
              </w:rPr>
            </w:pPr>
            <w:r w:rsidRPr="00EC424B">
              <w:rPr>
                <w:rFonts w:eastAsia="MS Gothic"/>
                <w:bCs/>
                <w:szCs w:val="28"/>
              </w:rPr>
              <w:t>96</w:t>
            </w:r>
          </w:p>
        </w:tc>
        <w:tc>
          <w:tcPr>
            <w:tcW w:w="1871" w:type="dxa"/>
            <w:tcBorders>
              <w:top w:val="single" w:sz="4" w:space="0" w:color="auto"/>
              <w:left w:val="nil"/>
              <w:bottom w:val="nil"/>
              <w:right w:val="nil"/>
            </w:tcBorders>
            <w:shd w:val="clear" w:color="auto" w:fill="auto"/>
            <w:hideMark/>
          </w:tcPr>
          <w:p w14:paraId="324D6F58" w14:textId="77777777" w:rsidR="000A34F2" w:rsidRPr="00EC424B" w:rsidRDefault="000A34F2" w:rsidP="00922005">
            <w:pPr>
              <w:ind w:firstLine="0"/>
              <w:cnfStyle w:val="000000100000" w:firstRow="0" w:lastRow="0" w:firstColumn="0" w:lastColumn="0" w:oddVBand="0" w:evenVBand="0" w:oddHBand="1" w:evenHBand="0" w:firstRowFirstColumn="0" w:firstRowLastColumn="0" w:lastRowFirstColumn="0" w:lastRowLastColumn="0"/>
              <w:rPr>
                <w:rFonts w:eastAsia="MS Gothic"/>
                <w:bCs/>
                <w:szCs w:val="28"/>
              </w:rPr>
            </w:pPr>
            <w:r w:rsidRPr="00EC424B">
              <w:rPr>
                <w:rFonts w:eastAsia="MS Gothic"/>
                <w:bCs/>
                <w:szCs w:val="28"/>
              </w:rPr>
              <w:t>R-PBS</w:t>
            </w:r>
          </w:p>
        </w:tc>
        <w:tc>
          <w:tcPr>
            <w:tcW w:w="2759" w:type="dxa"/>
            <w:tcBorders>
              <w:top w:val="single" w:sz="4" w:space="0" w:color="auto"/>
              <w:left w:val="nil"/>
              <w:bottom w:val="nil"/>
              <w:right w:val="nil"/>
            </w:tcBorders>
            <w:shd w:val="clear" w:color="auto" w:fill="auto"/>
            <w:hideMark/>
          </w:tcPr>
          <w:p w14:paraId="5FB54B46" w14:textId="77777777" w:rsidR="000A34F2" w:rsidRPr="00EC424B" w:rsidRDefault="000A34F2" w:rsidP="00922005">
            <w:pPr>
              <w:ind w:firstLine="0"/>
              <w:cnfStyle w:val="000000100000" w:firstRow="0" w:lastRow="0" w:firstColumn="0" w:lastColumn="0" w:oddVBand="0" w:evenVBand="0" w:oddHBand="1" w:evenHBand="0" w:firstRowFirstColumn="0" w:firstRowLastColumn="0" w:lastRowFirstColumn="0" w:lastRowLastColumn="0"/>
              <w:rPr>
                <w:rFonts w:eastAsia="MS Gothic"/>
                <w:bCs/>
                <w:szCs w:val="28"/>
              </w:rPr>
            </w:pPr>
            <w:r w:rsidRPr="00EC424B">
              <w:rPr>
                <w:rFonts w:eastAsia="MS Gothic"/>
                <w:bCs/>
                <w:szCs w:val="28"/>
              </w:rPr>
              <w:t>Base Rate Fallacy</w:t>
            </w:r>
          </w:p>
        </w:tc>
        <w:tc>
          <w:tcPr>
            <w:tcW w:w="1417" w:type="dxa"/>
            <w:tcBorders>
              <w:top w:val="single" w:sz="4" w:space="0" w:color="auto"/>
              <w:left w:val="nil"/>
              <w:bottom w:val="nil"/>
              <w:right w:val="nil"/>
            </w:tcBorders>
            <w:shd w:val="clear" w:color="auto" w:fill="auto"/>
            <w:hideMark/>
          </w:tcPr>
          <w:p w14:paraId="4915A122" w14:textId="77777777" w:rsidR="000A34F2" w:rsidRPr="00EC424B" w:rsidRDefault="000A34F2" w:rsidP="00922005">
            <w:pPr>
              <w:ind w:firstLine="0"/>
              <w:cnfStyle w:val="000000100000" w:firstRow="0" w:lastRow="0" w:firstColumn="0" w:lastColumn="0" w:oddVBand="0" w:evenVBand="0" w:oddHBand="1" w:evenHBand="0" w:firstRowFirstColumn="0" w:firstRowLastColumn="0" w:lastRowFirstColumn="0" w:lastRowLastColumn="0"/>
              <w:rPr>
                <w:rFonts w:eastAsia="MS Gothic"/>
                <w:bCs/>
                <w:szCs w:val="28"/>
              </w:rPr>
            </w:pPr>
            <w:r w:rsidRPr="00EC424B">
              <w:rPr>
                <w:rFonts w:eastAsia="MS Gothic"/>
                <w:bCs/>
                <w:szCs w:val="28"/>
              </w:rPr>
              <w:t>Continuous</w:t>
            </w:r>
          </w:p>
        </w:tc>
        <w:tc>
          <w:tcPr>
            <w:tcW w:w="2347" w:type="dxa"/>
            <w:tcBorders>
              <w:top w:val="single" w:sz="4" w:space="0" w:color="auto"/>
              <w:left w:val="nil"/>
              <w:bottom w:val="nil"/>
              <w:right w:val="nil"/>
            </w:tcBorders>
            <w:shd w:val="clear" w:color="auto" w:fill="auto"/>
            <w:hideMark/>
          </w:tcPr>
          <w:p w14:paraId="5DD373FC" w14:textId="77777777" w:rsidR="000A34F2" w:rsidRPr="00EC424B" w:rsidRDefault="000A34F2" w:rsidP="00922005">
            <w:pPr>
              <w:ind w:firstLine="0"/>
              <w:cnfStyle w:val="000000100000" w:firstRow="0" w:lastRow="0" w:firstColumn="0" w:lastColumn="0" w:oddVBand="0" w:evenVBand="0" w:oddHBand="1" w:evenHBand="0" w:firstRowFirstColumn="0" w:firstRowLastColumn="0" w:lastRowFirstColumn="0" w:lastRowLastColumn="0"/>
              <w:rPr>
                <w:rFonts w:eastAsia="MS Gothic"/>
                <w:bCs/>
                <w:szCs w:val="28"/>
              </w:rPr>
            </w:pPr>
            <w:r w:rsidRPr="00EC424B">
              <w:rPr>
                <w:rFonts w:eastAsia="MS Gothic"/>
                <w:bCs/>
                <w:i/>
                <w:iCs/>
                <w:szCs w:val="28"/>
              </w:rPr>
              <w:t xml:space="preserve">r </w:t>
            </w:r>
            <w:r w:rsidRPr="00EC424B">
              <w:rPr>
                <w:rFonts w:eastAsia="MS Gothic"/>
                <w:bCs/>
                <w:szCs w:val="28"/>
              </w:rPr>
              <w:t>= -16</w:t>
            </w:r>
          </w:p>
        </w:tc>
        <w:tc>
          <w:tcPr>
            <w:tcW w:w="772" w:type="dxa"/>
            <w:tcBorders>
              <w:top w:val="single" w:sz="4" w:space="0" w:color="auto"/>
              <w:left w:val="nil"/>
              <w:bottom w:val="nil"/>
              <w:right w:val="nil"/>
            </w:tcBorders>
            <w:shd w:val="clear" w:color="auto" w:fill="auto"/>
            <w:hideMark/>
          </w:tcPr>
          <w:p w14:paraId="14157433" w14:textId="77777777" w:rsidR="000A34F2" w:rsidRPr="00EC424B" w:rsidRDefault="000A34F2" w:rsidP="00922005">
            <w:pPr>
              <w:ind w:firstLine="0"/>
              <w:cnfStyle w:val="000000100000" w:firstRow="0" w:lastRow="0" w:firstColumn="0" w:lastColumn="0" w:oddVBand="0" w:evenVBand="0" w:oddHBand="1" w:evenHBand="0" w:firstRowFirstColumn="0" w:firstRowLastColumn="0" w:lastRowFirstColumn="0" w:lastRowLastColumn="0"/>
              <w:rPr>
                <w:rFonts w:eastAsia="MS Gothic"/>
                <w:bCs/>
                <w:szCs w:val="28"/>
              </w:rPr>
            </w:pPr>
            <w:r w:rsidRPr="00EC424B">
              <w:rPr>
                <w:rFonts w:eastAsia="MS Gothic"/>
                <w:bCs/>
                <w:szCs w:val="28"/>
              </w:rPr>
              <w:t>.12</w:t>
            </w:r>
          </w:p>
        </w:tc>
      </w:tr>
      <w:tr w:rsidR="000A34F2" w:rsidRPr="00922005" w14:paraId="1886DAE7" w14:textId="77777777" w:rsidTr="00AE0D85">
        <w:trPr>
          <w:trHeight w:val="20"/>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hideMark/>
          </w:tcPr>
          <w:p w14:paraId="1EA3BC89" w14:textId="77777777" w:rsidR="000A34F2" w:rsidRPr="00EC424B" w:rsidRDefault="000A34F2" w:rsidP="00922005">
            <w:pPr>
              <w:ind w:firstLine="0"/>
              <w:rPr>
                <w:rFonts w:eastAsia="MS Gothic"/>
                <w:b w:val="0"/>
                <w:szCs w:val="28"/>
              </w:rPr>
            </w:pPr>
            <w:proofErr w:type="spellStart"/>
            <w:r w:rsidRPr="00EC424B">
              <w:rPr>
                <w:rFonts w:eastAsia="MS Gothic"/>
                <w:b w:val="0"/>
                <w:szCs w:val="28"/>
              </w:rPr>
              <w:t>Dagnall</w:t>
            </w:r>
            <w:proofErr w:type="spellEnd"/>
            <w:r w:rsidRPr="00EC424B">
              <w:rPr>
                <w:rFonts w:eastAsia="MS Gothic"/>
                <w:b w:val="0"/>
                <w:szCs w:val="28"/>
              </w:rPr>
              <w:t xml:space="preserve"> et al. (2014)</w:t>
            </w:r>
          </w:p>
        </w:tc>
        <w:tc>
          <w:tcPr>
            <w:tcW w:w="707" w:type="dxa"/>
            <w:shd w:val="clear" w:color="auto" w:fill="auto"/>
            <w:hideMark/>
          </w:tcPr>
          <w:p w14:paraId="1DA09B62" w14:textId="77777777" w:rsidR="000A34F2" w:rsidRPr="00EC424B" w:rsidRDefault="000A34F2" w:rsidP="00922005">
            <w:pPr>
              <w:ind w:firstLine="0"/>
              <w:cnfStyle w:val="000000000000" w:firstRow="0" w:lastRow="0" w:firstColumn="0" w:lastColumn="0" w:oddVBand="0" w:evenVBand="0" w:oddHBand="0" w:evenHBand="0" w:firstRowFirstColumn="0" w:firstRowLastColumn="0" w:lastRowFirstColumn="0" w:lastRowLastColumn="0"/>
              <w:rPr>
                <w:rFonts w:eastAsia="MS Gothic"/>
                <w:bCs/>
                <w:szCs w:val="28"/>
              </w:rPr>
            </w:pPr>
            <w:r w:rsidRPr="00EC424B">
              <w:rPr>
                <w:rFonts w:eastAsia="MS Gothic"/>
                <w:bCs/>
                <w:szCs w:val="28"/>
              </w:rPr>
              <w:t>305</w:t>
            </w:r>
          </w:p>
        </w:tc>
        <w:tc>
          <w:tcPr>
            <w:tcW w:w="1871" w:type="dxa"/>
            <w:shd w:val="clear" w:color="auto" w:fill="auto"/>
            <w:hideMark/>
          </w:tcPr>
          <w:p w14:paraId="3575BDEB" w14:textId="77777777" w:rsidR="000A34F2" w:rsidRPr="00EC424B" w:rsidRDefault="000A34F2" w:rsidP="00922005">
            <w:pPr>
              <w:ind w:firstLine="0"/>
              <w:cnfStyle w:val="000000000000" w:firstRow="0" w:lastRow="0" w:firstColumn="0" w:lastColumn="0" w:oddVBand="0" w:evenVBand="0" w:oddHBand="0" w:evenHBand="0" w:firstRowFirstColumn="0" w:firstRowLastColumn="0" w:lastRowFirstColumn="0" w:lastRowLastColumn="0"/>
              <w:rPr>
                <w:rFonts w:eastAsia="MS Gothic"/>
                <w:bCs/>
                <w:szCs w:val="28"/>
              </w:rPr>
            </w:pPr>
            <w:r w:rsidRPr="00EC424B">
              <w:rPr>
                <w:rFonts w:eastAsia="MS Gothic"/>
                <w:bCs/>
                <w:szCs w:val="28"/>
              </w:rPr>
              <w:t>R-PBS</w:t>
            </w:r>
          </w:p>
        </w:tc>
        <w:tc>
          <w:tcPr>
            <w:tcW w:w="2759" w:type="dxa"/>
            <w:shd w:val="clear" w:color="auto" w:fill="auto"/>
            <w:hideMark/>
          </w:tcPr>
          <w:p w14:paraId="0103A682" w14:textId="77777777" w:rsidR="000A34F2" w:rsidRPr="00EC424B" w:rsidRDefault="000A34F2" w:rsidP="00922005">
            <w:pPr>
              <w:ind w:firstLine="0"/>
              <w:cnfStyle w:val="000000000000" w:firstRow="0" w:lastRow="0" w:firstColumn="0" w:lastColumn="0" w:oddVBand="0" w:evenVBand="0" w:oddHBand="0" w:evenHBand="0" w:firstRowFirstColumn="0" w:firstRowLastColumn="0" w:lastRowFirstColumn="0" w:lastRowLastColumn="0"/>
              <w:rPr>
                <w:rFonts w:eastAsia="MS Gothic"/>
                <w:bCs/>
                <w:szCs w:val="28"/>
              </w:rPr>
            </w:pPr>
            <w:r w:rsidRPr="00EC424B">
              <w:rPr>
                <w:rFonts w:eastAsia="MS Gothic"/>
                <w:bCs/>
                <w:szCs w:val="28"/>
              </w:rPr>
              <w:t>Base Rate Fallacy</w:t>
            </w:r>
          </w:p>
        </w:tc>
        <w:tc>
          <w:tcPr>
            <w:tcW w:w="1417" w:type="dxa"/>
            <w:shd w:val="clear" w:color="auto" w:fill="auto"/>
            <w:hideMark/>
          </w:tcPr>
          <w:p w14:paraId="04177D4E" w14:textId="77777777" w:rsidR="000A34F2" w:rsidRPr="00EC424B" w:rsidRDefault="000A34F2" w:rsidP="00922005">
            <w:pPr>
              <w:ind w:firstLine="0"/>
              <w:cnfStyle w:val="000000000000" w:firstRow="0" w:lastRow="0" w:firstColumn="0" w:lastColumn="0" w:oddVBand="0" w:evenVBand="0" w:oddHBand="0" w:evenHBand="0" w:firstRowFirstColumn="0" w:firstRowLastColumn="0" w:lastRowFirstColumn="0" w:lastRowLastColumn="0"/>
              <w:rPr>
                <w:rFonts w:eastAsia="MS Gothic"/>
                <w:bCs/>
                <w:szCs w:val="28"/>
              </w:rPr>
            </w:pPr>
            <w:r w:rsidRPr="00EC424B">
              <w:rPr>
                <w:rFonts w:eastAsia="MS Gothic"/>
                <w:bCs/>
                <w:szCs w:val="28"/>
              </w:rPr>
              <w:t>Continuous</w:t>
            </w:r>
          </w:p>
        </w:tc>
        <w:tc>
          <w:tcPr>
            <w:tcW w:w="2347" w:type="dxa"/>
            <w:shd w:val="clear" w:color="auto" w:fill="auto"/>
            <w:hideMark/>
          </w:tcPr>
          <w:p w14:paraId="142ED608" w14:textId="77777777" w:rsidR="000A34F2" w:rsidRPr="00EC424B" w:rsidRDefault="000A34F2" w:rsidP="00922005">
            <w:pPr>
              <w:ind w:firstLine="0"/>
              <w:cnfStyle w:val="000000000000" w:firstRow="0" w:lastRow="0" w:firstColumn="0" w:lastColumn="0" w:oddVBand="0" w:evenVBand="0" w:oddHBand="0" w:evenHBand="0" w:firstRowFirstColumn="0" w:firstRowLastColumn="0" w:lastRowFirstColumn="0" w:lastRowLastColumn="0"/>
              <w:rPr>
                <w:rFonts w:eastAsia="MS Gothic"/>
                <w:bCs/>
                <w:szCs w:val="28"/>
              </w:rPr>
            </w:pPr>
            <w:r w:rsidRPr="00EC424B">
              <w:rPr>
                <w:rFonts w:eastAsia="MS Gothic"/>
                <w:bCs/>
                <w:i/>
                <w:iCs/>
                <w:szCs w:val="28"/>
              </w:rPr>
              <w:t xml:space="preserve">r </w:t>
            </w:r>
            <w:r w:rsidRPr="00EC424B">
              <w:rPr>
                <w:rFonts w:eastAsia="MS Gothic"/>
                <w:bCs/>
                <w:szCs w:val="28"/>
              </w:rPr>
              <w:t>= -.07</w:t>
            </w:r>
          </w:p>
        </w:tc>
        <w:tc>
          <w:tcPr>
            <w:tcW w:w="772" w:type="dxa"/>
            <w:shd w:val="clear" w:color="auto" w:fill="auto"/>
            <w:hideMark/>
          </w:tcPr>
          <w:p w14:paraId="63D5B4D2" w14:textId="77777777" w:rsidR="000A34F2" w:rsidRPr="00EC424B" w:rsidRDefault="000A34F2" w:rsidP="00922005">
            <w:pPr>
              <w:ind w:firstLine="0"/>
              <w:cnfStyle w:val="000000000000" w:firstRow="0" w:lastRow="0" w:firstColumn="0" w:lastColumn="0" w:oddVBand="0" w:evenVBand="0" w:oddHBand="0" w:evenHBand="0" w:firstRowFirstColumn="0" w:firstRowLastColumn="0" w:lastRowFirstColumn="0" w:lastRowLastColumn="0"/>
              <w:rPr>
                <w:rFonts w:eastAsia="MS Gothic"/>
                <w:bCs/>
                <w:szCs w:val="28"/>
              </w:rPr>
            </w:pPr>
            <w:r w:rsidRPr="00EC424B">
              <w:rPr>
                <w:rFonts w:eastAsia="MS Gothic"/>
                <w:bCs/>
                <w:szCs w:val="28"/>
              </w:rPr>
              <w:t>.22</w:t>
            </w:r>
          </w:p>
        </w:tc>
      </w:tr>
      <w:tr w:rsidR="000A34F2" w:rsidRPr="00922005" w14:paraId="7B2BB86F" w14:textId="77777777" w:rsidTr="00AE0D8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tcPr>
          <w:p w14:paraId="08888A37" w14:textId="77777777" w:rsidR="000A34F2" w:rsidRPr="00EC424B" w:rsidRDefault="000A34F2" w:rsidP="00922005">
            <w:pPr>
              <w:ind w:firstLine="0"/>
              <w:rPr>
                <w:rFonts w:eastAsia="MS Gothic"/>
                <w:b w:val="0"/>
                <w:szCs w:val="28"/>
              </w:rPr>
            </w:pPr>
          </w:p>
        </w:tc>
        <w:tc>
          <w:tcPr>
            <w:tcW w:w="707" w:type="dxa"/>
            <w:shd w:val="clear" w:color="auto" w:fill="auto"/>
          </w:tcPr>
          <w:p w14:paraId="0667EC3B" w14:textId="77777777" w:rsidR="000A34F2" w:rsidRPr="00EC424B" w:rsidRDefault="000A34F2" w:rsidP="00922005">
            <w:pPr>
              <w:ind w:firstLine="0"/>
              <w:cnfStyle w:val="000000100000" w:firstRow="0" w:lastRow="0" w:firstColumn="0" w:lastColumn="0" w:oddVBand="0" w:evenVBand="0" w:oddHBand="1" w:evenHBand="0" w:firstRowFirstColumn="0" w:firstRowLastColumn="0" w:lastRowFirstColumn="0" w:lastRowLastColumn="0"/>
              <w:rPr>
                <w:rFonts w:eastAsia="MS Gothic"/>
                <w:bCs/>
                <w:szCs w:val="28"/>
              </w:rPr>
            </w:pPr>
          </w:p>
        </w:tc>
        <w:tc>
          <w:tcPr>
            <w:tcW w:w="1871" w:type="dxa"/>
            <w:shd w:val="clear" w:color="auto" w:fill="auto"/>
            <w:hideMark/>
          </w:tcPr>
          <w:p w14:paraId="5BDE3706" w14:textId="77777777" w:rsidR="000A34F2" w:rsidRPr="00EC424B" w:rsidRDefault="000A34F2" w:rsidP="00922005">
            <w:pPr>
              <w:ind w:firstLine="0"/>
              <w:cnfStyle w:val="000000100000" w:firstRow="0" w:lastRow="0" w:firstColumn="0" w:lastColumn="0" w:oddVBand="0" w:evenVBand="0" w:oddHBand="1" w:evenHBand="0" w:firstRowFirstColumn="0" w:firstRowLastColumn="0" w:lastRowFirstColumn="0" w:lastRowLastColumn="0"/>
              <w:rPr>
                <w:rFonts w:eastAsia="MS Gothic"/>
                <w:bCs/>
                <w:szCs w:val="28"/>
              </w:rPr>
            </w:pPr>
            <w:r w:rsidRPr="00EC424B">
              <w:rPr>
                <w:rFonts w:eastAsia="MS Gothic"/>
                <w:bCs/>
                <w:szCs w:val="28"/>
              </w:rPr>
              <w:t>ASGS</w:t>
            </w:r>
          </w:p>
        </w:tc>
        <w:tc>
          <w:tcPr>
            <w:tcW w:w="2759" w:type="dxa"/>
            <w:shd w:val="clear" w:color="auto" w:fill="auto"/>
            <w:hideMark/>
          </w:tcPr>
          <w:p w14:paraId="76F1C5BB" w14:textId="77777777" w:rsidR="000A34F2" w:rsidRPr="00EC424B" w:rsidRDefault="000A34F2" w:rsidP="00922005">
            <w:pPr>
              <w:ind w:firstLine="0"/>
              <w:cnfStyle w:val="000000100000" w:firstRow="0" w:lastRow="0" w:firstColumn="0" w:lastColumn="0" w:oddVBand="0" w:evenVBand="0" w:oddHBand="1" w:evenHBand="0" w:firstRowFirstColumn="0" w:firstRowLastColumn="0" w:lastRowFirstColumn="0" w:lastRowLastColumn="0"/>
              <w:rPr>
                <w:rFonts w:eastAsia="MS Gothic"/>
                <w:bCs/>
                <w:szCs w:val="28"/>
              </w:rPr>
            </w:pPr>
            <w:r w:rsidRPr="00EC424B">
              <w:rPr>
                <w:rFonts w:eastAsia="MS Gothic"/>
                <w:bCs/>
                <w:szCs w:val="28"/>
              </w:rPr>
              <w:t>Base Rate Fallacy</w:t>
            </w:r>
          </w:p>
        </w:tc>
        <w:tc>
          <w:tcPr>
            <w:tcW w:w="1417" w:type="dxa"/>
            <w:shd w:val="clear" w:color="auto" w:fill="auto"/>
            <w:hideMark/>
          </w:tcPr>
          <w:p w14:paraId="343B8DFF" w14:textId="77777777" w:rsidR="000A34F2" w:rsidRPr="00EC424B" w:rsidRDefault="000A34F2" w:rsidP="00922005">
            <w:pPr>
              <w:ind w:firstLine="0"/>
              <w:cnfStyle w:val="000000100000" w:firstRow="0" w:lastRow="0" w:firstColumn="0" w:lastColumn="0" w:oddVBand="0" w:evenVBand="0" w:oddHBand="1" w:evenHBand="0" w:firstRowFirstColumn="0" w:firstRowLastColumn="0" w:lastRowFirstColumn="0" w:lastRowLastColumn="0"/>
              <w:rPr>
                <w:rFonts w:eastAsia="MS Gothic"/>
                <w:bCs/>
                <w:szCs w:val="28"/>
              </w:rPr>
            </w:pPr>
            <w:r w:rsidRPr="00EC424B">
              <w:rPr>
                <w:rFonts w:eastAsia="MS Gothic"/>
                <w:bCs/>
                <w:szCs w:val="28"/>
              </w:rPr>
              <w:t>Continuous</w:t>
            </w:r>
          </w:p>
        </w:tc>
        <w:tc>
          <w:tcPr>
            <w:tcW w:w="2347" w:type="dxa"/>
            <w:shd w:val="clear" w:color="auto" w:fill="auto"/>
            <w:hideMark/>
          </w:tcPr>
          <w:p w14:paraId="6BC33B3D" w14:textId="77777777" w:rsidR="000A34F2" w:rsidRPr="00EC424B" w:rsidRDefault="000A34F2" w:rsidP="00922005">
            <w:pPr>
              <w:ind w:firstLine="0"/>
              <w:cnfStyle w:val="000000100000" w:firstRow="0" w:lastRow="0" w:firstColumn="0" w:lastColumn="0" w:oddVBand="0" w:evenVBand="0" w:oddHBand="1" w:evenHBand="0" w:firstRowFirstColumn="0" w:firstRowLastColumn="0" w:lastRowFirstColumn="0" w:lastRowLastColumn="0"/>
              <w:rPr>
                <w:rFonts w:eastAsia="MS Gothic"/>
                <w:bCs/>
                <w:szCs w:val="28"/>
              </w:rPr>
            </w:pPr>
            <w:r w:rsidRPr="00EC424B">
              <w:rPr>
                <w:rFonts w:eastAsia="MS Gothic"/>
                <w:bCs/>
                <w:i/>
                <w:iCs/>
                <w:szCs w:val="28"/>
              </w:rPr>
              <w:t xml:space="preserve">r </w:t>
            </w:r>
            <w:r w:rsidRPr="00EC424B">
              <w:rPr>
                <w:rFonts w:eastAsia="MS Gothic"/>
                <w:bCs/>
                <w:szCs w:val="28"/>
              </w:rPr>
              <w:t>= -.12</w:t>
            </w:r>
          </w:p>
        </w:tc>
        <w:tc>
          <w:tcPr>
            <w:tcW w:w="772" w:type="dxa"/>
            <w:shd w:val="clear" w:color="auto" w:fill="auto"/>
            <w:hideMark/>
          </w:tcPr>
          <w:p w14:paraId="3BC47791" w14:textId="77777777" w:rsidR="000A34F2" w:rsidRPr="00EC424B" w:rsidRDefault="000A34F2" w:rsidP="00922005">
            <w:pPr>
              <w:ind w:firstLine="0"/>
              <w:cnfStyle w:val="000000100000" w:firstRow="0" w:lastRow="0" w:firstColumn="0" w:lastColumn="0" w:oddVBand="0" w:evenVBand="0" w:oddHBand="1" w:evenHBand="0" w:firstRowFirstColumn="0" w:firstRowLastColumn="0" w:lastRowFirstColumn="0" w:lastRowLastColumn="0"/>
              <w:rPr>
                <w:rFonts w:eastAsia="MS Gothic"/>
                <w:bCs/>
                <w:szCs w:val="28"/>
              </w:rPr>
            </w:pPr>
            <w:r w:rsidRPr="00EC424B">
              <w:rPr>
                <w:rFonts w:eastAsia="MS Gothic"/>
                <w:bCs/>
                <w:szCs w:val="28"/>
              </w:rPr>
              <w:t>.036</w:t>
            </w:r>
          </w:p>
        </w:tc>
      </w:tr>
      <w:tr w:rsidR="000A34F2" w:rsidRPr="00922005" w14:paraId="39125F8D" w14:textId="77777777" w:rsidTr="00AE0D85">
        <w:trPr>
          <w:trHeight w:val="20"/>
        </w:trPr>
        <w:tc>
          <w:tcPr>
            <w:cnfStyle w:val="001000000000" w:firstRow="0" w:lastRow="0" w:firstColumn="1" w:lastColumn="0" w:oddVBand="0" w:evenVBand="0" w:oddHBand="0" w:evenHBand="0" w:firstRowFirstColumn="0" w:firstRowLastColumn="0" w:lastRowFirstColumn="0" w:lastRowLastColumn="0"/>
            <w:tcW w:w="3652" w:type="dxa"/>
            <w:tcBorders>
              <w:top w:val="nil"/>
              <w:left w:val="nil"/>
              <w:bottom w:val="single" w:sz="4" w:space="0" w:color="auto"/>
              <w:right w:val="nil"/>
            </w:tcBorders>
            <w:shd w:val="clear" w:color="auto" w:fill="auto"/>
          </w:tcPr>
          <w:p w14:paraId="574F7475" w14:textId="77777777" w:rsidR="000A34F2" w:rsidRPr="00EC424B" w:rsidRDefault="000A34F2" w:rsidP="00922005">
            <w:pPr>
              <w:ind w:firstLine="0"/>
              <w:rPr>
                <w:rFonts w:eastAsia="MS Gothic"/>
                <w:b w:val="0"/>
                <w:szCs w:val="28"/>
              </w:rPr>
            </w:pPr>
          </w:p>
        </w:tc>
        <w:tc>
          <w:tcPr>
            <w:tcW w:w="707" w:type="dxa"/>
            <w:tcBorders>
              <w:top w:val="nil"/>
              <w:left w:val="nil"/>
              <w:bottom w:val="single" w:sz="4" w:space="0" w:color="auto"/>
              <w:right w:val="nil"/>
            </w:tcBorders>
            <w:shd w:val="clear" w:color="auto" w:fill="auto"/>
          </w:tcPr>
          <w:p w14:paraId="3A28AA78" w14:textId="77777777" w:rsidR="000A34F2" w:rsidRPr="00EC424B" w:rsidRDefault="000A34F2" w:rsidP="00922005">
            <w:pPr>
              <w:ind w:firstLine="0"/>
              <w:cnfStyle w:val="000000000000" w:firstRow="0" w:lastRow="0" w:firstColumn="0" w:lastColumn="0" w:oddVBand="0" w:evenVBand="0" w:oddHBand="0" w:evenHBand="0" w:firstRowFirstColumn="0" w:firstRowLastColumn="0" w:lastRowFirstColumn="0" w:lastRowLastColumn="0"/>
              <w:rPr>
                <w:rFonts w:eastAsia="MS Gothic"/>
                <w:bCs/>
                <w:szCs w:val="28"/>
              </w:rPr>
            </w:pPr>
          </w:p>
        </w:tc>
        <w:tc>
          <w:tcPr>
            <w:tcW w:w="1871" w:type="dxa"/>
            <w:tcBorders>
              <w:top w:val="nil"/>
              <w:left w:val="nil"/>
              <w:bottom w:val="single" w:sz="4" w:space="0" w:color="auto"/>
              <w:right w:val="nil"/>
            </w:tcBorders>
            <w:shd w:val="clear" w:color="auto" w:fill="auto"/>
            <w:hideMark/>
          </w:tcPr>
          <w:p w14:paraId="45208B98" w14:textId="77777777" w:rsidR="000A34F2" w:rsidRPr="00EC424B" w:rsidRDefault="000A34F2" w:rsidP="00922005">
            <w:pPr>
              <w:ind w:firstLine="0"/>
              <w:cnfStyle w:val="000000000000" w:firstRow="0" w:lastRow="0" w:firstColumn="0" w:lastColumn="0" w:oddVBand="0" w:evenVBand="0" w:oddHBand="0" w:evenHBand="0" w:firstRowFirstColumn="0" w:firstRowLastColumn="0" w:lastRowFirstColumn="0" w:lastRowLastColumn="0"/>
              <w:rPr>
                <w:rFonts w:eastAsia="MS Gothic"/>
                <w:bCs/>
                <w:szCs w:val="28"/>
              </w:rPr>
            </w:pPr>
            <w:r w:rsidRPr="00EC424B">
              <w:rPr>
                <w:rFonts w:eastAsia="MS Gothic"/>
                <w:bCs/>
                <w:szCs w:val="28"/>
              </w:rPr>
              <w:t>MMU-N</w:t>
            </w:r>
          </w:p>
        </w:tc>
        <w:tc>
          <w:tcPr>
            <w:tcW w:w="2759" w:type="dxa"/>
            <w:tcBorders>
              <w:top w:val="nil"/>
              <w:left w:val="nil"/>
              <w:bottom w:val="single" w:sz="4" w:space="0" w:color="auto"/>
              <w:right w:val="nil"/>
            </w:tcBorders>
            <w:shd w:val="clear" w:color="auto" w:fill="auto"/>
            <w:hideMark/>
          </w:tcPr>
          <w:p w14:paraId="0C98236F" w14:textId="77777777" w:rsidR="000A34F2" w:rsidRPr="00EC424B" w:rsidRDefault="000A34F2" w:rsidP="00922005">
            <w:pPr>
              <w:ind w:firstLine="0"/>
              <w:cnfStyle w:val="000000000000" w:firstRow="0" w:lastRow="0" w:firstColumn="0" w:lastColumn="0" w:oddVBand="0" w:evenVBand="0" w:oddHBand="0" w:evenHBand="0" w:firstRowFirstColumn="0" w:firstRowLastColumn="0" w:lastRowFirstColumn="0" w:lastRowLastColumn="0"/>
              <w:rPr>
                <w:rFonts w:eastAsia="MS Gothic"/>
                <w:bCs/>
                <w:szCs w:val="28"/>
              </w:rPr>
            </w:pPr>
            <w:r w:rsidRPr="00EC424B">
              <w:rPr>
                <w:rFonts w:eastAsia="MS Gothic"/>
                <w:bCs/>
                <w:szCs w:val="28"/>
              </w:rPr>
              <w:t>Base Rate Fallacy</w:t>
            </w:r>
          </w:p>
        </w:tc>
        <w:tc>
          <w:tcPr>
            <w:tcW w:w="1417" w:type="dxa"/>
            <w:tcBorders>
              <w:top w:val="nil"/>
              <w:left w:val="nil"/>
              <w:bottom w:val="single" w:sz="4" w:space="0" w:color="auto"/>
              <w:right w:val="nil"/>
            </w:tcBorders>
            <w:shd w:val="clear" w:color="auto" w:fill="auto"/>
            <w:hideMark/>
          </w:tcPr>
          <w:p w14:paraId="43940B4D" w14:textId="77777777" w:rsidR="000A34F2" w:rsidRPr="00EC424B" w:rsidRDefault="000A34F2" w:rsidP="00922005">
            <w:pPr>
              <w:ind w:firstLine="0"/>
              <w:cnfStyle w:val="000000000000" w:firstRow="0" w:lastRow="0" w:firstColumn="0" w:lastColumn="0" w:oddVBand="0" w:evenVBand="0" w:oddHBand="0" w:evenHBand="0" w:firstRowFirstColumn="0" w:firstRowLastColumn="0" w:lastRowFirstColumn="0" w:lastRowLastColumn="0"/>
              <w:rPr>
                <w:rFonts w:eastAsia="MS Gothic"/>
                <w:bCs/>
                <w:szCs w:val="28"/>
              </w:rPr>
            </w:pPr>
            <w:r w:rsidRPr="00EC424B">
              <w:rPr>
                <w:rFonts w:eastAsia="MS Gothic"/>
                <w:bCs/>
                <w:szCs w:val="28"/>
              </w:rPr>
              <w:t>Continuous</w:t>
            </w:r>
          </w:p>
        </w:tc>
        <w:tc>
          <w:tcPr>
            <w:tcW w:w="2347" w:type="dxa"/>
            <w:tcBorders>
              <w:top w:val="nil"/>
              <w:left w:val="nil"/>
              <w:bottom w:val="single" w:sz="4" w:space="0" w:color="auto"/>
              <w:right w:val="nil"/>
            </w:tcBorders>
            <w:shd w:val="clear" w:color="auto" w:fill="auto"/>
            <w:hideMark/>
          </w:tcPr>
          <w:p w14:paraId="218268BC" w14:textId="77777777" w:rsidR="000A34F2" w:rsidRPr="00EC424B" w:rsidRDefault="000A34F2" w:rsidP="00922005">
            <w:pPr>
              <w:ind w:firstLine="0"/>
              <w:cnfStyle w:val="000000000000" w:firstRow="0" w:lastRow="0" w:firstColumn="0" w:lastColumn="0" w:oddVBand="0" w:evenVBand="0" w:oddHBand="0" w:evenHBand="0" w:firstRowFirstColumn="0" w:firstRowLastColumn="0" w:lastRowFirstColumn="0" w:lastRowLastColumn="0"/>
              <w:rPr>
                <w:rFonts w:eastAsia="MS Gothic"/>
                <w:bCs/>
                <w:szCs w:val="28"/>
              </w:rPr>
            </w:pPr>
            <w:r w:rsidRPr="00EC424B">
              <w:rPr>
                <w:rFonts w:eastAsia="MS Gothic"/>
                <w:bCs/>
                <w:i/>
                <w:iCs/>
                <w:szCs w:val="28"/>
              </w:rPr>
              <w:t xml:space="preserve">r </w:t>
            </w:r>
            <w:r w:rsidRPr="00EC424B">
              <w:rPr>
                <w:rFonts w:eastAsia="MS Gothic"/>
                <w:bCs/>
                <w:szCs w:val="28"/>
              </w:rPr>
              <w:t>= -.13</w:t>
            </w:r>
          </w:p>
        </w:tc>
        <w:tc>
          <w:tcPr>
            <w:tcW w:w="772" w:type="dxa"/>
            <w:tcBorders>
              <w:top w:val="nil"/>
              <w:left w:val="nil"/>
              <w:bottom w:val="single" w:sz="4" w:space="0" w:color="auto"/>
              <w:right w:val="nil"/>
            </w:tcBorders>
            <w:shd w:val="clear" w:color="auto" w:fill="auto"/>
            <w:hideMark/>
          </w:tcPr>
          <w:p w14:paraId="22F8AD05" w14:textId="77777777" w:rsidR="000A34F2" w:rsidRPr="00EC424B" w:rsidRDefault="000A34F2" w:rsidP="00922005">
            <w:pPr>
              <w:ind w:firstLine="0"/>
              <w:cnfStyle w:val="000000000000" w:firstRow="0" w:lastRow="0" w:firstColumn="0" w:lastColumn="0" w:oddVBand="0" w:evenVBand="0" w:oddHBand="0" w:evenHBand="0" w:firstRowFirstColumn="0" w:firstRowLastColumn="0" w:lastRowFirstColumn="0" w:lastRowLastColumn="0"/>
              <w:rPr>
                <w:rFonts w:eastAsia="MS Gothic"/>
                <w:bCs/>
                <w:szCs w:val="28"/>
              </w:rPr>
            </w:pPr>
            <w:r w:rsidRPr="00EC424B">
              <w:rPr>
                <w:rFonts w:eastAsia="MS Gothic"/>
                <w:bCs/>
                <w:szCs w:val="28"/>
              </w:rPr>
              <w:t>.023</w:t>
            </w:r>
          </w:p>
        </w:tc>
      </w:tr>
    </w:tbl>
    <w:p w14:paraId="10E869AF" w14:textId="77777777" w:rsidR="00922005" w:rsidRPr="00922005" w:rsidRDefault="00922005" w:rsidP="00922005">
      <w:pPr>
        <w:ind w:firstLine="0"/>
        <w:rPr>
          <w:rFonts w:eastAsia="MS Gothic" w:cs="Times New Roman"/>
          <w:bCs/>
          <w:sz w:val="22"/>
          <w:lang w:val="en-GB"/>
        </w:rPr>
      </w:pPr>
      <w:r w:rsidRPr="00922005">
        <w:rPr>
          <w:rFonts w:eastAsia="MS Gothic" w:cs="Times New Roman"/>
          <w:bCs/>
          <w:sz w:val="22"/>
          <w:vertAlign w:val="superscript"/>
          <w:lang w:val="en-GB"/>
        </w:rPr>
        <w:t xml:space="preserve">a </w:t>
      </w:r>
      <w:r w:rsidRPr="00922005">
        <w:rPr>
          <w:rFonts w:eastAsia="MS Gothic" w:cs="Times New Roman"/>
          <w:bCs/>
          <w:sz w:val="22"/>
          <w:lang w:val="en-GB"/>
        </w:rPr>
        <w:t>R-PBS, Revised-Paranormal Belief Scale; ASGS, Australian Sheep Goat Scale; MMU-N, Manchester Metropolitan University New.</w:t>
      </w:r>
    </w:p>
    <w:p w14:paraId="3F2B20A9" w14:textId="77777777" w:rsidR="00922005" w:rsidRPr="00922005" w:rsidRDefault="00922005" w:rsidP="00922005">
      <w:pPr>
        <w:ind w:firstLine="0"/>
        <w:rPr>
          <w:rFonts w:eastAsia="MS Gothic" w:cs="Times New Roman"/>
          <w:bCs/>
          <w:szCs w:val="28"/>
          <w:lang w:val="en-GB"/>
        </w:rPr>
      </w:pPr>
      <w:r w:rsidRPr="00922005">
        <w:rPr>
          <w:rFonts w:eastAsia="MS Gothic" w:cs="Times New Roman"/>
          <w:bCs/>
          <w:sz w:val="22"/>
          <w:vertAlign w:val="superscript"/>
          <w:lang w:val="en-GB"/>
        </w:rPr>
        <w:t xml:space="preserve">b </w:t>
      </w:r>
      <w:r w:rsidRPr="00922005">
        <w:rPr>
          <w:rFonts w:eastAsia="MS Gothic" w:cs="Times New Roman"/>
          <w:bCs/>
          <w:sz w:val="22"/>
          <w:lang w:val="en-GB"/>
        </w:rPr>
        <w:t>Grouping refers to how participants were categorised as anomalistic believers (vs. non-believers) or if belief was a continuous measure.</w:t>
      </w:r>
    </w:p>
    <w:p w14:paraId="7490D52C" w14:textId="78E85B3F" w:rsidR="00922005" w:rsidRPr="00922005" w:rsidRDefault="00922005" w:rsidP="00D86B68">
      <w:pPr>
        <w:spacing w:line="312" w:lineRule="auto"/>
        <w:ind w:firstLine="0"/>
        <w:jc w:val="center"/>
        <w:outlineLvl w:val="0"/>
        <w:rPr>
          <w:rFonts w:eastAsia="MS Gothic" w:cs="Times New Roman"/>
          <w:bCs/>
          <w:szCs w:val="28"/>
          <w:lang w:val="en-GB"/>
        </w:rPr>
      </w:pPr>
      <w:r w:rsidRPr="00922005">
        <w:rPr>
          <w:rFonts w:eastAsia="MS Gothic" w:cs="Times New Roman"/>
          <w:bCs/>
          <w:szCs w:val="28"/>
          <w:lang w:val="en-GB"/>
        </w:rPr>
        <w:br w:type="page"/>
      </w:r>
      <w:r>
        <w:rPr>
          <w:rFonts w:eastAsia="MS Gothic" w:cs="Times New Roman"/>
          <w:bCs/>
          <w:szCs w:val="28"/>
          <w:lang w:val="en-GB"/>
        </w:rPr>
        <w:lastRenderedPageBreak/>
        <w:t>Appendix</w:t>
      </w:r>
      <w:r w:rsidRPr="00922005">
        <w:rPr>
          <w:rFonts w:eastAsia="MS Gothic" w:cs="Times New Roman"/>
          <w:bCs/>
          <w:szCs w:val="28"/>
          <w:lang w:val="en-GB"/>
        </w:rPr>
        <w:t xml:space="preserve"> </w:t>
      </w:r>
      <w:r w:rsidR="00AB5758">
        <w:rPr>
          <w:rFonts w:eastAsia="MS Gothic" w:cs="Times New Roman"/>
          <w:bCs/>
          <w:szCs w:val="28"/>
          <w:lang w:val="en-GB"/>
        </w:rPr>
        <w:t>C</w:t>
      </w:r>
    </w:p>
    <w:p w14:paraId="734EFAC2" w14:textId="77777777" w:rsidR="00922005" w:rsidRPr="00922005" w:rsidRDefault="00922005" w:rsidP="00922005">
      <w:pPr>
        <w:spacing w:line="312" w:lineRule="auto"/>
        <w:ind w:firstLine="0"/>
        <w:rPr>
          <w:rFonts w:ascii="Calibri" w:eastAsia="Calibri" w:hAnsi="Calibri" w:cs="Times New Roman"/>
          <w:szCs w:val="24"/>
          <w:lang w:val="en-GB"/>
        </w:rPr>
      </w:pPr>
      <w:r w:rsidRPr="00922005">
        <w:rPr>
          <w:rFonts w:eastAsia="Arial" w:cs="Times New Roman"/>
          <w:i/>
          <w:szCs w:val="24"/>
          <w:lang w:val="en-GB"/>
        </w:rPr>
        <w:t>Summary of Context Findings from Previous Studies</w:t>
      </w:r>
    </w:p>
    <w:tbl>
      <w:tblPr>
        <w:tblStyle w:val="PlainTable413"/>
        <w:tblW w:w="15098" w:type="dxa"/>
        <w:tblInd w:w="0" w:type="dxa"/>
        <w:tblLook w:val="04A0" w:firstRow="1" w:lastRow="0" w:firstColumn="1" w:lastColumn="0" w:noHBand="0" w:noVBand="1"/>
      </w:tblPr>
      <w:tblGrid>
        <w:gridCol w:w="2423"/>
        <w:gridCol w:w="546"/>
        <w:gridCol w:w="1811"/>
        <w:gridCol w:w="2438"/>
        <w:gridCol w:w="2438"/>
        <w:gridCol w:w="2891"/>
        <w:gridCol w:w="2551"/>
      </w:tblGrid>
      <w:tr w:rsidR="00922005" w:rsidRPr="00922005" w14:paraId="015995AD" w14:textId="77777777" w:rsidTr="00245A5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423" w:type="dxa"/>
            <w:tcBorders>
              <w:top w:val="single" w:sz="4" w:space="0" w:color="auto"/>
              <w:left w:val="nil"/>
              <w:bottom w:val="single" w:sz="4" w:space="0" w:color="auto"/>
              <w:right w:val="nil"/>
            </w:tcBorders>
            <w:shd w:val="clear" w:color="auto" w:fill="auto"/>
            <w:hideMark/>
          </w:tcPr>
          <w:p w14:paraId="37F6D565" w14:textId="77777777" w:rsidR="00922005" w:rsidRPr="00EC424B" w:rsidRDefault="00922005" w:rsidP="00922005">
            <w:pPr>
              <w:spacing w:line="240" w:lineRule="auto"/>
              <w:ind w:firstLine="0"/>
              <w:rPr>
                <w:rFonts w:eastAsia="MS Gothic"/>
                <w:b w:val="0"/>
                <w:sz w:val="22"/>
              </w:rPr>
            </w:pPr>
            <w:r w:rsidRPr="00EC424B">
              <w:rPr>
                <w:rFonts w:eastAsia="MS Gothic"/>
                <w:b w:val="0"/>
                <w:szCs w:val="24"/>
              </w:rPr>
              <w:t>Study</w:t>
            </w:r>
          </w:p>
        </w:tc>
        <w:tc>
          <w:tcPr>
            <w:tcW w:w="546" w:type="dxa"/>
            <w:tcBorders>
              <w:top w:val="single" w:sz="4" w:space="0" w:color="auto"/>
              <w:left w:val="nil"/>
              <w:bottom w:val="single" w:sz="4" w:space="0" w:color="auto"/>
              <w:right w:val="nil"/>
            </w:tcBorders>
            <w:shd w:val="clear" w:color="auto" w:fill="auto"/>
            <w:hideMark/>
          </w:tcPr>
          <w:p w14:paraId="13655358" w14:textId="77777777" w:rsidR="00922005" w:rsidRPr="00EC424B" w:rsidRDefault="00922005" w:rsidP="00922005">
            <w:pPr>
              <w:spacing w:line="240" w:lineRule="auto"/>
              <w:ind w:firstLine="0"/>
              <w:cnfStyle w:val="100000000000" w:firstRow="1" w:lastRow="0" w:firstColumn="0" w:lastColumn="0" w:oddVBand="0" w:evenVBand="0" w:oddHBand="0" w:evenHBand="0" w:firstRowFirstColumn="0" w:firstRowLastColumn="0" w:lastRowFirstColumn="0" w:lastRowLastColumn="0"/>
              <w:rPr>
                <w:rFonts w:eastAsia="MS Gothic"/>
                <w:b w:val="0"/>
                <w:sz w:val="22"/>
              </w:rPr>
            </w:pPr>
            <w:r w:rsidRPr="00EC424B">
              <w:rPr>
                <w:rFonts w:eastAsia="MS Gothic"/>
                <w:b w:val="0"/>
                <w:i/>
                <w:iCs/>
                <w:szCs w:val="24"/>
              </w:rPr>
              <w:t>n</w:t>
            </w:r>
          </w:p>
        </w:tc>
        <w:tc>
          <w:tcPr>
            <w:tcW w:w="1811" w:type="dxa"/>
            <w:tcBorders>
              <w:top w:val="single" w:sz="4" w:space="0" w:color="auto"/>
              <w:left w:val="nil"/>
              <w:bottom w:val="single" w:sz="4" w:space="0" w:color="auto"/>
              <w:right w:val="nil"/>
            </w:tcBorders>
            <w:shd w:val="clear" w:color="auto" w:fill="auto"/>
            <w:hideMark/>
          </w:tcPr>
          <w:p w14:paraId="313B0DAB" w14:textId="77777777" w:rsidR="00922005" w:rsidRPr="00EC424B" w:rsidRDefault="00922005" w:rsidP="00922005">
            <w:pPr>
              <w:spacing w:line="240" w:lineRule="auto"/>
              <w:ind w:firstLine="0"/>
              <w:cnfStyle w:val="100000000000" w:firstRow="1" w:lastRow="0" w:firstColumn="0" w:lastColumn="0" w:oddVBand="0" w:evenVBand="0" w:oddHBand="0" w:evenHBand="0" w:firstRowFirstColumn="0" w:firstRowLastColumn="0" w:lastRowFirstColumn="0" w:lastRowLastColumn="0"/>
              <w:rPr>
                <w:rFonts w:eastAsia="MS Gothic"/>
                <w:b w:val="0"/>
                <w:sz w:val="22"/>
              </w:rPr>
            </w:pPr>
            <w:r w:rsidRPr="00EC424B">
              <w:rPr>
                <w:rFonts w:eastAsia="MS Gothic"/>
                <w:b w:val="0"/>
                <w:szCs w:val="24"/>
              </w:rPr>
              <w:t xml:space="preserve">Belief </w:t>
            </w:r>
            <w:proofErr w:type="spellStart"/>
            <w:r w:rsidRPr="00EC424B">
              <w:rPr>
                <w:rFonts w:eastAsia="MS Gothic"/>
                <w:b w:val="0"/>
                <w:szCs w:val="24"/>
              </w:rPr>
              <w:t>Measure</w:t>
            </w:r>
            <w:r w:rsidRPr="00EC424B">
              <w:rPr>
                <w:rFonts w:eastAsia="MS Gothic"/>
                <w:b w:val="0"/>
                <w:szCs w:val="24"/>
                <w:vertAlign w:val="superscript"/>
              </w:rPr>
              <w:t>a</w:t>
            </w:r>
            <w:proofErr w:type="spellEnd"/>
          </w:p>
        </w:tc>
        <w:tc>
          <w:tcPr>
            <w:tcW w:w="2438" w:type="dxa"/>
            <w:tcBorders>
              <w:top w:val="single" w:sz="4" w:space="0" w:color="auto"/>
              <w:left w:val="nil"/>
              <w:bottom w:val="single" w:sz="4" w:space="0" w:color="auto"/>
              <w:right w:val="nil"/>
            </w:tcBorders>
            <w:shd w:val="clear" w:color="auto" w:fill="auto"/>
            <w:hideMark/>
          </w:tcPr>
          <w:p w14:paraId="41882386" w14:textId="77777777" w:rsidR="00922005" w:rsidRPr="00EC424B" w:rsidRDefault="00922005" w:rsidP="00922005">
            <w:pPr>
              <w:spacing w:line="240" w:lineRule="auto"/>
              <w:ind w:firstLine="0"/>
              <w:cnfStyle w:val="100000000000" w:firstRow="1" w:lastRow="0" w:firstColumn="0" w:lastColumn="0" w:oddVBand="0" w:evenVBand="0" w:oddHBand="0" w:evenHBand="0" w:firstRowFirstColumn="0" w:firstRowLastColumn="0" w:lastRowFirstColumn="0" w:lastRowLastColumn="0"/>
              <w:rPr>
                <w:rFonts w:eastAsia="MS Gothic"/>
                <w:b w:val="0"/>
                <w:sz w:val="22"/>
              </w:rPr>
            </w:pPr>
            <w:r w:rsidRPr="00EC424B">
              <w:rPr>
                <w:rFonts w:eastAsia="MS Gothic"/>
                <w:b w:val="0"/>
                <w:szCs w:val="24"/>
              </w:rPr>
              <w:t>Reasoning Measure</w:t>
            </w:r>
          </w:p>
        </w:tc>
        <w:tc>
          <w:tcPr>
            <w:tcW w:w="2438" w:type="dxa"/>
            <w:tcBorders>
              <w:top w:val="single" w:sz="4" w:space="0" w:color="auto"/>
              <w:left w:val="nil"/>
              <w:bottom w:val="single" w:sz="4" w:space="0" w:color="auto"/>
              <w:right w:val="nil"/>
            </w:tcBorders>
            <w:shd w:val="clear" w:color="auto" w:fill="auto"/>
            <w:hideMark/>
          </w:tcPr>
          <w:p w14:paraId="1EC7B3AF" w14:textId="77777777" w:rsidR="00922005" w:rsidRPr="00EC424B" w:rsidRDefault="00922005" w:rsidP="00922005">
            <w:pPr>
              <w:spacing w:line="240" w:lineRule="auto"/>
              <w:ind w:firstLine="0"/>
              <w:cnfStyle w:val="100000000000" w:firstRow="1" w:lastRow="0" w:firstColumn="0" w:lastColumn="0" w:oddVBand="0" w:evenVBand="0" w:oddHBand="0" w:evenHBand="0" w:firstRowFirstColumn="0" w:firstRowLastColumn="0" w:lastRowFirstColumn="0" w:lastRowLastColumn="0"/>
              <w:rPr>
                <w:rFonts w:eastAsia="MS Gothic"/>
                <w:b w:val="0"/>
                <w:sz w:val="22"/>
              </w:rPr>
            </w:pPr>
            <w:r w:rsidRPr="00EC424B">
              <w:rPr>
                <w:rFonts w:eastAsia="MS Gothic"/>
                <w:b w:val="0"/>
                <w:szCs w:val="24"/>
              </w:rPr>
              <w:t>Neutral Context Result</w:t>
            </w:r>
          </w:p>
        </w:tc>
        <w:tc>
          <w:tcPr>
            <w:tcW w:w="2891" w:type="dxa"/>
            <w:tcBorders>
              <w:top w:val="single" w:sz="4" w:space="0" w:color="auto"/>
              <w:left w:val="nil"/>
              <w:bottom w:val="single" w:sz="4" w:space="0" w:color="auto"/>
              <w:right w:val="nil"/>
            </w:tcBorders>
            <w:shd w:val="clear" w:color="auto" w:fill="auto"/>
            <w:hideMark/>
          </w:tcPr>
          <w:p w14:paraId="6E44F88B" w14:textId="77777777" w:rsidR="00922005" w:rsidRPr="00EC424B" w:rsidRDefault="00922005" w:rsidP="00922005">
            <w:pPr>
              <w:spacing w:line="240" w:lineRule="auto"/>
              <w:ind w:firstLine="0"/>
              <w:cnfStyle w:val="100000000000" w:firstRow="1" w:lastRow="0" w:firstColumn="0" w:lastColumn="0" w:oddVBand="0" w:evenVBand="0" w:oddHBand="0" w:evenHBand="0" w:firstRowFirstColumn="0" w:firstRowLastColumn="0" w:lastRowFirstColumn="0" w:lastRowLastColumn="0"/>
              <w:rPr>
                <w:rFonts w:eastAsia="MS Gothic"/>
                <w:b w:val="0"/>
                <w:szCs w:val="24"/>
              </w:rPr>
            </w:pPr>
            <w:r w:rsidRPr="00EC424B">
              <w:rPr>
                <w:rFonts w:eastAsia="MS Gothic"/>
                <w:b w:val="0"/>
                <w:szCs w:val="24"/>
              </w:rPr>
              <w:t>Anomalistic Context Result</w:t>
            </w:r>
          </w:p>
        </w:tc>
        <w:tc>
          <w:tcPr>
            <w:tcW w:w="2551" w:type="dxa"/>
            <w:tcBorders>
              <w:top w:val="single" w:sz="4" w:space="0" w:color="auto"/>
              <w:left w:val="nil"/>
              <w:bottom w:val="single" w:sz="4" w:space="0" w:color="auto"/>
              <w:right w:val="nil"/>
            </w:tcBorders>
            <w:shd w:val="clear" w:color="auto" w:fill="auto"/>
            <w:hideMark/>
          </w:tcPr>
          <w:p w14:paraId="66FFE0A2" w14:textId="77777777" w:rsidR="00922005" w:rsidRPr="00EC424B" w:rsidRDefault="00922005" w:rsidP="00922005">
            <w:pPr>
              <w:spacing w:line="240" w:lineRule="auto"/>
              <w:ind w:firstLine="0"/>
              <w:cnfStyle w:val="100000000000" w:firstRow="1" w:lastRow="0" w:firstColumn="0" w:lastColumn="0" w:oddVBand="0" w:evenVBand="0" w:oddHBand="0" w:evenHBand="0" w:firstRowFirstColumn="0" w:firstRowLastColumn="0" w:lastRowFirstColumn="0" w:lastRowLastColumn="0"/>
              <w:rPr>
                <w:rFonts w:eastAsia="MS Gothic"/>
                <w:b w:val="0"/>
                <w:i/>
                <w:sz w:val="22"/>
              </w:rPr>
            </w:pPr>
            <w:proofErr w:type="spellStart"/>
            <w:r w:rsidRPr="00EC424B">
              <w:rPr>
                <w:rFonts w:eastAsia="MS Gothic"/>
                <w:b w:val="0"/>
                <w:szCs w:val="24"/>
              </w:rPr>
              <w:t>Context×Belief</w:t>
            </w:r>
            <w:proofErr w:type="spellEnd"/>
            <w:r w:rsidRPr="00EC424B">
              <w:rPr>
                <w:rFonts w:eastAsia="MS Gothic"/>
                <w:b w:val="0"/>
                <w:szCs w:val="24"/>
              </w:rPr>
              <w:t xml:space="preserve"> </w:t>
            </w:r>
            <w:proofErr w:type="spellStart"/>
            <w:r w:rsidRPr="00EC424B">
              <w:rPr>
                <w:rFonts w:eastAsia="MS Gothic"/>
                <w:b w:val="0"/>
                <w:szCs w:val="24"/>
              </w:rPr>
              <w:t>Result</w:t>
            </w:r>
            <w:r w:rsidRPr="00EC424B">
              <w:rPr>
                <w:rFonts w:eastAsia="MS Gothic"/>
                <w:b w:val="0"/>
                <w:szCs w:val="24"/>
                <w:vertAlign w:val="superscript"/>
              </w:rPr>
              <w:t>b</w:t>
            </w:r>
            <w:proofErr w:type="spellEnd"/>
          </w:p>
        </w:tc>
      </w:tr>
      <w:tr w:rsidR="00922005" w:rsidRPr="00922005" w14:paraId="632C5FD1" w14:textId="77777777" w:rsidTr="00245A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423" w:type="dxa"/>
            <w:tcBorders>
              <w:top w:val="single" w:sz="4" w:space="0" w:color="auto"/>
              <w:left w:val="nil"/>
              <w:bottom w:val="nil"/>
              <w:right w:val="nil"/>
            </w:tcBorders>
            <w:shd w:val="clear" w:color="auto" w:fill="auto"/>
            <w:hideMark/>
          </w:tcPr>
          <w:p w14:paraId="64CFB3C2" w14:textId="77777777" w:rsidR="00922005" w:rsidRPr="00EC424B" w:rsidRDefault="00922005" w:rsidP="00922005">
            <w:pPr>
              <w:spacing w:line="240" w:lineRule="auto"/>
              <w:ind w:firstLine="0"/>
              <w:rPr>
                <w:rFonts w:eastAsia="MS Gothic"/>
                <w:b w:val="0"/>
                <w:sz w:val="22"/>
              </w:rPr>
            </w:pPr>
            <w:proofErr w:type="spellStart"/>
            <w:r w:rsidRPr="00EC424B">
              <w:rPr>
                <w:rFonts w:eastAsia="MS Gothic"/>
                <w:b w:val="0"/>
                <w:sz w:val="22"/>
              </w:rPr>
              <w:t>Dagnall</w:t>
            </w:r>
            <w:proofErr w:type="spellEnd"/>
            <w:r w:rsidRPr="00EC424B">
              <w:rPr>
                <w:rFonts w:eastAsia="MS Gothic"/>
                <w:b w:val="0"/>
                <w:sz w:val="22"/>
              </w:rPr>
              <w:t xml:space="preserve"> et al. (2014)</w:t>
            </w:r>
          </w:p>
        </w:tc>
        <w:tc>
          <w:tcPr>
            <w:tcW w:w="546" w:type="dxa"/>
            <w:tcBorders>
              <w:top w:val="single" w:sz="4" w:space="0" w:color="auto"/>
              <w:left w:val="nil"/>
              <w:bottom w:val="nil"/>
              <w:right w:val="nil"/>
            </w:tcBorders>
            <w:shd w:val="clear" w:color="auto" w:fill="auto"/>
            <w:hideMark/>
          </w:tcPr>
          <w:p w14:paraId="0F30163D"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iCs/>
                <w:sz w:val="22"/>
              </w:rPr>
            </w:pPr>
            <w:r w:rsidRPr="00EC424B">
              <w:rPr>
                <w:rFonts w:eastAsia="MS Gothic"/>
                <w:iCs/>
                <w:sz w:val="22"/>
              </w:rPr>
              <w:t>305</w:t>
            </w:r>
          </w:p>
        </w:tc>
        <w:tc>
          <w:tcPr>
            <w:tcW w:w="1811" w:type="dxa"/>
            <w:tcBorders>
              <w:top w:val="single" w:sz="4" w:space="0" w:color="auto"/>
              <w:left w:val="nil"/>
              <w:bottom w:val="nil"/>
              <w:right w:val="nil"/>
            </w:tcBorders>
            <w:shd w:val="clear" w:color="auto" w:fill="auto"/>
            <w:hideMark/>
          </w:tcPr>
          <w:p w14:paraId="42D1CB4C"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sz w:val="22"/>
              </w:rPr>
            </w:pPr>
            <w:r w:rsidRPr="00EC424B">
              <w:rPr>
                <w:rFonts w:eastAsia="MS Gothic"/>
                <w:sz w:val="22"/>
              </w:rPr>
              <w:t>R-PBS</w:t>
            </w:r>
          </w:p>
        </w:tc>
        <w:tc>
          <w:tcPr>
            <w:tcW w:w="2438" w:type="dxa"/>
            <w:tcBorders>
              <w:top w:val="single" w:sz="4" w:space="0" w:color="auto"/>
              <w:left w:val="nil"/>
              <w:bottom w:val="nil"/>
              <w:right w:val="nil"/>
            </w:tcBorders>
            <w:shd w:val="clear" w:color="auto" w:fill="auto"/>
            <w:hideMark/>
          </w:tcPr>
          <w:p w14:paraId="0570F1BD"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sz w:val="22"/>
              </w:rPr>
            </w:pPr>
            <w:r w:rsidRPr="00EC424B">
              <w:rPr>
                <w:rFonts w:eastAsia="MS Gothic"/>
                <w:sz w:val="22"/>
              </w:rPr>
              <w:t>Conjunction Fallacy</w:t>
            </w:r>
          </w:p>
        </w:tc>
        <w:tc>
          <w:tcPr>
            <w:tcW w:w="2438" w:type="dxa"/>
            <w:tcBorders>
              <w:top w:val="single" w:sz="4" w:space="0" w:color="auto"/>
              <w:left w:val="nil"/>
              <w:bottom w:val="nil"/>
              <w:right w:val="nil"/>
            </w:tcBorders>
            <w:shd w:val="clear" w:color="auto" w:fill="auto"/>
            <w:hideMark/>
          </w:tcPr>
          <w:p w14:paraId="58F68BF1"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sz w:val="22"/>
              </w:rPr>
            </w:pPr>
            <w:r w:rsidRPr="00EC424B">
              <w:rPr>
                <w:rFonts w:eastAsia="MS Gothic"/>
                <w:i/>
                <w:sz w:val="22"/>
              </w:rPr>
              <w:t>r</w:t>
            </w:r>
            <w:r w:rsidRPr="00EC424B">
              <w:rPr>
                <w:rFonts w:eastAsia="MS Gothic"/>
                <w:sz w:val="22"/>
              </w:rPr>
              <w:t xml:space="preserve"> = -.06, </w:t>
            </w:r>
            <w:r w:rsidRPr="00EC424B">
              <w:rPr>
                <w:rFonts w:eastAsia="MS Gothic"/>
                <w:i/>
                <w:sz w:val="22"/>
              </w:rPr>
              <w:t xml:space="preserve">p </w:t>
            </w:r>
            <w:r w:rsidRPr="00EC424B">
              <w:rPr>
                <w:rFonts w:eastAsia="MS Gothic"/>
                <w:sz w:val="22"/>
              </w:rPr>
              <w:t>= .30</w:t>
            </w:r>
          </w:p>
        </w:tc>
        <w:tc>
          <w:tcPr>
            <w:tcW w:w="2891" w:type="dxa"/>
            <w:tcBorders>
              <w:top w:val="single" w:sz="4" w:space="0" w:color="auto"/>
              <w:left w:val="nil"/>
              <w:bottom w:val="nil"/>
              <w:right w:val="nil"/>
            </w:tcBorders>
            <w:shd w:val="clear" w:color="auto" w:fill="auto"/>
            <w:hideMark/>
          </w:tcPr>
          <w:p w14:paraId="056383CE"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sz w:val="22"/>
              </w:rPr>
            </w:pPr>
            <w:r w:rsidRPr="00EC424B">
              <w:rPr>
                <w:rFonts w:eastAsia="MS Gothic"/>
                <w:i/>
                <w:sz w:val="22"/>
              </w:rPr>
              <w:t>r</w:t>
            </w:r>
            <w:r w:rsidRPr="00EC424B">
              <w:rPr>
                <w:rFonts w:eastAsia="MS Gothic"/>
                <w:sz w:val="22"/>
              </w:rPr>
              <w:t xml:space="preserve"> = -.30, </w:t>
            </w:r>
            <w:r w:rsidRPr="00EC424B">
              <w:rPr>
                <w:rFonts w:eastAsia="MS Gothic"/>
                <w:i/>
                <w:sz w:val="22"/>
              </w:rPr>
              <w:t xml:space="preserve">p </w:t>
            </w:r>
            <w:r w:rsidRPr="00EC424B">
              <w:rPr>
                <w:rFonts w:eastAsia="MS Gothic"/>
                <w:sz w:val="22"/>
              </w:rPr>
              <w:t>&lt; .001</w:t>
            </w:r>
          </w:p>
        </w:tc>
        <w:tc>
          <w:tcPr>
            <w:tcW w:w="2551" w:type="dxa"/>
            <w:tcBorders>
              <w:top w:val="single" w:sz="4" w:space="0" w:color="auto"/>
              <w:left w:val="nil"/>
              <w:bottom w:val="nil"/>
              <w:right w:val="nil"/>
            </w:tcBorders>
            <w:shd w:val="clear" w:color="auto" w:fill="auto"/>
            <w:hideMark/>
          </w:tcPr>
          <w:p w14:paraId="55C434DA"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sz w:val="22"/>
              </w:rPr>
            </w:pPr>
            <w:proofErr w:type="gramStart"/>
            <w:r w:rsidRPr="00EC424B">
              <w:rPr>
                <w:rFonts w:eastAsia="MS Gothic"/>
                <w:i/>
                <w:sz w:val="22"/>
              </w:rPr>
              <w:t>t</w:t>
            </w:r>
            <w:r w:rsidRPr="00EC424B">
              <w:rPr>
                <w:rFonts w:eastAsia="MS Gothic"/>
                <w:sz w:val="22"/>
              </w:rPr>
              <w:t>(</w:t>
            </w:r>
            <w:proofErr w:type="gramEnd"/>
            <w:r w:rsidRPr="00EC424B">
              <w:rPr>
                <w:rFonts w:eastAsia="MS Gothic"/>
                <w:sz w:val="22"/>
              </w:rPr>
              <w:t xml:space="preserve">302) = 3.40, </w:t>
            </w:r>
            <w:r w:rsidRPr="00EC424B">
              <w:rPr>
                <w:rFonts w:eastAsia="MS Gothic"/>
                <w:i/>
                <w:sz w:val="22"/>
              </w:rPr>
              <w:t xml:space="preserve">p </w:t>
            </w:r>
            <w:r w:rsidRPr="00EC424B">
              <w:rPr>
                <w:rFonts w:eastAsia="MS Gothic"/>
                <w:sz w:val="22"/>
              </w:rPr>
              <w:t>&lt; .001</w:t>
            </w:r>
          </w:p>
        </w:tc>
      </w:tr>
      <w:tr w:rsidR="00922005" w:rsidRPr="00922005" w14:paraId="2C1701F4" w14:textId="77777777" w:rsidTr="00245A59">
        <w:trPr>
          <w:trHeight w:val="397"/>
        </w:trPr>
        <w:tc>
          <w:tcPr>
            <w:cnfStyle w:val="001000000000" w:firstRow="0" w:lastRow="0" w:firstColumn="1" w:lastColumn="0" w:oddVBand="0" w:evenVBand="0" w:oddHBand="0" w:evenHBand="0" w:firstRowFirstColumn="0" w:firstRowLastColumn="0" w:lastRowFirstColumn="0" w:lastRowLastColumn="0"/>
            <w:tcW w:w="2423" w:type="dxa"/>
            <w:shd w:val="clear" w:color="auto" w:fill="auto"/>
          </w:tcPr>
          <w:p w14:paraId="3864BFD9" w14:textId="77777777" w:rsidR="00922005" w:rsidRPr="00EC424B" w:rsidRDefault="00922005" w:rsidP="00922005">
            <w:pPr>
              <w:spacing w:line="240" w:lineRule="auto"/>
              <w:ind w:firstLine="0"/>
              <w:rPr>
                <w:rFonts w:eastAsia="MS Gothic"/>
                <w:b w:val="0"/>
                <w:sz w:val="22"/>
              </w:rPr>
            </w:pPr>
          </w:p>
        </w:tc>
        <w:tc>
          <w:tcPr>
            <w:tcW w:w="546" w:type="dxa"/>
            <w:shd w:val="clear" w:color="auto" w:fill="auto"/>
          </w:tcPr>
          <w:p w14:paraId="0C20C964" w14:textId="77777777" w:rsidR="00922005" w:rsidRPr="00EC424B" w:rsidRDefault="00922005" w:rsidP="00922005">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MS Gothic"/>
                <w:iCs/>
                <w:sz w:val="22"/>
              </w:rPr>
            </w:pPr>
          </w:p>
        </w:tc>
        <w:tc>
          <w:tcPr>
            <w:tcW w:w="1811" w:type="dxa"/>
            <w:shd w:val="clear" w:color="auto" w:fill="auto"/>
            <w:hideMark/>
          </w:tcPr>
          <w:p w14:paraId="60DAC7D5" w14:textId="77777777" w:rsidR="00922005" w:rsidRPr="00EC424B" w:rsidRDefault="00922005" w:rsidP="00922005">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MS Gothic"/>
                <w:sz w:val="22"/>
              </w:rPr>
            </w:pPr>
            <w:r w:rsidRPr="00EC424B">
              <w:rPr>
                <w:rFonts w:eastAsia="MS Gothic"/>
                <w:sz w:val="22"/>
              </w:rPr>
              <w:t>ASGS</w:t>
            </w:r>
          </w:p>
        </w:tc>
        <w:tc>
          <w:tcPr>
            <w:tcW w:w="2438" w:type="dxa"/>
            <w:shd w:val="clear" w:color="auto" w:fill="auto"/>
            <w:hideMark/>
          </w:tcPr>
          <w:p w14:paraId="443133A9" w14:textId="77777777" w:rsidR="00922005" w:rsidRPr="00EC424B" w:rsidRDefault="00922005" w:rsidP="00922005">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MS Gothic"/>
                <w:sz w:val="22"/>
              </w:rPr>
            </w:pPr>
            <w:r w:rsidRPr="00EC424B">
              <w:rPr>
                <w:rFonts w:eastAsia="MS Gothic"/>
                <w:sz w:val="22"/>
              </w:rPr>
              <w:t>Conjunction Fallacy</w:t>
            </w:r>
          </w:p>
        </w:tc>
        <w:tc>
          <w:tcPr>
            <w:tcW w:w="2438" w:type="dxa"/>
            <w:shd w:val="clear" w:color="auto" w:fill="auto"/>
            <w:hideMark/>
          </w:tcPr>
          <w:p w14:paraId="2E97A8D9" w14:textId="77777777" w:rsidR="00922005" w:rsidRPr="00EC424B" w:rsidRDefault="00922005" w:rsidP="00922005">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MS Gothic"/>
                <w:sz w:val="22"/>
              </w:rPr>
            </w:pPr>
            <w:r w:rsidRPr="00EC424B">
              <w:rPr>
                <w:rFonts w:eastAsia="MS Gothic"/>
                <w:i/>
                <w:sz w:val="22"/>
              </w:rPr>
              <w:t xml:space="preserve">r </w:t>
            </w:r>
            <w:r w:rsidRPr="00EC424B">
              <w:rPr>
                <w:rFonts w:eastAsia="MS Gothic"/>
                <w:sz w:val="22"/>
              </w:rPr>
              <w:t xml:space="preserve">= -.03, </w:t>
            </w:r>
            <w:r w:rsidRPr="00EC424B">
              <w:rPr>
                <w:rFonts w:eastAsia="MS Gothic"/>
                <w:i/>
                <w:sz w:val="22"/>
              </w:rPr>
              <w:t xml:space="preserve">p </w:t>
            </w:r>
            <w:r w:rsidRPr="00EC424B">
              <w:rPr>
                <w:rFonts w:eastAsia="MS Gothic"/>
                <w:sz w:val="22"/>
              </w:rPr>
              <w:t>= .60</w:t>
            </w:r>
          </w:p>
        </w:tc>
        <w:tc>
          <w:tcPr>
            <w:tcW w:w="2891" w:type="dxa"/>
            <w:shd w:val="clear" w:color="auto" w:fill="auto"/>
            <w:hideMark/>
          </w:tcPr>
          <w:p w14:paraId="0B354721" w14:textId="77777777" w:rsidR="00922005" w:rsidRPr="00EC424B" w:rsidRDefault="00922005" w:rsidP="00922005">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MS Gothic"/>
                <w:sz w:val="22"/>
              </w:rPr>
            </w:pPr>
            <w:r w:rsidRPr="00EC424B">
              <w:rPr>
                <w:rFonts w:eastAsia="MS Gothic"/>
                <w:i/>
                <w:sz w:val="22"/>
              </w:rPr>
              <w:t xml:space="preserve">r </w:t>
            </w:r>
            <w:r w:rsidRPr="00EC424B">
              <w:rPr>
                <w:rFonts w:eastAsia="MS Gothic"/>
                <w:sz w:val="22"/>
              </w:rPr>
              <w:t xml:space="preserve">= -.32, </w:t>
            </w:r>
            <w:r w:rsidRPr="00EC424B">
              <w:rPr>
                <w:rFonts w:eastAsia="MS Gothic"/>
                <w:i/>
                <w:sz w:val="22"/>
              </w:rPr>
              <w:t xml:space="preserve">p </w:t>
            </w:r>
            <w:r w:rsidRPr="00EC424B">
              <w:rPr>
                <w:rFonts w:eastAsia="MS Gothic"/>
                <w:sz w:val="22"/>
              </w:rPr>
              <w:t>&lt; .001</w:t>
            </w:r>
          </w:p>
        </w:tc>
        <w:tc>
          <w:tcPr>
            <w:tcW w:w="2551" w:type="dxa"/>
            <w:shd w:val="clear" w:color="auto" w:fill="auto"/>
            <w:hideMark/>
          </w:tcPr>
          <w:p w14:paraId="15F67C9B" w14:textId="77777777" w:rsidR="00922005" w:rsidRPr="00EC424B" w:rsidRDefault="00922005" w:rsidP="00922005">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MS Gothic"/>
                <w:sz w:val="22"/>
              </w:rPr>
            </w:pPr>
            <w:proofErr w:type="gramStart"/>
            <w:r w:rsidRPr="00EC424B">
              <w:rPr>
                <w:rFonts w:eastAsia="MS Gothic"/>
                <w:i/>
                <w:sz w:val="22"/>
              </w:rPr>
              <w:t>t</w:t>
            </w:r>
            <w:r w:rsidRPr="00EC424B">
              <w:rPr>
                <w:rFonts w:eastAsia="MS Gothic"/>
                <w:sz w:val="22"/>
              </w:rPr>
              <w:t>(</w:t>
            </w:r>
            <w:proofErr w:type="gramEnd"/>
            <w:r w:rsidRPr="00EC424B">
              <w:rPr>
                <w:rFonts w:eastAsia="MS Gothic"/>
                <w:sz w:val="22"/>
              </w:rPr>
              <w:t xml:space="preserve">302) = 4.06, </w:t>
            </w:r>
            <w:r w:rsidRPr="00EC424B">
              <w:rPr>
                <w:rFonts w:eastAsia="MS Gothic"/>
                <w:i/>
                <w:sz w:val="22"/>
              </w:rPr>
              <w:t xml:space="preserve">p </w:t>
            </w:r>
            <w:r w:rsidRPr="00EC424B">
              <w:rPr>
                <w:rFonts w:eastAsia="MS Gothic"/>
                <w:sz w:val="22"/>
              </w:rPr>
              <w:t>&lt; .001</w:t>
            </w:r>
          </w:p>
        </w:tc>
      </w:tr>
      <w:tr w:rsidR="00922005" w:rsidRPr="00922005" w14:paraId="18AE4BE0" w14:textId="77777777" w:rsidTr="00245A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423" w:type="dxa"/>
            <w:shd w:val="clear" w:color="auto" w:fill="auto"/>
          </w:tcPr>
          <w:p w14:paraId="09B2B799" w14:textId="77777777" w:rsidR="00922005" w:rsidRPr="00EC424B" w:rsidRDefault="00922005" w:rsidP="00922005">
            <w:pPr>
              <w:spacing w:line="240" w:lineRule="auto"/>
              <w:ind w:firstLine="0"/>
              <w:rPr>
                <w:rFonts w:eastAsia="MS Gothic"/>
                <w:b w:val="0"/>
                <w:sz w:val="22"/>
              </w:rPr>
            </w:pPr>
          </w:p>
        </w:tc>
        <w:tc>
          <w:tcPr>
            <w:tcW w:w="546" w:type="dxa"/>
            <w:shd w:val="clear" w:color="auto" w:fill="auto"/>
          </w:tcPr>
          <w:p w14:paraId="283A26C6"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iCs/>
                <w:sz w:val="22"/>
              </w:rPr>
            </w:pPr>
          </w:p>
        </w:tc>
        <w:tc>
          <w:tcPr>
            <w:tcW w:w="1811" w:type="dxa"/>
            <w:shd w:val="clear" w:color="auto" w:fill="auto"/>
            <w:hideMark/>
          </w:tcPr>
          <w:p w14:paraId="59EE4AA0"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sz w:val="22"/>
              </w:rPr>
            </w:pPr>
            <w:r w:rsidRPr="00EC424B">
              <w:rPr>
                <w:rFonts w:eastAsia="MS Gothic"/>
                <w:sz w:val="22"/>
              </w:rPr>
              <w:t>MMU-N</w:t>
            </w:r>
          </w:p>
        </w:tc>
        <w:tc>
          <w:tcPr>
            <w:tcW w:w="2438" w:type="dxa"/>
            <w:shd w:val="clear" w:color="auto" w:fill="auto"/>
            <w:hideMark/>
          </w:tcPr>
          <w:p w14:paraId="25B1CE05"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sz w:val="22"/>
              </w:rPr>
            </w:pPr>
            <w:r w:rsidRPr="00EC424B">
              <w:rPr>
                <w:rFonts w:eastAsia="MS Gothic"/>
                <w:sz w:val="22"/>
              </w:rPr>
              <w:t>Conjunction Fallacy</w:t>
            </w:r>
          </w:p>
        </w:tc>
        <w:tc>
          <w:tcPr>
            <w:tcW w:w="2438" w:type="dxa"/>
            <w:shd w:val="clear" w:color="auto" w:fill="auto"/>
            <w:hideMark/>
          </w:tcPr>
          <w:p w14:paraId="31394CE4"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sz w:val="22"/>
              </w:rPr>
            </w:pPr>
            <w:r w:rsidRPr="00EC424B">
              <w:rPr>
                <w:rFonts w:eastAsia="MS Gothic"/>
                <w:i/>
                <w:sz w:val="22"/>
              </w:rPr>
              <w:t xml:space="preserve">r </w:t>
            </w:r>
            <w:r w:rsidRPr="00EC424B">
              <w:rPr>
                <w:rFonts w:eastAsia="MS Gothic"/>
                <w:sz w:val="22"/>
              </w:rPr>
              <w:t xml:space="preserve">= -.09, </w:t>
            </w:r>
            <w:r w:rsidRPr="00EC424B">
              <w:rPr>
                <w:rFonts w:eastAsia="MS Gothic"/>
                <w:i/>
                <w:sz w:val="22"/>
              </w:rPr>
              <w:t xml:space="preserve">p </w:t>
            </w:r>
            <w:r w:rsidRPr="00EC424B">
              <w:rPr>
                <w:rFonts w:eastAsia="MS Gothic"/>
                <w:sz w:val="22"/>
              </w:rPr>
              <w:t>= .12</w:t>
            </w:r>
          </w:p>
        </w:tc>
        <w:tc>
          <w:tcPr>
            <w:tcW w:w="2891" w:type="dxa"/>
            <w:shd w:val="clear" w:color="auto" w:fill="auto"/>
            <w:hideMark/>
          </w:tcPr>
          <w:p w14:paraId="7E478DB5"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sz w:val="22"/>
              </w:rPr>
            </w:pPr>
            <w:r w:rsidRPr="00EC424B">
              <w:rPr>
                <w:rFonts w:eastAsia="MS Gothic"/>
                <w:i/>
                <w:sz w:val="22"/>
              </w:rPr>
              <w:t xml:space="preserve">r </w:t>
            </w:r>
            <w:r w:rsidRPr="00EC424B">
              <w:rPr>
                <w:rFonts w:eastAsia="MS Gothic"/>
                <w:sz w:val="22"/>
              </w:rPr>
              <w:t xml:space="preserve">= -.31, </w:t>
            </w:r>
            <w:r w:rsidRPr="00EC424B">
              <w:rPr>
                <w:rFonts w:eastAsia="MS Gothic"/>
                <w:i/>
                <w:sz w:val="22"/>
              </w:rPr>
              <w:t xml:space="preserve">p </w:t>
            </w:r>
            <w:r w:rsidRPr="00EC424B">
              <w:rPr>
                <w:rFonts w:eastAsia="MS Gothic"/>
                <w:sz w:val="22"/>
              </w:rPr>
              <w:t>&lt; .001</w:t>
            </w:r>
          </w:p>
        </w:tc>
        <w:tc>
          <w:tcPr>
            <w:tcW w:w="2551" w:type="dxa"/>
            <w:shd w:val="clear" w:color="auto" w:fill="auto"/>
            <w:hideMark/>
          </w:tcPr>
          <w:p w14:paraId="1A145284"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sz w:val="22"/>
              </w:rPr>
            </w:pPr>
            <w:proofErr w:type="gramStart"/>
            <w:r w:rsidRPr="00EC424B">
              <w:rPr>
                <w:rFonts w:eastAsia="MS Gothic"/>
                <w:i/>
                <w:sz w:val="22"/>
              </w:rPr>
              <w:t>t</w:t>
            </w:r>
            <w:r w:rsidRPr="00EC424B">
              <w:rPr>
                <w:rFonts w:eastAsia="MS Gothic"/>
                <w:sz w:val="22"/>
              </w:rPr>
              <w:t>(</w:t>
            </w:r>
            <w:proofErr w:type="gramEnd"/>
            <w:r w:rsidRPr="00EC424B">
              <w:rPr>
                <w:rFonts w:eastAsia="MS Gothic"/>
                <w:sz w:val="22"/>
              </w:rPr>
              <w:t xml:space="preserve">302) = 3.12, </w:t>
            </w:r>
            <w:r w:rsidRPr="00EC424B">
              <w:rPr>
                <w:rFonts w:eastAsia="MS Gothic"/>
                <w:i/>
                <w:sz w:val="22"/>
              </w:rPr>
              <w:t xml:space="preserve">p </w:t>
            </w:r>
            <w:r w:rsidRPr="00EC424B">
              <w:rPr>
                <w:rFonts w:eastAsia="MS Gothic"/>
                <w:sz w:val="22"/>
              </w:rPr>
              <w:t>= .002</w:t>
            </w:r>
          </w:p>
        </w:tc>
      </w:tr>
      <w:tr w:rsidR="00922005" w:rsidRPr="00922005" w14:paraId="71AB5487" w14:textId="77777777" w:rsidTr="00245A59">
        <w:trPr>
          <w:trHeight w:val="397"/>
        </w:trPr>
        <w:tc>
          <w:tcPr>
            <w:cnfStyle w:val="001000000000" w:firstRow="0" w:lastRow="0" w:firstColumn="1" w:lastColumn="0" w:oddVBand="0" w:evenVBand="0" w:oddHBand="0" w:evenHBand="0" w:firstRowFirstColumn="0" w:firstRowLastColumn="0" w:lastRowFirstColumn="0" w:lastRowLastColumn="0"/>
            <w:tcW w:w="2423" w:type="dxa"/>
            <w:shd w:val="clear" w:color="auto" w:fill="auto"/>
            <w:hideMark/>
          </w:tcPr>
          <w:p w14:paraId="71A19382" w14:textId="77777777" w:rsidR="00922005" w:rsidRPr="00EC424B" w:rsidRDefault="00922005" w:rsidP="00922005">
            <w:pPr>
              <w:spacing w:line="240" w:lineRule="auto"/>
              <w:ind w:firstLine="0"/>
              <w:rPr>
                <w:rFonts w:eastAsia="MS Gothic"/>
                <w:b w:val="0"/>
                <w:sz w:val="22"/>
              </w:rPr>
            </w:pPr>
            <w:proofErr w:type="spellStart"/>
            <w:r w:rsidRPr="00EC424B">
              <w:rPr>
                <w:rFonts w:eastAsia="MS Gothic"/>
                <w:b w:val="0"/>
                <w:sz w:val="22"/>
              </w:rPr>
              <w:t>Dagnall</w:t>
            </w:r>
            <w:proofErr w:type="spellEnd"/>
            <w:r w:rsidRPr="00EC424B">
              <w:rPr>
                <w:rFonts w:eastAsia="MS Gothic"/>
                <w:b w:val="0"/>
                <w:sz w:val="22"/>
              </w:rPr>
              <w:t xml:space="preserve"> et al. (2016)</w:t>
            </w:r>
          </w:p>
        </w:tc>
        <w:tc>
          <w:tcPr>
            <w:tcW w:w="546" w:type="dxa"/>
            <w:shd w:val="clear" w:color="auto" w:fill="auto"/>
            <w:hideMark/>
          </w:tcPr>
          <w:p w14:paraId="5EA4D8D6" w14:textId="77777777" w:rsidR="00922005" w:rsidRPr="00EC424B" w:rsidRDefault="00922005" w:rsidP="00922005">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MS Gothic"/>
                <w:iCs/>
                <w:sz w:val="22"/>
              </w:rPr>
            </w:pPr>
            <w:r w:rsidRPr="00EC424B">
              <w:rPr>
                <w:rFonts w:eastAsia="MS Gothic"/>
                <w:iCs/>
                <w:sz w:val="22"/>
              </w:rPr>
              <w:t>254</w:t>
            </w:r>
          </w:p>
        </w:tc>
        <w:tc>
          <w:tcPr>
            <w:tcW w:w="1811" w:type="dxa"/>
            <w:shd w:val="clear" w:color="auto" w:fill="auto"/>
            <w:hideMark/>
          </w:tcPr>
          <w:p w14:paraId="751F7842" w14:textId="77777777" w:rsidR="00922005" w:rsidRPr="00EC424B" w:rsidRDefault="00922005" w:rsidP="00922005">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MS Gothic"/>
                <w:sz w:val="22"/>
              </w:rPr>
            </w:pPr>
            <w:r w:rsidRPr="00EC424B">
              <w:rPr>
                <w:rFonts w:eastAsia="MS Gothic"/>
                <w:sz w:val="22"/>
              </w:rPr>
              <w:t>R-PBS</w:t>
            </w:r>
          </w:p>
        </w:tc>
        <w:tc>
          <w:tcPr>
            <w:tcW w:w="2438" w:type="dxa"/>
            <w:shd w:val="clear" w:color="auto" w:fill="auto"/>
            <w:hideMark/>
          </w:tcPr>
          <w:p w14:paraId="5355791B" w14:textId="77777777" w:rsidR="00922005" w:rsidRPr="00EC424B" w:rsidRDefault="00922005" w:rsidP="00922005">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MS Gothic"/>
                <w:sz w:val="22"/>
              </w:rPr>
            </w:pPr>
            <w:r w:rsidRPr="00EC424B">
              <w:rPr>
                <w:rFonts w:eastAsia="MS Gothic"/>
                <w:sz w:val="22"/>
              </w:rPr>
              <w:t>Randomness Judgements</w:t>
            </w:r>
          </w:p>
        </w:tc>
        <w:tc>
          <w:tcPr>
            <w:tcW w:w="2438" w:type="dxa"/>
            <w:shd w:val="clear" w:color="auto" w:fill="auto"/>
            <w:hideMark/>
          </w:tcPr>
          <w:p w14:paraId="1113E7D7" w14:textId="77777777" w:rsidR="00922005" w:rsidRPr="00EC424B" w:rsidRDefault="00922005" w:rsidP="00922005">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MS Gothic"/>
                <w:sz w:val="22"/>
              </w:rPr>
            </w:pPr>
            <w:r w:rsidRPr="00EC424B">
              <w:rPr>
                <w:rFonts w:eastAsia="MS Gothic"/>
                <w:i/>
                <w:sz w:val="22"/>
              </w:rPr>
              <w:t>r</w:t>
            </w:r>
            <w:r w:rsidRPr="00EC424B">
              <w:rPr>
                <w:rFonts w:eastAsia="MS Gothic"/>
                <w:sz w:val="22"/>
              </w:rPr>
              <w:t xml:space="preserve"> = -.25, </w:t>
            </w:r>
            <w:r w:rsidRPr="00EC424B">
              <w:rPr>
                <w:rFonts w:eastAsia="MS Gothic"/>
                <w:i/>
                <w:sz w:val="22"/>
              </w:rPr>
              <w:t xml:space="preserve">p </w:t>
            </w:r>
            <w:r w:rsidRPr="00EC424B">
              <w:rPr>
                <w:rFonts w:eastAsia="MS Gothic"/>
                <w:sz w:val="22"/>
              </w:rPr>
              <w:t>&lt; .001</w:t>
            </w:r>
          </w:p>
        </w:tc>
        <w:tc>
          <w:tcPr>
            <w:tcW w:w="2891" w:type="dxa"/>
            <w:shd w:val="clear" w:color="auto" w:fill="auto"/>
            <w:hideMark/>
          </w:tcPr>
          <w:p w14:paraId="43B1CD37" w14:textId="77777777" w:rsidR="00922005" w:rsidRPr="00EC424B" w:rsidRDefault="00922005" w:rsidP="00922005">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MS Gothic"/>
                <w:sz w:val="22"/>
              </w:rPr>
            </w:pPr>
            <w:r w:rsidRPr="00EC424B">
              <w:rPr>
                <w:rFonts w:eastAsia="MS Gothic"/>
                <w:i/>
                <w:sz w:val="22"/>
              </w:rPr>
              <w:t>r</w:t>
            </w:r>
            <w:r w:rsidRPr="00EC424B">
              <w:rPr>
                <w:rFonts w:eastAsia="MS Gothic"/>
                <w:sz w:val="22"/>
              </w:rPr>
              <w:t xml:space="preserve"> = -.38, </w:t>
            </w:r>
            <w:r w:rsidRPr="00EC424B">
              <w:rPr>
                <w:rFonts w:eastAsia="MS Gothic"/>
                <w:i/>
                <w:sz w:val="22"/>
              </w:rPr>
              <w:t xml:space="preserve">p </w:t>
            </w:r>
            <w:r w:rsidRPr="00EC424B">
              <w:rPr>
                <w:rFonts w:eastAsia="MS Gothic"/>
                <w:sz w:val="22"/>
              </w:rPr>
              <w:t>&lt; .001</w:t>
            </w:r>
          </w:p>
        </w:tc>
        <w:tc>
          <w:tcPr>
            <w:tcW w:w="2551" w:type="dxa"/>
            <w:shd w:val="clear" w:color="auto" w:fill="auto"/>
            <w:hideMark/>
          </w:tcPr>
          <w:p w14:paraId="171A93F8" w14:textId="77777777" w:rsidR="00922005" w:rsidRPr="00EC424B" w:rsidRDefault="00922005" w:rsidP="00922005">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MS Gothic"/>
                <w:sz w:val="22"/>
              </w:rPr>
            </w:pPr>
            <w:proofErr w:type="gramStart"/>
            <w:r w:rsidRPr="00EC424B">
              <w:rPr>
                <w:rFonts w:eastAsia="MS Gothic"/>
                <w:i/>
                <w:sz w:val="22"/>
              </w:rPr>
              <w:t>t</w:t>
            </w:r>
            <w:r w:rsidRPr="00EC424B">
              <w:rPr>
                <w:rFonts w:eastAsia="MS Gothic"/>
                <w:sz w:val="22"/>
              </w:rPr>
              <w:t>(</w:t>
            </w:r>
            <w:proofErr w:type="gramEnd"/>
            <w:r w:rsidRPr="00EC424B">
              <w:rPr>
                <w:rFonts w:eastAsia="MS Gothic"/>
                <w:sz w:val="22"/>
              </w:rPr>
              <w:t xml:space="preserve">251) = 2.01, </w:t>
            </w:r>
            <w:r w:rsidRPr="00EC424B">
              <w:rPr>
                <w:rFonts w:eastAsia="MS Gothic"/>
                <w:i/>
                <w:sz w:val="22"/>
              </w:rPr>
              <w:t xml:space="preserve">p </w:t>
            </w:r>
            <w:r w:rsidRPr="00EC424B">
              <w:rPr>
                <w:rFonts w:eastAsia="MS Gothic"/>
                <w:sz w:val="22"/>
              </w:rPr>
              <w:t>= .045</w:t>
            </w:r>
          </w:p>
        </w:tc>
      </w:tr>
      <w:tr w:rsidR="00922005" w:rsidRPr="00922005" w14:paraId="350A578A" w14:textId="77777777" w:rsidTr="00245A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423" w:type="dxa"/>
            <w:shd w:val="clear" w:color="auto" w:fill="auto"/>
          </w:tcPr>
          <w:p w14:paraId="54D6AB2A" w14:textId="77777777" w:rsidR="00922005" w:rsidRPr="00EC424B" w:rsidRDefault="00922005" w:rsidP="00922005">
            <w:pPr>
              <w:spacing w:line="240" w:lineRule="auto"/>
              <w:ind w:firstLine="0"/>
              <w:rPr>
                <w:rFonts w:eastAsia="MS Gothic"/>
                <w:b w:val="0"/>
                <w:sz w:val="22"/>
              </w:rPr>
            </w:pPr>
          </w:p>
        </w:tc>
        <w:tc>
          <w:tcPr>
            <w:tcW w:w="546" w:type="dxa"/>
            <w:shd w:val="clear" w:color="auto" w:fill="auto"/>
          </w:tcPr>
          <w:p w14:paraId="4A71484B"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iCs/>
                <w:sz w:val="22"/>
              </w:rPr>
            </w:pPr>
          </w:p>
        </w:tc>
        <w:tc>
          <w:tcPr>
            <w:tcW w:w="1811" w:type="dxa"/>
            <w:shd w:val="clear" w:color="auto" w:fill="auto"/>
          </w:tcPr>
          <w:p w14:paraId="76EF3D82" w14:textId="1A578D93" w:rsidR="00922005" w:rsidRPr="00EC424B" w:rsidRDefault="000A34F2"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sz w:val="22"/>
              </w:rPr>
            </w:pPr>
            <w:r>
              <w:rPr>
                <w:rFonts w:eastAsia="MS Gothic"/>
                <w:sz w:val="22"/>
              </w:rPr>
              <w:t>R-PBS</w:t>
            </w:r>
          </w:p>
        </w:tc>
        <w:tc>
          <w:tcPr>
            <w:tcW w:w="2438" w:type="dxa"/>
            <w:shd w:val="clear" w:color="auto" w:fill="auto"/>
            <w:hideMark/>
          </w:tcPr>
          <w:p w14:paraId="5317A361"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sz w:val="22"/>
              </w:rPr>
            </w:pPr>
            <w:r w:rsidRPr="00EC424B">
              <w:rPr>
                <w:rFonts w:eastAsia="MS Gothic"/>
                <w:sz w:val="22"/>
              </w:rPr>
              <w:t>Conjunction Fallacy</w:t>
            </w:r>
          </w:p>
        </w:tc>
        <w:tc>
          <w:tcPr>
            <w:tcW w:w="2438" w:type="dxa"/>
            <w:shd w:val="clear" w:color="auto" w:fill="auto"/>
            <w:hideMark/>
          </w:tcPr>
          <w:p w14:paraId="4CE3A385"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sz w:val="22"/>
              </w:rPr>
            </w:pPr>
            <w:r w:rsidRPr="00EC424B">
              <w:rPr>
                <w:rFonts w:eastAsia="MS Gothic"/>
                <w:i/>
                <w:sz w:val="22"/>
              </w:rPr>
              <w:t xml:space="preserve">r </w:t>
            </w:r>
            <w:r w:rsidRPr="00EC424B">
              <w:rPr>
                <w:rFonts w:eastAsia="MS Gothic"/>
                <w:sz w:val="22"/>
              </w:rPr>
              <w:t xml:space="preserve">= -.17, </w:t>
            </w:r>
            <w:r w:rsidRPr="00EC424B">
              <w:rPr>
                <w:rFonts w:eastAsia="MS Gothic"/>
                <w:i/>
                <w:sz w:val="22"/>
              </w:rPr>
              <w:t xml:space="preserve">p </w:t>
            </w:r>
            <w:r w:rsidRPr="00EC424B">
              <w:rPr>
                <w:rFonts w:eastAsia="MS Gothic"/>
                <w:sz w:val="22"/>
              </w:rPr>
              <w:t>= .007</w:t>
            </w:r>
          </w:p>
        </w:tc>
        <w:tc>
          <w:tcPr>
            <w:tcW w:w="2891" w:type="dxa"/>
            <w:shd w:val="clear" w:color="auto" w:fill="auto"/>
            <w:hideMark/>
          </w:tcPr>
          <w:p w14:paraId="5404F2A4"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sz w:val="22"/>
              </w:rPr>
            </w:pPr>
            <w:r w:rsidRPr="00EC424B">
              <w:rPr>
                <w:rFonts w:eastAsia="MS Gothic"/>
                <w:i/>
                <w:sz w:val="22"/>
              </w:rPr>
              <w:t xml:space="preserve">r </w:t>
            </w:r>
            <w:r w:rsidRPr="00EC424B">
              <w:rPr>
                <w:rFonts w:eastAsia="MS Gothic"/>
                <w:sz w:val="22"/>
              </w:rPr>
              <w:t xml:space="preserve">= -.49, </w:t>
            </w:r>
            <w:r w:rsidRPr="00EC424B">
              <w:rPr>
                <w:rFonts w:eastAsia="MS Gothic"/>
                <w:i/>
                <w:sz w:val="22"/>
              </w:rPr>
              <w:t xml:space="preserve">p </w:t>
            </w:r>
            <w:r w:rsidRPr="00EC424B">
              <w:rPr>
                <w:rFonts w:eastAsia="MS Gothic"/>
                <w:sz w:val="22"/>
              </w:rPr>
              <w:t>&lt; .001</w:t>
            </w:r>
          </w:p>
        </w:tc>
        <w:tc>
          <w:tcPr>
            <w:tcW w:w="2551" w:type="dxa"/>
            <w:shd w:val="clear" w:color="auto" w:fill="auto"/>
            <w:hideMark/>
          </w:tcPr>
          <w:p w14:paraId="5CDD68CD"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sz w:val="22"/>
              </w:rPr>
            </w:pPr>
            <w:proofErr w:type="gramStart"/>
            <w:r w:rsidRPr="00EC424B">
              <w:rPr>
                <w:rFonts w:eastAsia="MS Gothic"/>
                <w:i/>
                <w:sz w:val="22"/>
              </w:rPr>
              <w:t>t</w:t>
            </w:r>
            <w:r w:rsidRPr="00EC424B">
              <w:rPr>
                <w:rFonts w:eastAsia="MS Gothic"/>
                <w:sz w:val="22"/>
              </w:rPr>
              <w:t>(</w:t>
            </w:r>
            <w:proofErr w:type="gramEnd"/>
            <w:r w:rsidRPr="00EC424B">
              <w:rPr>
                <w:rFonts w:eastAsia="MS Gothic"/>
                <w:sz w:val="22"/>
              </w:rPr>
              <w:t xml:space="preserve">251) = 4.71, </w:t>
            </w:r>
            <w:r w:rsidRPr="00EC424B">
              <w:rPr>
                <w:rFonts w:eastAsia="MS Gothic"/>
                <w:i/>
                <w:sz w:val="22"/>
              </w:rPr>
              <w:t xml:space="preserve">p </w:t>
            </w:r>
            <w:r w:rsidRPr="00EC424B">
              <w:rPr>
                <w:rFonts w:eastAsia="MS Gothic"/>
                <w:sz w:val="22"/>
              </w:rPr>
              <w:t>&lt; .001</w:t>
            </w:r>
          </w:p>
        </w:tc>
      </w:tr>
      <w:tr w:rsidR="00922005" w:rsidRPr="00922005" w14:paraId="1623DA38" w14:textId="77777777" w:rsidTr="00245A59">
        <w:trPr>
          <w:trHeight w:val="397"/>
        </w:trPr>
        <w:tc>
          <w:tcPr>
            <w:cnfStyle w:val="001000000000" w:firstRow="0" w:lastRow="0" w:firstColumn="1" w:lastColumn="0" w:oddVBand="0" w:evenVBand="0" w:oddHBand="0" w:evenHBand="0" w:firstRowFirstColumn="0" w:firstRowLastColumn="0" w:lastRowFirstColumn="0" w:lastRowLastColumn="0"/>
            <w:tcW w:w="2423" w:type="dxa"/>
            <w:shd w:val="clear" w:color="auto" w:fill="auto"/>
            <w:hideMark/>
          </w:tcPr>
          <w:p w14:paraId="68CD2584" w14:textId="77777777" w:rsidR="00922005" w:rsidRPr="00EC424B" w:rsidRDefault="00922005" w:rsidP="00922005">
            <w:pPr>
              <w:spacing w:line="240" w:lineRule="auto"/>
              <w:ind w:firstLine="0"/>
              <w:rPr>
                <w:rFonts w:eastAsia="MS Gothic"/>
                <w:b w:val="0"/>
                <w:sz w:val="22"/>
              </w:rPr>
            </w:pPr>
            <w:proofErr w:type="spellStart"/>
            <w:r w:rsidRPr="00EC424B">
              <w:rPr>
                <w:rFonts w:eastAsia="MS Gothic"/>
                <w:b w:val="0"/>
                <w:sz w:val="22"/>
              </w:rPr>
              <w:t>Denovan</w:t>
            </w:r>
            <w:proofErr w:type="spellEnd"/>
            <w:r w:rsidRPr="00EC424B">
              <w:rPr>
                <w:rFonts w:eastAsia="MS Gothic"/>
                <w:b w:val="0"/>
                <w:sz w:val="22"/>
              </w:rPr>
              <w:t xml:space="preserve"> et al. (2018)</w:t>
            </w:r>
          </w:p>
        </w:tc>
        <w:tc>
          <w:tcPr>
            <w:tcW w:w="546" w:type="dxa"/>
            <w:shd w:val="clear" w:color="auto" w:fill="auto"/>
            <w:hideMark/>
          </w:tcPr>
          <w:p w14:paraId="212537BC" w14:textId="77777777" w:rsidR="00922005" w:rsidRPr="00EC424B" w:rsidRDefault="00922005" w:rsidP="00922005">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MS Gothic"/>
                <w:iCs/>
                <w:sz w:val="22"/>
              </w:rPr>
            </w:pPr>
            <w:r w:rsidRPr="00EC424B">
              <w:rPr>
                <w:rFonts w:eastAsia="MS Gothic"/>
                <w:iCs/>
                <w:sz w:val="22"/>
              </w:rPr>
              <w:t>725</w:t>
            </w:r>
          </w:p>
        </w:tc>
        <w:tc>
          <w:tcPr>
            <w:tcW w:w="1811" w:type="dxa"/>
            <w:shd w:val="clear" w:color="auto" w:fill="auto"/>
            <w:hideMark/>
          </w:tcPr>
          <w:p w14:paraId="2BD7E7A9" w14:textId="77777777" w:rsidR="00922005" w:rsidRPr="00EC424B" w:rsidRDefault="00922005" w:rsidP="00922005">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MS Gothic"/>
                <w:sz w:val="22"/>
              </w:rPr>
            </w:pPr>
            <w:r w:rsidRPr="00EC424B">
              <w:rPr>
                <w:rFonts w:eastAsia="MS Gothic"/>
                <w:sz w:val="22"/>
              </w:rPr>
              <w:t>R-PBS</w:t>
            </w:r>
          </w:p>
        </w:tc>
        <w:tc>
          <w:tcPr>
            <w:tcW w:w="2438" w:type="dxa"/>
            <w:shd w:val="clear" w:color="auto" w:fill="auto"/>
            <w:hideMark/>
          </w:tcPr>
          <w:p w14:paraId="14DF195C" w14:textId="77777777" w:rsidR="00922005" w:rsidRPr="00EC424B" w:rsidRDefault="00922005" w:rsidP="00922005">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MS Gothic"/>
                <w:sz w:val="22"/>
              </w:rPr>
            </w:pPr>
            <w:r w:rsidRPr="00EC424B">
              <w:rPr>
                <w:rFonts w:eastAsia="MS Gothic"/>
                <w:sz w:val="22"/>
              </w:rPr>
              <w:t>Randomness Judgements</w:t>
            </w:r>
          </w:p>
        </w:tc>
        <w:tc>
          <w:tcPr>
            <w:tcW w:w="2438" w:type="dxa"/>
            <w:shd w:val="clear" w:color="auto" w:fill="auto"/>
            <w:hideMark/>
          </w:tcPr>
          <w:p w14:paraId="4DDCA587" w14:textId="77777777" w:rsidR="00922005" w:rsidRPr="00EC424B" w:rsidRDefault="00922005" w:rsidP="00922005">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MS Gothic"/>
                <w:sz w:val="22"/>
              </w:rPr>
            </w:pPr>
            <w:r w:rsidRPr="00EC424B">
              <w:rPr>
                <w:rFonts w:eastAsia="MS Gothic"/>
                <w:i/>
                <w:sz w:val="22"/>
              </w:rPr>
              <w:t xml:space="preserve">r </w:t>
            </w:r>
            <w:r w:rsidRPr="00EC424B">
              <w:rPr>
                <w:rFonts w:eastAsia="MS Gothic"/>
                <w:sz w:val="22"/>
              </w:rPr>
              <w:t xml:space="preserve">= -.24, </w:t>
            </w:r>
            <w:r w:rsidRPr="00EC424B">
              <w:rPr>
                <w:rFonts w:eastAsia="MS Gothic"/>
                <w:i/>
                <w:sz w:val="22"/>
              </w:rPr>
              <w:t xml:space="preserve">p </w:t>
            </w:r>
            <w:r w:rsidRPr="00EC424B">
              <w:rPr>
                <w:rFonts w:eastAsia="MS Gothic"/>
                <w:sz w:val="22"/>
              </w:rPr>
              <w:t>&lt; .001</w:t>
            </w:r>
          </w:p>
        </w:tc>
        <w:tc>
          <w:tcPr>
            <w:tcW w:w="2891" w:type="dxa"/>
            <w:shd w:val="clear" w:color="auto" w:fill="auto"/>
            <w:hideMark/>
          </w:tcPr>
          <w:p w14:paraId="24C71458" w14:textId="77777777" w:rsidR="00922005" w:rsidRPr="00EC424B" w:rsidRDefault="00922005" w:rsidP="00922005">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MS Gothic"/>
                <w:sz w:val="22"/>
              </w:rPr>
            </w:pPr>
            <w:r w:rsidRPr="00EC424B">
              <w:rPr>
                <w:rFonts w:eastAsia="MS Gothic"/>
                <w:i/>
                <w:sz w:val="22"/>
              </w:rPr>
              <w:t xml:space="preserve">r </w:t>
            </w:r>
            <w:r w:rsidRPr="00EC424B">
              <w:rPr>
                <w:rFonts w:eastAsia="MS Gothic"/>
                <w:sz w:val="22"/>
              </w:rPr>
              <w:t xml:space="preserve">= -.37, </w:t>
            </w:r>
            <w:r w:rsidRPr="00EC424B">
              <w:rPr>
                <w:rFonts w:eastAsia="MS Gothic"/>
                <w:i/>
                <w:sz w:val="22"/>
              </w:rPr>
              <w:t xml:space="preserve">p </w:t>
            </w:r>
            <w:r w:rsidRPr="00EC424B">
              <w:rPr>
                <w:rFonts w:eastAsia="MS Gothic"/>
                <w:sz w:val="22"/>
              </w:rPr>
              <w:t>&lt; .001</w:t>
            </w:r>
          </w:p>
        </w:tc>
        <w:tc>
          <w:tcPr>
            <w:tcW w:w="2551" w:type="dxa"/>
            <w:shd w:val="clear" w:color="auto" w:fill="auto"/>
            <w:hideMark/>
          </w:tcPr>
          <w:p w14:paraId="046447D1" w14:textId="77777777" w:rsidR="00922005" w:rsidRPr="00EC424B" w:rsidRDefault="00922005" w:rsidP="00922005">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MS Gothic"/>
                <w:sz w:val="22"/>
              </w:rPr>
            </w:pPr>
            <w:proofErr w:type="gramStart"/>
            <w:r w:rsidRPr="00EC424B">
              <w:rPr>
                <w:rFonts w:eastAsia="MS Gothic"/>
                <w:i/>
                <w:sz w:val="22"/>
              </w:rPr>
              <w:t>t</w:t>
            </w:r>
            <w:r w:rsidRPr="00EC424B">
              <w:rPr>
                <w:rFonts w:eastAsia="MS Gothic"/>
                <w:sz w:val="22"/>
              </w:rPr>
              <w:t>(</w:t>
            </w:r>
            <w:proofErr w:type="gramEnd"/>
            <w:r w:rsidRPr="00EC424B">
              <w:rPr>
                <w:rFonts w:eastAsia="MS Gothic"/>
                <w:sz w:val="22"/>
              </w:rPr>
              <w:t xml:space="preserve">722) = 3.37, </w:t>
            </w:r>
            <w:r w:rsidRPr="00EC424B">
              <w:rPr>
                <w:rFonts w:eastAsia="MS Gothic"/>
                <w:i/>
                <w:sz w:val="22"/>
              </w:rPr>
              <w:t xml:space="preserve">p </w:t>
            </w:r>
            <w:r w:rsidRPr="00EC424B">
              <w:rPr>
                <w:rFonts w:eastAsia="MS Gothic"/>
                <w:sz w:val="22"/>
              </w:rPr>
              <w:t>&lt; .001</w:t>
            </w:r>
          </w:p>
        </w:tc>
      </w:tr>
      <w:tr w:rsidR="00922005" w:rsidRPr="00922005" w14:paraId="76C06BB8" w14:textId="77777777" w:rsidTr="00245A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423" w:type="dxa"/>
            <w:shd w:val="clear" w:color="auto" w:fill="auto"/>
          </w:tcPr>
          <w:p w14:paraId="78776025" w14:textId="77777777" w:rsidR="00922005" w:rsidRPr="00EC424B" w:rsidRDefault="00922005" w:rsidP="00922005">
            <w:pPr>
              <w:spacing w:line="240" w:lineRule="auto"/>
              <w:ind w:firstLine="0"/>
              <w:rPr>
                <w:rFonts w:eastAsia="MS Gothic"/>
                <w:b w:val="0"/>
                <w:sz w:val="22"/>
              </w:rPr>
            </w:pPr>
          </w:p>
        </w:tc>
        <w:tc>
          <w:tcPr>
            <w:tcW w:w="546" w:type="dxa"/>
            <w:shd w:val="clear" w:color="auto" w:fill="auto"/>
          </w:tcPr>
          <w:p w14:paraId="16B0686D"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iCs/>
                <w:sz w:val="22"/>
              </w:rPr>
            </w:pPr>
          </w:p>
        </w:tc>
        <w:tc>
          <w:tcPr>
            <w:tcW w:w="1811" w:type="dxa"/>
            <w:shd w:val="clear" w:color="auto" w:fill="auto"/>
          </w:tcPr>
          <w:p w14:paraId="08A2D02E" w14:textId="45310E49" w:rsidR="00922005" w:rsidRPr="00EC424B" w:rsidRDefault="000A34F2"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sz w:val="22"/>
              </w:rPr>
            </w:pPr>
            <w:r>
              <w:rPr>
                <w:rFonts w:eastAsia="MS Gothic"/>
                <w:sz w:val="22"/>
              </w:rPr>
              <w:t>R-PBS</w:t>
            </w:r>
          </w:p>
        </w:tc>
        <w:tc>
          <w:tcPr>
            <w:tcW w:w="2438" w:type="dxa"/>
            <w:shd w:val="clear" w:color="auto" w:fill="auto"/>
            <w:hideMark/>
          </w:tcPr>
          <w:p w14:paraId="69191920"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sz w:val="22"/>
              </w:rPr>
            </w:pPr>
            <w:r w:rsidRPr="00EC424B">
              <w:rPr>
                <w:rFonts w:eastAsia="MS Gothic"/>
                <w:sz w:val="22"/>
              </w:rPr>
              <w:t>Conjunction Fallacy</w:t>
            </w:r>
          </w:p>
        </w:tc>
        <w:tc>
          <w:tcPr>
            <w:tcW w:w="2438" w:type="dxa"/>
            <w:shd w:val="clear" w:color="auto" w:fill="auto"/>
            <w:hideMark/>
          </w:tcPr>
          <w:p w14:paraId="02E5C51C"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sz w:val="22"/>
              </w:rPr>
            </w:pPr>
            <w:r w:rsidRPr="00EC424B">
              <w:rPr>
                <w:rFonts w:eastAsia="MS Gothic"/>
                <w:i/>
                <w:sz w:val="22"/>
              </w:rPr>
              <w:t>r</w:t>
            </w:r>
            <w:r w:rsidRPr="00EC424B">
              <w:rPr>
                <w:rFonts w:eastAsia="MS Gothic"/>
                <w:sz w:val="22"/>
              </w:rPr>
              <w:t xml:space="preserve"> = -.14, </w:t>
            </w:r>
            <w:r w:rsidRPr="00EC424B">
              <w:rPr>
                <w:rFonts w:eastAsia="MS Gothic"/>
                <w:i/>
                <w:sz w:val="22"/>
              </w:rPr>
              <w:t xml:space="preserve">p </w:t>
            </w:r>
            <w:r w:rsidRPr="00EC424B">
              <w:rPr>
                <w:rFonts w:eastAsia="MS Gothic"/>
                <w:sz w:val="22"/>
              </w:rPr>
              <w:t>&lt; .001</w:t>
            </w:r>
          </w:p>
        </w:tc>
        <w:tc>
          <w:tcPr>
            <w:tcW w:w="2891" w:type="dxa"/>
            <w:shd w:val="clear" w:color="auto" w:fill="auto"/>
            <w:hideMark/>
          </w:tcPr>
          <w:p w14:paraId="43C7668A"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sz w:val="22"/>
              </w:rPr>
            </w:pPr>
            <w:r w:rsidRPr="00EC424B">
              <w:rPr>
                <w:rFonts w:eastAsia="MS Gothic"/>
                <w:i/>
                <w:sz w:val="22"/>
              </w:rPr>
              <w:t>r</w:t>
            </w:r>
            <w:r w:rsidRPr="00EC424B">
              <w:rPr>
                <w:rFonts w:eastAsia="MS Gothic"/>
                <w:sz w:val="22"/>
              </w:rPr>
              <w:t xml:space="preserve"> = -.45, </w:t>
            </w:r>
            <w:r w:rsidRPr="00EC424B">
              <w:rPr>
                <w:rFonts w:eastAsia="MS Gothic"/>
                <w:i/>
                <w:sz w:val="22"/>
              </w:rPr>
              <w:t xml:space="preserve">p </w:t>
            </w:r>
            <w:r w:rsidRPr="00EC424B">
              <w:rPr>
                <w:rFonts w:eastAsia="MS Gothic"/>
                <w:sz w:val="22"/>
              </w:rPr>
              <w:t>&lt; .001</w:t>
            </w:r>
          </w:p>
        </w:tc>
        <w:tc>
          <w:tcPr>
            <w:tcW w:w="2551" w:type="dxa"/>
            <w:shd w:val="clear" w:color="auto" w:fill="auto"/>
            <w:hideMark/>
          </w:tcPr>
          <w:p w14:paraId="53B58BC8"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sz w:val="22"/>
              </w:rPr>
            </w:pPr>
            <w:proofErr w:type="gramStart"/>
            <w:r w:rsidRPr="00EC424B">
              <w:rPr>
                <w:rFonts w:eastAsia="MS Gothic"/>
                <w:i/>
                <w:sz w:val="22"/>
              </w:rPr>
              <w:t>t</w:t>
            </w:r>
            <w:r w:rsidRPr="00EC424B">
              <w:rPr>
                <w:rFonts w:eastAsia="MS Gothic"/>
                <w:sz w:val="22"/>
              </w:rPr>
              <w:t>(</w:t>
            </w:r>
            <w:proofErr w:type="gramEnd"/>
            <w:r w:rsidRPr="00EC424B">
              <w:rPr>
                <w:rFonts w:eastAsia="MS Gothic"/>
                <w:sz w:val="22"/>
              </w:rPr>
              <w:t xml:space="preserve">722) = 7.58, </w:t>
            </w:r>
            <w:r w:rsidRPr="00EC424B">
              <w:rPr>
                <w:rFonts w:eastAsia="MS Gothic"/>
                <w:i/>
                <w:sz w:val="22"/>
              </w:rPr>
              <w:t xml:space="preserve">p </w:t>
            </w:r>
            <w:r w:rsidRPr="00EC424B">
              <w:rPr>
                <w:rFonts w:eastAsia="MS Gothic"/>
                <w:sz w:val="22"/>
              </w:rPr>
              <w:t>&lt; .001</w:t>
            </w:r>
          </w:p>
        </w:tc>
      </w:tr>
      <w:tr w:rsidR="00922005" w:rsidRPr="00922005" w14:paraId="66EA5A89" w14:textId="77777777" w:rsidTr="00245A59">
        <w:trPr>
          <w:trHeight w:val="397"/>
        </w:trPr>
        <w:tc>
          <w:tcPr>
            <w:cnfStyle w:val="001000000000" w:firstRow="0" w:lastRow="0" w:firstColumn="1" w:lastColumn="0" w:oddVBand="0" w:evenVBand="0" w:oddHBand="0" w:evenHBand="0" w:firstRowFirstColumn="0" w:firstRowLastColumn="0" w:lastRowFirstColumn="0" w:lastRowLastColumn="0"/>
            <w:tcW w:w="2423" w:type="dxa"/>
            <w:shd w:val="clear" w:color="auto" w:fill="auto"/>
            <w:hideMark/>
          </w:tcPr>
          <w:p w14:paraId="4EF1598B" w14:textId="77777777" w:rsidR="00922005" w:rsidRPr="00EC424B" w:rsidRDefault="00922005" w:rsidP="00922005">
            <w:pPr>
              <w:spacing w:line="240" w:lineRule="auto"/>
              <w:ind w:firstLine="0"/>
              <w:rPr>
                <w:rFonts w:eastAsia="MS Gothic"/>
                <w:b w:val="0"/>
                <w:sz w:val="22"/>
              </w:rPr>
            </w:pPr>
            <w:r w:rsidRPr="00EC424B">
              <w:rPr>
                <w:rFonts w:eastAsia="MS Gothic"/>
                <w:b w:val="0"/>
                <w:sz w:val="22"/>
              </w:rPr>
              <w:t>Roberts &amp; Seager (1999)</w:t>
            </w:r>
          </w:p>
        </w:tc>
        <w:tc>
          <w:tcPr>
            <w:tcW w:w="546" w:type="dxa"/>
            <w:shd w:val="clear" w:color="auto" w:fill="auto"/>
            <w:hideMark/>
          </w:tcPr>
          <w:p w14:paraId="1C051253" w14:textId="77777777" w:rsidR="00922005" w:rsidRPr="00EC424B" w:rsidRDefault="00922005" w:rsidP="00922005">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MS Gothic"/>
                <w:iCs/>
                <w:sz w:val="22"/>
              </w:rPr>
            </w:pPr>
            <w:r w:rsidRPr="00EC424B">
              <w:rPr>
                <w:rFonts w:eastAsia="MS Gothic"/>
                <w:iCs/>
                <w:sz w:val="22"/>
              </w:rPr>
              <w:t>65</w:t>
            </w:r>
          </w:p>
        </w:tc>
        <w:tc>
          <w:tcPr>
            <w:tcW w:w="1811" w:type="dxa"/>
            <w:shd w:val="clear" w:color="auto" w:fill="auto"/>
            <w:hideMark/>
          </w:tcPr>
          <w:p w14:paraId="099CB20D" w14:textId="77777777" w:rsidR="00922005" w:rsidRPr="00EC424B" w:rsidRDefault="00922005" w:rsidP="00922005">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MS Gothic"/>
                <w:sz w:val="22"/>
              </w:rPr>
            </w:pPr>
            <w:r w:rsidRPr="00EC424B">
              <w:rPr>
                <w:rFonts w:eastAsia="MS Gothic"/>
                <w:sz w:val="22"/>
              </w:rPr>
              <w:t>BPS + PSI</w:t>
            </w:r>
          </w:p>
        </w:tc>
        <w:tc>
          <w:tcPr>
            <w:tcW w:w="2438" w:type="dxa"/>
            <w:shd w:val="clear" w:color="auto" w:fill="auto"/>
            <w:hideMark/>
          </w:tcPr>
          <w:p w14:paraId="5B676387" w14:textId="77777777" w:rsidR="00922005" w:rsidRPr="00EC424B" w:rsidRDefault="00922005" w:rsidP="00922005">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MS Gothic"/>
                <w:sz w:val="22"/>
              </w:rPr>
            </w:pPr>
            <w:r w:rsidRPr="00EC424B">
              <w:rPr>
                <w:rFonts w:eastAsia="MS Gothic"/>
                <w:sz w:val="22"/>
              </w:rPr>
              <w:t>Conditional Reasoning</w:t>
            </w:r>
          </w:p>
        </w:tc>
        <w:tc>
          <w:tcPr>
            <w:tcW w:w="2438" w:type="dxa"/>
            <w:shd w:val="clear" w:color="auto" w:fill="auto"/>
            <w:hideMark/>
          </w:tcPr>
          <w:p w14:paraId="286224D6" w14:textId="77777777" w:rsidR="00922005" w:rsidRPr="00EC424B" w:rsidRDefault="00922005" w:rsidP="00922005">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MS Gothic"/>
                <w:sz w:val="22"/>
              </w:rPr>
            </w:pPr>
            <w:r w:rsidRPr="00EC424B">
              <w:rPr>
                <w:rFonts w:eastAsia="MS Gothic"/>
                <w:i/>
                <w:sz w:val="22"/>
              </w:rPr>
              <w:t xml:space="preserve">r </w:t>
            </w:r>
            <w:r w:rsidRPr="00EC424B">
              <w:rPr>
                <w:rFonts w:eastAsia="MS Gothic"/>
                <w:sz w:val="22"/>
              </w:rPr>
              <w:t xml:space="preserve">= -.23, </w:t>
            </w:r>
            <w:r w:rsidRPr="00EC424B">
              <w:rPr>
                <w:rFonts w:eastAsia="MS Gothic"/>
                <w:i/>
                <w:sz w:val="22"/>
              </w:rPr>
              <w:t xml:space="preserve">p </w:t>
            </w:r>
            <w:r w:rsidRPr="00EC424B">
              <w:rPr>
                <w:rFonts w:eastAsia="MS Gothic"/>
                <w:sz w:val="22"/>
              </w:rPr>
              <w:t>= .065</w:t>
            </w:r>
          </w:p>
        </w:tc>
        <w:tc>
          <w:tcPr>
            <w:tcW w:w="2891" w:type="dxa"/>
            <w:shd w:val="clear" w:color="auto" w:fill="auto"/>
            <w:hideMark/>
          </w:tcPr>
          <w:p w14:paraId="582BE3B5" w14:textId="77777777" w:rsidR="00922005" w:rsidRPr="00EC424B" w:rsidRDefault="00922005" w:rsidP="00922005">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MS Gothic"/>
                <w:sz w:val="22"/>
              </w:rPr>
            </w:pPr>
            <w:r w:rsidRPr="00EC424B">
              <w:rPr>
                <w:rFonts w:eastAsia="MS Gothic"/>
                <w:i/>
                <w:sz w:val="22"/>
              </w:rPr>
              <w:t xml:space="preserve">r </w:t>
            </w:r>
            <w:r w:rsidRPr="00EC424B">
              <w:rPr>
                <w:rFonts w:eastAsia="MS Gothic"/>
                <w:sz w:val="22"/>
              </w:rPr>
              <w:t xml:space="preserve">= -.24, </w:t>
            </w:r>
            <w:r w:rsidRPr="00EC424B">
              <w:rPr>
                <w:rFonts w:eastAsia="MS Gothic"/>
                <w:i/>
                <w:sz w:val="22"/>
              </w:rPr>
              <w:t xml:space="preserve">p </w:t>
            </w:r>
            <w:r w:rsidRPr="00EC424B">
              <w:rPr>
                <w:rFonts w:eastAsia="MS Gothic"/>
                <w:sz w:val="22"/>
              </w:rPr>
              <w:t>= .054</w:t>
            </w:r>
          </w:p>
        </w:tc>
        <w:tc>
          <w:tcPr>
            <w:tcW w:w="2551" w:type="dxa"/>
            <w:shd w:val="clear" w:color="auto" w:fill="auto"/>
            <w:hideMark/>
          </w:tcPr>
          <w:p w14:paraId="26CB78E9" w14:textId="77777777" w:rsidR="00922005" w:rsidRPr="00EC424B" w:rsidRDefault="00922005" w:rsidP="00922005">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MS Gothic"/>
                <w:sz w:val="22"/>
              </w:rPr>
            </w:pPr>
            <w:r w:rsidRPr="00EC424B">
              <w:rPr>
                <w:rFonts w:eastAsia="MS Gothic"/>
                <w:sz w:val="22"/>
              </w:rPr>
              <w:t>Not reported, ns</w:t>
            </w:r>
          </w:p>
        </w:tc>
      </w:tr>
      <w:tr w:rsidR="00922005" w:rsidRPr="00922005" w14:paraId="7F64B393" w14:textId="77777777" w:rsidTr="00245A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423" w:type="dxa"/>
            <w:shd w:val="clear" w:color="auto" w:fill="auto"/>
            <w:hideMark/>
          </w:tcPr>
          <w:p w14:paraId="47A01615" w14:textId="77777777" w:rsidR="00922005" w:rsidRPr="00EC424B" w:rsidRDefault="00922005" w:rsidP="00922005">
            <w:pPr>
              <w:spacing w:line="240" w:lineRule="auto"/>
              <w:ind w:firstLine="0"/>
              <w:rPr>
                <w:rFonts w:eastAsia="MS Gothic"/>
                <w:b w:val="0"/>
                <w:sz w:val="22"/>
              </w:rPr>
            </w:pPr>
            <w:r w:rsidRPr="00EC424B">
              <w:rPr>
                <w:rFonts w:eastAsia="MS Gothic"/>
                <w:b w:val="0"/>
                <w:sz w:val="22"/>
              </w:rPr>
              <w:t>Rogers et al. (2009)</w:t>
            </w:r>
          </w:p>
        </w:tc>
        <w:tc>
          <w:tcPr>
            <w:tcW w:w="546" w:type="dxa"/>
            <w:shd w:val="clear" w:color="auto" w:fill="auto"/>
            <w:hideMark/>
          </w:tcPr>
          <w:p w14:paraId="637BF513"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iCs/>
                <w:sz w:val="22"/>
              </w:rPr>
            </w:pPr>
            <w:r w:rsidRPr="00EC424B">
              <w:rPr>
                <w:rFonts w:eastAsia="MS Gothic"/>
                <w:iCs/>
                <w:sz w:val="22"/>
              </w:rPr>
              <w:t>200</w:t>
            </w:r>
          </w:p>
        </w:tc>
        <w:tc>
          <w:tcPr>
            <w:tcW w:w="1811" w:type="dxa"/>
            <w:shd w:val="clear" w:color="auto" w:fill="auto"/>
            <w:hideMark/>
          </w:tcPr>
          <w:p w14:paraId="2575C4C1"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sz w:val="22"/>
              </w:rPr>
            </w:pPr>
            <w:r w:rsidRPr="00EC424B">
              <w:rPr>
                <w:rFonts w:eastAsia="MS Gothic"/>
                <w:sz w:val="22"/>
              </w:rPr>
              <w:t>ASGS</w:t>
            </w:r>
          </w:p>
        </w:tc>
        <w:tc>
          <w:tcPr>
            <w:tcW w:w="2438" w:type="dxa"/>
            <w:shd w:val="clear" w:color="auto" w:fill="auto"/>
            <w:hideMark/>
          </w:tcPr>
          <w:p w14:paraId="3209D457"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sz w:val="22"/>
              </w:rPr>
            </w:pPr>
            <w:r w:rsidRPr="00EC424B">
              <w:rPr>
                <w:rFonts w:eastAsia="MS Gothic"/>
                <w:sz w:val="22"/>
              </w:rPr>
              <w:t>Conjunction Fallacy</w:t>
            </w:r>
          </w:p>
        </w:tc>
        <w:tc>
          <w:tcPr>
            <w:tcW w:w="2438" w:type="dxa"/>
            <w:shd w:val="clear" w:color="auto" w:fill="auto"/>
            <w:hideMark/>
          </w:tcPr>
          <w:p w14:paraId="3E23D83C"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sz w:val="22"/>
              </w:rPr>
            </w:pPr>
            <w:proofErr w:type="gramStart"/>
            <w:r w:rsidRPr="00EC424B">
              <w:rPr>
                <w:rFonts w:eastAsia="MS Gothic"/>
                <w:i/>
                <w:sz w:val="22"/>
              </w:rPr>
              <w:t>t</w:t>
            </w:r>
            <w:r w:rsidRPr="00EC424B">
              <w:rPr>
                <w:rFonts w:eastAsia="MS Gothic"/>
                <w:sz w:val="22"/>
              </w:rPr>
              <w:t>(</w:t>
            </w:r>
            <w:proofErr w:type="gramEnd"/>
            <w:r w:rsidRPr="00EC424B">
              <w:rPr>
                <w:rFonts w:eastAsia="MS Gothic"/>
                <w:sz w:val="22"/>
              </w:rPr>
              <w:t xml:space="preserve">198) = -4.39, </w:t>
            </w:r>
            <w:r w:rsidRPr="00EC424B">
              <w:rPr>
                <w:rFonts w:eastAsia="MS Gothic"/>
                <w:i/>
                <w:sz w:val="22"/>
              </w:rPr>
              <w:t xml:space="preserve">p </w:t>
            </w:r>
            <w:r w:rsidRPr="00EC424B">
              <w:rPr>
                <w:rFonts w:eastAsia="MS Gothic"/>
                <w:sz w:val="22"/>
              </w:rPr>
              <w:t>&lt; .001,</w:t>
            </w:r>
          </w:p>
          <w:p w14:paraId="002B4C58"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sz w:val="22"/>
              </w:rPr>
            </w:pPr>
            <w:r w:rsidRPr="00EC424B">
              <w:rPr>
                <w:rFonts w:eastAsia="MS Gothic"/>
                <w:i/>
                <w:sz w:val="22"/>
              </w:rPr>
              <w:t>d</w:t>
            </w:r>
            <w:r w:rsidRPr="00EC424B">
              <w:rPr>
                <w:rFonts w:eastAsia="MS Gothic"/>
                <w:sz w:val="22"/>
              </w:rPr>
              <w:t xml:space="preserve"> = -1.24</w:t>
            </w:r>
          </w:p>
        </w:tc>
        <w:tc>
          <w:tcPr>
            <w:tcW w:w="2891" w:type="dxa"/>
            <w:shd w:val="clear" w:color="auto" w:fill="auto"/>
            <w:hideMark/>
          </w:tcPr>
          <w:p w14:paraId="181C7794"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sz w:val="22"/>
              </w:rPr>
            </w:pPr>
            <w:proofErr w:type="gramStart"/>
            <w:r w:rsidRPr="00EC424B">
              <w:rPr>
                <w:rFonts w:eastAsia="MS Gothic"/>
                <w:i/>
                <w:sz w:val="22"/>
              </w:rPr>
              <w:t>t</w:t>
            </w:r>
            <w:r w:rsidRPr="00EC424B">
              <w:rPr>
                <w:rFonts w:eastAsia="MS Gothic"/>
                <w:sz w:val="22"/>
              </w:rPr>
              <w:t>(</w:t>
            </w:r>
            <w:proofErr w:type="gramEnd"/>
            <w:r w:rsidRPr="00EC424B">
              <w:rPr>
                <w:rFonts w:eastAsia="MS Gothic"/>
                <w:sz w:val="22"/>
              </w:rPr>
              <w:t xml:space="preserve">198) = -8.79, </w:t>
            </w:r>
            <w:r w:rsidRPr="00EC424B">
              <w:rPr>
                <w:rFonts w:eastAsia="MS Gothic"/>
                <w:i/>
                <w:sz w:val="22"/>
              </w:rPr>
              <w:t xml:space="preserve">p </w:t>
            </w:r>
            <w:r w:rsidRPr="00EC424B">
              <w:rPr>
                <w:rFonts w:eastAsia="MS Gothic"/>
                <w:sz w:val="22"/>
              </w:rPr>
              <w:t>&lt; .001,</w:t>
            </w:r>
          </w:p>
          <w:p w14:paraId="172437AB"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sz w:val="22"/>
              </w:rPr>
            </w:pPr>
            <w:r w:rsidRPr="00EC424B">
              <w:rPr>
                <w:rFonts w:eastAsia="MS Gothic"/>
                <w:i/>
                <w:sz w:val="22"/>
              </w:rPr>
              <w:t>d</w:t>
            </w:r>
            <w:r w:rsidRPr="00EC424B">
              <w:rPr>
                <w:rFonts w:eastAsia="MS Gothic"/>
                <w:sz w:val="22"/>
              </w:rPr>
              <w:t xml:space="preserve"> = -0.62</w:t>
            </w:r>
          </w:p>
        </w:tc>
        <w:tc>
          <w:tcPr>
            <w:tcW w:w="2551" w:type="dxa"/>
            <w:shd w:val="clear" w:color="auto" w:fill="auto"/>
            <w:hideMark/>
          </w:tcPr>
          <w:p w14:paraId="6378673A"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sz w:val="22"/>
              </w:rPr>
            </w:pPr>
            <w:proofErr w:type="gramStart"/>
            <w:r w:rsidRPr="00EC424B">
              <w:rPr>
                <w:rFonts w:eastAsia="MS Gothic"/>
                <w:i/>
                <w:sz w:val="22"/>
              </w:rPr>
              <w:t>F</w:t>
            </w:r>
            <w:r w:rsidRPr="00EC424B">
              <w:rPr>
                <w:rFonts w:eastAsia="MS Gothic"/>
                <w:sz w:val="22"/>
              </w:rPr>
              <w:t>(</w:t>
            </w:r>
            <w:proofErr w:type="gramEnd"/>
            <w:r w:rsidRPr="00EC424B">
              <w:rPr>
                <w:rFonts w:eastAsia="MS Gothic"/>
                <w:sz w:val="22"/>
              </w:rPr>
              <w:t xml:space="preserve">1,195) = 4.76, </w:t>
            </w:r>
            <w:r w:rsidRPr="00EC424B">
              <w:rPr>
                <w:rFonts w:eastAsia="MS Gothic"/>
                <w:i/>
                <w:sz w:val="22"/>
              </w:rPr>
              <w:t xml:space="preserve">p </w:t>
            </w:r>
            <w:r w:rsidRPr="00EC424B">
              <w:rPr>
                <w:rFonts w:eastAsia="MS Gothic"/>
                <w:sz w:val="22"/>
              </w:rPr>
              <w:t>= .030,</w:t>
            </w:r>
          </w:p>
          <w:p w14:paraId="1D1D12BE"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sz w:val="22"/>
              </w:rPr>
            </w:pPr>
            <w:r w:rsidRPr="00EC424B">
              <w:rPr>
                <w:rFonts w:eastAsia="MS Gothic"/>
                <w:sz w:val="22"/>
              </w:rPr>
              <w:t>η</w:t>
            </w:r>
            <w:r w:rsidRPr="00EC424B">
              <w:rPr>
                <w:rFonts w:eastAsia="MS Gothic"/>
                <w:sz w:val="22"/>
                <w:vertAlign w:val="superscript"/>
              </w:rPr>
              <w:t>2</w:t>
            </w:r>
            <w:r w:rsidRPr="00EC424B">
              <w:rPr>
                <w:rFonts w:eastAsia="MS Gothic"/>
                <w:sz w:val="22"/>
              </w:rPr>
              <w:t xml:space="preserve"> = .02</w:t>
            </w:r>
          </w:p>
        </w:tc>
      </w:tr>
      <w:tr w:rsidR="00922005" w:rsidRPr="00922005" w14:paraId="7A1E3ECC" w14:textId="77777777" w:rsidTr="00245A59">
        <w:trPr>
          <w:trHeight w:val="397"/>
        </w:trPr>
        <w:tc>
          <w:tcPr>
            <w:cnfStyle w:val="001000000000" w:firstRow="0" w:lastRow="0" w:firstColumn="1" w:lastColumn="0" w:oddVBand="0" w:evenVBand="0" w:oddHBand="0" w:evenHBand="0" w:firstRowFirstColumn="0" w:firstRowLastColumn="0" w:lastRowFirstColumn="0" w:lastRowLastColumn="0"/>
            <w:tcW w:w="2423" w:type="dxa"/>
            <w:shd w:val="clear" w:color="auto" w:fill="auto"/>
            <w:hideMark/>
          </w:tcPr>
          <w:p w14:paraId="554A0337" w14:textId="77777777" w:rsidR="00922005" w:rsidRPr="00EC424B" w:rsidRDefault="00922005" w:rsidP="00922005">
            <w:pPr>
              <w:spacing w:line="240" w:lineRule="auto"/>
              <w:ind w:firstLine="0"/>
              <w:rPr>
                <w:rFonts w:eastAsia="MS Gothic"/>
                <w:b w:val="0"/>
                <w:sz w:val="22"/>
              </w:rPr>
            </w:pPr>
            <w:r w:rsidRPr="00EC424B">
              <w:rPr>
                <w:rFonts w:eastAsia="MS Gothic"/>
                <w:b w:val="0"/>
                <w:sz w:val="22"/>
              </w:rPr>
              <w:t>Rogers et al. (2011)</w:t>
            </w:r>
          </w:p>
        </w:tc>
        <w:tc>
          <w:tcPr>
            <w:tcW w:w="546" w:type="dxa"/>
            <w:shd w:val="clear" w:color="auto" w:fill="auto"/>
            <w:hideMark/>
          </w:tcPr>
          <w:p w14:paraId="136A35B7" w14:textId="77777777" w:rsidR="00922005" w:rsidRPr="00EC424B" w:rsidRDefault="00922005" w:rsidP="00922005">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MS Gothic"/>
                <w:iCs/>
                <w:sz w:val="22"/>
              </w:rPr>
            </w:pPr>
            <w:r w:rsidRPr="00EC424B">
              <w:rPr>
                <w:rFonts w:eastAsia="MS Gothic"/>
                <w:iCs/>
                <w:sz w:val="22"/>
              </w:rPr>
              <w:t>162</w:t>
            </w:r>
          </w:p>
        </w:tc>
        <w:tc>
          <w:tcPr>
            <w:tcW w:w="1811" w:type="dxa"/>
            <w:shd w:val="clear" w:color="auto" w:fill="auto"/>
            <w:hideMark/>
          </w:tcPr>
          <w:p w14:paraId="6C9B740F" w14:textId="77777777" w:rsidR="00922005" w:rsidRPr="00EC424B" w:rsidRDefault="00922005" w:rsidP="00922005">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MS Gothic"/>
                <w:sz w:val="22"/>
              </w:rPr>
            </w:pPr>
            <w:r w:rsidRPr="00EC424B">
              <w:rPr>
                <w:rFonts w:eastAsia="MS Gothic"/>
                <w:sz w:val="22"/>
              </w:rPr>
              <w:t>ASGS</w:t>
            </w:r>
          </w:p>
        </w:tc>
        <w:tc>
          <w:tcPr>
            <w:tcW w:w="2438" w:type="dxa"/>
            <w:shd w:val="clear" w:color="auto" w:fill="auto"/>
            <w:hideMark/>
          </w:tcPr>
          <w:p w14:paraId="22C067B3" w14:textId="77777777" w:rsidR="00922005" w:rsidRPr="00EC424B" w:rsidRDefault="00922005" w:rsidP="00922005">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MS Gothic"/>
                <w:sz w:val="22"/>
              </w:rPr>
            </w:pPr>
            <w:r w:rsidRPr="00EC424B">
              <w:rPr>
                <w:rFonts w:eastAsia="MS Gothic"/>
                <w:sz w:val="22"/>
              </w:rPr>
              <w:t>Conjunction Fallacy</w:t>
            </w:r>
          </w:p>
        </w:tc>
        <w:tc>
          <w:tcPr>
            <w:tcW w:w="2438" w:type="dxa"/>
            <w:shd w:val="clear" w:color="auto" w:fill="auto"/>
            <w:hideMark/>
          </w:tcPr>
          <w:p w14:paraId="4A57086E" w14:textId="77777777" w:rsidR="00922005" w:rsidRPr="00EC424B" w:rsidRDefault="00922005" w:rsidP="00922005">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MS Gothic"/>
                <w:sz w:val="22"/>
              </w:rPr>
            </w:pPr>
            <w:proofErr w:type="gramStart"/>
            <w:r w:rsidRPr="00EC424B">
              <w:rPr>
                <w:rFonts w:eastAsia="MS Gothic"/>
                <w:i/>
                <w:sz w:val="22"/>
              </w:rPr>
              <w:t>t</w:t>
            </w:r>
            <w:r w:rsidRPr="00EC424B">
              <w:rPr>
                <w:rFonts w:eastAsia="MS Gothic"/>
                <w:sz w:val="22"/>
              </w:rPr>
              <w:t>(</w:t>
            </w:r>
            <w:proofErr w:type="gramEnd"/>
            <w:r w:rsidRPr="00EC424B">
              <w:rPr>
                <w:rFonts w:eastAsia="MS Gothic"/>
                <w:sz w:val="22"/>
              </w:rPr>
              <w:t xml:space="preserve">160) = -1.87, </w:t>
            </w:r>
            <w:r w:rsidRPr="00EC424B">
              <w:rPr>
                <w:rFonts w:eastAsia="MS Gothic"/>
                <w:i/>
                <w:sz w:val="22"/>
              </w:rPr>
              <w:t xml:space="preserve">p </w:t>
            </w:r>
            <w:r w:rsidRPr="00EC424B">
              <w:rPr>
                <w:rFonts w:eastAsia="MS Gothic"/>
                <w:sz w:val="22"/>
              </w:rPr>
              <w:t>= .064,</w:t>
            </w:r>
          </w:p>
          <w:p w14:paraId="07EB4BF7" w14:textId="77777777" w:rsidR="00922005" w:rsidRPr="00EC424B" w:rsidRDefault="00922005" w:rsidP="00922005">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MS Gothic"/>
                <w:sz w:val="22"/>
              </w:rPr>
            </w:pPr>
            <w:r w:rsidRPr="00EC424B">
              <w:rPr>
                <w:rFonts w:eastAsia="MS Gothic"/>
                <w:i/>
                <w:sz w:val="22"/>
              </w:rPr>
              <w:t xml:space="preserve">d </w:t>
            </w:r>
            <w:r w:rsidRPr="00EC424B">
              <w:rPr>
                <w:rFonts w:eastAsia="MS Gothic"/>
                <w:sz w:val="22"/>
              </w:rPr>
              <w:t>= -0.29</w:t>
            </w:r>
          </w:p>
        </w:tc>
        <w:tc>
          <w:tcPr>
            <w:tcW w:w="2891" w:type="dxa"/>
            <w:shd w:val="clear" w:color="auto" w:fill="auto"/>
            <w:hideMark/>
          </w:tcPr>
          <w:p w14:paraId="68CDFAB3" w14:textId="77777777" w:rsidR="00922005" w:rsidRPr="00EC424B" w:rsidRDefault="00922005" w:rsidP="00922005">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MS Gothic"/>
                <w:sz w:val="22"/>
              </w:rPr>
            </w:pPr>
            <w:proofErr w:type="gramStart"/>
            <w:r w:rsidRPr="00EC424B">
              <w:rPr>
                <w:rFonts w:eastAsia="MS Gothic"/>
                <w:i/>
                <w:sz w:val="22"/>
              </w:rPr>
              <w:t>t</w:t>
            </w:r>
            <w:r w:rsidRPr="00EC424B">
              <w:rPr>
                <w:rFonts w:eastAsia="MS Gothic"/>
                <w:sz w:val="22"/>
              </w:rPr>
              <w:t>(</w:t>
            </w:r>
            <w:proofErr w:type="gramEnd"/>
            <w:r w:rsidRPr="00EC424B">
              <w:rPr>
                <w:rFonts w:eastAsia="MS Gothic"/>
                <w:sz w:val="22"/>
              </w:rPr>
              <w:t xml:space="preserve">160) = -2.84, </w:t>
            </w:r>
            <w:r w:rsidRPr="00EC424B">
              <w:rPr>
                <w:rFonts w:eastAsia="MS Gothic"/>
                <w:i/>
                <w:sz w:val="22"/>
              </w:rPr>
              <w:t xml:space="preserve">p </w:t>
            </w:r>
            <w:r w:rsidRPr="00EC424B">
              <w:rPr>
                <w:rFonts w:eastAsia="MS Gothic"/>
                <w:sz w:val="22"/>
              </w:rPr>
              <w:t>= .005,</w:t>
            </w:r>
          </w:p>
          <w:p w14:paraId="4117992B" w14:textId="77777777" w:rsidR="00922005" w:rsidRPr="00EC424B" w:rsidRDefault="00922005" w:rsidP="00922005">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MS Gothic"/>
                <w:sz w:val="22"/>
              </w:rPr>
            </w:pPr>
            <w:r w:rsidRPr="00EC424B">
              <w:rPr>
                <w:rFonts w:eastAsia="MS Gothic"/>
                <w:i/>
                <w:sz w:val="22"/>
              </w:rPr>
              <w:t>d</w:t>
            </w:r>
            <w:r w:rsidRPr="00EC424B">
              <w:rPr>
                <w:rFonts w:eastAsia="MS Gothic"/>
                <w:sz w:val="22"/>
              </w:rPr>
              <w:t xml:space="preserve"> = -0.45</w:t>
            </w:r>
          </w:p>
        </w:tc>
        <w:tc>
          <w:tcPr>
            <w:tcW w:w="2551" w:type="dxa"/>
            <w:shd w:val="clear" w:color="auto" w:fill="auto"/>
            <w:hideMark/>
          </w:tcPr>
          <w:p w14:paraId="415BCEED" w14:textId="77777777" w:rsidR="00922005" w:rsidRPr="00EC424B" w:rsidRDefault="00922005" w:rsidP="00922005">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MS Gothic"/>
                <w:sz w:val="22"/>
              </w:rPr>
            </w:pPr>
            <w:r w:rsidRPr="00EC424B">
              <w:rPr>
                <w:rFonts w:eastAsia="MS Gothic"/>
                <w:sz w:val="22"/>
              </w:rPr>
              <w:t>Not reported, ns</w:t>
            </w:r>
          </w:p>
        </w:tc>
      </w:tr>
      <w:tr w:rsidR="00922005" w:rsidRPr="00922005" w14:paraId="65651A1B" w14:textId="77777777" w:rsidTr="00245A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423" w:type="dxa"/>
            <w:shd w:val="clear" w:color="auto" w:fill="auto"/>
            <w:hideMark/>
          </w:tcPr>
          <w:p w14:paraId="755C1D1B" w14:textId="77777777" w:rsidR="00922005" w:rsidRPr="00EC424B" w:rsidRDefault="00922005" w:rsidP="00922005">
            <w:pPr>
              <w:spacing w:line="240" w:lineRule="auto"/>
              <w:ind w:firstLine="0"/>
              <w:rPr>
                <w:rFonts w:eastAsia="MS Gothic"/>
                <w:b w:val="0"/>
                <w:sz w:val="22"/>
              </w:rPr>
            </w:pPr>
            <w:r w:rsidRPr="00EC424B">
              <w:rPr>
                <w:rFonts w:eastAsia="MS Gothic"/>
                <w:b w:val="0"/>
                <w:sz w:val="22"/>
              </w:rPr>
              <w:t>Rogers et al. (2016)</w:t>
            </w:r>
          </w:p>
        </w:tc>
        <w:tc>
          <w:tcPr>
            <w:tcW w:w="546" w:type="dxa"/>
            <w:shd w:val="clear" w:color="auto" w:fill="auto"/>
            <w:hideMark/>
          </w:tcPr>
          <w:p w14:paraId="69D57E88"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iCs/>
                <w:sz w:val="22"/>
              </w:rPr>
            </w:pPr>
            <w:r w:rsidRPr="00EC424B">
              <w:rPr>
                <w:rFonts w:eastAsia="MS Gothic"/>
                <w:iCs/>
                <w:sz w:val="22"/>
              </w:rPr>
              <w:t>200</w:t>
            </w:r>
          </w:p>
        </w:tc>
        <w:tc>
          <w:tcPr>
            <w:tcW w:w="1811" w:type="dxa"/>
            <w:shd w:val="clear" w:color="auto" w:fill="auto"/>
            <w:hideMark/>
          </w:tcPr>
          <w:p w14:paraId="3E640CA3"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sz w:val="22"/>
              </w:rPr>
            </w:pPr>
            <w:r w:rsidRPr="00EC424B">
              <w:rPr>
                <w:rFonts w:eastAsia="MS Gothic"/>
                <w:sz w:val="22"/>
              </w:rPr>
              <w:t>ASGS-ESP</w:t>
            </w:r>
          </w:p>
        </w:tc>
        <w:tc>
          <w:tcPr>
            <w:tcW w:w="2438" w:type="dxa"/>
            <w:shd w:val="clear" w:color="auto" w:fill="auto"/>
            <w:hideMark/>
          </w:tcPr>
          <w:p w14:paraId="1F458BE7"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sz w:val="22"/>
              </w:rPr>
            </w:pPr>
            <w:r w:rsidRPr="00EC424B">
              <w:rPr>
                <w:rFonts w:eastAsia="MS Gothic"/>
                <w:sz w:val="22"/>
              </w:rPr>
              <w:t>Conjunction Fallacy</w:t>
            </w:r>
          </w:p>
        </w:tc>
        <w:tc>
          <w:tcPr>
            <w:tcW w:w="2438" w:type="dxa"/>
            <w:shd w:val="clear" w:color="auto" w:fill="auto"/>
            <w:hideMark/>
          </w:tcPr>
          <w:p w14:paraId="4A14E9B8"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sz w:val="22"/>
              </w:rPr>
            </w:pPr>
            <w:r w:rsidRPr="00EC424B">
              <w:rPr>
                <w:rFonts w:eastAsia="MS Gothic"/>
                <w:i/>
                <w:sz w:val="22"/>
              </w:rPr>
              <w:t xml:space="preserve">r </w:t>
            </w:r>
            <w:r w:rsidRPr="00EC424B">
              <w:rPr>
                <w:rFonts w:eastAsia="MS Gothic"/>
                <w:sz w:val="22"/>
              </w:rPr>
              <w:t xml:space="preserve">= -.17, </w:t>
            </w:r>
            <w:r w:rsidRPr="00EC424B">
              <w:rPr>
                <w:rFonts w:eastAsia="MS Gothic"/>
                <w:i/>
                <w:sz w:val="22"/>
              </w:rPr>
              <w:t xml:space="preserve">p </w:t>
            </w:r>
            <w:r w:rsidRPr="00EC424B">
              <w:rPr>
                <w:rFonts w:eastAsia="MS Gothic"/>
                <w:sz w:val="22"/>
              </w:rPr>
              <w:t>= .016</w:t>
            </w:r>
          </w:p>
        </w:tc>
        <w:tc>
          <w:tcPr>
            <w:tcW w:w="2891" w:type="dxa"/>
            <w:shd w:val="clear" w:color="auto" w:fill="auto"/>
            <w:hideMark/>
          </w:tcPr>
          <w:p w14:paraId="1F5718A7"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sz w:val="22"/>
              </w:rPr>
            </w:pPr>
            <w:r w:rsidRPr="00EC424B">
              <w:rPr>
                <w:rFonts w:eastAsia="MS Gothic"/>
                <w:i/>
                <w:sz w:val="22"/>
              </w:rPr>
              <w:t xml:space="preserve">r </w:t>
            </w:r>
            <w:r w:rsidRPr="00EC424B">
              <w:rPr>
                <w:rFonts w:eastAsia="MS Gothic"/>
                <w:sz w:val="22"/>
              </w:rPr>
              <w:t xml:space="preserve">= -.09, </w:t>
            </w:r>
            <w:r w:rsidRPr="00EC424B">
              <w:rPr>
                <w:rFonts w:eastAsia="MS Gothic"/>
                <w:i/>
                <w:sz w:val="22"/>
              </w:rPr>
              <w:t xml:space="preserve">p </w:t>
            </w:r>
            <w:r w:rsidRPr="00EC424B">
              <w:rPr>
                <w:rFonts w:eastAsia="MS Gothic"/>
                <w:sz w:val="22"/>
              </w:rPr>
              <w:t>= .21</w:t>
            </w:r>
          </w:p>
        </w:tc>
        <w:tc>
          <w:tcPr>
            <w:tcW w:w="2551" w:type="dxa"/>
            <w:shd w:val="clear" w:color="auto" w:fill="auto"/>
            <w:hideMark/>
          </w:tcPr>
          <w:p w14:paraId="6B598C37"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sz w:val="22"/>
              </w:rPr>
            </w:pPr>
            <w:r w:rsidRPr="00EC424B">
              <w:rPr>
                <w:rFonts w:eastAsia="MS Gothic"/>
                <w:i/>
                <w:sz w:val="22"/>
              </w:rPr>
              <w:t xml:space="preserve">Z </w:t>
            </w:r>
            <w:r w:rsidRPr="00EC424B">
              <w:rPr>
                <w:rFonts w:eastAsia="MS Gothic"/>
                <w:sz w:val="22"/>
              </w:rPr>
              <w:t xml:space="preserve">= 0.20, </w:t>
            </w:r>
            <w:r w:rsidRPr="00EC424B">
              <w:rPr>
                <w:rFonts w:eastAsia="MS Gothic"/>
                <w:i/>
                <w:sz w:val="22"/>
              </w:rPr>
              <w:t xml:space="preserve">p </w:t>
            </w:r>
            <w:r w:rsidRPr="00EC424B">
              <w:rPr>
                <w:rFonts w:eastAsia="MS Gothic"/>
                <w:sz w:val="22"/>
              </w:rPr>
              <w:t>= .84</w:t>
            </w:r>
          </w:p>
        </w:tc>
      </w:tr>
      <w:tr w:rsidR="00922005" w:rsidRPr="00922005" w14:paraId="61367E3F" w14:textId="77777777" w:rsidTr="00245A59">
        <w:trPr>
          <w:trHeight w:val="397"/>
        </w:trPr>
        <w:tc>
          <w:tcPr>
            <w:cnfStyle w:val="001000000000" w:firstRow="0" w:lastRow="0" w:firstColumn="1" w:lastColumn="0" w:oddVBand="0" w:evenVBand="0" w:oddHBand="0" w:evenHBand="0" w:firstRowFirstColumn="0" w:firstRowLastColumn="0" w:lastRowFirstColumn="0" w:lastRowLastColumn="0"/>
            <w:tcW w:w="2423" w:type="dxa"/>
            <w:shd w:val="clear" w:color="auto" w:fill="auto"/>
          </w:tcPr>
          <w:p w14:paraId="72A76F06" w14:textId="77777777" w:rsidR="00922005" w:rsidRPr="00EC424B" w:rsidRDefault="00922005" w:rsidP="00922005">
            <w:pPr>
              <w:spacing w:line="240" w:lineRule="auto"/>
              <w:ind w:firstLine="0"/>
              <w:rPr>
                <w:rFonts w:eastAsia="MS Gothic"/>
                <w:b w:val="0"/>
                <w:sz w:val="22"/>
              </w:rPr>
            </w:pPr>
          </w:p>
        </w:tc>
        <w:tc>
          <w:tcPr>
            <w:tcW w:w="546" w:type="dxa"/>
            <w:shd w:val="clear" w:color="auto" w:fill="auto"/>
          </w:tcPr>
          <w:p w14:paraId="1C5B24A1" w14:textId="77777777" w:rsidR="00922005" w:rsidRPr="00EC424B" w:rsidRDefault="00922005" w:rsidP="00922005">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MS Gothic"/>
                <w:iCs/>
                <w:sz w:val="22"/>
              </w:rPr>
            </w:pPr>
          </w:p>
        </w:tc>
        <w:tc>
          <w:tcPr>
            <w:tcW w:w="1811" w:type="dxa"/>
            <w:shd w:val="clear" w:color="auto" w:fill="auto"/>
            <w:hideMark/>
          </w:tcPr>
          <w:p w14:paraId="6F98FA3E" w14:textId="77777777" w:rsidR="00922005" w:rsidRPr="00EC424B" w:rsidRDefault="00922005" w:rsidP="00922005">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MS Gothic"/>
                <w:sz w:val="22"/>
              </w:rPr>
            </w:pPr>
            <w:r w:rsidRPr="00EC424B">
              <w:rPr>
                <w:rFonts w:eastAsia="MS Gothic"/>
                <w:sz w:val="22"/>
              </w:rPr>
              <w:t>ASGS-PK</w:t>
            </w:r>
          </w:p>
        </w:tc>
        <w:tc>
          <w:tcPr>
            <w:tcW w:w="2438" w:type="dxa"/>
            <w:shd w:val="clear" w:color="auto" w:fill="auto"/>
            <w:hideMark/>
          </w:tcPr>
          <w:p w14:paraId="5AC520D8" w14:textId="77777777" w:rsidR="00922005" w:rsidRPr="00EC424B" w:rsidRDefault="00922005" w:rsidP="00922005">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MS Gothic"/>
                <w:sz w:val="22"/>
              </w:rPr>
            </w:pPr>
            <w:r w:rsidRPr="00EC424B">
              <w:rPr>
                <w:rFonts w:eastAsia="MS Gothic"/>
                <w:sz w:val="22"/>
              </w:rPr>
              <w:t>Conjunction Fallacy</w:t>
            </w:r>
          </w:p>
        </w:tc>
        <w:tc>
          <w:tcPr>
            <w:tcW w:w="2438" w:type="dxa"/>
            <w:shd w:val="clear" w:color="auto" w:fill="auto"/>
            <w:hideMark/>
          </w:tcPr>
          <w:p w14:paraId="5789F647" w14:textId="77777777" w:rsidR="00922005" w:rsidRPr="00EC424B" w:rsidRDefault="00922005" w:rsidP="00922005">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MS Gothic"/>
                <w:sz w:val="22"/>
              </w:rPr>
            </w:pPr>
            <w:r w:rsidRPr="00EC424B">
              <w:rPr>
                <w:rFonts w:eastAsia="MS Gothic"/>
                <w:i/>
                <w:sz w:val="22"/>
              </w:rPr>
              <w:t xml:space="preserve">r </w:t>
            </w:r>
            <w:r w:rsidRPr="00EC424B">
              <w:rPr>
                <w:rFonts w:eastAsia="MS Gothic"/>
                <w:sz w:val="22"/>
              </w:rPr>
              <w:t xml:space="preserve">= -.24, </w:t>
            </w:r>
            <w:r w:rsidRPr="00EC424B">
              <w:rPr>
                <w:rFonts w:eastAsia="MS Gothic"/>
                <w:i/>
                <w:sz w:val="22"/>
              </w:rPr>
              <w:t xml:space="preserve">p </w:t>
            </w:r>
            <w:r w:rsidRPr="00EC424B">
              <w:rPr>
                <w:rFonts w:eastAsia="MS Gothic"/>
                <w:sz w:val="22"/>
              </w:rPr>
              <w:t>&lt; .001</w:t>
            </w:r>
          </w:p>
        </w:tc>
        <w:tc>
          <w:tcPr>
            <w:tcW w:w="2891" w:type="dxa"/>
            <w:shd w:val="clear" w:color="auto" w:fill="auto"/>
            <w:hideMark/>
          </w:tcPr>
          <w:p w14:paraId="62B9ECA4" w14:textId="77777777" w:rsidR="00922005" w:rsidRPr="00EC424B" w:rsidRDefault="00922005" w:rsidP="00922005">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MS Gothic"/>
                <w:i/>
                <w:sz w:val="22"/>
              </w:rPr>
            </w:pPr>
            <w:r w:rsidRPr="00EC424B">
              <w:rPr>
                <w:rFonts w:eastAsia="MS Gothic"/>
                <w:i/>
                <w:sz w:val="22"/>
              </w:rPr>
              <w:t xml:space="preserve">r </w:t>
            </w:r>
            <w:r w:rsidRPr="00EC424B">
              <w:rPr>
                <w:rFonts w:eastAsia="MS Gothic"/>
                <w:sz w:val="22"/>
              </w:rPr>
              <w:t xml:space="preserve">= -.16, </w:t>
            </w:r>
            <w:r w:rsidRPr="00EC424B">
              <w:rPr>
                <w:rFonts w:eastAsia="MS Gothic"/>
                <w:i/>
                <w:sz w:val="22"/>
              </w:rPr>
              <w:t xml:space="preserve">p </w:t>
            </w:r>
            <w:r w:rsidRPr="00EC424B">
              <w:rPr>
                <w:rFonts w:eastAsia="MS Gothic"/>
                <w:sz w:val="22"/>
              </w:rPr>
              <w:t>= .024</w:t>
            </w:r>
          </w:p>
        </w:tc>
        <w:tc>
          <w:tcPr>
            <w:tcW w:w="2551" w:type="dxa"/>
            <w:shd w:val="clear" w:color="auto" w:fill="auto"/>
            <w:hideMark/>
          </w:tcPr>
          <w:p w14:paraId="11B82A2B" w14:textId="77777777" w:rsidR="00922005" w:rsidRPr="00EC424B" w:rsidRDefault="00922005" w:rsidP="00922005">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MS Gothic"/>
                <w:sz w:val="22"/>
              </w:rPr>
            </w:pPr>
            <w:r w:rsidRPr="00EC424B">
              <w:rPr>
                <w:rFonts w:eastAsia="MS Gothic"/>
                <w:i/>
                <w:sz w:val="22"/>
              </w:rPr>
              <w:t xml:space="preserve">Z </w:t>
            </w:r>
            <w:r w:rsidRPr="00EC424B">
              <w:rPr>
                <w:rFonts w:eastAsia="MS Gothic"/>
                <w:sz w:val="22"/>
              </w:rPr>
              <w:t xml:space="preserve">= 0.72, </w:t>
            </w:r>
            <w:r w:rsidRPr="00EC424B">
              <w:rPr>
                <w:rFonts w:eastAsia="MS Gothic"/>
                <w:i/>
                <w:sz w:val="22"/>
              </w:rPr>
              <w:t xml:space="preserve">p </w:t>
            </w:r>
            <w:r w:rsidRPr="00EC424B">
              <w:rPr>
                <w:rFonts w:eastAsia="MS Gothic"/>
                <w:sz w:val="22"/>
              </w:rPr>
              <w:t>= .47</w:t>
            </w:r>
          </w:p>
        </w:tc>
      </w:tr>
      <w:tr w:rsidR="00922005" w:rsidRPr="00922005" w14:paraId="31F358F5" w14:textId="77777777" w:rsidTr="00245A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423" w:type="dxa"/>
            <w:shd w:val="clear" w:color="auto" w:fill="auto"/>
          </w:tcPr>
          <w:p w14:paraId="029633CC" w14:textId="77777777" w:rsidR="00922005" w:rsidRPr="00EC424B" w:rsidRDefault="00922005" w:rsidP="00922005">
            <w:pPr>
              <w:spacing w:line="240" w:lineRule="auto"/>
              <w:ind w:firstLine="0"/>
              <w:rPr>
                <w:rFonts w:eastAsia="MS Gothic"/>
                <w:b w:val="0"/>
                <w:sz w:val="22"/>
              </w:rPr>
            </w:pPr>
          </w:p>
        </w:tc>
        <w:tc>
          <w:tcPr>
            <w:tcW w:w="546" w:type="dxa"/>
            <w:shd w:val="clear" w:color="auto" w:fill="auto"/>
          </w:tcPr>
          <w:p w14:paraId="574DC4B7"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iCs/>
                <w:sz w:val="22"/>
              </w:rPr>
            </w:pPr>
          </w:p>
        </w:tc>
        <w:tc>
          <w:tcPr>
            <w:tcW w:w="1811" w:type="dxa"/>
            <w:shd w:val="clear" w:color="auto" w:fill="auto"/>
            <w:hideMark/>
          </w:tcPr>
          <w:p w14:paraId="5D8095BE"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sz w:val="22"/>
              </w:rPr>
            </w:pPr>
            <w:r w:rsidRPr="00EC424B">
              <w:rPr>
                <w:rFonts w:eastAsia="MS Gothic"/>
                <w:sz w:val="22"/>
              </w:rPr>
              <w:t>ASGS-LAD</w:t>
            </w:r>
          </w:p>
        </w:tc>
        <w:tc>
          <w:tcPr>
            <w:tcW w:w="2438" w:type="dxa"/>
            <w:shd w:val="clear" w:color="auto" w:fill="auto"/>
            <w:hideMark/>
          </w:tcPr>
          <w:p w14:paraId="28FD9522"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sz w:val="22"/>
              </w:rPr>
            </w:pPr>
            <w:r w:rsidRPr="00EC424B">
              <w:rPr>
                <w:rFonts w:eastAsia="MS Gothic"/>
                <w:sz w:val="22"/>
              </w:rPr>
              <w:t>Conjunction Fallacy</w:t>
            </w:r>
          </w:p>
        </w:tc>
        <w:tc>
          <w:tcPr>
            <w:tcW w:w="2438" w:type="dxa"/>
            <w:shd w:val="clear" w:color="auto" w:fill="auto"/>
            <w:hideMark/>
          </w:tcPr>
          <w:p w14:paraId="234EFD8A"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sz w:val="22"/>
              </w:rPr>
            </w:pPr>
            <w:r w:rsidRPr="00EC424B">
              <w:rPr>
                <w:rFonts w:eastAsia="MS Gothic"/>
                <w:i/>
                <w:sz w:val="22"/>
              </w:rPr>
              <w:t xml:space="preserve">r </w:t>
            </w:r>
            <w:r w:rsidRPr="00EC424B">
              <w:rPr>
                <w:rFonts w:eastAsia="MS Gothic"/>
                <w:sz w:val="22"/>
              </w:rPr>
              <w:t xml:space="preserve">= -.19, </w:t>
            </w:r>
            <w:r w:rsidRPr="00EC424B">
              <w:rPr>
                <w:rFonts w:eastAsia="MS Gothic"/>
                <w:i/>
                <w:sz w:val="22"/>
              </w:rPr>
              <w:t xml:space="preserve">p </w:t>
            </w:r>
            <w:r w:rsidRPr="00EC424B">
              <w:rPr>
                <w:rFonts w:eastAsia="MS Gothic"/>
                <w:sz w:val="22"/>
              </w:rPr>
              <w:t>= .007</w:t>
            </w:r>
          </w:p>
        </w:tc>
        <w:tc>
          <w:tcPr>
            <w:tcW w:w="2891" w:type="dxa"/>
            <w:shd w:val="clear" w:color="auto" w:fill="auto"/>
            <w:hideMark/>
          </w:tcPr>
          <w:p w14:paraId="286155D9"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i/>
                <w:sz w:val="22"/>
              </w:rPr>
            </w:pPr>
            <w:r w:rsidRPr="00EC424B">
              <w:rPr>
                <w:rFonts w:eastAsia="MS Gothic"/>
                <w:i/>
                <w:sz w:val="22"/>
              </w:rPr>
              <w:t xml:space="preserve">r </w:t>
            </w:r>
            <w:r w:rsidRPr="00EC424B">
              <w:rPr>
                <w:rFonts w:eastAsia="MS Gothic"/>
                <w:sz w:val="22"/>
              </w:rPr>
              <w:t xml:space="preserve">= -.09, </w:t>
            </w:r>
            <w:r w:rsidRPr="00EC424B">
              <w:rPr>
                <w:rFonts w:eastAsia="MS Gothic"/>
                <w:i/>
                <w:sz w:val="22"/>
              </w:rPr>
              <w:t xml:space="preserve">p </w:t>
            </w:r>
            <w:r w:rsidRPr="00EC424B">
              <w:rPr>
                <w:rFonts w:eastAsia="MS Gothic"/>
                <w:sz w:val="22"/>
              </w:rPr>
              <w:t>= .21</w:t>
            </w:r>
          </w:p>
        </w:tc>
        <w:tc>
          <w:tcPr>
            <w:tcW w:w="2551" w:type="dxa"/>
            <w:shd w:val="clear" w:color="auto" w:fill="auto"/>
            <w:hideMark/>
          </w:tcPr>
          <w:p w14:paraId="392740F2"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sz w:val="22"/>
              </w:rPr>
            </w:pPr>
            <w:r w:rsidRPr="00EC424B">
              <w:rPr>
                <w:rFonts w:eastAsia="MS Gothic"/>
                <w:i/>
                <w:sz w:val="22"/>
              </w:rPr>
              <w:t xml:space="preserve">Z </w:t>
            </w:r>
            <w:r w:rsidRPr="00EC424B">
              <w:rPr>
                <w:rFonts w:eastAsia="MS Gothic"/>
                <w:sz w:val="22"/>
              </w:rPr>
              <w:t xml:space="preserve">= 0.03, </w:t>
            </w:r>
            <w:r w:rsidRPr="00EC424B">
              <w:rPr>
                <w:rFonts w:eastAsia="MS Gothic"/>
                <w:i/>
                <w:sz w:val="22"/>
              </w:rPr>
              <w:t xml:space="preserve">p </w:t>
            </w:r>
            <w:r w:rsidRPr="00EC424B">
              <w:rPr>
                <w:rFonts w:eastAsia="MS Gothic"/>
                <w:sz w:val="22"/>
              </w:rPr>
              <w:t>= .98</w:t>
            </w:r>
          </w:p>
        </w:tc>
      </w:tr>
      <w:tr w:rsidR="00922005" w:rsidRPr="00922005" w14:paraId="12652FB0" w14:textId="77777777" w:rsidTr="00245A59">
        <w:trPr>
          <w:trHeight w:val="397"/>
        </w:trPr>
        <w:tc>
          <w:tcPr>
            <w:cnfStyle w:val="001000000000" w:firstRow="0" w:lastRow="0" w:firstColumn="1" w:lastColumn="0" w:oddVBand="0" w:evenVBand="0" w:oddHBand="0" w:evenHBand="0" w:firstRowFirstColumn="0" w:firstRowLastColumn="0" w:lastRowFirstColumn="0" w:lastRowLastColumn="0"/>
            <w:tcW w:w="2423" w:type="dxa"/>
            <w:shd w:val="clear" w:color="auto" w:fill="auto"/>
            <w:hideMark/>
          </w:tcPr>
          <w:p w14:paraId="5FA88F0F" w14:textId="77777777" w:rsidR="00922005" w:rsidRPr="00EC424B" w:rsidRDefault="00922005" w:rsidP="00922005">
            <w:pPr>
              <w:spacing w:line="240" w:lineRule="auto"/>
              <w:ind w:firstLine="0"/>
              <w:rPr>
                <w:rFonts w:eastAsia="MS Gothic"/>
                <w:b w:val="0"/>
                <w:sz w:val="22"/>
              </w:rPr>
            </w:pPr>
            <w:r w:rsidRPr="00EC424B">
              <w:rPr>
                <w:rFonts w:eastAsia="MS Gothic"/>
                <w:b w:val="0"/>
                <w:sz w:val="22"/>
              </w:rPr>
              <w:t>Rogers et al. (2018)</w:t>
            </w:r>
          </w:p>
        </w:tc>
        <w:tc>
          <w:tcPr>
            <w:tcW w:w="546" w:type="dxa"/>
            <w:shd w:val="clear" w:color="auto" w:fill="auto"/>
            <w:hideMark/>
          </w:tcPr>
          <w:p w14:paraId="60852D68" w14:textId="77777777" w:rsidR="00922005" w:rsidRPr="00EC424B" w:rsidRDefault="00922005" w:rsidP="00922005">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MS Gothic"/>
                <w:iCs/>
                <w:sz w:val="22"/>
              </w:rPr>
            </w:pPr>
            <w:r w:rsidRPr="00EC424B">
              <w:rPr>
                <w:rFonts w:eastAsia="MS Gothic"/>
                <w:iCs/>
                <w:sz w:val="22"/>
              </w:rPr>
              <w:t>261</w:t>
            </w:r>
          </w:p>
        </w:tc>
        <w:tc>
          <w:tcPr>
            <w:tcW w:w="1811" w:type="dxa"/>
            <w:shd w:val="clear" w:color="auto" w:fill="auto"/>
            <w:hideMark/>
          </w:tcPr>
          <w:p w14:paraId="702BCB64" w14:textId="77777777" w:rsidR="00922005" w:rsidRPr="00EC424B" w:rsidRDefault="00922005" w:rsidP="00922005">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MS Gothic"/>
                <w:sz w:val="22"/>
              </w:rPr>
            </w:pPr>
            <w:r w:rsidRPr="00EC424B">
              <w:rPr>
                <w:rFonts w:eastAsia="MS Gothic"/>
                <w:sz w:val="22"/>
              </w:rPr>
              <w:t>ASGS-ESP</w:t>
            </w:r>
          </w:p>
        </w:tc>
        <w:tc>
          <w:tcPr>
            <w:tcW w:w="2438" w:type="dxa"/>
            <w:shd w:val="clear" w:color="auto" w:fill="auto"/>
            <w:hideMark/>
          </w:tcPr>
          <w:p w14:paraId="5B26A8A6" w14:textId="77777777" w:rsidR="00922005" w:rsidRPr="00EC424B" w:rsidRDefault="00922005" w:rsidP="00922005">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MS Gothic"/>
                <w:sz w:val="22"/>
              </w:rPr>
            </w:pPr>
            <w:r w:rsidRPr="00EC424B">
              <w:rPr>
                <w:rFonts w:eastAsia="MS Gothic"/>
                <w:sz w:val="22"/>
              </w:rPr>
              <w:t>Conjunction Fallacy</w:t>
            </w:r>
          </w:p>
        </w:tc>
        <w:tc>
          <w:tcPr>
            <w:tcW w:w="2438" w:type="dxa"/>
            <w:shd w:val="clear" w:color="auto" w:fill="auto"/>
            <w:hideMark/>
          </w:tcPr>
          <w:p w14:paraId="7520C2BD" w14:textId="77777777" w:rsidR="00922005" w:rsidRPr="00EC424B" w:rsidRDefault="00922005" w:rsidP="00922005">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MS Gothic"/>
                <w:sz w:val="22"/>
              </w:rPr>
            </w:pPr>
            <w:r w:rsidRPr="00EC424B">
              <w:rPr>
                <w:rFonts w:eastAsia="MS Gothic"/>
                <w:i/>
                <w:sz w:val="22"/>
              </w:rPr>
              <w:t>r</w:t>
            </w:r>
            <w:r w:rsidRPr="00EC424B">
              <w:rPr>
                <w:rFonts w:eastAsia="MS Gothic"/>
                <w:sz w:val="22"/>
              </w:rPr>
              <w:t xml:space="preserve"> = -.23, </w:t>
            </w:r>
            <w:r w:rsidRPr="00EC424B">
              <w:rPr>
                <w:rFonts w:eastAsia="MS Gothic"/>
                <w:i/>
                <w:sz w:val="22"/>
              </w:rPr>
              <w:t xml:space="preserve">p </w:t>
            </w:r>
            <w:r w:rsidRPr="00EC424B">
              <w:rPr>
                <w:rFonts w:eastAsia="MS Gothic"/>
                <w:sz w:val="22"/>
              </w:rPr>
              <w:t>&lt; .001</w:t>
            </w:r>
          </w:p>
        </w:tc>
        <w:tc>
          <w:tcPr>
            <w:tcW w:w="2891" w:type="dxa"/>
            <w:shd w:val="clear" w:color="auto" w:fill="auto"/>
            <w:hideMark/>
          </w:tcPr>
          <w:p w14:paraId="04DBD615" w14:textId="77777777" w:rsidR="00922005" w:rsidRPr="00EC424B" w:rsidRDefault="00922005" w:rsidP="00922005">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MS Gothic"/>
                <w:sz w:val="22"/>
              </w:rPr>
            </w:pPr>
            <w:r w:rsidRPr="00EC424B">
              <w:rPr>
                <w:rFonts w:eastAsia="MS Gothic"/>
                <w:i/>
                <w:sz w:val="22"/>
              </w:rPr>
              <w:t>r</w:t>
            </w:r>
            <w:r w:rsidRPr="00EC424B">
              <w:rPr>
                <w:rFonts w:eastAsia="MS Gothic"/>
                <w:sz w:val="22"/>
              </w:rPr>
              <w:t xml:space="preserve"> = -.20, </w:t>
            </w:r>
            <w:r w:rsidRPr="00EC424B">
              <w:rPr>
                <w:rFonts w:eastAsia="MS Gothic"/>
                <w:i/>
                <w:sz w:val="22"/>
              </w:rPr>
              <w:t xml:space="preserve">p </w:t>
            </w:r>
            <w:r w:rsidRPr="00EC424B">
              <w:rPr>
                <w:rFonts w:eastAsia="MS Gothic"/>
                <w:sz w:val="22"/>
              </w:rPr>
              <w:t>&lt; .001</w:t>
            </w:r>
          </w:p>
        </w:tc>
        <w:tc>
          <w:tcPr>
            <w:tcW w:w="2551" w:type="dxa"/>
            <w:shd w:val="clear" w:color="auto" w:fill="auto"/>
            <w:hideMark/>
          </w:tcPr>
          <w:p w14:paraId="00B09C34" w14:textId="77777777" w:rsidR="00922005" w:rsidRPr="00EC424B" w:rsidRDefault="00922005" w:rsidP="00922005">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MS Gothic"/>
                <w:sz w:val="22"/>
              </w:rPr>
            </w:pPr>
            <w:r w:rsidRPr="00EC424B">
              <w:rPr>
                <w:rFonts w:eastAsia="MS Gothic"/>
                <w:i/>
                <w:sz w:val="22"/>
              </w:rPr>
              <w:t xml:space="preserve">Z </w:t>
            </w:r>
            <w:r w:rsidRPr="00EC424B">
              <w:rPr>
                <w:rFonts w:eastAsia="MS Gothic"/>
                <w:sz w:val="22"/>
              </w:rPr>
              <w:t xml:space="preserve">= 0.31, </w:t>
            </w:r>
            <w:r w:rsidRPr="00EC424B">
              <w:rPr>
                <w:rFonts w:eastAsia="MS Gothic"/>
                <w:i/>
                <w:sz w:val="22"/>
              </w:rPr>
              <w:t xml:space="preserve">p </w:t>
            </w:r>
            <w:r w:rsidRPr="00EC424B">
              <w:rPr>
                <w:rFonts w:eastAsia="MS Gothic"/>
                <w:sz w:val="22"/>
              </w:rPr>
              <w:t>= .75</w:t>
            </w:r>
          </w:p>
        </w:tc>
      </w:tr>
      <w:tr w:rsidR="00922005" w:rsidRPr="00922005" w14:paraId="732D4A1F" w14:textId="77777777" w:rsidTr="00245A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423" w:type="dxa"/>
            <w:shd w:val="clear" w:color="auto" w:fill="auto"/>
          </w:tcPr>
          <w:p w14:paraId="4EE340A4" w14:textId="77777777" w:rsidR="00922005" w:rsidRPr="00EC424B" w:rsidRDefault="00922005" w:rsidP="00922005">
            <w:pPr>
              <w:spacing w:line="240" w:lineRule="auto"/>
              <w:ind w:firstLine="0"/>
              <w:rPr>
                <w:rFonts w:eastAsia="MS Gothic"/>
                <w:b w:val="0"/>
                <w:sz w:val="22"/>
              </w:rPr>
            </w:pPr>
          </w:p>
        </w:tc>
        <w:tc>
          <w:tcPr>
            <w:tcW w:w="546" w:type="dxa"/>
            <w:shd w:val="clear" w:color="auto" w:fill="auto"/>
          </w:tcPr>
          <w:p w14:paraId="7F33A06A"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iCs/>
                <w:sz w:val="22"/>
              </w:rPr>
            </w:pPr>
          </w:p>
        </w:tc>
        <w:tc>
          <w:tcPr>
            <w:tcW w:w="1811" w:type="dxa"/>
            <w:shd w:val="clear" w:color="auto" w:fill="auto"/>
            <w:hideMark/>
          </w:tcPr>
          <w:p w14:paraId="7A9DF9F1"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sz w:val="22"/>
              </w:rPr>
            </w:pPr>
            <w:r w:rsidRPr="00EC424B">
              <w:rPr>
                <w:rFonts w:eastAsia="MS Gothic"/>
                <w:sz w:val="22"/>
              </w:rPr>
              <w:t>ASGS-PK</w:t>
            </w:r>
          </w:p>
        </w:tc>
        <w:tc>
          <w:tcPr>
            <w:tcW w:w="2438" w:type="dxa"/>
            <w:shd w:val="clear" w:color="auto" w:fill="auto"/>
            <w:hideMark/>
          </w:tcPr>
          <w:p w14:paraId="198A8113"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sz w:val="22"/>
              </w:rPr>
            </w:pPr>
            <w:r w:rsidRPr="00EC424B">
              <w:rPr>
                <w:rFonts w:eastAsia="MS Gothic"/>
                <w:sz w:val="22"/>
              </w:rPr>
              <w:t>Conjunction Fallacy</w:t>
            </w:r>
          </w:p>
        </w:tc>
        <w:tc>
          <w:tcPr>
            <w:tcW w:w="2438" w:type="dxa"/>
            <w:shd w:val="clear" w:color="auto" w:fill="auto"/>
            <w:hideMark/>
          </w:tcPr>
          <w:p w14:paraId="71866661"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i/>
                <w:sz w:val="22"/>
              </w:rPr>
            </w:pPr>
            <w:r w:rsidRPr="00EC424B">
              <w:rPr>
                <w:rFonts w:eastAsia="MS Gothic"/>
                <w:i/>
                <w:sz w:val="22"/>
              </w:rPr>
              <w:t>r</w:t>
            </w:r>
            <w:r w:rsidRPr="00EC424B">
              <w:rPr>
                <w:rFonts w:eastAsia="MS Gothic"/>
                <w:sz w:val="22"/>
              </w:rPr>
              <w:t xml:space="preserve"> = -.18, </w:t>
            </w:r>
            <w:r w:rsidRPr="00EC424B">
              <w:rPr>
                <w:rFonts w:eastAsia="MS Gothic"/>
                <w:i/>
                <w:sz w:val="22"/>
              </w:rPr>
              <w:t xml:space="preserve">p </w:t>
            </w:r>
            <w:r w:rsidRPr="00EC424B">
              <w:rPr>
                <w:rFonts w:eastAsia="MS Gothic"/>
                <w:sz w:val="22"/>
              </w:rPr>
              <w:t>&lt; .001</w:t>
            </w:r>
          </w:p>
        </w:tc>
        <w:tc>
          <w:tcPr>
            <w:tcW w:w="2891" w:type="dxa"/>
            <w:shd w:val="clear" w:color="auto" w:fill="auto"/>
            <w:hideMark/>
          </w:tcPr>
          <w:p w14:paraId="4C128515"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i/>
                <w:sz w:val="22"/>
              </w:rPr>
            </w:pPr>
            <w:r w:rsidRPr="00EC424B">
              <w:rPr>
                <w:rFonts w:eastAsia="MS Gothic"/>
                <w:i/>
                <w:sz w:val="22"/>
              </w:rPr>
              <w:t>r</w:t>
            </w:r>
            <w:r w:rsidRPr="00EC424B">
              <w:rPr>
                <w:rFonts w:eastAsia="MS Gothic"/>
                <w:sz w:val="22"/>
              </w:rPr>
              <w:t xml:space="preserve"> = -.17, </w:t>
            </w:r>
            <w:r w:rsidRPr="00EC424B">
              <w:rPr>
                <w:rFonts w:eastAsia="MS Gothic"/>
                <w:i/>
                <w:sz w:val="22"/>
              </w:rPr>
              <w:t xml:space="preserve">p </w:t>
            </w:r>
            <w:r w:rsidRPr="00EC424B">
              <w:rPr>
                <w:rFonts w:eastAsia="MS Gothic"/>
                <w:sz w:val="22"/>
              </w:rPr>
              <w:t>&lt; .001</w:t>
            </w:r>
          </w:p>
        </w:tc>
        <w:tc>
          <w:tcPr>
            <w:tcW w:w="2551" w:type="dxa"/>
            <w:shd w:val="clear" w:color="auto" w:fill="auto"/>
            <w:hideMark/>
          </w:tcPr>
          <w:p w14:paraId="7D885B8E"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sz w:val="22"/>
              </w:rPr>
            </w:pPr>
            <w:r w:rsidRPr="00EC424B">
              <w:rPr>
                <w:rFonts w:eastAsia="MS Gothic"/>
                <w:i/>
                <w:sz w:val="22"/>
              </w:rPr>
              <w:t xml:space="preserve">Z </w:t>
            </w:r>
            <w:r w:rsidRPr="00EC424B">
              <w:rPr>
                <w:rFonts w:eastAsia="MS Gothic"/>
                <w:sz w:val="22"/>
              </w:rPr>
              <w:t xml:space="preserve">= 0.12, </w:t>
            </w:r>
            <w:r w:rsidRPr="00EC424B">
              <w:rPr>
                <w:rFonts w:eastAsia="MS Gothic"/>
                <w:i/>
                <w:sz w:val="22"/>
              </w:rPr>
              <w:t xml:space="preserve">p </w:t>
            </w:r>
            <w:r w:rsidRPr="00EC424B">
              <w:rPr>
                <w:rFonts w:eastAsia="MS Gothic"/>
                <w:sz w:val="22"/>
              </w:rPr>
              <w:t>= .91</w:t>
            </w:r>
          </w:p>
        </w:tc>
      </w:tr>
      <w:tr w:rsidR="00922005" w:rsidRPr="00922005" w14:paraId="3CE32FA2" w14:textId="77777777" w:rsidTr="00245A59">
        <w:trPr>
          <w:trHeight w:val="397"/>
        </w:trPr>
        <w:tc>
          <w:tcPr>
            <w:cnfStyle w:val="001000000000" w:firstRow="0" w:lastRow="0" w:firstColumn="1" w:lastColumn="0" w:oddVBand="0" w:evenVBand="0" w:oddHBand="0" w:evenHBand="0" w:firstRowFirstColumn="0" w:firstRowLastColumn="0" w:lastRowFirstColumn="0" w:lastRowLastColumn="0"/>
            <w:tcW w:w="2423" w:type="dxa"/>
            <w:shd w:val="clear" w:color="auto" w:fill="auto"/>
          </w:tcPr>
          <w:p w14:paraId="2B818B10" w14:textId="77777777" w:rsidR="00922005" w:rsidRPr="00EC424B" w:rsidRDefault="00922005" w:rsidP="00922005">
            <w:pPr>
              <w:spacing w:line="240" w:lineRule="auto"/>
              <w:ind w:firstLine="0"/>
              <w:rPr>
                <w:rFonts w:eastAsia="MS Gothic"/>
                <w:b w:val="0"/>
                <w:sz w:val="22"/>
              </w:rPr>
            </w:pPr>
          </w:p>
        </w:tc>
        <w:tc>
          <w:tcPr>
            <w:tcW w:w="546" w:type="dxa"/>
            <w:shd w:val="clear" w:color="auto" w:fill="auto"/>
          </w:tcPr>
          <w:p w14:paraId="23C0ABC6" w14:textId="77777777" w:rsidR="00922005" w:rsidRPr="00EC424B" w:rsidRDefault="00922005" w:rsidP="00922005">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MS Gothic"/>
                <w:iCs/>
                <w:sz w:val="22"/>
              </w:rPr>
            </w:pPr>
          </w:p>
        </w:tc>
        <w:tc>
          <w:tcPr>
            <w:tcW w:w="1811" w:type="dxa"/>
            <w:shd w:val="clear" w:color="auto" w:fill="auto"/>
            <w:hideMark/>
          </w:tcPr>
          <w:p w14:paraId="318A7EEE" w14:textId="77777777" w:rsidR="00922005" w:rsidRPr="00EC424B" w:rsidRDefault="00922005" w:rsidP="00922005">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MS Gothic"/>
                <w:sz w:val="22"/>
              </w:rPr>
            </w:pPr>
            <w:r w:rsidRPr="00EC424B">
              <w:rPr>
                <w:rFonts w:eastAsia="MS Gothic"/>
                <w:sz w:val="22"/>
              </w:rPr>
              <w:t>ASGS-LAD</w:t>
            </w:r>
          </w:p>
        </w:tc>
        <w:tc>
          <w:tcPr>
            <w:tcW w:w="2438" w:type="dxa"/>
            <w:shd w:val="clear" w:color="auto" w:fill="auto"/>
            <w:hideMark/>
          </w:tcPr>
          <w:p w14:paraId="29344C8D" w14:textId="77777777" w:rsidR="00922005" w:rsidRPr="00EC424B" w:rsidRDefault="00922005" w:rsidP="00922005">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MS Gothic"/>
                <w:sz w:val="22"/>
              </w:rPr>
            </w:pPr>
            <w:r w:rsidRPr="00EC424B">
              <w:rPr>
                <w:rFonts w:eastAsia="MS Gothic"/>
                <w:sz w:val="22"/>
              </w:rPr>
              <w:t>Conjunction Fallacy</w:t>
            </w:r>
          </w:p>
        </w:tc>
        <w:tc>
          <w:tcPr>
            <w:tcW w:w="2438" w:type="dxa"/>
            <w:shd w:val="clear" w:color="auto" w:fill="auto"/>
            <w:hideMark/>
          </w:tcPr>
          <w:p w14:paraId="566979C4" w14:textId="77777777" w:rsidR="00922005" w:rsidRPr="00EC424B" w:rsidRDefault="00922005" w:rsidP="00922005">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MS Gothic"/>
                <w:i/>
                <w:sz w:val="22"/>
              </w:rPr>
            </w:pPr>
            <w:r w:rsidRPr="00EC424B">
              <w:rPr>
                <w:rFonts w:eastAsia="MS Gothic"/>
                <w:i/>
                <w:sz w:val="22"/>
              </w:rPr>
              <w:t>r</w:t>
            </w:r>
            <w:r w:rsidRPr="00EC424B">
              <w:rPr>
                <w:rFonts w:eastAsia="MS Gothic"/>
                <w:sz w:val="22"/>
              </w:rPr>
              <w:t xml:space="preserve"> = -.20, </w:t>
            </w:r>
            <w:r w:rsidRPr="00EC424B">
              <w:rPr>
                <w:rFonts w:eastAsia="MS Gothic"/>
                <w:i/>
                <w:sz w:val="22"/>
              </w:rPr>
              <w:t xml:space="preserve">p </w:t>
            </w:r>
            <w:r w:rsidRPr="00EC424B">
              <w:rPr>
                <w:rFonts w:eastAsia="MS Gothic"/>
                <w:sz w:val="22"/>
              </w:rPr>
              <w:t>&lt; .001</w:t>
            </w:r>
          </w:p>
        </w:tc>
        <w:tc>
          <w:tcPr>
            <w:tcW w:w="2891" w:type="dxa"/>
            <w:shd w:val="clear" w:color="auto" w:fill="auto"/>
            <w:hideMark/>
          </w:tcPr>
          <w:p w14:paraId="2771250D" w14:textId="77777777" w:rsidR="00922005" w:rsidRPr="00EC424B" w:rsidRDefault="00922005" w:rsidP="00922005">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MS Gothic"/>
                <w:i/>
                <w:sz w:val="22"/>
              </w:rPr>
            </w:pPr>
            <w:r w:rsidRPr="00EC424B">
              <w:rPr>
                <w:rFonts w:eastAsia="MS Gothic"/>
                <w:i/>
                <w:sz w:val="22"/>
              </w:rPr>
              <w:t>r</w:t>
            </w:r>
            <w:r w:rsidRPr="00EC424B">
              <w:rPr>
                <w:rFonts w:eastAsia="MS Gothic"/>
                <w:sz w:val="22"/>
              </w:rPr>
              <w:t xml:space="preserve"> = -.20, </w:t>
            </w:r>
            <w:r w:rsidRPr="00EC424B">
              <w:rPr>
                <w:rFonts w:eastAsia="MS Gothic"/>
                <w:i/>
                <w:sz w:val="22"/>
              </w:rPr>
              <w:t xml:space="preserve">p </w:t>
            </w:r>
            <w:r w:rsidRPr="00EC424B">
              <w:rPr>
                <w:rFonts w:eastAsia="MS Gothic"/>
                <w:sz w:val="22"/>
              </w:rPr>
              <w:t>&lt; .001</w:t>
            </w:r>
          </w:p>
        </w:tc>
        <w:tc>
          <w:tcPr>
            <w:tcW w:w="2551" w:type="dxa"/>
            <w:shd w:val="clear" w:color="auto" w:fill="auto"/>
            <w:hideMark/>
          </w:tcPr>
          <w:p w14:paraId="3AA73D30" w14:textId="77777777" w:rsidR="00922005" w:rsidRPr="00EC424B" w:rsidRDefault="00922005" w:rsidP="00922005">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MS Gothic"/>
                <w:sz w:val="22"/>
              </w:rPr>
            </w:pPr>
            <w:r w:rsidRPr="00EC424B">
              <w:rPr>
                <w:rFonts w:eastAsia="MS Gothic"/>
                <w:i/>
                <w:sz w:val="22"/>
              </w:rPr>
              <w:t xml:space="preserve">Z </w:t>
            </w:r>
            <w:r w:rsidRPr="00EC424B">
              <w:rPr>
                <w:rFonts w:eastAsia="MS Gothic"/>
                <w:sz w:val="22"/>
              </w:rPr>
              <w:t xml:space="preserve">= 0.14, </w:t>
            </w:r>
            <w:r w:rsidRPr="00EC424B">
              <w:rPr>
                <w:rFonts w:eastAsia="MS Gothic"/>
                <w:i/>
                <w:sz w:val="22"/>
              </w:rPr>
              <w:t xml:space="preserve">p </w:t>
            </w:r>
            <w:r w:rsidRPr="00EC424B">
              <w:rPr>
                <w:rFonts w:eastAsia="MS Gothic"/>
                <w:sz w:val="22"/>
              </w:rPr>
              <w:t>= .89</w:t>
            </w:r>
          </w:p>
        </w:tc>
      </w:tr>
      <w:tr w:rsidR="00922005" w:rsidRPr="00922005" w14:paraId="02E6926A" w14:textId="77777777" w:rsidTr="00245A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423" w:type="dxa"/>
            <w:tcBorders>
              <w:top w:val="nil"/>
              <w:left w:val="nil"/>
              <w:bottom w:val="single" w:sz="4" w:space="0" w:color="auto"/>
              <w:right w:val="nil"/>
            </w:tcBorders>
            <w:shd w:val="clear" w:color="auto" w:fill="auto"/>
            <w:hideMark/>
          </w:tcPr>
          <w:p w14:paraId="72A7217B" w14:textId="77777777" w:rsidR="00922005" w:rsidRPr="00EC424B" w:rsidRDefault="00922005" w:rsidP="00922005">
            <w:pPr>
              <w:spacing w:line="240" w:lineRule="auto"/>
              <w:ind w:firstLine="0"/>
              <w:rPr>
                <w:rFonts w:eastAsia="MS Gothic"/>
                <w:b w:val="0"/>
                <w:sz w:val="22"/>
              </w:rPr>
            </w:pPr>
            <w:proofErr w:type="spellStart"/>
            <w:r w:rsidRPr="00EC424B">
              <w:rPr>
                <w:rFonts w:eastAsia="MS Gothic"/>
                <w:b w:val="0"/>
                <w:sz w:val="22"/>
              </w:rPr>
              <w:t>Wierzbicki</w:t>
            </w:r>
            <w:proofErr w:type="spellEnd"/>
            <w:r w:rsidRPr="00EC424B">
              <w:rPr>
                <w:rFonts w:eastAsia="MS Gothic"/>
                <w:b w:val="0"/>
                <w:sz w:val="22"/>
              </w:rPr>
              <w:t xml:space="preserve"> (1985)</w:t>
            </w:r>
          </w:p>
        </w:tc>
        <w:tc>
          <w:tcPr>
            <w:tcW w:w="546" w:type="dxa"/>
            <w:tcBorders>
              <w:top w:val="nil"/>
              <w:left w:val="nil"/>
              <w:bottom w:val="single" w:sz="4" w:space="0" w:color="auto"/>
              <w:right w:val="nil"/>
            </w:tcBorders>
            <w:shd w:val="clear" w:color="auto" w:fill="auto"/>
            <w:hideMark/>
          </w:tcPr>
          <w:p w14:paraId="10BC5E67"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iCs/>
                <w:sz w:val="22"/>
              </w:rPr>
            </w:pPr>
            <w:r w:rsidRPr="00EC424B">
              <w:rPr>
                <w:rFonts w:eastAsia="MS Gothic"/>
                <w:iCs/>
                <w:sz w:val="22"/>
              </w:rPr>
              <w:t>64</w:t>
            </w:r>
          </w:p>
        </w:tc>
        <w:tc>
          <w:tcPr>
            <w:tcW w:w="1811" w:type="dxa"/>
            <w:tcBorders>
              <w:top w:val="nil"/>
              <w:left w:val="nil"/>
              <w:bottom w:val="single" w:sz="4" w:space="0" w:color="auto"/>
              <w:right w:val="nil"/>
            </w:tcBorders>
            <w:shd w:val="clear" w:color="auto" w:fill="auto"/>
            <w:hideMark/>
          </w:tcPr>
          <w:p w14:paraId="257E4C7E"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sz w:val="22"/>
              </w:rPr>
            </w:pPr>
            <w:r w:rsidRPr="00EC424B">
              <w:rPr>
                <w:rFonts w:eastAsia="MS Gothic"/>
                <w:sz w:val="22"/>
              </w:rPr>
              <w:t>BPS</w:t>
            </w:r>
          </w:p>
        </w:tc>
        <w:tc>
          <w:tcPr>
            <w:tcW w:w="2438" w:type="dxa"/>
            <w:tcBorders>
              <w:top w:val="nil"/>
              <w:left w:val="nil"/>
              <w:bottom w:val="single" w:sz="4" w:space="0" w:color="auto"/>
              <w:right w:val="nil"/>
            </w:tcBorders>
            <w:shd w:val="clear" w:color="auto" w:fill="auto"/>
            <w:hideMark/>
          </w:tcPr>
          <w:p w14:paraId="794944A7"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sz w:val="22"/>
              </w:rPr>
            </w:pPr>
            <w:r w:rsidRPr="00EC424B">
              <w:rPr>
                <w:rFonts w:eastAsia="MS Gothic"/>
                <w:sz w:val="22"/>
              </w:rPr>
              <w:t>Conditional Reasoning</w:t>
            </w:r>
          </w:p>
        </w:tc>
        <w:tc>
          <w:tcPr>
            <w:tcW w:w="2438" w:type="dxa"/>
            <w:tcBorders>
              <w:top w:val="nil"/>
              <w:left w:val="nil"/>
              <w:bottom w:val="single" w:sz="4" w:space="0" w:color="auto"/>
              <w:right w:val="nil"/>
            </w:tcBorders>
            <w:shd w:val="clear" w:color="auto" w:fill="auto"/>
            <w:hideMark/>
          </w:tcPr>
          <w:p w14:paraId="0ADBB46E"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sz w:val="22"/>
              </w:rPr>
            </w:pPr>
            <w:r w:rsidRPr="00EC424B">
              <w:rPr>
                <w:rFonts w:eastAsia="MS Gothic"/>
                <w:i/>
                <w:sz w:val="22"/>
              </w:rPr>
              <w:t>r</w:t>
            </w:r>
            <w:r w:rsidRPr="00EC424B">
              <w:rPr>
                <w:rFonts w:eastAsia="MS Gothic"/>
                <w:sz w:val="22"/>
              </w:rPr>
              <w:t xml:space="preserve"> = -.14, </w:t>
            </w:r>
            <w:r w:rsidRPr="00EC424B">
              <w:rPr>
                <w:rFonts w:eastAsia="MS Gothic"/>
                <w:i/>
                <w:sz w:val="22"/>
              </w:rPr>
              <w:t xml:space="preserve">p </w:t>
            </w:r>
            <w:r w:rsidRPr="00EC424B">
              <w:rPr>
                <w:rFonts w:eastAsia="MS Gothic"/>
                <w:sz w:val="22"/>
              </w:rPr>
              <w:t>= .27</w:t>
            </w:r>
          </w:p>
        </w:tc>
        <w:tc>
          <w:tcPr>
            <w:tcW w:w="2891" w:type="dxa"/>
            <w:tcBorders>
              <w:top w:val="nil"/>
              <w:left w:val="nil"/>
              <w:bottom w:val="single" w:sz="4" w:space="0" w:color="auto"/>
              <w:right w:val="nil"/>
            </w:tcBorders>
            <w:shd w:val="clear" w:color="auto" w:fill="auto"/>
            <w:hideMark/>
          </w:tcPr>
          <w:p w14:paraId="29A599E2"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sz w:val="22"/>
              </w:rPr>
            </w:pPr>
            <w:r w:rsidRPr="00EC424B">
              <w:rPr>
                <w:rFonts w:eastAsia="MS Gothic"/>
                <w:i/>
                <w:sz w:val="22"/>
              </w:rPr>
              <w:t>r</w:t>
            </w:r>
            <w:r w:rsidRPr="00EC424B">
              <w:rPr>
                <w:rFonts w:eastAsia="MS Gothic"/>
                <w:sz w:val="22"/>
              </w:rPr>
              <w:t xml:space="preserve"> = -.39, </w:t>
            </w:r>
            <w:r w:rsidRPr="00EC424B">
              <w:rPr>
                <w:rFonts w:eastAsia="MS Gothic"/>
                <w:i/>
                <w:sz w:val="22"/>
              </w:rPr>
              <w:t xml:space="preserve">p </w:t>
            </w:r>
            <w:r w:rsidRPr="00EC424B">
              <w:rPr>
                <w:rFonts w:eastAsia="MS Gothic"/>
                <w:sz w:val="22"/>
              </w:rPr>
              <w:t>= .001</w:t>
            </w:r>
          </w:p>
        </w:tc>
        <w:tc>
          <w:tcPr>
            <w:tcW w:w="2551" w:type="dxa"/>
            <w:tcBorders>
              <w:top w:val="nil"/>
              <w:left w:val="nil"/>
              <w:bottom w:val="single" w:sz="4" w:space="0" w:color="auto"/>
              <w:right w:val="nil"/>
            </w:tcBorders>
            <w:shd w:val="clear" w:color="auto" w:fill="auto"/>
            <w:hideMark/>
          </w:tcPr>
          <w:p w14:paraId="510D363D" w14:textId="77777777" w:rsidR="00922005" w:rsidRPr="00EC424B" w:rsidRDefault="00922005" w:rsidP="00922005">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MS Gothic"/>
                <w:sz w:val="22"/>
              </w:rPr>
            </w:pPr>
            <w:proofErr w:type="gramStart"/>
            <w:r w:rsidRPr="00EC424B">
              <w:rPr>
                <w:rFonts w:eastAsia="MS Gothic"/>
                <w:i/>
                <w:sz w:val="22"/>
              </w:rPr>
              <w:t>t</w:t>
            </w:r>
            <w:r w:rsidRPr="00EC424B">
              <w:rPr>
                <w:rFonts w:eastAsia="MS Gothic"/>
                <w:sz w:val="22"/>
              </w:rPr>
              <w:t>(</w:t>
            </w:r>
            <w:proofErr w:type="gramEnd"/>
            <w:r w:rsidRPr="00EC424B">
              <w:rPr>
                <w:rFonts w:eastAsia="MS Gothic"/>
                <w:sz w:val="22"/>
              </w:rPr>
              <w:t xml:space="preserve">62) = 1.75, </w:t>
            </w:r>
            <w:r w:rsidRPr="00EC424B">
              <w:rPr>
                <w:rFonts w:eastAsia="MS Gothic"/>
                <w:i/>
                <w:sz w:val="22"/>
              </w:rPr>
              <w:t xml:space="preserve">p </w:t>
            </w:r>
            <w:r w:rsidRPr="00EC424B">
              <w:rPr>
                <w:rFonts w:eastAsia="MS Gothic"/>
                <w:sz w:val="22"/>
              </w:rPr>
              <w:t>= .085</w:t>
            </w:r>
          </w:p>
        </w:tc>
      </w:tr>
    </w:tbl>
    <w:p w14:paraId="628B8E39" w14:textId="77777777" w:rsidR="00922005" w:rsidRPr="00922005" w:rsidRDefault="00922005" w:rsidP="00922005">
      <w:pPr>
        <w:spacing w:line="276" w:lineRule="auto"/>
        <w:ind w:firstLine="0"/>
        <w:rPr>
          <w:rFonts w:eastAsia="MS Gothic" w:cs="Times New Roman"/>
          <w:bCs/>
          <w:sz w:val="22"/>
          <w:lang w:val="en-GB"/>
        </w:rPr>
      </w:pPr>
      <w:r w:rsidRPr="00922005">
        <w:rPr>
          <w:rFonts w:eastAsia="MS Gothic" w:cs="Times New Roman"/>
          <w:bCs/>
          <w:szCs w:val="28"/>
          <w:vertAlign w:val="superscript"/>
          <w:lang w:val="en-GB"/>
        </w:rPr>
        <w:t>a</w:t>
      </w:r>
      <w:r w:rsidRPr="00922005">
        <w:rPr>
          <w:rFonts w:eastAsia="MS Gothic" w:cs="Times New Roman"/>
          <w:bCs/>
          <w:szCs w:val="28"/>
          <w:lang w:val="en-GB"/>
        </w:rPr>
        <w:t xml:space="preserve"> </w:t>
      </w:r>
      <w:r w:rsidRPr="00922005">
        <w:rPr>
          <w:rFonts w:eastAsia="MS Gothic" w:cs="Times New Roman"/>
          <w:bCs/>
          <w:sz w:val="22"/>
          <w:lang w:val="en-GB"/>
        </w:rPr>
        <w:t>R-PBS, Revised-Paranormal Belief Scale; ASGS, Australian Sheep Goat Scale; MMU-N, Manchester Metropolitan University New; BPS, Belief in Paranormal Scale; ESP, extrasensory perception subscale; PK, psychokinesis subscale; LAD, life after death subscale.</w:t>
      </w:r>
    </w:p>
    <w:p w14:paraId="29331E08" w14:textId="7A6473C3" w:rsidR="008B33DE" w:rsidRPr="00922005" w:rsidRDefault="00922005" w:rsidP="00922005">
      <w:pPr>
        <w:spacing w:line="276" w:lineRule="auto"/>
        <w:ind w:firstLine="0"/>
        <w:rPr>
          <w:rFonts w:eastAsia="Calibri" w:cs="Times New Roman"/>
          <w:b/>
          <w:szCs w:val="24"/>
          <w:lang w:val="en-GB"/>
        </w:rPr>
      </w:pPr>
      <w:r w:rsidRPr="00922005">
        <w:rPr>
          <w:rFonts w:eastAsia="MS Gothic" w:cs="Times New Roman"/>
          <w:bCs/>
          <w:szCs w:val="28"/>
          <w:vertAlign w:val="superscript"/>
          <w:lang w:val="en-GB"/>
        </w:rPr>
        <w:t>b</w:t>
      </w:r>
      <w:r w:rsidRPr="00922005">
        <w:rPr>
          <w:rFonts w:eastAsia="MS Gothic" w:cs="Times New Roman"/>
          <w:bCs/>
          <w:sz w:val="22"/>
          <w:lang w:val="en-GB"/>
        </w:rPr>
        <w:t xml:space="preserve"> Tests for statistically significant differences in the strength of the correlations were conducted using methods outlined </w:t>
      </w:r>
      <w:r w:rsidRPr="00922005">
        <w:rPr>
          <w:rFonts w:eastAsia="Arial" w:cs="Times New Roman"/>
          <w:sz w:val="22"/>
          <w:lang w:val="en-GB"/>
        </w:rPr>
        <w:t xml:space="preserve">in </w:t>
      </w:r>
      <w:proofErr w:type="spellStart"/>
      <w:r w:rsidRPr="00922005">
        <w:rPr>
          <w:rFonts w:eastAsia="Arial" w:cs="Times New Roman"/>
          <w:sz w:val="22"/>
          <w:lang w:val="en-GB"/>
        </w:rPr>
        <w:t>Steiger</w:t>
      </w:r>
      <w:proofErr w:type="spellEnd"/>
      <w:r w:rsidRPr="00922005">
        <w:rPr>
          <w:rFonts w:eastAsia="Arial" w:cs="Times New Roman"/>
          <w:sz w:val="22"/>
          <w:lang w:val="en-GB"/>
        </w:rPr>
        <w:t xml:space="preserve"> (1980).</w:t>
      </w:r>
    </w:p>
    <w:sectPr w:rsidR="008B33DE" w:rsidRPr="00922005" w:rsidSect="002B511E">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7A030" w14:textId="77777777" w:rsidR="000A34F2" w:rsidRDefault="000A34F2" w:rsidP="0069716E">
      <w:pPr>
        <w:spacing w:line="240" w:lineRule="auto"/>
      </w:pPr>
      <w:r>
        <w:separator/>
      </w:r>
    </w:p>
    <w:p w14:paraId="0558F987" w14:textId="77777777" w:rsidR="000A34F2" w:rsidRDefault="000A34F2"/>
    <w:p w14:paraId="41696A57" w14:textId="77777777" w:rsidR="000A34F2" w:rsidRDefault="000A34F2" w:rsidP="003A3B2D"/>
  </w:endnote>
  <w:endnote w:type="continuationSeparator" w:id="0">
    <w:p w14:paraId="0E089389" w14:textId="77777777" w:rsidR="000A34F2" w:rsidRDefault="000A34F2" w:rsidP="0069716E">
      <w:pPr>
        <w:spacing w:line="240" w:lineRule="auto"/>
      </w:pPr>
      <w:r>
        <w:continuationSeparator/>
      </w:r>
    </w:p>
    <w:p w14:paraId="7A109534" w14:textId="77777777" w:rsidR="000A34F2" w:rsidRDefault="000A34F2"/>
    <w:p w14:paraId="6938F30F" w14:textId="77777777" w:rsidR="000A34F2" w:rsidRDefault="000A34F2" w:rsidP="003A3B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A450C" w14:textId="77777777" w:rsidR="000A34F2" w:rsidRDefault="000A34F2" w:rsidP="0069716E">
      <w:pPr>
        <w:spacing w:line="240" w:lineRule="auto"/>
      </w:pPr>
      <w:r>
        <w:separator/>
      </w:r>
    </w:p>
    <w:p w14:paraId="7BD7A6F0" w14:textId="77777777" w:rsidR="000A34F2" w:rsidRDefault="000A34F2"/>
    <w:p w14:paraId="1B2C2D44" w14:textId="77777777" w:rsidR="000A34F2" w:rsidRDefault="000A34F2" w:rsidP="003A3B2D"/>
  </w:footnote>
  <w:footnote w:type="continuationSeparator" w:id="0">
    <w:p w14:paraId="5FDF8B77" w14:textId="77777777" w:rsidR="000A34F2" w:rsidRDefault="000A34F2" w:rsidP="0069716E">
      <w:pPr>
        <w:spacing w:line="240" w:lineRule="auto"/>
      </w:pPr>
      <w:r>
        <w:continuationSeparator/>
      </w:r>
    </w:p>
    <w:p w14:paraId="1DF63F28" w14:textId="77777777" w:rsidR="000A34F2" w:rsidRDefault="000A34F2"/>
    <w:p w14:paraId="0AE19CBA" w14:textId="77777777" w:rsidR="000A34F2" w:rsidRDefault="000A34F2" w:rsidP="003A3B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F1332" w14:textId="77777777" w:rsidR="000A34F2" w:rsidRDefault="000A34F2" w:rsidP="000F74C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500EFA" w14:textId="77777777" w:rsidR="000A34F2" w:rsidRDefault="000A34F2" w:rsidP="00A9632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99DBE" w14:textId="4339B034" w:rsidR="000A34F2" w:rsidRPr="00F303CB" w:rsidRDefault="000A34F2" w:rsidP="007C37C6">
    <w:pPr>
      <w:pStyle w:val="Header"/>
      <w:ind w:firstLine="0"/>
      <w:rPr>
        <w:rFonts w:cs="Times New Roman"/>
      </w:rPr>
    </w:pPr>
    <w:r>
      <w:rPr>
        <w:rFonts w:cs="Times New Roman"/>
      </w:rPr>
      <w:t>PROBABILISTIC REASONING</w:t>
    </w:r>
    <w:r w:rsidRPr="00F303CB">
      <w:rPr>
        <w:rFonts w:cs="Times New Roman"/>
      </w:rPr>
      <w:t xml:space="preserve"> AND ANOMALISTIC BELIEF</w:t>
    </w:r>
    <w:r w:rsidRPr="00F303CB">
      <w:rPr>
        <w:rFonts w:cs="Times New Roman"/>
      </w:rPr>
      <w:tab/>
    </w:r>
    <w:sdt>
      <w:sdtPr>
        <w:rPr>
          <w:rFonts w:cs="Times New Roman"/>
        </w:rPr>
        <w:id w:val="1939405736"/>
        <w:docPartObj>
          <w:docPartGallery w:val="Page Numbers (Top of Page)"/>
          <w:docPartUnique/>
        </w:docPartObj>
      </w:sdtPr>
      <w:sdtEndPr>
        <w:rPr>
          <w:noProof/>
        </w:rPr>
      </w:sdtEndPr>
      <w:sdtContent>
        <w:r w:rsidRPr="00F303CB">
          <w:rPr>
            <w:rFonts w:cs="Times New Roman"/>
          </w:rPr>
          <w:fldChar w:fldCharType="begin"/>
        </w:r>
        <w:r w:rsidRPr="00F303CB">
          <w:rPr>
            <w:rFonts w:cs="Times New Roman"/>
          </w:rPr>
          <w:instrText xml:space="preserve"> PAGE   \* MERGEFORMAT </w:instrText>
        </w:r>
        <w:r w:rsidRPr="00F303CB">
          <w:rPr>
            <w:rFonts w:cs="Times New Roman"/>
          </w:rPr>
          <w:fldChar w:fldCharType="separate"/>
        </w:r>
        <w:r>
          <w:rPr>
            <w:rFonts w:cs="Times New Roman"/>
            <w:noProof/>
          </w:rPr>
          <w:t>6</w:t>
        </w:r>
        <w:r w:rsidRPr="00F303CB">
          <w:rPr>
            <w:rFonts w:cs="Times New Roman"/>
            <w:noProof/>
          </w:rPr>
          <w:fldChar w:fldCharType="end"/>
        </w:r>
      </w:sdtContent>
    </w:sdt>
  </w:p>
  <w:p w14:paraId="79B56CA5" w14:textId="77777777" w:rsidR="000A34F2" w:rsidRDefault="000A34F2" w:rsidP="00A96321">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D5735" w14:textId="77777777" w:rsidR="000A34F2" w:rsidRDefault="000A34F2" w:rsidP="000F74C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973EE8" w14:textId="77777777" w:rsidR="000A34F2" w:rsidRDefault="000A34F2" w:rsidP="00A96321">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118E6" w14:textId="6CCA1CC6" w:rsidR="000A34F2" w:rsidRPr="007A2F76" w:rsidRDefault="000A34F2" w:rsidP="003E090A">
    <w:pPr>
      <w:pStyle w:val="Header"/>
      <w:ind w:firstLine="0"/>
      <w:rPr>
        <w:rFonts w:cs="Times New Roman"/>
        <w:szCs w:val="24"/>
      </w:rPr>
    </w:pPr>
    <w:r w:rsidRPr="007A2F76">
      <w:rPr>
        <w:rFonts w:cs="Times New Roman"/>
        <w:szCs w:val="24"/>
      </w:rPr>
      <w:t>PROBABILISTIC REASONING AND ANOMALISTIC BELIEF</w:t>
    </w:r>
    <w:r w:rsidRPr="007A2F76">
      <w:rPr>
        <w:rFonts w:cs="Times New Roman"/>
        <w:szCs w:val="24"/>
      </w:rPr>
      <w:tab/>
    </w:r>
    <w:sdt>
      <w:sdtPr>
        <w:rPr>
          <w:rFonts w:cs="Times New Roman"/>
          <w:szCs w:val="24"/>
        </w:rPr>
        <w:id w:val="539785845"/>
        <w:docPartObj>
          <w:docPartGallery w:val="Page Numbers (Top of Page)"/>
          <w:docPartUnique/>
        </w:docPartObj>
      </w:sdtPr>
      <w:sdtEndPr>
        <w:rPr>
          <w:noProof/>
        </w:rPr>
      </w:sdtEndPr>
      <w:sdtContent>
        <w:r w:rsidRPr="007A2F76">
          <w:rPr>
            <w:rFonts w:cs="Times New Roman"/>
            <w:szCs w:val="24"/>
          </w:rPr>
          <w:fldChar w:fldCharType="begin"/>
        </w:r>
        <w:r w:rsidRPr="007A2F76">
          <w:rPr>
            <w:rFonts w:cs="Times New Roman"/>
            <w:szCs w:val="24"/>
          </w:rPr>
          <w:instrText xml:space="preserve"> PAGE   \* MERGEFORMAT </w:instrText>
        </w:r>
        <w:r w:rsidRPr="007A2F76">
          <w:rPr>
            <w:rFonts w:cs="Times New Roman"/>
            <w:szCs w:val="24"/>
          </w:rPr>
          <w:fldChar w:fldCharType="separate"/>
        </w:r>
        <w:r>
          <w:rPr>
            <w:rFonts w:cs="Times New Roman"/>
            <w:noProof/>
            <w:szCs w:val="24"/>
          </w:rPr>
          <w:t>47</w:t>
        </w:r>
        <w:r w:rsidRPr="007A2F76">
          <w:rPr>
            <w:rFonts w:cs="Times New Roman"/>
            <w:noProof/>
            <w:szCs w:val="24"/>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22576"/>
    <w:multiLevelType w:val="hybridMultilevel"/>
    <w:tmpl w:val="1486C5DA"/>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A47644"/>
    <w:multiLevelType w:val="hybridMultilevel"/>
    <w:tmpl w:val="30629B4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F64547"/>
    <w:multiLevelType w:val="hybridMultilevel"/>
    <w:tmpl w:val="0ED8D0A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B3803"/>
    <w:multiLevelType w:val="hybridMultilevel"/>
    <w:tmpl w:val="CDC238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D0294F"/>
    <w:multiLevelType w:val="hybridMultilevel"/>
    <w:tmpl w:val="CDC238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4D23671"/>
    <w:multiLevelType w:val="hybridMultilevel"/>
    <w:tmpl w:val="7A4C2C62"/>
    <w:lvl w:ilvl="0" w:tplc="183C1D4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125133"/>
    <w:multiLevelType w:val="hybridMultilevel"/>
    <w:tmpl w:val="B9EE6C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65488F"/>
    <w:multiLevelType w:val="hybridMultilevel"/>
    <w:tmpl w:val="A44C6AF0"/>
    <w:lvl w:ilvl="0" w:tplc="B0E499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E007438"/>
    <w:multiLevelType w:val="hybridMultilevel"/>
    <w:tmpl w:val="63529E8C"/>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D60E10"/>
    <w:multiLevelType w:val="hybridMultilevel"/>
    <w:tmpl w:val="1114A04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33F32F3B"/>
    <w:multiLevelType w:val="hybridMultilevel"/>
    <w:tmpl w:val="CDC238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B05382"/>
    <w:multiLevelType w:val="hybridMultilevel"/>
    <w:tmpl w:val="DEACE590"/>
    <w:lvl w:ilvl="0" w:tplc="B0E499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1674761"/>
    <w:multiLevelType w:val="hybridMultilevel"/>
    <w:tmpl w:val="6FC8BD18"/>
    <w:lvl w:ilvl="0" w:tplc="B0E4999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EC7285"/>
    <w:multiLevelType w:val="hybridMultilevel"/>
    <w:tmpl w:val="63529E8C"/>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773738"/>
    <w:multiLevelType w:val="hybridMultilevel"/>
    <w:tmpl w:val="23720FC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610593F"/>
    <w:multiLevelType w:val="hybridMultilevel"/>
    <w:tmpl w:val="0F9064A8"/>
    <w:lvl w:ilvl="0" w:tplc="B0E4999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A54361"/>
    <w:multiLevelType w:val="hybridMultilevel"/>
    <w:tmpl w:val="5A34E39E"/>
    <w:lvl w:ilvl="0" w:tplc="B0E4999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CF3625"/>
    <w:multiLevelType w:val="multilevel"/>
    <w:tmpl w:val="C37A9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E0622C"/>
    <w:multiLevelType w:val="hybridMultilevel"/>
    <w:tmpl w:val="DA268634"/>
    <w:lvl w:ilvl="0" w:tplc="08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B6D72C4"/>
    <w:multiLevelType w:val="hybridMultilevel"/>
    <w:tmpl w:val="0F9064A8"/>
    <w:lvl w:ilvl="0" w:tplc="B0E4999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4E09DE"/>
    <w:multiLevelType w:val="hybridMultilevel"/>
    <w:tmpl w:val="0ED8D0A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9E46002"/>
    <w:multiLevelType w:val="hybridMultilevel"/>
    <w:tmpl w:val="0E729688"/>
    <w:lvl w:ilvl="0" w:tplc="335CD8FE">
      <w:start w:val="1"/>
      <w:numFmt w:val="decimal"/>
      <w:lvlText w:val="%1."/>
      <w:lvlJc w:val="left"/>
      <w:pPr>
        <w:ind w:left="45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B442184"/>
    <w:multiLevelType w:val="multilevel"/>
    <w:tmpl w:val="07B29B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DF62664"/>
    <w:multiLevelType w:val="hybridMultilevel"/>
    <w:tmpl w:val="3FC032EC"/>
    <w:lvl w:ilvl="0" w:tplc="335CD8FE">
      <w:start w:val="1"/>
      <w:numFmt w:val="decimal"/>
      <w:lvlText w:val="%1."/>
      <w:lvlJc w:val="left"/>
      <w:pPr>
        <w:ind w:left="45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2"/>
  </w:num>
  <w:num w:numId="2">
    <w:abstractNumId w:val="5"/>
  </w:num>
  <w:num w:numId="3">
    <w:abstractNumId w:val="9"/>
  </w:num>
  <w:num w:numId="4">
    <w:abstractNumId w:val="14"/>
  </w:num>
  <w:num w:numId="5">
    <w:abstractNumId w:val="6"/>
  </w:num>
  <w:num w:numId="6">
    <w:abstractNumId w:val="4"/>
  </w:num>
  <w:num w:numId="7">
    <w:abstractNumId w:val="10"/>
  </w:num>
  <w:num w:numId="8">
    <w:abstractNumId w:val="12"/>
  </w:num>
  <w:num w:numId="9">
    <w:abstractNumId w:val="2"/>
  </w:num>
  <w:num w:numId="10">
    <w:abstractNumId w:val="18"/>
  </w:num>
  <w:num w:numId="11">
    <w:abstractNumId w:val="3"/>
  </w:num>
  <w:num w:numId="12">
    <w:abstractNumId w:val="20"/>
  </w:num>
  <w:num w:numId="13">
    <w:abstractNumId w:val="0"/>
  </w:num>
  <w:num w:numId="14">
    <w:abstractNumId w:val="1"/>
  </w:num>
  <w:num w:numId="15">
    <w:abstractNumId w:val="13"/>
  </w:num>
  <w:num w:numId="16">
    <w:abstractNumId w:val="8"/>
  </w:num>
  <w:num w:numId="17">
    <w:abstractNumId w:val="19"/>
  </w:num>
  <w:num w:numId="18">
    <w:abstractNumId w:val="16"/>
  </w:num>
  <w:num w:numId="19">
    <w:abstractNumId w:val="15"/>
  </w:num>
  <w:num w:numId="20">
    <w:abstractNumId w:val="7"/>
  </w:num>
  <w:num w:numId="21">
    <w:abstractNumId w:val="21"/>
  </w:num>
  <w:num w:numId="22">
    <w:abstractNumId w:val="11"/>
  </w:num>
  <w:num w:numId="23">
    <w:abstractNumId w:val="17"/>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0" w:nlCheck="1" w:checkStyle="1"/>
  <w:activeWritingStyle w:appName="MSWord" w:lang="en-GB" w:vendorID="64" w:dllVersion="0" w:nlCheck="1" w:checkStyle="1"/>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8B3"/>
    <w:rsid w:val="000012CB"/>
    <w:rsid w:val="00001C46"/>
    <w:rsid w:val="000023E1"/>
    <w:rsid w:val="00004F63"/>
    <w:rsid w:val="00005153"/>
    <w:rsid w:val="000056F5"/>
    <w:rsid w:val="00006926"/>
    <w:rsid w:val="000075ED"/>
    <w:rsid w:val="00011DD9"/>
    <w:rsid w:val="0001236E"/>
    <w:rsid w:val="00014340"/>
    <w:rsid w:val="00014E22"/>
    <w:rsid w:val="00014F50"/>
    <w:rsid w:val="00016000"/>
    <w:rsid w:val="00017296"/>
    <w:rsid w:val="000173DE"/>
    <w:rsid w:val="0001770D"/>
    <w:rsid w:val="00017BBC"/>
    <w:rsid w:val="00020750"/>
    <w:rsid w:val="0002125C"/>
    <w:rsid w:val="00021A63"/>
    <w:rsid w:val="00021BB3"/>
    <w:rsid w:val="00023C96"/>
    <w:rsid w:val="00024060"/>
    <w:rsid w:val="00024D01"/>
    <w:rsid w:val="000255E5"/>
    <w:rsid w:val="00026B99"/>
    <w:rsid w:val="00027414"/>
    <w:rsid w:val="00027E5A"/>
    <w:rsid w:val="000313B3"/>
    <w:rsid w:val="000316BB"/>
    <w:rsid w:val="000326EB"/>
    <w:rsid w:val="00032A25"/>
    <w:rsid w:val="00032C7F"/>
    <w:rsid w:val="000332A9"/>
    <w:rsid w:val="000341D9"/>
    <w:rsid w:val="0003597E"/>
    <w:rsid w:val="000360DF"/>
    <w:rsid w:val="0003631A"/>
    <w:rsid w:val="000366F4"/>
    <w:rsid w:val="00040F75"/>
    <w:rsid w:val="00041421"/>
    <w:rsid w:val="00043162"/>
    <w:rsid w:val="000433D0"/>
    <w:rsid w:val="00043A2C"/>
    <w:rsid w:val="00045165"/>
    <w:rsid w:val="00045216"/>
    <w:rsid w:val="00045D41"/>
    <w:rsid w:val="00046E89"/>
    <w:rsid w:val="000507B7"/>
    <w:rsid w:val="00051728"/>
    <w:rsid w:val="0005188C"/>
    <w:rsid w:val="00052E62"/>
    <w:rsid w:val="000537B5"/>
    <w:rsid w:val="000564BF"/>
    <w:rsid w:val="00056BF6"/>
    <w:rsid w:val="00056CE2"/>
    <w:rsid w:val="00056DE1"/>
    <w:rsid w:val="000570BE"/>
    <w:rsid w:val="00057FA3"/>
    <w:rsid w:val="0006072E"/>
    <w:rsid w:val="00060B9A"/>
    <w:rsid w:val="00060C1C"/>
    <w:rsid w:val="00061457"/>
    <w:rsid w:val="000617B5"/>
    <w:rsid w:val="000635C7"/>
    <w:rsid w:val="00064236"/>
    <w:rsid w:val="00064649"/>
    <w:rsid w:val="0006565A"/>
    <w:rsid w:val="000669DD"/>
    <w:rsid w:val="00066D67"/>
    <w:rsid w:val="00066E94"/>
    <w:rsid w:val="00066FBD"/>
    <w:rsid w:val="000676AF"/>
    <w:rsid w:val="000713AA"/>
    <w:rsid w:val="00071888"/>
    <w:rsid w:val="00071F68"/>
    <w:rsid w:val="00072DFB"/>
    <w:rsid w:val="00073338"/>
    <w:rsid w:val="00073643"/>
    <w:rsid w:val="00074034"/>
    <w:rsid w:val="00074FF8"/>
    <w:rsid w:val="000753DE"/>
    <w:rsid w:val="00075A25"/>
    <w:rsid w:val="0008001C"/>
    <w:rsid w:val="000803DE"/>
    <w:rsid w:val="00081EAE"/>
    <w:rsid w:val="0008235F"/>
    <w:rsid w:val="0008286D"/>
    <w:rsid w:val="000835EA"/>
    <w:rsid w:val="000840F6"/>
    <w:rsid w:val="0008590B"/>
    <w:rsid w:val="00086E88"/>
    <w:rsid w:val="00087192"/>
    <w:rsid w:val="0008737A"/>
    <w:rsid w:val="000879DF"/>
    <w:rsid w:val="00087A5D"/>
    <w:rsid w:val="000911BD"/>
    <w:rsid w:val="00092EA8"/>
    <w:rsid w:val="00095A71"/>
    <w:rsid w:val="000A0F3B"/>
    <w:rsid w:val="000A10A4"/>
    <w:rsid w:val="000A1FE0"/>
    <w:rsid w:val="000A2083"/>
    <w:rsid w:val="000A212E"/>
    <w:rsid w:val="000A34F2"/>
    <w:rsid w:val="000A3C1A"/>
    <w:rsid w:val="000A3C94"/>
    <w:rsid w:val="000A55A5"/>
    <w:rsid w:val="000A6F14"/>
    <w:rsid w:val="000A70BF"/>
    <w:rsid w:val="000B10D7"/>
    <w:rsid w:val="000B2018"/>
    <w:rsid w:val="000B21E6"/>
    <w:rsid w:val="000B3609"/>
    <w:rsid w:val="000B3AEB"/>
    <w:rsid w:val="000B3D9C"/>
    <w:rsid w:val="000B528B"/>
    <w:rsid w:val="000B5B0B"/>
    <w:rsid w:val="000B5E41"/>
    <w:rsid w:val="000C03EE"/>
    <w:rsid w:val="000C0E38"/>
    <w:rsid w:val="000C1B48"/>
    <w:rsid w:val="000C207F"/>
    <w:rsid w:val="000C20E4"/>
    <w:rsid w:val="000C29BE"/>
    <w:rsid w:val="000C37EA"/>
    <w:rsid w:val="000C395B"/>
    <w:rsid w:val="000C4356"/>
    <w:rsid w:val="000C55D6"/>
    <w:rsid w:val="000C6AF5"/>
    <w:rsid w:val="000D0737"/>
    <w:rsid w:val="000D0B39"/>
    <w:rsid w:val="000D0F22"/>
    <w:rsid w:val="000D2399"/>
    <w:rsid w:val="000D2509"/>
    <w:rsid w:val="000D36A2"/>
    <w:rsid w:val="000D37E2"/>
    <w:rsid w:val="000D531E"/>
    <w:rsid w:val="000D5BC1"/>
    <w:rsid w:val="000D607D"/>
    <w:rsid w:val="000D617B"/>
    <w:rsid w:val="000E00F3"/>
    <w:rsid w:val="000E0570"/>
    <w:rsid w:val="000E0819"/>
    <w:rsid w:val="000E0F49"/>
    <w:rsid w:val="000E114D"/>
    <w:rsid w:val="000E1AAB"/>
    <w:rsid w:val="000E2012"/>
    <w:rsid w:val="000E2155"/>
    <w:rsid w:val="000E33DB"/>
    <w:rsid w:val="000E38DB"/>
    <w:rsid w:val="000E51DC"/>
    <w:rsid w:val="000E5372"/>
    <w:rsid w:val="000E6BC3"/>
    <w:rsid w:val="000E7474"/>
    <w:rsid w:val="000F4101"/>
    <w:rsid w:val="000F4E7A"/>
    <w:rsid w:val="000F699C"/>
    <w:rsid w:val="000F6BD6"/>
    <w:rsid w:val="000F74CF"/>
    <w:rsid w:val="000F7B28"/>
    <w:rsid w:val="000F7E75"/>
    <w:rsid w:val="00100531"/>
    <w:rsid w:val="0010080B"/>
    <w:rsid w:val="0010150D"/>
    <w:rsid w:val="001024E4"/>
    <w:rsid w:val="00102BFB"/>
    <w:rsid w:val="001030A3"/>
    <w:rsid w:val="0010404C"/>
    <w:rsid w:val="001042AB"/>
    <w:rsid w:val="001061AE"/>
    <w:rsid w:val="001064CB"/>
    <w:rsid w:val="00107257"/>
    <w:rsid w:val="001103B0"/>
    <w:rsid w:val="001116A0"/>
    <w:rsid w:val="00111AE7"/>
    <w:rsid w:val="00111FA4"/>
    <w:rsid w:val="001128A1"/>
    <w:rsid w:val="00112BE1"/>
    <w:rsid w:val="00113409"/>
    <w:rsid w:val="001139D7"/>
    <w:rsid w:val="00114BC9"/>
    <w:rsid w:val="00115698"/>
    <w:rsid w:val="001164CB"/>
    <w:rsid w:val="001170A3"/>
    <w:rsid w:val="0012022C"/>
    <w:rsid w:val="00120389"/>
    <w:rsid w:val="00120AF1"/>
    <w:rsid w:val="00121B85"/>
    <w:rsid w:val="00122663"/>
    <w:rsid w:val="00122C0F"/>
    <w:rsid w:val="00123624"/>
    <w:rsid w:val="00124969"/>
    <w:rsid w:val="00125223"/>
    <w:rsid w:val="00126CC1"/>
    <w:rsid w:val="0013048B"/>
    <w:rsid w:val="001304EB"/>
    <w:rsid w:val="001308A7"/>
    <w:rsid w:val="0013125E"/>
    <w:rsid w:val="0013126B"/>
    <w:rsid w:val="0013132A"/>
    <w:rsid w:val="00131688"/>
    <w:rsid w:val="001322E5"/>
    <w:rsid w:val="0013287C"/>
    <w:rsid w:val="00132D5F"/>
    <w:rsid w:val="00133DA2"/>
    <w:rsid w:val="00134678"/>
    <w:rsid w:val="001347C3"/>
    <w:rsid w:val="00134C6A"/>
    <w:rsid w:val="00134CF1"/>
    <w:rsid w:val="00135D0D"/>
    <w:rsid w:val="00135D22"/>
    <w:rsid w:val="00136402"/>
    <w:rsid w:val="00136B5C"/>
    <w:rsid w:val="00140F51"/>
    <w:rsid w:val="00143222"/>
    <w:rsid w:val="00143AB6"/>
    <w:rsid w:val="00145607"/>
    <w:rsid w:val="001468FD"/>
    <w:rsid w:val="001471CD"/>
    <w:rsid w:val="00147B8D"/>
    <w:rsid w:val="00150A79"/>
    <w:rsid w:val="00150EDD"/>
    <w:rsid w:val="00150F71"/>
    <w:rsid w:val="00151A83"/>
    <w:rsid w:val="0015374F"/>
    <w:rsid w:val="001554C7"/>
    <w:rsid w:val="001555B9"/>
    <w:rsid w:val="00155AE5"/>
    <w:rsid w:val="00156261"/>
    <w:rsid w:val="0015684A"/>
    <w:rsid w:val="00157822"/>
    <w:rsid w:val="00161FDB"/>
    <w:rsid w:val="001638F3"/>
    <w:rsid w:val="00164821"/>
    <w:rsid w:val="00164B32"/>
    <w:rsid w:val="00164C00"/>
    <w:rsid w:val="00164E35"/>
    <w:rsid w:val="001660DB"/>
    <w:rsid w:val="00166DD1"/>
    <w:rsid w:val="0016774F"/>
    <w:rsid w:val="001726AB"/>
    <w:rsid w:val="001733FF"/>
    <w:rsid w:val="00173973"/>
    <w:rsid w:val="0017400B"/>
    <w:rsid w:val="001807EA"/>
    <w:rsid w:val="001810DD"/>
    <w:rsid w:val="00182227"/>
    <w:rsid w:val="001828A9"/>
    <w:rsid w:val="00183D64"/>
    <w:rsid w:val="00184269"/>
    <w:rsid w:val="00185B47"/>
    <w:rsid w:val="001876EC"/>
    <w:rsid w:val="0019322E"/>
    <w:rsid w:val="00193B37"/>
    <w:rsid w:val="00193FC8"/>
    <w:rsid w:val="001946E9"/>
    <w:rsid w:val="001973B3"/>
    <w:rsid w:val="001974D7"/>
    <w:rsid w:val="001A030D"/>
    <w:rsid w:val="001A16A2"/>
    <w:rsid w:val="001A1954"/>
    <w:rsid w:val="001A3636"/>
    <w:rsid w:val="001A38C5"/>
    <w:rsid w:val="001A3EB8"/>
    <w:rsid w:val="001A424F"/>
    <w:rsid w:val="001A429A"/>
    <w:rsid w:val="001A47CC"/>
    <w:rsid w:val="001A493B"/>
    <w:rsid w:val="001A4B05"/>
    <w:rsid w:val="001A521B"/>
    <w:rsid w:val="001A673E"/>
    <w:rsid w:val="001B26E0"/>
    <w:rsid w:val="001B2880"/>
    <w:rsid w:val="001B3D87"/>
    <w:rsid w:val="001B4FB5"/>
    <w:rsid w:val="001B6681"/>
    <w:rsid w:val="001B7050"/>
    <w:rsid w:val="001B71FC"/>
    <w:rsid w:val="001B7ACF"/>
    <w:rsid w:val="001C20A0"/>
    <w:rsid w:val="001C388D"/>
    <w:rsid w:val="001C3932"/>
    <w:rsid w:val="001C4304"/>
    <w:rsid w:val="001C47BB"/>
    <w:rsid w:val="001C59A9"/>
    <w:rsid w:val="001C6F78"/>
    <w:rsid w:val="001D0BE3"/>
    <w:rsid w:val="001D0F4C"/>
    <w:rsid w:val="001D1508"/>
    <w:rsid w:val="001D24A1"/>
    <w:rsid w:val="001D25F3"/>
    <w:rsid w:val="001D29B9"/>
    <w:rsid w:val="001D443B"/>
    <w:rsid w:val="001D541E"/>
    <w:rsid w:val="001D56F8"/>
    <w:rsid w:val="001D633E"/>
    <w:rsid w:val="001D657C"/>
    <w:rsid w:val="001D6DA8"/>
    <w:rsid w:val="001D7790"/>
    <w:rsid w:val="001D77AA"/>
    <w:rsid w:val="001D77BB"/>
    <w:rsid w:val="001E15DA"/>
    <w:rsid w:val="001E1B69"/>
    <w:rsid w:val="001E3E0E"/>
    <w:rsid w:val="001E533B"/>
    <w:rsid w:val="001E6DFC"/>
    <w:rsid w:val="001F022D"/>
    <w:rsid w:val="001F0565"/>
    <w:rsid w:val="001F203F"/>
    <w:rsid w:val="001F2292"/>
    <w:rsid w:val="001F23EC"/>
    <w:rsid w:val="001F311C"/>
    <w:rsid w:val="001F35D0"/>
    <w:rsid w:val="001F3F87"/>
    <w:rsid w:val="001F67F6"/>
    <w:rsid w:val="001F77DE"/>
    <w:rsid w:val="001F7DA0"/>
    <w:rsid w:val="002001D2"/>
    <w:rsid w:val="00201F0B"/>
    <w:rsid w:val="00202140"/>
    <w:rsid w:val="00202B79"/>
    <w:rsid w:val="00202BA3"/>
    <w:rsid w:val="00204E5F"/>
    <w:rsid w:val="002050A6"/>
    <w:rsid w:val="00205394"/>
    <w:rsid w:val="00205F88"/>
    <w:rsid w:val="00206747"/>
    <w:rsid w:val="0020692F"/>
    <w:rsid w:val="00206A58"/>
    <w:rsid w:val="00207A95"/>
    <w:rsid w:val="00210FF8"/>
    <w:rsid w:val="0021153D"/>
    <w:rsid w:val="00211E9D"/>
    <w:rsid w:val="00211FBA"/>
    <w:rsid w:val="0021215D"/>
    <w:rsid w:val="002124C0"/>
    <w:rsid w:val="0021285B"/>
    <w:rsid w:val="00214B91"/>
    <w:rsid w:val="00216AA2"/>
    <w:rsid w:val="00220506"/>
    <w:rsid w:val="00220B12"/>
    <w:rsid w:val="00220C91"/>
    <w:rsid w:val="00221F81"/>
    <w:rsid w:val="002220DE"/>
    <w:rsid w:val="002226BA"/>
    <w:rsid w:val="0022292E"/>
    <w:rsid w:val="00223298"/>
    <w:rsid w:val="002236D0"/>
    <w:rsid w:val="0022442A"/>
    <w:rsid w:val="0022463E"/>
    <w:rsid w:val="0022580E"/>
    <w:rsid w:val="002259F6"/>
    <w:rsid w:val="00226A40"/>
    <w:rsid w:val="00227354"/>
    <w:rsid w:val="00227B38"/>
    <w:rsid w:val="00230177"/>
    <w:rsid w:val="00230637"/>
    <w:rsid w:val="00232BD3"/>
    <w:rsid w:val="002338B4"/>
    <w:rsid w:val="00233BC0"/>
    <w:rsid w:val="00233ED2"/>
    <w:rsid w:val="00234D27"/>
    <w:rsid w:val="00236D4B"/>
    <w:rsid w:val="0023792D"/>
    <w:rsid w:val="0024152B"/>
    <w:rsid w:val="00242F99"/>
    <w:rsid w:val="002439F5"/>
    <w:rsid w:val="002439F7"/>
    <w:rsid w:val="00244090"/>
    <w:rsid w:val="00244534"/>
    <w:rsid w:val="00245A59"/>
    <w:rsid w:val="0024603D"/>
    <w:rsid w:val="00246F04"/>
    <w:rsid w:val="002470DA"/>
    <w:rsid w:val="00247530"/>
    <w:rsid w:val="0025154E"/>
    <w:rsid w:val="002521EB"/>
    <w:rsid w:val="00255F1C"/>
    <w:rsid w:val="00256232"/>
    <w:rsid w:val="0025735D"/>
    <w:rsid w:val="00257A48"/>
    <w:rsid w:val="00260983"/>
    <w:rsid w:val="00260F2E"/>
    <w:rsid w:val="00261722"/>
    <w:rsid w:val="0026281D"/>
    <w:rsid w:val="00262C7F"/>
    <w:rsid w:val="00263802"/>
    <w:rsid w:val="002640B0"/>
    <w:rsid w:val="00264173"/>
    <w:rsid w:val="002647B8"/>
    <w:rsid w:val="002659AB"/>
    <w:rsid w:val="00266BAE"/>
    <w:rsid w:val="00266FC1"/>
    <w:rsid w:val="00267E1E"/>
    <w:rsid w:val="00271BE3"/>
    <w:rsid w:val="00273AD8"/>
    <w:rsid w:val="00273CF0"/>
    <w:rsid w:val="002752B3"/>
    <w:rsid w:val="002762BA"/>
    <w:rsid w:val="00276745"/>
    <w:rsid w:val="00276F49"/>
    <w:rsid w:val="00277B5A"/>
    <w:rsid w:val="00277D88"/>
    <w:rsid w:val="00281663"/>
    <w:rsid w:val="00282255"/>
    <w:rsid w:val="002822DF"/>
    <w:rsid w:val="002828BF"/>
    <w:rsid w:val="002843E8"/>
    <w:rsid w:val="0028484A"/>
    <w:rsid w:val="00285119"/>
    <w:rsid w:val="0028525A"/>
    <w:rsid w:val="00285A5D"/>
    <w:rsid w:val="00286145"/>
    <w:rsid w:val="00286D76"/>
    <w:rsid w:val="0028789A"/>
    <w:rsid w:val="002908D0"/>
    <w:rsid w:val="00290B0F"/>
    <w:rsid w:val="00290EB4"/>
    <w:rsid w:val="002911AD"/>
    <w:rsid w:val="00292B83"/>
    <w:rsid w:val="00292D00"/>
    <w:rsid w:val="002932C9"/>
    <w:rsid w:val="002946DD"/>
    <w:rsid w:val="00295BFB"/>
    <w:rsid w:val="00295CB2"/>
    <w:rsid w:val="002976A4"/>
    <w:rsid w:val="00297D1C"/>
    <w:rsid w:val="002A02C3"/>
    <w:rsid w:val="002A0373"/>
    <w:rsid w:val="002A05B3"/>
    <w:rsid w:val="002A1AF8"/>
    <w:rsid w:val="002A2010"/>
    <w:rsid w:val="002A2EB4"/>
    <w:rsid w:val="002A5F72"/>
    <w:rsid w:val="002A6B07"/>
    <w:rsid w:val="002A7235"/>
    <w:rsid w:val="002A7A02"/>
    <w:rsid w:val="002A7C29"/>
    <w:rsid w:val="002B0BD5"/>
    <w:rsid w:val="002B1060"/>
    <w:rsid w:val="002B1344"/>
    <w:rsid w:val="002B23E3"/>
    <w:rsid w:val="002B3AAB"/>
    <w:rsid w:val="002B4629"/>
    <w:rsid w:val="002B4BC6"/>
    <w:rsid w:val="002B511E"/>
    <w:rsid w:val="002B5346"/>
    <w:rsid w:val="002B6018"/>
    <w:rsid w:val="002B6342"/>
    <w:rsid w:val="002B6A65"/>
    <w:rsid w:val="002B754B"/>
    <w:rsid w:val="002B7AF8"/>
    <w:rsid w:val="002C04DB"/>
    <w:rsid w:val="002C2EBD"/>
    <w:rsid w:val="002C4FE3"/>
    <w:rsid w:val="002C50FA"/>
    <w:rsid w:val="002C54AF"/>
    <w:rsid w:val="002C582E"/>
    <w:rsid w:val="002C5E8B"/>
    <w:rsid w:val="002C6905"/>
    <w:rsid w:val="002C78E2"/>
    <w:rsid w:val="002C7979"/>
    <w:rsid w:val="002D1AA1"/>
    <w:rsid w:val="002D1F1F"/>
    <w:rsid w:val="002D22EF"/>
    <w:rsid w:val="002D2F5F"/>
    <w:rsid w:val="002D42F0"/>
    <w:rsid w:val="002D531E"/>
    <w:rsid w:val="002D57CD"/>
    <w:rsid w:val="002D781B"/>
    <w:rsid w:val="002E00CB"/>
    <w:rsid w:val="002E00DC"/>
    <w:rsid w:val="002E0263"/>
    <w:rsid w:val="002E1D8B"/>
    <w:rsid w:val="002E224F"/>
    <w:rsid w:val="002E249E"/>
    <w:rsid w:val="002E30C0"/>
    <w:rsid w:val="002E3709"/>
    <w:rsid w:val="002E603A"/>
    <w:rsid w:val="002E6FC9"/>
    <w:rsid w:val="002E7136"/>
    <w:rsid w:val="002F079D"/>
    <w:rsid w:val="002F19F9"/>
    <w:rsid w:val="002F2738"/>
    <w:rsid w:val="002F276A"/>
    <w:rsid w:val="002F2867"/>
    <w:rsid w:val="002F29BA"/>
    <w:rsid w:val="002F2A55"/>
    <w:rsid w:val="002F3AD7"/>
    <w:rsid w:val="002F3B90"/>
    <w:rsid w:val="002F3E8C"/>
    <w:rsid w:val="002F3F5E"/>
    <w:rsid w:val="002F4106"/>
    <w:rsid w:val="002F5F45"/>
    <w:rsid w:val="00300230"/>
    <w:rsid w:val="003002A2"/>
    <w:rsid w:val="00301271"/>
    <w:rsid w:val="00301785"/>
    <w:rsid w:val="003023A9"/>
    <w:rsid w:val="00302F49"/>
    <w:rsid w:val="00303235"/>
    <w:rsid w:val="003048C9"/>
    <w:rsid w:val="0030509B"/>
    <w:rsid w:val="00306B35"/>
    <w:rsid w:val="00307E1A"/>
    <w:rsid w:val="00307F47"/>
    <w:rsid w:val="00311585"/>
    <w:rsid w:val="003117DA"/>
    <w:rsid w:val="003120AA"/>
    <w:rsid w:val="00312C2E"/>
    <w:rsid w:val="0031320C"/>
    <w:rsid w:val="00313751"/>
    <w:rsid w:val="00313ABA"/>
    <w:rsid w:val="0031643A"/>
    <w:rsid w:val="003175C5"/>
    <w:rsid w:val="0032212B"/>
    <w:rsid w:val="003231DE"/>
    <w:rsid w:val="00323681"/>
    <w:rsid w:val="00325281"/>
    <w:rsid w:val="00325521"/>
    <w:rsid w:val="003257A9"/>
    <w:rsid w:val="0033060D"/>
    <w:rsid w:val="003311F7"/>
    <w:rsid w:val="00331C9E"/>
    <w:rsid w:val="003322C9"/>
    <w:rsid w:val="00332632"/>
    <w:rsid w:val="0033286A"/>
    <w:rsid w:val="003340F3"/>
    <w:rsid w:val="003358BC"/>
    <w:rsid w:val="003360B4"/>
    <w:rsid w:val="00337A6D"/>
    <w:rsid w:val="00337AF8"/>
    <w:rsid w:val="003407DE"/>
    <w:rsid w:val="00341BDD"/>
    <w:rsid w:val="00342C2F"/>
    <w:rsid w:val="00342D3D"/>
    <w:rsid w:val="00344999"/>
    <w:rsid w:val="003461AC"/>
    <w:rsid w:val="00346FBC"/>
    <w:rsid w:val="00347993"/>
    <w:rsid w:val="00350610"/>
    <w:rsid w:val="0035101A"/>
    <w:rsid w:val="0035170F"/>
    <w:rsid w:val="00351E29"/>
    <w:rsid w:val="00352101"/>
    <w:rsid w:val="00352E7B"/>
    <w:rsid w:val="003537BA"/>
    <w:rsid w:val="00354478"/>
    <w:rsid w:val="003553BC"/>
    <w:rsid w:val="00355F84"/>
    <w:rsid w:val="003561A8"/>
    <w:rsid w:val="00356794"/>
    <w:rsid w:val="003571C0"/>
    <w:rsid w:val="003572FE"/>
    <w:rsid w:val="003576ED"/>
    <w:rsid w:val="0035774B"/>
    <w:rsid w:val="0036071C"/>
    <w:rsid w:val="00360A55"/>
    <w:rsid w:val="00363061"/>
    <w:rsid w:val="003647C8"/>
    <w:rsid w:val="00364997"/>
    <w:rsid w:val="00366CD7"/>
    <w:rsid w:val="00366D62"/>
    <w:rsid w:val="00370139"/>
    <w:rsid w:val="00370701"/>
    <w:rsid w:val="00371C9C"/>
    <w:rsid w:val="003721C4"/>
    <w:rsid w:val="00372D15"/>
    <w:rsid w:val="0037343A"/>
    <w:rsid w:val="00374A2E"/>
    <w:rsid w:val="00376C18"/>
    <w:rsid w:val="00376CA3"/>
    <w:rsid w:val="00380398"/>
    <w:rsid w:val="00381083"/>
    <w:rsid w:val="00381E0A"/>
    <w:rsid w:val="00382140"/>
    <w:rsid w:val="003830BF"/>
    <w:rsid w:val="00384A4E"/>
    <w:rsid w:val="0038534B"/>
    <w:rsid w:val="00385E4C"/>
    <w:rsid w:val="00386F40"/>
    <w:rsid w:val="003879AD"/>
    <w:rsid w:val="003902AA"/>
    <w:rsid w:val="0039072D"/>
    <w:rsid w:val="003920D5"/>
    <w:rsid w:val="0039301B"/>
    <w:rsid w:val="003934D3"/>
    <w:rsid w:val="00393A31"/>
    <w:rsid w:val="00393D55"/>
    <w:rsid w:val="00394ED5"/>
    <w:rsid w:val="00396B1F"/>
    <w:rsid w:val="003A16C5"/>
    <w:rsid w:val="003A1A2A"/>
    <w:rsid w:val="003A3B2D"/>
    <w:rsid w:val="003A3EF2"/>
    <w:rsid w:val="003A450C"/>
    <w:rsid w:val="003A524D"/>
    <w:rsid w:val="003A54BF"/>
    <w:rsid w:val="003B1D4E"/>
    <w:rsid w:val="003B1D54"/>
    <w:rsid w:val="003B27AA"/>
    <w:rsid w:val="003B2BFB"/>
    <w:rsid w:val="003B3620"/>
    <w:rsid w:val="003B3680"/>
    <w:rsid w:val="003B3A8A"/>
    <w:rsid w:val="003B4400"/>
    <w:rsid w:val="003B4638"/>
    <w:rsid w:val="003B575A"/>
    <w:rsid w:val="003B699B"/>
    <w:rsid w:val="003B70BD"/>
    <w:rsid w:val="003B7EA1"/>
    <w:rsid w:val="003C156E"/>
    <w:rsid w:val="003C358A"/>
    <w:rsid w:val="003C3E3E"/>
    <w:rsid w:val="003C550B"/>
    <w:rsid w:val="003C629A"/>
    <w:rsid w:val="003C6891"/>
    <w:rsid w:val="003C77BB"/>
    <w:rsid w:val="003D1BDA"/>
    <w:rsid w:val="003D2BF8"/>
    <w:rsid w:val="003D345E"/>
    <w:rsid w:val="003D369A"/>
    <w:rsid w:val="003D3A55"/>
    <w:rsid w:val="003D52BE"/>
    <w:rsid w:val="003D6FE7"/>
    <w:rsid w:val="003D717A"/>
    <w:rsid w:val="003D7E51"/>
    <w:rsid w:val="003E090A"/>
    <w:rsid w:val="003E0A80"/>
    <w:rsid w:val="003E0B54"/>
    <w:rsid w:val="003E398A"/>
    <w:rsid w:val="003E3A85"/>
    <w:rsid w:val="003E3CA7"/>
    <w:rsid w:val="003E42D4"/>
    <w:rsid w:val="003E4A31"/>
    <w:rsid w:val="003F0758"/>
    <w:rsid w:val="003F0E48"/>
    <w:rsid w:val="003F1011"/>
    <w:rsid w:val="003F3E68"/>
    <w:rsid w:val="003F4150"/>
    <w:rsid w:val="003F4DFF"/>
    <w:rsid w:val="003F598F"/>
    <w:rsid w:val="003F63AE"/>
    <w:rsid w:val="003F6DAC"/>
    <w:rsid w:val="003F6EF3"/>
    <w:rsid w:val="003F7AAE"/>
    <w:rsid w:val="00400594"/>
    <w:rsid w:val="00400D50"/>
    <w:rsid w:val="0040145A"/>
    <w:rsid w:val="00401DC2"/>
    <w:rsid w:val="0040325F"/>
    <w:rsid w:val="0040409D"/>
    <w:rsid w:val="00404237"/>
    <w:rsid w:val="004046E5"/>
    <w:rsid w:val="0040519C"/>
    <w:rsid w:val="00405D00"/>
    <w:rsid w:val="00405DA4"/>
    <w:rsid w:val="00407028"/>
    <w:rsid w:val="00410A01"/>
    <w:rsid w:val="00412E61"/>
    <w:rsid w:val="00414054"/>
    <w:rsid w:val="00414264"/>
    <w:rsid w:val="00416BAB"/>
    <w:rsid w:val="004200AC"/>
    <w:rsid w:val="00420733"/>
    <w:rsid w:val="00421AE1"/>
    <w:rsid w:val="00421EBD"/>
    <w:rsid w:val="00423D0F"/>
    <w:rsid w:val="00424933"/>
    <w:rsid w:val="00424BAC"/>
    <w:rsid w:val="00425237"/>
    <w:rsid w:val="004259C9"/>
    <w:rsid w:val="00425BA1"/>
    <w:rsid w:val="004264B9"/>
    <w:rsid w:val="00426D81"/>
    <w:rsid w:val="00426DDC"/>
    <w:rsid w:val="0042747B"/>
    <w:rsid w:val="00430023"/>
    <w:rsid w:val="00430371"/>
    <w:rsid w:val="004310D2"/>
    <w:rsid w:val="004323C2"/>
    <w:rsid w:val="0043240C"/>
    <w:rsid w:val="00432938"/>
    <w:rsid w:val="00435798"/>
    <w:rsid w:val="00435D71"/>
    <w:rsid w:val="00436BE8"/>
    <w:rsid w:val="00436DC5"/>
    <w:rsid w:val="004371E8"/>
    <w:rsid w:val="00437412"/>
    <w:rsid w:val="00441455"/>
    <w:rsid w:val="0044150D"/>
    <w:rsid w:val="00442478"/>
    <w:rsid w:val="00442D70"/>
    <w:rsid w:val="00442D9C"/>
    <w:rsid w:val="004432CF"/>
    <w:rsid w:val="00443D16"/>
    <w:rsid w:val="00444005"/>
    <w:rsid w:val="00445811"/>
    <w:rsid w:val="00446237"/>
    <w:rsid w:val="004467FB"/>
    <w:rsid w:val="00446CDF"/>
    <w:rsid w:val="00450489"/>
    <w:rsid w:val="00450CA8"/>
    <w:rsid w:val="00450F1E"/>
    <w:rsid w:val="00451927"/>
    <w:rsid w:val="00452562"/>
    <w:rsid w:val="004531B8"/>
    <w:rsid w:val="00454576"/>
    <w:rsid w:val="0045616D"/>
    <w:rsid w:val="004604AB"/>
    <w:rsid w:val="00460BC8"/>
    <w:rsid w:val="00461025"/>
    <w:rsid w:val="0046108E"/>
    <w:rsid w:val="00462603"/>
    <w:rsid w:val="00463128"/>
    <w:rsid w:val="0046359F"/>
    <w:rsid w:val="00463A93"/>
    <w:rsid w:val="00463FE9"/>
    <w:rsid w:val="00465D74"/>
    <w:rsid w:val="00466EC9"/>
    <w:rsid w:val="00470032"/>
    <w:rsid w:val="004718B0"/>
    <w:rsid w:val="00471F6C"/>
    <w:rsid w:val="00472BA7"/>
    <w:rsid w:val="00472FAB"/>
    <w:rsid w:val="004741A4"/>
    <w:rsid w:val="004741B4"/>
    <w:rsid w:val="004746D4"/>
    <w:rsid w:val="00474A9E"/>
    <w:rsid w:val="004752B0"/>
    <w:rsid w:val="004766FE"/>
    <w:rsid w:val="0047729B"/>
    <w:rsid w:val="00480225"/>
    <w:rsid w:val="004804D0"/>
    <w:rsid w:val="00480FD3"/>
    <w:rsid w:val="004810F5"/>
    <w:rsid w:val="004813A5"/>
    <w:rsid w:val="00481744"/>
    <w:rsid w:val="00481DD8"/>
    <w:rsid w:val="00481F45"/>
    <w:rsid w:val="004822B4"/>
    <w:rsid w:val="0048280D"/>
    <w:rsid w:val="00482E07"/>
    <w:rsid w:val="00483207"/>
    <w:rsid w:val="00484D9C"/>
    <w:rsid w:val="00485429"/>
    <w:rsid w:val="0048574F"/>
    <w:rsid w:val="00486F27"/>
    <w:rsid w:val="00490926"/>
    <w:rsid w:val="00491D1B"/>
    <w:rsid w:val="00493570"/>
    <w:rsid w:val="0049403B"/>
    <w:rsid w:val="004951B1"/>
    <w:rsid w:val="0049556B"/>
    <w:rsid w:val="00495676"/>
    <w:rsid w:val="004958AC"/>
    <w:rsid w:val="0049628E"/>
    <w:rsid w:val="004A0FBB"/>
    <w:rsid w:val="004A113D"/>
    <w:rsid w:val="004A2095"/>
    <w:rsid w:val="004A24E7"/>
    <w:rsid w:val="004A3E0B"/>
    <w:rsid w:val="004A4087"/>
    <w:rsid w:val="004A4E91"/>
    <w:rsid w:val="004A63CA"/>
    <w:rsid w:val="004A6DE3"/>
    <w:rsid w:val="004A6F0A"/>
    <w:rsid w:val="004A6FB3"/>
    <w:rsid w:val="004A76F2"/>
    <w:rsid w:val="004B0F1E"/>
    <w:rsid w:val="004B16B3"/>
    <w:rsid w:val="004B2843"/>
    <w:rsid w:val="004B2BD3"/>
    <w:rsid w:val="004B2DE4"/>
    <w:rsid w:val="004B3025"/>
    <w:rsid w:val="004B3334"/>
    <w:rsid w:val="004B36C8"/>
    <w:rsid w:val="004B4FED"/>
    <w:rsid w:val="004B64B7"/>
    <w:rsid w:val="004B7714"/>
    <w:rsid w:val="004C02AA"/>
    <w:rsid w:val="004C3809"/>
    <w:rsid w:val="004C3A20"/>
    <w:rsid w:val="004C41C8"/>
    <w:rsid w:val="004C5228"/>
    <w:rsid w:val="004C5DBB"/>
    <w:rsid w:val="004C5E2F"/>
    <w:rsid w:val="004D136F"/>
    <w:rsid w:val="004D1BA9"/>
    <w:rsid w:val="004D1E47"/>
    <w:rsid w:val="004D1EE4"/>
    <w:rsid w:val="004D20EA"/>
    <w:rsid w:val="004D2DEE"/>
    <w:rsid w:val="004D3049"/>
    <w:rsid w:val="004D3408"/>
    <w:rsid w:val="004D505A"/>
    <w:rsid w:val="004D53D4"/>
    <w:rsid w:val="004D5D69"/>
    <w:rsid w:val="004D7B0C"/>
    <w:rsid w:val="004E0515"/>
    <w:rsid w:val="004E07BF"/>
    <w:rsid w:val="004E0ACC"/>
    <w:rsid w:val="004E1958"/>
    <w:rsid w:val="004E1AF5"/>
    <w:rsid w:val="004E20B8"/>
    <w:rsid w:val="004E2C7E"/>
    <w:rsid w:val="004E3166"/>
    <w:rsid w:val="004E3821"/>
    <w:rsid w:val="004E3D14"/>
    <w:rsid w:val="004E3D7E"/>
    <w:rsid w:val="004E4154"/>
    <w:rsid w:val="004E580F"/>
    <w:rsid w:val="004E5E37"/>
    <w:rsid w:val="004F24EB"/>
    <w:rsid w:val="004F26D9"/>
    <w:rsid w:val="004F29EF"/>
    <w:rsid w:val="004F302F"/>
    <w:rsid w:val="004F4059"/>
    <w:rsid w:val="004F5351"/>
    <w:rsid w:val="004F71AF"/>
    <w:rsid w:val="0050152C"/>
    <w:rsid w:val="00502133"/>
    <w:rsid w:val="0050385A"/>
    <w:rsid w:val="005049DB"/>
    <w:rsid w:val="0050541B"/>
    <w:rsid w:val="00505890"/>
    <w:rsid w:val="0050638C"/>
    <w:rsid w:val="00506A92"/>
    <w:rsid w:val="00507512"/>
    <w:rsid w:val="005106F4"/>
    <w:rsid w:val="00510DC0"/>
    <w:rsid w:val="005126D6"/>
    <w:rsid w:val="00512984"/>
    <w:rsid w:val="00513003"/>
    <w:rsid w:val="00513D4F"/>
    <w:rsid w:val="00514F4A"/>
    <w:rsid w:val="0051556F"/>
    <w:rsid w:val="00516392"/>
    <w:rsid w:val="00517143"/>
    <w:rsid w:val="0051728C"/>
    <w:rsid w:val="005243C2"/>
    <w:rsid w:val="0052467B"/>
    <w:rsid w:val="00525D6F"/>
    <w:rsid w:val="0052700A"/>
    <w:rsid w:val="00527429"/>
    <w:rsid w:val="005275FA"/>
    <w:rsid w:val="005305FE"/>
    <w:rsid w:val="00530BE0"/>
    <w:rsid w:val="00531051"/>
    <w:rsid w:val="00531538"/>
    <w:rsid w:val="00533A01"/>
    <w:rsid w:val="0053538A"/>
    <w:rsid w:val="005358D0"/>
    <w:rsid w:val="00536F70"/>
    <w:rsid w:val="0053764F"/>
    <w:rsid w:val="00540097"/>
    <w:rsid w:val="00540746"/>
    <w:rsid w:val="00542269"/>
    <w:rsid w:val="00542CDA"/>
    <w:rsid w:val="005438EE"/>
    <w:rsid w:val="00543F3C"/>
    <w:rsid w:val="00544169"/>
    <w:rsid w:val="00544D91"/>
    <w:rsid w:val="00545F67"/>
    <w:rsid w:val="0054652F"/>
    <w:rsid w:val="00546C93"/>
    <w:rsid w:val="005473D8"/>
    <w:rsid w:val="0054745B"/>
    <w:rsid w:val="00547BEF"/>
    <w:rsid w:val="0055000F"/>
    <w:rsid w:val="00552069"/>
    <w:rsid w:val="005538EA"/>
    <w:rsid w:val="005539D5"/>
    <w:rsid w:val="00554DA5"/>
    <w:rsid w:val="00554DB0"/>
    <w:rsid w:val="00557440"/>
    <w:rsid w:val="005574F0"/>
    <w:rsid w:val="00557DFE"/>
    <w:rsid w:val="005600B1"/>
    <w:rsid w:val="0056015F"/>
    <w:rsid w:val="00560751"/>
    <w:rsid w:val="005616F2"/>
    <w:rsid w:val="005618F8"/>
    <w:rsid w:val="00562623"/>
    <w:rsid w:val="00563EC5"/>
    <w:rsid w:val="005653D1"/>
    <w:rsid w:val="00566389"/>
    <w:rsid w:val="00566440"/>
    <w:rsid w:val="00566A4A"/>
    <w:rsid w:val="00566E9B"/>
    <w:rsid w:val="00566F44"/>
    <w:rsid w:val="005700CD"/>
    <w:rsid w:val="005700F0"/>
    <w:rsid w:val="00570138"/>
    <w:rsid w:val="0057026E"/>
    <w:rsid w:val="005712F4"/>
    <w:rsid w:val="00571F35"/>
    <w:rsid w:val="005729B4"/>
    <w:rsid w:val="00572CEE"/>
    <w:rsid w:val="00573742"/>
    <w:rsid w:val="00573FE3"/>
    <w:rsid w:val="00574C98"/>
    <w:rsid w:val="00574E37"/>
    <w:rsid w:val="00575034"/>
    <w:rsid w:val="0057643C"/>
    <w:rsid w:val="0057664B"/>
    <w:rsid w:val="0057736F"/>
    <w:rsid w:val="005773AD"/>
    <w:rsid w:val="00580767"/>
    <w:rsid w:val="00580AE2"/>
    <w:rsid w:val="00581A8D"/>
    <w:rsid w:val="005828A3"/>
    <w:rsid w:val="00582F83"/>
    <w:rsid w:val="00583428"/>
    <w:rsid w:val="00584259"/>
    <w:rsid w:val="00584FA8"/>
    <w:rsid w:val="00585107"/>
    <w:rsid w:val="005853CE"/>
    <w:rsid w:val="005865FF"/>
    <w:rsid w:val="005870A2"/>
    <w:rsid w:val="005873CC"/>
    <w:rsid w:val="005876BE"/>
    <w:rsid w:val="00590536"/>
    <w:rsid w:val="00590D91"/>
    <w:rsid w:val="00591B0A"/>
    <w:rsid w:val="005926A0"/>
    <w:rsid w:val="00592F5E"/>
    <w:rsid w:val="00594C68"/>
    <w:rsid w:val="005952B1"/>
    <w:rsid w:val="005957BB"/>
    <w:rsid w:val="0059583B"/>
    <w:rsid w:val="005958EF"/>
    <w:rsid w:val="00595957"/>
    <w:rsid w:val="00596481"/>
    <w:rsid w:val="00596D82"/>
    <w:rsid w:val="00597D98"/>
    <w:rsid w:val="00597F55"/>
    <w:rsid w:val="005A05F5"/>
    <w:rsid w:val="005A0AB1"/>
    <w:rsid w:val="005A0DF4"/>
    <w:rsid w:val="005A13D9"/>
    <w:rsid w:val="005A1519"/>
    <w:rsid w:val="005A30C6"/>
    <w:rsid w:val="005A3337"/>
    <w:rsid w:val="005A3A90"/>
    <w:rsid w:val="005A3F18"/>
    <w:rsid w:val="005A4687"/>
    <w:rsid w:val="005A528F"/>
    <w:rsid w:val="005B020D"/>
    <w:rsid w:val="005B0A6D"/>
    <w:rsid w:val="005B0DC8"/>
    <w:rsid w:val="005B210C"/>
    <w:rsid w:val="005B2441"/>
    <w:rsid w:val="005B2C56"/>
    <w:rsid w:val="005B4F13"/>
    <w:rsid w:val="005B76B4"/>
    <w:rsid w:val="005B7821"/>
    <w:rsid w:val="005B7A28"/>
    <w:rsid w:val="005C1119"/>
    <w:rsid w:val="005C156E"/>
    <w:rsid w:val="005C1574"/>
    <w:rsid w:val="005C1C5D"/>
    <w:rsid w:val="005C306A"/>
    <w:rsid w:val="005C3382"/>
    <w:rsid w:val="005C3F58"/>
    <w:rsid w:val="005C4C68"/>
    <w:rsid w:val="005C4D89"/>
    <w:rsid w:val="005C4F57"/>
    <w:rsid w:val="005C6BFA"/>
    <w:rsid w:val="005C775B"/>
    <w:rsid w:val="005D01B9"/>
    <w:rsid w:val="005D16DF"/>
    <w:rsid w:val="005D2479"/>
    <w:rsid w:val="005D4118"/>
    <w:rsid w:val="005D6269"/>
    <w:rsid w:val="005D6CB3"/>
    <w:rsid w:val="005D74B1"/>
    <w:rsid w:val="005D7D82"/>
    <w:rsid w:val="005E1073"/>
    <w:rsid w:val="005E1E3E"/>
    <w:rsid w:val="005E2488"/>
    <w:rsid w:val="005E2984"/>
    <w:rsid w:val="005F0F46"/>
    <w:rsid w:val="005F14AA"/>
    <w:rsid w:val="005F15A7"/>
    <w:rsid w:val="005F1F9E"/>
    <w:rsid w:val="005F28C1"/>
    <w:rsid w:val="005F2ADE"/>
    <w:rsid w:val="005F2D1A"/>
    <w:rsid w:val="005F34C1"/>
    <w:rsid w:val="005F3F0E"/>
    <w:rsid w:val="005F484F"/>
    <w:rsid w:val="005F6AC4"/>
    <w:rsid w:val="005F6C76"/>
    <w:rsid w:val="005F7231"/>
    <w:rsid w:val="005F7CFE"/>
    <w:rsid w:val="0060096F"/>
    <w:rsid w:val="00600E90"/>
    <w:rsid w:val="00601624"/>
    <w:rsid w:val="00602ABC"/>
    <w:rsid w:val="00602FA5"/>
    <w:rsid w:val="006036F4"/>
    <w:rsid w:val="00605169"/>
    <w:rsid w:val="006066FD"/>
    <w:rsid w:val="006075A2"/>
    <w:rsid w:val="00607712"/>
    <w:rsid w:val="006110B6"/>
    <w:rsid w:val="006120CF"/>
    <w:rsid w:val="00612719"/>
    <w:rsid w:val="006144FE"/>
    <w:rsid w:val="00615750"/>
    <w:rsid w:val="006157E7"/>
    <w:rsid w:val="00616C36"/>
    <w:rsid w:val="006172A3"/>
    <w:rsid w:val="00620C39"/>
    <w:rsid w:val="00620CE2"/>
    <w:rsid w:val="00620E60"/>
    <w:rsid w:val="00621498"/>
    <w:rsid w:val="0062202A"/>
    <w:rsid w:val="00622A96"/>
    <w:rsid w:val="0062374B"/>
    <w:rsid w:val="0062634D"/>
    <w:rsid w:val="00626D41"/>
    <w:rsid w:val="00627D24"/>
    <w:rsid w:val="006306A7"/>
    <w:rsid w:val="00630EA7"/>
    <w:rsid w:val="0063157C"/>
    <w:rsid w:val="00632030"/>
    <w:rsid w:val="00632093"/>
    <w:rsid w:val="00634142"/>
    <w:rsid w:val="00634780"/>
    <w:rsid w:val="0063778C"/>
    <w:rsid w:val="0064086C"/>
    <w:rsid w:val="00641A68"/>
    <w:rsid w:val="00641DFB"/>
    <w:rsid w:val="0064219A"/>
    <w:rsid w:val="00642A85"/>
    <w:rsid w:val="00642B1D"/>
    <w:rsid w:val="00643233"/>
    <w:rsid w:val="00643D89"/>
    <w:rsid w:val="00651642"/>
    <w:rsid w:val="00651F32"/>
    <w:rsid w:val="0065201A"/>
    <w:rsid w:val="00652128"/>
    <w:rsid w:val="00652B0D"/>
    <w:rsid w:val="006532B4"/>
    <w:rsid w:val="006535BE"/>
    <w:rsid w:val="00653C8E"/>
    <w:rsid w:val="00655697"/>
    <w:rsid w:val="0065715A"/>
    <w:rsid w:val="00657E5F"/>
    <w:rsid w:val="0066251B"/>
    <w:rsid w:val="006626B7"/>
    <w:rsid w:val="0066289A"/>
    <w:rsid w:val="0066568F"/>
    <w:rsid w:val="0066663E"/>
    <w:rsid w:val="00666866"/>
    <w:rsid w:val="00666EF6"/>
    <w:rsid w:val="0066761B"/>
    <w:rsid w:val="00667F9A"/>
    <w:rsid w:val="00670FC9"/>
    <w:rsid w:val="00671BBD"/>
    <w:rsid w:val="00672900"/>
    <w:rsid w:val="00674329"/>
    <w:rsid w:val="00675275"/>
    <w:rsid w:val="0067541E"/>
    <w:rsid w:val="0067646F"/>
    <w:rsid w:val="00676E59"/>
    <w:rsid w:val="0067702B"/>
    <w:rsid w:val="006774F2"/>
    <w:rsid w:val="00680082"/>
    <w:rsid w:val="006801A6"/>
    <w:rsid w:val="006821AB"/>
    <w:rsid w:val="00683590"/>
    <w:rsid w:val="00684D46"/>
    <w:rsid w:val="00685247"/>
    <w:rsid w:val="00685F79"/>
    <w:rsid w:val="00686263"/>
    <w:rsid w:val="00686300"/>
    <w:rsid w:val="00686D9B"/>
    <w:rsid w:val="0068720D"/>
    <w:rsid w:val="00687258"/>
    <w:rsid w:val="00691250"/>
    <w:rsid w:val="006923AC"/>
    <w:rsid w:val="00692A0D"/>
    <w:rsid w:val="00692C66"/>
    <w:rsid w:val="00693008"/>
    <w:rsid w:val="00693454"/>
    <w:rsid w:val="00693F3D"/>
    <w:rsid w:val="0069425C"/>
    <w:rsid w:val="00695138"/>
    <w:rsid w:val="006956DD"/>
    <w:rsid w:val="006958B8"/>
    <w:rsid w:val="00696561"/>
    <w:rsid w:val="0069716E"/>
    <w:rsid w:val="006A0C71"/>
    <w:rsid w:val="006A1819"/>
    <w:rsid w:val="006A1BC8"/>
    <w:rsid w:val="006A50C9"/>
    <w:rsid w:val="006B03CA"/>
    <w:rsid w:val="006B0628"/>
    <w:rsid w:val="006B0DFF"/>
    <w:rsid w:val="006B5832"/>
    <w:rsid w:val="006B65F2"/>
    <w:rsid w:val="006B695E"/>
    <w:rsid w:val="006B787E"/>
    <w:rsid w:val="006B7BB2"/>
    <w:rsid w:val="006C09FD"/>
    <w:rsid w:val="006C0E32"/>
    <w:rsid w:val="006C1C9B"/>
    <w:rsid w:val="006C2CB5"/>
    <w:rsid w:val="006C3B3C"/>
    <w:rsid w:val="006C3CAE"/>
    <w:rsid w:val="006C3DA8"/>
    <w:rsid w:val="006C5BC7"/>
    <w:rsid w:val="006D091F"/>
    <w:rsid w:val="006D0B3A"/>
    <w:rsid w:val="006D139C"/>
    <w:rsid w:val="006D1C3B"/>
    <w:rsid w:val="006D24B6"/>
    <w:rsid w:val="006D2D5D"/>
    <w:rsid w:val="006D31B3"/>
    <w:rsid w:val="006D32E9"/>
    <w:rsid w:val="006D5D56"/>
    <w:rsid w:val="006D63A2"/>
    <w:rsid w:val="006D72F5"/>
    <w:rsid w:val="006E0065"/>
    <w:rsid w:val="006E0385"/>
    <w:rsid w:val="006E2262"/>
    <w:rsid w:val="006E229B"/>
    <w:rsid w:val="006E2807"/>
    <w:rsid w:val="006E333B"/>
    <w:rsid w:val="006E376D"/>
    <w:rsid w:val="006E3A44"/>
    <w:rsid w:val="006E4554"/>
    <w:rsid w:val="006E52B0"/>
    <w:rsid w:val="006E6209"/>
    <w:rsid w:val="006E694B"/>
    <w:rsid w:val="006E6F3B"/>
    <w:rsid w:val="006E7819"/>
    <w:rsid w:val="006F01E3"/>
    <w:rsid w:val="006F4AE5"/>
    <w:rsid w:val="006F5BBD"/>
    <w:rsid w:val="006F66A7"/>
    <w:rsid w:val="006F73A0"/>
    <w:rsid w:val="007002C8"/>
    <w:rsid w:val="007004AD"/>
    <w:rsid w:val="00701B6F"/>
    <w:rsid w:val="00701D05"/>
    <w:rsid w:val="00701E4E"/>
    <w:rsid w:val="00702B84"/>
    <w:rsid w:val="0070340B"/>
    <w:rsid w:val="00703460"/>
    <w:rsid w:val="00704C32"/>
    <w:rsid w:val="007054A5"/>
    <w:rsid w:val="0070564A"/>
    <w:rsid w:val="0070587E"/>
    <w:rsid w:val="00707911"/>
    <w:rsid w:val="00710006"/>
    <w:rsid w:val="0071099D"/>
    <w:rsid w:val="00711B2B"/>
    <w:rsid w:val="0071342B"/>
    <w:rsid w:val="00713562"/>
    <w:rsid w:val="00714193"/>
    <w:rsid w:val="0071465D"/>
    <w:rsid w:val="00714665"/>
    <w:rsid w:val="007148BF"/>
    <w:rsid w:val="00714FE1"/>
    <w:rsid w:val="007161FA"/>
    <w:rsid w:val="0071740F"/>
    <w:rsid w:val="0071798D"/>
    <w:rsid w:val="00717BF2"/>
    <w:rsid w:val="00720260"/>
    <w:rsid w:val="007217DA"/>
    <w:rsid w:val="00721B53"/>
    <w:rsid w:val="00722B6D"/>
    <w:rsid w:val="0072438C"/>
    <w:rsid w:val="007248BC"/>
    <w:rsid w:val="00724AE6"/>
    <w:rsid w:val="00725228"/>
    <w:rsid w:val="0072549A"/>
    <w:rsid w:val="007257CB"/>
    <w:rsid w:val="007264F5"/>
    <w:rsid w:val="00726986"/>
    <w:rsid w:val="00727578"/>
    <w:rsid w:val="00730402"/>
    <w:rsid w:val="00731B8B"/>
    <w:rsid w:val="0073284C"/>
    <w:rsid w:val="00732C2F"/>
    <w:rsid w:val="00732D47"/>
    <w:rsid w:val="00732EC1"/>
    <w:rsid w:val="007342E4"/>
    <w:rsid w:val="00735026"/>
    <w:rsid w:val="00736995"/>
    <w:rsid w:val="007369F1"/>
    <w:rsid w:val="00737423"/>
    <w:rsid w:val="00741636"/>
    <w:rsid w:val="00741774"/>
    <w:rsid w:val="00742B9D"/>
    <w:rsid w:val="0074400B"/>
    <w:rsid w:val="007442C8"/>
    <w:rsid w:val="007448DA"/>
    <w:rsid w:val="00744CE8"/>
    <w:rsid w:val="00745F57"/>
    <w:rsid w:val="00746011"/>
    <w:rsid w:val="00747C65"/>
    <w:rsid w:val="00750550"/>
    <w:rsid w:val="00750A32"/>
    <w:rsid w:val="00751572"/>
    <w:rsid w:val="007517D8"/>
    <w:rsid w:val="00753CE4"/>
    <w:rsid w:val="00753FAB"/>
    <w:rsid w:val="007549D0"/>
    <w:rsid w:val="00754D0B"/>
    <w:rsid w:val="0075689B"/>
    <w:rsid w:val="00757E31"/>
    <w:rsid w:val="00760E5C"/>
    <w:rsid w:val="00761050"/>
    <w:rsid w:val="0076244A"/>
    <w:rsid w:val="007627FD"/>
    <w:rsid w:val="00764F26"/>
    <w:rsid w:val="0076533B"/>
    <w:rsid w:val="007658F8"/>
    <w:rsid w:val="00765B68"/>
    <w:rsid w:val="0076614E"/>
    <w:rsid w:val="00767478"/>
    <w:rsid w:val="0077027E"/>
    <w:rsid w:val="00770726"/>
    <w:rsid w:val="00770C54"/>
    <w:rsid w:val="00770EFD"/>
    <w:rsid w:val="0077142A"/>
    <w:rsid w:val="0077171D"/>
    <w:rsid w:val="00771D9E"/>
    <w:rsid w:val="00773A7A"/>
    <w:rsid w:val="007741E9"/>
    <w:rsid w:val="007749BB"/>
    <w:rsid w:val="007770CC"/>
    <w:rsid w:val="007774E9"/>
    <w:rsid w:val="007800F7"/>
    <w:rsid w:val="00781923"/>
    <w:rsid w:val="0078295D"/>
    <w:rsid w:val="00782D52"/>
    <w:rsid w:val="007831ED"/>
    <w:rsid w:val="00785CBB"/>
    <w:rsid w:val="00786191"/>
    <w:rsid w:val="00787EA9"/>
    <w:rsid w:val="00787FF1"/>
    <w:rsid w:val="007903EA"/>
    <w:rsid w:val="00790522"/>
    <w:rsid w:val="007915C0"/>
    <w:rsid w:val="00792772"/>
    <w:rsid w:val="0079383E"/>
    <w:rsid w:val="00794378"/>
    <w:rsid w:val="00795AAA"/>
    <w:rsid w:val="007A09B8"/>
    <w:rsid w:val="007A2A48"/>
    <w:rsid w:val="007A2D80"/>
    <w:rsid w:val="007A35DE"/>
    <w:rsid w:val="007A3D52"/>
    <w:rsid w:val="007A4ADE"/>
    <w:rsid w:val="007A6859"/>
    <w:rsid w:val="007A6E8A"/>
    <w:rsid w:val="007A7226"/>
    <w:rsid w:val="007A7278"/>
    <w:rsid w:val="007A78DD"/>
    <w:rsid w:val="007A7B9E"/>
    <w:rsid w:val="007A7DFF"/>
    <w:rsid w:val="007A7FD7"/>
    <w:rsid w:val="007B0C8C"/>
    <w:rsid w:val="007B1519"/>
    <w:rsid w:val="007B1B3B"/>
    <w:rsid w:val="007B1C06"/>
    <w:rsid w:val="007B4502"/>
    <w:rsid w:val="007C29D9"/>
    <w:rsid w:val="007C3608"/>
    <w:rsid w:val="007C37C6"/>
    <w:rsid w:val="007C3C28"/>
    <w:rsid w:val="007C3D3A"/>
    <w:rsid w:val="007C45A1"/>
    <w:rsid w:val="007C59FE"/>
    <w:rsid w:val="007C6173"/>
    <w:rsid w:val="007C71D4"/>
    <w:rsid w:val="007C742F"/>
    <w:rsid w:val="007C77D8"/>
    <w:rsid w:val="007C7F13"/>
    <w:rsid w:val="007D040E"/>
    <w:rsid w:val="007D04A1"/>
    <w:rsid w:val="007D101F"/>
    <w:rsid w:val="007D3D47"/>
    <w:rsid w:val="007D6219"/>
    <w:rsid w:val="007D6BF3"/>
    <w:rsid w:val="007E04D0"/>
    <w:rsid w:val="007E3F19"/>
    <w:rsid w:val="007E4239"/>
    <w:rsid w:val="007E4398"/>
    <w:rsid w:val="007E522E"/>
    <w:rsid w:val="007E533A"/>
    <w:rsid w:val="007E5860"/>
    <w:rsid w:val="007E6757"/>
    <w:rsid w:val="007E6AA3"/>
    <w:rsid w:val="007E6EFF"/>
    <w:rsid w:val="007E6F93"/>
    <w:rsid w:val="007E798B"/>
    <w:rsid w:val="007F1349"/>
    <w:rsid w:val="007F1BE0"/>
    <w:rsid w:val="007F270F"/>
    <w:rsid w:val="007F2932"/>
    <w:rsid w:val="007F3445"/>
    <w:rsid w:val="007F358C"/>
    <w:rsid w:val="007F37CF"/>
    <w:rsid w:val="007F41A3"/>
    <w:rsid w:val="007F5D9B"/>
    <w:rsid w:val="007F621C"/>
    <w:rsid w:val="007F6A70"/>
    <w:rsid w:val="007F6DCB"/>
    <w:rsid w:val="00801CC2"/>
    <w:rsid w:val="00802057"/>
    <w:rsid w:val="0080236C"/>
    <w:rsid w:val="00802705"/>
    <w:rsid w:val="00802A01"/>
    <w:rsid w:val="00804704"/>
    <w:rsid w:val="00805285"/>
    <w:rsid w:val="00805B92"/>
    <w:rsid w:val="00806497"/>
    <w:rsid w:val="00807EF3"/>
    <w:rsid w:val="00807F81"/>
    <w:rsid w:val="008112A0"/>
    <w:rsid w:val="00811A8A"/>
    <w:rsid w:val="00812139"/>
    <w:rsid w:val="00812171"/>
    <w:rsid w:val="00812821"/>
    <w:rsid w:val="0081326C"/>
    <w:rsid w:val="00814734"/>
    <w:rsid w:val="00814B8A"/>
    <w:rsid w:val="00814D44"/>
    <w:rsid w:val="0081533F"/>
    <w:rsid w:val="00815E68"/>
    <w:rsid w:val="008169C9"/>
    <w:rsid w:val="00816AA1"/>
    <w:rsid w:val="0082023E"/>
    <w:rsid w:val="008206AD"/>
    <w:rsid w:val="00821462"/>
    <w:rsid w:val="008220B0"/>
    <w:rsid w:val="008238E3"/>
    <w:rsid w:val="0082436E"/>
    <w:rsid w:val="0082446A"/>
    <w:rsid w:val="0082570F"/>
    <w:rsid w:val="0082711C"/>
    <w:rsid w:val="00827489"/>
    <w:rsid w:val="00832373"/>
    <w:rsid w:val="00832440"/>
    <w:rsid w:val="008325E0"/>
    <w:rsid w:val="00832792"/>
    <w:rsid w:val="008328A0"/>
    <w:rsid w:val="00834BD3"/>
    <w:rsid w:val="00835415"/>
    <w:rsid w:val="00835683"/>
    <w:rsid w:val="008356FD"/>
    <w:rsid w:val="00835987"/>
    <w:rsid w:val="00835B17"/>
    <w:rsid w:val="00840084"/>
    <w:rsid w:val="00840B63"/>
    <w:rsid w:val="0084173C"/>
    <w:rsid w:val="00841F30"/>
    <w:rsid w:val="00842C1B"/>
    <w:rsid w:val="00842C2B"/>
    <w:rsid w:val="00845645"/>
    <w:rsid w:val="00845AA1"/>
    <w:rsid w:val="00846EBE"/>
    <w:rsid w:val="0085016F"/>
    <w:rsid w:val="00851FD2"/>
    <w:rsid w:val="00852C4A"/>
    <w:rsid w:val="00853ADB"/>
    <w:rsid w:val="00853BDB"/>
    <w:rsid w:val="00853E40"/>
    <w:rsid w:val="00854261"/>
    <w:rsid w:val="00854860"/>
    <w:rsid w:val="00860675"/>
    <w:rsid w:val="00861ABA"/>
    <w:rsid w:val="00864A58"/>
    <w:rsid w:val="00865CBC"/>
    <w:rsid w:val="00866E7F"/>
    <w:rsid w:val="0086795C"/>
    <w:rsid w:val="00870676"/>
    <w:rsid w:val="008708B9"/>
    <w:rsid w:val="00871A99"/>
    <w:rsid w:val="00871EA7"/>
    <w:rsid w:val="008733A6"/>
    <w:rsid w:val="00875A33"/>
    <w:rsid w:val="00876F90"/>
    <w:rsid w:val="00880311"/>
    <w:rsid w:val="008808A5"/>
    <w:rsid w:val="0088125E"/>
    <w:rsid w:val="0088210C"/>
    <w:rsid w:val="0088335B"/>
    <w:rsid w:val="008848D0"/>
    <w:rsid w:val="00886349"/>
    <w:rsid w:val="00887115"/>
    <w:rsid w:val="00887503"/>
    <w:rsid w:val="008907E8"/>
    <w:rsid w:val="00891BF7"/>
    <w:rsid w:val="00891EB1"/>
    <w:rsid w:val="00892275"/>
    <w:rsid w:val="00892B36"/>
    <w:rsid w:val="008936EE"/>
    <w:rsid w:val="00894CEE"/>
    <w:rsid w:val="00896569"/>
    <w:rsid w:val="00896B55"/>
    <w:rsid w:val="00896D06"/>
    <w:rsid w:val="00896EE1"/>
    <w:rsid w:val="00897410"/>
    <w:rsid w:val="008A0894"/>
    <w:rsid w:val="008A5714"/>
    <w:rsid w:val="008A7A10"/>
    <w:rsid w:val="008B0904"/>
    <w:rsid w:val="008B142F"/>
    <w:rsid w:val="008B3277"/>
    <w:rsid w:val="008B33DE"/>
    <w:rsid w:val="008B4259"/>
    <w:rsid w:val="008B44A1"/>
    <w:rsid w:val="008B6A3B"/>
    <w:rsid w:val="008C0B4C"/>
    <w:rsid w:val="008C0B73"/>
    <w:rsid w:val="008C1E79"/>
    <w:rsid w:val="008C1E7A"/>
    <w:rsid w:val="008C2861"/>
    <w:rsid w:val="008C2BF7"/>
    <w:rsid w:val="008C34ED"/>
    <w:rsid w:val="008C3FC5"/>
    <w:rsid w:val="008C45D4"/>
    <w:rsid w:val="008C469F"/>
    <w:rsid w:val="008C4BE1"/>
    <w:rsid w:val="008C4D58"/>
    <w:rsid w:val="008C4F8F"/>
    <w:rsid w:val="008C5A80"/>
    <w:rsid w:val="008C6529"/>
    <w:rsid w:val="008C6BD4"/>
    <w:rsid w:val="008C6BF1"/>
    <w:rsid w:val="008C7B40"/>
    <w:rsid w:val="008D01FC"/>
    <w:rsid w:val="008D1E67"/>
    <w:rsid w:val="008D3F7C"/>
    <w:rsid w:val="008D43CE"/>
    <w:rsid w:val="008D510F"/>
    <w:rsid w:val="008D5BA4"/>
    <w:rsid w:val="008D6E17"/>
    <w:rsid w:val="008E0634"/>
    <w:rsid w:val="008E10B8"/>
    <w:rsid w:val="008E21C6"/>
    <w:rsid w:val="008E26EB"/>
    <w:rsid w:val="008E275A"/>
    <w:rsid w:val="008E27CB"/>
    <w:rsid w:val="008E6124"/>
    <w:rsid w:val="008E76E6"/>
    <w:rsid w:val="008E7F8D"/>
    <w:rsid w:val="008F06D8"/>
    <w:rsid w:val="008F088D"/>
    <w:rsid w:val="008F0E7C"/>
    <w:rsid w:val="008F1011"/>
    <w:rsid w:val="008F273A"/>
    <w:rsid w:val="008F35EC"/>
    <w:rsid w:val="008F3B3A"/>
    <w:rsid w:val="008F3DC9"/>
    <w:rsid w:val="008F53E2"/>
    <w:rsid w:val="008F561A"/>
    <w:rsid w:val="008F5FC8"/>
    <w:rsid w:val="008F67A9"/>
    <w:rsid w:val="008F6B5D"/>
    <w:rsid w:val="008F6D12"/>
    <w:rsid w:val="008F75FD"/>
    <w:rsid w:val="008F7FEB"/>
    <w:rsid w:val="00900BAC"/>
    <w:rsid w:val="00901594"/>
    <w:rsid w:val="00901C0D"/>
    <w:rsid w:val="00901D0D"/>
    <w:rsid w:val="009031E7"/>
    <w:rsid w:val="009031FC"/>
    <w:rsid w:val="00903299"/>
    <w:rsid w:val="00903981"/>
    <w:rsid w:val="009054C2"/>
    <w:rsid w:val="00905C2E"/>
    <w:rsid w:val="00905DA7"/>
    <w:rsid w:val="009060B3"/>
    <w:rsid w:val="009069C3"/>
    <w:rsid w:val="009072BD"/>
    <w:rsid w:val="00907316"/>
    <w:rsid w:val="0091033A"/>
    <w:rsid w:val="00911150"/>
    <w:rsid w:val="009111AD"/>
    <w:rsid w:val="00911672"/>
    <w:rsid w:val="009120C6"/>
    <w:rsid w:val="0091252F"/>
    <w:rsid w:val="00912E18"/>
    <w:rsid w:val="009159F0"/>
    <w:rsid w:val="00916555"/>
    <w:rsid w:val="00916973"/>
    <w:rsid w:val="009169EF"/>
    <w:rsid w:val="00916DAC"/>
    <w:rsid w:val="009207A1"/>
    <w:rsid w:val="009207F1"/>
    <w:rsid w:val="00921EA6"/>
    <w:rsid w:val="00922005"/>
    <w:rsid w:val="00922382"/>
    <w:rsid w:val="009224B6"/>
    <w:rsid w:val="00923A1C"/>
    <w:rsid w:val="009248FD"/>
    <w:rsid w:val="00924F19"/>
    <w:rsid w:val="00925258"/>
    <w:rsid w:val="009258F5"/>
    <w:rsid w:val="009302E7"/>
    <w:rsid w:val="00931894"/>
    <w:rsid w:val="00931B58"/>
    <w:rsid w:val="00931D06"/>
    <w:rsid w:val="00932220"/>
    <w:rsid w:val="00932610"/>
    <w:rsid w:val="00932621"/>
    <w:rsid w:val="009326E7"/>
    <w:rsid w:val="00933414"/>
    <w:rsid w:val="00933AA3"/>
    <w:rsid w:val="009340C7"/>
    <w:rsid w:val="009352DA"/>
    <w:rsid w:val="0093572A"/>
    <w:rsid w:val="00936A34"/>
    <w:rsid w:val="00936B94"/>
    <w:rsid w:val="00937F37"/>
    <w:rsid w:val="00937F53"/>
    <w:rsid w:val="00942056"/>
    <w:rsid w:val="00943248"/>
    <w:rsid w:val="00943669"/>
    <w:rsid w:val="00944B1C"/>
    <w:rsid w:val="00944C61"/>
    <w:rsid w:val="00944CDC"/>
    <w:rsid w:val="00946488"/>
    <w:rsid w:val="00946607"/>
    <w:rsid w:val="009475DD"/>
    <w:rsid w:val="00947663"/>
    <w:rsid w:val="0094775F"/>
    <w:rsid w:val="00947D12"/>
    <w:rsid w:val="00950ED4"/>
    <w:rsid w:val="009512C4"/>
    <w:rsid w:val="00951509"/>
    <w:rsid w:val="00952324"/>
    <w:rsid w:val="00952AF8"/>
    <w:rsid w:val="00952D94"/>
    <w:rsid w:val="00953F32"/>
    <w:rsid w:val="00954ED3"/>
    <w:rsid w:val="009561A5"/>
    <w:rsid w:val="00956498"/>
    <w:rsid w:val="00956E2B"/>
    <w:rsid w:val="00960617"/>
    <w:rsid w:val="00963A6E"/>
    <w:rsid w:val="00964314"/>
    <w:rsid w:val="00964F1E"/>
    <w:rsid w:val="009654D4"/>
    <w:rsid w:val="0096605D"/>
    <w:rsid w:val="0096614D"/>
    <w:rsid w:val="00967664"/>
    <w:rsid w:val="0096787E"/>
    <w:rsid w:val="009700FC"/>
    <w:rsid w:val="00970144"/>
    <w:rsid w:val="009706BB"/>
    <w:rsid w:val="00971D25"/>
    <w:rsid w:val="00972990"/>
    <w:rsid w:val="00973A22"/>
    <w:rsid w:val="009747E7"/>
    <w:rsid w:val="00974DDE"/>
    <w:rsid w:val="0097562E"/>
    <w:rsid w:val="0097563F"/>
    <w:rsid w:val="00975641"/>
    <w:rsid w:val="009760F6"/>
    <w:rsid w:val="00976473"/>
    <w:rsid w:val="0098033C"/>
    <w:rsid w:val="0098040C"/>
    <w:rsid w:val="009806F0"/>
    <w:rsid w:val="00980C95"/>
    <w:rsid w:val="00980F78"/>
    <w:rsid w:val="00981EE3"/>
    <w:rsid w:val="00983C2F"/>
    <w:rsid w:val="00984127"/>
    <w:rsid w:val="00986101"/>
    <w:rsid w:val="00986494"/>
    <w:rsid w:val="009864A8"/>
    <w:rsid w:val="00986A48"/>
    <w:rsid w:val="00990364"/>
    <w:rsid w:val="00990457"/>
    <w:rsid w:val="009910C1"/>
    <w:rsid w:val="0099152B"/>
    <w:rsid w:val="0099457F"/>
    <w:rsid w:val="009949EB"/>
    <w:rsid w:val="00994FEB"/>
    <w:rsid w:val="0099615F"/>
    <w:rsid w:val="00996588"/>
    <w:rsid w:val="00996A6A"/>
    <w:rsid w:val="009A0144"/>
    <w:rsid w:val="009A0C93"/>
    <w:rsid w:val="009A101F"/>
    <w:rsid w:val="009A1A0F"/>
    <w:rsid w:val="009A1C7F"/>
    <w:rsid w:val="009A2673"/>
    <w:rsid w:val="009A3C31"/>
    <w:rsid w:val="009A4AE7"/>
    <w:rsid w:val="009A5396"/>
    <w:rsid w:val="009A54C9"/>
    <w:rsid w:val="009A585A"/>
    <w:rsid w:val="009A5B6D"/>
    <w:rsid w:val="009A5DAD"/>
    <w:rsid w:val="009A6519"/>
    <w:rsid w:val="009B0560"/>
    <w:rsid w:val="009B2A8B"/>
    <w:rsid w:val="009B351D"/>
    <w:rsid w:val="009B3A21"/>
    <w:rsid w:val="009B3C15"/>
    <w:rsid w:val="009B5286"/>
    <w:rsid w:val="009B5385"/>
    <w:rsid w:val="009B5617"/>
    <w:rsid w:val="009B6163"/>
    <w:rsid w:val="009B65E8"/>
    <w:rsid w:val="009B6A57"/>
    <w:rsid w:val="009B6F9B"/>
    <w:rsid w:val="009C0B87"/>
    <w:rsid w:val="009C2227"/>
    <w:rsid w:val="009C2453"/>
    <w:rsid w:val="009C2459"/>
    <w:rsid w:val="009C304C"/>
    <w:rsid w:val="009C31B8"/>
    <w:rsid w:val="009C37C9"/>
    <w:rsid w:val="009C4ABF"/>
    <w:rsid w:val="009C4DF0"/>
    <w:rsid w:val="009C591B"/>
    <w:rsid w:val="009C5B0B"/>
    <w:rsid w:val="009C665C"/>
    <w:rsid w:val="009C6FB6"/>
    <w:rsid w:val="009C7615"/>
    <w:rsid w:val="009D04D7"/>
    <w:rsid w:val="009D04DE"/>
    <w:rsid w:val="009D11F5"/>
    <w:rsid w:val="009D12A0"/>
    <w:rsid w:val="009D1D02"/>
    <w:rsid w:val="009D464F"/>
    <w:rsid w:val="009D4A3C"/>
    <w:rsid w:val="009D5CC8"/>
    <w:rsid w:val="009E009D"/>
    <w:rsid w:val="009E0B26"/>
    <w:rsid w:val="009E1D29"/>
    <w:rsid w:val="009E3ECF"/>
    <w:rsid w:val="009E54CC"/>
    <w:rsid w:val="009E6AD8"/>
    <w:rsid w:val="009E762E"/>
    <w:rsid w:val="009E7DB4"/>
    <w:rsid w:val="009F0BAE"/>
    <w:rsid w:val="009F1C12"/>
    <w:rsid w:val="009F211A"/>
    <w:rsid w:val="009F31ED"/>
    <w:rsid w:val="009F36AE"/>
    <w:rsid w:val="009F371C"/>
    <w:rsid w:val="009F394B"/>
    <w:rsid w:val="009F3F24"/>
    <w:rsid w:val="009F4889"/>
    <w:rsid w:val="009F5CD1"/>
    <w:rsid w:val="009F6377"/>
    <w:rsid w:val="009F70D2"/>
    <w:rsid w:val="009F7514"/>
    <w:rsid w:val="009F77C3"/>
    <w:rsid w:val="00A00189"/>
    <w:rsid w:val="00A01BDA"/>
    <w:rsid w:val="00A0206F"/>
    <w:rsid w:val="00A02211"/>
    <w:rsid w:val="00A03E2C"/>
    <w:rsid w:val="00A04F2E"/>
    <w:rsid w:val="00A056C0"/>
    <w:rsid w:val="00A05AF9"/>
    <w:rsid w:val="00A05E63"/>
    <w:rsid w:val="00A05F8D"/>
    <w:rsid w:val="00A06811"/>
    <w:rsid w:val="00A10206"/>
    <w:rsid w:val="00A1043C"/>
    <w:rsid w:val="00A1087E"/>
    <w:rsid w:val="00A10E31"/>
    <w:rsid w:val="00A118B6"/>
    <w:rsid w:val="00A11E5B"/>
    <w:rsid w:val="00A1264A"/>
    <w:rsid w:val="00A12C6C"/>
    <w:rsid w:val="00A132DC"/>
    <w:rsid w:val="00A13DDB"/>
    <w:rsid w:val="00A148C9"/>
    <w:rsid w:val="00A1571C"/>
    <w:rsid w:val="00A15BFA"/>
    <w:rsid w:val="00A15C52"/>
    <w:rsid w:val="00A16777"/>
    <w:rsid w:val="00A168F0"/>
    <w:rsid w:val="00A172A9"/>
    <w:rsid w:val="00A20FA3"/>
    <w:rsid w:val="00A21C66"/>
    <w:rsid w:val="00A21D41"/>
    <w:rsid w:val="00A226C7"/>
    <w:rsid w:val="00A2299D"/>
    <w:rsid w:val="00A23908"/>
    <w:rsid w:val="00A23ABE"/>
    <w:rsid w:val="00A23B3D"/>
    <w:rsid w:val="00A243F1"/>
    <w:rsid w:val="00A24E64"/>
    <w:rsid w:val="00A269D0"/>
    <w:rsid w:val="00A26F85"/>
    <w:rsid w:val="00A303CF"/>
    <w:rsid w:val="00A30510"/>
    <w:rsid w:val="00A3105A"/>
    <w:rsid w:val="00A31CCA"/>
    <w:rsid w:val="00A321D6"/>
    <w:rsid w:val="00A329FB"/>
    <w:rsid w:val="00A32A3E"/>
    <w:rsid w:val="00A3454C"/>
    <w:rsid w:val="00A34E83"/>
    <w:rsid w:val="00A34F2C"/>
    <w:rsid w:val="00A35D8A"/>
    <w:rsid w:val="00A362DA"/>
    <w:rsid w:val="00A372DB"/>
    <w:rsid w:val="00A37320"/>
    <w:rsid w:val="00A3754C"/>
    <w:rsid w:val="00A40F0E"/>
    <w:rsid w:val="00A428B3"/>
    <w:rsid w:val="00A42D94"/>
    <w:rsid w:val="00A44389"/>
    <w:rsid w:val="00A445C3"/>
    <w:rsid w:val="00A448C2"/>
    <w:rsid w:val="00A4498C"/>
    <w:rsid w:val="00A44B33"/>
    <w:rsid w:val="00A461B9"/>
    <w:rsid w:val="00A47734"/>
    <w:rsid w:val="00A52857"/>
    <w:rsid w:val="00A52FB9"/>
    <w:rsid w:val="00A557F1"/>
    <w:rsid w:val="00A55EFD"/>
    <w:rsid w:val="00A60CF4"/>
    <w:rsid w:val="00A60D21"/>
    <w:rsid w:val="00A61B54"/>
    <w:rsid w:val="00A629F0"/>
    <w:rsid w:val="00A635DA"/>
    <w:rsid w:val="00A63A36"/>
    <w:rsid w:val="00A655D8"/>
    <w:rsid w:val="00A65C0E"/>
    <w:rsid w:val="00A65F17"/>
    <w:rsid w:val="00A65FE8"/>
    <w:rsid w:val="00A66698"/>
    <w:rsid w:val="00A7067E"/>
    <w:rsid w:val="00A70EF4"/>
    <w:rsid w:val="00A71AA4"/>
    <w:rsid w:val="00A71ED5"/>
    <w:rsid w:val="00A72388"/>
    <w:rsid w:val="00A7279E"/>
    <w:rsid w:val="00A72C06"/>
    <w:rsid w:val="00A747FC"/>
    <w:rsid w:val="00A74A3D"/>
    <w:rsid w:val="00A74FCB"/>
    <w:rsid w:val="00A76C26"/>
    <w:rsid w:val="00A77B49"/>
    <w:rsid w:val="00A81B46"/>
    <w:rsid w:val="00A821D9"/>
    <w:rsid w:val="00A82334"/>
    <w:rsid w:val="00A836E3"/>
    <w:rsid w:val="00A83925"/>
    <w:rsid w:val="00A84628"/>
    <w:rsid w:val="00A84F71"/>
    <w:rsid w:val="00A87DA5"/>
    <w:rsid w:val="00A87DA8"/>
    <w:rsid w:val="00A9043D"/>
    <w:rsid w:val="00A928CB"/>
    <w:rsid w:val="00A934F6"/>
    <w:rsid w:val="00A96321"/>
    <w:rsid w:val="00A96672"/>
    <w:rsid w:val="00A96B07"/>
    <w:rsid w:val="00A96E2B"/>
    <w:rsid w:val="00A96E87"/>
    <w:rsid w:val="00A9792F"/>
    <w:rsid w:val="00AA160B"/>
    <w:rsid w:val="00AA2047"/>
    <w:rsid w:val="00AA20B4"/>
    <w:rsid w:val="00AA5C56"/>
    <w:rsid w:val="00AA5E28"/>
    <w:rsid w:val="00AB03F9"/>
    <w:rsid w:val="00AB110C"/>
    <w:rsid w:val="00AB270E"/>
    <w:rsid w:val="00AB3722"/>
    <w:rsid w:val="00AB4964"/>
    <w:rsid w:val="00AB4B2D"/>
    <w:rsid w:val="00AB4BBE"/>
    <w:rsid w:val="00AB5758"/>
    <w:rsid w:val="00AB5E9F"/>
    <w:rsid w:val="00AB71F8"/>
    <w:rsid w:val="00AC0860"/>
    <w:rsid w:val="00AC10DA"/>
    <w:rsid w:val="00AC18AF"/>
    <w:rsid w:val="00AC2022"/>
    <w:rsid w:val="00AC2410"/>
    <w:rsid w:val="00AC29A0"/>
    <w:rsid w:val="00AC342E"/>
    <w:rsid w:val="00AC36A2"/>
    <w:rsid w:val="00AC3ECE"/>
    <w:rsid w:val="00AC4228"/>
    <w:rsid w:val="00AC5F5F"/>
    <w:rsid w:val="00AC6EAB"/>
    <w:rsid w:val="00AC7EC5"/>
    <w:rsid w:val="00AD236E"/>
    <w:rsid w:val="00AD3511"/>
    <w:rsid w:val="00AD5599"/>
    <w:rsid w:val="00AD5A4F"/>
    <w:rsid w:val="00AD6FFB"/>
    <w:rsid w:val="00AD7E46"/>
    <w:rsid w:val="00AE0117"/>
    <w:rsid w:val="00AE0476"/>
    <w:rsid w:val="00AE09C7"/>
    <w:rsid w:val="00AE0D85"/>
    <w:rsid w:val="00AE0F9B"/>
    <w:rsid w:val="00AE1B1C"/>
    <w:rsid w:val="00AE27EE"/>
    <w:rsid w:val="00AE55A7"/>
    <w:rsid w:val="00AE6DC4"/>
    <w:rsid w:val="00AE72E4"/>
    <w:rsid w:val="00AE78BB"/>
    <w:rsid w:val="00AF04DC"/>
    <w:rsid w:val="00AF08A9"/>
    <w:rsid w:val="00AF21B8"/>
    <w:rsid w:val="00AF437F"/>
    <w:rsid w:val="00AF4CB7"/>
    <w:rsid w:val="00AF5124"/>
    <w:rsid w:val="00AF5E9A"/>
    <w:rsid w:val="00AF675A"/>
    <w:rsid w:val="00AF7704"/>
    <w:rsid w:val="00AF7B11"/>
    <w:rsid w:val="00B01C37"/>
    <w:rsid w:val="00B033B9"/>
    <w:rsid w:val="00B0370B"/>
    <w:rsid w:val="00B0493C"/>
    <w:rsid w:val="00B04A93"/>
    <w:rsid w:val="00B065E4"/>
    <w:rsid w:val="00B136CC"/>
    <w:rsid w:val="00B15830"/>
    <w:rsid w:val="00B162ED"/>
    <w:rsid w:val="00B16CDF"/>
    <w:rsid w:val="00B170AF"/>
    <w:rsid w:val="00B17B29"/>
    <w:rsid w:val="00B200E5"/>
    <w:rsid w:val="00B20FC9"/>
    <w:rsid w:val="00B21168"/>
    <w:rsid w:val="00B212A6"/>
    <w:rsid w:val="00B21C35"/>
    <w:rsid w:val="00B22D5E"/>
    <w:rsid w:val="00B22EB8"/>
    <w:rsid w:val="00B243A5"/>
    <w:rsid w:val="00B248EA"/>
    <w:rsid w:val="00B25BFA"/>
    <w:rsid w:val="00B26C91"/>
    <w:rsid w:val="00B26F2B"/>
    <w:rsid w:val="00B2774D"/>
    <w:rsid w:val="00B27B11"/>
    <w:rsid w:val="00B32C23"/>
    <w:rsid w:val="00B32CC3"/>
    <w:rsid w:val="00B341FC"/>
    <w:rsid w:val="00B34C13"/>
    <w:rsid w:val="00B34C33"/>
    <w:rsid w:val="00B3506C"/>
    <w:rsid w:val="00B35C56"/>
    <w:rsid w:val="00B36638"/>
    <w:rsid w:val="00B36D32"/>
    <w:rsid w:val="00B37D2F"/>
    <w:rsid w:val="00B405E4"/>
    <w:rsid w:val="00B40685"/>
    <w:rsid w:val="00B40A75"/>
    <w:rsid w:val="00B43041"/>
    <w:rsid w:val="00B43639"/>
    <w:rsid w:val="00B43A19"/>
    <w:rsid w:val="00B43EFC"/>
    <w:rsid w:val="00B446D5"/>
    <w:rsid w:val="00B45BFC"/>
    <w:rsid w:val="00B479AA"/>
    <w:rsid w:val="00B47F2D"/>
    <w:rsid w:val="00B518C4"/>
    <w:rsid w:val="00B523C0"/>
    <w:rsid w:val="00B53423"/>
    <w:rsid w:val="00B5345E"/>
    <w:rsid w:val="00B55271"/>
    <w:rsid w:val="00B552CF"/>
    <w:rsid w:val="00B55B37"/>
    <w:rsid w:val="00B61E61"/>
    <w:rsid w:val="00B63647"/>
    <w:rsid w:val="00B637BA"/>
    <w:rsid w:val="00B63AD3"/>
    <w:rsid w:val="00B63F51"/>
    <w:rsid w:val="00B64186"/>
    <w:rsid w:val="00B64B00"/>
    <w:rsid w:val="00B64CD7"/>
    <w:rsid w:val="00B65F9D"/>
    <w:rsid w:val="00B6679E"/>
    <w:rsid w:val="00B66CD9"/>
    <w:rsid w:val="00B7077B"/>
    <w:rsid w:val="00B73DC0"/>
    <w:rsid w:val="00B763CB"/>
    <w:rsid w:val="00B768A6"/>
    <w:rsid w:val="00B77290"/>
    <w:rsid w:val="00B80E4C"/>
    <w:rsid w:val="00B80EE9"/>
    <w:rsid w:val="00B80FC2"/>
    <w:rsid w:val="00B8287A"/>
    <w:rsid w:val="00B86457"/>
    <w:rsid w:val="00B86DA3"/>
    <w:rsid w:val="00B87C16"/>
    <w:rsid w:val="00B91E50"/>
    <w:rsid w:val="00B9331B"/>
    <w:rsid w:val="00B95CC6"/>
    <w:rsid w:val="00B975B7"/>
    <w:rsid w:val="00B97946"/>
    <w:rsid w:val="00B97CE8"/>
    <w:rsid w:val="00BA03BF"/>
    <w:rsid w:val="00BA1576"/>
    <w:rsid w:val="00BA1DD4"/>
    <w:rsid w:val="00BA210C"/>
    <w:rsid w:val="00BA376A"/>
    <w:rsid w:val="00BA3778"/>
    <w:rsid w:val="00BA39F9"/>
    <w:rsid w:val="00BA45EF"/>
    <w:rsid w:val="00BA55BA"/>
    <w:rsid w:val="00BA6B17"/>
    <w:rsid w:val="00BA7954"/>
    <w:rsid w:val="00BA7B0E"/>
    <w:rsid w:val="00BB11BD"/>
    <w:rsid w:val="00BB1A21"/>
    <w:rsid w:val="00BB1A85"/>
    <w:rsid w:val="00BB1A90"/>
    <w:rsid w:val="00BB1B3B"/>
    <w:rsid w:val="00BB252F"/>
    <w:rsid w:val="00BB27AD"/>
    <w:rsid w:val="00BB2CF2"/>
    <w:rsid w:val="00BB50D3"/>
    <w:rsid w:val="00BB589E"/>
    <w:rsid w:val="00BC0F99"/>
    <w:rsid w:val="00BC1F02"/>
    <w:rsid w:val="00BC2B4C"/>
    <w:rsid w:val="00BC38C8"/>
    <w:rsid w:val="00BC3B6E"/>
    <w:rsid w:val="00BC3FF6"/>
    <w:rsid w:val="00BC4BB3"/>
    <w:rsid w:val="00BC7344"/>
    <w:rsid w:val="00BC7879"/>
    <w:rsid w:val="00BD06D1"/>
    <w:rsid w:val="00BD13ED"/>
    <w:rsid w:val="00BD15A0"/>
    <w:rsid w:val="00BD1B16"/>
    <w:rsid w:val="00BD1B48"/>
    <w:rsid w:val="00BD2627"/>
    <w:rsid w:val="00BD28B3"/>
    <w:rsid w:val="00BD3479"/>
    <w:rsid w:val="00BD3C0C"/>
    <w:rsid w:val="00BD3F4E"/>
    <w:rsid w:val="00BD452A"/>
    <w:rsid w:val="00BD4C29"/>
    <w:rsid w:val="00BD5821"/>
    <w:rsid w:val="00BD7242"/>
    <w:rsid w:val="00BD7A1E"/>
    <w:rsid w:val="00BE01E9"/>
    <w:rsid w:val="00BE13E4"/>
    <w:rsid w:val="00BE1B6E"/>
    <w:rsid w:val="00BE1D96"/>
    <w:rsid w:val="00BE21EC"/>
    <w:rsid w:val="00BE238C"/>
    <w:rsid w:val="00BE271D"/>
    <w:rsid w:val="00BE3207"/>
    <w:rsid w:val="00BE3450"/>
    <w:rsid w:val="00BE4565"/>
    <w:rsid w:val="00BE4C6C"/>
    <w:rsid w:val="00BE5BEE"/>
    <w:rsid w:val="00BE5E02"/>
    <w:rsid w:val="00BE621A"/>
    <w:rsid w:val="00BE7006"/>
    <w:rsid w:val="00BE71A5"/>
    <w:rsid w:val="00BE75E8"/>
    <w:rsid w:val="00BE7E71"/>
    <w:rsid w:val="00BF01E0"/>
    <w:rsid w:val="00BF07F4"/>
    <w:rsid w:val="00BF0A4D"/>
    <w:rsid w:val="00BF16D3"/>
    <w:rsid w:val="00BF2BF4"/>
    <w:rsid w:val="00BF3872"/>
    <w:rsid w:val="00BF3BC8"/>
    <w:rsid w:val="00BF4602"/>
    <w:rsid w:val="00BF4C7C"/>
    <w:rsid w:val="00BF4E36"/>
    <w:rsid w:val="00BF54E7"/>
    <w:rsid w:val="00BF7722"/>
    <w:rsid w:val="00C003E2"/>
    <w:rsid w:val="00C0125A"/>
    <w:rsid w:val="00C0152F"/>
    <w:rsid w:val="00C02396"/>
    <w:rsid w:val="00C0243C"/>
    <w:rsid w:val="00C027E8"/>
    <w:rsid w:val="00C0449E"/>
    <w:rsid w:val="00C04565"/>
    <w:rsid w:val="00C04B0F"/>
    <w:rsid w:val="00C05B9D"/>
    <w:rsid w:val="00C0687F"/>
    <w:rsid w:val="00C069E6"/>
    <w:rsid w:val="00C069FD"/>
    <w:rsid w:val="00C06FEB"/>
    <w:rsid w:val="00C07F3C"/>
    <w:rsid w:val="00C10399"/>
    <w:rsid w:val="00C103C7"/>
    <w:rsid w:val="00C11DBF"/>
    <w:rsid w:val="00C12107"/>
    <w:rsid w:val="00C12137"/>
    <w:rsid w:val="00C12A37"/>
    <w:rsid w:val="00C12BA2"/>
    <w:rsid w:val="00C13143"/>
    <w:rsid w:val="00C13264"/>
    <w:rsid w:val="00C13390"/>
    <w:rsid w:val="00C1462C"/>
    <w:rsid w:val="00C14A7D"/>
    <w:rsid w:val="00C14AF7"/>
    <w:rsid w:val="00C17384"/>
    <w:rsid w:val="00C1777C"/>
    <w:rsid w:val="00C177CB"/>
    <w:rsid w:val="00C17B53"/>
    <w:rsid w:val="00C20606"/>
    <w:rsid w:val="00C21679"/>
    <w:rsid w:val="00C22675"/>
    <w:rsid w:val="00C2382B"/>
    <w:rsid w:val="00C24444"/>
    <w:rsid w:val="00C27F34"/>
    <w:rsid w:val="00C3007C"/>
    <w:rsid w:val="00C3014A"/>
    <w:rsid w:val="00C30B23"/>
    <w:rsid w:val="00C31222"/>
    <w:rsid w:val="00C31E06"/>
    <w:rsid w:val="00C3208A"/>
    <w:rsid w:val="00C32B5F"/>
    <w:rsid w:val="00C33F19"/>
    <w:rsid w:val="00C345BD"/>
    <w:rsid w:val="00C34747"/>
    <w:rsid w:val="00C35519"/>
    <w:rsid w:val="00C36A39"/>
    <w:rsid w:val="00C36B0E"/>
    <w:rsid w:val="00C3712D"/>
    <w:rsid w:val="00C37F87"/>
    <w:rsid w:val="00C4004C"/>
    <w:rsid w:val="00C40243"/>
    <w:rsid w:val="00C42729"/>
    <w:rsid w:val="00C44DE9"/>
    <w:rsid w:val="00C468B3"/>
    <w:rsid w:val="00C51305"/>
    <w:rsid w:val="00C52E0E"/>
    <w:rsid w:val="00C52F70"/>
    <w:rsid w:val="00C555E8"/>
    <w:rsid w:val="00C57AC6"/>
    <w:rsid w:val="00C600FA"/>
    <w:rsid w:val="00C618C8"/>
    <w:rsid w:val="00C619A8"/>
    <w:rsid w:val="00C62430"/>
    <w:rsid w:val="00C62751"/>
    <w:rsid w:val="00C64CB4"/>
    <w:rsid w:val="00C64FFE"/>
    <w:rsid w:val="00C655F3"/>
    <w:rsid w:val="00C66138"/>
    <w:rsid w:val="00C66B32"/>
    <w:rsid w:val="00C67157"/>
    <w:rsid w:val="00C71532"/>
    <w:rsid w:val="00C71E95"/>
    <w:rsid w:val="00C73478"/>
    <w:rsid w:val="00C73DA2"/>
    <w:rsid w:val="00C73FC0"/>
    <w:rsid w:val="00C75F1C"/>
    <w:rsid w:val="00C7617F"/>
    <w:rsid w:val="00C77E17"/>
    <w:rsid w:val="00C82043"/>
    <w:rsid w:val="00C824A7"/>
    <w:rsid w:val="00C82BE8"/>
    <w:rsid w:val="00C83024"/>
    <w:rsid w:val="00C83075"/>
    <w:rsid w:val="00C8553A"/>
    <w:rsid w:val="00C91164"/>
    <w:rsid w:val="00C91F0D"/>
    <w:rsid w:val="00C92A95"/>
    <w:rsid w:val="00C92D1D"/>
    <w:rsid w:val="00C92D4A"/>
    <w:rsid w:val="00C93384"/>
    <w:rsid w:val="00C935A5"/>
    <w:rsid w:val="00C93DF8"/>
    <w:rsid w:val="00C941DA"/>
    <w:rsid w:val="00C94C9B"/>
    <w:rsid w:val="00C94DAD"/>
    <w:rsid w:val="00C95E00"/>
    <w:rsid w:val="00C97A40"/>
    <w:rsid w:val="00C97F95"/>
    <w:rsid w:val="00CA0C84"/>
    <w:rsid w:val="00CA0D99"/>
    <w:rsid w:val="00CA11A0"/>
    <w:rsid w:val="00CA1900"/>
    <w:rsid w:val="00CA1E9B"/>
    <w:rsid w:val="00CA5797"/>
    <w:rsid w:val="00CA5DC9"/>
    <w:rsid w:val="00CA5DE5"/>
    <w:rsid w:val="00CA7914"/>
    <w:rsid w:val="00CB0215"/>
    <w:rsid w:val="00CB024A"/>
    <w:rsid w:val="00CB462D"/>
    <w:rsid w:val="00CB5233"/>
    <w:rsid w:val="00CB5EA6"/>
    <w:rsid w:val="00CB6EAB"/>
    <w:rsid w:val="00CB7686"/>
    <w:rsid w:val="00CB7EEE"/>
    <w:rsid w:val="00CC0BAF"/>
    <w:rsid w:val="00CC232F"/>
    <w:rsid w:val="00CC2511"/>
    <w:rsid w:val="00CC3454"/>
    <w:rsid w:val="00CC4B71"/>
    <w:rsid w:val="00CC4E56"/>
    <w:rsid w:val="00CC574D"/>
    <w:rsid w:val="00CC6180"/>
    <w:rsid w:val="00CC7330"/>
    <w:rsid w:val="00CD0BC7"/>
    <w:rsid w:val="00CD2790"/>
    <w:rsid w:val="00CD2EF0"/>
    <w:rsid w:val="00CD40A7"/>
    <w:rsid w:val="00CD415B"/>
    <w:rsid w:val="00CD417D"/>
    <w:rsid w:val="00CD49B3"/>
    <w:rsid w:val="00CD49EE"/>
    <w:rsid w:val="00CD52F0"/>
    <w:rsid w:val="00CD5B75"/>
    <w:rsid w:val="00CD6223"/>
    <w:rsid w:val="00CD63DE"/>
    <w:rsid w:val="00CD6A47"/>
    <w:rsid w:val="00CD6B8B"/>
    <w:rsid w:val="00CD71F2"/>
    <w:rsid w:val="00CD78C1"/>
    <w:rsid w:val="00CE0A58"/>
    <w:rsid w:val="00CE1C07"/>
    <w:rsid w:val="00CE1F9F"/>
    <w:rsid w:val="00CE5073"/>
    <w:rsid w:val="00CE5A27"/>
    <w:rsid w:val="00CE6AF7"/>
    <w:rsid w:val="00CF01FB"/>
    <w:rsid w:val="00CF1A3A"/>
    <w:rsid w:val="00CF2220"/>
    <w:rsid w:val="00CF262C"/>
    <w:rsid w:val="00CF276A"/>
    <w:rsid w:val="00CF2ACA"/>
    <w:rsid w:val="00CF3D36"/>
    <w:rsid w:val="00CF4B94"/>
    <w:rsid w:val="00CF5F10"/>
    <w:rsid w:val="00CF704A"/>
    <w:rsid w:val="00CF736C"/>
    <w:rsid w:val="00CF7856"/>
    <w:rsid w:val="00CF7A37"/>
    <w:rsid w:val="00D00562"/>
    <w:rsid w:val="00D00945"/>
    <w:rsid w:val="00D025FE"/>
    <w:rsid w:val="00D026E9"/>
    <w:rsid w:val="00D030EA"/>
    <w:rsid w:val="00D049BC"/>
    <w:rsid w:val="00D0537D"/>
    <w:rsid w:val="00D057D9"/>
    <w:rsid w:val="00D05D79"/>
    <w:rsid w:val="00D05E7D"/>
    <w:rsid w:val="00D067EB"/>
    <w:rsid w:val="00D06D92"/>
    <w:rsid w:val="00D07202"/>
    <w:rsid w:val="00D07F7D"/>
    <w:rsid w:val="00D13667"/>
    <w:rsid w:val="00D13748"/>
    <w:rsid w:val="00D14047"/>
    <w:rsid w:val="00D15A22"/>
    <w:rsid w:val="00D175BB"/>
    <w:rsid w:val="00D17F48"/>
    <w:rsid w:val="00D2033C"/>
    <w:rsid w:val="00D21A2E"/>
    <w:rsid w:val="00D22089"/>
    <w:rsid w:val="00D22352"/>
    <w:rsid w:val="00D2284D"/>
    <w:rsid w:val="00D2379B"/>
    <w:rsid w:val="00D24ABA"/>
    <w:rsid w:val="00D253FF"/>
    <w:rsid w:val="00D26133"/>
    <w:rsid w:val="00D27367"/>
    <w:rsid w:val="00D27F6C"/>
    <w:rsid w:val="00D302F6"/>
    <w:rsid w:val="00D30328"/>
    <w:rsid w:val="00D31878"/>
    <w:rsid w:val="00D319BE"/>
    <w:rsid w:val="00D31F3B"/>
    <w:rsid w:val="00D32122"/>
    <w:rsid w:val="00D32FC6"/>
    <w:rsid w:val="00D33296"/>
    <w:rsid w:val="00D339B9"/>
    <w:rsid w:val="00D33F72"/>
    <w:rsid w:val="00D34CDE"/>
    <w:rsid w:val="00D3517D"/>
    <w:rsid w:val="00D353D2"/>
    <w:rsid w:val="00D36E9F"/>
    <w:rsid w:val="00D36FAD"/>
    <w:rsid w:val="00D40454"/>
    <w:rsid w:val="00D40861"/>
    <w:rsid w:val="00D408E5"/>
    <w:rsid w:val="00D40A41"/>
    <w:rsid w:val="00D410B0"/>
    <w:rsid w:val="00D41E01"/>
    <w:rsid w:val="00D42738"/>
    <w:rsid w:val="00D4293C"/>
    <w:rsid w:val="00D45593"/>
    <w:rsid w:val="00D4651E"/>
    <w:rsid w:val="00D4683C"/>
    <w:rsid w:val="00D46A11"/>
    <w:rsid w:val="00D47843"/>
    <w:rsid w:val="00D47F2A"/>
    <w:rsid w:val="00D508FE"/>
    <w:rsid w:val="00D51C28"/>
    <w:rsid w:val="00D51CE4"/>
    <w:rsid w:val="00D54074"/>
    <w:rsid w:val="00D544F3"/>
    <w:rsid w:val="00D54D77"/>
    <w:rsid w:val="00D561C5"/>
    <w:rsid w:val="00D56B2E"/>
    <w:rsid w:val="00D60320"/>
    <w:rsid w:val="00D60D3E"/>
    <w:rsid w:val="00D60F6E"/>
    <w:rsid w:val="00D61ADA"/>
    <w:rsid w:val="00D62CD3"/>
    <w:rsid w:val="00D62E11"/>
    <w:rsid w:val="00D641E8"/>
    <w:rsid w:val="00D646E3"/>
    <w:rsid w:val="00D64D74"/>
    <w:rsid w:val="00D67556"/>
    <w:rsid w:val="00D676A0"/>
    <w:rsid w:val="00D6791C"/>
    <w:rsid w:val="00D67AD1"/>
    <w:rsid w:val="00D706B4"/>
    <w:rsid w:val="00D70716"/>
    <w:rsid w:val="00D7133E"/>
    <w:rsid w:val="00D728DC"/>
    <w:rsid w:val="00D737A2"/>
    <w:rsid w:val="00D73E6C"/>
    <w:rsid w:val="00D73F60"/>
    <w:rsid w:val="00D7438B"/>
    <w:rsid w:val="00D74C67"/>
    <w:rsid w:val="00D75006"/>
    <w:rsid w:val="00D75548"/>
    <w:rsid w:val="00D75DDB"/>
    <w:rsid w:val="00D77F43"/>
    <w:rsid w:val="00D81684"/>
    <w:rsid w:val="00D817F6"/>
    <w:rsid w:val="00D84769"/>
    <w:rsid w:val="00D858E4"/>
    <w:rsid w:val="00D862BB"/>
    <w:rsid w:val="00D8649F"/>
    <w:rsid w:val="00D86B68"/>
    <w:rsid w:val="00D86ED1"/>
    <w:rsid w:val="00D87A72"/>
    <w:rsid w:val="00D87B5E"/>
    <w:rsid w:val="00D9023B"/>
    <w:rsid w:val="00D91CA1"/>
    <w:rsid w:val="00D92423"/>
    <w:rsid w:val="00D92907"/>
    <w:rsid w:val="00D92EC2"/>
    <w:rsid w:val="00D95118"/>
    <w:rsid w:val="00D975AE"/>
    <w:rsid w:val="00D97A6F"/>
    <w:rsid w:val="00D97B88"/>
    <w:rsid w:val="00DA0400"/>
    <w:rsid w:val="00DA04DB"/>
    <w:rsid w:val="00DA0620"/>
    <w:rsid w:val="00DA1709"/>
    <w:rsid w:val="00DA1E4A"/>
    <w:rsid w:val="00DA3230"/>
    <w:rsid w:val="00DA4F14"/>
    <w:rsid w:val="00DA509D"/>
    <w:rsid w:val="00DA531F"/>
    <w:rsid w:val="00DA73B3"/>
    <w:rsid w:val="00DB154D"/>
    <w:rsid w:val="00DB3614"/>
    <w:rsid w:val="00DB3ACA"/>
    <w:rsid w:val="00DB4B59"/>
    <w:rsid w:val="00DB74AB"/>
    <w:rsid w:val="00DC0B01"/>
    <w:rsid w:val="00DC0F5F"/>
    <w:rsid w:val="00DC1925"/>
    <w:rsid w:val="00DC1FF4"/>
    <w:rsid w:val="00DC2E95"/>
    <w:rsid w:val="00DC3670"/>
    <w:rsid w:val="00DC4E35"/>
    <w:rsid w:val="00DC5077"/>
    <w:rsid w:val="00DC50CE"/>
    <w:rsid w:val="00DC52B6"/>
    <w:rsid w:val="00DC556D"/>
    <w:rsid w:val="00DC6A66"/>
    <w:rsid w:val="00DC71E9"/>
    <w:rsid w:val="00DD016C"/>
    <w:rsid w:val="00DD0227"/>
    <w:rsid w:val="00DD09FF"/>
    <w:rsid w:val="00DD10A2"/>
    <w:rsid w:val="00DD1D3B"/>
    <w:rsid w:val="00DD1F53"/>
    <w:rsid w:val="00DD23C9"/>
    <w:rsid w:val="00DD3597"/>
    <w:rsid w:val="00DD3B9C"/>
    <w:rsid w:val="00DD3F05"/>
    <w:rsid w:val="00DD42C7"/>
    <w:rsid w:val="00DD44DB"/>
    <w:rsid w:val="00DD4D07"/>
    <w:rsid w:val="00DD66EA"/>
    <w:rsid w:val="00DD69B9"/>
    <w:rsid w:val="00DD6A96"/>
    <w:rsid w:val="00DD7634"/>
    <w:rsid w:val="00DE0471"/>
    <w:rsid w:val="00DE1EAF"/>
    <w:rsid w:val="00DE222A"/>
    <w:rsid w:val="00DE24F7"/>
    <w:rsid w:val="00DE3AE4"/>
    <w:rsid w:val="00DE4033"/>
    <w:rsid w:val="00DE47C7"/>
    <w:rsid w:val="00DE5221"/>
    <w:rsid w:val="00DE533C"/>
    <w:rsid w:val="00DE55E0"/>
    <w:rsid w:val="00DE5D19"/>
    <w:rsid w:val="00DE6631"/>
    <w:rsid w:val="00DE7707"/>
    <w:rsid w:val="00DE7AB1"/>
    <w:rsid w:val="00DF0350"/>
    <w:rsid w:val="00DF0EFC"/>
    <w:rsid w:val="00DF13BE"/>
    <w:rsid w:val="00DF274B"/>
    <w:rsid w:val="00DF3111"/>
    <w:rsid w:val="00DF325D"/>
    <w:rsid w:val="00DF62AD"/>
    <w:rsid w:val="00E003F0"/>
    <w:rsid w:val="00E00B8A"/>
    <w:rsid w:val="00E00BDA"/>
    <w:rsid w:val="00E0105E"/>
    <w:rsid w:val="00E0106C"/>
    <w:rsid w:val="00E01623"/>
    <w:rsid w:val="00E01EE6"/>
    <w:rsid w:val="00E03279"/>
    <w:rsid w:val="00E03BFC"/>
    <w:rsid w:val="00E048F9"/>
    <w:rsid w:val="00E055B7"/>
    <w:rsid w:val="00E05834"/>
    <w:rsid w:val="00E05D98"/>
    <w:rsid w:val="00E06604"/>
    <w:rsid w:val="00E06DE7"/>
    <w:rsid w:val="00E10B4F"/>
    <w:rsid w:val="00E11658"/>
    <w:rsid w:val="00E1266E"/>
    <w:rsid w:val="00E12973"/>
    <w:rsid w:val="00E14162"/>
    <w:rsid w:val="00E147F9"/>
    <w:rsid w:val="00E14E36"/>
    <w:rsid w:val="00E15A45"/>
    <w:rsid w:val="00E15CC3"/>
    <w:rsid w:val="00E164DF"/>
    <w:rsid w:val="00E16738"/>
    <w:rsid w:val="00E169C4"/>
    <w:rsid w:val="00E16E8E"/>
    <w:rsid w:val="00E1783A"/>
    <w:rsid w:val="00E17A4F"/>
    <w:rsid w:val="00E17F05"/>
    <w:rsid w:val="00E20D3C"/>
    <w:rsid w:val="00E23880"/>
    <w:rsid w:val="00E23DF0"/>
    <w:rsid w:val="00E23F49"/>
    <w:rsid w:val="00E24278"/>
    <w:rsid w:val="00E2750F"/>
    <w:rsid w:val="00E308A6"/>
    <w:rsid w:val="00E319C0"/>
    <w:rsid w:val="00E33224"/>
    <w:rsid w:val="00E33639"/>
    <w:rsid w:val="00E33D98"/>
    <w:rsid w:val="00E345DA"/>
    <w:rsid w:val="00E36F2C"/>
    <w:rsid w:val="00E37420"/>
    <w:rsid w:val="00E376C9"/>
    <w:rsid w:val="00E4007F"/>
    <w:rsid w:val="00E425A6"/>
    <w:rsid w:val="00E4268C"/>
    <w:rsid w:val="00E44639"/>
    <w:rsid w:val="00E472BA"/>
    <w:rsid w:val="00E51DB5"/>
    <w:rsid w:val="00E540BE"/>
    <w:rsid w:val="00E56520"/>
    <w:rsid w:val="00E56A89"/>
    <w:rsid w:val="00E57BC7"/>
    <w:rsid w:val="00E606E7"/>
    <w:rsid w:val="00E60D10"/>
    <w:rsid w:val="00E60E10"/>
    <w:rsid w:val="00E61ACA"/>
    <w:rsid w:val="00E623CB"/>
    <w:rsid w:val="00E63956"/>
    <w:rsid w:val="00E64B9E"/>
    <w:rsid w:val="00E664DB"/>
    <w:rsid w:val="00E6652E"/>
    <w:rsid w:val="00E66A83"/>
    <w:rsid w:val="00E66E0B"/>
    <w:rsid w:val="00E67674"/>
    <w:rsid w:val="00E67840"/>
    <w:rsid w:val="00E72D39"/>
    <w:rsid w:val="00E734B5"/>
    <w:rsid w:val="00E73AD1"/>
    <w:rsid w:val="00E73DBB"/>
    <w:rsid w:val="00E7471E"/>
    <w:rsid w:val="00E7595D"/>
    <w:rsid w:val="00E761A0"/>
    <w:rsid w:val="00E761CB"/>
    <w:rsid w:val="00E762A5"/>
    <w:rsid w:val="00E766D8"/>
    <w:rsid w:val="00E7769D"/>
    <w:rsid w:val="00E80367"/>
    <w:rsid w:val="00E813BD"/>
    <w:rsid w:val="00E81441"/>
    <w:rsid w:val="00E81A97"/>
    <w:rsid w:val="00E825C6"/>
    <w:rsid w:val="00E82CC8"/>
    <w:rsid w:val="00E8404F"/>
    <w:rsid w:val="00E850D3"/>
    <w:rsid w:val="00E8524A"/>
    <w:rsid w:val="00E855A0"/>
    <w:rsid w:val="00E86914"/>
    <w:rsid w:val="00E87A2D"/>
    <w:rsid w:val="00E9051F"/>
    <w:rsid w:val="00E919EC"/>
    <w:rsid w:val="00E91CB5"/>
    <w:rsid w:val="00E92AE2"/>
    <w:rsid w:val="00E92F09"/>
    <w:rsid w:val="00E9302E"/>
    <w:rsid w:val="00E94234"/>
    <w:rsid w:val="00E945D3"/>
    <w:rsid w:val="00E95C9B"/>
    <w:rsid w:val="00E96E0F"/>
    <w:rsid w:val="00E974EC"/>
    <w:rsid w:val="00E9773D"/>
    <w:rsid w:val="00E9785D"/>
    <w:rsid w:val="00EA02A3"/>
    <w:rsid w:val="00EA0787"/>
    <w:rsid w:val="00EA18C4"/>
    <w:rsid w:val="00EA1AF8"/>
    <w:rsid w:val="00EA2FAF"/>
    <w:rsid w:val="00EA3A17"/>
    <w:rsid w:val="00EA3DF2"/>
    <w:rsid w:val="00EA3FB0"/>
    <w:rsid w:val="00EA4E8E"/>
    <w:rsid w:val="00EA5347"/>
    <w:rsid w:val="00EA66A5"/>
    <w:rsid w:val="00EA771B"/>
    <w:rsid w:val="00EB06A4"/>
    <w:rsid w:val="00EB07AB"/>
    <w:rsid w:val="00EB210F"/>
    <w:rsid w:val="00EB307C"/>
    <w:rsid w:val="00EB38AE"/>
    <w:rsid w:val="00EB3BA2"/>
    <w:rsid w:val="00EB4EB0"/>
    <w:rsid w:val="00EB61A7"/>
    <w:rsid w:val="00EB6DA7"/>
    <w:rsid w:val="00EB71CB"/>
    <w:rsid w:val="00EB73D4"/>
    <w:rsid w:val="00EC02AC"/>
    <w:rsid w:val="00EC0347"/>
    <w:rsid w:val="00EC18AC"/>
    <w:rsid w:val="00EC1D56"/>
    <w:rsid w:val="00EC1F64"/>
    <w:rsid w:val="00EC2DD7"/>
    <w:rsid w:val="00EC33B1"/>
    <w:rsid w:val="00EC424B"/>
    <w:rsid w:val="00EC4913"/>
    <w:rsid w:val="00EC4CC6"/>
    <w:rsid w:val="00EC4EB7"/>
    <w:rsid w:val="00EC52F4"/>
    <w:rsid w:val="00EC61AB"/>
    <w:rsid w:val="00ED0050"/>
    <w:rsid w:val="00ED0623"/>
    <w:rsid w:val="00ED141A"/>
    <w:rsid w:val="00ED1CDE"/>
    <w:rsid w:val="00ED2F04"/>
    <w:rsid w:val="00ED3024"/>
    <w:rsid w:val="00ED3441"/>
    <w:rsid w:val="00ED379C"/>
    <w:rsid w:val="00ED49B5"/>
    <w:rsid w:val="00ED6F1F"/>
    <w:rsid w:val="00ED76F4"/>
    <w:rsid w:val="00ED797F"/>
    <w:rsid w:val="00ED7DEA"/>
    <w:rsid w:val="00ED7E1C"/>
    <w:rsid w:val="00EE0719"/>
    <w:rsid w:val="00EE0C61"/>
    <w:rsid w:val="00EE13FF"/>
    <w:rsid w:val="00EE20BA"/>
    <w:rsid w:val="00EE2808"/>
    <w:rsid w:val="00EE3165"/>
    <w:rsid w:val="00EE36FE"/>
    <w:rsid w:val="00EE49D6"/>
    <w:rsid w:val="00EE52F2"/>
    <w:rsid w:val="00EE5CBE"/>
    <w:rsid w:val="00EE5F3B"/>
    <w:rsid w:val="00EE69EE"/>
    <w:rsid w:val="00EF0C12"/>
    <w:rsid w:val="00EF1195"/>
    <w:rsid w:val="00EF1C3D"/>
    <w:rsid w:val="00EF376A"/>
    <w:rsid w:val="00EF4A75"/>
    <w:rsid w:val="00EF4A78"/>
    <w:rsid w:val="00EF5589"/>
    <w:rsid w:val="00EF5E49"/>
    <w:rsid w:val="00EF65B5"/>
    <w:rsid w:val="00EF692E"/>
    <w:rsid w:val="00EF6B0B"/>
    <w:rsid w:val="00EF6EC7"/>
    <w:rsid w:val="00EF6FD9"/>
    <w:rsid w:val="00F0130A"/>
    <w:rsid w:val="00F01835"/>
    <w:rsid w:val="00F01891"/>
    <w:rsid w:val="00F01C56"/>
    <w:rsid w:val="00F02B6D"/>
    <w:rsid w:val="00F03CB3"/>
    <w:rsid w:val="00F0429E"/>
    <w:rsid w:val="00F04511"/>
    <w:rsid w:val="00F05592"/>
    <w:rsid w:val="00F06907"/>
    <w:rsid w:val="00F07D0C"/>
    <w:rsid w:val="00F100A9"/>
    <w:rsid w:val="00F1010C"/>
    <w:rsid w:val="00F10212"/>
    <w:rsid w:val="00F10588"/>
    <w:rsid w:val="00F10685"/>
    <w:rsid w:val="00F10F9E"/>
    <w:rsid w:val="00F11056"/>
    <w:rsid w:val="00F128FE"/>
    <w:rsid w:val="00F1457A"/>
    <w:rsid w:val="00F14621"/>
    <w:rsid w:val="00F172D2"/>
    <w:rsid w:val="00F1733A"/>
    <w:rsid w:val="00F20B9A"/>
    <w:rsid w:val="00F21AF2"/>
    <w:rsid w:val="00F21E83"/>
    <w:rsid w:val="00F23678"/>
    <w:rsid w:val="00F23829"/>
    <w:rsid w:val="00F23AC7"/>
    <w:rsid w:val="00F2415A"/>
    <w:rsid w:val="00F24C5A"/>
    <w:rsid w:val="00F24DAE"/>
    <w:rsid w:val="00F25804"/>
    <w:rsid w:val="00F258E3"/>
    <w:rsid w:val="00F2670C"/>
    <w:rsid w:val="00F303CB"/>
    <w:rsid w:val="00F304D9"/>
    <w:rsid w:val="00F31027"/>
    <w:rsid w:val="00F31030"/>
    <w:rsid w:val="00F31636"/>
    <w:rsid w:val="00F3173F"/>
    <w:rsid w:val="00F31A06"/>
    <w:rsid w:val="00F3217C"/>
    <w:rsid w:val="00F32464"/>
    <w:rsid w:val="00F329D4"/>
    <w:rsid w:val="00F32D83"/>
    <w:rsid w:val="00F32F2B"/>
    <w:rsid w:val="00F3304D"/>
    <w:rsid w:val="00F33A29"/>
    <w:rsid w:val="00F343F7"/>
    <w:rsid w:val="00F344BF"/>
    <w:rsid w:val="00F3549B"/>
    <w:rsid w:val="00F35523"/>
    <w:rsid w:val="00F36B1F"/>
    <w:rsid w:val="00F36D8A"/>
    <w:rsid w:val="00F3789C"/>
    <w:rsid w:val="00F37CC5"/>
    <w:rsid w:val="00F40494"/>
    <w:rsid w:val="00F4104D"/>
    <w:rsid w:val="00F41EA3"/>
    <w:rsid w:val="00F4219C"/>
    <w:rsid w:val="00F42291"/>
    <w:rsid w:val="00F4229A"/>
    <w:rsid w:val="00F4245B"/>
    <w:rsid w:val="00F42FD6"/>
    <w:rsid w:val="00F44E3E"/>
    <w:rsid w:val="00F455BE"/>
    <w:rsid w:val="00F4656B"/>
    <w:rsid w:val="00F50896"/>
    <w:rsid w:val="00F508D8"/>
    <w:rsid w:val="00F51B38"/>
    <w:rsid w:val="00F524FB"/>
    <w:rsid w:val="00F52662"/>
    <w:rsid w:val="00F52895"/>
    <w:rsid w:val="00F52FAC"/>
    <w:rsid w:val="00F53225"/>
    <w:rsid w:val="00F53CA3"/>
    <w:rsid w:val="00F557C6"/>
    <w:rsid w:val="00F57593"/>
    <w:rsid w:val="00F62A3D"/>
    <w:rsid w:val="00F63C93"/>
    <w:rsid w:val="00F63F81"/>
    <w:rsid w:val="00F640D2"/>
    <w:rsid w:val="00F64482"/>
    <w:rsid w:val="00F64A3E"/>
    <w:rsid w:val="00F65D86"/>
    <w:rsid w:val="00F65D9D"/>
    <w:rsid w:val="00F66CF3"/>
    <w:rsid w:val="00F67959"/>
    <w:rsid w:val="00F70A8E"/>
    <w:rsid w:val="00F711CE"/>
    <w:rsid w:val="00F7243B"/>
    <w:rsid w:val="00F737A2"/>
    <w:rsid w:val="00F7537B"/>
    <w:rsid w:val="00F762CB"/>
    <w:rsid w:val="00F76A0B"/>
    <w:rsid w:val="00F76F2C"/>
    <w:rsid w:val="00F77421"/>
    <w:rsid w:val="00F77C0C"/>
    <w:rsid w:val="00F80103"/>
    <w:rsid w:val="00F80B52"/>
    <w:rsid w:val="00F83634"/>
    <w:rsid w:val="00F84542"/>
    <w:rsid w:val="00F85080"/>
    <w:rsid w:val="00F8641F"/>
    <w:rsid w:val="00F86B17"/>
    <w:rsid w:val="00F900CD"/>
    <w:rsid w:val="00F90144"/>
    <w:rsid w:val="00F904A8"/>
    <w:rsid w:val="00F90BDF"/>
    <w:rsid w:val="00F9188F"/>
    <w:rsid w:val="00F926E1"/>
    <w:rsid w:val="00F9294C"/>
    <w:rsid w:val="00F93780"/>
    <w:rsid w:val="00F93841"/>
    <w:rsid w:val="00F93A68"/>
    <w:rsid w:val="00F95081"/>
    <w:rsid w:val="00F96C98"/>
    <w:rsid w:val="00F97106"/>
    <w:rsid w:val="00F97947"/>
    <w:rsid w:val="00F97E8C"/>
    <w:rsid w:val="00FA0246"/>
    <w:rsid w:val="00FA1EA0"/>
    <w:rsid w:val="00FA1F3A"/>
    <w:rsid w:val="00FA3A5C"/>
    <w:rsid w:val="00FA5EE7"/>
    <w:rsid w:val="00FA6001"/>
    <w:rsid w:val="00FA6820"/>
    <w:rsid w:val="00FA7BF4"/>
    <w:rsid w:val="00FB0000"/>
    <w:rsid w:val="00FB0349"/>
    <w:rsid w:val="00FB048A"/>
    <w:rsid w:val="00FB1C49"/>
    <w:rsid w:val="00FB1DF7"/>
    <w:rsid w:val="00FB20C6"/>
    <w:rsid w:val="00FB2A36"/>
    <w:rsid w:val="00FB2BE1"/>
    <w:rsid w:val="00FB3A98"/>
    <w:rsid w:val="00FB49E4"/>
    <w:rsid w:val="00FB5A91"/>
    <w:rsid w:val="00FB6016"/>
    <w:rsid w:val="00FC06C8"/>
    <w:rsid w:val="00FC0968"/>
    <w:rsid w:val="00FC0C8B"/>
    <w:rsid w:val="00FC0EAC"/>
    <w:rsid w:val="00FC1CB8"/>
    <w:rsid w:val="00FC2E69"/>
    <w:rsid w:val="00FC3466"/>
    <w:rsid w:val="00FC3F2B"/>
    <w:rsid w:val="00FC407A"/>
    <w:rsid w:val="00FC58E3"/>
    <w:rsid w:val="00FC5E3D"/>
    <w:rsid w:val="00FC6540"/>
    <w:rsid w:val="00FC78CC"/>
    <w:rsid w:val="00FD21E4"/>
    <w:rsid w:val="00FD2481"/>
    <w:rsid w:val="00FD35E7"/>
    <w:rsid w:val="00FD6C71"/>
    <w:rsid w:val="00FD701B"/>
    <w:rsid w:val="00FD79D8"/>
    <w:rsid w:val="00FE077B"/>
    <w:rsid w:val="00FE1595"/>
    <w:rsid w:val="00FE1A21"/>
    <w:rsid w:val="00FE21B8"/>
    <w:rsid w:val="00FE224E"/>
    <w:rsid w:val="00FE2ADE"/>
    <w:rsid w:val="00FE302F"/>
    <w:rsid w:val="00FE45F7"/>
    <w:rsid w:val="00FE540B"/>
    <w:rsid w:val="00FE5480"/>
    <w:rsid w:val="00FF2AF8"/>
    <w:rsid w:val="00FF36C7"/>
    <w:rsid w:val="00FF3BF3"/>
    <w:rsid w:val="00FF4085"/>
    <w:rsid w:val="00FF4BF2"/>
    <w:rsid w:val="00FF507D"/>
    <w:rsid w:val="00FF52D4"/>
    <w:rsid w:val="00FF5BA2"/>
    <w:rsid w:val="00FF759F"/>
    <w:rsid w:val="00FF7B1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1793EA0D"/>
  <w15:docId w15:val="{3560713C-A054-4688-BC67-E48A3543C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1688"/>
    <w:pPr>
      <w:spacing w:after="0" w:line="480" w:lineRule="auto"/>
      <w:ind w:firstLine="720"/>
    </w:pPr>
    <w:rPr>
      <w:rFonts w:ascii="Times New Roman" w:hAnsi="Times New Roman"/>
      <w:sz w:val="24"/>
    </w:rPr>
  </w:style>
  <w:style w:type="paragraph" w:styleId="Heading1">
    <w:name w:val="heading 1"/>
    <w:basedOn w:val="Normal"/>
    <w:next w:val="Normal"/>
    <w:link w:val="Heading1Char"/>
    <w:uiPriority w:val="9"/>
    <w:qFormat/>
    <w:rsid w:val="005A0AB1"/>
    <w:pPr>
      <w:ind w:firstLine="0"/>
      <w:contextualSpacing/>
      <w:outlineLvl w:val="0"/>
    </w:pPr>
    <w:rPr>
      <w:rFonts w:eastAsiaTheme="majorEastAsia" w:cs="Times New Roman"/>
      <w:b/>
      <w:bCs/>
      <w:szCs w:val="24"/>
    </w:rPr>
  </w:style>
  <w:style w:type="paragraph" w:styleId="Heading2">
    <w:name w:val="heading 2"/>
    <w:basedOn w:val="Normal"/>
    <w:next w:val="Normal"/>
    <w:link w:val="Heading2Char"/>
    <w:uiPriority w:val="9"/>
    <w:unhideWhenUsed/>
    <w:qFormat/>
    <w:rsid w:val="007F6DCB"/>
    <w:pPr>
      <w:contextualSpacing/>
      <w:outlineLvl w:val="1"/>
    </w:pPr>
    <w:rPr>
      <w:rFonts w:eastAsia="MS Gothic" w:cs="Times New Roman"/>
      <w:b/>
      <w:bCs/>
      <w:szCs w:val="26"/>
    </w:rPr>
  </w:style>
  <w:style w:type="paragraph" w:styleId="Heading3">
    <w:name w:val="heading 3"/>
    <w:basedOn w:val="Normal"/>
    <w:next w:val="Normal"/>
    <w:link w:val="Heading3Char"/>
    <w:uiPriority w:val="9"/>
    <w:unhideWhenUsed/>
    <w:qFormat/>
    <w:rsid w:val="004A3E0B"/>
    <w:pPr>
      <w:contextualSpacing/>
      <w:outlineLvl w:val="2"/>
    </w:pPr>
    <w:rPr>
      <w:rFonts w:eastAsia="MS PGothic" w:cs="Times New Roman"/>
      <w:b/>
      <w:bCs/>
      <w:i/>
    </w:rPr>
  </w:style>
  <w:style w:type="paragraph" w:styleId="Heading4">
    <w:name w:val="heading 4"/>
    <w:basedOn w:val="Normal"/>
    <w:next w:val="Normal"/>
    <w:link w:val="Heading4Char"/>
    <w:uiPriority w:val="9"/>
    <w:semiHidden/>
    <w:unhideWhenUsed/>
    <w:rsid w:val="00442D7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E75E8"/>
    <w:pPr>
      <w:numPr>
        <w:ilvl w:val="4"/>
        <w:numId w:val="1"/>
      </w:num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E75E8"/>
    <w:pPr>
      <w:numPr>
        <w:ilvl w:val="5"/>
        <w:numId w:val="1"/>
      </w:num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E75E8"/>
    <w:pPr>
      <w:numPr>
        <w:ilvl w:val="6"/>
        <w:numId w:val="1"/>
      </w:num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E75E8"/>
    <w:pPr>
      <w:numPr>
        <w:ilvl w:val="7"/>
        <w:numId w:val="1"/>
      </w:num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E75E8"/>
    <w:pPr>
      <w:numPr>
        <w:ilvl w:val="8"/>
        <w:numId w:val="1"/>
      </w:num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5E8"/>
    <w:pPr>
      <w:ind w:left="720"/>
      <w:contextualSpacing/>
    </w:pPr>
  </w:style>
  <w:style w:type="character" w:customStyle="1" w:styleId="Heading1Char">
    <w:name w:val="Heading 1 Char"/>
    <w:basedOn w:val="DefaultParagraphFont"/>
    <w:link w:val="Heading1"/>
    <w:uiPriority w:val="9"/>
    <w:rsid w:val="005A0AB1"/>
    <w:rPr>
      <w:rFonts w:ascii="Times New Roman" w:eastAsiaTheme="majorEastAsia" w:hAnsi="Times New Roman" w:cs="Times New Roman"/>
      <w:b/>
      <w:bCs/>
      <w:sz w:val="24"/>
      <w:szCs w:val="24"/>
    </w:rPr>
  </w:style>
  <w:style w:type="character" w:customStyle="1" w:styleId="Heading2Char">
    <w:name w:val="Heading 2 Char"/>
    <w:basedOn w:val="DefaultParagraphFont"/>
    <w:link w:val="Heading2"/>
    <w:uiPriority w:val="9"/>
    <w:rsid w:val="007F6DCB"/>
    <w:rPr>
      <w:rFonts w:ascii="Times New Roman" w:eastAsia="MS Gothic" w:hAnsi="Times New Roman" w:cs="Times New Roman"/>
      <w:b/>
      <w:bCs/>
      <w:sz w:val="24"/>
      <w:szCs w:val="26"/>
    </w:rPr>
  </w:style>
  <w:style w:type="character" w:customStyle="1" w:styleId="Heading3Char">
    <w:name w:val="Heading 3 Char"/>
    <w:basedOn w:val="DefaultParagraphFont"/>
    <w:link w:val="Heading3"/>
    <w:uiPriority w:val="9"/>
    <w:rsid w:val="004A3E0B"/>
    <w:rPr>
      <w:rFonts w:ascii="Times New Roman" w:eastAsia="MS PGothic" w:hAnsi="Times New Roman" w:cs="Times New Roman"/>
      <w:b/>
      <w:bCs/>
      <w:i/>
      <w:sz w:val="24"/>
    </w:rPr>
  </w:style>
  <w:style w:type="character" w:customStyle="1" w:styleId="Heading4Char">
    <w:name w:val="Heading 4 Char"/>
    <w:basedOn w:val="DefaultParagraphFont"/>
    <w:link w:val="Heading4"/>
    <w:uiPriority w:val="9"/>
    <w:semiHidden/>
    <w:rsid w:val="00442D7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E75E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E75E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E75E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E75E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E75E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A00189"/>
    <w:pPr>
      <w:pBdr>
        <w:bottom w:val="single" w:sz="4" w:space="1" w:color="auto"/>
      </w:pBdr>
      <w:contextualSpacing/>
      <w:jc w:val="center"/>
    </w:pPr>
    <w:rPr>
      <w:rFonts w:eastAsiaTheme="majorEastAsia" w:cstheme="majorBidi"/>
      <w:sz w:val="52"/>
      <w:szCs w:val="52"/>
    </w:rPr>
  </w:style>
  <w:style w:type="character" w:customStyle="1" w:styleId="TitleChar">
    <w:name w:val="Title Char"/>
    <w:basedOn w:val="DefaultParagraphFont"/>
    <w:link w:val="Title"/>
    <w:uiPriority w:val="10"/>
    <w:rsid w:val="00A00189"/>
    <w:rPr>
      <w:rFonts w:ascii="Times New Roman" w:eastAsiaTheme="majorEastAsia" w:hAnsi="Times New Roman" w:cstheme="majorBidi"/>
      <w:sz w:val="52"/>
      <w:szCs w:val="52"/>
    </w:rPr>
  </w:style>
  <w:style w:type="paragraph" w:styleId="Subtitle">
    <w:name w:val="Subtitle"/>
    <w:basedOn w:val="Normal"/>
    <w:next w:val="Normal"/>
    <w:link w:val="SubtitleChar"/>
    <w:uiPriority w:val="11"/>
    <w:rsid w:val="00BE75E8"/>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BE75E8"/>
    <w:rPr>
      <w:rFonts w:asciiTheme="majorHAnsi" w:eastAsiaTheme="majorEastAsia" w:hAnsiTheme="majorHAnsi" w:cstheme="majorBidi"/>
      <w:i/>
      <w:iCs/>
      <w:spacing w:val="13"/>
      <w:sz w:val="24"/>
      <w:szCs w:val="24"/>
    </w:rPr>
  </w:style>
  <w:style w:type="character" w:styleId="Strong">
    <w:name w:val="Strong"/>
    <w:uiPriority w:val="22"/>
    <w:rsid w:val="00BE75E8"/>
    <w:rPr>
      <w:b/>
      <w:bCs/>
    </w:rPr>
  </w:style>
  <w:style w:type="character" w:styleId="Emphasis">
    <w:name w:val="Emphasis"/>
    <w:uiPriority w:val="20"/>
    <w:rsid w:val="00BE75E8"/>
    <w:rPr>
      <w:b/>
      <w:bCs/>
      <w:i/>
      <w:iCs/>
      <w:spacing w:val="10"/>
      <w:bdr w:val="none" w:sz="0" w:space="0" w:color="auto"/>
      <w:shd w:val="clear" w:color="auto" w:fill="auto"/>
    </w:rPr>
  </w:style>
  <w:style w:type="paragraph" w:styleId="NoSpacing">
    <w:name w:val="No Spacing"/>
    <w:basedOn w:val="Normal"/>
    <w:uiPriority w:val="1"/>
    <w:rsid w:val="00BE75E8"/>
  </w:style>
  <w:style w:type="paragraph" w:styleId="Quote">
    <w:name w:val="Quote"/>
    <w:basedOn w:val="Normal"/>
    <w:next w:val="Normal"/>
    <w:link w:val="QuoteChar"/>
    <w:uiPriority w:val="29"/>
    <w:rsid w:val="00BE75E8"/>
    <w:pPr>
      <w:spacing w:before="200"/>
      <w:ind w:left="360" w:right="360"/>
    </w:pPr>
    <w:rPr>
      <w:i/>
      <w:iCs/>
    </w:rPr>
  </w:style>
  <w:style w:type="character" w:customStyle="1" w:styleId="QuoteChar">
    <w:name w:val="Quote Char"/>
    <w:basedOn w:val="DefaultParagraphFont"/>
    <w:link w:val="Quote"/>
    <w:uiPriority w:val="29"/>
    <w:rsid w:val="00BE75E8"/>
    <w:rPr>
      <w:i/>
      <w:iCs/>
    </w:rPr>
  </w:style>
  <w:style w:type="paragraph" w:styleId="IntenseQuote">
    <w:name w:val="Intense Quote"/>
    <w:basedOn w:val="Normal"/>
    <w:next w:val="Normal"/>
    <w:link w:val="IntenseQuoteChar"/>
    <w:uiPriority w:val="30"/>
    <w:rsid w:val="00BE75E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E75E8"/>
    <w:rPr>
      <w:b/>
      <w:bCs/>
      <w:i/>
      <w:iCs/>
    </w:rPr>
  </w:style>
  <w:style w:type="character" w:styleId="SubtleEmphasis">
    <w:name w:val="Subtle Emphasis"/>
    <w:uiPriority w:val="19"/>
    <w:rsid w:val="00BE75E8"/>
    <w:rPr>
      <w:i/>
      <w:iCs/>
    </w:rPr>
  </w:style>
  <w:style w:type="character" w:styleId="IntenseEmphasis">
    <w:name w:val="Intense Emphasis"/>
    <w:uiPriority w:val="21"/>
    <w:rsid w:val="00BE75E8"/>
    <w:rPr>
      <w:b/>
      <w:bCs/>
    </w:rPr>
  </w:style>
  <w:style w:type="character" w:styleId="SubtleReference">
    <w:name w:val="Subtle Reference"/>
    <w:uiPriority w:val="31"/>
    <w:rsid w:val="00BE75E8"/>
    <w:rPr>
      <w:smallCaps/>
    </w:rPr>
  </w:style>
  <w:style w:type="character" w:styleId="IntenseReference">
    <w:name w:val="Intense Reference"/>
    <w:uiPriority w:val="32"/>
    <w:rsid w:val="00BE75E8"/>
    <w:rPr>
      <w:smallCaps/>
      <w:spacing w:val="5"/>
      <w:u w:val="single"/>
    </w:rPr>
  </w:style>
  <w:style w:type="character" w:styleId="BookTitle">
    <w:name w:val="Book Title"/>
    <w:uiPriority w:val="33"/>
    <w:rsid w:val="00BE75E8"/>
    <w:rPr>
      <w:i/>
      <w:iCs/>
      <w:smallCaps/>
      <w:spacing w:val="5"/>
    </w:rPr>
  </w:style>
  <w:style w:type="paragraph" w:styleId="TOCHeading">
    <w:name w:val="TOC Heading"/>
    <w:basedOn w:val="Heading1"/>
    <w:next w:val="Normal"/>
    <w:uiPriority w:val="39"/>
    <w:semiHidden/>
    <w:unhideWhenUsed/>
    <w:qFormat/>
    <w:rsid w:val="00BE75E8"/>
    <w:pPr>
      <w:outlineLvl w:val="9"/>
    </w:pPr>
    <w:rPr>
      <w:lang w:bidi="en-US"/>
    </w:rPr>
  </w:style>
  <w:style w:type="character" w:styleId="CommentReference">
    <w:name w:val="annotation reference"/>
    <w:basedOn w:val="DefaultParagraphFont"/>
    <w:uiPriority w:val="99"/>
    <w:semiHidden/>
    <w:unhideWhenUsed/>
    <w:rsid w:val="006B787E"/>
    <w:rPr>
      <w:sz w:val="16"/>
      <w:szCs w:val="16"/>
    </w:rPr>
  </w:style>
  <w:style w:type="paragraph" w:styleId="CommentText">
    <w:name w:val="annotation text"/>
    <w:basedOn w:val="Normal"/>
    <w:link w:val="CommentTextChar"/>
    <w:uiPriority w:val="99"/>
    <w:unhideWhenUsed/>
    <w:rsid w:val="006B787E"/>
    <w:pPr>
      <w:spacing w:line="240" w:lineRule="auto"/>
    </w:pPr>
    <w:rPr>
      <w:sz w:val="20"/>
      <w:szCs w:val="20"/>
    </w:rPr>
  </w:style>
  <w:style w:type="character" w:customStyle="1" w:styleId="CommentTextChar">
    <w:name w:val="Comment Text Char"/>
    <w:basedOn w:val="DefaultParagraphFont"/>
    <w:link w:val="CommentText"/>
    <w:uiPriority w:val="99"/>
    <w:rsid w:val="006B787E"/>
    <w:rPr>
      <w:sz w:val="20"/>
      <w:szCs w:val="20"/>
    </w:rPr>
  </w:style>
  <w:style w:type="paragraph" w:styleId="CommentSubject">
    <w:name w:val="annotation subject"/>
    <w:basedOn w:val="CommentText"/>
    <w:next w:val="CommentText"/>
    <w:link w:val="CommentSubjectChar"/>
    <w:uiPriority w:val="99"/>
    <w:semiHidden/>
    <w:unhideWhenUsed/>
    <w:rsid w:val="006B787E"/>
    <w:rPr>
      <w:b/>
      <w:bCs/>
    </w:rPr>
  </w:style>
  <w:style w:type="character" w:customStyle="1" w:styleId="CommentSubjectChar">
    <w:name w:val="Comment Subject Char"/>
    <w:basedOn w:val="CommentTextChar"/>
    <w:link w:val="CommentSubject"/>
    <w:uiPriority w:val="99"/>
    <w:semiHidden/>
    <w:rsid w:val="006B787E"/>
    <w:rPr>
      <w:b/>
      <w:bCs/>
      <w:sz w:val="20"/>
      <w:szCs w:val="20"/>
    </w:rPr>
  </w:style>
  <w:style w:type="paragraph" w:styleId="BalloonText">
    <w:name w:val="Balloon Text"/>
    <w:basedOn w:val="Normal"/>
    <w:link w:val="BalloonTextChar"/>
    <w:uiPriority w:val="99"/>
    <w:semiHidden/>
    <w:unhideWhenUsed/>
    <w:rsid w:val="006B787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87E"/>
    <w:rPr>
      <w:rFonts w:ascii="Segoe UI" w:hAnsi="Segoe UI" w:cs="Segoe UI"/>
      <w:sz w:val="18"/>
      <w:szCs w:val="18"/>
    </w:rPr>
  </w:style>
  <w:style w:type="table" w:styleId="TableGrid">
    <w:name w:val="Table Grid"/>
    <w:basedOn w:val="TableNormal"/>
    <w:uiPriority w:val="59"/>
    <w:rsid w:val="00687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68720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99"/>
    <w:semiHidden/>
    <w:rsid w:val="00F3217C"/>
    <w:pPr>
      <w:spacing w:after="0" w:line="240" w:lineRule="auto"/>
    </w:pPr>
    <w:rPr>
      <w:sz w:val="24"/>
    </w:rPr>
  </w:style>
  <w:style w:type="paragraph" w:styleId="Header">
    <w:name w:val="header"/>
    <w:basedOn w:val="Normal"/>
    <w:link w:val="HeaderChar"/>
    <w:uiPriority w:val="99"/>
    <w:unhideWhenUsed/>
    <w:rsid w:val="0069716E"/>
    <w:pPr>
      <w:tabs>
        <w:tab w:val="center" w:pos="4320"/>
        <w:tab w:val="right" w:pos="8640"/>
      </w:tabs>
      <w:spacing w:line="240" w:lineRule="auto"/>
    </w:pPr>
  </w:style>
  <w:style w:type="character" w:customStyle="1" w:styleId="HeaderChar">
    <w:name w:val="Header Char"/>
    <w:basedOn w:val="DefaultParagraphFont"/>
    <w:link w:val="Header"/>
    <w:uiPriority w:val="99"/>
    <w:rsid w:val="0069716E"/>
    <w:rPr>
      <w:sz w:val="24"/>
    </w:rPr>
  </w:style>
  <w:style w:type="paragraph" w:styleId="Footer">
    <w:name w:val="footer"/>
    <w:basedOn w:val="Normal"/>
    <w:link w:val="FooterChar"/>
    <w:uiPriority w:val="99"/>
    <w:unhideWhenUsed/>
    <w:rsid w:val="0069716E"/>
    <w:pPr>
      <w:tabs>
        <w:tab w:val="center" w:pos="4320"/>
        <w:tab w:val="right" w:pos="8640"/>
      </w:tabs>
      <w:spacing w:line="240" w:lineRule="auto"/>
    </w:pPr>
  </w:style>
  <w:style w:type="character" w:customStyle="1" w:styleId="FooterChar">
    <w:name w:val="Footer Char"/>
    <w:basedOn w:val="DefaultParagraphFont"/>
    <w:link w:val="Footer"/>
    <w:uiPriority w:val="99"/>
    <w:rsid w:val="0069716E"/>
    <w:rPr>
      <w:sz w:val="24"/>
    </w:rPr>
  </w:style>
  <w:style w:type="character" w:styleId="PageNumber">
    <w:name w:val="page number"/>
    <w:basedOn w:val="DefaultParagraphFont"/>
    <w:uiPriority w:val="99"/>
    <w:semiHidden/>
    <w:unhideWhenUsed/>
    <w:rsid w:val="0069716E"/>
  </w:style>
  <w:style w:type="numbering" w:customStyle="1" w:styleId="NoList1">
    <w:name w:val="No List1"/>
    <w:next w:val="NoList"/>
    <w:uiPriority w:val="99"/>
    <w:semiHidden/>
    <w:unhideWhenUsed/>
    <w:rsid w:val="001139D7"/>
  </w:style>
  <w:style w:type="table" w:customStyle="1" w:styleId="PlainTable311">
    <w:name w:val="Plain Table 311"/>
    <w:basedOn w:val="TableNormal"/>
    <w:uiPriority w:val="43"/>
    <w:rsid w:val="001139D7"/>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111">
    <w:name w:val="Plain Table 3111"/>
    <w:basedOn w:val="TableNormal"/>
    <w:uiPriority w:val="43"/>
    <w:rsid w:val="00A81B46"/>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112">
    <w:name w:val="Plain Table 3112"/>
    <w:basedOn w:val="TableNormal"/>
    <w:uiPriority w:val="43"/>
    <w:rsid w:val="00113409"/>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z-TopofForm">
    <w:name w:val="HTML Top of Form"/>
    <w:basedOn w:val="Normal"/>
    <w:next w:val="Normal"/>
    <w:link w:val="z-TopofFormChar"/>
    <w:hidden/>
    <w:uiPriority w:val="99"/>
    <w:semiHidden/>
    <w:unhideWhenUsed/>
    <w:rsid w:val="001A424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A424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A424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A424F"/>
    <w:rPr>
      <w:rFonts w:ascii="Arial" w:hAnsi="Arial" w:cs="Arial"/>
      <w:vanish/>
      <w:sz w:val="16"/>
      <w:szCs w:val="16"/>
    </w:rPr>
  </w:style>
  <w:style w:type="table" w:customStyle="1" w:styleId="PlainTable41">
    <w:name w:val="Plain Table 41"/>
    <w:basedOn w:val="TableNormal"/>
    <w:uiPriority w:val="99"/>
    <w:rsid w:val="00E17F0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C92D1D"/>
    <w:rPr>
      <w:color w:val="0000FF" w:themeColor="hyperlink"/>
      <w:u w:val="single"/>
    </w:rPr>
  </w:style>
  <w:style w:type="character" w:styleId="FollowedHyperlink">
    <w:name w:val="FollowedHyperlink"/>
    <w:basedOn w:val="DefaultParagraphFont"/>
    <w:uiPriority w:val="99"/>
    <w:semiHidden/>
    <w:unhideWhenUsed/>
    <w:rsid w:val="009747E7"/>
    <w:rPr>
      <w:color w:val="800080" w:themeColor="followedHyperlink"/>
      <w:u w:val="single"/>
    </w:rPr>
  </w:style>
  <w:style w:type="table" w:styleId="PlainTable4">
    <w:name w:val="Plain Table 4"/>
    <w:basedOn w:val="TableNormal"/>
    <w:uiPriority w:val="44"/>
    <w:rsid w:val="00F4104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phy">
    <w:name w:val="Bibliography"/>
    <w:basedOn w:val="Normal"/>
    <w:next w:val="Normal"/>
    <w:uiPriority w:val="37"/>
    <w:semiHidden/>
    <w:unhideWhenUsed/>
    <w:rsid w:val="00D030EA"/>
  </w:style>
  <w:style w:type="table" w:customStyle="1" w:styleId="PlainTable413">
    <w:name w:val="Plain Table 413"/>
    <w:basedOn w:val="TableNormal"/>
    <w:uiPriority w:val="99"/>
    <w:rsid w:val="00922005"/>
    <w:pPr>
      <w:spacing w:after="0" w:line="240" w:lineRule="auto"/>
    </w:pPr>
    <w:rPr>
      <w:rFonts w:ascii="Arial" w:eastAsia="Arial" w:hAnsi="Arial" w:cs="Times New Roman"/>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UnresolvedMention">
    <w:name w:val="Unresolved Mention"/>
    <w:basedOn w:val="DefaultParagraphFont"/>
    <w:uiPriority w:val="99"/>
    <w:semiHidden/>
    <w:unhideWhenUsed/>
    <w:rsid w:val="00BD7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09142">
      <w:bodyDiv w:val="1"/>
      <w:marLeft w:val="0"/>
      <w:marRight w:val="0"/>
      <w:marTop w:val="0"/>
      <w:marBottom w:val="0"/>
      <w:divBdr>
        <w:top w:val="none" w:sz="0" w:space="0" w:color="auto"/>
        <w:left w:val="none" w:sz="0" w:space="0" w:color="auto"/>
        <w:bottom w:val="none" w:sz="0" w:space="0" w:color="auto"/>
        <w:right w:val="none" w:sz="0" w:space="0" w:color="auto"/>
      </w:divBdr>
    </w:div>
    <w:div w:id="144594649">
      <w:bodyDiv w:val="1"/>
      <w:marLeft w:val="0"/>
      <w:marRight w:val="0"/>
      <w:marTop w:val="0"/>
      <w:marBottom w:val="0"/>
      <w:divBdr>
        <w:top w:val="none" w:sz="0" w:space="0" w:color="auto"/>
        <w:left w:val="none" w:sz="0" w:space="0" w:color="auto"/>
        <w:bottom w:val="none" w:sz="0" w:space="0" w:color="auto"/>
        <w:right w:val="none" w:sz="0" w:space="0" w:color="auto"/>
      </w:divBdr>
    </w:div>
    <w:div w:id="216749148">
      <w:bodyDiv w:val="1"/>
      <w:marLeft w:val="0"/>
      <w:marRight w:val="0"/>
      <w:marTop w:val="0"/>
      <w:marBottom w:val="0"/>
      <w:divBdr>
        <w:top w:val="none" w:sz="0" w:space="0" w:color="auto"/>
        <w:left w:val="none" w:sz="0" w:space="0" w:color="auto"/>
        <w:bottom w:val="none" w:sz="0" w:space="0" w:color="auto"/>
        <w:right w:val="none" w:sz="0" w:space="0" w:color="auto"/>
      </w:divBdr>
    </w:div>
    <w:div w:id="236790710">
      <w:bodyDiv w:val="1"/>
      <w:marLeft w:val="0"/>
      <w:marRight w:val="0"/>
      <w:marTop w:val="0"/>
      <w:marBottom w:val="0"/>
      <w:divBdr>
        <w:top w:val="none" w:sz="0" w:space="0" w:color="auto"/>
        <w:left w:val="none" w:sz="0" w:space="0" w:color="auto"/>
        <w:bottom w:val="none" w:sz="0" w:space="0" w:color="auto"/>
        <w:right w:val="none" w:sz="0" w:space="0" w:color="auto"/>
      </w:divBdr>
    </w:div>
    <w:div w:id="436218031">
      <w:bodyDiv w:val="1"/>
      <w:marLeft w:val="0"/>
      <w:marRight w:val="0"/>
      <w:marTop w:val="0"/>
      <w:marBottom w:val="0"/>
      <w:divBdr>
        <w:top w:val="none" w:sz="0" w:space="0" w:color="auto"/>
        <w:left w:val="none" w:sz="0" w:space="0" w:color="auto"/>
        <w:bottom w:val="none" w:sz="0" w:space="0" w:color="auto"/>
        <w:right w:val="none" w:sz="0" w:space="0" w:color="auto"/>
      </w:divBdr>
    </w:div>
    <w:div w:id="939751486">
      <w:bodyDiv w:val="1"/>
      <w:marLeft w:val="0"/>
      <w:marRight w:val="0"/>
      <w:marTop w:val="0"/>
      <w:marBottom w:val="0"/>
      <w:divBdr>
        <w:top w:val="none" w:sz="0" w:space="0" w:color="auto"/>
        <w:left w:val="none" w:sz="0" w:space="0" w:color="auto"/>
        <w:bottom w:val="none" w:sz="0" w:space="0" w:color="auto"/>
        <w:right w:val="none" w:sz="0" w:space="0" w:color="auto"/>
      </w:divBdr>
    </w:div>
    <w:div w:id="986587394">
      <w:bodyDiv w:val="1"/>
      <w:marLeft w:val="0"/>
      <w:marRight w:val="0"/>
      <w:marTop w:val="0"/>
      <w:marBottom w:val="0"/>
      <w:divBdr>
        <w:top w:val="none" w:sz="0" w:space="0" w:color="auto"/>
        <w:left w:val="none" w:sz="0" w:space="0" w:color="auto"/>
        <w:bottom w:val="none" w:sz="0" w:space="0" w:color="auto"/>
        <w:right w:val="none" w:sz="0" w:space="0" w:color="auto"/>
      </w:divBdr>
    </w:div>
    <w:div w:id="1020013866">
      <w:bodyDiv w:val="1"/>
      <w:marLeft w:val="0"/>
      <w:marRight w:val="0"/>
      <w:marTop w:val="0"/>
      <w:marBottom w:val="0"/>
      <w:divBdr>
        <w:top w:val="none" w:sz="0" w:space="0" w:color="auto"/>
        <w:left w:val="none" w:sz="0" w:space="0" w:color="auto"/>
        <w:bottom w:val="none" w:sz="0" w:space="0" w:color="auto"/>
        <w:right w:val="none" w:sz="0" w:space="0" w:color="auto"/>
      </w:divBdr>
    </w:div>
    <w:div w:id="1222058253">
      <w:bodyDiv w:val="1"/>
      <w:marLeft w:val="0"/>
      <w:marRight w:val="0"/>
      <w:marTop w:val="0"/>
      <w:marBottom w:val="0"/>
      <w:divBdr>
        <w:top w:val="none" w:sz="0" w:space="0" w:color="auto"/>
        <w:left w:val="none" w:sz="0" w:space="0" w:color="auto"/>
        <w:bottom w:val="none" w:sz="0" w:space="0" w:color="auto"/>
        <w:right w:val="none" w:sz="0" w:space="0" w:color="auto"/>
      </w:divBdr>
    </w:div>
    <w:div w:id="1341851486">
      <w:bodyDiv w:val="1"/>
      <w:marLeft w:val="0"/>
      <w:marRight w:val="0"/>
      <w:marTop w:val="0"/>
      <w:marBottom w:val="0"/>
      <w:divBdr>
        <w:top w:val="none" w:sz="0" w:space="0" w:color="auto"/>
        <w:left w:val="none" w:sz="0" w:space="0" w:color="auto"/>
        <w:bottom w:val="none" w:sz="0" w:space="0" w:color="auto"/>
        <w:right w:val="none" w:sz="0" w:space="0" w:color="auto"/>
      </w:divBdr>
    </w:div>
    <w:div w:id="1439787392">
      <w:bodyDiv w:val="1"/>
      <w:marLeft w:val="0"/>
      <w:marRight w:val="0"/>
      <w:marTop w:val="0"/>
      <w:marBottom w:val="0"/>
      <w:divBdr>
        <w:top w:val="none" w:sz="0" w:space="0" w:color="auto"/>
        <w:left w:val="none" w:sz="0" w:space="0" w:color="auto"/>
        <w:bottom w:val="none" w:sz="0" w:space="0" w:color="auto"/>
        <w:right w:val="none" w:sz="0" w:space="0" w:color="auto"/>
      </w:divBdr>
      <w:divsChild>
        <w:div w:id="82386304">
          <w:marLeft w:val="0"/>
          <w:marRight w:val="0"/>
          <w:marTop w:val="0"/>
          <w:marBottom w:val="0"/>
          <w:divBdr>
            <w:top w:val="none" w:sz="0" w:space="0" w:color="auto"/>
            <w:left w:val="none" w:sz="0" w:space="0" w:color="auto"/>
            <w:bottom w:val="none" w:sz="0" w:space="0" w:color="auto"/>
            <w:right w:val="none" w:sz="0" w:space="0" w:color="auto"/>
          </w:divBdr>
        </w:div>
        <w:div w:id="1001929542">
          <w:marLeft w:val="0"/>
          <w:marRight w:val="0"/>
          <w:marTop w:val="0"/>
          <w:marBottom w:val="0"/>
          <w:divBdr>
            <w:top w:val="none" w:sz="0" w:space="0" w:color="auto"/>
            <w:left w:val="none" w:sz="0" w:space="0" w:color="auto"/>
            <w:bottom w:val="none" w:sz="0" w:space="0" w:color="auto"/>
            <w:right w:val="none" w:sz="0" w:space="0" w:color="auto"/>
          </w:divBdr>
        </w:div>
        <w:div w:id="407777302">
          <w:marLeft w:val="0"/>
          <w:marRight w:val="0"/>
          <w:marTop w:val="0"/>
          <w:marBottom w:val="0"/>
          <w:divBdr>
            <w:top w:val="none" w:sz="0" w:space="0" w:color="auto"/>
            <w:left w:val="none" w:sz="0" w:space="0" w:color="auto"/>
            <w:bottom w:val="none" w:sz="0" w:space="0" w:color="auto"/>
            <w:right w:val="none" w:sz="0" w:space="0" w:color="auto"/>
          </w:divBdr>
        </w:div>
        <w:div w:id="1614743826">
          <w:marLeft w:val="0"/>
          <w:marRight w:val="0"/>
          <w:marTop w:val="0"/>
          <w:marBottom w:val="0"/>
          <w:divBdr>
            <w:top w:val="none" w:sz="0" w:space="0" w:color="auto"/>
            <w:left w:val="none" w:sz="0" w:space="0" w:color="auto"/>
            <w:bottom w:val="none" w:sz="0" w:space="0" w:color="auto"/>
            <w:right w:val="none" w:sz="0" w:space="0" w:color="auto"/>
          </w:divBdr>
        </w:div>
        <w:div w:id="1884754005">
          <w:marLeft w:val="0"/>
          <w:marRight w:val="0"/>
          <w:marTop w:val="0"/>
          <w:marBottom w:val="0"/>
          <w:divBdr>
            <w:top w:val="none" w:sz="0" w:space="0" w:color="auto"/>
            <w:left w:val="none" w:sz="0" w:space="0" w:color="auto"/>
            <w:bottom w:val="none" w:sz="0" w:space="0" w:color="auto"/>
            <w:right w:val="none" w:sz="0" w:space="0" w:color="auto"/>
          </w:divBdr>
        </w:div>
        <w:div w:id="319122926">
          <w:marLeft w:val="0"/>
          <w:marRight w:val="0"/>
          <w:marTop w:val="0"/>
          <w:marBottom w:val="0"/>
          <w:divBdr>
            <w:top w:val="none" w:sz="0" w:space="0" w:color="auto"/>
            <w:left w:val="none" w:sz="0" w:space="0" w:color="auto"/>
            <w:bottom w:val="none" w:sz="0" w:space="0" w:color="auto"/>
            <w:right w:val="none" w:sz="0" w:space="0" w:color="auto"/>
          </w:divBdr>
        </w:div>
        <w:div w:id="1832260251">
          <w:marLeft w:val="0"/>
          <w:marRight w:val="0"/>
          <w:marTop w:val="0"/>
          <w:marBottom w:val="0"/>
          <w:divBdr>
            <w:top w:val="none" w:sz="0" w:space="0" w:color="auto"/>
            <w:left w:val="none" w:sz="0" w:space="0" w:color="auto"/>
            <w:bottom w:val="none" w:sz="0" w:space="0" w:color="auto"/>
            <w:right w:val="none" w:sz="0" w:space="0" w:color="auto"/>
          </w:divBdr>
        </w:div>
      </w:divsChild>
    </w:div>
    <w:div w:id="1553225377">
      <w:bodyDiv w:val="1"/>
      <w:marLeft w:val="0"/>
      <w:marRight w:val="0"/>
      <w:marTop w:val="0"/>
      <w:marBottom w:val="0"/>
      <w:divBdr>
        <w:top w:val="none" w:sz="0" w:space="0" w:color="auto"/>
        <w:left w:val="none" w:sz="0" w:space="0" w:color="auto"/>
        <w:bottom w:val="none" w:sz="0" w:space="0" w:color="auto"/>
        <w:right w:val="none" w:sz="0" w:space="0" w:color="auto"/>
      </w:divBdr>
    </w:div>
    <w:div w:id="1570918298">
      <w:bodyDiv w:val="1"/>
      <w:marLeft w:val="0"/>
      <w:marRight w:val="0"/>
      <w:marTop w:val="0"/>
      <w:marBottom w:val="0"/>
      <w:divBdr>
        <w:top w:val="none" w:sz="0" w:space="0" w:color="auto"/>
        <w:left w:val="none" w:sz="0" w:space="0" w:color="auto"/>
        <w:bottom w:val="none" w:sz="0" w:space="0" w:color="auto"/>
        <w:right w:val="none" w:sz="0" w:space="0" w:color="auto"/>
      </w:divBdr>
      <w:divsChild>
        <w:div w:id="424152397">
          <w:marLeft w:val="0"/>
          <w:marRight w:val="0"/>
          <w:marTop w:val="0"/>
          <w:marBottom w:val="0"/>
          <w:divBdr>
            <w:top w:val="none" w:sz="0" w:space="0" w:color="auto"/>
            <w:left w:val="none" w:sz="0" w:space="0" w:color="auto"/>
            <w:bottom w:val="none" w:sz="0" w:space="0" w:color="auto"/>
            <w:right w:val="none" w:sz="0" w:space="0" w:color="auto"/>
          </w:divBdr>
        </w:div>
        <w:div w:id="1056008258">
          <w:marLeft w:val="0"/>
          <w:marRight w:val="0"/>
          <w:marTop w:val="0"/>
          <w:marBottom w:val="0"/>
          <w:divBdr>
            <w:top w:val="none" w:sz="0" w:space="0" w:color="auto"/>
            <w:left w:val="none" w:sz="0" w:space="0" w:color="auto"/>
            <w:bottom w:val="none" w:sz="0" w:space="0" w:color="auto"/>
            <w:right w:val="none" w:sz="0" w:space="0" w:color="auto"/>
          </w:divBdr>
        </w:div>
      </w:divsChild>
    </w:div>
    <w:div w:id="1739791496">
      <w:bodyDiv w:val="1"/>
      <w:marLeft w:val="0"/>
      <w:marRight w:val="0"/>
      <w:marTop w:val="0"/>
      <w:marBottom w:val="0"/>
      <w:divBdr>
        <w:top w:val="none" w:sz="0" w:space="0" w:color="auto"/>
        <w:left w:val="none" w:sz="0" w:space="0" w:color="auto"/>
        <w:bottom w:val="none" w:sz="0" w:space="0" w:color="auto"/>
        <w:right w:val="none" w:sz="0" w:space="0" w:color="auto"/>
      </w:divBdr>
      <w:divsChild>
        <w:div w:id="1889534839">
          <w:marLeft w:val="0"/>
          <w:marRight w:val="0"/>
          <w:marTop w:val="0"/>
          <w:marBottom w:val="0"/>
          <w:divBdr>
            <w:top w:val="none" w:sz="0" w:space="0" w:color="auto"/>
            <w:left w:val="none" w:sz="0" w:space="0" w:color="auto"/>
            <w:bottom w:val="none" w:sz="0" w:space="0" w:color="auto"/>
            <w:right w:val="none" w:sz="0" w:space="0" w:color="auto"/>
          </w:divBdr>
        </w:div>
        <w:div w:id="1757314625">
          <w:marLeft w:val="0"/>
          <w:marRight w:val="0"/>
          <w:marTop w:val="0"/>
          <w:marBottom w:val="0"/>
          <w:divBdr>
            <w:top w:val="none" w:sz="0" w:space="0" w:color="auto"/>
            <w:left w:val="none" w:sz="0" w:space="0" w:color="auto"/>
            <w:bottom w:val="none" w:sz="0" w:space="0" w:color="auto"/>
            <w:right w:val="none" w:sz="0" w:space="0" w:color="auto"/>
          </w:divBdr>
        </w:div>
        <w:div w:id="776021201">
          <w:marLeft w:val="0"/>
          <w:marRight w:val="0"/>
          <w:marTop w:val="0"/>
          <w:marBottom w:val="0"/>
          <w:divBdr>
            <w:top w:val="none" w:sz="0" w:space="0" w:color="auto"/>
            <w:left w:val="none" w:sz="0" w:space="0" w:color="auto"/>
            <w:bottom w:val="none" w:sz="0" w:space="0" w:color="auto"/>
            <w:right w:val="none" w:sz="0" w:space="0" w:color="auto"/>
          </w:divBdr>
        </w:div>
        <w:div w:id="1790081408">
          <w:marLeft w:val="0"/>
          <w:marRight w:val="0"/>
          <w:marTop w:val="0"/>
          <w:marBottom w:val="0"/>
          <w:divBdr>
            <w:top w:val="none" w:sz="0" w:space="0" w:color="auto"/>
            <w:left w:val="none" w:sz="0" w:space="0" w:color="auto"/>
            <w:bottom w:val="none" w:sz="0" w:space="0" w:color="auto"/>
            <w:right w:val="none" w:sz="0" w:space="0" w:color="auto"/>
          </w:divBdr>
        </w:div>
        <w:div w:id="1638340015">
          <w:marLeft w:val="0"/>
          <w:marRight w:val="0"/>
          <w:marTop w:val="0"/>
          <w:marBottom w:val="0"/>
          <w:divBdr>
            <w:top w:val="none" w:sz="0" w:space="0" w:color="auto"/>
            <w:left w:val="none" w:sz="0" w:space="0" w:color="auto"/>
            <w:bottom w:val="none" w:sz="0" w:space="0" w:color="auto"/>
            <w:right w:val="none" w:sz="0" w:space="0" w:color="auto"/>
          </w:divBdr>
        </w:div>
        <w:div w:id="1633362735">
          <w:marLeft w:val="0"/>
          <w:marRight w:val="0"/>
          <w:marTop w:val="0"/>
          <w:marBottom w:val="0"/>
          <w:divBdr>
            <w:top w:val="none" w:sz="0" w:space="0" w:color="auto"/>
            <w:left w:val="none" w:sz="0" w:space="0" w:color="auto"/>
            <w:bottom w:val="none" w:sz="0" w:space="0" w:color="auto"/>
            <w:right w:val="none" w:sz="0" w:space="0" w:color="auto"/>
          </w:divBdr>
        </w:div>
        <w:div w:id="1320767890">
          <w:marLeft w:val="0"/>
          <w:marRight w:val="0"/>
          <w:marTop w:val="0"/>
          <w:marBottom w:val="0"/>
          <w:divBdr>
            <w:top w:val="none" w:sz="0" w:space="0" w:color="auto"/>
            <w:left w:val="none" w:sz="0" w:space="0" w:color="auto"/>
            <w:bottom w:val="none" w:sz="0" w:space="0" w:color="auto"/>
            <w:right w:val="none" w:sz="0" w:space="0" w:color="auto"/>
          </w:divBdr>
        </w:div>
      </w:divsChild>
    </w:div>
    <w:div w:id="1786197596">
      <w:bodyDiv w:val="1"/>
      <w:marLeft w:val="0"/>
      <w:marRight w:val="0"/>
      <w:marTop w:val="0"/>
      <w:marBottom w:val="0"/>
      <w:divBdr>
        <w:top w:val="none" w:sz="0" w:space="0" w:color="auto"/>
        <w:left w:val="none" w:sz="0" w:space="0" w:color="auto"/>
        <w:bottom w:val="none" w:sz="0" w:space="0" w:color="auto"/>
        <w:right w:val="none" w:sz="0" w:space="0" w:color="auto"/>
      </w:divBdr>
      <w:divsChild>
        <w:div w:id="1066029515">
          <w:marLeft w:val="126"/>
          <w:marRight w:val="126"/>
          <w:marTop w:val="0"/>
          <w:marBottom w:val="126"/>
          <w:divBdr>
            <w:top w:val="none" w:sz="0" w:space="0" w:color="auto"/>
            <w:left w:val="none" w:sz="0" w:space="0" w:color="auto"/>
            <w:bottom w:val="none" w:sz="0" w:space="0" w:color="auto"/>
            <w:right w:val="none" w:sz="0" w:space="0" w:color="auto"/>
          </w:divBdr>
          <w:divsChild>
            <w:div w:id="2074617370">
              <w:marLeft w:val="0"/>
              <w:marRight w:val="0"/>
              <w:marTop w:val="0"/>
              <w:marBottom w:val="0"/>
              <w:divBdr>
                <w:top w:val="none" w:sz="0" w:space="0" w:color="auto"/>
                <w:left w:val="none" w:sz="0" w:space="0" w:color="auto"/>
                <w:bottom w:val="none" w:sz="0" w:space="0" w:color="auto"/>
                <w:right w:val="none" w:sz="0" w:space="0" w:color="auto"/>
              </w:divBdr>
              <w:divsChild>
                <w:div w:id="927420436">
                  <w:marLeft w:val="0"/>
                  <w:marRight w:val="0"/>
                  <w:marTop w:val="0"/>
                  <w:marBottom w:val="0"/>
                  <w:divBdr>
                    <w:top w:val="none" w:sz="0" w:space="0" w:color="auto"/>
                    <w:left w:val="none" w:sz="0" w:space="0" w:color="auto"/>
                    <w:bottom w:val="none" w:sz="0" w:space="0" w:color="auto"/>
                    <w:right w:val="none" w:sz="0" w:space="0" w:color="auto"/>
                  </w:divBdr>
                </w:div>
                <w:div w:id="1598714254">
                  <w:marLeft w:val="0"/>
                  <w:marRight w:val="108"/>
                  <w:marTop w:val="108"/>
                  <w:marBottom w:val="108"/>
                  <w:divBdr>
                    <w:top w:val="none" w:sz="0" w:space="0" w:color="auto"/>
                    <w:left w:val="none" w:sz="0" w:space="0" w:color="auto"/>
                    <w:bottom w:val="none" w:sz="0" w:space="0" w:color="auto"/>
                    <w:right w:val="none" w:sz="0" w:space="0" w:color="auto"/>
                  </w:divBdr>
                  <w:divsChild>
                    <w:div w:id="1409770682">
                      <w:marLeft w:val="0"/>
                      <w:marRight w:val="0"/>
                      <w:marTop w:val="0"/>
                      <w:marBottom w:val="0"/>
                      <w:divBdr>
                        <w:top w:val="none" w:sz="0" w:space="0" w:color="auto"/>
                        <w:left w:val="none" w:sz="0" w:space="0" w:color="auto"/>
                        <w:bottom w:val="none" w:sz="0" w:space="0" w:color="auto"/>
                        <w:right w:val="none" w:sz="0" w:space="0" w:color="auto"/>
                      </w:divBdr>
                      <w:divsChild>
                        <w:div w:id="74212154">
                          <w:marLeft w:val="0"/>
                          <w:marRight w:val="0"/>
                          <w:marTop w:val="0"/>
                          <w:marBottom w:val="0"/>
                          <w:divBdr>
                            <w:top w:val="none" w:sz="0" w:space="0" w:color="auto"/>
                            <w:left w:val="none" w:sz="0" w:space="0" w:color="auto"/>
                            <w:bottom w:val="none" w:sz="0" w:space="0" w:color="auto"/>
                            <w:right w:val="none" w:sz="0" w:space="0" w:color="auto"/>
                          </w:divBdr>
                          <w:divsChild>
                            <w:div w:id="275452098">
                              <w:marLeft w:val="0"/>
                              <w:marRight w:val="0"/>
                              <w:marTop w:val="0"/>
                              <w:marBottom w:val="0"/>
                              <w:divBdr>
                                <w:top w:val="none" w:sz="0" w:space="0" w:color="auto"/>
                                <w:left w:val="none" w:sz="0" w:space="0" w:color="auto"/>
                                <w:bottom w:val="none" w:sz="0" w:space="0" w:color="auto"/>
                                <w:right w:val="none" w:sz="0" w:space="0" w:color="auto"/>
                              </w:divBdr>
                              <w:divsChild>
                                <w:div w:id="97295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912433">
      <w:bodyDiv w:val="1"/>
      <w:marLeft w:val="0"/>
      <w:marRight w:val="0"/>
      <w:marTop w:val="0"/>
      <w:marBottom w:val="0"/>
      <w:divBdr>
        <w:top w:val="none" w:sz="0" w:space="0" w:color="auto"/>
        <w:left w:val="none" w:sz="0" w:space="0" w:color="auto"/>
        <w:bottom w:val="none" w:sz="0" w:space="0" w:color="auto"/>
        <w:right w:val="none" w:sz="0" w:space="0" w:color="auto"/>
      </w:divBdr>
    </w:div>
    <w:div w:id="1817524776">
      <w:bodyDiv w:val="1"/>
      <w:marLeft w:val="0"/>
      <w:marRight w:val="0"/>
      <w:marTop w:val="0"/>
      <w:marBottom w:val="0"/>
      <w:divBdr>
        <w:top w:val="none" w:sz="0" w:space="0" w:color="auto"/>
        <w:left w:val="none" w:sz="0" w:space="0" w:color="auto"/>
        <w:bottom w:val="none" w:sz="0" w:space="0" w:color="auto"/>
        <w:right w:val="none" w:sz="0" w:space="0" w:color="auto"/>
      </w:divBdr>
    </w:div>
    <w:div w:id="183907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ndfonline.com/doi/full/10.1080/13546783.2019.1653371"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r.ac.uk/page/spr-publications-parapsycholog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ulane.edu/~PsycStat/ruscher/Psyc611/rmmr.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allup.com/poll/16915/Three-Four-Americans-Believe-Paranormal.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oby.prike@flinders.edu.au"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F7112032FB4E93A38FD82D3B7F2BC5"/>
        <w:category>
          <w:name w:val="General"/>
          <w:gallery w:val="placeholder"/>
        </w:category>
        <w:types>
          <w:type w:val="bbPlcHdr"/>
        </w:types>
        <w:behaviors>
          <w:behavior w:val="content"/>
        </w:behaviors>
        <w:guid w:val="{7A800A44-9A94-4C07-8CBC-9C74465E94CF}"/>
      </w:docPartPr>
      <w:docPartBody>
        <w:p w:rsidR="0010319E" w:rsidRDefault="0010319E" w:rsidP="0010319E">
          <w:pPr>
            <w:pStyle w:val="E9F7112032FB4E93A38FD82D3B7F2BC5"/>
          </w:pPr>
          <w: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319E"/>
    <w:rsid w:val="000732F9"/>
    <w:rsid w:val="000C2891"/>
    <w:rsid w:val="0010319E"/>
    <w:rsid w:val="00113908"/>
    <w:rsid w:val="00121891"/>
    <w:rsid w:val="00155B50"/>
    <w:rsid w:val="001E1F2E"/>
    <w:rsid w:val="001E3565"/>
    <w:rsid w:val="00215E9D"/>
    <w:rsid w:val="00216E1C"/>
    <w:rsid w:val="00264C75"/>
    <w:rsid w:val="00282A22"/>
    <w:rsid w:val="00287B74"/>
    <w:rsid w:val="00296518"/>
    <w:rsid w:val="002B7B7C"/>
    <w:rsid w:val="002D6F97"/>
    <w:rsid w:val="00317F33"/>
    <w:rsid w:val="003202CF"/>
    <w:rsid w:val="003B0CC9"/>
    <w:rsid w:val="003E534B"/>
    <w:rsid w:val="00460C4C"/>
    <w:rsid w:val="00463B41"/>
    <w:rsid w:val="00480459"/>
    <w:rsid w:val="004A0697"/>
    <w:rsid w:val="004A220C"/>
    <w:rsid w:val="005113EB"/>
    <w:rsid w:val="0055494A"/>
    <w:rsid w:val="00571900"/>
    <w:rsid w:val="0059430A"/>
    <w:rsid w:val="005A5E8C"/>
    <w:rsid w:val="005B1DB7"/>
    <w:rsid w:val="006A5D05"/>
    <w:rsid w:val="007850EA"/>
    <w:rsid w:val="007E1B7E"/>
    <w:rsid w:val="00825EF0"/>
    <w:rsid w:val="00842665"/>
    <w:rsid w:val="00855354"/>
    <w:rsid w:val="00863EA6"/>
    <w:rsid w:val="00923EC1"/>
    <w:rsid w:val="009408FC"/>
    <w:rsid w:val="0099693F"/>
    <w:rsid w:val="0099778A"/>
    <w:rsid w:val="009B54F1"/>
    <w:rsid w:val="00A0038F"/>
    <w:rsid w:val="00A1504C"/>
    <w:rsid w:val="00A921AE"/>
    <w:rsid w:val="00AE3BF4"/>
    <w:rsid w:val="00C03AC3"/>
    <w:rsid w:val="00C9060E"/>
    <w:rsid w:val="00C93826"/>
    <w:rsid w:val="00D10B68"/>
    <w:rsid w:val="00D523A5"/>
    <w:rsid w:val="00D6400D"/>
    <w:rsid w:val="00D8480F"/>
    <w:rsid w:val="00D94446"/>
    <w:rsid w:val="00DC4EE7"/>
    <w:rsid w:val="00DE7B2C"/>
    <w:rsid w:val="00E133D2"/>
    <w:rsid w:val="00E136C4"/>
    <w:rsid w:val="00E14B00"/>
    <w:rsid w:val="00E70256"/>
    <w:rsid w:val="00ED3905"/>
    <w:rsid w:val="00F940F8"/>
    <w:rsid w:val="00FD281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D18910628242BBBCE37BF1657F8F5A">
    <w:name w:val="CAD18910628242BBBCE37BF1657F8F5A"/>
    <w:rsid w:val="0010319E"/>
  </w:style>
  <w:style w:type="character" w:styleId="Emphasis">
    <w:name w:val="Emphasis"/>
    <w:basedOn w:val="DefaultParagraphFont"/>
    <w:uiPriority w:val="4"/>
    <w:unhideWhenUsed/>
    <w:qFormat/>
    <w:rsid w:val="0010319E"/>
    <w:rPr>
      <w:i/>
      <w:iCs/>
    </w:rPr>
  </w:style>
  <w:style w:type="paragraph" w:customStyle="1" w:styleId="497A9C6963C145DA82C5D0A4AF99941E">
    <w:name w:val="497A9C6963C145DA82C5D0A4AF99941E"/>
    <w:rsid w:val="0010319E"/>
  </w:style>
  <w:style w:type="paragraph" w:customStyle="1" w:styleId="97EE6CC2DE9D4EF69D9AC7A8C5995E47">
    <w:name w:val="97EE6CC2DE9D4EF69D9AC7A8C5995E47"/>
    <w:rsid w:val="0010319E"/>
  </w:style>
  <w:style w:type="paragraph" w:customStyle="1" w:styleId="E9F7112032FB4E93A38FD82D3B7F2BC5">
    <w:name w:val="E9F7112032FB4E93A38FD82D3B7F2BC5"/>
    <w:rsid w:val="0010319E"/>
  </w:style>
  <w:style w:type="paragraph" w:customStyle="1" w:styleId="578EF746E56B4029B224B397FC2A7E34">
    <w:name w:val="578EF746E56B4029B224B397FC2A7E34"/>
    <w:rsid w:val="0010319E"/>
  </w:style>
  <w:style w:type="paragraph" w:customStyle="1" w:styleId="AD2ADBC579B74198A4B9A7A01CCF86A4">
    <w:name w:val="AD2ADBC579B74198A4B9A7A01CCF86A4"/>
    <w:rsid w:val="001031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F1E59-CEB2-4CC3-B2A1-B8D7BDE61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51</Pages>
  <Words>12848</Words>
  <Characters>73238</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Flinders University</Company>
  <LinksUpToDate>false</LinksUpToDate>
  <CharactersWithSpaces>85915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prik0003</dc:creator>
  <cp:lastModifiedBy>Prike T.M.</cp:lastModifiedBy>
  <cp:revision>4</cp:revision>
  <dcterms:created xsi:type="dcterms:W3CDTF">2019-09-23T09:30:00Z</dcterms:created>
  <dcterms:modified xsi:type="dcterms:W3CDTF">2019-09-23T09:48:00Z</dcterms:modified>
</cp:coreProperties>
</file>