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FB3C6C" w14:textId="76553721" w:rsidR="00A864BA" w:rsidRPr="00F54DA5" w:rsidRDefault="00A864BA" w:rsidP="00D9695A">
      <w:pPr>
        <w:pStyle w:val="Heading1"/>
        <w:numPr>
          <w:ilvl w:val="0"/>
          <w:numId w:val="0"/>
        </w:numPr>
        <w:spacing w:line="276" w:lineRule="auto"/>
        <w:jc w:val="both"/>
        <w:rPr>
          <w:b/>
          <w:lang w:eastAsia="zh-CN"/>
        </w:rPr>
      </w:pPr>
      <w:bookmarkStart w:id="0" w:name="_Toc529724908"/>
      <w:bookmarkStart w:id="1" w:name="_Ref488658690"/>
      <w:bookmarkStart w:id="2" w:name="_Ref488658702"/>
      <w:r w:rsidRPr="00F54DA5">
        <w:rPr>
          <w:b/>
          <w:lang w:eastAsia="zh-CN"/>
        </w:rPr>
        <w:t xml:space="preserve">Printing bone in a gel: using </w:t>
      </w:r>
      <w:r w:rsidR="0007374D" w:rsidRPr="00F54DA5">
        <w:rPr>
          <w:b/>
          <w:lang w:eastAsia="zh-CN"/>
        </w:rPr>
        <w:t>nanocomposite bioink</w:t>
      </w:r>
      <w:r w:rsidRPr="00F54DA5">
        <w:rPr>
          <w:b/>
          <w:lang w:eastAsia="zh-CN"/>
        </w:rPr>
        <w:t xml:space="preserve"> to print </w:t>
      </w:r>
      <w:r w:rsidR="0007374D" w:rsidRPr="00F54DA5">
        <w:rPr>
          <w:b/>
          <w:lang w:eastAsia="zh-CN"/>
        </w:rPr>
        <w:t xml:space="preserve">functionalised </w:t>
      </w:r>
      <w:bookmarkEnd w:id="0"/>
      <w:bookmarkEnd w:id="1"/>
      <w:bookmarkEnd w:id="2"/>
      <w:r w:rsidR="00C07DDB" w:rsidRPr="00F54DA5">
        <w:rPr>
          <w:b/>
          <w:lang w:eastAsia="zh-CN"/>
        </w:rPr>
        <w:t xml:space="preserve">bone </w:t>
      </w:r>
      <w:r w:rsidR="00E1342D">
        <w:rPr>
          <w:b/>
          <w:lang w:eastAsia="zh-CN"/>
        </w:rPr>
        <w:t>scaffolds</w:t>
      </w:r>
    </w:p>
    <w:p w14:paraId="1B5CDE4A" w14:textId="617A4FD4" w:rsidR="003F4C21" w:rsidRPr="00F54DA5" w:rsidRDefault="003F4C21" w:rsidP="00D9695A">
      <w:pPr>
        <w:spacing w:line="360" w:lineRule="auto"/>
        <w:jc w:val="both"/>
        <w:rPr>
          <w:b/>
        </w:rPr>
      </w:pPr>
    </w:p>
    <w:p w14:paraId="54C87441" w14:textId="07A45B0F" w:rsidR="003F4C21" w:rsidRPr="00F54DA5" w:rsidRDefault="00371B93" w:rsidP="00D9695A">
      <w:pPr>
        <w:spacing w:line="276" w:lineRule="auto"/>
        <w:ind w:left="720"/>
        <w:jc w:val="both"/>
        <w:rPr>
          <w:sz w:val="28"/>
          <w:vertAlign w:val="superscript"/>
        </w:rPr>
      </w:pPr>
      <w:r>
        <w:rPr>
          <w:sz w:val="28"/>
        </w:rPr>
        <w:t>G</w:t>
      </w:r>
      <w:r w:rsidR="003F4C21" w:rsidRPr="00F54DA5">
        <w:rPr>
          <w:sz w:val="28"/>
        </w:rPr>
        <w:t>. Cidonio</w:t>
      </w:r>
      <w:r w:rsidR="003F4C21" w:rsidRPr="00F54DA5">
        <w:rPr>
          <w:sz w:val="28"/>
          <w:vertAlign w:val="superscript"/>
        </w:rPr>
        <w:t>1</w:t>
      </w:r>
      <w:r w:rsidR="003F4C21" w:rsidRPr="00F54DA5">
        <w:rPr>
          <w:sz w:val="28"/>
        </w:rPr>
        <w:t xml:space="preserve">, </w:t>
      </w:r>
      <w:r w:rsidR="002A3348" w:rsidRPr="00F54DA5">
        <w:rPr>
          <w:sz w:val="28"/>
        </w:rPr>
        <w:t>M. Cooke</w:t>
      </w:r>
      <w:r w:rsidR="008155CD">
        <w:rPr>
          <w:sz w:val="28"/>
          <w:vertAlign w:val="superscript"/>
        </w:rPr>
        <w:t>2</w:t>
      </w:r>
      <w:r w:rsidR="002A3348" w:rsidRPr="00F54DA5">
        <w:rPr>
          <w:sz w:val="28"/>
          <w:vertAlign w:val="superscript"/>
        </w:rPr>
        <w:t>,</w:t>
      </w:r>
      <w:r w:rsidR="008155CD">
        <w:rPr>
          <w:sz w:val="28"/>
          <w:vertAlign w:val="superscript"/>
        </w:rPr>
        <w:t>3</w:t>
      </w:r>
      <w:r w:rsidR="002A3348" w:rsidRPr="00F54DA5">
        <w:rPr>
          <w:sz w:val="28"/>
        </w:rPr>
        <w:t>,</w:t>
      </w:r>
      <w:r w:rsidR="00A36CC1" w:rsidRPr="00A36CC1">
        <w:rPr>
          <w:sz w:val="28"/>
        </w:rPr>
        <w:t xml:space="preserve"> </w:t>
      </w:r>
      <w:r w:rsidR="00A36CC1" w:rsidRPr="00F54DA5">
        <w:rPr>
          <w:sz w:val="28"/>
        </w:rPr>
        <w:t>M. Glinka</w:t>
      </w:r>
      <w:r w:rsidR="00A36CC1" w:rsidRPr="00F54DA5">
        <w:rPr>
          <w:sz w:val="28"/>
          <w:vertAlign w:val="superscript"/>
        </w:rPr>
        <w:t>1</w:t>
      </w:r>
      <w:r w:rsidR="006E3D97">
        <w:rPr>
          <w:sz w:val="28"/>
        </w:rPr>
        <w:t>,</w:t>
      </w:r>
      <w:r w:rsidR="009014C2">
        <w:rPr>
          <w:sz w:val="28"/>
        </w:rPr>
        <w:t xml:space="preserve"> </w:t>
      </w:r>
      <w:r w:rsidR="003F4C21" w:rsidRPr="00F54DA5">
        <w:rPr>
          <w:sz w:val="28"/>
        </w:rPr>
        <w:t>J.I. Dawson</w:t>
      </w:r>
      <w:r w:rsidR="003F4C21" w:rsidRPr="00F54DA5">
        <w:rPr>
          <w:sz w:val="28"/>
          <w:vertAlign w:val="superscript"/>
        </w:rPr>
        <w:t>1</w:t>
      </w:r>
      <w:r w:rsidR="003F4C21" w:rsidRPr="00F54DA5">
        <w:rPr>
          <w:sz w:val="28"/>
        </w:rPr>
        <w:t>, L. Grover</w:t>
      </w:r>
      <w:r w:rsidR="008155CD">
        <w:rPr>
          <w:sz w:val="28"/>
          <w:vertAlign w:val="superscript"/>
        </w:rPr>
        <w:t>2</w:t>
      </w:r>
      <w:r w:rsidR="003F4C21" w:rsidRPr="00F54DA5">
        <w:rPr>
          <w:sz w:val="28"/>
        </w:rPr>
        <w:t xml:space="preserve"> and R.O.C. Oreffo</w:t>
      </w:r>
      <w:r w:rsidR="003F4C21" w:rsidRPr="00F54DA5">
        <w:rPr>
          <w:sz w:val="28"/>
          <w:vertAlign w:val="superscript"/>
        </w:rPr>
        <w:t>1</w:t>
      </w:r>
      <w:r w:rsidR="006D6271">
        <w:rPr>
          <w:sz w:val="28"/>
          <w:vertAlign w:val="superscript"/>
        </w:rPr>
        <w:t>*</w:t>
      </w:r>
    </w:p>
    <w:p w14:paraId="2920C45F" w14:textId="77777777" w:rsidR="003F4C21" w:rsidRPr="00F54DA5" w:rsidRDefault="003F4C21" w:rsidP="00D9695A">
      <w:pPr>
        <w:spacing w:line="276" w:lineRule="auto"/>
        <w:jc w:val="both"/>
      </w:pPr>
    </w:p>
    <w:p w14:paraId="691A336C" w14:textId="2822EE5B" w:rsidR="003F4C21" w:rsidRPr="00F54DA5" w:rsidRDefault="003F4C21" w:rsidP="00D9695A">
      <w:pPr>
        <w:spacing w:line="276" w:lineRule="auto"/>
        <w:ind w:left="720"/>
        <w:jc w:val="both"/>
      </w:pPr>
      <w:r w:rsidRPr="00F54DA5">
        <w:rPr>
          <w:vertAlign w:val="superscript"/>
        </w:rPr>
        <w:t>1</w:t>
      </w:r>
      <w:r w:rsidRPr="00F54DA5">
        <w:t xml:space="preserve">Bone and Joint Research Group, Centre for Human Development, Stem Cells and Regeneration, Institute of Developmental Sciences, </w:t>
      </w:r>
      <w:r w:rsidR="000E13CF">
        <w:t xml:space="preserve">Faculty of Medicine, </w:t>
      </w:r>
      <w:r w:rsidRPr="00F54DA5">
        <w:t>University of Southampton, Southampton, UK</w:t>
      </w:r>
    </w:p>
    <w:p w14:paraId="2F58CCFF" w14:textId="795B6E87" w:rsidR="003F4C21" w:rsidRPr="00F54DA5" w:rsidRDefault="008155CD" w:rsidP="00D9695A">
      <w:pPr>
        <w:spacing w:line="276" w:lineRule="auto"/>
        <w:ind w:left="720"/>
        <w:jc w:val="both"/>
      </w:pPr>
      <w:r>
        <w:rPr>
          <w:vertAlign w:val="superscript"/>
        </w:rPr>
        <w:t>2</w:t>
      </w:r>
      <w:r w:rsidR="003F4C21" w:rsidRPr="00F54DA5">
        <w:t xml:space="preserve">School of Chemical Engineering University of Birmingham Edgbaston B15 2TT, UK </w:t>
      </w:r>
    </w:p>
    <w:p w14:paraId="7CBD214F" w14:textId="43AC1932" w:rsidR="003F4C21" w:rsidRPr="00F54DA5" w:rsidRDefault="008155CD" w:rsidP="00D9695A">
      <w:pPr>
        <w:spacing w:line="276" w:lineRule="auto"/>
        <w:ind w:left="720"/>
        <w:jc w:val="both"/>
      </w:pPr>
      <w:r>
        <w:rPr>
          <w:vertAlign w:val="superscript"/>
        </w:rPr>
        <w:t>3</w:t>
      </w:r>
      <w:r w:rsidR="003F4C21" w:rsidRPr="00F54DA5">
        <w:t>Institute of Inflammation and Ageing MRC Musculoskeletal Ageing Centre QE Hospital University of Birmingham Edgbaston B15 2WB, UK</w:t>
      </w:r>
    </w:p>
    <w:p w14:paraId="7EB3C942" w14:textId="39C2BB68" w:rsidR="003F4C21" w:rsidRDefault="003F4C21" w:rsidP="00D9695A">
      <w:pPr>
        <w:spacing w:line="276" w:lineRule="auto"/>
        <w:jc w:val="both"/>
      </w:pPr>
    </w:p>
    <w:p w14:paraId="7E9C5EC4" w14:textId="3C909E61" w:rsidR="00126CD4" w:rsidRPr="00F54DA5" w:rsidRDefault="00126CD4" w:rsidP="00D9695A">
      <w:pPr>
        <w:spacing w:line="276" w:lineRule="auto"/>
        <w:jc w:val="both"/>
      </w:pPr>
      <w:r>
        <w:t xml:space="preserve">Corresponding author: Richard </w:t>
      </w:r>
      <w:r w:rsidR="00B874E4">
        <w:t xml:space="preserve">OC </w:t>
      </w:r>
      <w:r>
        <w:t>Oreffo</w:t>
      </w:r>
    </w:p>
    <w:p w14:paraId="523CE907" w14:textId="47460C1D" w:rsidR="003F4C21" w:rsidRPr="00F54DA5" w:rsidRDefault="006D6271" w:rsidP="00D9695A">
      <w:pPr>
        <w:spacing w:line="276" w:lineRule="auto"/>
        <w:jc w:val="both"/>
      </w:pPr>
      <w:r>
        <w:t>*</w:t>
      </w:r>
      <w:r w:rsidR="003F4C21" w:rsidRPr="00F54DA5">
        <w:t xml:space="preserve">Email: richard.oreffo@soton.ac.uk; </w:t>
      </w:r>
    </w:p>
    <w:p w14:paraId="05C49BB8" w14:textId="22E0A0CC" w:rsidR="003F4C21" w:rsidRPr="00F54DA5" w:rsidRDefault="003F4C21" w:rsidP="00D9695A">
      <w:pPr>
        <w:spacing w:line="276" w:lineRule="auto"/>
        <w:jc w:val="both"/>
      </w:pPr>
      <w:r w:rsidRPr="00F54DA5">
        <w:t xml:space="preserve">Keywords: </w:t>
      </w:r>
      <w:r w:rsidR="00D87303">
        <w:t>Laponite</w:t>
      </w:r>
      <w:r w:rsidR="00D87303" w:rsidRPr="00D87303">
        <w:rPr>
          <w:vertAlign w:val="superscript"/>
        </w:rPr>
        <w:t>®</w:t>
      </w:r>
      <w:r w:rsidRPr="00F54DA5">
        <w:t xml:space="preserve">, gellan, bioink, biofabrication, growth factor delivery, </w:t>
      </w:r>
      <w:r w:rsidR="00E523C3" w:rsidRPr="00F54DA5">
        <w:t>bone</w:t>
      </w:r>
    </w:p>
    <w:p w14:paraId="69E4F836" w14:textId="77777777" w:rsidR="00A864BA" w:rsidRPr="00F54DA5" w:rsidRDefault="00A864BA" w:rsidP="00D9695A">
      <w:pPr>
        <w:tabs>
          <w:tab w:val="left" w:pos="567"/>
        </w:tabs>
        <w:spacing w:line="360" w:lineRule="auto"/>
        <w:jc w:val="both"/>
      </w:pPr>
    </w:p>
    <w:p w14:paraId="10132AF4" w14:textId="77777777" w:rsidR="00A864BA" w:rsidRPr="00F54DA5" w:rsidRDefault="00A864BA" w:rsidP="00D9695A">
      <w:pPr>
        <w:tabs>
          <w:tab w:val="left" w:pos="567"/>
        </w:tabs>
        <w:spacing w:line="360" w:lineRule="auto"/>
        <w:jc w:val="both"/>
      </w:pPr>
    </w:p>
    <w:p w14:paraId="4A63855E" w14:textId="77777777" w:rsidR="00A864BA" w:rsidRPr="00F54DA5" w:rsidRDefault="00A864BA" w:rsidP="00D9695A">
      <w:pPr>
        <w:tabs>
          <w:tab w:val="left" w:pos="567"/>
        </w:tabs>
        <w:spacing w:line="360" w:lineRule="auto"/>
        <w:jc w:val="both"/>
      </w:pPr>
    </w:p>
    <w:p w14:paraId="67003FDD" w14:textId="77777777" w:rsidR="00A864BA" w:rsidRPr="00F54DA5" w:rsidRDefault="00A864BA" w:rsidP="00D9695A">
      <w:pPr>
        <w:tabs>
          <w:tab w:val="left" w:pos="567"/>
        </w:tabs>
        <w:spacing w:line="360" w:lineRule="auto"/>
        <w:jc w:val="both"/>
      </w:pPr>
    </w:p>
    <w:p w14:paraId="0F9EDD86" w14:textId="5FE4165D" w:rsidR="00A864BA" w:rsidRPr="00F54DA5" w:rsidRDefault="00A864BA" w:rsidP="00D9695A">
      <w:pPr>
        <w:tabs>
          <w:tab w:val="left" w:pos="567"/>
        </w:tabs>
        <w:spacing w:line="360" w:lineRule="auto"/>
        <w:jc w:val="both"/>
      </w:pPr>
    </w:p>
    <w:p w14:paraId="4C3AE9B7" w14:textId="24CAADFC" w:rsidR="003F4C21" w:rsidRPr="00F54DA5" w:rsidRDefault="003F4C21" w:rsidP="00D9695A">
      <w:pPr>
        <w:tabs>
          <w:tab w:val="left" w:pos="567"/>
        </w:tabs>
        <w:spacing w:line="360" w:lineRule="auto"/>
        <w:jc w:val="both"/>
      </w:pPr>
    </w:p>
    <w:p w14:paraId="0E817138" w14:textId="16E12E90" w:rsidR="003F4C21" w:rsidRPr="00F54DA5" w:rsidRDefault="003F4C21" w:rsidP="00D9695A">
      <w:pPr>
        <w:tabs>
          <w:tab w:val="left" w:pos="567"/>
        </w:tabs>
        <w:spacing w:line="360" w:lineRule="auto"/>
        <w:jc w:val="both"/>
      </w:pPr>
    </w:p>
    <w:p w14:paraId="57C40D26" w14:textId="1739458C" w:rsidR="003F4C21" w:rsidRPr="00F54DA5" w:rsidRDefault="003F4C21" w:rsidP="00D9695A">
      <w:pPr>
        <w:tabs>
          <w:tab w:val="left" w:pos="567"/>
        </w:tabs>
        <w:spacing w:line="360" w:lineRule="auto"/>
        <w:jc w:val="both"/>
      </w:pPr>
    </w:p>
    <w:p w14:paraId="0B2DBE11" w14:textId="74E13A1C" w:rsidR="003F4C21" w:rsidRPr="00F54DA5" w:rsidRDefault="003F4C21" w:rsidP="00D9695A">
      <w:pPr>
        <w:tabs>
          <w:tab w:val="left" w:pos="567"/>
        </w:tabs>
        <w:spacing w:line="360" w:lineRule="auto"/>
        <w:jc w:val="both"/>
      </w:pPr>
    </w:p>
    <w:p w14:paraId="7F7F3D41" w14:textId="4F5DD4D5" w:rsidR="003F4C21" w:rsidRPr="00F54DA5" w:rsidRDefault="003F4C21" w:rsidP="00D9695A">
      <w:pPr>
        <w:tabs>
          <w:tab w:val="left" w:pos="567"/>
        </w:tabs>
        <w:spacing w:line="360" w:lineRule="auto"/>
        <w:jc w:val="both"/>
      </w:pPr>
    </w:p>
    <w:p w14:paraId="5DBAD0B6" w14:textId="00DBCEC0" w:rsidR="003F4C21" w:rsidRPr="00F54DA5" w:rsidRDefault="003F4C21" w:rsidP="00D9695A">
      <w:pPr>
        <w:tabs>
          <w:tab w:val="left" w:pos="567"/>
        </w:tabs>
        <w:spacing w:line="360" w:lineRule="auto"/>
        <w:jc w:val="both"/>
      </w:pPr>
    </w:p>
    <w:p w14:paraId="0B973C46" w14:textId="43EFF676" w:rsidR="001C0FB8" w:rsidRPr="00F54DA5" w:rsidRDefault="001C0FB8" w:rsidP="00D9695A">
      <w:pPr>
        <w:tabs>
          <w:tab w:val="left" w:pos="567"/>
        </w:tabs>
        <w:spacing w:line="360" w:lineRule="auto"/>
        <w:jc w:val="both"/>
      </w:pPr>
    </w:p>
    <w:p w14:paraId="67CEF893" w14:textId="77777777" w:rsidR="001C0FB8" w:rsidRPr="00F54DA5" w:rsidRDefault="001C0FB8" w:rsidP="00D9695A">
      <w:pPr>
        <w:tabs>
          <w:tab w:val="left" w:pos="567"/>
        </w:tabs>
        <w:spacing w:line="360" w:lineRule="auto"/>
        <w:jc w:val="both"/>
      </w:pPr>
    </w:p>
    <w:p w14:paraId="6C8EBF6B" w14:textId="2D56DDAE" w:rsidR="003F4C21" w:rsidRPr="00F54DA5" w:rsidRDefault="003F4C21" w:rsidP="00D9695A">
      <w:pPr>
        <w:pStyle w:val="Heading2"/>
        <w:numPr>
          <w:ilvl w:val="0"/>
          <w:numId w:val="0"/>
        </w:numPr>
        <w:tabs>
          <w:tab w:val="left" w:pos="567"/>
        </w:tabs>
        <w:spacing w:before="360" w:after="240"/>
        <w:jc w:val="both"/>
      </w:pPr>
      <w:r w:rsidRPr="00F54DA5">
        <w:t>Abstract</w:t>
      </w:r>
    </w:p>
    <w:p w14:paraId="37B0616E" w14:textId="4215AB4C" w:rsidR="003F4C21" w:rsidRPr="00F54DA5" w:rsidRDefault="00EE53ED" w:rsidP="00D9695A">
      <w:pPr>
        <w:tabs>
          <w:tab w:val="left" w:pos="567"/>
        </w:tabs>
        <w:spacing w:line="360" w:lineRule="auto"/>
        <w:jc w:val="both"/>
      </w:pPr>
      <w:r>
        <w:tab/>
      </w:r>
      <w:r w:rsidR="002D035D" w:rsidRPr="00F54DA5">
        <w:t xml:space="preserve">Free-form printing </w:t>
      </w:r>
      <w:r w:rsidR="0024769F">
        <w:t>offers a</w:t>
      </w:r>
      <w:r w:rsidR="002D035D" w:rsidRPr="00F54DA5">
        <w:t xml:space="preserve"> novel biofabrication approach to generate complex shape</w:t>
      </w:r>
      <w:r w:rsidR="0024769F">
        <w:t>s</w:t>
      </w:r>
      <w:r w:rsidR="002D035D" w:rsidRPr="00F54DA5">
        <w:t xml:space="preserve"> by depositing hydrogel materials within a temporary supporti</w:t>
      </w:r>
      <w:r w:rsidR="0024769F">
        <w:t>ve environment</w:t>
      </w:r>
      <w:r w:rsidR="002D035D" w:rsidRPr="00F54DA5">
        <w:t>. However, printed hydrogels</w:t>
      </w:r>
      <w:r w:rsidR="0024769F">
        <w:t xml:space="preserve"> typically lack the requisite m</w:t>
      </w:r>
      <w:r w:rsidR="002D035D" w:rsidRPr="00F54DA5">
        <w:t>echanical properties and functionality</w:t>
      </w:r>
      <w:r w:rsidR="0024769F">
        <w:t xml:space="preserve"> of the desired tissue</w:t>
      </w:r>
      <w:r w:rsidR="004C4F11">
        <w:t>,</w:t>
      </w:r>
      <w:r w:rsidR="0024769F">
        <w:t xml:space="preserve"> limiting application and</w:t>
      </w:r>
      <w:r w:rsidR="00A866D4" w:rsidRPr="00F54DA5">
        <w:t xml:space="preserve">, more importantly, safety and efficacy of the implant. </w:t>
      </w:r>
      <w:r w:rsidR="0024769F">
        <w:t xml:space="preserve">We have developed an innovative </w:t>
      </w:r>
      <w:r w:rsidR="00A866D4" w:rsidRPr="00F54DA5">
        <w:t xml:space="preserve">nanoclay-based bioink to print high shape fidelity functional constructs </w:t>
      </w:r>
      <w:r w:rsidR="0024769F">
        <w:t xml:space="preserve">for potential </w:t>
      </w:r>
      <w:r w:rsidR="009A575F">
        <w:t>skeletal</w:t>
      </w:r>
      <w:r w:rsidR="0024769F">
        <w:t xml:space="preserve"> application.</w:t>
      </w:r>
      <w:r w:rsidR="00A866D4" w:rsidRPr="00F54DA5">
        <w:t xml:space="preserve"> </w:t>
      </w:r>
      <w:r w:rsidR="00D87303">
        <w:t>Laponite</w:t>
      </w:r>
      <w:r w:rsidR="0024769F" w:rsidRPr="0024769F">
        <w:rPr>
          <w:rFonts w:cs="Arial"/>
          <w:vertAlign w:val="superscript"/>
        </w:rPr>
        <w:t>®</w:t>
      </w:r>
      <w:r w:rsidR="00A866D4" w:rsidRPr="00F54DA5">
        <w:t xml:space="preserve"> (LAP) nanoclay </w:t>
      </w:r>
      <w:r w:rsidR="0024769F">
        <w:t>was</w:t>
      </w:r>
      <w:r w:rsidR="00A866D4" w:rsidRPr="00F54DA5">
        <w:t xml:space="preserve"> combined with gellan gum (GG) </w:t>
      </w:r>
      <w:r w:rsidR="0024769F">
        <w:t xml:space="preserve">to generate a </w:t>
      </w:r>
      <w:r w:rsidR="00A866D4" w:rsidRPr="00F54DA5">
        <w:t>printable hydrogel</w:t>
      </w:r>
      <w:r w:rsidR="0024769F">
        <w:t xml:space="preserve"> that was </w:t>
      </w:r>
      <w:r w:rsidR="00A866D4" w:rsidRPr="00F54DA5">
        <w:t xml:space="preserve">highly stable </w:t>
      </w:r>
      <w:r w:rsidR="00A866D4" w:rsidRPr="00F54DA5">
        <w:rPr>
          <w:i/>
        </w:rPr>
        <w:t>in vitro</w:t>
      </w:r>
      <w:r w:rsidR="00EB0781">
        <w:rPr>
          <w:i/>
        </w:rPr>
        <w:t>,</w:t>
      </w:r>
      <w:r w:rsidR="00A866D4" w:rsidRPr="00F54DA5">
        <w:t xml:space="preserve"> </w:t>
      </w:r>
      <w:r w:rsidR="00EB0781">
        <w:t>displayed</w:t>
      </w:r>
      <w:r w:rsidR="00A866D4" w:rsidRPr="00F54DA5">
        <w:t xml:space="preserve"> limited swelling ability compared to the silicate-free control</w:t>
      </w:r>
      <w:r w:rsidR="00EB0781">
        <w:t xml:space="preserve"> and remained stable over time. An a</w:t>
      </w:r>
      <w:r w:rsidR="00DA6ED7" w:rsidRPr="00F54DA5">
        <w:t xml:space="preserve">garose fluid gel </w:t>
      </w:r>
      <w:r w:rsidR="00EB0781">
        <w:t>was found to provide the requisite support for</w:t>
      </w:r>
      <w:r w:rsidR="00F87924">
        <w:t xml:space="preserve"> the deposition of the</w:t>
      </w:r>
      <w:r w:rsidR="00EB0781">
        <w:t xml:space="preserve"> </w:t>
      </w:r>
      <w:r w:rsidR="00F87924">
        <w:t xml:space="preserve">material </w:t>
      </w:r>
      <w:r w:rsidR="00DA6ED7" w:rsidRPr="00F54DA5">
        <w:t xml:space="preserve">ink </w:t>
      </w:r>
      <w:r w:rsidR="00EB0781">
        <w:t xml:space="preserve">and preservation of the </w:t>
      </w:r>
      <w:r w:rsidR="00DA6ED7" w:rsidRPr="00F54DA5">
        <w:t xml:space="preserve">printed structure </w:t>
      </w:r>
      <w:r w:rsidR="00EB0781">
        <w:t xml:space="preserve">prior to </w:t>
      </w:r>
      <w:r w:rsidR="00DA6ED7" w:rsidRPr="00F54DA5">
        <w:t xml:space="preserve">crosslinking. </w:t>
      </w:r>
      <w:r w:rsidR="00A866D4" w:rsidRPr="00F54DA5">
        <w:t xml:space="preserve">Printed </w:t>
      </w:r>
      <w:r w:rsidR="00F87924">
        <w:t xml:space="preserve">C2C12 myoblasts </w:t>
      </w:r>
      <w:r w:rsidR="00A866D4" w:rsidRPr="00F54DA5">
        <w:t>remained viab</w:t>
      </w:r>
      <w:r w:rsidR="0007374D" w:rsidRPr="00F54DA5">
        <w:t>le</w:t>
      </w:r>
      <w:r w:rsidR="00EB0781">
        <w:t xml:space="preserve"> and displayed extensive</w:t>
      </w:r>
      <w:r w:rsidR="00AE1AAB">
        <w:t xml:space="preserve"> </w:t>
      </w:r>
      <w:r w:rsidR="00AD210F" w:rsidRPr="00F54DA5">
        <w:t>proliferat</w:t>
      </w:r>
      <w:r w:rsidR="00AD210F">
        <w:t xml:space="preserve">ion </w:t>
      </w:r>
      <w:r w:rsidR="00EB0781">
        <w:t>over 21 days in culture</w:t>
      </w:r>
      <w:r w:rsidR="00A866D4" w:rsidRPr="00F54DA5">
        <w:t xml:space="preserve">. Cell-laden scaffolds </w:t>
      </w:r>
      <w:r w:rsidR="00EB0781">
        <w:t>demonstrated functionality within</w:t>
      </w:r>
      <w:r w:rsidR="00DA6ED7" w:rsidRPr="00F54DA5">
        <w:t xml:space="preserve"> 1 day of culture </w:t>
      </w:r>
      <w:r w:rsidR="00DA6ED7" w:rsidRPr="00F54DA5">
        <w:rPr>
          <w:i/>
        </w:rPr>
        <w:t>in vitro</w:t>
      </w:r>
      <w:r w:rsidR="00DA6ED7" w:rsidRPr="00F54DA5">
        <w:t xml:space="preserve"> and </w:t>
      </w:r>
      <w:r w:rsidR="00EB0781">
        <w:t>that was preserved over 3 weeks</w:t>
      </w:r>
      <w:r w:rsidR="00DA6ED7" w:rsidRPr="00F54DA5">
        <w:t xml:space="preserve">. </w:t>
      </w:r>
      <w:r w:rsidR="008F104B">
        <w:t xml:space="preserve">Analysis of absorption and release mechanisms from </w:t>
      </w:r>
      <w:r w:rsidR="00EE6120">
        <w:t>LAP-GG</w:t>
      </w:r>
      <w:r w:rsidR="008F104B">
        <w:t xml:space="preserve"> </w:t>
      </w:r>
      <w:r w:rsidR="00EB0781">
        <w:t>using</w:t>
      </w:r>
      <w:r w:rsidR="008F104B">
        <w:t xml:space="preserve"> model proteins</w:t>
      </w:r>
      <w:r w:rsidR="00EB0781">
        <w:t xml:space="preserve"> (</w:t>
      </w:r>
      <w:r w:rsidR="00F87924">
        <w:t xml:space="preserve">lysozyme </w:t>
      </w:r>
      <w:r w:rsidR="00EB0781">
        <w:t xml:space="preserve">and </w:t>
      </w:r>
      <w:r w:rsidR="00F87924">
        <w:t>bovine serum albumin (BSA)</w:t>
      </w:r>
      <w:r w:rsidR="00EB0781">
        <w:t>)</w:t>
      </w:r>
      <w:r w:rsidR="008F104B">
        <w:t xml:space="preserve"> </w:t>
      </w:r>
      <w:r w:rsidR="00EB0781">
        <w:t>demonstrated the r</w:t>
      </w:r>
      <w:r w:rsidR="008F104B">
        <w:t xml:space="preserve">etention </w:t>
      </w:r>
      <w:r w:rsidR="00EB0781">
        <w:t xml:space="preserve">capability of the </w:t>
      </w:r>
      <w:r w:rsidR="00970F40" w:rsidRPr="00F54DA5">
        <w:t>clay-based materials</w:t>
      </w:r>
      <w:r w:rsidR="00EB0781">
        <w:t xml:space="preserve"> for compound localisation and absence of </w:t>
      </w:r>
      <w:r w:rsidR="00970F40" w:rsidRPr="00F54DA5">
        <w:t xml:space="preserve">burst release. </w:t>
      </w:r>
      <w:r w:rsidR="00EB0781">
        <w:t>V</w:t>
      </w:r>
      <w:r w:rsidR="00A41801" w:rsidRPr="00F54DA5">
        <w:t>ascular endothelial growth factor (VEGF) was</w:t>
      </w:r>
      <w:r w:rsidR="00970F40" w:rsidRPr="00F54DA5">
        <w:t xml:space="preserve"> loaded </w:t>
      </w:r>
      <w:r w:rsidR="00EB0781">
        <w:t xml:space="preserve">within the </w:t>
      </w:r>
      <w:r w:rsidR="00970F40" w:rsidRPr="00F54DA5">
        <w:t>agarose fluid gel</w:t>
      </w:r>
      <w:r w:rsidR="009E5C4F">
        <w:t xml:space="preserve"> and absorbed by the material ink </w:t>
      </w:r>
      <w:r w:rsidR="00AD210F">
        <w:t>via</w:t>
      </w:r>
      <w:r w:rsidR="00AD210F" w:rsidRPr="00F54DA5">
        <w:t xml:space="preserve"> </w:t>
      </w:r>
      <w:r w:rsidR="00970F40" w:rsidRPr="00F54DA5">
        <w:t>absorb</w:t>
      </w:r>
      <w:r w:rsidR="00AD210F">
        <w:t xml:space="preserve">tion </w:t>
      </w:r>
      <w:r w:rsidR="00A41801" w:rsidRPr="00F54DA5">
        <w:t>during deposition</w:t>
      </w:r>
      <w:r w:rsidR="009E5C4F">
        <w:t>. T</w:t>
      </w:r>
      <w:r w:rsidR="00EB0781">
        <w:t xml:space="preserve">he </w:t>
      </w:r>
      <w:r w:rsidR="00A41801" w:rsidRPr="00F54DA5">
        <w:t xml:space="preserve">3D printed constructs </w:t>
      </w:r>
      <w:r w:rsidR="00AD210F">
        <w:t xml:space="preserve">was </w:t>
      </w:r>
      <w:r w:rsidR="00A41801" w:rsidRPr="00F54DA5">
        <w:t>implanted on the chorioallantoic membrane of a 10-days old developing chick</w:t>
      </w:r>
      <w:r w:rsidR="00EB0781">
        <w:t>. Extensive and preferential vasculature infiltration</w:t>
      </w:r>
      <w:r w:rsidR="00A41801" w:rsidRPr="00F54DA5">
        <w:t xml:space="preserve"> </w:t>
      </w:r>
      <w:r w:rsidR="00EB0781">
        <w:t xml:space="preserve">was observed in </w:t>
      </w:r>
      <w:r w:rsidR="00A41801" w:rsidRPr="00F54DA5">
        <w:t xml:space="preserve">LAP-GG loaded VEGF </w:t>
      </w:r>
      <w:r w:rsidR="00EB0781">
        <w:t xml:space="preserve">constructs </w:t>
      </w:r>
      <w:r w:rsidR="00A41801" w:rsidRPr="00F54DA5">
        <w:t>compared to control</w:t>
      </w:r>
      <w:r w:rsidR="0007374D" w:rsidRPr="00F54DA5">
        <w:t>s</w:t>
      </w:r>
      <w:r w:rsidR="00A41801" w:rsidRPr="00F54DA5">
        <w:t xml:space="preserve"> </w:t>
      </w:r>
      <w:r w:rsidR="00EB0781" w:rsidRPr="00F54DA5">
        <w:t xml:space="preserve">(p&lt;0.01 and p&lt;0.0001) </w:t>
      </w:r>
      <w:r w:rsidR="00A41801" w:rsidRPr="00F54DA5">
        <w:t xml:space="preserve">after only 7 days of incubation. </w:t>
      </w:r>
      <w:r w:rsidR="006D6271">
        <w:t>The current studies demonstrate</w:t>
      </w:r>
      <w:r w:rsidR="009A575F">
        <w:t>, for the first time, the</w:t>
      </w:r>
      <w:r w:rsidR="00A41801" w:rsidRPr="00F54DA5">
        <w:t xml:space="preserve"> application of </w:t>
      </w:r>
      <w:r w:rsidR="00BD351F">
        <w:t xml:space="preserve">innovative </w:t>
      </w:r>
      <w:r w:rsidR="00A41801" w:rsidRPr="00F54DA5">
        <w:t xml:space="preserve">LAP-GG 3D constructs in the </w:t>
      </w:r>
      <w:r w:rsidR="009A575F">
        <w:t>generation of growth factor loaded 3D constructs for potential application in skeletal tissue repair.</w:t>
      </w:r>
      <w:r w:rsidR="00A41801" w:rsidRPr="00F54DA5">
        <w:t xml:space="preserve"> </w:t>
      </w:r>
    </w:p>
    <w:p w14:paraId="1E06859B" w14:textId="7B405197" w:rsidR="003F4C21" w:rsidRPr="00F54DA5" w:rsidRDefault="003F4C21" w:rsidP="00D9695A">
      <w:pPr>
        <w:tabs>
          <w:tab w:val="left" w:pos="567"/>
        </w:tabs>
        <w:spacing w:line="360" w:lineRule="auto"/>
        <w:jc w:val="both"/>
      </w:pPr>
    </w:p>
    <w:p w14:paraId="6D86F63A" w14:textId="6DA11052" w:rsidR="003F4C21" w:rsidRPr="00F54DA5" w:rsidRDefault="003F4C21" w:rsidP="00D9695A">
      <w:pPr>
        <w:tabs>
          <w:tab w:val="left" w:pos="567"/>
        </w:tabs>
        <w:spacing w:line="360" w:lineRule="auto"/>
        <w:jc w:val="both"/>
      </w:pPr>
    </w:p>
    <w:p w14:paraId="56FC005D" w14:textId="1CA6E341" w:rsidR="003F4C21" w:rsidRPr="00F54DA5" w:rsidRDefault="003F4C21" w:rsidP="00D9695A">
      <w:pPr>
        <w:tabs>
          <w:tab w:val="left" w:pos="567"/>
        </w:tabs>
        <w:spacing w:line="360" w:lineRule="auto"/>
        <w:jc w:val="both"/>
      </w:pPr>
    </w:p>
    <w:p w14:paraId="4968E491" w14:textId="06AD5451" w:rsidR="003F4C21" w:rsidRDefault="003F4C21" w:rsidP="00D9695A">
      <w:pPr>
        <w:tabs>
          <w:tab w:val="left" w:pos="567"/>
        </w:tabs>
        <w:spacing w:line="360" w:lineRule="auto"/>
        <w:jc w:val="both"/>
      </w:pPr>
    </w:p>
    <w:p w14:paraId="42884EEA" w14:textId="5A8E59AC" w:rsidR="00EE53ED" w:rsidRDefault="00EE53ED" w:rsidP="00D9695A">
      <w:pPr>
        <w:tabs>
          <w:tab w:val="left" w:pos="567"/>
        </w:tabs>
        <w:spacing w:line="360" w:lineRule="auto"/>
        <w:jc w:val="both"/>
      </w:pPr>
    </w:p>
    <w:p w14:paraId="2212F241" w14:textId="4BE46820" w:rsidR="00EE53ED" w:rsidRDefault="00EE53ED" w:rsidP="00D9695A">
      <w:pPr>
        <w:tabs>
          <w:tab w:val="left" w:pos="567"/>
        </w:tabs>
        <w:spacing w:line="360" w:lineRule="auto"/>
        <w:jc w:val="both"/>
      </w:pPr>
    </w:p>
    <w:p w14:paraId="147B7C87" w14:textId="606505E8" w:rsidR="00EE53ED" w:rsidRDefault="00EE53ED" w:rsidP="00D9695A">
      <w:pPr>
        <w:tabs>
          <w:tab w:val="left" w:pos="567"/>
        </w:tabs>
        <w:spacing w:line="360" w:lineRule="auto"/>
        <w:jc w:val="both"/>
      </w:pPr>
    </w:p>
    <w:p w14:paraId="1EA07E55" w14:textId="0E1B4FAF" w:rsidR="00EE53ED" w:rsidRDefault="00EE53ED" w:rsidP="00D9695A">
      <w:pPr>
        <w:tabs>
          <w:tab w:val="left" w:pos="567"/>
        </w:tabs>
        <w:spacing w:line="360" w:lineRule="auto"/>
        <w:jc w:val="both"/>
      </w:pPr>
    </w:p>
    <w:p w14:paraId="48CCA705" w14:textId="6E30385D" w:rsidR="00EE53ED" w:rsidRDefault="00EE53ED" w:rsidP="00D9695A">
      <w:pPr>
        <w:tabs>
          <w:tab w:val="left" w:pos="567"/>
        </w:tabs>
        <w:spacing w:line="360" w:lineRule="auto"/>
        <w:jc w:val="both"/>
      </w:pPr>
    </w:p>
    <w:p w14:paraId="0561FB8D" w14:textId="77777777" w:rsidR="00EE53ED" w:rsidRPr="00F54DA5" w:rsidRDefault="00EE53ED" w:rsidP="00EE53ED">
      <w:pPr>
        <w:tabs>
          <w:tab w:val="left" w:pos="567"/>
        </w:tabs>
        <w:spacing w:line="360" w:lineRule="auto"/>
        <w:ind w:firstLine="360"/>
        <w:jc w:val="both"/>
        <w:rPr>
          <w:rFonts w:cs="Arial"/>
          <w:b/>
        </w:rPr>
      </w:pPr>
      <w:r w:rsidRPr="00F54DA5">
        <w:rPr>
          <w:rFonts w:cs="Arial"/>
          <w:b/>
        </w:rPr>
        <w:t>Graphical abstract:</w:t>
      </w:r>
    </w:p>
    <w:p w14:paraId="1AFBF6AA" w14:textId="77777777" w:rsidR="00EE53ED" w:rsidRPr="00F54DA5" w:rsidRDefault="00EE53ED" w:rsidP="00EE53ED">
      <w:pPr>
        <w:pStyle w:val="ListParagraph"/>
        <w:keepNext/>
        <w:tabs>
          <w:tab w:val="left" w:pos="567"/>
        </w:tabs>
        <w:spacing w:line="360" w:lineRule="auto"/>
        <w:ind w:left="0"/>
        <w:jc w:val="both"/>
      </w:pPr>
      <w:r>
        <w:rPr>
          <w:noProof/>
          <w:lang w:eastAsia="zh-CN"/>
        </w:rPr>
        <w:drawing>
          <wp:inline distT="0" distB="0" distL="0" distR="0" wp14:anchorId="241DF6A2" wp14:editId="2C8B5C13">
            <wp:extent cx="5560828" cy="4512179"/>
            <wp:effectExtent l="0" t="0" r="190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23" t="3102" r="571" b="1188"/>
                    <a:stretch/>
                  </pic:blipFill>
                  <pic:spPr bwMode="auto">
                    <a:xfrm>
                      <a:off x="0" y="0"/>
                      <a:ext cx="5578606" cy="4526605"/>
                    </a:xfrm>
                    <a:prstGeom prst="rect">
                      <a:avLst/>
                    </a:prstGeom>
                    <a:noFill/>
                    <a:ln>
                      <a:noFill/>
                    </a:ln>
                    <a:extLst>
                      <a:ext uri="{53640926-AAD7-44D8-BBD7-CCE9431645EC}">
                        <a14:shadowObscured xmlns:a14="http://schemas.microsoft.com/office/drawing/2010/main"/>
                      </a:ext>
                    </a:extLst>
                  </pic:spPr>
                </pic:pic>
              </a:graphicData>
            </a:graphic>
          </wp:inline>
        </w:drawing>
      </w:r>
    </w:p>
    <w:p w14:paraId="72A7A2D0" w14:textId="098CDD66" w:rsidR="00EE53ED" w:rsidRPr="005C067E" w:rsidRDefault="00EE53ED" w:rsidP="00EE53ED">
      <w:pPr>
        <w:tabs>
          <w:tab w:val="left" w:pos="567"/>
        </w:tabs>
        <w:spacing w:after="200" w:line="276" w:lineRule="auto"/>
        <w:jc w:val="both"/>
        <w:rPr>
          <w:rFonts w:cs="Arial"/>
          <w:iCs/>
          <w:sz w:val="20"/>
          <w:lang w:val="it-IT"/>
        </w:rPr>
      </w:pPr>
      <w:bookmarkStart w:id="3" w:name="_Toc529725148"/>
      <w:r w:rsidRPr="000D23AD">
        <w:rPr>
          <w:rFonts w:cs="Arial"/>
          <w:i/>
          <w:iCs/>
          <w:sz w:val="20"/>
          <w:szCs w:val="20"/>
        </w:rPr>
        <w:t>LAP-GG printing in agarose fluid gel for skeletal tissue engineering</w:t>
      </w:r>
      <w:r w:rsidR="005C067E" w:rsidRPr="000D23AD">
        <w:rPr>
          <w:rFonts w:cs="Arial"/>
          <w:i/>
          <w:iCs/>
          <w:sz w:val="20"/>
          <w:szCs w:val="20"/>
        </w:rPr>
        <w:t xml:space="preserve">. </w:t>
      </w:r>
      <w:bookmarkEnd w:id="3"/>
      <w:r w:rsidRPr="007E06F5">
        <w:rPr>
          <w:rFonts w:cs="Arial"/>
          <w:iCs/>
          <w:sz w:val="20"/>
          <w:szCs w:val="20"/>
        </w:rPr>
        <w:t xml:space="preserve">Extrusion of LAP-GG in </w:t>
      </w:r>
      <w:r w:rsidR="005C067E" w:rsidRPr="005C067E">
        <w:rPr>
          <w:rFonts w:cs="Arial"/>
          <w:iCs/>
          <w:sz w:val="20"/>
          <w:szCs w:val="20"/>
        </w:rPr>
        <w:t xml:space="preserve">an </w:t>
      </w:r>
      <w:r w:rsidRPr="005C067E">
        <w:rPr>
          <w:rFonts w:cs="Arial"/>
          <w:iCs/>
          <w:sz w:val="20"/>
          <w:szCs w:val="20"/>
        </w:rPr>
        <w:t xml:space="preserve">agarose bed </w:t>
      </w:r>
      <w:r w:rsidR="00E6237A" w:rsidRPr="005C067E">
        <w:rPr>
          <w:rFonts w:cs="Arial"/>
          <w:iCs/>
          <w:sz w:val="20"/>
          <w:szCs w:val="20"/>
        </w:rPr>
        <w:t xml:space="preserve">to generate </w:t>
      </w:r>
      <w:r w:rsidRPr="005C067E">
        <w:rPr>
          <w:rFonts w:cs="Arial"/>
          <w:iCs/>
          <w:sz w:val="20"/>
          <w:szCs w:val="20"/>
        </w:rPr>
        <w:t>three-dimensional structures (a). Low polymeric content nanosilicate</w:t>
      </w:r>
      <w:r w:rsidRPr="005C067E">
        <w:rPr>
          <w:rFonts w:cs="Arial"/>
          <w:iCs/>
          <w:sz w:val="20"/>
        </w:rPr>
        <w:t xml:space="preserve"> bioink</w:t>
      </w:r>
      <w:r w:rsidR="00940D86">
        <w:rPr>
          <w:rFonts w:cs="Arial"/>
          <w:iCs/>
          <w:sz w:val="20"/>
        </w:rPr>
        <w:t xml:space="preserve"> was use to deliver cells and preserve their viability</w:t>
      </w:r>
      <w:r w:rsidR="00E6237A" w:rsidRPr="005C067E">
        <w:rPr>
          <w:rFonts w:cs="Arial"/>
          <w:iCs/>
          <w:sz w:val="20"/>
        </w:rPr>
        <w:t xml:space="preserve"> following </w:t>
      </w:r>
      <w:r w:rsidRPr="005C067E">
        <w:rPr>
          <w:rFonts w:cs="Arial"/>
          <w:iCs/>
          <w:sz w:val="20"/>
        </w:rPr>
        <w:t xml:space="preserve">extrusion. </w:t>
      </w:r>
      <w:r w:rsidR="00E6237A" w:rsidRPr="005C067E">
        <w:rPr>
          <w:rFonts w:cs="Arial"/>
          <w:iCs/>
          <w:sz w:val="20"/>
        </w:rPr>
        <w:t xml:space="preserve">Agarose </w:t>
      </w:r>
      <w:r w:rsidRPr="005C067E">
        <w:rPr>
          <w:rFonts w:cs="Arial"/>
          <w:iCs/>
          <w:sz w:val="20"/>
        </w:rPr>
        <w:t xml:space="preserve">fluid gel </w:t>
      </w:r>
      <w:r w:rsidR="00E6237A" w:rsidRPr="005C067E">
        <w:rPr>
          <w:rFonts w:cs="Arial"/>
          <w:iCs/>
          <w:sz w:val="20"/>
        </w:rPr>
        <w:t xml:space="preserve">harnessed to enable </w:t>
      </w:r>
      <w:r w:rsidRPr="005C067E">
        <w:rPr>
          <w:rFonts w:cs="Arial"/>
          <w:iCs/>
          <w:sz w:val="20"/>
        </w:rPr>
        <w:t xml:space="preserve">loading of compounds of interests during printing (b) </w:t>
      </w:r>
      <w:r w:rsidR="00E6237A" w:rsidRPr="005C067E">
        <w:rPr>
          <w:rFonts w:cs="Arial"/>
          <w:iCs/>
          <w:sz w:val="20"/>
        </w:rPr>
        <w:t xml:space="preserve">in </w:t>
      </w:r>
      <w:r w:rsidRPr="005C067E">
        <w:rPr>
          <w:rFonts w:cs="Arial"/>
          <w:iCs/>
          <w:sz w:val="20"/>
        </w:rPr>
        <w:t xml:space="preserve">LAP-GG and in GG control. LAP-GG bioink </w:t>
      </w:r>
      <w:r w:rsidR="00E6237A" w:rsidRPr="005C067E">
        <w:rPr>
          <w:rFonts w:cs="Arial"/>
          <w:iCs/>
          <w:sz w:val="20"/>
        </w:rPr>
        <w:t xml:space="preserve">offers the potential for enhanced compound </w:t>
      </w:r>
      <w:r w:rsidRPr="005C067E">
        <w:rPr>
          <w:rFonts w:cs="Arial"/>
          <w:iCs/>
          <w:sz w:val="20"/>
        </w:rPr>
        <w:t>penetration</w:t>
      </w:r>
      <w:r w:rsidR="00E6237A" w:rsidRPr="005C067E">
        <w:rPr>
          <w:rFonts w:cs="Arial"/>
          <w:iCs/>
          <w:sz w:val="20"/>
        </w:rPr>
        <w:t xml:space="preserve"> within the </w:t>
      </w:r>
      <w:r w:rsidRPr="005C067E">
        <w:rPr>
          <w:rFonts w:cs="Arial"/>
          <w:iCs/>
          <w:sz w:val="20"/>
        </w:rPr>
        <w:t>printed strand. LAP-GG extrusion</w:t>
      </w:r>
      <w:r w:rsidR="00E6237A" w:rsidRPr="005C067E">
        <w:rPr>
          <w:rFonts w:cs="Arial"/>
          <w:iCs/>
          <w:sz w:val="20"/>
        </w:rPr>
        <w:t xml:space="preserve"> within self-healing agarose </w:t>
      </w:r>
      <w:r w:rsidR="00704085" w:rsidRPr="005C067E">
        <w:rPr>
          <w:rFonts w:cs="Arial"/>
          <w:iCs/>
          <w:sz w:val="20"/>
        </w:rPr>
        <w:t xml:space="preserve">can </w:t>
      </w:r>
      <w:r w:rsidR="00940D86">
        <w:rPr>
          <w:rFonts w:cs="Arial"/>
          <w:iCs/>
          <w:sz w:val="20"/>
        </w:rPr>
        <w:t>be</w:t>
      </w:r>
      <w:r w:rsidRPr="005C067E">
        <w:rPr>
          <w:rFonts w:cs="Arial"/>
          <w:iCs/>
          <w:sz w:val="20"/>
        </w:rPr>
        <w:t xml:space="preserve"> used to fabricate large functional structures (c) such as 3D sleeve (i,ii) and 3D lattice (iii,iv) structures to fill critical bone defects</w:t>
      </w:r>
      <w:r w:rsidRPr="007E06F5">
        <w:rPr>
          <w:rFonts w:cs="Arial"/>
          <w:iCs/>
          <w:sz w:val="20"/>
        </w:rPr>
        <w:t xml:space="preserve">. Cells </w:t>
      </w:r>
      <w:r w:rsidRPr="005C067E">
        <w:rPr>
          <w:rFonts w:cs="Arial"/>
          <w:iCs/>
          <w:sz w:val="20"/>
        </w:rPr>
        <w:t xml:space="preserve">printed in LAP-GG (d) and viability (i,ii) and functionality (iii,iv) assessed </w:t>
      </w:r>
      <w:r w:rsidR="00704085" w:rsidRPr="005C067E">
        <w:rPr>
          <w:rFonts w:cs="Arial"/>
          <w:iCs/>
          <w:sz w:val="20"/>
        </w:rPr>
        <w:t xml:space="preserve">for skeletal tissue formation </w:t>
      </w:r>
      <w:r w:rsidRPr="005C067E">
        <w:rPr>
          <w:rFonts w:cs="Arial"/>
          <w:iCs/>
          <w:sz w:val="20"/>
        </w:rPr>
        <w:t xml:space="preserve">potential. Integration with chick membrane model and vascular penetration (e) </w:t>
      </w:r>
      <w:r w:rsidR="00704085" w:rsidRPr="005C067E">
        <w:rPr>
          <w:rFonts w:cs="Arial"/>
          <w:iCs/>
          <w:sz w:val="20"/>
        </w:rPr>
        <w:t>of printed scaffolds i</w:t>
      </w:r>
      <w:r w:rsidRPr="005C067E">
        <w:rPr>
          <w:rFonts w:cs="Arial"/>
          <w:iCs/>
          <w:sz w:val="20"/>
        </w:rPr>
        <w:t xml:space="preserve">mplanted </w:t>
      </w:r>
      <w:r w:rsidR="00704085" w:rsidRPr="005C067E">
        <w:rPr>
          <w:rFonts w:cs="Arial"/>
          <w:iCs/>
          <w:sz w:val="20"/>
        </w:rPr>
        <w:t xml:space="preserve">within </w:t>
      </w:r>
      <w:r w:rsidRPr="005C067E">
        <w:rPr>
          <w:rFonts w:cs="Arial"/>
          <w:iCs/>
          <w:sz w:val="20"/>
        </w:rPr>
        <w:t xml:space="preserve">the vascularised membrane of a developing chick. </w:t>
      </w:r>
      <w:r w:rsidRPr="005C067E">
        <w:rPr>
          <w:rFonts w:cs="Arial"/>
          <w:iCs/>
          <w:sz w:val="20"/>
          <w:lang w:val="it-IT"/>
        </w:rPr>
        <w:t xml:space="preserve">Scale bar: (a) 5 mm, (b-i,ii) 100 µm, (c-i,ii) 30 mm, (c-iii) 30 mm, (c-iv) 10 mm, (d-i) 100 µm, (d-iii,iv) 2 mm. </w:t>
      </w:r>
    </w:p>
    <w:p w14:paraId="7FD7659C" w14:textId="77777777" w:rsidR="00EE53ED" w:rsidRPr="00EE53ED" w:rsidRDefault="00EE53ED" w:rsidP="00D9695A">
      <w:pPr>
        <w:tabs>
          <w:tab w:val="left" w:pos="567"/>
        </w:tabs>
        <w:spacing w:line="360" w:lineRule="auto"/>
        <w:jc w:val="both"/>
        <w:rPr>
          <w:lang w:val="it-IT"/>
        </w:rPr>
      </w:pPr>
    </w:p>
    <w:p w14:paraId="49C75112" w14:textId="7E7E0284" w:rsidR="003F4C21" w:rsidRPr="00EE53ED" w:rsidRDefault="003F4C21" w:rsidP="00D9695A">
      <w:pPr>
        <w:tabs>
          <w:tab w:val="left" w:pos="567"/>
        </w:tabs>
        <w:spacing w:line="360" w:lineRule="auto"/>
        <w:jc w:val="both"/>
        <w:rPr>
          <w:lang w:val="it-IT"/>
        </w:rPr>
      </w:pPr>
    </w:p>
    <w:p w14:paraId="43338022" w14:textId="29C76DB2" w:rsidR="003F4C21" w:rsidRPr="00EE53ED" w:rsidRDefault="003F4C21" w:rsidP="00D9695A">
      <w:pPr>
        <w:tabs>
          <w:tab w:val="left" w:pos="567"/>
        </w:tabs>
        <w:spacing w:line="360" w:lineRule="auto"/>
        <w:jc w:val="both"/>
        <w:rPr>
          <w:lang w:val="it-IT"/>
        </w:rPr>
      </w:pPr>
    </w:p>
    <w:p w14:paraId="62C81B3B" w14:textId="31C990E8" w:rsidR="003F4C21" w:rsidRPr="00EE53ED" w:rsidRDefault="003F4C21" w:rsidP="00D9695A">
      <w:pPr>
        <w:tabs>
          <w:tab w:val="left" w:pos="567"/>
        </w:tabs>
        <w:spacing w:line="360" w:lineRule="auto"/>
        <w:jc w:val="both"/>
        <w:rPr>
          <w:lang w:val="it-IT"/>
        </w:rPr>
      </w:pPr>
    </w:p>
    <w:p w14:paraId="1CC8F265" w14:textId="6407C58F" w:rsidR="003F4C21" w:rsidRPr="00EE53ED" w:rsidRDefault="003F4C21" w:rsidP="00D9695A">
      <w:pPr>
        <w:tabs>
          <w:tab w:val="left" w:pos="567"/>
        </w:tabs>
        <w:spacing w:line="360" w:lineRule="auto"/>
        <w:jc w:val="both"/>
        <w:rPr>
          <w:lang w:val="it-IT"/>
        </w:rPr>
      </w:pPr>
    </w:p>
    <w:p w14:paraId="446289B7" w14:textId="3C41755D" w:rsidR="00A864BA" w:rsidRPr="00F54DA5" w:rsidRDefault="00A864BA" w:rsidP="00CC404C">
      <w:pPr>
        <w:pStyle w:val="Heading2"/>
        <w:numPr>
          <w:ilvl w:val="0"/>
          <w:numId w:val="40"/>
        </w:numPr>
        <w:tabs>
          <w:tab w:val="left" w:pos="567"/>
        </w:tabs>
        <w:spacing w:before="360" w:after="240"/>
        <w:ind w:left="426" w:hanging="426"/>
        <w:jc w:val="both"/>
      </w:pPr>
      <w:bookmarkStart w:id="4" w:name="_Toc529724909"/>
      <w:r w:rsidRPr="00F54DA5">
        <w:t>Introduction</w:t>
      </w:r>
      <w:bookmarkEnd w:id="4"/>
    </w:p>
    <w:p w14:paraId="7E98734F" w14:textId="2794D148" w:rsidR="00A864BA" w:rsidRPr="00F54DA5" w:rsidRDefault="00704085" w:rsidP="009E5C4F">
      <w:pPr>
        <w:tabs>
          <w:tab w:val="left" w:pos="567"/>
        </w:tabs>
        <w:spacing w:after="0" w:line="360" w:lineRule="auto"/>
        <w:ind w:firstLine="720"/>
        <w:jc w:val="both"/>
      </w:pPr>
      <w:r>
        <w:t xml:space="preserve">The printing of cells in </w:t>
      </w:r>
      <w:r w:rsidR="00A864BA" w:rsidRPr="00F54DA5">
        <w:t xml:space="preserve">three dimensions </w:t>
      </w:r>
      <w:r w:rsidR="005C067E">
        <w:t>for</w:t>
      </w:r>
      <w:r>
        <w:t xml:space="preserve"> the </w:t>
      </w:r>
      <w:r w:rsidR="00A864BA" w:rsidRPr="00F54DA5">
        <w:t>fabricat</w:t>
      </w:r>
      <w:r>
        <w:t>ion of l</w:t>
      </w:r>
      <w:r w:rsidR="00A864BA" w:rsidRPr="00F54DA5">
        <w:t xml:space="preserve">arge structures </w:t>
      </w:r>
      <w:r>
        <w:t xml:space="preserve">targeted at </w:t>
      </w:r>
      <w:r w:rsidR="00A864BA" w:rsidRPr="00F54DA5">
        <w:t>critical</w:t>
      </w:r>
      <w:r>
        <w:t>-sized bone</w:t>
      </w:r>
      <w:r w:rsidR="00A864BA" w:rsidRPr="00F54DA5">
        <w:t xml:space="preserve"> tissue defects </w:t>
      </w:r>
      <w:r w:rsidR="005C067E">
        <w:t xml:space="preserve">has </w:t>
      </w:r>
      <w:r w:rsidR="005C067E" w:rsidRPr="00F54DA5">
        <w:t xml:space="preserve">proved challenging </w:t>
      </w:r>
      <w:r w:rsidR="00A864BA" w:rsidRPr="00F54DA5">
        <w:fldChar w:fldCharType="begin" w:fldLock="1"/>
      </w:r>
      <w:r w:rsidR="005748BB" w:rsidRPr="00F54DA5">
        <w:instrText>ADDIN CSL_CITATION {"citationItems":[{"id":"ITEM-1","itemData":{"DOI":"10.2217/rme-2016-0042","ISSN":"1746-076X","PMID":"27549369","abstract":"Bone tissue engineering (BTE) intends to restore structural support for movement and mineral homeostasis, and assist in hematopoiesis and the protective functions of bone in traumatic, degenerative, cancer, or congenital malformation. While much effort has been put into BTE, very little of this research has been translated to the clinic. In this review, we discuss current regenerative medicine and restorative strategies that utilize tissue engineering approaches to address bone defects within a clinical setting. These approaches involve the primary components of tissue engineering: cells, growth factors and biomaterials discussed briefly in light of their clinical relevance. This review also presents upcoming advanced approaches for BTE applications and suggests a probable workpath for translation from the laboratory to the clinic.","author":[{"dropping-particle":"","family":"Mishra","given":"Ruchi","non-dropping-particle":"","parse-names":false,"suffix":""},{"dropping-particle":"","family":"Bishop","given":"Tyler","non-dropping-particle":"","parse-names":false,"suffix":""},{"dropping-particle":"","family":"Valerio","given":"Ian L","non-dropping-particle":"","parse-names":false,"suffix":""},{"dropping-particle":"","family":"Fisher","given":"John P","non-dropping-particle":"","parse-names":false,"suffix":""},{"dropping-particle":"","family":"Dean","given":"David","non-dropping-particle":"","parse-names":false,"suffix":""}],"container-title":"Regenerative medicine","id":"ITEM-1","issued":{"date-parts":[["2016"]]},"page":"571-587","title":"The potential impact of bone tissue engineering in the clinic.","type":"article-journal","volume":"11"},"uris":["http://www.mendeley.com/documents/?uuid=59f0777d-2cb9-45ce-83f5-442991edd113"]}],"mendeley":{"formattedCitation":"[1]","plainTextFormattedCitation":"[1]","previouslyFormattedCitation":"[1]"},"properties":{"noteIndex":0},"schema":"https://github.com/citation-style-language/schema/raw/master/csl-citation.json"}</w:instrText>
      </w:r>
      <w:r w:rsidR="00A864BA" w:rsidRPr="00F54DA5">
        <w:fldChar w:fldCharType="separate"/>
      </w:r>
      <w:r w:rsidR="009B39CA" w:rsidRPr="00F54DA5">
        <w:rPr>
          <w:noProof/>
        </w:rPr>
        <w:t>[1]</w:t>
      </w:r>
      <w:r w:rsidR="00A864BA" w:rsidRPr="00F54DA5">
        <w:fldChar w:fldCharType="end"/>
      </w:r>
      <w:r w:rsidR="00A864BA" w:rsidRPr="00F54DA5">
        <w:t xml:space="preserve">. </w:t>
      </w:r>
      <w:r>
        <w:t>In recent years, h</w:t>
      </w:r>
      <w:r w:rsidR="00A864BA" w:rsidRPr="00F54DA5">
        <w:t xml:space="preserve">ydrogels </w:t>
      </w:r>
      <w:r>
        <w:t xml:space="preserve">have </w:t>
      </w:r>
      <w:r w:rsidR="00D85C6F">
        <w:t xml:space="preserve">been </w:t>
      </w:r>
      <w:r>
        <w:t xml:space="preserve">presented as </w:t>
      </w:r>
      <w:r w:rsidR="00A864BA" w:rsidRPr="00F54DA5">
        <w:t xml:space="preserve">attractive biomaterials </w:t>
      </w:r>
      <w:r>
        <w:t xml:space="preserve">for </w:t>
      </w:r>
      <w:r w:rsidR="00A864BA" w:rsidRPr="00F54DA5">
        <w:t>printing of cells</w:t>
      </w:r>
      <w:r w:rsidR="00D85C6F">
        <w:t xml:space="preserve"> (bioinks)</w:t>
      </w:r>
      <w:r w:rsidR="00A864BA" w:rsidRPr="00F54DA5">
        <w:t xml:space="preserve"> and</w:t>
      </w:r>
      <w:r>
        <w:t xml:space="preserve"> the generation of t</w:t>
      </w:r>
      <w:r w:rsidR="00A864BA" w:rsidRPr="00F54DA5">
        <w:t xml:space="preserve">hree-dimensional structures </w:t>
      </w:r>
      <w:r w:rsidR="00A864BA" w:rsidRPr="00F54DA5">
        <w:fldChar w:fldCharType="begin" w:fldLock="1"/>
      </w:r>
      <w:r w:rsidR="00793844">
        <w:instrText>ADDIN CSL_CITATION {"citationItems":[{"id":"ITEM-1","itemData":{"DOI":"10.1088/1758-5090/aa90e2","ISSN":"1758-5090","abstract":"During extrusion-based bioprinting, the deposited bioink filaments are subjected to deformations, such as collapse of overhanging filaments, which compromises the ability to stack several layers of bioink, and fusion between adjacent filaments, which compromises the resolution and maintenance of a desired pore structure. When developing new bioinks, approaches to assess their shape fidelity after printing would be beneficial to evaluate the degree of deformation of the deposited filament and to estimate how similar the final printed construct would be to the design. However, shape fidelity has been prevalently assessed qualitatively through visual inspection after printing, hampering the direct comparison of the printability of different bioinks. In this technical note, we propose a quantitative evaluation for shape fidelity of bioinks based on testing the filament collapse on overhanging structures and the filament fusion of parallel printed strands. Both tests were applied on a hydrogel platform based on poloxamer 407 and poly(ethylene glycol) (PEG) blends, providing a library of hydrogels with different yield stresses. The presented approach is an easy way to assess bioink shape fidelity, applicable to any filament-based bioprinting system and able to quantitatively evaluate this aspect of printability , based on the degree of deformation of the printed filament. In addition, we built a simple theoretical model that relates filament collapse with bioink yield stress. The results of both shape fidelity tests underline the role of yield stress as one of the parameters influencing the printability of a bioink. The presented quantitative evaluation will allow for reproducible comparisons between different bioink platforms.","author":[{"dropping-particle":"","family":"Ribeiro","given":"A","non-dropping-particle":"","parse-names":false,"suffix":""},{"dropping-particle":"","family":"Blokzijl","given":"M M","non-dropping-particle":"","parse-names":false,"suffix":""},{"dropping-particle":"","family":"Levato","given":"R","non-dropping-particle":"","parse-names":false,"suffix":""},{"dropping-particle":"","family":"Visser","given":"C W","non-dropping-particle":"","parse-names":false,"suffix":""},{"dropping-particle":"","family":"Castilho","given":"M","non-dropping-particle":"","parse-names":false,"suffix":""},{"dropping-particle":"","family":"Hennink","given":"W E","non-dropping-particle":"","parse-names":false,"suffix":""},{"dropping-particle":"","family":"Vermonden","given":"T","non-dropping-particle":"","parse-names":false,"suffix":""},{"dropping-particle":"","family":"Malda","given":"J","non-dropping-particle":"","parse-names":false,"suffix":""}],"container-title":"Biofabrication","id":"ITEM-1","issue":"1","issued":{"date-parts":[["2017","11","30"]]},"page":"014102","publisher":"IOP Publishing","title":"Assessing bioink shape fidelity to aid material development in 3D bioprinting","type":"article-journal","volume":"10"},"uris":["http://www.mendeley.com/documents/?uuid=f22b3174-36f1-4582-a069-816feca81e06"]},{"id":"ITEM-2","itemData":{"DOI":"10.1088/1758-5090/aa8dd8","ISBN":"0031534872","ISSN":"1758-5090","PMID":"28930091","abstract":"The development and formulation of printable inks for extrusion-based 3D bioprinting has been a major challenge in the field of biofabrication. Inks, often polymer solutions with the addition of crosslinking to form hydrogels, must not only display adequate mechanical properties for the chosen application, but also show high biocompatibility as well as printability. Here we describe a reproducible two-step method for the assessment of the printability of inks for bioprinting, focussing firstly on screening ink formulations to assess fibre formation and the ability to form 3D constructs before presenting a method for the rheological evaluation of inks to characterise the yield point, shear thinning and recovery behaviour. In conjunction, a mathematical model was formulated to provide a theoretical understanding of the pressure-driven, shear thinning extrusion of inks through needles in a bioprinter. The assessment methods were trialled with a commercially-available crème, poloxamer 407, alginate-based inks and an alginate-gelatin composite material. Yield stress was investigated by applying a stress ramp to a number of inks, which demonstrated the necessity of high yield for printable materials. The shear thinning behaviour of the inks was then characterised by quantifying the degree of shear thinning and using the mathematical model to predict the window of printer operating parameters in which the materials could be printed. Furthermore, the model predicted high shear conditions and high residence times for cells at the walls of the needle and effects on cytocompatibility at different printing conditions. Finally, the ability of the materials to recover to their original viscosity after extrusion was examined using rotational recovery rheological measurements. Taken together, these assessment techniques revealed significant insights into the requirements for printable inks and shear conditions present during the extrusion process and allow the rapid and reproducible characterisation of a wide variety of inks for bioprinting.","author":[{"dropping-particle":"","family":"Paxton","given":"Naomi","non-dropping-particle":"","parse-names":false,"suffix":""},{"dropping-particle":"","family":"Smolan","given":"Willi","non-dropping-particle":"","parse-names":false,"suffix":""},{"dropping-particle":"","family":"Böck","given":"Thomas","non-dropping-particle":"","parse-names":false,"suffix":""},{"dropping-particle":"","family":"Melchels","given":"Ferry","non-dropping-particle":"","parse-names":false,"suffix":""},{"dropping-particle":"","family":"Groll","given":"Jürgen","non-dropping-particle":"","parse-names":false,"suffix":""},{"dropping-particle":"","family":"Jungst","given":"Tomasz","non-dropping-particle":"","parse-names":false,"suffix":""}],"container-title":"Biofabrication","id":"ITEM-2","issue":"4","issued":{"date-parts":[["2017","11","14"]]},"page":"044107","publisher":"IOP Publishing","title":"Proposal to assess printability of bioinks for extrusion-based bioprinting and evaluation of rheological properties governing bioprintability","type":"article-journal","volume":"9"},"uris":["http://www.mendeley.com/documents/?uuid=4fa55073-a9ca-407e-8865-2414302e4c94"]},{"id":"ITEM-3","itemData":{"DOI":"10.1016/j.biomaterials.2019.04.009","ISSN":"01429612","author":[{"dropping-particle":"","family":"Cidonio","given":"G.","non-dropping-particle":"","parse-names":false,"suffix":""},{"dropping-particle":"","family":"Glinka","given":"M.","non-dropping-particle":"","parse-names":false,"suffix":""},{"dropping-particle":"","family":"Dawson","given":"J.I.","non-dropping-particle":"","parse-names":false,"suffix":""},{"dropping-particle":"","family":"Oreffo","given":"R.O.C.","non-dropping-particle":"","parse-names":false,"suffix":""}],"container-title":"Biomaterials","id":"ITEM-3","issue":"November 2018","issued":{"date-parts":[["2019"]]},"page":"10-24","title":"The cell in the ink: Improving biofabrication by printing stem cells for skeletal regenerative medicine","type":"article-journal","volume":"209"},"uris":["http://www.mendeley.com/documents/?uuid=77c40f75-7ac8-4afa-8a43-21ba889b1098"]}],"mendeley":{"formattedCitation":"[2–4]","plainTextFormattedCitation":"[2–4]","previouslyFormattedCitation":"[2–4]"},"properties":{"noteIndex":0},"schema":"https://github.com/citation-style-language/schema/raw/master/csl-citation.json"}</w:instrText>
      </w:r>
      <w:r w:rsidR="00A864BA" w:rsidRPr="00F54DA5">
        <w:fldChar w:fldCharType="separate"/>
      </w:r>
      <w:r w:rsidR="00793844" w:rsidRPr="00793844">
        <w:rPr>
          <w:noProof/>
        </w:rPr>
        <w:t>[2–4]</w:t>
      </w:r>
      <w:r w:rsidR="00A864BA" w:rsidRPr="00F54DA5">
        <w:fldChar w:fldCharType="end"/>
      </w:r>
      <w:r w:rsidR="00A864BA" w:rsidRPr="00F54DA5">
        <w:t xml:space="preserve">. </w:t>
      </w:r>
      <w:r>
        <w:t xml:space="preserve">A printed scaffold should, ideally, offer significant functional capacity </w:t>
      </w:r>
      <w:r w:rsidR="004110A4">
        <w:t>post printing</w:t>
      </w:r>
      <w:r w:rsidR="00A864BA" w:rsidRPr="00F54DA5">
        <w:t>. Functionality can depend on</w:t>
      </w:r>
      <w:r w:rsidR="00F04E23">
        <w:t>;</w:t>
      </w:r>
      <w:r w:rsidR="00A864BA" w:rsidRPr="00F54DA5">
        <w:t xml:space="preserve"> i) the inherent bioactivity of the hydrogel, ii) inclusion of cells, and iii) retention of growth factors.</w:t>
      </w:r>
      <w:r>
        <w:t xml:space="preserve">  Thus, a </w:t>
      </w:r>
      <w:r w:rsidR="00D85C6F">
        <w:t>prerequisite is</w:t>
      </w:r>
      <w:r>
        <w:t xml:space="preserve"> the potential of a </w:t>
      </w:r>
      <w:r w:rsidR="00A864BA" w:rsidRPr="00F54DA5">
        <w:t>hydrogel</w:t>
      </w:r>
      <w:r>
        <w:t xml:space="preserve"> to be </w:t>
      </w:r>
      <w:r w:rsidR="00A864BA" w:rsidRPr="00F54DA5">
        <w:t xml:space="preserve">extruded with high precision, enabling the fabrication of complex three-dimensional structures that </w:t>
      </w:r>
      <w:r>
        <w:t>retain</w:t>
      </w:r>
      <w:r w:rsidR="00A864BA" w:rsidRPr="00F54DA5">
        <w:t xml:space="preserve"> </w:t>
      </w:r>
      <w:r>
        <w:t xml:space="preserve">their </w:t>
      </w:r>
      <w:r w:rsidR="00A864BA" w:rsidRPr="00F54DA5">
        <w:t xml:space="preserve">shape in culture. </w:t>
      </w:r>
      <w:r>
        <w:t>Although</w:t>
      </w:r>
      <w:r w:rsidR="00A864BA" w:rsidRPr="00F54DA5">
        <w:t xml:space="preserve"> hydrogel formulations </w:t>
      </w:r>
      <w:r>
        <w:t>typically offer e</w:t>
      </w:r>
      <w:r w:rsidR="00A864BA" w:rsidRPr="00F54DA5">
        <w:t>xcellent swelling capacity</w:t>
      </w:r>
      <w:r w:rsidR="00C16CFF" w:rsidRPr="00F54DA5">
        <w:t>,</w:t>
      </w:r>
      <w:r w:rsidR="00A864BA" w:rsidRPr="00F54DA5">
        <w:t xml:space="preserve"> </w:t>
      </w:r>
      <w:r>
        <w:t xml:space="preserve">as a consequence of their ability to </w:t>
      </w:r>
      <w:r w:rsidR="00A864BA" w:rsidRPr="00F54DA5">
        <w:t xml:space="preserve">absorb water and significantly increase their volume </w:t>
      </w:r>
      <w:r w:rsidR="00A864BA" w:rsidRPr="00F54DA5">
        <w:fldChar w:fldCharType="begin" w:fldLock="1"/>
      </w:r>
      <w:r w:rsidR="00793844">
        <w:instrText>ADDIN CSL_CITATION {"citationItems":[{"id":"ITEM-1","itemData":{"DOI":"10.1002/adma.200802106","ISSN":"09359648","author":[{"dropping-particle":"V.","family":"Slaughter","given":"Brandon","non-dropping-particle":"","parse-names":false,"suffix":""},{"dropping-particle":"","family":"Khurshid","given":"Shahana S.","non-dropping-particle":"","parse-names":false,"suffix":""},{"dropping-particle":"","family":"Fisher","given":"Omar Z.","non-dropping-particle":"","parse-names":false,"suffix":""},{"dropping-particle":"","family":"Khademhosseini","given":"Ali","non-dropping-particle":"","parse-names":false,"suffix":""},{"dropping-particle":"","family":"Peppas","given":"Nicholas A.","non-dropping-particle":"","parse-names":false,"suffix":""}],"container-title":"Advanced Materials","id":"ITEM-1","issue":"32-33","issued":{"date-parts":[["2009"]]},"page":"3307-3329","title":"Hydrogels in Regenerative Medicine","type":"article-journal","volume":"21"},"uris":["http://www.mendeley.com/documents/?uuid=a40971d0-c024-4b3d-827a-92042c64ee3e"]}],"mendeley":{"formattedCitation":"[5]","plainTextFormattedCitation":"[5]","previouslyFormattedCitation":"[5]"},"properties":{"noteIndex":0},"schema":"https://github.com/citation-style-language/schema/raw/master/csl-citation.json"}</w:instrText>
      </w:r>
      <w:r w:rsidR="00A864BA" w:rsidRPr="00F54DA5">
        <w:fldChar w:fldCharType="separate"/>
      </w:r>
      <w:r w:rsidR="00793844" w:rsidRPr="00793844">
        <w:rPr>
          <w:noProof/>
        </w:rPr>
        <w:t>[5]</w:t>
      </w:r>
      <w:r w:rsidR="00A864BA" w:rsidRPr="00F54DA5">
        <w:fldChar w:fldCharType="end"/>
      </w:r>
      <w:r>
        <w:t xml:space="preserve">; for </w:t>
      </w:r>
      <w:r w:rsidR="00A864BA" w:rsidRPr="00F54DA5">
        <w:t xml:space="preserve">bioprinting applications, </w:t>
      </w:r>
      <w:r w:rsidR="00D85C6F">
        <w:t xml:space="preserve">material </w:t>
      </w:r>
      <w:r w:rsidR="00A864BA" w:rsidRPr="00F54DA5">
        <w:t xml:space="preserve">inks </w:t>
      </w:r>
      <w:r>
        <w:t xml:space="preserve">should display </w:t>
      </w:r>
      <w:r w:rsidR="00A864BA" w:rsidRPr="00F54DA5">
        <w:t xml:space="preserve">minimal swelling capacity post-printing and preserve their shape indefinitely, unless undergoing degradation. </w:t>
      </w:r>
      <w:r>
        <w:t xml:space="preserve">A key </w:t>
      </w:r>
      <w:r w:rsidR="00AD210F">
        <w:t>challenge</w:t>
      </w:r>
      <w:r w:rsidR="00A14EB5" w:rsidRPr="00F54DA5">
        <w:t xml:space="preserve"> is the fabrication of c</w:t>
      </w:r>
      <w:r w:rsidR="00A864BA" w:rsidRPr="00F54DA5">
        <w:t xml:space="preserve">linical-size constructs </w:t>
      </w:r>
      <w:r w:rsidR="00A14EB5" w:rsidRPr="00F54DA5">
        <w:t xml:space="preserve">via layer-by-layer deposition of soft hydrogel in three dimensions. </w:t>
      </w:r>
      <w:r w:rsidR="00C729E7" w:rsidRPr="00F54DA5">
        <w:t xml:space="preserve">Recently, the deposition of bioinks </w:t>
      </w:r>
      <w:r w:rsidR="00A14EB5" w:rsidRPr="00F54DA5">
        <w:t>within a temporary support material</w:t>
      </w:r>
      <w:r w:rsidR="00C729E7" w:rsidRPr="00F54DA5">
        <w:t>, has</w:t>
      </w:r>
      <w:r>
        <w:t xml:space="preserve"> demonstrated the ability to </w:t>
      </w:r>
      <w:r w:rsidR="00B05DEF">
        <w:t xml:space="preserve">generate </w:t>
      </w:r>
      <w:r w:rsidR="00C729E7" w:rsidRPr="00F54DA5">
        <w:t>intricate-shaped constructs</w:t>
      </w:r>
      <w:r w:rsidR="00B05DEF">
        <w:t>, at scale, to date</w:t>
      </w:r>
      <w:r w:rsidR="00C729E7" w:rsidRPr="00F54DA5">
        <w:t xml:space="preserve"> impossible to produce with </w:t>
      </w:r>
      <w:r w:rsidR="00B05DEF">
        <w:t>standard</w:t>
      </w:r>
      <w:r w:rsidR="00C729E7" w:rsidRPr="00F54DA5">
        <w:t xml:space="preserve"> 3D printing technology</w:t>
      </w:r>
      <w:r w:rsidR="00A864BA" w:rsidRPr="00F54DA5">
        <w:t xml:space="preserve"> </w:t>
      </w:r>
      <w:r w:rsidR="00A864BA" w:rsidRPr="00F54DA5">
        <w:fldChar w:fldCharType="begin" w:fldLock="1"/>
      </w:r>
      <w:r w:rsidR="00793844">
        <w:instrText>ADDIN CSL_CITATION {"citationItems":[{"id":"ITEM-1","itemData":{"DOI":"10.1002/adma.201605594","ISSN":"09359648","PMID":"28145596","abstract":"A method for the production of complex cell-laden structures is reported, which allows high-levels of spatial control over mechanical and chemical properties. The potential of this method for producing complicated tissues is demonstrated by manufacturing a complex hard/soft tissue interface and demonstrating that cell phenotype can be maintained over four weeks of culture.","author":[{"dropping-particle":"","family":"Moxon","given":"Samuel R.","non-dropping-particle":"","parse-names":false,"suffix":""},{"dropping-particle":"","family":"Cooke","given":"Megan E.","non-dropping-particle":"","parse-names":false,"suffix":""},{"dropping-particle":"","family":"Cox","given":"Sophie C.","non-dropping-particle":"","parse-names":false,"suffix":""},{"dropping-particle":"","family":"Snow","given":"Martyn","non-dropping-particle":"","parse-names":false,"suffix":""},{"dropping-particle":"","family":"Jeys","given":"Lee","non-dropping-particle":"","parse-names":false,"suffix":""},{"dropping-particle":"","family":"Jones","given":"Simon W.","non-dropping-particle":"","parse-names":false,"suffix":""},{"dropping-particle":"","family":"Smith","given":"Alan M.","non-dropping-particle":"","parse-names":false,"suffix":""},{"dropping-particle":"","family":"Grover","given":"Liam M.","non-dropping-particle":"","parse-names":false,"suffix":""}],"container-title":"Advanced Materials","id":"ITEM-1","issue":"13","issued":{"date-parts":[["2017","4"]]},"page":"1605594","title":"Suspended Manufacture of Biological Structures","type":"article-journal","volume":"29"},"uris":["http://www.mendeley.com/documents/?uuid=d9d05438-ccd0-4dd2-9619-2c55242e8192"]},{"id":"ITEM-2","itemData":{"DOI":"10.1021/acsami.7b02398","ISSN":"1944-8244","abstract":"Additive manufacturing (AM) enables the freeform fabrication of complex structures from various build materials. The objective of this study is to develop a novel Laponite nanoclay-enabled “printing-then-solidification” additive manufacturing approach to extrude complex three-dimensional (3D) structures made of various liquid build materials. Laponite, a member of the smectite mineral family, is investigated to serve as a yield-stress support bath material for the extrusion printing of liquid build materials. Using the printing-then-solidification approach, the printed structure remains liquid and retains its shape with the help of the Laponite support bath. Then the completed liquid structures are solidified in situ by applying suitable cross-linking mechanisms. Finally, the solidified structures are harvested from the Laponite nanoclay support bath for any further processing as needed. Due to its chemical and physical stability, liquid build materials with different solidification/curing/gelation mechan...","author":[{"dropping-particle":"","family":"Jin","given":"Yifei","non-dropping-particle":"","parse-names":false,"suffix":""},{"dropping-particle":"","family":"Compaan","given":"Ashley","non-dropping-particle":"","parse-names":false,"suffix":""},{"dropping-particle":"","family":"Chai","given":"Wenxuan","non-dropping-particle":"","parse-names":false,"suffix":""},{"dropping-particle":"","family":"Huang","given":"Yong","non-dropping-particle":"","parse-names":false,"suffix":""}],"container-title":"ACS Applied Materials &amp; Interfaces","id":"ITEM-2","issue":"23","issued":{"date-parts":[["2017","6","14"]]},"page":"20057-20066","title":"Functional Nanoclay Suspension for Printing-Then-Solidification of Liquid Materials","type":"article-journal","volume":"9"},"uris":["http://www.mendeley.com/documents/?uuid=e30694a3-1598-4b4c-8c65-eb83d9a37b4e"]},{"id":"ITEM-3","itemData":{"DOI":"10.1002/adma.201501234","ISSN":"09359648","PMID":"26177925","abstract":"Supramolecular hydrogels are used in the 3D printing of high resolution, multi-material structures. The non-covalent bonds allow the extrusion of the inks into support gels to directly write structures continuously in 3D space. This material system supports the patterning of multiple inks, cells, and void spaces.","author":[{"dropping-particle":"","family":"Highley","given":"Christopher B.","non-dropping-particle":"","parse-names":false,"suffix":""},{"dropping-particle":"","family":"Rodell","given":"Christopher B.","non-dropping-particle":"","parse-names":false,"suffix":""},{"dropping-particle":"","family":"Burdick","given":"Jason a.","non-dropping-particle":"","parse-names":false,"suffix":""}],"container-title":"Advanced Materials","id":"ITEM-3","issue":"34","issued":{"date-parts":[["2015","9"]]},"note":"Labeling a population of mesenchymal\nstem cells (MSCs) with a green CellTracker dye and\na population of 3T3 fi broblasts (3T3s) with a red CellTracker\ndye allowed us to visualize distinct populations of cells after\nprinting an MSC-containing ink into a 3T3-containing support","page":"5075-5079","title":"Direct 3D Printing of Shear-Thinning Hydrogels into Self-Healing Hydrogels","type":"article-journal","volume":"27"},"uris":["http://www.mendeley.com/documents/?uuid=b59242b9-bc21-4756-8c5c-a32a2f9b15d8"]},{"id":"ITEM-4","itemData":{"DOI":"10.1126/sciadv.1500758","ISSN":"2375-2548","PMID":"26601312","abstract":"We demonstrate the additive manufacturing of complex three-dimensional (3D) biological structures using soft protein and polysaccharide hydrogels that are challenging or impossible to create using traditional fabrication approaches. These structures are built by embedding the printed hydrogel within a secondary hydrogel that serves as a temporary, thermoreversible, and biocompatible support. This process, termed freeform reversible embedding of suspended hydrogels, enables 3D printing of hydrated materials with an elastic modulus &lt;500 kPa including alginate, collagen, and fibrin. Computer-aided design models of 3D optical, computed tomography, and magnetic resonance imaging data were 3D printed at a resolution of ~200 μm and at low cost by leveraging open-source hardware and software tools. Proof-of-concept structures based on femurs, branched coronary arteries, trabeculated embryonic hearts, and human brains were mechanically robust and recreated complex 3D internal and external anatomical architectures.","author":[{"dropping-particle":"","family":"Hinton","given":"Thomas J","non-dropping-particle":"","parse-names":false,"suffix":""},{"dropping-particle":"","family":"Jallerat","given":"Quentin","non-dropping-particle":"","parse-names":false,"suffix":""},{"dropping-particle":"","family":"Palchesko","given":"Rachelle N","non-dropping-particle":"","parse-names":false,"suffix":""},{"dropping-particle":"","family":"Park","given":"Joon Hyung","non-dropping-particle":"","parse-names":false,"suffix":""},{"dropping-particle":"","family":"Grodzicki","given":"Martin S","non-dropping-particle":"","parse-names":false,"suffix":""},{"dropping-particle":"","family":"Shue","given":"Hao-jan","non-dropping-particle":"","parse-names":false,"suffix":""},{"dropping-particle":"","family":"Ramadan","given":"Mohamed H","non-dropping-particle":"","parse-names":false,"suffix":""},{"dropping-particle":"","family":"Hudson","given":"Andrew R","non-dropping-particle":"","parse-names":false,"suffix":""},{"dropping-particle":"","family":"Feinberg","given":"Adam W","non-dropping-particle":"","parse-names":false,"suffix":""}],"container-title":"Science Advances","id":"ITEM-4","issue":"October","issued":{"date-parts":[["2015"]]},"note":"Hinton et al. created an open-source 3D bioprinter modifying a Makerbot with a biological extruder and innovating printing procedure withing a gelatin bath that can be cast away at 37C. \nOther research teams have demonstrated the direct bioprinting of fibrin (15, 16), gelatin (17), andmixtures of proteins derived from decellularized tissues (18) or cast extracellular matrix (ECM) gels around dissolvable templates (19). These results have ex- panded the range of materials that can be used and demonstrated the ability to incorporate and print live cells. There are also commercially available bioprinters from Organovo (20–22)and EnvisionTEC(7, 23) that have expanded the accessibility of bioprinters beyond the groups that custom build their own systems.\n\nFRESH - freeform reversible embedding of suspended hydrogels\n\nUsing open-source tools, serving as a highly adaptable and cost-effective biological AM platform. The key innovation in FRESH is deposition and embedding of the hydrogel(s) being printedwithin a second hydro- gel support bath that maintains the intended structure during the print process and significantly improvesprint fidelity (Fig.1,AandB,and movie S1). The support bath is composed of gelatinmicroparticles that act like a Bingham plastic during the print process, behaving as a rigid body at low shear stresses but flowing as a viscous fluid at higher shear stresses. This means that, as a needle-like nozzle moves through the bath, there is little mechanical resistance, yet the hydrogel being ex- truded out of the nozzle and deposited within the bath is held in place.\nThis is alldone ina sterile, aqueous, buffered environment compatible with cells, which means cells can be extruded out of the printer nozzle with the hydrogel and maintain via- bility.Once the entire3Dstructure is FRESHprinted, the temperature is raised to a cell-friendly 37°C, causing the gelatin support bath to melt in a nondestructivemanner.\n\nFRESH is implemented on aMakerBot Replicator modified with a\ncustom syringe-based extruder designed for precision hydrogel depo- sition. All plastic parts to convert the MakerBot into a bioprinter are printed in polylactic acid (PLA) using the stock thermoplastic extruder,\nwhich is then replaced with the customsyringe-based extruder [the STL (stereolithography) file can be downloaded from http://3dprint.nih.gov/]. Our syringe-based extruder uses the steppermotor, taken from the orig- inal extruder, tomove the plunger of a 3-ml syringe via a direct gear drive.\n\nTypically, we use a 150-mm-diameter stainless steel needle on the end of the syringe, but a range of needle di- ameters can be selected to control the volume ofmaterial being extruded.\n\nMaintaining the gelatinslurry at roomtempera- ture (~22°C) preserves these rheological properties. Thus, it is unlikely that any small amount of residual gelatin will nega- tively affect cell integration andmayactuallyenhance adhesion through integrin binding.\n\nFRESHworks by extruding the liquid phasematerial fromthe syringe into the support bath, where thematerialmust rapidly gel into a fila- ment without diffusing away. This gelation process occurs via rapid cross-linking of the polymer molecules into a network, and the cross- linking mechanism depends on the hydrogel being 3D printed. We have validated this process using fluorescently labeled alginate cross- linked by divalent cations (0.16% CaCl2) added to the support bath. A representative alginate filament embedded in the support bath illus- trates that the gelatin microparticles aremoved out of the way but still influencethe surfacemorphologyofthe filament.","page":"1-10","title":"Three-dimensional printing of complex biological structures by freeform reversible embedding of suspended hydrogels","type":"article-journal","volume":"1"},"uris":["http://www.mendeley.com/documents/?uuid=d3689282-f191-4596-80ed-d9ffc2709392"]}],"mendeley":{"formattedCitation":"[6–9]","plainTextFormattedCitation":"[6–9]","previouslyFormattedCitation":"[6–9]"},"properties":{"noteIndex":0},"schema":"https://github.com/citation-style-language/schema/raw/master/csl-citation.json"}</w:instrText>
      </w:r>
      <w:r w:rsidR="00A864BA" w:rsidRPr="00F54DA5">
        <w:fldChar w:fldCharType="separate"/>
      </w:r>
      <w:r w:rsidR="00793844" w:rsidRPr="00793844">
        <w:rPr>
          <w:noProof/>
        </w:rPr>
        <w:t>[6–9]</w:t>
      </w:r>
      <w:r w:rsidR="00A864BA" w:rsidRPr="00F54DA5">
        <w:fldChar w:fldCharType="end"/>
      </w:r>
      <w:r w:rsidR="00A864BA" w:rsidRPr="00F54DA5">
        <w:t xml:space="preserve">. This novel </w:t>
      </w:r>
      <w:r w:rsidR="00C729E7" w:rsidRPr="00F54DA5">
        <w:t>platform</w:t>
      </w:r>
      <w:r w:rsidR="00B05DEF">
        <w:t>,</w:t>
      </w:r>
      <w:r w:rsidR="00A864BA" w:rsidRPr="00F54DA5">
        <w:t xml:space="preserve"> free-form printing</w:t>
      </w:r>
      <w:r w:rsidR="00B05DEF">
        <w:t>, enables the generation of</w:t>
      </w:r>
      <w:r w:rsidR="00C729E7" w:rsidRPr="00F54DA5">
        <w:t xml:space="preserve"> free-floating fibres</w:t>
      </w:r>
      <w:r w:rsidR="00A864BA" w:rsidRPr="00F54DA5">
        <w:t xml:space="preserve"> </w:t>
      </w:r>
      <w:r w:rsidR="00C729E7" w:rsidRPr="00F54DA5">
        <w:t>in a support gel bath</w:t>
      </w:r>
      <w:r w:rsidR="00B05DEF">
        <w:t xml:space="preserve"> with the capacity for additional</w:t>
      </w:r>
      <w:r w:rsidR="00C729E7" w:rsidRPr="00F54DA5">
        <w:t xml:space="preserve"> processing and removal by crosslinking </w:t>
      </w:r>
      <w:r w:rsidR="00C729E7" w:rsidRPr="00F54DA5">
        <w:fldChar w:fldCharType="begin" w:fldLock="1"/>
      </w:r>
      <w:r w:rsidR="00793844">
        <w:instrText>ADDIN CSL_CITATION {"citationItems":[{"id":"ITEM-1","itemData":{"DOI":"10.1002/adma.201605594","ISSN":"09359648","PMID":"28145596","abstract":"A method for the production of complex cell-laden structures is reported, which allows high-levels of spatial control over mechanical and chemical properties. The potential of this method for producing complicated tissues is demonstrated by manufacturing a complex hard/soft tissue interface and demonstrating that cell phenotype can be maintained over four weeks of culture.","author":[{"dropping-particle":"","family":"Moxon","given":"Samuel R.","non-dropping-particle":"","parse-names":false,"suffix":""},{"dropping-particle":"","family":"Cooke","given":"Megan E.","non-dropping-particle":"","parse-names":false,"suffix":""},{"dropping-particle":"","family":"Cox","given":"Sophie C.","non-dropping-particle":"","parse-names":false,"suffix":""},{"dropping-particle":"","family":"Snow","given":"Martyn","non-dropping-particle":"","parse-names":false,"suffix":""},{"dropping-particle":"","family":"Jeys","given":"Lee","non-dropping-particle":"","parse-names":false,"suffix":""},{"dropping-particle":"","family":"Jones","given":"Simon W.","non-dropping-particle":"","parse-names":false,"suffix":""},{"dropping-particle":"","family":"Smith","given":"Alan M.","non-dropping-particle":"","parse-names":false,"suffix":""},{"dropping-particle":"","family":"Grover","given":"Liam M.","non-dropping-particle":"","parse-names":false,"suffix":""}],"container-title":"Advanced Materials","id":"ITEM-1","issue":"13","issued":{"date-parts":[["2017","4"]]},"page":"1605594","title":"Suspended Manufacture of Biological Structures","type":"article-journal","volume":"29"},"uris":["http://www.mendeley.com/documents/?uuid=d9d05438-ccd0-4dd2-9619-2c55242e8192"]},{"id":"ITEM-2","itemData":{"DOI":"10.1021/acsami.7b02398","ISSN":"1944-8244","abstract":"Additive manufacturing (AM) enables the freeform fabrication of complex structures from various build materials. The objective of this study is to develop a novel Laponite nanoclay-enabled “printing-then-solidification” additive manufacturing approach to extrude complex three-dimensional (3D) structures made of various liquid build materials. Laponite, a member of the smectite mineral family, is investigated to serve as a yield-stress support bath material for the extrusion printing of liquid build materials. Using the printing-then-solidification approach, the printed structure remains liquid and retains its shape with the help of the Laponite support bath. Then the completed liquid structures are solidified in situ by applying suitable cross-linking mechanisms. Finally, the solidified structures are harvested from the Laponite nanoclay support bath for any further processing as needed. Due to its chemical and physical stability, liquid build materials with different solidification/curing/gelation mechan...","author":[{"dropping-particle":"","family":"Jin","given":"Yifei","non-dropping-particle":"","parse-names":false,"suffix":""},{"dropping-particle":"","family":"Compaan","given":"Ashley","non-dropping-particle":"","parse-names":false,"suffix":""},{"dropping-particle":"","family":"Chai","given":"Wenxuan","non-dropping-particle":"","parse-names":false,"suffix":""},{"dropping-particle":"","family":"Huang","given":"Yong","non-dropping-particle":"","parse-names":false,"suffix":""}],"container-title":"ACS Applied Materials &amp; Interfaces","id":"ITEM-2","issue":"23","issued":{"date-parts":[["2017","6","14"]]},"page":"20057-20066","title":"Functional Nanoclay Suspension for Printing-Then-Solidification of Liquid Materials","type":"article-journal","volume":"9"},"uris":["http://www.mendeley.com/documents/?uuid=e30694a3-1598-4b4c-8c65-eb83d9a37b4e"]}],"mendeley":{"formattedCitation":"[6,7]","plainTextFormattedCitation":"[6,7]","previouslyFormattedCitation":"[6,7]"},"properties":{"noteIndex":0},"schema":"https://github.com/citation-style-language/schema/raw/master/csl-citation.json"}</w:instrText>
      </w:r>
      <w:r w:rsidR="00C729E7" w:rsidRPr="00F54DA5">
        <w:fldChar w:fldCharType="separate"/>
      </w:r>
      <w:r w:rsidR="00793844" w:rsidRPr="00793844">
        <w:rPr>
          <w:noProof/>
        </w:rPr>
        <w:t>[6,7]</w:t>
      </w:r>
      <w:r w:rsidR="00C729E7" w:rsidRPr="00F54DA5">
        <w:fldChar w:fldCharType="end"/>
      </w:r>
      <w:r w:rsidR="00C729E7" w:rsidRPr="00F54DA5">
        <w:t xml:space="preserve"> or reverse embedding</w:t>
      </w:r>
      <w:r w:rsidR="00063C8F" w:rsidRPr="00F54DA5">
        <w:t xml:space="preserve"> </w:t>
      </w:r>
      <w:r w:rsidR="00063C8F" w:rsidRPr="00F54DA5">
        <w:fldChar w:fldCharType="begin" w:fldLock="1"/>
      </w:r>
      <w:r w:rsidR="00793844">
        <w:instrText>ADDIN CSL_CITATION {"citationItems":[{"id":"ITEM-1","itemData":{"DOI":"10.1002/adma.201501234","ISSN":"09359648","PMID":"26177925","abstract":"Supramolecular hydrogels are used in the 3D printing of high resolution, multi-material structures. The non-covalent bonds allow the extrusion of the inks into support gels to directly write structures continuously in 3D space. This material system supports the patterning of multiple inks, cells, and void spaces.","author":[{"dropping-particle":"","family":"Highley","given":"Christopher B.","non-dropping-particle":"","parse-names":false,"suffix":""},{"dropping-particle":"","family":"Rodell","given":"Christopher B.","non-dropping-particle":"","parse-names":false,"suffix":""},{"dropping-particle":"","family":"Burdick","given":"Jason a.","non-dropping-particle":"","parse-names":false,"suffix":""}],"container-title":"Advanced Materials","id":"ITEM-1","issue":"34","issued":{"date-parts":[["2015","9"]]},"note":"Labeling a population of mesenchymal\nstem cells (MSCs) with a green CellTracker dye and\na population of 3T3 fi broblasts (3T3s) with a red CellTracker\ndye allowed us to visualize distinct populations of cells after\nprinting an MSC-containing ink into a 3T3-containing support","page":"5075-5079","title":"Direct 3D Printing of Shear-Thinning Hydrogels into Self-Healing Hydrogels","type":"article-journal","volume":"27"},"uris":["http://www.mendeley.com/documents/?uuid=b59242b9-bc21-4756-8c5c-a32a2f9b15d8"]},{"id":"ITEM-2","itemData":{"DOI":"10.1126/sciadv.1500758","ISSN":"2375-2548","PMID":"26601312","abstract":"We demonstrate the additive manufacturing of complex three-dimensional (3D) biological structures using soft protein and polysaccharide hydrogels that are challenging or impossible to create using traditional fabrication approaches. These structures are built by embedding the printed hydrogel within a secondary hydrogel that serves as a temporary, thermoreversible, and biocompatible support. This process, termed freeform reversible embedding of suspended hydrogels, enables 3D printing of hydrated materials with an elastic modulus &lt;500 kPa including alginate, collagen, and fibrin. Computer-aided design models of 3D optical, computed tomography, and magnetic resonance imaging data were 3D printed at a resolution of ~200 μm and at low cost by leveraging open-source hardware and software tools. Proof-of-concept structures based on femurs, branched coronary arteries, trabeculated embryonic hearts, and human brains were mechanically robust and recreated complex 3D internal and external anatomical architectures.","author":[{"dropping-particle":"","family":"Hinton","given":"Thomas J","non-dropping-particle":"","parse-names":false,"suffix":""},{"dropping-particle":"","family":"Jallerat","given":"Quentin","non-dropping-particle":"","parse-names":false,"suffix":""},{"dropping-particle":"","family":"Palchesko","given":"Rachelle N","non-dropping-particle":"","parse-names":false,"suffix":""},{"dropping-particle":"","family":"Park","given":"Joon Hyung","non-dropping-particle":"","parse-names":false,"suffix":""},{"dropping-particle":"","family":"Grodzicki","given":"Martin S","non-dropping-particle":"","parse-names":false,"suffix":""},{"dropping-particle":"","family":"Shue","given":"Hao-jan","non-dropping-particle":"","parse-names":false,"suffix":""},{"dropping-particle":"","family":"Ramadan","given":"Mohamed H","non-dropping-particle":"","parse-names":false,"suffix":""},{"dropping-particle":"","family":"Hudson","given":"Andrew R","non-dropping-particle":"","parse-names":false,"suffix":""},{"dropping-particle":"","family":"Feinberg","given":"Adam W","non-dropping-particle":"","parse-names":false,"suffix":""}],"container-title":"Science Advances","id":"ITEM-2","issue":"October","issued":{"date-parts":[["2015"]]},"note":"Hinton et al. created an open-source 3D bioprinter modifying a Makerbot with a biological extruder and innovating printing procedure withing a gelatin bath that can be cast away at 37C. \nOther research teams have demonstrated the direct bioprinting of fibrin (15, 16), gelatin (17), andmixtures of proteins derived from decellularized tissues (18) or cast extracellular matrix (ECM) gels around dissolvable templates (19). These results have ex- panded the range of materials that can be used and demonstrated the ability to incorporate and print live cells. There are also commercially available bioprinters from Organovo (20–22)and EnvisionTEC(7, 23) that have expanded the accessibility of bioprinters beyond the groups that custom build their own systems.\n\nFRESH - freeform reversible embedding of suspended hydrogels\n\nUsing open-source tools, serving as a highly adaptable and cost-effective biological AM platform. The key innovation in FRESH is deposition and embedding of the hydrogel(s) being printedwithin a second hydro- gel support bath that maintains the intended structure during the print process and significantly improvesprint fidelity (Fig.1,AandB,and movie S1). The support bath is composed of gelatinmicroparticles that act like a Bingham plastic during the print process, behaving as a rigid body at low shear stresses but flowing as a viscous fluid at higher shear stresses. This means that, as a needle-like nozzle moves through the bath, there is little mechanical resistance, yet the hydrogel being ex- truded out of the nozzle and deposited within the bath is held in place.\nThis is alldone ina sterile, aqueous, buffered environment compatible with cells, which means cells can be extruded out of the printer nozzle with the hydrogel and maintain via- bility.Once the entire3Dstructure is FRESHprinted, the temperature is raised to a cell-friendly 37°C, causing the gelatin support bath to melt in a nondestructivemanner.\n\nFRESH is implemented on aMakerBot Replicator modified with a\ncustom syringe-based extruder designed for precision hydrogel depo- sition. All plastic parts to convert the MakerBot into a bioprinter are printed in polylactic acid (PLA) using the stock thermoplastic extruder,\nwhich is then replaced with the customsyringe-based extruder [the STL (stereolithography) file can be downloaded from http://3dprint.nih.gov/]. Our syringe-based extruder uses the steppermotor, taken from the orig- inal extruder, tomove the plunger of a 3-ml syringe via a direct gear drive.\n\nTypically, we use a 150-mm-diameter stainless steel needle on the end of the syringe, but a range of needle di- ameters can be selected to control the volume ofmaterial being extruded.\n\nMaintaining the gelatinslurry at roomtempera- ture (~22°C) preserves these rheological properties. Thus, it is unlikely that any small amount of residual gelatin will nega- tively affect cell integration andmayactuallyenhance adhesion through integrin binding.\n\nFRESHworks by extruding the liquid phasematerial fromthe syringe into the support bath, where thematerialmust rapidly gel into a fila- ment without diffusing away. This gelation process occurs via rapid cross-linking of the polymer molecules into a network, and the cross- linking mechanism depends on the hydrogel being 3D printed. We have validated this process using fluorescently labeled alginate cross- linked by divalent cations (0.16% CaCl2) added to the support bath. A representative alginate filament embedded in the support bath illus- trates that the gelatin microparticles aremoved out of the way but still influencethe surfacemorphologyofthe filament.","page":"1-10","title":"Three-dimensional printing of complex biological structures by freeform reversible embedding of suspended hydrogels","type":"article-journal","volume":"1"},"uris":["http://www.mendeley.com/documents/?uuid=d3689282-f191-4596-80ed-d9ffc2709392"]}],"mendeley":{"formattedCitation":"[8,9]","plainTextFormattedCitation":"[8,9]","previouslyFormattedCitation":"[8,9]"},"properties":{"noteIndex":0},"schema":"https://github.com/citation-style-language/schema/raw/master/csl-citation.json"}</w:instrText>
      </w:r>
      <w:r w:rsidR="00063C8F" w:rsidRPr="00F54DA5">
        <w:fldChar w:fldCharType="separate"/>
      </w:r>
      <w:r w:rsidR="00793844" w:rsidRPr="00793844">
        <w:rPr>
          <w:noProof/>
        </w:rPr>
        <w:t>[8,9]</w:t>
      </w:r>
      <w:r w:rsidR="00063C8F" w:rsidRPr="00F54DA5">
        <w:fldChar w:fldCharType="end"/>
      </w:r>
      <w:r w:rsidR="00063C8F" w:rsidRPr="00F54DA5">
        <w:t xml:space="preserve">. </w:t>
      </w:r>
      <w:r w:rsidR="00A864BA" w:rsidRPr="00F54DA5">
        <w:rPr>
          <w:rFonts w:cs="Arial"/>
        </w:rPr>
        <w:t xml:space="preserve">Hinton </w:t>
      </w:r>
      <w:r w:rsidR="00A864BA" w:rsidRPr="00F54DA5">
        <w:rPr>
          <w:rFonts w:cs="Arial"/>
          <w:i/>
        </w:rPr>
        <w:t xml:space="preserve">et al. </w:t>
      </w:r>
      <w:r w:rsidR="00A864BA" w:rsidRPr="00F54DA5">
        <w:rPr>
          <w:rFonts w:cs="Arial"/>
          <w:i/>
        </w:rPr>
        <w:fldChar w:fldCharType="begin" w:fldLock="1"/>
      </w:r>
      <w:r w:rsidR="00793844">
        <w:rPr>
          <w:rFonts w:cs="Arial"/>
          <w:i/>
        </w:rPr>
        <w:instrText>ADDIN CSL_CITATION {"citationItems":[{"id":"ITEM-1","itemData":{"DOI":"10.1021/acsbiomaterials.6b00170","ISBN":"2373-9878 (Linking)","ISSN":"23739878","PMID":"27747289","abstract":"Polydimethylsiloxane (PDMS) elastomer is used in a wide range of biomaterial applications including microfluidics, cell culture substrates, flexible electronics, and medical devices. However, it has proved challenging to 3D print PDMS in complex structures due to its low elastic modulus and need for support during the printing process. Here we demonstrate the 3D printing of hydrophobic PDMS prepolymer resins within a hydrophilic Carbopol gel support via freeform reversible embedding (FRE). In the FRE printing process, the Carbopol support acts as a Bingham plastic that yields and fluidizes when the syringe tip of the 3D printer moves through it, but acts as a solid for the PDMS extruded within it. This, in combination with the immiscibility of hydrophobic PDMS in the hydrophilic Carbopol, confines the PDMS prepolymer within the support for curing times up to 72 h while maintaining dimensional stability. After printing and curing, the Carbopol support gel releases the embedded PDMS prints by using phosphate buffered saline solution to reduce the Carbopol yield stress. As proof-of-concept, we used Sylgard 184 PDMS to 3D print linear and helical filaments via continuous extrusion and cylindrical and helical tubes via layer-by-layer fabrication. Importantly, we show that the 3D printed tubes were manifold and perfusable. The results demonstrate that hydrophobic polymers with low viscosity and long cure times can be 3D printed using a hydrophilic support, expanding the range of biomaterials that can be used in additive manufacturing. Further, by implementing the technology using low cost open-source hardware and software tools, the FRE printing technique can be rapidly implemented for research applications.","author":[{"dropping-particle":"","family":"Hinton","given":"Thomas J.","non-dropping-particle":"","parse-names":false,"suffix":""},{"dropping-particle":"","family":"Hudson","given":"Andrew","non-dropping-particle":"","parse-names":false,"suffix":""},{"dropping-particle":"","family":"Pusch","given":"Kira","non-dropping-particle":"","parse-names":false,"suffix":""},{"dropping-particle":"","family":"Lee","given":"Andrew","non-dropping-particle":"","parse-names":false,"suffix":""},{"dropping-particle":"","family":"Feinberg","given":"Adam W.","non-dropping-particle":"","parse-names":false,"suffix":""}],"container-title":"ACS Biomaterials Science and Engineering","id":"ITEM-1","issue":"10","issued":{"date-parts":[["2016"]]},"note":"Hinton et al. wrote about 3D printing PDMS into hydrophilic support bath of carbopol (poly(acrylic acid) material). They called this technique freeform reversible embedding (FRE). The carbopol around could keep PDMS shape till 72h and could be dissolved in PBS.","page":"1781-1786","title":"3D Printing PDMS Elastomer in a Hydrophilic Support Bath via Freeform Reversible Embedding","type":"article-journal","volume":"2"},"uris":["http://www.mendeley.com/documents/?uuid=a763bd13-e00d-4994-a3c8-df1210f75cbd"]}],"mendeley":{"formattedCitation":"[10]","plainTextFormattedCitation":"[10]","previouslyFormattedCitation":"[10]"},"properties":{"noteIndex":0},"schema":"https://github.com/citation-style-language/schema/raw/master/csl-citation.json"}</w:instrText>
      </w:r>
      <w:r w:rsidR="00A864BA" w:rsidRPr="00F54DA5">
        <w:rPr>
          <w:rFonts w:cs="Arial"/>
          <w:i/>
        </w:rPr>
        <w:fldChar w:fldCharType="separate"/>
      </w:r>
      <w:r w:rsidR="00793844" w:rsidRPr="00793844">
        <w:rPr>
          <w:rFonts w:cs="Arial"/>
          <w:noProof/>
        </w:rPr>
        <w:t>[10]</w:t>
      </w:r>
      <w:r w:rsidR="00A864BA" w:rsidRPr="00F54DA5">
        <w:rPr>
          <w:rFonts w:cs="Arial"/>
          <w:i/>
        </w:rPr>
        <w:fldChar w:fldCharType="end"/>
      </w:r>
      <w:r w:rsidR="00A864BA" w:rsidRPr="00F54DA5">
        <w:rPr>
          <w:rFonts w:cs="Arial"/>
        </w:rPr>
        <w:t>, demonstrated that the extrusion of the hydrophobic polydimethylsiloxane (PDMS) in a hydrophilic carbopol (poly (acrylic acid)) bed resulted in high shape fidelity construct</w:t>
      </w:r>
      <w:r w:rsidR="00B05DEF">
        <w:rPr>
          <w:rFonts w:cs="Arial"/>
        </w:rPr>
        <w:t>s</w:t>
      </w:r>
      <w:r w:rsidR="00A864BA" w:rsidRPr="00F54DA5">
        <w:rPr>
          <w:rFonts w:cs="Arial"/>
        </w:rPr>
        <w:t>, with the possibility to fabricate hollow and complex vasculature structures. However, the lack of further study of PDMS biocompatibility and carbopol bed functionality</w:t>
      </w:r>
      <w:r w:rsidR="00B05DEF">
        <w:rPr>
          <w:rFonts w:cs="Arial"/>
        </w:rPr>
        <w:t>,</w:t>
      </w:r>
      <w:r w:rsidR="00A864BA" w:rsidRPr="00F54DA5">
        <w:rPr>
          <w:rFonts w:cs="Arial"/>
        </w:rPr>
        <w:t xml:space="preserve"> </w:t>
      </w:r>
      <w:r w:rsidR="00B05DEF">
        <w:rPr>
          <w:rFonts w:cs="Arial"/>
        </w:rPr>
        <w:t xml:space="preserve">has </w:t>
      </w:r>
      <w:r w:rsidR="00A864BA" w:rsidRPr="00F54DA5">
        <w:rPr>
          <w:rFonts w:cs="Arial"/>
        </w:rPr>
        <w:t xml:space="preserve">limited free-form printing application using this approach. </w:t>
      </w:r>
      <w:r w:rsidR="004E5B68">
        <w:rPr>
          <w:rFonts w:cs="Arial"/>
        </w:rPr>
        <w:t>Similarly</w:t>
      </w:r>
      <w:r w:rsidR="007B5294" w:rsidRPr="00F54DA5">
        <w:rPr>
          <w:rFonts w:cs="Arial"/>
        </w:rPr>
        <w:t xml:space="preserve">, Jin </w:t>
      </w:r>
      <w:r w:rsidR="007B5294" w:rsidRPr="00F54DA5">
        <w:rPr>
          <w:rFonts w:cs="Arial"/>
          <w:i/>
        </w:rPr>
        <w:t xml:space="preserve">et al. </w:t>
      </w:r>
      <w:r w:rsidR="007B5294" w:rsidRPr="00F54DA5">
        <w:rPr>
          <w:rFonts w:cs="Arial"/>
          <w:i/>
        </w:rPr>
        <w:fldChar w:fldCharType="begin" w:fldLock="1"/>
      </w:r>
      <w:r w:rsidR="00793844">
        <w:rPr>
          <w:rFonts w:cs="Arial"/>
          <w:i/>
        </w:rPr>
        <w:instrText>ADDIN CSL_CITATION {"citationItems":[{"id":"ITEM-1","itemData":{"DOI":"10.1021/acsami.7b02398","ISSN":"1944-8244","abstract":"Additive manufacturing (AM) enables the freeform fabrication of complex structures from various build materials. The objective of this study is to develop a novel Laponite nanoclay-enabled “printing-then-solidification” additive manufacturing approach to extrude complex three-dimensional (3D) structures made of various liquid build materials. Laponite, a member of the smectite mineral family, is investigated to serve as a yield-stress support bath material for the extrusion printing of liquid build materials. Using the printing-then-solidification approach, the printed structure remains liquid and retains its shape with the help of the Laponite support bath. Then the completed liquid structures are solidified in situ by applying suitable cross-linking mechanisms. Finally, the solidified structures are harvested from the Laponite nanoclay support bath for any further processing as needed. Due to its chemical and physical stability, liquid build materials with different solidification/curing/gelation mechan...","author":[{"dropping-particle":"","family":"Jin","given":"Yifei","non-dropping-particle":"","parse-names":false,"suffix":""},{"dropping-particle":"","family":"Compaan","given":"Ashley","non-dropping-particle":"","parse-names":false,"suffix":""},{"dropping-particle":"","family":"Chai","given":"Wenxuan","non-dropping-particle":"","parse-names":false,"suffix":""},{"dropping-particle":"","family":"Huang","given":"Yong","non-dropping-particle":"","parse-names":false,"suffix":""}],"container-title":"ACS Applied Materials &amp; Interfaces","id":"ITEM-1","issue":"23","issued":{"date-parts":[["2017","6","14"]]},"page":"20057-20066","title":"Functional Nanoclay Suspension for Printing-Then-Solidification of Liquid Materials","type":"article-journal","volume":"9"},"uris":["http://www.mendeley.com/documents/?uuid=e30694a3-1598-4b4c-8c65-eb83d9a37b4e"]}],"mendeley":{"formattedCitation":"[7]","plainTextFormattedCitation":"[7]","previouslyFormattedCitation":"[7]"},"properties":{"noteIndex":0},"schema":"https://github.com/citation-style-language/schema/raw/master/csl-citation.json"}</w:instrText>
      </w:r>
      <w:r w:rsidR="007B5294" w:rsidRPr="00F54DA5">
        <w:rPr>
          <w:rFonts w:cs="Arial"/>
          <w:i/>
        </w:rPr>
        <w:fldChar w:fldCharType="separate"/>
      </w:r>
      <w:r w:rsidR="00793844" w:rsidRPr="00793844">
        <w:rPr>
          <w:rFonts w:cs="Arial"/>
          <w:noProof/>
        </w:rPr>
        <w:t>[7]</w:t>
      </w:r>
      <w:r w:rsidR="007B5294" w:rsidRPr="00F54DA5">
        <w:rPr>
          <w:rFonts w:cs="Arial"/>
          <w:i/>
        </w:rPr>
        <w:fldChar w:fldCharType="end"/>
      </w:r>
      <w:r w:rsidR="007B5294" w:rsidRPr="00F54DA5">
        <w:rPr>
          <w:rFonts w:cs="Arial"/>
        </w:rPr>
        <w:t xml:space="preserve"> engineered a printing process depositing a series of hydrogels (e.g. alginate, gelatin and SU-8) in a </w:t>
      </w:r>
      <w:r w:rsidR="009E5C4F">
        <w:rPr>
          <w:rFonts w:cs="Arial"/>
        </w:rPr>
        <w:t>nanoclay</w:t>
      </w:r>
      <w:r w:rsidR="007B5294" w:rsidRPr="00F54DA5">
        <w:rPr>
          <w:rFonts w:cs="Arial"/>
        </w:rPr>
        <w:t xml:space="preserve"> supporting bath. </w:t>
      </w:r>
      <w:r w:rsidR="00D87303">
        <w:rPr>
          <w:rFonts w:cs="Arial"/>
        </w:rPr>
        <w:t>Laponite</w:t>
      </w:r>
      <w:r w:rsidR="00B05DEF" w:rsidRPr="00B05DEF">
        <w:rPr>
          <w:rFonts w:cs="Arial"/>
        </w:rPr>
        <w:t>® (LAP)</w:t>
      </w:r>
      <w:r w:rsidR="00940D86">
        <w:rPr>
          <w:rFonts w:cs="Arial"/>
        </w:rPr>
        <w:t xml:space="preserve"> is</w:t>
      </w:r>
      <w:r w:rsidR="00B05DEF" w:rsidRPr="00B05DEF">
        <w:rPr>
          <w:rFonts w:cs="Arial"/>
        </w:rPr>
        <w:t xml:space="preserve"> </w:t>
      </w:r>
      <w:r w:rsidR="007B5294" w:rsidRPr="00F54DA5">
        <w:rPr>
          <w:rFonts w:cs="Arial"/>
        </w:rPr>
        <w:t>a smectite clay of 1</w:t>
      </w:r>
      <w:r w:rsidR="003B002D" w:rsidRPr="00F54DA5">
        <w:rPr>
          <w:rFonts w:cs="Arial"/>
        </w:rPr>
        <w:t xml:space="preserve"> </w:t>
      </w:r>
      <w:r w:rsidR="007B5294" w:rsidRPr="00F54DA5">
        <w:rPr>
          <w:rFonts w:cs="Arial"/>
        </w:rPr>
        <w:t xml:space="preserve">nm in thickness and 25-30 nm in diameter </w:t>
      </w:r>
      <w:r w:rsidR="00B05DEF">
        <w:rPr>
          <w:rFonts w:cs="Arial"/>
        </w:rPr>
        <w:t xml:space="preserve">holds </w:t>
      </w:r>
      <w:r w:rsidR="007B5294" w:rsidRPr="00F54DA5">
        <w:rPr>
          <w:rFonts w:cs="Arial"/>
        </w:rPr>
        <w:t xml:space="preserve">a large surface area with </w:t>
      </w:r>
      <w:r w:rsidR="00B05DEF">
        <w:rPr>
          <w:rFonts w:cs="Arial"/>
        </w:rPr>
        <w:t xml:space="preserve">a </w:t>
      </w:r>
      <w:r w:rsidR="007B5294" w:rsidRPr="00F54DA5">
        <w:rPr>
          <w:rFonts w:cs="Arial"/>
        </w:rPr>
        <w:t xml:space="preserve">negative charge face and weak positive rim </w:t>
      </w:r>
      <w:r w:rsidR="007B5294" w:rsidRPr="00F54DA5">
        <w:rPr>
          <w:rFonts w:cs="Arial"/>
        </w:rPr>
        <w:lastRenderedPageBreak/>
        <w:t xml:space="preserve">charge </w:t>
      </w:r>
      <w:r w:rsidR="007B5294" w:rsidRPr="00F54DA5">
        <w:rPr>
          <w:rFonts w:cs="Arial"/>
          <w:color w:val="000000" w:themeColor="text1"/>
        </w:rPr>
        <w:fldChar w:fldCharType="begin" w:fldLock="1"/>
      </w:r>
      <w:r w:rsidR="00126CD4">
        <w:rPr>
          <w:rFonts w:cs="Arial"/>
          <w:color w:val="000000" w:themeColor="text1"/>
        </w:rPr>
        <w:instrText>ADDIN CSL_CITATION {"citationItems":[{"id":"ITEM-1","itemData":{"DOI":"10.1002/adma.201100968","ISBN":"0935-9648","ISSN":"09359648","PMID":"21793049","abstract":"The sorptive properties of clay are harnessed to provide niches for tissue regeneration. Synthetic smectite clays self-organize into gels under physiological conditions to allow encapsulation of cells and demonstrate remarkable capacity for the localization of biological molecules without the need for complex chemical modifications.","author":[{"dropping-particle":"","family":"Dawson","given":"Jonathan I.","non-dropping-particle":"","parse-names":false,"suffix":""},{"dropping-particle":"","family":"Kanczler","given":"Janos M.","non-dropping-particle":"","parse-names":false,"suffix":""},{"dropping-particle":"","family":"Yang","given":"Xuebin B.","non-dropping-particle":"","parse-names":false,"suffix":""},{"dropping-particle":"","family":"Attard","given":"George S.","non-dropping-particle":"","parse-names":false,"suffix":""},{"dropping-particle":"","family":"Oreffo","given":"Richard O.C.","non-dropping-particle":"","parse-names":false,"suffix":""}],"container-title":"Advanced Materials","id":"ITEM-1","issue":"29","issued":{"date-parts":[["2011","8","2"]]},"page":"3304-3308","title":"Clay Gels For the Delivery of Regenerative Microenvironments","type":"article-journal","volume":"23"},"uris":["http://www.mendeley.com/documents/?uuid=03dbcf61-d450-4032-b1b0-80d131c101db"]},{"id":"ITEM-2","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-2","issue":"3","issued":{"date-parts":[["2017","7","25"]]},"page":"034103","publisher":"IOP Publishing","title":"Development of a clay based bioink for 3D cell printing for skeletal application","type":"article-journal","volume":"9"},"uris":["http://www.mendeley.com/documents/?uuid=66cf7e3f-a561-43b9-8726-1231e9e363b7"]},{"id":"ITEM-3","itemData":{"DOI":"10.1088/1758-5090/ab19fd","ISSN":"1758-5090","abstract":"Bioprinting of living cells is rapidly developing as an advanced biofabrication approach to engineer tissues. Bioinks can be extruded in three-dimensions (3D) to fabricate complex and hierarchical constructs for implantation. However, lack of functionality can often be attributed to poor bioink properties. Indeed, advanced bioinks encapsulating living cells should: (i) present optimal rheological properties and retain 3D structure post-fabrication, (ii) promote cell viability and support cell differentiation, (iii) localise proteins of interest (e.g. vascular endothelial growth factor (VEGF)) to stimulate encapsulated cell activity and tissue ingrowth upon implantation. In this study, we present the results of the inclusion of a synthetic nanoclay, Laponite (LPN) together with a gelatin methacryloyl (GelMA) bioink and the development of a functional cell-instructive bioink. A nanocomposite bioink displaying enhanced shape fidelity retention and interconnected porosity within extrusion-bioprinted fibres was observed. Human bone marrow stromal cell (HBMSC) viability within the nanocomposite showed no significant changes over 21 days of culture in LPN-GelMA (85.60 ± 10.27 %), compared to a significant decrease in GelMA from 7 (95.88 ± 2.90 %) to 21 days (55.54 ± 14.72 %) (p&lt;0.01). HBMSCs were observed to proliferate in LPN-GelMA with a significant increase in cell number over 21 days (p&lt;0.0001) compared to GelMA alone. HBMSCs-laden LPN-GelMA scaffolds supported osteogenic differentiation evidenced by mineralized nodule formation, including in the absence of the osteogenic drug dexamethasone. Ex vivo implantation in a chick chorioallantoic membrane (CAM) model, demonstrated excellent integration of the bioink constructs in the vascular chick embryo after 7 days of incubation. VEGF-loaded LPN-GelMA constructs demonstrated significantly higher vessel penetration than GelMA-VEGF (p&lt;0.0001) scaffolds. Integration and vascularisation was directly related to increased drug absorption and retention by LPN-GelMA compared to LPN-free GelMA. In summary, a novel light-curable nanocomposite bioink for 3D skeletal regeneration supportive of cell growth and growth factor retention and delivery, evidenced by ex vivo vasculogenesis, was developed with potential application in hard and soft tissue reparation.","author":[{"dropping-particle":"","family":"Cidonio","given":"Gianluca","non-dropping-particle":"","parse-names":false,"suffix":""},{"dropping-particle":"","family":"Alcala-Orozco","given":"Cesar R","non-dropping-particle":"","parse-names":false,"suffix":""},{"dropping-particle":"","family":"Lim","given":"Khoon S","non-dropping-particle":"","parse-names":false,"suffix":""},{"dropping-particle":"","family":"Glinka","given":"Michael","non-dropping-particle":"","parse-names":false,"suffix":""},{"dropping-particle":"","family":"Mutreja","given":"Isha","non-dropping-particle":"","parse-names":false,"suffix":""},{"dropping-particle":"","family":"Kim","given":"Yang-Hee","non-dropping-particle":"","parse-names":false,"suffix":""},{"dropping-particle":"","family":"Dawson","given":"Jonathan I","non-dropping-particle":"","parse-names":false,"suffix":""},{"dropping-particle":"","family":"Woodfield","given":"Tim B F","non-dropping-particle":"","parse-names":false,"suffix":""},{"dropping-particle":"","family":"Oreffo","given":"Richard O C","non-dropping-particle":"","parse-names":false,"suffix":""}],"container-title":"Biofabrication","id":"ITEM-3","issue":"3","issued":{"date-parts":[["2019","6","12"]]},"page":"035027","title":"Osteogenic and angiogenic tissue formation in high fidelity nanocomposite Laponite-gelatin bioinks","type":"article-journal","volume":"11"},"uris":["http://www.mendeley.com/documents/?uuid=ccb07f5d-cbbb-4c58-916e-348072ad21d8"]}],"mendeley":{"formattedCitation":"[11–13]","plainTextFormattedCitation":"[11–13]","previouslyFormattedCitation":"[11–13]"},"properties":{"noteIndex":0},"schema":"https://github.com/citation-style-language/schema/raw/master/csl-citation.json"}</w:instrText>
      </w:r>
      <w:r w:rsidR="007B5294" w:rsidRPr="00F54DA5">
        <w:rPr>
          <w:rFonts w:cs="Arial"/>
          <w:color w:val="000000" w:themeColor="text1"/>
        </w:rPr>
        <w:fldChar w:fldCharType="separate"/>
      </w:r>
      <w:r w:rsidR="00793844" w:rsidRPr="00793844">
        <w:rPr>
          <w:rFonts w:cs="Arial"/>
          <w:noProof/>
          <w:color w:val="000000" w:themeColor="text1"/>
        </w:rPr>
        <w:t>[11–13]</w:t>
      </w:r>
      <w:r w:rsidR="007B5294" w:rsidRPr="00F54DA5">
        <w:rPr>
          <w:rFonts w:cs="Arial"/>
          <w:color w:val="000000" w:themeColor="text1"/>
        </w:rPr>
        <w:fldChar w:fldCharType="end"/>
      </w:r>
      <w:r w:rsidR="003B002D" w:rsidRPr="00F54DA5">
        <w:rPr>
          <w:rFonts w:cs="Arial"/>
          <w:color w:val="000000" w:themeColor="text1"/>
        </w:rPr>
        <w:t xml:space="preserve">. In </w:t>
      </w:r>
      <w:r w:rsidR="00B05DEF">
        <w:rPr>
          <w:rFonts w:cs="Arial"/>
          <w:color w:val="000000" w:themeColor="text1"/>
        </w:rPr>
        <w:t xml:space="preserve">an </w:t>
      </w:r>
      <w:r w:rsidR="003B002D" w:rsidRPr="00F54DA5">
        <w:rPr>
          <w:rFonts w:cs="Arial"/>
          <w:color w:val="000000" w:themeColor="text1"/>
        </w:rPr>
        <w:t xml:space="preserve">aqueous environment, </w:t>
      </w:r>
      <w:r w:rsidR="00DF14F0" w:rsidRPr="00F54DA5">
        <w:rPr>
          <w:rFonts w:cs="Arial"/>
          <w:color w:val="000000" w:themeColor="text1"/>
        </w:rPr>
        <w:t>LAP</w:t>
      </w:r>
      <w:r w:rsidR="003B002D" w:rsidRPr="00F54DA5">
        <w:rPr>
          <w:rFonts w:cs="Arial"/>
          <w:color w:val="000000" w:themeColor="text1"/>
        </w:rPr>
        <w:t xml:space="preserve"> nanodiscs self-assemble in a “house-of-cards” structure, resulting in an interconnected network. The</w:t>
      </w:r>
      <w:r w:rsidR="001710BE" w:rsidRPr="00F54DA5">
        <w:rPr>
          <w:rFonts w:cs="Arial"/>
          <w:color w:val="000000" w:themeColor="text1"/>
        </w:rPr>
        <w:t xml:space="preserve"> </w:t>
      </w:r>
      <w:r w:rsidR="003B002D" w:rsidRPr="00F54DA5">
        <w:rPr>
          <w:rFonts w:cs="Arial"/>
          <w:color w:val="000000" w:themeColor="text1"/>
        </w:rPr>
        <w:t xml:space="preserve">use of </w:t>
      </w:r>
      <w:r w:rsidR="00DF14F0" w:rsidRPr="00F54DA5">
        <w:rPr>
          <w:rFonts w:cs="Arial"/>
          <w:color w:val="000000" w:themeColor="text1"/>
        </w:rPr>
        <w:t xml:space="preserve">LAP </w:t>
      </w:r>
      <w:r w:rsidR="003B002D" w:rsidRPr="00F54DA5">
        <w:rPr>
          <w:rFonts w:cs="Arial"/>
          <w:color w:val="000000" w:themeColor="text1"/>
        </w:rPr>
        <w:t>as</w:t>
      </w:r>
      <w:r w:rsidR="004E5B68">
        <w:rPr>
          <w:rFonts w:cs="Arial"/>
          <w:color w:val="000000" w:themeColor="text1"/>
        </w:rPr>
        <w:t xml:space="preserve"> a</w:t>
      </w:r>
      <w:r w:rsidR="003B002D" w:rsidRPr="00F54DA5">
        <w:rPr>
          <w:rFonts w:cs="Arial"/>
          <w:color w:val="000000" w:themeColor="text1"/>
        </w:rPr>
        <w:t xml:space="preserve"> supporting bath allowed the fabrication of complex structures </w:t>
      </w:r>
      <w:r w:rsidR="00C61ABB">
        <w:rPr>
          <w:rFonts w:cs="Arial"/>
          <w:color w:val="000000" w:themeColor="text1"/>
        </w:rPr>
        <w:t xml:space="preserve">however, </w:t>
      </w:r>
      <w:r w:rsidR="00D85C6F">
        <w:rPr>
          <w:rFonts w:cs="Arial"/>
          <w:color w:val="000000" w:themeColor="text1"/>
        </w:rPr>
        <w:t xml:space="preserve">extrusion of material with pH lower than 7 </w:t>
      </w:r>
      <w:r w:rsidR="00C61ABB">
        <w:rPr>
          <w:rFonts w:cs="Arial"/>
          <w:color w:val="000000" w:themeColor="text1"/>
        </w:rPr>
        <w:t xml:space="preserve">was limited </w:t>
      </w:r>
      <w:r w:rsidR="00D85C6F">
        <w:rPr>
          <w:rFonts w:cs="Arial"/>
          <w:color w:val="000000" w:themeColor="text1"/>
        </w:rPr>
        <w:t xml:space="preserve">leading to nozzle clogging and the need </w:t>
      </w:r>
      <w:r w:rsidR="008266CB">
        <w:rPr>
          <w:rFonts w:cs="Arial"/>
          <w:color w:val="000000" w:themeColor="text1"/>
        </w:rPr>
        <w:t>for</w:t>
      </w:r>
      <w:r w:rsidR="00D85C6F">
        <w:rPr>
          <w:rFonts w:cs="Arial"/>
          <w:color w:val="000000" w:themeColor="text1"/>
        </w:rPr>
        <w:t xml:space="preserve"> special chemical treatment</w:t>
      </w:r>
      <w:r w:rsidR="00940D86">
        <w:rPr>
          <w:rFonts w:cs="Arial"/>
          <w:color w:val="000000" w:themeColor="text1"/>
        </w:rPr>
        <w:t xml:space="preserve"> </w:t>
      </w:r>
      <w:r w:rsidR="00940D86">
        <w:rPr>
          <w:rStyle w:val="FootnoteReference"/>
          <w:rFonts w:cs="Arial"/>
          <w:color w:val="000000" w:themeColor="text1"/>
        </w:rPr>
        <w:fldChar w:fldCharType="begin" w:fldLock="1"/>
      </w:r>
      <w:r w:rsidR="00940D86">
        <w:rPr>
          <w:rFonts w:cs="Arial"/>
          <w:color w:val="000000" w:themeColor="text1"/>
        </w:rPr>
        <w:instrText>ADDIN CSL_CITATION {"citationItems":[{"id":"ITEM-1","itemData":{"DOI":"10.1021/acsami.7b02398","ISSN":"1944-8244","abstract":"Additive manufacturing (AM) enables the freeform fabrication of complex structures from various build materials. The objective of this study is to develop a novel Laponite nanoclay-enabled “printing-then-solidification” additive manufacturing approach to extrude complex three-dimensional (3D) structures made of various liquid build materials. Laponite, a member of the smectite mineral family, is investigated to serve as a yield-stress support bath material for the extrusion printing of liquid build materials. Using the printing-then-solidification approach, the printed structure remains liquid and retains its shape with the help of the Laponite support bath. Then the completed liquid structures are solidified in situ by applying suitable cross-linking mechanisms. Finally, the solidified structures are harvested from the Laponite nanoclay support bath for any further processing as needed. Due to its chemical and physical stability, liquid build materials with different solidification/curing/gelation mechan...","author":[{"dropping-particle":"","family":"Jin","given":"Yifei","non-dropping-particle":"","parse-names":false,"suffix":""},{"dropping-particle":"","family":"Compaan","given":"Ashley","non-dropping-particle":"","parse-names":false,"suffix":""},{"dropping-particle":"","family":"Chai","given":"Wenxuan","non-dropping-particle":"","parse-names":false,"suffix":""},{"dropping-particle":"","family":"Huang","given":"Yong","non-dropping-particle":"","parse-names":false,"suffix":""}],"container-title":"ACS Applied Materials &amp; Interfaces","id":"ITEM-1","issue":"23","issued":{"date-parts":[["2017","6","14"]]},"page":"20057-20066","title":"Functional Nanoclay Suspension for Printing-Then-Solidification of Liquid Materials","type":"article-journal","volume":"9"},"uris":["http://www.mendeley.com/documents/?uuid=e30694a3-1598-4b4c-8c65-eb83d9a37b4e"]}],"mendeley":{"formattedCitation":"[7]","plainTextFormattedCitation":"[7]","previouslyFormattedCitation":"[7]"},"properties":{"noteIndex":0},"schema":"https://github.com/citation-style-language/schema/raw/master/csl-citation.json"}</w:instrText>
      </w:r>
      <w:r w:rsidR="00940D86">
        <w:rPr>
          <w:rStyle w:val="FootnoteReference"/>
          <w:rFonts w:cs="Arial"/>
          <w:color w:val="000000" w:themeColor="text1"/>
        </w:rPr>
        <w:fldChar w:fldCharType="separate"/>
      </w:r>
      <w:r w:rsidR="00940D86" w:rsidRPr="00940D86">
        <w:rPr>
          <w:rFonts w:cs="Arial"/>
          <w:noProof/>
          <w:color w:val="000000" w:themeColor="text1"/>
        </w:rPr>
        <w:t>[7]</w:t>
      </w:r>
      <w:r w:rsidR="00940D86">
        <w:rPr>
          <w:rStyle w:val="FootnoteReference"/>
          <w:rFonts w:cs="Arial"/>
          <w:color w:val="000000" w:themeColor="text1"/>
        </w:rPr>
        <w:fldChar w:fldCharType="end"/>
      </w:r>
      <w:r w:rsidR="00D85C6F">
        <w:rPr>
          <w:rFonts w:cs="Arial"/>
          <w:color w:val="000000" w:themeColor="text1"/>
        </w:rPr>
        <w:t>.</w:t>
      </w:r>
    </w:p>
    <w:p w14:paraId="398CA492" w14:textId="7D004335" w:rsidR="00A864BA" w:rsidRPr="00F54DA5" w:rsidRDefault="00A864BA" w:rsidP="009E5C4F">
      <w:pPr>
        <w:tabs>
          <w:tab w:val="left" w:pos="567"/>
        </w:tabs>
        <w:spacing w:after="0" w:line="360" w:lineRule="auto"/>
        <w:jc w:val="both"/>
        <w:rPr>
          <w:i/>
        </w:rPr>
      </w:pPr>
      <w:r w:rsidRPr="00F54DA5">
        <w:t xml:space="preserve">Recently, Moxon </w:t>
      </w:r>
      <w:r w:rsidRPr="00F54DA5">
        <w:rPr>
          <w:i/>
        </w:rPr>
        <w:t xml:space="preserve">et al. </w:t>
      </w:r>
      <w:r w:rsidRPr="00F54DA5">
        <w:rPr>
          <w:i/>
        </w:rPr>
        <w:fldChar w:fldCharType="begin" w:fldLock="1"/>
      </w:r>
      <w:r w:rsidR="00793844">
        <w:rPr>
          <w:i/>
        </w:rPr>
        <w:instrText>ADDIN CSL_CITATION {"citationItems":[{"id":"ITEM-1","itemData":{"DOI":"10.1002/adma.201605594","ISSN":"09359648","PMID":"28145596","abstract":"A method for the production of complex cell-laden structures is reported, which allows high-levels of spatial control over mechanical and chemical properties. The potential of this method for producing complicated tissues is demonstrated by manufacturing a complex hard/soft tissue interface and demonstrating that cell phenotype can be maintained over four weeks of culture.","author":[{"dropping-particle":"","family":"Moxon","given":"Samuel R.","non-dropping-particle":"","parse-names":false,"suffix":""},{"dropping-particle":"","family":"Cooke","given":"Megan E.","non-dropping-particle":"","parse-names":false,"suffix":""},{"dropping-particle":"","family":"Cox","given":"Sophie C.","non-dropping-particle":"","parse-names":false,"suffix":""},{"dropping-particle":"","family":"Snow","given":"Martyn","non-dropping-particle":"","parse-names":false,"suffix":""},{"dropping-particle":"","family":"Jeys","given":"Lee","non-dropping-particle":"","parse-names":false,"suffix":""},{"dropping-particle":"","family":"Jones","given":"Simon W.","non-dropping-particle":"","parse-names":false,"suffix":""},{"dropping-particle":"","family":"Smith","given":"Alan M.","non-dropping-particle":"","parse-names":false,"suffix":""},{"dropping-particle":"","family":"Grover","given":"Liam M.","non-dropping-particle":"","parse-names":false,"suffix":""}],"container-title":"Advanced Materials","id":"ITEM-1","issue":"13","issued":{"date-parts":[["2017","4"]]},"page":"1605594","title":"Suspended Manufacture of Biological Structures","type":"article-journal","volume":"29"},"uris":["http://www.mendeley.com/documents/?uuid=d9d05438-ccd0-4dd2-9619-2c55242e8192"]}],"mendeley":{"formattedCitation":"[6]","plainTextFormattedCitation":"[6]","previouslyFormattedCitation":"[6]"},"properties":{"noteIndex":0},"schema":"https://github.com/citation-style-language/schema/raw/master/csl-citation.json"}</w:instrText>
      </w:r>
      <w:r w:rsidRPr="00F54DA5">
        <w:rPr>
          <w:i/>
        </w:rPr>
        <w:fldChar w:fldCharType="separate"/>
      </w:r>
      <w:r w:rsidR="00793844" w:rsidRPr="00793844">
        <w:rPr>
          <w:noProof/>
        </w:rPr>
        <w:t>[6]</w:t>
      </w:r>
      <w:r w:rsidRPr="00F54DA5">
        <w:rPr>
          <w:i/>
        </w:rPr>
        <w:fldChar w:fldCharType="end"/>
      </w:r>
      <w:r w:rsidRPr="00F54DA5">
        <w:t xml:space="preserve"> detailed the ability to extrude </w:t>
      </w:r>
      <w:r w:rsidR="00940D86">
        <w:t xml:space="preserve">a </w:t>
      </w:r>
      <w:r w:rsidRPr="00F54DA5">
        <w:t xml:space="preserve">free-form </w:t>
      </w:r>
      <w:r w:rsidR="00063C8F" w:rsidRPr="00F54DA5">
        <w:t>bioink</w:t>
      </w:r>
      <w:r w:rsidRPr="00F54DA5">
        <w:t xml:space="preserve"> into a cytocompatible gel bath enabling </w:t>
      </w:r>
      <w:r w:rsidR="00B05DEF">
        <w:t xml:space="preserve">the </w:t>
      </w:r>
      <w:r w:rsidRPr="00F54DA5">
        <w:t xml:space="preserve">support and further crosslinking of the bioink. The </w:t>
      </w:r>
      <w:r w:rsidR="00063C8F" w:rsidRPr="00F54DA5">
        <w:t>hydrogel ink</w:t>
      </w:r>
      <w:r w:rsidRPr="00F54DA5">
        <w:t xml:space="preserve"> of choice was gellan gum (GG) </w:t>
      </w:r>
      <w:r w:rsidRPr="00F54DA5">
        <w:fldChar w:fldCharType="begin" w:fldLock="1"/>
      </w:r>
      <w:r w:rsidR="00793844">
        <w:instrText xml:space="preserve">ADDIN CSL_CITATION {"citationItems":[{"id":"ITEM-1","itemData":{"DOI":"10.1016/0144-8617(87)90004-X","ISBN":"0144-8617","ISSN":"01448617","abstract":"The microbial polysaccharide, gellan gum, was studied in aqueous solution and in the gel state by osmometry, viscometry, light scattering, polarimetry and NMR and by measurements of gel strength and cation-exchange selectivity. In solutions of the tetramethylammonium (TMA) salt of the polymer, increasing concentrations of TMACl induced contraction, ordering, and association of the chains, as revealed by viscometry and changes in optical rotation. Chain ordering occurred at ionic strengths (I) between 0·005 and 0·05 (m), and light scattering indicated an elongated chain structure in 0·025 m TMACl. Gelation was dependent upon both ionic strength and the identity of the cation. For monovalent cations at I = 0·1 (m), gel strength increased in the order: TMA+&lt; Li+&lt; Na+&lt; K+&lt; Cs+&lt; H+For divalent cations the series was: Mg2+, Ca2+, Sr2+, Ba2+&lt; Zn2+&lt; Cu2+&lt; Pb2+The lack of specificity among the alkaline-earth cations distinguished gellan gum markedly from other uronic-acid containing polysaccharides like alginate and pectin. Studies of cation-exchange equilibria likewise showed no selectivity within the alkali-metal or the alkaline-earth metal cations, but for all the divalent ions the affinity series: Mg2+, Ca2+, Sr2+, Ba2+&lt; Zn2+&lt; Cu2+&lt; Pb2+was the same as the series for increasing gel strength. Measurements of optical rotation and NMR spectroscopy indicated that chain association and gelation were related phenomena. The results are interpreted as indicating that gelation occurs in two steps, namely, chain ordering and chain association. © 1987.","author":[{"dropping-particle":"","family":"Grasdalen","given":"Hans","non-dropping-particle":"","parse-names":false,"suffix":""},{"dropping-particle":"","family":"Smidsrød","given":"Olav","non-dropping-particle":"","parse-names":false,"suffix":""}],"container-title":"Carbohydrate Polymers","id":"ITEM-1","issue":"5","issued":{"date-parts":[["1987"]]},"page":"371-393","title":"Gelation of gellan gum","type":"article-journal","volume":"7"},"uris":["http://www.mendeley.com/documents/?uuid=d349aba6-5b13-4bc0-90c2-7248116668c3"]},{"id":"ITEM-2","itemData":{"DOI":"10.1016/0008-6215(83)88361-X","ISBN":"0008-6215","ISSN":"00086215","abstract":"The structure of gellan gum, a polysaccharide of potential commercial usefulness elaborated by Pseudomonas elodea, has been investigated. It is concluded that the polysaccharide is composed of tetrasaccharide repeating-units having the following structure. Of the repeating units, </w:instrText>
      </w:r>
      <w:r w:rsidR="00793844">
        <w:rPr>
          <w:rFonts w:ascii="Cambria Math" w:hAnsi="Cambria Math" w:cs="Cambria Math"/>
        </w:rPr>
        <w:instrText>∼</w:instrText>
      </w:r>
      <w:r w:rsidR="00793844">
        <w:instrText xml:space="preserve">25% contain an O-acetyl group linked to C-6 of one of the </w:instrText>
      </w:r>
      <w:r w:rsidR="00793844">
        <w:rPr>
          <w:rFonts w:cs="Arial"/>
        </w:rPr>
        <w:instrText>β</w:instrText>
      </w:r>
      <w:r w:rsidR="00793844">
        <w:instrText>-d-glucopyranosyl residues.","author":[{"dropping-particle":"","family":"Jansson","given":"Per-Erik","non-dropping-particle":"","parse-names":false,"suffix":""},{"dropping-particle":"","family":"Lindberg","given":"Bengt","non-dropping-particle":"","parse-names":false,"suffix":""},{"dropping-particle":"","family":"Sandford","given":"Paul A.","non-dropping-particle":"","parse-names":false,"suffix":""}],"container-title":"Carbohydrate Research","id":"ITEM-2","issue":"1","issued":{"date-parts":[["1983","12"]]},"page":"135-139","title":"Structural studies of gellan gum, an extracellular polysaccharide elaborated by Pseudomonas elodea","type":"article-journal","volume":"124"},"uris":["http://www.mendeley.com/documents/?uuid=930391c7-13b0-469f-935a-ee361ff75ac7"]}],"mendeley":{"formattedCitation":"[14,15]","plainTextFormattedCitation":"[14,15]","previouslyFormattedCitation":"[14,15]"},"properties":{"noteIndex":0},"schema":"https://github.com/citation-style-language/schema/raw/master/csl-citation.json"}</w:instrText>
      </w:r>
      <w:r w:rsidRPr="00F54DA5">
        <w:fldChar w:fldCharType="separate"/>
      </w:r>
      <w:r w:rsidR="00793844" w:rsidRPr="00793844">
        <w:rPr>
          <w:noProof/>
        </w:rPr>
        <w:t>[14,15]</w:t>
      </w:r>
      <w:r w:rsidRPr="00F54DA5">
        <w:fldChar w:fldCharType="end"/>
      </w:r>
      <w:r w:rsidRPr="00F54DA5">
        <w:t xml:space="preserve">, a polysaccharide material </w:t>
      </w:r>
      <w:r w:rsidR="00B05DEF">
        <w:t xml:space="preserve">that was </w:t>
      </w:r>
      <w:r w:rsidRPr="00F54DA5">
        <w:t xml:space="preserve"> biocompatible </w:t>
      </w:r>
      <w:r w:rsidRPr="00F54DA5">
        <w:fldChar w:fldCharType="begin" w:fldLock="1"/>
      </w:r>
      <w:r w:rsidR="00793844">
        <w:instrText>ADDIN CSL_CITATION {"citationItems":[{"id":"ITEM-1","itemData":{"DOI":"10.1002/term.1875","ISBN":"1932-6254","ISSN":"19326254","PMID":"20872739","abstract":"Development of an in vitro prevascularized scaffold is of great importance to produce vascularization in tissue-engineered devices and for other clinical purposes. To this aim, polymer fibres covered with human umbilical vein endothelial cells (HUVECs) were used to induce directional 'angiogenesis' in a 3D co-culture system. Gelatin or RGD peptides were immobilized on surface-modified polymer fibres [100 µm diameter poly(ethylene terephthalate) monofilaments] via N-hepthylamine plasma polymer and carboxy-methyl-dextran interlayers. Fibres fully covered with HUVECs were then embedded in a fibrin gel, following a parallel alignment pattern, in the presence of fibroblasts. Tube-like structures occurred along the fibres and a network was formed between neighbouring fibres. These events were promoted with increased incubation times. Biomolecule-grafted fibres created a guidance pathway that facilitated coated endothelial cells to form lumens and, from them, sprouting processes. However, there were no significant differences between the different surface modifications on fibres in terms of promoting tube-like structures. Thus, different stages of angiogenesis can be initiated and guided using HUVECs precovered polymer fibres embedded in a soft supportive matrix, such as fibrin, which can be further applied to the development of in vitro prevascularized tissue-engineered scaffolds.","author":[{"dropping-particle":"","family":"Douglas","given":"Timothy E. L.","non-dropping-particle":"","parse-names":false,"suffix":""},{"dropping-particle":"","family":"Krawczyk","given":"Grzegorz","non-dropping-particle":"","parse-names":false,"suffix":""},{"dropping-particle":"","family":"Pamula","given":"Elzbieta","non-dropping-particle":"","parse-names":false,"suffix":""},{"dropping-particle":"","family":"Declercq","given":"Heidi A.","non-dropping-particle":"","parse-names":false,"suffix":""},{"dropping-particle":"","family":"Schaubroeck","given":"David","non-dropping-particle":"","parse-names":false,"suffix":""},{"dropping-particle":"","family":"Bucko","given":"Miroslaw M.","non-dropping-particle":"","parse-names":false,"suffix":""},{"dropping-particle":"","family":"Balcaen","given":"Lieve","non-dropping-particle":"","parse-names":false,"suffix":""},{"dropping-particle":"","family":"Voort","given":"Pascal","non-dropping-particle":"Van Der","parse-names":false,"suffix":""},{"dropping-particle":"","family":"Bliznuk","given":"Vitaliy","non-dropping-particle":"","parse-names":false,"suffix":""},{"dropping-particle":"","family":"Vreken","given":"Natasja M. F.","non-dropping-particle":"van den","parse-names":false,"suffix":""},{"dropping-particle":"","family":"Dash","given":"Mamoni","non-dropping-particle":"","parse-names":false,"suffix":""},{"dropping-particle":"","family":"Detsch","given":"Rainer","non-dropping-particle":"","parse-names":false,"suffix":""},{"dropping-particle":"","family":"Boccaccini","given":"Aldo R.","non-dropping-particle":"","parse-names":false,"suffix":""},{"dropping-particle":"","family":"Vanhaecke","given":"Frank","non-dropping-particle":"","parse-names":false,"suffix":""},{"dropping-particle":"","family":"Cornelissen","given":"Maria","non-dropping-particle":"","parse-names":false,"suffix":""},{"dropping-particle":"","family":"Dubruel","given":"Peter","non-dropping-particle":"","parse-names":false,"suffix":""}],"container-title":"Journal of Tissue Engineering and Regenerative Medicine","id":"ITEM-1","issue":"11","issued":{"date-parts":[["2016","11"]]},"page":"938-954","title":"Generation of composites for bone tissue-engineering applications consisting of gellan gum hydrogels mineralized with calcium and magnesium phosphate phases by enzymatic means","type":"article-journal","volume":"10"},"uris":["http://www.mendeley.com/documents/?uuid=60a60300-fd6b-49e9-9453-53db2cf7d3bc"]}],"mendeley":{"formattedCitation":"[16]","plainTextFormattedCitation":"[16]","previouslyFormattedCitation":"[16]"},"properties":{"noteIndex":0},"schema":"https://github.com/citation-style-language/schema/raw/master/csl-citation.json"}</w:instrText>
      </w:r>
      <w:r w:rsidRPr="00F54DA5">
        <w:fldChar w:fldCharType="separate"/>
      </w:r>
      <w:r w:rsidR="00793844" w:rsidRPr="00793844">
        <w:rPr>
          <w:noProof/>
        </w:rPr>
        <w:t>[16]</w:t>
      </w:r>
      <w:r w:rsidRPr="00F54DA5">
        <w:fldChar w:fldCharType="end"/>
      </w:r>
      <w:r w:rsidRPr="00F54DA5">
        <w:t>, support</w:t>
      </w:r>
      <w:r w:rsidR="00B05DEF">
        <w:t xml:space="preserve">ing </w:t>
      </w:r>
      <w:r w:rsidRPr="00F54DA5">
        <w:t xml:space="preserve">cell </w:t>
      </w:r>
      <w:r w:rsidR="00B05DEF">
        <w:t xml:space="preserve">growth and </w:t>
      </w:r>
      <w:r w:rsidRPr="00F54DA5">
        <w:t xml:space="preserve">functionality </w:t>
      </w:r>
      <w:r w:rsidRPr="00F54DA5">
        <w:rPr>
          <w:i/>
        </w:rPr>
        <w:t>in vitro</w:t>
      </w:r>
      <w:r w:rsidRPr="00F54DA5">
        <w:t xml:space="preserve"> </w:t>
      </w:r>
      <w:r w:rsidRPr="00F54DA5">
        <w:fldChar w:fldCharType="begin" w:fldLock="1"/>
      </w:r>
      <w:r w:rsidR="00793844">
        <w:instrText>ADDIN CSL_CITATION {"citationItems":[{"id":"ITEM-1","itemData":{"DOI":"10.1002/jbm.a.32574","ISBN":"1552-4965 (Electronic) 1549-3296 (Linking)","ISSN":"15493296","PMID":"19658177","abstract":"Gellan gum is a polysaccharide manufactured by microbial fermentation of the Sphingomonas paucimobilis microorganism, being commonly used in the food and pharmaceutical industry. It can be dissolved in water, and when heated and mixed with mono or divalent cations, forms a gel upon lowering the temperature under mild conditions. In this work, gellan gum hydrogels were analyzed as cells supports in the context of cartilage regeneration. Gellan gum hydrogel discs were characterized in terms of mechanical and structural properties. Transmissionelectron microscopy revealed a quite homogeneous chain arrangement within the hydrogels matrix, and dynamic mechanical analysis allowed to characterize the hydrogels discs viscoelastic properties upon compression solicitation, being the compressive storage and loss modulus of approximately 40 kPa and 3 kPa, respectively, at a frequency of 1 Hz. Rheological measurements determined the sol-gel transition started to occur at approximately 36 degrees C, exhibiting a gelation time of approximately 11 s. Evaluation of the gellan gum hydrogels biological performance was performed using a standard MTS cytotoxicity test, which showed that the leachables released are not deleterious to the cells and hence were noncytotoxic. Gellan gum hydrogels were afterwards used to encapsulate human nasal chondrocytes (1 x 10(6) cells/mL) and culture them for total periods of 2 weeks. Cells viability was confirmed using confocal calcein AM staining. Histological observations revealed normal chondrocytes morphology and the obtained data supports the claim that this new biomaterial has the potential to serve as a cell support in the field of cartilage regeneration.","author":[{"dropping-particle":"","family":"Oliveira","given":"J. T.","non-dropping-particle":"","parse-names":false,"suffix":""},{"dropping-particle":"","family":"Martins","given":"L.","non-dropping-particle":"","parse-names":false,"suffix":""},{"dropping-particle":"","family":"Picciochi","given":"R.","non-dropping-particle":"","parse-names":false,"suffix":""},{"dropping-particle":"","family":"Malafaya","given":"P. B.","non-dropping-particle":"","parse-names":false,"suffix":""},{"dropping-particle":"","family":"Sousa","given":"R. A.","non-dropping-particle":"","parse-names":false,"suffix":""},{"dropping-particle":"","family":"Neves","given":"N. M.","non-dropping-particle":"","parse-names":false,"suffix":""},{"dropping-particle":"","family":"Mano","given":"J. F.","non-dropping-particle":"","parse-names":false,"suffix":""},{"dropping-particle":"","family":"Reis","given":"R. L.","non-dropping-particle":"","parse-names":false,"suffix":""}],"container-title":"Journal of Biomedical Materials Research - Part A","id":"ITEM-1","issue":"3","issued":{"date-parts":[["2010"]]},"page":"852-863","title":"Gellan gum: A new biomaterial for cartilage tissue engineering applications","type":"article-journal","volume":"93"},"uris":["http://www.mendeley.com/documents/?uuid=a7161f5d-752b-4911-af36-6759d4c7778d"]}],"mendeley":{"formattedCitation":"[17]","plainTextFormattedCitation":"[17]","previouslyFormattedCitation":"[17]"},"properties":{"noteIndex":0},"schema":"https://github.com/citation-style-language/schema/raw/master/csl-citation.json"}</w:instrText>
      </w:r>
      <w:r w:rsidRPr="00F54DA5">
        <w:fldChar w:fldCharType="separate"/>
      </w:r>
      <w:r w:rsidR="00793844" w:rsidRPr="00793844">
        <w:rPr>
          <w:noProof/>
        </w:rPr>
        <w:t>[17]</w:t>
      </w:r>
      <w:r w:rsidRPr="00F54DA5">
        <w:fldChar w:fldCharType="end"/>
      </w:r>
      <w:r w:rsidRPr="00F54DA5">
        <w:t>. GG</w:t>
      </w:r>
      <w:r w:rsidR="00B05DEF">
        <w:t xml:space="preserve"> is a </w:t>
      </w:r>
      <w:r w:rsidR="00C61ABB" w:rsidRPr="00F54DA5">
        <w:t xml:space="preserve">FDA and European Union (E418) approved </w:t>
      </w:r>
      <w:r w:rsidRPr="00F54DA5">
        <w:t xml:space="preserve">biomaterial of microbial origin (from </w:t>
      </w:r>
      <w:r w:rsidRPr="00F54DA5">
        <w:rPr>
          <w:i/>
        </w:rPr>
        <w:t>Sphingomonas elodea</w:t>
      </w:r>
      <w:r w:rsidRPr="00F54DA5">
        <w:t xml:space="preserve">) </w:t>
      </w:r>
      <w:r w:rsidR="00B05DEF">
        <w:t>with advantageous</w:t>
      </w:r>
      <w:r w:rsidRPr="00F54DA5">
        <w:t xml:space="preserve"> physicochemical</w:t>
      </w:r>
      <w:r w:rsidR="00B05DEF">
        <w:t xml:space="preserve"> properties, widely </w:t>
      </w:r>
      <w:r w:rsidRPr="00F54DA5">
        <w:t xml:space="preserve">used as </w:t>
      </w:r>
      <w:r w:rsidR="00B05DEF">
        <w:t xml:space="preserve">an </w:t>
      </w:r>
      <w:r w:rsidRPr="00F54DA5">
        <w:t xml:space="preserve">additive for pharmaceutical products </w:t>
      </w:r>
      <w:r w:rsidRPr="00F54DA5">
        <w:fldChar w:fldCharType="begin" w:fldLock="1"/>
      </w:r>
      <w:r w:rsidR="00793844">
        <w:instrText>ADDIN CSL_CITATION {"citationItems":[{"id":"ITEM-1","itemData":{"DOI":"10.1016/j.ijpharm.2014.03.038","ISBN":"0378-5173","ISSN":"18733476","PMID":"24657577","abstract":"Over the past few decades, microbial polysaccharides have been under intense investigation due to their advantageous physicochemical properties. A great structural diversity of these biomolecules has led to multiple applications in food industry, personal care products, pharmacy and medicine. Currently, one of the most widely studied and fully described member of this group is gellan. It is a linear polymer produced by Sphingomonas elodea. A polymer chain of gellan consists of a tetrasaccharide repeating unit of l-rhamnose, d-glucose and d-glucuronate. So far most of the studies have been focused on the application of gellan as a food ingredient. However, due to the unique structure and beneficial properties, gellan is currently described as a potent multifunctional additive for various pharmaceutical products. Specific gelling properties in different media led to the development of controlled release forms based on gellan. Various formulations have been studied including oral, ophthalmic, nasal and other. Recent reports suggest that gellan-based materials can also be used in regenerative medicine, stomatology or gene transfer technology. © 2014 Elsevier B.V.","author":[{"dropping-particle":"","family":"Osmałek","given":"Tomasz","non-dropping-particle":"","parse-names":false,"suffix":""},{"dropping-particle":"","family":"Froelich","given":"Anna","non-dropping-particle":"","parse-names":false,"suffix":""},{"dropping-particle":"","family":"Tasarek","given":"Sylwia","non-dropping-particle":"","parse-names":false,"suffix":""}],"container-title":"International Journal of Pharmaceutics","id":"ITEM-1","issue":"1-2","issued":{"date-parts":[["2014"]]},"page":"328-340","title":"Application of gellan gum in pharmacy and medicine","type":"article-journal","volume":"466"},"uris":["http://www.mendeley.com/documents/?uuid=0e1a8f9b-dc81-499a-9486-b17728634a2d"]}],"mendeley":{"formattedCitation":"[18]","plainTextFormattedCitation":"[18]","previouslyFormattedCitation":"[18]"},"properties":{"noteIndex":0},"schema":"https://github.com/citation-style-language/schema/raw/master/csl-citation.json"}</w:instrText>
      </w:r>
      <w:r w:rsidRPr="00F54DA5">
        <w:fldChar w:fldCharType="separate"/>
      </w:r>
      <w:r w:rsidR="00793844" w:rsidRPr="00793844">
        <w:rPr>
          <w:noProof/>
        </w:rPr>
        <w:t>[18]</w:t>
      </w:r>
      <w:r w:rsidRPr="00F54DA5">
        <w:fldChar w:fldCharType="end"/>
      </w:r>
      <w:r w:rsidR="00C61ABB">
        <w:t xml:space="preserve"> and in</w:t>
      </w:r>
      <w:r w:rsidRPr="00F54DA5">
        <w:t xml:space="preserve"> tissue engineering applications </w:t>
      </w:r>
      <w:r w:rsidRPr="00F54DA5">
        <w:fldChar w:fldCharType="begin" w:fldLock="1"/>
      </w:r>
      <w:r w:rsidR="00793844">
        <w:instrText>ADDIN CSL_CITATION {"citationItems":[{"id":"ITEM-1","itemData":{"DOI":"10.1002/adfm.201200724","ISBN":"1616301X","ISSN":"1616301X","abstract":"Carbon nanotube networks in biopolymer solutions are explored as potential ink systems for the extrusion printing of conducting structures. The biopolymer gellan gum is found to act as an excellent dispersant of multiwalled carbon nanotubes and has the appropriate flow properties to act as a thickener for the controlled dispensing of carbon nanotube networks. Absorbing substrates are found to improve the resolution and the flexibility of the printed structures. These printed conducting carbon nanotube networks exhibit interesting mechanical and electrical characteristics, which are applied to demonstrate their actuating and strain gauging capabilities.","author":[{"dropping-particle":"","family":"Pidcock","given":"Geoffrey C.","non-dropping-particle":"","parse-names":false,"suffix":""},{"dropping-particle":"","family":"Panhuis","given":"Marc","non-dropping-particle":"In Het","parse-names":false,"suffix":""}],"container-title":"Advanced Functional Materials","id":"ITEM-1","issue":"22","issued":{"date-parts":[["2012"]]},"page":"4790-4800","title":"Extrusion printing of flexible electrically conducting carbon nanotube networks","type":"article-journal","volume":"22"},"uris":["http://www.mendeley.com/documents/?uuid=6e0c2684-bff6-488f-98b8-2ef0a69b0e77"]}],"mendeley":{"formattedCitation":"[19]","plainTextFormattedCitation":"[19]","previouslyFormattedCitation":"[19]"},"properties":{"noteIndex":0},"schema":"https://github.com/citation-style-language/schema/raw/master/csl-citation.json"}</w:instrText>
      </w:r>
      <w:r w:rsidRPr="00F54DA5">
        <w:fldChar w:fldCharType="separate"/>
      </w:r>
      <w:r w:rsidR="00793844" w:rsidRPr="00793844">
        <w:rPr>
          <w:noProof/>
        </w:rPr>
        <w:t>[19]</w:t>
      </w:r>
      <w:r w:rsidRPr="00F54DA5">
        <w:fldChar w:fldCharType="end"/>
      </w:r>
      <w:r w:rsidRPr="00F54DA5">
        <w:t xml:space="preserve">. </w:t>
      </w:r>
      <w:r w:rsidR="00D85C6F">
        <w:t xml:space="preserve">In the work by Moxon and co-workers </w:t>
      </w:r>
      <w:r w:rsidR="00D85C6F" w:rsidRPr="00F54DA5">
        <w:rPr>
          <w:i/>
        </w:rPr>
        <w:fldChar w:fldCharType="begin" w:fldLock="1"/>
      </w:r>
      <w:r w:rsidR="00793844">
        <w:rPr>
          <w:i/>
        </w:rPr>
        <w:instrText>ADDIN CSL_CITATION {"citationItems":[{"id":"ITEM-1","itemData":{"DOI":"10.1002/adma.201605594","ISSN":"09359648","PMID":"28145596","abstract":"A method for the production of complex cell-laden structures is reported, which allows high-levels of spatial control over mechanical and chemical properties. The potential of this method for producing complicated tissues is demonstrated by manufacturing a complex hard/soft tissue interface and demonstrating that cell phenotype can be maintained over four weeks of culture.","author":[{"dropping-particle":"","family":"Moxon","given":"Samuel R.","non-dropping-particle":"","parse-names":false,"suffix":""},{"dropping-particle":"","family":"Cooke","given":"Megan E.","non-dropping-particle":"","parse-names":false,"suffix":""},{"dropping-particle":"","family":"Cox","given":"Sophie C.","non-dropping-particle":"","parse-names":false,"suffix":""},{"dropping-particle":"","family":"Snow","given":"Martyn","non-dropping-particle":"","parse-names":false,"suffix":""},{"dropping-particle":"","family":"Jeys","given":"Lee","non-dropping-particle":"","parse-names":false,"suffix":""},{"dropping-particle":"","family":"Jones","given":"Simon W.","non-dropping-particle":"","parse-names":false,"suffix":""},{"dropping-particle":"","family":"Smith","given":"Alan M.","non-dropping-particle":"","parse-names":false,"suffix":""},{"dropping-particle":"","family":"Grover","given":"Liam M.","non-dropping-particle":"","parse-names":false,"suffix":""}],"container-title":"Advanced Materials","id":"ITEM-1","issue":"13","issued":{"date-parts":[["2017","4"]]},"page":"1605594","title":"Suspended Manufacture of Biological Structures","type":"article-journal","volume":"29"},"uris":["http://www.mendeley.com/documents/?uuid=d9d05438-ccd0-4dd2-9619-2c55242e8192"]}],"mendeley":{"formattedCitation":"[6]","plainTextFormattedCitation":"[6]","previouslyFormattedCitation":"[6]"},"properties":{"noteIndex":0},"schema":"https://github.com/citation-style-language/schema/raw/master/csl-citation.json"}</w:instrText>
      </w:r>
      <w:r w:rsidR="00D85C6F" w:rsidRPr="00F54DA5">
        <w:rPr>
          <w:i/>
        </w:rPr>
        <w:fldChar w:fldCharType="separate"/>
      </w:r>
      <w:r w:rsidR="00793844" w:rsidRPr="00793844">
        <w:rPr>
          <w:noProof/>
        </w:rPr>
        <w:t>[6]</w:t>
      </w:r>
      <w:r w:rsidR="00D85C6F" w:rsidRPr="00F54DA5">
        <w:rPr>
          <w:i/>
        </w:rPr>
        <w:fldChar w:fldCharType="end"/>
      </w:r>
      <w:r w:rsidR="00F04E23">
        <w:rPr>
          <w:i/>
        </w:rPr>
        <w:t>,</w:t>
      </w:r>
      <w:r w:rsidR="00D85C6F">
        <w:t xml:space="preserve"> </w:t>
      </w:r>
      <w:r w:rsidR="000E090E">
        <w:t xml:space="preserve">an </w:t>
      </w:r>
      <w:r w:rsidRPr="00F54DA5">
        <w:t xml:space="preserve">agarose </w:t>
      </w:r>
      <w:r w:rsidR="00D85C6F">
        <w:t xml:space="preserve">(a </w:t>
      </w:r>
      <w:r w:rsidR="00C46867">
        <w:t>widely used</w:t>
      </w:r>
      <w:r w:rsidRPr="00F54DA5">
        <w:t xml:space="preserve"> polymeric biomaterial that </w:t>
      </w:r>
      <w:r w:rsidR="00C46867">
        <w:t xml:space="preserve">can </w:t>
      </w:r>
      <w:r w:rsidRPr="00F54DA5">
        <w:t xml:space="preserve">form </w:t>
      </w:r>
      <w:r w:rsidR="00C46867">
        <w:t xml:space="preserve">an </w:t>
      </w:r>
      <w:r w:rsidRPr="00F54DA5">
        <w:t xml:space="preserve">inert hydrogel network widely used for cell encapsulation </w:t>
      </w:r>
      <w:r w:rsidRPr="00F54DA5">
        <w:fldChar w:fldCharType="begin" w:fldLock="1"/>
      </w:r>
      <w:r w:rsidR="00793844">
        <w:instrText>ADDIN CSL_CITATION {"citationItems":[{"id":"ITEM-1","itemData":{"DOI":"10.1002/(SICI)1097-0290(19960520)50:4&lt;374::AID-BIT4&gt;3.0.CO;2-I","ISBN":"0006-3592 (Print)\\n0006-3592 (Linking)","ISSN":"00063592","PMID":"18626986","abstract":"The present studies were undertaken to evaluate the in vitro gel stability of the hydrogels alginate and agarose. Gel strength (of alginate and agarose) and protein diffusion (of alginate only) were shown to correlate with gel stability and to be useful techniques to monitor gel stability over time. The gel strengths of alginate and agarose were followed for a 90-day period using gel strength as a measure of gel stability. The gel strength of agarose diminished in the presence of cells because the cells likely interfered with the hydrogen bond formation required for agarose gelation. In the presence of cells, the gel strength of agarose decreased by an average of 25% from time 0 to 60 days, thereafter maintaining that value to 90 days. The gel strength of calcium- or barium-crosslinked alginate decreased over 90 days, with an equilibrium gel strength being achieved after 30 days. The presence of cells did not further decrease alginate gel strength. The gel strengths of calcium- and barium-crosslinked alginates were similar at 60 days-350 +/- 20 g and 300 +/- 60 g, respectively-indicating equivalence in their stability. The stability of calcium-crosslinked sodium alginate gels over a 60-day time period was monitored by diffusion of proteins ranging in molecular weight from 14.5 to 155 kD. From these diffusion measurements, the average pore size of the calcium-crosslinked alginate gels was estimated, using a semi-empirical model, to increase from approximately 176 to 289 A over a period of 60 days. (c) 1996 John Wiley &amp; Sons, Inc.","author":[{"dropping-particle":"","family":"Shoichet","given":"Molly S.","non-dropping-particle":"","parse-names":false,"suffix":""},{"dropping-particle":"","family":"Li","given":"Rebecca H.","non-dropping-particle":"","parse-names":false,"suffix":""},{"dropping-particle":"","family":"White","given":"Melissa L.","non-dropping-particle":"","parse-names":false,"suffix":""},{"dropping-particle":"","family":"Winn","given":"Shelley R.","non-dropping-particle":"","parse-names":false,"suffix":""}],"container-title":"Biotechnology and Bioengineering","id":"ITEM-1","issue":"4","issued":{"date-parts":[["1996","5","20"]]},"page":"374-381","title":"Stability of hydrogels used in cell encapsulation: An in vitro comparison of alginate and agarose","type":"article-journal","volume":"50"},"uris":["http://www.mendeley.com/documents/?uuid=d9a80b09-7f3d-432e-ab2a-d35296f47454"]},{"id":"ITEM-2","itemData":{"DOI":"10.1016/j.carbpol.2018.08.032","ISSN":"01448617","abstract":"This paper reports the synthesis of nanocomposite agarose hydrogels with improved bioactivity with the incorporation of anisotropic 2D nanosilicates (Laponite) to promote cell binding, growth and proliferation. Rheological measurements showed that the incorporation of nanosilicates slightly increased the gelation temperature (Tgel). The use of higher nanosilicate content at the constant agarose concentration improved the mechanical properties of the gels. Due to the non-swelling nature of agarose, the addition of nanosilicates did not result in any remarkable change in the swelling properties of the agarose gels, while collapsed agarose nanofibers were observed with the incorporation of nanosilicates. EDX analysis confirmed the presence of the embedded nanosilicates in the gel matrix. The existence of physical interactions between nanosilicate and agarose was demonstrated by FTIR over the shifting of Si–O stretching band to a lower frequency. The encapsulated NIH/3T3 fibroblast cells showed enhanced proliferation and spreading in the presence of nanosilicates.","author":[{"dropping-particle":"","family":"Topuz","given":"Fuat","non-dropping-particle":"","parse-names":false,"suffix":""},{"dropping-particle":"","family":"Nadernezhad","given":"Ali","non-dropping-particle":"","parse-names":false,"suffix":""},{"dropping-particle":"","family":"Caliskan","given":"Ozum S.","non-dropping-particle":"","parse-names":false,"suffix":""},{"dropping-particle":"","family":"Menceloglu","given":"Yusuf Z.","non-dropping-particle":"","parse-names":false,"suffix":""},{"dropping-particle":"","family":"Koc","given":"Bahattin","non-dropping-particle":"","parse-names":false,"suffix":""}],"container-title":"Carbohydrate Polymers","id":"ITEM-2","issue":"August","issued":{"date-parts":[["2018"]]},"page":"105-112","publisher":"Elsevier","title":"Nanosilicate embedded agarose hydrogels with improved bioactivity","type":"article-journal","volume":"201"},"uris":["http://www.mendeley.com/documents/?uuid=35d09c76-fdd8-49fb-8d80-0cd85d821f08"]}],"mendeley":{"formattedCitation":"[20,21]","plainTextFormattedCitation":"[20,21]","previouslyFormattedCitation":"[20,21]"},"properties":{"noteIndex":0},"schema":"https://github.com/citation-style-language/schema/raw/master/csl-citation.json"}</w:instrText>
      </w:r>
      <w:r w:rsidRPr="00F54DA5">
        <w:fldChar w:fldCharType="separate"/>
      </w:r>
      <w:r w:rsidR="00793844" w:rsidRPr="00793844">
        <w:rPr>
          <w:noProof/>
        </w:rPr>
        <w:t>[20,21]</w:t>
      </w:r>
      <w:r w:rsidRPr="00F54DA5">
        <w:fldChar w:fldCharType="end"/>
      </w:r>
      <w:r w:rsidR="00D85C6F">
        <w:t>) fluid gel</w:t>
      </w:r>
      <w:r w:rsidR="000E090E">
        <w:t xml:space="preserve"> support bath</w:t>
      </w:r>
      <w:r w:rsidR="00D85C6F">
        <w:t xml:space="preserve"> was used</w:t>
      </w:r>
      <w:r w:rsidR="000E090E">
        <w:t xml:space="preserve"> for printing</w:t>
      </w:r>
      <w:r w:rsidR="00D85C6F">
        <w:t>.</w:t>
      </w:r>
      <w:r w:rsidRPr="00F54DA5">
        <w:t xml:space="preserve"> </w:t>
      </w:r>
      <w:r w:rsidR="00D85C6F">
        <w:t xml:space="preserve">The fluid gel was able, at the same time, to support the extruded GG bioink prior to crosslinking and allow the free movement of the printing nozzle by self-healing </w:t>
      </w:r>
      <w:r w:rsidR="00F04E23">
        <w:t>immediately post print</w:t>
      </w:r>
      <w:r w:rsidR="00D85C6F">
        <w:t xml:space="preserve">. GG at low concentration could be precisely deposited in 3D </w:t>
      </w:r>
      <w:r w:rsidR="00F04E23">
        <w:t xml:space="preserve">format, </w:t>
      </w:r>
      <w:r w:rsidR="00D85C6F">
        <w:t>generating complex structures. A complex double layered osteochondral plug was generated by depositing a gellan gum solution loaded with hydroxyapatite (HAp) to mimic bone and gellan gum as the cartilage mimicking layer. The resulting construct</w:t>
      </w:r>
      <w:r w:rsidR="00940D86">
        <w:t xml:space="preserve"> was</w:t>
      </w:r>
      <w:r w:rsidR="00D85C6F">
        <w:t xml:space="preserve"> functional, </w:t>
      </w:r>
      <w:r w:rsidR="00F04E23">
        <w:t xml:space="preserve">although </w:t>
      </w:r>
      <w:r w:rsidR="00D85C6F">
        <w:t xml:space="preserve">lacked shape </w:t>
      </w:r>
      <w:r w:rsidR="006F541F">
        <w:t xml:space="preserve">complexity, </w:t>
      </w:r>
      <w:r w:rsidR="00F04E23">
        <w:t xml:space="preserve">a defined </w:t>
      </w:r>
      <w:r w:rsidR="006F541F">
        <w:t>drug-eluting mechanism</w:t>
      </w:r>
      <w:r w:rsidR="00D85C6F">
        <w:t xml:space="preserve"> and only </w:t>
      </w:r>
      <w:r w:rsidR="00D85C6F">
        <w:rPr>
          <w:i/>
        </w:rPr>
        <w:t>in vitro</w:t>
      </w:r>
      <w:r w:rsidR="00D85C6F">
        <w:t xml:space="preserve"> investigations were performed</w:t>
      </w:r>
      <w:r w:rsidR="00D85C6F">
        <w:rPr>
          <w:i/>
        </w:rPr>
        <w:t>.</w:t>
      </w:r>
    </w:p>
    <w:p w14:paraId="63924D14" w14:textId="51E8E500" w:rsidR="00A864BA" w:rsidRPr="00F54DA5" w:rsidRDefault="00A864BA" w:rsidP="00D9695A">
      <w:pPr>
        <w:tabs>
          <w:tab w:val="left" w:pos="567"/>
        </w:tabs>
        <w:spacing w:line="360" w:lineRule="auto"/>
        <w:jc w:val="both"/>
        <w:rPr>
          <w:rFonts w:cs="Arial"/>
        </w:rPr>
      </w:pPr>
      <w:r w:rsidRPr="00F54DA5">
        <w:t xml:space="preserve">GG </w:t>
      </w:r>
      <w:r w:rsidR="00C46867">
        <w:t xml:space="preserve">is an attractive biomaterial to study given the potential to tune the </w:t>
      </w:r>
      <w:r w:rsidRPr="00F54DA5">
        <w:t xml:space="preserve">mechanical properties </w:t>
      </w:r>
      <w:r w:rsidR="00C46867">
        <w:t xml:space="preserve">of the material by modulation of the </w:t>
      </w:r>
      <w:r w:rsidRPr="00F54DA5">
        <w:t xml:space="preserve">system temperature </w:t>
      </w:r>
      <w:r w:rsidRPr="00F54DA5">
        <w:fldChar w:fldCharType="begin" w:fldLock="1"/>
      </w:r>
      <w:r w:rsidR="00793844">
        <w:instrText>ADDIN CSL_CITATION {"citationItems":[{"id":"ITEM-1","itemData":{"DOI":"10.1016/S0144-8617(96)00093-8","ISBN":"0144-8617","ISSN":"01448617","abstract":"The rheological and thermal properties of sodium-form gellan gum solutions with and without sodium chloride, potassium chloride, calcium chloride and magnesium chloride were studied by dynamic viscoelastic measurement and differential scanning calorimetry. Temperature dependence of the loss modulus G″ for gellan gum solutions of lower concentrations without salt showed one step-like change at a certain temperature, however, that for concentrated gellan gum solutions (&gt; 2.0%) showed two step-like changes. The higher temperature process was attributed to the helix-coil transition, and was found in between the exothermic and endothermic peak temperatures Ts and Tm observed in cooling and heating DSC curves, while the lower temperature process was attributed to the sol-gel transition. Temperature dependence of G″ for gellan gum solutions of higher concentrations (&gt; 3.2%) showed a large hysteresis, moreover, the temperature at which G″ showed the second step decrease in the heating process shifted to higher temperatures with increasing concentration of gellan gum. The cooling or heating DSC curves for gellan gum solutions of lower concentrations showed a single exothermic or endothermic peak, and both Ts and Tm shifted to higher temperatures, and both exothermic and endothermic enthalpies increased with increasing concentration of gellan gum. However, for a gellan gum solution with a concentration higher than 3.2%, two endothermic peaks were observed on heating while the cooling curve showed only one exothermic peak. The lower temperature endothermic peak corresponds to the first step decrease of G″ in the heating process, and the higher temperature endothermic peak corresponds to the second step decrease of G″. The viscoelastic behavior of gellan gum solutions was influenced much more strongly by divalent cations than by monovalent cations. DSC heating curves for a 1% gellan gum solution in the presence of sufficient monovalent cations showed multiple endothermic peaks, however, these multiple peaks were observed at significantly higher temperatures than those for a gellan gum solution of high concentration (3.2%) without salts. The endothermic peaks in the presence of sufficient divalent cations in the heating DSC curve were too broad to be resolved from the baseline, however, many small peaks were observed at higher temperatures and the largest endothermic peak was observed at a temperature higher than 100 °C. Therefore, although divalent cations promote …","author":[{"dropping-particle":"","family":"Miyoshi","given":"E","non-dropping-particle":"","parse-names":false,"suffix":""}],"container-title":"Carbohydrate Polymers","id":"ITEM-1","issue":"2-3","issued":{"date-parts":[["1996","7"]]},"page":"109-119","title":"Rheological and thermal studies of gel-sol transition in gellan gum aqueous solutions","type":"article-journal","volume":"30"},"uris":["http://www.mendeley.com/documents/?uuid=a3910946-eaf4-4d6a-b49f-22c5bc723d14"]}],"mendeley":{"formattedCitation":"[22]","plainTextFormattedCitation":"[22]","previouslyFormattedCitation":"[22]"},"properties":{"noteIndex":0},"schema":"https://github.com/citation-style-language/schema/raw/master/csl-citation.json"}</w:instrText>
      </w:r>
      <w:r w:rsidRPr="00F54DA5">
        <w:fldChar w:fldCharType="separate"/>
      </w:r>
      <w:r w:rsidR="00793844" w:rsidRPr="00793844">
        <w:rPr>
          <w:noProof/>
        </w:rPr>
        <w:t>[22]</w:t>
      </w:r>
      <w:r w:rsidRPr="00F54DA5">
        <w:fldChar w:fldCharType="end"/>
      </w:r>
      <w:r w:rsidRPr="00F54DA5">
        <w:t xml:space="preserve">. This particular property is </w:t>
      </w:r>
      <w:r w:rsidR="00C46867">
        <w:t>attractive given</w:t>
      </w:r>
      <w:r w:rsidR="00D85C6F">
        <w:t xml:space="preserve"> </w:t>
      </w:r>
      <w:r w:rsidR="00C46867">
        <w:t xml:space="preserve">the opportunity to modulate the </w:t>
      </w:r>
      <w:r w:rsidRPr="00F54DA5">
        <w:t xml:space="preserve">chemical and physical modification of this polymeric material </w:t>
      </w:r>
      <w:r w:rsidRPr="00F54DA5">
        <w:fldChar w:fldCharType="begin" w:fldLock="1"/>
      </w:r>
      <w:r w:rsidR="00793844">
        <w:instrText>ADDIN CSL_CITATION {"citationItems":[{"id":"ITEM-1","itemData":{"DOI":"10.1016/j.eurpolymj.2016.02.007","ISSN":"00143057","abstract":"Successful treatment of infected wounds still represents an open challenge in the biomedical field. Nanocomposite hydrogels (NC) are a valid solution to this problem as they can be used as wound dressing materials for the delivery of therapeutic agents at the site of the injury. In addition, their improved mechanical properties make possible a sterile treatment, which is not generally possible using conventional hydrogels. Here in this work, gellan gum methacrylate (GG-MA), a biocompatible polymer recently proposed for the fabrication of injectable and photocrosslinkable hydrogels, was combined with laponite?? XLG to form novel NC hydrogels as innovative wound dressing material. Clay concentration was varied in the range of 0.1 up to 1% w/v to study the possible clay-polymer interactions prior and after UV irradiation, showing the formation of weak gels having storage modulus G' varying from 1 up to 100. Pa, even prior photocrosslinking. As expected, the highest value of G' (over 1000. Pa) was found for the NC hydrogel containing 1% w/v of laponite after UV irradiation. The same system showed unaltered mechanical properties after steam sterilization compared to the one composed of 0.5% of clay, which showed a decrease in the stress failure after steam treatment. Moreover, the effect of laponite on the swelling and release capability was studied to test these new nanocomposite systems as a carrier of the model drug ofloxacin. Laponite was able to decrease the amount of antibiotic released over the first eight hours compared to the GG-MA hydrogels, although the amount of clay did not influence the diffusion coefficient of ofloxacin. Finally, preliminary cytotoxicity tests on human fibroblasts were carried out to evaluate the NC hydrogel biocompatibility. Overall, we anticipate the possible use of this novel NC hydrogel as wound dressing material for the treatment of burn wounds, which are subjected to chronic infections.","author":[{"dropping-particle":"","family":"Pacelli","given":"Settimio","non-dropping-particle":"","parse-names":false,"suffix":""},{"dropping-particle":"","family":"Paolicelli","given":"Patrizia","non-dropping-particle":"","parse-names":false,"suffix":""},{"dropping-particle":"","family":"Moretti","given":"Giuseppe","non-dropping-particle":"","parse-names":false,"suffix":""},{"dropping-particle":"","family":"Petralito","given":"Stefania","non-dropping-particle":"","parse-names":false,"suffix":""},{"dropping-particle":"","family":"Giacomo","given":"Silvia","non-dropping-particle":"Di","parse-names":false,"suffix":""},{"dropping-particle":"","family":"Vitalone","given":"Annabella","non-dropping-particle":"","parse-names":false,"suffix":""},{"dropping-particle":"","family":"Casadei","given":"Maria Antonietta","non-dropping-particle":"","parse-names":false,"suffix":""}],"container-title":"European Polymer Journal","id":"ITEM-1","issued":{"date-parts":[["2015"]]},"note":"Di Giacomo et al. investigated influence of Laponite XLG in conjunction with GELLAN GUM METHACRYLATE (GG-MA). As expected, the highest value of G0 (over 1000 Pa) was found for the NC hydrogel containing 1% w/v of laponite after UV irradiation. To address this point, several concentrations of laponite have been tested (0.1 up to 1% w/v) to study how the different\namounts of clay were able to influence the mechanical properties of the NC hydrogels GG-MA.\n\nGG-MA solutions of 1 and 2% w/v were obtained by solubilization of the polymer in deionized (DI) water and mixed with\ndifferent aqueous solution of laponite? XLG previously dispersed in water at room temperature. All the polymeric solutions (4.0 ml) were mixed together with Irgacure 2959 (25 ll of a solution 20%, w/v, in N-methyl- pyrrolidone) and placed in silicon molds (Ø 5.0 cm) to facilitate the removal of the hydrogels after their formation.\n\nResults\nA concentration of 2% w/v was found to be appropriate and kept constant throughout all the studies. In fact, with lower concentrations the photochemical hydrogels were too weak and fragile, while for higher amount of GG-MA no significant improvement in mechanical properties were detected (data not shown). This behavior was observed up to a limit value of clay concentration (0.5% w/v) over which no modification of the viscosity were detected for further increase in laponite concentration. Interestingly, even prior irradiation all the systems behave like weak gels with the value of the elastic modulus (G0) higher than the viscous one (G00). Moreover, an increase of near two order of magnitude (from 1 to 100 Pa) in the value of G0 can be detected, which relates to the amount of laponite included in the formulation. Laponite dispersions spontaneously age toward a gel equilibrium state and this process can be affected by several factors, including the concentration of laponite and other parameters that can modulate particles aggregation, such as salt and polymer content [27,28]. In the GG-MA/clay systems containing 0.5% and 1% w/v of laponite? XLG no significant change in the values of G0 calculated at 1 Hz was detected over a week of time. This behavior could be attributed to the stabilization of the clay dispersion in the presence of the polymeric chains, which are likely to interact with the surface of the clay particles and avoiding or signifi- cantly delaying their aggregation.\n\nGG-MA hydrogels without clay in their network were found to be completely destroyed after this treatment and for them it was not possible to record any mechanical spectra. On the contrary, the presence of laponite in the polymeric network allowed the sterilization and the hydrogels were able to retain their structure after the thermal treatment.\n\nIn the presence of Na+ counterions, negative charges of both GG-MA’s carboxylate groups and laponite can be shielded, leading to a lower swelling degree of the matrix (Fig. 3A). This behavior can explain the smaller values of equilibrium of swelling measured in NaCl 0.9% w/v with respect to the ones found when the gels were placed in distilled water. The equilibrium of swelling was reached in all systems after the first 3 h and GG-MA gels (Lap 0%) had the highest values in water potentially due to higher mobility of the polymeric chains, which may be hampered in the presence of laponite.\nHowever, this phenomenon of aggregation for the exfoliated clay could be partially prevented by the presence of gellan gum chains, which can avoid the complete precipitation of clay in the gel matrix, main- taining the exfoliated clay in almost fixed and stable positions.\nIn addition, the presence of the laponite was also able to affect the internal porosity of the polymeric matrix. In fact, GG-\nMA hydrogels showed larger porosity compared to the systems with laponite although no significant difference was observed according to the amount of clay introduced in the hydrogels.","page":"114-123","title":"Gellan gum methacrylate and laponite as an innovative nanocomposite hydrogel for biomedical applications","type":"article-journal","volume":"77"},"uris":["http://www.mendeley.com/documents/?uuid=aa45fa5d-76a6-4726-a683-f0c225360c06"]}],"mendeley":{"formattedCitation":"[23]","plainTextFormattedCitation":"[23]","previouslyFormattedCitation":"[23]"},"properties":{"noteIndex":0},"schema":"https://github.com/citation-style-language/schema/raw/master/csl-citation.json"}</w:instrText>
      </w:r>
      <w:r w:rsidRPr="00F54DA5">
        <w:fldChar w:fldCharType="separate"/>
      </w:r>
      <w:r w:rsidR="00793844" w:rsidRPr="00793844">
        <w:rPr>
          <w:noProof/>
        </w:rPr>
        <w:t>[23]</w:t>
      </w:r>
      <w:r w:rsidRPr="00F54DA5">
        <w:fldChar w:fldCharType="end"/>
      </w:r>
      <w:r w:rsidRPr="00F54DA5">
        <w:t xml:space="preserve">. </w:t>
      </w:r>
      <w:r w:rsidR="00C46867">
        <w:rPr>
          <w:rFonts w:cs="Arial"/>
        </w:rPr>
        <w:t>LAP</w:t>
      </w:r>
      <w:r w:rsidR="00C46867" w:rsidRPr="00C46867">
        <w:rPr>
          <w:rFonts w:cs="Arial"/>
        </w:rPr>
        <w:t xml:space="preserve"> </w:t>
      </w:r>
      <w:r w:rsidRPr="00F54DA5">
        <w:rPr>
          <w:rFonts w:cs="Arial"/>
        </w:rPr>
        <w:t xml:space="preserve">has been shown to be an excellent filler for hydrogels </w:t>
      </w:r>
      <w:r w:rsidR="00C46867">
        <w:rPr>
          <w:rFonts w:cs="Arial"/>
        </w:rPr>
        <w:t xml:space="preserve">targeted as </w:t>
      </w:r>
      <w:r w:rsidRPr="00F54DA5">
        <w:rPr>
          <w:rFonts w:cs="Arial"/>
        </w:rPr>
        <w:t xml:space="preserve">bioinks for biofabrication applications </w:t>
      </w:r>
      <w:r w:rsidRPr="00F54DA5">
        <w:rPr>
          <w:rFonts w:cs="Arial"/>
        </w:rPr>
        <w:fldChar w:fldCharType="begin" w:fldLock="1"/>
      </w:r>
      <w:r w:rsidR="00793844">
        <w:rPr>
          <w:rFonts w:cs="Arial"/>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application","type":"article-journal","volume":"9"},"uris":["http://www.mendeley.com/documents/?uuid=66cf7e3f-a561-43b9-8726-1231e9e363b7"]},{"id":"ITEM-2","itemData":{"DOI":"10.1021/acsami.7b03613","ISSN":"1944-8244","PMID":"28467835","abstract":"Three dimensional (3D) bioprinting technology enables the freeform fabrication of complex constructs from various hydrogels and receives increasing attention in tissue engineering. The objective of this study is to develop a novel self-supporting direct hydrogel printing approach to extrude complex 3D hydrogel composite structures in air without the help of a support bath. Laponite, a member of the smectite mineral family, is investigated to serve as an internal scaffold material for the direct printing of hydrogel composite structures in air. In the proposed printing approach, due to its yield-stress properties, Laponite nanoclay can be easily extruded through a nozzle as a liquid and self-supported after extrusion as a solid. Its unique crystal structure with positive and negative charges enables it to be mixed with many chemically and physically crosslinked hydrogels, which makes it an ideal internal scaffold material for the fabrication of various hydrogel structures. By mixing Laponite nanoclay with various hydrogel precursors, the hydrogel composites retain the self-supporting capacity and can be printed into 3D structures directly in air and retain their shapes before crosslinking. Then, the whole structures are solidified in situ by applying suitable crosslinking stimuli. Besides, the addition of Laponite nanoclay can effectively improve the mechanical and biological properties of hydrogel composites. Specifically, the addition of Laponite nanoclay results in a significant increase in the Young's modulus of each hydrogel-Laponite composite: 1.9-fold increase for the poly (ethylene glycol) diacrylate (PEGDA)-Laponite composite, 7.4-fold increase for the alginate-Laponite composite, and 3.3-fold increase for the gelatin-Laponite composite.","author":[{"dropping-particle":"","family":"Jin","given":"Yifei","non-dropping-particle":"","parse-names":false,"suffix":""},{"dropping-particle":"","family":"Liu","given":"Chengcheng","non-dropping-particle":"","parse-names":false,"suffix":""},{"dropping-particle":"","family":"Chai","given":"Wenxuan","non-dropping-particle":"","parse-names":false,"suffix":""},{"dropping-particle":"","family":"Compaan","given":"Ashley M.","non-dropping-particle":"","parse-names":false,"suffix":""},{"dropping-particle":"","family":"Huang","given":"Yong","non-dropping-particle":"","parse-names":false,"suffix":""}],"container-title":"ACS Applied Materials &amp; Interfaces","id":"ITEM-2","issued":{"date-parts":[["2017"]]},"note":"Jin et al. printed Laponite-based hydrogels (high concentrated Laponite 6%) in combination with PEGDA or low concentration Alginate (0.5%). Result of morphological structure of 3D printed hydrogels were precise for hydrogel extrusion (probably because of the high concentrated clay). They proposed a non-tested and unproven Laponite extrusion mechanism. \nMoreover, they first print and then crosslink the material!","page":"acsami.7b03613","title":"Self-Supporting Nanoclay as Internal Scaffold Material for Direct Printing of Soft Hydrogel Composite Structures in Air","type":"article-journal"},"uris":["http://www.mendeley.com/documents/?uuid=b2ce8a7b-d48f-4858-a92b-edcbe2efb4e9"]},{"id":"ITEM-3","itemData":{"DOI":"10.1002/adma.201570182","ISBN":"1521-4095","ISSN":"09359648","PMID":"26033288","abstract":"described in the Experimental Section.) We hypothesize that the toughening of this biocompatible hydrogel relies on a com-bination of two mechanisms: the reversible Ca 2+ crosslinking of alginate dissipates mechanical energy, while the covalent crosslinking of PEG maintains elasticity under large deforma-tions (Figure 1). To test this hypothesis, we varied the molecular weight of PEG (6000–20 000 Da) and the concentrations of Ca 2+ (25 µL of either 0 or 1 M CaSO 4 solution added per 1 mL of the pre-gel PEG–alginate mixture) in the hydrogels, and used pure-shear tests to measure the fracture energies of the resultant hydrogels. [ 20 ] (Details of the pure-shear test are described in Figure S1, Supporting Information.) As shown in Figure S2a (Supporting Information), the fracture energies of hydrogels without Ca 2+ are consistently low (below 211 J m −2","author":[{"dropping-particle":"","family":"Hong","given":"Sungmin","non-dropping-particle":"","parse-names":false,"suffix":""},{"dropping-particle":"","family":"Sycks","given":"Dalton","non-dropping-particle":"","parse-names":false,"suffix":""},{"dropping-particle":"","family":"Chan","given":"Hon Fai","non-dropping-particle":"","parse-names":false,"suffix":""},{"dropping-particle":"","family":"Lin","given":"Shaoting","non-dropping-particle":"","parse-names":false,"suffix":""},{"dropping-particle":"","family":"Lopez","given":"Gabriel P.","non-dropping-particle":"","parse-names":false,"suffix":""},{"dropping-particle":"","family":"Guilak","given":"Farshid","non-dropping-particle":"","parse-names":false,"suffix":""},{"dropping-particle":"","family":"Leong","given":"Kam W.","non-dropping-particle":"","parse-names":false,"suffix":""},{"dropping-particle":"","family":"Zhao","given":"Xuanhe","non-dropping-particle":"","parse-names":false,"suffix":""}],"container-title":"Advanced Materials","id":"ITEM-3","issue":"27","issued":{"date-parts":[["2015","7"]]},"note":"Hong et al. chose to used sodium alginate (chemically crosslinked) and PEG (covalent crosslink). They decide to go for 20wt% PEG and 2.5wt% alginate\nCell Staining for Stretch Testing : The samples were fixed with 4%\nparaformaldehyde for 30 min before staining with Alexa Fluor 488 Phalloidin for the actin-filament network and DAPI for the nucleus (Sigma-Aldrich, St. Louis, MO, USA) for 1 h. The samples were washed with PBS for three times before being mounted on a glass slide for imaging.\nPEG-ALGINATE-NANOCLAY: hMSCs have been encapsulated in hydrogels at 3X10^6 cells/mL. PEG diacrylate (PEGDA)–alginate mixture was prepared as described above, but Laponite XLG (final concentration 5 wt%) was first dissolved into deionized water, followedby PEGDA. Overnight gel homogenization and settling has been allowed. It was then mixed in a 1:1 ratio with 5wt% alginate solution. I-1959 and CaS04 solution were added to the pregel and syringe was loaded.\n\nThey employed an extrusion needle obtaining a spatial resolution of 500um diameter.\nHere, they chose to use biocompatible nanoclay (Laponite XLG, BYK Additives, Inc., TX, USA) to control the viscosity of the pre-gel solution [29]\nDuring printing, the pre-gel solution experienced shear thinning inside the extrusion needle, and quickly regained its viscosity upon exiting.\nThe group employed HEK (Human Embryonic Kidney) to be encapsulated (3X10^6 cells/mL) within collagen solution. This gel actually solidify throughout the interconnected pores of the printed PEG-alginate-nanoclay mesh.\nEncapsulated cells showed viability over 7d.","page":"4034-4034","title":"3D Printing: 3D Printing of Highly Stretchable and Tough Hydrogels into Complex, Cellularized Structures (Adv. Mater. 27/2015)","type":"article-journal","volume":"27"},"uris":["http://www.mendeley.com/documents/?uuid=72c542a2-9a37-4a1d-9e10-fcb5e3d29683"]}],"mendeley":{"formattedCitation":"[12,24,25]","plainTextFormattedCitation":"[12,24,25]","previouslyFormattedCitation":"[12,24,25]"},"properties":{"noteIndex":0},"schema":"https://github.com/citation-style-language/schema/raw/master/csl-citation.json"}</w:instrText>
      </w:r>
      <w:r w:rsidRPr="00F54DA5">
        <w:rPr>
          <w:rFonts w:cs="Arial"/>
        </w:rPr>
        <w:fldChar w:fldCharType="separate"/>
      </w:r>
      <w:r w:rsidR="00793844" w:rsidRPr="00793844">
        <w:rPr>
          <w:rFonts w:cs="Arial"/>
          <w:noProof/>
        </w:rPr>
        <w:t>[12,24,25]</w:t>
      </w:r>
      <w:r w:rsidRPr="00F54DA5">
        <w:rPr>
          <w:rFonts w:cs="Arial"/>
        </w:rPr>
        <w:fldChar w:fldCharType="end"/>
      </w:r>
      <w:r w:rsidRPr="00F54DA5">
        <w:rPr>
          <w:rFonts w:cs="Arial"/>
        </w:rPr>
        <w:t xml:space="preserve">. Pacelli </w:t>
      </w:r>
      <w:r w:rsidRPr="00F54DA5">
        <w:rPr>
          <w:rFonts w:cs="Arial"/>
          <w:i/>
        </w:rPr>
        <w:t xml:space="preserve">et al. </w:t>
      </w:r>
      <w:r w:rsidRPr="00F54DA5">
        <w:rPr>
          <w:rFonts w:cs="Arial"/>
          <w:i/>
        </w:rPr>
        <w:fldChar w:fldCharType="begin" w:fldLock="1"/>
      </w:r>
      <w:r w:rsidR="00793844">
        <w:rPr>
          <w:rFonts w:cs="Arial"/>
          <w:i/>
        </w:rPr>
        <w:instrText>ADDIN CSL_CITATION {"citationItems":[{"id":"ITEM-1","itemData":{"DOI":"10.1016/j.eurpolymj.2016.02.007","ISSN":"00143057","abstract":"Successful treatment of infected wounds still represents an open challenge in the biomedical field. Nanocomposite hydrogels (NC) are a valid solution to this problem as they can be used as wound dressing materials for the delivery of therapeutic agents at the site of the injury. In addition, their improved mechanical properties make possible a sterile treatment, which is not generally possible using conventional hydrogels. Here in this work, gellan gum methacrylate (GG-MA), a biocompatible polymer recently proposed for the fabrication of injectable and photocrosslinkable hydrogels, was combined with laponite?? XLG to form novel NC hydrogels as innovative wound dressing material. Clay concentration was varied in the range of 0.1 up to 1% w/v to study the possible clay-polymer interactions prior and after UV irradiation, showing the formation of weak gels having storage modulus G' varying from 1 up to 100. Pa, even prior photocrosslinking. As expected, the highest value of G' (over 1000. Pa) was found for the NC hydrogel containing 1% w/v of laponite after UV irradiation. The same system showed unaltered mechanical properties after steam sterilization compared to the one composed of 0.5% of clay, which showed a decrease in the stress failure after steam treatment. Moreover, the effect of laponite on the swelling and release capability was studied to test these new nanocomposite systems as a carrier of the model drug ofloxacin. Laponite was able to decrease the amount of antibiotic released over the first eight hours compared to the GG-MA hydrogels, although the amount of clay did not influence the diffusion coefficient of ofloxacin. Finally, preliminary cytotoxicity tests on human fibroblasts were carried out to evaluate the NC hydrogel biocompatibility. Overall, we anticipate the possible use of this novel NC hydrogel as wound dressing material for the treatment of burn wounds, which are subjected to chronic infections.","author":[{"dropping-particle":"","family":"Pacelli","given":"Settimio","non-dropping-particle":"","parse-names":false,"suffix":""},{"dropping-particle":"","family":"Paolicelli","given":"Patrizia","non-dropping-particle":"","parse-names":false,"suffix":""},{"dropping-particle":"","family":"Moretti","given":"Giuseppe","non-dropping-particle":"","parse-names":false,"suffix":""},{"dropping-particle":"","family":"Petralito","given":"Stefania","non-dropping-particle":"","parse-names":false,"suffix":""},{"dropping-particle":"","family":"Giacomo","given":"Silvia","non-dropping-particle":"Di","parse-names":false,"suffix":""},{"dropping-particle":"","family":"Vitalone","given":"Annabella","non-dropping-particle":"","parse-names":false,"suffix":""},{"dropping-particle":"","family":"Casadei","given":"Maria Antonietta","non-dropping-particle":"","parse-names":false,"suffix":""}],"container-title":"European Polymer Journal","id":"ITEM-1","issued":{"date-parts":[["2015"]]},"note":"Di Giacomo et al. investigated influence of Laponite XLG in conjunction with GELLAN GUM METHACRYLATE (GG-MA). As expected, the highest value of G0 (over 1000 Pa) was found for the NC hydrogel containing 1% w/v of laponite after UV irradiation. To address this point, several concentrations of laponite have been tested (0.1 up to 1% w/v) to study how the different\namounts of clay were able to influence the mechanical properties of the NC hydrogels GG-MA.\n\nGG-MA solutions of 1 and 2% w/v were obtained by solubilization of the polymer in deionized (DI) water and mixed with\ndifferent aqueous solution of laponite? XLG previously dispersed in water at room temperature. All the polymeric solutions (4.0 ml) were mixed together with Irgacure 2959 (25 ll of a solution 20%, w/v, in N-methyl- pyrrolidone) and placed in silicon molds (Ø 5.0 cm) to facilitate the removal of the hydrogels after their formation.\n\nResults\nA concentration of 2% w/v was found to be appropriate and kept constant throughout all the studies. In fact, with lower concentrations the photochemical hydrogels were too weak and fragile, while for higher amount of GG-MA no significant improvement in mechanical properties were detected (data not shown). This behavior was observed up to a limit value of clay concentration (0.5% w/v) over which no modification of the viscosity were detected for further increase in laponite concentration. Interestingly, even prior irradiation all the systems behave like weak gels with the value of the elastic modulus (G0) higher than the viscous one (G00). Moreover, an increase of near two order of magnitude (from 1 to 100 Pa) in the value of G0 can be detected, which relates to the amount of laponite included in the formulation. Laponite dispersions spontaneously age toward a gel equilibrium state and this process can be affected by several factors, including the concentration of laponite and other parameters that can modulate particles aggregation, such as salt and polymer content [27,28]. In the GG-MA/clay systems containing 0.5% and 1% w/v of laponite? XLG no significant change in the values of G0 calculated at 1 Hz was detected over a week of time. This behavior could be attributed to the stabilization of the clay dispersion in the presence of the polymeric chains, which are likely to interact with the surface of the clay particles and avoiding or signifi- cantly delaying their aggregation.\n\nGG-MA hydrogels without clay in their network were found to be completely destroyed after this treatment and for them it was not possible to record any mechanical spectra. On the contrary, the presence of laponite in the polymeric network allowed the sterilization and the hydrogels were able to retain their structure after the thermal treatment.\n\nIn the presence of Na+ counterions, negative charges of both GG-MA’s carboxylate groups and laponite can be shielded, leading to a lower swelling degree of the matrix (Fig. 3A). This behavior can explain the smaller values of equilibrium of swelling measured in NaCl 0.9% w/v with respect to the ones found when the gels were placed in distilled water. The equilibrium of swelling was reached in all systems after the first 3 h and GG-MA gels (Lap 0%) had the highest values in water potentially due to higher mobility of the polymeric chains, which may be hampered in the presence of laponite.\nHowever, this phenomenon of aggregation for the exfoliated clay could be partially prevented by the presence of gellan gum chains, which can avoid the complete precipitation of clay in the gel matrix, main- taining the exfoliated clay in almost fixed and stable positions.\nIn addition, the presence of the laponite was also able to affect the internal porosity of the polymeric matrix. In fact, GG-\nMA hydrogels showed larger porosity compared to the systems with laponite although no significant difference was observed according to the amount of clay introduced in the hydrogels.","page":"114-123","title":"Gellan gum methacrylate and laponite as an innovative nanocomposite hydrogel for biomedical applications","type":"article-journal","volume":"77"},"uris":["http://www.mendeley.com/documents/?uuid=aa45fa5d-76a6-4726-a683-f0c225360c06"]}],"mendeley":{"formattedCitation":"[23]","plainTextFormattedCitation":"[23]","previouslyFormattedCitation":"[23]"},"properties":{"noteIndex":0},"schema":"https://github.com/citation-style-language/schema/raw/master/csl-citation.json"}</w:instrText>
      </w:r>
      <w:r w:rsidRPr="00F54DA5">
        <w:rPr>
          <w:rFonts w:cs="Arial"/>
          <w:i/>
        </w:rPr>
        <w:fldChar w:fldCharType="separate"/>
      </w:r>
      <w:r w:rsidR="00793844" w:rsidRPr="00793844">
        <w:rPr>
          <w:rFonts w:cs="Arial"/>
          <w:noProof/>
        </w:rPr>
        <w:t>[23]</w:t>
      </w:r>
      <w:r w:rsidRPr="00F54DA5">
        <w:rPr>
          <w:rFonts w:cs="Arial"/>
          <w:i/>
        </w:rPr>
        <w:fldChar w:fldCharType="end"/>
      </w:r>
      <w:r w:rsidRPr="00F54DA5">
        <w:rPr>
          <w:rFonts w:cs="Arial"/>
        </w:rPr>
        <w:t xml:space="preserve"> recently reported the physico-chemical and drug-delivery properties of LAP-GG hydrogels, demonstrating that; i) L</w:t>
      </w:r>
      <w:r w:rsidR="00C46867">
        <w:rPr>
          <w:rFonts w:cs="Arial"/>
        </w:rPr>
        <w:t>AP</w:t>
      </w:r>
      <w:r w:rsidRPr="00F54DA5">
        <w:rPr>
          <w:rFonts w:cs="Arial"/>
        </w:rPr>
        <w:t xml:space="preserve"> induced an increase in viscosity of the final polymeric solution, ii) stabilised the GG network, and iii) modulated the release of a model drug (ofloxacin). However, functional studies on encapsulated cells were not i</w:t>
      </w:r>
      <w:r w:rsidR="00C46867">
        <w:rPr>
          <w:rFonts w:cs="Arial"/>
        </w:rPr>
        <w:t>nvestigated and t</w:t>
      </w:r>
      <w:r w:rsidRPr="00F54DA5">
        <w:rPr>
          <w:rFonts w:cs="Arial"/>
        </w:rPr>
        <w:t xml:space="preserve">he use of a methacrylate-modified GG, </w:t>
      </w:r>
      <w:r w:rsidRPr="00F54DA5">
        <w:rPr>
          <w:rFonts w:cs="Arial"/>
        </w:rPr>
        <w:lastRenderedPageBreak/>
        <w:t xml:space="preserve">crosslinked </w:t>
      </w:r>
      <w:r w:rsidR="00F04E23">
        <w:rPr>
          <w:rFonts w:cs="Arial"/>
        </w:rPr>
        <w:t>using</w:t>
      </w:r>
      <w:r w:rsidRPr="00F54DA5">
        <w:rPr>
          <w:rFonts w:cs="Arial"/>
        </w:rPr>
        <w:t xml:space="preserve"> UV-light </w:t>
      </w:r>
      <w:r w:rsidR="00C46867">
        <w:rPr>
          <w:rFonts w:cs="Arial"/>
        </w:rPr>
        <w:t xml:space="preserve">provides a challenging strategy for viable cell </w:t>
      </w:r>
      <w:r w:rsidRPr="00F54DA5">
        <w:rPr>
          <w:rFonts w:cs="Arial"/>
        </w:rPr>
        <w:t>encapsulation purposes.</w:t>
      </w:r>
    </w:p>
    <w:p w14:paraId="7EA3E283" w14:textId="2A5D6179" w:rsidR="00A864BA" w:rsidRPr="00F54DA5" w:rsidRDefault="00A864BA" w:rsidP="00D9695A">
      <w:pPr>
        <w:tabs>
          <w:tab w:val="left" w:pos="567"/>
        </w:tabs>
        <w:spacing w:line="360" w:lineRule="auto"/>
        <w:jc w:val="both"/>
        <w:rPr>
          <w:rFonts w:cs="Arial"/>
        </w:rPr>
      </w:pPr>
      <w:r w:rsidRPr="00F54DA5">
        <w:rPr>
          <w:rFonts w:cs="Arial"/>
        </w:rPr>
        <w:t>In th</w:t>
      </w:r>
      <w:r w:rsidR="00C46867">
        <w:rPr>
          <w:rFonts w:cs="Arial"/>
        </w:rPr>
        <w:t xml:space="preserve">e current study, we have </w:t>
      </w:r>
      <w:r w:rsidR="00AD210F">
        <w:rPr>
          <w:rFonts w:cs="Arial"/>
        </w:rPr>
        <w:t>developed</w:t>
      </w:r>
      <w:r w:rsidR="00C46867">
        <w:rPr>
          <w:rFonts w:cs="Arial"/>
        </w:rPr>
        <w:t xml:space="preserve"> a </w:t>
      </w:r>
      <w:r w:rsidRPr="00F54DA5">
        <w:rPr>
          <w:rFonts w:cs="Arial"/>
        </w:rPr>
        <w:t xml:space="preserve">nanocomposite bioink (LAP-GG) that </w:t>
      </w:r>
      <w:r w:rsidR="00910A55" w:rsidRPr="00F54DA5">
        <w:rPr>
          <w:rFonts w:cs="Arial"/>
        </w:rPr>
        <w:t>can</w:t>
      </w:r>
      <w:r w:rsidRPr="00F54DA5">
        <w:rPr>
          <w:rFonts w:cs="Arial"/>
        </w:rPr>
        <w:t xml:space="preserve"> be extruded in a tailored functional agarose fluid gel</w:t>
      </w:r>
      <w:r w:rsidR="00C46867">
        <w:rPr>
          <w:rFonts w:cs="Arial"/>
        </w:rPr>
        <w:t xml:space="preserve"> bed</w:t>
      </w:r>
      <w:r w:rsidRPr="00F54DA5">
        <w:rPr>
          <w:rFonts w:cs="Arial"/>
        </w:rPr>
        <w:t>. Specificall</w:t>
      </w:r>
      <w:r w:rsidR="000C24F7" w:rsidRPr="00F54DA5">
        <w:rPr>
          <w:rFonts w:cs="Arial"/>
        </w:rPr>
        <w:t xml:space="preserve">y, </w:t>
      </w:r>
      <w:r w:rsidR="00C46867">
        <w:rPr>
          <w:rFonts w:cs="Arial"/>
        </w:rPr>
        <w:t xml:space="preserve">this study has </w:t>
      </w:r>
      <w:r w:rsidRPr="00F54DA5">
        <w:rPr>
          <w:rFonts w:cs="Arial"/>
        </w:rPr>
        <w:t>examine</w:t>
      </w:r>
      <w:r w:rsidR="000C24F7" w:rsidRPr="00F54DA5">
        <w:rPr>
          <w:rFonts w:cs="Arial"/>
        </w:rPr>
        <w:t>d</w:t>
      </w:r>
      <w:r w:rsidRPr="00F54DA5">
        <w:rPr>
          <w:rFonts w:cs="Arial"/>
        </w:rPr>
        <w:t xml:space="preserve"> the potential to </w:t>
      </w:r>
      <w:r w:rsidR="00910A55" w:rsidRPr="00F54DA5">
        <w:rPr>
          <w:rFonts w:cs="Arial"/>
        </w:rPr>
        <w:t xml:space="preserve">increase the printing resolution of GG hydrogel </w:t>
      </w:r>
      <w:r w:rsidR="00C46867">
        <w:rPr>
          <w:rFonts w:cs="Arial"/>
        </w:rPr>
        <w:t xml:space="preserve">following LAP </w:t>
      </w:r>
      <w:r w:rsidR="00910A55" w:rsidRPr="00F54DA5">
        <w:rPr>
          <w:rFonts w:cs="Arial"/>
        </w:rPr>
        <w:t xml:space="preserve">inclusion, </w:t>
      </w:r>
      <w:r w:rsidRPr="00F54DA5">
        <w:rPr>
          <w:rFonts w:cs="Arial"/>
        </w:rPr>
        <w:t>fabricat</w:t>
      </w:r>
      <w:r w:rsidR="00910A55" w:rsidRPr="00F54DA5">
        <w:rPr>
          <w:rFonts w:cs="Arial"/>
        </w:rPr>
        <w:t>ing</w:t>
      </w:r>
      <w:r w:rsidRPr="00F54DA5">
        <w:rPr>
          <w:rFonts w:cs="Arial"/>
        </w:rPr>
        <w:t xml:space="preserve"> </w:t>
      </w:r>
      <w:r w:rsidR="00910A55" w:rsidRPr="00F54DA5">
        <w:rPr>
          <w:rFonts w:cs="Arial"/>
        </w:rPr>
        <w:t>a novel nanocomposite</w:t>
      </w:r>
      <w:r w:rsidR="00F04E23">
        <w:rPr>
          <w:rFonts w:cs="Arial"/>
        </w:rPr>
        <w:t xml:space="preserve">. </w:t>
      </w:r>
      <w:r w:rsidR="005311EA">
        <w:rPr>
          <w:rFonts w:cs="Arial"/>
        </w:rPr>
        <w:t xml:space="preserve">In addition, the current work </w:t>
      </w:r>
      <w:r w:rsidR="00F04E23">
        <w:rPr>
          <w:rFonts w:cs="Arial"/>
        </w:rPr>
        <w:t>ha</w:t>
      </w:r>
      <w:r w:rsidR="005311EA">
        <w:rPr>
          <w:rFonts w:cs="Arial"/>
        </w:rPr>
        <w:t>s</w:t>
      </w:r>
      <w:r w:rsidR="00F04E23">
        <w:rPr>
          <w:rFonts w:cs="Arial"/>
        </w:rPr>
        <w:t xml:space="preserve"> determined the </w:t>
      </w:r>
      <w:r w:rsidR="005311EA">
        <w:rPr>
          <w:rFonts w:cs="Arial"/>
        </w:rPr>
        <w:t>potential o</w:t>
      </w:r>
      <w:r w:rsidR="00C46867">
        <w:rPr>
          <w:rFonts w:cs="Arial"/>
        </w:rPr>
        <w:t xml:space="preserve">f the biomaterial composite </w:t>
      </w:r>
      <w:r w:rsidR="00910A55" w:rsidRPr="00F54DA5">
        <w:rPr>
          <w:rFonts w:cs="Arial"/>
        </w:rPr>
        <w:t xml:space="preserve">to deliver </w:t>
      </w:r>
      <w:r w:rsidR="00C46867">
        <w:rPr>
          <w:rFonts w:cs="Arial"/>
        </w:rPr>
        <w:t xml:space="preserve">viable </w:t>
      </w:r>
      <w:r w:rsidR="00A60365">
        <w:rPr>
          <w:rFonts w:cs="Arial"/>
        </w:rPr>
        <w:t>cells</w:t>
      </w:r>
      <w:r w:rsidR="00C46867">
        <w:rPr>
          <w:rFonts w:cs="Arial"/>
        </w:rPr>
        <w:t xml:space="preserve"> in</w:t>
      </w:r>
      <w:r w:rsidR="00910A55" w:rsidRPr="00F54DA5">
        <w:rPr>
          <w:rFonts w:cs="Arial"/>
        </w:rPr>
        <w:t xml:space="preserve"> three dimensions</w:t>
      </w:r>
      <w:r w:rsidR="00C46867">
        <w:rPr>
          <w:rFonts w:cs="Arial"/>
        </w:rPr>
        <w:t xml:space="preserve"> and to </w:t>
      </w:r>
      <w:r w:rsidR="00910A55" w:rsidRPr="00F54DA5">
        <w:rPr>
          <w:rFonts w:cs="Arial"/>
        </w:rPr>
        <w:t xml:space="preserve">sustain proliferation and functionality </w:t>
      </w:r>
      <w:r w:rsidRPr="00F54DA5">
        <w:rPr>
          <w:rFonts w:cs="Arial"/>
        </w:rPr>
        <w:t xml:space="preserve">within an </w:t>
      </w:r>
      <w:r w:rsidRPr="00F54DA5">
        <w:rPr>
          <w:rFonts w:cs="Arial"/>
          <w:i/>
        </w:rPr>
        <w:t>ex vivo</w:t>
      </w:r>
      <w:r w:rsidRPr="00F54DA5">
        <w:rPr>
          <w:rFonts w:cs="Arial"/>
        </w:rPr>
        <w:t xml:space="preserve"> </w:t>
      </w:r>
      <w:r w:rsidR="00BE4DDB">
        <w:rPr>
          <w:rFonts w:cs="Arial"/>
        </w:rPr>
        <w:t xml:space="preserve">chick chorioallantoic membrane </w:t>
      </w:r>
      <w:r w:rsidRPr="00F54DA5">
        <w:rPr>
          <w:rFonts w:cs="Arial"/>
        </w:rPr>
        <w:t xml:space="preserve">model to investigate </w:t>
      </w:r>
      <w:r w:rsidR="00BE4DDB">
        <w:rPr>
          <w:rFonts w:cs="Arial"/>
        </w:rPr>
        <w:t xml:space="preserve">vasculature </w:t>
      </w:r>
      <w:r w:rsidRPr="00F54DA5">
        <w:rPr>
          <w:rFonts w:cs="Arial"/>
        </w:rPr>
        <w:t>integr</w:t>
      </w:r>
      <w:r w:rsidR="001852E5">
        <w:rPr>
          <w:rFonts w:cs="Arial"/>
        </w:rPr>
        <w:t>ation</w:t>
      </w:r>
      <w:r w:rsidR="00BE4DDB">
        <w:rPr>
          <w:rFonts w:cs="Arial"/>
        </w:rPr>
        <w:t xml:space="preserve"> and tissue </w:t>
      </w:r>
      <w:r w:rsidR="001852E5">
        <w:rPr>
          <w:rFonts w:cs="Arial"/>
        </w:rPr>
        <w:t xml:space="preserve">formation. </w:t>
      </w:r>
    </w:p>
    <w:p w14:paraId="7035AB28" w14:textId="09FB7EB5" w:rsidR="00A864BA" w:rsidRPr="00F54DA5" w:rsidRDefault="00A864BA" w:rsidP="00D9695A">
      <w:pPr>
        <w:tabs>
          <w:tab w:val="left" w:pos="567"/>
        </w:tabs>
        <w:spacing w:line="360" w:lineRule="auto"/>
        <w:jc w:val="both"/>
        <w:rPr>
          <w:rFonts w:cs="Arial"/>
        </w:rPr>
      </w:pPr>
    </w:p>
    <w:p w14:paraId="1038963C" w14:textId="06A4B0AC" w:rsidR="003F4C21" w:rsidRPr="00F54DA5" w:rsidRDefault="003F4C21" w:rsidP="00D9695A">
      <w:pPr>
        <w:tabs>
          <w:tab w:val="left" w:pos="567"/>
        </w:tabs>
        <w:spacing w:line="360" w:lineRule="auto"/>
        <w:jc w:val="both"/>
        <w:rPr>
          <w:rFonts w:cs="Arial"/>
        </w:rPr>
      </w:pPr>
    </w:p>
    <w:p w14:paraId="771A7BCA" w14:textId="4E0BF542" w:rsidR="003F4C21" w:rsidRPr="00F54DA5" w:rsidRDefault="003F4C21" w:rsidP="00D9695A">
      <w:pPr>
        <w:tabs>
          <w:tab w:val="left" w:pos="567"/>
        </w:tabs>
        <w:spacing w:line="360" w:lineRule="auto"/>
        <w:jc w:val="both"/>
        <w:rPr>
          <w:rFonts w:cs="Arial"/>
        </w:rPr>
      </w:pPr>
    </w:p>
    <w:p w14:paraId="3BCCCF00" w14:textId="3B2E0DAA" w:rsidR="003F4C21" w:rsidRPr="00F54DA5" w:rsidRDefault="003F4C21" w:rsidP="00D9695A">
      <w:pPr>
        <w:tabs>
          <w:tab w:val="left" w:pos="567"/>
        </w:tabs>
        <w:spacing w:line="360" w:lineRule="auto"/>
        <w:jc w:val="both"/>
        <w:rPr>
          <w:rFonts w:cs="Arial"/>
        </w:rPr>
      </w:pPr>
    </w:p>
    <w:p w14:paraId="70CF045A" w14:textId="50E6E97B" w:rsidR="003F4C21" w:rsidRPr="00F54DA5" w:rsidRDefault="003F4C21" w:rsidP="00D9695A">
      <w:pPr>
        <w:tabs>
          <w:tab w:val="left" w:pos="567"/>
        </w:tabs>
        <w:spacing w:line="360" w:lineRule="auto"/>
        <w:jc w:val="both"/>
        <w:rPr>
          <w:rFonts w:cs="Arial"/>
        </w:rPr>
      </w:pPr>
      <w:bookmarkStart w:id="5" w:name="_GoBack"/>
      <w:bookmarkEnd w:id="5"/>
    </w:p>
    <w:p w14:paraId="4A6D486A" w14:textId="6C74E6C1" w:rsidR="00A864BA" w:rsidRPr="00F54DA5" w:rsidRDefault="003F4C21" w:rsidP="00CC404C">
      <w:pPr>
        <w:pStyle w:val="Heading2"/>
        <w:numPr>
          <w:ilvl w:val="0"/>
          <w:numId w:val="40"/>
        </w:numPr>
        <w:tabs>
          <w:tab w:val="left" w:pos="426"/>
        </w:tabs>
        <w:spacing w:before="360" w:after="240"/>
        <w:ind w:left="426" w:hanging="426"/>
        <w:jc w:val="both"/>
      </w:pPr>
      <w:bookmarkStart w:id="6" w:name="_Toc529724910"/>
      <w:bookmarkStart w:id="7" w:name="_Toc529724911"/>
      <w:bookmarkStart w:id="8" w:name="_Toc529724912"/>
      <w:bookmarkStart w:id="9" w:name="_Toc529724913"/>
      <w:bookmarkEnd w:id="6"/>
      <w:bookmarkEnd w:id="7"/>
      <w:bookmarkEnd w:id="8"/>
      <w:r w:rsidRPr="00F54DA5">
        <w:t>Materials and m</w:t>
      </w:r>
      <w:r w:rsidR="00A864BA" w:rsidRPr="00F54DA5">
        <w:t>ethods</w:t>
      </w:r>
      <w:bookmarkEnd w:id="9"/>
    </w:p>
    <w:p w14:paraId="0C515410" w14:textId="037EAA2F" w:rsidR="00A864BA" w:rsidRPr="00F54DA5" w:rsidRDefault="00126CD4" w:rsidP="00D9695A">
      <w:pPr>
        <w:pStyle w:val="Heading3"/>
        <w:numPr>
          <w:ilvl w:val="0"/>
          <w:numId w:val="0"/>
        </w:numPr>
        <w:tabs>
          <w:tab w:val="left" w:pos="567"/>
        </w:tabs>
        <w:spacing w:before="360" w:after="240"/>
        <w:jc w:val="both"/>
      </w:pPr>
      <w:bookmarkStart w:id="10" w:name="_Toc529724914"/>
      <w:r>
        <w:t xml:space="preserve">2.1 </w:t>
      </w:r>
      <w:r w:rsidR="00BE4DDB">
        <w:t>Biomaterials</w:t>
      </w:r>
      <w:bookmarkEnd w:id="10"/>
    </w:p>
    <w:p w14:paraId="4590502C" w14:textId="1A91E403" w:rsidR="00A60365" w:rsidRDefault="00126CD4" w:rsidP="00C24DD6">
      <w:pPr>
        <w:pStyle w:val="Heading3"/>
        <w:numPr>
          <w:ilvl w:val="0"/>
          <w:numId w:val="0"/>
        </w:numPr>
        <w:tabs>
          <w:tab w:val="left" w:pos="567"/>
        </w:tabs>
        <w:spacing w:before="360" w:after="240"/>
        <w:jc w:val="both"/>
        <w:rPr>
          <w:rFonts w:cs="Arial"/>
          <w:color w:val="000000" w:themeColor="text1"/>
        </w:rPr>
      </w:pPr>
      <w:r>
        <w:t xml:space="preserve">2.1.1 </w:t>
      </w:r>
      <w:r w:rsidR="00D87303">
        <w:t>Laponite</w:t>
      </w:r>
      <w:r w:rsidR="00910A55" w:rsidRPr="00F54DA5">
        <w:rPr>
          <w:rFonts w:cs="Arial"/>
          <w:color w:val="000000" w:themeColor="text1"/>
        </w:rPr>
        <w:tab/>
      </w:r>
    </w:p>
    <w:p w14:paraId="27129C17" w14:textId="3F3065A9" w:rsidR="00A864BA" w:rsidRPr="00F54DA5" w:rsidRDefault="00A60365" w:rsidP="00D9695A">
      <w:pPr>
        <w:tabs>
          <w:tab w:val="left" w:pos="567"/>
        </w:tabs>
        <w:spacing w:line="360" w:lineRule="auto"/>
        <w:jc w:val="both"/>
      </w:pPr>
      <w:r>
        <w:rPr>
          <w:rFonts w:cs="Arial"/>
          <w:color w:val="000000" w:themeColor="text1"/>
        </w:rPr>
        <w:tab/>
      </w:r>
      <w:r w:rsidR="000C24F7" w:rsidRPr="00F54DA5">
        <w:rPr>
          <w:rFonts w:cs="Arial"/>
          <w:color w:val="000000" w:themeColor="text1"/>
        </w:rPr>
        <w:t xml:space="preserve">After sterilisation </w:t>
      </w:r>
      <w:r w:rsidR="00D87303">
        <w:rPr>
          <w:rFonts w:cs="Arial"/>
          <w:color w:val="000000" w:themeColor="text1"/>
        </w:rPr>
        <w:t>Laponite</w:t>
      </w:r>
      <w:r w:rsidR="00BE4DDB" w:rsidRPr="00BE4DDB">
        <w:rPr>
          <w:rFonts w:cs="Arial"/>
          <w:color w:val="000000" w:themeColor="text1"/>
          <w:vertAlign w:val="superscript"/>
        </w:rPr>
        <w:t>®</w:t>
      </w:r>
      <w:r w:rsidR="00BE4DDB" w:rsidRPr="00BE4DDB">
        <w:rPr>
          <w:rFonts w:cs="Arial"/>
          <w:color w:val="000000" w:themeColor="text1"/>
        </w:rPr>
        <w:t xml:space="preserve"> (LAP) </w:t>
      </w:r>
      <w:r w:rsidR="00910A55" w:rsidRPr="00F54DA5">
        <w:rPr>
          <w:rFonts w:cs="Arial"/>
          <w:color w:val="000000" w:themeColor="text1"/>
        </w:rPr>
        <w:t>(Na</w:t>
      </w:r>
      <w:r w:rsidR="00910A55" w:rsidRPr="00F54DA5">
        <w:rPr>
          <w:rFonts w:cs="Arial"/>
          <w:color w:val="000000" w:themeColor="text1"/>
          <w:vertAlign w:val="superscript"/>
        </w:rPr>
        <w:t>+</w:t>
      </w:r>
      <w:r w:rsidR="00910A55" w:rsidRPr="00F54DA5">
        <w:rPr>
          <w:rFonts w:cs="Arial"/>
          <w:color w:val="000000" w:themeColor="text1"/>
          <w:vertAlign w:val="subscript"/>
        </w:rPr>
        <w:t xml:space="preserve">0.7 </w:t>
      </w:r>
      <w:r w:rsidR="00910A55" w:rsidRPr="00F54DA5">
        <w:rPr>
          <w:rFonts w:cs="Arial"/>
          <w:color w:val="000000" w:themeColor="text1"/>
        </w:rPr>
        <w:t>[ (Mg</w:t>
      </w:r>
      <w:r w:rsidR="00910A55" w:rsidRPr="00F54DA5">
        <w:rPr>
          <w:rFonts w:cs="Arial"/>
          <w:color w:val="000000" w:themeColor="text1"/>
          <w:vertAlign w:val="subscript"/>
        </w:rPr>
        <w:t>5.5</w:t>
      </w:r>
      <w:r w:rsidR="00910A55" w:rsidRPr="00F54DA5">
        <w:rPr>
          <w:rFonts w:cs="Arial"/>
          <w:color w:val="000000" w:themeColor="text1"/>
        </w:rPr>
        <w:t>Li</w:t>
      </w:r>
      <w:r w:rsidR="00910A55" w:rsidRPr="00F54DA5">
        <w:rPr>
          <w:rFonts w:cs="Arial"/>
          <w:color w:val="000000" w:themeColor="text1"/>
          <w:vertAlign w:val="subscript"/>
        </w:rPr>
        <w:t>0.3</w:t>
      </w:r>
      <w:r w:rsidR="00910A55" w:rsidRPr="00F54DA5">
        <w:rPr>
          <w:rFonts w:cs="Arial"/>
          <w:color w:val="000000" w:themeColor="text1"/>
        </w:rPr>
        <w:t>) Si</w:t>
      </w:r>
      <w:r w:rsidR="00910A55" w:rsidRPr="00F54DA5">
        <w:rPr>
          <w:rFonts w:cs="Arial"/>
          <w:color w:val="000000" w:themeColor="text1"/>
          <w:vertAlign w:val="subscript"/>
        </w:rPr>
        <w:t>8</w:t>
      </w:r>
      <w:r w:rsidR="00910A55" w:rsidRPr="00F54DA5">
        <w:rPr>
          <w:rFonts w:cs="Arial"/>
          <w:color w:val="000000" w:themeColor="text1"/>
        </w:rPr>
        <w:t>O</w:t>
      </w:r>
      <w:r w:rsidR="00910A55" w:rsidRPr="00F54DA5">
        <w:rPr>
          <w:rFonts w:cs="Arial"/>
          <w:color w:val="000000" w:themeColor="text1"/>
          <w:vertAlign w:val="subscript"/>
        </w:rPr>
        <w:t>20</w:t>
      </w:r>
      <w:r w:rsidR="00910A55" w:rsidRPr="00F54DA5">
        <w:rPr>
          <w:rFonts w:cs="Arial"/>
          <w:color w:val="000000" w:themeColor="text1"/>
          <w:vertAlign w:val="superscript"/>
        </w:rPr>
        <w:t>-</w:t>
      </w:r>
      <w:r w:rsidR="00910A55" w:rsidRPr="00F54DA5">
        <w:rPr>
          <w:rFonts w:cs="Arial"/>
          <w:color w:val="000000" w:themeColor="text1"/>
        </w:rPr>
        <w:t xml:space="preserve"> (OH)</w:t>
      </w:r>
      <w:r w:rsidR="00910A55" w:rsidRPr="00F54DA5">
        <w:rPr>
          <w:rFonts w:cs="Arial"/>
          <w:color w:val="000000" w:themeColor="text1"/>
          <w:vertAlign w:val="subscript"/>
        </w:rPr>
        <w:t xml:space="preserve">4 </w:t>
      </w:r>
      <w:r w:rsidR="00910A55" w:rsidRPr="00F54DA5">
        <w:rPr>
          <w:rFonts w:cs="Arial"/>
          <w:color w:val="000000" w:themeColor="text1"/>
        </w:rPr>
        <w:t>]</w:t>
      </w:r>
      <w:r w:rsidR="00910A55" w:rsidRPr="00F54DA5">
        <w:rPr>
          <w:rFonts w:cs="Arial"/>
          <w:color w:val="000000" w:themeColor="text1"/>
          <w:vertAlign w:val="superscript"/>
        </w:rPr>
        <w:t>-</w:t>
      </w:r>
      <w:r w:rsidR="00910A55" w:rsidRPr="00F54DA5">
        <w:rPr>
          <w:rFonts w:cs="Arial"/>
          <w:color w:val="000000" w:themeColor="text1"/>
          <w:vertAlign w:val="subscript"/>
        </w:rPr>
        <w:t>0.7</w:t>
      </w:r>
      <w:r w:rsidR="000C24F7" w:rsidRPr="00F54DA5">
        <w:rPr>
          <w:rFonts w:cs="Arial"/>
          <w:color w:val="000000" w:themeColor="text1"/>
        </w:rPr>
        <w:t xml:space="preserve"> XLG grade, </w:t>
      </w:r>
      <w:r w:rsidR="000C24F7" w:rsidRPr="00F54DA5">
        <w:rPr>
          <w:rFonts w:cs="Arial"/>
        </w:rPr>
        <w:t>BYK Additives &amp; Instruments, UK)</w:t>
      </w:r>
      <w:r w:rsidR="000C24F7" w:rsidRPr="00F54DA5">
        <w:rPr>
          <w:rFonts w:cs="Arial"/>
          <w:color w:val="000000" w:themeColor="text1"/>
        </w:rPr>
        <w:t xml:space="preserve"> by an autoclaved cycle (126</w:t>
      </w:r>
      <w:r w:rsidR="00443B84" w:rsidRPr="00F54DA5">
        <w:rPr>
          <w:rFonts w:cs="Arial"/>
          <w:color w:val="000000" w:themeColor="text1"/>
        </w:rPr>
        <w:t xml:space="preserve"> </w:t>
      </w:r>
      <w:r w:rsidR="000C24F7" w:rsidRPr="00F54DA5">
        <w:rPr>
          <w:rFonts w:cs="Arial"/>
          <w:color w:val="000000" w:themeColor="text1"/>
        </w:rPr>
        <w:t xml:space="preserve">ºC, 1.4 bar), the powder was poured slowly into a beaker with sterile deionised water (DW) and stirred for at least 6 h with a magnetic stirrer in a class II sterile hood. Addition of </w:t>
      </w:r>
      <w:r w:rsidR="004B7D4B">
        <w:rPr>
          <w:rFonts w:cs="Arial"/>
          <w:color w:val="000000" w:themeColor="text1"/>
        </w:rPr>
        <w:t>LAP</w:t>
      </w:r>
      <w:r w:rsidR="004B7D4B" w:rsidRPr="00F54DA5">
        <w:rPr>
          <w:rFonts w:cs="Arial"/>
          <w:color w:val="000000" w:themeColor="text1"/>
        </w:rPr>
        <w:t xml:space="preserve"> </w:t>
      </w:r>
      <w:r w:rsidR="000C24F7" w:rsidRPr="00F54DA5">
        <w:rPr>
          <w:rFonts w:cs="Arial"/>
          <w:color w:val="000000" w:themeColor="text1"/>
        </w:rPr>
        <w:t xml:space="preserve">powder to DW was carried out serially, adding a small portion of </w:t>
      </w:r>
      <w:r w:rsidR="004B7D4B">
        <w:rPr>
          <w:rFonts w:cs="Arial"/>
          <w:color w:val="000000" w:themeColor="text1"/>
        </w:rPr>
        <w:t>LAP</w:t>
      </w:r>
      <w:r w:rsidR="004B7D4B" w:rsidRPr="00F54DA5">
        <w:rPr>
          <w:rFonts w:cs="Arial"/>
          <w:color w:val="000000" w:themeColor="text1"/>
        </w:rPr>
        <w:t xml:space="preserve"> </w:t>
      </w:r>
      <w:r w:rsidR="000C24F7" w:rsidRPr="00F54DA5">
        <w:rPr>
          <w:rFonts w:cs="Arial"/>
          <w:color w:val="000000" w:themeColor="text1"/>
        </w:rPr>
        <w:t>and leaving the suspension to stir at least for 3 hours, allowing full dispersion of nanodiscs</w:t>
      </w:r>
      <w:r w:rsidR="006F541F">
        <w:rPr>
          <w:rFonts w:cs="Arial"/>
          <w:color w:val="000000" w:themeColor="text1"/>
        </w:rPr>
        <w:t xml:space="preserve"> confirmed by the increase in optical transparency</w:t>
      </w:r>
      <w:r w:rsidR="000C24F7" w:rsidRPr="00F54DA5">
        <w:rPr>
          <w:rFonts w:cs="Arial"/>
          <w:color w:val="000000" w:themeColor="text1"/>
        </w:rPr>
        <w:t>.</w:t>
      </w:r>
    </w:p>
    <w:p w14:paraId="29610FBA" w14:textId="77777777" w:rsidR="00A864BA" w:rsidRPr="00F54DA5" w:rsidRDefault="00A864BA" w:rsidP="00D9695A">
      <w:pPr>
        <w:tabs>
          <w:tab w:val="left" w:pos="567"/>
        </w:tabs>
        <w:spacing w:line="360" w:lineRule="auto"/>
        <w:jc w:val="both"/>
      </w:pPr>
    </w:p>
    <w:p w14:paraId="0BA51ACE" w14:textId="5980FC90" w:rsidR="00A864BA" w:rsidRPr="00F54DA5" w:rsidRDefault="00126CD4" w:rsidP="00D9695A">
      <w:pPr>
        <w:pStyle w:val="Heading3"/>
        <w:numPr>
          <w:ilvl w:val="0"/>
          <w:numId w:val="0"/>
        </w:numPr>
        <w:tabs>
          <w:tab w:val="left" w:pos="567"/>
        </w:tabs>
        <w:spacing w:before="360" w:after="240"/>
        <w:jc w:val="both"/>
      </w:pPr>
      <w:bookmarkStart w:id="11" w:name="_Toc529724915"/>
      <w:r>
        <w:lastRenderedPageBreak/>
        <w:t xml:space="preserve">2.1.2 </w:t>
      </w:r>
      <w:r w:rsidR="00A864BA" w:rsidRPr="00F54DA5">
        <w:t>Gellan gum</w:t>
      </w:r>
      <w:bookmarkEnd w:id="11"/>
    </w:p>
    <w:p w14:paraId="6101BC02" w14:textId="1591BDD7" w:rsidR="00A864BA" w:rsidRPr="00F54DA5" w:rsidRDefault="00910A55" w:rsidP="00346CBF">
      <w:pPr>
        <w:tabs>
          <w:tab w:val="left" w:pos="567"/>
        </w:tabs>
        <w:spacing w:line="360" w:lineRule="auto"/>
        <w:jc w:val="both"/>
        <w:rPr>
          <w:rFonts w:cs="Arial"/>
          <w:color w:val="000000" w:themeColor="text1"/>
        </w:rPr>
      </w:pPr>
      <w:r w:rsidRPr="00F54DA5">
        <w:rPr>
          <w:rFonts w:cs="Arial"/>
          <w:color w:val="000000" w:themeColor="text1"/>
        </w:rPr>
        <w:tab/>
      </w:r>
      <w:r w:rsidR="00A864BA" w:rsidRPr="00F54DA5">
        <w:rPr>
          <w:rFonts w:cs="Arial"/>
          <w:color w:val="000000" w:themeColor="text1"/>
        </w:rPr>
        <w:t>Low acyl gellan gum (GG</w:t>
      </w:r>
      <w:r w:rsidR="00E63C52">
        <w:rPr>
          <w:rFonts w:cs="Arial"/>
          <w:color w:val="000000" w:themeColor="text1"/>
        </w:rPr>
        <w:t xml:space="preserve">, </w:t>
      </w:r>
      <w:r w:rsidR="00E63C52" w:rsidRPr="00E63C52">
        <w:rPr>
          <w:rFonts w:cs="Arial"/>
          <w:color w:val="000000" w:themeColor="text1"/>
        </w:rPr>
        <w:t>Gellan Gum Low Acyl (Type F</w:t>
      </w:r>
      <w:r w:rsidR="00C96DAA">
        <w:rPr>
          <w:rFonts w:cs="Arial"/>
          <w:color w:val="000000" w:themeColor="text1"/>
        </w:rPr>
        <w:t>, USP grade</w:t>
      </w:r>
      <w:r w:rsidR="00E63C52" w:rsidRPr="00E63C52">
        <w:rPr>
          <w:rFonts w:cs="Arial"/>
          <w:color w:val="000000" w:themeColor="text1"/>
        </w:rPr>
        <w:t>)</w:t>
      </w:r>
      <w:r w:rsidR="00E63C52">
        <w:rPr>
          <w:rFonts w:cs="Arial"/>
          <w:color w:val="000000" w:themeColor="text1"/>
        </w:rPr>
        <w:t xml:space="preserve">, </w:t>
      </w:r>
      <w:r w:rsidR="00C96DAA">
        <w:rPr>
          <w:rFonts w:cs="Arial"/>
          <w:color w:val="000000" w:themeColor="text1"/>
        </w:rPr>
        <w:t>Azelis</w:t>
      </w:r>
      <w:r w:rsidR="00E63C52">
        <w:rPr>
          <w:rFonts w:cs="Arial"/>
          <w:color w:val="000000" w:themeColor="text1"/>
        </w:rPr>
        <w:t>, UK)</w:t>
      </w:r>
      <w:r w:rsidR="00A864BA" w:rsidRPr="00F54DA5">
        <w:rPr>
          <w:rFonts w:cs="Arial"/>
          <w:color w:val="000000" w:themeColor="text1"/>
        </w:rPr>
        <w:t xml:space="preserve"> was allowed to dissolve in DW at different concentrations, as de</w:t>
      </w:r>
      <w:r w:rsidR="00346CBF">
        <w:rPr>
          <w:rFonts w:cs="Arial"/>
          <w:color w:val="000000" w:themeColor="text1"/>
        </w:rPr>
        <w:t xml:space="preserve">tailed </w:t>
      </w:r>
      <w:r w:rsidR="00A864BA" w:rsidRPr="00F54DA5">
        <w:rPr>
          <w:rFonts w:cs="Arial"/>
          <w:color w:val="000000" w:themeColor="text1"/>
        </w:rPr>
        <w:t xml:space="preserve">previously </w:t>
      </w:r>
      <w:r w:rsidR="00A864BA" w:rsidRPr="00F54DA5">
        <w:rPr>
          <w:rFonts w:cs="Arial"/>
          <w:color w:val="000000" w:themeColor="text1"/>
        </w:rPr>
        <w:fldChar w:fldCharType="begin" w:fldLock="1"/>
      </w:r>
      <w:r w:rsidR="00793844">
        <w:rPr>
          <w:rFonts w:cs="Arial"/>
          <w:color w:val="000000" w:themeColor="text1"/>
        </w:rPr>
        <w:instrText>ADDIN CSL_CITATION {"citationItems":[{"id":"ITEM-1","itemData":{"DOI":"10.1002/adma.201605594","ISSN":"09359648","PMID":"28145596","abstract":"A method for the production of complex cell-laden structures is reported, which allows high-levels of spatial control over mechanical and chemical properties. The potential of this method for producing complicated tissues is demonstrated by manufacturing a complex hard/soft tissue interface and demonstrating that cell phenotype can be maintained over four weeks of culture.","author":[{"dropping-particle":"","family":"Moxon","given":"Samuel R.","non-dropping-particle":"","parse-names":false,"suffix":""},{"dropping-particle":"","family":"Cooke","given":"Megan E.","non-dropping-particle":"","parse-names":false,"suffix":""},{"dropping-particle":"","family":"Cox","given":"Sophie C.","non-dropping-particle":"","parse-names":false,"suffix":""},{"dropping-particle":"","family":"Snow","given":"Martyn","non-dropping-particle":"","parse-names":false,"suffix":""},{"dropping-particle":"","family":"Jeys","given":"Lee","non-dropping-particle":"","parse-names":false,"suffix":""},{"dropping-particle":"","family":"Jones","given":"Simon W.","non-dropping-particle":"","parse-names":false,"suffix":""},{"dropping-particle":"","family":"Smith","given":"Alan M.","non-dropping-particle":"","parse-names":false,"suffix":""},{"dropping-particle":"","family":"Grover","given":"Liam M.","non-dropping-particle":"","parse-names":false,"suffix":""}],"container-title":"Advanced Materials","id":"ITEM-1","issue":"13","issued":{"date-parts":[["2017","4"]]},"page":"1605594","title":"Suspended Manufacture of Biological Structures","type":"article-journal","volume":"29"},"uris":["http://www.mendeley.com/documents/?uuid=d9d05438-ccd0-4dd2-9619-2c55242e8192"]}],"mendeley":{"formattedCitation":"[6]","plainTextFormattedCitation":"[6]","previouslyFormattedCitation":"[6]"},"properties":{"noteIndex":0},"schema":"https://github.com/citation-style-language/schema/raw/master/csl-citation.json"}</w:instrText>
      </w:r>
      <w:r w:rsidR="00A864BA" w:rsidRPr="00F54DA5">
        <w:rPr>
          <w:rFonts w:cs="Arial"/>
          <w:color w:val="000000" w:themeColor="text1"/>
        </w:rPr>
        <w:fldChar w:fldCharType="separate"/>
      </w:r>
      <w:r w:rsidR="00793844" w:rsidRPr="00793844">
        <w:rPr>
          <w:rFonts w:cs="Arial"/>
          <w:noProof/>
          <w:color w:val="000000" w:themeColor="text1"/>
        </w:rPr>
        <w:t>[6]</w:t>
      </w:r>
      <w:r w:rsidR="00A864BA" w:rsidRPr="00F54DA5">
        <w:rPr>
          <w:rFonts w:cs="Arial"/>
          <w:color w:val="000000" w:themeColor="text1"/>
        </w:rPr>
        <w:fldChar w:fldCharType="end"/>
      </w:r>
      <w:r w:rsidR="00A864BA" w:rsidRPr="00F54DA5">
        <w:rPr>
          <w:rFonts w:cs="Arial"/>
          <w:color w:val="000000" w:themeColor="text1"/>
        </w:rPr>
        <w:t>. Hydrogels were prepared based on w/v percentage formulations. DW was left to stir and heated at 60</w:t>
      </w:r>
      <w:r w:rsidR="00443B84" w:rsidRPr="00F54DA5">
        <w:rPr>
          <w:rFonts w:cs="Arial"/>
          <w:color w:val="000000" w:themeColor="text1"/>
        </w:rPr>
        <w:t xml:space="preserve"> </w:t>
      </w:r>
      <w:r w:rsidR="00A864BA" w:rsidRPr="00F54DA5">
        <w:rPr>
          <w:rFonts w:cs="Arial"/>
        </w:rPr>
        <w:t>°C</w:t>
      </w:r>
      <w:r w:rsidR="00A864BA" w:rsidRPr="00F54DA5">
        <w:rPr>
          <w:rFonts w:cs="Arial"/>
          <w:color w:val="000000" w:themeColor="text1"/>
        </w:rPr>
        <w:t xml:space="preserve"> before adding GG and leaving it to stir for 1 h at constant shear and temperature. The increase of solution transparency confirmed GG complete dispersion. GG gel was allowed to cool down at room temperature for 2 h before </w:t>
      </w:r>
      <w:r w:rsidR="005311EA">
        <w:rPr>
          <w:rFonts w:cs="Arial"/>
          <w:color w:val="000000" w:themeColor="text1"/>
        </w:rPr>
        <w:t xml:space="preserve">the GG gel was used </w:t>
      </w:r>
      <w:r w:rsidR="00A864BA" w:rsidRPr="00F54DA5">
        <w:rPr>
          <w:rFonts w:cs="Arial"/>
          <w:color w:val="000000" w:themeColor="text1"/>
        </w:rPr>
        <w:t xml:space="preserve"> for rheological, printing or other studies. </w:t>
      </w:r>
    </w:p>
    <w:p w14:paraId="1A968201" w14:textId="77777777" w:rsidR="00A864BA" w:rsidRPr="00F54DA5" w:rsidRDefault="00A864BA" w:rsidP="00D9695A">
      <w:pPr>
        <w:tabs>
          <w:tab w:val="left" w:pos="567"/>
        </w:tabs>
        <w:spacing w:line="360" w:lineRule="auto"/>
        <w:jc w:val="both"/>
      </w:pPr>
    </w:p>
    <w:p w14:paraId="1B061BB6" w14:textId="6A6B8463" w:rsidR="00A864BA" w:rsidRPr="00F54DA5" w:rsidRDefault="00126CD4" w:rsidP="00D9695A">
      <w:pPr>
        <w:pStyle w:val="Heading3"/>
        <w:numPr>
          <w:ilvl w:val="0"/>
          <w:numId w:val="0"/>
        </w:numPr>
        <w:tabs>
          <w:tab w:val="left" w:pos="567"/>
        </w:tabs>
        <w:spacing w:before="360" w:after="240"/>
        <w:jc w:val="both"/>
      </w:pPr>
      <w:bookmarkStart w:id="12" w:name="_Toc529724916"/>
      <w:r>
        <w:t xml:space="preserve">2.1.3 </w:t>
      </w:r>
      <w:r w:rsidR="00D87303">
        <w:t>Laponite</w:t>
      </w:r>
      <w:r w:rsidR="00A864BA" w:rsidRPr="00F54DA5">
        <w:t>-gellan gum</w:t>
      </w:r>
      <w:bookmarkEnd w:id="12"/>
    </w:p>
    <w:p w14:paraId="458A4A34" w14:textId="256AA285" w:rsidR="00A864BA" w:rsidRPr="00F54DA5" w:rsidRDefault="00910A55" w:rsidP="00D9695A">
      <w:pPr>
        <w:tabs>
          <w:tab w:val="left" w:pos="567"/>
        </w:tabs>
        <w:spacing w:line="360" w:lineRule="auto"/>
        <w:jc w:val="both"/>
        <w:rPr>
          <w:rFonts w:cs="Arial"/>
          <w:color w:val="000000" w:themeColor="text1"/>
        </w:rPr>
      </w:pPr>
      <w:r w:rsidRPr="00F54DA5">
        <w:rPr>
          <w:rFonts w:cs="Arial"/>
          <w:color w:val="000000" w:themeColor="text1"/>
        </w:rPr>
        <w:tab/>
      </w:r>
      <w:r w:rsidR="00D87303">
        <w:rPr>
          <w:rFonts w:cs="Arial"/>
          <w:color w:val="000000" w:themeColor="text1"/>
        </w:rPr>
        <w:t>Laponite</w:t>
      </w:r>
      <w:r w:rsidR="00D87303" w:rsidRPr="00D87303">
        <w:rPr>
          <w:rFonts w:cs="Arial"/>
          <w:color w:val="000000" w:themeColor="text1"/>
          <w:vertAlign w:val="superscript"/>
        </w:rPr>
        <w:t>®</w:t>
      </w:r>
      <w:r w:rsidR="00A864BA" w:rsidRPr="00F54DA5">
        <w:rPr>
          <w:rFonts w:cs="Arial"/>
          <w:color w:val="000000" w:themeColor="text1"/>
        </w:rPr>
        <w:t>-gellan gum (LAP-GG) was prepared from a L</w:t>
      </w:r>
      <w:r w:rsidR="00BE4DDB">
        <w:rPr>
          <w:rFonts w:cs="Arial"/>
          <w:color w:val="000000" w:themeColor="text1"/>
        </w:rPr>
        <w:t>AP</w:t>
      </w:r>
      <w:r w:rsidR="00A864BA" w:rsidRPr="00F54DA5">
        <w:rPr>
          <w:rFonts w:cs="Arial"/>
          <w:color w:val="000000" w:themeColor="text1"/>
        </w:rPr>
        <w:t xml:space="preserve"> suspension</w:t>
      </w:r>
      <w:r w:rsidR="000C24F7" w:rsidRPr="00F54DA5">
        <w:rPr>
          <w:rFonts w:cs="Arial"/>
          <w:color w:val="000000" w:themeColor="text1"/>
        </w:rPr>
        <w:t xml:space="preserve"> by a serial inclusion </w:t>
      </w:r>
      <w:r w:rsidR="00BE4DDB">
        <w:rPr>
          <w:rFonts w:cs="Arial"/>
          <w:color w:val="000000" w:themeColor="text1"/>
        </w:rPr>
        <w:t>and</w:t>
      </w:r>
      <w:r w:rsidR="000C24F7" w:rsidRPr="00F54DA5">
        <w:rPr>
          <w:rFonts w:cs="Arial"/>
          <w:color w:val="000000" w:themeColor="text1"/>
        </w:rPr>
        <w:t xml:space="preserve"> direct mixing of GG.</w:t>
      </w:r>
      <w:r w:rsidR="00A864BA" w:rsidRPr="00F54DA5">
        <w:rPr>
          <w:rFonts w:cs="Arial"/>
          <w:color w:val="000000" w:themeColor="text1"/>
        </w:rPr>
        <w:t xml:space="preserve"> Briefly, DW was left to stir </w:t>
      </w:r>
      <w:r w:rsidR="00D36678" w:rsidRPr="00F54DA5">
        <w:rPr>
          <w:rFonts w:cs="Arial"/>
          <w:color w:val="000000" w:themeColor="text1"/>
        </w:rPr>
        <w:t>and</w:t>
      </w:r>
      <w:r w:rsidR="000C24F7" w:rsidRPr="00F54DA5">
        <w:rPr>
          <w:rFonts w:cs="Arial"/>
          <w:color w:val="000000" w:themeColor="text1"/>
        </w:rPr>
        <w:t xml:space="preserve"> </w:t>
      </w:r>
      <w:r w:rsidR="004B7D4B">
        <w:rPr>
          <w:rFonts w:cs="Arial"/>
          <w:color w:val="000000" w:themeColor="text1"/>
        </w:rPr>
        <w:t>LAP</w:t>
      </w:r>
      <w:r w:rsidR="004B7D4B" w:rsidRPr="00F54DA5">
        <w:rPr>
          <w:rFonts w:cs="Arial"/>
          <w:color w:val="000000" w:themeColor="text1"/>
        </w:rPr>
        <w:t xml:space="preserve"> </w:t>
      </w:r>
      <w:r w:rsidR="000C24F7" w:rsidRPr="00F54DA5">
        <w:rPr>
          <w:rFonts w:cs="Arial"/>
          <w:color w:val="000000" w:themeColor="text1"/>
        </w:rPr>
        <w:t xml:space="preserve">was added slowly </w:t>
      </w:r>
      <w:r w:rsidR="00A864BA" w:rsidRPr="00F54DA5">
        <w:rPr>
          <w:rFonts w:cs="Arial"/>
          <w:color w:val="000000" w:themeColor="text1"/>
        </w:rPr>
        <w:t xml:space="preserve">to reach clear dispersion after 6 h. Sterile GG powder was then added to the </w:t>
      </w:r>
      <w:r w:rsidR="004B7D4B">
        <w:rPr>
          <w:rFonts w:cs="Arial"/>
          <w:color w:val="000000" w:themeColor="text1"/>
        </w:rPr>
        <w:t>LAP</w:t>
      </w:r>
      <w:r w:rsidR="004B7D4B" w:rsidRPr="00F54DA5">
        <w:rPr>
          <w:rFonts w:cs="Arial"/>
          <w:color w:val="000000" w:themeColor="text1"/>
        </w:rPr>
        <w:t xml:space="preserve"> </w:t>
      </w:r>
      <w:r w:rsidR="00A864BA" w:rsidRPr="00F54DA5">
        <w:rPr>
          <w:rFonts w:cs="Arial"/>
          <w:color w:val="000000" w:themeColor="text1"/>
        </w:rPr>
        <w:t>suspension and heated at 60</w:t>
      </w:r>
      <w:r w:rsidR="00443B84" w:rsidRPr="00F54DA5">
        <w:rPr>
          <w:rFonts w:cs="Arial"/>
          <w:color w:val="000000" w:themeColor="text1"/>
        </w:rPr>
        <w:t xml:space="preserve"> </w:t>
      </w:r>
      <w:r w:rsidR="00A864BA" w:rsidRPr="00F54DA5">
        <w:rPr>
          <w:rFonts w:cs="Arial"/>
        </w:rPr>
        <w:t xml:space="preserve">°C. GG integration in </w:t>
      </w:r>
      <w:r w:rsidR="004B7D4B">
        <w:rPr>
          <w:rFonts w:cs="Arial"/>
        </w:rPr>
        <w:t>LAP</w:t>
      </w:r>
      <w:r w:rsidR="004B7D4B" w:rsidRPr="00F54DA5">
        <w:rPr>
          <w:rFonts w:cs="Arial"/>
        </w:rPr>
        <w:t xml:space="preserve"> </w:t>
      </w:r>
      <w:r w:rsidR="00A864BA" w:rsidRPr="00F54DA5">
        <w:rPr>
          <w:rFonts w:cs="Arial"/>
        </w:rPr>
        <w:t>suspension was carried out at a constant shearing at 60</w:t>
      </w:r>
      <w:r w:rsidR="00443B84" w:rsidRPr="00F54DA5">
        <w:rPr>
          <w:rFonts w:cs="Arial"/>
        </w:rPr>
        <w:t xml:space="preserve"> </w:t>
      </w:r>
      <w:r w:rsidR="00A864BA" w:rsidRPr="00F54DA5">
        <w:rPr>
          <w:rFonts w:cs="Arial"/>
        </w:rPr>
        <w:t xml:space="preserve">°C for 1 h. Final LAP-GG suspension results homogenous and amber in colour ready for printing. If stored at room temperature, the LAP-GG bioink </w:t>
      </w:r>
      <w:r w:rsidR="00BE4DDB">
        <w:rPr>
          <w:rFonts w:cs="Arial"/>
        </w:rPr>
        <w:t xml:space="preserve">was observed to </w:t>
      </w:r>
      <w:r w:rsidR="00A864BA" w:rsidRPr="00F54DA5">
        <w:rPr>
          <w:rFonts w:cs="Arial"/>
        </w:rPr>
        <w:t>harden</w:t>
      </w:r>
      <w:r w:rsidR="00BE4DDB">
        <w:rPr>
          <w:rFonts w:cs="Arial"/>
        </w:rPr>
        <w:t>.</w:t>
      </w:r>
      <w:r w:rsidR="00A864BA" w:rsidRPr="00F54DA5">
        <w:rPr>
          <w:rFonts w:cs="Arial"/>
        </w:rPr>
        <w:t xml:space="preserve"> </w:t>
      </w:r>
    </w:p>
    <w:p w14:paraId="157D13F9" w14:textId="278385A0" w:rsidR="00A864BA" w:rsidRPr="00F54DA5" w:rsidRDefault="00A864BA" w:rsidP="00D9695A">
      <w:pPr>
        <w:tabs>
          <w:tab w:val="left" w:pos="567"/>
        </w:tabs>
        <w:spacing w:line="360" w:lineRule="auto"/>
        <w:jc w:val="both"/>
      </w:pPr>
    </w:p>
    <w:p w14:paraId="7BAA0710" w14:textId="77777777" w:rsidR="00AC6138" w:rsidRPr="00F54DA5" w:rsidRDefault="00AC6138" w:rsidP="00D9695A">
      <w:pPr>
        <w:tabs>
          <w:tab w:val="left" w:pos="567"/>
        </w:tabs>
        <w:spacing w:line="360" w:lineRule="auto"/>
        <w:jc w:val="both"/>
      </w:pPr>
    </w:p>
    <w:p w14:paraId="0BAAB4E9" w14:textId="4A088A10" w:rsidR="00A864BA" w:rsidRPr="00F54DA5" w:rsidRDefault="00126CD4" w:rsidP="00D9695A">
      <w:pPr>
        <w:pStyle w:val="Heading3"/>
        <w:numPr>
          <w:ilvl w:val="0"/>
          <w:numId w:val="0"/>
        </w:numPr>
        <w:tabs>
          <w:tab w:val="left" w:pos="567"/>
        </w:tabs>
        <w:spacing w:before="360" w:after="240"/>
        <w:jc w:val="both"/>
      </w:pPr>
      <w:bookmarkStart w:id="13" w:name="_Toc529724917"/>
      <w:r>
        <w:t xml:space="preserve">2.1.4 </w:t>
      </w:r>
      <w:r w:rsidR="00A864BA" w:rsidRPr="00F54DA5">
        <w:t>Agarose fluid gel</w:t>
      </w:r>
      <w:bookmarkEnd w:id="13"/>
    </w:p>
    <w:p w14:paraId="07C31C30" w14:textId="5C23FF03" w:rsidR="00A864BA" w:rsidRPr="00F54DA5" w:rsidRDefault="00A864BA" w:rsidP="006B547F">
      <w:pPr>
        <w:tabs>
          <w:tab w:val="left" w:pos="567"/>
        </w:tabs>
        <w:spacing w:line="360" w:lineRule="auto"/>
        <w:jc w:val="both"/>
        <w:rPr>
          <w:rFonts w:cs="Arial"/>
        </w:rPr>
      </w:pPr>
      <w:r w:rsidRPr="00F54DA5">
        <w:rPr>
          <w:rFonts w:cs="Arial"/>
        </w:rPr>
        <w:tab/>
        <w:t xml:space="preserve">Fluid gel was prepared as previously described </w:t>
      </w:r>
      <w:r w:rsidRPr="00F54DA5">
        <w:rPr>
          <w:rFonts w:cs="Arial"/>
        </w:rPr>
        <w:fldChar w:fldCharType="begin" w:fldLock="1"/>
      </w:r>
      <w:r w:rsidR="00793844">
        <w:rPr>
          <w:rFonts w:cs="Arial"/>
        </w:rPr>
        <w:instrText>ADDIN CSL_CITATION {"citationItems":[{"id":"ITEM-1","itemData":{"DOI":"10.1002/adma.201605594","ISSN":"09359648","PMID":"28145596","abstract":"A method for the production of complex cell-laden structures is reported, which allows high-levels of spatial control over mechanical and chemical properties. The potential of this method for producing complicated tissues is demonstrated by manufacturing a complex hard/soft tissue interface and demonstrating that cell phenotype can be maintained over four weeks of culture.","author":[{"dropping-particle":"","family":"Moxon","given":"Samuel R.","non-dropping-particle":"","parse-names":false,"suffix":""},{"dropping-particle":"","family":"Cooke","given":"Megan E.","non-dropping-particle":"","parse-names":false,"suffix":""},{"dropping-particle":"","family":"Cox","given":"Sophie C.","non-dropping-particle":"","parse-names":false,"suffix":""},{"dropping-particle":"","family":"Snow","given":"Martyn","non-dropping-particle":"","parse-names":false,"suffix":""},{"dropping-particle":"","family":"Jeys","given":"Lee","non-dropping-particle":"","parse-names":false,"suffix":""},{"dropping-particle":"","family":"Jones","given":"Simon W.","non-dropping-particle":"","parse-names":false,"suffix":""},{"dropping-particle":"","family":"Smith","given":"Alan M.","non-dropping-particle":"","parse-names":false,"suffix":""},{"dropping-particle":"","family":"Grover","given":"Liam M.","non-dropping-particle":"","parse-names":false,"suffix":""}],"container-title":"Advanced Materials","id":"ITEM-1","issue":"13","issued":{"date-parts":[["2017","4"]]},"page":"1605594","title":"Suspended Manufacture of Biological Structures","type":"article-journal","volume":"29"},"uris":["http://www.mendeley.com/documents/?uuid=d9d05438-ccd0-4dd2-9619-2c55242e8192"]}],"mendeley":{"formattedCitation":"[6]","plainTextFormattedCitation":"[6]","previouslyFormattedCitation":"[6]"},"properties":{"noteIndex":0},"schema":"https://github.com/citation-style-language/schema/raw/master/csl-citation.json"}</w:instrText>
      </w:r>
      <w:r w:rsidRPr="00F54DA5">
        <w:rPr>
          <w:rFonts w:cs="Arial"/>
        </w:rPr>
        <w:fldChar w:fldCharType="separate"/>
      </w:r>
      <w:r w:rsidR="00793844" w:rsidRPr="00793844">
        <w:rPr>
          <w:rFonts w:cs="Arial"/>
          <w:noProof/>
        </w:rPr>
        <w:t>[6]</w:t>
      </w:r>
      <w:r w:rsidRPr="00F54DA5">
        <w:rPr>
          <w:rFonts w:cs="Arial"/>
        </w:rPr>
        <w:fldChar w:fldCharType="end"/>
      </w:r>
      <w:r w:rsidRPr="00F54DA5">
        <w:rPr>
          <w:rFonts w:cs="Arial"/>
        </w:rPr>
        <w:t xml:space="preserve">. </w:t>
      </w:r>
      <w:r w:rsidR="00AD210F" w:rsidRPr="00F54DA5">
        <w:rPr>
          <w:rFonts w:cs="Arial"/>
        </w:rPr>
        <w:t>Briefly,</w:t>
      </w:r>
      <w:r w:rsidRPr="00F54DA5">
        <w:rPr>
          <w:rFonts w:cs="Arial"/>
        </w:rPr>
        <w:t xml:space="preserve"> a 0.5 % w/v solution of agarose (</w:t>
      </w:r>
      <w:r w:rsidR="00E63C52">
        <w:rPr>
          <w:rFonts w:cs="Arial"/>
        </w:rPr>
        <w:t xml:space="preserve">low gelling agarose, </w:t>
      </w:r>
      <w:r w:rsidRPr="00F54DA5">
        <w:rPr>
          <w:rFonts w:cs="Arial"/>
        </w:rPr>
        <w:t xml:space="preserve">Genetic analysis grade, Fisher Bioreagents, UK) was autoclaved </w:t>
      </w:r>
      <w:r w:rsidR="00BE4DDB">
        <w:rPr>
          <w:rFonts w:cs="Arial"/>
        </w:rPr>
        <w:t>immediately</w:t>
      </w:r>
      <w:r w:rsidRPr="00F54DA5">
        <w:rPr>
          <w:rFonts w:cs="Arial"/>
        </w:rPr>
        <w:t xml:space="preserve"> after agarose addition to 300 ml of DW. The solution was allowed to cool down from 85</w:t>
      </w:r>
      <w:r w:rsidR="00443B84" w:rsidRPr="00F54DA5">
        <w:rPr>
          <w:rFonts w:cs="Arial"/>
        </w:rPr>
        <w:t xml:space="preserve"> </w:t>
      </w:r>
      <w:r w:rsidRPr="00F54DA5">
        <w:rPr>
          <w:rFonts w:cs="Arial"/>
        </w:rPr>
        <w:t>°C to 20</w:t>
      </w:r>
      <w:r w:rsidR="00443B84" w:rsidRPr="00F54DA5">
        <w:rPr>
          <w:rFonts w:cs="Arial"/>
        </w:rPr>
        <w:t xml:space="preserve"> </w:t>
      </w:r>
      <w:r w:rsidRPr="00F54DA5">
        <w:rPr>
          <w:rFonts w:cs="Arial"/>
        </w:rPr>
        <w:t xml:space="preserve">°C under constant shear </w:t>
      </w:r>
      <w:r w:rsidR="00BE4DDB">
        <w:rPr>
          <w:rFonts w:cs="Arial"/>
        </w:rPr>
        <w:t xml:space="preserve">using </w:t>
      </w:r>
      <w:r w:rsidRPr="00F54DA5">
        <w:rPr>
          <w:rFonts w:cs="Arial"/>
        </w:rPr>
        <w:t>a magnetic stirrer. The solution was sterilise</w:t>
      </w:r>
      <w:r w:rsidR="0092183A">
        <w:rPr>
          <w:rFonts w:cs="Arial"/>
        </w:rPr>
        <w:t xml:space="preserve">d under UV irradiation for 1 h prior to the use </w:t>
      </w:r>
      <w:r w:rsidR="006B547F">
        <w:rPr>
          <w:rFonts w:cs="Arial"/>
        </w:rPr>
        <w:t>as a</w:t>
      </w:r>
      <w:r w:rsidR="0092183A">
        <w:rPr>
          <w:rFonts w:cs="Arial"/>
        </w:rPr>
        <w:t xml:space="preserve"> support for printing. </w:t>
      </w:r>
    </w:p>
    <w:p w14:paraId="631D1DB9" w14:textId="77777777" w:rsidR="00A864BA" w:rsidRPr="00F54DA5" w:rsidRDefault="00A864BA" w:rsidP="00D9695A">
      <w:pPr>
        <w:tabs>
          <w:tab w:val="left" w:pos="567"/>
        </w:tabs>
        <w:spacing w:line="360" w:lineRule="auto"/>
        <w:jc w:val="both"/>
        <w:rPr>
          <w:rFonts w:cs="Arial"/>
        </w:rPr>
      </w:pPr>
    </w:p>
    <w:p w14:paraId="6F0A3C90" w14:textId="19358A0F" w:rsidR="00A864BA" w:rsidRPr="00F54DA5" w:rsidRDefault="00126CD4" w:rsidP="00D9695A">
      <w:pPr>
        <w:pStyle w:val="Heading3"/>
        <w:numPr>
          <w:ilvl w:val="0"/>
          <w:numId w:val="0"/>
        </w:numPr>
        <w:spacing w:before="360" w:after="240"/>
        <w:jc w:val="both"/>
      </w:pPr>
      <w:bookmarkStart w:id="14" w:name="_Toc529724918"/>
      <w:r>
        <w:lastRenderedPageBreak/>
        <w:t xml:space="preserve">2.2 </w:t>
      </w:r>
      <w:r w:rsidR="00A864BA" w:rsidRPr="00F54DA5">
        <w:t>Mass loss and swelling ratio</w:t>
      </w:r>
      <w:bookmarkEnd w:id="14"/>
    </w:p>
    <w:p w14:paraId="17CCF2D9" w14:textId="602ED964" w:rsidR="00A864BA" w:rsidRPr="00F54DA5" w:rsidRDefault="00A864BA" w:rsidP="00D9695A">
      <w:pPr>
        <w:spacing w:line="360" w:lineRule="auto"/>
        <w:ind w:firstLine="567"/>
        <w:jc w:val="both"/>
        <w:rPr>
          <w:rFonts w:cs="Arial"/>
        </w:rPr>
      </w:pPr>
      <w:r w:rsidRPr="00F54DA5">
        <w:rPr>
          <w:rFonts w:cs="Arial"/>
        </w:rPr>
        <w:t xml:space="preserve">Mass loss and swelling studies were performed on the GG and LAP-GG discs to study the effect of </w:t>
      </w:r>
      <w:r w:rsidR="001852E5">
        <w:rPr>
          <w:rFonts w:cs="Arial"/>
        </w:rPr>
        <w:t>nanoclay</w:t>
      </w:r>
      <w:r w:rsidRPr="00F54DA5">
        <w:rPr>
          <w:rFonts w:cs="Arial"/>
        </w:rPr>
        <w:t xml:space="preserve"> incorporation into GG hydrogels</w:t>
      </w:r>
      <w:r w:rsidR="00BE4DDB">
        <w:rPr>
          <w:rFonts w:cs="Arial"/>
        </w:rPr>
        <w:t xml:space="preserve"> as previously detailed</w:t>
      </w:r>
      <w:r w:rsidR="00910A55" w:rsidRPr="00F54DA5">
        <w:rPr>
          <w:rFonts w:cs="Arial"/>
        </w:rPr>
        <w:t xml:space="preserve"> </w:t>
      </w:r>
      <w:r w:rsidR="00910A55" w:rsidRPr="00F54DA5">
        <w:rPr>
          <w:rFonts w:cs="Arial"/>
        </w:rPr>
        <w:fldChar w:fldCharType="begin" w:fldLock="1"/>
      </w:r>
      <w:r w:rsidR="00793844">
        <w:rPr>
          <w:rFonts w:cs="Arial"/>
        </w:rPr>
        <w:instrText>ADDIN CSL_CITATION {"citationItems":[{"id":"ITEM-1","itemData":{"DOI":"10.1021/acsbiomaterials.6b00149","ISSN":"2373-9878","author":[{"dropping-particle":"","family":"Lim","given":"Khoon S.","non-dropping-particle":"","parse-names":false,"suffix":""},{"dropping-particle":"","family":"Schon","given":"Benjamin S.","non-dropping-particle":"","parse-names":false,"suffix":""},{"dropping-particle":"V.","family":"Mekhileri","given":"Naveen","non-dropping-particle":"","parse-names":false,"suffix":""},{"dropping-particle":"","family":"Brown","given":"Gabriella C. J.","non-dropping-particle":"","parse-names":false,"suffix":""},{"dropping-particle":"","family":"Chia","given":"Catherine M.","non-dropping-particle":"","parse-names":false,"suffix":""},{"dropping-particle":"","family":"Prabakar","given":"Sujay","non-dropping-particle":"","parse-names":false,"suffix":""},{"dropping-particle":"","family":"Hooper","given":"Gary J.","non-dropping-particle":"","parse-names":false,"suffix":""},{"dropping-particle":"","family":"Woodfield","given":"Tim B. F.","non-dropping-particle":"","parse-names":false,"suffix":""}],"container-title":"ACS Biomaterials Science &amp; Engineering","id":"ITEM-1","issue":"10","issued":{"date-parts":[["2016","10","10"]]},"page":"1752-1762","title":"New Visible-Light Photoinitiating System for Improved Print Fidelity in Gelatin-Based Bioinks","type":"article-journal","volume":"2"},"uris":["http://www.mendeley.com/documents/?uuid=efb6dc59-8884-4c37-a553-6795270f1562"]}],"mendeley":{"formattedCitation":"[26]","plainTextFormattedCitation":"[26]","previouslyFormattedCitation":"[26]"},"properties":{"noteIndex":0},"schema":"https://github.com/citation-style-language/schema/raw/master/csl-citation.json"}</w:instrText>
      </w:r>
      <w:r w:rsidR="00910A55" w:rsidRPr="00F54DA5">
        <w:rPr>
          <w:rFonts w:cs="Arial"/>
        </w:rPr>
        <w:fldChar w:fldCharType="separate"/>
      </w:r>
      <w:r w:rsidR="00793844" w:rsidRPr="00793844">
        <w:rPr>
          <w:rFonts w:cs="Arial"/>
          <w:noProof/>
        </w:rPr>
        <w:t>[26]</w:t>
      </w:r>
      <w:r w:rsidR="00910A55" w:rsidRPr="00F54DA5">
        <w:rPr>
          <w:rFonts w:cs="Arial"/>
        </w:rPr>
        <w:fldChar w:fldCharType="end"/>
      </w:r>
      <w:r w:rsidR="00910A55" w:rsidRPr="00F54DA5">
        <w:rPr>
          <w:rFonts w:cs="Arial"/>
        </w:rPr>
        <w:t>.</w:t>
      </w:r>
      <w:r w:rsidR="001852E5">
        <w:rPr>
          <w:rFonts w:cs="Arial"/>
        </w:rPr>
        <w:t xml:space="preserve"> GG and LAP-GG disc</w:t>
      </w:r>
      <w:r w:rsidRPr="00F54DA5">
        <w:rPr>
          <w:rFonts w:cs="Arial"/>
        </w:rPr>
        <w:t xml:space="preserve"> samples</w:t>
      </w:r>
      <w:r w:rsidR="001852E5">
        <w:rPr>
          <w:rFonts w:cs="Arial"/>
        </w:rPr>
        <w:t xml:space="preserve"> (500 µl)</w:t>
      </w:r>
      <w:r w:rsidRPr="00F54DA5">
        <w:rPr>
          <w:rFonts w:cs="Arial"/>
        </w:rPr>
        <w:t xml:space="preserve"> were weighed immediately before (</w:t>
      </w:r>
      <m:oMath>
        <m:sSub>
          <m:sSubPr>
            <m:ctrlPr>
              <w:rPr>
                <w:rFonts w:ascii="Cambria Math" w:hAnsi="Cambria Math" w:cs="Arial"/>
              </w:rPr>
            </m:ctrlPr>
          </m:sSubPr>
          <m:e>
            <m:r>
              <w:rPr>
                <w:rFonts w:ascii="Cambria Math" w:hAnsi="Cambria Math" w:cs="Arial"/>
              </w:rPr>
              <m:t>m</m:t>
            </m:r>
          </m:e>
          <m:sub>
            <m:r>
              <w:rPr>
                <w:rFonts w:ascii="Cambria Math" w:hAnsi="Cambria Math" w:cs="Arial"/>
              </w:rPr>
              <m:t>initial</m:t>
            </m:r>
          </m:sub>
        </m:sSub>
      </m:oMath>
      <w:r w:rsidRPr="00F54DA5">
        <w:rPr>
          <w:rFonts w:eastAsiaTheme="minorEastAsia" w:cs="Arial"/>
        </w:rPr>
        <w:t>) and</w:t>
      </w:r>
      <w:r w:rsidRPr="00F54DA5">
        <w:rPr>
          <w:rFonts w:cs="Arial"/>
        </w:rPr>
        <w:t xml:space="preserve"> after cross-linking (</w:t>
      </w:r>
      <m:oMath>
        <m:sSub>
          <m:sSubPr>
            <m:ctrlPr>
              <w:rPr>
                <w:rFonts w:ascii="Cambria Math" w:hAnsi="Cambria Math" w:cs="Arial"/>
              </w:rPr>
            </m:ctrlPr>
          </m:sSubPr>
          <m:e>
            <m:r>
              <w:rPr>
                <w:rFonts w:ascii="Cambria Math" w:hAnsi="Cambria Math" w:cs="Arial"/>
              </w:rPr>
              <m:t>m</m:t>
            </m:r>
          </m:e>
          <m:sub>
            <m:r>
              <w:rPr>
                <w:rFonts w:ascii="Cambria Math" w:hAnsi="Cambria Math" w:cs="Arial"/>
              </w:rPr>
              <m:t>initial, t0</m:t>
            </m:r>
          </m:sub>
        </m:sSub>
      </m:oMath>
      <w:r w:rsidRPr="00F54DA5">
        <w:rPr>
          <w:rFonts w:cs="Arial"/>
        </w:rPr>
        <w:t>) to obtain initial wet mass, and three samples were lyophilized to obtain their dry weights (</w:t>
      </w:r>
      <m:oMath>
        <m:sSub>
          <m:sSubPr>
            <m:ctrlPr>
              <w:rPr>
                <w:rFonts w:ascii="Cambria Math" w:hAnsi="Cambria Math" w:cs="Arial"/>
              </w:rPr>
            </m:ctrlPr>
          </m:sSubPr>
          <m:e>
            <m:r>
              <w:rPr>
                <w:rFonts w:ascii="Cambria Math" w:hAnsi="Cambria Math" w:cs="Arial"/>
              </w:rPr>
              <m:t>m</m:t>
            </m:r>
          </m:e>
          <m:sub>
            <m:r>
              <w:rPr>
                <w:rFonts w:ascii="Cambria Math" w:hAnsi="Cambria Math" w:cs="Arial"/>
              </w:rPr>
              <m:t>dry, t0</m:t>
            </m:r>
          </m:sub>
        </m:sSub>
      </m:oMath>
      <w:r w:rsidRPr="00F54DA5">
        <w:rPr>
          <w:rFonts w:cs="Arial"/>
        </w:rPr>
        <w:t xml:space="preserve">). The macromer fraction was </w:t>
      </w:r>
      <w:r w:rsidR="00BE4DDB">
        <w:rPr>
          <w:rFonts w:cs="Arial"/>
        </w:rPr>
        <w:t>c</w:t>
      </w:r>
      <w:r w:rsidRPr="00F54DA5">
        <w:rPr>
          <w:rFonts w:cs="Arial"/>
        </w:rPr>
        <w:t>alculated using equation (</w:t>
      </w:r>
      <w:r w:rsidR="00C07DDB" w:rsidRPr="00F54DA5">
        <w:rPr>
          <w:rFonts w:cs="Arial"/>
        </w:rPr>
        <w:t>1</w:t>
      </w:r>
      <w:r w:rsidRPr="00F54DA5">
        <w:rPr>
          <w:rFonts w:cs="Arial"/>
        </w:rPr>
        <w:t>)</w:t>
      </w:r>
    </w:p>
    <w:p w14:paraId="2C8D1FE9" w14:textId="48D3BF44" w:rsidR="00A864BA" w:rsidRPr="00F54DA5" w:rsidRDefault="00A864BA" w:rsidP="00D9695A">
      <w:pPr>
        <w:pStyle w:val="Caption"/>
        <w:spacing w:line="360" w:lineRule="auto"/>
        <w:ind w:left="2160" w:firstLine="720"/>
        <w:jc w:val="both"/>
        <w:rPr>
          <w:rFonts w:cs="Arial"/>
          <w:szCs w:val="22"/>
        </w:rPr>
      </w:pPr>
      <m:oMath>
        <m:r>
          <w:rPr>
            <w:rFonts w:ascii="Cambria Math" w:hAnsi="Cambria Math" w:cs="Arial"/>
            <w:color w:val="auto"/>
            <w:sz w:val="22"/>
            <w:szCs w:val="22"/>
          </w:rPr>
          <m:t>actual macromer fraction=</m:t>
        </m:r>
        <m:f>
          <m:fPr>
            <m:ctrlPr>
              <w:rPr>
                <w:rFonts w:ascii="Cambria Math" w:hAnsi="Cambria Math" w:cs="Arial"/>
                <w:i w:val="0"/>
                <w:iCs w:val="0"/>
                <w:color w:val="auto"/>
                <w:sz w:val="22"/>
                <w:szCs w:val="22"/>
              </w:rPr>
            </m:ctrlPr>
          </m:fPr>
          <m:num>
            <m:sSub>
              <m:sSubPr>
                <m:ctrlPr>
                  <w:rPr>
                    <w:rFonts w:ascii="Cambria Math" w:hAnsi="Cambria Math" w:cs="Arial"/>
                    <w:i w:val="0"/>
                    <w:iCs w:val="0"/>
                    <w:color w:val="auto"/>
                    <w:sz w:val="22"/>
                    <w:szCs w:val="22"/>
                  </w:rPr>
                </m:ctrlPr>
              </m:sSubPr>
              <m:e>
                <m:r>
                  <w:rPr>
                    <w:rFonts w:ascii="Cambria Math" w:hAnsi="Cambria Math" w:cs="Arial"/>
                    <w:color w:val="auto"/>
                    <w:sz w:val="22"/>
                    <w:szCs w:val="22"/>
                  </w:rPr>
                  <m:t>m</m:t>
                </m:r>
              </m:e>
              <m:sub>
                <m:r>
                  <w:rPr>
                    <w:rFonts w:ascii="Cambria Math" w:hAnsi="Cambria Math" w:cs="Arial"/>
                    <w:color w:val="auto"/>
                    <w:sz w:val="22"/>
                    <w:szCs w:val="22"/>
                  </w:rPr>
                  <m:t>dry, t0</m:t>
                </m:r>
              </m:sub>
            </m:sSub>
          </m:num>
          <m:den>
            <m:sSub>
              <m:sSubPr>
                <m:ctrlPr>
                  <w:rPr>
                    <w:rFonts w:ascii="Cambria Math" w:hAnsi="Cambria Math" w:cs="Arial"/>
                    <w:i w:val="0"/>
                    <w:iCs w:val="0"/>
                    <w:color w:val="auto"/>
                    <w:sz w:val="22"/>
                    <w:szCs w:val="22"/>
                  </w:rPr>
                </m:ctrlPr>
              </m:sSubPr>
              <m:e>
                <m:r>
                  <w:rPr>
                    <w:rFonts w:ascii="Cambria Math" w:hAnsi="Cambria Math" w:cs="Arial"/>
                    <w:color w:val="auto"/>
                    <w:sz w:val="22"/>
                    <w:szCs w:val="22"/>
                  </w:rPr>
                  <m:t>m</m:t>
                </m:r>
              </m:e>
              <m:sub>
                <m:r>
                  <w:rPr>
                    <w:rFonts w:ascii="Cambria Math" w:hAnsi="Cambria Math" w:cs="Arial"/>
                    <w:color w:val="auto"/>
                    <w:sz w:val="22"/>
                    <w:szCs w:val="22"/>
                  </w:rPr>
                  <m:t>initial, t0</m:t>
                </m:r>
              </m:sub>
            </m:sSub>
          </m:den>
        </m:f>
      </m:oMath>
      <w:r w:rsidRPr="00F54DA5">
        <w:rPr>
          <w:rFonts w:eastAsiaTheme="minorEastAsia" w:cs="Arial"/>
          <w:szCs w:val="22"/>
        </w:rPr>
        <w:tab/>
        <w:t xml:space="preserve">             </w:t>
      </w:r>
      <w:r w:rsidRPr="00F54DA5">
        <w:rPr>
          <w:rFonts w:cs="Arial"/>
          <w:i w:val="0"/>
          <w:iCs w:val="0"/>
          <w:color w:val="auto"/>
          <w:sz w:val="22"/>
          <w:szCs w:val="22"/>
        </w:rPr>
        <w:t>(</w:t>
      </w:r>
      <w:r w:rsidR="00C07DDB" w:rsidRPr="00F54DA5">
        <w:rPr>
          <w:rFonts w:cs="Arial"/>
          <w:i w:val="0"/>
          <w:iCs w:val="0"/>
          <w:color w:val="auto"/>
          <w:sz w:val="22"/>
          <w:szCs w:val="22"/>
        </w:rPr>
        <w:t>1</w:t>
      </w:r>
      <w:r w:rsidRPr="00F54DA5">
        <w:rPr>
          <w:rFonts w:cs="Arial"/>
          <w:i w:val="0"/>
          <w:iCs w:val="0"/>
          <w:color w:val="auto"/>
          <w:sz w:val="22"/>
          <w:szCs w:val="22"/>
        </w:rPr>
        <w:t>)</w:t>
      </w:r>
    </w:p>
    <w:p w14:paraId="5E1C9366" w14:textId="31D77698" w:rsidR="00A864BA" w:rsidRPr="00F54DA5" w:rsidRDefault="00A864BA" w:rsidP="00D9695A">
      <w:pPr>
        <w:spacing w:line="360" w:lineRule="auto"/>
        <w:jc w:val="both"/>
        <w:rPr>
          <w:rFonts w:cs="Arial"/>
        </w:rPr>
      </w:pPr>
      <w:r w:rsidRPr="00F54DA5">
        <w:rPr>
          <w:rFonts w:cs="Arial"/>
        </w:rPr>
        <w:t xml:space="preserve">The remaining samples were incubated in a </w:t>
      </w:r>
      <w:r w:rsidR="00BD3976">
        <w:rPr>
          <w:rFonts w:cs="Arial"/>
        </w:rPr>
        <w:t>phosphate buffer</w:t>
      </w:r>
      <w:r w:rsidR="00F933F7">
        <w:rPr>
          <w:rFonts w:cs="Arial"/>
        </w:rPr>
        <w:t>ed</w:t>
      </w:r>
      <w:r w:rsidR="00BD3976">
        <w:rPr>
          <w:rFonts w:cs="Arial"/>
        </w:rPr>
        <w:t xml:space="preserve"> saline (</w:t>
      </w:r>
      <w:r w:rsidRPr="00F54DA5">
        <w:rPr>
          <w:rFonts w:cs="Arial"/>
        </w:rPr>
        <w:t>PBS</w:t>
      </w:r>
      <w:r w:rsidR="00BD3976">
        <w:rPr>
          <w:rFonts w:cs="Arial"/>
        </w:rPr>
        <w:t xml:space="preserve">, Thermo-Fisher) or </w:t>
      </w:r>
      <w:r w:rsidR="00BD3976" w:rsidRPr="00F54DA5">
        <w:rPr>
          <w:rFonts w:cs="Arial"/>
        </w:rPr>
        <w:t xml:space="preserve">Hank’s balanced salt solution (HBSS, Thermo-Fisher) </w:t>
      </w:r>
      <w:r w:rsidRPr="00F54DA5">
        <w:rPr>
          <w:rFonts w:cs="Arial"/>
        </w:rPr>
        <w:t>bath at 37</w:t>
      </w:r>
      <w:r w:rsidR="00443B84" w:rsidRPr="00F54DA5">
        <w:rPr>
          <w:rFonts w:cs="Arial"/>
        </w:rPr>
        <w:t xml:space="preserve"> </w:t>
      </w:r>
      <w:r w:rsidRPr="00F54DA5">
        <w:rPr>
          <w:rFonts w:cs="Arial"/>
        </w:rPr>
        <w:t xml:space="preserve">°C to allow swelling and the soluble fraction to leach </w:t>
      </w:r>
      <w:r w:rsidR="00BE4DDB">
        <w:rPr>
          <w:rFonts w:cs="Arial"/>
        </w:rPr>
        <w:t>from</w:t>
      </w:r>
      <w:r w:rsidRPr="00F54DA5">
        <w:rPr>
          <w:rFonts w:cs="Arial"/>
        </w:rPr>
        <w:t xml:space="preserve"> the hydrogel network. After 1 day</w:t>
      </w:r>
      <w:r w:rsidR="00BE4DDB">
        <w:rPr>
          <w:rFonts w:cs="Arial"/>
        </w:rPr>
        <w:t>,</w:t>
      </w:r>
      <w:r w:rsidRPr="00F54DA5">
        <w:rPr>
          <w:rFonts w:cs="Arial"/>
        </w:rPr>
        <w:t xml:space="preserve"> the samples were weighed again (</w:t>
      </w:r>
      <m:oMath>
        <m:sSub>
          <m:sSubPr>
            <m:ctrlPr>
              <w:rPr>
                <w:rFonts w:ascii="Cambria Math" w:hAnsi="Cambria Math" w:cs="Arial"/>
              </w:rPr>
            </m:ctrlPr>
          </m:sSubPr>
          <m:e>
            <m:r>
              <w:rPr>
                <w:rFonts w:ascii="Cambria Math" w:hAnsi="Cambria Math" w:cs="Arial"/>
              </w:rPr>
              <m:t>m</m:t>
            </m:r>
          </m:e>
          <m:sub>
            <m:r>
              <w:rPr>
                <w:rFonts w:ascii="Cambria Math" w:hAnsi="Cambria Math" w:cs="Arial"/>
              </w:rPr>
              <m:t>swollen</m:t>
            </m:r>
          </m:sub>
        </m:sSub>
      </m:oMath>
      <w:r w:rsidRPr="00F54DA5">
        <w:rPr>
          <w:rFonts w:cs="Arial"/>
        </w:rPr>
        <w:t>). The samples were then lyophilized and weighed a last time (</w:t>
      </w:r>
      <m:oMath>
        <m:sSub>
          <m:sSubPr>
            <m:ctrlPr>
              <w:rPr>
                <w:rFonts w:ascii="Cambria Math" w:hAnsi="Cambria Math" w:cs="Arial"/>
              </w:rPr>
            </m:ctrlPr>
          </m:sSubPr>
          <m:e>
            <m:r>
              <w:rPr>
                <w:rFonts w:ascii="Cambria Math" w:hAnsi="Cambria Math" w:cs="Arial"/>
              </w:rPr>
              <m:t>m</m:t>
            </m:r>
          </m:e>
          <m:sub>
            <m:r>
              <w:rPr>
                <w:rFonts w:ascii="Cambria Math" w:hAnsi="Cambria Math" w:cs="Arial"/>
              </w:rPr>
              <m:t>dry</m:t>
            </m:r>
          </m:sub>
        </m:sSub>
      </m:oMath>
      <w:r w:rsidRPr="00F54DA5">
        <w:rPr>
          <w:rFonts w:cs="Arial"/>
        </w:rPr>
        <w:t xml:space="preserve">). The sol fraction was defined as the mass loss after 1 day and was calculated using equation </w:t>
      </w:r>
      <w:r w:rsidR="00C07DDB" w:rsidRPr="00F54DA5">
        <w:rPr>
          <w:rFonts w:cs="Arial"/>
        </w:rPr>
        <w:t>(2</w:t>
      </w:r>
      <w:r w:rsidRPr="00F54DA5">
        <w:rPr>
          <w:rFonts w:cs="Arial"/>
        </w:rPr>
        <w:t>) and (</w:t>
      </w:r>
      <w:r w:rsidR="00C07DDB" w:rsidRPr="00F54DA5">
        <w:rPr>
          <w:rFonts w:cs="Arial"/>
        </w:rPr>
        <w:t>3</w:t>
      </w:r>
      <w:r w:rsidRPr="00F54DA5">
        <w:rPr>
          <w:rFonts w:cs="Arial"/>
        </w:rPr>
        <w:t>). Mass swelling ratio (q) was calculated using equation (</w:t>
      </w:r>
      <w:r w:rsidR="00C07DDB" w:rsidRPr="00F54DA5">
        <w:rPr>
          <w:rFonts w:cs="Arial"/>
        </w:rPr>
        <w:t>4</w:t>
      </w:r>
      <w:r w:rsidRPr="00F54DA5">
        <w:rPr>
          <w:rFonts w:cs="Arial"/>
        </w:rPr>
        <w:t xml:space="preserve">). </w:t>
      </w:r>
    </w:p>
    <w:p w14:paraId="094F98A9" w14:textId="77777777" w:rsidR="00A864BA" w:rsidRPr="00F54DA5" w:rsidRDefault="00A864BA" w:rsidP="00D9695A">
      <w:pPr>
        <w:spacing w:line="360" w:lineRule="auto"/>
        <w:jc w:val="both"/>
        <w:rPr>
          <w:rFonts w:cs="Arial"/>
        </w:rPr>
      </w:pPr>
    </w:p>
    <w:p w14:paraId="4DA02E63" w14:textId="6BC7E4EA" w:rsidR="00A864BA" w:rsidRPr="00F54DA5" w:rsidRDefault="00790276" w:rsidP="00D9695A">
      <w:pPr>
        <w:spacing w:line="360" w:lineRule="auto"/>
        <w:ind w:left="2160"/>
        <w:jc w:val="both"/>
        <w:rPr>
          <w:rFonts w:cs="Arial"/>
        </w:rPr>
      </w:pPr>
      <m:oMath>
        <m:sSub>
          <m:sSubPr>
            <m:ctrlPr>
              <w:rPr>
                <w:rFonts w:ascii="Cambria Math" w:hAnsi="Cambria Math" w:cs="Arial"/>
              </w:rPr>
            </m:ctrlPr>
          </m:sSubPr>
          <m:e>
            <m:r>
              <w:rPr>
                <w:rFonts w:ascii="Cambria Math" w:hAnsi="Cambria Math" w:cs="Arial"/>
              </w:rPr>
              <m:t>m</m:t>
            </m:r>
          </m:e>
          <m:sub>
            <m:r>
              <w:rPr>
                <w:rFonts w:ascii="Cambria Math" w:hAnsi="Cambria Math" w:cs="Arial"/>
              </w:rPr>
              <m:t>initial</m:t>
            </m:r>
            <m:r>
              <m:rPr>
                <m:sty m:val="p"/>
              </m:rPr>
              <w:rPr>
                <w:rFonts w:ascii="Cambria Math" w:hAnsi="Cambria Math" w:cs="Arial"/>
              </w:rPr>
              <m:t xml:space="preserve">, </m:t>
            </m:r>
            <m:r>
              <w:rPr>
                <w:rFonts w:ascii="Cambria Math" w:hAnsi="Cambria Math" w:cs="Arial"/>
              </w:rPr>
              <m:t>dry</m:t>
            </m:r>
          </m:sub>
        </m:sSub>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m</m:t>
            </m:r>
          </m:e>
          <m:sub>
            <m:r>
              <w:rPr>
                <w:rFonts w:ascii="Cambria Math" w:hAnsi="Cambria Math" w:cs="Arial"/>
              </w:rPr>
              <m:t>initial</m:t>
            </m:r>
          </m:sub>
        </m:sSub>
        <m:r>
          <m:rPr>
            <m:sty m:val="p"/>
          </m:rPr>
          <w:rPr>
            <w:rFonts w:ascii="Cambria Math" w:hAnsi="Cambria Math" w:cs="Arial"/>
          </w:rPr>
          <m:t xml:space="preserve"> (</m:t>
        </m:r>
        <m:r>
          <w:rPr>
            <w:rFonts w:ascii="Cambria Math" w:hAnsi="Cambria Math" w:cs="Arial"/>
          </w:rPr>
          <m:t>actual</m:t>
        </m:r>
        <m:r>
          <m:rPr>
            <m:sty m:val="p"/>
          </m:rPr>
          <w:rPr>
            <w:rFonts w:ascii="Cambria Math" w:hAnsi="Cambria Math" w:cs="Arial"/>
          </w:rPr>
          <m:t xml:space="preserve"> </m:t>
        </m:r>
        <m:r>
          <w:rPr>
            <w:rFonts w:ascii="Cambria Math" w:hAnsi="Cambria Math" w:cs="Arial"/>
          </w:rPr>
          <m:t>macromer</m:t>
        </m:r>
        <m:r>
          <m:rPr>
            <m:sty m:val="p"/>
          </m:rPr>
          <w:rPr>
            <w:rFonts w:ascii="Cambria Math" w:hAnsi="Cambria Math" w:cs="Arial"/>
          </w:rPr>
          <m:t xml:space="preserve"> </m:t>
        </m:r>
        <m:r>
          <w:rPr>
            <w:rFonts w:ascii="Cambria Math" w:hAnsi="Cambria Math" w:cs="Arial"/>
          </w:rPr>
          <m:t>fraction</m:t>
        </m:r>
        <m:r>
          <m:rPr>
            <m:sty m:val="p"/>
          </m:rPr>
          <w:rPr>
            <w:rFonts w:ascii="Cambria Math" w:hAnsi="Cambria Math" w:cs="Arial"/>
          </w:rPr>
          <m:t>)</m:t>
        </m:r>
      </m:oMath>
      <w:r w:rsidR="00A864BA" w:rsidRPr="00F54DA5">
        <w:rPr>
          <w:rFonts w:cs="Arial"/>
        </w:rPr>
        <w:t xml:space="preserve"> </w:t>
      </w:r>
      <w:r w:rsidR="00A864BA" w:rsidRPr="00F54DA5">
        <w:rPr>
          <w:rFonts w:cs="Arial"/>
        </w:rPr>
        <w:tab/>
      </w:r>
      <w:r w:rsidR="00A864BA" w:rsidRPr="00F54DA5">
        <w:rPr>
          <w:rFonts w:cs="Arial"/>
        </w:rPr>
        <w:tab/>
        <w:t xml:space="preserve">    (</w:t>
      </w:r>
      <w:r w:rsidR="00C07DDB" w:rsidRPr="00F54DA5">
        <w:rPr>
          <w:rFonts w:cs="Arial"/>
        </w:rPr>
        <w:t>2</w:t>
      </w:r>
      <w:r w:rsidR="00A864BA" w:rsidRPr="00F54DA5">
        <w:rPr>
          <w:rFonts w:cs="Arial"/>
        </w:rPr>
        <w:t>)</w:t>
      </w:r>
    </w:p>
    <w:p w14:paraId="15205F23" w14:textId="5F1B8808" w:rsidR="00A864BA" w:rsidRPr="00F54DA5" w:rsidRDefault="00A864BA" w:rsidP="00D9695A">
      <w:pPr>
        <w:spacing w:line="360" w:lineRule="auto"/>
        <w:ind w:left="2160" w:firstLine="720"/>
        <w:jc w:val="both"/>
        <w:rPr>
          <w:rFonts w:cs="Arial"/>
        </w:rPr>
      </w:pPr>
      <m:oMath>
        <m:r>
          <w:rPr>
            <w:rFonts w:ascii="Cambria Math" w:hAnsi="Cambria Math" w:cs="Arial"/>
          </w:rPr>
          <m:t>sol</m:t>
        </m:r>
        <m:r>
          <m:rPr>
            <m:sty m:val="p"/>
          </m:rPr>
          <w:rPr>
            <w:rFonts w:ascii="Cambria Math" w:hAnsi="Cambria Math" w:cs="Arial"/>
          </w:rPr>
          <m:t xml:space="preserve"> </m:t>
        </m:r>
        <m:r>
          <w:rPr>
            <w:rFonts w:ascii="Cambria Math" w:hAnsi="Cambria Math" w:cs="Arial"/>
          </w:rPr>
          <m:t>fraction</m:t>
        </m:r>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w:rPr>
                    <w:rFonts w:ascii="Cambria Math" w:hAnsi="Cambria Math" w:cs="Arial"/>
                  </w:rPr>
                  <m:t>initial</m:t>
                </m:r>
                <m:r>
                  <m:rPr>
                    <m:sty m:val="p"/>
                  </m:rPr>
                  <w:rPr>
                    <w:rFonts w:ascii="Cambria Math" w:hAnsi="Cambria Math" w:cs="Arial"/>
                  </w:rPr>
                  <m:t xml:space="preserve">. </m:t>
                </m:r>
                <m:r>
                  <w:rPr>
                    <w:rFonts w:ascii="Cambria Math" w:hAnsi="Cambria Math" w:cs="Arial"/>
                  </w:rPr>
                  <m:t>dry</m:t>
                </m:r>
              </m:sub>
            </m:sSub>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m</m:t>
                </m:r>
              </m:e>
              <m:sub>
                <m:r>
                  <w:rPr>
                    <w:rFonts w:ascii="Cambria Math" w:hAnsi="Cambria Math" w:cs="Arial"/>
                  </w:rPr>
                  <m:t>dry</m:t>
                </m:r>
              </m:sub>
            </m:sSub>
          </m:num>
          <m:den>
            <m:sSub>
              <m:sSubPr>
                <m:ctrlPr>
                  <w:rPr>
                    <w:rFonts w:ascii="Cambria Math" w:hAnsi="Cambria Math" w:cs="Arial"/>
                  </w:rPr>
                </m:ctrlPr>
              </m:sSubPr>
              <m:e>
                <m:r>
                  <w:rPr>
                    <w:rFonts w:ascii="Cambria Math" w:hAnsi="Cambria Math" w:cs="Arial"/>
                  </w:rPr>
                  <m:t>m</m:t>
                </m:r>
              </m:e>
              <m:sub>
                <m:r>
                  <w:rPr>
                    <w:rFonts w:ascii="Cambria Math" w:hAnsi="Cambria Math" w:cs="Arial"/>
                  </w:rPr>
                  <m:t>initial</m:t>
                </m:r>
                <m:r>
                  <m:rPr>
                    <m:sty m:val="p"/>
                  </m:rPr>
                  <w:rPr>
                    <w:rFonts w:ascii="Cambria Math" w:hAnsi="Cambria Math" w:cs="Arial"/>
                  </w:rPr>
                  <m:t xml:space="preserve">, </m:t>
                </m:r>
                <m:r>
                  <w:rPr>
                    <w:rFonts w:ascii="Cambria Math" w:hAnsi="Cambria Math" w:cs="Arial"/>
                  </w:rPr>
                  <m:t>dry</m:t>
                </m:r>
              </m:sub>
            </m:sSub>
          </m:den>
        </m:f>
        <m:r>
          <m:rPr>
            <m:sty m:val="p"/>
          </m:rPr>
          <w:rPr>
            <w:rFonts w:ascii="Cambria Math" w:hAnsi="Cambria Math" w:cs="Arial"/>
          </w:rPr>
          <m:t xml:space="preserve"> 100%</m:t>
        </m:r>
      </m:oMath>
      <w:r w:rsidRPr="00F54DA5">
        <w:rPr>
          <w:rFonts w:cs="Arial"/>
        </w:rPr>
        <w:tab/>
      </w:r>
      <w:r w:rsidR="00C07DDB" w:rsidRPr="00F54DA5">
        <w:rPr>
          <w:rFonts w:cs="Arial"/>
        </w:rPr>
        <w:t xml:space="preserve">      </w:t>
      </w:r>
      <w:r w:rsidRPr="00F54DA5">
        <w:rPr>
          <w:rFonts w:cs="Arial"/>
        </w:rPr>
        <w:t xml:space="preserve">     </w:t>
      </w:r>
      <w:r w:rsidR="00C07DDB" w:rsidRPr="00F54DA5">
        <w:rPr>
          <w:rFonts w:cs="Arial"/>
        </w:rPr>
        <w:t xml:space="preserve">     (3</w:t>
      </w:r>
      <w:r w:rsidRPr="00F54DA5">
        <w:rPr>
          <w:rFonts w:cs="Arial"/>
        </w:rPr>
        <w:t>)</w:t>
      </w:r>
    </w:p>
    <w:p w14:paraId="15EE8D05" w14:textId="42299B97" w:rsidR="00A864BA" w:rsidRPr="00F54DA5" w:rsidRDefault="00A864BA" w:rsidP="00D9695A">
      <w:pPr>
        <w:spacing w:line="360" w:lineRule="auto"/>
        <w:ind w:left="3600" w:firstLine="720"/>
        <w:jc w:val="both"/>
        <w:rPr>
          <w:rFonts w:eastAsiaTheme="minorEastAsia" w:cs="Arial"/>
        </w:rPr>
      </w:pPr>
      <m:oMath>
        <m:r>
          <w:rPr>
            <w:rFonts w:ascii="Cambria Math" w:hAnsi="Cambria Math" w:cs="Arial"/>
          </w:rPr>
          <m:t>q</m:t>
        </m:r>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w:rPr>
                    <w:rFonts w:ascii="Cambria Math" w:hAnsi="Cambria Math" w:cs="Arial"/>
                  </w:rPr>
                  <m:t>swollen</m:t>
                </m:r>
              </m:sub>
            </m:sSub>
          </m:num>
          <m:den>
            <m:sSub>
              <m:sSubPr>
                <m:ctrlPr>
                  <w:rPr>
                    <w:rFonts w:ascii="Cambria Math" w:hAnsi="Cambria Math" w:cs="Arial"/>
                  </w:rPr>
                </m:ctrlPr>
              </m:sSubPr>
              <m:e>
                <m:r>
                  <w:rPr>
                    <w:rFonts w:ascii="Cambria Math" w:hAnsi="Cambria Math" w:cs="Arial"/>
                  </w:rPr>
                  <m:t>m</m:t>
                </m:r>
              </m:e>
              <m:sub>
                <m:r>
                  <w:rPr>
                    <w:rFonts w:ascii="Cambria Math" w:hAnsi="Cambria Math" w:cs="Arial"/>
                  </w:rPr>
                  <m:t>dry</m:t>
                </m:r>
              </m:sub>
            </m:sSub>
          </m:den>
        </m:f>
      </m:oMath>
      <w:r w:rsidRPr="00F54DA5">
        <w:rPr>
          <w:rFonts w:cs="Arial"/>
        </w:rPr>
        <w:tab/>
      </w:r>
      <w:r w:rsidRPr="00F54DA5">
        <w:rPr>
          <w:rFonts w:cs="Arial"/>
        </w:rPr>
        <w:tab/>
        <w:t xml:space="preserve">     </w:t>
      </w:r>
      <w:r w:rsidR="00C07DDB" w:rsidRPr="00F54DA5">
        <w:rPr>
          <w:rFonts w:cs="Arial"/>
        </w:rPr>
        <w:t xml:space="preserve">              </w:t>
      </w:r>
      <w:r w:rsidRPr="00F54DA5">
        <w:rPr>
          <w:rFonts w:cs="Arial"/>
        </w:rPr>
        <w:t xml:space="preserve">         (</w:t>
      </w:r>
      <w:r w:rsidR="00C07DDB" w:rsidRPr="00F54DA5">
        <w:rPr>
          <w:rFonts w:cs="Arial"/>
        </w:rPr>
        <w:t>4</w:t>
      </w:r>
      <w:r w:rsidRPr="00F54DA5">
        <w:rPr>
          <w:rFonts w:cs="Arial"/>
        </w:rPr>
        <w:t>)</w:t>
      </w:r>
    </w:p>
    <w:p w14:paraId="7BA4C158" w14:textId="7B0C0B93" w:rsidR="00A864BA" w:rsidRDefault="00A864BA" w:rsidP="00D9695A">
      <w:pPr>
        <w:spacing w:line="360" w:lineRule="auto"/>
        <w:jc w:val="both"/>
      </w:pPr>
    </w:p>
    <w:p w14:paraId="182509FB" w14:textId="77777777" w:rsidR="001852E5" w:rsidRPr="00F54DA5" w:rsidRDefault="001852E5" w:rsidP="00D9695A">
      <w:pPr>
        <w:spacing w:line="360" w:lineRule="auto"/>
        <w:jc w:val="both"/>
      </w:pPr>
    </w:p>
    <w:p w14:paraId="493244BC" w14:textId="1D6D01CD" w:rsidR="00E523C3" w:rsidRPr="00F54DA5" w:rsidRDefault="00126CD4" w:rsidP="00D9695A">
      <w:pPr>
        <w:pStyle w:val="Heading3"/>
        <w:numPr>
          <w:ilvl w:val="0"/>
          <w:numId w:val="0"/>
        </w:numPr>
        <w:spacing w:before="360" w:after="240"/>
        <w:jc w:val="both"/>
      </w:pPr>
      <w:bookmarkStart w:id="15" w:name="_Toc529724922"/>
      <w:r>
        <w:t xml:space="preserve">2.3 </w:t>
      </w:r>
      <w:r w:rsidR="00E523C3" w:rsidRPr="00F54DA5">
        <w:t xml:space="preserve">Acellular printing of gellan gum and </w:t>
      </w:r>
      <w:r w:rsidR="00D87303">
        <w:t>Laponite</w:t>
      </w:r>
      <w:r w:rsidR="00EE6120">
        <w:t>-</w:t>
      </w:r>
      <w:r w:rsidR="00E523C3" w:rsidRPr="00F54DA5">
        <w:t xml:space="preserve">gellan gum </w:t>
      </w:r>
      <w:bookmarkEnd w:id="15"/>
    </w:p>
    <w:p w14:paraId="2883AD53" w14:textId="77EE0FFC" w:rsidR="00E523C3" w:rsidRPr="00F54DA5" w:rsidRDefault="00E523C3" w:rsidP="00D9695A">
      <w:pPr>
        <w:spacing w:line="360" w:lineRule="auto"/>
        <w:ind w:firstLine="567"/>
        <w:jc w:val="both"/>
        <w:rPr>
          <w:rFonts w:cs="Arial"/>
          <w:color w:val="000000" w:themeColor="text1"/>
        </w:rPr>
      </w:pPr>
      <w:r w:rsidRPr="00F54DA5">
        <w:rPr>
          <w:rFonts w:cs="Arial"/>
          <w:color w:val="000000" w:themeColor="text1"/>
        </w:rPr>
        <w:t xml:space="preserve">Printing of acellular GG and LAP-GG was carried out in air and in agarose. A previously employed </w:t>
      </w:r>
      <w:r w:rsidR="002A42D9">
        <w:rPr>
          <w:rFonts w:cs="Arial"/>
          <w:color w:val="000000" w:themeColor="text1"/>
        </w:rPr>
        <w:t>cu</w:t>
      </w:r>
      <w:r w:rsidR="0072000A">
        <w:rPr>
          <w:rFonts w:cs="Arial"/>
          <w:color w:val="000000" w:themeColor="text1"/>
        </w:rPr>
        <w:t xml:space="preserve">stom-made </w:t>
      </w:r>
      <w:r w:rsidRPr="00F54DA5">
        <w:rPr>
          <w:rFonts w:cs="Arial"/>
          <w:color w:val="000000" w:themeColor="text1"/>
        </w:rPr>
        <w:t xml:space="preserve">3D bioprinter </w:t>
      </w:r>
      <w:r w:rsidRPr="00F54DA5">
        <w:rPr>
          <w:rFonts w:cs="Arial"/>
          <w:color w:val="000000" w:themeColor="text1"/>
        </w:rPr>
        <w:fldChar w:fldCharType="begin" w:fldLock="1"/>
      </w:r>
      <w:r w:rsidR="00793844">
        <w:rPr>
          <w:rFonts w:cs="Arial"/>
          <w:color w:val="000000" w:themeColor="text1"/>
        </w:rPr>
        <w:instrText>ADDIN CSL_CITATION {"citationItems":[{"id":"ITEM-1","itemData":{"DOI":"10.3390/molecules21060687","ISSN":"14203049","PMID":"27240326","abstract":"Addition of bioactive materials such as calcium phosphates or Bioglass, and incorporation of porosity into polyetheretherketone (PEEK) has been identified as an effective approach to improve bone-implant interfaces and osseointegration of PEEK-based devices. In this paper, a novel production technique based on the extrusion freeforming method is proposed that yields a bioactive PEEK/hydroxyapatite (PEEK/HA) composite with a unique configuration in which the bioactive phase (i.e., HA) distribution is computer-controlled within a PEEK matrix. The 100% interconnectivity of the HA network in the biocomposite confers an advantage over alternative forms of other microstructural configurations. Moreover, the technique can be employed to produce porous PEEK structures with controlled pore size and distribution, facilitating greater cellular infiltration and biological integration of PEEK composites within patient tissue. The results of unconfined, uniaxial compressive tests on these new PEEK/HA biocomposites with 40% HA under both static and cyclic mode were promising, showing the composites possess yield and compressive strength within the range of human cortical bone suitable for load bearing applications. In addition, preliminary evidence supporting initial biological safety of the new technique developed is demonstrated in this paper. Sufficient cell attachment, sustained viability in contact with the sample over a seven-day period, evidence of cell bridging and matrix deposition all confirmed excellent biocompatibility.","author":[{"dropping-particle":"","family":"Vaezi","given":"Mohammad","non-dropping-particle":"","parse-names":false,"suffix":""},{"dropping-particle":"","family":"Black","given":"Cameron","non-dropping-particle":"","parse-names":false,"suffix":""},{"dropping-particle":"","family":"Gibbs","given":"David M.R.","non-dropping-particle":"","parse-names":false,"suffix":""},{"dropping-particle":"","family":"Oreffo","given":"Richard O.C.","non-dropping-particle":"","parse-names":false,"suffix":""},{"dropping-particle":"","family":"Brady","given":"Mark","non-dropping-particle":"","parse-names":false,"suffix":""},{"dropping-particle":"","family":"Moshrefi-Torbati","given":"Mohamed","non-dropping-particle":"","parse-names":false,"suffix":""},{"dropping-particle":"","family":"Yang","given":"Shoufeng","non-dropping-particle":"","parse-names":false,"suffix":""}],"container-title":"Molecules","id":"ITEM-1","issue":"6","issued":{"date-parts":[["2016"]]},"page":"1-21","title":"Characterization of New PEEK/HA composites with 3D HA network fabricated by extrusion freeforming","type":"article-journal","volume":"21"},"uris":["http://www.mendeley.com/documents/?uuid=a3f9273f-885c-47f5-9702-9d10bafa9ef1"]}],"mendeley":{"formattedCitation":"[27]","plainTextFormattedCitation":"[27]","previouslyFormattedCitation":"[27]"},"properties":{"noteIndex":0},"schema":"https://github.com/citation-style-language/schema/raw/master/csl-citation.json"}</w:instrText>
      </w:r>
      <w:r w:rsidRPr="00F54DA5">
        <w:rPr>
          <w:rFonts w:cs="Arial"/>
          <w:color w:val="000000" w:themeColor="text1"/>
        </w:rPr>
        <w:fldChar w:fldCharType="separate"/>
      </w:r>
      <w:r w:rsidR="00793844" w:rsidRPr="00793844">
        <w:rPr>
          <w:rFonts w:cs="Arial"/>
          <w:noProof/>
          <w:color w:val="000000" w:themeColor="text1"/>
        </w:rPr>
        <w:t>[27]</w:t>
      </w:r>
      <w:r w:rsidRPr="00F54DA5">
        <w:rPr>
          <w:rFonts w:cs="Arial"/>
          <w:color w:val="000000" w:themeColor="text1"/>
        </w:rPr>
        <w:fldChar w:fldCharType="end"/>
      </w:r>
      <w:r w:rsidRPr="00F54DA5">
        <w:rPr>
          <w:rFonts w:cs="Arial"/>
          <w:color w:val="000000" w:themeColor="text1"/>
        </w:rPr>
        <w:t xml:space="preserve"> was used to generated three-dimensional scaffolds. A 5 ml agarose fluid gel bed was prepared </w:t>
      </w:r>
      <w:r w:rsidR="00AD210F">
        <w:rPr>
          <w:rFonts w:cs="Arial"/>
          <w:color w:val="000000" w:themeColor="text1"/>
        </w:rPr>
        <w:t>as a supportive bath for</w:t>
      </w:r>
      <w:r w:rsidRPr="00F54DA5">
        <w:rPr>
          <w:rFonts w:cs="Arial"/>
          <w:color w:val="000000" w:themeColor="text1"/>
        </w:rPr>
        <w:t xml:space="preserve"> extrusion. </w:t>
      </w:r>
      <w:r w:rsidR="00EE6120">
        <w:t>LAP-GG</w:t>
      </w:r>
      <w:r w:rsidRPr="00F54DA5">
        <w:t xml:space="preserve"> and GG were labelled with </w:t>
      </w:r>
      <w:r w:rsidRPr="00F54DA5">
        <w:lastRenderedPageBreak/>
        <w:t>visible colour dyes</w:t>
      </w:r>
      <w:r w:rsidR="0092183A">
        <w:t xml:space="preserve"> (</w:t>
      </w:r>
      <w:r w:rsidR="00E96C3C">
        <w:t>A</w:t>
      </w:r>
      <w:r w:rsidR="0092183A">
        <w:t xml:space="preserve">lcian </w:t>
      </w:r>
      <w:r w:rsidR="00E96C3C">
        <w:t>B</w:t>
      </w:r>
      <w:r w:rsidR="0092183A">
        <w:t xml:space="preserve">lue and </w:t>
      </w:r>
      <w:r w:rsidR="00E96C3C">
        <w:t>Sirius Red</w:t>
      </w:r>
      <w:r w:rsidR="0092183A">
        <w:t>)</w:t>
      </w:r>
      <w:r w:rsidRPr="00F54DA5">
        <w:t xml:space="preserve"> </w:t>
      </w:r>
      <w:r w:rsidR="00BE4DDB">
        <w:t>to enable</w:t>
      </w:r>
      <w:r w:rsidRPr="00F54DA5">
        <w:t xml:space="preserve"> visualisation during extrusion in </w:t>
      </w:r>
      <w:r w:rsidR="00BE4DDB">
        <w:t xml:space="preserve">the </w:t>
      </w:r>
      <w:r w:rsidRPr="00F54DA5">
        <w:t>agarose fluid gel</w:t>
      </w:r>
      <w:r w:rsidR="00BE4DDB">
        <w:t xml:space="preserve"> bed</w:t>
      </w:r>
      <w:r w:rsidRPr="00F54DA5">
        <w:t>.</w:t>
      </w:r>
      <w:r w:rsidRPr="00F54DA5">
        <w:rPr>
          <w:rFonts w:cs="Arial"/>
          <w:color w:val="000000" w:themeColor="text1"/>
        </w:rPr>
        <w:t xml:space="preserve"> A hollow cylindrical shape of 5 mm in diameter was used as blueprint. Printing was carried out at </w:t>
      </w:r>
      <w:r w:rsidR="00F933F7">
        <w:rPr>
          <w:rFonts w:cs="Arial"/>
          <w:color w:val="000000" w:themeColor="text1"/>
        </w:rPr>
        <w:t xml:space="preserve">a flow rate of </w:t>
      </w:r>
      <w:r w:rsidRPr="00F54DA5">
        <w:rPr>
          <w:rFonts w:cs="Arial"/>
          <w:color w:val="000000" w:themeColor="text1"/>
        </w:rPr>
        <w:t>2.5 mm s</w:t>
      </w:r>
      <w:r w:rsidRPr="00F54DA5">
        <w:rPr>
          <w:rFonts w:cs="Arial"/>
          <w:color w:val="000000" w:themeColor="text1"/>
          <w:vertAlign w:val="superscript"/>
        </w:rPr>
        <w:t>-1</w:t>
      </w:r>
      <w:r w:rsidRPr="00F54DA5">
        <w:rPr>
          <w:rFonts w:cs="Arial"/>
          <w:color w:val="000000" w:themeColor="text1"/>
        </w:rPr>
        <w:t xml:space="preserve"> depositing 10 layers with an average layer height set to 300 µm distance. A 1 M CaCl</w:t>
      </w:r>
      <w:r w:rsidRPr="00F54DA5">
        <w:rPr>
          <w:rFonts w:cs="Arial"/>
          <w:color w:val="000000" w:themeColor="text1"/>
          <w:vertAlign w:val="subscript"/>
        </w:rPr>
        <w:t>2</w:t>
      </w:r>
      <w:r w:rsidRPr="00F54DA5">
        <w:rPr>
          <w:rFonts w:cs="Arial"/>
          <w:color w:val="000000" w:themeColor="text1"/>
        </w:rPr>
        <w:t xml:space="preserve"> solution was used to </w:t>
      </w:r>
      <w:r w:rsidR="00F933F7">
        <w:rPr>
          <w:rFonts w:cs="Arial"/>
          <w:color w:val="000000" w:themeColor="text1"/>
        </w:rPr>
        <w:t xml:space="preserve">further </w:t>
      </w:r>
      <w:r w:rsidRPr="00F54DA5">
        <w:rPr>
          <w:rFonts w:cs="Arial"/>
          <w:color w:val="000000" w:themeColor="text1"/>
        </w:rPr>
        <w:t>crosslink GG and LAP-GG for 10 min.</w:t>
      </w:r>
    </w:p>
    <w:p w14:paraId="4D9099F5" w14:textId="77777777" w:rsidR="00910A55" w:rsidRPr="00F54DA5" w:rsidRDefault="00910A55" w:rsidP="00D9695A">
      <w:pPr>
        <w:spacing w:line="360" w:lineRule="auto"/>
        <w:ind w:firstLine="567"/>
        <w:jc w:val="both"/>
        <w:rPr>
          <w:rFonts w:cs="Arial"/>
          <w:color w:val="000000" w:themeColor="text1"/>
        </w:rPr>
      </w:pPr>
    </w:p>
    <w:p w14:paraId="0B926E1E" w14:textId="36DE58F0" w:rsidR="00A864BA" w:rsidRPr="00F54DA5" w:rsidRDefault="00126CD4" w:rsidP="00D9695A">
      <w:pPr>
        <w:pStyle w:val="Heading3"/>
        <w:numPr>
          <w:ilvl w:val="0"/>
          <w:numId w:val="0"/>
        </w:numPr>
        <w:spacing w:before="360" w:after="240"/>
        <w:jc w:val="both"/>
      </w:pPr>
      <w:bookmarkStart w:id="16" w:name="_Toc529724919"/>
      <w:r>
        <w:t xml:space="preserve">2.4 </w:t>
      </w:r>
      <w:r w:rsidR="00A864BA" w:rsidRPr="00F54DA5">
        <w:t>Swelling in air and in agarose</w:t>
      </w:r>
      <w:bookmarkEnd w:id="16"/>
    </w:p>
    <w:p w14:paraId="4BC1CE0D" w14:textId="5D519B30" w:rsidR="00E523C3" w:rsidRDefault="00A864BA" w:rsidP="00AC6138">
      <w:pPr>
        <w:spacing w:line="360" w:lineRule="auto"/>
        <w:ind w:firstLine="567"/>
        <w:jc w:val="both"/>
        <w:rPr>
          <w:rFonts w:cs="Arial"/>
          <w:color w:val="000000" w:themeColor="text1"/>
        </w:rPr>
      </w:pPr>
      <w:r w:rsidRPr="00F54DA5">
        <w:rPr>
          <w:rFonts w:cs="Arial"/>
        </w:rPr>
        <w:t xml:space="preserve">To evaluate </w:t>
      </w:r>
      <w:r w:rsidR="00BE4DDB">
        <w:rPr>
          <w:rFonts w:cs="Arial"/>
        </w:rPr>
        <w:t xml:space="preserve">the swelling behaviour of the </w:t>
      </w:r>
      <w:r w:rsidRPr="00F54DA5">
        <w:rPr>
          <w:rFonts w:cs="Arial"/>
        </w:rPr>
        <w:t>bioink</w:t>
      </w:r>
      <w:r w:rsidR="00BE4DDB">
        <w:rPr>
          <w:rFonts w:cs="Arial"/>
        </w:rPr>
        <w:t xml:space="preserve"> following printing in a</w:t>
      </w:r>
      <w:r w:rsidRPr="00F54DA5">
        <w:rPr>
          <w:rFonts w:cs="Arial"/>
        </w:rPr>
        <w:t>garose fluid gel, GG and LAP-GG fibres were extruded from a cylindrical blunt nozzle</w:t>
      </w:r>
      <w:r w:rsidR="006F541F">
        <w:rPr>
          <w:rFonts w:cs="Arial"/>
        </w:rPr>
        <w:t xml:space="preserve"> (I.D. </w:t>
      </w:r>
      <w:r w:rsidR="006F541F" w:rsidRPr="00F54DA5">
        <w:rPr>
          <w:rFonts w:cs="Arial"/>
        </w:rPr>
        <w:t>250 µm</w:t>
      </w:r>
      <w:r w:rsidR="006F541F">
        <w:rPr>
          <w:rFonts w:cs="Arial"/>
        </w:rPr>
        <w:t>)</w:t>
      </w:r>
      <w:r w:rsidRPr="00F54DA5">
        <w:rPr>
          <w:rFonts w:cs="Arial"/>
        </w:rPr>
        <w:t xml:space="preserve">. Strands were deposited in a 2 mm thick agarose fluid gel. Measurements were carried out on GG (n=3) and LAP-GG (n=3) strands imaged </w:t>
      </w:r>
      <w:r w:rsidR="00BE4DDB">
        <w:rPr>
          <w:rFonts w:cs="Arial"/>
        </w:rPr>
        <w:t xml:space="preserve">using a </w:t>
      </w:r>
      <w:r w:rsidRPr="00F54DA5">
        <w:rPr>
          <w:rFonts w:cs="Arial"/>
        </w:rPr>
        <w:t xml:space="preserve">stereo light microscope immediately </w:t>
      </w:r>
      <w:r w:rsidR="00BE4DDB">
        <w:rPr>
          <w:rFonts w:cs="Arial"/>
        </w:rPr>
        <w:t>post-printing and,</w:t>
      </w:r>
      <w:r w:rsidRPr="00F54DA5">
        <w:rPr>
          <w:rFonts w:cs="Arial"/>
        </w:rPr>
        <w:t xml:space="preserve"> after crosslinking with 1 M CaCl</w:t>
      </w:r>
      <w:r w:rsidRPr="00F54DA5">
        <w:rPr>
          <w:rFonts w:cs="Arial"/>
          <w:vertAlign w:val="subscript"/>
        </w:rPr>
        <w:t>2</w:t>
      </w:r>
      <w:r w:rsidRPr="00F54DA5">
        <w:rPr>
          <w:rFonts w:cs="Arial"/>
        </w:rPr>
        <w:t xml:space="preserve"> for 10 min. </w:t>
      </w:r>
      <w:r w:rsidR="00BE4DDB">
        <w:rPr>
          <w:rFonts w:cs="Arial"/>
        </w:rPr>
        <w:t>Additional</w:t>
      </w:r>
      <w:r w:rsidRPr="00F54DA5">
        <w:rPr>
          <w:rFonts w:cs="Arial"/>
        </w:rPr>
        <w:t xml:space="preserve"> measurements were acquired 1, 3 and 24 h after printing similarly to </w:t>
      </w:r>
      <w:r w:rsidR="00BE4DDB">
        <w:rPr>
          <w:rFonts w:cs="Arial"/>
        </w:rPr>
        <w:t xml:space="preserve">our </w:t>
      </w:r>
      <w:r w:rsidRPr="00F54DA5">
        <w:rPr>
          <w:rFonts w:cs="Arial"/>
        </w:rPr>
        <w:t xml:space="preserve">previous study </w:t>
      </w:r>
      <w:r w:rsidRPr="00F54DA5">
        <w:rPr>
          <w:rFonts w:cs="Arial"/>
        </w:rPr>
        <w:fldChar w:fldCharType="begin" w:fldLock="1"/>
      </w:r>
      <w:r w:rsidR="00793844">
        <w:rPr>
          <w:rFonts w:cs="Arial"/>
        </w:rPr>
        <w:instrText>ADDIN CSL_CITATION {"citationItems":[{"id":"ITEM-1","itemData":{"DOI":"10.1016/j.eurpolymj.2016.02.007","ISSN":"00143057","abstract":"Successful treatment of infected wounds still represents an open challenge in the biomedical field. Nanocomposite hydrogels (NC) are a valid solution to this problem as they can be used as wound dressing materials for the delivery of therapeutic agents at the site of the injury. In addition, their improved mechanical properties make possible a sterile treatment, which is not generally possible using conventional hydrogels. Here in this work, gellan gum methacrylate (GG-MA), a biocompatible polymer recently proposed for the fabrication of injectable and photocrosslinkable hydrogels, was combined with laponite?? XLG to form novel NC hydrogels as innovative wound dressing material. Clay concentration was varied in the range of 0.1 up to 1% w/v to study the possible clay-polymer interactions prior and after UV irradiation, showing the formation of weak gels having storage modulus G' varying from 1 up to 100. Pa, even prior photocrosslinking. As expected, the highest value of G' (over 1000. Pa) was found for the NC hydrogel containing 1% w/v of laponite after UV irradiation. The same system showed unaltered mechanical properties after steam sterilization compared to the one composed of 0.5% of clay, which showed a decrease in the stress failure after steam treatment. Moreover, the effect of laponite on the swelling and release capability was studied to test these new nanocomposite systems as a carrier of the model drug ofloxacin. Laponite was able to decrease the amount of antibiotic released over the first eight hours compared to the GG-MA hydrogels, although the amount of clay did not influence the diffusion coefficient of ofloxacin. Finally, preliminary cytotoxicity tests on human fibroblasts were carried out to evaluate the NC hydrogel biocompatibility. Overall, we anticipate the possible use of this novel NC hydrogel as wound dressing material for the treatment of burn wounds, which are subjected to chronic infections.","author":[{"dropping-particle":"","family":"Pacelli","given":"Settimio","non-dropping-particle":"","parse-names":false,"suffix":""},{"dropping-particle":"","family":"Paolicelli","given":"Patrizia","non-dropping-particle":"","parse-names":false,"suffix":""},{"dropping-particle":"","family":"Moretti","given":"Giuseppe","non-dropping-particle":"","parse-names":false,"suffix":""},{"dropping-particle":"","family":"Petralito","given":"Stefania","non-dropping-particle":"","parse-names":false,"suffix":""},{"dropping-particle":"","family":"Giacomo","given":"Silvia","non-dropping-particle":"Di","parse-names":false,"suffix":""},{"dropping-particle":"","family":"Vitalone","given":"Annabella","non-dropping-particle":"","parse-names":false,"suffix":""},{"dropping-particle":"","family":"Casadei","given":"Maria Antonietta","non-dropping-particle":"","parse-names":false,"suffix":""}],"container-title":"European Polymer Journal","id":"ITEM-1","issued":{"date-parts":[["2015"]]},"note":"Di Giacomo et al. investigated influence of Laponite XLG in conjunction with GELLAN GUM METHACRYLATE (GG-MA). As expected, the highest value of G0 (over 1000 Pa) was found for the NC hydrogel containing 1% w/v of laponite after UV irradiation. To address this point, several concentrations of laponite have been tested (0.1 up to 1% w/v) to study how the different\namounts of clay were able to influence the mechanical properties of the NC hydrogels GG-MA.\n\nGG-MA solutions of 1 and 2% w/v were obtained by solubilization of the polymer in deionized (DI) water and mixed with\ndifferent aqueous solution of laponite? XLG previously dispersed in water at room temperature. All the polymeric solutions (4.0 ml) were mixed together with Irgacure 2959 (25 ll of a solution 20%, w/v, in N-methyl- pyrrolidone) and placed in silicon molds (Ø 5.0 cm) to facilitate the removal of the hydrogels after their formation.\n\nResults\nA concentration of 2% w/v was found to be appropriate and kept constant throughout all the studies. In fact, with lower concentrations the photochemical hydrogels were too weak and fragile, while for higher amount of GG-MA no significant improvement in mechanical properties were detected (data not shown). This behavior was observed up to a limit value of clay concentration (0.5% w/v) over which no modification of the viscosity were detected for further increase in laponite concentration. Interestingly, even prior irradiation all the systems behave like weak gels with the value of the elastic modulus (G0) higher than the viscous one (G00). Moreover, an increase of near two order of magnitude (from 1 to 100 Pa) in the value of G0 can be detected, which relates to the amount of laponite included in the formulation. Laponite dispersions spontaneously age toward a gel equilibrium state and this process can be affected by several factors, including the concentration of laponite and other parameters that can modulate particles aggregation, such as salt and polymer content [27,28]. In the GG-MA/clay systems containing 0.5% and 1% w/v of laponite? XLG no significant change in the values of G0 calculated at 1 Hz was detected over a week of time. This behavior could be attributed to the stabilization of the clay dispersion in the presence of the polymeric chains, which are likely to interact with the surface of the clay particles and avoiding or signifi- cantly delaying their aggregation.\n\nGG-MA hydrogels without clay in their network were found to be completely destroyed after this treatment and for them it was not possible to record any mechanical spectra. On the contrary, the presence of laponite in the polymeric network allowed the sterilization and the hydrogels were able to retain their structure after the thermal treatment.\n\nIn the presence of Na+ counterions, negative charges of both GG-MA’s carboxylate groups and laponite can be shielded, leading to a lower swelling degree of the matrix (Fig. 3A). This behavior can explain the smaller values of equilibrium of swelling measured in NaCl 0.9% w/v with respect to the ones found when the gels were placed in distilled water. The equilibrium of swelling was reached in all systems after the first 3 h and GG-MA gels (Lap 0%) had the highest values in water potentially due to higher mobility of the polymeric chains, which may be hampered in the presence of laponite.\nHowever, this phenomenon of aggregation for the exfoliated clay could be partially prevented by the presence of gellan gum chains, which can avoid the complete precipitation of clay in the gel matrix, main- taining the exfoliated clay in almost fixed and stable positions.\nIn addition, the presence of the laponite was also able to affect the internal porosity of the polymeric matrix. In fact, GG-\nMA hydrogels showed larger porosity compared to the systems with laponite although no significant difference was observed according to the amount of clay introduced in the hydrogels.","page":"114-123","title":"Gellan gum methacrylate and laponite as an innovative nanocomposite hydrogel for biomedical applications","type":"article-journal","volume":"77"},"uris":["http://www.mendeley.com/documents/?uuid=aa45fa5d-76a6-4726-a683-f0c225360c06"]}],"mendeley":{"formattedCitation":"[23]","plainTextFormattedCitation":"[23]","previouslyFormattedCitation":"[23]"},"properties":{"noteIndex":0},"schema":"https://github.com/citation-style-language/schema/raw/master/csl-citation.json"}</w:instrText>
      </w:r>
      <w:r w:rsidRPr="00F54DA5">
        <w:rPr>
          <w:rFonts w:cs="Arial"/>
        </w:rPr>
        <w:fldChar w:fldCharType="separate"/>
      </w:r>
      <w:r w:rsidR="00793844" w:rsidRPr="00793844">
        <w:rPr>
          <w:rFonts w:cs="Arial"/>
          <w:noProof/>
        </w:rPr>
        <w:t>[23]</w:t>
      </w:r>
      <w:r w:rsidRPr="00F54DA5">
        <w:rPr>
          <w:rFonts w:cs="Arial"/>
        </w:rPr>
        <w:fldChar w:fldCharType="end"/>
      </w:r>
      <w:r w:rsidRPr="00F54DA5">
        <w:rPr>
          <w:rFonts w:cs="Arial"/>
        </w:rPr>
        <w:t xml:space="preserve">. </w:t>
      </w:r>
      <w:r w:rsidRPr="00F54DA5">
        <w:t xml:space="preserve">To evaluate whole scaffolds swelling, a 5 mm hollow cylindrical structure was printed in agarose and in air. Measurements of the internal (pore) and outer diameter were carried out on images acquired </w:t>
      </w:r>
      <w:r w:rsidR="00BE4DDB">
        <w:t>using a</w:t>
      </w:r>
      <w:r w:rsidRPr="00F54DA5">
        <w:t xml:space="preserve"> stereo light microscope. </w:t>
      </w:r>
      <w:r w:rsidR="00AC6138" w:rsidRPr="00F54DA5">
        <w:rPr>
          <w:rFonts w:cs="Arial"/>
        </w:rPr>
        <w:t xml:space="preserve">All measurements were analysed with ROI macro plugin in </w:t>
      </w:r>
      <w:r w:rsidR="00AC6138" w:rsidRPr="00F54DA5">
        <w:rPr>
          <w:rFonts w:cs="Arial"/>
          <w:color w:val="000000" w:themeColor="text1"/>
        </w:rPr>
        <w:t>Image J (1.44p, National Institutes of Health, Bethesda, Maryland, USA) was used as the analysing software.</w:t>
      </w:r>
    </w:p>
    <w:p w14:paraId="1C8DE8B3" w14:textId="77777777" w:rsidR="0065058E" w:rsidRPr="00F54DA5" w:rsidRDefault="0065058E" w:rsidP="00AC6138">
      <w:pPr>
        <w:spacing w:line="360" w:lineRule="auto"/>
        <w:ind w:firstLine="567"/>
        <w:jc w:val="both"/>
      </w:pPr>
    </w:p>
    <w:p w14:paraId="3845D1A8" w14:textId="16BDF4F1" w:rsidR="00E523C3" w:rsidRPr="00F54DA5" w:rsidRDefault="00126CD4" w:rsidP="00D9695A">
      <w:pPr>
        <w:pStyle w:val="Heading3"/>
        <w:numPr>
          <w:ilvl w:val="0"/>
          <w:numId w:val="0"/>
        </w:numPr>
        <w:spacing w:before="360" w:after="240"/>
        <w:jc w:val="both"/>
      </w:pPr>
      <w:bookmarkStart w:id="17" w:name="_Toc529724923"/>
      <w:r>
        <w:t xml:space="preserve">2.5 </w:t>
      </w:r>
      <w:r w:rsidR="00E523C3" w:rsidRPr="00F54DA5">
        <w:t>C2C12 cell culture</w:t>
      </w:r>
      <w:bookmarkEnd w:id="17"/>
    </w:p>
    <w:p w14:paraId="4414F9CC" w14:textId="7555C92E" w:rsidR="00E523C3" w:rsidRPr="00F54DA5" w:rsidRDefault="00E523C3" w:rsidP="00D9695A">
      <w:pPr>
        <w:spacing w:line="360" w:lineRule="auto"/>
        <w:ind w:firstLine="567"/>
        <w:jc w:val="both"/>
        <w:rPr>
          <w:rFonts w:cs="Arial"/>
        </w:rPr>
      </w:pPr>
      <w:r w:rsidRPr="00F54DA5">
        <w:rPr>
          <w:rFonts w:cs="Arial"/>
        </w:rPr>
        <w:t xml:space="preserve">The immortalized mouse </w:t>
      </w:r>
      <w:r w:rsidR="00BE4DDB">
        <w:rPr>
          <w:rFonts w:cs="Arial"/>
        </w:rPr>
        <w:t>pr</w:t>
      </w:r>
      <w:r w:rsidR="00093036">
        <w:rPr>
          <w:rFonts w:cs="Arial"/>
        </w:rPr>
        <w:t>e</w:t>
      </w:r>
      <w:r w:rsidR="00BE4DDB">
        <w:rPr>
          <w:rFonts w:cs="Arial"/>
        </w:rPr>
        <w:t>-</w:t>
      </w:r>
      <w:r w:rsidRPr="00F54DA5">
        <w:rPr>
          <w:rFonts w:cs="Arial"/>
        </w:rPr>
        <w:t>myoblast cell line C2C12 (mouse C3H, muscle) w</w:t>
      </w:r>
      <w:r w:rsidR="00BE4DDB">
        <w:rPr>
          <w:rFonts w:cs="Arial"/>
        </w:rPr>
        <w:t>as</w:t>
      </w:r>
      <w:r w:rsidRPr="00F54DA5">
        <w:rPr>
          <w:rFonts w:cs="Arial"/>
        </w:rPr>
        <w:t xml:space="preserve"> obtained from the European Collection of Authenticated Cell Cultures, Public Health England, Porton Down, Salisbury, SP4 0JG, UK. The cells were maintained in culture supplemented with full cell culture media (Dulbecco’s Modified Eagle Medium (DMEM)</w:t>
      </w:r>
      <w:r w:rsidR="00303B95" w:rsidRPr="00F54DA5">
        <w:rPr>
          <w:rFonts w:cs="Arial"/>
        </w:rPr>
        <w:t xml:space="preserve"> supplemented with </w:t>
      </w:r>
      <w:r w:rsidR="00303B95" w:rsidRPr="00F54DA5">
        <w:rPr>
          <w:rFonts w:cs="Arial"/>
          <w:lang w:eastAsia="en-GB"/>
        </w:rPr>
        <w:t>10 % (v/v) fetal bovine serum (FBS), 1 % (v/v) penicillin/streptomycin (Pen/Strep</w:t>
      </w:r>
      <w:r w:rsidRPr="00F54DA5">
        <w:rPr>
          <w:rFonts w:cs="Arial"/>
        </w:rPr>
        <w:t xml:space="preserve">), replenished every 3 days and cells passaged </w:t>
      </w:r>
      <w:r w:rsidR="00BE4DDB">
        <w:rPr>
          <w:rFonts w:cs="Arial"/>
        </w:rPr>
        <w:t xml:space="preserve">at </w:t>
      </w:r>
      <w:r w:rsidRPr="00F54DA5">
        <w:rPr>
          <w:rFonts w:cs="Arial"/>
        </w:rPr>
        <w:t xml:space="preserve">a maximum </w:t>
      </w:r>
      <w:r w:rsidR="00AC6138" w:rsidRPr="00F54DA5">
        <w:rPr>
          <w:rFonts w:cs="Arial"/>
        </w:rPr>
        <w:t>confluence</w:t>
      </w:r>
      <w:r w:rsidRPr="00F54DA5">
        <w:rPr>
          <w:rFonts w:cs="Arial"/>
        </w:rPr>
        <w:t xml:space="preserve"> of 80-90%. </w:t>
      </w:r>
    </w:p>
    <w:p w14:paraId="1290CF54" w14:textId="77777777" w:rsidR="00E523C3" w:rsidRPr="00F54DA5" w:rsidRDefault="00E523C3" w:rsidP="00D9695A">
      <w:pPr>
        <w:spacing w:line="360" w:lineRule="auto"/>
        <w:jc w:val="both"/>
      </w:pPr>
    </w:p>
    <w:p w14:paraId="2B595E3A" w14:textId="26CDEC97" w:rsidR="00A864BA" w:rsidRPr="00F54DA5" w:rsidRDefault="00126CD4" w:rsidP="00D9695A">
      <w:pPr>
        <w:pStyle w:val="Heading3"/>
        <w:numPr>
          <w:ilvl w:val="0"/>
          <w:numId w:val="0"/>
        </w:numPr>
        <w:spacing w:before="360" w:after="240"/>
        <w:jc w:val="both"/>
      </w:pPr>
      <w:bookmarkStart w:id="18" w:name="_Toc529724920"/>
      <w:r>
        <w:lastRenderedPageBreak/>
        <w:t xml:space="preserve">2.6 </w:t>
      </w:r>
      <w:r w:rsidR="00A864BA" w:rsidRPr="00F54DA5">
        <w:t>Microscopy of cast gels and cell attachment</w:t>
      </w:r>
      <w:bookmarkEnd w:id="18"/>
    </w:p>
    <w:p w14:paraId="22E8E07F" w14:textId="354DCD25" w:rsidR="00E523C3" w:rsidRPr="00F54DA5" w:rsidRDefault="00A864BA" w:rsidP="00D9695A">
      <w:pPr>
        <w:spacing w:line="360" w:lineRule="auto"/>
        <w:ind w:firstLine="567"/>
        <w:jc w:val="both"/>
        <w:rPr>
          <w:rFonts w:cs="Arial"/>
          <w:color w:val="000000" w:themeColor="text1"/>
        </w:rPr>
      </w:pPr>
      <w:r w:rsidRPr="00F54DA5">
        <w:rPr>
          <w:rFonts w:cs="Arial"/>
          <w:color w:val="000000" w:themeColor="text1"/>
        </w:rPr>
        <w:t>0.1 × 10</w:t>
      </w:r>
      <w:r w:rsidRPr="00F54DA5">
        <w:rPr>
          <w:rFonts w:cs="Arial"/>
          <w:color w:val="000000" w:themeColor="text1"/>
          <w:vertAlign w:val="superscript"/>
        </w:rPr>
        <w:t>6</w:t>
      </w:r>
      <w:r w:rsidRPr="00F54DA5">
        <w:rPr>
          <w:rFonts w:cs="Arial"/>
          <w:color w:val="000000" w:themeColor="text1"/>
        </w:rPr>
        <w:t xml:space="preserve"> cell </w:t>
      </w:r>
      <w:r w:rsidR="008F104B">
        <w:rPr>
          <w:rFonts w:cs="Arial"/>
          <w:color w:val="000000" w:themeColor="text1"/>
        </w:rPr>
        <w:t>C2C12 cells were seeded</w:t>
      </w:r>
      <w:r w:rsidRPr="00F54DA5">
        <w:rPr>
          <w:rFonts w:cs="Arial"/>
          <w:color w:val="000000" w:themeColor="text1"/>
        </w:rPr>
        <w:t xml:space="preserve"> onto 100 µl LAP-GG and GG gels plated in wells of a 96-well plate. Cells were cultured for 24 h to allow attachment with full media. Scanning electron microsc</w:t>
      </w:r>
      <w:r w:rsidR="00E523C3" w:rsidRPr="00F54DA5">
        <w:rPr>
          <w:rFonts w:cs="Arial"/>
          <w:color w:val="000000" w:themeColor="text1"/>
        </w:rPr>
        <w:t>opy (SEM,</w:t>
      </w:r>
      <w:r w:rsidRPr="00F54DA5">
        <w:rPr>
          <w:rFonts w:cs="Arial"/>
          <w:color w:val="000000" w:themeColor="text1"/>
        </w:rPr>
        <w:t xml:space="preserve"> FEI Quanta 250 FEG, operated in SEM mode) at a voltage of 5 kV (spot size 3) was used to image acellular and cellular gels. Prior to SEM, samples were dehydrated with a freeze-drier (Lablyo Mini, Froze in Time Ltd., UK) for 12 h and coated with platinum (Q150TES, sputter coater, UK). </w:t>
      </w:r>
      <w:r w:rsidR="006375BD" w:rsidRPr="00F54DA5">
        <w:rPr>
          <w:rFonts w:cs="Arial"/>
          <w:color w:val="000000" w:themeColor="text1"/>
        </w:rPr>
        <w:t xml:space="preserve">Energy-dispersive x-ray spectroscopy (EDX) analysis was performed at a voltage of 12kV after carbon coating. </w:t>
      </w:r>
    </w:p>
    <w:p w14:paraId="460454FF" w14:textId="77777777" w:rsidR="006375BD" w:rsidRPr="00F54DA5" w:rsidRDefault="006375BD" w:rsidP="00D9695A">
      <w:pPr>
        <w:spacing w:line="360" w:lineRule="auto"/>
        <w:ind w:firstLine="567"/>
        <w:jc w:val="both"/>
        <w:rPr>
          <w:rFonts w:cs="Arial"/>
          <w:color w:val="000000" w:themeColor="text1"/>
        </w:rPr>
      </w:pPr>
    </w:p>
    <w:p w14:paraId="2550D5F0" w14:textId="61BC59D5" w:rsidR="00A864BA" w:rsidRPr="00F54DA5" w:rsidRDefault="00126CD4" w:rsidP="00D9695A">
      <w:pPr>
        <w:pStyle w:val="Heading3"/>
        <w:numPr>
          <w:ilvl w:val="0"/>
          <w:numId w:val="0"/>
        </w:numPr>
        <w:spacing w:before="360" w:after="240"/>
        <w:jc w:val="both"/>
      </w:pPr>
      <w:bookmarkStart w:id="19" w:name="_Toc529724921"/>
      <w:r>
        <w:t xml:space="preserve">2.7 </w:t>
      </w:r>
      <w:r w:rsidR="00A864BA" w:rsidRPr="00F54DA5">
        <w:t>Rheology</w:t>
      </w:r>
      <w:bookmarkEnd w:id="19"/>
    </w:p>
    <w:p w14:paraId="5A931D69" w14:textId="7713D1C9" w:rsidR="00615BE4" w:rsidRPr="00F54DA5" w:rsidRDefault="00615BE4" w:rsidP="00D9695A">
      <w:pPr>
        <w:spacing w:line="360" w:lineRule="auto"/>
        <w:ind w:firstLine="567"/>
        <w:jc w:val="both"/>
        <w:rPr>
          <w:rFonts w:cs="Arial"/>
        </w:rPr>
      </w:pPr>
      <w:r w:rsidRPr="00F54DA5">
        <w:rPr>
          <w:rFonts w:cs="Arial"/>
        </w:rPr>
        <w:t>Rheological characterisati</w:t>
      </w:r>
      <w:r w:rsidR="001852E5">
        <w:rPr>
          <w:rFonts w:cs="Arial"/>
        </w:rPr>
        <w:t>on of LAP-GG (1 % w/v LAP and 2</w:t>
      </w:r>
      <w:r w:rsidRPr="00F54DA5">
        <w:rPr>
          <w:rFonts w:cs="Arial"/>
        </w:rPr>
        <w:t xml:space="preserve"> % w/v GG) composite was carried out using a rotary rheometer (Anton Parr, MCR92). </w:t>
      </w:r>
      <w:r w:rsidR="00093036">
        <w:rPr>
          <w:rFonts w:cs="Arial"/>
        </w:rPr>
        <w:t>The p</w:t>
      </w:r>
      <w:r w:rsidRPr="00F54DA5">
        <w:rPr>
          <w:rFonts w:cs="Arial"/>
        </w:rPr>
        <w:t>lan</w:t>
      </w:r>
      <w:r w:rsidR="007E06F5">
        <w:rPr>
          <w:rFonts w:cs="Arial"/>
        </w:rPr>
        <w:t>ar</w:t>
      </w:r>
      <w:r w:rsidRPr="00F54DA5">
        <w:rPr>
          <w:rFonts w:cs="Arial"/>
        </w:rPr>
        <w:t xml:space="preserve"> plate </w:t>
      </w:r>
      <w:r w:rsidR="00093036">
        <w:rPr>
          <w:rFonts w:cs="Arial"/>
        </w:rPr>
        <w:t xml:space="preserve">geometry </w:t>
      </w:r>
      <w:r w:rsidRPr="00F54DA5">
        <w:rPr>
          <w:rFonts w:cs="Arial"/>
        </w:rPr>
        <w:t>(PP25) was utilized for all the rheological tests. A range of shear rate between 0.1 and 100 s</w:t>
      </w:r>
      <w:r w:rsidRPr="008F104B">
        <w:rPr>
          <w:rFonts w:cs="Arial"/>
          <w:vertAlign w:val="superscript"/>
        </w:rPr>
        <w:t>-1</w:t>
      </w:r>
      <w:r w:rsidRPr="00F54DA5">
        <w:rPr>
          <w:rFonts w:cs="Arial"/>
        </w:rPr>
        <w:t xml:space="preserve"> </w:t>
      </w:r>
      <w:r w:rsidR="007E06F5">
        <w:rPr>
          <w:rFonts w:cs="Arial"/>
        </w:rPr>
        <w:t xml:space="preserve">was </w:t>
      </w:r>
      <w:r w:rsidRPr="00F54DA5">
        <w:rPr>
          <w:rFonts w:cs="Arial"/>
        </w:rPr>
        <w:t>applied</w:t>
      </w:r>
      <w:r w:rsidR="007E06F5">
        <w:rPr>
          <w:rFonts w:cs="Arial"/>
        </w:rPr>
        <w:t xml:space="preserve"> to</w:t>
      </w:r>
      <w:r w:rsidRPr="00F54DA5">
        <w:rPr>
          <w:rFonts w:cs="Arial"/>
        </w:rPr>
        <w:t xml:space="preserve"> measur</w:t>
      </w:r>
      <w:r w:rsidR="007E06F5">
        <w:rPr>
          <w:rFonts w:cs="Arial"/>
        </w:rPr>
        <w:t>e</w:t>
      </w:r>
      <w:r w:rsidRPr="00F54DA5">
        <w:rPr>
          <w:rFonts w:cs="Arial"/>
        </w:rPr>
        <w:t xml:space="preserve"> viscosity (Pa s) and shear stress (Pa). Amplitude sweep analysis was carried out between 0.1 and 100 % of strain. Frequency sweep</w:t>
      </w:r>
      <w:r w:rsidR="007E06F5">
        <w:rPr>
          <w:rFonts w:cs="Arial"/>
        </w:rPr>
        <w:t>s</w:t>
      </w:r>
      <w:r w:rsidRPr="00F54DA5">
        <w:rPr>
          <w:rFonts w:cs="Arial"/>
        </w:rPr>
        <w:t xml:space="preserve"> of 26 steps </w:t>
      </w:r>
      <w:r w:rsidR="007E06F5" w:rsidRPr="00F54DA5">
        <w:rPr>
          <w:rFonts w:cs="Arial"/>
        </w:rPr>
        <w:t>w</w:t>
      </w:r>
      <w:r w:rsidR="007E06F5">
        <w:rPr>
          <w:rFonts w:cs="Arial"/>
        </w:rPr>
        <w:t>ere</w:t>
      </w:r>
      <w:r w:rsidR="007E06F5" w:rsidRPr="00F54DA5">
        <w:rPr>
          <w:rFonts w:cs="Arial"/>
        </w:rPr>
        <w:t xml:space="preserve"> </w:t>
      </w:r>
      <w:r w:rsidRPr="00F54DA5">
        <w:rPr>
          <w:rFonts w:cs="Arial"/>
        </w:rPr>
        <w:t>carried out by maintaining a 1 % strain over a range from 0 to 100 Hz, finding storage and loss moduli (Pa)</w:t>
      </w:r>
      <w:r w:rsidR="00093036">
        <w:rPr>
          <w:rFonts w:cs="Arial"/>
        </w:rPr>
        <w:t>,</w:t>
      </w:r>
      <w:r w:rsidRPr="00F54DA5">
        <w:rPr>
          <w:rFonts w:cs="Arial"/>
        </w:rPr>
        <w:t xml:space="preserve"> respectively.</w:t>
      </w:r>
    </w:p>
    <w:p w14:paraId="13DDA65A" w14:textId="77777777" w:rsidR="00A864BA" w:rsidRPr="00F54DA5" w:rsidRDefault="00A864BA" w:rsidP="00D9695A">
      <w:pPr>
        <w:spacing w:line="360" w:lineRule="auto"/>
        <w:jc w:val="both"/>
      </w:pPr>
    </w:p>
    <w:p w14:paraId="3943989F" w14:textId="635CC93C" w:rsidR="00A864BA" w:rsidRPr="00F54DA5" w:rsidRDefault="00126CD4" w:rsidP="00D9695A">
      <w:pPr>
        <w:pStyle w:val="Heading3"/>
        <w:numPr>
          <w:ilvl w:val="0"/>
          <w:numId w:val="0"/>
        </w:numPr>
        <w:spacing w:before="360" w:after="240"/>
        <w:jc w:val="both"/>
      </w:pPr>
      <w:bookmarkStart w:id="20" w:name="_Toc529724924"/>
      <w:r>
        <w:t xml:space="preserve">2.8 </w:t>
      </w:r>
      <w:r w:rsidR="00A864BA" w:rsidRPr="00F54DA5">
        <w:t>C2C12 cell printing in agarose fluid gel</w:t>
      </w:r>
      <w:bookmarkEnd w:id="20"/>
    </w:p>
    <w:p w14:paraId="2DE51CD4" w14:textId="01E3BD7B" w:rsidR="00A864BA" w:rsidRDefault="00A864BA" w:rsidP="00D9695A">
      <w:pPr>
        <w:spacing w:line="360" w:lineRule="auto"/>
        <w:ind w:firstLine="567"/>
        <w:jc w:val="both"/>
        <w:rPr>
          <w:rFonts w:cs="Arial"/>
        </w:rPr>
      </w:pPr>
      <w:r w:rsidRPr="00F54DA5">
        <w:rPr>
          <w:rFonts w:cs="Arial"/>
        </w:rPr>
        <w:t xml:space="preserve">Cell-laden scaffolds were fabricated with GG and LAP-GG </w:t>
      </w:r>
      <w:r w:rsidR="00AC6138" w:rsidRPr="00F54DA5">
        <w:rPr>
          <w:rFonts w:cs="Arial"/>
        </w:rPr>
        <w:t>hydrogel</w:t>
      </w:r>
      <w:r w:rsidRPr="00F54DA5">
        <w:rPr>
          <w:rFonts w:cs="Arial"/>
        </w:rPr>
        <w:t xml:space="preserve">. C2C12 cells were expanded for 14 days. A total of 5 </w:t>
      </w:r>
      <w:r w:rsidRPr="00F54DA5">
        <w:rPr>
          <w:rFonts w:cs="Arial"/>
          <w:color w:val="000000" w:themeColor="text1"/>
        </w:rPr>
        <w:t>×</w:t>
      </w:r>
      <w:r w:rsidRPr="00F54DA5">
        <w:rPr>
          <w:rFonts w:cs="Arial"/>
        </w:rPr>
        <w:t xml:space="preserve"> 10</w:t>
      </w:r>
      <w:r w:rsidRPr="00F54DA5">
        <w:rPr>
          <w:rFonts w:cs="Arial"/>
          <w:vertAlign w:val="superscript"/>
        </w:rPr>
        <w:t>6</w:t>
      </w:r>
      <w:r w:rsidRPr="00F54DA5">
        <w:rPr>
          <w:rFonts w:cs="Arial"/>
        </w:rPr>
        <w:t xml:space="preserve"> cell ml</w:t>
      </w:r>
      <w:r w:rsidRPr="00F54DA5">
        <w:rPr>
          <w:rFonts w:cs="Arial"/>
          <w:vertAlign w:val="superscript"/>
        </w:rPr>
        <w:t>-1</w:t>
      </w:r>
      <w:r w:rsidRPr="00F54DA5">
        <w:rPr>
          <w:rFonts w:cs="Arial"/>
        </w:rPr>
        <w:t xml:space="preserve"> </w:t>
      </w:r>
      <w:r w:rsidR="008F104B">
        <w:rPr>
          <w:rFonts w:cs="Arial"/>
        </w:rPr>
        <w:t xml:space="preserve">of material </w:t>
      </w:r>
      <w:r w:rsidRPr="00F54DA5">
        <w:rPr>
          <w:rFonts w:cs="Arial"/>
        </w:rPr>
        <w:t xml:space="preserve">were pre-labelled with protocol </w:t>
      </w:r>
      <w:r w:rsidR="00AC6138" w:rsidRPr="00F54DA5">
        <w:rPr>
          <w:rFonts w:cs="Arial"/>
        </w:rPr>
        <w:t xml:space="preserve">previously </w:t>
      </w:r>
      <w:r w:rsidRPr="00F54DA5">
        <w:rPr>
          <w:rFonts w:cs="Arial"/>
        </w:rPr>
        <w:t xml:space="preserve">reported </w:t>
      </w:r>
      <w:r w:rsidR="00AC6138" w:rsidRPr="00F54DA5">
        <w:rPr>
          <w:rFonts w:cs="Arial"/>
        </w:rPr>
        <w:fldChar w:fldCharType="begin" w:fldLock="1"/>
      </w:r>
      <w:r w:rsidR="00793844">
        <w:rPr>
          <w:rFonts w:cs="Arial"/>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66cf7e3f-a561-43b9-8726-1231e9e363b7"]}],"mendeley":{"formattedCitation":"[12]","plainTextFormattedCitation":"[12]","previouslyFormattedCitation":"[12]"},"properties":{"noteIndex":0},"schema":"https://github.com/citation-style-language/schema/raw/master/csl-citation.json"}</w:instrText>
      </w:r>
      <w:r w:rsidR="00AC6138" w:rsidRPr="00F54DA5">
        <w:rPr>
          <w:rFonts w:cs="Arial"/>
        </w:rPr>
        <w:fldChar w:fldCharType="separate"/>
      </w:r>
      <w:r w:rsidR="00793844" w:rsidRPr="00793844">
        <w:rPr>
          <w:rFonts w:cs="Arial"/>
          <w:noProof/>
        </w:rPr>
        <w:t>[12]</w:t>
      </w:r>
      <w:r w:rsidR="00AC6138" w:rsidRPr="00F54DA5">
        <w:rPr>
          <w:rFonts w:cs="Arial"/>
        </w:rPr>
        <w:fldChar w:fldCharType="end"/>
      </w:r>
      <w:r w:rsidR="00AC6138" w:rsidRPr="00F54DA5">
        <w:rPr>
          <w:rFonts w:cs="Arial"/>
        </w:rPr>
        <w:t>. Briefly, cells were suspended at a density of 1 × 10</w:t>
      </w:r>
      <w:r w:rsidR="00AC6138" w:rsidRPr="00F54DA5">
        <w:rPr>
          <w:rFonts w:cs="Arial"/>
          <w:vertAlign w:val="superscript"/>
        </w:rPr>
        <w:t>6</w:t>
      </w:r>
      <w:r w:rsidR="00AC6138" w:rsidRPr="00F54DA5">
        <w:rPr>
          <w:rFonts w:cs="Arial"/>
        </w:rPr>
        <w:t xml:space="preserve"> cells ml</w:t>
      </w:r>
      <w:r w:rsidR="00AC6138" w:rsidRPr="00F54DA5">
        <w:rPr>
          <w:rFonts w:cs="Arial"/>
          <w:vertAlign w:val="superscript"/>
        </w:rPr>
        <w:t>-1</w:t>
      </w:r>
      <w:r w:rsidR="00AC6138" w:rsidRPr="00F54DA5">
        <w:rPr>
          <w:rFonts w:cs="Arial"/>
        </w:rPr>
        <w:t xml:space="preserve"> in </w:t>
      </w:r>
      <w:r w:rsidR="001E7460" w:rsidRPr="00F54DA5">
        <w:rPr>
          <w:rFonts w:cs="Arial"/>
        </w:rPr>
        <w:t xml:space="preserve">serum-free culture medium and </w:t>
      </w:r>
      <w:r w:rsidR="00AC6138" w:rsidRPr="00F54DA5">
        <w:rPr>
          <w:rFonts w:cs="Arial"/>
        </w:rPr>
        <w:t>Vybrant® DiD (Cell-Labeling Solution, V-22887, Molecular Probes) was added</w:t>
      </w:r>
      <w:r w:rsidR="001E7460" w:rsidRPr="00F54DA5">
        <w:rPr>
          <w:rFonts w:cs="Arial"/>
        </w:rPr>
        <w:t xml:space="preserve"> following </w:t>
      </w:r>
      <w:r w:rsidR="00093036">
        <w:rPr>
          <w:rFonts w:cs="Arial"/>
        </w:rPr>
        <w:t xml:space="preserve">the </w:t>
      </w:r>
      <w:r w:rsidR="001E7460" w:rsidRPr="00F54DA5">
        <w:rPr>
          <w:rFonts w:cs="Arial"/>
        </w:rPr>
        <w:t>manufactur</w:t>
      </w:r>
      <w:r w:rsidR="00093036">
        <w:rPr>
          <w:rFonts w:cs="Arial"/>
        </w:rPr>
        <w:t>ing</w:t>
      </w:r>
      <w:r w:rsidR="001E7460" w:rsidRPr="00F54DA5">
        <w:rPr>
          <w:rFonts w:cs="Arial"/>
        </w:rPr>
        <w:t xml:space="preserve"> protocol. </w:t>
      </w:r>
      <w:r w:rsidR="00093036">
        <w:rPr>
          <w:rFonts w:cs="Arial"/>
        </w:rPr>
        <w:t>The c</w:t>
      </w:r>
      <w:r w:rsidR="00AC6138" w:rsidRPr="00F54DA5">
        <w:rPr>
          <w:rFonts w:cs="Arial"/>
        </w:rPr>
        <w:t>ell suspension was incubated for 20 min at 37°C</w:t>
      </w:r>
      <w:r w:rsidR="001E7460" w:rsidRPr="00F54DA5">
        <w:rPr>
          <w:rFonts w:cs="Arial"/>
        </w:rPr>
        <w:t>, 5 % CO</w:t>
      </w:r>
      <w:r w:rsidR="001E7460" w:rsidRPr="00F54DA5">
        <w:rPr>
          <w:rFonts w:cs="Arial"/>
          <w:vertAlign w:val="subscript"/>
        </w:rPr>
        <w:t>2</w:t>
      </w:r>
      <w:r w:rsidR="00AC6138" w:rsidRPr="00F54DA5">
        <w:rPr>
          <w:rFonts w:cs="Arial"/>
        </w:rPr>
        <w:t xml:space="preserve">. </w:t>
      </w:r>
      <w:r w:rsidR="00D47B42">
        <w:rPr>
          <w:rFonts w:cs="Arial"/>
        </w:rPr>
        <w:t>The cell s</w:t>
      </w:r>
      <w:r w:rsidR="001E7460" w:rsidRPr="00F54DA5">
        <w:rPr>
          <w:rFonts w:cs="Arial"/>
        </w:rPr>
        <w:t xml:space="preserve">uspension was </w:t>
      </w:r>
      <w:r w:rsidR="00D47B42">
        <w:rPr>
          <w:rFonts w:cs="Arial"/>
        </w:rPr>
        <w:t>subsequently</w:t>
      </w:r>
      <w:r w:rsidR="001E7460" w:rsidRPr="00F54DA5">
        <w:rPr>
          <w:rFonts w:cs="Arial"/>
        </w:rPr>
        <w:t xml:space="preserve"> centrifuged and the</w:t>
      </w:r>
      <w:r w:rsidR="00AC6138" w:rsidRPr="00F54DA5">
        <w:rPr>
          <w:rFonts w:cs="Arial"/>
        </w:rPr>
        <w:t xml:space="preserve"> supernatant removed. </w:t>
      </w:r>
      <w:r w:rsidR="001E7460" w:rsidRPr="00F54DA5">
        <w:rPr>
          <w:rFonts w:cs="Arial"/>
        </w:rPr>
        <w:t xml:space="preserve">Washing with serum-free media was carried out to remove </w:t>
      </w:r>
      <w:r w:rsidR="00D47B42">
        <w:rPr>
          <w:rFonts w:cs="Arial"/>
        </w:rPr>
        <w:t xml:space="preserve">any </w:t>
      </w:r>
      <w:r w:rsidR="001E7460" w:rsidRPr="00F54DA5">
        <w:rPr>
          <w:rFonts w:cs="Arial"/>
        </w:rPr>
        <w:t xml:space="preserve">unbound DiD. </w:t>
      </w:r>
      <w:r w:rsidR="00AC6138" w:rsidRPr="00F54DA5">
        <w:rPr>
          <w:rFonts w:cs="Arial"/>
        </w:rPr>
        <w:t xml:space="preserve">Cells were then </w:t>
      </w:r>
      <w:r w:rsidRPr="00F54DA5">
        <w:rPr>
          <w:rFonts w:cs="Arial"/>
        </w:rPr>
        <w:t>encapsulated in GG and LAP-GG and printed. Printing was</w:t>
      </w:r>
      <w:r w:rsidR="00D47B42">
        <w:rPr>
          <w:rFonts w:cs="Arial"/>
        </w:rPr>
        <w:t xml:space="preserve"> </w:t>
      </w:r>
      <w:r w:rsidRPr="00F54DA5">
        <w:rPr>
          <w:rFonts w:cs="Arial"/>
        </w:rPr>
        <w:t>carried out in aga</w:t>
      </w:r>
      <w:r w:rsidR="001E7460" w:rsidRPr="00F54DA5">
        <w:rPr>
          <w:rFonts w:cs="Arial"/>
        </w:rPr>
        <w:t>rose fluid gel.</w:t>
      </w:r>
      <w:r w:rsidRPr="00F54DA5">
        <w:rPr>
          <w:rFonts w:cs="Arial"/>
        </w:rPr>
        <w:t xml:space="preserve"> The extrusion of hollow cylinders (5 mm in diameter and 10 layers high) were </w:t>
      </w:r>
      <w:r w:rsidR="00D47B42">
        <w:rPr>
          <w:rFonts w:cs="Arial"/>
        </w:rPr>
        <w:lastRenderedPageBreak/>
        <w:t xml:space="preserve">undertaken at a </w:t>
      </w:r>
      <w:r w:rsidRPr="00F54DA5">
        <w:rPr>
          <w:rFonts w:cs="Arial"/>
        </w:rPr>
        <w:t>constant printing speed of 2.5 mm s</w:t>
      </w:r>
      <w:r w:rsidRPr="00F54DA5">
        <w:rPr>
          <w:rFonts w:cs="Arial"/>
          <w:vertAlign w:val="superscript"/>
        </w:rPr>
        <w:t>-1</w:t>
      </w:r>
      <w:r w:rsidR="00AD210F">
        <w:rPr>
          <w:rFonts w:cs="Arial"/>
        </w:rPr>
        <w:t>.</w:t>
      </w:r>
      <w:r w:rsidR="00AD210F" w:rsidRPr="00F54DA5">
        <w:rPr>
          <w:rFonts w:cs="Arial"/>
        </w:rPr>
        <w:t xml:space="preserve"> </w:t>
      </w:r>
      <w:r w:rsidRPr="00F54DA5">
        <w:rPr>
          <w:rFonts w:cs="Arial"/>
        </w:rPr>
        <w:t>Printed scaffolds were cross</w:t>
      </w:r>
      <w:r w:rsidR="00D47B42">
        <w:rPr>
          <w:rFonts w:cs="Arial"/>
        </w:rPr>
        <w:t>-</w:t>
      </w:r>
      <w:r w:rsidRPr="00F54DA5">
        <w:rPr>
          <w:rFonts w:cs="Arial"/>
        </w:rPr>
        <w:t xml:space="preserve">linked for 10 min </w:t>
      </w:r>
      <w:r w:rsidR="00D47B42">
        <w:rPr>
          <w:rFonts w:cs="Arial"/>
        </w:rPr>
        <w:t xml:space="preserve">using </w:t>
      </w:r>
      <w:r w:rsidRPr="00F54DA5">
        <w:rPr>
          <w:rFonts w:cs="Arial"/>
        </w:rPr>
        <w:t>1 M CaCl</w:t>
      </w:r>
      <w:r w:rsidRPr="00F54DA5">
        <w:rPr>
          <w:rFonts w:cs="Arial"/>
          <w:vertAlign w:val="subscript"/>
        </w:rPr>
        <w:t>2</w:t>
      </w:r>
      <w:r w:rsidR="00230F0D" w:rsidRPr="00F54DA5">
        <w:rPr>
          <w:rFonts w:cs="Arial"/>
        </w:rPr>
        <w:t>, subsequently washed with Hank’s Balanced Salt solution (HBSS)</w:t>
      </w:r>
      <w:r w:rsidRPr="00F54DA5">
        <w:rPr>
          <w:rFonts w:cs="Arial"/>
        </w:rPr>
        <w:t xml:space="preserve"> </w:t>
      </w:r>
      <w:r w:rsidR="00DA0411">
        <w:rPr>
          <w:rFonts w:cs="Arial"/>
        </w:rPr>
        <w:t xml:space="preserve">to remove excess agarose gel </w:t>
      </w:r>
      <w:r w:rsidR="00D95241">
        <w:rPr>
          <w:rStyle w:val="FootnoteReference"/>
          <w:rFonts w:cs="Arial"/>
        </w:rPr>
        <w:fldChar w:fldCharType="begin" w:fldLock="1"/>
      </w:r>
      <w:r w:rsidR="00D95241">
        <w:rPr>
          <w:rFonts w:cs="Arial"/>
        </w:rPr>
        <w:instrText>ADDIN CSL_CITATION {"citationItems":[{"id":"ITEM-1","itemData":{"DOI":"10.1002/adma.201605594","ISSN":"09359648","PMID":"28145596","abstract":"A method for the production of complex cell-laden structures is reported, which allows high-levels of spatial control over mechanical and chemical properties. The potential of this method for producing complicated tissues is demonstrated by manufacturing a complex hard/soft tissue interface and demonstrating that cell phenotype can be maintained over four weeks of culture.","author":[{"dropping-particle":"","family":"Moxon","given":"Samuel R.","non-dropping-particle":"","parse-names":false,"suffix":""},{"dropping-particle":"","family":"Cooke","given":"Megan E.","non-dropping-particle":"","parse-names":false,"suffix":""},{"dropping-particle":"","family":"Cox","given":"Sophie C.","non-dropping-particle":"","parse-names":false,"suffix":""},{"dropping-particle":"","family":"Snow","given":"Martyn","non-dropping-particle":"","parse-names":false,"suffix":""},{"dropping-particle":"","family":"Jeys","given":"Lee","non-dropping-particle":"","parse-names":false,"suffix":""},{"dropping-particle":"","family":"Jones","given":"Simon W.","non-dropping-particle":"","parse-names":false,"suffix":""},{"dropping-particle":"","family":"Smith","given":"Alan M.","non-dropping-particle":"","parse-names":false,"suffix":""},{"dropping-particle":"","family":"Grover","given":"Liam M.","non-dropping-particle":"","parse-names":false,"suffix":""}],"container-title":"Advanced Materials","id":"ITEM-1","issue":"13","issued":{"date-parts":[["2017","4"]]},"page":"1605594","title":"Suspended Manufacture of Biological Structures","type":"article-journal","volume":"29"},"uris":["http://www.mendeley.com/documents/?uuid=d9d05438-ccd0-4dd2-9619-2c55242e8192"]}],"mendeley":{"formattedCitation":"[6]","plainTextFormattedCitation":"[6]"},"properties":{"noteIndex":0},"schema":"https://github.com/citation-style-language/schema/raw/master/csl-citation.json"}</w:instrText>
      </w:r>
      <w:r w:rsidR="00D95241">
        <w:rPr>
          <w:rStyle w:val="FootnoteReference"/>
          <w:rFonts w:cs="Arial"/>
        </w:rPr>
        <w:fldChar w:fldCharType="separate"/>
      </w:r>
      <w:r w:rsidR="00D95241" w:rsidRPr="00D95241">
        <w:rPr>
          <w:rFonts w:cs="Arial"/>
          <w:noProof/>
        </w:rPr>
        <w:t>[6]</w:t>
      </w:r>
      <w:r w:rsidR="00D95241">
        <w:rPr>
          <w:rStyle w:val="FootnoteReference"/>
          <w:rFonts w:cs="Arial"/>
        </w:rPr>
        <w:fldChar w:fldCharType="end"/>
      </w:r>
      <w:r w:rsidR="00D95241">
        <w:rPr>
          <w:rFonts w:cs="Arial"/>
        </w:rPr>
        <w:t xml:space="preserve"> </w:t>
      </w:r>
      <w:r w:rsidRPr="00F54DA5">
        <w:rPr>
          <w:rFonts w:cs="Arial"/>
        </w:rPr>
        <w:t>and incubated in full cell culture media at 37°C and 5 % CO</w:t>
      </w:r>
      <w:r w:rsidRPr="00F54DA5">
        <w:rPr>
          <w:rFonts w:cs="Arial"/>
          <w:vertAlign w:val="subscript"/>
        </w:rPr>
        <w:t>2</w:t>
      </w:r>
      <w:r w:rsidRPr="00F54DA5">
        <w:rPr>
          <w:rFonts w:cs="Arial"/>
        </w:rPr>
        <w:t xml:space="preserve"> balanced air up to 21 days. Scaffolds printed </w:t>
      </w:r>
      <w:r w:rsidR="00D47B42">
        <w:rPr>
          <w:rFonts w:cs="Arial"/>
        </w:rPr>
        <w:t xml:space="preserve">using the </w:t>
      </w:r>
      <w:r w:rsidRPr="00F54DA5">
        <w:rPr>
          <w:rFonts w:cs="Arial"/>
        </w:rPr>
        <w:t xml:space="preserve">two bioinks were divided into two </w:t>
      </w:r>
      <w:r w:rsidR="00D47B42">
        <w:rPr>
          <w:rFonts w:cs="Arial"/>
        </w:rPr>
        <w:t>additional</w:t>
      </w:r>
      <w:r w:rsidRPr="00F54DA5">
        <w:rPr>
          <w:rFonts w:cs="Arial"/>
        </w:rPr>
        <w:t xml:space="preserve"> groups to obtain scaffolds for cell viability (n=9 cell-laden and n=9 acellular) and functionality (n=12 cell-laden and n=12 acellular) investigations. </w:t>
      </w:r>
    </w:p>
    <w:p w14:paraId="2780BD9E" w14:textId="0C397BBF" w:rsidR="00A864BA" w:rsidRPr="00F54DA5" w:rsidRDefault="00126CD4" w:rsidP="00D9695A">
      <w:pPr>
        <w:pStyle w:val="Heading3"/>
        <w:numPr>
          <w:ilvl w:val="0"/>
          <w:numId w:val="0"/>
        </w:numPr>
        <w:spacing w:before="360" w:after="240"/>
        <w:jc w:val="both"/>
      </w:pPr>
      <w:bookmarkStart w:id="21" w:name="_Toc529724925"/>
      <w:r>
        <w:t xml:space="preserve">2.9 </w:t>
      </w:r>
      <w:r w:rsidR="00A864BA" w:rsidRPr="00F54DA5">
        <w:t>Viability of cell-laden printed scaffolds</w:t>
      </w:r>
      <w:bookmarkEnd w:id="21"/>
    </w:p>
    <w:p w14:paraId="394562EB" w14:textId="6990BB33" w:rsidR="00C31B51" w:rsidRPr="00F54DA5" w:rsidRDefault="00A864BA" w:rsidP="00C31B51">
      <w:pPr>
        <w:spacing w:line="360" w:lineRule="auto"/>
        <w:ind w:firstLine="567"/>
        <w:jc w:val="both"/>
        <w:rPr>
          <w:rFonts w:cs="Arial"/>
        </w:rPr>
      </w:pPr>
      <w:r w:rsidRPr="00F54DA5">
        <w:rPr>
          <w:rFonts w:cs="Arial"/>
        </w:rPr>
        <w:t xml:space="preserve">Viability at day 1, 7 and 21 was investigated </w:t>
      </w:r>
      <w:r w:rsidR="00D47B42">
        <w:rPr>
          <w:rFonts w:cs="Arial"/>
        </w:rPr>
        <w:t>using</w:t>
      </w:r>
      <w:r w:rsidRPr="00F54DA5">
        <w:rPr>
          <w:rFonts w:cs="Arial"/>
        </w:rPr>
        <w:t xml:space="preserve"> Calcein AM staining and confocal imaging </w:t>
      </w:r>
      <w:r w:rsidR="001E7460" w:rsidRPr="00F54DA5">
        <w:rPr>
          <w:rFonts w:cs="Arial"/>
        </w:rPr>
        <w:t xml:space="preserve">as previously described </w:t>
      </w:r>
      <w:r w:rsidR="001E7460" w:rsidRPr="00F54DA5">
        <w:rPr>
          <w:rFonts w:cs="Arial"/>
        </w:rPr>
        <w:fldChar w:fldCharType="begin" w:fldLock="1"/>
      </w:r>
      <w:r w:rsidR="00793844">
        <w:rPr>
          <w:rFonts w:cs="Arial"/>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66cf7e3f-a561-43b9-8726-1231e9e363b7"]}],"mendeley":{"formattedCitation":"[12]","plainTextFormattedCitation":"[12]","previouslyFormattedCitation":"[12]"},"properties":{"noteIndex":0},"schema":"https://github.com/citation-style-language/schema/raw/master/csl-citation.json"}</w:instrText>
      </w:r>
      <w:r w:rsidR="001E7460" w:rsidRPr="00F54DA5">
        <w:rPr>
          <w:rFonts w:cs="Arial"/>
        </w:rPr>
        <w:fldChar w:fldCharType="separate"/>
      </w:r>
      <w:r w:rsidR="00793844" w:rsidRPr="00793844">
        <w:rPr>
          <w:rFonts w:cs="Arial"/>
          <w:noProof/>
        </w:rPr>
        <w:t>[12]</w:t>
      </w:r>
      <w:r w:rsidR="001E7460" w:rsidRPr="00F54DA5">
        <w:rPr>
          <w:rFonts w:cs="Arial"/>
        </w:rPr>
        <w:fldChar w:fldCharType="end"/>
      </w:r>
      <w:r w:rsidR="001E7460" w:rsidRPr="00F54DA5">
        <w:rPr>
          <w:rFonts w:cs="Arial"/>
        </w:rPr>
        <w:t xml:space="preserve">. Briefly, samples were washed twice with 1× </w:t>
      </w:r>
      <w:r w:rsidR="0065058E">
        <w:rPr>
          <w:rFonts w:cs="Arial"/>
        </w:rPr>
        <w:t>HBSS</w:t>
      </w:r>
      <w:r w:rsidR="001E7460" w:rsidRPr="00F54DA5">
        <w:rPr>
          <w:rFonts w:cs="Arial"/>
        </w:rPr>
        <w:t>. Calcein AM (C3099, Invitrogen, Thermo Fisher Scientific) was diluted in serum-free culture media and added to each cell-lade</w:t>
      </w:r>
      <w:r w:rsidR="00D47B42">
        <w:rPr>
          <w:rFonts w:cs="Arial"/>
        </w:rPr>
        <w:t xml:space="preserve">n scaffold. The scaffolds were </w:t>
      </w:r>
      <w:r w:rsidR="001E7460" w:rsidRPr="00F54DA5">
        <w:rPr>
          <w:rFonts w:cs="Arial"/>
        </w:rPr>
        <w:t>incubated at 37°C and 5 % CO</w:t>
      </w:r>
      <w:r w:rsidR="001E7460" w:rsidRPr="00F54DA5">
        <w:rPr>
          <w:rFonts w:cs="Arial"/>
          <w:vertAlign w:val="subscript"/>
        </w:rPr>
        <w:t>2</w:t>
      </w:r>
      <w:r w:rsidR="001E7460" w:rsidRPr="00F54DA5">
        <w:rPr>
          <w:rFonts w:cs="Arial"/>
        </w:rPr>
        <w:t xml:space="preserve"> balanced air for 1 h, following </w:t>
      </w:r>
      <w:r w:rsidR="00093036">
        <w:rPr>
          <w:rFonts w:cs="Arial"/>
        </w:rPr>
        <w:t xml:space="preserve">the </w:t>
      </w:r>
      <w:r w:rsidR="001E7460" w:rsidRPr="00F54DA5">
        <w:rPr>
          <w:rFonts w:cs="Arial"/>
        </w:rPr>
        <w:t>manufactur</w:t>
      </w:r>
      <w:r w:rsidR="00D47B42">
        <w:rPr>
          <w:rFonts w:cs="Arial"/>
        </w:rPr>
        <w:t>er’s</w:t>
      </w:r>
      <w:r w:rsidR="001E7460" w:rsidRPr="00F54DA5">
        <w:rPr>
          <w:rFonts w:cs="Arial"/>
        </w:rPr>
        <w:t xml:space="preserve"> protocol. A repeated wash with 1× </w:t>
      </w:r>
      <w:r w:rsidR="0065058E">
        <w:rPr>
          <w:rFonts w:cs="Arial"/>
        </w:rPr>
        <w:t>HBSS</w:t>
      </w:r>
      <w:r w:rsidR="0065058E" w:rsidRPr="00F54DA5">
        <w:rPr>
          <w:rFonts w:cs="Arial"/>
        </w:rPr>
        <w:t xml:space="preserve"> </w:t>
      </w:r>
      <w:r w:rsidR="001E7460" w:rsidRPr="00F54DA5">
        <w:rPr>
          <w:rFonts w:cs="Arial"/>
        </w:rPr>
        <w:t xml:space="preserve">was </w:t>
      </w:r>
      <w:r w:rsidR="00D47B42">
        <w:rPr>
          <w:rFonts w:cs="Arial"/>
        </w:rPr>
        <w:t>subsequently</w:t>
      </w:r>
      <w:r w:rsidR="001E7460" w:rsidRPr="00F54DA5">
        <w:rPr>
          <w:rFonts w:cs="Arial"/>
        </w:rPr>
        <w:t xml:space="preserve"> carried out. Samples were imaged using a confocal scanning microscope (Leica TCS SP5, Leica Microsystems, Wetzlar, Germany). </w:t>
      </w:r>
      <w:r w:rsidR="00664955" w:rsidRPr="00F54DA5">
        <w:rPr>
          <w:rFonts w:cs="Arial"/>
        </w:rPr>
        <w:t xml:space="preserve">Living cells were identified when stained with </w:t>
      </w:r>
      <w:r w:rsidR="001E7460" w:rsidRPr="00F54DA5">
        <w:rPr>
          <w:rFonts w:cs="Arial"/>
        </w:rPr>
        <w:t xml:space="preserve">Calcein AM </w:t>
      </w:r>
      <w:r w:rsidR="00664955" w:rsidRPr="00F54DA5">
        <w:rPr>
          <w:rFonts w:cs="Arial"/>
        </w:rPr>
        <w:t xml:space="preserve">and </w:t>
      </w:r>
      <w:r w:rsidR="001E7460" w:rsidRPr="00F54DA5">
        <w:rPr>
          <w:rFonts w:cs="Arial"/>
        </w:rPr>
        <w:t>DiD.</w:t>
      </w:r>
      <w:r w:rsidR="00664955" w:rsidRPr="00F54DA5">
        <w:rPr>
          <w:rFonts w:cs="Arial"/>
        </w:rPr>
        <w:t xml:space="preserve"> </w:t>
      </w:r>
      <w:r w:rsidR="00AD210F">
        <w:rPr>
          <w:rFonts w:cs="Arial"/>
        </w:rPr>
        <w:t>M</w:t>
      </w:r>
      <w:r w:rsidR="00664955" w:rsidRPr="00F54DA5">
        <w:rPr>
          <w:rFonts w:cs="Arial"/>
        </w:rPr>
        <w:t>etabolic</w:t>
      </w:r>
      <w:r w:rsidR="00093036">
        <w:rPr>
          <w:rFonts w:cs="Arial"/>
        </w:rPr>
        <w:t xml:space="preserve">ally </w:t>
      </w:r>
      <w:r w:rsidR="00AD210F">
        <w:rPr>
          <w:rFonts w:cs="Arial"/>
        </w:rPr>
        <w:t>in</w:t>
      </w:r>
      <w:r w:rsidR="00093036">
        <w:rPr>
          <w:rFonts w:cs="Arial"/>
        </w:rPr>
        <w:t>active</w:t>
      </w:r>
      <w:r w:rsidR="00664955" w:rsidRPr="00F54DA5">
        <w:rPr>
          <w:rFonts w:cs="Arial"/>
        </w:rPr>
        <w:t xml:space="preserve"> (dead) cells were identified </w:t>
      </w:r>
      <w:r w:rsidR="00D47B42">
        <w:rPr>
          <w:rFonts w:cs="Arial"/>
        </w:rPr>
        <w:t>by</w:t>
      </w:r>
      <w:r w:rsidR="00664955" w:rsidRPr="00F54DA5">
        <w:rPr>
          <w:rFonts w:cs="Arial"/>
        </w:rPr>
        <w:t xml:space="preserve"> DiD</w:t>
      </w:r>
      <w:r w:rsidR="00D47B42">
        <w:rPr>
          <w:rFonts w:cs="Arial"/>
        </w:rPr>
        <w:t xml:space="preserve"> staining</w:t>
      </w:r>
      <w:r w:rsidR="00664955" w:rsidRPr="00F54DA5">
        <w:rPr>
          <w:rFonts w:cs="Arial"/>
        </w:rPr>
        <w:t xml:space="preserve">. Cell viability was quantified by comparing the number of </w:t>
      </w:r>
      <w:r w:rsidR="00D47B42">
        <w:rPr>
          <w:rFonts w:cs="Arial"/>
        </w:rPr>
        <w:t>viable</w:t>
      </w:r>
      <w:r w:rsidR="00664955" w:rsidRPr="00F54DA5">
        <w:rPr>
          <w:rFonts w:cs="Arial"/>
        </w:rPr>
        <w:t xml:space="preserve"> and dead cells in the Z-stacks of 15 images per time point (n=3) as previously reported </w:t>
      </w:r>
      <w:r w:rsidR="00664955" w:rsidRPr="00F54DA5">
        <w:rPr>
          <w:rFonts w:cs="Arial"/>
        </w:rPr>
        <w:fldChar w:fldCharType="begin" w:fldLock="1"/>
      </w:r>
      <w:r w:rsidR="00793844">
        <w:rPr>
          <w:rFonts w:cs="Arial"/>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66cf7e3f-a561-43b9-8726-1231e9e363b7"]}],"mendeley":{"formattedCitation":"[12]","plainTextFormattedCitation":"[12]","previouslyFormattedCitation":"[12]"},"properties":{"noteIndex":0},"schema":"https://github.com/citation-style-language/schema/raw/master/csl-citation.json"}</w:instrText>
      </w:r>
      <w:r w:rsidR="00664955" w:rsidRPr="00F54DA5">
        <w:rPr>
          <w:rFonts w:cs="Arial"/>
        </w:rPr>
        <w:fldChar w:fldCharType="separate"/>
      </w:r>
      <w:r w:rsidR="00793844" w:rsidRPr="00793844">
        <w:rPr>
          <w:rFonts w:cs="Arial"/>
          <w:noProof/>
        </w:rPr>
        <w:t>[12]</w:t>
      </w:r>
      <w:r w:rsidR="00664955" w:rsidRPr="00F54DA5">
        <w:rPr>
          <w:rFonts w:cs="Arial"/>
        </w:rPr>
        <w:fldChar w:fldCharType="end"/>
      </w:r>
      <w:r w:rsidR="00664955" w:rsidRPr="00F54DA5">
        <w:rPr>
          <w:rFonts w:cs="Arial"/>
        </w:rPr>
        <w:t xml:space="preserve">. Analysis was carried out </w:t>
      </w:r>
      <w:r w:rsidR="00D47B42">
        <w:rPr>
          <w:rFonts w:cs="Arial"/>
        </w:rPr>
        <w:t>using</w:t>
      </w:r>
      <w:r w:rsidR="00664955" w:rsidRPr="00F54DA5">
        <w:rPr>
          <w:rFonts w:cs="Arial"/>
        </w:rPr>
        <w:t xml:space="preserve"> Image J “Analyze Particle” tool with a threshold range of 20-600 pixel to avoid background interference from L</w:t>
      </w:r>
      <w:r w:rsidR="00D47B42">
        <w:rPr>
          <w:rFonts w:cs="Arial"/>
        </w:rPr>
        <w:t>AP</w:t>
      </w:r>
      <w:r w:rsidR="00664955" w:rsidRPr="00F54DA5">
        <w:rPr>
          <w:rFonts w:cs="Arial"/>
        </w:rPr>
        <w:t xml:space="preserve"> </w:t>
      </w:r>
      <w:r w:rsidR="00AD210F" w:rsidRPr="00F54DA5">
        <w:rPr>
          <w:rFonts w:cs="Arial"/>
        </w:rPr>
        <w:t>auto fluorescence</w:t>
      </w:r>
      <w:r w:rsidR="00664955" w:rsidRPr="00F54DA5">
        <w:rPr>
          <w:rFonts w:cs="Arial"/>
        </w:rPr>
        <w:t xml:space="preserve">. </w:t>
      </w:r>
      <w:r w:rsidR="001E7460" w:rsidRPr="00F54DA5">
        <w:rPr>
          <w:rFonts w:cs="Arial"/>
        </w:rPr>
        <w:t xml:space="preserve">Cell density </w:t>
      </w:r>
      <w:r w:rsidR="00C31B51" w:rsidRPr="00F54DA5">
        <w:rPr>
          <w:rFonts w:cs="Arial"/>
        </w:rPr>
        <w:t xml:space="preserve">was </w:t>
      </w:r>
      <w:r w:rsidR="003E0AAC">
        <w:rPr>
          <w:rFonts w:cs="Arial"/>
        </w:rPr>
        <w:t>calculated</w:t>
      </w:r>
      <w:r w:rsidR="008F104B">
        <w:rPr>
          <w:rFonts w:cs="Arial"/>
        </w:rPr>
        <w:t xml:space="preserve"> by normalisation of </w:t>
      </w:r>
      <w:r w:rsidR="00D47B42">
        <w:rPr>
          <w:rFonts w:cs="Arial"/>
        </w:rPr>
        <w:t>viable</w:t>
      </w:r>
      <w:r w:rsidR="001E7460" w:rsidRPr="00F54DA5">
        <w:rPr>
          <w:rFonts w:cs="Arial"/>
        </w:rPr>
        <w:t xml:space="preserve"> cells and the volume of interests</w:t>
      </w:r>
      <w:r w:rsidR="00C31B51" w:rsidRPr="00F54DA5">
        <w:rPr>
          <w:rFonts w:cs="Arial"/>
        </w:rPr>
        <w:t xml:space="preserve"> (VOI)</w:t>
      </w:r>
      <w:r w:rsidR="001E7460" w:rsidRPr="00F54DA5">
        <w:rPr>
          <w:rFonts w:cs="Arial"/>
        </w:rPr>
        <w:t xml:space="preserve">. </w:t>
      </w:r>
      <w:r w:rsidR="00C31B51" w:rsidRPr="00F54DA5">
        <w:rPr>
          <w:rFonts w:cs="Arial"/>
        </w:rPr>
        <w:t xml:space="preserve">The percentage values were plotted with reference to the day 1 </w:t>
      </w:r>
      <w:r w:rsidR="00D47B42">
        <w:rPr>
          <w:rFonts w:cs="Arial"/>
        </w:rPr>
        <w:t xml:space="preserve">group established as </w:t>
      </w:r>
      <w:r w:rsidR="00C31B51" w:rsidRPr="00F54DA5">
        <w:rPr>
          <w:rFonts w:cs="Arial"/>
        </w:rPr>
        <w:t xml:space="preserve">100 %. </w:t>
      </w:r>
    </w:p>
    <w:p w14:paraId="2874BDF7" w14:textId="7B203506" w:rsidR="000E090E" w:rsidRDefault="00126CD4" w:rsidP="00C24DD6">
      <w:pPr>
        <w:pStyle w:val="Heading3"/>
        <w:numPr>
          <w:ilvl w:val="0"/>
          <w:numId w:val="0"/>
        </w:numPr>
        <w:spacing w:before="360" w:after="240"/>
        <w:jc w:val="both"/>
      </w:pPr>
      <w:bookmarkStart w:id="22" w:name="_Toc529724926"/>
      <w:r>
        <w:t xml:space="preserve">2.10 </w:t>
      </w:r>
      <w:r w:rsidR="00A864BA" w:rsidRPr="00F54DA5">
        <w:t>Functionality of cell-laden printed scaffolds</w:t>
      </w:r>
      <w:bookmarkEnd w:id="22"/>
    </w:p>
    <w:p w14:paraId="5A694DC9" w14:textId="5CCCFD9D" w:rsidR="00A864BA" w:rsidRPr="00F54DA5" w:rsidRDefault="000E090E" w:rsidP="00C24DD6">
      <w:pPr>
        <w:spacing w:line="360" w:lineRule="auto"/>
        <w:jc w:val="both"/>
        <w:rPr>
          <w:rFonts w:cs="Arial"/>
          <w:color w:val="000000" w:themeColor="text1"/>
        </w:rPr>
      </w:pPr>
      <w:r>
        <w:rPr>
          <w:rFonts w:cs="Arial"/>
        </w:rPr>
        <w:t xml:space="preserve">C2C12-laden 3D printed scaffolds </w:t>
      </w:r>
      <w:r w:rsidR="00E35D95">
        <w:rPr>
          <w:rFonts w:cs="Arial"/>
        </w:rPr>
        <w:t xml:space="preserve">were </w:t>
      </w:r>
      <w:r w:rsidR="00303B95" w:rsidRPr="00F54DA5">
        <w:rPr>
          <w:rFonts w:cs="Arial"/>
        </w:rPr>
        <w:t xml:space="preserve">conditioned with basal (DMEM supplemented with </w:t>
      </w:r>
      <w:r w:rsidR="00303B95" w:rsidRPr="00F54DA5">
        <w:rPr>
          <w:rFonts w:cs="Arial"/>
          <w:lang w:eastAsia="en-GB"/>
        </w:rPr>
        <w:t>10 % (v/v) FBS, 1 % (v/v) Pen/Strep</w:t>
      </w:r>
      <w:r w:rsidR="00303B95" w:rsidRPr="00F54DA5">
        <w:rPr>
          <w:rFonts w:cs="Arial"/>
        </w:rPr>
        <w:t xml:space="preserve">) or osteogenic (DMEM supplemented with </w:t>
      </w:r>
      <w:r w:rsidR="00303B95" w:rsidRPr="00F54DA5">
        <w:rPr>
          <w:rFonts w:cs="Arial"/>
          <w:lang w:eastAsia="en-GB"/>
        </w:rPr>
        <w:t>10 % (v/v) FBS, 1 % (v/v) Pen/Strep, 100 µM ascorbate-2-phosphate (AA2P), 10 nM dexamethasone (Dex) and 10 nM vitamin D (1α,25-OH</w:t>
      </w:r>
      <w:r w:rsidR="00303B95" w:rsidRPr="00F54DA5">
        <w:rPr>
          <w:rFonts w:cs="Arial"/>
          <w:vertAlign w:val="subscript"/>
          <w:lang w:eastAsia="en-GB"/>
        </w:rPr>
        <w:t>2</w:t>
      </w:r>
      <w:r w:rsidR="00303B95" w:rsidRPr="00F54DA5">
        <w:rPr>
          <w:rFonts w:cs="Arial"/>
          <w:lang w:eastAsia="en-GB"/>
        </w:rPr>
        <w:t>-Vit D3</w:t>
      </w:r>
      <w:r w:rsidR="00303B95" w:rsidRPr="00F54DA5">
        <w:rPr>
          <w:rFonts w:cs="Arial"/>
        </w:rPr>
        <w:t>)</w:t>
      </w:r>
      <w:r w:rsidR="003E0AAC">
        <w:rPr>
          <w:rFonts w:cs="Arial"/>
        </w:rPr>
        <w:t>)</w:t>
      </w:r>
      <w:r w:rsidR="00303B95" w:rsidRPr="00F54DA5">
        <w:rPr>
          <w:rFonts w:cs="Arial"/>
        </w:rPr>
        <w:t xml:space="preserve"> media</w:t>
      </w:r>
      <w:r w:rsidR="00E35D95">
        <w:rPr>
          <w:rFonts w:cs="Arial"/>
        </w:rPr>
        <w:t xml:space="preserve"> and cultured up to 21 days. </w:t>
      </w:r>
      <w:r w:rsidR="00303B95" w:rsidRPr="00F54DA5">
        <w:rPr>
          <w:rFonts w:cs="Arial"/>
        </w:rPr>
        <w:t xml:space="preserve">Samples were fixed in 95 % ethanol for 10 min. The ethanol solution was removed and samples washed </w:t>
      </w:r>
      <w:r w:rsidR="007E06F5">
        <w:rPr>
          <w:rFonts w:cs="Arial"/>
        </w:rPr>
        <w:t>twice</w:t>
      </w:r>
      <w:r w:rsidR="00303B95" w:rsidRPr="00F54DA5">
        <w:rPr>
          <w:rFonts w:cs="Arial"/>
        </w:rPr>
        <w:t xml:space="preserve"> with 1× </w:t>
      </w:r>
      <w:r w:rsidR="00230F0D" w:rsidRPr="00F54DA5">
        <w:rPr>
          <w:rFonts w:cs="Arial"/>
        </w:rPr>
        <w:t>HBSS</w:t>
      </w:r>
      <w:r w:rsidR="00303B95" w:rsidRPr="00F54DA5">
        <w:rPr>
          <w:rFonts w:cs="Arial"/>
        </w:rPr>
        <w:t xml:space="preserve">. </w:t>
      </w:r>
      <w:r w:rsidR="00E35D95">
        <w:rPr>
          <w:rFonts w:cs="Arial"/>
        </w:rPr>
        <w:t>Alkaline Phosphatase (ALP) s</w:t>
      </w:r>
      <w:r w:rsidR="00230F0D" w:rsidRPr="00F54DA5">
        <w:rPr>
          <w:rFonts w:cs="Arial"/>
        </w:rPr>
        <w:t xml:space="preserve">taining solution was prepared from 9.6 ml of DW, </w:t>
      </w:r>
      <w:r w:rsidR="00303B95" w:rsidRPr="00F54DA5">
        <w:rPr>
          <w:rFonts w:cs="Arial"/>
        </w:rPr>
        <w:t xml:space="preserve">400 µl Naphtol (AS-MX Phosphate Alkaline </w:t>
      </w:r>
      <w:r w:rsidR="00303B95" w:rsidRPr="00F54DA5">
        <w:rPr>
          <w:rFonts w:cs="Arial"/>
        </w:rPr>
        <w:lastRenderedPageBreak/>
        <w:t>Solution, 85-5, Sigma, UK)</w:t>
      </w:r>
      <w:r w:rsidR="00230F0D" w:rsidRPr="00F54DA5">
        <w:rPr>
          <w:rFonts w:cs="Arial"/>
        </w:rPr>
        <w:t xml:space="preserve"> and</w:t>
      </w:r>
      <w:r w:rsidR="00303B95" w:rsidRPr="00F54DA5">
        <w:rPr>
          <w:rFonts w:cs="Arial"/>
        </w:rPr>
        <w:t xml:space="preserve"> Fast Violet Salt (F1631 Sigma, UK).</w:t>
      </w:r>
      <w:r w:rsidR="00230F0D" w:rsidRPr="00F54DA5">
        <w:rPr>
          <w:rFonts w:cs="Arial"/>
        </w:rPr>
        <w:t xml:space="preserve"> </w:t>
      </w:r>
      <w:r w:rsidR="00303B95" w:rsidRPr="00F54DA5">
        <w:rPr>
          <w:rFonts w:cs="Arial"/>
        </w:rPr>
        <w:t xml:space="preserve">The solution was </w:t>
      </w:r>
      <w:r w:rsidR="00230F0D" w:rsidRPr="00F54DA5">
        <w:rPr>
          <w:rFonts w:cs="Arial"/>
        </w:rPr>
        <w:t>added to the</w:t>
      </w:r>
      <w:r w:rsidR="00303B95" w:rsidRPr="00F54DA5">
        <w:rPr>
          <w:rFonts w:cs="Arial"/>
        </w:rPr>
        <w:t xml:space="preserve"> samples, which were incubated at 37°C for 1 h. </w:t>
      </w:r>
      <w:r w:rsidR="00B316B9" w:rsidRPr="00F54DA5">
        <w:rPr>
          <w:rFonts w:cs="Arial"/>
        </w:rPr>
        <w:t>The r</w:t>
      </w:r>
      <w:r w:rsidR="00303B95" w:rsidRPr="00F54DA5">
        <w:rPr>
          <w:rFonts w:cs="Arial"/>
        </w:rPr>
        <w:t xml:space="preserve">eaction was then stopped by 1× </w:t>
      </w:r>
      <w:r w:rsidR="00230F0D" w:rsidRPr="00F54DA5">
        <w:rPr>
          <w:rFonts w:cs="Arial"/>
        </w:rPr>
        <w:t>HBSS</w:t>
      </w:r>
      <w:r w:rsidR="00303B95" w:rsidRPr="00F54DA5">
        <w:rPr>
          <w:rFonts w:cs="Arial"/>
        </w:rPr>
        <w:t xml:space="preserve">. Samples were stored at 4°C overnight and imaged with Zeiss Axiovert 200 (Carl Zeiss, Germany) the following day. </w:t>
      </w:r>
      <w:r w:rsidR="00A864BA" w:rsidRPr="00F54DA5">
        <w:rPr>
          <w:rFonts w:cs="Arial"/>
        </w:rPr>
        <w:t xml:space="preserve">Mean intensity units of each image were calculated using Image J software, by analysing ROI with the “density” tool present in Fiji </w:t>
      </w:r>
      <w:r w:rsidR="00A864BA" w:rsidRPr="00F54DA5">
        <w:rPr>
          <w:rFonts w:cs="Arial"/>
          <w:color w:val="000000" w:themeColor="text1"/>
        </w:rPr>
        <w:t>(1.44p, National Institutes of Health, Bethesda, Maryland, USA).</w:t>
      </w:r>
    </w:p>
    <w:p w14:paraId="14DA1095" w14:textId="47C22481" w:rsidR="00A864BA" w:rsidRPr="00F54DA5" w:rsidRDefault="00126CD4" w:rsidP="00D9695A">
      <w:pPr>
        <w:pStyle w:val="Heading3"/>
        <w:numPr>
          <w:ilvl w:val="0"/>
          <w:numId w:val="0"/>
        </w:numPr>
        <w:spacing w:before="360" w:after="240"/>
        <w:jc w:val="both"/>
      </w:pPr>
      <w:bookmarkStart w:id="23" w:name="_Toc529724927"/>
      <w:r>
        <w:t xml:space="preserve">2.11 </w:t>
      </w:r>
      <w:r w:rsidR="00A864BA" w:rsidRPr="00F54DA5">
        <w:t>Drug analogues absorption and release</w:t>
      </w:r>
      <w:bookmarkEnd w:id="23"/>
    </w:p>
    <w:p w14:paraId="57E842FE" w14:textId="0DF3B1C8" w:rsidR="00B316B9" w:rsidRPr="00F54DA5" w:rsidRDefault="00B316B9" w:rsidP="001821E5">
      <w:pPr>
        <w:spacing w:line="360" w:lineRule="auto"/>
        <w:ind w:firstLine="567"/>
        <w:jc w:val="both"/>
        <w:rPr>
          <w:rFonts w:cs="Arial"/>
        </w:rPr>
      </w:pPr>
      <w:r w:rsidRPr="00F54DA5">
        <w:rPr>
          <w:rFonts w:cs="Arial"/>
        </w:rPr>
        <w:t xml:space="preserve">Bovine serum albumin (BSA, Sigma-Aldrich) and lysozyme (lysozyme from chicken egg white, lyophilized powder, protein ≥90 %, ≥40,000 units/mg protein Sigma-Aldrich) were solubilised in </w:t>
      </w:r>
      <w:r w:rsidR="00BD3976">
        <w:rPr>
          <w:rFonts w:cs="Arial"/>
        </w:rPr>
        <w:t xml:space="preserve">HBSS </w:t>
      </w:r>
      <w:r w:rsidRPr="00F54DA5">
        <w:rPr>
          <w:rFonts w:cs="Arial"/>
        </w:rPr>
        <w:t>at 100 µg ml</w:t>
      </w:r>
      <w:r w:rsidRPr="00F54DA5">
        <w:rPr>
          <w:rFonts w:cs="Arial"/>
          <w:vertAlign w:val="superscript"/>
        </w:rPr>
        <w:t>-1</w:t>
      </w:r>
      <w:r w:rsidRPr="00F54DA5">
        <w:rPr>
          <w:rFonts w:cs="Arial"/>
        </w:rPr>
        <w:t xml:space="preserve"> and 10 µg ml</w:t>
      </w:r>
      <w:r w:rsidRPr="00F54DA5">
        <w:rPr>
          <w:rFonts w:cs="Arial"/>
          <w:vertAlign w:val="superscript"/>
        </w:rPr>
        <w:t>-1</w:t>
      </w:r>
      <w:r w:rsidR="00093036">
        <w:rPr>
          <w:rFonts w:cs="Arial"/>
        </w:rPr>
        <w:t xml:space="preserve">, </w:t>
      </w:r>
      <w:r w:rsidRPr="00F54DA5">
        <w:rPr>
          <w:rFonts w:cs="Arial"/>
        </w:rPr>
        <w:t xml:space="preserve">respectively. Before absorption, GG and LAP-GG were cast </w:t>
      </w:r>
      <w:r w:rsidR="00D47B42">
        <w:rPr>
          <w:rFonts w:cs="Arial"/>
        </w:rPr>
        <w:t xml:space="preserve">to generate </w:t>
      </w:r>
      <w:r w:rsidRPr="00F54DA5">
        <w:rPr>
          <w:rFonts w:cs="Arial"/>
        </w:rPr>
        <w:t xml:space="preserve">cylindrical scaffolds. Scaffolds (n=3) were soaked in BSA or lysozyme solutions for 1, 2, 4, 8, and 24 h and </w:t>
      </w:r>
      <w:r w:rsidR="00D47B42">
        <w:rPr>
          <w:rFonts w:cs="Arial"/>
        </w:rPr>
        <w:t xml:space="preserve">the </w:t>
      </w:r>
      <w:r w:rsidRPr="00F54DA5">
        <w:rPr>
          <w:rFonts w:cs="Arial"/>
        </w:rPr>
        <w:t>supernatant</w:t>
      </w:r>
      <w:r w:rsidR="00D47B42">
        <w:rPr>
          <w:rFonts w:cs="Arial"/>
        </w:rPr>
        <w:t xml:space="preserve"> subsequently </w:t>
      </w:r>
      <w:r w:rsidRPr="00F54DA5">
        <w:rPr>
          <w:rFonts w:cs="Arial"/>
        </w:rPr>
        <w:t>collect</w:t>
      </w:r>
      <w:r w:rsidR="00D47B42">
        <w:rPr>
          <w:rFonts w:cs="Arial"/>
        </w:rPr>
        <w:t>ed</w:t>
      </w:r>
      <w:r w:rsidRPr="00F54DA5">
        <w:rPr>
          <w:rFonts w:cs="Arial"/>
        </w:rPr>
        <w:t xml:space="preserve">. After 24 h, BSA and lysozyme solutions were replaced with collagenase D (from </w:t>
      </w:r>
      <w:r w:rsidRPr="00FA27BD">
        <w:rPr>
          <w:rFonts w:cs="Arial"/>
          <w:i/>
        </w:rPr>
        <w:t>Clostridium histolyticum</w:t>
      </w:r>
      <w:r w:rsidRPr="00F54DA5">
        <w:rPr>
          <w:rFonts w:cs="Arial"/>
        </w:rPr>
        <w:t xml:space="preserve">, Roche Diagnostics GmbH). </w:t>
      </w:r>
      <w:r w:rsidR="002A42D9">
        <w:rPr>
          <w:rFonts w:cs="Arial"/>
        </w:rPr>
        <w:t>Blot dry sample weight was registered prior and after collagenase addition</w:t>
      </w:r>
      <w:r w:rsidR="001821E5">
        <w:rPr>
          <w:rFonts w:cs="Arial"/>
        </w:rPr>
        <w:t>. A reduction i</w:t>
      </w:r>
      <w:r w:rsidR="002A42D9">
        <w:rPr>
          <w:rFonts w:cs="Arial"/>
        </w:rPr>
        <w:t>n weight from 161.5 ± 4.3 µg to 97.6 ± 3.2 µg</w:t>
      </w:r>
      <w:r w:rsidR="001821E5">
        <w:rPr>
          <w:rFonts w:cs="Arial"/>
        </w:rPr>
        <w:t xml:space="preserve"> was noted</w:t>
      </w:r>
      <w:r w:rsidR="002A42D9">
        <w:rPr>
          <w:rFonts w:cs="Arial"/>
        </w:rPr>
        <w:t xml:space="preserve">. </w:t>
      </w:r>
      <w:r w:rsidRPr="00F54DA5">
        <w:rPr>
          <w:rFonts w:cs="Arial"/>
        </w:rPr>
        <w:t xml:space="preserve">Samples were collected (n=3) and readings </w:t>
      </w:r>
      <w:r w:rsidR="00D47B42">
        <w:rPr>
          <w:rFonts w:cs="Arial"/>
        </w:rPr>
        <w:t xml:space="preserve">determined at </w:t>
      </w:r>
      <w:r w:rsidRPr="00F54DA5">
        <w:rPr>
          <w:rFonts w:cs="Arial"/>
        </w:rPr>
        <w:t>1, 2, 4, 8 and 24 h after collagenase addition. Absorbed and release</w:t>
      </w:r>
      <w:r w:rsidR="000D23AD">
        <w:rPr>
          <w:rFonts w:cs="Arial"/>
        </w:rPr>
        <w:t>d</w:t>
      </w:r>
      <w:r w:rsidRPr="00F54DA5">
        <w:rPr>
          <w:rFonts w:cs="Arial"/>
        </w:rPr>
        <w:t xml:space="preserve"> concentration values were quantified using a microplate reader (GloMax Discover, Promega) </w:t>
      </w:r>
      <w:r w:rsidR="00D47B42">
        <w:rPr>
          <w:rFonts w:cs="Arial"/>
        </w:rPr>
        <w:t xml:space="preserve">using a </w:t>
      </w:r>
      <w:r w:rsidRPr="00F54DA5">
        <w:rPr>
          <w:rFonts w:cs="Arial"/>
        </w:rPr>
        <w:t>protein quantification kit (Protein quantification kit – Rapid, Sigma-Aldrich, UK)</w:t>
      </w:r>
      <w:r w:rsidR="00D47B42">
        <w:rPr>
          <w:rFonts w:cs="Arial"/>
        </w:rPr>
        <w:t xml:space="preserve"> according to the manufacturer’s</w:t>
      </w:r>
      <w:r w:rsidR="00C61137" w:rsidRPr="00F54DA5">
        <w:rPr>
          <w:rFonts w:cs="Arial"/>
        </w:rPr>
        <w:t xml:space="preserve"> protocol. </w:t>
      </w:r>
      <w:r w:rsidRPr="00F54DA5">
        <w:rPr>
          <w:rFonts w:cs="Arial"/>
        </w:rPr>
        <w:t xml:space="preserve"> </w:t>
      </w:r>
    </w:p>
    <w:p w14:paraId="3CB5D9B6" w14:textId="1DC8A356" w:rsidR="00A864BA" w:rsidRPr="00F54DA5" w:rsidRDefault="00A864BA" w:rsidP="003E0AAC">
      <w:pPr>
        <w:spacing w:line="360" w:lineRule="auto"/>
        <w:jc w:val="both"/>
        <w:rPr>
          <w:rFonts w:cs="Arial"/>
        </w:rPr>
      </w:pPr>
      <w:r w:rsidRPr="00F54DA5">
        <w:rPr>
          <w:rFonts w:cs="Arial"/>
        </w:rPr>
        <w:t xml:space="preserve">To investigate the possibility to solubilise drugs in the agarose fluid gel and induce the absorption of the drugs in the bioink during and after printing, </w:t>
      </w:r>
      <w:r w:rsidR="00335E74">
        <w:rPr>
          <w:rFonts w:cs="Arial"/>
        </w:rPr>
        <w:t>an</w:t>
      </w:r>
      <w:r w:rsidRPr="00F54DA5">
        <w:rPr>
          <w:rFonts w:cs="Arial"/>
        </w:rPr>
        <w:t xml:space="preserve"> </w:t>
      </w:r>
      <w:r w:rsidR="00876558">
        <w:rPr>
          <w:rFonts w:cs="Arial"/>
        </w:rPr>
        <w:t xml:space="preserve">cataionic </w:t>
      </w:r>
      <w:r w:rsidRPr="00F54DA5">
        <w:rPr>
          <w:rFonts w:cs="Arial"/>
        </w:rPr>
        <w:t>dye</w:t>
      </w:r>
      <w:r w:rsidR="00335E74">
        <w:rPr>
          <w:rFonts w:cs="Arial"/>
        </w:rPr>
        <w:t xml:space="preserve"> of different </w:t>
      </w:r>
      <w:r w:rsidR="0065058E">
        <w:rPr>
          <w:rFonts w:cs="Arial"/>
        </w:rPr>
        <w:t>colours</w:t>
      </w:r>
      <w:r w:rsidRPr="00F54DA5">
        <w:rPr>
          <w:rFonts w:cs="Arial"/>
        </w:rPr>
        <w:t xml:space="preserve"> </w:t>
      </w:r>
      <w:r w:rsidR="00335E74">
        <w:rPr>
          <w:rFonts w:cs="Arial"/>
        </w:rPr>
        <w:t>was</w:t>
      </w:r>
      <w:r w:rsidR="00335E74" w:rsidRPr="00F54DA5">
        <w:rPr>
          <w:rFonts w:cs="Arial"/>
        </w:rPr>
        <w:t xml:space="preserve"> </w:t>
      </w:r>
      <w:r w:rsidRPr="00F54DA5">
        <w:rPr>
          <w:rFonts w:cs="Arial"/>
        </w:rPr>
        <w:t>used to tag the agarose gel and</w:t>
      </w:r>
      <w:r w:rsidR="000D23AD">
        <w:rPr>
          <w:rFonts w:cs="Arial"/>
        </w:rPr>
        <w:t xml:space="preserve"> prior to printing of either</w:t>
      </w:r>
      <w:r w:rsidRPr="00F54DA5">
        <w:rPr>
          <w:rFonts w:cs="Arial"/>
        </w:rPr>
        <w:t xml:space="preserve"> GG </w:t>
      </w:r>
      <w:r w:rsidR="000D23AD">
        <w:rPr>
          <w:rFonts w:cs="Arial"/>
        </w:rPr>
        <w:t>or</w:t>
      </w:r>
      <w:r w:rsidR="000D23AD" w:rsidRPr="00F54DA5">
        <w:rPr>
          <w:rFonts w:cs="Arial"/>
        </w:rPr>
        <w:t xml:space="preserve"> </w:t>
      </w:r>
      <w:r w:rsidRPr="00F54DA5">
        <w:rPr>
          <w:rFonts w:cs="Arial"/>
        </w:rPr>
        <w:t xml:space="preserve">LAP-GG. Fibres extruded from a 250 µm nozzle were deposited in coloured agarose. A stereo and </w:t>
      </w:r>
      <w:r w:rsidR="00685508" w:rsidRPr="00F54DA5">
        <w:rPr>
          <w:rFonts w:cs="Arial"/>
        </w:rPr>
        <w:t>an inverted (Zeiss Axiovert 200) microscope</w:t>
      </w:r>
      <w:r w:rsidRPr="00F54DA5">
        <w:rPr>
          <w:rFonts w:cs="Arial"/>
        </w:rPr>
        <w:t xml:space="preserve"> were used to image the printed structures and evaluate penetration by sectioning of the strands at the extremity and in a median portion </w:t>
      </w:r>
      <w:r w:rsidR="00D47B42">
        <w:rPr>
          <w:rFonts w:cs="Arial"/>
        </w:rPr>
        <w:t>of the construct</w:t>
      </w:r>
      <w:r w:rsidRPr="00F54DA5">
        <w:rPr>
          <w:rFonts w:cs="Arial"/>
        </w:rPr>
        <w:t xml:space="preserve">. </w:t>
      </w:r>
    </w:p>
    <w:p w14:paraId="276DE55F" w14:textId="77777777" w:rsidR="00A864BA" w:rsidRPr="00F54DA5" w:rsidRDefault="00A864BA" w:rsidP="00D9695A">
      <w:pPr>
        <w:spacing w:line="360" w:lineRule="auto"/>
        <w:jc w:val="both"/>
      </w:pPr>
    </w:p>
    <w:p w14:paraId="3E054793" w14:textId="1C0E510C" w:rsidR="00A864BA" w:rsidRPr="00F54DA5" w:rsidRDefault="00126CD4" w:rsidP="00D9695A">
      <w:pPr>
        <w:pStyle w:val="Heading3"/>
        <w:numPr>
          <w:ilvl w:val="0"/>
          <w:numId w:val="0"/>
        </w:numPr>
        <w:spacing w:before="360" w:after="240"/>
        <w:jc w:val="both"/>
      </w:pPr>
      <w:bookmarkStart w:id="24" w:name="_Toc529724929"/>
      <w:r>
        <w:lastRenderedPageBreak/>
        <w:t xml:space="preserve">2.12 </w:t>
      </w:r>
      <w:r w:rsidR="00A864BA" w:rsidRPr="00F54DA5">
        <w:t>CAM assay</w:t>
      </w:r>
      <w:bookmarkEnd w:id="24"/>
    </w:p>
    <w:p w14:paraId="7E7B4B47" w14:textId="5D2E8488" w:rsidR="00A864BA" w:rsidRPr="00F54DA5" w:rsidRDefault="000D23AD" w:rsidP="00D9695A">
      <w:pPr>
        <w:shd w:val="clear" w:color="auto" w:fill="FFFFFF" w:themeFill="background1"/>
        <w:spacing w:line="360" w:lineRule="auto"/>
        <w:ind w:firstLine="567"/>
        <w:jc w:val="both"/>
        <w:rPr>
          <w:iCs/>
          <w:szCs w:val="24"/>
        </w:rPr>
      </w:pPr>
      <w:r>
        <w:rPr>
          <w:iCs/>
          <w:szCs w:val="24"/>
        </w:rPr>
        <w:t>Prior to implantation, s</w:t>
      </w:r>
      <w:r w:rsidR="00A864BA" w:rsidRPr="00F54DA5">
        <w:rPr>
          <w:iCs/>
          <w:szCs w:val="24"/>
        </w:rPr>
        <w:t xml:space="preserve">caffolds were printed using sterile LAP-GG and GG bioinks. </w:t>
      </w:r>
      <w:r w:rsidR="005E66D8" w:rsidRPr="00F54DA5">
        <w:rPr>
          <w:iCs/>
          <w:szCs w:val="24"/>
        </w:rPr>
        <w:t xml:space="preserve">Recombinant human vascular endothelial growth factor </w:t>
      </w:r>
      <w:r w:rsidR="00A864BA" w:rsidRPr="00F54DA5">
        <w:rPr>
          <w:iCs/>
          <w:szCs w:val="24"/>
        </w:rPr>
        <w:t xml:space="preserve">(VEGF 165, PeproTech USA) was solubilised at 100 </w:t>
      </w:r>
      <w:r w:rsidR="00A864BA" w:rsidRPr="00F54DA5">
        <w:rPr>
          <w:rFonts w:cs="Arial"/>
          <w:iCs/>
          <w:szCs w:val="24"/>
        </w:rPr>
        <w:t>µ</w:t>
      </w:r>
      <w:r w:rsidR="00A864BA" w:rsidRPr="00F54DA5">
        <w:rPr>
          <w:iCs/>
          <w:szCs w:val="24"/>
        </w:rPr>
        <w:t>g ml</w:t>
      </w:r>
      <w:r w:rsidR="00A864BA" w:rsidRPr="00F54DA5">
        <w:rPr>
          <w:iCs/>
          <w:szCs w:val="24"/>
          <w:vertAlign w:val="superscript"/>
        </w:rPr>
        <w:t>-1</w:t>
      </w:r>
      <w:r w:rsidR="00A864BA" w:rsidRPr="00F54DA5">
        <w:rPr>
          <w:iCs/>
          <w:szCs w:val="24"/>
        </w:rPr>
        <w:t xml:space="preserve"> in a solution of 0.5 % w/v agarose fluid gel. Printing was performed by depositing a 20-layer high bulk cylinder of 10 mm in diameter</w:t>
      </w:r>
      <w:r w:rsidR="005E66D8" w:rsidRPr="00F54DA5">
        <w:rPr>
          <w:iCs/>
          <w:szCs w:val="24"/>
        </w:rPr>
        <w:t xml:space="preserve"> into VEGF absorbed agarose support bath</w:t>
      </w:r>
      <w:r w:rsidR="00A864BA" w:rsidRPr="00F54DA5">
        <w:rPr>
          <w:iCs/>
          <w:szCs w:val="24"/>
        </w:rPr>
        <w:t>. A total of n=8 scaffolds were fabricated with</w:t>
      </w:r>
      <w:r>
        <w:rPr>
          <w:iCs/>
          <w:szCs w:val="24"/>
        </w:rPr>
        <w:t xml:space="preserve"> either</w:t>
      </w:r>
      <w:r w:rsidR="00A864BA" w:rsidRPr="00F54DA5">
        <w:rPr>
          <w:iCs/>
          <w:szCs w:val="24"/>
        </w:rPr>
        <w:t xml:space="preserve"> LAP-GG or </w:t>
      </w:r>
      <w:r w:rsidR="0065058E" w:rsidRPr="00F54DA5">
        <w:rPr>
          <w:iCs/>
          <w:szCs w:val="24"/>
        </w:rPr>
        <w:t xml:space="preserve">GG </w:t>
      </w:r>
      <w:r w:rsidR="0065058E">
        <w:rPr>
          <w:iCs/>
          <w:szCs w:val="24"/>
        </w:rPr>
        <w:t>alone</w:t>
      </w:r>
      <w:r>
        <w:rPr>
          <w:iCs/>
          <w:szCs w:val="24"/>
        </w:rPr>
        <w:t xml:space="preserve"> </w:t>
      </w:r>
      <w:r w:rsidR="00A864BA" w:rsidRPr="00F54DA5">
        <w:rPr>
          <w:iCs/>
          <w:szCs w:val="24"/>
        </w:rPr>
        <w:t xml:space="preserve">for VEGF absorption. </w:t>
      </w:r>
      <w:r w:rsidRPr="00F54DA5">
        <w:t>VEGF was absorbed at 100 µg ml</w:t>
      </w:r>
      <w:r w:rsidRPr="00F54DA5">
        <w:rPr>
          <w:vertAlign w:val="superscript"/>
        </w:rPr>
        <w:t>-1</w:t>
      </w:r>
      <w:r w:rsidRPr="00F54DA5">
        <w:t xml:space="preserve"> onto 3D casted discs. </w:t>
      </w:r>
      <w:r w:rsidR="00A864BA" w:rsidRPr="00F54DA5">
        <w:rPr>
          <w:iCs/>
          <w:szCs w:val="24"/>
        </w:rPr>
        <w:t xml:space="preserve">A remaining n=8 constructs were printed with </w:t>
      </w:r>
      <w:r>
        <w:rPr>
          <w:iCs/>
          <w:szCs w:val="24"/>
        </w:rPr>
        <w:t xml:space="preserve">either </w:t>
      </w:r>
      <w:r w:rsidR="00A864BA" w:rsidRPr="00F54DA5">
        <w:rPr>
          <w:iCs/>
          <w:szCs w:val="24"/>
        </w:rPr>
        <w:t>LAP-GG or GG</w:t>
      </w:r>
      <w:r>
        <w:rPr>
          <w:iCs/>
          <w:szCs w:val="24"/>
        </w:rPr>
        <w:t xml:space="preserve"> alone</w:t>
      </w:r>
      <w:r w:rsidR="00A864BA" w:rsidRPr="00F54DA5">
        <w:rPr>
          <w:iCs/>
          <w:szCs w:val="24"/>
        </w:rPr>
        <w:t xml:space="preserve"> in VEGF-free agarose. Crosslinking of scaffolds (10 min exposure to 1 M CaCl</w:t>
      </w:r>
      <w:r w:rsidR="00A864BA" w:rsidRPr="00F54DA5">
        <w:rPr>
          <w:iCs/>
          <w:szCs w:val="24"/>
          <w:vertAlign w:val="subscript"/>
        </w:rPr>
        <w:t>2</w:t>
      </w:r>
      <w:r w:rsidR="00A864BA" w:rsidRPr="00F54DA5">
        <w:rPr>
          <w:iCs/>
          <w:szCs w:val="24"/>
        </w:rPr>
        <w:t xml:space="preserve"> solution) was carried out after 15 min. Both printed GG and LAP-GG cylinders were mainta</w:t>
      </w:r>
      <w:r w:rsidR="005E66D8" w:rsidRPr="00F54DA5">
        <w:rPr>
          <w:iCs/>
          <w:szCs w:val="24"/>
        </w:rPr>
        <w:t>ined in agarose loaded with VEGF</w:t>
      </w:r>
      <w:r w:rsidR="00A864BA" w:rsidRPr="00F54DA5">
        <w:rPr>
          <w:iCs/>
          <w:szCs w:val="24"/>
        </w:rPr>
        <w:t xml:space="preserve"> for 30 min prior to collection and a single wash with HBSS</w:t>
      </w:r>
      <w:r w:rsidR="00397D37">
        <w:rPr>
          <w:iCs/>
          <w:szCs w:val="24"/>
        </w:rPr>
        <w:t xml:space="preserve"> before implantation on the CAM.</w:t>
      </w:r>
      <w:r w:rsidR="00A864BA" w:rsidRPr="00F54DA5">
        <w:rPr>
          <w:iCs/>
          <w:szCs w:val="24"/>
        </w:rPr>
        <w:t xml:space="preserve"> </w:t>
      </w:r>
    </w:p>
    <w:p w14:paraId="264D5141" w14:textId="4013E9C3" w:rsidR="00A864BA" w:rsidRDefault="00615BE4" w:rsidP="005E66D8">
      <w:pPr>
        <w:spacing w:line="360" w:lineRule="auto"/>
        <w:ind w:firstLine="720"/>
        <w:jc w:val="both"/>
      </w:pPr>
      <w:r w:rsidRPr="00F54DA5">
        <w:t xml:space="preserve">Animal procedures were </w:t>
      </w:r>
      <w:r w:rsidR="00397D37">
        <w:t xml:space="preserve">undertaken </w:t>
      </w:r>
      <w:r w:rsidRPr="00F54DA5">
        <w:t xml:space="preserve">in accordance with the guidelines and regulations of the Animals Act 1986, UK. </w:t>
      </w:r>
      <w:r w:rsidR="00397D37">
        <w:t>The chick c</w:t>
      </w:r>
      <w:r w:rsidRPr="00F54DA5">
        <w:t xml:space="preserve">horioallantoic membrane </w:t>
      </w:r>
      <w:r w:rsidR="00397D37">
        <w:t xml:space="preserve">(CAM) model assay was </w:t>
      </w:r>
      <w:r w:rsidRPr="00F54DA5">
        <w:t xml:space="preserve">conducted under Home Office Approval UK (Project licence – PPL </w:t>
      </w:r>
      <w:r w:rsidR="007B0573">
        <w:t>P3E01C456</w:t>
      </w:r>
      <w:r w:rsidRPr="00F54DA5">
        <w:t>). Chicken eggs were incubated in a Hatchmaster incubator (Brinsea, UK) for 10 days at 37°C in a 60</w:t>
      </w:r>
      <w:r w:rsidR="005E66D8" w:rsidRPr="00F54DA5">
        <w:t xml:space="preserve"> </w:t>
      </w:r>
      <w:r w:rsidRPr="00F54DA5">
        <w:t>% humidified atmosphere and 1 hour rotation. After 10 days post-fe</w:t>
      </w:r>
      <w:r w:rsidR="00397D37">
        <w:t>rtilisation, a</w:t>
      </w:r>
      <w:r w:rsidRPr="00F54DA5">
        <w:t xml:space="preserve"> 2 cm</w:t>
      </w:r>
      <w:r w:rsidRPr="00F54DA5">
        <w:rPr>
          <w:vertAlign w:val="superscript"/>
        </w:rPr>
        <w:t>2</w:t>
      </w:r>
      <w:r w:rsidRPr="00F54DA5">
        <w:t xml:space="preserve"> window </w:t>
      </w:r>
      <w:r w:rsidR="00397D37">
        <w:t xml:space="preserve">was created </w:t>
      </w:r>
      <w:r w:rsidRPr="00F54DA5">
        <w:t>on the eggshell</w:t>
      </w:r>
      <w:r w:rsidR="00397D37">
        <w:t xml:space="preserve"> using a scalpel blade</w:t>
      </w:r>
      <w:r w:rsidRPr="00F54DA5">
        <w:t xml:space="preserve">. </w:t>
      </w:r>
      <w:r w:rsidR="000D23AD">
        <w:t>Individual t</w:t>
      </w:r>
      <w:r w:rsidRPr="00F54DA5">
        <w:t xml:space="preserve">hree-dimensional scaffolds (n = 10) were inserted </w:t>
      </w:r>
      <w:r w:rsidR="000D23AD">
        <w:t>upon</w:t>
      </w:r>
      <w:r w:rsidRPr="00F54DA5">
        <w:t xml:space="preserve"> </w:t>
      </w:r>
      <w:r w:rsidR="00397D37">
        <w:t>the CAM</w:t>
      </w:r>
      <w:r w:rsidRPr="00F54DA5">
        <w:t xml:space="preserve">. </w:t>
      </w:r>
      <w:r w:rsidR="00397D37">
        <w:t>The e</w:t>
      </w:r>
      <w:r w:rsidRPr="00F54DA5">
        <w:t xml:space="preserve">ggs were sealed with sterile parafilm and incubated without rotation. </w:t>
      </w:r>
      <w:r w:rsidR="000D23AD">
        <w:t>C</w:t>
      </w:r>
      <w:r w:rsidRPr="00F54DA5">
        <w:t>hick embryos</w:t>
      </w:r>
      <w:r w:rsidR="000D23AD">
        <w:t xml:space="preserve"> were inspected daily</w:t>
      </w:r>
      <w:r w:rsidR="00114598">
        <w:t xml:space="preserve"> </w:t>
      </w:r>
      <w:r w:rsidR="000D23AD">
        <w:t>for</w:t>
      </w:r>
      <w:r w:rsidR="00397D37">
        <w:t xml:space="preserve"> growth and viability</w:t>
      </w:r>
      <w:r w:rsidR="000D23AD">
        <w:t xml:space="preserve"> by candling</w:t>
      </w:r>
      <w:r w:rsidR="00397D37">
        <w:t>.</w:t>
      </w:r>
      <w:r w:rsidRPr="00F54DA5">
        <w:t xml:space="preserve"> After 7 days of incubation, 3D samples were harvested and CAM integration inspected </w:t>
      </w:r>
      <w:r w:rsidR="00397D37">
        <w:t xml:space="preserve">using a </w:t>
      </w:r>
      <w:r w:rsidRPr="00F54DA5">
        <w:t xml:space="preserve">stereomicroscope </w:t>
      </w:r>
      <w:r w:rsidR="00397D37">
        <w:t xml:space="preserve">fitted </w:t>
      </w:r>
      <w:r w:rsidRPr="00F54DA5">
        <w:t>with digital camera (Canon Powershot G2).</w:t>
      </w:r>
      <w:r w:rsidR="002B0953">
        <w:t xml:space="preserve"> Chalkley score (overlap morphometry) was carried out as previously described </w:t>
      </w:r>
      <w:r w:rsidR="002B0953">
        <w:rPr>
          <w:rStyle w:val="FootnoteReference"/>
        </w:rPr>
        <w:fldChar w:fldCharType="begin" w:fldLock="1"/>
      </w:r>
      <w:r w:rsidR="00940D86">
        <w:instrText>ADDIN CSL_CITATION {"citationItems":[{"id":"ITEM-1","itemData":{"DOI":"10.1039/c8tb00474a","ISSN":"2050750X","abstract":"The combination of supportive biomaterials and bioactive factors to stimulate endogenous progenitor cells is of key interest for the treatment of conditions in which intrinsic bone healing capacities are compromised. The combination of supportive biomaterials and bioactive factors to stimulate endogenous progenitor cells is of key interest for the treatment of conditions in which intrinsic bone healing capacities are compromised. To address this need a “scaffold-decoration platform” was developed in which a biocompatible, biotin-functionalised 3D structural polymer network was generated through a solvent blending process, and used to recruit avidin modified nanoparticles within its 3D structure through biotin–avidin conjugation. This was enabled via the generation of a suite of poly(lactic- co -glycolic acid) (PLGA) nanoparticles, encapsulating two bioactive factors, vascular endothelial growth factor (VEGF) and l -ascorbic acid 2-phosphate (AA2P) and conjugated to streptavidin to allow attachment to the bone generating scaffold. The levels of encapsulated and released VEGF and AA2P were tailored to fall within the desired range to promote biological activity as confirmed by an increase in endothelial cell tubule formation and collagen production by osteoblast cells in response to nanoparticle release of VEGF and AA2P, respectively. The release of VEGF from the scaffolds produced a significant effect on vasculature development within the chick chorioallantoic membrane (CAM) angiogenic assay. Similarly, the scaffolds showed strong biological effects in ex vivo assays indicating the potential of this platform for localised delivery of bioactive molecules with applications in both hard and soft tissue engineering. ","author":[{"dropping-particle":"","family":"Czekanska","given":"Ewa M.","non-dropping-particle":"","parse-names":false,"suffix":""},{"dropping-particle":"","family":"Geng","given":"Jin","non-dropping-particle":"","parse-names":false,"suffix":""},{"dropping-particle":"","family":"Glinka","given":"Michael","non-dropping-particle":"","parse-names":false,"suffix":""},{"dropping-particle":"","family":"White","given":"Kate","non-dropping-particle":"","parse-names":false,"suffix":""},{"dropping-particle":"","family":"Kanczler","given":"Janos","non-dropping-particle":"","parse-names":false,"suffix":""},{"dropping-particle":"","family":"Evans","given":"Nicholas D.","non-dropping-particle":"","parse-names":false,"suffix":""},{"dropping-particle":"","family":"Oreffo","given":"Richard O.C.","non-dropping-particle":"","parse-names":false,"suffix":""},{"dropping-particle":"","family":"Bradley","given":"Mark","non-dropping-particle":"","parse-names":false,"suffix":""}],"container-title":"Journal of Materials Chemistry B","id":"ITEM-1","issue":"27","issued":{"date-parts":[["2018"]]},"page":"4437-4445","publisher":"Royal Society of Chemistry","title":"Combinatorial delivery of bioactive molecules by a nanoparticle-decorated and functionalized biodegradable scaffold","type":"article-journal","volume":"6"},"uris":["http://www.mendeley.com/documents/?uuid=fd0da5ac-c752-405e-b733-73e17a0e861e"]}],"mendeley":{"formattedCitation":"[28]","plainTextFormattedCitation":"[28]","previouslyFormattedCitation":"[28]"},"properties":{"noteIndex":0},"schema":"https://github.com/citation-style-language/schema/raw/master/csl-citation.json"}</w:instrText>
      </w:r>
      <w:r w:rsidR="002B0953">
        <w:rPr>
          <w:rStyle w:val="FootnoteReference"/>
        </w:rPr>
        <w:fldChar w:fldCharType="separate"/>
      </w:r>
      <w:r w:rsidR="002B0953" w:rsidRPr="002B0953">
        <w:rPr>
          <w:noProof/>
        </w:rPr>
        <w:t>[28]</w:t>
      </w:r>
      <w:r w:rsidR="002B0953">
        <w:rPr>
          <w:rStyle w:val="FootnoteReference"/>
        </w:rPr>
        <w:fldChar w:fldCharType="end"/>
      </w:r>
      <w:r w:rsidR="002B0953">
        <w:t xml:space="preserve">. Briefly, integrated samples were assessed by </w:t>
      </w:r>
      <w:r w:rsidR="00366721">
        <w:t xml:space="preserve">matching the </w:t>
      </w:r>
      <w:r w:rsidR="002B0953">
        <w:t xml:space="preserve">Chalkley graticule and the vasculature of the CAM </w:t>
      </w:r>
      <w:r w:rsidR="00366721">
        <w:t xml:space="preserve">in correspondence of the </w:t>
      </w:r>
      <w:r w:rsidR="00114598">
        <w:t>implant</w:t>
      </w:r>
      <w:r w:rsidR="00366721">
        <w:t xml:space="preserve"> area. The score was</w:t>
      </w:r>
      <w:r w:rsidR="002B0953">
        <w:t xml:space="preserve"> quantified by counting the collision points of the dotted graticule and the vasculature</w:t>
      </w:r>
      <w:r w:rsidR="00366721">
        <w:t xml:space="preserve"> in proximity of the implanted scaffold</w:t>
      </w:r>
      <w:r w:rsidR="00114598">
        <w:t>s</w:t>
      </w:r>
      <w:r w:rsidR="002B0953">
        <w:t xml:space="preserve">. </w:t>
      </w:r>
    </w:p>
    <w:p w14:paraId="56FBC0D2" w14:textId="77777777" w:rsidR="00E273E5" w:rsidRPr="00F54DA5" w:rsidRDefault="00E273E5" w:rsidP="005E66D8">
      <w:pPr>
        <w:spacing w:line="360" w:lineRule="auto"/>
        <w:ind w:firstLine="720"/>
        <w:jc w:val="both"/>
      </w:pPr>
    </w:p>
    <w:p w14:paraId="4362A7CB" w14:textId="5269B3E6" w:rsidR="00A864BA" w:rsidRPr="00F54DA5" w:rsidRDefault="00126CD4" w:rsidP="00D9695A">
      <w:pPr>
        <w:pStyle w:val="Heading3"/>
        <w:numPr>
          <w:ilvl w:val="0"/>
          <w:numId w:val="0"/>
        </w:numPr>
        <w:spacing w:before="360" w:after="240"/>
        <w:jc w:val="both"/>
      </w:pPr>
      <w:bookmarkStart w:id="25" w:name="_Toc529724933"/>
      <w:r>
        <w:lastRenderedPageBreak/>
        <w:t xml:space="preserve">2.13 </w:t>
      </w:r>
      <w:r w:rsidR="00A864BA" w:rsidRPr="00F54DA5">
        <w:t>Statistical analysis</w:t>
      </w:r>
      <w:bookmarkEnd w:id="25"/>
    </w:p>
    <w:p w14:paraId="4958EDA0" w14:textId="1400B569" w:rsidR="00C80625" w:rsidRPr="00F54DA5" w:rsidRDefault="00C80625" w:rsidP="00D9695A">
      <w:pPr>
        <w:spacing w:line="360" w:lineRule="auto"/>
        <w:ind w:firstLine="567"/>
        <w:jc w:val="both"/>
      </w:pPr>
      <w:r w:rsidRPr="00F54DA5">
        <w:rPr>
          <w:rFonts w:cs="Arial"/>
          <w:color w:val="000000" w:themeColor="text1"/>
        </w:rPr>
        <w:t>GraphPad Prism 7 (Graph Pad Software Inc., La Jolla, CA)</w:t>
      </w:r>
      <w:r w:rsidR="005E66D8" w:rsidRPr="00F54DA5">
        <w:rPr>
          <w:rFonts w:cs="Arial"/>
          <w:color w:val="000000" w:themeColor="text1"/>
        </w:rPr>
        <w:t xml:space="preserve"> was employed for statistical analysis</w:t>
      </w:r>
      <w:r w:rsidRPr="00F54DA5">
        <w:rPr>
          <w:rFonts w:cs="Arial"/>
          <w:color w:val="000000" w:themeColor="text1"/>
        </w:rPr>
        <w:t>. D’Agostino-Pearson normality test</w:t>
      </w:r>
      <w:r w:rsidR="005E66D8" w:rsidRPr="00F54DA5">
        <w:rPr>
          <w:rFonts w:cs="Arial"/>
          <w:color w:val="000000" w:themeColor="text1"/>
        </w:rPr>
        <w:t xml:space="preserve"> was employed to assess the differences in the data</w:t>
      </w:r>
      <w:r w:rsidRPr="00F54DA5">
        <w:rPr>
          <w:rFonts w:cs="Arial"/>
          <w:color w:val="000000" w:themeColor="text1"/>
        </w:rPr>
        <w:t>. Non-significant differences were defined as p&gt;0.05</w:t>
      </w:r>
      <w:r w:rsidR="005E66D8" w:rsidRPr="00F54DA5">
        <w:rPr>
          <w:rFonts w:cs="Arial"/>
          <w:color w:val="000000" w:themeColor="text1"/>
        </w:rPr>
        <w:t xml:space="preserve">. </w:t>
      </w:r>
      <w:r w:rsidRPr="00F54DA5">
        <w:rPr>
          <w:rFonts w:cs="Arial"/>
          <w:color w:val="000000" w:themeColor="text1"/>
        </w:rPr>
        <w:t xml:space="preserve">When multiple comparison tests were performed for data analysed using one-way and two-way ANOVA, a correction using Sidak or Tukey testing was carried out.  </w:t>
      </w:r>
    </w:p>
    <w:p w14:paraId="39C118CC" w14:textId="77777777" w:rsidR="00A864BA" w:rsidRPr="00F54DA5" w:rsidRDefault="00A864BA" w:rsidP="00D9695A">
      <w:pPr>
        <w:spacing w:line="360" w:lineRule="auto"/>
        <w:jc w:val="both"/>
      </w:pPr>
    </w:p>
    <w:p w14:paraId="3FE12260" w14:textId="3FABE2E6" w:rsidR="00A864BA" w:rsidRDefault="00A864BA" w:rsidP="00D9695A">
      <w:pPr>
        <w:spacing w:line="360" w:lineRule="auto"/>
        <w:jc w:val="both"/>
      </w:pPr>
    </w:p>
    <w:p w14:paraId="402C78E2" w14:textId="05263C17" w:rsidR="00F65C8C" w:rsidRDefault="00F65C8C" w:rsidP="00D9695A">
      <w:pPr>
        <w:spacing w:line="360" w:lineRule="auto"/>
        <w:jc w:val="both"/>
      </w:pPr>
    </w:p>
    <w:p w14:paraId="26DBE47F" w14:textId="5CD9A112" w:rsidR="00F65C8C" w:rsidRDefault="00F65C8C" w:rsidP="00D9695A">
      <w:pPr>
        <w:spacing w:line="360" w:lineRule="auto"/>
        <w:jc w:val="both"/>
      </w:pPr>
    </w:p>
    <w:p w14:paraId="24050D93" w14:textId="70E698AA" w:rsidR="00F65C8C" w:rsidRDefault="00F65C8C" w:rsidP="00D9695A">
      <w:pPr>
        <w:spacing w:line="360" w:lineRule="auto"/>
        <w:jc w:val="both"/>
      </w:pPr>
    </w:p>
    <w:p w14:paraId="597BB0E9" w14:textId="793EBDEC" w:rsidR="00F65C8C" w:rsidRDefault="00F65C8C" w:rsidP="00D9695A">
      <w:pPr>
        <w:spacing w:line="360" w:lineRule="auto"/>
        <w:jc w:val="both"/>
      </w:pPr>
    </w:p>
    <w:p w14:paraId="7708FA6C" w14:textId="77777777" w:rsidR="00F65C8C" w:rsidRPr="00F54DA5" w:rsidRDefault="00F65C8C" w:rsidP="00D9695A">
      <w:pPr>
        <w:spacing w:line="360" w:lineRule="auto"/>
        <w:jc w:val="both"/>
      </w:pPr>
    </w:p>
    <w:p w14:paraId="3AF095AA" w14:textId="7CB72C46" w:rsidR="00A864BA" w:rsidRDefault="00A864BA" w:rsidP="00D9695A">
      <w:pPr>
        <w:spacing w:line="360" w:lineRule="auto"/>
        <w:jc w:val="both"/>
      </w:pPr>
    </w:p>
    <w:p w14:paraId="56C0FD55" w14:textId="3965D316" w:rsidR="00A864BA" w:rsidRPr="00F54DA5" w:rsidRDefault="00A864BA" w:rsidP="00CC404C">
      <w:pPr>
        <w:pStyle w:val="Heading2"/>
        <w:numPr>
          <w:ilvl w:val="0"/>
          <w:numId w:val="40"/>
        </w:numPr>
        <w:spacing w:before="360" w:after="240"/>
        <w:ind w:left="426" w:hanging="426"/>
        <w:jc w:val="both"/>
      </w:pPr>
      <w:bookmarkStart w:id="26" w:name="_Toc529724934"/>
      <w:r w:rsidRPr="00F54DA5">
        <w:t>Results</w:t>
      </w:r>
      <w:bookmarkEnd w:id="26"/>
    </w:p>
    <w:p w14:paraId="44C37A19" w14:textId="0B458F9E" w:rsidR="00A864BA" w:rsidRPr="00F54DA5" w:rsidRDefault="00126CD4" w:rsidP="00D9695A">
      <w:pPr>
        <w:pStyle w:val="Heading3"/>
        <w:numPr>
          <w:ilvl w:val="0"/>
          <w:numId w:val="0"/>
        </w:numPr>
        <w:spacing w:before="360" w:after="240"/>
        <w:jc w:val="both"/>
      </w:pPr>
      <w:bookmarkStart w:id="27" w:name="_Toc529724935"/>
      <w:r>
        <w:t xml:space="preserve">3.1 </w:t>
      </w:r>
      <w:r w:rsidR="00A864BA" w:rsidRPr="00F54DA5">
        <w:t xml:space="preserve">Physical characterisation of </w:t>
      </w:r>
      <w:r w:rsidR="00D87303">
        <w:t>Laponite</w:t>
      </w:r>
      <w:r w:rsidR="005748BB" w:rsidRPr="00F54DA5">
        <w:t>-gellan gum</w:t>
      </w:r>
      <w:r w:rsidR="00A864BA" w:rsidRPr="00F54DA5">
        <w:t xml:space="preserve"> nanocomposite</w:t>
      </w:r>
      <w:bookmarkEnd w:id="27"/>
    </w:p>
    <w:p w14:paraId="35FEDEBF" w14:textId="697F5119" w:rsidR="00114598" w:rsidRDefault="00A864BA" w:rsidP="00C24DD6">
      <w:pPr>
        <w:spacing w:after="0" w:line="360" w:lineRule="auto"/>
        <w:ind w:firstLine="720"/>
        <w:jc w:val="both"/>
      </w:pPr>
      <w:r w:rsidRPr="00F54DA5">
        <w:t xml:space="preserve">To </w:t>
      </w:r>
      <w:r w:rsidR="005B3EDE">
        <w:t xml:space="preserve">determine the </w:t>
      </w:r>
      <w:r w:rsidRPr="00F54DA5">
        <w:t xml:space="preserve">ability of </w:t>
      </w:r>
      <w:r w:rsidR="005B3EDE">
        <w:t xml:space="preserve">the LAP-GG </w:t>
      </w:r>
      <w:r w:rsidRPr="00F54DA5">
        <w:t>nanosilicate-modified hydrogels to withstand swelling forces, the physical properties of cast gels were investigated</w:t>
      </w:r>
      <w:r w:rsidR="005B3EDE">
        <w:t xml:space="preserve"> for </w:t>
      </w:r>
      <w:r w:rsidR="001523B2">
        <w:t>s</w:t>
      </w:r>
      <w:r w:rsidRPr="00F54DA5">
        <w:t xml:space="preserve">ol fraction content (Figure </w:t>
      </w:r>
      <w:r w:rsidR="00B055EA" w:rsidRPr="00F54DA5">
        <w:t>1</w:t>
      </w:r>
      <w:r w:rsidRPr="00F54DA5">
        <w:t xml:space="preserve">a) and mass swelling ratio (Figure </w:t>
      </w:r>
      <w:r w:rsidR="00B055EA" w:rsidRPr="00F54DA5">
        <w:t>1</w:t>
      </w:r>
      <w:r w:rsidRPr="00F54DA5">
        <w:t>b). PBS and HBSS were used</w:t>
      </w:r>
      <w:r w:rsidR="005B3EDE">
        <w:t xml:space="preserve"> </w:t>
      </w:r>
      <w:r w:rsidRPr="00F54DA5">
        <w:t xml:space="preserve">to test the LAP-GG physical characteristics depending on the ionic content. A series of formulations were tested by </w:t>
      </w:r>
      <w:r w:rsidR="00385997">
        <w:t>varying</w:t>
      </w:r>
      <w:r w:rsidR="00385997" w:rsidRPr="00F54DA5">
        <w:t xml:space="preserve"> </w:t>
      </w:r>
      <w:r w:rsidRPr="00F54DA5">
        <w:t xml:space="preserve">GG between 1 % and 2 % w/v, </w:t>
      </w:r>
      <w:r w:rsidR="00AD210F" w:rsidRPr="00F54DA5">
        <w:t>and LAP</w:t>
      </w:r>
      <w:r w:rsidRPr="00F54DA5">
        <w:t xml:space="preserve"> </w:t>
      </w:r>
      <w:r w:rsidR="00385997">
        <w:t>between</w:t>
      </w:r>
      <w:r w:rsidR="00385997" w:rsidRPr="00F54DA5">
        <w:t xml:space="preserve"> </w:t>
      </w:r>
      <w:r w:rsidRPr="00F54DA5">
        <w:t xml:space="preserve">0.5 </w:t>
      </w:r>
      <w:r w:rsidR="009E5C4F">
        <w:t xml:space="preserve">% </w:t>
      </w:r>
      <w:r w:rsidRPr="00F54DA5">
        <w:t>and 1 % w/</w:t>
      </w:r>
      <w:r w:rsidR="00C06022" w:rsidRPr="00F54DA5">
        <w:t xml:space="preserve">v. </w:t>
      </w:r>
    </w:p>
    <w:p w14:paraId="5712FAFC" w14:textId="5C4AF515" w:rsidR="009875D3" w:rsidRPr="00F54DA5" w:rsidRDefault="001805FF" w:rsidP="009E5C4F">
      <w:pPr>
        <w:spacing w:after="0" w:line="360" w:lineRule="auto"/>
        <w:jc w:val="both"/>
      </w:pPr>
      <w:r>
        <w:t>T</w:t>
      </w:r>
      <w:r w:rsidR="00AE37FD">
        <w:t xml:space="preserve">he </w:t>
      </w:r>
      <w:r w:rsidR="00A864BA" w:rsidRPr="00F54DA5">
        <w:t>sol fraction</w:t>
      </w:r>
      <w:r w:rsidR="00AE37FD">
        <w:t>s of GG and LAP-GG samples</w:t>
      </w:r>
      <w:r w:rsidR="00C05432">
        <w:t xml:space="preserve"> immersed</w:t>
      </w:r>
      <w:r w:rsidR="00D02892">
        <w:t xml:space="preserve"> </w:t>
      </w:r>
      <w:r w:rsidR="00AE37FD">
        <w:t>in PBS</w:t>
      </w:r>
      <w:r w:rsidR="00C05432">
        <w:t xml:space="preserve"> and HBSS</w:t>
      </w:r>
      <w:r w:rsidR="00AE37FD">
        <w:t xml:space="preserve"> were not significantly different</w:t>
      </w:r>
      <w:r w:rsidR="00A864BA" w:rsidRPr="00F54DA5">
        <w:t xml:space="preserve"> (Figure </w:t>
      </w:r>
      <w:r w:rsidR="00B055EA" w:rsidRPr="00F54DA5">
        <w:t>1</w:t>
      </w:r>
      <w:r w:rsidR="00A864BA" w:rsidRPr="00F54DA5">
        <w:t>a)</w:t>
      </w:r>
      <w:r w:rsidR="00C05432">
        <w:t>. However, a</w:t>
      </w:r>
      <w:r w:rsidR="00A864BA" w:rsidRPr="00F54DA5">
        <w:t xml:space="preserve"> significant increase in sol fraction</w:t>
      </w:r>
      <w:r w:rsidR="00385997">
        <w:t xml:space="preserve"> was observed</w:t>
      </w:r>
      <w:r w:rsidR="00A864BA" w:rsidRPr="00F54DA5">
        <w:t xml:space="preserve"> when L0.5G1 (p&lt;0.01), L1G1 (p&lt;0.01), G2 (p&lt;0.001) and L1G2 (p&lt;0.0001) were immersed in PBS compared to HBSS. The mass swelling ratio (Figure </w:t>
      </w:r>
      <w:r w:rsidR="00B055EA" w:rsidRPr="00F54DA5">
        <w:t>1</w:t>
      </w:r>
      <w:r w:rsidR="00A864BA" w:rsidRPr="00F54DA5">
        <w:t>b) in PBS was found to increase with the addition of L</w:t>
      </w:r>
      <w:r w:rsidR="005B3EDE">
        <w:t>AP</w:t>
      </w:r>
      <w:r w:rsidR="00A864BA" w:rsidRPr="00F54DA5">
        <w:t xml:space="preserve"> to gellan gum</w:t>
      </w:r>
      <w:r w:rsidR="00AE37FD">
        <w:t xml:space="preserve">. </w:t>
      </w:r>
      <w:r w:rsidR="005B3EDE">
        <w:t>In particular</w:t>
      </w:r>
      <w:r w:rsidR="00A864BA" w:rsidRPr="00F54DA5">
        <w:t xml:space="preserve">, L1G1 </w:t>
      </w:r>
      <w:r w:rsidR="005B3EDE">
        <w:t xml:space="preserve">displayed a </w:t>
      </w:r>
      <w:r w:rsidR="002F77DE" w:rsidRPr="00F54DA5">
        <w:t xml:space="preserve">significantly </w:t>
      </w:r>
      <w:r w:rsidR="002F77DE" w:rsidRPr="00F54DA5">
        <w:lastRenderedPageBreak/>
        <w:t>greater swelling percentage</w:t>
      </w:r>
      <w:r w:rsidR="00A864BA" w:rsidRPr="00F54DA5">
        <w:t xml:space="preserve"> (p&lt;0.05) </w:t>
      </w:r>
      <w:r w:rsidR="002F77DE" w:rsidRPr="00F54DA5">
        <w:t>compared to</w:t>
      </w:r>
      <w:r w:rsidR="00A864BA" w:rsidRPr="00F54DA5">
        <w:t xml:space="preserve"> L0.5G2 and L1G2. Assessment of swelling ratio in HBSS showed significantly reduced swelling compared to PBS conditioning, for all formulations </w:t>
      </w:r>
      <w:r w:rsidR="00A864BA" w:rsidRPr="00F54DA5">
        <w:rPr>
          <w:rFonts w:cs="Arial"/>
        </w:rPr>
        <w:t>(p&lt;0.0001)</w:t>
      </w:r>
      <w:r w:rsidR="00A864BA" w:rsidRPr="00F54DA5">
        <w:t xml:space="preserve">. </w:t>
      </w:r>
      <w:r w:rsidR="005B3EDE" w:rsidRPr="005B3EDE">
        <w:t xml:space="preserve">LAP </w:t>
      </w:r>
      <w:r w:rsidR="00A864BA" w:rsidRPr="00F54DA5">
        <w:t>inclusion induced a decrease in swelling ratio</w:t>
      </w:r>
      <w:r w:rsidR="00C05432">
        <w:t>, while the addition of GG was reported to</w:t>
      </w:r>
      <w:r>
        <w:t xml:space="preserve"> significantly </w:t>
      </w:r>
      <w:r w:rsidRPr="00F54DA5">
        <w:rPr>
          <w:rFonts w:cs="Arial"/>
        </w:rPr>
        <w:t xml:space="preserve">(p&lt;0.05) </w:t>
      </w:r>
      <w:r>
        <w:t xml:space="preserve">increase the swelling ratio between </w:t>
      </w:r>
      <w:r w:rsidRPr="00F54DA5">
        <w:rPr>
          <w:rFonts w:cs="Arial"/>
        </w:rPr>
        <w:t>L0.5G1</w:t>
      </w:r>
      <w:r>
        <w:rPr>
          <w:rFonts w:cs="Arial"/>
        </w:rPr>
        <w:t>-L</w:t>
      </w:r>
      <w:r w:rsidRPr="00F54DA5">
        <w:rPr>
          <w:rFonts w:cs="Arial"/>
        </w:rPr>
        <w:t>1G1</w:t>
      </w:r>
      <w:r>
        <w:rPr>
          <w:rFonts w:cs="Arial"/>
        </w:rPr>
        <w:t xml:space="preserve"> </w:t>
      </w:r>
      <w:r>
        <w:t>and</w:t>
      </w:r>
      <w:r w:rsidR="00A864BA" w:rsidRPr="00F54DA5">
        <w:rPr>
          <w:rFonts w:cs="Arial"/>
        </w:rPr>
        <w:t xml:space="preserve"> </w:t>
      </w:r>
      <w:r w:rsidRPr="00F54DA5">
        <w:rPr>
          <w:rFonts w:cs="Arial"/>
        </w:rPr>
        <w:t>L0.5G2</w:t>
      </w:r>
      <w:r>
        <w:rPr>
          <w:rFonts w:cs="Arial"/>
        </w:rPr>
        <w:t>-</w:t>
      </w:r>
      <w:r w:rsidRPr="00F54DA5">
        <w:rPr>
          <w:rFonts w:cs="Arial"/>
        </w:rPr>
        <w:t>L1G2</w:t>
      </w:r>
      <w:r>
        <w:rPr>
          <w:rFonts w:cs="Arial"/>
        </w:rPr>
        <w:t xml:space="preserve"> formulations.</w:t>
      </w:r>
      <w:r w:rsidR="00A864BA" w:rsidRPr="00F54DA5">
        <w:rPr>
          <w:rFonts w:cs="Arial"/>
        </w:rPr>
        <w:t xml:space="preserve"> </w:t>
      </w:r>
    </w:p>
    <w:p w14:paraId="20F8B04C" w14:textId="219E2BEF" w:rsidR="001B14A9" w:rsidRPr="00F54DA5" w:rsidRDefault="00114598" w:rsidP="00C24DD6">
      <w:pPr>
        <w:spacing w:after="0" w:line="360" w:lineRule="auto"/>
        <w:ind w:firstLine="720"/>
        <w:jc w:val="both"/>
        <w:rPr>
          <w:rFonts w:cs="Arial"/>
        </w:rPr>
      </w:pPr>
      <w:r w:rsidRPr="00F54DA5">
        <w:t>To validate the sol fraction</w:t>
      </w:r>
      <w:r w:rsidR="005311EA">
        <w:t xml:space="preserve">, </w:t>
      </w:r>
      <w:r w:rsidRPr="00F54DA5">
        <w:t>mass swelling studies and to investigate the bioink print fidelity, GG and LAP-GG were printed in air (Figure 1c-i</w:t>
      </w:r>
      <w:r w:rsidR="00AD210F" w:rsidRPr="00F54DA5">
        <w:t>, ii</w:t>
      </w:r>
      <w:r w:rsidRPr="00F54DA5">
        <w:t>) or in agarose gel (Figure 1c-iii</w:t>
      </w:r>
      <w:r w:rsidR="00AD210F" w:rsidRPr="00F54DA5">
        <w:t>, iv</w:t>
      </w:r>
      <w:r w:rsidRPr="00F54DA5">
        <w:t xml:space="preserve">) and strands measured for </w:t>
      </w:r>
      <w:r>
        <w:t xml:space="preserve">changes in </w:t>
      </w:r>
      <w:r w:rsidRPr="00F54DA5">
        <w:t>swelling over 24h.</w:t>
      </w:r>
      <w:r>
        <w:t xml:space="preserve"> </w:t>
      </w:r>
      <w:r w:rsidRPr="00F54DA5">
        <w:t xml:space="preserve">A bioink formulation of 2 % w/v content in GG and 1% LAP was selected for all further characterisation studies. GG and LAP-GG fibres (Supporting Figure 1a) were printed in an agarose bed (Supporting Figure 1b) with a cylindrical nozzle of 250 </w:t>
      </w:r>
      <w:r w:rsidRPr="00F54DA5">
        <w:rPr>
          <w:rFonts w:cs="Arial"/>
        </w:rPr>
        <w:t>µm</w:t>
      </w:r>
      <w:r w:rsidR="00FA27BD">
        <w:rPr>
          <w:rFonts w:cs="Arial"/>
        </w:rPr>
        <w:t xml:space="preserve"> (I.D.)</w:t>
      </w:r>
      <w:r w:rsidRPr="00F54DA5">
        <w:rPr>
          <w:rFonts w:cs="Arial"/>
        </w:rPr>
        <w:t xml:space="preserve"> (</w:t>
      </w:r>
      <w:r w:rsidRPr="00F54DA5">
        <w:t>Supporting Figure 1</w:t>
      </w:r>
      <w:r w:rsidRPr="00F54DA5">
        <w:rPr>
          <w:rFonts w:cs="Arial"/>
        </w:rPr>
        <w:t xml:space="preserve">c) to generate a 250 µm deposited strand. GG printing in air (Figure 1c-i) resulted in a swollen fibre before </w:t>
      </w:r>
      <w:r>
        <w:rPr>
          <w:rFonts w:cs="Arial"/>
        </w:rPr>
        <w:t>crosslinking</w:t>
      </w:r>
      <w:r w:rsidRPr="00F54DA5">
        <w:rPr>
          <w:rFonts w:cs="Arial"/>
          <w:noProof/>
          <w:lang w:eastAsia="en-GB"/>
        </w:rPr>
        <w:t xml:space="preserve"> </w:t>
      </w:r>
      <w:r>
        <w:rPr>
          <w:rFonts w:cs="Arial"/>
          <w:noProof/>
          <w:lang w:eastAsia="en-GB"/>
        </w:rPr>
        <w:t xml:space="preserve">which was </w:t>
      </w:r>
      <w:r w:rsidRPr="00F54DA5">
        <w:rPr>
          <w:rFonts w:cs="Arial"/>
          <w:noProof/>
          <w:lang w:eastAsia="en-GB"/>
        </w:rPr>
        <w:t xml:space="preserve">significantly larger (p&lt;0.0001) than immediately </w:t>
      </w:r>
      <w:r>
        <w:rPr>
          <w:rFonts w:cs="Arial"/>
          <w:noProof/>
          <w:lang w:eastAsia="en-GB"/>
        </w:rPr>
        <w:t>post</w:t>
      </w:r>
      <w:r w:rsidRPr="00F54DA5">
        <w:rPr>
          <w:rFonts w:cs="Arial"/>
          <w:noProof/>
          <w:lang w:eastAsia="en-GB"/>
        </w:rPr>
        <w:t xml:space="preserve"> crosslinking,</w:t>
      </w:r>
      <w:r>
        <w:rPr>
          <w:rFonts w:cs="Arial"/>
          <w:noProof/>
          <w:lang w:eastAsia="en-GB"/>
        </w:rPr>
        <w:t xml:space="preserve"> or after</w:t>
      </w:r>
      <w:r w:rsidRPr="00F54DA5">
        <w:rPr>
          <w:rFonts w:cs="Arial"/>
          <w:noProof/>
          <w:lang w:eastAsia="en-GB"/>
        </w:rPr>
        <w:t xml:space="preserve"> 1</w:t>
      </w:r>
      <w:r w:rsidRPr="00F54DA5">
        <w:rPr>
          <w:rFonts w:cs="Arial"/>
        </w:rPr>
        <w:t xml:space="preserve">, </w:t>
      </w:r>
      <w:r w:rsidRPr="00F54DA5">
        <w:rPr>
          <w:rFonts w:cs="Arial"/>
          <w:noProof/>
          <w:lang w:eastAsia="en-GB"/>
        </w:rPr>
        <w:t>3 and 24h</w:t>
      </w:r>
      <w:r w:rsidR="009014C2">
        <w:rPr>
          <w:rFonts w:cs="Arial"/>
          <w:noProof/>
          <w:lang w:eastAsia="en-GB"/>
        </w:rPr>
        <w:t>.</w:t>
      </w:r>
      <w:r w:rsidRPr="00F54DA5">
        <w:rPr>
          <w:rFonts w:cs="Arial"/>
          <w:noProof/>
          <w:lang w:eastAsia="en-GB"/>
        </w:rPr>
        <w:t xml:space="preserve"> </w:t>
      </w:r>
      <w:r w:rsidRPr="00F54DA5">
        <w:rPr>
          <w:rFonts w:cs="Arial"/>
        </w:rPr>
        <w:t>LAP-GG</w:t>
      </w:r>
      <w:r>
        <w:rPr>
          <w:rFonts w:cs="Arial"/>
        </w:rPr>
        <w:t>,</w:t>
      </w:r>
      <w:r w:rsidRPr="00F54DA5">
        <w:rPr>
          <w:rFonts w:cs="Arial"/>
        </w:rPr>
        <w:t xml:space="preserve"> when printed in air</w:t>
      </w:r>
      <w:r>
        <w:rPr>
          <w:rFonts w:cs="Arial"/>
        </w:rPr>
        <w:t>,</w:t>
      </w:r>
      <w:r w:rsidRPr="00F54DA5">
        <w:rPr>
          <w:rFonts w:cs="Arial"/>
        </w:rPr>
        <w:t xml:space="preserve"> (Figure 1c-ii), </w:t>
      </w:r>
      <w:r>
        <w:rPr>
          <w:rFonts w:cs="Arial"/>
        </w:rPr>
        <w:t xml:space="preserve">displayed a </w:t>
      </w:r>
      <w:r w:rsidRPr="00F54DA5">
        <w:rPr>
          <w:rFonts w:cs="Arial"/>
        </w:rPr>
        <w:t xml:space="preserve">lower degree of swelling compared to GG and a comparable dimension of strand size immediately </w:t>
      </w:r>
      <w:r>
        <w:rPr>
          <w:rFonts w:cs="Arial"/>
        </w:rPr>
        <w:t>post</w:t>
      </w:r>
      <w:r w:rsidRPr="00F54DA5">
        <w:rPr>
          <w:rFonts w:cs="Arial"/>
        </w:rPr>
        <w:t xml:space="preserve"> crosslinking. A significant decrease in strand diameter was registered </w:t>
      </w:r>
      <w:r w:rsidR="009014C2">
        <w:rPr>
          <w:rFonts w:cs="Arial"/>
        </w:rPr>
        <w:t xml:space="preserve">after 1 </w:t>
      </w:r>
      <w:r w:rsidRPr="00F54DA5">
        <w:rPr>
          <w:rFonts w:cs="Arial"/>
          <w:noProof/>
          <w:lang w:eastAsia="en-GB"/>
        </w:rPr>
        <w:t xml:space="preserve">(p&lt;0.05), 3h and 24h </w:t>
      </w:r>
      <w:r w:rsidRPr="00F54DA5">
        <w:rPr>
          <w:rFonts w:cs="Arial"/>
        </w:rPr>
        <w:t>(p&lt;0.0001).</w:t>
      </w:r>
      <w:r w:rsidR="009014C2">
        <w:rPr>
          <w:rFonts w:cs="Arial"/>
        </w:rPr>
        <w:t xml:space="preserve"> </w:t>
      </w:r>
      <w:r w:rsidR="001B14A9">
        <w:rPr>
          <w:rFonts w:cs="Arial"/>
        </w:rPr>
        <w:t>The use of</w:t>
      </w:r>
      <w:r w:rsidR="001B14A9" w:rsidRPr="00F54DA5">
        <w:rPr>
          <w:rFonts w:cs="Arial"/>
        </w:rPr>
        <w:t xml:space="preserve"> an agarose gel bed </w:t>
      </w:r>
      <w:r w:rsidR="001B14A9">
        <w:rPr>
          <w:rFonts w:cs="Arial"/>
        </w:rPr>
        <w:t xml:space="preserve">significantly reduced both </w:t>
      </w:r>
      <w:r w:rsidR="001B14A9" w:rsidRPr="00F54DA5">
        <w:rPr>
          <w:rFonts w:cs="Arial"/>
        </w:rPr>
        <w:t xml:space="preserve">swelling and strand diameter </w:t>
      </w:r>
      <w:r w:rsidR="001B14A9">
        <w:rPr>
          <w:rFonts w:cs="Arial"/>
        </w:rPr>
        <w:t>of printed</w:t>
      </w:r>
      <w:r w:rsidR="001B14A9" w:rsidRPr="00F54DA5">
        <w:rPr>
          <w:rFonts w:cs="Arial"/>
        </w:rPr>
        <w:t xml:space="preserve"> GG (Figure 1c-iii). </w:t>
      </w:r>
      <w:r w:rsidR="001B14A9">
        <w:rPr>
          <w:rFonts w:cs="Arial"/>
        </w:rPr>
        <w:t>Following</w:t>
      </w:r>
      <w:r w:rsidR="001B14A9" w:rsidRPr="00F54DA5">
        <w:rPr>
          <w:rFonts w:cs="Arial"/>
        </w:rPr>
        <w:t xml:space="preserve"> CaCl</w:t>
      </w:r>
      <w:r w:rsidR="001B14A9" w:rsidRPr="00F54DA5">
        <w:rPr>
          <w:rFonts w:cs="Arial"/>
          <w:vertAlign w:val="subscript"/>
        </w:rPr>
        <w:t>2</w:t>
      </w:r>
      <w:r w:rsidR="001B14A9" w:rsidRPr="00F54DA5">
        <w:rPr>
          <w:rFonts w:cs="Arial"/>
        </w:rPr>
        <w:t xml:space="preserve"> crosslinking</w:t>
      </w:r>
      <w:r w:rsidR="009014C2">
        <w:rPr>
          <w:rFonts w:cs="Arial"/>
        </w:rPr>
        <w:t>,</w:t>
      </w:r>
      <w:r w:rsidR="001B14A9" w:rsidRPr="00F54DA5">
        <w:rPr>
          <w:rFonts w:cs="Arial"/>
        </w:rPr>
        <w:t xml:space="preserve"> the strand was </w:t>
      </w:r>
      <w:r w:rsidR="001B14A9">
        <w:rPr>
          <w:rFonts w:cs="Arial"/>
        </w:rPr>
        <w:t xml:space="preserve">smaller </w:t>
      </w:r>
      <w:r w:rsidR="001B14A9" w:rsidRPr="00F54DA5">
        <w:rPr>
          <w:rFonts w:cs="Arial"/>
        </w:rPr>
        <w:t>(p&lt;0.0001) in diameter</w:t>
      </w:r>
      <w:r w:rsidR="001B14A9">
        <w:rPr>
          <w:rFonts w:cs="Arial"/>
        </w:rPr>
        <w:t xml:space="preserve"> compared to the printed strand before crosslinking</w:t>
      </w:r>
      <w:r w:rsidR="001B14A9" w:rsidRPr="00F54DA5">
        <w:rPr>
          <w:rFonts w:cs="Arial"/>
        </w:rPr>
        <w:t>.</w:t>
      </w:r>
    </w:p>
    <w:p w14:paraId="243D750C" w14:textId="64C01C68" w:rsidR="009875D3" w:rsidRPr="00F54DA5" w:rsidRDefault="009875D3" w:rsidP="009875D3"/>
    <w:p w14:paraId="390EB3D3" w14:textId="58CB143F" w:rsidR="00A864BA" w:rsidRPr="00F54DA5" w:rsidRDefault="0044261A" w:rsidP="009F15AD">
      <w:pPr>
        <w:jc w:val="center"/>
      </w:pPr>
      <w:r>
        <w:rPr>
          <w:noProof/>
          <w:lang w:eastAsia="zh-CN"/>
        </w:rPr>
        <w:lastRenderedPageBreak/>
        <w:drawing>
          <wp:inline distT="0" distB="0" distL="0" distR="0" wp14:anchorId="202E82B3" wp14:editId="2FB0DB2C">
            <wp:extent cx="4828870" cy="679836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1099" cy="6829660"/>
                    </a:xfrm>
                    <a:prstGeom prst="rect">
                      <a:avLst/>
                    </a:prstGeom>
                    <a:noFill/>
                  </pic:spPr>
                </pic:pic>
              </a:graphicData>
            </a:graphic>
          </wp:inline>
        </w:drawing>
      </w:r>
    </w:p>
    <w:p w14:paraId="693EB85D" w14:textId="0F165A60" w:rsidR="00A864BA" w:rsidRPr="00F54DA5" w:rsidRDefault="00A864BA" w:rsidP="00D9695A">
      <w:pPr>
        <w:pStyle w:val="Caption"/>
        <w:spacing w:line="276" w:lineRule="auto"/>
        <w:jc w:val="both"/>
        <w:rPr>
          <w:rFonts w:cs="Arial"/>
          <w:iCs w:val="0"/>
          <w:vanish/>
          <w:color w:val="auto"/>
          <w:sz w:val="22"/>
          <w:szCs w:val="22"/>
          <w:specVanish/>
        </w:rPr>
      </w:pPr>
      <w:bookmarkStart w:id="28" w:name="_Toc529725150"/>
      <w:r w:rsidRPr="00F54DA5">
        <w:rPr>
          <w:color w:val="auto"/>
          <w:sz w:val="22"/>
          <w:szCs w:val="22"/>
        </w:rPr>
        <w:t>Figure</w:t>
      </w:r>
      <w:r w:rsidR="005748BB" w:rsidRPr="00F54DA5">
        <w:rPr>
          <w:color w:val="auto"/>
          <w:sz w:val="22"/>
          <w:szCs w:val="22"/>
        </w:rPr>
        <w:t xml:space="preserve"> </w:t>
      </w:r>
      <w:r w:rsidRPr="00F54DA5">
        <w:rPr>
          <w:color w:val="auto"/>
          <w:sz w:val="22"/>
          <w:szCs w:val="22"/>
        </w:rPr>
        <w:fldChar w:fldCharType="begin"/>
      </w:r>
      <w:r w:rsidRPr="00F54DA5">
        <w:rPr>
          <w:color w:val="auto"/>
          <w:sz w:val="22"/>
          <w:szCs w:val="22"/>
        </w:rPr>
        <w:instrText xml:space="preserve"> SEQ Figure \* ARABIC \s 1 </w:instrText>
      </w:r>
      <w:r w:rsidRPr="00F54DA5">
        <w:rPr>
          <w:color w:val="auto"/>
          <w:sz w:val="22"/>
          <w:szCs w:val="22"/>
        </w:rPr>
        <w:fldChar w:fldCharType="separate"/>
      </w:r>
      <w:r w:rsidR="0007374D" w:rsidRPr="00F54DA5">
        <w:rPr>
          <w:noProof/>
          <w:color w:val="auto"/>
          <w:sz w:val="22"/>
          <w:szCs w:val="22"/>
        </w:rPr>
        <w:t>1</w:t>
      </w:r>
      <w:r w:rsidRPr="00F54DA5">
        <w:rPr>
          <w:color w:val="auto"/>
          <w:sz w:val="22"/>
          <w:szCs w:val="22"/>
        </w:rPr>
        <w:fldChar w:fldCharType="end"/>
      </w:r>
      <w:r w:rsidRPr="00F54DA5">
        <w:rPr>
          <w:color w:val="auto"/>
          <w:sz w:val="22"/>
          <w:szCs w:val="22"/>
        </w:rPr>
        <w:t xml:space="preserve">. </w:t>
      </w:r>
      <w:r w:rsidR="00D81898" w:rsidRPr="00F54DA5">
        <w:rPr>
          <w:color w:val="auto"/>
          <w:sz w:val="22"/>
          <w:szCs w:val="22"/>
        </w:rPr>
        <w:t xml:space="preserve">Swelling and rheological properties </w:t>
      </w:r>
      <w:r w:rsidR="00F715E4" w:rsidRPr="00F54DA5">
        <w:rPr>
          <w:rFonts w:cs="Arial"/>
          <w:color w:val="auto"/>
          <w:sz w:val="22"/>
          <w:szCs w:val="22"/>
        </w:rPr>
        <w:t>of</w:t>
      </w:r>
      <w:r w:rsidRPr="00F54DA5">
        <w:rPr>
          <w:rFonts w:cs="Arial"/>
          <w:color w:val="auto"/>
          <w:sz w:val="22"/>
          <w:szCs w:val="22"/>
        </w:rPr>
        <w:t xml:space="preserve"> nanosilicate composite gels.</w:t>
      </w:r>
      <w:bookmarkEnd w:id="28"/>
    </w:p>
    <w:p w14:paraId="2633B5A2" w14:textId="77777777" w:rsidR="00A864BA" w:rsidRPr="00F54DA5" w:rsidRDefault="00A864BA" w:rsidP="00D9695A">
      <w:pPr>
        <w:spacing w:line="276" w:lineRule="auto"/>
        <w:jc w:val="both"/>
        <w:rPr>
          <w:rFonts w:cs="Arial"/>
          <w:iCs/>
        </w:rPr>
      </w:pPr>
      <w:r w:rsidRPr="00F54DA5">
        <w:rPr>
          <w:rFonts w:cs="Arial"/>
          <w:iCs/>
        </w:rPr>
        <w:t xml:space="preserve"> </w:t>
      </w:r>
    </w:p>
    <w:p w14:paraId="620195B0" w14:textId="56EA41AE" w:rsidR="00D81898" w:rsidRPr="00F54DA5" w:rsidRDefault="00A864BA" w:rsidP="00D81898">
      <w:pPr>
        <w:spacing w:line="276" w:lineRule="auto"/>
        <w:jc w:val="both"/>
        <w:rPr>
          <w:rFonts w:cs="Arial"/>
          <w:iCs/>
        </w:rPr>
      </w:pPr>
      <w:r w:rsidRPr="00F54DA5">
        <w:rPr>
          <w:rFonts w:cs="Arial"/>
          <w:iCs/>
        </w:rPr>
        <w:t>Sol fraction (a) of LAP-GG formulations and controls evaluated in PBS or in HBSS. Mass swelling ratio (b) of LAP-GG gels composition</w:t>
      </w:r>
      <w:r w:rsidR="00D81898" w:rsidRPr="00F54DA5">
        <w:rPr>
          <w:rFonts w:cs="Arial"/>
          <w:iCs/>
        </w:rPr>
        <w:t xml:space="preserve">s and controls in PBS and HBSS. (c) </w:t>
      </w:r>
      <w:r w:rsidR="009875D3" w:rsidRPr="00F54DA5">
        <w:rPr>
          <w:rFonts w:cs="Arial"/>
          <w:iCs/>
        </w:rPr>
        <w:t>Measu</w:t>
      </w:r>
      <w:r w:rsidR="00D81898" w:rsidRPr="00F54DA5">
        <w:rPr>
          <w:rFonts w:cs="Arial"/>
          <w:iCs/>
        </w:rPr>
        <w:t xml:space="preserve">rements were collected for GG (c-i) </w:t>
      </w:r>
      <w:r w:rsidR="009875D3" w:rsidRPr="00F54DA5">
        <w:rPr>
          <w:rFonts w:cs="Arial"/>
          <w:iCs/>
        </w:rPr>
        <w:t>and LAP-GG</w:t>
      </w:r>
      <w:r w:rsidR="00D81898" w:rsidRPr="00F54DA5">
        <w:rPr>
          <w:rFonts w:cs="Arial"/>
          <w:iCs/>
        </w:rPr>
        <w:t xml:space="preserve"> (c-ii)</w:t>
      </w:r>
      <w:r w:rsidR="009875D3" w:rsidRPr="00F54DA5">
        <w:rPr>
          <w:rFonts w:cs="Arial"/>
          <w:iCs/>
        </w:rPr>
        <w:t xml:space="preserve"> printed in air. Fibre size for printed GG (c</w:t>
      </w:r>
      <w:r w:rsidR="00D81898" w:rsidRPr="00F54DA5">
        <w:rPr>
          <w:rFonts w:cs="Arial"/>
          <w:iCs/>
        </w:rPr>
        <w:t>-iii</w:t>
      </w:r>
      <w:r w:rsidR="009875D3" w:rsidRPr="00F54DA5">
        <w:rPr>
          <w:rFonts w:cs="Arial"/>
          <w:iCs/>
        </w:rPr>
        <w:t>) and LAP-GG (</w:t>
      </w:r>
      <w:r w:rsidR="00D81898" w:rsidRPr="00F54DA5">
        <w:rPr>
          <w:rFonts w:cs="Arial"/>
          <w:iCs/>
        </w:rPr>
        <w:t>c-iv) printed in agarose.</w:t>
      </w:r>
      <w:r w:rsidR="009875D3" w:rsidRPr="00F54DA5">
        <w:rPr>
          <w:rFonts w:cs="Arial"/>
          <w:iCs/>
        </w:rPr>
        <w:t xml:space="preserve"> Viscosity (</w:t>
      </w:r>
      <w:r w:rsidR="00D81898" w:rsidRPr="00F54DA5">
        <w:rPr>
          <w:rFonts w:cs="Arial"/>
          <w:iCs/>
        </w:rPr>
        <w:t>d-i</w:t>
      </w:r>
      <w:r w:rsidR="009875D3" w:rsidRPr="00F54DA5">
        <w:rPr>
          <w:rFonts w:cs="Arial"/>
          <w:iCs/>
        </w:rPr>
        <w:t xml:space="preserve">) drop by the change of shear </w:t>
      </w:r>
      <w:r w:rsidR="00AE1AAB">
        <w:rPr>
          <w:rFonts w:cs="Arial"/>
          <w:iCs/>
        </w:rPr>
        <w:t>rate was registered for LAP, GG</w:t>
      </w:r>
      <w:r w:rsidR="009875D3" w:rsidRPr="00F54DA5">
        <w:rPr>
          <w:rFonts w:cs="Arial"/>
          <w:iCs/>
        </w:rPr>
        <w:t xml:space="preserve"> </w:t>
      </w:r>
      <w:r w:rsidR="00AD210F" w:rsidRPr="00F54DA5">
        <w:rPr>
          <w:rFonts w:cs="Arial"/>
          <w:iCs/>
        </w:rPr>
        <w:t>and LAP</w:t>
      </w:r>
      <w:r w:rsidR="009875D3" w:rsidRPr="00F54DA5">
        <w:rPr>
          <w:rFonts w:cs="Arial"/>
          <w:iCs/>
        </w:rPr>
        <w:t>-GG. Storage and l</w:t>
      </w:r>
      <w:r w:rsidR="00D81898" w:rsidRPr="00F54DA5">
        <w:rPr>
          <w:rFonts w:cs="Arial"/>
          <w:iCs/>
        </w:rPr>
        <w:t>oss moduli (d-ii</w:t>
      </w:r>
      <w:r w:rsidR="009875D3" w:rsidRPr="00F54DA5">
        <w:rPr>
          <w:rFonts w:cs="Arial"/>
          <w:iCs/>
        </w:rPr>
        <w:t>) of LAP-GG bioink measured depending on the percentage change in shear strain.</w:t>
      </w:r>
      <w:r w:rsidR="00D81898" w:rsidRPr="00F54DA5">
        <w:rPr>
          <w:rFonts w:cs="Arial"/>
          <w:iCs/>
        </w:rPr>
        <w:t xml:space="preserve"> </w:t>
      </w:r>
      <w:r w:rsidR="00D81898" w:rsidRPr="00F54DA5">
        <w:t xml:space="preserve">Statistical significance assessed by two-way ANOVA. </w:t>
      </w:r>
      <w:r w:rsidR="00D81898" w:rsidRPr="00F54DA5">
        <w:rPr>
          <w:rFonts w:cs="Arial"/>
          <w:iCs/>
        </w:rPr>
        <w:t>Mean ± S.D. (</w:t>
      </w:r>
      <w:r w:rsidR="00AD210F" w:rsidRPr="00F54DA5">
        <w:rPr>
          <w:rFonts w:cs="Arial"/>
          <w:iCs/>
        </w:rPr>
        <w:t>a, b</w:t>
      </w:r>
      <w:r w:rsidR="00D81898" w:rsidRPr="00F54DA5">
        <w:rPr>
          <w:rFonts w:cs="Arial"/>
          <w:iCs/>
        </w:rPr>
        <w:t>) n=6, (c) n=3</w:t>
      </w:r>
      <w:r w:rsidR="00AD210F">
        <w:rPr>
          <w:rFonts w:cs="Arial"/>
          <w:iCs/>
        </w:rPr>
        <w:t>;</w:t>
      </w:r>
      <w:r w:rsidR="00D81898" w:rsidRPr="00F54DA5">
        <w:rPr>
          <w:rFonts w:cs="Arial"/>
          <w:iCs/>
        </w:rPr>
        <w:t xml:space="preserve"> *p&lt;0.05, **p&lt;0.01, ***p&lt;0.001, ****p&lt;0.0001. </w:t>
      </w:r>
      <w:r w:rsidR="00D87303">
        <w:rPr>
          <w:rFonts w:cs="Arial"/>
          <w:iCs/>
        </w:rPr>
        <w:t>Laponite</w:t>
      </w:r>
      <w:r w:rsidR="00A74FA2" w:rsidRPr="00A74FA2">
        <w:rPr>
          <w:rFonts w:cs="Arial"/>
          <w:iCs/>
        </w:rPr>
        <w:t xml:space="preserve">® (LAP) </w:t>
      </w:r>
      <w:r w:rsidR="00D81898" w:rsidRPr="00F54DA5">
        <w:rPr>
          <w:rFonts w:cs="Arial"/>
          <w:iCs/>
        </w:rPr>
        <w:t xml:space="preserve">was labelled as L and gellan gum as </w:t>
      </w:r>
      <w:r w:rsidR="00D4052A">
        <w:rPr>
          <w:rFonts w:cs="Arial"/>
          <w:iCs/>
        </w:rPr>
        <w:t>g</w:t>
      </w:r>
      <w:r w:rsidR="00D81898" w:rsidRPr="00F54DA5">
        <w:rPr>
          <w:rFonts w:cs="Arial"/>
          <w:iCs/>
        </w:rPr>
        <w:t xml:space="preserve">, with the subsequent number indicating the </w:t>
      </w:r>
      <w:r w:rsidR="00D81898" w:rsidRPr="00F54DA5">
        <w:t xml:space="preserve">% </w:t>
      </w:r>
      <w:r w:rsidR="00D81898" w:rsidRPr="00F54DA5">
        <w:rPr>
          <w:rFonts w:cs="Arial"/>
          <w:iCs/>
        </w:rPr>
        <w:t>w/v.</w:t>
      </w:r>
    </w:p>
    <w:p w14:paraId="1E01CF75" w14:textId="5D1E574B" w:rsidR="00A864BA" w:rsidRPr="00F54DA5" w:rsidRDefault="00A864BA" w:rsidP="00C24DD6">
      <w:pPr>
        <w:spacing w:after="0" w:line="360" w:lineRule="auto"/>
        <w:jc w:val="both"/>
        <w:rPr>
          <w:rFonts w:cs="Arial"/>
        </w:rPr>
      </w:pPr>
      <w:r w:rsidRPr="00F54DA5">
        <w:rPr>
          <w:rFonts w:cs="Arial"/>
        </w:rPr>
        <w:t xml:space="preserve">However, after only 1h the diameter had significantly swollen compared to strands before and after crosslinking (p&lt;0.0001), after 3 and </w:t>
      </w:r>
      <w:r w:rsidRPr="00F54DA5">
        <w:rPr>
          <w:rFonts w:cs="Arial"/>
          <w:noProof/>
          <w:lang w:eastAsia="en-GB"/>
        </w:rPr>
        <w:t xml:space="preserve">24h </w:t>
      </w:r>
      <w:r w:rsidRPr="00F54DA5">
        <w:rPr>
          <w:rFonts w:cs="Arial"/>
        </w:rPr>
        <w:t>(p&lt;0.0001).</w:t>
      </w:r>
      <w:r w:rsidR="00D60BEE">
        <w:rPr>
          <w:rFonts w:cs="Arial"/>
        </w:rPr>
        <w:t xml:space="preserve"> </w:t>
      </w:r>
      <w:r w:rsidRPr="00F54DA5">
        <w:rPr>
          <w:rFonts w:cs="Arial"/>
        </w:rPr>
        <w:lastRenderedPageBreak/>
        <w:t xml:space="preserve">LAP-GG (Figure </w:t>
      </w:r>
      <w:r w:rsidR="009875D3" w:rsidRPr="00F54DA5">
        <w:rPr>
          <w:rFonts w:cs="Arial"/>
        </w:rPr>
        <w:t>1c-iv</w:t>
      </w:r>
      <w:r w:rsidRPr="00F54DA5">
        <w:rPr>
          <w:rFonts w:cs="Arial"/>
        </w:rPr>
        <w:t>) generated a significantly lower degree of swelling immediately before crosslinking (p&lt;0.0001) compared to GG bioink. LAP-GG displayed a significantly decreased fibre diameter (p&lt;0.0001) after crosslinking. A significant swelling after 1h was found, consistent with GG swelling kinetics. After 3h, the strand diameter was unchanged and subsequently decreased after 24 h. Interestingly, the LAP-GG printed fibres before crosslinking were significantly smaller (p&lt;0.0001) in diameter compared to GG, both in air (</w:t>
      </w:r>
      <w:r w:rsidR="00543B53" w:rsidRPr="00F54DA5">
        <w:rPr>
          <w:rFonts w:cs="Arial"/>
        </w:rPr>
        <w:t>Supporting Figure 2a</w:t>
      </w:r>
      <w:r w:rsidRPr="00F54DA5">
        <w:rPr>
          <w:rFonts w:cs="Arial"/>
        </w:rPr>
        <w:t>) and agarose (</w:t>
      </w:r>
      <w:r w:rsidR="00543B53" w:rsidRPr="00F54DA5">
        <w:rPr>
          <w:rFonts w:cs="Arial"/>
        </w:rPr>
        <w:t>Supporting Figure 2b</w:t>
      </w:r>
      <w:r w:rsidRPr="00F54DA5">
        <w:rPr>
          <w:rFonts w:cs="Arial"/>
        </w:rPr>
        <w:t>).</w:t>
      </w:r>
    </w:p>
    <w:p w14:paraId="42809C38" w14:textId="4E434406" w:rsidR="00A864BA" w:rsidRDefault="00711130" w:rsidP="00C24DD6">
      <w:pPr>
        <w:spacing w:after="0" w:line="360" w:lineRule="auto"/>
        <w:ind w:firstLine="720"/>
        <w:jc w:val="both"/>
        <w:rPr>
          <w:rFonts w:cs="Arial"/>
        </w:rPr>
      </w:pPr>
      <w:r>
        <w:rPr>
          <w:rFonts w:cs="Arial"/>
        </w:rPr>
        <w:t xml:space="preserve">The </w:t>
      </w:r>
      <w:r w:rsidRPr="00F54DA5">
        <w:rPr>
          <w:rFonts w:cs="Arial"/>
        </w:rPr>
        <w:t>rheological properties</w:t>
      </w:r>
      <w:r>
        <w:rPr>
          <w:rFonts w:cs="Arial"/>
        </w:rPr>
        <w:t xml:space="preserve"> of</w:t>
      </w:r>
      <w:r w:rsidRPr="00F54DA5">
        <w:rPr>
          <w:rFonts w:cs="Arial"/>
        </w:rPr>
        <w:t xml:space="preserve"> </w:t>
      </w:r>
      <w:r w:rsidR="00A864BA" w:rsidRPr="00F54DA5">
        <w:rPr>
          <w:rFonts w:cs="Arial"/>
        </w:rPr>
        <w:t xml:space="preserve">LAP-GG bioink were investigated before extrusion and viscosity measurements (Figure </w:t>
      </w:r>
      <w:r w:rsidR="009875D3" w:rsidRPr="00F54DA5">
        <w:rPr>
          <w:rFonts w:cs="Arial"/>
        </w:rPr>
        <w:t>1d-i</w:t>
      </w:r>
      <w:r w:rsidR="00A864BA" w:rsidRPr="00F54DA5">
        <w:rPr>
          <w:rFonts w:cs="Arial"/>
        </w:rPr>
        <w:t xml:space="preserve">) determined to </w:t>
      </w:r>
      <w:r w:rsidR="00114598">
        <w:rPr>
          <w:rFonts w:cs="Arial"/>
        </w:rPr>
        <w:t>evaluate</w:t>
      </w:r>
      <w:r w:rsidR="00A864BA" w:rsidRPr="00F54DA5">
        <w:rPr>
          <w:rFonts w:cs="Arial"/>
        </w:rPr>
        <w:t xml:space="preserve"> bioink printability. Single components and final LAP-GG blends were tested for viscosity. L</w:t>
      </w:r>
      <w:r w:rsidR="00A74FA2">
        <w:rPr>
          <w:rFonts w:cs="Arial"/>
        </w:rPr>
        <w:t>AP</w:t>
      </w:r>
      <w:r w:rsidR="00A864BA" w:rsidRPr="00F54DA5">
        <w:rPr>
          <w:rFonts w:cs="Arial"/>
        </w:rPr>
        <w:t xml:space="preserve"> showed a low viscosity profile (0.92 Pa s) compared to GG (182.35 Pa s). LAP-GG components were observed to decrease linearly with an increase in shear rate (from 0.1 to 100 s</w:t>
      </w:r>
      <w:r w:rsidR="00A864BA" w:rsidRPr="00F54DA5">
        <w:rPr>
          <w:rFonts w:cs="Arial"/>
          <w:vertAlign w:val="superscript"/>
        </w:rPr>
        <w:t>-1</w:t>
      </w:r>
      <w:r w:rsidR="00A864BA" w:rsidRPr="00F54DA5">
        <w:rPr>
          <w:rFonts w:cs="Arial"/>
        </w:rPr>
        <w:t xml:space="preserve">). LAP-GG nanocomposites exhibited a higher viscosity (257.82 Pa s) than GG alone, despite only containing 1 </w:t>
      </w:r>
      <w:r w:rsidR="00A864BA" w:rsidRPr="00F54DA5">
        <w:t xml:space="preserve">% </w:t>
      </w:r>
      <w:r w:rsidR="00A864BA" w:rsidRPr="00F54DA5">
        <w:rPr>
          <w:rFonts w:cs="Arial"/>
        </w:rPr>
        <w:t>w/v of L</w:t>
      </w:r>
      <w:r w:rsidR="00A74FA2">
        <w:rPr>
          <w:rFonts w:cs="Arial"/>
        </w:rPr>
        <w:t>AP</w:t>
      </w:r>
      <w:r w:rsidR="00A864BA" w:rsidRPr="00F54DA5">
        <w:rPr>
          <w:rFonts w:cs="Arial"/>
        </w:rPr>
        <w:t xml:space="preserve"> solid content. The </w:t>
      </w:r>
      <w:r w:rsidR="00A74FA2">
        <w:rPr>
          <w:rFonts w:cs="Arial"/>
        </w:rPr>
        <w:t xml:space="preserve">reduction in </w:t>
      </w:r>
      <w:r w:rsidR="00A864BA" w:rsidRPr="00F54DA5">
        <w:rPr>
          <w:rFonts w:cs="Arial"/>
        </w:rPr>
        <w:t xml:space="preserve">LAP-GG viscosity, with increasing shear rate, </w:t>
      </w:r>
      <w:r w:rsidR="002471EF">
        <w:rPr>
          <w:rFonts w:cs="Arial"/>
        </w:rPr>
        <w:t>followed a similar trend compared to</w:t>
      </w:r>
      <w:r w:rsidR="00A864BA" w:rsidRPr="00F54DA5">
        <w:rPr>
          <w:rFonts w:cs="Arial"/>
        </w:rPr>
        <w:t xml:space="preserve"> GG. Storage and loss moduli (Figure </w:t>
      </w:r>
      <w:r w:rsidR="009875D3" w:rsidRPr="00F54DA5">
        <w:rPr>
          <w:rFonts w:cs="Arial"/>
        </w:rPr>
        <w:t>1d-ii</w:t>
      </w:r>
      <w:r w:rsidR="00A864BA" w:rsidRPr="00F54DA5">
        <w:rPr>
          <w:rFonts w:cs="Arial"/>
        </w:rPr>
        <w:t>) of the LAP-GG bioink were measured according to the percentage change of the shear strain. The storage modulus was</w:t>
      </w:r>
      <w:r w:rsidR="00A74FA2">
        <w:rPr>
          <w:rFonts w:cs="Arial"/>
        </w:rPr>
        <w:t xml:space="preserve"> </w:t>
      </w:r>
      <w:r w:rsidR="00A864BA" w:rsidRPr="00F54DA5">
        <w:rPr>
          <w:rFonts w:cs="Arial"/>
        </w:rPr>
        <w:t>stable (131.02 Pa) up to 3.16 % in strain, but subsequently decreased up to 36.13 Pa when 100 % shear was reached. The loss modulus linearly decrease</w:t>
      </w:r>
      <w:r w:rsidR="00A74FA2">
        <w:rPr>
          <w:rFonts w:cs="Arial"/>
        </w:rPr>
        <w:t>d</w:t>
      </w:r>
      <w:r w:rsidR="00A864BA" w:rsidRPr="00F54DA5">
        <w:rPr>
          <w:rFonts w:cs="Arial"/>
        </w:rPr>
        <w:t xml:space="preserve"> from 52.57 Pa to 35.90 Pa. </w:t>
      </w:r>
    </w:p>
    <w:p w14:paraId="2AD950F7" w14:textId="77777777" w:rsidR="001B14A9" w:rsidRPr="00F54DA5" w:rsidRDefault="001B14A9" w:rsidP="00C24DD6">
      <w:pPr>
        <w:spacing w:after="0" w:line="360" w:lineRule="auto"/>
        <w:ind w:firstLine="720"/>
        <w:jc w:val="both"/>
        <w:rPr>
          <w:rFonts w:cs="Arial"/>
        </w:rPr>
      </w:pPr>
    </w:p>
    <w:p w14:paraId="41A8E8EF" w14:textId="04CD7B63" w:rsidR="00C65E5E" w:rsidRPr="00F54DA5" w:rsidRDefault="00126CD4" w:rsidP="00C65E5E">
      <w:pPr>
        <w:pStyle w:val="Heading3"/>
        <w:numPr>
          <w:ilvl w:val="0"/>
          <w:numId w:val="0"/>
        </w:numPr>
        <w:spacing w:before="360" w:after="240"/>
        <w:jc w:val="both"/>
      </w:pPr>
      <w:bookmarkStart w:id="29" w:name="_Toc529724936"/>
      <w:r>
        <w:t xml:space="preserve">3.2 </w:t>
      </w:r>
      <w:r w:rsidR="00A74FA2">
        <w:t xml:space="preserve">Characterisation of printed </w:t>
      </w:r>
      <w:r w:rsidR="00C65E5E" w:rsidRPr="00F54DA5">
        <w:t>acellular scaffolds in a fluid gel</w:t>
      </w:r>
      <w:bookmarkEnd w:id="29"/>
    </w:p>
    <w:p w14:paraId="7E67536C" w14:textId="5201FC92" w:rsidR="00685508" w:rsidRPr="00F54DA5" w:rsidRDefault="00685508" w:rsidP="009014C2">
      <w:pPr>
        <w:spacing w:after="0" w:line="360" w:lineRule="auto"/>
        <w:ind w:firstLine="360"/>
        <w:jc w:val="both"/>
      </w:pPr>
      <w:r w:rsidRPr="00F54DA5">
        <w:t>SEM images of cast GG and LAP-GG gels (Figure 2) were acquired and analysed. GG discs (Figure 2a-i) displayed</w:t>
      </w:r>
      <w:r w:rsidR="00A74FA2">
        <w:t xml:space="preserve"> a</w:t>
      </w:r>
      <w:r w:rsidR="007234CF" w:rsidRPr="00F54DA5">
        <w:t xml:space="preserve"> </w:t>
      </w:r>
      <w:r w:rsidRPr="00F54DA5">
        <w:t xml:space="preserve">less porous internal architecture compared to LAP-GG (Figure 2b-i), </w:t>
      </w:r>
      <w:r w:rsidR="00A74FA2">
        <w:t>evidenced</w:t>
      </w:r>
      <w:r w:rsidRPr="00F54DA5">
        <w:t xml:space="preserve"> at higher magnification (Figure 2a-ii and b-ii respectively). Element</w:t>
      </w:r>
      <w:r w:rsidR="00711130">
        <w:t>al</w:t>
      </w:r>
      <w:r w:rsidRPr="00F54DA5">
        <w:t xml:space="preserve"> analysis via EDX confirmed </w:t>
      </w:r>
      <w:r w:rsidR="00A74FA2">
        <w:t xml:space="preserve">LAP </w:t>
      </w:r>
      <w:r w:rsidRPr="00F54DA5">
        <w:t xml:space="preserve">inclusion and integration within </w:t>
      </w:r>
      <w:r w:rsidR="00A74FA2">
        <w:t xml:space="preserve">the </w:t>
      </w:r>
      <w:r w:rsidRPr="00F54DA5">
        <w:t xml:space="preserve">printed scaffolds (Figure 2c). </w:t>
      </w:r>
      <w:r w:rsidR="00A74FA2">
        <w:t xml:space="preserve">Increased </w:t>
      </w:r>
      <w:r w:rsidRPr="00F54DA5">
        <w:t xml:space="preserve">percentage of magnesium (Mg) and silicon (Si) within the construct </w:t>
      </w:r>
      <w:r w:rsidR="00A74FA2">
        <w:t>confirmed LAP</w:t>
      </w:r>
      <w:r w:rsidRPr="00F54DA5">
        <w:t xml:space="preserve"> inclusion. Cells seeded on GG (Supporting Figure 3a) and LAP-GG (Supporting Figure 3b) were </w:t>
      </w:r>
      <w:r w:rsidR="00A74FA2">
        <w:t xml:space="preserve">observed </w:t>
      </w:r>
      <w:r w:rsidRPr="00F54DA5">
        <w:t>to attach to the scaffolds and present</w:t>
      </w:r>
      <w:r w:rsidR="00711130">
        <w:t>ed</w:t>
      </w:r>
      <w:r w:rsidRPr="00F54DA5">
        <w:t xml:space="preserve"> </w:t>
      </w:r>
      <w:r w:rsidR="00A74FA2">
        <w:t xml:space="preserve">a </w:t>
      </w:r>
      <w:r w:rsidRPr="00F54DA5">
        <w:t>similar morphology after 24h of culture.</w:t>
      </w:r>
    </w:p>
    <w:p w14:paraId="07FCEEB2" w14:textId="3E2B8279" w:rsidR="00C65E5E" w:rsidRPr="00F54DA5" w:rsidRDefault="00C65E5E" w:rsidP="009014C2">
      <w:pPr>
        <w:spacing w:after="0" w:line="360" w:lineRule="auto"/>
        <w:jc w:val="both"/>
      </w:pPr>
      <w:r w:rsidRPr="00F54DA5">
        <w:t xml:space="preserve">To investigate the effect of LAP addition to GG printing </w:t>
      </w:r>
      <w:r w:rsidR="00A74FA2">
        <w:t>fidelity</w:t>
      </w:r>
      <w:r w:rsidRPr="00F54DA5">
        <w:t xml:space="preserve">, GG and LAP-GG were deposited in agarose and in air (Figure 2d-f). Extrusion of GG in </w:t>
      </w:r>
      <w:r w:rsidRPr="00F54DA5">
        <w:lastRenderedPageBreak/>
        <w:t>agarose medium (Figure 2d-i) resulted in an initial formation of a cylindrical shape</w:t>
      </w:r>
      <w:r w:rsidR="005311EA">
        <w:t>d construct</w:t>
      </w:r>
      <w:r w:rsidRPr="00F54DA5">
        <w:t xml:space="preserve">, which swelled immediately, until the </w:t>
      </w:r>
      <w:r w:rsidR="00A74FA2">
        <w:t xml:space="preserve">central pore was occluded. GG </w:t>
      </w:r>
      <w:r w:rsidRPr="00F54DA5">
        <w:t>extru</w:t>
      </w:r>
      <w:r w:rsidR="00A74FA2">
        <w:t xml:space="preserve">sion </w:t>
      </w:r>
      <w:r w:rsidRPr="00F54DA5">
        <w:t>in air (Figure 2d-ii)</w:t>
      </w:r>
      <w:r w:rsidR="00A74FA2">
        <w:t xml:space="preserve"> resulted in a printed construct that </w:t>
      </w:r>
      <w:r w:rsidRPr="00F54DA5">
        <w:t xml:space="preserve">collapsed immediately after a few initial layers. LAP-GG was highly printable in agarose (Figure 2d-iii) and layer-by-layer deposition </w:t>
      </w:r>
      <w:r w:rsidR="00A74FA2">
        <w:t>generated a</w:t>
      </w:r>
      <w:r w:rsidRPr="00F54DA5">
        <w:t xml:space="preserve"> high-resolution construct that closely represented the blueprint file. However, when LAP-GG was extruded in air, the structure was unstable (Figure 2d-iv)</w:t>
      </w:r>
      <w:r w:rsidR="00711EDE">
        <w:t xml:space="preserve"> and </w:t>
      </w:r>
      <w:r w:rsidR="00711130">
        <w:t>unable to support</w:t>
      </w:r>
      <w:r w:rsidRPr="00F54DA5">
        <w:t xml:space="preserve"> its own weight.</w:t>
      </w:r>
    </w:p>
    <w:p w14:paraId="64D8AA25" w14:textId="7829CD13" w:rsidR="001B14A9" w:rsidRDefault="00C65E5E" w:rsidP="001B14A9">
      <w:pPr>
        <w:pStyle w:val="ListParagraph"/>
        <w:spacing w:after="0" w:line="360" w:lineRule="auto"/>
        <w:ind w:left="0"/>
        <w:jc w:val="both"/>
        <w:rPr>
          <w:sz w:val="22"/>
        </w:rPr>
      </w:pPr>
      <w:r w:rsidRPr="00F54DA5">
        <w:rPr>
          <w:sz w:val="22"/>
        </w:rPr>
        <w:t>Measurements were conducted on cylindrical-shaped 3D constructs to investigate print fidelity (Figure 2e-f). GG swel</w:t>
      </w:r>
      <w:r w:rsidR="001B14A9">
        <w:rPr>
          <w:sz w:val="22"/>
        </w:rPr>
        <w:t>l</w:t>
      </w:r>
      <w:r w:rsidR="00711130">
        <w:rPr>
          <w:sz w:val="22"/>
        </w:rPr>
        <w:t>ed immediately upon extrusion</w:t>
      </w:r>
      <w:r w:rsidRPr="00F54DA5">
        <w:rPr>
          <w:sz w:val="22"/>
        </w:rPr>
        <w:t xml:space="preserve"> resulting in a collapsed central pore. Extrusion of GG bioink</w:t>
      </w:r>
      <w:r w:rsidR="002471EF">
        <w:rPr>
          <w:sz w:val="22"/>
        </w:rPr>
        <w:t xml:space="preserve"> with the addition of LAP</w:t>
      </w:r>
      <w:r w:rsidRPr="00F54DA5">
        <w:rPr>
          <w:sz w:val="22"/>
        </w:rPr>
        <w:t xml:space="preserve"> </w:t>
      </w:r>
      <w:r w:rsidR="00711130">
        <w:rPr>
          <w:sz w:val="22"/>
        </w:rPr>
        <w:t xml:space="preserve">generated </w:t>
      </w:r>
      <w:r w:rsidRPr="00F54DA5">
        <w:rPr>
          <w:sz w:val="22"/>
        </w:rPr>
        <w:t>cylindrical scaffolds</w:t>
      </w:r>
      <w:r w:rsidR="000D63C3">
        <w:rPr>
          <w:sz w:val="22"/>
        </w:rPr>
        <w:t xml:space="preserve"> with significantly (</w:t>
      </w:r>
      <w:r w:rsidR="002471EF">
        <w:rPr>
          <w:sz w:val="22"/>
        </w:rPr>
        <w:t>p</w:t>
      </w:r>
      <w:r w:rsidR="000D63C3">
        <w:rPr>
          <w:sz w:val="22"/>
        </w:rPr>
        <w:t>&lt;0.0001) improved</w:t>
      </w:r>
      <w:r w:rsidR="00711130">
        <w:rPr>
          <w:sz w:val="22"/>
        </w:rPr>
        <w:t xml:space="preserve"> central pore dimensions </w:t>
      </w:r>
      <w:r w:rsidRPr="00F54DA5">
        <w:rPr>
          <w:sz w:val="22"/>
        </w:rPr>
        <w:t xml:space="preserve">in agarose and in air, respectively. However, when printed in air, GG displayed a significantly (p&lt;0.0001) </w:t>
      </w:r>
      <w:r w:rsidRPr="00711EDE">
        <w:rPr>
          <w:sz w:val="22"/>
        </w:rPr>
        <w:t xml:space="preserve">larger overall diameter compared to constructs printed with LAP-GG bioink. </w:t>
      </w:r>
      <w:r w:rsidRPr="00C24DD6">
        <w:rPr>
          <w:sz w:val="22"/>
        </w:rPr>
        <w:t xml:space="preserve">Larger cylindrical constructs </w:t>
      </w:r>
      <w:r w:rsidR="00711EDE" w:rsidRPr="00711EDE">
        <w:rPr>
          <w:sz w:val="22"/>
        </w:rPr>
        <w:t>were</w:t>
      </w:r>
      <w:r w:rsidRPr="00C24DD6">
        <w:rPr>
          <w:sz w:val="22"/>
        </w:rPr>
        <w:t xml:space="preserve"> printed in the agarose gel using the LAP-GG bioink (Supporting Figure 4a). As proof-of-concept, a 30 mm high three-dimensional sleeve structure was printed (Supporting Figure 4a-i-iii), showing fidelity to the blueprint and elevated printability in the agarose gel. Lattice scaffolds (Supporting Figure 4b) </w:t>
      </w:r>
      <w:r w:rsidR="00711EDE">
        <w:rPr>
          <w:sz w:val="22"/>
        </w:rPr>
        <w:t>were</w:t>
      </w:r>
      <w:r w:rsidRPr="00C24DD6">
        <w:rPr>
          <w:sz w:val="22"/>
        </w:rPr>
        <w:t xml:space="preserve"> printed in agarose </w:t>
      </w:r>
      <w:r w:rsidR="00711EDE">
        <w:rPr>
          <w:sz w:val="22"/>
        </w:rPr>
        <w:t>demonstrating enhanced</w:t>
      </w:r>
      <w:r w:rsidR="00711EDE" w:rsidRPr="00C24DD6">
        <w:rPr>
          <w:sz w:val="22"/>
        </w:rPr>
        <w:t xml:space="preserve"> </w:t>
      </w:r>
      <w:r w:rsidRPr="00C24DD6">
        <w:rPr>
          <w:sz w:val="22"/>
        </w:rPr>
        <w:t>printing fidelity (Supporting Figure 4b-i-iii).</w:t>
      </w:r>
    </w:p>
    <w:p w14:paraId="7BA795EE" w14:textId="672FD122" w:rsidR="001B14A9" w:rsidRDefault="001B14A9" w:rsidP="001B14A9"/>
    <w:p w14:paraId="422E94CD" w14:textId="55ED6D24" w:rsidR="001B14A9" w:rsidRPr="00F54DA5" w:rsidRDefault="00126CD4" w:rsidP="001B14A9">
      <w:pPr>
        <w:pStyle w:val="Heading3"/>
        <w:numPr>
          <w:ilvl w:val="0"/>
          <w:numId w:val="0"/>
        </w:numPr>
        <w:spacing w:before="360" w:after="240"/>
        <w:jc w:val="both"/>
      </w:pPr>
      <w:r>
        <w:t xml:space="preserve">3.3 </w:t>
      </w:r>
      <w:r w:rsidR="001B14A9" w:rsidRPr="00F54DA5">
        <w:t xml:space="preserve">Cell viability, proliferation and functionality of printed C2C12 cells </w:t>
      </w:r>
      <w:r w:rsidR="001B14A9" w:rsidRPr="00F54DA5">
        <w:rPr>
          <w:i/>
        </w:rPr>
        <w:t>in vitro</w:t>
      </w:r>
    </w:p>
    <w:p w14:paraId="0C3B1E88" w14:textId="0D1FC61C" w:rsidR="009014C2" w:rsidRDefault="001B14A9" w:rsidP="009014C2">
      <w:pPr>
        <w:spacing w:after="0" w:line="360" w:lineRule="auto"/>
        <w:ind w:firstLine="567"/>
        <w:jc w:val="both"/>
        <w:rPr>
          <w:rFonts w:cs="Arial"/>
        </w:rPr>
      </w:pPr>
      <w:r>
        <w:t>C2C12 promyoblast cells were printed in GG and LAP-GG to evaluate the functional capacity of the printed bioink</w:t>
      </w:r>
      <w:r w:rsidR="00AD210F" w:rsidRPr="00571195">
        <w:rPr>
          <w:i/>
        </w:rPr>
        <w:t xml:space="preserve"> in vitro</w:t>
      </w:r>
      <w:r>
        <w:t xml:space="preserve">. </w:t>
      </w:r>
      <w:r w:rsidR="00AD210F">
        <w:t>Cell viability</w:t>
      </w:r>
      <w:r w:rsidR="00FC21AD">
        <w:t xml:space="preserve"> (Figure 3a,b)</w:t>
      </w:r>
      <w:r w:rsidR="00AD210F">
        <w:t xml:space="preserve"> remained at around 80% in both treatments over the time course </w:t>
      </w:r>
      <w:r w:rsidR="00AD210F" w:rsidRPr="00F54DA5">
        <w:t xml:space="preserve">(Figure </w:t>
      </w:r>
      <w:r w:rsidR="00AD210F">
        <w:t xml:space="preserve">3c). </w:t>
      </w:r>
      <w:r w:rsidRPr="00F54DA5">
        <w:rPr>
          <w:rFonts w:cs="Arial"/>
        </w:rPr>
        <w:t xml:space="preserve">Cell density (Figure </w:t>
      </w:r>
      <w:r>
        <w:rPr>
          <w:rFonts w:cs="Arial"/>
        </w:rPr>
        <w:t>3</w:t>
      </w:r>
      <w:r w:rsidRPr="00F54DA5">
        <w:rPr>
          <w:rFonts w:cs="Arial"/>
        </w:rPr>
        <w:t xml:space="preserve">d) of the printed constructs was evaluated to </w:t>
      </w:r>
      <w:r>
        <w:rPr>
          <w:rFonts w:cs="Arial"/>
        </w:rPr>
        <w:t xml:space="preserve">determine </w:t>
      </w:r>
      <w:r w:rsidRPr="00F54DA5">
        <w:rPr>
          <w:rFonts w:cs="Arial"/>
        </w:rPr>
        <w:t>the proliferative potential of</w:t>
      </w:r>
      <w:r>
        <w:rPr>
          <w:rFonts w:cs="Arial"/>
        </w:rPr>
        <w:t xml:space="preserve"> the</w:t>
      </w:r>
      <w:r w:rsidRPr="00F54DA5">
        <w:rPr>
          <w:rFonts w:cs="Arial"/>
        </w:rPr>
        <w:t xml:space="preserve"> printed C2C12 </w:t>
      </w:r>
      <w:r>
        <w:rPr>
          <w:rFonts w:cs="Arial"/>
        </w:rPr>
        <w:t xml:space="preserve">cells in </w:t>
      </w:r>
      <w:r w:rsidRPr="00F54DA5">
        <w:rPr>
          <w:rFonts w:cs="Arial"/>
        </w:rPr>
        <w:t>GG or in LAP-GG bioinks</w:t>
      </w:r>
      <w:r>
        <w:rPr>
          <w:rFonts w:cs="Arial"/>
        </w:rPr>
        <w:t xml:space="preserve"> with the cell d</w:t>
      </w:r>
      <w:r w:rsidRPr="00F54DA5">
        <w:rPr>
          <w:rFonts w:cs="Arial"/>
        </w:rPr>
        <w:t xml:space="preserve">ensity after 1 day of culture set as the baseline (100%). </w:t>
      </w:r>
      <w:r w:rsidR="00AD210F">
        <w:rPr>
          <w:rFonts w:cs="Arial"/>
        </w:rPr>
        <w:t xml:space="preserve">Both GG and Lap-GG bioinks sustained </w:t>
      </w:r>
      <w:r w:rsidRPr="00F54DA5">
        <w:rPr>
          <w:rFonts w:cs="Arial"/>
        </w:rPr>
        <w:t xml:space="preserve"> a linear and significant increase in cell density</w:t>
      </w:r>
      <w:r w:rsidR="00AD210F">
        <w:rPr>
          <w:rFonts w:cs="Arial"/>
        </w:rPr>
        <w:t xml:space="preserve"> over time (p&lt;0.01 and p&lt;0.0001 at day 21 respectively)</w:t>
      </w:r>
      <w:r w:rsidRPr="00F54DA5">
        <w:rPr>
          <w:rFonts w:cs="Arial"/>
        </w:rPr>
        <w:t>.</w:t>
      </w:r>
      <w:r w:rsidR="009014C2">
        <w:rPr>
          <w:rFonts w:cs="Arial"/>
        </w:rPr>
        <w:t xml:space="preserve"> </w:t>
      </w:r>
    </w:p>
    <w:p w14:paraId="4F0BE5F5" w14:textId="1681CA50" w:rsidR="009014C2" w:rsidRDefault="009014C2" w:rsidP="009014C2">
      <w:pPr>
        <w:spacing w:after="0" w:line="360" w:lineRule="auto"/>
        <w:jc w:val="both"/>
        <w:rPr>
          <w:rFonts w:cs="Arial"/>
        </w:rPr>
      </w:pPr>
      <w:r w:rsidRPr="00F54DA5">
        <w:rPr>
          <w:rFonts w:cs="Arial"/>
        </w:rPr>
        <w:t xml:space="preserve">C2C12 cell-laden printed scaffolds were evaluated for their </w:t>
      </w:r>
      <w:r>
        <w:rPr>
          <w:rFonts w:cs="Arial"/>
        </w:rPr>
        <w:t>ability to host osteogenic differentiation of seeded cells over 21 days</w:t>
      </w:r>
      <w:r w:rsidRPr="00F54DA5">
        <w:rPr>
          <w:rFonts w:cs="Arial"/>
        </w:rPr>
        <w:t xml:space="preserve">. Scaffolds fabricated with GG and LAP-GG bioink were cultured for 1, 7 and 21 days in basal (Figure 3e) and osteogenic (Figure 3f) media. Results </w:t>
      </w:r>
      <w:r>
        <w:rPr>
          <w:rFonts w:cs="Arial"/>
        </w:rPr>
        <w:t xml:space="preserve">demonstrated that </w:t>
      </w:r>
      <w:r w:rsidRPr="00F54DA5">
        <w:rPr>
          <w:rFonts w:cs="Arial"/>
        </w:rPr>
        <w:t xml:space="preserve">basal </w:t>
      </w:r>
      <w:r w:rsidRPr="00F54DA5">
        <w:rPr>
          <w:rFonts w:cs="Arial"/>
        </w:rPr>
        <w:lastRenderedPageBreak/>
        <w:t xml:space="preserve">conditioning of GG encapsulated C2C12 cells showed limited ALP staining after 1 and 7 days, with expression of ALP after 21 days </w:t>
      </w:r>
      <w:r w:rsidRPr="00F54DA5">
        <w:rPr>
          <w:rFonts w:cs="Arial"/>
          <w:i/>
        </w:rPr>
        <w:t>in vitro</w:t>
      </w:r>
      <w:r w:rsidRPr="00F54DA5">
        <w:rPr>
          <w:rFonts w:cs="Arial"/>
        </w:rPr>
        <w:t xml:space="preserve">. LAP-GG cultured in basal media showed ALP expression after 1 day of culture </w:t>
      </w:r>
      <w:r>
        <w:rPr>
          <w:rFonts w:cs="Arial"/>
        </w:rPr>
        <w:t>that displayed an i</w:t>
      </w:r>
      <w:r w:rsidRPr="00F54DA5">
        <w:rPr>
          <w:rFonts w:cs="Arial"/>
        </w:rPr>
        <w:t xml:space="preserve">ncreasing intensity after 7 and 21 days. Osteogenic conditioned GG scaffolds were </w:t>
      </w:r>
      <w:r>
        <w:rPr>
          <w:rFonts w:cs="Arial"/>
        </w:rPr>
        <w:t xml:space="preserve">observed to </w:t>
      </w:r>
      <w:r w:rsidRPr="00F54DA5">
        <w:rPr>
          <w:rFonts w:cs="Arial"/>
        </w:rPr>
        <w:t xml:space="preserve">stain for ALP after 1 day with reduced intensity after 7 days of culture </w:t>
      </w:r>
      <w:r w:rsidRPr="00F54DA5">
        <w:rPr>
          <w:rFonts w:cs="Arial"/>
          <w:i/>
        </w:rPr>
        <w:t>in vitro</w:t>
      </w:r>
      <w:r w:rsidRPr="00F54DA5">
        <w:rPr>
          <w:rFonts w:cs="Arial"/>
        </w:rPr>
        <w:t xml:space="preserve">. C2C12 cell-laden GG scaffolds </w:t>
      </w:r>
      <w:r>
        <w:rPr>
          <w:rFonts w:cs="Arial"/>
        </w:rPr>
        <w:t>demonstrated dif</w:t>
      </w:r>
      <w:r w:rsidRPr="00F54DA5">
        <w:rPr>
          <w:rFonts w:cs="Arial"/>
        </w:rPr>
        <w:t>fuse ALP expression. Noticeably darker cell agglomerates were found throughout the entire scaffold construct, suggesting mineralised nodules.</w:t>
      </w:r>
    </w:p>
    <w:p w14:paraId="2825B33D" w14:textId="3C56D4B4" w:rsidR="00A864BA" w:rsidRPr="00F54DA5" w:rsidRDefault="009F15AD" w:rsidP="00D60BEE">
      <w:pPr>
        <w:spacing w:line="360" w:lineRule="auto"/>
        <w:jc w:val="center"/>
        <w:rPr>
          <w:rFonts w:cs="Arial"/>
          <w:iCs/>
          <w:sz w:val="20"/>
        </w:rPr>
      </w:pPr>
      <w:r>
        <w:rPr>
          <w:rFonts w:cs="Arial"/>
          <w:iCs/>
          <w:noProof/>
          <w:sz w:val="20"/>
          <w:lang w:eastAsia="zh-CN"/>
        </w:rPr>
        <w:drawing>
          <wp:inline distT="0" distB="0" distL="0" distR="0" wp14:anchorId="62B6536B" wp14:editId="7A3410CE">
            <wp:extent cx="4071067" cy="7310296"/>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4655" cy="7334696"/>
                    </a:xfrm>
                    <a:prstGeom prst="rect">
                      <a:avLst/>
                    </a:prstGeom>
                    <a:noFill/>
                  </pic:spPr>
                </pic:pic>
              </a:graphicData>
            </a:graphic>
          </wp:inline>
        </w:drawing>
      </w:r>
    </w:p>
    <w:p w14:paraId="1A346891" w14:textId="5F56ADD6" w:rsidR="00A864BA" w:rsidRPr="00F54DA5" w:rsidRDefault="00A864BA" w:rsidP="00D9695A">
      <w:pPr>
        <w:pStyle w:val="Caption"/>
        <w:spacing w:line="276" w:lineRule="auto"/>
        <w:jc w:val="both"/>
        <w:rPr>
          <w:rFonts w:cs="Arial"/>
          <w:iCs w:val="0"/>
          <w:vanish/>
          <w:color w:val="auto"/>
          <w:sz w:val="22"/>
          <w:szCs w:val="22"/>
          <w:specVanish/>
        </w:rPr>
      </w:pPr>
      <w:bookmarkStart w:id="30" w:name="_Toc529725153"/>
      <w:r w:rsidRPr="00F54DA5">
        <w:rPr>
          <w:color w:val="auto"/>
          <w:sz w:val="22"/>
          <w:szCs w:val="22"/>
        </w:rPr>
        <w:lastRenderedPageBreak/>
        <w:t>Figure</w:t>
      </w:r>
      <w:r w:rsidR="00B055EA" w:rsidRPr="00F54DA5">
        <w:rPr>
          <w:color w:val="auto"/>
          <w:sz w:val="22"/>
          <w:szCs w:val="22"/>
        </w:rPr>
        <w:t xml:space="preserve"> </w:t>
      </w:r>
      <w:r w:rsidRPr="00F54DA5">
        <w:rPr>
          <w:color w:val="auto"/>
          <w:sz w:val="22"/>
          <w:szCs w:val="22"/>
        </w:rPr>
        <w:fldChar w:fldCharType="begin"/>
      </w:r>
      <w:r w:rsidRPr="00F54DA5">
        <w:rPr>
          <w:color w:val="auto"/>
          <w:sz w:val="22"/>
          <w:szCs w:val="22"/>
        </w:rPr>
        <w:instrText xml:space="preserve"> SEQ Figure \* ARABIC \s 1 </w:instrText>
      </w:r>
      <w:r w:rsidRPr="00F54DA5">
        <w:rPr>
          <w:color w:val="auto"/>
          <w:sz w:val="22"/>
          <w:szCs w:val="22"/>
        </w:rPr>
        <w:fldChar w:fldCharType="separate"/>
      </w:r>
      <w:r w:rsidR="00D81898" w:rsidRPr="00F54DA5">
        <w:rPr>
          <w:noProof/>
          <w:color w:val="auto"/>
          <w:sz w:val="22"/>
          <w:szCs w:val="22"/>
        </w:rPr>
        <w:t>2</w:t>
      </w:r>
      <w:r w:rsidRPr="00F54DA5">
        <w:rPr>
          <w:color w:val="auto"/>
          <w:sz w:val="22"/>
          <w:szCs w:val="22"/>
        </w:rPr>
        <w:fldChar w:fldCharType="end"/>
      </w:r>
      <w:r w:rsidRPr="00F54DA5">
        <w:rPr>
          <w:color w:val="auto"/>
          <w:sz w:val="22"/>
          <w:szCs w:val="22"/>
        </w:rPr>
        <w:t>.</w:t>
      </w:r>
      <w:r w:rsidR="00D81898" w:rsidRPr="00F54DA5">
        <w:rPr>
          <w:color w:val="auto"/>
          <w:sz w:val="22"/>
          <w:szCs w:val="22"/>
        </w:rPr>
        <w:t xml:space="preserve"> Physical characterisation of printable nanosilicate composite </w:t>
      </w:r>
      <w:bookmarkEnd w:id="30"/>
      <w:r w:rsidR="00AD210F" w:rsidRPr="00F54DA5">
        <w:rPr>
          <w:color w:val="auto"/>
          <w:sz w:val="22"/>
          <w:szCs w:val="22"/>
        </w:rPr>
        <w:t xml:space="preserve">hydrogel. </w:t>
      </w:r>
    </w:p>
    <w:p w14:paraId="679C47E8" w14:textId="77777777" w:rsidR="00A864BA" w:rsidRPr="00F54DA5" w:rsidRDefault="00A864BA" w:rsidP="00D9695A">
      <w:pPr>
        <w:spacing w:line="276" w:lineRule="auto"/>
        <w:jc w:val="both"/>
        <w:rPr>
          <w:rFonts w:cs="Arial"/>
          <w:iCs/>
        </w:rPr>
      </w:pPr>
      <w:r w:rsidRPr="00F54DA5">
        <w:rPr>
          <w:rFonts w:cs="Arial"/>
          <w:iCs/>
        </w:rPr>
        <w:t xml:space="preserve"> </w:t>
      </w:r>
    </w:p>
    <w:p w14:paraId="636A7491" w14:textId="78FE2B9D" w:rsidR="00A864BA" w:rsidRDefault="00A864BA" w:rsidP="00D81898">
      <w:pPr>
        <w:spacing w:line="276" w:lineRule="auto"/>
        <w:jc w:val="both"/>
        <w:rPr>
          <w:rFonts w:cs="Arial"/>
          <w:iCs/>
          <w:lang w:val="it-IT"/>
        </w:rPr>
      </w:pPr>
      <w:r w:rsidRPr="00F54DA5">
        <w:rPr>
          <w:rFonts w:cs="Arial"/>
          <w:iCs/>
        </w:rPr>
        <w:t>Micrographs of GG (a) and LAP-GG (b) showing internal open porosity.</w:t>
      </w:r>
      <w:r w:rsidR="006375BD" w:rsidRPr="00F54DA5">
        <w:rPr>
          <w:rFonts w:cs="Arial"/>
          <w:iCs/>
        </w:rPr>
        <w:t xml:space="preserve"> EDX (</w:t>
      </w:r>
      <w:r w:rsidR="00D81898" w:rsidRPr="00F54DA5">
        <w:rPr>
          <w:rFonts w:cs="Arial"/>
          <w:iCs/>
        </w:rPr>
        <w:t>c</w:t>
      </w:r>
      <w:r w:rsidR="006375BD" w:rsidRPr="00F54DA5">
        <w:rPr>
          <w:rFonts w:cs="Arial"/>
          <w:iCs/>
        </w:rPr>
        <w:t xml:space="preserve">) of cross section of plotted GG and LAP-GG scaffolds </w:t>
      </w:r>
      <w:r w:rsidR="00CB5CB6">
        <w:rPr>
          <w:rFonts w:cs="Arial"/>
          <w:iCs/>
        </w:rPr>
        <w:t>following</w:t>
      </w:r>
      <w:r w:rsidR="006375BD" w:rsidRPr="00F54DA5">
        <w:rPr>
          <w:rFonts w:cs="Arial"/>
          <w:iCs/>
        </w:rPr>
        <w:t xml:space="preserve"> element analysis. </w:t>
      </w:r>
      <w:r w:rsidR="00C65E5E" w:rsidRPr="00F54DA5">
        <w:rPr>
          <w:rFonts w:cs="Arial"/>
          <w:iCs/>
        </w:rPr>
        <w:t>GG c</w:t>
      </w:r>
      <w:r w:rsidR="00711EDE">
        <w:rPr>
          <w:rFonts w:cs="Arial"/>
          <w:iCs/>
        </w:rPr>
        <w:t xml:space="preserve">ould </w:t>
      </w:r>
      <w:r w:rsidR="00C65E5E" w:rsidRPr="00F54DA5">
        <w:rPr>
          <w:rFonts w:cs="Arial"/>
          <w:iCs/>
        </w:rPr>
        <w:t>be extruded in agarose gel (</w:t>
      </w:r>
      <w:r w:rsidR="00D81898" w:rsidRPr="00F54DA5">
        <w:rPr>
          <w:rFonts w:cs="Arial"/>
          <w:iCs/>
        </w:rPr>
        <w:t>d-i</w:t>
      </w:r>
      <w:r w:rsidR="00C65E5E" w:rsidRPr="00F54DA5">
        <w:rPr>
          <w:rFonts w:cs="Arial"/>
          <w:iCs/>
        </w:rPr>
        <w:t>) or air (</w:t>
      </w:r>
      <w:r w:rsidR="00D81898" w:rsidRPr="00F54DA5">
        <w:rPr>
          <w:rFonts w:cs="Arial"/>
          <w:iCs/>
        </w:rPr>
        <w:t>d-ii</w:t>
      </w:r>
      <w:r w:rsidR="00C65E5E" w:rsidRPr="00F54DA5">
        <w:rPr>
          <w:rFonts w:cs="Arial"/>
          <w:iCs/>
        </w:rPr>
        <w:t>) into circular shape. LAP-GG deposited in agarose (</w:t>
      </w:r>
      <w:r w:rsidR="00D81898" w:rsidRPr="00F54DA5">
        <w:rPr>
          <w:rFonts w:cs="Arial"/>
          <w:iCs/>
        </w:rPr>
        <w:t>d-iii</w:t>
      </w:r>
      <w:r w:rsidR="00C65E5E" w:rsidRPr="00F54DA5">
        <w:rPr>
          <w:rFonts w:cs="Arial"/>
          <w:iCs/>
        </w:rPr>
        <w:t>) and in air (</w:t>
      </w:r>
      <w:r w:rsidR="00D81898" w:rsidRPr="00F54DA5">
        <w:rPr>
          <w:rFonts w:cs="Arial"/>
          <w:iCs/>
        </w:rPr>
        <w:t>d-iv</w:t>
      </w:r>
      <w:r w:rsidR="00C65E5E" w:rsidRPr="00F54DA5">
        <w:rPr>
          <w:rFonts w:cs="Arial"/>
          <w:iCs/>
        </w:rPr>
        <w:t xml:space="preserve">). Measurements of </w:t>
      </w:r>
      <w:r w:rsidR="00711EDE">
        <w:rPr>
          <w:rFonts w:cs="Arial"/>
          <w:iCs/>
        </w:rPr>
        <w:t xml:space="preserve">the </w:t>
      </w:r>
      <w:r w:rsidR="00C65E5E" w:rsidRPr="00F54DA5">
        <w:rPr>
          <w:rFonts w:cs="Arial"/>
          <w:iCs/>
        </w:rPr>
        <w:t>inner pore (</w:t>
      </w:r>
      <w:r w:rsidR="00D81898" w:rsidRPr="00F54DA5">
        <w:rPr>
          <w:rFonts w:cs="Arial"/>
          <w:iCs/>
        </w:rPr>
        <w:t>e</w:t>
      </w:r>
      <w:r w:rsidR="00C65E5E" w:rsidRPr="00F54DA5">
        <w:rPr>
          <w:rFonts w:cs="Arial"/>
          <w:iCs/>
        </w:rPr>
        <w:t xml:space="preserve">) and overall scaffold diameter </w:t>
      </w:r>
      <w:r w:rsidR="00D81898" w:rsidRPr="00F54DA5">
        <w:rPr>
          <w:rFonts w:cs="Arial"/>
          <w:iCs/>
        </w:rPr>
        <w:t>(f</w:t>
      </w:r>
      <w:r w:rsidR="00C65E5E" w:rsidRPr="00F54DA5">
        <w:rPr>
          <w:rFonts w:cs="Arial"/>
          <w:iCs/>
        </w:rPr>
        <w:t xml:space="preserve">) on samples printed in agarose fluid gel or in air. </w:t>
      </w:r>
      <w:r w:rsidR="00D81898" w:rsidRPr="00F54DA5">
        <w:t xml:space="preserve">Statistical significance assessed by one-way ANOVA. </w:t>
      </w:r>
      <w:r w:rsidR="00D81898" w:rsidRPr="00F54DA5">
        <w:rPr>
          <w:rFonts w:cs="Arial"/>
          <w:iCs/>
        </w:rPr>
        <w:t xml:space="preserve">Mean ± S.D. n=6, ****p&lt;0.0001. </w:t>
      </w:r>
      <w:r w:rsidR="00D81898" w:rsidRPr="00C40341">
        <w:rPr>
          <w:rFonts w:cs="Arial"/>
          <w:iCs/>
          <w:lang w:val="it-IT"/>
        </w:rPr>
        <w:t>Scale bar: (a-i, b-i) 1mm, (a-ii, b-ii) 300 µm, (d-i-iv) 2 mm.</w:t>
      </w:r>
    </w:p>
    <w:p w14:paraId="48752D74" w14:textId="2D6C9022" w:rsidR="005443B7" w:rsidRPr="00F54DA5" w:rsidRDefault="00126CD4" w:rsidP="005443B7">
      <w:pPr>
        <w:pStyle w:val="Heading3"/>
        <w:numPr>
          <w:ilvl w:val="0"/>
          <w:numId w:val="0"/>
        </w:numPr>
        <w:spacing w:before="360" w:after="240"/>
        <w:jc w:val="both"/>
      </w:pPr>
      <w:bookmarkStart w:id="31" w:name="_Toc529724938"/>
      <w:r>
        <w:t xml:space="preserve">3.4 </w:t>
      </w:r>
      <w:r w:rsidR="005443B7" w:rsidRPr="00F54DA5">
        <w:t xml:space="preserve">Drug absorption/release from </w:t>
      </w:r>
      <w:r w:rsidR="00AD210F">
        <w:t>composite</w:t>
      </w:r>
      <w:r w:rsidR="005443B7" w:rsidRPr="00F54DA5">
        <w:t xml:space="preserve"> bioink</w:t>
      </w:r>
      <w:bookmarkEnd w:id="31"/>
    </w:p>
    <w:p w14:paraId="6C93628F" w14:textId="34B6C8B7" w:rsidR="005443B7" w:rsidRPr="00F54DA5" w:rsidRDefault="005443B7" w:rsidP="00BD3976">
      <w:pPr>
        <w:spacing w:after="0" w:line="360" w:lineRule="auto"/>
        <w:ind w:firstLine="567"/>
        <w:jc w:val="both"/>
        <w:rPr>
          <w:rFonts w:cs="Arial"/>
        </w:rPr>
      </w:pPr>
      <w:r w:rsidRPr="00F54DA5">
        <w:rPr>
          <w:rFonts w:cs="Arial"/>
        </w:rPr>
        <w:t xml:space="preserve">The potential for localisation and retention of drugs was tested on GG and LAP-GG constructs </w:t>
      </w:r>
      <w:r w:rsidRPr="00F54DA5">
        <w:rPr>
          <w:rFonts w:cs="Arial"/>
          <w:i/>
        </w:rPr>
        <w:t>in vitro</w:t>
      </w:r>
      <w:r w:rsidRPr="00F54DA5">
        <w:rPr>
          <w:rFonts w:cs="Arial"/>
        </w:rPr>
        <w:t>. BMP-2 and VEGF analogues (lysozyme and BSA, respectively) were used to model the load</w:t>
      </w:r>
      <w:r w:rsidR="00E65A54">
        <w:rPr>
          <w:rFonts w:cs="Arial"/>
        </w:rPr>
        <w:t xml:space="preserve"> </w:t>
      </w:r>
      <w:r w:rsidRPr="00F54DA5">
        <w:rPr>
          <w:rFonts w:cs="Arial"/>
        </w:rPr>
        <w:t>and release profiles of functional osteoinductive and angiogenic compounds</w:t>
      </w:r>
      <w:r w:rsidR="004F58BC">
        <w:rPr>
          <w:rFonts w:cs="Arial"/>
        </w:rPr>
        <w:t>,</w:t>
      </w:r>
      <w:r w:rsidRPr="00F54DA5">
        <w:rPr>
          <w:rFonts w:cs="Arial"/>
        </w:rPr>
        <w:t xml:space="preserve"> respectively. During absorption, cast gels were immersed in </w:t>
      </w:r>
      <w:r w:rsidR="00BD3976">
        <w:rPr>
          <w:rFonts w:cs="Arial"/>
        </w:rPr>
        <w:t xml:space="preserve">HBSS-based drug solution and release was </w:t>
      </w:r>
      <w:r w:rsidR="00FC21AD">
        <w:rPr>
          <w:rFonts w:cs="Arial"/>
        </w:rPr>
        <w:t xml:space="preserve">later </w:t>
      </w:r>
      <w:r w:rsidR="00BD3976">
        <w:rPr>
          <w:rFonts w:cs="Arial"/>
        </w:rPr>
        <w:t>induced by collagenase digestion (Figure 4a)</w:t>
      </w:r>
    </w:p>
    <w:p w14:paraId="71881F99" w14:textId="01704153" w:rsidR="00BD3976" w:rsidRDefault="00BD3976" w:rsidP="00BD3976">
      <w:pPr>
        <w:spacing w:after="0" w:line="360" w:lineRule="auto"/>
        <w:jc w:val="both"/>
        <w:rPr>
          <w:rFonts w:cs="Arial"/>
        </w:rPr>
      </w:pPr>
      <w:r w:rsidRPr="00F54DA5">
        <w:rPr>
          <w:rFonts w:cs="Arial"/>
        </w:rPr>
        <w:t>Lysozyme solution (10 µg ml</w:t>
      </w:r>
      <w:r w:rsidRPr="00F54DA5">
        <w:rPr>
          <w:rFonts w:cs="Arial"/>
          <w:vertAlign w:val="superscript"/>
        </w:rPr>
        <w:t>-1</w:t>
      </w:r>
      <w:r w:rsidRPr="00F54DA5">
        <w:rPr>
          <w:rFonts w:cs="Arial"/>
        </w:rPr>
        <w:t xml:space="preserve">) was incubated with the gels over 24 h. The solution concentration was subsequently measured as a surrogate marker of gel absorption. GG cast gels </w:t>
      </w:r>
      <w:r w:rsidR="00E65A54">
        <w:rPr>
          <w:rFonts w:cs="Arial"/>
        </w:rPr>
        <w:t>displayed a</w:t>
      </w:r>
      <w:r w:rsidRPr="00F54DA5">
        <w:rPr>
          <w:rFonts w:cs="Arial"/>
        </w:rPr>
        <w:t xml:space="preserve"> slow </w:t>
      </w:r>
      <w:r w:rsidR="00AD210F" w:rsidRPr="00F54DA5">
        <w:rPr>
          <w:rFonts w:cs="Arial"/>
        </w:rPr>
        <w:t>absorb</w:t>
      </w:r>
      <w:r w:rsidR="00AD210F">
        <w:rPr>
          <w:rFonts w:cs="Arial"/>
        </w:rPr>
        <w:t>tion</w:t>
      </w:r>
      <w:r w:rsidR="00AD210F" w:rsidRPr="00F54DA5">
        <w:rPr>
          <w:rFonts w:cs="Arial"/>
        </w:rPr>
        <w:t xml:space="preserve"> </w:t>
      </w:r>
      <w:r w:rsidRPr="00F54DA5">
        <w:rPr>
          <w:rFonts w:cs="Arial"/>
        </w:rPr>
        <w:t>profile (Figure 4a-i)</w:t>
      </w:r>
      <w:r w:rsidR="00D87303">
        <w:rPr>
          <w:rFonts w:cs="Arial"/>
        </w:rPr>
        <w:t>, while LAP-GG</w:t>
      </w:r>
      <w:r w:rsidR="000A6DA3" w:rsidRPr="00F54DA5">
        <w:rPr>
          <w:rFonts w:cs="Arial"/>
        </w:rPr>
        <w:t xml:space="preserve"> </w:t>
      </w:r>
      <w:r w:rsidRPr="00F54DA5">
        <w:rPr>
          <w:rFonts w:cs="Arial"/>
        </w:rPr>
        <w:t xml:space="preserve">was noted to be significantly faster after only 1 h, </w:t>
      </w:r>
      <w:r w:rsidR="00FA2A14">
        <w:rPr>
          <w:rFonts w:cs="Arial"/>
        </w:rPr>
        <w:t>similarly resuming the a</w:t>
      </w:r>
      <w:r w:rsidRPr="00F54DA5">
        <w:rPr>
          <w:rFonts w:cs="Arial"/>
        </w:rPr>
        <w:t>bsorption up to 24 h.</w:t>
      </w:r>
      <w:r w:rsidR="0099169D">
        <w:rPr>
          <w:rFonts w:cs="Arial"/>
        </w:rPr>
        <w:t xml:space="preserve"> Following 24</w:t>
      </w:r>
      <w:r w:rsidR="001B14A9">
        <w:rPr>
          <w:rFonts w:cs="Arial"/>
        </w:rPr>
        <w:t xml:space="preserve"> </w:t>
      </w:r>
      <w:r w:rsidR="0099169D">
        <w:rPr>
          <w:rFonts w:cs="Arial"/>
        </w:rPr>
        <w:t xml:space="preserve">h, lysozyme solution was replaced with collagenase and lysozyme release was measured. </w:t>
      </w:r>
      <w:r w:rsidRPr="00F54DA5">
        <w:rPr>
          <w:rFonts w:cs="Arial"/>
        </w:rPr>
        <w:t>GG (Figure 4a-ii) release</w:t>
      </w:r>
      <w:r w:rsidR="00AD210F">
        <w:rPr>
          <w:rFonts w:cs="Arial"/>
        </w:rPr>
        <w:t>d</w:t>
      </w:r>
      <w:r w:rsidRPr="00F54DA5">
        <w:rPr>
          <w:rFonts w:cs="Arial"/>
        </w:rPr>
        <w:t xml:space="preserve"> the majority of the absorbed lysozyme after 1 h  </w:t>
      </w:r>
      <w:r w:rsidR="00D87303">
        <w:rPr>
          <w:rFonts w:cs="Arial"/>
        </w:rPr>
        <w:t>while</w:t>
      </w:r>
      <w:r w:rsidRPr="00F54DA5">
        <w:rPr>
          <w:rFonts w:cs="Arial"/>
        </w:rPr>
        <w:t xml:space="preserve"> LAP-GG showed a </w:t>
      </w:r>
      <w:r w:rsidR="00AD210F">
        <w:rPr>
          <w:rFonts w:cs="Arial"/>
        </w:rPr>
        <w:t>sustained</w:t>
      </w:r>
      <w:r w:rsidR="00AD210F" w:rsidRPr="00F54DA5">
        <w:rPr>
          <w:rFonts w:cs="Arial"/>
        </w:rPr>
        <w:t xml:space="preserve"> </w:t>
      </w:r>
      <w:r w:rsidRPr="00F54DA5">
        <w:rPr>
          <w:rFonts w:cs="Arial"/>
        </w:rPr>
        <w:t>release profile</w:t>
      </w:r>
      <w:r w:rsidR="00AD210F">
        <w:rPr>
          <w:rFonts w:cs="Arial"/>
        </w:rPr>
        <w:t xml:space="preserve"> over</w:t>
      </w:r>
      <w:r w:rsidRPr="00F54DA5">
        <w:rPr>
          <w:rFonts w:cs="Arial"/>
        </w:rPr>
        <w:t xml:space="preserve"> 24 h. </w:t>
      </w:r>
    </w:p>
    <w:p w14:paraId="5F367C85" w14:textId="255E3E01" w:rsidR="00D87303" w:rsidRDefault="00DA1926" w:rsidP="00D87303">
      <w:pPr>
        <w:spacing w:line="360" w:lineRule="auto"/>
        <w:jc w:val="both"/>
        <w:rPr>
          <w:rFonts w:cs="Arial"/>
        </w:rPr>
      </w:pPr>
      <w:r w:rsidRPr="00F54DA5">
        <w:rPr>
          <w:rFonts w:cs="Arial"/>
        </w:rPr>
        <w:t xml:space="preserve">BSA was absorbed onto GG and LAP-GG at an initial </w:t>
      </w:r>
      <w:r w:rsidR="00AD210F">
        <w:rPr>
          <w:rFonts w:cs="Arial"/>
        </w:rPr>
        <w:t>concentration</w:t>
      </w:r>
      <w:r w:rsidR="00AD210F" w:rsidRPr="00F54DA5">
        <w:rPr>
          <w:rFonts w:cs="Arial"/>
        </w:rPr>
        <w:t xml:space="preserve"> </w:t>
      </w:r>
      <w:r w:rsidRPr="00F54DA5">
        <w:rPr>
          <w:rFonts w:cs="Arial"/>
        </w:rPr>
        <w:t>of 100 µg ml</w:t>
      </w:r>
      <w:r w:rsidRPr="00F54DA5">
        <w:rPr>
          <w:rFonts w:cs="Arial"/>
          <w:vertAlign w:val="superscript"/>
        </w:rPr>
        <w:t>-1</w:t>
      </w:r>
      <w:r w:rsidRPr="00F54DA5">
        <w:rPr>
          <w:rFonts w:cs="Arial"/>
        </w:rPr>
        <w:t xml:space="preserve"> (Figure 4a-iii). GG</w:t>
      </w:r>
      <w:r w:rsidR="00D87303">
        <w:rPr>
          <w:rFonts w:cs="Arial"/>
        </w:rPr>
        <w:t xml:space="preserve"> and LAP-GG displayed rapid absorption</w:t>
      </w:r>
      <w:r w:rsidRPr="00F54DA5">
        <w:rPr>
          <w:rFonts w:cs="Arial"/>
        </w:rPr>
        <w:t xml:space="preserve"> kinetic with peak </w:t>
      </w:r>
      <w:r w:rsidR="00D87303">
        <w:rPr>
          <w:rFonts w:cs="Arial"/>
        </w:rPr>
        <w:t>after</w:t>
      </w:r>
      <w:r w:rsidRPr="00F54DA5">
        <w:rPr>
          <w:rFonts w:cs="Arial"/>
        </w:rPr>
        <w:t xml:space="preserve"> 1 h</w:t>
      </w:r>
      <w:r w:rsidR="00D87303">
        <w:rPr>
          <w:rFonts w:cs="Arial"/>
        </w:rPr>
        <w:t xml:space="preserve"> and </w:t>
      </w:r>
      <w:r w:rsidRPr="00F54DA5">
        <w:rPr>
          <w:rFonts w:cs="Arial"/>
        </w:rPr>
        <w:t xml:space="preserve">plateau at </w:t>
      </w:r>
      <w:r w:rsidR="00D87303">
        <w:rPr>
          <w:rFonts w:cs="Arial"/>
        </w:rPr>
        <w:t>up to</w:t>
      </w:r>
      <w:r w:rsidRPr="00F54DA5">
        <w:rPr>
          <w:rFonts w:cs="Arial"/>
        </w:rPr>
        <w:t xml:space="preserve"> 24</w:t>
      </w:r>
      <w:r w:rsidR="00EE444C">
        <w:rPr>
          <w:rFonts w:cs="Arial"/>
        </w:rPr>
        <w:t>h</w:t>
      </w:r>
      <w:r w:rsidRPr="00F54DA5">
        <w:rPr>
          <w:rFonts w:cs="Arial"/>
        </w:rPr>
        <w:t xml:space="preserve">. </w:t>
      </w:r>
      <w:r w:rsidR="00D87303" w:rsidRPr="00F54DA5">
        <w:rPr>
          <w:rFonts w:cs="Arial"/>
        </w:rPr>
        <w:t xml:space="preserve">Release of BSA </w:t>
      </w:r>
      <w:r w:rsidR="00D87303">
        <w:rPr>
          <w:rFonts w:cs="Arial"/>
        </w:rPr>
        <w:t>following</w:t>
      </w:r>
      <w:r w:rsidR="00D87303" w:rsidRPr="00F54DA5">
        <w:rPr>
          <w:rFonts w:cs="Arial"/>
        </w:rPr>
        <w:t xml:space="preserve"> the addition of collagenase solution (Figure 4a-iv) showed the greatest localisation capacity of LAP-GG compared to GG. </w:t>
      </w:r>
      <w:r w:rsidR="00D87303">
        <w:rPr>
          <w:rFonts w:cs="Arial"/>
        </w:rPr>
        <w:t>LAP</w:t>
      </w:r>
      <w:r w:rsidR="00D87303" w:rsidRPr="00F54DA5">
        <w:rPr>
          <w:rFonts w:cs="Arial"/>
        </w:rPr>
        <w:t xml:space="preserve">-free GG digestion with collagenase solution produced </w:t>
      </w:r>
      <w:r w:rsidR="00D87303">
        <w:rPr>
          <w:rFonts w:cs="Arial"/>
        </w:rPr>
        <w:t xml:space="preserve">a linear release, while </w:t>
      </w:r>
      <w:r w:rsidR="00D87303" w:rsidRPr="00F54DA5">
        <w:rPr>
          <w:rFonts w:cs="Arial"/>
        </w:rPr>
        <w:t xml:space="preserve">LAP-GG was found to release a negligible amount of BSA </w:t>
      </w:r>
      <w:r w:rsidR="00D87303">
        <w:rPr>
          <w:rFonts w:cs="Arial"/>
        </w:rPr>
        <w:t xml:space="preserve">with a similar kinetic over 24 h. </w:t>
      </w:r>
    </w:p>
    <w:p w14:paraId="2B7D83A8" w14:textId="77777777" w:rsidR="00E273E5" w:rsidRPr="00F54DA5" w:rsidRDefault="00E273E5" w:rsidP="00D87303">
      <w:pPr>
        <w:spacing w:line="360" w:lineRule="auto"/>
        <w:jc w:val="both"/>
        <w:rPr>
          <w:rFonts w:cs="Arial"/>
        </w:rPr>
      </w:pPr>
    </w:p>
    <w:p w14:paraId="77398315" w14:textId="77777777" w:rsidR="00E273E5" w:rsidRPr="00F54DA5" w:rsidRDefault="00E273E5" w:rsidP="00E273E5">
      <w:pPr>
        <w:pStyle w:val="Heading3"/>
        <w:numPr>
          <w:ilvl w:val="0"/>
          <w:numId w:val="0"/>
        </w:numPr>
        <w:spacing w:before="360" w:after="240"/>
        <w:ind w:left="360"/>
        <w:jc w:val="both"/>
      </w:pPr>
      <w:bookmarkStart w:id="32" w:name="_Toc529724939"/>
      <w:r>
        <w:lastRenderedPageBreak/>
        <w:t xml:space="preserve">3.5 </w:t>
      </w:r>
      <w:r w:rsidRPr="00F54DA5">
        <w:t>CAM assay of VEGF-absorbed LAP-GG printed constructs</w:t>
      </w:r>
      <w:bookmarkEnd w:id="32"/>
    </w:p>
    <w:p w14:paraId="7466C346" w14:textId="77777777" w:rsidR="00E273E5" w:rsidRDefault="00E273E5" w:rsidP="00E273E5">
      <w:pPr>
        <w:spacing w:line="360" w:lineRule="auto"/>
        <w:ind w:firstLine="360"/>
        <w:jc w:val="both"/>
        <w:rPr>
          <w:rFonts w:cs="Arial"/>
        </w:rPr>
      </w:pPr>
      <w:r w:rsidRPr="00F54DA5">
        <w:rPr>
          <w:rFonts w:cs="Arial"/>
        </w:rPr>
        <w:t xml:space="preserve">To test the potential to load drugs solubilised in the agarose gel bed while printing GG or </w:t>
      </w:r>
      <w:r>
        <w:rPr>
          <w:rFonts w:cs="Arial"/>
        </w:rPr>
        <w:t>LAP-GG</w:t>
      </w:r>
      <w:r w:rsidRPr="00F54DA5">
        <w:rPr>
          <w:rFonts w:cs="Arial"/>
        </w:rPr>
        <w:t>, a bright dye (red and blue, respectively) was used to colour the agarose gel and absorption of the dye was investigated after printing and crosslinking of the scaffold</w:t>
      </w:r>
      <w:r>
        <w:rPr>
          <w:rFonts w:cs="Arial"/>
        </w:rPr>
        <w:t xml:space="preserve"> (Figure 4b)</w:t>
      </w:r>
      <w:r w:rsidRPr="00F54DA5">
        <w:rPr>
          <w:rFonts w:cs="Arial"/>
        </w:rPr>
        <w:t>.</w:t>
      </w:r>
      <w:r>
        <w:rPr>
          <w:rFonts w:cs="Arial"/>
        </w:rPr>
        <w:t xml:space="preserve"> </w:t>
      </w:r>
      <w:r w:rsidRPr="00F54DA5">
        <w:rPr>
          <w:rFonts w:cs="Arial"/>
        </w:rPr>
        <w:t>GG (</w:t>
      </w:r>
      <w:r>
        <w:rPr>
          <w:rFonts w:cs="Arial"/>
        </w:rPr>
        <w:t>Figure 4b-i</w:t>
      </w:r>
      <w:r w:rsidRPr="00F54DA5">
        <w:rPr>
          <w:rFonts w:cs="Arial"/>
        </w:rPr>
        <w:t>)</w:t>
      </w:r>
      <w:r>
        <w:rPr>
          <w:rFonts w:cs="Arial"/>
        </w:rPr>
        <w:t xml:space="preserve"> and </w:t>
      </w:r>
      <w:r w:rsidRPr="00F54DA5">
        <w:rPr>
          <w:rFonts w:cs="Arial"/>
        </w:rPr>
        <w:t>LAP-GG (</w:t>
      </w:r>
      <w:r>
        <w:rPr>
          <w:rFonts w:cs="Arial"/>
        </w:rPr>
        <w:t>Figure 4b-ii</w:t>
      </w:r>
      <w:r w:rsidRPr="00F54DA5">
        <w:rPr>
          <w:rFonts w:cs="Arial"/>
        </w:rPr>
        <w:t>) w</w:t>
      </w:r>
      <w:r>
        <w:rPr>
          <w:rFonts w:cs="Arial"/>
        </w:rPr>
        <w:t>ere</w:t>
      </w:r>
      <w:r w:rsidRPr="00F54DA5">
        <w:rPr>
          <w:rFonts w:cs="Arial"/>
        </w:rPr>
        <w:t xml:space="preserve"> printed in a red</w:t>
      </w:r>
      <w:r>
        <w:rPr>
          <w:rFonts w:cs="Arial"/>
        </w:rPr>
        <w:t xml:space="preserve"> and blue</w:t>
      </w:r>
      <w:r w:rsidRPr="00F54DA5">
        <w:rPr>
          <w:rFonts w:cs="Arial"/>
        </w:rPr>
        <w:t xml:space="preserve"> dyed agarose gel</w:t>
      </w:r>
      <w:r>
        <w:rPr>
          <w:rFonts w:cs="Arial"/>
        </w:rPr>
        <w:t>s, respectively</w:t>
      </w:r>
      <w:r w:rsidRPr="00F54DA5">
        <w:rPr>
          <w:rFonts w:cs="Arial"/>
        </w:rPr>
        <w:t xml:space="preserve">. </w:t>
      </w:r>
      <w:r>
        <w:rPr>
          <w:rFonts w:cs="Arial"/>
        </w:rPr>
        <w:t xml:space="preserve">Image analysis indicated that </w:t>
      </w:r>
      <w:r w:rsidRPr="00F54DA5">
        <w:rPr>
          <w:rFonts w:cs="Arial"/>
        </w:rPr>
        <w:t xml:space="preserve">LAP-GG strands were extensively loaded </w:t>
      </w:r>
      <w:r>
        <w:rPr>
          <w:rFonts w:cs="Arial"/>
        </w:rPr>
        <w:t>throughout the construct when compared with</w:t>
      </w:r>
      <w:r w:rsidRPr="00F54DA5">
        <w:rPr>
          <w:rFonts w:cs="Arial"/>
        </w:rPr>
        <w:t xml:space="preserve"> GG</w:t>
      </w:r>
      <w:r>
        <w:rPr>
          <w:rFonts w:cs="Arial"/>
        </w:rPr>
        <w:t xml:space="preserve"> constructs.</w:t>
      </w:r>
      <w:r w:rsidRPr="00F54DA5" w:rsidDel="008B20C9">
        <w:rPr>
          <w:rFonts w:cs="Arial"/>
        </w:rPr>
        <w:t xml:space="preserve"> </w:t>
      </w:r>
      <w:r w:rsidRPr="00F54DA5">
        <w:rPr>
          <w:rFonts w:cs="Arial"/>
        </w:rPr>
        <w:t xml:space="preserve">Loading </w:t>
      </w:r>
      <w:r>
        <w:rPr>
          <w:rFonts w:cs="Arial"/>
        </w:rPr>
        <w:t xml:space="preserve">of </w:t>
      </w:r>
      <w:r w:rsidRPr="00F54DA5">
        <w:rPr>
          <w:rFonts w:cs="Arial"/>
        </w:rPr>
        <w:t xml:space="preserve">VEGF solubilised in agarose onto printed scaffolds was performed during extrusion of bulk cylindrical GG and LAP-GG bioink in the fluid gel. 3D constructs loaded with VEGF or HBSS (control) were implanted in </w:t>
      </w:r>
      <w:r>
        <w:rPr>
          <w:rFonts w:cs="Arial"/>
        </w:rPr>
        <w:t>the chick</w:t>
      </w:r>
      <w:r w:rsidRPr="00F54DA5">
        <w:rPr>
          <w:rFonts w:cs="Arial"/>
        </w:rPr>
        <w:t xml:space="preserve"> CAM model to evaluate </w:t>
      </w:r>
      <w:r>
        <w:rPr>
          <w:rFonts w:cs="Arial"/>
        </w:rPr>
        <w:t xml:space="preserve">angiogenesis </w:t>
      </w:r>
      <w:r w:rsidRPr="00F54DA5">
        <w:rPr>
          <w:rFonts w:cs="Arial"/>
        </w:rPr>
        <w:t xml:space="preserve">and integration of the scaffolds with the CAM (Figure 4c). GG, LAP-GG, GG-VEGF and LAP-GG-VEGF scaffolds were implanted on the chorioallantoic membrane of the developing chick. </w:t>
      </w:r>
    </w:p>
    <w:p w14:paraId="1BB047D6" w14:textId="7A32A76F" w:rsidR="00440775" w:rsidRPr="00F54DA5" w:rsidRDefault="00440775" w:rsidP="00DA1926">
      <w:pPr>
        <w:spacing w:line="360" w:lineRule="auto"/>
        <w:jc w:val="both"/>
      </w:pPr>
    </w:p>
    <w:p w14:paraId="706DE1FF" w14:textId="09E239D2" w:rsidR="00440775" w:rsidRPr="00F54DA5" w:rsidRDefault="009F15AD" w:rsidP="005443B7">
      <w:pPr>
        <w:spacing w:line="360" w:lineRule="auto"/>
        <w:jc w:val="center"/>
      </w:pPr>
      <w:r>
        <w:rPr>
          <w:noProof/>
          <w:lang w:eastAsia="zh-CN"/>
        </w:rPr>
        <w:lastRenderedPageBreak/>
        <w:drawing>
          <wp:inline distT="0" distB="0" distL="0" distR="0" wp14:anchorId="2336D30D" wp14:editId="0F5FC650">
            <wp:extent cx="3476146" cy="64536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3911" cy="6486636"/>
                    </a:xfrm>
                    <a:prstGeom prst="rect">
                      <a:avLst/>
                    </a:prstGeom>
                    <a:noFill/>
                  </pic:spPr>
                </pic:pic>
              </a:graphicData>
            </a:graphic>
          </wp:inline>
        </w:drawing>
      </w:r>
    </w:p>
    <w:p w14:paraId="26F03FEB" w14:textId="226A507B" w:rsidR="00C65E5E" w:rsidRPr="00F54DA5" w:rsidRDefault="00C65E5E" w:rsidP="00C65E5E">
      <w:pPr>
        <w:pStyle w:val="Caption"/>
        <w:spacing w:line="276" w:lineRule="auto"/>
        <w:jc w:val="both"/>
        <w:rPr>
          <w:rFonts w:cs="Arial"/>
          <w:iCs w:val="0"/>
          <w:vanish/>
          <w:color w:val="auto"/>
          <w:sz w:val="22"/>
          <w:szCs w:val="22"/>
          <w:specVanish/>
        </w:rPr>
      </w:pPr>
      <w:bookmarkStart w:id="33" w:name="_Ref442319"/>
      <w:bookmarkStart w:id="34" w:name="_Toc529725156"/>
      <w:r w:rsidRPr="00F54DA5">
        <w:rPr>
          <w:color w:val="auto"/>
          <w:sz w:val="22"/>
          <w:szCs w:val="22"/>
        </w:rPr>
        <w:t xml:space="preserve">Figure </w:t>
      </w:r>
      <w:r w:rsidRPr="00F54DA5">
        <w:rPr>
          <w:color w:val="auto"/>
          <w:sz w:val="22"/>
          <w:szCs w:val="22"/>
        </w:rPr>
        <w:fldChar w:fldCharType="begin"/>
      </w:r>
      <w:r w:rsidRPr="00F54DA5">
        <w:rPr>
          <w:color w:val="auto"/>
          <w:sz w:val="22"/>
          <w:szCs w:val="22"/>
        </w:rPr>
        <w:instrText xml:space="preserve"> SEQ Figure \* ARABIC \s 1 </w:instrText>
      </w:r>
      <w:r w:rsidRPr="00F54DA5">
        <w:rPr>
          <w:color w:val="auto"/>
          <w:sz w:val="22"/>
          <w:szCs w:val="22"/>
        </w:rPr>
        <w:fldChar w:fldCharType="separate"/>
      </w:r>
      <w:r w:rsidR="00D81898" w:rsidRPr="00F54DA5">
        <w:rPr>
          <w:noProof/>
          <w:color w:val="auto"/>
          <w:sz w:val="22"/>
          <w:szCs w:val="22"/>
        </w:rPr>
        <w:t>3</w:t>
      </w:r>
      <w:r w:rsidRPr="00F54DA5">
        <w:rPr>
          <w:color w:val="auto"/>
          <w:sz w:val="22"/>
          <w:szCs w:val="22"/>
        </w:rPr>
        <w:fldChar w:fldCharType="end"/>
      </w:r>
      <w:bookmarkEnd w:id="33"/>
      <w:r w:rsidR="00D81898" w:rsidRPr="00F54DA5">
        <w:rPr>
          <w:color w:val="auto"/>
          <w:sz w:val="22"/>
          <w:szCs w:val="22"/>
        </w:rPr>
        <w:t>.</w:t>
      </w:r>
      <w:r w:rsidR="00BD3976">
        <w:rPr>
          <w:color w:val="auto"/>
          <w:sz w:val="22"/>
          <w:szCs w:val="22"/>
        </w:rPr>
        <w:t xml:space="preserve"> </w:t>
      </w:r>
      <w:r w:rsidR="00D81898" w:rsidRPr="00F54DA5">
        <w:rPr>
          <w:color w:val="auto"/>
          <w:sz w:val="22"/>
          <w:szCs w:val="22"/>
        </w:rPr>
        <w:t>E</w:t>
      </w:r>
      <w:r w:rsidRPr="00F54DA5">
        <w:rPr>
          <w:rFonts w:cs="Arial"/>
          <w:color w:val="auto"/>
          <w:sz w:val="22"/>
          <w:szCs w:val="22"/>
        </w:rPr>
        <w:t>valuation of printed cell</w:t>
      </w:r>
      <w:r w:rsidR="00D81898" w:rsidRPr="00F54DA5">
        <w:rPr>
          <w:rFonts w:cs="Arial"/>
          <w:color w:val="auto"/>
          <w:sz w:val="22"/>
          <w:szCs w:val="22"/>
        </w:rPr>
        <w:t>-laden nanocomposite bioink</w:t>
      </w:r>
      <w:r w:rsidRPr="00F54DA5">
        <w:rPr>
          <w:rFonts w:cs="Arial"/>
          <w:color w:val="auto"/>
          <w:sz w:val="22"/>
          <w:szCs w:val="22"/>
        </w:rPr>
        <w:t>.</w:t>
      </w:r>
      <w:bookmarkEnd w:id="34"/>
      <w:r w:rsidRPr="00F54DA5">
        <w:rPr>
          <w:rFonts w:cs="Arial"/>
          <w:vanish/>
          <w:color w:val="auto"/>
          <w:sz w:val="22"/>
          <w:szCs w:val="22"/>
          <w:specVanish/>
        </w:rPr>
        <w:t xml:space="preserve"> </w:t>
      </w:r>
    </w:p>
    <w:p w14:paraId="69D0E66C" w14:textId="77777777" w:rsidR="00C65E5E" w:rsidRPr="00F54DA5" w:rsidRDefault="00C65E5E" w:rsidP="00C65E5E">
      <w:pPr>
        <w:spacing w:line="276" w:lineRule="auto"/>
        <w:jc w:val="both"/>
        <w:rPr>
          <w:rFonts w:cs="Arial"/>
          <w:iCs/>
        </w:rPr>
      </w:pPr>
      <w:r w:rsidRPr="00F54DA5">
        <w:rPr>
          <w:rFonts w:cs="Arial"/>
          <w:iCs/>
        </w:rPr>
        <w:t xml:space="preserve"> </w:t>
      </w:r>
    </w:p>
    <w:p w14:paraId="20801B62" w14:textId="01821418" w:rsidR="00A864BA" w:rsidRPr="00F54DA5" w:rsidRDefault="00C65E5E" w:rsidP="005443B7">
      <w:pPr>
        <w:spacing w:line="276" w:lineRule="auto"/>
        <w:jc w:val="both"/>
      </w:pPr>
      <w:r w:rsidRPr="00F54DA5">
        <w:t xml:space="preserve">Confocal microscopy images of C2C12-laden GG (a) and LAP-GG (b) scaffolds at (i) 1, (ii) 7 and (iii) 21 days. All cells were stained with DiD solution (red) with mitotically active cells stained with Calcein AM (green). Cell (c) viability and (d) density were quantified from confocal images. Cell viability percentages were obtained from the calculated difference between </w:t>
      </w:r>
      <w:r w:rsidR="00E65A54">
        <w:t xml:space="preserve">viable </w:t>
      </w:r>
      <w:r w:rsidRPr="00F54DA5">
        <w:t xml:space="preserve">and total numbers of cells. Dead cells were assumed to comprise cells not stained </w:t>
      </w:r>
      <w:r w:rsidR="00D81898" w:rsidRPr="00F54DA5">
        <w:t xml:space="preserve">with Calcein AM. </w:t>
      </w:r>
      <w:r w:rsidR="00D81898" w:rsidRPr="00F54DA5">
        <w:rPr>
          <w:rFonts w:cs="Arial"/>
          <w:iCs/>
        </w:rPr>
        <w:t xml:space="preserve">ALP stained </w:t>
      </w:r>
      <w:r w:rsidRPr="00F54DA5">
        <w:rPr>
          <w:rFonts w:cs="Arial"/>
          <w:iCs/>
        </w:rPr>
        <w:t>GG</w:t>
      </w:r>
      <w:r w:rsidR="00D81898" w:rsidRPr="00F54DA5">
        <w:rPr>
          <w:rFonts w:cs="Arial"/>
          <w:iCs/>
        </w:rPr>
        <w:t xml:space="preserve"> and LAP-GG</w:t>
      </w:r>
      <w:r w:rsidRPr="00F54DA5">
        <w:rPr>
          <w:rFonts w:cs="Arial"/>
          <w:iCs/>
        </w:rPr>
        <w:t xml:space="preserve"> printed scaffolds imaged after 1</w:t>
      </w:r>
      <w:r w:rsidR="00D81898" w:rsidRPr="00F54DA5">
        <w:rPr>
          <w:rFonts w:cs="Arial"/>
          <w:iCs/>
        </w:rPr>
        <w:t>,</w:t>
      </w:r>
      <w:r w:rsidRPr="00F54DA5">
        <w:rPr>
          <w:rFonts w:cs="Arial"/>
          <w:iCs/>
        </w:rPr>
        <w:t xml:space="preserve"> 7 and 21 days of culture in basal </w:t>
      </w:r>
      <w:r w:rsidR="005443B7" w:rsidRPr="00F54DA5">
        <w:rPr>
          <w:rFonts w:cs="Arial"/>
          <w:iCs/>
        </w:rPr>
        <w:t xml:space="preserve">(e) and osteogenic (f) media. </w:t>
      </w:r>
      <w:r w:rsidR="00D81898" w:rsidRPr="00F54DA5">
        <w:t xml:space="preserve">Statistical significance assessed by two-way ANOVA. Mean </w:t>
      </w:r>
      <w:r w:rsidR="00D81898" w:rsidRPr="00F54DA5">
        <w:rPr>
          <w:rFonts w:cs="Arial"/>
        </w:rPr>
        <w:t>±</w:t>
      </w:r>
      <w:r w:rsidR="00D81898" w:rsidRPr="00F54DA5">
        <w:t xml:space="preserve"> S.D. n=3, **p&lt;0.01, **** p&lt;0.0001.</w:t>
      </w:r>
      <w:r w:rsidR="005443B7" w:rsidRPr="00F54DA5">
        <w:t xml:space="preserve"> Scale bar: (a-f) 100 µm</w:t>
      </w:r>
    </w:p>
    <w:p w14:paraId="0BBC6E65" w14:textId="28E3009C" w:rsidR="00A864BA" w:rsidRDefault="00A864BA" w:rsidP="000E1272">
      <w:pPr>
        <w:spacing w:line="360" w:lineRule="auto"/>
        <w:jc w:val="both"/>
        <w:rPr>
          <w:rFonts w:cs="Arial"/>
        </w:rPr>
      </w:pPr>
      <w:r w:rsidRPr="00F54DA5">
        <w:rPr>
          <w:rFonts w:cs="Arial"/>
        </w:rPr>
        <w:t xml:space="preserve">GG </w:t>
      </w:r>
      <w:r w:rsidR="00E65A54">
        <w:rPr>
          <w:rFonts w:cs="Arial"/>
        </w:rPr>
        <w:t xml:space="preserve">constructs were observed to </w:t>
      </w:r>
      <w:r w:rsidRPr="00F54DA5">
        <w:rPr>
          <w:rFonts w:cs="Arial"/>
        </w:rPr>
        <w:t>integrate</w:t>
      </w:r>
      <w:r w:rsidR="00E65A54">
        <w:rPr>
          <w:rFonts w:cs="Arial"/>
        </w:rPr>
        <w:t xml:space="preserve"> with the CAM</w:t>
      </w:r>
      <w:r w:rsidR="000E1272">
        <w:rPr>
          <w:rFonts w:cs="Arial"/>
        </w:rPr>
        <w:t xml:space="preserve"> with angiogenesis evident</w:t>
      </w:r>
      <w:r w:rsidRPr="00F54DA5">
        <w:rPr>
          <w:rFonts w:cs="Arial"/>
        </w:rPr>
        <w:t xml:space="preserve">. Scaffold transparency allowed evaluation of penetrating vessels </w:t>
      </w:r>
      <w:r w:rsidRPr="00F54DA5">
        <w:rPr>
          <w:rFonts w:cs="Arial"/>
        </w:rPr>
        <w:lastRenderedPageBreak/>
        <w:t>(small in number) through the structure</w:t>
      </w:r>
      <w:r w:rsidR="00E65A54">
        <w:rPr>
          <w:rFonts w:cs="Arial"/>
        </w:rPr>
        <w:t xml:space="preserve"> with m</w:t>
      </w:r>
      <w:r w:rsidRPr="00F54DA5">
        <w:rPr>
          <w:rFonts w:cs="Arial"/>
        </w:rPr>
        <w:t xml:space="preserve">embrane vessels directed toward the sample. LAP-GG samples were </w:t>
      </w:r>
      <w:r w:rsidR="00E65A54">
        <w:rPr>
          <w:rFonts w:cs="Arial"/>
        </w:rPr>
        <w:t xml:space="preserve">also </w:t>
      </w:r>
      <w:r w:rsidRPr="00F54DA5">
        <w:rPr>
          <w:rFonts w:cs="Arial"/>
        </w:rPr>
        <w:t xml:space="preserve">observed to integrate with the </w:t>
      </w:r>
      <w:r w:rsidR="00E65A54">
        <w:rPr>
          <w:rFonts w:cs="Arial"/>
        </w:rPr>
        <w:t>CAM</w:t>
      </w:r>
      <w:r w:rsidRPr="00F54DA5">
        <w:rPr>
          <w:rFonts w:cs="Arial"/>
        </w:rPr>
        <w:t>. Blood vessels were found present around the outer surface of the construct (arrow</w:t>
      </w:r>
      <w:r w:rsidR="00DA1926">
        <w:rPr>
          <w:rFonts w:cs="Arial"/>
        </w:rPr>
        <w:t>s</w:t>
      </w:r>
      <w:r w:rsidRPr="00F54DA5">
        <w:rPr>
          <w:rFonts w:cs="Arial"/>
        </w:rPr>
        <w:t xml:space="preserve">) with </w:t>
      </w:r>
      <w:r w:rsidR="00E65A54">
        <w:rPr>
          <w:rFonts w:cs="Arial"/>
        </w:rPr>
        <w:t>blood</w:t>
      </w:r>
      <w:r w:rsidRPr="00F54DA5">
        <w:rPr>
          <w:rFonts w:cs="Arial"/>
        </w:rPr>
        <w:t xml:space="preserve"> vessels converged towards the integrated sample (arrow</w:t>
      </w:r>
      <w:r w:rsidR="00DA1926">
        <w:rPr>
          <w:rFonts w:cs="Arial"/>
        </w:rPr>
        <w:t>s</w:t>
      </w:r>
      <w:r w:rsidRPr="00F54DA5">
        <w:rPr>
          <w:rFonts w:cs="Arial"/>
        </w:rPr>
        <w:t>). VEGF absorbed on GG produced no significant effects</w:t>
      </w:r>
      <w:r w:rsidR="00231443">
        <w:rPr>
          <w:rFonts w:cs="Arial"/>
        </w:rPr>
        <w:t xml:space="preserve"> compared to VEGF-free GG,</w:t>
      </w:r>
      <w:r w:rsidRPr="00F54DA5">
        <w:rPr>
          <w:rFonts w:cs="Arial"/>
        </w:rPr>
        <w:t xml:space="preserve"> although the sample was integrated with vessels around the sample (arrows) and minor capillaries around the construct (arrow). LAP-GG samples absorbed with VEGF resulted in integration after 7 days of incubation. Vessels were</w:t>
      </w:r>
      <w:r w:rsidR="00633774">
        <w:rPr>
          <w:rFonts w:cs="Arial"/>
        </w:rPr>
        <w:t xml:space="preserve"> observed</w:t>
      </w:r>
      <w:r w:rsidRPr="00F54DA5">
        <w:rPr>
          <w:rFonts w:cs="Arial"/>
        </w:rPr>
        <w:t xml:space="preserve"> around the constr</w:t>
      </w:r>
      <w:r w:rsidR="00633774">
        <w:rPr>
          <w:rFonts w:cs="Arial"/>
        </w:rPr>
        <w:t>uct, with major vessels</w:t>
      </w:r>
      <w:r w:rsidRPr="00F54DA5">
        <w:rPr>
          <w:rFonts w:cs="Arial"/>
        </w:rPr>
        <w:t xml:space="preserve"> converging towards the construct. Chalkley scores (Figure </w:t>
      </w:r>
      <w:r w:rsidR="00F715E4" w:rsidRPr="00F54DA5">
        <w:rPr>
          <w:rFonts w:cs="Arial"/>
        </w:rPr>
        <w:t>4d</w:t>
      </w:r>
      <w:r w:rsidRPr="00F54DA5">
        <w:rPr>
          <w:rFonts w:cs="Arial"/>
        </w:rPr>
        <w:t xml:space="preserve">) confirmed integration and vessel </w:t>
      </w:r>
      <w:r w:rsidR="000E1272">
        <w:rPr>
          <w:rFonts w:cs="Arial"/>
        </w:rPr>
        <w:t xml:space="preserve"> </w:t>
      </w:r>
      <w:r w:rsidR="00236CC1">
        <w:rPr>
          <w:rFonts w:cs="Arial"/>
        </w:rPr>
        <w:t>penetration through</w:t>
      </w:r>
      <w:r w:rsidRPr="00F54DA5">
        <w:rPr>
          <w:rFonts w:cs="Arial"/>
        </w:rPr>
        <w:t xml:space="preserve"> GG constructs. LAP-GG and VEGF-absorbed GG </w:t>
      </w:r>
      <w:r w:rsidR="00633774">
        <w:rPr>
          <w:rFonts w:cs="Arial"/>
        </w:rPr>
        <w:t xml:space="preserve">constructs, </w:t>
      </w:r>
      <w:r w:rsidRPr="00F54DA5">
        <w:rPr>
          <w:rFonts w:cs="Arial"/>
        </w:rPr>
        <w:t>showed no significant differences in membrane integration. LAP-GG-VEGF w</w:t>
      </w:r>
      <w:r w:rsidR="00633774">
        <w:rPr>
          <w:rFonts w:cs="Arial"/>
        </w:rPr>
        <w:t xml:space="preserve">ere found to </w:t>
      </w:r>
      <w:r w:rsidRPr="00F54DA5">
        <w:rPr>
          <w:rFonts w:cs="Arial"/>
        </w:rPr>
        <w:t xml:space="preserve">significantly integrate with the CAM compared to GG control (p&lt;0.0001), LAP-GG and GG-VEGF (p&lt;0.01).  </w:t>
      </w:r>
    </w:p>
    <w:p w14:paraId="6C90629A" w14:textId="0BB70141" w:rsidR="005443B7" w:rsidRPr="00F54DA5" w:rsidRDefault="00DA1926" w:rsidP="007F14ED">
      <w:pPr>
        <w:spacing w:line="360" w:lineRule="auto"/>
        <w:jc w:val="center"/>
        <w:rPr>
          <w:rFonts w:cs="Arial"/>
        </w:rPr>
      </w:pPr>
      <w:r>
        <w:rPr>
          <w:rFonts w:cs="Arial"/>
          <w:noProof/>
          <w:lang w:eastAsia="zh-CN"/>
        </w:rPr>
        <w:drawing>
          <wp:inline distT="0" distB="0" distL="0" distR="0" wp14:anchorId="6D73862B" wp14:editId="66ED3B9A">
            <wp:extent cx="4913264" cy="2932965"/>
            <wp:effectExtent l="0" t="0" r="190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7156" cy="2959166"/>
                    </a:xfrm>
                    <a:prstGeom prst="rect">
                      <a:avLst/>
                    </a:prstGeom>
                    <a:noFill/>
                  </pic:spPr>
                </pic:pic>
              </a:graphicData>
            </a:graphic>
          </wp:inline>
        </w:drawing>
      </w:r>
    </w:p>
    <w:p w14:paraId="2C31C1FD" w14:textId="5A0A0D93" w:rsidR="006112C0" w:rsidRPr="00A9169D" w:rsidRDefault="005443B7" w:rsidP="00A9169D">
      <w:pPr>
        <w:pStyle w:val="Caption"/>
        <w:spacing w:line="276" w:lineRule="auto"/>
        <w:jc w:val="both"/>
        <w:rPr>
          <w:color w:val="auto"/>
          <w:sz w:val="22"/>
          <w:specVanish/>
        </w:rPr>
      </w:pPr>
      <w:bookmarkStart w:id="35" w:name="_Toc529725159"/>
      <w:r w:rsidRPr="00F54DA5">
        <w:rPr>
          <w:color w:val="auto"/>
          <w:sz w:val="22"/>
          <w:szCs w:val="22"/>
        </w:rPr>
        <w:t xml:space="preserve">Figure </w:t>
      </w:r>
      <w:r w:rsidRPr="00F54DA5">
        <w:rPr>
          <w:color w:val="auto"/>
          <w:sz w:val="22"/>
          <w:szCs w:val="22"/>
        </w:rPr>
        <w:fldChar w:fldCharType="begin"/>
      </w:r>
      <w:r w:rsidRPr="00F54DA5">
        <w:rPr>
          <w:color w:val="auto"/>
          <w:sz w:val="22"/>
          <w:szCs w:val="22"/>
        </w:rPr>
        <w:instrText xml:space="preserve"> SEQ Figure \* ARABIC \s 1 </w:instrText>
      </w:r>
      <w:r w:rsidRPr="00F54DA5">
        <w:rPr>
          <w:color w:val="auto"/>
          <w:sz w:val="22"/>
          <w:szCs w:val="22"/>
        </w:rPr>
        <w:fldChar w:fldCharType="separate"/>
      </w:r>
      <w:r w:rsidRPr="00F54DA5">
        <w:rPr>
          <w:noProof/>
          <w:color w:val="auto"/>
          <w:sz w:val="22"/>
          <w:szCs w:val="22"/>
        </w:rPr>
        <w:t>4</w:t>
      </w:r>
      <w:r w:rsidRPr="00F54DA5">
        <w:rPr>
          <w:color w:val="auto"/>
          <w:sz w:val="22"/>
          <w:szCs w:val="22"/>
        </w:rPr>
        <w:fldChar w:fldCharType="end"/>
      </w:r>
      <w:r w:rsidRPr="00F54DA5">
        <w:rPr>
          <w:color w:val="auto"/>
          <w:sz w:val="22"/>
          <w:szCs w:val="22"/>
        </w:rPr>
        <w:t xml:space="preserve">. </w:t>
      </w:r>
      <w:r w:rsidR="006112C0">
        <w:rPr>
          <w:color w:val="auto"/>
          <w:sz w:val="22"/>
          <w:szCs w:val="22"/>
        </w:rPr>
        <w:t xml:space="preserve">Nanoclay-based 3D scaffolds </w:t>
      </w:r>
      <w:r w:rsidR="00404343">
        <w:rPr>
          <w:color w:val="auto"/>
          <w:sz w:val="22"/>
          <w:szCs w:val="22"/>
        </w:rPr>
        <w:t xml:space="preserve"> </w:t>
      </w:r>
      <w:r w:rsidR="006112C0">
        <w:rPr>
          <w:color w:val="auto"/>
          <w:sz w:val="22"/>
          <w:szCs w:val="22"/>
        </w:rPr>
        <w:t xml:space="preserve">localise absorbed drugs </w:t>
      </w:r>
      <w:r w:rsidR="00404343">
        <w:rPr>
          <w:color w:val="auto"/>
          <w:sz w:val="22"/>
          <w:szCs w:val="22"/>
        </w:rPr>
        <w:t>during and after  printing elicit an angiogenic response ex vivo.</w:t>
      </w:r>
    </w:p>
    <w:bookmarkEnd w:id="35"/>
    <w:p w14:paraId="562860A4" w14:textId="633ED1FF" w:rsidR="005443B7" w:rsidRPr="00516A6B" w:rsidRDefault="005443B7" w:rsidP="005443B7">
      <w:pPr>
        <w:spacing w:line="276" w:lineRule="auto"/>
        <w:jc w:val="both"/>
        <w:rPr>
          <w:rFonts w:cs="Arial"/>
          <w:iCs/>
          <w:lang w:val="it-IT"/>
        </w:rPr>
      </w:pPr>
      <w:r w:rsidRPr="00E326EF">
        <w:rPr>
          <w:rFonts w:cs="Arial"/>
          <w:iCs/>
        </w:rPr>
        <w:t>Lysozyme absorption (</w:t>
      </w:r>
      <w:r w:rsidR="00E326EF" w:rsidRPr="00E326EF">
        <w:rPr>
          <w:rFonts w:cs="Arial"/>
          <w:iCs/>
        </w:rPr>
        <w:t>a</w:t>
      </w:r>
      <w:r w:rsidRPr="00E326EF">
        <w:rPr>
          <w:rFonts w:cs="Arial"/>
          <w:iCs/>
        </w:rPr>
        <w:t>-i) and release (</w:t>
      </w:r>
      <w:r w:rsidR="00E326EF" w:rsidRPr="00E326EF">
        <w:rPr>
          <w:rFonts w:cs="Arial"/>
          <w:iCs/>
        </w:rPr>
        <w:t>a</w:t>
      </w:r>
      <w:r w:rsidRPr="00E326EF">
        <w:rPr>
          <w:rFonts w:cs="Arial"/>
          <w:iCs/>
        </w:rPr>
        <w:t xml:space="preserve">-ii) were performed for 24 hours, respectively. BSA absorption (a-iii) and release (a-iv) were performed for 24 hours, respectively. </w:t>
      </w:r>
      <w:r w:rsidR="00DA1926" w:rsidRPr="00E326EF">
        <w:rPr>
          <w:rFonts w:cs="Arial"/>
          <w:iCs/>
        </w:rPr>
        <w:t>(b)</w:t>
      </w:r>
      <w:r w:rsidR="00DA1926">
        <w:rPr>
          <w:rFonts w:cs="Arial"/>
          <w:iCs/>
        </w:rPr>
        <w:t xml:space="preserve"> </w:t>
      </w:r>
      <w:r w:rsidRPr="00E326EF">
        <w:rPr>
          <w:rFonts w:cs="Arial"/>
          <w:iCs/>
        </w:rPr>
        <w:t xml:space="preserve">Drugs </w:t>
      </w:r>
      <w:r w:rsidR="00633774">
        <w:rPr>
          <w:rFonts w:cs="Arial"/>
          <w:iCs/>
        </w:rPr>
        <w:t xml:space="preserve">could be </w:t>
      </w:r>
      <w:r w:rsidRPr="00E326EF">
        <w:rPr>
          <w:rFonts w:cs="Arial"/>
          <w:iCs/>
        </w:rPr>
        <w:t xml:space="preserve">solubilised in the agarose bath support and absorbed by the clay-based bioink </w:t>
      </w:r>
      <w:r w:rsidR="00633774">
        <w:rPr>
          <w:rFonts w:cs="Arial"/>
          <w:iCs/>
        </w:rPr>
        <w:t>containing viable cells post</w:t>
      </w:r>
      <w:r w:rsidRPr="00E326EF">
        <w:rPr>
          <w:rFonts w:cs="Arial"/>
          <w:iCs/>
        </w:rPr>
        <w:t xml:space="preserve"> printing. GG (</w:t>
      </w:r>
      <w:r w:rsidR="00E326EF" w:rsidRPr="00E326EF">
        <w:rPr>
          <w:rFonts w:cs="Arial"/>
          <w:iCs/>
        </w:rPr>
        <w:t>b-i) and LAP-GG (b</w:t>
      </w:r>
      <w:r w:rsidRPr="00E326EF">
        <w:rPr>
          <w:rFonts w:cs="Arial"/>
          <w:iCs/>
        </w:rPr>
        <w:t>-ii) bioinks were printed in agarose tagged with red and blue dye respectively. (c) Implantation of GG, LAP-GG, GG+VEGF and LAP-GG+VEGF. Vascular integration assessment of GG, LAP-GG, GG+VEGF and LAP-GG+VEGF after 7 days of incubation. Arrows indicated major afferent vessels to the implanted scaffold. (d) Chalkley score of the vascular penetration of implanted GG and LAP-GG, drug-free or absorbed VEGF groups</w:t>
      </w:r>
      <w:r w:rsidR="00AD210F" w:rsidRPr="00E326EF">
        <w:rPr>
          <w:rFonts w:cs="Arial"/>
          <w:iCs/>
        </w:rPr>
        <w:t xml:space="preserve">. </w:t>
      </w:r>
      <w:r w:rsidRPr="00E326EF">
        <w:t xml:space="preserve">Statistical significance assessed by two-way ANOVA. </w:t>
      </w:r>
      <w:r w:rsidRPr="00E326EF">
        <w:rPr>
          <w:rFonts w:cs="Arial"/>
          <w:iCs/>
        </w:rPr>
        <w:t xml:space="preserve">Mean </w:t>
      </w:r>
      <w:r w:rsidRPr="00E326EF">
        <w:rPr>
          <w:rFonts w:cs="Arial"/>
          <w:iCs/>
        </w:rPr>
        <w:lastRenderedPageBreak/>
        <w:t xml:space="preserve">± S.D. n=4 **p&lt;0.01, ****p&lt;0.0001. </w:t>
      </w:r>
      <w:r w:rsidRPr="00516A6B">
        <w:rPr>
          <w:rFonts w:cs="Arial"/>
          <w:iCs/>
          <w:lang w:val="it-IT"/>
        </w:rPr>
        <w:t>Scale bar: (b-i) 100 µm, (b-ii,</w:t>
      </w:r>
      <w:r w:rsidR="00AD210F" w:rsidRPr="00516A6B">
        <w:rPr>
          <w:rFonts w:cs="Arial"/>
          <w:iCs/>
          <w:lang w:val="it-IT"/>
        </w:rPr>
        <w:t xml:space="preserve"> </w:t>
      </w:r>
      <w:r w:rsidRPr="00516A6B">
        <w:rPr>
          <w:rFonts w:cs="Arial"/>
          <w:iCs/>
          <w:lang w:val="it-IT"/>
        </w:rPr>
        <w:t>iii) 200 µm, (c) 5 mm.</w:t>
      </w:r>
    </w:p>
    <w:p w14:paraId="1983559D" w14:textId="7E4CC92F" w:rsidR="00A864BA" w:rsidRPr="00F54DA5" w:rsidRDefault="00A864BA" w:rsidP="00CC404C">
      <w:pPr>
        <w:pStyle w:val="Heading2"/>
        <w:numPr>
          <w:ilvl w:val="0"/>
          <w:numId w:val="40"/>
        </w:numPr>
        <w:spacing w:before="360" w:after="240"/>
        <w:ind w:left="426" w:hanging="426"/>
        <w:jc w:val="both"/>
      </w:pPr>
      <w:bookmarkStart w:id="36" w:name="_Toc529724940"/>
      <w:r w:rsidRPr="00F54DA5">
        <w:t>Discussion</w:t>
      </w:r>
      <w:bookmarkEnd w:id="36"/>
    </w:p>
    <w:p w14:paraId="6E0BE6A1" w14:textId="701963DD" w:rsidR="00C151FA" w:rsidRDefault="00A864BA" w:rsidP="00432CA0">
      <w:pPr>
        <w:tabs>
          <w:tab w:val="left" w:pos="567"/>
        </w:tabs>
        <w:spacing w:after="0" w:line="360" w:lineRule="auto"/>
        <w:jc w:val="both"/>
        <w:rPr>
          <w:rFonts w:cs="Arial"/>
        </w:rPr>
      </w:pPr>
      <w:r w:rsidRPr="00F54DA5">
        <w:rPr>
          <w:rFonts w:cs="Arial"/>
        </w:rPr>
        <w:tab/>
        <w:t xml:space="preserve">Recent advances in bioprinting technology have shown the potential of using a secondary gel to print a soft bioink to provide a support before post-printing crosslinking </w:t>
      </w:r>
      <w:r w:rsidRPr="00F54DA5">
        <w:rPr>
          <w:rFonts w:cs="Arial"/>
        </w:rPr>
        <w:fldChar w:fldCharType="begin" w:fldLock="1"/>
      </w:r>
      <w:r w:rsidR="00940D86">
        <w:rPr>
          <w:rFonts w:cs="Arial"/>
        </w:rPr>
        <w:instrText>ADDIN CSL_CITATION {"citationItems":[{"id":"ITEM-1","itemData":{"DOI":"10.1126/sciadv.1500655","ISBN":"2375-2548 (Electronic) 2375-2548 (Linking)","ISSN":"2375-2548","PMID":"26601274","abstract":"Gels made from soft microscale particles smoothly transition between the fluid and solid states, making them an ideal medium in which to create macroscopic structures with microscopic precision. While tracing out spatial paths with an injection tip, the granular gel fluidizes at the point of injection and then rapidly solidifies, trapping injected material in place. This physical approach to creating three-dimensional (3D) structures negates the effects of surface tension, gravity, and particle diffusion, allowing a limitless breadth of materials to be written. With this method, we used silicones, hydrogels, colloids, and living cells to create complex large aspect ratio 3D objects, thin closed shells, and hierarchically branched tubular networks. We crosslinked polymeric materials and removed them from the granular gel, whereas uncrosslinked particulate systems were left supported within the medium for long times. This approach can be immediately used in diverse areas, contributing to tissue engineering, flexible electronics, particle engineering, smart materials, and encapsulation technologies.","author":[{"dropping-particle":"","family":"Bhattacharjee","given":"Tapomoy","non-dropping-particle":"","parse-names":false,"suffix":""},{"dropping-particle":"","family":"Zehnder","given":"Steven M.","non-dropping-particle":"","parse-names":false,"suffix":""},{"dropping-particle":"","family":"Rowe","given":"Kyle G.","non-dropping-particle":"","parse-names":false,"suffix":""},{"dropping-particle":"","family":"Jain","given":"Suhani","non-dropping-particle":"","parse-names":false,"suffix":""},{"dropping-particle":"","family":"Nixon","given":"Ryan M.","non-dropping-particle":"","parse-names":false,"suffix":""},{"dropping-particle":"","family":"Sawyer","given":"W. Gregory","non-dropping-particle":"","parse-names":false,"suffix":""},{"dropping-particle":"","family":"Angelini","given":"Thomas E.","non-dropping-particle":"","parse-names":false,"suffix":""}],"container-title":"Science Advances","id":"ITEM-1","issue":"8","issued":{"date-parts":[["2015","9","25"]]},"note":"Bhattacharjee et al. illustrate how to write in a granular gel medium. PVA as been used as ink and PDMS as bed to contain the printed ink. They printed different and interesting structures. Particular is the idea of the russian dolls. Very good is the initial review on pre-existing methods and literature.","page":"e1500655","title":"Writing in the granular gel medium","type":"article-journal","volume":"1"},"uris":["http://www.mendeley.com/documents/?uuid=0a42d1d1-7b98-44ba-836b-abced1115e09"]}],"mendeley":{"formattedCitation":"[29]","plainTextFormattedCitation":"[29]","previouslyFormattedCitation":"[29]"},"properties":{"noteIndex":0},"schema":"https://github.com/citation-style-language/schema/raw/master/csl-citation.json"}</w:instrText>
      </w:r>
      <w:r w:rsidRPr="00F54DA5">
        <w:rPr>
          <w:rFonts w:cs="Arial"/>
        </w:rPr>
        <w:fldChar w:fldCharType="separate"/>
      </w:r>
      <w:r w:rsidR="002B0953" w:rsidRPr="002B0953">
        <w:rPr>
          <w:rFonts w:cs="Arial"/>
          <w:noProof/>
        </w:rPr>
        <w:t>[29]</w:t>
      </w:r>
      <w:r w:rsidRPr="00F54DA5">
        <w:rPr>
          <w:rFonts w:cs="Arial"/>
        </w:rPr>
        <w:fldChar w:fldCharType="end"/>
      </w:r>
      <w:r w:rsidRPr="00F54DA5">
        <w:rPr>
          <w:rFonts w:cs="Arial"/>
        </w:rPr>
        <w:t xml:space="preserve">. </w:t>
      </w:r>
      <w:r w:rsidR="00921EB3" w:rsidRPr="00F54DA5">
        <w:rPr>
          <w:rFonts w:cs="Arial"/>
        </w:rPr>
        <w:t xml:space="preserve">In this manuscript, </w:t>
      </w:r>
      <w:r w:rsidR="00115DDC">
        <w:rPr>
          <w:rFonts w:cs="Arial"/>
        </w:rPr>
        <w:t xml:space="preserve">LAP </w:t>
      </w:r>
      <w:r w:rsidR="00921EB3" w:rsidRPr="00F54DA5">
        <w:rPr>
          <w:rFonts w:cs="Arial"/>
        </w:rPr>
        <w:t xml:space="preserve">nanoclay </w:t>
      </w:r>
      <w:r w:rsidR="0091288C">
        <w:rPr>
          <w:rFonts w:cs="Arial"/>
        </w:rPr>
        <w:t>has been</w:t>
      </w:r>
      <w:r w:rsidR="00921EB3" w:rsidRPr="00F54DA5">
        <w:rPr>
          <w:rFonts w:cs="Arial"/>
        </w:rPr>
        <w:t xml:space="preserve"> used to aid</w:t>
      </w:r>
      <w:r w:rsidR="005311EA">
        <w:rPr>
          <w:rFonts w:cs="Arial"/>
        </w:rPr>
        <w:t xml:space="preserve"> the</w:t>
      </w:r>
      <w:r w:rsidR="00921EB3" w:rsidRPr="00F54DA5">
        <w:rPr>
          <w:rFonts w:cs="Arial"/>
        </w:rPr>
        <w:t xml:space="preserve"> printability and functionality of a common biomaterial (gellan gum</w:t>
      </w:r>
      <w:r w:rsidR="00744DF2">
        <w:rPr>
          <w:rFonts w:cs="Arial"/>
        </w:rPr>
        <w:t>, GG</w:t>
      </w:r>
      <w:r w:rsidR="00921EB3" w:rsidRPr="00F54DA5">
        <w:rPr>
          <w:rFonts w:cs="Arial"/>
        </w:rPr>
        <w:t>) printed in an agarose fluid gel bed.</w:t>
      </w:r>
      <w:r w:rsidR="00744DF2">
        <w:rPr>
          <w:rFonts w:cs="Arial"/>
        </w:rPr>
        <w:t xml:space="preserve"> </w:t>
      </w:r>
      <w:r w:rsidR="0091288C">
        <w:rPr>
          <w:rFonts w:cs="Arial"/>
        </w:rPr>
        <w:t>The inclusion and printing of</w:t>
      </w:r>
      <w:r w:rsidR="00115DDC">
        <w:rPr>
          <w:rFonts w:cs="Arial"/>
        </w:rPr>
        <w:t xml:space="preserve"> </w:t>
      </w:r>
      <w:r w:rsidR="00744DF2">
        <w:rPr>
          <w:rFonts w:cs="Arial"/>
        </w:rPr>
        <w:t>C2C12</w:t>
      </w:r>
      <w:r w:rsidR="0091288C">
        <w:rPr>
          <w:rFonts w:cs="Arial"/>
        </w:rPr>
        <w:t xml:space="preserve"> cells provided seminal data on the functionality of </w:t>
      </w:r>
      <w:r w:rsidR="00744DF2">
        <w:rPr>
          <w:rFonts w:cs="Arial"/>
        </w:rPr>
        <w:t xml:space="preserve">LAP-GG scaffolds. </w:t>
      </w:r>
      <w:r w:rsidR="0091288C">
        <w:rPr>
          <w:rFonts w:cs="Arial"/>
        </w:rPr>
        <w:t xml:space="preserve">Drugs such as </w:t>
      </w:r>
      <w:r w:rsidR="00744DF2">
        <w:rPr>
          <w:rFonts w:cs="Arial"/>
        </w:rPr>
        <w:t>VEGF</w:t>
      </w:r>
      <w:r w:rsidR="0091288C">
        <w:rPr>
          <w:rFonts w:cs="Arial"/>
        </w:rPr>
        <w:t xml:space="preserve"> could be</w:t>
      </w:r>
      <w:r w:rsidR="00744DF2">
        <w:rPr>
          <w:rFonts w:cs="Arial"/>
        </w:rPr>
        <w:t xml:space="preserve"> loaded</w:t>
      </w:r>
      <w:r w:rsidR="0091288C">
        <w:rPr>
          <w:rFonts w:cs="Arial"/>
        </w:rPr>
        <w:t xml:space="preserve"> in the</w:t>
      </w:r>
      <w:r w:rsidR="00744DF2">
        <w:rPr>
          <w:rFonts w:cs="Arial"/>
        </w:rPr>
        <w:t xml:space="preserve"> agarose gel </w:t>
      </w:r>
      <w:r w:rsidR="0091288C">
        <w:rPr>
          <w:rFonts w:cs="Arial"/>
        </w:rPr>
        <w:t>promoting LAP-GG</w:t>
      </w:r>
      <w:r w:rsidR="00744DF2">
        <w:rPr>
          <w:rFonts w:cs="Arial"/>
        </w:rPr>
        <w:t xml:space="preserve"> absorption during printing supporting vascular infiltration in CAM model.</w:t>
      </w:r>
      <w:r w:rsidR="0091288C">
        <w:rPr>
          <w:rFonts w:cs="Arial"/>
        </w:rPr>
        <w:t xml:space="preserve"> </w:t>
      </w:r>
      <w:r w:rsidR="00744DF2">
        <w:rPr>
          <w:rFonts w:cs="Arial"/>
        </w:rPr>
        <w:t xml:space="preserve"> </w:t>
      </w:r>
    </w:p>
    <w:p w14:paraId="76987717" w14:textId="266C9276" w:rsidR="00A864BA" w:rsidRPr="00F54DA5" w:rsidRDefault="0091288C" w:rsidP="00C24DD6">
      <w:pPr>
        <w:tabs>
          <w:tab w:val="left" w:pos="567"/>
        </w:tabs>
        <w:spacing w:after="0" w:line="360" w:lineRule="auto"/>
        <w:jc w:val="both"/>
        <w:rPr>
          <w:rFonts w:cs="Arial"/>
        </w:rPr>
      </w:pPr>
      <w:r>
        <w:rPr>
          <w:rFonts w:cs="Arial"/>
        </w:rPr>
        <w:t xml:space="preserve">LAP nanoclay can </w:t>
      </w:r>
      <w:r w:rsidR="00115DDC" w:rsidRPr="00F54DA5">
        <w:rPr>
          <w:rFonts w:cs="Arial"/>
        </w:rPr>
        <w:t xml:space="preserve">aid printability </w:t>
      </w:r>
      <w:r w:rsidR="00115DDC" w:rsidRPr="00F54DA5">
        <w:rPr>
          <w:rFonts w:cs="Arial"/>
        </w:rPr>
        <w:fldChar w:fldCharType="begin" w:fldLock="1"/>
      </w:r>
      <w:r w:rsidR="00115DDC">
        <w:rPr>
          <w:rFonts w:cs="Arial"/>
        </w:rPr>
        <w:instrText>ADDIN CSL_CITATION {"citationItems":[{"id":"ITEM-1","itemData":{"DOI":"10.1021/acsami.7b03613","ISSN":"1944-8244","PMID":"28467835","abstract":"Three dimensional (3D) bioprinting technology enables the freeform fabrication of complex constructs from various hydrogels and receives increasing attention in tissue engineering. The objective of this study is to develop a novel self-supporting direct hydrogel printing approach to extrude complex 3D hydrogel composite structures in air without the help of a support bath. Laponite, a member of the smectite mineral family, is investigated to serve as an internal scaffold material for the direct printing of hydrogel composite structures in air. In the proposed printing approach, due to its yield-stress properties, Laponite nanoclay can be easily extruded through a nozzle as a liquid and self-supported after extrusion as a solid. Its unique crystal structure with positive and negative charges enables it to be mixed with many chemically and physically crosslinked hydrogels, which makes it an ideal internal scaffold material for the fabrication of various hydrogel structures. By mixing Laponite nanoclay with various hydrogel precursors, the hydrogel composites retain the self-supporting capacity and can be printed into 3D structures directly in air and retain their shapes before crosslinking. Then, the whole structures are solidified in situ by applying suitable crosslinking stimuli. Besides, the addition of Laponite nanoclay can effectively improve the mechanical and biological properties of hydrogel composites. Specifically, the addition of Laponite nanoclay results in a significant increase in the Young's modulus of each hydrogel-Laponite composite: 1.9-fold increase for the poly (ethylene glycol) diacrylate (PEGDA)-Laponite composite, 7.4-fold increase for the alginate-Laponite composite, and 3.3-fold increase for the gelatin-Laponite composite.","author":[{"dropping-particle":"","family":"Jin","given":"Yifei","non-dropping-particle":"","parse-names":false,"suffix":""},{"dropping-particle":"","family":"Liu","given":"Chengcheng","non-dropping-particle":"","parse-names":false,"suffix":""},{"dropping-particle":"","family":"Chai","given":"Wenxuan","non-dropping-particle":"","parse-names":false,"suffix":""},{"dropping-particle":"","family":"Compaan","given":"Ashley M.","non-dropping-particle":"","parse-names":false,"suffix":""},{"dropping-particle":"","family":"Huang","given":"Yong","non-dropping-particle":"","parse-names":false,"suffix":""}],"container-title":"ACS Applied Materials &amp; Interfaces","id":"ITEM-1","issued":{"date-parts":[["2017"]]},"note":"Jin et al. printed Laponite-based hydrogels (high concentrated Laponite 6%) in combination with PEGDA or low concentration Alginate (0.5%). Result of morphological structure of 3D printed hydrogels were precise for hydrogel extrusion (probably because of the high concentrated clay). They proposed a non-tested and unproven Laponite extrusion mechanism. \nMoreover, they first print and then crosslink the material!","page":"acsami.7b03613","title":"Self-Supporting Nanoclay as Internal Scaffold Material for Direct Printing of Soft Hydrogel Composite Structures in Air","type":"article-journal"},"uris":["http://www.mendeley.com/documents/?uuid=b2ce8a7b-d48f-4858-a92b-edcbe2efb4e9"]}],"mendeley":{"formattedCitation":"[24]","plainTextFormattedCitation":"[24]","previouslyFormattedCitation":"[24]"},"properties":{"noteIndex":0},"schema":"https://github.com/citation-style-language/schema/raw/master/csl-citation.json"}</w:instrText>
      </w:r>
      <w:r w:rsidR="00115DDC" w:rsidRPr="00F54DA5">
        <w:rPr>
          <w:rFonts w:cs="Arial"/>
        </w:rPr>
        <w:fldChar w:fldCharType="separate"/>
      </w:r>
      <w:r w:rsidR="00115DDC" w:rsidRPr="00793844">
        <w:rPr>
          <w:rFonts w:cs="Arial"/>
          <w:noProof/>
        </w:rPr>
        <w:t>[24]</w:t>
      </w:r>
      <w:r w:rsidR="00115DDC" w:rsidRPr="00F54DA5">
        <w:rPr>
          <w:rFonts w:cs="Arial"/>
        </w:rPr>
        <w:fldChar w:fldCharType="end"/>
      </w:r>
      <w:r w:rsidR="00115DDC" w:rsidRPr="00F54DA5">
        <w:rPr>
          <w:rFonts w:cs="Arial"/>
        </w:rPr>
        <w:t xml:space="preserve">, shape fidelity </w:t>
      </w:r>
      <w:r w:rsidR="00115DDC" w:rsidRPr="00F54DA5">
        <w:rPr>
          <w:rFonts w:cs="Arial"/>
        </w:rPr>
        <w:fldChar w:fldCharType="begin" w:fldLock="1"/>
      </w:r>
      <w:r w:rsidR="00940D86">
        <w:rPr>
          <w:rFonts w:cs="Arial"/>
        </w:rPr>
        <w:instrText>ADDIN CSL_CITATION {"citationItems":[{"id":"ITEM-1","itemData":{"DOI":"10.1021/acsami.7b19808","ISSN":"1944-8244","author":[{"dropping-particle":"","family":"Chimene","given":"David","non-dropping-particle":"","parse-names":false,"suffix":""},{"dropping-particle":"","family":"Peak","given":"Charles W","non-dropping-particle":"","parse-names":false,"suffix":""},{"dropping-particle":"","family":"Gentry","given":"James L.","non-dropping-particle":"","parse-names":false,"suffix":""},{"dropping-particle":"","family":"Carrow","given":"James K","non-dropping-particle":"","parse-names":false,"suffix":""},{"dropping-particle":"","family":"Cross","given":"Lauren M","non-dropping-particle":"","parse-names":false,"suffix":""},{"dropping-particle":"","family":"Mondragon","given":"Eli","non-dropping-particle":"","parse-names":false,"suffix":""},{"dropping-particle":"","family":"Cardoso","given":"Guinea B.","non-dropping-particle":"","parse-names":false,"suffix":""},{"dropping-particle":"","family":"Kaunas","given":"Roland","non-dropping-particle":"","parse-names":false,"suffix":""},{"dropping-particle":"","family":"Gaharwar","given":"Akhilesh K.","non-dropping-particle":"","parse-names":false,"suffix":""}],"container-title":"ACS Applied Materials &amp; Interfaces","id":"ITEM-1","issue":"12","issued":{"date-parts":[["2018","3","28"]]},"note":"Herschel-Bulkley model MATLABpariso\n\n\n18) Wilson, S. A.; Cross, L. M.; Peak, C. W.; Gaharwar, A. K. ShearThinning and Thermo-Reversible Nanoengineered Inks for 3D Bioprinting. ACS Appl. Mater. Interfaces 2017, 9 (50), 43449−43458. (19) Peak, C. W.; Stein, J.; Gold, K. A.; Gaharwar, A. K. Nanoengineered Colloidal Inks for 3D Bioprinting. Langmuir 2018, 34 (3), 917−925.\n\n(29) Mangione, M. R.; Giacomazza, D.; Bulone, D.; Martorana, V.; Cavallaro, G.; San Biagio, P. L. K+ and Na+ effects on the gelation properties of κ-Carrageenan. Biophys. Chem. 2005, 113 (2), 129−135. (30) Liu, S.; Li, L. Recoverable and Self-Healing Double Network Hydrogel Based on κ-Carrageenan. ACS Appl. Mater. Interfaces 2016, 8 (43), 29749−29758. (31) Stevens, L.; Calvert, P.; Wallace, G. G.; in het Panhuis, M. Ioniccovalent entanglement hydrogels from gellan gum, carrageenan and an epoxy-amine. Soft Matter 2013, 9 (11), 3009−3012.","page":"9957-9968","title":"Nanoengineered Ionic–Covalent Entanglement (NICE) Bioinks for 3D Bioprinting","type":"article-journal","volume":"10"},"uris":["http://www.mendeley.com/documents/?uuid=bbc9099c-379d-4538-a1bb-465b6b737667"]}],"mendeley":{"formattedCitation":"[30]","plainTextFormattedCitation":"[30]","previouslyFormattedCitation":"[30]"},"properties":{"noteIndex":0},"schema":"https://github.com/citation-style-language/schema/raw/master/csl-citation.json"}</w:instrText>
      </w:r>
      <w:r w:rsidR="00115DDC" w:rsidRPr="00F54DA5">
        <w:rPr>
          <w:rFonts w:cs="Arial"/>
        </w:rPr>
        <w:fldChar w:fldCharType="separate"/>
      </w:r>
      <w:r w:rsidR="00940D86" w:rsidRPr="00940D86">
        <w:rPr>
          <w:rFonts w:cs="Arial"/>
          <w:noProof/>
        </w:rPr>
        <w:t>[30]</w:t>
      </w:r>
      <w:r w:rsidR="00115DDC" w:rsidRPr="00F54DA5">
        <w:rPr>
          <w:rFonts w:cs="Arial"/>
        </w:rPr>
        <w:fldChar w:fldCharType="end"/>
      </w:r>
      <w:r w:rsidR="00115DDC" w:rsidRPr="00F54DA5">
        <w:rPr>
          <w:rFonts w:cs="Arial"/>
        </w:rPr>
        <w:t xml:space="preserve">, mechanical properties </w:t>
      </w:r>
      <w:r w:rsidR="00115DDC" w:rsidRPr="00F54DA5">
        <w:rPr>
          <w:rFonts w:cs="Arial"/>
        </w:rPr>
        <w:fldChar w:fldCharType="begin" w:fldLock="1"/>
      </w:r>
      <w:r w:rsidR="00115DDC">
        <w:rPr>
          <w:rFonts w:cs="Arial"/>
        </w:rPr>
        <w:instrText>ADDIN CSL_CITATION {"citationItems":[{"id":"ITEM-1","itemData":{"DOI":"10.1002/adma.201570182","ISBN":"1521-4095","ISSN":"09359648","PMID":"26033288","abstract":"described in the Experimental Section.) We hypothesize that the toughening of this biocompatible hydrogel relies on a com-bination of two mechanisms: the reversible Ca 2+ crosslinking of alginate dissipates mechanical energy, while the covalent crosslinking of PEG maintains elasticity under large deforma-tions (Figure 1). To test this hypothesis, we varied the molecular weight of PEG (6000–20 000 Da) and the concentrations of Ca 2+ (25 µL of either 0 or 1 M CaSO 4 solution added per 1 mL of the pre-gel PEG–alginate mixture) in the hydrogels, and used pure-shear tests to measure the fracture energies of the resultant hydrogels. [ 20 ] (Details of the pure-shear test are described in Figure S1, Supporting Information.) As shown in Figure S2a (Supporting Information), the fracture energies of hydrogels without Ca 2+ are consistently low (below 211 J m −2","author":[{"dropping-particle":"","family":"Hong","given":"Sungmin","non-dropping-particle":"","parse-names":false,"suffix":""},{"dropping-particle":"","family":"Sycks","given":"Dalton","non-dropping-particle":"","parse-names":false,"suffix":""},{"dropping-particle":"","family":"Chan","given":"Hon Fai","non-dropping-particle":"","parse-names":false,"suffix":""},{"dropping-particle":"","family":"Lin","given":"Shaoting","non-dropping-particle":"","parse-names":false,"suffix":""},{"dropping-particle":"","family":"Lopez","given":"Gabriel P.","non-dropping-particle":"","parse-names":false,"suffix":""},{"dropping-particle":"","family":"Guilak","given":"Farshid","non-dropping-particle":"","parse-names":false,"suffix":""},{"dropping-particle":"","family":"Leong","given":"Kam W.","non-dropping-particle":"","parse-names":false,"suffix":""},{"dropping-particle":"","family":"Zhao","given":"Xuanhe","non-dropping-particle":"","parse-names":false,"suffix":""}],"container-title":"Advanced Materials","id":"ITEM-1","issue":"27","issued":{"date-parts":[["2015","7"]]},"note":"Hong et al. chose to used sodium alginate (chemically crosslinked) and PEG (covalent crosslink). They decide to go for 20wt% PEG and 2.5wt% alginate\nCell Staining for Stretch Testing : The samples were fixed with 4%\nparaformaldehyde for 30 min before staining with Alexa Fluor 488 Phalloidin for the actin-filament network and DAPI for the nucleus (Sigma-Aldrich, St. Louis, MO, USA) for 1 h. The samples were washed with PBS for three times before being mounted on a glass slide for imaging.\nPEG-ALGINATE-NANOCLAY: hMSCs have been encapsulated in hydrogels at 3X10^6 cells/mL. PEG diacrylate (PEGDA)–alginate mixture was prepared as described above, but Laponite XLG (final concentration 5 wt%) was first dissolved into deionized water, followedby PEGDA. Overnight gel homogenization and settling has been allowed. It was then mixed in a 1:1 ratio with 5wt% alginate solution. I-1959 and CaS04 solution were added to the pregel and syringe was loaded.\n\nThey employed an extrusion needle obtaining a spatial resolution of 500um diameter.\nHere, they chose to use biocompatible nanoclay (Laponite XLG, BYK Additives, Inc., TX, USA) to control the viscosity of the pre-gel solution [29]\nDuring printing, the pre-gel solution experienced shear thinning inside the extrusion needle, and quickly regained its viscosity upon exiting.\nThe group employed HEK (Human Embryonic Kidney) to be encapsulated (3X10^6 cells/mL) within collagen solution. This gel actually solidify throughout the interconnected pores of the printed PEG-alginate-nanoclay mesh.\nEncapsulated cells showed viability over 7d.","page":"4034-4034","title":"3D Printing: 3D Printing of Highly Stretchable and Tough Hydrogels into Complex, Cellularized Structures (Adv. Mater. 27/2015)","type":"article-journal","volume":"27"},"uris":["http://www.mendeley.com/documents/?uuid=72c542a2-9a37-4a1d-9e10-fcb5e3d29683"]}],"mendeley":{"formattedCitation":"[25]","plainTextFormattedCitation":"[25]","previouslyFormattedCitation":"[25]"},"properties":{"noteIndex":0},"schema":"https://github.com/citation-style-language/schema/raw/master/csl-citation.json"}</w:instrText>
      </w:r>
      <w:r w:rsidR="00115DDC" w:rsidRPr="00F54DA5">
        <w:rPr>
          <w:rFonts w:cs="Arial"/>
        </w:rPr>
        <w:fldChar w:fldCharType="separate"/>
      </w:r>
      <w:r w:rsidR="00115DDC" w:rsidRPr="00793844">
        <w:rPr>
          <w:rFonts w:cs="Arial"/>
          <w:noProof/>
        </w:rPr>
        <w:t>[25]</w:t>
      </w:r>
      <w:r w:rsidR="00115DDC" w:rsidRPr="00F54DA5">
        <w:rPr>
          <w:rFonts w:cs="Arial"/>
        </w:rPr>
        <w:fldChar w:fldCharType="end"/>
      </w:r>
      <w:r w:rsidR="00115DDC" w:rsidRPr="00F54DA5">
        <w:rPr>
          <w:rFonts w:cs="Arial"/>
        </w:rPr>
        <w:t xml:space="preserve">, cell viability and drug delivery </w:t>
      </w:r>
      <w:r w:rsidR="00115DDC" w:rsidRPr="00F54DA5">
        <w:rPr>
          <w:rFonts w:cs="Arial"/>
        </w:rPr>
        <w:fldChar w:fldCharType="begin" w:fldLock="1"/>
      </w:r>
      <w:r w:rsidR="00115DDC">
        <w:rPr>
          <w:rFonts w:cs="Arial"/>
        </w:rPr>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66cf7e3f-a561-43b9-8726-1231e9e363b7"]}],"mendeley":{"formattedCitation":"[12]","plainTextFormattedCitation":"[12]","previouslyFormattedCitation":"[12]"},"properties":{"noteIndex":0},"schema":"https://github.com/citation-style-language/schema/raw/master/csl-citation.json"}</w:instrText>
      </w:r>
      <w:r w:rsidR="00115DDC" w:rsidRPr="00F54DA5">
        <w:rPr>
          <w:rFonts w:cs="Arial"/>
        </w:rPr>
        <w:fldChar w:fldCharType="separate"/>
      </w:r>
      <w:r w:rsidR="00115DDC" w:rsidRPr="00793844">
        <w:rPr>
          <w:rFonts w:cs="Arial"/>
          <w:noProof/>
        </w:rPr>
        <w:t>[12]</w:t>
      </w:r>
      <w:r w:rsidR="00115DDC" w:rsidRPr="00F54DA5">
        <w:rPr>
          <w:rFonts w:cs="Arial"/>
        </w:rPr>
        <w:fldChar w:fldCharType="end"/>
      </w:r>
      <w:r w:rsidR="00115DDC" w:rsidRPr="00F54DA5">
        <w:rPr>
          <w:rFonts w:cs="Arial"/>
        </w:rPr>
        <w:t xml:space="preserve">. Jin </w:t>
      </w:r>
      <w:r w:rsidR="00115DDC" w:rsidRPr="00F54DA5">
        <w:rPr>
          <w:rFonts w:cs="Arial"/>
          <w:i/>
        </w:rPr>
        <w:t xml:space="preserve">et al. </w:t>
      </w:r>
      <w:r w:rsidR="00115DDC" w:rsidRPr="00F54DA5">
        <w:rPr>
          <w:rFonts w:cs="Arial"/>
          <w:i/>
        </w:rPr>
        <w:fldChar w:fldCharType="begin" w:fldLock="1"/>
      </w:r>
      <w:r w:rsidR="00940D86">
        <w:rPr>
          <w:rFonts w:cs="Arial"/>
          <w:i/>
        </w:rPr>
        <w:instrText>ADDIN CSL_CITATION {"citationItems":[{"id":"ITEM-1","itemData":{"DOI":"10.1016/j.msec.2017.05.144","ISSN":"09284931","abstract":"Yield-stress support bath-enabled extrusion printing is emerging as a promising filament-based direct-write strategy for different applications in tissue engineering and regenerative medicine. Central to the printing quality of complex three-dimensional structures fabricated by the support bath-enabled fabrication approach is the formation of a continuous filament with well-defined geometry. The objective of this research is to study the printability of hydrogel precursor solutions in a Laponite nanoclay yield-stress bath during extrusion printing where the printed hydrogel precursor solutions remain liquid. The printability herein is mainly evaluated based on the morphology and dimensions of printed liquid filaments. Seven filament types are observed during extrusion in the nanoclay bath: three types of well-defined filaments (swelling, equivalent diameter, and stretched) and four types of irregular filaments (rough surface, over-deposited, compressed, and discontinuous). When the alginate concentration increases, the diameter of filaments made of alginate-gelatin blends decreases. The nanoclay concentration significantly affects the morphology of deposited filaments: low concentration Laponite bath (such as 0.5% (w/v)) may lead to the formation of irregular filaments such as rough surface and over-deposited filaments while high concentration bath (such as 8.0% (w/v)) may result in the formation of compressed filaments. Operating conditions affect the filament diameter and morphology similar to those as observed during conventional extrusion printing. The printability knowledge enables the successful fabrication of cellular vascular constructs in the Laponite nanoclay bath.","author":[{"dropping-particle":"","family":"Jin","given":"Yifei","non-dropping-particle":"","parse-names":false,"suffix":""},{"dropping-particle":"","family":"Chai","given":"Wenxuan","non-dropping-particle":"","parse-names":false,"suffix":""},{"dropping-particle":"","family":"Huang","given":"Yong","non-dropping-particle":"","parse-names":false,"suffix":""}],"container-title":"Materials Science and Engineering C","id":"ITEM-1","issued":{"date-parts":[["2017"]]},"note":"Jin et al. studied printability of hydrogels in Laponite bed solution in a gel bed. Addition of gelatin-alginate blend, made sure to help in printing and analyse different filaments printability.\nLaponite concentration in the bed affected filaments that were printed: low concentration of Laponite lead to formation of irregular filaments (over-flow) while high concentration to compressed filaments.\nAlso alginate concentration of the printable liquid precursor (alginate-gelatin) was varied and studied.","page":"313-325","publisher":"Elsevier B.V.","title":"Printability study of hydrogel solution extrusion in nanoclay yield-stress bath during printing-then-gelation biofabrication","type":"article-journal","volume":"80"},"uris":["http://www.mendeley.com/documents/?uuid=c49e6c8e-1275-426a-8e32-82ec9a9466a3"]}],"mendeley":{"formattedCitation":"[31]","plainTextFormattedCitation":"[31]","previouslyFormattedCitation":"[31]"},"properties":{"noteIndex":0},"schema":"https://github.com/citation-style-language/schema/raw/master/csl-citation.json"}</w:instrText>
      </w:r>
      <w:r w:rsidR="00115DDC" w:rsidRPr="00F54DA5">
        <w:rPr>
          <w:rFonts w:cs="Arial"/>
          <w:i/>
        </w:rPr>
        <w:fldChar w:fldCharType="separate"/>
      </w:r>
      <w:r w:rsidR="00940D86" w:rsidRPr="00940D86">
        <w:rPr>
          <w:rFonts w:cs="Arial"/>
          <w:noProof/>
        </w:rPr>
        <w:t>[31]</w:t>
      </w:r>
      <w:r w:rsidR="00115DDC" w:rsidRPr="00F54DA5">
        <w:rPr>
          <w:rFonts w:cs="Arial"/>
          <w:i/>
        </w:rPr>
        <w:fldChar w:fldCharType="end"/>
      </w:r>
      <w:r w:rsidR="00115DDC" w:rsidRPr="00F54DA5">
        <w:rPr>
          <w:rFonts w:cs="Arial"/>
        </w:rPr>
        <w:t xml:space="preserve"> recently reported on the use of a L</w:t>
      </w:r>
      <w:r w:rsidR="00115DDC">
        <w:rPr>
          <w:rFonts w:cs="Arial"/>
        </w:rPr>
        <w:t>AP</w:t>
      </w:r>
      <w:r w:rsidR="00115DDC" w:rsidRPr="00F54DA5">
        <w:rPr>
          <w:rFonts w:cs="Arial"/>
        </w:rPr>
        <w:t xml:space="preserve"> gel formulation as a support bed for printing soft alginate-gelatin material. Bioink composition, viscoelastic properties, printing parameters and L</w:t>
      </w:r>
      <w:r w:rsidR="00115DDC">
        <w:rPr>
          <w:rFonts w:cs="Arial"/>
        </w:rPr>
        <w:t>AP</w:t>
      </w:r>
      <w:r w:rsidR="00115DDC" w:rsidRPr="00F54DA5">
        <w:rPr>
          <w:rFonts w:cs="Arial"/>
        </w:rPr>
        <w:t xml:space="preserve"> concentration positively influenced printability and construct shape fidelity</w:t>
      </w:r>
      <w:r w:rsidR="00115DDC">
        <w:rPr>
          <w:rFonts w:cs="Arial"/>
        </w:rPr>
        <w:t xml:space="preserve"> </w:t>
      </w:r>
      <w:r w:rsidR="00115DDC">
        <w:rPr>
          <w:rFonts w:cs="Arial"/>
        </w:rPr>
        <w:fldChar w:fldCharType="begin" w:fldLock="1"/>
      </w:r>
      <w:r w:rsidR="002B0953">
        <w:rPr>
          <w:rFonts w:cs="Arial"/>
        </w:rPr>
        <w:instrText>ADDIN CSL_CITATION {"citationItems":[{"id":"ITEM-1","itemData":{"DOI":"10.1016/j.biomaterials.2019.04.009","ISSN":"01429612","author":[{"dropping-particle":"","family":"Cidonio","given":"G.","non-dropping-particle":"","parse-names":false,"suffix":""},{"dropping-particle":"","family":"Glinka","given":"M.","non-dropping-particle":"","parse-names":false,"suffix":""},{"dropping-particle":"","family":"Dawson","given":"J.I.","non-dropping-particle":"","parse-names":false,"suffix":""},{"dropping-particle":"","family":"Oreffo","given":"R.O.C.","non-dropping-particle":"","parse-names":false,"suffix":""}],"container-title":"Biomaterials","id":"ITEM-1","issue":"November 2018","issued":{"date-parts":[["2019"]]},"page":"10-24","title":"The cell in the ink: Improving biofabrication by printing stem cells for skeletal regenerative medicine","type":"article-journal","volume":"209"},"uris":["http://www.mendeley.com/documents/?uuid=77c40f75-7ac8-4afa-8a43-21ba889b1098"]}],"mendeley":{"formattedCitation":"[4]","plainTextFormattedCitation":"[4]","previouslyFormattedCitation":"[4]"},"properties":{"noteIndex":0},"schema":"https://github.com/citation-style-language/schema/raw/master/csl-citation.json"}</w:instrText>
      </w:r>
      <w:r w:rsidR="00115DDC">
        <w:rPr>
          <w:rFonts w:cs="Arial"/>
        </w:rPr>
        <w:fldChar w:fldCharType="separate"/>
      </w:r>
      <w:r w:rsidR="00115DDC" w:rsidRPr="00921EB3">
        <w:rPr>
          <w:rFonts w:cs="Arial"/>
          <w:noProof/>
        </w:rPr>
        <w:t>[4]</w:t>
      </w:r>
      <w:r w:rsidR="00115DDC">
        <w:rPr>
          <w:rFonts w:cs="Arial"/>
        </w:rPr>
        <w:fldChar w:fldCharType="end"/>
      </w:r>
      <w:r w:rsidR="00115DDC" w:rsidRPr="00F54DA5">
        <w:rPr>
          <w:rFonts w:cs="Arial"/>
        </w:rPr>
        <w:t>. Bioink deposition was highly dependent on the concentration of the L</w:t>
      </w:r>
      <w:r w:rsidR="00115DDC">
        <w:rPr>
          <w:rFonts w:cs="Arial"/>
        </w:rPr>
        <w:t>AP</w:t>
      </w:r>
      <w:r w:rsidR="00115DDC" w:rsidRPr="00F54DA5">
        <w:rPr>
          <w:rFonts w:cs="Arial"/>
        </w:rPr>
        <w:t xml:space="preserve"> bed (2-4 % w/v) resulting in printed filaments with well-defined shapes and limited swelling, </w:t>
      </w:r>
      <w:r w:rsidR="00115DDC">
        <w:rPr>
          <w:rFonts w:cs="Arial"/>
        </w:rPr>
        <w:t>however failed</w:t>
      </w:r>
      <w:r w:rsidR="00115DDC" w:rsidRPr="00F54DA5">
        <w:rPr>
          <w:rFonts w:cs="Arial"/>
        </w:rPr>
        <w:t xml:space="preserve"> to specify an optimal printability window or functional properties. </w:t>
      </w:r>
      <w:r w:rsidR="00115DDC">
        <w:rPr>
          <w:rFonts w:cs="Arial"/>
        </w:rPr>
        <w:t>We ha</w:t>
      </w:r>
      <w:r w:rsidR="008B20C9">
        <w:rPr>
          <w:rFonts w:cs="Arial"/>
        </w:rPr>
        <w:t>ve</w:t>
      </w:r>
      <w:r w:rsidR="00115DDC">
        <w:rPr>
          <w:rFonts w:cs="Arial"/>
        </w:rPr>
        <w:t xml:space="preserve"> used LAP in combination with gellan gum (GG) t</w:t>
      </w:r>
      <w:r w:rsidR="00115DDC" w:rsidRPr="00F54DA5">
        <w:rPr>
          <w:rFonts w:cs="Arial"/>
        </w:rPr>
        <w:t>o augment fr</w:t>
      </w:r>
      <w:r w:rsidR="00115DDC">
        <w:rPr>
          <w:rFonts w:cs="Arial"/>
        </w:rPr>
        <w:t xml:space="preserve">ee-form printing functionality. </w:t>
      </w:r>
      <w:r w:rsidR="00633774" w:rsidRPr="00F54DA5">
        <w:rPr>
          <w:rFonts w:cs="Arial"/>
        </w:rPr>
        <w:t xml:space="preserve">Gellan gum is a low-cost, non-animal derived polysaccharide widely reported in the tissue engineering literature for its biocompatible and drug delivery properties </w:t>
      </w:r>
      <w:r w:rsidR="00633774" w:rsidRPr="00F54DA5">
        <w:rPr>
          <w:rFonts w:cs="Arial"/>
        </w:rPr>
        <w:fldChar w:fldCharType="begin" w:fldLock="1"/>
      </w:r>
      <w:r w:rsidR="00940D86">
        <w:rPr>
          <w:rFonts w:cs="Arial"/>
        </w:rPr>
        <w:instrText>ADDIN CSL_CITATION {"citationItems":[{"id":"ITEM-1","itemData":{"DOI":"10.1002/term.1875","ISBN":"1932-6254","ISSN":"19326254","PMID":"20872739","abstract":"Development of an in vitro prevascularized scaffold is of great importance to produce vascularization in tissue-engineered devices and for other clinical purposes. To this aim, polymer fibres covered with human umbilical vein endothelial cells (HUVECs) were used to induce directional 'angiogenesis' in a 3D co-culture system. Gelatin or RGD peptides were immobilized on surface-modified polymer fibres [100 µm diameter poly(ethylene terephthalate) monofilaments] via N-hepthylamine plasma polymer and carboxy-methyl-dextran interlayers. Fibres fully covered with HUVECs were then embedded in a fibrin gel, following a parallel alignment pattern, in the presence of fibroblasts. Tube-like structures occurred along the fibres and a network was formed between neighbouring fibres. These events were promoted with increased incubation times. Biomolecule-grafted fibres created a guidance pathway that facilitated coated endothelial cells to form lumens and, from them, sprouting processes. However, there were no significant differences between the different surface modifications on fibres in terms of promoting tube-like structures. Thus, different stages of angiogenesis can be initiated and guided using HUVECs precovered polymer fibres embedded in a soft supportive matrix, such as fibrin, which can be further applied to the development of in vitro prevascularized tissue-engineered scaffolds.","author":[{"dropping-particle":"","family":"Douglas","given":"Timothy E. L.","non-dropping-particle":"","parse-names":false,"suffix":""},{"dropping-particle":"","family":"Krawczyk","given":"Grzegorz","non-dropping-particle":"","parse-names":false,"suffix":""},{"dropping-particle":"","family":"Pamula","given":"Elzbieta","non-dropping-particle":"","parse-names":false,"suffix":""},{"dropping-particle":"","family":"Declercq","given":"Heidi A.","non-dropping-particle":"","parse-names":false,"suffix":""},{"dropping-particle":"","family":"Schaubroeck","given":"David","non-dropping-particle":"","parse-names":false,"suffix":""},{"dropping-particle":"","family":"Bucko","given":"Miroslaw M.","non-dropping-particle":"","parse-names":false,"suffix":""},{"dropping-particle":"","family":"Balcaen","given":"Lieve","non-dropping-particle":"","parse-names":false,"suffix":""},{"dropping-particle":"","family":"Voort","given":"Pascal","non-dropping-particle":"Van Der","parse-names":false,"suffix":""},{"dropping-particle":"","family":"Bliznuk","given":"Vitaliy","non-dropping-particle":"","parse-names":false,"suffix":""},{"dropping-particle":"","family":"Vreken","given":"Natasja M. F.","non-dropping-particle":"van den","parse-names":false,"suffix":""},{"dropping-particle":"","family":"Dash","given":"Mamoni","non-dropping-particle":"","parse-names":false,"suffix":""},{"dropping-particle":"","family":"Detsch","given":"Rainer","non-dropping-particle":"","parse-names":false,"suffix":""},{"dropping-particle":"","family":"Boccaccini","given":"Aldo R.","non-dropping-particle":"","parse-names":false,"suffix":""},{"dropping-particle":"","family":"Vanhaecke","given":"Frank","non-dropping-particle":"","parse-names":false,"suffix":""},{"dropping-particle":"","family":"Cornelissen","given":"Maria","non-dropping-particle":"","parse-names":false,"suffix":""},{"dropping-particle":"","family":"Dubruel","given":"Peter","non-dropping-particle":"","parse-names":false,"suffix":""}],"container-title":"Journal of Tissue Engineering and Regenerative Medicine","id":"ITEM-1","issue":"11","issued":{"date-parts":[["2016","11"]]},"page":"938-954","title":"Generation of composites for bone tissue-engineering applications consisting of gellan gum hydrogels mineralized with calcium and magnesium phosphate phases by enzymatic means","type":"article-journal","volume":"10"},"uris":["http://www.mendeley.com/documents/?uuid=60a60300-fd6b-49e9-9453-53db2cf7d3bc"]}],"mendeley":{"formattedCitation":"[16]","plainTextFormattedCitation":"[16]","previouslyFormattedCitation":"[16]"},"properties":{"noteIndex":0},"schema":"https://github.com/citation-style-language/schema/raw/master/csl-citation.json"}</w:instrText>
      </w:r>
      <w:r w:rsidR="00633774" w:rsidRPr="00F54DA5">
        <w:rPr>
          <w:rFonts w:cs="Arial"/>
        </w:rPr>
        <w:fldChar w:fldCharType="separate"/>
      </w:r>
      <w:r w:rsidR="002B0953" w:rsidRPr="002B0953">
        <w:rPr>
          <w:rFonts w:cs="Arial"/>
          <w:noProof/>
        </w:rPr>
        <w:t>[16]</w:t>
      </w:r>
      <w:r w:rsidR="00633774" w:rsidRPr="00F54DA5">
        <w:rPr>
          <w:rFonts w:cs="Arial"/>
        </w:rPr>
        <w:fldChar w:fldCharType="end"/>
      </w:r>
      <w:r w:rsidR="00633774" w:rsidRPr="00F54DA5">
        <w:rPr>
          <w:rFonts w:cs="Arial"/>
        </w:rPr>
        <w:t xml:space="preserve">. GG </w:t>
      </w:r>
      <w:r w:rsidR="00633774">
        <w:rPr>
          <w:rFonts w:cs="Arial"/>
        </w:rPr>
        <w:t xml:space="preserve">is thermoresponsive and polymeric </w:t>
      </w:r>
      <w:r w:rsidR="00633774" w:rsidRPr="00F54DA5">
        <w:rPr>
          <w:rFonts w:cs="Arial"/>
        </w:rPr>
        <w:t xml:space="preserve">chains can crosslink in a double-helix following a decrease in the temperature in a thermo-reversible transition </w:t>
      </w:r>
      <w:r w:rsidR="00633774" w:rsidRPr="00F54DA5">
        <w:rPr>
          <w:rFonts w:cs="Arial"/>
        </w:rPr>
        <w:fldChar w:fldCharType="begin" w:fldLock="1"/>
      </w:r>
      <w:r w:rsidR="00940D86">
        <w:rPr>
          <w:rFonts w:cs="Arial"/>
        </w:rPr>
        <w:instrText>ADDIN CSL_CITATION {"citationItems":[{"id":"ITEM-1","itemData":{"DOI":"10.1002/jbm.a.32574","ISBN":"1552-4965 (Electronic) 1549-3296 (Linking)","ISSN":"15493296","PMID":"19658177","abstract":"Gellan gum is a polysaccharide manufactured by microbial fermentation of the Sphingomonas paucimobilis microorganism, being commonly used in the food and pharmaceutical industry. It can be dissolved in water, and when heated and mixed with mono or divalent cations, forms a gel upon lowering the temperature under mild conditions. In this work, gellan gum hydrogels were analyzed as cells supports in the context of cartilage regeneration. Gellan gum hydrogel discs were characterized in terms of mechanical and structural properties. Transmissionelectron microscopy revealed a quite homogeneous chain arrangement within the hydrogels matrix, and dynamic mechanical analysis allowed to characterize the hydrogels discs viscoelastic properties upon compression solicitation, being the compressive storage and loss modulus of approximately 40 kPa and 3 kPa, respectively, at a frequency of 1 Hz. Rheological measurements determined the sol-gel transition started to occur at approximately 36 degrees C, exhibiting a gelation time of approximately 11 s. Evaluation of the gellan gum hydrogels biological performance was performed using a standard MTS cytotoxicity test, which showed that the leachables released are not deleterious to the cells and hence were noncytotoxic. Gellan gum hydrogels were afterwards used to encapsulate human nasal chondrocytes (1 x 10(6) cells/mL) and culture them for total periods of 2 weeks. Cells viability was confirmed using confocal calcein AM staining. Histological observations revealed normal chondrocytes morphology and the obtained data supports the claim that this new biomaterial has the potential to serve as a cell support in the field of cartilage regeneration.","author":[{"dropping-particle":"","family":"Oliveira","given":"J. T.","non-dropping-particle":"","parse-names":false,"suffix":""},{"dropping-particle":"","family":"Martins","given":"L.","non-dropping-particle":"","parse-names":false,"suffix":""},{"dropping-particle":"","family":"Picciochi","given":"R.","non-dropping-particle":"","parse-names":false,"suffix":""},{"dropping-particle":"","family":"Malafaya","given":"P. B.","non-dropping-particle":"","parse-names":false,"suffix":""},{"dropping-particle":"","family":"Sousa","given":"R. A.","non-dropping-particle":"","parse-names":false,"suffix":""},{"dropping-particle":"","family":"Neves","given":"N. M.","non-dropping-particle":"","parse-names":false,"suffix":""},{"dropping-particle":"","family":"Mano","given":"J. F.","non-dropping-particle":"","parse-names":false,"suffix":""},{"dropping-particle":"","family":"Reis","given":"R. L.","non-dropping-particle":"","parse-names":false,"suffix":""}],"container-title":"Journal of Biomedical Materials Research - Part A","id":"ITEM-1","issue":"3","issued":{"date-parts":[["2010"]]},"page":"852-863","title":"Gellan gum: A new biomaterial for cartilage tissue engineering applications","type":"article-journal","volume":"93"},"uris":["http://www.mendeley.com/documents/?uuid=a7161f5d-752b-4911-af36-6759d4c7778d"]}],"mendeley":{"formattedCitation":"[17]","plainTextFormattedCitation":"[17]","previouslyFormattedCitation":"[17]"},"properties":{"noteIndex":0},"schema":"https://github.com/citation-style-language/schema/raw/master/csl-citation.json"}</w:instrText>
      </w:r>
      <w:r w:rsidR="00633774" w:rsidRPr="00F54DA5">
        <w:rPr>
          <w:rFonts w:cs="Arial"/>
        </w:rPr>
        <w:fldChar w:fldCharType="separate"/>
      </w:r>
      <w:r w:rsidR="002B0953" w:rsidRPr="002B0953">
        <w:rPr>
          <w:rFonts w:cs="Arial"/>
          <w:noProof/>
        </w:rPr>
        <w:t>[17]</w:t>
      </w:r>
      <w:r w:rsidR="00633774" w:rsidRPr="00F54DA5">
        <w:rPr>
          <w:rFonts w:cs="Arial"/>
        </w:rPr>
        <w:fldChar w:fldCharType="end"/>
      </w:r>
      <w:r w:rsidR="00633774" w:rsidRPr="00F54DA5">
        <w:rPr>
          <w:rFonts w:cs="Arial"/>
        </w:rPr>
        <w:t xml:space="preserve">. However, GG has been combined with several other polymers or fillers (e.g. alginate </w:t>
      </w:r>
      <w:r w:rsidR="00633774" w:rsidRPr="00F54DA5">
        <w:rPr>
          <w:rFonts w:cs="Arial"/>
        </w:rPr>
        <w:fldChar w:fldCharType="begin" w:fldLock="1"/>
      </w:r>
      <w:r w:rsidR="00940D86">
        <w:rPr>
          <w:rFonts w:cs="Arial"/>
        </w:rPr>
        <w:instrText>ADDIN CSL_CITATION {"citationItems":[{"id":"ITEM-1","itemData":{"DOI":"10.3390/polym8050170","ISSN":"2073-4360","abstract":"In tissue engineering, additive manufacturing (AM) technologies have brought considerable progress as they allow the fabrication of three-dimensional (3D) structures with defined architecture. 3D plotting is a versatile, extrusion-based AM technology suitable for processing a wide range of biomaterials including hydrogels. In this study, composites of highly concentrated alginate and gellan gum were prepared in order to combine the excellent printing properties of alginate with the favorable gelling characteristics of gellan gum. Mixtures of 16.7 wt % alginate and 2 or 3 wt % gellan gum were found applicable for 3D plotting. Characterization of the resulting composite scaffolds revealed an increased stiffness in the wet state (15%–20% higher Young’s modulus) and significantly lower volume swelling in cell culture medium compared to pure alginate scaffolds (~10% vs. ~23%). Cytocompatibility experiments with human mesenchymal stem cells (hMSC) revealed that cell attachment was improved—the seeding efficiency was ~2.5–3.5 times higher on the composites than on pure alginate. Additionally, the composites were shown to support hMSC proliferation and early osteogenic differentiation. In conclusion, print fidelity of highly concentrated alginate-gellan gum composites was comparable to those of pure alginate; after plotting and crosslinking, the scaffolds possessed improved qualities regarding shape fidelity, mechanical strength, and initial cell attachment making them attractive for tissue engineering applications.","author":[{"dropping-particle":"","family":"Akkineni","given":"Ashwini","non-dropping-particle":"","parse-names":false,"suffix":""},{"dropping-particle":"","family":"Ahlfeld","given":"Tilman","non-dropping-particle":"","parse-names":false,"suffix":""},{"dropping-particle":"","family":"Funk","given":"Alexander","non-dropping-particle":"","parse-names":false,"suffix":""},{"dropping-particle":"","family":"Waske","given":"Anja","non-dropping-particle":"","parse-names":false,"suffix":""},{"dropping-particle":"","family":"Lode","given":"Anja","non-dropping-particle":"","parse-names":false,"suffix":""},{"dropping-particle":"","family":"Gelinsky","given":"Michael","non-dropping-particle":"","parse-names":false,"suffix":""}],"container-title":"Polymers","id":"ITEM-1","issue":"170","issued":{"date-parts":[["2016"]]},"note":"Akkineni et al discussed addition of gellan gum polysaccharide chains to alginate material to strengthen the whole printed structures. They analysed the hydrogel for printing by testing rheology, uCT, light microscopy, swelling studies, compressive modulus, confocal w/cell attachement, DNA content and ALP activity","page":"1-16","title":"Highly Concentrated Alginate-Gellan Gum Composites for 3D Plotting of Complex Tissue Engineering Scaffolds","type":"article-journal","volume":"8"},"uris":["http://www.mendeley.com/documents/?uuid=20eac234-c965-4ea2-ba0e-6196320e7628"]}],"mendeley":{"formattedCitation":"[32]","plainTextFormattedCitation":"[32]","previouslyFormattedCitation":"[32]"},"properties":{"noteIndex":0},"schema":"https://github.com/citation-style-language/schema/raw/master/csl-citation.json"}</w:instrText>
      </w:r>
      <w:r w:rsidR="00633774" w:rsidRPr="00F54DA5">
        <w:rPr>
          <w:rFonts w:cs="Arial"/>
        </w:rPr>
        <w:fldChar w:fldCharType="separate"/>
      </w:r>
      <w:r w:rsidR="00940D86" w:rsidRPr="00940D86">
        <w:rPr>
          <w:rFonts w:cs="Arial"/>
          <w:noProof/>
        </w:rPr>
        <w:t>[32]</w:t>
      </w:r>
      <w:r w:rsidR="00633774" w:rsidRPr="00F54DA5">
        <w:rPr>
          <w:rFonts w:cs="Arial"/>
        </w:rPr>
        <w:fldChar w:fldCharType="end"/>
      </w:r>
      <w:r w:rsidR="00633774" w:rsidRPr="00F54DA5">
        <w:rPr>
          <w:rFonts w:cs="Arial"/>
        </w:rPr>
        <w:t xml:space="preserve">, GelMA </w:t>
      </w:r>
      <w:r w:rsidR="00633774" w:rsidRPr="00F54DA5">
        <w:rPr>
          <w:rFonts w:cs="Arial"/>
        </w:rPr>
        <w:fldChar w:fldCharType="begin" w:fldLock="1"/>
      </w:r>
      <w:r w:rsidR="00940D86">
        <w:rPr>
          <w:rFonts w:cs="Arial"/>
        </w:rPr>
        <w:instrText>ADDIN CSL_CITATION {"citationItems":[{"id":"ITEM-1","itemData":{"DOI":"10.1002/mabi.201200471","ISBN":"1616-5187","ISSN":"16165187","PMID":"23420700","abstract":"Gelatin-methacrylamide (gelMA) hydrogels are shown to support chondrocyte viability and differentiation and give wide ranging mechanical properties depending on several cross-linking parameters. Polymer concentration, UV exposure time, and thermal gelation prior to UV exposure allow for control over hydrogel stiffness and swelling properties. GelMA solutions have a low viscosity at 37 °C, which is incompatible with most biofabrication approaches. However, incorporation of hyaluronic acid (HA) and/or co-deposition with thermoplastics allows gelMA to be used in biofabrication processes. These attributes may allow engineered constructs to match the natural functional variations in cartilage mechanical and geometrical properties.","author":[{"dropping-particle":"","family":"Schuurman","given":"Wouter","non-dropping-particle":"","parse-names":false,"suffix":""},{"dropping-particle":"","family":"Levett","given":"Peter A.","non-dropping-particle":"","parse-names":false,"suffix":""},{"dropping-particle":"","family":"Pot","given":"Michiel W.","non-dropping-particle":"","parse-names":false,"suffix":""},{"dropping-particle":"","family":"Weeren","given":"Paul René","non-dropping-particle":"van","parse-names":false,"suffix":""},{"dropping-particle":"","family":"Dhert","given":"Wouter J. A.","non-dropping-particle":"","parse-names":false,"suffix":""},{"dropping-particle":"","family":"Hutmacher","given":"Dietmar W.","non-dropping-particle":"","parse-names":false,"suffix":""},{"dropping-particle":"","family":"Melchels","given":"Ferry P. W.","non-dropping-particle":"","parse-names":false,"suffix":""},{"dropping-particle":"","family":"Klein","given":"Travis J.","non-dropping-particle":"","parse-names":false,"suffix":""},{"dropping-particle":"","family":"Malda","given":"Jos","non-dropping-particle":"","parse-names":false,"suffix":""}],"container-title":"Macromolecular Bioscience","id":"ITEM-1","issue":"5","issued":{"date-parts":[["2013","5"]]},"note":"Schuurman et al. described their work on GelMA hydrogels aided with hyaluronic acid incorposration and co-printed with thermoplastic material to help sustain physical stress of handling, implantation but also shape fidelity.","page":"551-561","title":"Gelatin-Methacrylamide Hydrogels as Potential Biomaterials for Fabrication of Tissue-Engineered Cartilage Constructs","type":"article-journal","volume":"13"},"uris":["http://www.mendeley.com/documents/?uuid=32ed1779-d738-4bd6-a47a-5e0761eef044"]},{"id":"ITEM-2","itemData":{"DOI":"10.1088/1758-5090/8/3/035003","ISBN":"1758-5082","ISSN":"17585090","PMID":"27431733","abstract":"Bioprinting of chondrocyte-laden hydrogels facilitates the fabrication of constructs with controlled organization and shape e.g. for articular cartilage implants. Gelatin-methacryloyl (gelMA) supplemented with gellan gum is a promising bio-ink. However, the rheological properties governing the printing process, and the influence of gellan gum on the mechanical properties and chondrogenesis of the blend, are still unknown. Here, we investigated the suitability of gelMA/gellan for cartilage bioprinting. Multiple concentrations, ranging from 3% to 20% gelMA with 0%-1.5% gellan gum, were evaluated for their printability, defined as the ability to form filaments and to incorporate cells at 15 °C-37 °C. To support the printability assessment, yield stress and viscosity of the hydrogels were measured. Stiffness of UV-cured constructs, as well as cartilage-like tissue formation by embedded chondrocytes, were determined in vitro. A large range of gelMA/gellan concentrations were printable with inclusion of cells and formed the bioprinting window. The addition of gellan gum improved filament deposition by inducing yielding behavior, increased construct stiffness and supported chondrogenesis. High gellan gum concentrations, however, did compromise cartilage matrix production and distribution, and even higher concentrations resulted in too high yield stresses to allow cell encapsulation. This study demonstrates the high potential of gelMA/gellan blends for cartilage bioprinting and identifies yield stress as a dominant factor for bioprintability.","author":[{"dropping-particle":"","family":"Mouser","given":"Vivian H.M.","non-dropping-particle":"","parse-names":false,"suffix":""},{"dropping-particle":"","family":"Melchels","given":"Ferry P.W.","non-dropping-particle":"","parse-names":false,"suffix":""},{"dropping-particle":"","family":"Visser","given":"Jetze","non-dropping-particle":"","parse-names":false,"suffix":""},{"dropping-particle":"","family":"Dhert","given":"Wouter J.A.","non-dropping-particle":"","parse-names":false,"suffix":""},{"dropping-particle":"","family":"Gawlitta","given":"Debby","non-dropping-particle":"","parse-names":false,"suffix":""},{"dropping-particle":"","family":"Malda","given":"Jos","non-dropping-particle":"","parse-names":false,"suffix":""}],"container-title":"Biofabrication","id":"ITEM-2","issue":"3","issued":{"date-parts":[["2016"]]},"page":"1-13","publisher":"IOP Publishing","title":"Yield stress determines bioprintability of hydrogels based on gelatin-methacryloyl and gellan gum for cartilage bioprinting","type":"article-journal","volume":"8"},"uris":["http://www.mendeley.com/documents/?uuid=bf4aaa9a-6465-435e-a774-24971b32af76"]},{"id":"ITEM-3","itemData":{"DOI":"10.1088/1758-5082/5/3/035007","ISBN":"1758-5090","ISSN":"1758-5090","PMID":"23817739","abstract":"Additive manufacturing in the field of regenerative medicine aims to fabricate organized tissue-equivalents. However, the control over shape and composition of biofabricated constructs is still a challenge and needs to be improved. The current research aims to improve shape, by converging a number of biocompatible, quality construction materials into a single three-dimensional fiber deposition process. To demonstrate this, several models of complex anatomically shaped constructs were fabricated by combined deposition of poly(vinyl alcohol), poly(ε-caprolactone), gelatin methacrylamide/gellan gum and alginate hydrogel. Sacrificial components were co-deposited as temporary support for overhang geometries and were removed after fabrication by immersion in aqueous solutions. Embedding of chondrocytes in the gelatin methacrylamide/gellan component demonstrated that the fabrication and the sacrificing procedure did not affect cell viability. Further, it was shown that anatomically shaped constructs can be successfully fabricated, yielding advanced porous thermoplastic polymer scaffolds, layered porous hydrogel constructs, as well as reinforced cell-laden hydrogel structures. In conclusion, anatomically shaped tissue constructs of clinically relevant sizes can be generated when employing multiple building and sacrificial materials in a single biofabrication session. The current techniques offer improved control over both internal and external construct architecture undersc</w:instrText>
      </w:r>
      <w:r w:rsidR="00940D86" w:rsidRPr="00516A6B">
        <w:rPr>
          <w:rFonts w:cs="Arial"/>
          <w:lang w:val="fr-FR"/>
        </w:rPr>
        <w:instrText>oring its potential to generate customized implants for human tissue regeneration.","author":[{"dropping-particle":"","family":"Visser","given":"Jetze","non-dropping-particle":"","parse-names":false,"suffix":""},{"dropping-particle":"","family":"Peters","given":"Benjamin","non-dropping-particle":"","parse-names":false,"suffix":""},{"dropping-particle":"","family":"Burger","given":"Thijs J","non-dropping-particle":"","parse-names":false,"suffix":""},{"dropping-particle":"","family":"Boomstra","given":"Jelle","non-dropping-particle":"","parse-names":false,"suffix":""},{"dropping-particle":"","family":"Dhert","given":"Wouter J a","non-dropping-particle":"","parse-names":false,"suffix":""},{"dropping-particle":"","family":"Melchels","given":"Ferry P W","non-dropping-particle":"","parse-names":false,"suffix":""},{"dropping-particle":"","family":"Malda","given":"Jos","non-dropping-particle":"","parse-names":false,"suffix":""}],"container-title":"Biofabrication","id":"ITEM-3","issue":"3","issued":{"date-parts":[["2013"]]},"page":"035007","title":"Biofabrication of multi-material anatomically shaped tissue constructs.","type":"article-journal","volume":"5"},"uris":["http://www.mendeley.com/documents/?uuid=76e95f8d-c572-469c-929d-b212b2673889"]}],"mendeley":{"formattedCitation":"[33–35]","plainTextFormattedCitation":"[33–35]","previouslyFormattedCitation":"[33–35]"},"properties":{"noteIndex":0},"schema":"https://github.com/citation-style-language/schema/raw/master/csl-citation.json"}</w:instrText>
      </w:r>
      <w:r w:rsidR="00633774" w:rsidRPr="00F54DA5">
        <w:rPr>
          <w:rFonts w:cs="Arial"/>
        </w:rPr>
        <w:fldChar w:fldCharType="separate"/>
      </w:r>
      <w:r w:rsidR="00940D86" w:rsidRPr="00516A6B">
        <w:rPr>
          <w:rFonts w:cs="Arial"/>
          <w:noProof/>
          <w:lang w:val="fr-FR"/>
        </w:rPr>
        <w:t>[33–35]</w:t>
      </w:r>
      <w:r w:rsidR="00633774" w:rsidRPr="00F54DA5">
        <w:rPr>
          <w:rFonts w:cs="Arial"/>
        </w:rPr>
        <w:fldChar w:fldCharType="end"/>
      </w:r>
      <w:r w:rsidR="00633774" w:rsidRPr="00516A6B">
        <w:rPr>
          <w:rFonts w:cs="Arial"/>
          <w:lang w:val="fr-FR"/>
        </w:rPr>
        <w:t xml:space="preserve">, </w:t>
      </w:r>
      <w:r w:rsidR="00633774" w:rsidRPr="00516A6B">
        <w:rPr>
          <w:lang w:val="fr-FR"/>
        </w:rPr>
        <w:t xml:space="preserve">carbon nanotubes </w:t>
      </w:r>
      <w:r w:rsidR="00633774" w:rsidRPr="00F54DA5">
        <w:rPr>
          <w:rFonts w:cs="Arial"/>
        </w:rPr>
        <w:fldChar w:fldCharType="begin" w:fldLock="1"/>
      </w:r>
      <w:r w:rsidR="00940D86" w:rsidRPr="00516A6B">
        <w:rPr>
          <w:rFonts w:cs="Arial"/>
          <w:lang w:val="fr-FR"/>
        </w:rPr>
        <w:instrText>ADDIN CSL_CITATION {"citationItems":[{"id":"ITEM-1","itemData":{"DOI":"10.1002/adfm.201200724","ISBN":"1616301X","ISSN":"1616301X","abstract":"Carbon nanotube networks in biopolymer solutions are explored as potential ink systems for the extrusion printing of conducting structures. The biopolymer gellan gum is found to act as an excellent dispersant of multiwalled carbon nanotubes and has the appropriate flow properties to act as a thickener for the controlled dispensing of carbon nanotube networks. Absorbing substrates are found to improve the resolution and the flexibility of the printed structures. These printed conducting carbon nanotube networks exhibit interesting mechanical and electrical characteristics, which are applied to demonstrate their actuating and strain gauging capabilities.","author":[{"dropping-particle":"","family":"Pidcock","given":"Geoffrey C.","non-dropping-particle":"","parse-names":false,"suffix":""},{"dropping-particle":"","family":"Panhuis","given":"Marc","non-dropping-particle":"In Het","parse-names":false,"suffix":""}],"container-title":"Advanced Functional Materials","id":"ITEM-1","issue":"22","issued":{"date-parts":[["2012"]]},"page":"4790-4800","title":"Extrusion printing of flexible electrically conducting carbon nanotube networks","type":"article-journal","volume":"22"},"uris":["http://www.mendeley.com/documents/?uuid=6e0c2684-bff6-488f-98b8-2ef0a69b0e77"]}],"mendeley":{"formattedCitation":"[19]","plainTextFormattedCitation":"[19]","previouslyFormattedCitation":"[19]"},"properties":{"noteIndex":0},"schema":"https://github.com/citation-style-language/schema/raw/master/csl-citation.json"}</w:instrText>
      </w:r>
      <w:r w:rsidR="00633774" w:rsidRPr="00F54DA5">
        <w:rPr>
          <w:rFonts w:cs="Arial"/>
        </w:rPr>
        <w:fldChar w:fldCharType="separate"/>
      </w:r>
      <w:r w:rsidR="002B0953" w:rsidRPr="00516A6B">
        <w:rPr>
          <w:rFonts w:cs="Arial"/>
          <w:noProof/>
          <w:lang w:val="fr-FR"/>
        </w:rPr>
        <w:t>[19]</w:t>
      </w:r>
      <w:r w:rsidR="00633774" w:rsidRPr="00F54DA5">
        <w:rPr>
          <w:rFonts w:cs="Arial"/>
        </w:rPr>
        <w:fldChar w:fldCharType="end"/>
      </w:r>
      <w:r w:rsidR="00633774" w:rsidRPr="00516A6B">
        <w:rPr>
          <w:rFonts w:cs="Arial"/>
          <w:lang w:val="fr-FR"/>
        </w:rPr>
        <w:t xml:space="preserve">) </w:t>
      </w:r>
      <w:r w:rsidR="00633774" w:rsidRPr="00516A6B">
        <w:rPr>
          <w:lang w:val="fr-FR"/>
        </w:rPr>
        <w:t xml:space="preserve">to generate multifunctional hydrogel platforms for printing applications </w:t>
      </w:r>
      <w:r w:rsidR="00633774" w:rsidRPr="00F54DA5">
        <w:rPr>
          <w:rFonts w:cs="Arial"/>
        </w:rPr>
        <w:fldChar w:fldCharType="begin" w:fldLock="1"/>
      </w:r>
      <w:r w:rsidR="00940D86" w:rsidRPr="00516A6B">
        <w:rPr>
          <w:lang w:val="fr-FR"/>
        </w:rPr>
        <w:instrText xml:space="preserve">ADDIN CSL_CITATION {"citationItems":[{"id":"ITEM-1","itemData":{"DOI":"10.1039/C2BM00114D","ISBN":"2047-4830","ISSN":"2047-4830","abstract":"Drop-on-demand bioprinting allows the controlled placement of living cells, and will benefit research in the fields of tissue engineering, drug screening and toxicology.We show that a bio-ink based on a novel microgel suspension in a surfactant-containing tissue culture medium can be used to reproducibly print several different cell types, from two different commercially available drop-on-demand printing systems, over long printing periods. The bio-ink maintains a stable cell suspension, preventing the settling and aggregation of cells that usually impedes cell printing, whilst meeting the stringent fluid property </w:instrText>
      </w:r>
      <w:r w:rsidR="00940D86" w:rsidRPr="00A9169D">
        <w:rPr>
          <w:lang w:val="fr-FR"/>
        </w:rPr>
        <w:instrText>requirements needed to enable printing even from many-nozzle commercial inkjet print heads. This innovation in printing technology may pave the way for the biofabrication of multi-cellular structures and functional tissue.","author":[{"dropping-particle":"","family":"Ferris","given":"Cameron J.","non-dropping-particle":"","parse-names":false,"suffix":""},{"dropping-particle":"","family":"Gilmore","given":"Kerry J.","non-dropping-particle":"","parse-names":false,"suffix":""},{"dropping-particle":"","family":"Beirne","given":"Stephen","non-dropping-particle":"","parse-names":false,"suffix":""},{"dropping-particle":"","family":"McCallum","given":"Dona</w:instrText>
      </w:r>
      <w:r w:rsidR="00940D86">
        <w:instrText>ld","non-dropping-particle":"","parse-names":false,"suffix":""},{"dropping-particle":"","family":"Wallace","given":"Gordon G.","non-dropping-particle":"","parse-names":false,"suffix":""},{"dropping-particle":"","family":"Panhuis","given":"Marc","non-dropping-particle":"in het","parse-names":false,"suffix":""}],"container-title":"Biomater. Sci.","id":"ITEM-1","issue":"2","issued":{"date-parts":[["2013"]]},"page":"224-230","title":"Bio-ink for on-demand printing of living cells","type":"article-journal","volume":"1"},"uris":["http://www.mendeley.com/documents/?uuid=d584b093-461c-4055-8ee0-31a743ef2234"]}],"mendeley":{"formattedCitation":"[36]","plainTextFormattedCitation":"[36]","previouslyFormattedCitation":"[36]"},"properties":{"noteIndex":0},"schema":"https://github.com/citation-style-language/schema/raw/master/csl-citation.json"}</w:instrText>
      </w:r>
      <w:r w:rsidR="00633774" w:rsidRPr="00F54DA5">
        <w:rPr>
          <w:rFonts w:cs="Arial"/>
        </w:rPr>
        <w:fldChar w:fldCharType="separate"/>
      </w:r>
      <w:r w:rsidR="00940D86" w:rsidRPr="00940D86">
        <w:rPr>
          <w:rFonts w:cs="Arial"/>
          <w:noProof/>
        </w:rPr>
        <w:t>[36]</w:t>
      </w:r>
      <w:r w:rsidR="00633774" w:rsidRPr="00F54DA5">
        <w:rPr>
          <w:rFonts w:cs="Arial"/>
        </w:rPr>
        <w:fldChar w:fldCharType="end"/>
      </w:r>
      <w:r w:rsidR="00633774" w:rsidRPr="00F54DA5">
        <w:rPr>
          <w:rFonts w:cs="Arial"/>
        </w:rPr>
        <w:t>.</w:t>
      </w:r>
      <w:r w:rsidR="00A864BA" w:rsidRPr="00F54DA5">
        <w:rPr>
          <w:rFonts w:cs="Arial"/>
        </w:rPr>
        <w:t xml:space="preserve"> </w:t>
      </w:r>
    </w:p>
    <w:p w14:paraId="585E6FB2" w14:textId="577F86A1" w:rsidR="00A864BA" w:rsidRPr="00F54DA5" w:rsidRDefault="00C05D85" w:rsidP="00C06022">
      <w:pPr>
        <w:tabs>
          <w:tab w:val="left" w:pos="567"/>
        </w:tabs>
        <w:spacing w:after="0" w:line="360" w:lineRule="auto"/>
        <w:jc w:val="both"/>
        <w:rPr>
          <w:rFonts w:cs="Arial"/>
        </w:rPr>
      </w:pPr>
      <w:r>
        <w:rPr>
          <w:rFonts w:cs="Arial"/>
        </w:rPr>
        <w:tab/>
      </w:r>
      <w:r w:rsidR="00A864BA" w:rsidRPr="00F54DA5">
        <w:rPr>
          <w:rFonts w:cs="Arial"/>
        </w:rPr>
        <w:t xml:space="preserve">Gel stability is profoundly influenced by pH and ionic strength of the submerging medium </w:t>
      </w:r>
      <w:r w:rsidR="00A864BA" w:rsidRPr="00F54DA5">
        <w:rPr>
          <w:rFonts w:cs="Arial"/>
        </w:rPr>
        <w:fldChar w:fldCharType="begin" w:fldLock="1"/>
      </w:r>
      <w:r w:rsidR="00793844">
        <w:rPr>
          <w:rFonts w:cs="Arial"/>
        </w:rPr>
        <w:instrText>ADDIN CSL_CITATION {"citationItems":[{"id":"ITEM-1","itemData":{"DOI":"10.1016/j.eurpolymj.2016.02.007","ISSN":"00143057","abstract":"Successful treatment of infected wounds still represents an open challenge in the biomedical field. Nanocomposite hydrogels (NC) are a valid solution to this problem as they can be used as wound dressing materials for the delivery of therapeutic agents at the site of the injury. In addition, their improved mechanical properties make possible a sterile treatment, which is not generally possible using conventional hydrogels. Here in this work, gellan gum methacrylate (GG-MA), a biocompatible polymer recently proposed for the fabrication of injectable and photocrosslinkable hydrogels, was combined with laponite?? XLG to form novel NC hydrogels as innovative wound dressing material. Clay concentration was varied in the range of 0.1 up to 1% w/v to study the possible clay-polymer interactions prior and after UV irradiation, showing the formation of weak gels having storage modulus G' varying from 1 up to 100. Pa, even prior photocrosslinking. As expected, the highest value of G' (over 1000. Pa) was found for the NC hydrogel containing 1% w/v of laponite after UV irradiation. The same system showed unaltered mechanical properties after steam sterilization compared to the one composed of 0.5% of clay, which showed a decrease in the stress failure after steam treatment. Moreover, the effect of laponite on the swelling and release capability was studied to test these new nanocomposite systems as a carrier of the model drug ofloxacin. Laponite was able to decrease the amount of antibiotic released over the first eight hours compared to the GG-MA hydrogels, although the amount of clay did not influence the diffusion coefficient of ofloxacin. Finally, preliminary cytotoxicity tests on human fibroblasts were carried out to evaluate the NC hydrogel biocompatibility. Overall, we anticipate the possible use of this novel NC hydrogel as wound dressing material for the treatment of burn wounds, which are subjected to chronic infections.","author":[{"dropping-particle":"","family":"Pacelli","given":"Settimio","non-dropping-particle":"","parse-names":false,"suffix":""},{"dropping-particle":"","family":"Paolicelli","given":"Patrizia","non-dropping-particle":"","parse-names":false,"suffix":""},{"dropping-particle":"","family":"Moretti","given":"Giuseppe","non-dropping-particle":"","parse-names":false,"suffix":""},{"dropping-particle":"","family":"Petralito","given":"Stefania","non-dropping-particle":"","parse-names":false,"suffix":""},{"dropping-particle":"","family":"Giacomo","given":"Silvia","non-dropping-particle":"Di","parse-names":false,"suffix":""},{"dropping-particle":"","family":"Vitalone","given":"Annabella","non-dropping-particle":"","parse-names":false,"suffix":""},{"dropping-particle":"","family":"Casadei","given":"Maria Antonietta","non-dropping-particle":"","parse-names":false,"suffix":""}],"container-title":"European Polymer Journal","id":"ITEM-1","issued":{"date-parts":[["2015"]]},"note":"Di Giacomo et al. investigated influence of Laponite XLG in conjunction with GELLAN GUM METHACRYLATE (GG-MA). As expected, the highest value of G0 (over 1000 Pa) was found for the NC hydrogel containing 1% w/v of laponite after UV irradiation. To address this point, several concentrations of laponite have been tested (0.1 up to 1% w/v) to study how the different\namounts of clay were able to influence the mechanical properties of the NC hydrogels GG-MA.\n\nGG-MA solutions of 1 and 2% w/v were obtained by solubilization of the polymer in deionized (DI) water and mixed with\ndifferent aqueous solution of laponite? XLG previously dispersed in water at room temperature. All the polymeric solutions (4.0 ml) were mixed together with Irgacure 2959 (25 ll of a solution 20%, w/v, in N-methyl- pyrrolidone) and placed in silicon molds (Ø 5.0 cm) to facilitate the removal of the hydrogels after their formation.\n\nResults\nA concentration of 2% w/v was found to be appropriate and kept constant throughout all the studies. In fact, with lower concentrations the photochemical hydrogels were too weak and fragile, while for higher amount of GG-MA no significant improvement in mechanical properties were detected (data not shown). This behavior was observed up to a limit value of clay concentration (0.5% w/v) over which no modification of the viscosity were detected for further increase in laponite concentration. Interestingly, even prior irradiation all the systems behave like weak gels with the value of the elastic modulus (G0) higher than the viscous one (G00). Moreover, an increase of near two order of magnitude (from 1 to 100 Pa) in the value of G0 can be detected, which relates to the amount of laponite included in the formulation. Laponite dispersions spontaneously age toward a gel equilibrium state and this process can be affected by several factors, including the concentration of laponite and other parameters that can modulate particles aggregation, such as salt and polymer content [27,28]. In the GG-MA/clay systems containing 0.5% and 1% w/v of laponite? XLG no significant change in the values of G0 calculated at 1 Hz was detected over a week of time. This behavior could be attributed to the stabilization of the clay dispersion in the presence of the polymeric chains, which are likely to interact with the surface of the clay particles and avoiding or signifi- cantly delaying their aggregation.\n\nGG-MA hydrogels without clay in their network were found to be completely destroyed after this treatment and for them it was not possible to record any mechanical spectra. On the contrary, the presence of laponite in the polymeric network allowed the sterilization and the hydrogels were able to retain their structure after the thermal treatment.\n\nIn the presence of Na+ counterions, negative charges of both GG-MA’s carboxylate groups and laponite can be shielded, leading to a lower swelling degree of the matrix (Fig. 3A). This behavior can explain the smaller values of equilibrium of swelling measured in NaCl 0.9% w/v with respect to the ones found when the gels were placed in distilled water. The equilibrium of swelling was reached in all systems after the first 3 h and GG-MA gels (Lap 0%) had the highest values in water potentially due to higher mobility of the polymeric chains, which may be hampered in the presence of laponite.\nHowever, this phenomenon of aggregation for the exfoliated clay could be partially prevented by the presence of gellan gum chains, which can avoid the complete precipitation of clay in the gel matrix, main- taining the exfoliated clay in almost fixed and stable positions.\nIn addition, the presence of the laponite was also able to affect the internal porosity of the polymeric matrix. In fact, GG-\nMA hydrogels showed larger porosity compared to the systems with laponite although no significant difference was observed according to the amount of clay introduced in the hydrogels.","page":"114-123","title":"Gellan gum methacrylate and laponite as an innovative nanocomposite hydrogel for biomedical applications","type":"article-journal","volume":"77"},"uris":["http://www.mendeley.com/documents/?uuid=aa45fa5d-76a6-4726-a683-f0c225360c06"]}],"mendeley":{"formattedCitation":"[23]","plainTextFormattedCitation":"[23]","previouslyFormattedCitation":"[23]"},"properties":{"noteIndex":0},"schema":"https://github.com/citation-style-language/schema/raw/master/csl-citation.json"}</w:instrText>
      </w:r>
      <w:r w:rsidR="00A864BA" w:rsidRPr="00F54DA5">
        <w:rPr>
          <w:rFonts w:cs="Arial"/>
        </w:rPr>
        <w:fldChar w:fldCharType="separate"/>
      </w:r>
      <w:r w:rsidR="00793844" w:rsidRPr="00793844">
        <w:rPr>
          <w:rFonts w:cs="Arial"/>
          <w:noProof/>
        </w:rPr>
        <w:t>[23]</w:t>
      </w:r>
      <w:r w:rsidR="00A864BA" w:rsidRPr="00F54DA5">
        <w:rPr>
          <w:rFonts w:cs="Arial"/>
        </w:rPr>
        <w:fldChar w:fldCharType="end"/>
      </w:r>
      <w:r w:rsidR="00A864BA" w:rsidRPr="00F54DA5">
        <w:rPr>
          <w:rFonts w:cs="Arial"/>
        </w:rPr>
        <w:t xml:space="preserve">. </w:t>
      </w:r>
      <w:r w:rsidR="008B20C9">
        <w:rPr>
          <w:rFonts w:cs="Arial"/>
        </w:rPr>
        <w:t>Therefore, t</w:t>
      </w:r>
      <w:r w:rsidR="00A864BA" w:rsidRPr="00F54DA5">
        <w:rPr>
          <w:rFonts w:cs="Arial"/>
        </w:rPr>
        <w:t>he effect of L</w:t>
      </w:r>
      <w:r w:rsidR="00633774">
        <w:rPr>
          <w:rFonts w:cs="Arial"/>
        </w:rPr>
        <w:t>AP</w:t>
      </w:r>
      <w:r w:rsidR="00A864BA" w:rsidRPr="00F54DA5">
        <w:rPr>
          <w:rFonts w:cs="Arial"/>
        </w:rPr>
        <w:t xml:space="preserve"> addition on GG swelling ability, sol fraction and mass loss were investigated. </w:t>
      </w:r>
      <w:r w:rsidR="00C06022" w:rsidRPr="00F54DA5">
        <w:t>LAP and GG content percentages were maintained</w:t>
      </w:r>
      <w:r w:rsidR="00633774">
        <w:t xml:space="preserve"> at </w:t>
      </w:r>
      <w:r w:rsidR="00C06022" w:rsidRPr="00F54DA5">
        <w:t>low</w:t>
      </w:r>
      <w:r w:rsidR="00633774">
        <w:t xml:space="preserve"> </w:t>
      </w:r>
      <w:r w:rsidR="00553B84">
        <w:t>conc</w:t>
      </w:r>
      <w:r w:rsidR="00633774">
        <w:t xml:space="preserve">entrations with a view to examine </w:t>
      </w:r>
      <w:r w:rsidR="00C06022" w:rsidRPr="00F54DA5">
        <w:t>change</w:t>
      </w:r>
      <w:r w:rsidR="00633774">
        <w:t>s</w:t>
      </w:r>
      <w:r w:rsidR="00C06022" w:rsidRPr="00F54DA5">
        <w:t xml:space="preserve"> in </w:t>
      </w:r>
      <w:r w:rsidR="00633774">
        <w:t xml:space="preserve">the </w:t>
      </w:r>
      <w:r w:rsidR="00C06022" w:rsidRPr="00F54DA5">
        <w:t>physical parameters according to the serial increase of nanoclay content.</w:t>
      </w:r>
      <w:r w:rsidR="00A864BA" w:rsidRPr="00F54DA5">
        <w:rPr>
          <w:rFonts w:cs="Arial"/>
        </w:rPr>
        <w:t xml:space="preserve"> PBS and HBSS were used as solution</w:t>
      </w:r>
      <w:r w:rsidR="00C06022" w:rsidRPr="00F54DA5">
        <w:rPr>
          <w:rFonts w:cs="Arial"/>
        </w:rPr>
        <w:t>s</w:t>
      </w:r>
      <w:r w:rsidR="00A864BA" w:rsidRPr="00F54DA5">
        <w:rPr>
          <w:rFonts w:cs="Arial"/>
        </w:rPr>
        <w:t xml:space="preserve"> containing </w:t>
      </w:r>
      <w:r w:rsidR="00C06022" w:rsidRPr="00F54DA5">
        <w:rPr>
          <w:rFonts w:cs="Arial"/>
        </w:rPr>
        <w:t xml:space="preserve">a </w:t>
      </w:r>
      <w:r w:rsidR="00A864BA" w:rsidRPr="00F54DA5">
        <w:rPr>
          <w:rFonts w:cs="Arial"/>
        </w:rPr>
        <w:t xml:space="preserve">different ionic content. The sol fraction was found not </w:t>
      </w:r>
      <w:r w:rsidR="00AD4066">
        <w:rPr>
          <w:rFonts w:cs="Arial"/>
        </w:rPr>
        <w:t xml:space="preserve">to </w:t>
      </w:r>
      <w:r w:rsidR="00553B84">
        <w:rPr>
          <w:rFonts w:cs="Arial"/>
        </w:rPr>
        <w:t xml:space="preserve">display </w:t>
      </w:r>
      <w:r w:rsidR="00633774">
        <w:rPr>
          <w:rFonts w:cs="Arial"/>
        </w:rPr>
        <w:t xml:space="preserve">any </w:t>
      </w:r>
      <w:r w:rsidR="00A864BA" w:rsidRPr="00F54DA5">
        <w:rPr>
          <w:rFonts w:cs="Arial"/>
        </w:rPr>
        <w:t>significant differences between LAP-GG formulations and controls</w:t>
      </w:r>
      <w:r w:rsidR="00793844">
        <w:rPr>
          <w:rFonts w:cs="Arial"/>
        </w:rPr>
        <w:t xml:space="preserve">. Nevertheless, </w:t>
      </w:r>
      <w:r w:rsidR="00A864BA" w:rsidRPr="00F54DA5">
        <w:rPr>
          <w:rFonts w:cs="Arial"/>
        </w:rPr>
        <w:lastRenderedPageBreak/>
        <w:t xml:space="preserve">L0.5G1, L1G1, G2 and L1G2 showed a significant increase in sol fraction percentage when immersed in PBS compared to HBSS solutions. These results suggest the possibility of PBS to induce greater swelling, possibly forcing the release of Ca ions from crosslinked LAP-GG because of the difference in molarity </w:t>
      </w:r>
      <w:r w:rsidR="00A864BA" w:rsidRPr="00F54DA5">
        <w:rPr>
          <w:rFonts w:cs="Arial"/>
        </w:rPr>
        <w:fldChar w:fldCharType="begin" w:fldLock="1"/>
      </w:r>
      <w:r w:rsidR="00940D86">
        <w:rPr>
          <w:rFonts w:cs="Arial"/>
        </w:rPr>
        <w:instrText>ADDIN CSL_CITATION {"citationItems":[{"id":"ITEM-1","itemData":{"DOI":"10.1038/s41598-017-17286-1","ISSN":"2045-2322","PMID":"29213126","abstract":"Alginate is a commonly used bioink in 3D bioprinting. Matrix stiffness is a key determinant of mesenchymal stem cell (MSC) differentiation, suggesting that modulation of alginate bioink mechanical properties represents a promising strategy to spatially regulate MSC fate within bioprinted tissues. In this study, we define a printability window for alginate of differing molecular weight (MW) by systematically varying the ratio of alginate to ionic crosslinker within the bioink. We demonstrate that the MW of such alginate bioinks, as well as the choice of ionic crosslinker, can be tuned to control the mechanical properties (Young's Modulus, Degradation Rate) of 3D printed constructs. These same factors are also shown to influence growth factor release from the bioinks. We next explored if spatially modulating the stiffness of 3D bioprinted hydrogels could be used to direct MSC fate inside printed tissues. Using the same alginate and crosslinker, but varying the crosslinking ratio, it is possible to bioprint constructs with spatially varying mechanical microenvironments. Moreover, these spatially varying microenvironments were found to have a significant effect on the fate of MSCs within the alginate bioinks, with stiffer regions of the bioprinted construct preferentially supporting osteogenesis over adipogenesis.","author":[{"dropping-particle":"","family":"Freeman","given":"Fiona E.","non-dropping-particle":"","parse-names":false,"suffix":""},{"dropping-particle":"","family":"Kelly","given":"Daniel J.","non-dropping-particle":"","parse-names":false,"suffix":""}],"container-title":"Scientific Reports","id":"ITEM-1","issue":"1","issued":{"date-parts":[["2017","12","6"]]},"page":"17042","publisher":"Springer US","title":"Tuning Alginate Bioink Stiffness and Composition for Controlled Growth Factor Delivery and to Spatially Direct MSC Fate within Bioprinted Tissues","type":"article-journal","volume":"7"},"uris":["http://www.mendeley.com/documents/?uuid=8561bde4-cccf-4c3e-85f6-bd7ffa682944"]}],"mendeley":{"formattedCitation":"[37]","plainTextFormattedCitation":"[37]","previouslyFormattedCitation":"[37]"},"properties":{"noteIndex":0},"schema":"https://github.com/citation-style-language/schema/raw/master/csl-citation.json"}</w:instrText>
      </w:r>
      <w:r w:rsidR="00A864BA" w:rsidRPr="00F54DA5">
        <w:rPr>
          <w:rFonts w:cs="Arial"/>
        </w:rPr>
        <w:fldChar w:fldCharType="separate"/>
      </w:r>
      <w:r w:rsidR="00940D86" w:rsidRPr="00940D86">
        <w:rPr>
          <w:rFonts w:cs="Arial"/>
          <w:noProof/>
        </w:rPr>
        <w:t>[37]</w:t>
      </w:r>
      <w:r w:rsidR="00A864BA" w:rsidRPr="00F54DA5">
        <w:rPr>
          <w:rFonts w:cs="Arial"/>
        </w:rPr>
        <w:fldChar w:fldCharType="end"/>
      </w:r>
      <w:r w:rsidR="00A864BA" w:rsidRPr="00F54DA5">
        <w:rPr>
          <w:rFonts w:cs="Arial"/>
        </w:rPr>
        <w:t>. Mass swelling ratio was influenced by the ionic content of the PBS and HBSS solutions. Interestingly, LAP-GG formulations conditioned by the incubation in PBS</w:t>
      </w:r>
      <w:r w:rsidR="00AD210F">
        <w:rPr>
          <w:rFonts w:cs="Arial"/>
        </w:rPr>
        <w:t xml:space="preserve"> </w:t>
      </w:r>
      <w:r w:rsidR="00A864BA" w:rsidRPr="00F54DA5">
        <w:rPr>
          <w:rFonts w:cs="Arial"/>
        </w:rPr>
        <w:t>induced the swelling of cast gels. In contrast, calcium-rich HBSS conditioned scaffolds were limited in their swelling behaviour. The results</w:t>
      </w:r>
      <w:r w:rsidR="00633774">
        <w:rPr>
          <w:rFonts w:cs="Arial"/>
        </w:rPr>
        <w:t xml:space="preserve"> of this study are in </w:t>
      </w:r>
      <w:r w:rsidR="00A864BA" w:rsidRPr="00F54DA5">
        <w:rPr>
          <w:rFonts w:cs="Arial"/>
        </w:rPr>
        <w:t xml:space="preserve">agreement with Pacelli </w:t>
      </w:r>
      <w:r w:rsidR="00A864BA" w:rsidRPr="00F54DA5">
        <w:rPr>
          <w:rFonts w:cs="Arial"/>
          <w:i/>
        </w:rPr>
        <w:t xml:space="preserve">et al. </w:t>
      </w:r>
      <w:r w:rsidR="00A864BA" w:rsidRPr="00F54DA5">
        <w:rPr>
          <w:rFonts w:cs="Arial"/>
          <w:i/>
        </w:rPr>
        <w:fldChar w:fldCharType="begin" w:fldLock="1"/>
      </w:r>
      <w:r w:rsidR="00793844">
        <w:rPr>
          <w:rFonts w:cs="Arial"/>
          <w:i/>
        </w:rPr>
        <w:instrText>ADDIN CSL_CITATION {"citationItems":[{"id":"ITEM-1","itemData":{"DOI":"10.1016/j.eurpolymj.2016.02.007","ISSN":"00143057","abstract":"Successful treatment of infected wounds still represents an open challenge in the biomedical field. Nanocomposite hydrogels (NC) are a valid solution to this problem as they can be used as wound dressing materials for the delivery of therapeutic agents at the site of the injury. In addition, their improved mechanical properties make possible a sterile treatment, which is not generally possible using conventional hydrogels. Here in this work, gellan gum methacrylate (GG-MA), a biocompatible polymer recently proposed for the fabrication of injectable and photocrosslinkable hydrogels, was combined with laponite?? XLG to form novel NC hydrogels as innovative wound dressing material. Clay concentration was varied in the range of 0.1 up to 1% w/v to study the possible clay-polymer interactions prior and after UV irradiation, showing the formation of weak gels having storage modulus G' varying from 1 up to 100. Pa, even prior photocrosslinking. As expected, the highest value of G' (over 1000. Pa) was found for the NC hydrogel containing 1% w/v of laponite after UV irradiation. The same system showed unaltered mechanical properties after steam sterilization compared to the one composed of 0.5% of clay, which showed a decrease in the stress failure after steam treatment. Moreover, the effect of laponite on the swelling and release capability was studied to test these new nanocomposite systems as a carrier of the model drug ofloxacin. Laponite was able to decrease the amount of antibiotic released over the first eight hours compared to the GG-MA hydrogels, although the amount of clay did not influence the diffusion coefficient of ofloxacin. Finally, preliminary cytotoxicity tests on human fibroblasts were carried out to evaluate the NC hydrogel biocompatibility. Overall, we anticipate the possible use of this novel NC hydrogel as wound dressing material for the treatment of burn wounds, which are subjected to chronic infections.","author":[{"dropping-particle":"","family":"Pacelli","given":"Settimio","non-dropping-particle":"","parse-names":false,"suffix":""},{"dropping-particle":"","family":"Paolicelli","given":"Patrizia","non-dropping-particle":"","parse-names":false,"suffix":""},{"dropping-particle":"","family":"Moretti","given":"Giuseppe","non-dropping-particle":"","parse-names":false,"suffix":""},{"dropping-particle":"","family":"Petralito","given":"Stefania","non-dropping-particle":"","parse-names":false,"suffix":""},{"dropping-particle":"","family":"Giacomo","given":"Silvia","non-dropping-particle":"Di","parse-names":false,"suffix":""},{"dropping-particle":"","family":"Vitalone","given":"Annabella","non-dropping-particle":"","parse-names":false,"suffix":""},{"dropping-particle":"","family":"Casadei","given":"Maria Antonietta","non-dropping-particle":"","parse-names":false,"suffix":""}],"container-title":"European Polymer Journal","id":"ITEM-1","issued":{"date-parts":[["2015"]]},"note":"Di Giacomo et al. investigated influence of Laponite XLG in conjunction with GELLAN GUM METHACRYLATE (GG-MA). As expected, the highest value of G0 (over 1000 Pa) was found for the NC hydrogel containing 1% w/v of laponite after UV irradiation. To address this point, several concentrations of laponite have been tested (0.1 up to 1% w/v) to study how the different\namounts of clay were able to influence the mechanical properties of the NC hydrogels GG-MA.\n\nGG-MA solutions of 1 and 2% w/v were obtained by solubilization of the polymer in deionized (DI) water and mixed with\ndifferent aqueous solution of laponite? XLG previously dispersed in water at room temperature. All the polymeric solutions (4.0 ml) were mixed together with Irgacure 2959 (25 ll of a solution 20%, w/v, in N-methyl- pyrrolidone) and placed in silicon molds (Ø 5.0 cm) to facilitate the removal of the hydrogels after their formation.\n\nResults\nA concentration of 2% w/v was found to be appropriate and kept constant throughout all the studies. In fact, with lower concentrations the photochemical hydrogels were too weak and fragile, while for higher amount of GG-MA no significant improvement in mechanical properties were detected (data not shown). This behavior was observed up to a limit value of clay concentration (0.5% w/v) over which no modification of the viscosity were detected for further increase in laponite concentration. Interestingly, even prior irradiation all the systems behave like weak gels with the value of the elastic modulus (G0) higher than the viscous one (G00). Moreover, an increase of near two order of magnitude (from 1 to 100 Pa) in the value of G0 can be detected, which relates to the amount of laponite included in the formulation. Laponite dispersions spontaneously age toward a gel equilibrium state and this process can be affected by several factors, including the concentration of laponite and other parameters that can modulate particles aggregation, such as salt and polymer content [27,28]. In the GG-MA/clay systems containing 0.5% and 1% w/v of laponite? XLG no significant change in the values of G0 calculated at 1 Hz was detected over a week of time. This behavior could be attributed to the stabilization of the clay dispersion in the presence of the polymeric chains, which are likely to interact with the surface of the clay particles and avoiding or signifi- cantly delaying their aggregation.\n\nGG-MA hydrogels without clay in their network were found to be completely destroyed after this treatment and for them it was not possible to record any mechanical spectra. On the contrary, the presence of laponite in the polymeric network allowed the sterilization and the hydrogels were able to retain their structure after the thermal treatment.\n\nIn the presence of Na+ counterions, negative charges of both GG-MA’s carboxylate groups and laponite can be shielded, leading to a lower swelling degree of the matrix (Fig. 3A). This behavior can explain the smaller values of equilibrium of swelling measured in NaCl 0.9% w/v with respect to the ones found when the gels were placed in distilled water. The equilibrium of swelling was reached in all systems after the first 3 h and GG-MA gels (Lap 0%) had the highest values in water potentially due to higher mobility of the polymeric chains, which may be hampered in the presence of laponite.\nHowever, this phenomenon of aggregation for the exfoliated clay could be partially prevented by the presence of gellan gum chains, which can avoid the complete precipitation of clay in the gel matrix, main- taining the exfoliated clay in almost fixed and stable positions.\nIn addition, the presence of the laponite was also able to affect the internal porosity of the polymeric matrix. In fact, GG-\nMA hydrogels showed larger porosity compared to the systems with laponite although no significant difference was observed according to the amount of clay introduced in the hydrogels.","page":"114-123","title":"Gellan gum methacrylate and laponite as an innovative nanocomposite hydrogel for biomedical applications","type":"article-journal","volume":"77"},"uris":["http://www.mendeley.com/documents/?uuid=aa45fa5d-76a6-4726-a683-f0c225360c06"]}],"mendeley":{"formattedCitation":"[23]","plainTextFormattedCitation":"[23]","previouslyFormattedCitation":"[23]"},"properties":{"noteIndex":0},"schema":"https://github.com/citation-style-language/schema/raw/master/csl-citation.json"}</w:instrText>
      </w:r>
      <w:r w:rsidR="00A864BA" w:rsidRPr="00F54DA5">
        <w:rPr>
          <w:rFonts w:cs="Arial"/>
          <w:i/>
        </w:rPr>
        <w:fldChar w:fldCharType="separate"/>
      </w:r>
      <w:r w:rsidR="00793844" w:rsidRPr="00793844">
        <w:rPr>
          <w:rFonts w:cs="Arial"/>
          <w:noProof/>
        </w:rPr>
        <w:t>[23]</w:t>
      </w:r>
      <w:r w:rsidR="00A864BA" w:rsidRPr="00F54DA5">
        <w:rPr>
          <w:rFonts w:cs="Arial"/>
          <w:i/>
        </w:rPr>
        <w:fldChar w:fldCharType="end"/>
      </w:r>
      <w:r w:rsidR="00A864BA" w:rsidRPr="00F54DA5">
        <w:rPr>
          <w:rFonts w:cs="Arial"/>
        </w:rPr>
        <w:t xml:space="preserve"> who reported the enhanced swelling of LAP-GG in deionized water compared to a solution of sodium chloride (NaCl). Possibly, the positive Na</w:t>
      </w:r>
      <w:r w:rsidR="00CE7BA1">
        <w:rPr>
          <w:rFonts w:cs="Arial"/>
          <w:vertAlign w:val="superscript"/>
        </w:rPr>
        <w:t>+</w:t>
      </w:r>
      <w:r w:rsidR="00A864BA" w:rsidRPr="00F54DA5">
        <w:rPr>
          <w:rFonts w:cs="Arial"/>
        </w:rPr>
        <w:t xml:space="preserve"> </w:t>
      </w:r>
      <w:r w:rsidR="00CE7BA1">
        <w:rPr>
          <w:rFonts w:cs="Arial"/>
        </w:rPr>
        <w:t xml:space="preserve">ions </w:t>
      </w:r>
      <w:r w:rsidR="00A864BA" w:rsidRPr="00F54DA5">
        <w:rPr>
          <w:rFonts w:cs="Arial"/>
        </w:rPr>
        <w:t xml:space="preserve">can contrast the negative surface of </w:t>
      </w:r>
      <w:r w:rsidR="004B7D4B">
        <w:rPr>
          <w:rFonts w:cs="Arial"/>
        </w:rPr>
        <w:t>LAP</w:t>
      </w:r>
      <w:r w:rsidR="00A864BA" w:rsidRPr="00F54DA5">
        <w:rPr>
          <w:rFonts w:cs="Arial"/>
        </w:rPr>
        <w:t xml:space="preserve"> nanoparticles that otherwise would interact strongly with the rest of the L</w:t>
      </w:r>
      <w:r w:rsidR="00633774">
        <w:rPr>
          <w:rFonts w:cs="Arial"/>
        </w:rPr>
        <w:t>AP</w:t>
      </w:r>
      <w:r w:rsidR="00A864BA" w:rsidRPr="00F54DA5">
        <w:rPr>
          <w:rFonts w:cs="Arial"/>
        </w:rPr>
        <w:t xml:space="preserve"> negative charge inducing a repulsive action. Grasdalen </w:t>
      </w:r>
      <w:r w:rsidR="00A864BA" w:rsidRPr="00F54DA5">
        <w:rPr>
          <w:rFonts w:cs="Arial"/>
          <w:i/>
        </w:rPr>
        <w:t xml:space="preserve">et al. </w:t>
      </w:r>
      <w:r w:rsidR="00A864BA" w:rsidRPr="00F54DA5">
        <w:rPr>
          <w:rFonts w:cs="Arial"/>
        </w:rPr>
        <w:fldChar w:fldCharType="begin" w:fldLock="1"/>
      </w:r>
      <w:r w:rsidR="00793844">
        <w:rPr>
          <w:rFonts w:cs="Arial"/>
        </w:rPr>
        <w:instrText>ADDIN CSL_CITATION {"citationItems":[{"id":"ITEM-1","itemData":{"DOI":"10.1016/0144-8617(87)90004-X","ISBN":"0144-8617","ISSN":"01448617","abstract":"The microbial polysaccharide, gellan gum, was studied in aqueous solution and in the gel state by osmometry, viscometry, light scattering, polarimetry and NMR and by measurements of gel strength and cation-exchange selectivity. In solutions of the tetramethylammonium (TMA) salt of the polymer, increasing concentrations of TMACl induced contraction, ordering, and association of the chains, as revealed by viscometry and changes in optical rotation. Chain ordering occurred at ionic strengths (I) between 0·005 and 0·05 (m), and light scattering indicated an elongated chain structure in 0·025 m TMACl. Gelation was dependent upon both ionic strength and the identity of the cation. For monovalent cations at I = 0·1 (m), gel strength increased in the order: TMA+&lt; Li+&lt; Na+&lt; K+&lt; Cs+&lt; H+For divalent cations the series was: Mg2+, Ca2+, Sr2+, Ba2+&lt; Zn2+&lt; Cu2+&lt; Pb2+The lack of specificity among the alkaline-earth cations distinguished gellan gum markedly from other uronic-acid containing polysaccharides like alginate and pectin. Studies of cation-exchange equilibria likewise showed no selectivity within the alkali-metal or the alkaline-earth metal cations, but for all the divalent ions the affinity series: Mg2+, Ca2+, Sr2+, Ba2+&lt; Zn2+&lt; Cu2+&lt; Pb2+was the same as the series for increasing gel strength. Measurements of optical rotation and NMR spectroscopy indicated that chain association and gelation were related phenomena. The results are interpreted as indicating that gelation occurs in two steps, namely, chain ordering and chain association. © 1987.","author":[{"dropping-particle":"","family":"Grasdalen","given":"Hans","non-dropping-particle":"","parse-names":false,"suffix":""},{"dropping-particle":"","family":"Smidsrød","given":"Olav","non-dropping-particle":"","parse-names":false,"suffix":""}],"container-title":"Carbohydrate Polymers","id":"ITEM-1","issue":"5","issued":{"date-parts":[["1987"]]},"page":"371-393","title":"Gelation of gellan gum","type":"article-journal","volume":"7"},"uris":["http://www.mendeley.com/documents/?uuid=d349aba6-5b13-4bc0-90c2-7248116668c3"]}],"mendeley":{"formattedCitation":"[14]","plainTextFormattedCitation":"[14]","previouslyFormattedCitation":"[14]"},"properties":{"noteIndex":0},"schema":"https://github.com/citation-style-language/schema/raw/master/csl-citation.json"}</w:instrText>
      </w:r>
      <w:r w:rsidR="00A864BA" w:rsidRPr="00F54DA5">
        <w:rPr>
          <w:rFonts w:cs="Arial"/>
        </w:rPr>
        <w:fldChar w:fldCharType="separate"/>
      </w:r>
      <w:r w:rsidR="00793844" w:rsidRPr="00793844">
        <w:rPr>
          <w:rFonts w:cs="Arial"/>
          <w:noProof/>
        </w:rPr>
        <w:t>[14]</w:t>
      </w:r>
      <w:r w:rsidR="00A864BA" w:rsidRPr="00F54DA5">
        <w:rPr>
          <w:rFonts w:cs="Arial"/>
        </w:rPr>
        <w:fldChar w:fldCharType="end"/>
      </w:r>
      <w:r w:rsidR="00A864BA" w:rsidRPr="00F54DA5">
        <w:rPr>
          <w:rFonts w:cs="Arial"/>
        </w:rPr>
        <w:t xml:space="preserve"> studied the </w:t>
      </w:r>
      <w:r w:rsidR="00FA27BD">
        <w:rPr>
          <w:rFonts w:cs="Arial"/>
        </w:rPr>
        <w:t xml:space="preserve">modulus of </w:t>
      </w:r>
      <w:r w:rsidR="00A864BA" w:rsidRPr="00F54DA5">
        <w:rPr>
          <w:rFonts w:cs="Arial"/>
        </w:rPr>
        <w:t>rigidity (N cm</w:t>
      </w:r>
      <w:r w:rsidR="00A864BA" w:rsidRPr="00F54DA5">
        <w:rPr>
          <w:rFonts w:cs="Arial"/>
          <w:vertAlign w:val="superscript"/>
        </w:rPr>
        <w:t>-2</w:t>
      </w:r>
      <w:r w:rsidR="00A864BA" w:rsidRPr="00F54DA5">
        <w:rPr>
          <w:rFonts w:cs="Arial"/>
        </w:rPr>
        <w:t xml:space="preserve">) of </w:t>
      </w:r>
      <w:r w:rsidR="007B0573">
        <w:rPr>
          <w:rFonts w:cs="Arial"/>
        </w:rPr>
        <w:t>GG</w:t>
      </w:r>
      <w:r w:rsidR="00A864BA" w:rsidRPr="00F54DA5">
        <w:rPr>
          <w:rFonts w:cs="Arial"/>
        </w:rPr>
        <w:t xml:space="preserve"> material in the presence of different ions. CaCl</w:t>
      </w:r>
      <w:r w:rsidR="00A864BA" w:rsidRPr="00F54DA5">
        <w:rPr>
          <w:rFonts w:cs="Arial"/>
          <w:vertAlign w:val="subscript"/>
        </w:rPr>
        <w:t>2</w:t>
      </w:r>
      <w:r w:rsidR="00A864BA" w:rsidRPr="00F54DA5">
        <w:rPr>
          <w:rFonts w:cs="Arial"/>
        </w:rPr>
        <w:t xml:space="preserve"> was found to influence GG positively compared to a solution without any salt, limiting the swelling range suggesting a tighter polymeric network. </w:t>
      </w:r>
    </w:p>
    <w:p w14:paraId="39EFEF9C" w14:textId="3BE93DF3" w:rsidR="00A864BA" w:rsidRPr="00F54DA5" w:rsidRDefault="00A864BA" w:rsidP="00C24DD6">
      <w:pPr>
        <w:tabs>
          <w:tab w:val="left" w:pos="567"/>
        </w:tabs>
        <w:spacing w:after="0" w:line="360" w:lineRule="auto"/>
        <w:jc w:val="both"/>
      </w:pPr>
      <w:r w:rsidRPr="00F54DA5">
        <w:t xml:space="preserve">Investigation of </w:t>
      </w:r>
      <w:r w:rsidR="005311EA">
        <w:t xml:space="preserve">the </w:t>
      </w:r>
      <w:r w:rsidRPr="00F54DA5">
        <w:t>swelling properties of LAP-GG and GG showed that the addition of only 1%</w:t>
      </w:r>
      <w:r w:rsidR="00CE7BA1">
        <w:t xml:space="preserve"> (w/v)</w:t>
      </w:r>
      <w:r w:rsidRPr="00F54DA5">
        <w:t xml:space="preserve"> of nanosilicate could regulate the swelling behaviour of the </w:t>
      </w:r>
      <w:r w:rsidR="00C05D85">
        <w:t>hydrogel ink</w:t>
      </w:r>
      <w:r w:rsidRPr="00F54DA5">
        <w:t xml:space="preserve">, as initially confirmed by the sol fraction, mass loss investigation and </w:t>
      </w:r>
      <w:r w:rsidR="00553B84">
        <w:t xml:space="preserve">as we have previously </w:t>
      </w:r>
      <w:r w:rsidRPr="00F54DA5">
        <w:t xml:space="preserve">reported </w:t>
      </w:r>
      <w:r w:rsidRPr="00F54DA5">
        <w:fldChar w:fldCharType="begin" w:fldLock="1"/>
      </w:r>
      <w:r w:rsidR="00793844">
        <w:instrText>ADDIN CSL_CITATION {"citationItems":[{"id":"ITEM-1","itemData":{"DOI":"10.1016/j.eurpolymj.2016.02.007","ISSN":"00143057","abstract":"Successful treatment of infected wounds still represents an open challenge in the biomedical field. Nanocomposite hydrogels (NC) are a valid solution to this problem as they can be used as wound dressing materials for the delivery of therapeutic agents at the site of the injury. In addition, their improved mechanical properties make possible a sterile treatment, which is not generally possible using conventional hydrogels. Here in this work, gellan gum methacrylate (GG-MA), a biocompatible polymer recently proposed for the fabrication of injectable and photocrosslinkable hydrogels, was combined with laponite?? XLG to form novel NC hydrogels as innovative wound dressing material. Clay concentration was varied in the range of 0.1 up to 1% w/v to study the possible clay-polymer interactions prior and after UV irradiation, showing the formation of weak gels having storage modulus G' varying from 1 up to 100. Pa, even prior photocrosslinking. As expected, the highest value of G' (over 1000. Pa) was found for the NC hydrogel containing 1% w/v of laponite after UV irradiation. The same system showed unaltered mechanical properties after steam sterilization compared to the one composed of 0.5% of clay, which showed a decrease in the stress failure after steam treatment. Moreover, the effect of laponite on the swelling and release capability was studied to test these new nanocomposite systems as a carrier of the model drug ofloxacin. Laponite was able to decrease the amount of antibiotic released over the first eight hours compared to the GG-MA hydrogels, although the amount of clay did not influence the diffusion coefficient of ofloxacin. Finally, preliminary cytotoxicity tests on human fibroblasts were carried out to evaluate the NC hydrogel biocompatibility. Overall, we anticipate the possible use of this novel NC hydrogel as wound dressing material for the treatment of burn wounds, which are subjected to chronic infections.","author":[{"dropping-particle":"","family":"Pacelli","given":"Settimio","non-dropping-particle":"","parse-names":false,"suffix":""},{"dropping-particle":"","family":"Paolicelli","given":"Patrizia","non-dropping-particle":"","parse-names":false,"suffix":""},{"dropping-particle":"","family":"Moretti","given":"Giuseppe","non-dropping-particle":"","parse-names":false,"suffix":""},{"dropping-particle":"","family":"Petralito","given":"Stefania","non-dropping-particle":"","parse-names":false,"suffix":""},{"dropping-particle":"","family":"Giacomo","given":"Silvia","non-dropping-particle":"Di","parse-names":false,"suffix":""},{"dropping-particle":"","family":"Vitalone","given":"Annabella","non-dropping-particle":"","parse-names":false,"suffix":""},{"dropping-particle":"","family":"Casadei","given":"Maria Antonietta","non-dropping-particle":"","parse-names":false,"suffix":""}],"container-title":"European Polymer Journal","id":"ITEM-1","issued":{"date-parts":[["2015"]]},"note":"Di Giacomo et al. investigated influence of Laponite XLG in conjunction with GELLAN GUM METHACRYLATE (GG-MA). As expected, the highest value of G0 (over 1000 Pa) was found for the NC hydrogel containing 1% w/v of laponite after UV irradiation. To address this point, several concentrations of laponite have been tested (0.1 up to 1% w/v) to study how the different\namounts of clay were able to influence the mechanical properties of the NC hydrogels GG-MA.\n\nGG-MA solutions of 1 and 2% w/v were obtained by solubilization of the polymer in deionized (DI) water and mixed with\ndifferent aqueous solution of laponite? XLG previously dispersed in water at room temperature. All the polymeric solutions (4.0 ml) were mixed together with Irgacure 2959 (25 ll of a solution 20%, w/v, in N-methyl- pyrrolidone) and placed in silicon molds (Ø 5.0 cm) to facilitate the removal of the hydrogels after their formation.\n\nResults\nA concentration of 2% w/v was found to be appropriate and kept constant throughout all the studies. In fact, with lower concentrations the photochemical hydrogels were too weak and fragile, while for higher amount of GG-MA no significant improvement in mechanical properties were detected (data not shown). This behavior was observed up to a limit value of clay concentration (0.5% w/v) over which no modification of the viscosity were detected for further increase in laponite concentration. Interestingly, even prior irradiation all the systems behave like weak gels with the value of the elastic modulus (G0) higher than the viscous one (G00). Moreover, an increase of near two order of magnitude (from 1 to 100 Pa) in the value of G0 can be detected, which relates to the amount of laponite included in the formulation. Laponite dispersions spontaneously age toward a gel equilibrium state and this process can be affected by several factors, including the concentration of laponite and other parameters that can modulate particles aggregation, such as salt and polymer content [27,28]. In the GG-MA/clay systems containing 0.5% and 1% w/v of laponite? XLG no significant change in the values of G0 calculated at 1 Hz was detected over a week of time. This behavior could be attributed to the stabilization of the clay dispersion in the presence of the polymeric chains, which are likely to interact with the surface of the clay particles and avoiding or signifi- cantly delaying their aggregation.\n\nGG-MA hydrogels without clay in their network were found to be completely destroyed after this treatment and for them it was not possible to record any mechanical spectra. On the contrary, the presence of laponite in the polymeric network allowed the sterilization and the hydrogels were able to retain their structure after the thermal treatment.\n\nIn the presence of Na+ counterions, negative charges of both GG-MA’s carboxylate groups and laponite can be shielded, leading to a lower swelling degree of the matrix (Fig. 3A). This behavior can explain the smaller values of equilibrium of swelling measured in NaCl 0.9% w/v with respect to the ones found when the gels were placed in distilled water. The equilibrium of swelling was reached in all systems after the first 3 h and GG-MA gels (Lap 0%) had the highest values in water potentially due to higher mobility of the polymeric chains, which may be hampered in the presence of laponite.\nHowever, this phenomenon of aggregation for the exfoliated clay could be partially prevented by the presence of gellan gum chains, which can avoid the complete precipitation of clay in the gel matrix, main- taining the exfoliated clay in almost fixed and stable positions.\nIn addition, the presence of the laponite was also able to affect the internal porosity of the polymeric matrix. In fact, GG-\nMA hydrogels showed larger porosity compared to the systems with laponite although no significant difference was observed according to the amount of clay introduced in the hydrogels.","page":"114-123","title":"Gellan gum methacrylate and laponite as an innovative nanocomposite hydrogel for biomedical applications","type":"article-journal","volume":"77"},"uris":["http://www.mendeley.com/documents/?uuid=aa45fa5d-76a6-4726-a683-f0c225360c06"]}],"mendeley":{"formattedCitation":"[23]","plainTextFormattedCitation":"[23]","previouslyFormattedCitation":"[23]"},"properties":{"noteIndex":0},"schema":"https://github.com/citation-style-language/schema/raw/master/csl-citation.json"}</w:instrText>
      </w:r>
      <w:r w:rsidRPr="00F54DA5">
        <w:fldChar w:fldCharType="separate"/>
      </w:r>
      <w:r w:rsidR="00793844" w:rsidRPr="00793844">
        <w:rPr>
          <w:noProof/>
        </w:rPr>
        <w:t>[23]</w:t>
      </w:r>
      <w:r w:rsidRPr="00F54DA5">
        <w:fldChar w:fldCharType="end"/>
      </w:r>
      <w:r w:rsidRPr="00F54DA5">
        <w:t>. LAP-GG displayed reduced swelling compared to GG when printed in air. Critically, LAP-GG showed significantly lower swelling than GG when printed in agarose</w:t>
      </w:r>
      <w:r w:rsidR="00AD210F">
        <w:t xml:space="preserve"> </w:t>
      </w:r>
      <w:r w:rsidRPr="00F54DA5">
        <w:t xml:space="preserve">confirming the hypothesis </w:t>
      </w:r>
      <w:r w:rsidR="00E86ECC" w:rsidRPr="00F54DA5">
        <w:t>that</w:t>
      </w:r>
      <w:r w:rsidRPr="00F54DA5">
        <w:t xml:space="preserve"> L</w:t>
      </w:r>
      <w:r w:rsidR="00633774">
        <w:t>AP</w:t>
      </w:r>
      <w:r w:rsidRPr="00F54DA5">
        <w:t xml:space="preserve"> nanoparticles interact closely with gellan polymeric chains in the gel matrix. These results </w:t>
      </w:r>
      <w:r w:rsidR="00AD210F">
        <w:t>highlight the potential of nanoclay to</w:t>
      </w:r>
      <w:r w:rsidRPr="00F54DA5">
        <w:t xml:space="preserve"> improve print fidelity in a fluid gel medium</w:t>
      </w:r>
      <w:r w:rsidR="00553B84">
        <w:t xml:space="preserve"> </w:t>
      </w:r>
      <w:r w:rsidR="00AD210F">
        <w:t>and enhance bioink</w:t>
      </w:r>
      <w:r w:rsidR="00553B84">
        <w:t xml:space="preserve"> </w:t>
      </w:r>
      <w:r w:rsidRPr="00F54DA5">
        <w:t>mechanical properties. Increased pressure was required t</w:t>
      </w:r>
      <w:r w:rsidR="00E86ECC" w:rsidRPr="00F54DA5">
        <w:t>o extrude the nanocomposite gel compared to GG</w:t>
      </w:r>
      <w:r w:rsidRPr="00F54DA5">
        <w:t xml:space="preserve"> to achieve similar shear</w:t>
      </w:r>
      <w:r w:rsidR="00E86ECC" w:rsidRPr="00F54DA5">
        <w:t xml:space="preserve"> </w:t>
      </w:r>
      <w:r w:rsidRPr="00F54DA5">
        <w:t xml:space="preserve">resulting in greater printing fidelity after deposition </w:t>
      </w:r>
      <w:r w:rsidRPr="00F54DA5">
        <w:fldChar w:fldCharType="begin" w:fldLock="1"/>
      </w:r>
      <w:r w:rsidR="00940D86">
        <w:instrText>ADDIN CSL_CITATION {"citationItems":[{"id":"ITEM-1","itemData":{"DOI":"10.1002/adma.201302042","ISBN":"0935-9648","ISSN":"09359648","PMID":"24038336","abstract":"With advances in tissue engineering, the possibility of regenerating injured tissue or failing organs has become a realistic prospect for the first time in medical history. Tissue engineering - the combination of bioactive materials with cells to generate engineered constructs that functionally replace lost and/or damaged tissue - is a major strategy to achieve this goal. One facet of tissue engineering is biofabrication, where three-dimensional tissue-like structures composed of biomaterials and cells in a single manufacturing procedure are generated. Cell-laden hydrogels are commonly used in biofabrication and are termed \"bioinks\". Hydrogels are particularly attractive for biofabrication as they recapitulate several features of the natural extracellular matrix and allow cell encapsulation in a highly hydrated mechanically supportive three-dimensional environment. Additionally, they allow for efficient and homogeneous cell seeding, can provide biologically-relevant chemical and physical signals, and can be formed in various shapes and biomechanical characteristics. However, despite the progress made in modifying hydrogels for enhanced bioactivation, cell survival and tissue formation, little attention has so far been paid to optimize hydrogels for the physico-chemical demands of the biofabrication process. The resulting lack of hydrogel bioinks have been identified as one major hurdle for a more rapid progress of the field. In this review we summarize and focus on the deposition process, the parameters and demands of hydrogels in biofabrication, with special attention to robotic dispensing as an approach that generates constructs of clinically relevant dimensions. We aim to highlight this current lack of effectual hydrogels within biofabrication and initiate new ideas and developments in the design and tailoring of hydrogels. The successful development of a \"printable\" hydrogel that supports cell adhesion, migration, and differentiation will significantly advance this exciting and promising approach for tissue engineering.","author":[{"dropping-particle":"","family":"Malda","given":"Jos","non-dropping-particle":"","parse-names":false,"suffix":""},{"dropping-particle":"","family":"Visser","given":"Jetze","non-dropping-particle":"","parse-names":false,"suffix":""},{"dropping-particle":"","family":"Melchels","given":"Ferry P.","non-dropping-particle":"","parse-names":false,"suffix":""},{"dropping-particle":"","family":"Jüngst","given":"Tomasz","non-dropping-particle":"","parse-names":false,"suffix":""},{"dropping-particle":"","family":"Hennink","given":"Wim E.","non-dropping-particle":"","parse-names":false,"suffix":""},{"dropping-particle":"","family":"Dhert","given":"Wouter J.A.","non-dropping-particle":"","parse-names":false,"suffix":""},{"dropping-particle":"","family":"Groll","given":"Jürgen","non-dropping-particle":"","parse-names":false,"suffix":""},{"dropping-particle":"","family":"Hutmacher","given":"Dietmar W.","non-dropping-particle":"","parse-names":false,"suffix":""}],"container-title":"Advanced Materials","id":"ITEM-1","issue":"36","issued":{"date-parts":[["2013"]]},"page":"5011-5028","title":"25th anniversary article: Engineering hydrogels for biofabrication","type":"article-journal","volume":"25"},"uris":["http://www.mendeley.com/documents/?uuid=98f5ba1d-b826-430f-9b5b-be6f39c4249b"]}],"mendeley":{"formattedCitation":"[38]","plainTextFormattedCitation":"[38]","previouslyFormattedCitation":"[38]"},"properties":{"noteIndex":0},"schema":"https://github.com/citation-style-language/schema/raw/master/csl-citation.json"}</w:instrText>
      </w:r>
      <w:r w:rsidRPr="00F54DA5">
        <w:fldChar w:fldCharType="separate"/>
      </w:r>
      <w:r w:rsidR="00940D86" w:rsidRPr="00940D86">
        <w:rPr>
          <w:noProof/>
        </w:rPr>
        <w:t>[38]</w:t>
      </w:r>
      <w:r w:rsidRPr="00F54DA5">
        <w:fldChar w:fldCharType="end"/>
      </w:r>
      <w:r w:rsidRPr="00F54DA5">
        <w:t xml:space="preserve">. The storage modulus decrease was noted after 10 % shear, showing a limited printability window. </w:t>
      </w:r>
    </w:p>
    <w:p w14:paraId="44C7F562" w14:textId="0C950B8B" w:rsidR="00A864BA" w:rsidRPr="00F54DA5" w:rsidRDefault="00C05D85" w:rsidP="00C24DD6">
      <w:pPr>
        <w:tabs>
          <w:tab w:val="left" w:pos="567"/>
        </w:tabs>
        <w:spacing w:after="0" w:line="360" w:lineRule="auto"/>
        <w:jc w:val="both"/>
      </w:pPr>
      <w:r>
        <w:tab/>
      </w:r>
      <w:r w:rsidR="00A864BA" w:rsidRPr="00F54DA5">
        <w:t xml:space="preserve">A </w:t>
      </w:r>
      <w:r w:rsidR="008B20C9">
        <w:t>more porous</w:t>
      </w:r>
      <w:r w:rsidR="008B20C9" w:rsidRPr="00F54DA5">
        <w:t xml:space="preserve"> </w:t>
      </w:r>
      <w:r w:rsidR="00A864BA" w:rsidRPr="00F54DA5">
        <w:t xml:space="preserve">structure was observed in LAP-GG constructs in comparison to the silicate-free GG control, previously reported to show limited internal porosity </w:t>
      </w:r>
      <w:r w:rsidR="00A864BA" w:rsidRPr="00F54DA5">
        <w:fldChar w:fldCharType="begin" w:fldLock="1"/>
      </w:r>
      <w:r w:rsidR="00940D86">
        <w:instrText>ADDIN CSL_CITATION {"citationItems":[{"id":"ITEM-1","itemData":{"DOI":"10.1088/1758-5090/8/4/045001","ISSN":"1758-5090","abstract":"Three-dimensional extrusion of two different biomaterials in a core/shell (c/s) fashion has gained much interest in the last couple of years as it allows for fabricating constructs with novel and interesting properties. We now demonstrate that combining high concentrated (16.7 wt%) alginate hydrogels as shell material with low concentrated, soft biopolymer hydrogels as core leads to mechanically stable and robust 3D scaffolds. Alginate, chitosan, gellan gum, gelatin and collagen hydrogels were utilized successfully as core materials—hydrogels which are too soft for 3D plotting of open-porous structures without an additional mechanical support. The respective c/s scaffolds were characterized concerning their morphology, mechanical properties and swelling behavior. It could be shown that core as well as shell part can be loaded with growth factors and that the release depends on core composition and shell thickness. Neither the plotting process nor the crosslinking with 1M CaCl2 denatured the proteins. When core and shell were loaded with different growth factors (VEGF and BMP-2, respectively) a dual release was achieved. Finally, live human endothelial cells were integrated in the core material, demonstrating that this new strategy can be used for bioprinting purposes as well.","author":[{"dropping-particle":"","family":"Akkineni","given":"Ashwini Rahul","non-dropping-particle":"","parse-names":false,"suffix":""},{"dropping-particle":"","family":"Ahlfeld","given":"Tilman","non-dropping-particle":"","parse-names":false,"suffix":""},{"dropping-particle":"","family":"Lode","given":"Anja","non-dropping-particle":"","parse-names":false,"suffix":""},{"dropping-particle":"","family":"Gelinsky","given":"Michael","non-dropping-particle":"","parse-names":false,"suffix":""}],"container-title":"Biofabrication","id":"ITEM-1","issue":"4","issued":{"date-parts":[["2016"]]},"page":"045001","publisher":"IOP Publishing","title":"A versatile method for combining different biopolymers in a core/shell fashion by 3D plotting to achieve mechanically robust constructs","type":"article-journal","volume":"8"},"uris":["http://www.mendeley.com/documents/?uuid=c17e4e71-c0a0-4072-962a-e7aa61f74934"]},{"id":"ITEM-2","itemData":{"DOI":"10.1002/term.1875","ISBN":"1932-6254","ISSN":"19326254","PMID":"20872739","abstract":"Development of an in vitro prevascularized scaffold is of great importance to produce vascularization in tissue-engineered devices and for other clinical purposes. To this aim, polymer fibres covered with human umbilical vein endothelial cells (HUVECs) were used to induce directional 'angiogenesis' in a 3D co-culture system. Gelatin or RGD peptides were immobilized on surface-modified polymer fibres [100 µm diameter poly(ethylene terephthalate) monofilaments] via N-hepthylamine plasma polymer and carboxy-methyl-dextran interlayers. Fibres fully covered with HUVECs were then embedded in a fibrin gel, following a parallel alignment pattern, in the presence of fibroblasts. Tube-like structures occurred along the fibres and a network was formed between neighbouring fibres. These events were promoted with increased incubation times. Biomolecule-grafted fibres created a guidance pathway that facilitated coated endothelial cells to form lumens and, from them, sprouting processes. However, there were no significant differences between the different surface modifications on fibres in terms of promoting tube-like structures. Thus, different stages of angiogenesis can be initiated and guided using HUVECs precovered polymer fibres embedded in a soft supportive matrix, such as fibrin, which can be further applied to the development of in vitro prevascularized tissue-engineered scaffolds.","author":[{"dropping-particle":"","family":"Douglas","given":"Timothy E. L.","non-dropping-particle":"","parse-names":false,"suffix":""},{"dropping-particle":"","family":"Krawczyk","given":"Grzegorz","non-dropping-particle":"","parse-names":false,"suffix":""},{"dropping-particle":"","family":"Pamula","given":"Elzbieta","non-dropping-particle":"","parse-names":false,"suffix":""},{"dropping-particle":"","family":"Declercq","given":"Heidi A.","non-dropping-particle":"","parse-names":false,"suffix":""},{"dropping-particle":"","family":"Schaubroeck","given":"David","non-dropping-particle":"","parse-names":false,"suffix":""},{"dropping-particle":"","family":"Bucko","given":"Miroslaw M.","non-dropping-particle":"","parse-names":false,"suffix":""},{"dropping-particle":"","family":"Balcaen","given":"Lieve","non-dropping-particle":"","parse-names":false,"suffix":""},{"dropping-particle":"","family":"Voort","given":"Pascal","non-dropping-particle":"Van Der","parse-names":false,"suffix":""},{"dropping-particle":"","family":"Bliznuk","given":"Vitaliy","non-dropping-particle":"","parse-names":false,"suffix":""},{"dropping-particle":"","family":"Vreken","given":"Natasja M. F.","non-dropping-particle":"van den","parse-names":false,"suffix":""},{"dropping-particle":"","family":"Dash","given":"Mamoni","non-dropping-particle":"","parse-names":false,"suffix":""},{"dropping-particle":"","family":"Detsch","given":"Rainer","non-dropping-particle":"","parse-names":false,"suffix":""},{"dropping-particle":"","family":"Boccaccini","given":"Aldo R.","non-dropping-particle":"","parse-names":false,"suffix":""},{"dropping-particle":"","family":"Vanhaecke","given":"Frank","non-dropping-particle":"","parse-names":false,"suffix":""},{"dropping-particle":"","family":"Cornelissen","given":"Maria","non-dropping-particle":"","parse-names":false,"suffix":""},{"dropping-particle":"","family":"Dubruel","given":"Peter","non-dropping-particle":"","parse-names":false,"suffix":""}],"container-title":"Journal of Tissue Engineering and Regenerative Medicine","id":"ITEM-2","issue":"11","issued":{"date-parts":[["2016","11"]]},"page":"938-954","title":"Generation of composites for bone tissue-engineering applications consisting of gellan gum hydrogels mineralized with calcium and magnesium phosphate phases by enzymatic means","type":"article-journal","volume":"10"},"uris":["http://www.mendeley.com/documents/?uuid=60a60300-fd6b-49e9-9453-53db2cf7d3bc"]}],"mendeley":{"formattedCitation":"[16,39]","plainTextFormattedCitation":"[16,39]","previouslyFormattedCitation":"[16,39]"},"properties":{"noteIndex":0},"schema":"https://github.com/citation-style-language/schema/raw/master/csl-citation.json"}</w:instrText>
      </w:r>
      <w:r w:rsidR="00A864BA" w:rsidRPr="00F54DA5">
        <w:fldChar w:fldCharType="separate"/>
      </w:r>
      <w:r w:rsidR="00940D86" w:rsidRPr="00940D86">
        <w:rPr>
          <w:noProof/>
        </w:rPr>
        <w:t>[16,39]</w:t>
      </w:r>
      <w:r w:rsidR="00A864BA" w:rsidRPr="00F54DA5">
        <w:fldChar w:fldCharType="end"/>
      </w:r>
      <w:r w:rsidR="00A864BA" w:rsidRPr="00F54DA5">
        <w:t xml:space="preserve">. Silicate-free GG was denser with a lower degree of internal porosity. Larger internal pores were evident in LAP-GG three-dimensional constructs, suggesting a repulsive action of </w:t>
      </w:r>
      <w:r w:rsidR="004B7D4B">
        <w:t>LAP</w:t>
      </w:r>
      <w:r w:rsidR="00A864BA" w:rsidRPr="00F54DA5">
        <w:t xml:space="preserve"> nanodiscs inclusion in GG network as confirmed by the mass swelling ratio results. Printing of acellular bioinks </w:t>
      </w:r>
      <w:r w:rsidR="00E86ECC" w:rsidRPr="00F54DA5">
        <w:t>is generally</w:t>
      </w:r>
      <w:r w:rsidR="00A864BA" w:rsidRPr="00F54DA5">
        <w:t xml:space="preserve"> influenced by the swelling behaviour of the gels pre- and post-crosslinking in air and in </w:t>
      </w:r>
      <w:r w:rsidR="00E86ECC" w:rsidRPr="00F54DA5">
        <w:t>the supporting bath</w:t>
      </w:r>
      <w:r w:rsidR="00793844">
        <w:t xml:space="preserve"> </w:t>
      </w:r>
      <w:r w:rsidR="00793844">
        <w:fldChar w:fldCharType="begin" w:fldLock="1"/>
      </w:r>
      <w:r w:rsidR="00940D86">
        <w:instrText>ADDIN CSL_CITATION {"citationItems":[{"id":"ITEM-1","itemData":{"DOI":"10.1126/sciadv.1500655","ISBN":"2375-2548 (Electronic) 2375-2548 (Linking)","ISSN":"2375-2548","PMID":"26601274","abstract":"Gels made from soft microscale particles smoothly transition between the fluid and solid states, making them an ideal medium in which to create macroscopic structures with microscopic precision. While tracing out spatial paths with an injection tip, the granular gel fluidizes at the point of injection and then rapidly solidifies, trapping injected material in place. This physical approach to creating three-dimensional (3D) structures negates the effects of surface tension, gravity, and particle diffusion, allowing a limitless breadth of materials to be written. With this method, we used silicones, hydrogels, colloids, and living cells to create complex large aspect ratio 3D objects, thin closed shells, and hierarchically branched tubular networks. We crosslinked polymeric materials and removed them from the granular gel, whereas uncrosslinked particulate systems were left supported within the medium for long times. This approach can be immediately used in diverse areas, contributing to tissue engineering, flexible electronics, particle engineering, smart materials, and encapsulation technologies.","author":[{"dropping-particle":"","family":"Bhattacharjee","given":"Tapomoy","non-dropping-particle":"","parse-names":false,"suffix":""},{"dropping-particle":"","family":"Zehnder","given":"Steven M.","non-dropping-particle":"","parse-names":false,"suffix":""},{"dropping-particle":"","family":"Rowe","given":"Kyle G.","non-dropping-particle":"","parse-names":false,"suffix":""},{"dropping-particle":"","family":"Jain","given":"Suhani","non-dropping-particle":"","parse-names":false,"suffix":""},{"dropping-particle":"","family":"Nixon","given":"Ryan M.","non-dropping-particle":"","parse-names":false,"suffix":""},{"dropping-particle":"","family":"Sawyer","given":"W. Gregory","non-dropping-particle":"","parse-names":false,"suffix":""},{"dropping-particle":"","family":"Angelini","given":"Thomas E.","non-dropping-particle":"","parse-names":false,"suffix":""}],"container-title":"Science Advances","id":"ITEM-1","issue":"8","issued":{"date-parts":[["2015","9","25"]]},"note":"Bhattacharjee et al. illustrate how to write in a granular gel medium. PVA as been used as ink and PDMS as bed to contain the printed ink. They printed different and interesting structures. Particular is the idea of the russian dolls. Very good is the initial review on pre-existing methods and literature.","page":"e1500655","title":"Writing in the granular gel medium","type":"article-journal","volume":"1"},"uris":["http://www.mendeley.com/documents/?uuid=0a42d1d1-7b98-44ba-836b-abced1115e09"]},{"id":"ITEM-2","itemData":{"DOI":"10.1021/acsami.7b02398","ISSN":"1944-8244","abstract":"Additive manufacturing (AM) enables the freeform fabrication of complex structures from various build materials. The objective of this study is to develop a novel Laponite nanoclay-enabled “printing-then-solidification” additive manufacturing approach to extrude complex three-dimensional (3D) structures made of various liquid build materials. Laponite, a member of the smectite mineral family, is investigated to serve as a yield-stress support bath material for the extrusion printing of liquid build materials. Using the printing-then-solidification approach, the printed structure remains liquid and retains its shape with the help of the Laponite support bath. Then the completed liquid structures are solidified in situ by applying suitable cross-linking mechanisms. Finally, the solidified structures are harvested from the Laponite nanoclay support bath for any further processing as needed. Due to its chemical and physical stability, liquid build materials with different solidification/curing/gelation mechan...","author":[{"dropping-particle":"","family":"Jin","given":"Yifei","non-dropping-particle":"","parse-names":false,"suffix":""},{"dropping-particle":"","family":"Compaan","given":"Ashley","non-dropping-particle":"","parse-names":false,"suffix":""},{"dropping-particle":"","family":"Chai","given":"Wenxuan","non-dropping-particle":"","parse-names":false,"suffix":""},{"dropping-particle":"","family":"Huang","given":"Yong","non-dropping-particle":"","parse-names":false,"suffix":""}],"container-title":"ACS Applied Materials &amp; Interfaces","id":"ITEM-2","issue":"23","issued":{"date-parts":[["2017","6","14"]]},"page":"20057-20066","title":"Functional Nanoclay Suspension for Printing-Then-Solidification of Liquid Materials","type":"article-journal","volume":"9"},"uris":["http://www.mendeley.com/documents/?uuid=e30694a3-1598-4b4c-8c65-eb83d9a37b4e"]}],"mendeley":{"formattedCitation":"[7,29]","plainTextFormattedCitation":"[7,29]","previouslyFormattedCitation":"[7,29]"},"properties":{"noteIndex":0},"schema":"https://github.com/citation-style-language/schema/raw/master/csl-citation.json"}</w:instrText>
      </w:r>
      <w:r w:rsidR="00793844">
        <w:fldChar w:fldCharType="separate"/>
      </w:r>
      <w:r w:rsidR="002B0953" w:rsidRPr="002B0953">
        <w:rPr>
          <w:noProof/>
        </w:rPr>
        <w:t>[7,29]</w:t>
      </w:r>
      <w:r w:rsidR="00793844">
        <w:fldChar w:fldCharType="end"/>
      </w:r>
      <w:r w:rsidR="00A864BA" w:rsidRPr="00F54DA5">
        <w:t>.</w:t>
      </w:r>
      <w:r w:rsidR="00E86ECC" w:rsidRPr="00F54DA5">
        <w:t xml:space="preserve"> </w:t>
      </w:r>
      <w:r w:rsidR="00553B84" w:rsidRPr="00553B84">
        <w:t xml:space="preserve">LAP </w:t>
      </w:r>
      <w:r w:rsidR="00E86ECC" w:rsidRPr="00F54DA5">
        <w:lastRenderedPageBreak/>
        <w:t xml:space="preserve">inclusion allowed for greater resolution during deposition both in air and in agarose. </w:t>
      </w:r>
    </w:p>
    <w:p w14:paraId="26A1C393" w14:textId="721B3038" w:rsidR="00E86ECC" w:rsidRPr="00F54DA5" w:rsidRDefault="00C05D85" w:rsidP="00E86ECC">
      <w:pPr>
        <w:tabs>
          <w:tab w:val="left" w:pos="567"/>
        </w:tabs>
        <w:spacing w:after="0" w:line="360" w:lineRule="auto"/>
        <w:jc w:val="both"/>
      </w:pPr>
      <w:r>
        <w:tab/>
      </w:r>
      <w:r w:rsidRPr="00F54DA5">
        <w:t xml:space="preserve">C2C12 </w:t>
      </w:r>
      <w:r>
        <w:t>evaluation</w:t>
      </w:r>
      <w:r w:rsidR="00553B84">
        <w:t xml:space="preserve"> on </w:t>
      </w:r>
      <w:r w:rsidR="00A864BA" w:rsidRPr="00F54DA5">
        <w:t xml:space="preserve">LAP-GG </w:t>
      </w:r>
      <w:r w:rsidR="00553B84">
        <w:t xml:space="preserve">demonstrated </w:t>
      </w:r>
      <w:r w:rsidR="00034654">
        <w:t xml:space="preserve">sustained </w:t>
      </w:r>
      <w:r w:rsidR="00553B84">
        <w:t>viability and</w:t>
      </w:r>
      <w:r w:rsidR="00AD210F">
        <w:t xml:space="preserve"> improved</w:t>
      </w:r>
      <w:r w:rsidR="00553B84">
        <w:t xml:space="preserve"> function </w:t>
      </w:r>
      <w:r w:rsidR="00A864BA" w:rsidRPr="00F54DA5">
        <w:t xml:space="preserve">after 7 days of culture compared to the GG control. </w:t>
      </w:r>
      <w:r w:rsidR="00034654">
        <w:t xml:space="preserve">Cell proliferation </w:t>
      </w:r>
      <w:r w:rsidR="00432CA0">
        <w:t xml:space="preserve">of cells printed in GG </w:t>
      </w:r>
      <w:r w:rsidR="00034654">
        <w:t xml:space="preserve">appeared impaired </w:t>
      </w:r>
      <w:r w:rsidR="00432CA0">
        <w:t xml:space="preserve">in comparison with </w:t>
      </w:r>
      <w:r w:rsidR="00034654">
        <w:t>LAP-GG</w:t>
      </w:r>
      <w:r w:rsidR="00C61A86">
        <w:t xml:space="preserve"> cell-laden constructs</w:t>
      </w:r>
      <w:r w:rsidR="00034654">
        <w:t xml:space="preserve">. </w:t>
      </w:r>
      <w:r w:rsidR="00A864BA" w:rsidRPr="00F54DA5">
        <w:t xml:space="preserve">Cells encapsulated in the soft </w:t>
      </w:r>
      <w:r w:rsidR="00E86ECC" w:rsidRPr="00F54DA5">
        <w:t>hydrogels</w:t>
      </w:r>
      <w:r w:rsidR="00A864BA" w:rsidRPr="00F54DA5">
        <w:t xml:space="preserve"> can potentially escape and proliferate on the tissue culture plastic</w:t>
      </w:r>
      <w:r w:rsidR="00E86ECC" w:rsidRPr="00F54DA5">
        <w:t xml:space="preserve"> as previously described </w:t>
      </w:r>
      <w:r w:rsidR="00E86ECC" w:rsidRPr="00F54DA5">
        <w:fldChar w:fldCharType="begin" w:fldLock="1"/>
      </w:r>
      <w:r w:rsidR="00940D86">
        <w:instrText>ADDIN CSL_CITATION {"citationItems":[{"id":"ITEM-1","itemData":{"DOI":"10.1038/s41598-018-23250-4","ISBN":"4159801823250","ISSN":"20452322","PMID":"29593247","abstract":"Purpose of this study was the development of a 3D material to be used as substrate for breast cancer cell culture. We developed composite gels constituted by different concentrations of Alginate (A) and Matrigel (M) to obtain a structurally stable-in-time and biologically active substrate. Human aggressive breast cancer cells (i.e. MDA-MB-231) were cultured within the gels. Known the link between cell morphology and malignancy, cells were morphologically characterized and their invasiveness correlated through an innovative bioreactor-based invasion assay. A particular type of gel (i.e. 50% Alginate, 50% Matrigel) emerged thanks to a series of significant results: 1. cells exhibited peculiar cytoskeleton shapes and nuclear fragmentation characteristic of their malignancy; 2. cells expressed the formation of the so-called invadopodia, actin-based protrusion of the plasma membrane through which cells anchor to the extracellular matrix; 3. cells were able to migrate through the gels and attach to an engineered membrane mimicking the vascular walls hosted within bioreactor, providing a completely new 3D in vitro model of the very precursor steps of metastasis.","author":[{"dropping-particle":"","family":"Cavo","given":"Marta","non-dropping-particle":"","parse-names":false,"suffix":""},{"dropping-particle":"","family":"Caria","given":"Marco","non-dropping-particle":"","parse-names":false,"suffix":""},{"dropping-particle":"","family":"Pulsoni","given":"Ilaria","non-dropping-particle":"","parse-names":false,"suffix":""},{"dropping-particle":"","family":"Beltrame","given":"Francesco","non-dropping-particle":"","parse-names":false,"suffix":""},{"dropping-particle":"","family":"Fato","given":"Marco","non-dropping-particle":"","parse-names":false,"suffix":""},{"dropping-particle":"","family":"Scaglione","given":"Silvia","non-dropping-particle":"","parse-names":false,"suffix":""}],"container-title":"Scientific Reports","id":"ITEM-1","issue":"1","issued":{"date-parts":[["2018"]]},"page":"1-12","publisher":"Springer US","title":"A new cell-laden 3D Alginate-Matrigel hydrogel resembles human breast cancer cell malignant morphology, spread and invasion capability observed \"in vivo\"","type":"article-journal","volume":"8"},"uris":["http://www.mendeley.com/documents/?uuid=81dba360-f2d3-430d-babc-b58aa8c4b878"]}],"mendeley":{"formattedCitation":"[40]","plainTextFormattedCitation":"[40]","previouslyFormattedCitation":"[40]"},"properties":{"noteIndex":0},"schema":"https://github.com/citation-style-language/schema/raw/master/csl-citation.json"}</w:instrText>
      </w:r>
      <w:r w:rsidR="00E86ECC" w:rsidRPr="00F54DA5">
        <w:fldChar w:fldCharType="separate"/>
      </w:r>
      <w:r w:rsidR="00940D86" w:rsidRPr="00940D86">
        <w:rPr>
          <w:noProof/>
        </w:rPr>
        <w:t>[40]</w:t>
      </w:r>
      <w:r w:rsidR="00E86ECC" w:rsidRPr="00F54DA5">
        <w:fldChar w:fldCharType="end"/>
      </w:r>
      <w:r w:rsidR="00A864BA" w:rsidRPr="00F54DA5">
        <w:t xml:space="preserve">. In contrast, nanocomposite LAP-GG with enhanced mechanical properties to GG, show higher cell retention capacity due to the stiffer matrix retaining cells in the scaffold network. High cell retention and viability provide evidence for the functional potential of LAP-GG. </w:t>
      </w:r>
    </w:p>
    <w:p w14:paraId="461D95E8" w14:textId="24DC4B4B" w:rsidR="00A864BA" w:rsidRPr="00F54DA5" w:rsidRDefault="00AD210F" w:rsidP="00E86ECC">
      <w:pPr>
        <w:tabs>
          <w:tab w:val="left" w:pos="567"/>
        </w:tabs>
        <w:spacing w:after="0" w:line="360" w:lineRule="auto"/>
        <w:jc w:val="both"/>
      </w:pPr>
      <w:r>
        <w:t>I</w:t>
      </w:r>
      <w:r w:rsidR="00A864BA" w:rsidRPr="00F54DA5">
        <w:t xml:space="preserve">n osteogenic media, cells were found to express significantly greater ALP staining. Particularly, osteogenic conditioning of cell-laden LAP-GG scaffolds were found stained intensely for ALP. </w:t>
      </w:r>
      <w:r w:rsidR="00A864BA" w:rsidRPr="00516A6B">
        <w:rPr>
          <w:lang w:val="fr-FR"/>
        </w:rPr>
        <w:t xml:space="preserve">Douglas </w:t>
      </w:r>
      <w:r w:rsidR="00A864BA" w:rsidRPr="00516A6B">
        <w:rPr>
          <w:i/>
          <w:lang w:val="fr-FR"/>
        </w:rPr>
        <w:t xml:space="preserve">et al. </w:t>
      </w:r>
      <w:r w:rsidR="00A864BA" w:rsidRPr="00F54DA5">
        <w:rPr>
          <w:i/>
        </w:rPr>
        <w:fldChar w:fldCharType="begin" w:fldLock="1"/>
      </w:r>
      <w:r w:rsidR="00793844" w:rsidRPr="00516A6B">
        <w:rPr>
          <w:i/>
          <w:lang w:val="fr-FR"/>
        </w:rPr>
        <w:instrText>ADDIN CSL_CITATION {"citationItems":[{"id":"ITEM-1","itemData":{"DOI":"10.1002/term.1875","ISBN":"1932-6254","ISSN":"19326254","PMID":"20872739","abstract":"Development of an in vitro prevascularized scaffold is of great importance to produce vascularization in tissue-engineered devices and for other clinical purposes. To this aim, polymer fibres covered with human umbilical vein endothelial cells (HUVECs) were used to induce directional 'angiogenesis' in a 3D co-culture system. Gelatin or RGD peptides were immobilized on surface-modified polymer fibres [100 µm diameter poly(ethylene terephthalate) monofilaments] via N-hepthylamine plasma polymer and carboxy-methyl-dextran interlayers. Fibres fully covered with HUVECs were then embedded in a fibrin gel, following a parallel alignment pattern, in the presence of fibroblasts. Tube-like structures occurred along the fibres and a network was formed between neighbouring fibres. These events were promoted with increased incubation times. Biomolecule-grafted fibres created a guidance pathway that facilitated coated endothelial cells to form lumens and, from them, sprouting processes. However, there were no significant differences between the different surface modifications on fibres in terms of promoting tube-like structures. Thus, different stages of angiogenesis can be initiated and guided using HUVECs precovered polymer fibres embedded in a soft supportive matrix, such as fibrin, which can be further applied to the development of in vitro prevascularized tissue-engineered scaffolds.","author":[{"dropping-particle":"","family":"Douglas","given":"Timothy E. L.","non-dropping-particle":"","parse-names":false,"suffix":""},{"dropping-particle":"","family":"Krawczyk","given":"Grzegorz","non-dropping-particle":"","parse-names":false,"suffix":""},{"dropping-particle":"","family":"Pamula","given":"Elzbieta","non-dropping-particle":"","parse-names":false,"suffix":""},{"dropping-particle":"","family":"Declercq","given":"Heidi A.","non-dropping-particle":"","parse-names":false,"suffix":""},{"dropping-particle":"","family":"Schaubroeck","given":"David","non-dropping-particle":"","parse-names":false,"suffix":""},{"dropping-particle":"","family":"Bucko","given":"Miroslaw M.","non-dropping-particle":"","parse-names":false,"suffix":""},{"dropping-particle":"","family":"Balcaen","given":"Lieve","non-dropping-particle":"","parse-names":false,"suffix":""},{"dropping-particle":"","family":"Voort","given":"Pascal","non-dropping-particle":"Van Der","parse-names":false,"suffix":""},{"dropping-particle":"","family":"Bliznuk","given":"Vitaliy","non-dropping-particle":"","parse-names":false,"suffix":""},{"dropping-particle":"","family":"Vreken","given":"Natasja M. F.",</w:instrText>
      </w:r>
      <w:r w:rsidR="00793844" w:rsidRPr="00346CBF">
        <w:rPr>
          <w:i/>
          <w:lang w:val="fr-FR"/>
        </w:rPr>
        <w:instrText>"non-dropping-particle":"van den","parse-names":false,"suffix":""},{"dropping-particle":"","family":"Dash","given":"Mamoni","non-dropping-particle":"","parse-names":false,"suffix":""},{"dropping-particle":"","family":"Detsch","given":"Rainer","non-dropping-particle":"","parse-names":false,"suffix":""},{"dropping-particle":"","family":"Boccaccini","given":"Aldo R.","non-dropping-particle":"","parse-names":false,"suffix":""},{"dropping-particle":"","family":"Vanhaecke","given":"Frank","non-dropping-particle":"","parse-names":false,"suffix":""},{"dropping-particle":"","family":"Cornelissen","given":"Maria","non-dropping-particle":"","parse-names":false,"suffix":""},{"dropping-particle":"","family":"Dubruel","given":"Peter","non-dropping-particle":"","parse-names":false,"suffix":""}],"container-title":"Journal of Tissue Engineering and Regenerative Medicine","id":"ITEM-1","issue":"11","issued":{"date-parts":[["2016","11"]]},"page":"938-954","title":"Generation of composites for bone tissue-engineering applications consisting of gellan gum hydrogels mineralized with calcium and magnesium phosphate phases by enzymatic means","type":"article-journal","volume":"10"},"uris":["http://www.mendeley.com/documents/?uuid=60a60300-fd6b-49e9-9453-53db2cf7d3bc"]}],"mendeley":{"formattedCitation":"[16]","plainTextFormattedCitation":"[16]","previouslyFormattedCitation":"[16]"},"properties":{"noteIndex":0},"schema":"https://github.com/citation-style-language/schema/raw/master/csl-citation.json"}</w:instrText>
      </w:r>
      <w:r w:rsidR="00A864BA" w:rsidRPr="00F54DA5">
        <w:rPr>
          <w:i/>
        </w:rPr>
        <w:fldChar w:fldCharType="separate"/>
      </w:r>
      <w:r w:rsidR="00793844" w:rsidRPr="00346CBF">
        <w:rPr>
          <w:noProof/>
          <w:lang w:val="fr-FR"/>
        </w:rPr>
        <w:t>[16]</w:t>
      </w:r>
      <w:r w:rsidR="00A864BA" w:rsidRPr="00F54DA5">
        <w:rPr>
          <w:i/>
        </w:rPr>
        <w:fldChar w:fldCharType="end"/>
      </w:r>
      <w:r w:rsidR="00A864BA" w:rsidRPr="00346CBF">
        <w:rPr>
          <w:lang w:val="fr-FR"/>
        </w:rPr>
        <w:t xml:space="preserve"> recently reported the use of a ALP-gellan gum hydrogel mineralisation protocol </w:t>
      </w:r>
      <w:r w:rsidR="00A864BA" w:rsidRPr="00346CBF">
        <w:rPr>
          <w:i/>
          <w:lang w:val="fr-FR"/>
        </w:rPr>
        <w:t xml:space="preserve">in vitro. </w:t>
      </w:r>
      <w:r w:rsidR="00A864BA" w:rsidRPr="00F54DA5">
        <w:t xml:space="preserve">ALP enzyme inclusion in GG network resulted in mineralisation when incubated in media conditioned with calcium phosphate (CaP) and magnesium glycerolphosphate (MgGP). GG gels were found </w:t>
      </w:r>
      <w:r w:rsidR="00553B84">
        <w:t xml:space="preserve">to be </w:t>
      </w:r>
      <w:r w:rsidR="00A864BA" w:rsidRPr="00F54DA5">
        <w:t>extensively mineralised depending on Ca and Mg concentration in solution. Similarly, both GG and LAP-GG were crosslinked with 1M CaCl</w:t>
      </w:r>
      <w:r w:rsidR="00A864BA" w:rsidRPr="00F54DA5">
        <w:rPr>
          <w:vertAlign w:val="subscript"/>
        </w:rPr>
        <w:t>2</w:t>
      </w:r>
      <w:r w:rsidR="00A864BA" w:rsidRPr="00F54DA5">
        <w:t xml:space="preserve">. Residual Ca ions entrapped in the gel network, can </w:t>
      </w:r>
      <w:r w:rsidR="00D46062">
        <w:t xml:space="preserve">enhance </w:t>
      </w:r>
      <w:r w:rsidR="005614D9" w:rsidRPr="00F54DA5">
        <w:t xml:space="preserve">mineralisation. </w:t>
      </w:r>
      <w:r w:rsidR="00A864BA" w:rsidRPr="00F54DA5">
        <w:t xml:space="preserve">However, GG hydrogels appeared to show greater functionality in basal and osteogenic media when </w:t>
      </w:r>
      <w:r w:rsidR="004B7D4B">
        <w:t>LAP</w:t>
      </w:r>
      <w:r w:rsidR="00A864BA" w:rsidRPr="00F54DA5">
        <w:t xml:space="preserve"> </w:t>
      </w:r>
      <w:r w:rsidR="00D021E6">
        <w:t>nanoclay</w:t>
      </w:r>
      <w:r w:rsidR="00A864BA" w:rsidRPr="00F54DA5">
        <w:t xml:space="preserve"> containing a small percentage of Mg ions was included in the blend. </w:t>
      </w:r>
      <w:r w:rsidR="00D46062">
        <w:t xml:space="preserve">This is consistent with previous data demonstrating the ability of </w:t>
      </w:r>
      <w:r w:rsidR="004B7D4B">
        <w:t>LAP</w:t>
      </w:r>
      <w:r w:rsidR="00A864BA" w:rsidRPr="00F54DA5">
        <w:t xml:space="preserve"> </w:t>
      </w:r>
      <w:r w:rsidR="00D46062">
        <w:t>to enhance osteogenic</w:t>
      </w:r>
      <w:r w:rsidR="00A864BA" w:rsidRPr="00F54DA5">
        <w:t xml:space="preserve"> differentiation, particularly </w:t>
      </w:r>
      <w:r w:rsidR="00D46062">
        <w:t xml:space="preserve">associated with </w:t>
      </w:r>
      <w:r w:rsidR="00D46062" w:rsidRPr="00F54DA5">
        <w:t>upregulat</w:t>
      </w:r>
      <w:r w:rsidR="00D46062">
        <w:t>ed</w:t>
      </w:r>
      <w:r w:rsidR="00D46062" w:rsidRPr="00F54DA5">
        <w:t xml:space="preserve"> </w:t>
      </w:r>
      <w:r w:rsidR="00A864BA" w:rsidRPr="00F54DA5">
        <w:t xml:space="preserve">ALP production and matrix mineralisation (CaP) </w:t>
      </w:r>
      <w:r w:rsidR="00A864BA" w:rsidRPr="00F54DA5">
        <w:fldChar w:fldCharType="begin" w:fldLock="1"/>
      </w:r>
      <w:r w:rsidR="00126CD4">
        <w:instrText>ADDIN CSL_CITATION {"citationItems":[{"id":"ITEM-1","itemData":{"DOI":"10.1073/pnas.1716164115","ISSN":"0027-8424","PMID":"29643075","abstract":"Two-dimensional nanomaterials, an ultrathin class of materials such as graphene, nanoclays, transition metal dichalcogenides (TMDs), and transition metal oxides (TMOs), have emerged as a new generation of materials due to their unique properties relative to macroscale counterparts. However, little is known about the transcriptome dynamics following exposure to these nanomaterials. Here, we investigate the interactions of 2D nanosilicates, a layered clay, with human mesenchymal stem cells (hMSCs) at the whole-transcriptome level by high-throughput sequencing (RNA-seq). Analysis of cell-nanosilicate interactions by monitoring changes in transcriptome profile uncovered key biophysical and biochemical cellular pathways triggered by nanosilicates. A widespread alteration of genes was observed due to nanosilicate exposure as more than 4,000 genes were differentially expressed. The change in mRNA expression levels revealed clathrin-mediated endocytosis of nanosilicates. Nanosilicate attachment to the cell membrane and subsequent cellular internalization activated stress-responsive pathways such as mitogen-activated protein kinase (MAPK), which subsequently directed hMSC differentiation toward osteogenic and chondrogenic lineages. This study provides transcriptomic insight on the role of surface-mediated cellular signaling triggered by nanomaterials and enables development of nanomaterials-based therapeutics for regenerative medicine. This approach in understanding nanomaterial-cell interactions illustrates how change in transcriptomic profile can predict downstream effects following nanomaterial treatment.","author":[{"dropping-particle":"","family":"Carrow","given":"James K.","non-dropping-particle":"","parse-names":false,"suffix":""},{"dropping-particle":"","family":"Cross","given":"Lauren M.","non-dropping-particle":"","parse-names":false,"suffix":""},{"dropping-particle":"","family":"Reese","given":"Robert W.","non-dropping-particle":"","parse-names":false,"suffix":""},{"dropping-particle":"","family":"Jaiswal","given":"Manish K.","non-dropping-particle":"","parse-names":false,"suffix":""},{"dropping-particle":"","family":"Gregory","given":"Carl A.","non-dropping-particle":"","parse-names":false,"suffix":""},{"dropping-particle":"","family":"Kaunas","given":"Roland","non-dropping-particle":"","parse-names":false,"suffix":""},{"dropping-particle":"","family":"Singh","given":"Irtisha","non-dropping-particle":"","parse-names":false,"suffix":""},{"dropping-particle":"","family":"Gaharwar","given":"Akhilesh K.","non-dropping-particle":"","parse-names":false,"suffix":""}],"container-title":"Proceedings of the National Academy of Sciences","id":"ITEM-1","issue":"17","issued":{"date-parts":[["2018"]]},"note":"Crucial paper about Laponite particles internalisation and effect on cell behaviour and differentiation","page":"E3905-E3913","title":"Widespread changes in transcriptome profile of human mesenchymal stem cells induced by two-dimensional nanosilicates","type":"article-journal","volume":"115"},"uris":["http://www.mendeley.com/documents/?uuid=4a0860f9-ca44-4884-8a05-b53e7441a26b"]}],"mendeley":{"formattedCitation":"[41]","plainTextFormattedCitation":"[41]","previouslyFormattedCitation":"[41]"},"properties":{"noteIndex":0},"schema":"https://github.com/citation-style-language/schema/raw/master/csl-citation.json"}</w:instrText>
      </w:r>
      <w:r w:rsidR="00A864BA" w:rsidRPr="00F54DA5">
        <w:fldChar w:fldCharType="separate"/>
      </w:r>
      <w:r w:rsidR="00940D86" w:rsidRPr="00940D86">
        <w:rPr>
          <w:noProof/>
        </w:rPr>
        <w:t>[41]</w:t>
      </w:r>
      <w:r w:rsidR="00A864BA" w:rsidRPr="00F54DA5">
        <w:fldChar w:fldCharType="end"/>
      </w:r>
      <w:r w:rsidR="00A864BA" w:rsidRPr="00F54DA5">
        <w:t xml:space="preserve">. </w:t>
      </w:r>
    </w:p>
    <w:p w14:paraId="199FF5DF" w14:textId="52C74D58" w:rsidR="00A864BA" w:rsidRPr="00F54DA5" w:rsidRDefault="00C05D85" w:rsidP="006A38EE">
      <w:pPr>
        <w:tabs>
          <w:tab w:val="left" w:pos="567"/>
        </w:tabs>
        <w:spacing w:after="0" w:line="360" w:lineRule="auto"/>
        <w:jc w:val="both"/>
      </w:pPr>
      <w:r>
        <w:tab/>
      </w:r>
      <w:r>
        <w:tab/>
      </w:r>
      <w:r w:rsidR="004B7D4B">
        <w:t>LAP</w:t>
      </w:r>
      <w:r w:rsidR="00A864BA" w:rsidRPr="00F54DA5">
        <w:t xml:space="preserve"> has been shown, alone </w:t>
      </w:r>
      <w:r w:rsidR="00A864BA" w:rsidRPr="00F54DA5">
        <w:fldChar w:fldCharType="begin" w:fldLock="1"/>
      </w:r>
      <w:r w:rsidR="00793844">
        <w:instrText>ADDIN CSL_CITATION {"citationItems":[{"id":"ITEM-1","itemData":{"DOI":"10.1002/adma.201100968","ISBN":"0935-9648","ISSN":"09359648","PMID":"21793049","abstract":"The sorptive properties of clay are harnessed to provide niches for tissue regeneration. Synthetic smectite clays self-organize into gels under physiological conditions to allow encapsulation of cells and demonstrate remarkable capacity for the localization of biological molecules without the need for complex chemical modifications.","author":[{"dropping-particle":"","family":"Dawson","given":"Jonathan I.","non-dropping-particle":"","parse-names":false,"suffix":""},{"dropping-particle":"","family":"Kanczler","given":"Janos M.","non-dropping-particle":"","parse-names":false,"suffix":""},{"dropping-particle":"","family":"Yang","given":"Xuebin B.","non-dropping-particle":"","parse-names":false,"suffix":""},{"dropping-particle":"","family":"Attard","given":"George S.","non-dropping-particle":"","parse-names":false,"suffix":""},{"dropping-particle":"","family":"Oreffo","given":"Richard O.C.","non-dropping-particle":"","parse-names":false,"suffix":""}],"container-title":"Advanced Materials","id":"ITEM-1","issue":"29","issued":{"date-parts":[["2011","8","2"]]},"page":"3304-3308","title":"Clay Gels For the Delivery of Regenerative Microenvironments","type":"article-journal","volume":"23"},"uris":["http://www.mendeley.com/documents/?uuid=03dbcf61-d450-4032-b1b0-80d131c101db"]}],"mendeley":{"formattedCitation":"[11]","plainTextFormattedCitation":"[11]","previouslyFormattedCitation":"[11]"},"properties":{"noteIndex":0},"schema":"https://github.com/citation-style-language/schema/raw/master/csl-citation.json"}</w:instrText>
      </w:r>
      <w:r w:rsidR="00A864BA" w:rsidRPr="00F54DA5">
        <w:fldChar w:fldCharType="separate"/>
      </w:r>
      <w:r w:rsidR="00793844" w:rsidRPr="00793844">
        <w:rPr>
          <w:noProof/>
        </w:rPr>
        <w:t>[11]</w:t>
      </w:r>
      <w:r w:rsidR="00A864BA" w:rsidRPr="00F54DA5">
        <w:fldChar w:fldCharType="end"/>
      </w:r>
      <w:r w:rsidR="00A864BA" w:rsidRPr="00F54DA5">
        <w:t xml:space="preserve"> or when blended with polymeric materials (e.g. alginate-methylcellulose </w:t>
      </w:r>
      <w:r w:rsidR="00A864BA" w:rsidRPr="00F54DA5">
        <w:fldChar w:fldCharType="begin" w:fldLock="1"/>
      </w:r>
      <w:r w:rsidR="00793844">
        <w:instrText>ADDIN CSL_CITATION {"citationItems":[{"id":"ITEM-1","itemData":{"DOI":"10.1088/1758-5090/aa7e96","ISBN":"1758-5090","ISSN":"1758-5090","PMID":"28691691","abstract":"Three-dimensional printing of cell-laden hydrogels has evolved as a promising approach on the route to patient-specific or complex tissue-engineered constructs. However, it is still challenging to print structures with both, high shape fidelity and cell vitality. Herein, we used a synthetic nanosilicate clay, called Laponite, to build up scaffolds utilising the extrusion-based method 3D plotting. By blending with alginate and methylcellulose, a bioink was developed which allowed easy extrusion, achieving scaffolds with high printing fidelity. Following extrusion, approximately 70%-75% of printed immortalised human mesenchymal stem cells survived and cell viability was maintained over 21 days within the plotted constructs. Mechanical properties of scaffolds comprised of the composite bioink decreased over time when stored under cell culture conditions. Nevertheless, shape of the plotted constructs was preserved even over longer cultivation periods. Laponite is known for its favourable drug delivery properties. Two model proteins, bovine serum albumin and vascular endothelial growth factor were loaded into the bioink. We demonstrate that the release of both growth factors significantly changed to a more sustained profile by inclusion of Laponite in comparison to an alginate-methylcellulose blend in the absence of Laponite. In summary, addition of a synthetic clay, Laponite, improved printability, increased shape fidelity and was beneficial for controlled release of biologically active agents such as growth factors.","author":[{"dropping-particle":"","family":"Ahlfeld","given":"T.","non-dropping-particle":"","parse-names":false,"suffix":""},{"dropping-particle":"","family":"Cidonio","given":"G.","non-dropping-particle":"","parse-names":false,"suffix":""},{"dropping-particle":"","family":"Kilian","given":"D.","non-dropping-particle":"","parse-names":false,"suffix":""},{"dropping-particle":"","family":"Duin","given":"S.","non-dropping-particle":"","parse-names":false,"suffix":""},{"dropping-particle":"","family":"Akkineni","given":"A. R.","non-dropping-particle":"","parse-names":false,"suffix":""},{"dropping-particle":"","family":"Dawson","given":"J. I.","non-dropping-particle":"","parse-names":false,"suffix":""},{"dropping-particle":"","family":"Yang","given":"S.","non-dropping-particle":"","parse-names":false,"suffix":""},{"dropping-particle":"","family":"Lode","given":"A.","non-dropping-particle":"","parse-names":false,"suffix":""},{"dropping-particle":"","family":"Oreffo","given":"R O C","non-dropping-particle":"","parse-names":false,"suffix":""},{"dropping-particle":"","family":"Gelinsky","given":"M.","non-dropping-particle":"","parse-names":false,"suffix":""}],"container-title":"Biofabrication","id":"ITEM-1","issue":"3","issued":{"date-parts":[["2017","7","25"]]},"page":"034103","publisher":"IOP Publishing","title":"Development of a clay based bioink for 3D cell printing for skeletal application","type":"article-journal","volume":"9"},"uris":["http://www.mendeley.com/documents/?uuid=66cf7e3f-a561-43b9-8726-1231e9e363b7"]}],"mendeley":{"formattedCitation":"[12]","plainTextFormattedCitation":"[12]","previouslyFormattedCitation":"[12]"},"properties":{"noteIndex":0},"schema":"https://github.com/citation-style-language/schema/raw/master/csl-citation.json"}</w:instrText>
      </w:r>
      <w:r w:rsidR="00A864BA" w:rsidRPr="00F54DA5">
        <w:fldChar w:fldCharType="separate"/>
      </w:r>
      <w:r w:rsidR="00793844" w:rsidRPr="00793844">
        <w:rPr>
          <w:noProof/>
        </w:rPr>
        <w:t>[12]</w:t>
      </w:r>
      <w:r w:rsidR="00A864BA" w:rsidRPr="00F54DA5">
        <w:fldChar w:fldCharType="end"/>
      </w:r>
      <w:r w:rsidR="00A864BA" w:rsidRPr="00F54DA5">
        <w:t xml:space="preserve">, </w:t>
      </w:r>
      <w:r>
        <w:t xml:space="preserve">GelMA </w:t>
      </w:r>
      <w:r>
        <w:fldChar w:fldCharType="begin" w:fldLock="1"/>
      </w:r>
      <w:r w:rsidR="00126CD4">
        <w:instrText>ADDIN CSL_CITATION {"citationItems":[{"id":"ITEM-1","itemData":{"DOI":"10.1088/1758-5090/ab19fd","ISSN":"1758-5090","abstract":"Bioprinting of living cells is rapidly developing as an advanced biofabrication approach to engineer tissues. Bioinks can be extruded in three-dimensions (3D) to fabricate complex and hierarchical constructs for implantation. However, lack of functionality can often be attributed to poor bioink properties. Indeed, advanced bioinks encapsulating living cells should: (i) present optimal rheological properties and retain 3D structure post-fabrication, (ii) promote cell viability and support cell differentiation, (iii) localise proteins of interest (e.g. vascular endothelial growth factor (VEGF)) to stimulate encapsulated cell activity and tissue ingrowth upon implantation. In this study, we present the results of the inclusion of a synthetic nanoclay, Laponite (LPN) together with a gelatin methacryloyl (GelMA) bioink and the development of a functional cell-instructive bioink. A nanocomposite bioink displaying enhanced shape fidelity retention and interconnected porosity within extrusion-bioprinted fibres was observed. Human bone marrow stromal cell (HBMSC) viability within the nanocomposite showed no significant changes over 21 days of culture in LPN-GelMA (85.60 ± 10.27 %), compared to a significant decrease in GelMA from 7 (95.88 ± 2.90 %) to 21 days (55.54 ± 14.72 %) (p&lt;0.01). HBMSCs were observed to proliferate in LPN-GelMA with a significant increase in cell number over 21 days (p&lt;0.0001) compared to GelMA alone. HBMSCs-laden LPN-GelMA scaffolds supported osteogenic differentiation evidenced by mineralized nodule formation, including in the absence of the osteogenic drug dexamethasone. Ex vivo implantation in a chick chorioallantoic membrane (CAM) model, demonstrated excellent integration of the bioink constructs in the vascular chick embryo after 7 days of incubation. VEGF-loaded LPN-GelMA constructs demonstrated significantly higher vessel penetration than GelMA-VEGF (p&lt;0.0001) scaffolds. Integration and vascularisation was directly related to increased drug absorption and retention by LPN-GelMA compared to LPN-free GelMA. In summary, a novel light-curable nanocomposite bioink for 3D skeletal regeneration supportive of cell growth and growth factor retention and delivery, evidenced by ex vivo vasculogenesis, was developed with potential application in hard and soft tissue reparation.","author":[{"dropping-particle":"","family":"Cidonio","given":"Gianluca","non-dropping-particle":"","parse-names":false,"suffix":""},{"dropping-particle":"","family":"Alcala-Orozco","given":"Cesar R","non-dropping-particle":"","parse-names":false,"suffix":""},{"dropping-particle":"","family":"Lim","given":"Khoon S","non-dropping-particle":"","parse-names":false,"suffix":""},{"dropping-particle":"","family":"Glinka","given":"Michael","non-dropping-particle":"","parse-names":false,"suffix":""},{"dropping-particle":"","family":"Mutreja","given":"Isha","non-dropping-particle":"","parse-names":false,"suffix":""},{"dropping-particle":"","family":"Kim","given":"Yang-Hee","non-dropping-particle":"","parse-names":false,"suffix":""},{"dropping-particle":"","family":"Dawson","given":"Jonathan I","non-dropping-particle":"","parse-names":false,"suffix":""},{"dropping-particle":"","family":"Woodfield","given":"Tim B F","non-dropping-particle":"","parse-names":false,"suffix":""},{"dropping-particle":"","family":"Oreffo","given":"Richard O C","non-dropping-particle":"","parse-names":false,"suffix":""}],"container-title":"Biofabrication","id":"ITEM-1","issue":"3","issued":{"date-parts":[["2019","6","12"]]},"page":"035027","title":"Osteogenic and angiogenic tissue formation in high fidelity nanocomposite Laponite-gelatin bioinks","type":"article-journal","volume":"11"},"uris":["http://www.mendeley.com/documents/?uuid=ccb07f5d-cbbb-4c58-916e-348072ad21d8"]}],"mendeley":{"formattedCitation":"[13]","plainTextFormattedCitation":"[13]","previouslyFormattedCitation":"[13]"},"properties":{"noteIndex":0},"schema":"https://github.com/citation-style-language/schema/raw/master/csl-citation.json"}</w:instrText>
      </w:r>
      <w:r>
        <w:fldChar w:fldCharType="separate"/>
      </w:r>
      <w:r w:rsidRPr="00C05D85">
        <w:rPr>
          <w:noProof/>
        </w:rPr>
        <w:t>[13]</w:t>
      </w:r>
      <w:r>
        <w:fldChar w:fldCharType="end"/>
      </w:r>
      <w:r>
        <w:t xml:space="preserve">, </w:t>
      </w:r>
      <w:r w:rsidR="00A864BA" w:rsidRPr="00F54DA5">
        <w:t xml:space="preserve">PEG-PLA </w:t>
      </w:r>
      <w:r w:rsidR="00A864BA" w:rsidRPr="00F54DA5">
        <w:fldChar w:fldCharType="begin" w:fldLock="1"/>
      </w:r>
      <w:r w:rsidR="00940D86">
        <w:instrText>ADDIN CSL_CITATION {"citationItems":[{"id":"ITEM-1","itemData":{"DOI":"10.1021/am5032874","ISSN":"1944-8244","PMID":"25167168","abstract":"The development of pH-sensitive drug delivery nanosystems that present a low drug release at the physiol. pH and are able to increase the extent of the release at a lower pH value (like those existent in the interstitial space of solid tumors (pH 6.5) and in the intracellular endolysosomal compartments (pH 5.0)) is very important for an efficient and safe cancer therapy. Laponite (LP) is a synthetic silicate nanoparticle with a nanodisk structure (25 nm in diam. and 0.92 nm in thickness) and neg.-charged surface, which can be used for the encapsulation of doxorubicin (DOX, a cationic drug) through electrostatic interactions and exhibit good pH sensitivity in drug delivery. However, the colloidal instability of LP still limits its potential clin. applications. In this study, we demonstrate an elegant strategy to develop stable Laponite-based nanohybrids through the functionalization of its surface with an amphiphile PEG-PLA copolymer by a self-assembly process. The hydrophobic block of PEG-PLA acts as an anchor that binds to the surface of drug-loaded LP nanodisks, maintaining the core structure, whereas the hydrophilic PEG part serves as a protective stealth shell that improves the whole stability of the nanohybrids under physiol. conditions. The resulting nanocarriers can effectively load the DOX drug (the encapsulation efficiency is 85%), and display a pH-enhanced drug release behavior in a sustained way. In vitro biol. evaluation indicated that the DOX-loaded nanocarriers can be effectively internalized by CAL-72 cells (an osteosarcoma cell line), and exhibit a remarkable higher anticancer cytotoxicity than free DOX. The merits of Laponite/PEG-PLA nanohybrids, such as good cytocompatibility, excellent physiol. stability, sustained pH-responsive release properties, and improved anticancer activity, make them a promising platform for the delivery of other therapeutic agents beyond DOX. [on SciFinder(R)]","author":[{"dropping-particle":"","family":"Wang","given":"Guoying","non-dropping-particle":"","parse-names":false,"suffix":""},{"dropping-particle":"","family":"Maciel","given":"Dina","non-dropping-particle":"","parse-names":false,"suffix":""},{"dropping-particle":"","family":"Wu","given":"Yilun","non-dropping-particle":"","parse-names":false,"suffix":""},{"dropping-particle":"","family":"Rodrigues","given":"Joao","non-dropping-particle":"","parse-names":false,"suffix":""},{"dropping-particle":"","family":"Shi","given":"Xiangyang","non-dropping-particle":"","parse-names":false,"suffix":""},{"dropping-particle":"","family":"Yuan","given":"Yuan","non-dropping-particle":"","parse-names":false,"suffix":""},{"dropping-particle":"","family":"Liu","given":"Changsheng","non-dropping-particle":"","parse-names":false,"suffix":""},{"dropping-particle":"","family":"Tomas","given":"Helena","non-dropping-particle":"","parse-names":false,"suffix":""},{"dropping-particle":"","family":"Li","given":"Yulin.","non-dropping-particle":"","parse-names":false,"suffix":""}],"container-title":"ACS Applied Materials &amp; Interfaces","id":"ITEM-1","issue":"19","issued":{"date-parts":[["2014"]]},"page":"16687-16695","title":"Amphiphilic Polymer-Mediated Formation of Laponite-Based Nanohybrids with Robust Stability and pH Sensitivity for Anticancer Drug Delivery.","type":"article-journal","volume":"6"},"uris":["http://www.mendeley.com/documents/?uuid=161dcf52-9470-4dfa-9631-963600634b09"]}],"mendeley":{"formattedCitation":"[42]","plainTextFormattedCitation":"[42]","previouslyFormattedCitation":"[42]"},"properties":{"noteIndex":0},"schema":"https://github.com/citation-style-language/schema/raw/master/csl-citation.json"}</w:instrText>
      </w:r>
      <w:r w:rsidR="00A864BA" w:rsidRPr="00F54DA5">
        <w:fldChar w:fldCharType="separate"/>
      </w:r>
      <w:r w:rsidR="00940D86" w:rsidRPr="00940D86">
        <w:rPr>
          <w:noProof/>
        </w:rPr>
        <w:t>[42]</w:t>
      </w:r>
      <w:r w:rsidR="00A864BA" w:rsidRPr="00F54DA5">
        <w:fldChar w:fldCharType="end"/>
      </w:r>
      <w:r w:rsidR="00A864BA" w:rsidRPr="00F54DA5">
        <w:t>, pH-sensitive poly(N-vinylpyrrolidone) (PVP)</w:t>
      </w:r>
      <w:r w:rsidR="00A864BA" w:rsidRPr="00F54DA5">
        <w:rPr>
          <w:i/>
        </w:rPr>
        <w:t xml:space="preserve"> </w:t>
      </w:r>
      <w:r w:rsidR="00A864BA" w:rsidRPr="00F54DA5">
        <w:rPr>
          <w:i/>
        </w:rPr>
        <w:fldChar w:fldCharType="begin" w:fldLock="1"/>
      </w:r>
      <w:r w:rsidR="00940D86">
        <w:rPr>
          <w:i/>
        </w:rPr>
        <w:instrText>ADDIN CSL_CITATION {"citationItems":[{"id":"ITEM-1","itemData":{"DOI":"10.1016/j.colsurfb.2017.12.046","ISSN":"09277765","author":[{"dropping-particle":"","family":"Zhou","given":"Bingjie","non-dropping-particle":"","parse-names":false,"suffix":""},{"dropping-particle":"","family":"Wu","given":"Bozhen","non-dropping-particle":"","parse-names":false,"suffix":""},{"dropping-particle":"","family":"Wang","given":"Jine","non-dropping-particle":"","parse-names":false,"suffix":""},{"dropping-particle":"","family":"Qian","given":"Qihong","non-dropping-particle":"","parse-names":false,"suffix":""},{"dropping-particle":"","family":"Wang","given":"Jing","non-dropping-particle":"","parse-names":false,"suffix":""},{"dropping-particle":"","family":"Xu","given":"Hongbin","non-dropping-particle":"","parse-names":false,"suffix":""},{"dropping-particle":"","family":"Yang","given":"Sun","non-dropping-particle":"","parse-names":false,"suffix":""},{"dropping-particle":"","family":"Feng","given":"Pan","non-dropping-particle":"","parse-names":false,"suffix":""},{"dropping-particle":"","family":"Chen","given":"Wu","non-dropping-particle":"","parse-names":false,"suffix":""},{"dropping-particle":"","family":"Li","given":"Yulin","non-dropping-particle":"","parse-names":false,"suffix":""},{"dropping-particle":"","family":"Jiang","given":"Jia","non-dropping-particle":"","parse-names":false,"suffix":""},{"dropping-particle":"","family":"Han","given":"Baosan","non-dropping-particle":"","parse-names":false,"suffix":""}],"container-title":"Colloids and Surfaces B: Biointerfaces","id":"ITEM-1","issued":{"date-parts":[["2018","3"]]},"page":"284-290","publisher":"Elsevier B.V.","title":"Drug-mediation formation of nanohybrids for sequential therapeutic delivery in cancer cells","type":"article-journal","volume":"163"},"uris":["http://www.mendeley.com/documents/?uuid=79b497c9-80f4-456c-b6d5-dbea3c73f7cf"]}],"mendeley":{"formattedCitation":"[43]","plainTextFormattedCitation":"[43]","previouslyFormattedCitation":"[43]"},"properties":{"noteIndex":0},"schema":"https://github.com/citation-style-language/schema/raw/master/csl-citation.json"}</w:instrText>
      </w:r>
      <w:r w:rsidR="00A864BA" w:rsidRPr="00F54DA5">
        <w:rPr>
          <w:i/>
        </w:rPr>
        <w:fldChar w:fldCharType="separate"/>
      </w:r>
      <w:r w:rsidR="00940D86" w:rsidRPr="00940D86">
        <w:rPr>
          <w:noProof/>
        </w:rPr>
        <w:t>[43]</w:t>
      </w:r>
      <w:r w:rsidR="00A864BA" w:rsidRPr="00F54DA5">
        <w:rPr>
          <w:i/>
        </w:rPr>
        <w:fldChar w:fldCharType="end"/>
      </w:r>
      <w:r w:rsidR="00A864BA" w:rsidRPr="00F54DA5">
        <w:t xml:space="preserve">), to aid the localisation of drugs of interest. Compounds can be retained </w:t>
      </w:r>
      <w:r w:rsidR="00A864BA" w:rsidRPr="00F54DA5">
        <w:rPr>
          <w:i/>
        </w:rPr>
        <w:t>in situ</w:t>
      </w:r>
      <w:r w:rsidR="00A864BA" w:rsidRPr="00F54DA5">
        <w:t xml:space="preserve"> to better functionally stimulate the local microenvironment. Lysozyme and BSA were used as BMP-2 and VEGF analogues drugs</w:t>
      </w:r>
      <w:r w:rsidR="00793844">
        <w:t xml:space="preserve">. </w:t>
      </w:r>
      <w:r w:rsidR="00A864BA" w:rsidRPr="00F54DA5">
        <w:t>Further investigations will be needed to confirm BMP-2 bioactivity when localised in LAP-GG novel bioink formulations. However, the current results show a promising localisation/release kinetic useful in aiding bone regeneration compare to silicate-free</w:t>
      </w:r>
      <w:r w:rsidR="002D55D3" w:rsidRPr="00F54DA5">
        <w:t xml:space="preserve"> </w:t>
      </w:r>
      <w:r w:rsidR="00A864BA" w:rsidRPr="00F54DA5">
        <w:t xml:space="preserve">GG </w:t>
      </w:r>
      <w:r w:rsidR="00A864BA" w:rsidRPr="00F54DA5">
        <w:fldChar w:fldCharType="begin" w:fldLock="1"/>
      </w:r>
      <w:r w:rsidR="00940D86">
        <w:instrText>ADDIN CSL_CITATION {"citationItems":[{"id":"ITEM-1","itemData":{"DOI":"10.1016/j.carbpol.2017.03.049","ISSN":"01448617","abstract":"Physical hydrogels have been designed for a double purpose: as growth factor delivery systems and as scaffolds to support cell colonization and formation of new bone. Specifically, the polysaccharide gellan gum and the ubiquitous endogenous molecules chondroitin, albumin and spermidine have been used as exclusive components of these hydrogels. The mild ionotropic gelation technique was used to preserve the bioactivity of the selected growth factor, rhBMP-2. In vitro tests demonstrated the effective delivery of rhBMP-2 in its bioactive form. In vivo experiments performed in the muscle tissue of Wistar rats provided a proof of concept of the ability of the developed platforms to elicit new bone formation. Furthermore, this biological effect was better than that of a commercial formulation currently used for regenerative purposes, confirming the potential of these hydrogels as new and innovative growth factor delivery platforms and scaffolds for regenerative medicine applications.","author":[{"dropping-particle":"","family":"López-Cebral","given":"Rita","non-dropping-particle":"","parse-names":false,"suffix":""},{"dropping-particle":"","family":"Civantos","given":"Ana","non-dropping-particle":"","parse-names":false,"suffix":""},{"dropping-particle":"","family":"Ramos","given":"Viviana","non-dropping-particle":"","parse-names":false,"suffix":""},{"dropping-particle":"","family":"Seijo","given":"Begoña","non-dropping-particle":"","parse-names":false,"suffix":""},{"dropping-particle":"","family":"López-Lacomba","given":"José Luis","non-dropping-particle":"","parse-names":false,"suffix":""},{"dropping-particle":"","family":"Sanz-Casado","given":"José Vicente","non-dropping-particle":"","parse-names":false,"suffix":""},{"dropping-particle":"","family":"Sanchez","given":"Alejandro","non-dropping-particle":"","parse-names":false,"suffix":""}],"container-title":"Carbohydrate Polymers","id":"ITEM-1","issued":{"date-parts":[["2017"]]},"page":"345-355","title":"Gellan gum based physical hydrogels incorporating highly valuable endogen molecules and associating BMP-2 as bone formation platforms","type":"article-journal","volume":"167"},"uris":["http://www.mendeley.com/documents/?uuid=64643524-158d-4d8c-8cad-32cccb17e2a1"]}],"mendeley":{"formattedCitation":"[44]","plainTextFormattedCitation":"[44]","previouslyFormattedCitation":"[44]"},"properties":{"noteIndex":0},"schema":"https://github.com/citation-style-language/schema/raw/master/csl-citation.json"}</w:instrText>
      </w:r>
      <w:r w:rsidR="00A864BA" w:rsidRPr="00F54DA5">
        <w:fldChar w:fldCharType="separate"/>
      </w:r>
      <w:r w:rsidR="00940D86" w:rsidRPr="00940D86">
        <w:rPr>
          <w:noProof/>
        </w:rPr>
        <w:t>[44]</w:t>
      </w:r>
      <w:r w:rsidR="00A864BA" w:rsidRPr="00F54DA5">
        <w:fldChar w:fldCharType="end"/>
      </w:r>
      <w:r w:rsidR="00A864BA" w:rsidRPr="00F54DA5">
        <w:t xml:space="preserve">. </w:t>
      </w:r>
      <w:r w:rsidR="00793844" w:rsidRPr="00F54DA5">
        <w:t>Lysozyme</w:t>
      </w:r>
      <w:r w:rsidR="00793844">
        <w:t xml:space="preserve"> and BSA</w:t>
      </w:r>
      <w:r w:rsidR="00793844" w:rsidRPr="00F54DA5">
        <w:t xml:space="preserve"> absorption/release kinetics showed the possibility to rapidly load a greater amount of compound in LAP-GG and a lower sustained re</w:t>
      </w:r>
      <w:r w:rsidR="00793844" w:rsidRPr="00F54DA5">
        <w:lastRenderedPageBreak/>
        <w:t xml:space="preserve">lease over time compared to GG control. </w:t>
      </w:r>
      <w:r w:rsidR="00A864BA" w:rsidRPr="00F54DA5">
        <w:t xml:space="preserve">This property was harnessed in combination with 3D deposition technology, to load and produce scaffolds for </w:t>
      </w:r>
      <w:r w:rsidR="00D46062">
        <w:t>angiogenesis</w:t>
      </w:r>
      <w:r w:rsidR="00A864BA" w:rsidRPr="00F54DA5">
        <w:t xml:space="preserve">. Following a previous study </w:t>
      </w:r>
      <w:r w:rsidR="00A864BA" w:rsidRPr="00F54DA5">
        <w:fldChar w:fldCharType="begin" w:fldLock="1"/>
      </w:r>
      <w:r w:rsidR="00940D86">
        <w:instrText>ADDIN CSL_CITATION {"citationItems":[{"id":"ITEM-1","itemData":{"DOI":"10.1002/jps.2600821106","ISSN":"15206017","PMID":"8289120","abstract":"To study the diffusion of acetaminophen, ibuprofen, indomethacin, theophylline, and chlorpheniramine maleate in thermoreversible gels, a versatile and accurate membraneless method of mapping transport phenomena in hydrogels of constant volume was used to measure the diffusion. The diffusion coefficients of acetaminophen, ibuprofen, and indomethacin at various temperatures in 1% agarose gels were found to be essentially the same as in water, and the apparent diffusion activation energies were close to that for self diffusion of water. The diffusivity of chlorpheniramine was also studied in 4% agarose gels or with part of the agarose substituted with chitosan and sodium alginate. These 2 oppositely charged polymers, mixed together, were found to occupy an equivalent polymer volume that was 3 times larger than the same amount of each of the constituents. When chitosan and gelatin-B were mixed into the agarose gel, non-Fickian transport resulted. Such non-Fickian transport was also observed with theophylline diffusing in a mixture of agarose, chitosan, and sodium alginate at a low pH.","author":[{"dropping-particle":"","family":"Upadrashta","given":"Sathyanarayana M.","non-dropping-particle":"","parse-names":false,"suffix":""},{"dropping-particle":"","family":"Häglund","given":"Bert O.","non-dropping-particle":"","parse-names":false,"suffix":""},{"dropping-particle":"","family":"Sundelöf","given":"Lars</w:instrText>
      </w:r>
      <w:r w:rsidR="00940D86">
        <w:rPr>
          <w:rFonts w:ascii="Cambria Math" w:hAnsi="Cambria Math" w:cs="Cambria Math"/>
        </w:rPr>
        <w:instrText>‐</w:instrText>
      </w:r>
      <w:r w:rsidR="00940D86">
        <w:instrText xml:space="preserve">Olof </w:instrText>
      </w:r>
      <w:r w:rsidR="00940D86">
        <w:rPr>
          <w:rFonts w:ascii="Cambria Math" w:hAnsi="Cambria Math" w:cs="Cambria Math"/>
        </w:rPr>
        <w:instrText>‐</w:instrText>
      </w:r>
      <w:r w:rsidR="00940D86">
        <w:instrText>O","non-dropping-particle":"","parse-names":false,"suffix":""}],"container-title":"Journal of Pharmaceutical Sciences","id":"ITEM-1","issue":"11","issued":{"date-parts":[["1993"]]},"page":"1094-1098","title":"Diffusion and concentration profiles of drugs in gels","type":"article-journal","volume":"82"},"uris":["http://www.mendeley.com/documents/?uuid=0e92e764-66c8-4a66-a964-d89e5b7839b1"]}],"mendeley":{"formattedCitation":"[45]","plainTextFormattedCitation":"[45]","previouslyFormattedCitation":"[45]"},"properties":{"noteIndex":0},"schema":"https://github.com/citation-style-language/schema/raw/master/csl-citation.json"}</w:instrText>
      </w:r>
      <w:r w:rsidR="00A864BA" w:rsidRPr="00F54DA5">
        <w:fldChar w:fldCharType="separate"/>
      </w:r>
      <w:r w:rsidR="00940D86" w:rsidRPr="00940D86">
        <w:rPr>
          <w:noProof/>
        </w:rPr>
        <w:t>[45]</w:t>
      </w:r>
      <w:r w:rsidR="00A864BA" w:rsidRPr="00F54DA5">
        <w:fldChar w:fldCharType="end"/>
      </w:r>
      <w:r w:rsidR="00A864BA" w:rsidRPr="00F54DA5">
        <w:t xml:space="preserve"> where compounds of interest (ibuprofen, acetaminophen, indomethacin) were studied to diffuse through agarose with similar diffusion coefficient as in water, dyes in agarose fluid gel were found to penetrate LAP-GG with a greater depth than GG printed constructs confirming greater absorption capacity of </w:t>
      </w:r>
      <w:r w:rsidR="00D021E6">
        <w:t>nanoclay</w:t>
      </w:r>
      <w:r w:rsidR="00A864BA" w:rsidRPr="00F54DA5">
        <w:t xml:space="preserve"> bioink. The CAM assay </w:t>
      </w:r>
      <w:r w:rsidR="00A864BA" w:rsidRPr="00F54DA5">
        <w:fldChar w:fldCharType="begin" w:fldLock="1"/>
      </w:r>
      <w:r w:rsidR="00940D86">
        <w:instrText>ADDIN CSL_CITATION {"citationItems":[{"id":"ITEM-1","itemData":{"DOI":"10.1038/srep32168","ISSN":"2045-2322","author":[{"dropping-particle":"","family":"Moreno-Jiménez","given":"Inés","non-dropping-particle":"","parse-names":false,"suffix":""},{"dropping-particle":"","family":"Hulsart-Billstrom","given":"Gry","non-dropping-particle":"","parse-names":false,"suffix":""},{"dropping-particle":"","family":"Lanham","given":"Stuart A.","non-dropping-particle":"","parse-names":false,"suffix":""},{"dropping-particle":"","family":"Janeczek","given":"Agnieszka A.","non-dropping-particle":"","parse-names":false,"suffix":""},{"dropping-particle":"","family":"Kontouli","given":"Nasia","non-dropping-particle":"","parse-names":false,"suffix":""},{"dropping-particle":"","family":"Kanczler","given":"Janos M.","non-dropping-particle":"","parse-names":false,"suffix":""},{"dropping-particle":"","family":"Evans","given":"Nicholas D.","non-dropping-particle":"","parse-names":false,"suffix":""},{"dropping-particle":"","family":"Oreffo","given":"Richard OC","non-dropping-particle":"","parse-names":false,"suffix":""}],"container-title":"Scientific Reports","id":"ITEM-1","issue":"April","issued":{"date-parts":[["2016"]]},"note":"Moreno-Jimenez et al. write about techiniques applied to biomaterial screening science where chick embryo chorioallantoic membrane (CAM) is used to vascularize bone cylinders.\n\nPoor vascularisation is frequently a contributing factor in impaired healing6 and thus a central challenge in bone tissue engineering is the design and development of biomaterials which can promote vascularization and aid bone repair. Biomaterial preclinical testing involves an initial evaluation of the cytotoxicity, function and proliferative\neffects of the biomaterial on cells, followed by further studies using animal models8. In vitro systems are oſten limited as predictors of clinical function as such models cannot fully reproduce the complexity of biological systems (blood supply, immune function, inflammatory and hormonal response), nor the complex interactions of different cell types.\n\nSuch limitations, combined with a need to meet the ethical obligations to reduce, refine and replace (3Rs) animal usage in animal research (12).\n\nOne potential approach to refinement animal experimentation is the use of the chorioallantoic membrane (CAM) assay, which involves the implantation of a material or compound on the extraembryonic membrane of the developing chick egg. Critically the CAM is not innervated and thus no pain is experienced by the chick. The chick embryo develops over 21 days and from day 4 the CAM forms, growing exponentially until day 14.\nThe CAM assay has been used in tissue engineering for over 40 years as a non-innervated vascular bed.\n\nIn the present study, we have tested the hypothesis that the CAM model can support the incubation of living human bone and provide a bioreactor for the study and understanding of bone regeneration in vivo. \n\nResults\nBone cylinders were incubated on the CAM or at the air-liquid interface of growth medium (in vitro; Fig. 2A) for 7 days. The chick embryo survival rate was 72.5% ± 20.61 SD at the end of the implantation period. Human and avian erythrocytes displayed different histological features. The CAM capillaries were apparent at the periphery of the bone cylinder, throughout the trabeculae and in close proximity to the central defect region of the human tissue.\n\nTo determine whether human cells remained viable following CAM implantation or in vitro culture, primary cultures of human cells were derived from bone cylinders incubated for 7 days on the CAM, in vitro or maintained at 4 °C (negative control). To achieve this, chick embryos that constitutively expressed green fluorescent protein (GFP) were used in order to distinguish between host (GFP-CAM) and human cell outgrowths. Both GFP+ and GFP− cells were evident in the CAM-implanted group, indicating differences in the origin of the cells: avian and human. Flow cytometry analysis indicated the presence of a mixture of GFP+ cells and GFP− cells in the CAM-implanted samples aſter 20 days in culture, with 29.75% GFP+ and 69.35% HLA+. CAM infiltration was evident in the marrow space of the bone, as evidenced by the deposition of ECM (Fig. 4A) and the presence of avian blood vessels (arrows Fig. 4B). Alcian Blue and Sirius Red staining (Fig. 4A) showed deposition of matrix rich in proteoglycans, within which trabecular bone was encapsulated. In vitro cultured bone cylinders did not show any evidence of ECM deposition or GFP staining. In addition to the close association of human and CAM tissue, cell condensations were found within CAM\ntissue in close proximity to the human tissue.\n\nBone cylinders were scanned pre and post incubation under identical scanning conditions. As an internal standard control, bone cylinders were kept at 4 °C and scanned at the same time points as the exper- imental groups. To determine the nature of the tissue driving the change in the bone volume measurements, the µ CT\ncross-sections were further analysed applying a multi-level segmentation technique (see methods for more detail) instead of a standard binarisation (i.e. global thresholding) (Fig. 6). Multi-level Otsu thresholding allowed the differentiation between low (light grey) and high-density tissue (dark grey) and background. In contrast to the effect shown in the CAM group, the in vitro treated bone cylinders dis- played a decrease in the low density tissue (− 3.02% ± 2.3 SD) and a negligible variation in high dense tissue (0.345% ± 1.9 SD). Thus, the soſtware was able to detect movement due to the location change of the trabecular bone spicule. The overlay soſtware displayed the structure in black colour (Fig. 7I), absent on the pre scan (Fig. 7G) and present in the post scan.\n\nDiscussion\nThe human tissue was observed to remain viable aſter 7 days cultivation on the CAM membrane, similar to human bone cultured in vitro. To our knowledge, this is the first report of the culture of viable human bone tissue on the CAM in combina-\ntion with a sophisticated µ CT analysis to examine tissue regeneration. In contrast, our study showed loose matrix deposition, rich in proteoglycan and collagenous content, strongly associated with the presence of the avian cells (GFP+ ). \n\nIn accordance with our findings, cell condensations (named by Hancox ‘ectodermal pearls’) were located in proximity to the bone tissue37. These findings are not surprising given the clinical gold standard biomaterial is bone autograſt38, which provides a unique osteogenic microenvironment as a consequence of the plethora of growth factors within the bone matrix (i.e. BMP, PDGF, FGF) as well as the presence of viable osteogenic cells38. Hence, it is likely that the implantation of such an osteoinductive material (i.e. living human bone cylinder) on the CAM can result in ectopic bone formation; indeed, it is well known that BMP proteins have significant structural similarity and function across species.\nThe present study evaluated bone from elderly patients with either osteoarthritis or osteoporosis, which is likely to grow significantly more slowly than embryonic bone and in all probability display an altered metabolic (catabolic) profile.\n. It is important to note that the fetal chick skeleton becomes mineralised in the time period of 10 days45,42, thus, it is unsurprising that in our studies we observe mineralisation during the 7 day period of exper- imental measurement. The current study has a number of limitations including an inability to monitor bone cylinder vascularisation\nthroughout the incubation process. One solution would be to introduce an ex ovo (shell-less) approach, although this method implies a viability drop down to 20–30% by the end of the gestational process23.","page":"32168","publisher":"Nature Publishing Group","title":"The chorioallantoic membrane (CAM) assay for the study of human bone regeneration: a refinement animal model for tissue engineering","type":"article-journal","volume":"6"},"uris":["http://www.mendeley.com/documents/?uuid=ecec855f-22e9-4220-a2c6-284d0f1657cb"]}],"mendeley":{"formattedCitation":"[46]","plainTextFormattedCitation":"[46]","previouslyFormattedCitation":"[46]"},"properties":{"noteIndex":0},"schema":"https://github.com/citation-style-language/schema/raw/master/csl-citation.json"}</w:instrText>
      </w:r>
      <w:r w:rsidR="00A864BA" w:rsidRPr="00F54DA5">
        <w:fldChar w:fldCharType="separate"/>
      </w:r>
      <w:r w:rsidR="00940D86" w:rsidRPr="00940D86">
        <w:rPr>
          <w:noProof/>
        </w:rPr>
        <w:t>[46]</w:t>
      </w:r>
      <w:r w:rsidR="00A864BA" w:rsidRPr="00F54DA5">
        <w:fldChar w:fldCharType="end"/>
      </w:r>
      <w:r w:rsidR="00A864BA" w:rsidRPr="00F54DA5">
        <w:t xml:space="preserve"> was used to investigate integration of the 3D printed scaffolds with the vascularised membrane of the developing chick. Cylindrical bulk scaffolds were printed, and loaded while printing, with VEGF solution in the agarose fluid gel. A fluid gel bed was used for the first time as a functional loading platform, working as a support and drug reservoir during printing. </w:t>
      </w:r>
      <w:r w:rsidR="009C0C5C">
        <w:t xml:space="preserve">This </w:t>
      </w:r>
      <w:r w:rsidR="006A38EE">
        <w:t>offers</w:t>
      </w:r>
      <w:r w:rsidR="00516A6B">
        <w:t xml:space="preserve"> </w:t>
      </w:r>
      <w:r w:rsidR="009C0C5C">
        <w:t xml:space="preserve">the practical advantage of printing and loading simultaneously, providing a single-step fabrication platform for clinical skeletal application. </w:t>
      </w:r>
      <w:r w:rsidR="00A864BA" w:rsidRPr="00F54DA5">
        <w:t xml:space="preserve">As previously demonstrated </w:t>
      </w:r>
      <w:r w:rsidR="00A864BA" w:rsidRPr="00F54DA5">
        <w:fldChar w:fldCharType="begin" w:fldLock="1"/>
      </w:r>
      <w:r w:rsidR="00940D86">
        <w:instrText>ADDIN CSL_CITATION {"citationItems":[{"id":"ITEM-1","itemData":{"DOI":"10.1002/jps.2600821106","ISSN":"15206017","PMID":"8289120","abstract":"To study the diffusion of acetaminophen, ibuprofen, indomethacin, theophylline, and chlorpheniramine maleate in thermoreversible gels, a versatile and accurate membraneless method of mapping transport phenomena in hydrogels of constant volume was used to measure the diffusion. The diffusion coefficients of acetaminophen, ibuprofen, and indomethacin at various temperatures in 1% agarose gels were found to be essentially the same as in water, and the apparent diffusion activation energies were close to that for self diffusion of water. The diffusivity of chlorpheniramine was also studied in 4% agarose gels or with part of the agarose substituted with chitosan and sodium alginate. These 2 oppositely charged polymers, mixed together, were found to occupy an equivalent polymer volume that was 3 times larger than the same amount of each of the constituents. When chitosan and gelatin-B were mixed into the agarose gel, non-Fickian transport resulted. Such non-Fickian transport was also observed with theophylline diffusing in a mixture of agarose, chitosan, and sodium alginate at a low pH.","author":[{"dropping-particle":"","family":"Upadrashta","given":"Sathyanarayana M.","non-dropping-particle":"","parse-names":false,"suffix":""},{"dropping-particle":"","family":"Häglund","given":"Bert O.","non-dropping-particle":"","parse-names":false,"suffix":""},{"dropping-particle":"","family":"Sundelöf","given":"Lars</w:instrText>
      </w:r>
      <w:r w:rsidR="00940D86">
        <w:rPr>
          <w:rFonts w:ascii="Cambria Math" w:hAnsi="Cambria Math" w:cs="Cambria Math"/>
        </w:rPr>
        <w:instrText>‐</w:instrText>
      </w:r>
      <w:r w:rsidR="00940D86">
        <w:instrText xml:space="preserve">Olof </w:instrText>
      </w:r>
      <w:r w:rsidR="00940D86">
        <w:rPr>
          <w:rFonts w:ascii="Cambria Math" w:hAnsi="Cambria Math" w:cs="Cambria Math"/>
        </w:rPr>
        <w:instrText>‐</w:instrText>
      </w:r>
      <w:r w:rsidR="00940D86">
        <w:instrText>O","non-dropping-particle":"","parse-names":false,"suffix":""}],"container-title":"Journal of Pharmaceutical Sciences","id":"ITEM-1","issue":"11","issued":{"date-parts":[["1993"]]},"page":"1094-1098","title":"Diffusion and concentration profiles of drugs in gels","type":"article-journal","volume":"82"},"uris":["http://www.mendeley.com/documents/?uuid=0e92e764-66c8-4a66-a964-d89e5b7839b1"]}],"mendeley":{"formattedCitation":"[45]","plainTextFormattedCitation":"[45]","previouslyFormattedCitation":"[45]"},"properties":{"noteIndex":0},"schema":"https://github.com/citation-style-language/schema/raw/master/csl-citation.json"}</w:instrText>
      </w:r>
      <w:r w:rsidR="00A864BA" w:rsidRPr="00F54DA5">
        <w:fldChar w:fldCharType="separate"/>
      </w:r>
      <w:r w:rsidR="00940D86" w:rsidRPr="00940D86">
        <w:rPr>
          <w:noProof/>
        </w:rPr>
        <w:t>[45]</w:t>
      </w:r>
      <w:r w:rsidR="00A864BA" w:rsidRPr="00F54DA5">
        <w:fldChar w:fldCharType="end"/>
      </w:r>
      <w:r w:rsidR="00A864BA" w:rsidRPr="00F54DA5">
        <w:t>, drugs</w:t>
      </w:r>
      <w:r w:rsidR="008B20C9">
        <w:t xml:space="preserve"> results to diffuse similarly when suspended or solubilised in agarose and in</w:t>
      </w:r>
      <w:r w:rsidR="00A864BA" w:rsidRPr="00F54DA5">
        <w:t xml:space="preserve"> </w:t>
      </w:r>
      <w:r w:rsidR="007B0573" w:rsidRPr="00F54DA5">
        <w:t>aqueous</w:t>
      </w:r>
      <w:r w:rsidR="00A864BA" w:rsidRPr="00F54DA5">
        <w:t xml:space="preserve"> environment. Therefore, LAP-GG printing in </w:t>
      </w:r>
      <w:r w:rsidR="00C151FA">
        <w:t xml:space="preserve">drug-loaded </w:t>
      </w:r>
      <w:r w:rsidR="00A864BA" w:rsidRPr="00F54DA5">
        <w:t>agarose</w:t>
      </w:r>
      <w:r w:rsidR="00C151FA">
        <w:t xml:space="preserve"> bath</w:t>
      </w:r>
      <w:r w:rsidR="00A864BA" w:rsidRPr="00F54DA5">
        <w:t xml:space="preserve"> results particularly attractive as a single-step clinically relevant implant production by printing living cells while loading drugs simultaneously. </w:t>
      </w:r>
    </w:p>
    <w:p w14:paraId="28A826FB" w14:textId="7D4FC534" w:rsidR="00A864BA" w:rsidRDefault="00A864BA" w:rsidP="00D9695A">
      <w:pPr>
        <w:tabs>
          <w:tab w:val="left" w:pos="567"/>
        </w:tabs>
        <w:spacing w:line="360" w:lineRule="auto"/>
        <w:jc w:val="both"/>
      </w:pPr>
      <w:r w:rsidRPr="00F54DA5">
        <w:t xml:space="preserve">The CAM assay </w:t>
      </w:r>
      <w:r w:rsidR="00553B84">
        <w:t xml:space="preserve">demonstrated the efficacy of </w:t>
      </w:r>
      <w:r w:rsidRPr="00F54DA5">
        <w:t>VEGF-loaded LAP-GG constructs compared to controls</w:t>
      </w:r>
      <w:r w:rsidR="00553B84">
        <w:t xml:space="preserve"> with enhanced angiogenesis</w:t>
      </w:r>
      <w:r w:rsidRPr="00F54DA5">
        <w:t>. Absorption and localisation of VEGF mediated by L</w:t>
      </w:r>
      <w:r w:rsidR="00553B84">
        <w:t>AP</w:t>
      </w:r>
      <w:r w:rsidRPr="00F54DA5">
        <w:t xml:space="preserve"> has been previously reported </w:t>
      </w:r>
      <w:r w:rsidRPr="00F54DA5">
        <w:fldChar w:fldCharType="begin" w:fldLock="1"/>
      </w:r>
      <w:r w:rsidR="00793844">
        <w:instrText>ADDIN CSL_CITATION {"citationItems":[{"id":"ITEM-1","itemData":{"DOI":"10.1002/adma.201100968","ISBN":"0935-9648","ISSN":"09359648","PMID":"21793049","abstract":"The sorptive properties of clay are harnessed to provide niches for tissue regeneration. Synthetic smectite clays self-organize into gels under physiological conditions to allow encapsulation of cells and demonstrate remarkable capacity for the localization of biological molecules without the need for complex chemical modifications.","author":[{"dropping-particle":"","family":"Dawson","given":"Jonathan I.","non-dropping-particle":"","parse-names":false,"suffix":""},{"dropping-particle":"","family":"Kanczler","given":"Janos M.","non-dropping-particle":"","parse-names":false,"suffix":""},{"dropping-particle":"","family":"Yang","given":"Xuebin B.","non-dropping-particle":"","parse-names":false,"suffix":""},{"dropping-particle":"","family":"Attard","given":"George S.","non-dropping-particle":"","parse-names":false,"suffix":""},{"dropping-particle":"","family":"Oreffo","given":"Richard O.C.","non-dropping-particle":"","parse-names":false,"suffix":""}],"container-title":"Advanced Materials","id":"ITEM-1","issue":"29","issued":{"date-parts":[["2011","8","2"]]},"page":"3304-3308","title":"Clay Gels For the Delivery of Regenerative Microenvironments","type":"article-journal","volume":"23"},"uris":["http://www.mendeley.com/documents/?uuid=03dbcf61-d450-4032-b1b0-80d131c101db"]}],"mendeley":{"formattedCitation":"[11]","plainTextFormattedCitation":"[11]","previouslyFormattedCitation":"[11]"},"properties":{"noteIndex":0},"schema":"https://github.com/citation-style-language/schema/raw/master/csl-citation.json"}</w:instrText>
      </w:r>
      <w:r w:rsidRPr="00F54DA5">
        <w:fldChar w:fldCharType="separate"/>
      </w:r>
      <w:r w:rsidR="00793844" w:rsidRPr="00793844">
        <w:rPr>
          <w:noProof/>
        </w:rPr>
        <w:t>[11]</w:t>
      </w:r>
      <w:r w:rsidRPr="00F54DA5">
        <w:fldChar w:fldCharType="end"/>
      </w:r>
      <w:r w:rsidRPr="00F54DA5">
        <w:t xml:space="preserve"> confirming the ability of L</w:t>
      </w:r>
      <w:r w:rsidR="00542538">
        <w:t>AP</w:t>
      </w:r>
      <w:r w:rsidRPr="00F54DA5">
        <w:t xml:space="preserve"> gels to stimulate and guide angiogenesis both </w:t>
      </w:r>
      <w:r w:rsidRPr="00F54DA5">
        <w:rPr>
          <w:i/>
        </w:rPr>
        <w:t xml:space="preserve">in vitro </w:t>
      </w:r>
      <w:r w:rsidRPr="00F54DA5">
        <w:t xml:space="preserve">and </w:t>
      </w:r>
      <w:r w:rsidRPr="00F54DA5">
        <w:rPr>
          <w:i/>
        </w:rPr>
        <w:t>in vivo</w:t>
      </w:r>
      <w:r w:rsidRPr="00F54DA5">
        <w:t xml:space="preserve"> after a brief exposure to VEGF solution. Release of VEGF has been investigated exclusively from GG-alginate bioinks </w:t>
      </w:r>
      <w:r w:rsidRPr="00F54DA5">
        <w:fldChar w:fldCharType="begin" w:fldLock="1"/>
      </w:r>
      <w:r w:rsidR="00940D86">
        <w:instrText>ADDIN CSL_CITATION {"citationItems":[{"id":"ITEM-1","itemData":{"DOI":"10.1088/1758-5090/8/4/045001","ISSN":"1758-5090","abstract":"Three-dimensional extrusion of two different biomaterials in a core/shell (c/s) fashion has gained much interest in the last couple of years as it allows for fabricating constructs with novel and interesting properties. We now demonstrate that combining high concentrated (16.7 wt%) alginate hydrogels as shell material with low concentrated, soft biopolymer hydrogels as core leads to mechanically stable and robust 3D scaffolds. Alginate, chitosan, gellan gum, gelatin and collagen hydrogels were utilized successfully as core materials—hydrogels which are too soft for 3D plotting of open-porous structures without an additional mechanical support. The respective c/s scaffolds were characterized concerning their morphology, mechanical properties and swelling behavior. It could be shown that core as well as shell part can be loaded with growth factors and that the release depends on core composition and shell thickness. Neither the plotting process nor the crosslinking with 1M CaCl2 denatured the proteins. When core and shell were loaded with different growth factors (VEGF and BMP-2, respectively) a dual release was achieved. Finally, live human endothelial cells were integrated in the core material, demonstrating that this new strategy can be used for bioprinting purposes as well.","author":[{"dropping-particle":"","family":"Akkineni","given":"Ashwini Rahul","non-dropping-particle":"","parse-names":false,"suffix":""},{"dropping-particle":"","family":"Ahlfeld","given":"Tilman","non-dropping-particle":"","parse-names":false,"suffix":""},{"dropping-particle":"","family":"Lode","given":"Anja","non-dropping-particle":"","parse-names":false,"suffix":""},{"dropping-particle":"","family":"Gelinsky","given":"Michael","non-dropping-particle":"","parse-names":false,"suffix":""}],"container-title":"Biofabrication","id":"ITEM-1","issue":"4","issued":{"date-parts":[["2016"]]},"page":"045001","publisher":"IOP Publishing","title":"A versatile method for combining different biopolymers in a core/shell fashion by 3D plotting to achieve mechanically robust constructs","type":"article-journal","volume":"8"},"uris":["http://www.mendeley.com/documents/?uuid=c17e4e71-c0a0-4072-962a-e7aa61f74934"]}],"mendeley":{"formattedCitation":"[39]","plainTextFormattedCitation":"[39]","previouslyFormattedCitation":"[39]"},"properties":{"noteIndex":0},"schema":"https://github.com/citation-style-language/schema/raw/master/csl-citation.json"}</w:instrText>
      </w:r>
      <w:r w:rsidRPr="00F54DA5">
        <w:fldChar w:fldCharType="separate"/>
      </w:r>
      <w:r w:rsidR="00940D86" w:rsidRPr="00940D86">
        <w:rPr>
          <w:noProof/>
        </w:rPr>
        <w:t>[39]</w:t>
      </w:r>
      <w:r w:rsidRPr="00F54DA5">
        <w:fldChar w:fldCharType="end"/>
      </w:r>
      <w:r w:rsidRPr="00F54DA5">
        <w:t xml:space="preserve"> and resulted in similar kinetics as BSA release from silicate-free GG </w:t>
      </w:r>
      <w:r w:rsidRPr="00F54DA5">
        <w:rPr>
          <w:i/>
        </w:rPr>
        <w:t>in vitro</w:t>
      </w:r>
      <w:r w:rsidRPr="00F54DA5">
        <w:t xml:space="preserve">. </w:t>
      </w:r>
      <w:r w:rsidRPr="00F54DA5">
        <w:rPr>
          <w:i/>
          <w:iCs/>
        </w:rPr>
        <w:t>Ex vivo</w:t>
      </w:r>
      <w:r w:rsidRPr="00F54DA5">
        <w:t xml:space="preserve"> results showed a greater effect of LAP-GG+VEGF suggesting greater ability to localise VEGF and providing a chemotactic platform beneficial for vascular infiltration. </w:t>
      </w:r>
      <w:r w:rsidR="00B363DE" w:rsidRPr="00F54DA5">
        <w:t xml:space="preserve">Further studies </w:t>
      </w:r>
      <w:r w:rsidR="00BB630F">
        <w:t xml:space="preserve">will seek to </w:t>
      </w:r>
      <w:r w:rsidR="00B363DE" w:rsidRPr="00F54DA5">
        <w:t xml:space="preserve"> investigate the ability of clay-based bioink</w:t>
      </w:r>
      <w:r w:rsidR="00BB630F">
        <w:t>s</w:t>
      </w:r>
      <w:r w:rsidR="00B363DE" w:rsidRPr="00F54DA5">
        <w:t xml:space="preserve"> to produce implantable scaffolds </w:t>
      </w:r>
      <w:r w:rsidR="00BB630F">
        <w:t xml:space="preserve">that can be </w:t>
      </w:r>
      <w:r w:rsidR="00B363DE" w:rsidRPr="00F54DA5">
        <w:t>functionalised during printing</w:t>
      </w:r>
      <w:r w:rsidR="00BB630F">
        <w:t>,</w:t>
      </w:r>
      <w:r w:rsidR="00B363DE" w:rsidRPr="00F54DA5">
        <w:t xml:space="preserve"> providing a one-step procedure for the fabrication of clinically relevant constructs. </w:t>
      </w:r>
    </w:p>
    <w:p w14:paraId="784D5CB0" w14:textId="77777777" w:rsidR="00E273E5" w:rsidRDefault="00E273E5" w:rsidP="00D9695A">
      <w:pPr>
        <w:tabs>
          <w:tab w:val="left" w:pos="567"/>
        </w:tabs>
        <w:spacing w:line="360" w:lineRule="auto"/>
        <w:jc w:val="both"/>
      </w:pPr>
    </w:p>
    <w:p w14:paraId="73356FA5" w14:textId="791D5B69" w:rsidR="00A864BA" w:rsidRPr="00F54DA5" w:rsidRDefault="00A864BA" w:rsidP="00CC404C">
      <w:pPr>
        <w:pStyle w:val="Heading2"/>
        <w:numPr>
          <w:ilvl w:val="0"/>
          <w:numId w:val="40"/>
        </w:numPr>
        <w:tabs>
          <w:tab w:val="left" w:pos="567"/>
        </w:tabs>
        <w:spacing w:before="360" w:after="240"/>
        <w:ind w:left="426" w:hanging="426"/>
        <w:jc w:val="both"/>
      </w:pPr>
      <w:bookmarkStart w:id="37" w:name="_Toc529724941"/>
      <w:bookmarkStart w:id="38" w:name="_Toc529724942"/>
      <w:bookmarkStart w:id="39" w:name="_Toc529724943"/>
      <w:bookmarkStart w:id="40" w:name="_Toc529724944"/>
      <w:bookmarkEnd w:id="37"/>
      <w:bookmarkEnd w:id="38"/>
      <w:bookmarkEnd w:id="39"/>
      <w:r w:rsidRPr="00F54DA5">
        <w:lastRenderedPageBreak/>
        <w:t>Conclusions</w:t>
      </w:r>
      <w:bookmarkEnd w:id="40"/>
    </w:p>
    <w:p w14:paraId="49DFBB0C" w14:textId="745D1A66" w:rsidR="00A864BA" w:rsidRPr="00F54DA5" w:rsidRDefault="00A864BA" w:rsidP="004A23E5">
      <w:pPr>
        <w:tabs>
          <w:tab w:val="left" w:pos="567"/>
        </w:tabs>
        <w:spacing w:after="0" w:line="360" w:lineRule="auto"/>
        <w:jc w:val="both"/>
      </w:pPr>
      <w:r w:rsidRPr="00F54DA5">
        <w:tab/>
        <w:t xml:space="preserve">Free-form printing </w:t>
      </w:r>
      <w:r w:rsidR="00542538">
        <w:t xml:space="preserve">offers a </w:t>
      </w:r>
      <w:r w:rsidRPr="00F54DA5">
        <w:t>promising biofabrication technology.</w:t>
      </w:r>
      <w:r w:rsidR="00542538">
        <w:t xml:space="preserve"> The current </w:t>
      </w:r>
      <w:r w:rsidR="00566676">
        <w:t>study</w:t>
      </w:r>
      <w:r w:rsidR="00542538">
        <w:t xml:space="preserve"> </w:t>
      </w:r>
      <w:r w:rsidR="00AD210F">
        <w:t xml:space="preserve">demonstrates </w:t>
      </w:r>
      <w:r w:rsidR="00D46062">
        <w:t xml:space="preserve">that </w:t>
      </w:r>
      <w:r w:rsidRPr="00F54DA5">
        <w:t>LAP-GG nanocomposite bioink offer</w:t>
      </w:r>
      <w:r w:rsidR="00566676">
        <w:t>s</w:t>
      </w:r>
      <w:r w:rsidRPr="00F54DA5">
        <w:t xml:space="preserve"> significant potential in printing fidelity, with tailorable swelling characteristics and enhanced shape retention compared to silicate-free GG.</w:t>
      </w:r>
      <w:r w:rsidR="00542538">
        <w:t xml:space="preserve"> </w:t>
      </w:r>
      <w:r w:rsidR="004B7D4B">
        <w:t>LAP</w:t>
      </w:r>
      <w:r w:rsidRPr="00F54DA5">
        <w:t xml:space="preserve"> inclusion increased cell-laden bioink functionality, </w:t>
      </w:r>
      <w:r w:rsidR="00D46062">
        <w:t xml:space="preserve">as </w:t>
      </w:r>
      <w:r w:rsidRPr="00F54DA5">
        <w:t xml:space="preserve">evidenced by elevated ALP expression after 1 day of culture. Absorption/release properties of the LAP-GG blend were dependent on </w:t>
      </w:r>
      <w:r w:rsidR="00D021E6">
        <w:t>clay</w:t>
      </w:r>
      <w:r w:rsidRPr="00F54DA5">
        <w:t xml:space="preserve"> incorporation in the GG matrix</w:t>
      </w:r>
      <w:r w:rsidR="00D46062">
        <w:t>.</w:t>
      </w:r>
      <w:r w:rsidR="00C05D85">
        <w:t xml:space="preserve"> </w:t>
      </w:r>
      <w:r w:rsidR="00542538">
        <w:t xml:space="preserve">Functionality of cell and VEGF </w:t>
      </w:r>
      <w:r w:rsidR="00566676">
        <w:t>absorbed</w:t>
      </w:r>
      <w:r w:rsidR="00542538">
        <w:t xml:space="preserve"> scaffolds, determined using the </w:t>
      </w:r>
      <w:r w:rsidRPr="00F54DA5">
        <w:t>CAM assay</w:t>
      </w:r>
      <w:r w:rsidR="00542538">
        <w:t>,</w:t>
      </w:r>
      <w:r w:rsidRPr="00F54DA5">
        <w:t xml:space="preserve"> </w:t>
      </w:r>
      <w:r w:rsidR="00542538">
        <w:t xml:space="preserve">demonstrated </w:t>
      </w:r>
      <w:r w:rsidRPr="00F54DA5">
        <w:t>integrat</w:t>
      </w:r>
      <w:r w:rsidR="00542538">
        <w:t>ion with t</w:t>
      </w:r>
      <w:r w:rsidRPr="00F54DA5">
        <w:t xml:space="preserve">he </w:t>
      </w:r>
      <w:r w:rsidR="00542538">
        <w:t>CAM</w:t>
      </w:r>
      <w:r w:rsidRPr="00F54DA5">
        <w:t xml:space="preserve"> </w:t>
      </w:r>
      <w:r w:rsidR="00C05D85">
        <w:t>and</w:t>
      </w:r>
      <w:r w:rsidR="00C05D85" w:rsidRPr="00F54DA5">
        <w:t xml:space="preserve"> </w:t>
      </w:r>
      <w:r w:rsidR="00542538">
        <w:t>s</w:t>
      </w:r>
      <w:r w:rsidRPr="00F54DA5">
        <w:t>ignificantly</w:t>
      </w:r>
      <w:r w:rsidR="00C05D85">
        <w:t xml:space="preserve"> </w:t>
      </w:r>
      <w:r w:rsidR="00542538">
        <w:t>enhanced angiogenesis</w:t>
      </w:r>
      <w:r w:rsidRPr="00F54DA5">
        <w:t>.</w:t>
      </w:r>
      <w:r w:rsidR="00542538">
        <w:t xml:space="preserve"> In summary, we have demonstrated </w:t>
      </w:r>
      <w:r w:rsidR="004A23E5" w:rsidRPr="00F54DA5">
        <w:t xml:space="preserve">the unique potential of </w:t>
      </w:r>
      <w:r w:rsidR="00542538">
        <w:t xml:space="preserve">a </w:t>
      </w:r>
      <w:r w:rsidR="00B363DE" w:rsidRPr="00F54DA5">
        <w:t>novel LAP-GG bioink printed in agarose fluid gel</w:t>
      </w:r>
      <w:r w:rsidR="00BB630F">
        <w:t>,</w:t>
      </w:r>
      <w:r w:rsidR="00B363DE" w:rsidRPr="00F54DA5">
        <w:t xml:space="preserve"> </w:t>
      </w:r>
      <w:r w:rsidR="004A23E5" w:rsidRPr="00F54DA5">
        <w:t xml:space="preserve">to produce a versatile system able to produce </w:t>
      </w:r>
      <w:r w:rsidR="007F14ED" w:rsidRPr="00F54DA5">
        <w:t>large-scale</w:t>
      </w:r>
      <w:r w:rsidR="004A23E5" w:rsidRPr="00F54DA5">
        <w:t xml:space="preserve"> </w:t>
      </w:r>
      <w:r w:rsidR="00542538">
        <w:t xml:space="preserve">functional </w:t>
      </w:r>
      <w:r w:rsidR="00BB630F">
        <w:t>constructs offering</w:t>
      </w:r>
      <w:r w:rsidR="004A23E5" w:rsidRPr="00F54DA5">
        <w:t xml:space="preserve"> promising application</w:t>
      </w:r>
      <w:r w:rsidR="00BB630F">
        <w:t>s</w:t>
      </w:r>
      <w:r w:rsidR="004A23E5" w:rsidRPr="00F54DA5">
        <w:t xml:space="preserve"> for </w:t>
      </w:r>
      <w:r w:rsidR="00542538">
        <w:t>tissue skeletal repa</w:t>
      </w:r>
      <w:r w:rsidR="004A23E5" w:rsidRPr="00F54DA5">
        <w:t xml:space="preserve">ration.  </w:t>
      </w:r>
    </w:p>
    <w:p w14:paraId="5EFA47E4" w14:textId="77777777" w:rsidR="00B363DE" w:rsidRPr="00F54DA5" w:rsidRDefault="00B363DE" w:rsidP="00D9695A">
      <w:pPr>
        <w:tabs>
          <w:tab w:val="left" w:pos="567"/>
        </w:tabs>
        <w:spacing w:line="360" w:lineRule="auto"/>
        <w:jc w:val="both"/>
      </w:pPr>
    </w:p>
    <w:p w14:paraId="771D2A81" w14:textId="77777777" w:rsidR="003C55EC" w:rsidRPr="003C55EC" w:rsidRDefault="003C55EC" w:rsidP="003C55EC">
      <w:pPr>
        <w:pStyle w:val="Heading2"/>
        <w:numPr>
          <w:ilvl w:val="0"/>
          <w:numId w:val="0"/>
        </w:numPr>
        <w:tabs>
          <w:tab w:val="left" w:pos="567"/>
        </w:tabs>
        <w:spacing w:before="360" w:after="240"/>
        <w:jc w:val="both"/>
      </w:pPr>
      <w:r w:rsidRPr="003C55EC">
        <w:t>Acknowledgements</w:t>
      </w:r>
    </w:p>
    <w:p w14:paraId="34F49A83" w14:textId="2BB30D01" w:rsidR="003C55EC" w:rsidRPr="003C55EC" w:rsidRDefault="003C55EC" w:rsidP="003C55EC">
      <w:pPr>
        <w:tabs>
          <w:tab w:val="left" w:pos="567"/>
        </w:tabs>
        <w:spacing w:after="0" w:line="360" w:lineRule="auto"/>
        <w:jc w:val="both"/>
      </w:pPr>
      <w:r w:rsidRPr="003C55EC">
        <w:t xml:space="preserve">The authors would like to thank </w:t>
      </w:r>
      <w:r>
        <w:t>Dr Yang-</w:t>
      </w:r>
      <w:r w:rsidR="00AD210F">
        <w:t>H</w:t>
      </w:r>
      <w:r>
        <w:t xml:space="preserve">ee Kim </w:t>
      </w:r>
      <w:r w:rsidRPr="003C55EC">
        <w:t xml:space="preserve">of the University of Southampton Bone and Joint group for </w:t>
      </w:r>
      <w:r>
        <w:t>her</w:t>
      </w:r>
      <w:r w:rsidRPr="003C55EC">
        <w:t xml:space="preserve"> technical support. </w:t>
      </w:r>
      <w:r w:rsidR="00BB630F">
        <w:t xml:space="preserve">Support from the </w:t>
      </w:r>
      <w:r w:rsidRPr="003C55EC">
        <w:t>UK Regenerative Medicine Platform Hub Acellular</w:t>
      </w:r>
      <w:r w:rsidR="00542538">
        <w:t xml:space="preserve"> SMART materials 3D architecture</w:t>
      </w:r>
      <w:r w:rsidRPr="003C55EC">
        <w:t xml:space="preserve"> (MR</w:t>
      </w:r>
      <w:r w:rsidR="004204EE" w:rsidRPr="004204EE">
        <w:t>/R015651/1</w:t>
      </w:r>
      <w:r w:rsidRPr="003C55EC">
        <w:t xml:space="preserve">) and </w:t>
      </w:r>
      <w:r w:rsidR="00BB630F" w:rsidRPr="00542538">
        <w:t>a grant from the UK Regenerative Medicine Platform (MR/L012626/1 Southampton Imaging)</w:t>
      </w:r>
      <w:r w:rsidR="00BB630F">
        <w:t xml:space="preserve"> a</w:t>
      </w:r>
      <w:r w:rsidR="00B874E4">
        <w:t xml:space="preserve">s well as </w:t>
      </w:r>
      <w:r w:rsidR="00BB630F">
        <w:t xml:space="preserve">the </w:t>
      </w:r>
      <w:r w:rsidRPr="003C55EC">
        <w:t>University of Southampton is gratefully acknowledged</w:t>
      </w:r>
      <w:r w:rsidR="00B874E4">
        <w:t xml:space="preserve">. </w:t>
      </w:r>
      <w:r w:rsidR="00CB5CB6">
        <w:t xml:space="preserve">We thank Mrs Patricia Goggin for the elemental analysis. </w:t>
      </w:r>
      <w:r w:rsidR="00B874E4">
        <w:t>We acknowledge the</w:t>
      </w:r>
      <w:r w:rsidRPr="003C55EC">
        <w:t xml:space="preserve"> many useful discussions with past and current members of the Bone and Joint Research Group in Southampton</w:t>
      </w:r>
      <w:r w:rsidR="00BB630F">
        <w:t>.</w:t>
      </w:r>
    </w:p>
    <w:p w14:paraId="42EF0E1F" w14:textId="77777777" w:rsidR="00516A6B" w:rsidRDefault="00516A6B" w:rsidP="00D9695A">
      <w:pPr>
        <w:tabs>
          <w:tab w:val="left" w:pos="567"/>
        </w:tabs>
        <w:spacing w:line="360" w:lineRule="auto"/>
        <w:jc w:val="both"/>
      </w:pPr>
    </w:p>
    <w:p w14:paraId="67FD9D57" w14:textId="77777777" w:rsidR="00516A6B" w:rsidRDefault="00516A6B" w:rsidP="00D9695A">
      <w:pPr>
        <w:tabs>
          <w:tab w:val="left" w:pos="567"/>
        </w:tabs>
        <w:spacing w:line="360" w:lineRule="auto"/>
        <w:jc w:val="both"/>
      </w:pPr>
    </w:p>
    <w:p w14:paraId="078A09E5" w14:textId="77777777" w:rsidR="00516A6B" w:rsidRDefault="00516A6B" w:rsidP="00D9695A">
      <w:pPr>
        <w:tabs>
          <w:tab w:val="left" w:pos="567"/>
        </w:tabs>
        <w:spacing w:line="360" w:lineRule="auto"/>
        <w:jc w:val="both"/>
      </w:pPr>
    </w:p>
    <w:p w14:paraId="55AA5043" w14:textId="77777777" w:rsidR="00516A6B" w:rsidRDefault="00516A6B" w:rsidP="00D9695A">
      <w:pPr>
        <w:tabs>
          <w:tab w:val="left" w:pos="567"/>
        </w:tabs>
        <w:spacing w:line="360" w:lineRule="auto"/>
        <w:jc w:val="both"/>
      </w:pPr>
    </w:p>
    <w:p w14:paraId="01D5EB6B" w14:textId="77777777" w:rsidR="00516A6B" w:rsidRDefault="00516A6B" w:rsidP="00830D5E">
      <w:pPr>
        <w:pStyle w:val="Heading2"/>
        <w:numPr>
          <w:ilvl w:val="0"/>
          <w:numId w:val="0"/>
        </w:numPr>
        <w:tabs>
          <w:tab w:val="left" w:pos="567"/>
        </w:tabs>
        <w:spacing w:before="360" w:after="240"/>
        <w:jc w:val="both"/>
      </w:pPr>
    </w:p>
    <w:p w14:paraId="5EC711CC" w14:textId="77777777" w:rsidR="00830D5E" w:rsidRPr="00F54DA5" w:rsidRDefault="00830D5E" w:rsidP="00830D5E">
      <w:pPr>
        <w:pStyle w:val="Heading2"/>
        <w:numPr>
          <w:ilvl w:val="0"/>
          <w:numId w:val="0"/>
        </w:numPr>
        <w:tabs>
          <w:tab w:val="left" w:pos="567"/>
        </w:tabs>
        <w:spacing w:before="360" w:after="240"/>
        <w:jc w:val="both"/>
      </w:pPr>
      <w:r w:rsidRPr="00F54DA5">
        <w:t>Supporting figures:</w:t>
      </w:r>
    </w:p>
    <w:p w14:paraId="1602AA7C" w14:textId="77777777" w:rsidR="00830D5E" w:rsidRPr="00F54DA5" w:rsidRDefault="00830D5E" w:rsidP="00830D5E"/>
    <w:p w14:paraId="7F5315AF" w14:textId="77777777" w:rsidR="00830D5E" w:rsidRPr="00F54DA5" w:rsidRDefault="00830D5E" w:rsidP="00830D5E">
      <w:pPr>
        <w:keepNext/>
        <w:jc w:val="center"/>
      </w:pPr>
      <w:r w:rsidRPr="00F54DA5">
        <w:rPr>
          <w:rFonts w:cs="Arial"/>
          <w:noProof/>
          <w:lang w:eastAsia="zh-CN"/>
        </w:rPr>
        <w:drawing>
          <wp:inline distT="0" distB="0" distL="0" distR="0" wp14:anchorId="15063D8C" wp14:editId="2B73D9BC">
            <wp:extent cx="5459973" cy="2848243"/>
            <wp:effectExtent l="0" t="0" r="7620"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7479" cy="2852158"/>
                    </a:xfrm>
                    <a:prstGeom prst="rect">
                      <a:avLst/>
                    </a:prstGeom>
                    <a:noFill/>
                  </pic:spPr>
                </pic:pic>
              </a:graphicData>
            </a:graphic>
          </wp:inline>
        </w:drawing>
      </w:r>
    </w:p>
    <w:p w14:paraId="3173D515" w14:textId="77777777" w:rsidR="00830D5E" w:rsidRPr="00F54DA5" w:rsidRDefault="00830D5E" w:rsidP="00830D5E">
      <w:pPr>
        <w:pStyle w:val="Caption"/>
        <w:rPr>
          <w:rFonts w:cs="Arial"/>
          <w:color w:val="auto"/>
          <w:sz w:val="22"/>
          <w:szCs w:val="22"/>
        </w:rPr>
      </w:pPr>
      <w:r w:rsidRPr="00F54DA5">
        <w:rPr>
          <w:color w:val="auto"/>
          <w:sz w:val="22"/>
          <w:szCs w:val="22"/>
        </w:rPr>
        <w:t xml:space="preserve">Supporting Figure </w:t>
      </w:r>
      <w:r w:rsidRPr="00F54DA5">
        <w:rPr>
          <w:color w:val="auto"/>
          <w:sz w:val="22"/>
          <w:szCs w:val="22"/>
        </w:rPr>
        <w:fldChar w:fldCharType="begin"/>
      </w:r>
      <w:r w:rsidRPr="00F54DA5">
        <w:rPr>
          <w:color w:val="auto"/>
          <w:sz w:val="22"/>
          <w:szCs w:val="22"/>
        </w:rPr>
        <w:instrText xml:space="preserve"> SEQ Supporting_Figure \* ARABIC </w:instrText>
      </w:r>
      <w:r w:rsidRPr="00F54DA5">
        <w:rPr>
          <w:color w:val="auto"/>
          <w:sz w:val="22"/>
          <w:szCs w:val="22"/>
        </w:rPr>
        <w:fldChar w:fldCharType="separate"/>
      </w:r>
      <w:r>
        <w:rPr>
          <w:noProof/>
          <w:color w:val="auto"/>
          <w:sz w:val="22"/>
          <w:szCs w:val="22"/>
        </w:rPr>
        <w:t>1</w:t>
      </w:r>
      <w:r w:rsidRPr="00F54DA5">
        <w:rPr>
          <w:color w:val="auto"/>
          <w:sz w:val="22"/>
          <w:szCs w:val="22"/>
        </w:rPr>
        <w:fldChar w:fldCharType="end"/>
      </w:r>
      <w:r w:rsidRPr="00F54DA5">
        <w:rPr>
          <w:color w:val="auto"/>
          <w:sz w:val="22"/>
          <w:szCs w:val="22"/>
        </w:rPr>
        <w:t xml:space="preserve">. </w:t>
      </w:r>
      <w:bookmarkStart w:id="41" w:name="_Toc524884531"/>
      <w:r w:rsidRPr="00F54DA5">
        <w:rPr>
          <w:rFonts w:cs="Arial"/>
          <w:color w:val="auto"/>
          <w:sz w:val="22"/>
          <w:szCs w:val="22"/>
        </w:rPr>
        <w:t>Printing stability and swelling kinetics in agarose.</w:t>
      </w:r>
      <w:bookmarkEnd w:id="41"/>
      <w:r w:rsidRPr="00F54DA5">
        <w:rPr>
          <w:rFonts w:cs="Arial"/>
          <w:color w:val="auto"/>
          <w:sz w:val="22"/>
          <w:szCs w:val="22"/>
        </w:rPr>
        <w:t xml:space="preserve"> </w:t>
      </w:r>
    </w:p>
    <w:p w14:paraId="43C25FDE" w14:textId="77777777" w:rsidR="00830D5E" w:rsidRPr="00F54DA5" w:rsidRDefault="00830D5E" w:rsidP="00830D5E">
      <w:pPr>
        <w:spacing w:line="240" w:lineRule="auto"/>
        <w:jc w:val="both"/>
        <w:rPr>
          <w:rFonts w:cs="Arial"/>
          <w:iCs/>
        </w:rPr>
      </w:pPr>
      <w:r w:rsidRPr="00F54DA5">
        <w:rPr>
          <w:rFonts w:cs="Arial"/>
          <w:iCs/>
        </w:rPr>
        <w:t>GG and LAP-GG stands (a)  printed in agarose fluid gel. Agarose gel (b) loaded at 2 mm in thickness. Printing of strand (c) for swelling test. Scale bar: (b) 10 mm, (c) 2 mm.</w:t>
      </w:r>
    </w:p>
    <w:p w14:paraId="12E4AE4E" w14:textId="77777777" w:rsidR="00830D5E" w:rsidRPr="00F54DA5" w:rsidRDefault="00830D5E" w:rsidP="00830D5E">
      <w:pPr>
        <w:rPr>
          <w:rFonts w:cs="Arial"/>
        </w:rPr>
      </w:pPr>
    </w:p>
    <w:p w14:paraId="69FF93F7" w14:textId="77777777" w:rsidR="00830D5E" w:rsidRPr="00F54DA5" w:rsidRDefault="00830D5E" w:rsidP="00830D5E">
      <w:pPr>
        <w:keepNext/>
        <w:jc w:val="center"/>
      </w:pPr>
      <w:r w:rsidRPr="00F54DA5">
        <w:rPr>
          <w:rFonts w:cs="Arial"/>
          <w:noProof/>
          <w:lang w:eastAsia="zh-CN"/>
        </w:rPr>
        <w:drawing>
          <wp:inline distT="0" distB="0" distL="0" distR="0" wp14:anchorId="1674CBC7" wp14:editId="19BA59E7">
            <wp:extent cx="5560075" cy="228351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7536" cy="2286579"/>
                    </a:xfrm>
                    <a:prstGeom prst="rect">
                      <a:avLst/>
                    </a:prstGeom>
                    <a:noFill/>
                  </pic:spPr>
                </pic:pic>
              </a:graphicData>
            </a:graphic>
          </wp:inline>
        </w:drawing>
      </w:r>
    </w:p>
    <w:p w14:paraId="0CDC5C53" w14:textId="77777777" w:rsidR="00830D5E" w:rsidRPr="00F54DA5" w:rsidRDefault="00830D5E" w:rsidP="00830D5E">
      <w:pPr>
        <w:pStyle w:val="Caption"/>
        <w:rPr>
          <w:rFonts w:cs="Arial"/>
          <w:iCs w:val="0"/>
          <w:vanish/>
          <w:color w:val="auto"/>
          <w:sz w:val="22"/>
          <w:szCs w:val="22"/>
          <w:specVanish/>
        </w:rPr>
      </w:pPr>
      <w:r w:rsidRPr="00F54DA5">
        <w:rPr>
          <w:color w:val="auto"/>
          <w:sz w:val="22"/>
          <w:szCs w:val="22"/>
        </w:rPr>
        <w:t xml:space="preserve">Supporting Figure </w:t>
      </w:r>
      <w:r w:rsidRPr="00F54DA5">
        <w:rPr>
          <w:color w:val="auto"/>
          <w:sz w:val="22"/>
          <w:szCs w:val="22"/>
        </w:rPr>
        <w:fldChar w:fldCharType="begin"/>
      </w:r>
      <w:r w:rsidRPr="00F54DA5">
        <w:rPr>
          <w:color w:val="auto"/>
          <w:sz w:val="22"/>
          <w:szCs w:val="22"/>
        </w:rPr>
        <w:instrText xml:space="preserve"> SEQ Supporting_Figure \* ARABIC </w:instrText>
      </w:r>
      <w:r w:rsidRPr="00F54DA5">
        <w:rPr>
          <w:color w:val="auto"/>
          <w:sz w:val="22"/>
          <w:szCs w:val="22"/>
        </w:rPr>
        <w:fldChar w:fldCharType="separate"/>
      </w:r>
      <w:r>
        <w:rPr>
          <w:noProof/>
          <w:color w:val="auto"/>
          <w:sz w:val="22"/>
          <w:szCs w:val="22"/>
        </w:rPr>
        <w:t>2</w:t>
      </w:r>
      <w:r w:rsidRPr="00F54DA5">
        <w:rPr>
          <w:color w:val="auto"/>
          <w:sz w:val="22"/>
          <w:szCs w:val="22"/>
        </w:rPr>
        <w:fldChar w:fldCharType="end"/>
      </w:r>
      <w:bookmarkStart w:id="42" w:name="_Toc524884532"/>
      <w:r w:rsidRPr="00F54DA5">
        <w:rPr>
          <w:color w:val="auto"/>
          <w:sz w:val="22"/>
          <w:szCs w:val="22"/>
        </w:rPr>
        <w:t xml:space="preserve">. </w:t>
      </w:r>
      <w:r w:rsidRPr="00F54DA5">
        <w:rPr>
          <w:rFonts w:cs="Arial"/>
          <w:color w:val="auto"/>
          <w:sz w:val="22"/>
          <w:szCs w:val="22"/>
        </w:rPr>
        <w:t>Comparison of fibre diameter immediately after deposition.</w:t>
      </w:r>
      <w:bookmarkEnd w:id="42"/>
      <w:r w:rsidRPr="00F54DA5">
        <w:rPr>
          <w:rFonts w:cs="Arial"/>
          <w:color w:val="auto"/>
          <w:sz w:val="22"/>
          <w:szCs w:val="22"/>
        </w:rPr>
        <w:t xml:space="preserve"> </w:t>
      </w:r>
    </w:p>
    <w:p w14:paraId="7CCE9DB6" w14:textId="77777777" w:rsidR="00830D5E" w:rsidRPr="00F54DA5" w:rsidRDefault="00830D5E" w:rsidP="00830D5E">
      <w:pPr>
        <w:pStyle w:val="Caption"/>
        <w:jc w:val="both"/>
        <w:rPr>
          <w:rFonts w:cs="Arial"/>
          <w:iCs w:val="0"/>
          <w:color w:val="auto"/>
          <w:sz w:val="22"/>
          <w:szCs w:val="22"/>
        </w:rPr>
      </w:pPr>
      <w:r w:rsidRPr="00F54DA5">
        <w:rPr>
          <w:rFonts w:cs="Arial"/>
          <w:color w:val="auto"/>
          <w:sz w:val="22"/>
          <w:szCs w:val="22"/>
        </w:rPr>
        <w:t xml:space="preserve"> </w:t>
      </w:r>
    </w:p>
    <w:p w14:paraId="1D854CD9" w14:textId="77777777" w:rsidR="00830D5E" w:rsidRPr="00F54DA5" w:rsidRDefault="00830D5E" w:rsidP="00830D5E">
      <w:pPr>
        <w:spacing w:line="240" w:lineRule="auto"/>
        <w:jc w:val="both"/>
        <w:rPr>
          <w:rFonts w:cs="Arial"/>
          <w:iCs/>
        </w:rPr>
      </w:pPr>
      <w:r w:rsidRPr="00F54DA5">
        <w:rPr>
          <w:rFonts w:cs="Arial"/>
          <w:iCs/>
        </w:rPr>
        <w:t>Measurements were carried out on samples printed in air (a) and in agarose (b). Statistical significance assessed by two-way ANOVA. Mean ± S.D. n=3 *p&lt;0.05, ****p&lt;0.0001.</w:t>
      </w:r>
    </w:p>
    <w:p w14:paraId="1DE1F2E2" w14:textId="77777777" w:rsidR="00830D5E" w:rsidRPr="00F54DA5" w:rsidRDefault="00830D5E" w:rsidP="00830D5E">
      <w:pPr>
        <w:pStyle w:val="ListParagraph"/>
        <w:ind w:left="0"/>
        <w:jc w:val="both"/>
        <w:rPr>
          <w:rFonts w:cs="Arial"/>
          <w:sz w:val="22"/>
        </w:rPr>
      </w:pPr>
    </w:p>
    <w:p w14:paraId="002F779C" w14:textId="77777777" w:rsidR="00830D5E" w:rsidRPr="00F54DA5" w:rsidRDefault="00830D5E" w:rsidP="00830D5E">
      <w:pPr>
        <w:keepNext/>
      </w:pPr>
      <w:r>
        <w:rPr>
          <w:noProof/>
          <w:lang w:eastAsia="zh-CN"/>
        </w:rPr>
        <w:lastRenderedPageBreak/>
        <w:drawing>
          <wp:inline distT="0" distB="0" distL="0" distR="0" wp14:anchorId="1D17A6C5" wp14:editId="2F65A1B8">
            <wp:extent cx="5399053" cy="180765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1135" cy="1815051"/>
                    </a:xfrm>
                    <a:prstGeom prst="rect">
                      <a:avLst/>
                    </a:prstGeom>
                    <a:noFill/>
                  </pic:spPr>
                </pic:pic>
              </a:graphicData>
            </a:graphic>
          </wp:inline>
        </w:drawing>
      </w:r>
    </w:p>
    <w:p w14:paraId="380C554B" w14:textId="77777777" w:rsidR="00830D5E" w:rsidRPr="00F54DA5" w:rsidRDefault="00830D5E" w:rsidP="00830D5E">
      <w:pPr>
        <w:pStyle w:val="Caption"/>
        <w:rPr>
          <w:color w:val="auto"/>
          <w:sz w:val="22"/>
          <w:szCs w:val="22"/>
        </w:rPr>
      </w:pPr>
      <w:r w:rsidRPr="00F54DA5">
        <w:rPr>
          <w:color w:val="auto"/>
          <w:sz w:val="22"/>
          <w:szCs w:val="22"/>
        </w:rPr>
        <w:t xml:space="preserve">Supporting Figure </w:t>
      </w:r>
      <w:r w:rsidRPr="00F54DA5">
        <w:rPr>
          <w:color w:val="auto"/>
          <w:sz w:val="22"/>
          <w:szCs w:val="22"/>
        </w:rPr>
        <w:fldChar w:fldCharType="begin"/>
      </w:r>
      <w:r w:rsidRPr="00F54DA5">
        <w:rPr>
          <w:color w:val="auto"/>
          <w:sz w:val="22"/>
          <w:szCs w:val="22"/>
        </w:rPr>
        <w:instrText xml:space="preserve"> SEQ Supporting_Figure \* ARABIC </w:instrText>
      </w:r>
      <w:r w:rsidRPr="00F54DA5">
        <w:rPr>
          <w:color w:val="auto"/>
          <w:sz w:val="22"/>
          <w:szCs w:val="22"/>
        </w:rPr>
        <w:fldChar w:fldCharType="separate"/>
      </w:r>
      <w:r>
        <w:rPr>
          <w:noProof/>
          <w:color w:val="auto"/>
          <w:sz w:val="22"/>
          <w:szCs w:val="22"/>
        </w:rPr>
        <w:t>3</w:t>
      </w:r>
      <w:r w:rsidRPr="00F54DA5">
        <w:rPr>
          <w:color w:val="auto"/>
          <w:sz w:val="22"/>
          <w:szCs w:val="22"/>
        </w:rPr>
        <w:fldChar w:fldCharType="end"/>
      </w:r>
      <w:r w:rsidRPr="00F54DA5">
        <w:rPr>
          <w:color w:val="auto"/>
          <w:sz w:val="22"/>
          <w:szCs w:val="22"/>
        </w:rPr>
        <w:t>. Cell attachment onto GG and LAP-GG scaffolds</w:t>
      </w:r>
    </w:p>
    <w:p w14:paraId="4C30EBDF" w14:textId="77777777" w:rsidR="00830D5E" w:rsidRPr="00F54DA5" w:rsidRDefault="00830D5E" w:rsidP="00830D5E">
      <w:r w:rsidRPr="00F54DA5">
        <w:rPr>
          <w:rFonts w:cs="Arial"/>
          <w:iCs/>
        </w:rPr>
        <w:t xml:space="preserve">C2C12 </w:t>
      </w:r>
      <w:r>
        <w:rPr>
          <w:rFonts w:cs="Arial"/>
          <w:iCs/>
        </w:rPr>
        <w:t xml:space="preserve">cells </w:t>
      </w:r>
      <w:r w:rsidRPr="00F54DA5">
        <w:rPr>
          <w:rFonts w:cs="Arial"/>
          <w:iCs/>
        </w:rPr>
        <w:t>seeded on GG (e) and LAP-GG (f) scaffolds and imaged under SEM. Scale bar: (a,b) 100 µm.</w:t>
      </w:r>
    </w:p>
    <w:p w14:paraId="0BD5B922" w14:textId="77777777" w:rsidR="00830D5E" w:rsidRPr="00F54DA5" w:rsidRDefault="00830D5E" w:rsidP="00830D5E">
      <w:pPr>
        <w:rPr>
          <w:rFonts w:cs="Arial"/>
        </w:rPr>
      </w:pPr>
    </w:p>
    <w:p w14:paraId="212C0F24" w14:textId="77777777" w:rsidR="00830D5E" w:rsidRPr="00F54DA5" w:rsidRDefault="00830D5E" w:rsidP="00830D5E">
      <w:pPr>
        <w:rPr>
          <w:rFonts w:cs="Arial"/>
        </w:rPr>
      </w:pPr>
      <w:r w:rsidRPr="00F54DA5">
        <w:rPr>
          <w:rFonts w:cs="Arial"/>
          <w:noProof/>
          <w:lang w:eastAsia="zh-CN"/>
        </w:rPr>
        <w:drawing>
          <wp:inline distT="0" distB="0" distL="0" distR="0" wp14:anchorId="68F9D4A0" wp14:editId="535EF496">
            <wp:extent cx="5471084" cy="24577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6144" cy="2469039"/>
                    </a:xfrm>
                    <a:prstGeom prst="rect">
                      <a:avLst/>
                    </a:prstGeom>
                    <a:noFill/>
                  </pic:spPr>
                </pic:pic>
              </a:graphicData>
            </a:graphic>
          </wp:inline>
        </w:drawing>
      </w:r>
      <w:r w:rsidRPr="009C7DDA">
        <w:rPr>
          <w:i/>
        </w:rPr>
        <w:t xml:space="preserve">Supporting Figure </w:t>
      </w:r>
      <w:r w:rsidRPr="009C7DDA">
        <w:rPr>
          <w:i/>
          <w:noProof/>
        </w:rPr>
        <w:fldChar w:fldCharType="begin"/>
      </w:r>
      <w:r w:rsidRPr="009C7DDA">
        <w:rPr>
          <w:i/>
          <w:noProof/>
        </w:rPr>
        <w:instrText xml:space="preserve"> SEQ Supporting_Figure \* ARABIC </w:instrText>
      </w:r>
      <w:r w:rsidRPr="009C7DDA">
        <w:rPr>
          <w:i/>
          <w:noProof/>
        </w:rPr>
        <w:fldChar w:fldCharType="separate"/>
      </w:r>
      <w:r w:rsidRPr="009C7DDA">
        <w:rPr>
          <w:i/>
          <w:noProof/>
        </w:rPr>
        <w:t>4</w:t>
      </w:r>
      <w:r w:rsidRPr="009C7DDA">
        <w:rPr>
          <w:i/>
          <w:noProof/>
        </w:rPr>
        <w:fldChar w:fldCharType="end"/>
      </w:r>
      <w:bookmarkStart w:id="43" w:name="_Toc524884533"/>
      <w:r w:rsidRPr="00F54DA5">
        <w:t>.</w:t>
      </w:r>
      <w:r w:rsidRPr="00F54DA5">
        <w:rPr>
          <w:rFonts w:cs="Arial"/>
        </w:rPr>
        <w:t xml:space="preserve"> Printing 3D sleeve and lattice for repairing of large bone defects.</w:t>
      </w:r>
      <w:bookmarkEnd w:id="43"/>
    </w:p>
    <w:p w14:paraId="324D9DFD" w14:textId="77777777" w:rsidR="00830D5E" w:rsidRPr="00A36CC1" w:rsidRDefault="00830D5E" w:rsidP="00830D5E">
      <w:pPr>
        <w:spacing w:line="240" w:lineRule="auto"/>
        <w:jc w:val="both"/>
        <w:rPr>
          <w:rFonts w:cs="Arial"/>
          <w:iCs/>
          <w:lang w:val="it-IT"/>
        </w:rPr>
      </w:pPr>
      <w:r w:rsidRPr="00F54DA5">
        <w:rPr>
          <w:rFonts w:cs="Arial"/>
          <w:iCs/>
        </w:rPr>
        <w:t xml:space="preserve">A blueprint of a 3D sleeve (a) was generated with an initial height of 30 mm. Extrusion of LAP-GG (blue) in agarose fluid gel (transparent) resulted in the fabrication of a large structure (i-iii). Lattice structure (b) could be printed in agarose precisely resembling blue-print file (i-iii). </w:t>
      </w:r>
      <w:r w:rsidRPr="00A36CC1">
        <w:rPr>
          <w:rFonts w:cs="Arial"/>
          <w:iCs/>
          <w:lang w:val="it-IT"/>
        </w:rPr>
        <w:t xml:space="preserve">Scale bar: (a-i,ii) 30 mm, (b-i,ii) 10 mm. </w:t>
      </w:r>
    </w:p>
    <w:p w14:paraId="66B2B871" w14:textId="77777777" w:rsidR="00830D5E" w:rsidRPr="00A36CC1" w:rsidRDefault="00830D5E" w:rsidP="00830D5E">
      <w:pPr>
        <w:rPr>
          <w:rFonts w:cs="Arial"/>
          <w:lang w:val="it-IT"/>
        </w:rPr>
      </w:pPr>
    </w:p>
    <w:p w14:paraId="715AB677" w14:textId="77777777" w:rsidR="00830D5E" w:rsidRPr="00A36CC1" w:rsidRDefault="00830D5E" w:rsidP="00830D5E">
      <w:pPr>
        <w:rPr>
          <w:rFonts w:cs="Arial"/>
          <w:lang w:val="it-IT"/>
        </w:rPr>
      </w:pPr>
    </w:p>
    <w:p w14:paraId="4016F741" w14:textId="77777777" w:rsidR="00830D5E" w:rsidRPr="00A36CC1" w:rsidRDefault="00830D5E" w:rsidP="00830D5E">
      <w:pPr>
        <w:rPr>
          <w:rFonts w:cs="Arial"/>
          <w:lang w:val="it-IT"/>
        </w:rPr>
      </w:pPr>
    </w:p>
    <w:p w14:paraId="4C18548D" w14:textId="77777777" w:rsidR="00830D5E" w:rsidRPr="00A36CC1" w:rsidRDefault="00830D5E" w:rsidP="00830D5E">
      <w:pPr>
        <w:rPr>
          <w:rFonts w:cs="Arial"/>
          <w:lang w:val="it-IT"/>
        </w:rPr>
      </w:pPr>
    </w:p>
    <w:p w14:paraId="5C707A31" w14:textId="77777777" w:rsidR="00830D5E" w:rsidRPr="006E3D97" w:rsidRDefault="00830D5E" w:rsidP="00830D5E">
      <w:pPr>
        <w:rPr>
          <w:lang w:val="it-IT"/>
        </w:rPr>
      </w:pPr>
    </w:p>
    <w:p w14:paraId="620C82E4" w14:textId="77777777" w:rsidR="00830D5E" w:rsidRPr="006E3D97" w:rsidRDefault="00830D5E" w:rsidP="00830D5E">
      <w:pPr>
        <w:rPr>
          <w:lang w:val="it-IT"/>
        </w:rPr>
      </w:pPr>
    </w:p>
    <w:p w14:paraId="4E0CDEAA" w14:textId="77777777" w:rsidR="00830D5E" w:rsidRPr="00830D5E" w:rsidRDefault="00830D5E" w:rsidP="00D9695A">
      <w:pPr>
        <w:tabs>
          <w:tab w:val="left" w:pos="567"/>
        </w:tabs>
        <w:spacing w:line="360" w:lineRule="auto"/>
        <w:jc w:val="both"/>
        <w:rPr>
          <w:lang w:val="it-IT"/>
        </w:rPr>
      </w:pPr>
    </w:p>
    <w:p w14:paraId="5AF91B77" w14:textId="1CDE161F" w:rsidR="005748BB" w:rsidRPr="00F54DA5" w:rsidRDefault="005748BB" w:rsidP="00D9695A">
      <w:pPr>
        <w:pStyle w:val="Heading2"/>
        <w:numPr>
          <w:ilvl w:val="0"/>
          <w:numId w:val="0"/>
        </w:numPr>
        <w:tabs>
          <w:tab w:val="left" w:pos="567"/>
        </w:tabs>
        <w:spacing w:before="360" w:after="240"/>
        <w:jc w:val="both"/>
      </w:pPr>
      <w:r w:rsidRPr="00F54DA5">
        <w:t>References</w:t>
      </w:r>
    </w:p>
    <w:p w14:paraId="54934CC6" w14:textId="75F5C2F4" w:rsidR="00D95241" w:rsidRPr="00D95241" w:rsidRDefault="005748BB" w:rsidP="00D95241">
      <w:pPr>
        <w:widowControl w:val="0"/>
        <w:autoSpaceDE w:val="0"/>
        <w:autoSpaceDN w:val="0"/>
        <w:adjustRightInd w:val="0"/>
        <w:spacing w:line="240" w:lineRule="auto"/>
        <w:ind w:left="640" w:hanging="640"/>
        <w:rPr>
          <w:rFonts w:cs="Arial"/>
          <w:noProof/>
          <w:szCs w:val="24"/>
        </w:rPr>
      </w:pPr>
      <w:r w:rsidRPr="00F54DA5">
        <w:fldChar w:fldCharType="begin" w:fldLock="1"/>
      </w:r>
      <w:r w:rsidRPr="00F54DA5">
        <w:instrText xml:space="preserve">ADDIN Mendeley Bibliography CSL_BIBLIOGRAPHY </w:instrText>
      </w:r>
      <w:r w:rsidRPr="00F54DA5">
        <w:fldChar w:fldCharType="separate"/>
      </w:r>
      <w:r w:rsidR="00D95241" w:rsidRPr="00D95241">
        <w:rPr>
          <w:rFonts w:cs="Arial"/>
          <w:noProof/>
          <w:szCs w:val="24"/>
        </w:rPr>
        <w:t>[1]</w:t>
      </w:r>
      <w:r w:rsidR="00D95241" w:rsidRPr="00D95241">
        <w:rPr>
          <w:rFonts w:cs="Arial"/>
          <w:noProof/>
          <w:szCs w:val="24"/>
        </w:rPr>
        <w:tab/>
        <w:t xml:space="preserve">R. Mishra, T. Bishop, I.L. Valerio, J.P. Fisher, D. Dean, The potential impact of bone tissue engineering in the clinic., Regen. Med. 11 </w:t>
      </w:r>
      <w:r w:rsidR="00D95241" w:rsidRPr="00D95241">
        <w:rPr>
          <w:rFonts w:cs="Arial"/>
          <w:noProof/>
          <w:szCs w:val="24"/>
        </w:rPr>
        <w:lastRenderedPageBreak/>
        <w:t>(2016) 571–587. doi:10.2217/rme-2016-0042.</w:t>
      </w:r>
    </w:p>
    <w:p w14:paraId="31F522E5"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w:t>
      </w:r>
      <w:r w:rsidRPr="00D95241">
        <w:rPr>
          <w:rFonts w:cs="Arial"/>
          <w:noProof/>
          <w:szCs w:val="24"/>
        </w:rPr>
        <w:tab/>
        <w:t>A. Ribeiro, M.M. Blokzijl, R. Levato, C.W. Visser, M. Castilho, W.E. Hennink, T. Vermonden, J. Malda, Assessing bioink shape fidelity to aid material development in 3D bioprinting, Biofabrication. 10 (2017) 014102. doi:10.1088/1758-5090/aa90e2.</w:t>
      </w:r>
    </w:p>
    <w:p w14:paraId="2448724D"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w:t>
      </w:r>
      <w:r w:rsidRPr="00D95241">
        <w:rPr>
          <w:rFonts w:cs="Arial"/>
          <w:noProof/>
          <w:szCs w:val="24"/>
        </w:rPr>
        <w:tab/>
        <w:t>N. Paxton, W. Smolan, T. Böck, F. Melchels, J. Groll, T. Jungst, Proposal to assess printability of bioinks for extrusion-based bioprinting and evaluation of rheological properties governing bioprintability, Biofabrication. 9 (2017) 044107. doi:10.1088/1758-5090/aa8dd8.</w:t>
      </w:r>
    </w:p>
    <w:p w14:paraId="0A55B5EA"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[4]</w:t>
      </w:r>
      <w:r w:rsidRPr="00D95241">
        <w:rPr>
          <w:rFonts w:cs="Arial"/>
          <w:noProof/>
          <w:szCs w:val="24"/>
        </w:rPr>
        <w:tab/>
        <w:t>G. Cidonio, M. Glinka, J.I. Dawson, R.O.C. Oreffo, The cell in the ink: Improving biofabrication by printing stem cells for skeletal regenerative medicine, Biomaterials. 209 (2019) 10–24. doi:10.1016/j.biomaterials.2019.04.009.</w:t>
      </w:r>
    </w:p>
    <w:p w14:paraId="15307F7E"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[5]</w:t>
      </w:r>
      <w:r w:rsidRPr="00D95241">
        <w:rPr>
          <w:rFonts w:cs="Arial"/>
          <w:noProof/>
          <w:szCs w:val="24"/>
        </w:rPr>
        <w:tab/>
        <w:t>B. V. Slaughter, S.S. Khurshid, O.Z. Fisher, A. Khademhosseini, N.A. Peppas, Hydrogels in Regenerative Medicine, Adv. Mater. 21 (2009) 3307–3329. doi:10.1002/adma.200802106.</w:t>
      </w:r>
    </w:p>
    <w:p w14:paraId="0097C212"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[6]</w:t>
      </w:r>
      <w:r w:rsidRPr="00D95241">
        <w:rPr>
          <w:rFonts w:cs="Arial"/>
          <w:noProof/>
          <w:szCs w:val="24"/>
        </w:rPr>
        <w:tab/>
        <w:t>S.R. Moxon, M.E. Cooke, S.C. Cox, M. Snow, L. Jeys, S.W. Jones, A.M. Smith, L.M. Grover, Suspended Manufacture of Biological Structures, Adv. Mater. 29 (2017) 1605594. doi:10.1002/adma.201605594.</w:t>
      </w:r>
    </w:p>
    <w:p w14:paraId="58FCCFFB"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[7]</w:t>
      </w:r>
      <w:r w:rsidRPr="00D95241">
        <w:rPr>
          <w:rFonts w:cs="Arial"/>
          <w:noProof/>
          <w:szCs w:val="24"/>
        </w:rPr>
        <w:tab/>
        <w:t>Y. Jin, A. Compaan, W. Chai, Y. Huang, Functional Nanoclay Suspension for Printing-Then-Solidification of Liquid Materials, ACS Appl. Mater. Interfaces. 9 (2017) 20057–20066. doi:10.1021/acsami.7b02398.</w:t>
      </w:r>
    </w:p>
    <w:p w14:paraId="75C3A6CD"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[8]</w:t>
      </w:r>
      <w:r w:rsidRPr="00D95241">
        <w:rPr>
          <w:rFonts w:cs="Arial"/>
          <w:noProof/>
          <w:szCs w:val="24"/>
        </w:rPr>
        <w:tab/>
        <w:t>C.B. Highley, C.B. Rodell, J. a. Burdick, Direct 3D Printing of Shear-Thinning Hydrogels into Self-Healing Hydrogels, Adv. Mater. 27 (2015) 5075–5079. doi:10.1002/adma.201501234.</w:t>
      </w:r>
    </w:p>
    <w:p w14:paraId="6DE2EAE0"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[9]</w:t>
      </w:r>
      <w:r w:rsidRPr="00D95241">
        <w:rPr>
          <w:rFonts w:cs="Arial"/>
          <w:noProof/>
          <w:szCs w:val="24"/>
        </w:rPr>
        <w:tab/>
        <w:t>T.J. Hinton, Q. Jallerat, R.N. Palchesko, J.H. Park, M.S. Grodzicki, H. Shue, M.H. Ramadan, A.R. Hudson, A.W. Feinberg, Three-dimensional printing of complex biological structures by freeform reversible embedding of suspended hydrogels, Sci. Adv. 1 (2015) 1–10. doi:10.1126/sciadv.1500758.</w:t>
      </w:r>
    </w:p>
    <w:p w14:paraId="35597C80"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[10]</w:t>
      </w:r>
      <w:r w:rsidRPr="00D95241">
        <w:rPr>
          <w:rFonts w:cs="Arial"/>
          <w:noProof/>
          <w:szCs w:val="24"/>
        </w:rPr>
        <w:tab/>
        <w:t>T.J. Hinton, A. Hudson, K. Pusch, A. Lee, A.W. Feinberg, 3D Printing PDMS Elastomer in a Hydrophilic Support Bath via Freeform Reversible Embedding, ACS Biomater. Sci. Eng. 2 (2016) 1781–1786. doi:10.1021/acsbiomaterials.6b00170.</w:t>
      </w:r>
    </w:p>
    <w:p w14:paraId="450A0E58"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[11]</w:t>
      </w:r>
      <w:r w:rsidRPr="00D95241">
        <w:rPr>
          <w:rFonts w:cs="Arial"/>
          <w:noProof/>
          <w:szCs w:val="24"/>
        </w:rPr>
        <w:tab/>
        <w:t>J.I. Dawson, J.M. Kanczler, X.B. Yang, G.S. Attard, R.O.C. Oreffo, Clay Gels For the Delivery of Regenerative Microenvironments, Adv. Mater. 23 (2011) 3304–3308. doi:10.1002/adma.201100968.</w:t>
      </w:r>
    </w:p>
    <w:p w14:paraId="2DD529A0"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[12]</w:t>
      </w:r>
      <w:r w:rsidRPr="00D95241">
        <w:rPr>
          <w:rFonts w:cs="Arial"/>
          <w:noProof/>
          <w:szCs w:val="24"/>
        </w:rPr>
        <w:tab/>
        <w:t>T. Ahlfeld, G. Cidonio, D. Kilian, S. Duin, A.R. Akkineni, J.I. Dawson, S. Yang, A. Lode, R.O.C. Oreffo, M. Gelinsky, Development of a clay based bioink for 3D cell printing for skeletal application, Biofabrication. 9 (2017) 034103. doi:10.1088/1758-5090/aa7e96.</w:t>
      </w:r>
    </w:p>
    <w:p w14:paraId="65AAA8ED"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[13]</w:t>
      </w:r>
      <w:r w:rsidRPr="00D95241">
        <w:rPr>
          <w:rFonts w:cs="Arial"/>
          <w:noProof/>
          <w:szCs w:val="24"/>
        </w:rPr>
        <w:tab/>
        <w:t>G. Cidonio, C.R. Alcala-Orozco, K.S. Lim, M. Glinka, I. Mutreja, Y.-H. Kim, J.I. Dawson, T.B.F. Woodfield, R.O.C. Oreffo, Osteogenic and angiogenic tissue formation in high fidelity nanocomposite Laponite-gelatin bioinks, Biofabrication. 11 (2019) 035027. doi:10.1088/1758-5090/ab19fd.</w:t>
      </w:r>
    </w:p>
    <w:p w14:paraId="5F1F891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lastRenderedPageBreak/>
        <w:t>[14]</w:t>
      </w:r>
      <w:r w:rsidRPr="00D95241">
        <w:rPr>
          <w:rFonts w:cs="Arial"/>
          <w:noProof/>
          <w:szCs w:val="24"/>
        </w:rPr>
        <w:tab/>
        <w:t>H. Grasdalen, O. Smidsrød, Gelation of gellan gum, Carbohydr. Polym. 7 (1987) 371–393. doi:10.1016/0144-8617(87)90004-X.</w:t>
      </w:r>
    </w:p>
    <w:p w14:paraId="57DA9D3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[15]</w:t>
      </w:r>
      <w:r w:rsidRPr="00D95241">
        <w:rPr>
          <w:rFonts w:cs="Arial"/>
          <w:noProof/>
          <w:szCs w:val="24"/>
        </w:rPr>
        <w:tab/>
        <w:t>P.-E. Jansson, B. Lindberg, P.A. Sandford, Structural studies of gellan gum, an extracellular polysaccharide elaborated by Pseudomonas elodea, Carbohydr. Res. 124 (1983) 135–139. doi:10.1016/0008-6215(83)88361-X.</w:t>
      </w:r>
    </w:p>
    <w:p w14:paraId="78CDC507"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[16]</w:t>
      </w:r>
      <w:r w:rsidRPr="00D95241">
        <w:rPr>
          <w:rFonts w:cs="Arial"/>
          <w:noProof/>
          <w:szCs w:val="24"/>
        </w:rPr>
        <w:tab/>
        <w:t>T.E.L. Douglas, G. Krawczyk, E. Pamula, H.A. Declercq, D. Schaubroeck, M.M. Bucko, L. Balcaen, P. Van Der Voort, V. Bliznuk, N.M.F. van den Vreken, M. Dash, R. Detsch, A.R. Boccaccini, F. Vanhaecke, M. Cornelissen, P. Dubruel, Generation of composites for bone tissue-engineering applications consisting of gellan gum hydrogels mineralized with calcium and magnesium phosphate phases by enzymatic means, J. Tissue Eng. Regen. Med. 10 (2016) 938–954. doi:10.1002/term.1875.</w:t>
      </w:r>
    </w:p>
    <w:p w14:paraId="090CA86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[17]</w:t>
      </w:r>
      <w:r w:rsidRPr="00D95241">
        <w:rPr>
          <w:rFonts w:cs="Arial"/>
          <w:noProof/>
          <w:szCs w:val="24"/>
        </w:rPr>
        <w:tab/>
        <w:t>J.T. Oliveira, L. Martins, R. Picciochi, P.B. Malafaya, R.A. Sousa, N.M. Neves, J.F. Mano, R.L. Reis, Gellan gum: A new biomaterial for cartilage tissue engineering applications, J. Biomed. Mater. Res. - Part A. 93 (2010) 852–863. doi:10.1002/jbm.a.32574.</w:t>
      </w:r>
    </w:p>
    <w:p w14:paraId="45A4A7C5"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[18]</w:t>
      </w:r>
      <w:r w:rsidRPr="00D95241">
        <w:rPr>
          <w:rFonts w:cs="Arial"/>
          <w:noProof/>
          <w:szCs w:val="24"/>
        </w:rPr>
        <w:tab/>
        <w:t>T. Osmałek, A. Froelich, S. Tasarek, Application of gellan gum in pharmacy and medicine, Int. J. Pharm. 466 (2014) 328–340. doi:10.1016/j.ijpharm.2014.03.038.</w:t>
      </w:r>
    </w:p>
    <w:p w14:paraId="58C5072F"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[19]</w:t>
      </w:r>
      <w:r w:rsidRPr="00D95241">
        <w:rPr>
          <w:rFonts w:cs="Arial"/>
          <w:noProof/>
          <w:szCs w:val="24"/>
        </w:rPr>
        <w:tab/>
        <w:t>G.C. Pidcock, M. In Het Panhuis, Extrusion printing of flexible electrically conducting carbon nanotube networks, Adv. Funct. Mater. 22 (2012) 4790–4800. doi:10.1002/adfm.201200724.</w:t>
      </w:r>
    </w:p>
    <w:p w14:paraId="19B16F0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[20]</w:t>
      </w:r>
      <w:r w:rsidRPr="00D95241">
        <w:rPr>
          <w:rFonts w:cs="Arial"/>
          <w:noProof/>
          <w:szCs w:val="24"/>
        </w:rPr>
        <w:tab/>
        <w:t>M.S. Shoichet, R.H. Li, M.L. White, S.R. Winn, Stability of hydrogels used in cell encapsulation: An in vitro comparison of alginate and agarose, Biotechnol. Bioeng. 50 (1996) 374–381. doi:10.1002/(SICI)1097-0290(19960520)50:4&lt;374::AID-BIT4&gt;3.0.CO;2-I.</w:t>
      </w:r>
    </w:p>
    <w:p w14:paraId="46FCB73B"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[21]</w:t>
      </w:r>
      <w:r w:rsidRPr="00D95241">
        <w:rPr>
          <w:rFonts w:cs="Arial"/>
          <w:noProof/>
          <w:szCs w:val="24"/>
        </w:rPr>
        <w:tab/>
        <w:t>F. Topuz, A. Nadernezhad, O.S. Caliskan, Y.Z. Menceloglu, B. Koc, Nanosilicate embedded agarose hydrogels with improved bioactivity, Carbohydr. Polym. 201 (2018) 105–112. doi:10.1016/j.carbpol.2018.08.032.</w:t>
      </w:r>
    </w:p>
    <w:p w14:paraId="680E36E9"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[22]</w:t>
      </w:r>
      <w:r w:rsidRPr="00D95241">
        <w:rPr>
          <w:rFonts w:cs="Arial"/>
          <w:noProof/>
          <w:szCs w:val="24"/>
        </w:rPr>
        <w:tab/>
        <w:t>E. Miyoshi, Rheological and thermal studies of gel-sol transition in gellan gum aqueous solutions, Carbohydr. Polym. 30 (1996) 109–119. doi:10.1016/S0144-8617(96)00093-8.</w:t>
      </w:r>
    </w:p>
    <w:p w14:paraId="045D78BE"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[23]</w:t>
      </w:r>
      <w:r w:rsidRPr="00D95241">
        <w:rPr>
          <w:rFonts w:cs="Arial"/>
          <w:noProof/>
          <w:szCs w:val="24"/>
        </w:rPr>
        <w:tab/>
        <w:t>S. Pacelli, P. Paolicelli, G. Moretti, S. Petralito, S. Di Giacomo, A. Vitalone, M.A. Casadei, Gellan gum methacrylate and laponite as an innovative nanocomposite hydrogel for biomedical applications, Eur. Polym. J. 77 (2015) 114–123. doi:10.1016/j.eurpolymj.2016.02.007.</w:t>
      </w:r>
    </w:p>
    <w:p w14:paraId="10EDBA50"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[24]</w:t>
      </w:r>
      <w:r w:rsidRPr="00D95241">
        <w:rPr>
          <w:rFonts w:cs="Arial"/>
          <w:noProof/>
          <w:szCs w:val="24"/>
        </w:rPr>
        <w:tab/>
        <w:t>Y. Jin, C. Liu, W. Chai, A.M. Compaan, Y. Huang, Self-Supporting Nanoclay as Internal Scaffold Material for Direct Printing of Soft Hydrogel Composite Structures in Air, ACS Appl. Mater. Interfaces. (2017) acsami.7b03613. doi:10.1021/acsami.7b03613.</w:t>
      </w:r>
    </w:p>
    <w:p w14:paraId="0B1145C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[25]</w:t>
      </w:r>
      <w:r w:rsidRPr="00D95241">
        <w:rPr>
          <w:rFonts w:cs="Arial"/>
          <w:noProof/>
          <w:szCs w:val="24"/>
        </w:rPr>
        <w:tab/>
        <w:t>S. Hong, D. Sycks, H.F. Chan, S. Lin, G.P. Lopez, F. Guilak, K.W. Leong, X. Zhao, 3D Printing: 3D Printing of Highly Stretchable and Tough Hydrogels into Complex, Cellularized Structures (Adv. Mater. 27/2015), Adv. Mater. 27 (2015) 4034–4034. doi:10.1002/adma.201570182.</w:t>
      </w:r>
    </w:p>
    <w:p w14:paraId="30AE143F"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lastRenderedPageBreak/>
        <w:t>[26]</w:t>
      </w:r>
      <w:r w:rsidRPr="00D95241">
        <w:rPr>
          <w:rFonts w:cs="Arial"/>
          <w:noProof/>
          <w:szCs w:val="24"/>
        </w:rPr>
        <w:tab/>
        <w:t>K.S. Lim, B.S. Schon, N. V. Mekhileri, G.C.J. Brown, C.M. Chia, S. Prabakar, G.J. Hooper, T.B.F. Woodfield, New Visible-Light Photoinitiating System for Improved Print Fidelity in Gelatin-Based Bioinks, ACS Biomater. Sci. Eng. 2 (2016) 1752–1762. doi:10.1021/acsbiomaterials.6b00149.</w:t>
      </w:r>
    </w:p>
    <w:p w14:paraId="214B7687"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[27]</w:t>
      </w:r>
      <w:r w:rsidRPr="00D95241">
        <w:rPr>
          <w:rFonts w:cs="Arial"/>
          <w:noProof/>
          <w:szCs w:val="24"/>
        </w:rPr>
        <w:tab/>
        <w:t>M. Vaezi, C. Black, D.M.R. Gibbs, R.O.C. Oreffo, M. Brady, M. Moshrefi-Torbati, S. Yang, Characterization of New PEEK/HA composites with 3D HA network fabricated by extrusion freeforming, Molecules. 21 (2016) 1–21. doi:10.3390/molecules21060687.</w:t>
      </w:r>
    </w:p>
    <w:p w14:paraId="670ED103"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[28]</w:t>
      </w:r>
      <w:r w:rsidRPr="00D95241">
        <w:rPr>
          <w:rFonts w:cs="Arial"/>
          <w:noProof/>
          <w:szCs w:val="24"/>
        </w:rPr>
        <w:tab/>
        <w:t>E.M. Czekanska, J. Geng, M. Glinka, K. White, J. Kanczler, N.D. Evans, R.O.C. Oreffo, M. Bradley, Combinatorial delivery of bioactive molecules by a nanoparticle-decorated and functionalized biodegradable scaffold, J. Mater. Chem. B. 6 (2018) 4437–4445. doi:10.1039/c8tb00474a.</w:t>
      </w:r>
    </w:p>
    <w:p w14:paraId="3E75543B"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[29]</w:t>
      </w:r>
      <w:r w:rsidRPr="00D95241">
        <w:rPr>
          <w:rFonts w:cs="Arial"/>
          <w:noProof/>
          <w:szCs w:val="24"/>
        </w:rPr>
        <w:tab/>
        <w:t>T. Bhattacharjee, S.M. Zehnder, K.G. Rowe, S. Jain, R.M. Nixon, W.G. Sawyer, T.E. Angelini, Writing in the granular gel medium, Sci. Adv. 1 (2015) e1500655. doi:10.1126/sciadv.1500655.</w:t>
      </w:r>
    </w:p>
    <w:p w14:paraId="362D23BE"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[30]</w:t>
      </w:r>
      <w:r w:rsidRPr="00D95241">
        <w:rPr>
          <w:rFonts w:cs="Arial"/>
          <w:noProof/>
          <w:szCs w:val="24"/>
        </w:rPr>
        <w:tab/>
        <w:t>D. Chimene, C.W. Peak, J.L. Gentry, J.K. Carrow, L.M. Cross, E. Mondragon, G.B. Cardoso, R. Kaunas, A.K. Gaharwar, Nanoengineered Ionic–Covalent Entanglement (NICE) Bioinks for 3D Bioprinting, ACS Appl. Mater. Interfaces. 10 (2018) 9957–9968. doi:10.1021/acsami.7b19808.</w:t>
      </w:r>
    </w:p>
    <w:p w14:paraId="7CC0EE5C"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[31]</w:t>
      </w:r>
      <w:r w:rsidRPr="00D95241">
        <w:rPr>
          <w:rFonts w:cs="Arial"/>
          <w:noProof/>
          <w:szCs w:val="24"/>
        </w:rPr>
        <w:tab/>
        <w:t>Y. Jin, W. Chai, Y. Huang, Printability study of hydrogel solution extrusion in nanoclay yield-stress bath during printing-then-gelation biofabrication, Mater. Sci. Eng. C. 80 (2017) 313–325. doi:10.1016/j.msec.2017.05.144.</w:t>
      </w:r>
    </w:p>
    <w:p w14:paraId="1085446C"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[32]</w:t>
      </w:r>
      <w:r w:rsidRPr="00D95241">
        <w:rPr>
          <w:rFonts w:cs="Arial"/>
          <w:noProof/>
          <w:szCs w:val="24"/>
        </w:rPr>
        <w:tab/>
        <w:t>A. Akkineni, T. Ahlfeld, A. Funk, A. Waske, A. Lode, M. Gelinsky, Highly Concentrated Alginate-Gellan Gum Composites for 3D Plotting of Complex Tissue Engineering Scaffolds, Polymers (Basel). 8 (2016) 1–16. doi:10.3390/polym8050170.</w:t>
      </w:r>
    </w:p>
    <w:p w14:paraId="639EA698"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[33]</w:t>
      </w:r>
      <w:r w:rsidRPr="00D95241">
        <w:rPr>
          <w:rFonts w:cs="Arial"/>
          <w:noProof/>
          <w:szCs w:val="24"/>
        </w:rPr>
        <w:tab/>
        <w:t>W. Schuurman, P.A. Levett, M.W. Pot, P.R. van Weeren, W.J.A. Dhert, D.W. Hutmacher, F.P.W. Melchels, T.J. Klein, J. Malda, Gelatin-Methacrylamide Hydrogels as Potential Biomaterials for Fabrication of Tissue-Engineered Cartilage Constructs, Macromol. Biosci. 13 (2013) 551–561. doi:10.1002/mabi.201200471.</w:t>
      </w:r>
    </w:p>
    <w:p w14:paraId="5869FA5F"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[34]</w:t>
      </w:r>
      <w:r w:rsidRPr="00D95241">
        <w:rPr>
          <w:rFonts w:cs="Arial"/>
          <w:noProof/>
          <w:szCs w:val="24"/>
        </w:rPr>
        <w:tab/>
        <w:t>V.H.M. Mouser, F.P.W. Melchels, J. Visser, W.J.A. Dhert, D. Gawlitta, J. Malda, Yield stress determines bioprintability of hydrogels based on gelatin-methacryloyl and gellan gum for cartilage bioprinting, Biofabrication. 8 (2016) 1–13. doi:10.1088/1758-5090/8/3/035003.</w:t>
      </w:r>
    </w:p>
    <w:p w14:paraId="74B6F097"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[35]</w:t>
      </w:r>
      <w:r w:rsidRPr="00D95241">
        <w:rPr>
          <w:rFonts w:cs="Arial"/>
          <w:noProof/>
          <w:szCs w:val="24"/>
        </w:rPr>
        <w:tab/>
        <w:t>J. Visser, B. Peters, T.J. Burger, J. Boomstra, W.J. a Dhert, F.P.W. Melchels, J. Malda, Biofabrication of multi-material anatomically shaped tissue constructs., Biofabrication. 5 (2013) 035007. doi:10.1088/1758-5082/5/3/035007.</w:t>
      </w:r>
    </w:p>
    <w:p w14:paraId="2938C825"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[36]</w:t>
      </w:r>
      <w:r w:rsidRPr="00D95241">
        <w:rPr>
          <w:rFonts w:cs="Arial"/>
          <w:noProof/>
          <w:szCs w:val="24"/>
        </w:rPr>
        <w:tab/>
        <w:t>C.J. Ferris, K.J. Gilmore, S. Beirne, D. McCallum, G.G. Wallace, M. in het Panhuis, Bio-ink for on-demand printing of living cells, Biomater. Sci. 1 (2013) 224–230. doi:10.1039/C2BM00114D.</w:t>
      </w:r>
    </w:p>
    <w:p w14:paraId="0262ED8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[37]</w:t>
      </w:r>
      <w:r w:rsidRPr="00D95241">
        <w:rPr>
          <w:rFonts w:cs="Arial"/>
          <w:noProof/>
          <w:szCs w:val="24"/>
        </w:rPr>
        <w:tab/>
        <w:t>F.E. Freeman, D.J. Kelly, Tuning Alginate Bioink Stiffness and Composition for Controlled Growth Factor Delivery and to Spatially Direct MSC Fate within Bioprinted Tissues, Sci. Rep. 7 (2017) 17042. doi:10.1038/s41598-017-17286-1.</w:t>
      </w:r>
    </w:p>
    <w:p w14:paraId="283E8BAA"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lastRenderedPageBreak/>
        <w:t>[38]</w:t>
      </w:r>
      <w:r w:rsidRPr="00D95241">
        <w:rPr>
          <w:rFonts w:cs="Arial"/>
          <w:noProof/>
          <w:szCs w:val="24"/>
        </w:rPr>
        <w:tab/>
        <w:t>J. Malda, J. Visser, F.P. Melchels, T. Jüngst, W.E. Hennink, W.J.A. Dhert, J. Groll, D.W. Hutmacher, 25th anniversary article: Engineering hydrogels for biofabrication, Adv. Mater. 25 (2013) 5011–5028. doi:10.1002/adma.201302042.</w:t>
      </w:r>
    </w:p>
    <w:p w14:paraId="0280C0C5"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[39]</w:t>
      </w:r>
      <w:r w:rsidRPr="00D95241">
        <w:rPr>
          <w:rFonts w:cs="Arial"/>
          <w:noProof/>
          <w:szCs w:val="24"/>
        </w:rPr>
        <w:tab/>
        <w:t>A.R. Akkineni, T. Ahlfeld, A. Lode, M. Gelinsky, A versatile method for combining different biopolymers in a core/shell fashion by 3D plotting to achieve mechanically robust constructs, Biofabrication. 8 (2016) 045001. doi:10.1088/1758-5090/8/4/045001.</w:t>
      </w:r>
    </w:p>
    <w:p w14:paraId="206FFF0A"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[40]</w:t>
      </w:r>
      <w:r w:rsidRPr="00D95241">
        <w:rPr>
          <w:rFonts w:cs="Arial"/>
          <w:noProof/>
          <w:szCs w:val="24"/>
        </w:rPr>
        <w:tab/>
        <w:t>M. Cavo, M. Caria, I. Pulsoni, F. Beltrame, M. Fato, S. Scaglione, A new cell-laden 3D Alginate-Matrigel hydrogel resembles human breast cancer cell malignant morphology, spread and invasion capability observed “in vivo,” Sci. Rep. 8 (2018) 1–12. doi:10.1038/s41598-018-23250-4.</w:t>
      </w:r>
    </w:p>
    <w:p w14:paraId="0397E25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[41]</w:t>
      </w:r>
      <w:r w:rsidRPr="00D95241">
        <w:rPr>
          <w:rFonts w:cs="Arial"/>
          <w:noProof/>
          <w:szCs w:val="24"/>
        </w:rPr>
        <w:tab/>
        <w:t>J.K. Carrow, L.M. Cross, R.W. Reese, M.K. Jaiswal, C.A. Gregory, R. Kaunas, I. Singh, A.K. Gaharwar, Widespread changes in transcriptome profile of human mesenchymal stem cells induced by two-dimensional nanosilicates, Proc. Natl. Acad. Sci. 115 (2018) E3905–E3913. doi:10.1073/pnas.1716164115.</w:t>
      </w:r>
    </w:p>
    <w:p w14:paraId="74D263C4"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[42]</w:t>
      </w:r>
      <w:r w:rsidRPr="00D95241">
        <w:rPr>
          <w:rFonts w:cs="Arial"/>
          <w:noProof/>
          <w:szCs w:val="24"/>
        </w:rPr>
        <w:tab/>
        <w:t>G. Wang, D. Maciel, Y. Wu, J. Rodrigues, X. Shi, Y. Yuan, C. Liu, H. Tomas, Y. Li, Amphiphilic Polymer-Mediated Formation of Laponite-Based Nanohybrids with Robust Stability and pH Sensitivity for Anticancer Drug Delivery., ACS Appl. Mater. Interfaces. 6 (2014) 16687–16695. doi:10.1021/am5032874.</w:t>
      </w:r>
    </w:p>
    <w:p w14:paraId="464A3955"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[43]</w:t>
      </w:r>
      <w:r w:rsidRPr="00D95241">
        <w:rPr>
          <w:rFonts w:cs="Arial"/>
          <w:noProof/>
          <w:szCs w:val="24"/>
        </w:rPr>
        <w:tab/>
        <w:t>B. Zhou, B. Wu, J. Wang, Q. Qian, J. Wang, H. Xu, S. Yang, P. Feng, W. Chen, Y. Li, J. Jiang, B. Han, Drug-mediation formation of nanohybrids for sequential therapeutic delivery in cancer cells, Colloids Surfaces B Biointerfaces. 163 (2018) 284–290. doi:10.1016/j.colsurfb.2017.12.046.</w:t>
      </w:r>
    </w:p>
    <w:p w14:paraId="288657B5"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[44]</w:t>
      </w:r>
      <w:r w:rsidRPr="00D95241">
        <w:rPr>
          <w:rFonts w:cs="Arial"/>
          <w:noProof/>
          <w:szCs w:val="24"/>
        </w:rPr>
        <w:tab/>
        <w:t>R. López-Cebral, A. Civantos, V. Ramos, B. Seijo, J.L. López-Lacomba, J.V. Sanz-Casado, A. Sanchez, Gellan gum based physical hydrogels incorporating highly valuable endogen molecules and associating BMP-2 as bone formation platforms, Carbohydr. Polym. 167 (2017) 345–355. doi:10.1016/j.carbpol.2017.03.049.</w:t>
      </w:r>
    </w:p>
    <w:p w14:paraId="44DF8ED3" w14:textId="77777777" w:rsidR="00D95241" w:rsidRPr="00D95241" w:rsidRDefault="00D95241" w:rsidP="00D95241">
      <w:pPr>
        <w:widowControl w:val="0"/>
        <w:autoSpaceDE w:val="0"/>
        <w:autoSpaceDN w:val="0"/>
        <w:adjustRightInd w:val="0"/>
        <w:spacing w:line="240" w:lineRule="auto"/>
        <w:ind w:left="640" w:hanging="640"/>
        <w:rPr>
          <w:rFonts w:cs="Arial"/>
          <w:noProof/>
          <w:szCs w:val="24"/>
        </w:rPr>
      </w:pPr>
      <w:r w:rsidRPr="00D95241">
        <w:rPr>
          <w:rFonts w:cs="Arial"/>
          <w:noProof/>
          <w:szCs w:val="24"/>
        </w:rPr>
        <w:t>[45]</w:t>
      </w:r>
      <w:r w:rsidRPr="00D95241">
        <w:rPr>
          <w:rFonts w:cs="Arial"/>
          <w:noProof/>
          <w:szCs w:val="24"/>
        </w:rPr>
        <w:tab/>
        <w:t xml:space="preserve">S.M. Upadrashta, B.O. Häglund, L. </w:t>
      </w:r>
      <w:r w:rsidRPr="00D95241">
        <w:rPr>
          <w:rFonts w:ascii="Cambria Math" w:hAnsi="Cambria Math" w:cs="Cambria Math"/>
          <w:noProof/>
          <w:szCs w:val="24"/>
        </w:rPr>
        <w:t>‐</w:t>
      </w:r>
      <w:r w:rsidRPr="00D95241">
        <w:rPr>
          <w:rFonts w:cs="Arial"/>
          <w:noProof/>
          <w:szCs w:val="24"/>
        </w:rPr>
        <w:t>O Sundelöf, Diffusion and concentration profiles of drugs in gels, J. Pharm. Sci. 82 (1993) 1094–1098. doi:10.1002/jps.2600821106.</w:t>
      </w:r>
    </w:p>
    <w:p w14:paraId="4F7706D9" w14:textId="77777777" w:rsidR="00D95241" w:rsidRPr="00D95241" w:rsidRDefault="00D95241" w:rsidP="00D95241">
      <w:pPr>
        <w:widowControl w:val="0"/>
        <w:autoSpaceDE w:val="0"/>
        <w:autoSpaceDN w:val="0"/>
        <w:adjustRightInd w:val="0"/>
        <w:spacing w:line="240" w:lineRule="auto"/>
        <w:ind w:left="640" w:hanging="640"/>
        <w:rPr>
          <w:rFonts w:cs="Arial"/>
          <w:noProof/>
        </w:rPr>
      </w:pPr>
      <w:r w:rsidRPr="00D95241">
        <w:rPr>
          <w:rFonts w:cs="Arial"/>
          <w:noProof/>
          <w:szCs w:val="24"/>
        </w:rPr>
        <w:t>[46]</w:t>
      </w:r>
      <w:r w:rsidRPr="00D95241">
        <w:rPr>
          <w:rFonts w:cs="Arial"/>
          <w:noProof/>
          <w:szCs w:val="24"/>
        </w:rPr>
        <w:tab/>
        <w:t>I. Moreno-Jiménez, G. Hulsart-Billstrom, S.A. Lanham, A.A. Janeczek, N. Kontouli, J.M. Kanczler, N.D. Evans, R.O. Oreffo, The chorioallantoic membrane (CAM) assay for the study of human bone regeneration: a refinement animal model for tissue engineering, Sci. Rep. 6 (2016) 32168. doi:10.1038/srep32168.</w:t>
      </w:r>
    </w:p>
    <w:p w14:paraId="1227AC62" w14:textId="633A646F" w:rsidR="005748BB" w:rsidRPr="00F54DA5" w:rsidRDefault="005748BB" w:rsidP="00D9695A">
      <w:pPr>
        <w:jc w:val="both"/>
      </w:pPr>
      <w:r w:rsidRPr="00F54DA5">
        <w:fldChar w:fldCharType="end"/>
      </w:r>
    </w:p>
    <w:p w14:paraId="522BDD5A" w14:textId="77D7962A" w:rsidR="005748BB" w:rsidRPr="00F54DA5" w:rsidRDefault="005748BB" w:rsidP="00D9695A">
      <w:pPr>
        <w:jc w:val="both"/>
      </w:pPr>
    </w:p>
    <w:p w14:paraId="24A8CC9C" w14:textId="7ABE402E" w:rsidR="005748BB" w:rsidRPr="00F54DA5" w:rsidRDefault="005748BB" w:rsidP="00D9695A">
      <w:pPr>
        <w:jc w:val="both"/>
      </w:pPr>
    </w:p>
    <w:p w14:paraId="6FB117CC" w14:textId="77EAED4F" w:rsidR="005748BB" w:rsidRPr="00F54DA5" w:rsidRDefault="005748BB" w:rsidP="00D9695A">
      <w:pPr>
        <w:jc w:val="both"/>
      </w:pPr>
    </w:p>
    <w:p w14:paraId="0A9EE7D0" w14:textId="0D2FD0A3" w:rsidR="005748BB" w:rsidRPr="00F54DA5" w:rsidRDefault="005748BB" w:rsidP="00D9695A">
      <w:pPr>
        <w:jc w:val="both"/>
      </w:pPr>
    </w:p>
    <w:p w14:paraId="7E63A7EC" w14:textId="502DF71A" w:rsidR="005748BB" w:rsidRPr="00F54DA5" w:rsidRDefault="005748BB" w:rsidP="00D9695A">
      <w:pPr>
        <w:jc w:val="both"/>
      </w:pPr>
    </w:p>
    <w:p w14:paraId="0E6D8FB8" w14:textId="1C2F2F35" w:rsidR="005748BB" w:rsidRPr="00F54DA5" w:rsidRDefault="005748BB" w:rsidP="00D9695A">
      <w:pPr>
        <w:jc w:val="both"/>
      </w:pPr>
    </w:p>
    <w:p w14:paraId="5932C1EB" w14:textId="0B464105" w:rsidR="005748BB" w:rsidRPr="00F54DA5" w:rsidRDefault="005748BB" w:rsidP="00D9695A">
      <w:pPr>
        <w:jc w:val="both"/>
      </w:pPr>
    </w:p>
    <w:p w14:paraId="21391ED5" w14:textId="276085D5" w:rsidR="005748BB" w:rsidRPr="00F54DA5" w:rsidRDefault="005748BB" w:rsidP="00D9695A">
      <w:pPr>
        <w:jc w:val="both"/>
      </w:pPr>
    </w:p>
    <w:p w14:paraId="3CFAF58D" w14:textId="02AAEC68" w:rsidR="005748BB" w:rsidRPr="00F54DA5" w:rsidRDefault="005748BB" w:rsidP="00D9695A">
      <w:pPr>
        <w:jc w:val="both"/>
      </w:pPr>
    </w:p>
    <w:p w14:paraId="723BFE83" w14:textId="029FD24B" w:rsidR="005748BB" w:rsidRPr="00F54DA5" w:rsidRDefault="005748BB" w:rsidP="00D9695A">
      <w:pPr>
        <w:jc w:val="both"/>
      </w:pPr>
    </w:p>
    <w:p w14:paraId="4853449D" w14:textId="3D7C0BD0" w:rsidR="005748BB" w:rsidRPr="00F54DA5" w:rsidRDefault="005748BB" w:rsidP="00D9695A">
      <w:pPr>
        <w:jc w:val="both"/>
      </w:pPr>
    </w:p>
    <w:p w14:paraId="5ADDEDB2" w14:textId="0F0354A5" w:rsidR="005748BB" w:rsidRDefault="005748BB" w:rsidP="00D9695A">
      <w:pPr>
        <w:jc w:val="both"/>
      </w:pPr>
    </w:p>
    <w:p w14:paraId="0DD2E5F5" w14:textId="6ECC9B54" w:rsidR="00A36CC1" w:rsidRDefault="00A36CC1" w:rsidP="00D9695A">
      <w:pPr>
        <w:jc w:val="both"/>
      </w:pPr>
    </w:p>
    <w:p w14:paraId="3A6FCF9D" w14:textId="6E7C9BAA" w:rsidR="00A36CC1" w:rsidRDefault="00A36CC1" w:rsidP="00D9695A">
      <w:pPr>
        <w:jc w:val="both"/>
      </w:pPr>
    </w:p>
    <w:sectPr w:rsidR="00A36CC1" w:rsidSect="00E273E5">
      <w:pgSz w:w="11907" w:h="16840" w:code="9"/>
      <w:pgMar w:top="1440" w:right="1440" w:bottom="1440" w:left="1440" w:header="425" w:footer="425" w:gutter="0"/>
      <w:cols w:space="708"/>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27049A" w16cid:durableId="20AA303A"/>
  <w16cid:commentId w16cid:paraId="1B447919" w16cid:durableId="20AA30DF"/>
  <w16cid:commentId w16cid:paraId="556E33CA" w16cid:durableId="20AA38E0"/>
  <w16cid:commentId w16cid:paraId="21CA1D13" w16cid:durableId="20AA3904"/>
  <w16cid:commentId w16cid:paraId="73E6FEC7" w16cid:durableId="20AA3A54"/>
  <w16cid:commentId w16cid:paraId="4A4F6C18" w16cid:durableId="20AA3B68"/>
  <w16cid:commentId w16cid:paraId="1932E72A" w16cid:durableId="20AA3BB7"/>
  <w16cid:commentId w16cid:paraId="4DF98EAC" w16cid:durableId="20AA458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AB16B" w14:textId="77777777" w:rsidR="00C96DAA" w:rsidRDefault="00C96DAA">
      <w:pPr>
        <w:spacing w:after="0" w:line="240" w:lineRule="auto"/>
      </w:pPr>
      <w:r>
        <w:separator/>
      </w:r>
    </w:p>
  </w:endnote>
  <w:endnote w:type="continuationSeparator" w:id="0">
    <w:p w14:paraId="5803382E" w14:textId="77777777" w:rsidR="00C96DAA" w:rsidRDefault="00C96DAA">
      <w:pPr>
        <w:spacing w:after="0" w:line="240" w:lineRule="auto"/>
      </w:pPr>
      <w:r>
        <w:continuationSeparator/>
      </w:r>
    </w:p>
  </w:endnote>
  <w:endnote w:type="continuationNotice" w:id="1">
    <w:p w14:paraId="265D62FC" w14:textId="77777777" w:rsidR="00C96DAA" w:rsidRDefault="00C96D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0"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CF8B1" w14:textId="77777777" w:rsidR="00C96DAA" w:rsidRDefault="00C96DAA">
      <w:pPr>
        <w:spacing w:after="0" w:line="240" w:lineRule="auto"/>
      </w:pPr>
      <w:r>
        <w:separator/>
      </w:r>
    </w:p>
  </w:footnote>
  <w:footnote w:type="continuationSeparator" w:id="0">
    <w:p w14:paraId="6AD52806" w14:textId="77777777" w:rsidR="00C96DAA" w:rsidRDefault="00C96DAA">
      <w:pPr>
        <w:spacing w:after="0" w:line="240" w:lineRule="auto"/>
      </w:pPr>
      <w:r>
        <w:continuationSeparator/>
      </w:r>
    </w:p>
  </w:footnote>
  <w:footnote w:type="continuationNotice" w:id="1">
    <w:p w14:paraId="16DD1B2D" w14:textId="77777777" w:rsidR="00C96DAA" w:rsidRDefault="00C96DAA">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28059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FF607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E92E5C"/>
    <w:multiLevelType w:val="hybridMultilevel"/>
    <w:tmpl w:val="89609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163856"/>
    <w:multiLevelType w:val="hybridMultilevel"/>
    <w:tmpl w:val="E7B01112"/>
    <w:lvl w:ilvl="0" w:tplc="605E56DE">
      <w:start w:val="1"/>
      <w:numFmt w:val="decimal"/>
      <w:pStyle w:val="Heading3"/>
      <w:lvlText w:val="%1.1"/>
      <w:lvlJc w:val="left"/>
      <w:pPr>
        <w:ind w:left="108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13" w15:restartNumberingAfterBreak="0">
    <w:nsid w:val="2A924B36"/>
    <w:multiLevelType w:val="hybridMultilevel"/>
    <w:tmpl w:val="5450F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035F4F"/>
    <w:multiLevelType w:val="hybridMultilevel"/>
    <w:tmpl w:val="60227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431A4B"/>
    <w:multiLevelType w:val="multilevel"/>
    <w:tmpl w:val="818C5E72"/>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3F5989"/>
    <w:multiLevelType w:val="hybridMultilevel"/>
    <w:tmpl w:val="E44A72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23502C"/>
    <w:multiLevelType w:val="multilevel"/>
    <w:tmpl w:val="733433BC"/>
    <w:styleLink w:val="Formatvorlage1"/>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1F0023"/>
    <w:multiLevelType w:val="multilevel"/>
    <w:tmpl w:val="31668ADA"/>
    <w:lvl w:ilvl="0">
      <w:start w:val="6"/>
      <w:numFmt w:val="decimal"/>
      <w:pStyle w:val="Heading1"/>
      <w:lvlText w:val="Chapter %1:"/>
      <w:lvlJc w:val="left"/>
      <w:pPr>
        <w:tabs>
          <w:tab w:val="num" w:pos="1985"/>
        </w:tabs>
        <w:ind w:left="567" w:hanging="567"/>
      </w:pPr>
      <w:rPr>
        <w:rFonts w:hint="default"/>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361"/>
        </w:tabs>
        <w:ind w:left="1361" w:hanging="1361"/>
      </w:pPr>
      <w:rPr>
        <w:rFonts w:hint="default"/>
      </w:rPr>
    </w:lvl>
    <w:lvl w:ilvl="6">
      <w:start w:val="1"/>
      <w:numFmt w:val="decimal"/>
      <w:lvlText w:val="%1.%2.%3.%4.%5.%6.%7"/>
      <w:lvlJc w:val="left"/>
      <w:pPr>
        <w:tabs>
          <w:tab w:val="num" w:pos="1474"/>
        </w:tabs>
        <w:ind w:left="1474" w:hanging="1474"/>
      </w:pPr>
      <w:rPr>
        <w:rFonts w:hint="default"/>
      </w:rPr>
    </w:lvl>
    <w:lvl w:ilvl="7">
      <w:start w:val="1"/>
      <w:numFmt w:val="decimal"/>
      <w:lvlText w:val="%1.%2.%3.%4.%5.%6.%7.%8"/>
      <w:lvlJc w:val="left"/>
      <w:pPr>
        <w:tabs>
          <w:tab w:val="num" w:pos="1588"/>
        </w:tabs>
        <w:ind w:left="1588" w:hanging="1588"/>
      </w:pPr>
      <w:rPr>
        <w:rFonts w:hint="default"/>
      </w:rPr>
    </w:lvl>
    <w:lvl w:ilvl="8">
      <w:start w:val="1"/>
      <w:numFmt w:val="decimal"/>
      <w:lvlText w:val="%1.%2.%3.%4.%5.%6.%7.%8.%9"/>
      <w:lvlJc w:val="left"/>
      <w:pPr>
        <w:tabs>
          <w:tab w:val="num" w:pos="1701"/>
        </w:tabs>
        <w:ind w:left="1701" w:hanging="1701"/>
      </w:pPr>
      <w:rPr>
        <w:rFonts w:hint="default"/>
      </w:rPr>
    </w:lvl>
  </w:abstractNum>
  <w:abstractNum w:abstractNumId="19" w15:restartNumberingAfterBreak="0">
    <w:nsid w:val="466D03EE"/>
    <w:multiLevelType w:val="hybridMultilevel"/>
    <w:tmpl w:val="E16449FC"/>
    <w:lvl w:ilvl="0" w:tplc="08090013">
      <w:start w:val="1"/>
      <w:numFmt w:val="upp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05D4CC3"/>
    <w:multiLevelType w:val="multilevel"/>
    <w:tmpl w:val="FCD87200"/>
    <w:lvl w:ilvl="0">
      <w:start w:val="1"/>
      <w:numFmt w:val="decimal"/>
      <w:pStyle w:val="Heading2"/>
      <w:lvlText w:val="%1."/>
      <w:lvlJc w:val="left"/>
      <w:pPr>
        <w:ind w:left="720" w:hanging="360"/>
      </w:pPr>
    </w:lvl>
    <w:lvl w:ilvl="1">
      <w:start w:val="1"/>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DD56E1C"/>
    <w:multiLevelType w:val="hybridMultilevel"/>
    <w:tmpl w:val="EDC64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15957FD"/>
    <w:multiLevelType w:val="hybridMultilevel"/>
    <w:tmpl w:val="8C8C4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F44395"/>
    <w:multiLevelType w:val="hybridMultilevel"/>
    <w:tmpl w:val="A4F4CEB0"/>
    <w:lvl w:ilvl="0" w:tplc="826624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96D85"/>
    <w:multiLevelType w:val="hybridMultilevel"/>
    <w:tmpl w:val="1242B7F2"/>
    <w:lvl w:ilvl="0" w:tplc="7788F694">
      <w:start w:val="1"/>
      <w:numFmt w:val="decimal"/>
      <w:pStyle w:val="Heading4"/>
      <w:lvlText w:val="5.2.4.%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EF6418"/>
    <w:multiLevelType w:val="hybridMultilevel"/>
    <w:tmpl w:val="74963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2A0071"/>
    <w:multiLevelType w:val="hybridMultilevel"/>
    <w:tmpl w:val="8A2AE9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E171BB"/>
    <w:multiLevelType w:val="hybridMultilevel"/>
    <w:tmpl w:val="CC2ADEBC"/>
    <w:lvl w:ilvl="0" w:tplc="84541CD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18"/>
  </w:num>
  <w:num w:numId="2">
    <w:abstractNumId w:val="17"/>
  </w:num>
  <w:num w:numId="3">
    <w:abstractNumId w:val="24"/>
  </w:num>
  <w:num w:numId="4">
    <w:abstractNumId w:val="20"/>
  </w:num>
  <w:num w:numId="5">
    <w:abstractNumId w:val="11"/>
  </w:num>
  <w:num w:numId="6">
    <w:abstractNumId w:val="3"/>
  </w:num>
  <w:num w:numId="7">
    <w:abstractNumId w:val="20"/>
  </w:num>
  <w:num w:numId="8">
    <w:abstractNumId w:val="12"/>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6"/>
  </w:num>
  <w:num w:numId="14">
    <w:abstractNumId w:val="5"/>
  </w:num>
  <w:num w:numId="15">
    <w:abstractNumId w:val="4"/>
  </w:num>
  <w:num w:numId="16">
    <w:abstractNumId w:val="8"/>
  </w:num>
  <w:num w:numId="17">
    <w:abstractNumId w:val="2"/>
  </w:num>
  <w:num w:numId="18">
    <w:abstractNumId w:val="1"/>
  </w:num>
  <w:num w:numId="19">
    <w:abstractNumId w:val="0"/>
  </w:num>
  <w:num w:numId="20">
    <w:abstractNumId w:val="13"/>
  </w:num>
  <w:num w:numId="21">
    <w:abstractNumId w:val="10"/>
  </w:num>
  <w:num w:numId="22">
    <w:abstractNumId w:val="21"/>
  </w:num>
  <w:num w:numId="23">
    <w:abstractNumId w:val="25"/>
  </w:num>
  <w:num w:numId="24">
    <w:abstractNumId w:val="22"/>
  </w:num>
  <w:num w:numId="25">
    <w:abstractNumId w:val="14"/>
  </w:num>
  <w:num w:numId="2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6"/>
  </w:num>
  <w:num w:numId="33">
    <w:abstractNumId w:val="18"/>
  </w:num>
  <w:num w:numId="34">
    <w:abstractNumId w:val="20"/>
  </w:num>
  <w:num w:numId="35">
    <w:abstractNumId w:val="20"/>
  </w:num>
  <w:num w:numId="36">
    <w:abstractNumId w:val="20"/>
  </w:num>
  <w:num w:numId="37">
    <w:abstractNumId w:val="20"/>
  </w:num>
  <w:num w:numId="38">
    <w:abstractNumId w:val="23"/>
  </w:num>
  <w:num w:numId="39">
    <w:abstractNumId w:val="11"/>
  </w:num>
  <w:num w:numId="40">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fr-FR" w:vendorID="64" w:dllVersion="6" w:nlCheck="1" w:checkStyle="0"/>
  <w:activeWritingStyle w:appName="MSWord" w:lang="en-GB" w:vendorID="64" w:dllVersion="6" w:nlCheck="1" w:checkStyle="1"/>
  <w:activeWritingStyle w:appName="MSWord" w:lang="it-IT" w:vendorID="64" w:dllVersion="6" w:nlCheck="1" w:checkStyle="0"/>
  <w:activeWritingStyle w:appName="MSWord" w:lang="en-GB" w:vendorID="64" w:dllVersion="4096" w:nlCheck="1" w:checkStyle="0"/>
  <w:activeWritingStyle w:appName="MSWord" w:lang="it-IT" w:vendorID="64" w:dllVersion="4096" w:nlCheck="1" w:checkStyle="0"/>
  <w:activeWritingStyle w:appName="MSWord" w:lang="en-GB" w:vendorID="64" w:dllVersion="131078" w:nlCheck="1" w:checkStyle="0"/>
  <w:activeWritingStyle w:appName="MSWord" w:lang="it-IT" w:vendorID="64" w:dllVersion="131078" w:nlCheck="1" w:checkStyle="0"/>
  <w:activeWritingStyle w:appName="MSWord" w:lang="fr-FR" w:vendorID="64" w:dllVersion="131078" w:nlCheck="1" w:checkStyle="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EwNDU2sTA1MDM3MDBS0lEKTi0uzszPAykwqQUAjImFeiwAAAA="/>
  </w:docVars>
  <w:rsids>
    <w:rsidRoot w:val="00AC6534"/>
    <w:rsid w:val="00011CE4"/>
    <w:rsid w:val="00031425"/>
    <w:rsid w:val="00034654"/>
    <w:rsid w:val="00063C8F"/>
    <w:rsid w:val="000722E4"/>
    <w:rsid w:val="0007374D"/>
    <w:rsid w:val="00075428"/>
    <w:rsid w:val="000802F1"/>
    <w:rsid w:val="00093036"/>
    <w:rsid w:val="00095E59"/>
    <w:rsid w:val="00096E0E"/>
    <w:rsid w:val="00097292"/>
    <w:rsid w:val="000A6DA3"/>
    <w:rsid w:val="000C2262"/>
    <w:rsid w:val="000C24F7"/>
    <w:rsid w:val="000C29BB"/>
    <w:rsid w:val="000C5EF0"/>
    <w:rsid w:val="000D23AD"/>
    <w:rsid w:val="000D63C3"/>
    <w:rsid w:val="000E090E"/>
    <w:rsid w:val="000E1272"/>
    <w:rsid w:val="000E13CF"/>
    <w:rsid w:val="000E1429"/>
    <w:rsid w:val="000E4502"/>
    <w:rsid w:val="000F7610"/>
    <w:rsid w:val="0010426E"/>
    <w:rsid w:val="0010679A"/>
    <w:rsid w:val="00114598"/>
    <w:rsid w:val="00115100"/>
    <w:rsid w:val="00115DDC"/>
    <w:rsid w:val="00117978"/>
    <w:rsid w:val="00126CD4"/>
    <w:rsid w:val="001523B2"/>
    <w:rsid w:val="00154694"/>
    <w:rsid w:val="001710BE"/>
    <w:rsid w:val="00172E1E"/>
    <w:rsid w:val="001805FF"/>
    <w:rsid w:val="001821E5"/>
    <w:rsid w:val="001852E5"/>
    <w:rsid w:val="001B14A9"/>
    <w:rsid w:val="001B2CF9"/>
    <w:rsid w:val="001C0FB8"/>
    <w:rsid w:val="001D5D6E"/>
    <w:rsid w:val="001D6A2B"/>
    <w:rsid w:val="001E5B40"/>
    <w:rsid w:val="001E7460"/>
    <w:rsid w:val="0020140E"/>
    <w:rsid w:val="002048C4"/>
    <w:rsid w:val="00230F0D"/>
    <w:rsid w:val="00231443"/>
    <w:rsid w:val="00236768"/>
    <w:rsid w:val="00236CC1"/>
    <w:rsid w:val="00240DCF"/>
    <w:rsid w:val="002471EF"/>
    <w:rsid w:val="0024769F"/>
    <w:rsid w:val="0026159D"/>
    <w:rsid w:val="002625DF"/>
    <w:rsid w:val="00270D24"/>
    <w:rsid w:val="0027255F"/>
    <w:rsid w:val="00291AFB"/>
    <w:rsid w:val="00295ACB"/>
    <w:rsid w:val="002A3348"/>
    <w:rsid w:val="002A42D9"/>
    <w:rsid w:val="002B0953"/>
    <w:rsid w:val="002B4B3A"/>
    <w:rsid w:val="002C2C01"/>
    <w:rsid w:val="002D035D"/>
    <w:rsid w:val="002D55D3"/>
    <w:rsid w:val="002E1512"/>
    <w:rsid w:val="002E75B6"/>
    <w:rsid w:val="002F418F"/>
    <w:rsid w:val="002F77DE"/>
    <w:rsid w:val="00303B95"/>
    <w:rsid w:val="0030726A"/>
    <w:rsid w:val="003172F1"/>
    <w:rsid w:val="00317946"/>
    <w:rsid w:val="003312D0"/>
    <w:rsid w:val="00335E74"/>
    <w:rsid w:val="00346CBF"/>
    <w:rsid w:val="00366721"/>
    <w:rsid w:val="00371B93"/>
    <w:rsid w:val="00372203"/>
    <w:rsid w:val="00385997"/>
    <w:rsid w:val="00395B8C"/>
    <w:rsid w:val="00397D37"/>
    <w:rsid w:val="003A1DA1"/>
    <w:rsid w:val="003B002D"/>
    <w:rsid w:val="003C55EC"/>
    <w:rsid w:val="003E0AAC"/>
    <w:rsid w:val="003E3819"/>
    <w:rsid w:val="003F4C21"/>
    <w:rsid w:val="00400BB6"/>
    <w:rsid w:val="004036AA"/>
    <w:rsid w:val="00404343"/>
    <w:rsid w:val="0040523F"/>
    <w:rsid w:val="00407736"/>
    <w:rsid w:val="004110A4"/>
    <w:rsid w:val="004204EE"/>
    <w:rsid w:val="00432CA0"/>
    <w:rsid w:val="004353E6"/>
    <w:rsid w:val="00440775"/>
    <w:rsid w:val="00440D23"/>
    <w:rsid w:val="0044261A"/>
    <w:rsid w:val="00443B84"/>
    <w:rsid w:val="00443E36"/>
    <w:rsid w:val="00461BE0"/>
    <w:rsid w:val="00476A05"/>
    <w:rsid w:val="00496E2D"/>
    <w:rsid w:val="004A23E5"/>
    <w:rsid w:val="004A3750"/>
    <w:rsid w:val="004B6E2F"/>
    <w:rsid w:val="004B7D4B"/>
    <w:rsid w:val="004C4F11"/>
    <w:rsid w:val="004D1235"/>
    <w:rsid w:val="004D1647"/>
    <w:rsid w:val="004E2427"/>
    <w:rsid w:val="004E5B68"/>
    <w:rsid w:val="004F58BC"/>
    <w:rsid w:val="00516A6B"/>
    <w:rsid w:val="00527DD2"/>
    <w:rsid w:val="005311EA"/>
    <w:rsid w:val="00542538"/>
    <w:rsid w:val="00543B53"/>
    <w:rsid w:val="005443B7"/>
    <w:rsid w:val="00550C45"/>
    <w:rsid w:val="00553B84"/>
    <w:rsid w:val="005540CB"/>
    <w:rsid w:val="005614D9"/>
    <w:rsid w:val="00562DFC"/>
    <w:rsid w:val="00563114"/>
    <w:rsid w:val="00566676"/>
    <w:rsid w:val="00571195"/>
    <w:rsid w:val="005748BB"/>
    <w:rsid w:val="005912B9"/>
    <w:rsid w:val="0059500C"/>
    <w:rsid w:val="005A0266"/>
    <w:rsid w:val="005A5A14"/>
    <w:rsid w:val="005B3EDE"/>
    <w:rsid w:val="005C067E"/>
    <w:rsid w:val="005C0B9E"/>
    <w:rsid w:val="005C4655"/>
    <w:rsid w:val="005C5D4A"/>
    <w:rsid w:val="005D4960"/>
    <w:rsid w:val="005E66D8"/>
    <w:rsid w:val="006112C0"/>
    <w:rsid w:val="00615BE4"/>
    <w:rsid w:val="00620BD7"/>
    <w:rsid w:val="00633774"/>
    <w:rsid w:val="006375BD"/>
    <w:rsid w:val="0065058E"/>
    <w:rsid w:val="00660517"/>
    <w:rsid w:val="0066447B"/>
    <w:rsid w:val="00664955"/>
    <w:rsid w:val="0067143A"/>
    <w:rsid w:val="00671E5F"/>
    <w:rsid w:val="00685508"/>
    <w:rsid w:val="00685B42"/>
    <w:rsid w:val="00692AD2"/>
    <w:rsid w:val="006A38EE"/>
    <w:rsid w:val="006A3F23"/>
    <w:rsid w:val="006B547F"/>
    <w:rsid w:val="006B7D0C"/>
    <w:rsid w:val="006D41EA"/>
    <w:rsid w:val="006D6271"/>
    <w:rsid w:val="006D64C0"/>
    <w:rsid w:val="006E3D97"/>
    <w:rsid w:val="006E5166"/>
    <w:rsid w:val="006F203B"/>
    <w:rsid w:val="006F4C9F"/>
    <w:rsid w:val="006F541F"/>
    <w:rsid w:val="006F60A8"/>
    <w:rsid w:val="00704085"/>
    <w:rsid w:val="00711130"/>
    <w:rsid w:val="00711EDE"/>
    <w:rsid w:val="0072000A"/>
    <w:rsid w:val="007234CF"/>
    <w:rsid w:val="0073312C"/>
    <w:rsid w:val="00744DF2"/>
    <w:rsid w:val="00752875"/>
    <w:rsid w:val="00757574"/>
    <w:rsid w:val="00761AC7"/>
    <w:rsid w:val="0076742E"/>
    <w:rsid w:val="007701BE"/>
    <w:rsid w:val="00790276"/>
    <w:rsid w:val="00792754"/>
    <w:rsid w:val="00793844"/>
    <w:rsid w:val="007B0573"/>
    <w:rsid w:val="007B5294"/>
    <w:rsid w:val="007B6465"/>
    <w:rsid w:val="007D107C"/>
    <w:rsid w:val="007E06F5"/>
    <w:rsid w:val="007E1F9B"/>
    <w:rsid w:val="007F14ED"/>
    <w:rsid w:val="007F7C81"/>
    <w:rsid w:val="008155CD"/>
    <w:rsid w:val="00815773"/>
    <w:rsid w:val="00822071"/>
    <w:rsid w:val="00823BB6"/>
    <w:rsid w:val="008240AA"/>
    <w:rsid w:val="008266CB"/>
    <w:rsid w:val="00827C2D"/>
    <w:rsid w:val="00830D5E"/>
    <w:rsid w:val="008346B5"/>
    <w:rsid w:val="0084765B"/>
    <w:rsid w:val="00854F3E"/>
    <w:rsid w:val="00870AA8"/>
    <w:rsid w:val="00876558"/>
    <w:rsid w:val="00876774"/>
    <w:rsid w:val="00876E1E"/>
    <w:rsid w:val="008A12EE"/>
    <w:rsid w:val="008B20C9"/>
    <w:rsid w:val="008D1AFE"/>
    <w:rsid w:val="008E401A"/>
    <w:rsid w:val="008E5CF2"/>
    <w:rsid w:val="008F104B"/>
    <w:rsid w:val="009014C2"/>
    <w:rsid w:val="00910A55"/>
    <w:rsid w:val="0091288C"/>
    <w:rsid w:val="00917E1E"/>
    <w:rsid w:val="0092183A"/>
    <w:rsid w:val="00921EB3"/>
    <w:rsid w:val="00923B48"/>
    <w:rsid w:val="00940D86"/>
    <w:rsid w:val="00942CF1"/>
    <w:rsid w:val="00944090"/>
    <w:rsid w:val="00953A5A"/>
    <w:rsid w:val="00957D1D"/>
    <w:rsid w:val="0096214F"/>
    <w:rsid w:val="00970F40"/>
    <w:rsid w:val="00974431"/>
    <w:rsid w:val="009875D3"/>
    <w:rsid w:val="0099169D"/>
    <w:rsid w:val="009952D0"/>
    <w:rsid w:val="009A575F"/>
    <w:rsid w:val="009B39CA"/>
    <w:rsid w:val="009C0C14"/>
    <w:rsid w:val="009C0C5C"/>
    <w:rsid w:val="009C4CDB"/>
    <w:rsid w:val="009C7DDA"/>
    <w:rsid w:val="009D19F6"/>
    <w:rsid w:val="009E5C4F"/>
    <w:rsid w:val="009F15AD"/>
    <w:rsid w:val="00A00B51"/>
    <w:rsid w:val="00A054E0"/>
    <w:rsid w:val="00A1011A"/>
    <w:rsid w:val="00A14EB5"/>
    <w:rsid w:val="00A36CC1"/>
    <w:rsid w:val="00A41801"/>
    <w:rsid w:val="00A60365"/>
    <w:rsid w:val="00A735E3"/>
    <w:rsid w:val="00A736A8"/>
    <w:rsid w:val="00A74FA2"/>
    <w:rsid w:val="00A864BA"/>
    <w:rsid w:val="00A866D4"/>
    <w:rsid w:val="00A9169D"/>
    <w:rsid w:val="00A95460"/>
    <w:rsid w:val="00AC6138"/>
    <w:rsid w:val="00AC6534"/>
    <w:rsid w:val="00AD210F"/>
    <w:rsid w:val="00AD26E5"/>
    <w:rsid w:val="00AD4066"/>
    <w:rsid w:val="00AE1AAB"/>
    <w:rsid w:val="00AE37FD"/>
    <w:rsid w:val="00B00BD7"/>
    <w:rsid w:val="00B055EA"/>
    <w:rsid w:val="00B058EE"/>
    <w:rsid w:val="00B05DEF"/>
    <w:rsid w:val="00B0703B"/>
    <w:rsid w:val="00B12B8D"/>
    <w:rsid w:val="00B316B9"/>
    <w:rsid w:val="00B360D9"/>
    <w:rsid w:val="00B363DE"/>
    <w:rsid w:val="00B369C5"/>
    <w:rsid w:val="00B4559B"/>
    <w:rsid w:val="00B607EC"/>
    <w:rsid w:val="00B61273"/>
    <w:rsid w:val="00B874E4"/>
    <w:rsid w:val="00B90110"/>
    <w:rsid w:val="00BA3C4E"/>
    <w:rsid w:val="00BB4543"/>
    <w:rsid w:val="00BB5A25"/>
    <w:rsid w:val="00BB630F"/>
    <w:rsid w:val="00BC44FC"/>
    <w:rsid w:val="00BC6C40"/>
    <w:rsid w:val="00BD09BA"/>
    <w:rsid w:val="00BD1D0E"/>
    <w:rsid w:val="00BD351F"/>
    <w:rsid w:val="00BD3976"/>
    <w:rsid w:val="00BE4DDB"/>
    <w:rsid w:val="00BE583F"/>
    <w:rsid w:val="00C05432"/>
    <w:rsid w:val="00C05937"/>
    <w:rsid w:val="00C05D85"/>
    <w:rsid w:val="00C06022"/>
    <w:rsid w:val="00C07DDB"/>
    <w:rsid w:val="00C151FA"/>
    <w:rsid w:val="00C16BAA"/>
    <w:rsid w:val="00C16CFF"/>
    <w:rsid w:val="00C22F37"/>
    <w:rsid w:val="00C236B4"/>
    <w:rsid w:val="00C24DD6"/>
    <w:rsid w:val="00C31B51"/>
    <w:rsid w:val="00C40341"/>
    <w:rsid w:val="00C46867"/>
    <w:rsid w:val="00C568C1"/>
    <w:rsid w:val="00C61137"/>
    <w:rsid w:val="00C61A86"/>
    <w:rsid w:val="00C61ABB"/>
    <w:rsid w:val="00C65E5E"/>
    <w:rsid w:val="00C729E7"/>
    <w:rsid w:val="00C76565"/>
    <w:rsid w:val="00C80625"/>
    <w:rsid w:val="00C86917"/>
    <w:rsid w:val="00C94528"/>
    <w:rsid w:val="00C96DAA"/>
    <w:rsid w:val="00CB5CB6"/>
    <w:rsid w:val="00CB6E3D"/>
    <w:rsid w:val="00CC404C"/>
    <w:rsid w:val="00CD5C96"/>
    <w:rsid w:val="00CE7BA1"/>
    <w:rsid w:val="00CF5A1A"/>
    <w:rsid w:val="00D00364"/>
    <w:rsid w:val="00D021E6"/>
    <w:rsid w:val="00D02892"/>
    <w:rsid w:val="00D03556"/>
    <w:rsid w:val="00D04B56"/>
    <w:rsid w:val="00D13303"/>
    <w:rsid w:val="00D21D17"/>
    <w:rsid w:val="00D250BD"/>
    <w:rsid w:val="00D36678"/>
    <w:rsid w:val="00D4052A"/>
    <w:rsid w:val="00D46062"/>
    <w:rsid w:val="00D47B42"/>
    <w:rsid w:val="00D51F0E"/>
    <w:rsid w:val="00D60BEE"/>
    <w:rsid w:val="00D620F7"/>
    <w:rsid w:val="00D764FC"/>
    <w:rsid w:val="00D81898"/>
    <w:rsid w:val="00D85C6F"/>
    <w:rsid w:val="00D86552"/>
    <w:rsid w:val="00D87303"/>
    <w:rsid w:val="00D92010"/>
    <w:rsid w:val="00D95241"/>
    <w:rsid w:val="00D9695A"/>
    <w:rsid w:val="00DA0411"/>
    <w:rsid w:val="00DA1058"/>
    <w:rsid w:val="00DA1926"/>
    <w:rsid w:val="00DA378A"/>
    <w:rsid w:val="00DA6ED7"/>
    <w:rsid w:val="00DC1D3D"/>
    <w:rsid w:val="00DC5D33"/>
    <w:rsid w:val="00DD0F73"/>
    <w:rsid w:val="00DF14F0"/>
    <w:rsid w:val="00E00D35"/>
    <w:rsid w:val="00E1342D"/>
    <w:rsid w:val="00E273E5"/>
    <w:rsid w:val="00E318B2"/>
    <w:rsid w:val="00E326EF"/>
    <w:rsid w:val="00E35D95"/>
    <w:rsid w:val="00E523C3"/>
    <w:rsid w:val="00E54003"/>
    <w:rsid w:val="00E5550F"/>
    <w:rsid w:val="00E56EDB"/>
    <w:rsid w:val="00E6237A"/>
    <w:rsid w:val="00E63C52"/>
    <w:rsid w:val="00E65627"/>
    <w:rsid w:val="00E65A54"/>
    <w:rsid w:val="00E703BF"/>
    <w:rsid w:val="00E82663"/>
    <w:rsid w:val="00E86ECC"/>
    <w:rsid w:val="00E96C3C"/>
    <w:rsid w:val="00EB0781"/>
    <w:rsid w:val="00EB5CDA"/>
    <w:rsid w:val="00EC48D0"/>
    <w:rsid w:val="00ED0DD7"/>
    <w:rsid w:val="00ED6953"/>
    <w:rsid w:val="00EE444C"/>
    <w:rsid w:val="00EE53ED"/>
    <w:rsid w:val="00EE6120"/>
    <w:rsid w:val="00EE7A98"/>
    <w:rsid w:val="00EF5927"/>
    <w:rsid w:val="00EF6839"/>
    <w:rsid w:val="00F04E23"/>
    <w:rsid w:val="00F06C64"/>
    <w:rsid w:val="00F42B0E"/>
    <w:rsid w:val="00F5290D"/>
    <w:rsid w:val="00F54DA5"/>
    <w:rsid w:val="00F65C8C"/>
    <w:rsid w:val="00F715E4"/>
    <w:rsid w:val="00F86D58"/>
    <w:rsid w:val="00F87924"/>
    <w:rsid w:val="00F9005D"/>
    <w:rsid w:val="00F9012F"/>
    <w:rsid w:val="00F933F7"/>
    <w:rsid w:val="00FA27BD"/>
    <w:rsid w:val="00FA2A14"/>
    <w:rsid w:val="00FA40BF"/>
    <w:rsid w:val="00FA5EBB"/>
    <w:rsid w:val="00FB08AA"/>
    <w:rsid w:val="00FB1A24"/>
    <w:rsid w:val="00FC21AD"/>
    <w:rsid w:val="00FC7F76"/>
    <w:rsid w:val="00FF41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38D6F4"/>
  <w15:chartTrackingRefBased/>
  <w15:docId w15:val="{5B5A23A7-B494-408C-8557-D3F89B7B1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A5A"/>
    <w:rPr>
      <w:rFonts w:ascii="Arial" w:hAnsi="Arial"/>
    </w:rPr>
  </w:style>
  <w:style w:type="paragraph" w:styleId="Heading1">
    <w:name w:val="heading 1"/>
    <w:basedOn w:val="Normal"/>
    <w:next w:val="Normal"/>
    <w:link w:val="Heading1Char"/>
    <w:qFormat/>
    <w:rsid w:val="002E1512"/>
    <w:pPr>
      <w:keepNext/>
      <w:numPr>
        <w:numId w:val="1"/>
      </w:numPr>
      <w:spacing w:before="200" w:after="0" w:line="240" w:lineRule="auto"/>
      <w:outlineLvl w:val="0"/>
    </w:pPr>
    <w:rPr>
      <w:rFonts w:eastAsiaTheme="majorEastAsia" w:cstheme="majorBidi"/>
      <w:sz w:val="36"/>
      <w:szCs w:val="32"/>
    </w:rPr>
  </w:style>
  <w:style w:type="paragraph" w:styleId="Heading2">
    <w:name w:val="heading 2"/>
    <w:basedOn w:val="Normal"/>
    <w:next w:val="Normal"/>
    <w:link w:val="Heading2Char"/>
    <w:unhideWhenUsed/>
    <w:qFormat/>
    <w:rsid w:val="00D21D17"/>
    <w:pPr>
      <w:keepNext/>
      <w:keepLines/>
      <w:numPr>
        <w:numId w:val="4"/>
      </w:numPr>
      <w:spacing w:before="200" w:after="0" w:line="360" w:lineRule="auto"/>
      <w:outlineLvl w:val="1"/>
    </w:pPr>
    <w:rPr>
      <w:rFonts w:eastAsiaTheme="majorEastAsia" w:cs="Times New Roman"/>
      <w:sz w:val="32"/>
      <w:szCs w:val="26"/>
    </w:rPr>
  </w:style>
  <w:style w:type="paragraph" w:styleId="Heading3">
    <w:name w:val="heading 3"/>
    <w:basedOn w:val="Heading1"/>
    <w:next w:val="Heading1"/>
    <w:link w:val="Heading3Char"/>
    <w:unhideWhenUsed/>
    <w:qFormat/>
    <w:rsid w:val="004E2427"/>
    <w:pPr>
      <w:keepLines/>
      <w:numPr>
        <w:numId w:val="5"/>
      </w:numPr>
      <w:spacing w:before="40" w:line="360" w:lineRule="auto"/>
      <w:outlineLvl w:val="2"/>
    </w:pPr>
    <w:rPr>
      <w:rFonts w:cs="Times New Roman"/>
      <w:sz w:val="28"/>
      <w:szCs w:val="24"/>
      <w:lang w:eastAsia="zh-CN"/>
    </w:rPr>
  </w:style>
  <w:style w:type="paragraph" w:styleId="Heading4">
    <w:name w:val="heading 4"/>
    <w:basedOn w:val="ListNumber"/>
    <w:next w:val="Normal"/>
    <w:link w:val="Heading4Char"/>
    <w:unhideWhenUsed/>
    <w:qFormat/>
    <w:rsid w:val="00AC6534"/>
    <w:pPr>
      <w:numPr>
        <w:numId w:val="3"/>
      </w:numPr>
      <w:spacing w:before="40" w:after="0" w:line="360" w:lineRule="auto"/>
      <w:outlineLvl w:val="3"/>
    </w:pPr>
    <w:rPr>
      <w:rFonts w:ascii="Calibri" w:eastAsia="Times New Roman" w:hAnsi="Calibri" w:cs="Times New Roman"/>
      <w:i/>
      <w:iCs/>
      <w:lang w:eastAsia="zh-CN"/>
    </w:rPr>
  </w:style>
  <w:style w:type="paragraph" w:styleId="Heading5">
    <w:name w:val="heading 5"/>
    <w:basedOn w:val="Normal"/>
    <w:next w:val="Normal"/>
    <w:link w:val="Heading5Char"/>
    <w:unhideWhenUsed/>
    <w:qFormat/>
    <w:rsid w:val="00F9012F"/>
    <w:pPr>
      <w:keepNext/>
      <w:keepLines/>
      <w:spacing w:before="40" w:after="0"/>
      <w:outlineLvl w:val="4"/>
    </w:pPr>
    <w:rPr>
      <w:rFonts w:asciiTheme="minorHAnsi" w:eastAsia="SimSun" w:hAnsiTheme="minorHAnsi" w:cs="Times New Roman"/>
      <w:b/>
      <w:bCs/>
      <w:kern w:val="32"/>
      <w:szCs w:val="24"/>
    </w:rPr>
  </w:style>
  <w:style w:type="paragraph" w:styleId="Heading6">
    <w:name w:val="heading 6"/>
    <w:basedOn w:val="Normal"/>
    <w:next w:val="Normal"/>
    <w:link w:val="Heading6Char"/>
    <w:unhideWhenUsed/>
    <w:qFormat/>
    <w:rsid w:val="00F9012F"/>
    <w:pPr>
      <w:keepNext/>
      <w:keepLines/>
      <w:spacing w:before="40" w:after="0"/>
      <w:outlineLvl w:val="5"/>
    </w:pPr>
    <w:rPr>
      <w:rFonts w:asciiTheme="minorHAnsi" w:eastAsia="SimSun" w:hAnsiTheme="minorHAnsi" w:cs="Times New Roman"/>
      <w:bCs/>
      <w:iCs/>
      <w:kern w:val="32"/>
      <w:szCs w:val="24"/>
    </w:rPr>
  </w:style>
  <w:style w:type="paragraph" w:styleId="Heading7">
    <w:name w:val="heading 7"/>
    <w:basedOn w:val="Normal"/>
    <w:next w:val="Normal"/>
    <w:link w:val="Heading7Char"/>
    <w:unhideWhenUsed/>
    <w:qFormat/>
    <w:rsid w:val="00F9012F"/>
    <w:pPr>
      <w:keepNext/>
      <w:keepLines/>
      <w:spacing w:before="40" w:after="0"/>
      <w:outlineLvl w:val="6"/>
    </w:pPr>
    <w:rPr>
      <w:rFonts w:asciiTheme="minorHAnsi" w:eastAsia="SimSun" w:hAnsiTheme="minorHAnsi" w:cs="Times New Roman"/>
      <w:bCs/>
      <w:iCs/>
      <w:kern w:val="32"/>
      <w:szCs w:val="24"/>
    </w:rPr>
  </w:style>
  <w:style w:type="paragraph" w:styleId="Heading8">
    <w:name w:val="heading 8"/>
    <w:basedOn w:val="Normal"/>
    <w:next w:val="Normal"/>
    <w:link w:val="Heading8Char"/>
    <w:unhideWhenUsed/>
    <w:qFormat/>
    <w:rsid w:val="00F9012F"/>
    <w:pPr>
      <w:keepNext/>
      <w:keepLines/>
      <w:spacing w:before="40" w:after="0"/>
      <w:outlineLvl w:val="7"/>
    </w:pPr>
    <w:rPr>
      <w:rFonts w:asciiTheme="minorHAnsi" w:eastAsia="SimSun" w:hAnsiTheme="minorHAnsi" w:cs="Times New Roman"/>
      <w:bCs/>
      <w:kern w:val="32"/>
      <w:szCs w:val="32"/>
    </w:rPr>
  </w:style>
  <w:style w:type="paragraph" w:styleId="Heading9">
    <w:name w:val="heading 9"/>
    <w:basedOn w:val="Normal"/>
    <w:next w:val="Normal"/>
    <w:link w:val="Heading9Char"/>
    <w:unhideWhenUsed/>
    <w:qFormat/>
    <w:rsid w:val="00F9012F"/>
    <w:pPr>
      <w:keepNext/>
      <w:keepLines/>
      <w:spacing w:before="40" w:after="0"/>
      <w:outlineLvl w:val="8"/>
    </w:pPr>
    <w:rPr>
      <w:rFonts w:asciiTheme="minorHAnsi" w:eastAsia="SimSun" w:hAnsiTheme="minorHAnsi" w:cs="Times New Roman"/>
      <w:bCs/>
      <w:iCs/>
      <w:color w:val="000000"/>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512"/>
    <w:rPr>
      <w:rFonts w:ascii="Arial" w:eastAsiaTheme="majorEastAsia" w:hAnsi="Arial" w:cstheme="majorBidi"/>
      <w:sz w:val="36"/>
      <w:szCs w:val="32"/>
    </w:rPr>
  </w:style>
  <w:style w:type="character" w:customStyle="1" w:styleId="Heading2Char">
    <w:name w:val="Heading 2 Char"/>
    <w:basedOn w:val="DefaultParagraphFont"/>
    <w:link w:val="Heading2"/>
    <w:rsid w:val="00D21D17"/>
    <w:rPr>
      <w:rFonts w:ascii="Arial" w:eastAsiaTheme="majorEastAsia" w:hAnsi="Arial" w:cs="Times New Roman"/>
      <w:sz w:val="32"/>
      <w:szCs w:val="26"/>
    </w:rPr>
  </w:style>
  <w:style w:type="character" w:customStyle="1" w:styleId="Heading3Char">
    <w:name w:val="Heading 3 Char"/>
    <w:basedOn w:val="DefaultParagraphFont"/>
    <w:link w:val="Heading3"/>
    <w:uiPriority w:val="9"/>
    <w:rsid w:val="004E2427"/>
    <w:rPr>
      <w:rFonts w:ascii="Arial" w:eastAsiaTheme="majorEastAsia" w:hAnsi="Arial" w:cs="Times New Roman"/>
      <w:sz w:val="28"/>
      <w:szCs w:val="24"/>
      <w:lang w:eastAsia="zh-CN"/>
    </w:rPr>
  </w:style>
  <w:style w:type="character" w:customStyle="1" w:styleId="Heading4Char">
    <w:name w:val="Heading 4 Char"/>
    <w:basedOn w:val="DefaultParagraphFont"/>
    <w:link w:val="Heading4"/>
    <w:rsid w:val="00AC6534"/>
    <w:rPr>
      <w:rFonts w:ascii="Calibri" w:eastAsia="Times New Roman" w:hAnsi="Calibri" w:cs="Times New Roman"/>
      <w:i/>
      <w:iCs/>
      <w:lang w:eastAsia="zh-CN"/>
    </w:rPr>
  </w:style>
  <w:style w:type="paragraph" w:styleId="ListParagraph">
    <w:name w:val="List Paragraph"/>
    <w:basedOn w:val="Normal"/>
    <w:uiPriority w:val="34"/>
    <w:qFormat/>
    <w:rsid w:val="004E2427"/>
    <w:pPr>
      <w:ind w:left="720"/>
      <w:contextualSpacing/>
    </w:pPr>
    <w:rPr>
      <w:sz w:val="24"/>
    </w:rPr>
  </w:style>
  <w:style w:type="paragraph" w:styleId="Caption">
    <w:name w:val="caption"/>
    <w:basedOn w:val="Normal"/>
    <w:next w:val="Normal"/>
    <w:uiPriority w:val="35"/>
    <w:unhideWhenUsed/>
    <w:qFormat/>
    <w:rsid w:val="00AC6534"/>
    <w:pPr>
      <w:spacing w:after="200" w:line="240" w:lineRule="auto"/>
    </w:pPr>
    <w:rPr>
      <w:i/>
      <w:iCs/>
      <w:color w:val="44546A" w:themeColor="text2"/>
      <w:sz w:val="18"/>
      <w:szCs w:val="18"/>
    </w:rPr>
  </w:style>
  <w:style w:type="table" w:styleId="TableGrid">
    <w:name w:val="Table Grid"/>
    <w:basedOn w:val="TableNormal"/>
    <w:uiPriority w:val="39"/>
    <w:rsid w:val="00AC6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
    <w:name w:val="Formatvorlage1"/>
    <w:uiPriority w:val="99"/>
    <w:rsid w:val="00AC6534"/>
    <w:pPr>
      <w:numPr>
        <w:numId w:val="2"/>
      </w:numPr>
    </w:pPr>
  </w:style>
  <w:style w:type="paragraph" w:styleId="ListNumber">
    <w:name w:val="List Number"/>
    <w:basedOn w:val="Normal"/>
    <w:unhideWhenUsed/>
    <w:rsid w:val="00AC6534"/>
    <w:pPr>
      <w:tabs>
        <w:tab w:val="num" w:pos="1985"/>
      </w:tabs>
      <w:ind w:left="567" w:hanging="567"/>
      <w:contextualSpacing/>
    </w:pPr>
  </w:style>
  <w:style w:type="paragraph" w:styleId="NormalWeb">
    <w:name w:val="Normal (Web)"/>
    <w:basedOn w:val="Normal"/>
    <w:uiPriority w:val="99"/>
    <w:unhideWhenUsed/>
    <w:rsid w:val="00B369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Reference">
    <w:name w:val="Intense Reference"/>
    <w:basedOn w:val="DefaultParagraphFont"/>
    <w:uiPriority w:val="32"/>
    <w:qFormat/>
    <w:rsid w:val="00953A5A"/>
    <w:rPr>
      <w:b/>
      <w:bCs/>
      <w:smallCaps/>
      <w:color w:val="5B9BD5" w:themeColor="accent1"/>
      <w:spacing w:val="5"/>
    </w:rPr>
  </w:style>
  <w:style w:type="paragraph" w:styleId="ListNumber2">
    <w:name w:val="List Number 2"/>
    <w:basedOn w:val="Normal"/>
    <w:semiHidden/>
    <w:unhideWhenUsed/>
    <w:rsid w:val="004E2427"/>
    <w:pPr>
      <w:numPr>
        <w:numId w:val="6"/>
      </w:numPr>
      <w:contextualSpacing/>
    </w:pPr>
  </w:style>
  <w:style w:type="character" w:styleId="CommentReference">
    <w:name w:val="annotation reference"/>
    <w:basedOn w:val="DefaultParagraphFont"/>
    <w:uiPriority w:val="99"/>
    <w:semiHidden/>
    <w:unhideWhenUsed/>
    <w:rsid w:val="00752875"/>
    <w:rPr>
      <w:sz w:val="16"/>
      <w:szCs w:val="16"/>
    </w:rPr>
  </w:style>
  <w:style w:type="paragraph" w:styleId="CommentText">
    <w:name w:val="annotation text"/>
    <w:basedOn w:val="Normal"/>
    <w:link w:val="CommentTextChar"/>
    <w:uiPriority w:val="99"/>
    <w:semiHidden/>
    <w:unhideWhenUsed/>
    <w:rsid w:val="00752875"/>
    <w:pPr>
      <w:spacing w:line="240" w:lineRule="auto"/>
    </w:pPr>
    <w:rPr>
      <w:sz w:val="20"/>
      <w:szCs w:val="20"/>
    </w:rPr>
  </w:style>
  <w:style w:type="character" w:customStyle="1" w:styleId="CommentTextChar">
    <w:name w:val="Comment Text Char"/>
    <w:basedOn w:val="DefaultParagraphFont"/>
    <w:link w:val="CommentText"/>
    <w:uiPriority w:val="99"/>
    <w:semiHidden/>
    <w:rsid w:val="00752875"/>
    <w:rPr>
      <w:rFonts w:ascii="Arial" w:hAnsi="Arial"/>
      <w:sz w:val="20"/>
      <w:szCs w:val="20"/>
    </w:rPr>
  </w:style>
  <w:style w:type="paragraph" w:styleId="CommentSubject">
    <w:name w:val="annotation subject"/>
    <w:basedOn w:val="CommentText"/>
    <w:next w:val="CommentText"/>
    <w:link w:val="CommentSubjectChar"/>
    <w:semiHidden/>
    <w:unhideWhenUsed/>
    <w:rsid w:val="00752875"/>
    <w:rPr>
      <w:b/>
      <w:bCs/>
    </w:rPr>
  </w:style>
  <w:style w:type="character" w:customStyle="1" w:styleId="CommentSubjectChar">
    <w:name w:val="Comment Subject Char"/>
    <w:basedOn w:val="CommentTextChar"/>
    <w:link w:val="CommentSubject"/>
    <w:semiHidden/>
    <w:rsid w:val="00752875"/>
    <w:rPr>
      <w:rFonts w:ascii="Arial" w:hAnsi="Arial"/>
      <w:b/>
      <w:bCs/>
      <w:sz w:val="20"/>
      <w:szCs w:val="20"/>
    </w:rPr>
  </w:style>
  <w:style w:type="paragraph" w:styleId="BalloonText">
    <w:name w:val="Balloon Text"/>
    <w:basedOn w:val="Normal"/>
    <w:link w:val="BalloonTextChar"/>
    <w:semiHidden/>
    <w:unhideWhenUsed/>
    <w:rsid w:val="00752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75"/>
    <w:rPr>
      <w:rFonts w:ascii="Segoe UI" w:hAnsi="Segoe UI" w:cs="Segoe UI"/>
      <w:sz w:val="18"/>
      <w:szCs w:val="18"/>
    </w:rPr>
  </w:style>
  <w:style w:type="character" w:styleId="Hyperlink">
    <w:name w:val="Hyperlink"/>
    <w:basedOn w:val="DefaultParagraphFont"/>
    <w:uiPriority w:val="99"/>
    <w:unhideWhenUsed/>
    <w:rsid w:val="005A0266"/>
    <w:rPr>
      <w:color w:val="0563C1" w:themeColor="hyperlink"/>
      <w:u w:val="single"/>
    </w:rPr>
  </w:style>
  <w:style w:type="paragraph" w:styleId="Title">
    <w:name w:val="Title"/>
    <w:basedOn w:val="Normal"/>
    <w:next w:val="Normal"/>
    <w:link w:val="TitleChar"/>
    <w:qFormat/>
    <w:rsid w:val="00DA1058"/>
    <w:pPr>
      <w:spacing w:after="0" w:line="240" w:lineRule="auto"/>
      <w:contextualSpacing/>
    </w:pPr>
    <w:rPr>
      <w:rFonts w:ascii="Times New Roman" w:eastAsiaTheme="majorEastAsia" w:hAnsi="Times New Roman" w:cstheme="majorBidi"/>
      <w:spacing w:val="-10"/>
      <w:kern w:val="28"/>
      <w:sz w:val="40"/>
      <w:szCs w:val="56"/>
    </w:rPr>
  </w:style>
  <w:style w:type="character" w:customStyle="1" w:styleId="TitleChar">
    <w:name w:val="Title Char"/>
    <w:basedOn w:val="DefaultParagraphFont"/>
    <w:link w:val="Title"/>
    <w:rsid w:val="00DA1058"/>
    <w:rPr>
      <w:rFonts w:ascii="Times New Roman" w:eastAsiaTheme="majorEastAsia" w:hAnsi="Times New Roman" w:cstheme="majorBidi"/>
      <w:spacing w:val="-10"/>
      <w:kern w:val="28"/>
      <w:sz w:val="40"/>
      <w:szCs w:val="56"/>
    </w:rPr>
  </w:style>
  <w:style w:type="table" w:styleId="PlainTable2">
    <w:name w:val="Plain Table 2"/>
    <w:basedOn w:val="TableNormal"/>
    <w:uiPriority w:val="42"/>
    <w:rsid w:val="00562D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51">
    <w:name w:val="Heading 51"/>
    <w:basedOn w:val="Heading1"/>
    <w:next w:val="Normal"/>
    <w:qFormat/>
    <w:rsid w:val="00F9012F"/>
    <w:pPr>
      <w:keepLines/>
      <w:numPr>
        <w:numId w:val="0"/>
      </w:numPr>
      <w:tabs>
        <w:tab w:val="num" w:pos="1247"/>
      </w:tabs>
      <w:spacing w:after="240" w:line="360" w:lineRule="auto"/>
      <w:ind w:left="1247" w:hanging="1247"/>
      <w:outlineLvl w:val="4"/>
    </w:pPr>
    <w:rPr>
      <w:b/>
      <w:bCs/>
      <w:kern w:val="32"/>
      <w:sz w:val="22"/>
      <w:szCs w:val="24"/>
    </w:rPr>
  </w:style>
  <w:style w:type="paragraph" w:customStyle="1" w:styleId="Heading61">
    <w:name w:val="Heading 61"/>
    <w:basedOn w:val="Heading1"/>
    <w:next w:val="Normal"/>
    <w:qFormat/>
    <w:rsid w:val="00F9012F"/>
    <w:pPr>
      <w:keepLines/>
      <w:numPr>
        <w:numId w:val="0"/>
      </w:numPr>
      <w:tabs>
        <w:tab w:val="num" w:pos="1361"/>
      </w:tabs>
      <w:spacing w:after="240" w:line="360" w:lineRule="auto"/>
      <w:ind w:left="1361" w:hanging="1361"/>
      <w:outlineLvl w:val="5"/>
    </w:pPr>
    <w:rPr>
      <w:bCs/>
      <w:iCs/>
      <w:kern w:val="32"/>
      <w:sz w:val="22"/>
      <w:szCs w:val="24"/>
    </w:rPr>
  </w:style>
  <w:style w:type="paragraph" w:customStyle="1" w:styleId="Heading71">
    <w:name w:val="Heading 71"/>
    <w:basedOn w:val="Heading1"/>
    <w:next w:val="Normal"/>
    <w:qFormat/>
    <w:rsid w:val="00F9012F"/>
    <w:pPr>
      <w:keepLines/>
      <w:numPr>
        <w:numId w:val="0"/>
      </w:numPr>
      <w:tabs>
        <w:tab w:val="num" w:pos="1474"/>
      </w:tabs>
      <w:spacing w:after="240" w:line="360" w:lineRule="auto"/>
      <w:ind w:left="1474" w:hanging="1474"/>
      <w:outlineLvl w:val="6"/>
    </w:pPr>
    <w:rPr>
      <w:bCs/>
      <w:iCs/>
      <w:kern w:val="32"/>
      <w:sz w:val="22"/>
      <w:szCs w:val="24"/>
    </w:rPr>
  </w:style>
  <w:style w:type="paragraph" w:customStyle="1" w:styleId="Heading81">
    <w:name w:val="Heading 81"/>
    <w:basedOn w:val="Heading1"/>
    <w:next w:val="Normal"/>
    <w:qFormat/>
    <w:rsid w:val="00F9012F"/>
    <w:pPr>
      <w:keepLines/>
      <w:numPr>
        <w:numId w:val="0"/>
      </w:numPr>
      <w:tabs>
        <w:tab w:val="num" w:pos="1588"/>
      </w:tabs>
      <w:spacing w:after="240" w:line="360" w:lineRule="auto"/>
      <w:ind w:left="1588" w:hanging="1588"/>
      <w:outlineLvl w:val="7"/>
    </w:pPr>
    <w:rPr>
      <w:bCs/>
      <w:kern w:val="32"/>
      <w:sz w:val="22"/>
    </w:rPr>
  </w:style>
  <w:style w:type="paragraph" w:customStyle="1" w:styleId="Heading91">
    <w:name w:val="Heading 91"/>
    <w:basedOn w:val="Heading1"/>
    <w:next w:val="Normal"/>
    <w:qFormat/>
    <w:rsid w:val="00F9012F"/>
    <w:pPr>
      <w:keepLines/>
      <w:numPr>
        <w:numId w:val="0"/>
      </w:numPr>
      <w:tabs>
        <w:tab w:val="num" w:pos="1701"/>
      </w:tabs>
      <w:spacing w:after="240" w:line="360" w:lineRule="auto"/>
      <w:ind w:left="1701" w:hanging="1701"/>
      <w:outlineLvl w:val="8"/>
    </w:pPr>
    <w:rPr>
      <w:bCs/>
      <w:iCs/>
      <w:color w:val="000000"/>
      <w:kern w:val="32"/>
      <w:sz w:val="22"/>
    </w:rPr>
  </w:style>
  <w:style w:type="numbering" w:customStyle="1" w:styleId="NoList1">
    <w:name w:val="No List1"/>
    <w:next w:val="NoList"/>
    <w:uiPriority w:val="99"/>
    <w:semiHidden/>
    <w:unhideWhenUsed/>
    <w:rsid w:val="00F9012F"/>
  </w:style>
  <w:style w:type="paragraph" w:styleId="BodyText">
    <w:name w:val="Body Text"/>
    <w:basedOn w:val="Normal"/>
    <w:link w:val="BodyTextChar"/>
    <w:semiHidden/>
    <w:rsid w:val="00F9012F"/>
    <w:pPr>
      <w:spacing w:before="200" w:after="0" w:line="360" w:lineRule="auto"/>
    </w:pPr>
    <w:rPr>
      <w:rFonts w:eastAsia="Times New Roman" w:cs="Times New Roman"/>
      <w:lang w:eastAsia="en-GB"/>
    </w:rPr>
  </w:style>
  <w:style w:type="character" w:customStyle="1" w:styleId="BodyTextChar">
    <w:name w:val="Body Text Char"/>
    <w:basedOn w:val="DefaultParagraphFont"/>
    <w:link w:val="BodyText"/>
    <w:semiHidden/>
    <w:rsid w:val="00F9012F"/>
    <w:rPr>
      <w:rFonts w:ascii="Arial" w:eastAsia="Times New Roman" w:hAnsi="Arial" w:cs="Times New Roman"/>
      <w:lang w:eastAsia="en-GB"/>
    </w:rPr>
  </w:style>
  <w:style w:type="paragraph" w:styleId="BodyTextIndent">
    <w:name w:val="Body Text Indent"/>
    <w:basedOn w:val="Normal"/>
    <w:link w:val="BodyTextIndentChar"/>
    <w:semiHidden/>
    <w:rsid w:val="00F9012F"/>
    <w:pPr>
      <w:spacing w:before="200" w:after="0" w:line="360" w:lineRule="auto"/>
      <w:ind w:left="283"/>
    </w:pPr>
    <w:rPr>
      <w:rFonts w:eastAsia="Times New Roman" w:cs="Times New Roman"/>
      <w:lang w:eastAsia="zh-CN"/>
    </w:rPr>
  </w:style>
  <w:style w:type="character" w:customStyle="1" w:styleId="BodyTextIndentChar">
    <w:name w:val="Body Text Indent Char"/>
    <w:basedOn w:val="DefaultParagraphFont"/>
    <w:link w:val="BodyTextIndent"/>
    <w:semiHidden/>
    <w:rsid w:val="00F9012F"/>
    <w:rPr>
      <w:rFonts w:ascii="Arial" w:eastAsia="Times New Roman" w:hAnsi="Arial" w:cs="Times New Roman"/>
      <w:lang w:eastAsia="zh-CN"/>
    </w:rPr>
  </w:style>
  <w:style w:type="paragraph" w:styleId="Footer">
    <w:name w:val="footer"/>
    <w:link w:val="FooterChar"/>
    <w:uiPriority w:val="99"/>
    <w:rsid w:val="00F9012F"/>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F9012F"/>
    <w:rPr>
      <w:rFonts w:ascii="Calibri" w:eastAsia="Times New Roman" w:hAnsi="Calibri" w:cs="Times New Roman"/>
      <w:szCs w:val="24"/>
    </w:rPr>
  </w:style>
  <w:style w:type="character" w:styleId="PageNumber">
    <w:name w:val="page number"/>
    <w:rsid w:val="00F9012F"/>
    <w:rPr>
      <w:rFonts w:ascii="Calibri" w:hAnsi="Calibri"/>
      <w:sz w:val="22"/>
      <w:lang w:val="en-GB"/>
    </w:rPr>
  </w:style>
  <w:style w:type="paragraph" w:styleId="DocumentMap">
    <w:name w:val="Document Map"/>
    <w:basedOn w:val="Normal"/>
    <w:link w:val="DocumentMapChar"/>
    <w:semiHidden/>
    <w:rsid w:val="00F9012F"/>
    <w:pPr>
      <w:shd w:val="clear" w:color="auto" w:fill="000080"/>
      <w:spacing w:before="200" w:after="0" w:line="360" w:lineRule="auto"/>
    </w:pPr>
    <w:rPr>
      <w:rFonts w:ascii="Tahoma" w:eastAsia="Times New Roman" w:hAnsi="Tahoma" w:cs="Tahoma"/>
      <w:szCs w:val="20"/>
      <w:lang w:eastAsia="zh-CN"/>
    </w:rPr>
  </w:style>
  <w:style w:type="character" w:customStyle="1" w:styleId="DocumentMapChar">
    <w:name w:val="Document Map Char"/>
    <w:basedOn w:val="DefaultParagraphFont"/>
    <w:link w:val="DocumentMap"/>
    <w:semiHidden/>
    <w:rsid w:val="00F9012F"/>
    <w:rPr>
      <w:rFonts w:ascii="Tahoma" w:eastAsia="Times New Roman" w:hAnsi="Tahoma" w:cs="Tahoma"/>
      <w:szCs w:val="20"/>
      <w:shd w:val="clear" w:color="auto" w:fill="000080"/>
      <w:lang w:eastAsia="zh-CN"/>
    </w:rPr>
  </w:style>
  <w:style w:type="paragraph" w:styleId="Header">
    <w:name w:val="header"/>
    <w:basedOn w:val="Normal"/>
    <w:link w:val="HeaderChar"/>
    <w:uiPriority w:val="99"/>
    <w:rsid w:val="00F9012F"/>
    <w:pPr>
      <w:tabs>
        <w:tab w:val="center" w:pos="4153"/>
        <w:tab w:val="right" w:pos="8306"/>
      </w:tabs>
      <w:spacing w:before="200" w:after="120" w:line="360" w:lineRule="auto"/>
    </w:pPr>
    <w:rPr>
      <w:rFonts w:eastAsia="Times New Roman" w:cs="Times New Roman"/>
      <w:szCs w:val="24"/>
    </w:rPr>
  </w:style>
  <w:style w:type="character" w:customStyle="1" w:styleId="HeaderChar">
    <w:name w:val="Header Char"/>
    <w:basedOn w:val="DefaultParagraphFont"/>
    <w:link w:val="Header"/>
    <w:uiPriority w:val="99"/>
    <w:rsid w:val="00F9012F"/>
    <w:rPr>
      <w:rFonts w:ascii="Arial" w:eastAsia="Times New Roman" w:hAnsi="Arial" w:cs="Times New Roman"/>
      <w:szCs w:val="24"/>
    </w:rPr>
  </w:style>
  <w:style w:type="table" w:customStyle="1" w:styleId="TableGrid1">
    <w:name w:val="Table Grid1"/>
    <w:basedOn w:val="TableNormal"/>
    <w:next w:val="TableGrid"/>
    <w:uiPriority w:val="39"/>
    <w:rsid w:val="00F9012F"/>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rsid w:val="00F9012F"/>
    <w:pPr>
      <w:spacing w:before="40" w:after="40" w:line="360" w:lineRule="auto"/>
      <w:ind w:left="6"/>
    </w:pPr>
    <w:rPr>
      <w:rFonts w:eastAsia="Times New Roman" w:cs="Times New Roman"/>
      <w:lang w:eastAsia="zh-CN"/>
    </w:rPr>
  </w:style>
  <w:style w:type="table" w:customStyle="1" w:styleId="FigureNoOutline">
    <w:name w:val="Figure No Outline"/>
    <w:basedOn w:val="TableNormal"/>
    <w:rsid w:val="00F9012F"/>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
    <w:name w:val="Figure Outline"/>
    <w:basedOn w:val="TableNormal"/>
    <w:rsid w:val="00F9012F"/>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F9012F"/>
    <w:pPr>
      <w:tabs>
        <w:tab w:val="left" w:pos="1560"/>
        <w:tab w:val="right" w:leader="dot" w:pos="8505"/>
      </w:tabs>
      <w:spacing w:before="200" w:after="0" w:line="360" w:lineRule="auto"/>
      <w:ind w:left="1560" w:hanging="1560"/>
    </w:pPr>
    <w:rPr>
      <w:rFonts w:eastAsia="Times New Roman" w:cs="Arial"/>
      <w:iCs/>
      <w:noProof/>
      <w:szCs w:val="24"/>
    </w:rPr>
  </w:style>
  <w:style w:type="paragraph" w:customStyle="1" w:styleId="Contents">
    <w:name w:val="Contents"/>
    <w:basedOn w:val="Normal"/>
    <w:next w:val="Normal"/>
    <w:qFormat/>
    <w:rsid w:val="00F9012F"/>
    <w:pPr>
      <w:spacing w:before="200" w:after="240" w:line="360" w:lineRule="auto"/>
      <w:outlineLvl w:val="0"/>
    </w:pPr>
    <w:rPr>
      <w:rFonts w:eastAsia="Times New Roman" w:cs="Arial"/>
      <w:bCs/>
      <w:kern w:val="32"/>
      <w:sz w:val="36"/>
      <w:szCs w:val="32"/>
    </w:rPr>
  </w:style>
  <w:style w:type="paragraph" w:customStyle="1" w:styleId="Quotation">
    <w:name w:val="Quotation"/>
    <w:basedOn w:val="Normal"/>
    <w:qFormat/>
    <w:rsid w:val="00F9012F"/>
    <w:pPr>
      <w:spacing w:before="200" w:after="0" w:line="360" w:lineRule="auto"/>
      <w:ind w:left="425" w:right="425"/>
    </w:pPr>
    <w:rPr>
      <w:rFonts w:eastAsia="Times New Roman" w:cs="Times New Roman"/>
      <w:iCs/>
      <w:szCs w:val="24"/>
    </w:rPr>
  </w:style>
  <w:style w:type="paragraph" w:styleId="TOC1">
    <w:name w:val="toc 1"/>
    <w:basedOn w:val="Normal"/>
    <w:next w:val="Normal"/>
    <w:autoRedefine/>
    <w:uiPriority w:val="39"/>
    <w:rsid w:val="00F9012F"/>
    <w:pPr>
      <w:tabs>
        <w:tab w:val="left" w:pos="1218"/>
        <w:tab w:val="right" w:leader="dot" w:pos="8789"/>
      </w:tabs>
      <w:spacing w:before="200" w:after="100" w:line="360" w:lineRule="auto"/>
      <w:ind w:left="1204" w:hanging="1204"/>
      <w:contextualSpacing/>
    </w:pPr>
    <w:rPr>
      <w:rFonts w:eastAsia="Times New Roman" w:cs="Times New Roman"/>
      <w:b/>
      <w:sz w:val="24"/>
      <w:lang w:eastAsia="zh-CN"/>
    </w:rPr>
  </w:style>
  <w:style w:type="paragraph" w:styleId="TOC2">
    <w:name w:val="toc 2"/>
    <w:basedOn w:val="TOC1"/>
    <w:next w:val="Normal"/>
    <w:autoRedefine/>
    <w:uiPriority w:val="39"/>
    <w:rsid w:val="00F9012F"/>
    <w:pPr>
      <w:tabs>
        <w:tab w:val="clear" w:pos="1218"/>
        <w:tab w:val="left" w:pos="709"/>
      </w:tabs>
      <w:spacing w:before="0"/>
      <w:ind w:left="709" w:hanging="567"/>
    </w:pPr>
    <w:rPr>
      <w:b w:val="0"/>
    </w:rPr>
  </w:style>
  <w:style w:type="paragraph" w:styleId="TOC3">
    <w:name w:val="toc 3"/>
    <w:basedOn w:val="TOC1"/>
    <w:next w:val="Normal"/>
    <w:autoRedefine/>
    <w:uiPriority w:val="39"/>
    <w:rsid w:val="00F9012F"/>
    <w:pPr>
      <w:spacing w:before="0"/>
      <w:ind w:left="1190" w:hanging="680"/>
    </w:pPr>
    <w:rPr>
      <w:b w:val="0"/>
    </w:rPr>
  </w:style>
  <w:style w:type="character" w:customStyle="1" w:styleId="Heading5Char">
    <w:name w:val="Heading 5 Char"/>
    <w:basedOn w:val="DefaultParagraphFont"/>
    <w:link w:val="Heading5"/>
    <w:rsid w:val="00F9012F"/>
    <w:rPr>
      <w:rFonts w:eastAsia="SimSun" w:cs="Times New Roman"/>
      <w:b/>
      <w:bCs/>
      <w:kern w:val="32"/>
      <w:szCs w:val="24"/>
      <w:lang w:eastAsia="en-US"/>
    </w:rPr>
  </w:style>
  <w:style w:type="character" w:customStyle="1" w:styleId="Heading6Char">
    <w:name w:val="Heading 6 Char"/>
    <w:basedOn w:val="DefaultParagraphFont"/>
    <w:link w:val="Heading6"/>
    <w:rsid w:val="00F9012F"/>
    <w:rPr>
      <w:rFonts w:eastAsia="SimSun" w:cs="Times New Roman"/>
      <w:bCs/>
      <w:iCs/>
      <w:kern w:val="32"/>
      <w:szCs w:val="24"/>
      <w:lang w:eastAsia="en-US"/>
    </w:rPr>
  </w:style>
  <w:style w:type="character" w:customStyle="1" w:styleId="Heading7Char">
    <w:name w:val="Heading 7 Char"/>
    <w:basedOn w:val="DefaultParagraphFont"/>
    <w:link w:val="Heading7"/>
    <w:rsid w:val="00F9012F"/>
    <w:rPr>
      <w:rFonts w:eastAsia="SimSun" w:cs="Times New Roman"/>
      <w:bCs/>
      <w:iCs/>
      <w:kern w:val="32"/>
      <w:szCs w:val="24"/>
      <w:lang w:eastAsia="en-US"/>
    </w:rPr>
  </w:style>
  <w:style w:type="character" w:customStyle="1" w:styleId="Heading8Char">
    <w:name w:val="Heading 8 Char"/>
    <w:basedOn w:val="DefaultParagraphFont"/>
    <w:link w:val="Heading8"/>
    <w:rsid w:val="00F9012F"/>
    <w:rPr>
      <w:rFonts w:eastAsia="SimSun" w:cs="Times New Roman"/>
      <w:bCs/>
      <w:kern w:val="32"/>
      <w:szCs w:val="32"/>
      <w:lang w:eastAsia="en-US"/>
    </w:rPr>
  </w:style>
  <w:style w:type="character" w:customStyle="1" w:styleId="Heading9Char">
    <w:name w:val="Heading 9 Char"/>
    <w:basedOn w:val="DefaultParagraphFont"/>
    <w:link w:val="Heading9"/>
    <w:rsid w:val="00F9012F"/>
    <w:rPr>
      <w:rFonts w:eastAsia="SimSun" w:cs="Times New Roman"/>
      <w:bCs/>
      <w:iCs/>
      <w:color w:val="000000"/>
      <w:kern w:val="32"/>
      <w:szCs w:val="32"/>
      <w:lang w:eastAsia="en-US"/>
    </w:rPr>
  </w:style>
  <w:style w:type="paragraph" w:styleId="TOC4">
    <w:name w:val="toc 4"/>
    <w:basedOn w:val="TOC1"/>
    <w:next w:val="Normal"/>
    <w:autoRedefine/>
    <w:uiPriority w:val="39"/>
    <w:rsid w:val="00F9012F"/>
    <w:pPr>
      <w:tabs>
        <w:tab w:val="left" w:pos="1843"/>
      </w:tabs>
      <w:spacing w:before="0"/>
      <w:ind w:left="1843" w:hanging="851"/>
    </w:pPr>
    <w:rPr>
      <w:b w:val="0"/>
    </w:rPr>
  </w:style>
  <w:style w:type="paragraph" w:customStyle="1" w:styleId="TOCHeading1">
    <w:name w:val="TOC Heading1"/>
    <w:basedOn w:val="Heading1"/>
    <w:next w:val="Normal"/>
    <w:uiPriority w:val="39"/>
    <w:semiHidden/>
    <w:unhideWhenUsed/>
    <w:qFormat/>
    <w:rsid w:val="00F9012F"/>
    <w:pPr>
      <w:keepLines/>
      <w:numPr>
        <w:numId w:val="0"/>
      </w:numPr>
      <w:spacing w:before="480" w:line="276" w:lineRule="auto"/>
      <w:outlineLvl w:val="9"/>
    </w:pPr>
    <w:rPr>
      <w:rFonts w:ascii="Cambria" w:hAnsi="Cambria"/>
      <w:b/>
      <w:bCs/>
      <w:color w:val="365F91"/>
      <w:sz w:val="28"/>
      <w:szCs w:val="28"/>
      <w:lang w:val="en-US" w:eastAsia="ja-JP"/>
    </w:rPr>
  </w:style>
  <w:style w:type="paragraph" w:customStyle="1" w:styleId="ContentsSubheading">
    <w:name w:val="Contents Subheading"/>
    <w:basedOn w:val="Contents"/>
    <w:next w:val="Normal"/>
    <w:qFormat/>
    <w:rsid w:val="00F9012F"/>
    <w:pPr>
      <w:outlineLvl w:val="1"/>
    </w:pPr>
    <w:rPr>
      <w:sz w:val="28"/>
    </w:rPr>
  </w:style>
  <w:style w:type="paragraph" w:styleId="TOC5">
    <w:name w:val="toc 5"/>
    <w:basedOn w:val="TOC1"/>
    <w:next w:val="Normal"/>
    <w:autoRedefine/>
    <w:uiPriority w:val="39"/>
    <w:rsid w:val="00F9012F"/>
    <w:pPr>
      <w:tabs>
        <w:tab w:val="left" w:pos="2127"/>
      </w:tabs>
      <w:spacing w:before="0"/>
      <w:ind w:left="2552" w:hanging="1418"/>
    </w:pPr>
    <w:rPr>
      <w:b w:val="0"/>
      <w:sz w:val="22"/>
    </w:rPr>
  </w:style>
  <w:style w:type="paragraph" w:customStyle="1" w:styleId="AppendixMain">
    <w:name w:val="Appendix Main"/>
    <w:basedOn w:val="Contents"/>
    <w:next w:val="Normal"/>
    <w:qFormat/>
    <w:rsid w:val="00F9012F"/>
    <w:pPr>
      <w:keepNext/>
      <w:numPr>
        <w:numId w:val="9"/>
      </w:numPr>
    </w:pPr>
  </w:style>
  <w:style w:type="paragraph" w:customStyle="1" w:styleId="AppendixSubheading">
    <w:name w:val="Appendix Subheading"/>
    <w:basedOn w:val="ContentsSubheading"/>
    <w:next w:val="Normal"/>
    <w:qFormat/>
    <w:rsid w:val="00F9012F"/>
    <w:pPr>
      <w:keepNext/>
      <w:numPr>
        <w:ilvl w:val="1"/>
        <w:numId w:val="9"/>
      </w:numPr>
    </w:pPr>
  </w:style>
  <w:style w:type="paragraph" w:customStyle="1" w:styleId="AppendixThird">
    <w:name w:val="Appendix Third"/>
    <w:basedOn w:val="Normal"/>
    <w:next w:val="Normal"/>
    <w:qFormat/>
    <w:rsid w:val="00F9012F"/>
    <w:pPr>
      <w:keepNext/>
      <w:numPr>
        <w:ilvl w:val="2"/>
        <w:numId w:val="9"/>
      </w:numPr>
      <w:spacing w:before="200" w:after="0" w:line="360" w:lineRule="auto"/>
      <w:outlineLvl w:val="2"/>
    </w:pPr>
    <w:rPr>
      <w:rFonts w:eastAsia="Times New Roman" w:cs="Times New Roman"/>
      <w:b/>
      <w:sz w:val="24"/>
      <w:lang w:eastAsia="zh-CN"/>
    </w:rPr>
  </w:style>
  <w:style w:type="table" w:styleId="TableList8">
    <w:name w:val="Table List 8"/>
    <w:basedOn w:val="TableNormal"/>
    <w:rsid w:val="00F9012F"/>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F9012F"/>
    <w:pPr>
      <w:tabs>
        <w:tab w:val="left" w:pos="1418"/>
      </w:tabs>
      <w:spacing w:after="120" w:line="360" w:lineRule="auto"/>
      <w:ind w:left="1134"/>
      <w:contextualSpacing/>
    </w:pPr>
    <w:rPr>
      <w:rFonts w:eastAsia="Times New Roman" w:cs="Times New Roman"/>
      <w:i w:val="0"/>
      <w:iCs w:val="0"/>
      <w:color w:val="auto"/>
      <w:sz w:val="22"/>
      <w:szCs w:val="26"/>
    </w:rPr>
  </w:style>
  <w:style w:type="paragraph" w:styleId="Bibliography">
    <w:name w:val="Bibliography"/>
    <w:basedOn w:val="Normal"/>
    <w:next w:val="Normal"/>
    <w:uiPriority w:val="37"/>
    <w:semiHidden/>
    <w:unhideWhenUsed/>
    <w:rsid w:val="00F9012F"/>
    <w:pPr>
      <w:spacing w:before="200" w:after="0" w:line="360" w:lineRule="auto"/>
    </w:pPr>
    <w:rPr>
      <w:rFonts w:eastAsia="Times New Roman" w:cs="Times New Roman"/>
      <w:lang w:eastAsia="zh-CN"/>
    </w:rPr>
  </w:style>
  <w:style w:type="paragraph" w:customStyle="1" w:styleId="BlockText1">
    <w:name w:val="Block Text1"/>
    <w:basedOn w:val="Normal"/>
    <w:next w:val="BlockText"/>
    <w:semiHidden/>
    <w:unhideWhenUsed/>
    <w:rsid w:val="00F9012F"/>
    <w:pPr>
      <w:pBdr>
        <w:top w:val="single" w:sz="2" w:space="10" w:color="4F81BD" w:frame="1"/>
        <w:left w:val="single" w:sz="2" w:space="10" w:color="4F81BD" w:frame="1"/>
        <w:bottom w:val="single" w:sz="2" w:space="10" w:color="4F81BD" w:frame="1"/>
        <w:right w:val="single" w:sz="2" w:space="10" w:color="4F81BD" w:frame="1"/>
      </w:pBdr>
      <w:spacing w:before="200" w:after="0" w:line="360" w:lineRule="auto"/>
      <w:ind w:left="1152" w:right="1152"/>
    </w:pPr>
    <w:rPr>
      <w:rFonts w:ascii="Calibri" w:eastAsia="SimSun" w:hAnsi="Calibri"/>
      <w:i/>
      <w:iCs/>
      <w:color w:val="4F81BD"/>
      <w:lang w:eastAsia="zh-CN"/>
    </w:rPr>
  </w:style>
  <w:style w:type="paragraph" w:styleId="BodyText2">
    <w:name w:val="Body Text 2"/>
    <w:basedOn w:val="Normal"/>
    <w:link w:val="BodyText2Char"/>
    <w:semiHidden/>
    <w:unhideWhenUsed/>
    <w:rsid w:val="00F9012F"/>
    <w:pPr>
      <w:spacing w:before="200" w:after="120" w:line="480" w:lineRule="auto"/>
    </w:pPr>
    <w:rPr>
      <w:rFonts w:eastAsia="Times New Roman" w:cs="Times New Roman"/>
      <w:lang w:eastAsia="zh-CN"/>
    </w:rPr>
  </w:style>
  <w:style w:type="character" w:customStyle="1" w:styleId="BodyText2Char">
    <w:name w:val="Body Text 2 Char"/>
    <w:basedOn w:val="DefaultParagraphFont"/>
    <w:link w:val="BodyText2"/>
    <w:semiHidden/>
    <w:rsid w:val="00F9012F"/>
    <w:rPr>
      <w:rFonts w:ascii="Arial" w:eastAsia="Times New Roman" w:hAnsi="Arial" w:cs="Times New Roman"/>
      <w:lang w:eastAsia="zh-CN"/>
    </w:rPr>
  </w:style>
  <w:style w:type="paragraph" w:styleId="BodyText3">
    <w:name w:val="Body Text 3"/>
    <w:basedOn w:val="Normal"/>
    <w:link w:val="BodyText3Char"/>
    <w:semiHidden/>
    <w:unhideWhenUsed/>
    <w:rsid w:val="00F9012F"/>
    <w:pPr>
      <w:spacing w:before="200" w:after="120" w:line="360" w:lineRule="auto"/>
    </w:pPr>
    <w:rPr>
      <w:rFonts w:eastAsia="Times New Roman" w:cs="Times New Roman"/>
      <w:sz w:val="16"/>
      <w:szCs w:val="16"/>
      <w:lang w:eastAsia="zh-CN"/>
    </w:rPr>
  </w:style>
  <w:style w:type="character" w:customStyle="1" w:styleId="BodyText3Char">
    <w:name w:val="Body Text 3 Char"/>
    <w:basedOn w:val="DefaultParagraphFont"/>
    <w:link w:val="BodyText3"/>
    <w:semiHidden/>
    <w:rsid w:val="00F9012F"/>
    <w:rPr>
      <w:rFonts w:ascii="Arial" w:eastAsia="Times New Roman" w:hAnsi="Arial" w:cs="Times New Roman"/>
      <w:sz w:val="16"/>
      <w:szCs w:val="16"/>
      <w:lang w:eastAsia="zh-CN"/>
    </w:rPr>
  </w:style>
  <w:style w:type="paragraph" w:styleId="BodyTextFirstIndent2">
    <w:name w:val="Body Text First Indent 2"/>
    <w:basedOn w:val="BodyTextIndent"/>
    <w:link w:val="BodyTextFirstIndent2Char"/>
    <w:semiHidden/>
    <w:unhideWhenUsed/>
    <w:rsid w:val="00F9012F"/>
    <w:pPr>
      <w:ind w:left="360" w:firstLine="360"/>
    </w:pPr>
  </w:style>
  <w:style w:type="character" w:customStyle="1" w:styleId="BodyTextFirstIndent2Char">
    <w:name w:val="Body Text First Indent 2 Char"/>
    <w:basedOn w:val="BodyTextIndentChar"/>
    <w:link w:val="BodyTextFirstIndent2"/>
    <w:semiHidden/>
    <w:rsid w:val="00F9012F"/>
    <w:rPr>
      <w:rFonts w:ascii="Arial" w:eastAsia="Times New Roman" w:hAnsi="Arial" w:cs="Times New Roman"/>
      <w:lang w:eastAsia="zh-CN"/>
    </w:rPr>
  </w:style>
  <w:style w:type="paragraph" w:styleId="BodyTextIndent2">
    <w:name w:val="Body Text Indent 2"/>
    <w:basedOn w:val="Normal"/>
    <w:link w:val="BodyTextIndent2Char"/>
    <w:semiHidden/>
    <w:unhideWhenUsed/>
    <w:rsid w:val="00F9012F"/>
    <w:pPr>
      <w:spacing w:before="200" w:after="120" w:line="480" w:lineRule="auto"/>
      <w:ind w:left="283"/>
    </w:pPr>
    <w:rPr>
      <w:rFonts w:eastAsia="Times New Roman" w:cs="Times New Roman"/>
      <w:lang w:eastAsia="zh-CN"/>
    </w:rPr>
  </w:style>
  <w:style w:type="character" w:customStyle="1" w:styleId="BodyTextIndent2Char">
    <w:name w:val="Body Text Indent 2 Char"/>
    <w:basedOn w:val="DefaultParagraphFont"/>
    <w:link w:val="BodyTextIndent2"/>
    <w:semiHidden/>
    <w:rsid w:val="00F9012F"/>
    <w:rPr>
      <w:rFonts w:ascii="Arial" w:eastAsia="Times New Roman" w:hAnsi="Arial" w:cs="Times New Roman"/>
      <w:lang w:eastAsia="zh-CN"/>
    </w:rPr>
  </w:style>
  <w:style w:type="paragraph" w:styleId="BodyTextIndent3">
    <w:name w:val="Body Text Indent 3"/>
    <w:basedOn w:val="Normal"/>
    <w:link w:val="BodyTextIndent3Char"/>
    <w:semiHidden/>
    <w:unhideWhenUsed/>
    <w:rsid w:val="00F9012F"/>
    <w:pPr>
      <w:spacing w:before="200" w:after="120" w:line="360" w:lineRule="auto"/>
      <w:ind w:left="283"/>
    </w:pPr>
    <w:rPr>
      <w:rFonts w:eastAsia="Times New Roman" w:cs="Times New Roman"/>
      <w:sz w:val="16"/>
      <w:szCs w:val="16"/>
      <w:lang w:eastAsia="zh-CN"/>
    </w:rPr>
  </w:style>
  <w:style w:type="character" w:customStyle="1" w:styleId="BodyTextIndent3Char">
    <w:name w:val="Body Text Indent 3 Char"/>
    <w:basedOn w:val="DefaultParagraphFont"/>
    <w:link w:val="BodyTextIndent3"/>
    <w:semiHidden/>
    <w:rsid w:val="00F9012F"/>
    <w:rPr>
      <w:rFonts w:ascii="Arial" w:eastAsia="Times New Roman" w:hAnsi="Arial" w:cs="Times New Roman"/>
      <w:sz w:val="16"/>
      <w:szCs w:val="16"/>
      <w:lang w:eastAsia="zh-CN"/>
    </w:rPr>
  </w:style>
  <w:style w:type="paragraph" w:styleId="Closing">
    <w:name w:val="Closing"/>
    <w:basedOn w:val="Normal"/>
    <w:link w:val="ClosingChar"/>
    <w:semiHidden/>
    <w:unhideWhenUsed/>
    <w:rsid w:val="00F9012F"/>
    <w:pPr>
      <w:spacing w:after="0" w:line="240" w:lineRule="auto"/>
      <w:ind w:left="4252"/>
    </w:pPr>
    <w:rPr>
      <w:rFonts w:eastAsia="Times New Roman" w:cs="Times New Roman"/>
      <w:lang w:eastAsia="zh-CN"/>
    </w:rPr>
  </w:style>
  <w:style w:type="character" w:customStyle="1" w:styleId="ClosingChar">
    <w:name w:val="Closing Char"/>
    <w:basedOn w:val="DefaultParagraphFont"/>
    <w:link w:val="Closing"/>
    <w:semiHidden/>
    <w:rsid w:val="00F9012F"/>
    <w:rPr>
      <w:rFonts w:ascii="Arial" w:eastAsia="Times New Roman" w:hAnsi="Arial" w:cs="Times New Roman"/>
      <w:lang w:eastAsia="zh-CN"/>
    </w:rPr>
  </w:style>
  <w:style w:type="paragraph" w:styleId="Date">
    <w:name w:val="Date"/>
    <w:basedOn w:val="Normal"/>
    <w:next w:val="Normal"/>
    <w:link w:val="DateChar"/>
    <w:rsid w:val="00F9012F"/>
    <w:pPr>
      <w:spacing w:before="200" w:after="0" w:line="360" w:lineRule="auto"/>
    </w:pPr>
    <w:rPr>
      <w:rFonts w:eastAsia="Times New Roman" w:cs="Times New Roman"/>
      <w:lang w:eastAsia="zh-CN"/>
    </w:rPr>
  </w:style>
  <w:style w:type="character" w:customStyle="1" w:styleId="DateChar">
    <w:name w:val="Date Char"/>
    <w:basedOn w:val="DefaultParagraphFont"/>
    <w:link w:val="Date"/>
    <w:rsid w:val="00F9012F"/>
    <w:rPr>
      <w:rFonts w:ascii="Arial" w:eastAsia="Times New Roman" w:hAnsi="Arial" w:cs="Times New Roman"/>
      <w:lang w:eastAsia="zh-CN"/>
    </w:rPr>
  </w:style>
  <w:style w:type="paragraph" w:styleId="E-mailSignature">
    <w:name w:val="E-mail Signature"/>
    <w:basedOn w:val="Normal"/>
    <w:link w:val="E-mailSignatureChar"/>
    <w:semiHidden/>
    <w:unhideWhenUsed/>
    <w:rsid w:val="00F9012F"/>
    <w:pPr>
      <w:spacing w:after="0" w:line="240" w:lineRule="auto"/>
    </w:pPr>
    <w:rPr>
      <w:rFonts w:eastAsia="Times New Roman" w:cs="Times New Roman"/>
      <w:lang w:eastAsia="zh-CN"/>
    </w:rPr>
  </w:style>
  <w:style w:type="character" w:customStyle="1" w:styleId="E-mailSignatureChar">
    <w:name w:val="E-mail Signature Char"/>
    <w:basedOn w:val="DefaultParagraphFont"/>
    <w:link w:val="E-mailSignature"/>
    <w:semiHidden/>
    <w:rsid w:val="00F9012F"/>
    <w:rPr>
      <w:rFonts w:ascii="Arial" w:eastAsia="Times New Roman" w:hAnsi="Arial" w:cs="Times New Roman"/>
      <w:lang w:eastAsia="zh-CN"/>
    </w:rPr>
  </w:style>
  <w:style w:type="paragraph" w:styleId="EndnoteText">
    <w:name w:val="endnote text"/>
    <w:basedOn w:val="Normal"/>
    <w:link w:val="EndnoteTextChar"/>
    <w:semiHidden/>
    <w:unhideWhenUsed/>
    <w:rsid w:val="00F9012F"/>
    <w:pPr>
      <w:spacing w:after="0" w:line="240" w:lineRule="auto"/>
    </w:pPr>
    <w:rPr>
      <w:rFonts w:eastAsia="Times New Roman" w:cs="Times New Roman"/>
      <w:sz w:val="20"/>
      <w:szCs w:val="20"/>
      <w:lang w:eastAsia="zh-CN"/>
    </w:rPr>
  </w:style>
  <w:style w:type="character" w:customStyle="1" w:styleId="EndnoteTextChar">
    <w:name w:val="Endnote Text Char"/>
    <w:basedOn w:val="DefaultParagraphFont"/>
    <w:link w:val="EndnoteText"/>
    <w:semiHidden/>
    <w:rsid w:val="00F9012F"/>
    <w:rPr>
      <w:rFonts w:ascii="Arial" w:eastAsia="Times New Roman" w:hAnsi="Arial" w:cs="Times New Roman"/>
      <w:sz w:val="20"/>
      <w:szCs w:val="20"/>
      <w:lang w:eastAsia="zh-CN"/>
    </w:rPr>
  </w:style>
  <w:style w:type="paragraph" w:customStyle="1" w:styleId="EnvelopeAddress1">
    <w:name w:val="Envelope Address1"/>
    <w:basedOn w:val="Normal"/>
    <w:next w:val="EnvelopeAddress"/>
    <w:semiHidden/>
    <w:unhideWhenUsed/>
    <w:rsid w:val="00F9012F"/>
    <w:pPr>
      <w:framePr w:w="7920" w:h="1980" w:hRule="exact" w:hSpace="180" w:wrap="auto" w:hAnchor="page" w:xAlign="center" w:yAlign="bottom"/>
      <w:spacing w:after="0" w:line="240" w:lineRule="auto"/>
      <w:ind w:left="2880"/>
    </w:pPr>
    <w:rPr>
      <w:rFonts w:ascii="Cambria" w:eastAsia="SimSun" w:hAnsi="Cambria" w:cs="Times New Roman"/>
      <w:sz w:val="24"/>
      <w:szCs w:val="24"/>
      <w:lang w:eastAsia="zh-CN"/>
    </w:rPr>
  </w:style>
  <w:style w:type="paragraph" w:customStyle="1" w:styleId="EnvelopeReturn1">
    <w:name w:val="Envelope Return1"/>
    <w:basedOn w:val="Normal"/>
    <w:next w:val="EnvelopeReturn"/>
    <w:semiHidden/>
    <w:unhideWhenUsed/>
    <w:rsid w:val="00F9012F"/>
    <w:pPr>
      <w:spacing w:after="0" w:line="240" w:lineRule="auto"/>
    </w:pPr>
    <w:rPr>
      <w:rFonts w:ascii="Cambria" w:eastAsia="SimSun" w:hAnsi="Cambria" w:cs="Times New Roman"/>
      <w:sz w:val="20"/>
      <w:szCs w:val="20"/>
      <w:lang w:eastAsia="zh-CN"/>
    </w:rPr>
  </w:style>
  <w:style w:type="paragraph" w:styleId="FootnoteText">
    <w:name w:val="footnote text"/>
    <w:basedOn w:val="Normal"/>
    <w:link w:val="FootnoteTextChar"/>
    <w:semiHidden/>
    <w:unhideWhenUsed/>
    <w:rsid w:val="00F9012F"/>
    <w:pPr>
      <w:spacing w:after="0" w:line="240" w:lineRule="auto"/>
    </w:pPr>
    <w:rPr>
      <w:rFonts w:eastAsia="Times New Roman" w:cs="Times New Roman"/>
      <w:sz w:val="20"/>
      <w:szCs w:val="20"/>
      <w:lang w:eastAsia="zh-CN"/>
    </w:rPr>
  </w:style>
  <w:style w:type="character" w:customStyle="1" w:styleId="FootnoteTextChar">
    <w:name w:val="Footnote Text Char"/>
    <w:basedOn w:val="DefaultParagraphFont"/>
    <w:link w:val="FootnoteText"/>
    <w:semiHidden/>
    <w:rsid w:val="00F9012F"/>
    <w:rPr>
      <w:rFonts w:ascii="Arial" w:eastAsia="Times New Roman" w:hAnsi="Arial" w:cs="Times New Roman"/>
      <w:sz w:val="20"/>
      <w:szCs w:val="20"/>
      <w:lang w:eastAsia="zh-CN"/>
    </w:rPr>
  </w:style>
  <w:style w:type="paragraph" w:styleId="HTMLAddress">
    <w:name w:val="HTML Address"/>
    <w:basedOn w:val="Normal"/>
    <w:link w:val="HTMLAddressChar"/>
    <w:semiHidden/>
    <w:unhideWhenUsed/>
    <w:rsid w:val="00F9012F"/>
    <w:pPr>
      <w:spacing w:after="0" w:line="240" w:lineRule="auto"/>
    </w:pPr>
    <w:rPr>
      <w:rFonts w:eastAsia="Times New Roman" w:cs="Times New Roman"/>
      <w:i/>
      <w:iCs/>
      <w:lang w:eastAsia="zh-CN"/>
    </w:rPr>
  </w:style>
  <w:style w:type="character" w:customStyle="1" w:styleId="HTMLAddressChar">
    <w:name w:val="HTML Address Char"/>
    <w:basedOn w:val="DefaultParagraphFont"/>
    <w:link w:val="HTMLAddress"/>
    <w:semiHidden/>
    <w:rsid w:val="00F9012F"/>
    <w:rPr>
      <w:rFonts w:ascii="Arial" w:eastAsia="Times New Roman" w:hAnsi="Arial" w:cs="Times New Roman"/>
      <w:i/>
      <w:iCs/>
      <w:lang w:eastAsia="zh-CN"/>
    </w:rPr>
  </w:style>
  <w:style w:type="paragraph" w:styleId="HTMLPreformatted">
    <w:name w:val="HTML Preformatted"/>
    <w:basedOn w:val="Normal"/>
    <w:link w:val="HTMLPreformattedChar"/>
    <w:semiHidden/>
    <w:unhideWhenUsed/>
    <w:rsid w:val="00F9012F"/>
    <w:pPr>
      <w:spacing w:after="0" w:line="240" w:lineRule="auto"/>
    </w:pPr>
    <w:rPr>
      <w:rFonts w:ascii="Consolas" w:eastAsia="Times New Roman" w:hAnsi="Consolas" w:cs="Times New Roman"/>
      <w:sz w:val="20"/>
      <w:szCs w:val="20"/>
      <w:lang w:eastAsia="zh-CN"/>
    </w:rPr>
  </w:style>
  <w:style w:type="character" w:customStyle="1" w:styleId="HTMLPreformattedChar">
    <w:name w:val="HTML Preformatted Char"/>
    <w:basedOn w:val="DefaultParagraphFont"/>
    <w:link w:val="HTMLPreformatted"/>
    <w:semiHidden/>
    <w:rsid w:val="00F9012F"/>
    <w:rPr>
      <w:rFonts w:ascii="Consolas" w:eastAsia="Times New Roman" w:hAnsi="Consolas" w:cs="Times New Roman"/>
      <w:sz w:val="20"/>
      <w:szCs w:val="20"/>
      <w:lang w:eastAsia="zh-CN"/>
    </w:rPr>
  </w:style>
  <w:style w:type="paragraph" w:styleId="Index1">
    <w:name w:val="index 1"/>
    <w:basedOn w:val="Normal"/>
    <w:next w:val="Normal"/>
    <w:autoRedefine/>
    <w:semiHidden/>
    <w:unhideWhenUsed/>
    <w:rsid w:val="00F9012F"/>
    <w:pPr>
      <w:spacing w:after="0" w:line="240" w:lineRule="auto"/>
      <w:ind w:left="220" w:hanging="220"/>
    </w:pPr>
    <w:rPr>
      <w:rFonts w:eastAsia="Times New Roman" w:cs="Times New Roman"/>
      <w:lang w:eastAsia="zh-CN"/>
    </w:rPr>
  </w:style>
  <w:style w:type="paragraph" w:styleId="Index2">
    <w:name w:val="index 2"/>
    <w:basedOn w:val="Normal"/>
    <w:next w:val="Normal"/>
    <w:autoRedefine/>
    <w:semiHidden/>
    <w:unhideWhenUsed/>
    <w:rsid w:val="00F9012F"/>
    <w:pPr>
      <w:spacing w:after="0" w:line="240" w:lineRule="auto"/>
      <w:ind w:left="440" w:hanging="220"/>
    </w:pPr>
    <w:rPr>
      <w:rFonts w:eastAsia="Times New Roman" w:cs="Times New Roman"/>
      <w:lang w:eastAsia="zh-CN"/>
    </w:rPr>
  </w:style>
  <w:style w:type="paragraph" w:styleId="Index3">
    <w:name w:val="index 3"/>
    <w:basedOn w:val="Normal"/>
    <w:next w:val="Normal"/>
    <w:autoRedefine/>
    <w:semiHidden/>
    <w:unhideWhenUsed/>
    <w:rsid w:val="00F9012F"/>
    <w:pPr>
      <w:spacing w:after="0" w:line="240" w:lineRule="auto"/>
      <w:ind w:left="660" w:hanging="220"/>
    </w:pPr>
    <w:rPr>
      <w:rFonts w:eastAsia="Times New Roman" w:cs="Times New Roman"/>
      <w:lang w:eastAsia="zh-CN"/>
    </w:rPr>
  </w:style>
  <w:style w:type="paragraph" w:styleId="Index4">
    <w:name w:val="index 4"/>
    <w:basedOn w:val="Normal"/>
    <w:next w:val="Normal"/>
    <w:autoRedefine/>
    <w:semiHidden/>
    <w:unhideWhenUsed/>
    <w:rsid w:val="00F9012F"/>
    <w:pPr>
      <w:spacing w:after="0" w:line="240" w:lineRule="auto"/>
      <w:ind w:left="880" w:hanging="220"/>
    </w:pPr>
    <w:rPr>
      <w:rFonts w:eastAsia="Times New Roman" w:cs="Times New Roman"/>
      <w:lang w:eastAsia="zh-CN"/>
    </w:rPr>
  </w:style>
  <w:style w:type="paragraph" w:styleId="Index5">
    <w:name w:val="index 5"/>
    <w:basedOn w:val="Normal"/>
    <w:next w:val="Normal"/>
    <w:autoRedefine/>
    <w:semiHidden/>
    <w:unhideWhenUsed/>
    <w:rsid w:val="00F9012F"/>
    <w:pPr>
      <w:spacing w:after="0" w:line="240" w:lineRule="auto"/>
      <w:ind w:left="1100" w:hanging="220"/>
    </w:pPr>
    <w:rPr>
      <w:rFonts w:eastAsia="Times New Roman" w:cs="Times New Roman"/>
      <w:lang w:eastAsia="zh-CN"/>
    </w:rPr>
  </w:style>
  <w:style w:type="paragraph" w:styleId="Index6">
    <w:name w:val="index 6"/>
    <w:basedOn w:val="Normal"/>
    <w:next w:val="Normal"/>
    <w:autoRedefine/>
    <w:semiHidden/>
    <w:unhideWhenUsed/>
    <w:rsid w:val="00F9012F"/>
    <w:pPr>
      <w:spacing w:after="0" w:line="240" w:lineRule="auto"/>
      <w:ind w:left="1320" w:hanging="220"/>
    </w:pPr>
    <w:rPr>
      <w:rFonts w:eastAsia="Times New Roman" w:cs="Times New Roman"/>
      <w:lang w:eastAsia="zh-CN"/>
    </w:rPr>
  </w:style>
  <w:style w:type="paragraph" w:styleId="Index7">
    <w:name w:val="index 7"/>
    <w:basedOn w:val="Normal"/>
    <w:next w:val="Normal"/>
    <w:autoRedefine/>
    <w:semiHidden/>
    <w:unhideWhenUsed/>
    <w:rsid w:val="00F9012F"/>
    <w:pPr>
      <w:spacing w:after="0" w:line="240" w:lineRule="auto"/>
      <w:ind w:left="1540" w:hanging="220"/>
    </w:pPr>
    <w:rPr>
      <w:rFonts w:eastAsia="Times New Roman" w:cs="Times New Roman"/>
      <w:lang w:eastAsia="zh-CN"/>
    </w:rPr>
  </w:style>
  <w:style w:type="paragraph" w:styleId="Index8">
    <w:name w:val="index 8"/>
    <w:basedOn w:val="Normal"/>
    <w:next w:val="Normal"/>
    <w:autoRedefine/>
    <w:semiHidden/>
    <w:unhideWhenUsed/>
    <w:rsid w:val="00F9012F"/>
    <w:pPr>
      <w:spacing w:after="0" w:line="240" w:lineRule="auto"/>
      <w:ind w:left="1760" w:hanging="220"/>
    </w:pPr>
    <w:rPr>
      <w:rFonts w:eastAsia="Times New Roman" w:cs="Times New Roman"/>
      <w:lang w:eastAsia="zh-CN"/>
    </w:rPr>
  </w:style>
  <w:style w:type="paragraph" w:styleId="Index9">
    <w:name w:val="index 9"/>
    <w:basedOn w:val="Normal"/>
    <w:next w:val="Normal"/>
    <w:autoRedefine/>
    <w:semiHidden/>
    <w:unhideWhenUsed/>
    <w:rsid w:val="00F9012F"/>
    <w:pPr>
      <w:spacing w:after="0" w:line="240" w:lineRule="auto"/>
      <w:ind w:left="1980" w:hanging="220"/>
    </w:pPr>
    <w:rPr>
      <w:rFonts w:eastAsia="Times New Roman" w:cs="Times New Roman"/>
      <w:lang w:eastAsia="zh-CN"/>
    </w:rPr>
  </w:style>
  <w:style w:type="paragraph" w:customStyle="1" w:styleId="IndexHeading1">
    <w:name w:val="Index Heading1"/>
    <w:basedOn w:val="Normal"/>
    <w:next w:val="Index1"/>
    <w:semiHidden/>
    <w:unhideWhenUsed/>
    <w:rsid w:val="00F9012F"/>
    <w:pPr>
      <w:spacing w:before="200" w:after="0" w:line="360" w:lineRule="auto"/>
    </w:pPr>
    <w:rPr>
      <w:rFonts w:ascii="Cambria" w:eastAsia="SimSun" w:hAnsi="Cambria" w:cs="Times New Roman"/>
      <w:b/>
      <w:bCs/>
      <w:lang w:eastAsia="zh-CN"/>
    </w:rPr>
  </w:style>
  <w:style w:type="paragraph" w:styleId="List">
    <w:name w:val="List"/>
    <w:basedOn w:val="Normal"/>
    <w:semiHidden/>
    <w:unhideWhenUsed/>
    <w:rsid w:val="00F9012F"/>
    <w:pPr>
      <w:spacing w:before="200" w:after="0" w:line="360" w:lineRule="auto"/>
      <w:ind w:left="283" w:hanging="283"/>
      <w:contextualSpacing/>
    </w:pPr>
    <w:rPr>
      <w:rFonts w:eastAsia="Times New Roman" w:cs="Times New Roman"/>
      <w:lang w:eastAsia="zh-CN"/>
    </w:rPr>
  </w:style>
  <w:style w:type="paragraph" w:styleId="List2">
    <w:name w:val="List 2"/>
    <w:basedOn w:val="Normal"/>
    <w:semiHidden/>
    <w:unhideWhenUsed/>
    <w:rsid w:val="00F9012F"/>
    <w:pPr>
      <w:spacing w:before="200" w:after="0" w:line="360" w:lineRule="auto"/>
      <w:ind w:left="566" w:hanging="283"/>
      <w:contextualSpacing/>
    </w:pPr>
    <w:rPr>
      <w:rFonts w:eastAsia="Times New Roman" w:cs="Times New Roman"/>
      <w:lang w:eastAsia="zh-CN"/>
    </w:rPr>
  </w:style>
  <w:style w:type="paragraph" w:styleId="List3">
    <w:name w:val="List 3"/>
    <w:basedOn w:val="Normal"/>
    <w:semiHidden/>
    <w:unhideWhenUsed/>
    <w:rsid w:val="00F9012F"/>
    <w:pPr>
      <w:spacing w:before="200" w:after="0" w:line="360" w:lineRule="auto"/>
      <w:ind w:left="849" w:hanging="283"/>
      <w:contextualSpacing/>
    </w:pPr>
    <w:rPr>
      <w:rFonts w:eastAsia="Times New Roman" w:cs="Times New Roman"/>
      <w:lang w:eastAsia="zh-CN"/>
    </w:rPr>
  </w:style>
  <w:style w:type="paragraph" w:styleId="List4">
    <w:name w:val="List 4"/>
    <w:basedOn w:val="Normal"/>
    <w:semiHidden/>
    <w:rsid w:val="00F9012F"/>
    <w:pPr>
      <w:spacing w:before="200" w:after="0" w:line="360" w:lineRule="auto"/>
      <w:ind w:left="1132" w:hanging="283"/>
      <w:contextualSpacing/>
    </w:pPr>
    <w:rPr>
      <w:rFonts w:eastAsia="Times New Roman" w:cs="Times New Roman"/>
      <w:lang w:eastAsia="zh-CN"/>
    </w:rPr>
  </w:style>
  <w:style w:type="paragraph" w:styleId="List5">
    <w:name w:val="List 5"/>
    <w:basedOn w:val="Normal"/>
    <w:semiHidden/>
    <w:rsid w:val="00F9012F"/>
    <w:pPr>
      <w:spacing w:before="200" w:after="0" w:line="360" w:lineRule="auto"/>
      <w:ind w:left="1415" w:hanging="283"/>
      <w:contextualSpacing/>
    </w:pPr>
    <w:rPr>
      <w:rFonts w:eastAsia="Times New Roman" w:cs="Times New Roman"/>
      <w:lang w:eastAsia="zh-CN"/>
    </w:rPr>
  </w:style>
  <w:style w:type="paragraph" w:styleId="ListBullet">
    <w:name w:val="List Bullet"/>
    <w:basedOn w:val="Normal"/>
    <w:semiHidden/>
    <w:unhideWhenUsed/>
    <w:rsid w:val="00F9012F"/>
    <w:pPr>
      <w:numPr>
        <w:numId w:val="11"/>
      </w:numPr>
      <w:spacing w:before="200" w:after="0" w:line="360" w:lineRule="auto"/>
      <w:contextualSpacing/>
    </w:pPr>
    <w:rPr>
      <w:rFonts w:eastAsia="Times New Roman" w:cs="Times New Roman"/>
      <w:lang w:eastAsia="zh-CN"/>
    </w:rPr>
  </w:style>
  <w:style w:type="paragraph" w:styleId="ListBullet2">
    <w:name w:val="List Bullet 2"/>
    <w:basedOn w:val="Normal"/>
    <w:semiHidden/>
    <w:unhideWhenUsed/>
    <w:rsid w:val="00F9012F"/>
    <w:pPr>
      <w:numPr>
        <w:numId w:val="12"/>
      </w:numPr>
      <w:spacing w:before="200" w:after="0" w:line="360" w:lineRule="auto"/>
      <w:contextualSpacing/>
    </w:pPr>
    <w:rPr>
      <w:rFonts w:eastAsia="Times New Roman" w:cs="Times New Roman"/>
      <w:lang w:eastAsia="zh-CN"/>
    </w:rPr>
  </w:style>
  <w:style w:type="paragraph" w:styleId="ListBullet3">
    <w:name w:val="List Bullet 3"/>
    <w:basedOn w:val="Normal"/>
    <w:semiHidden/>
    <w:unhideWhenUsed/>
    <w:rsid w:val="00F9012F"/>
    <w:pPr>
      <w:numPr>
        <w:numId w:val="13"/>
      </w:numPr>
      <w:spacing w:before="200" w:after="0" w:line="360" w:lineRule="auto"/>
      <w:contextualSpacing/>
    </w:pPr>
    <w:rPr>
      <w:rFonts w:eastAsia="Times New Roman" w:cs="Times New Roman"/>
      <w:lang w:eastAsia="zh-CN"/>
    </w:rPr>
  </w:style>
  <w:style w:type="paragraph" w:styleId="ListBullet4">
    <w:name w:val="List Bullet 4"/>
    <w:basedOn w:val="Normal"/>
    <w:semiHidden/>
    <w:unhideWhenUsed/>
    <w:rsid w:val="00F9012F"/>
    <w:pPr>
      <w:numPr>
        <w:numId w:val="14"/>
      </w:numPr>
      <w:spacing w:before="200" w:after="0" w:line="360" w:lineRule="auto"/>
      <w:contextualSpacing/>
    </w:pPr>
    <w:rPr>
      <w:rFonts w:eastAsia="Times New Roman" w:cs="Times New Roman"/>
      <w:lang w:eastAsia="zh-CN"/>
    </w:rPr>
  </w:style>
  <w:style w:type="paragraph" w:styleId="ListBullet5">
    <w:name w:val="List Bullet 5"/>
    <w:basedOn w:val="Normal"/>
    <w:semiHidden/>
    <w:unhideWhenUsed/>
    <w:rsid w:val="00F9012F"/>
    <w:pPr>
      <w:numPr>
        <w:numId w:val="15"/>
      </w:numPr>
      <w:spacing w:before="200" w:after="0" w:line="360" w:lineRule="auto"/>
      <w:contextualSpacing/>
    </w:pPr>
    <w:rPr>
      <w:rFonts w:eastAsia="Times New Roman" w:cs="Times New Roman"/>
      <w:lang w:eastAsia="zh-CN"/>
    </w:rPr>
  </w:style>
  <w:style w:type="paragraph" w:styleId="ListContinue">
    <w:name w:val="List Continue"/>
    <w:basedOn w:val="Normal"/>
    <w:semiHidden/>
    <w:unhideWhenUsed/>
    <w:rsid w:val="00F9012F"/>
    <w:pPr>
      <w:spacing w:before="200" w:after="120" w:line="360" w:lineRule="auto"/>
      <w:ind w:left="283"/>
      <w:contextualSpacing/>
    </w:pPr>
    <w:rPr>
      <w:rFonts w:eastAsia="Times New Roman" w:cs="Times New Roman"/>
      <w:lang w:eastAsia="zh-CN"/>
    </w:rPr>
  </w:style>
  <w:style w:type="paragraph" w:styleId="ListContinue2">
    <w:name w:val="List Continue 2"/>
    <w:basedOn w:val="Normal"/>
    <w:semiHidden/>
    <w:unhideWhenUsed/>
    <w:rsid w:val="00F9012F"/>
    <w:pPr>
      <w:spacing w:before="200" w:after="120" w:line="360" w:lineRule="auto"/>
      <w:ind w:left="566"/>
      <w:contextualSpacing/>
    </w:pPr>
    <w:rPr>
      <w:rFonts w:eastAsia="Times New Roman" w:cs="Times New Roman"/>
      <w:lang w:eastAsia="zh-CN"/>
    </w:rPr>
  </w:style>
  <w:style w:type="paragraph" w:styleId="ListContinue3">
    <w:name w:val="List Continue 3"/>
    <w:basedOn w:val="Normal"/>
    <w:semiHidden/>
    <w:unhideWhenUsed/>
    <w:rsid w:val="00F9012F"/>
    <w:pPr>
      <w:spacing w:before="200" w:after="120" w:line="360" w:lineRule="auto"/>
      <w:ind w:left="849"/>
      <w:contextualSpacing/>
    </w:pPr>
    <w:rPr>
      <w:rFonts w:eastAsia="Times New Roman" w:cs="Times New Roman"/>
      <w:lang w:eastAsia="zh-CN"/>
    </w:rPr>
  </w:style>
  <w:style w:type="paragraph" w:styleId="ListContinue4">
    <w:name w:val="List Continue 4"/>
    <w:basedOn w:val="Normal"/>
    <w:semiHidden/>
    <w:unhideWhenUsed/>
    <w:rsid w:val="00F9012F"/>
    <w:pPr>
      <w:spacing w:before="200" w:after="120" w:line="360" w:lineRule="auto"/>
      <w:ind w:left="1132"/>
      <w:contextualSpacing/>
    </w:pPr>
    <w:rPr>
      <w:rFonts w:eastAsia="Times New Roman" w:cs="Times New Roman"/>
      <w:lang w:eastAsia="zh-CN"/>
    </w:rPr>
  </w:style>
  <w:style w:type="paragraph" w:styleId="ListContinue5">
    <w:name w:val="List Continue 5"/>
    <w:basedOn w:val="Normal"/>
    <w:semiHidden/>
    <w:unhideWhenUsed/>
    <w:rsid w:val="00F9012F"/>
    <w:pPr>
      <w:spacing w:before="200" w:after="120" w:line="360" w:lineRule="auto"/>
      <w:ind w:left="1415"/>
      <w:contextualSpacing/>
    </w:pPr>
    <w:rPr>
      <w:rFonts w:eastAsia="Times New Roman" w:cs="Times New Roman"/>
      <w:lang w:eastAsia="zh-CN"/>
    </w:rPr>
  </w:style>
  <w:style w:type="paragraph" w:styleId="ListNumber3">
    <w:name w:val="List Number 3"/>
    <w:basedOn w:val="Normal"/>
    <w:semiHidden/>
    <w:unhideWhenUsed/>
    <w:rsid w:val="00F9012F"/>
    <w:pPr>
      <w:numPr>
        <w:numId w:val="17"/>
      </w:numPr>
      <w:spacing w:before="200" w:after="0" w:line="360" w:lineRule="auto"/>
      <w:contextualSpacing/>
    </w:pPr>
    <w:rPr>
      <w:rFonts w:eastAsia="Times New Roman" w:cs="Times New Roman"/>
      <w:lang w:eastAsia="zh-CN"/>
    </w:rPr>
  </w:style>
  <w:style w:type="paragraph" w:styleId="ListNumber4">
    <w:name w:val="List Number 4"/>
    <w:basedOn w:val="Normal"/>
    <w:semiHidden/>
    <w:unhideWhenUsed/>
    <w:rsid w:val="00F9012F"/>
    <w:pPr>
      <w:numPr>
        <w:numId w:val="18"/>
      </w:numPr>
      <w:spacing w:before="200" w:after="0" w:line="360" w:lineRule="auto"/>
      <w:contextualSpacing/>
    </w:pPr>
    <w:rPr>
      <w:rFonts w:eastAsia="Times New Roman" w:cs="Times New Roman"/>
      <w:lang w:eastAsia="zh-CN"/>
    </w:rPr>
  </w:style>
  <w:style w:type="paragraph" w:styleId="ListNumber5">
    <w:name w:val="List Number 5"/>
    <w:basedOn w:val="Normal"/>
    <w:semiHidden/>
    <w:unhideWhenUsed/>
    <w:rsid w:val="00F9012F"/>
    <w:pPr>
      <w:numPr>
        <w:numId w:val="19"/>
      </w:numPr>
      <w:spacing w:before="200" w:after="0" w:line="360" w:lineRule="auto"/>
      <w:contextualSpacing/>
    </w:pPr>
    <w:rPr>
      <w:rFonts w:eastAsia="Times New Roman" w:cs="Times New Roman"/>
      <w:lang w:eastAsia="zh-CN"/>
    </w:rPr>
  </w:style>
  <w:style w:type="paragraph" w:styleId="MacroText">
    <w:name w:val="macro"/>
    <w:link w:val="MacroTextChar"/>
    <w:semiHidden/>
    <w:unhideWhenUsed/>
    <w:rsid w:val="00F9012F"/>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semiHidden/>
    <w:rsid w:val="00F9012F"/>
    <w:rPr>
      <w:rFonts w:ascii="Consolas" w:eastAsia="Times New Roman" w:hAnsi="Consolas" w:cs="Times New Roman"/>
      <w:sz w:val="20"/>
      <w:szCs w:val="20"/>
      <w:lang w:eastAsia="zh-CN"/>
    </w:rPr>
  </w:style>
  <w:style w:type="paragraph" w:customStyle="1" w:styleId="MessageHeader1">
    <w:name w:val="Message Header1"/>
    <w:basedOn w:val="Normal"/>
    <w:next w:val="MessageHeader"/>
    <w:link w:val="MessageHeaderChar"/>
    <w:semiHidden/>
    <w:unhideWhenUsed/>
    <w:rsid w:val="00F9012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SimSun" w:hAnsi="Cambria" w:cs="Times New Roman"/>
      <w:sz w:val="24"/>
      <w:szCs w:val="24"/>
    </w:rPr>
  </w:style>
  <w:style w:type="character" w:customStyle="1" w:styleId="MessageHeaderChar">
    <w:name w:val="Message Header Char"/>
    <w:basedOn w:val="DefaultParagraphFont"/>
    <w:link w:val="MessageHeader1"/>
    <w:semiHidden/>
    <w:rsid w:val="00F9012F"/>
    <w:rPr>
      <w:rFonts w:ascii="Cambria" w:eastAsia="SimSun" w:hAnsi="Cambria" w:cs="Times New Roman"/>
      <w:sz w:val="24"/>
      <w:szCs w:val="24"/>
      <w:shd w:val="pct20" w:color="auto" w:fill="auto"/>
    </w:rPr>
  </w:style>
  <w:style w:type="paragraph" w:styleId="NoSpacing">
    <w:name w:val="No Spacing"/>
    <w:uiPriority w:val="1"/>
    <w:rsid w:val="00F9012F"/>
    <w:pPr>
      <w:spacing w:after="0" w:line="240" w:lineRule="auto"/>
    </w:pPr>
    <w:rPr>
      <w:rFonts w:ascii="Calibri" w:eastAsia="Times New Roman" w:hAnsi="Calibri" w:cs="Times New Roman"/>
      <w:lang w:eastAsia="zh-CN"/>
    </w:rPr>
  </w:style>
  <w:style w:type="paragraph" w:styleId="NormalIndent">
    <w:name w:val="Normal Indent"/>
    <w:basedOn w:val="Normal"/>
    <w:semiHidden/>
    <w:unhideWhenUsed/>
    <w:rsid w:val="00F9012F"/>
    <w:pPr>
      <w:spacing w:before="200" w:after="0" w:line="360" w:lineRule="auto"/>
      <w:ind w:left="720"/>
    </w:pPr>
    <w:rPr>
      <w:rFonts w:eastAsia="Times New Roman" w:cs="Times New Roman"/>
      <w:lang w:eastAsia="zh-CN"/>
    </w:rPr>
  </w:style>
  <w:style w:type="paragraph" w:styleId="NoteHeading">
    <w:name w:val="Note Heading"/>
    <w:basedOn w:val="Normal"/>
    <w:next w:val="Normal"/>
    <w:link w:val="NoteHeadingChar"/>
    <w:semiHidden/>
    <w:unhideWhenUsed/>
    <w:rsid w:val="00F9012F"/>
    <w:pPr>
      <w:spacing w:after="0" w:line="240" w:lineRule="auto"/>
    </w:pPr>
    <w:rPr>
      <w:rFonts w:eastAsia="Times New Roman" w:cs="Times New Roman"/>
      <w:lang w:eastAsia="zh-CN"/>
    </w:rPr>
  </w:style>
  <w:style w:type="character" w:customStyle="1" w:styleId="NoteHeadingChar">
    <w:name w:val="Note Heading Char"/>
    <w:basedOn w:val="DefaultParagraphFont"/>
    <w:link w:val="NoteHeading"/>
    <w:semiHidden/>
    <w:rsid w:val="00F9012F"/>
    <w:rPr>
      <w:rFonts w:ascii="Arial" w:eastAsia="Times New Roman" w:hAnsi="Arial" w:cs="Times New Roman"/>
      <w:lang w:eastAsia="zh-CN"/>
    </w:rPr>
  </w:style>
  <w:style w:type="paragraph" w:styleId="PlainText">
    <w:name w:val="Plain Text"/>
    <w:basedOn w:val="Normal"/>
    <w:link w:val="PlainTextChar"/>
    <w:semiHidden/>
    <w:unhideWhenUsed/>
    <w:rsid w:val="00F9012F"/>
    <w:pPr>
      <w:spacing w:after="0" w:line="240" w:lineRule="auto"/>
    </w:pPr>
    <w:rPr>
      <w:rFonts w:ascii="Consolas" w:eastAsia="Times New Roman" w:hAnsi="Consolas" w:cs="Times New Roman"/>
      <w:sz w:val="21"/>
      <w:szCs w:val="21"/>
      <w:lang w:eastAsia="zh-CN"/>
    </w:rPr>
  </w:style>
  <w:style w:type="character" w:customStyle="1" w:styleId="PlainTextChar">
    <w:name w:val="Plain Text Char"/>
    <w:basedOn w:val="DefaultParagraphFont"/>
    <w:link w:val="PlainText"/>
    <w:semiHidden/>
    <w:rsid w:val="00F9012F"/>
    <w:rPr>
      <w:rFonts w:ascii="Consolas" w:eastAsia="Times New Roman" w:hAnsi="Consolas" w:cs="Times New Roman"/>
      <w:sz w:val="21"/>
      <w:szCs w:val="21"/>
      <w:lang w:eastAsia="zh-CN"/>
    </w:rPr>
  </w:style>
  <w:style w:type="paragraph" w:styleId="Signature">
    <w:name w:val="Signature"/>
    <w:basedOn w:val="Normal"/>
    <w:link w:val="SignatureChar"/>
    <w:semiHidden/>
    <w:unhideWhenUsed/>
    <w:rsid w:val="00F9012F"/>
    <w:pPr>
      <w:spacing w:after="0" w:line="240" w:lineRule="auto"/>
      <w:ind w:left="4252"/>
    </w:pPr>
    <w:rPr>
      <w:rFonts w:eastAsia="Times New Roman" w:cs="Times New Roman"/>
      <w:lang w:eastAsia="zh-CN"/>
    </w:rPr>
  </w:style>
  <w:style w:type="character" w:customStyle="1" w:styleId="SignatureChar">
    <w:name w:val="Signature Char"/>
    <w:basedOn w:val="DefaultParagraphFont"/>
    <w:link w:val="Signature"/>
    <w:semiHidden/>
    <w:rsid w:val="00F9012F"/>
    <w:rPr>
      <w:rFonts w:ascii="Arial" w:eastAsia="Times New Roman" w:hAnsi="Arial" w:cs="Times New Roman"/>
      <w:lang w:eastAsia="zh-CN"/>
    </w:rPr>
  </w:style>
  <w:style w:type="paragraph" w:styleId="TableofAuthorities">
    <w:name w:val="table of authorities"/>
    <w:basedOn w:val="Normal"/>
    <w:next w:val="Normal"/>
    <w:semiHidden/>
    <w:unhideWhenUsed/>
    <w:rsid w:val="00F9012F"/>
    <w:pPr>
      <w:spacing w:before="200" w:after="0" w:line="360" w:lineRule="auto"/>
      <w:ind w:left="220" w:hanging="220"/>
    </w:pPr>
    <w:rPr>
      <w:rFonts w:eastAsia="Times New Roman" w:cs="Times New Roman"/>
      <w:lang w:eastAsia="zh-CN"/>
    </w:rPr>
  </w:style>
  <w:style w:type="paragraph" w:customStyle="1" w:styleId="TOAHeading1">
    <w:name w:val="TOA Heading1"/>
    <w:basedOn w:val="Normal"/>
    <w:next w:val="Normal"/>
    <w:semiHidden/>
    <w:unhideWhenUsed/>
    <w:rsid w:val="00F9012F"/>
    <w:pPr>
      <w:spacing w:before="120" w:after="0" w:line="360" w:lineRule="auto"/>
    </w:pPr>
    <w:rPr>
      <w:rFonts w:ascii="Cambria" w:eastAsia="SimSun" w:hAnsi="Cambria" w:cs="Times New Roman"/>
      <w:b/>
      <w:bCs/>
      <w:sz w:val="24"/>
      <w:szCs w:val="24"/>
      <w:lang w:eastAsia="zh-CN"/>
    </w:rPr>
  </w:style>
  <w:style w:type="paragraph" w:styleId="TOC6">
    <w:name w:val="toc 6"/>
    <w:basedOn w:val="Normal"/>
    <w:next w:val="Normal"/>
    <w:autoRedefine/>
    <w:uiPriority w:val="39"/>
    <w:unhideWhenUsed/>
    <w:rsid w:val="00F9012F"/>
    <w:pPr>
      <w:spacing w:before="200" w:after="100" w:line="360" w:lineRule="auto"/>
      <w:ind w:left="1100"/>
    </w:pPr>
    <w:rPr>
      <w:rFonts w:eastAsia="Times New Roman" w:cs="Times New Roman"/>
      <w:lang w:eastAsia="zh-CN"/>
    </w:rPr>
  </w:style>
  <w:style w:type="paragraph" w:styleId="TOC7">
    <w:name w:val="toc 7"/>
    <w:basedOn w:val="Normal"/>
    <w:next w:val="Normal"/>
    <w:autoRedefine/>
    <w:uiPriority w:val="39"/>
    <w:unhideWhenUsed/>
    <w:rsid w:val="00F9012F"/>
    <w:pPr>
      <w:spacing w:before="200" w:after="100" w:line="360" w:lineRule="auto"/>
      <w:ind w:left="1320"/>
    </w:pPr>
    <w:rPr>
      <w:rFonts w:eastAsia="Times New Roman" w:cs="Times New Roman"/>
      <w:lang w:eastAsia="zh-CN"/>
    </w:rPr>
  </w:style>
  <w:style w:type="paragraph" w:styleId="TOC8">
    <w:name w:val="toc 8"/>
    <w:basedOn w:val="Normal"/>
    <w:next w:val="Normal"/>
    <w:autoRedefine/>
    <w:uiPriority w:val="39"/>
    <w:unhideWhenUsed/>
    <w:rsid w:val="00F9012F"/>
    <w:pPr>
      <w:spacing w:before="200" w:after="100" w:line="360" w:lineRule="auto"/>
      <w:ind w:left="1540"/>
    </w:pPr>
    <w:rPr>
      <w:rFonts w:eastAsia="Times New Roman" w:cs="Times New Roman"/>
      <w:lang w:eastAsia="zh-CN"/>
    </w:rPr>
  </w:style>
  <w:style w:type="paragraph" w:styleId="TOC9">
    <w:name w:val="toc 9"/>
    <w:basedOn w:val="Normal"/>
    <w:next w:val="Normal"/>
    <w:autoRedefine/>
    <w:uiPriority w:val="39"/>
    <w:unhideWhenUsed/>
    <w:rsid w:val="00F9012F"/>
    <w:pPr>
      <w:spacing w:before="200" w:after="100" w:line="360" w:lineRule="auto"/>
      <w:ind w:left="1760"/>
    </w:pPr>
    <w:rPr>
      <w:rFonts w:eastAsia="Times New Roman" w:cs="Times New Roman"/>
      <w:lang w:eastAsia="zh-CN"/>
    </w:rPr>
  </w:style>
  <w:style w:type="paragraph" w:customStyle="1" w:styleId="FooterLandscapedEven">
    <w:name w:val="Footer Landscaped Even"/>
    <w:basedOn w:val="Footer"/>
    <w:qFormat/>
    <w:rsid w:val="00F9012F"/>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F9012F"/>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F9012F"/>
    <w:rPr>
      <w:b/>
    </w:rPr>
  </w:style>
  <w:style w:type="paragraph" w:customStyle="1" w:styleId="Insertedimage">
    <w:name w:val="Inserted image"/>
    <w:basedOn w:val="Normal"/>
    <w:next w:val="Normal"/>
    <w:qFormat/>
    <w:rsid w:val="00F9012F"/>
    <w:pPr>
      <w:keepNext/>
      <w:spacing w:before="120" w:after="120" w:line="240" w:lineRule="auto"/>
      <w:jc w:val="center"/>
    </w:pPr>
    <w:rPr>
      <w:rFonts w:eastAsia="Times New Roman" w:cs="Times New Roman"/>
      <w:noProof/>
      <w:lang w:eastAsia="zh-CN"/>
    </w:rPr>
  </w:style>
  <w:style w:type="character" w:customStyle="1" w:styleId="FollowedHyperlink1">
    <w:name w:val="FollowedHyperlink1"/>
    <w:basedOn w:val="DefaultParagraphFont"/>
    <w:semiHidden/>
    <w:unhideWhenUsed/>
    <w:rsid w:val="00F9012F"/>
    <w:rPr>
      <w:color w:val="800080"/>
      <w:u w:val="single"/>
    </w:rPr>
  </w:style>
  <w:style w:type="paragraph" w:customStyle="1" w:styleId="Default">
    <w:name w:val="Default"/>
    <w:rsid w:val="00F9012F"/>
    <w:pPr>
      <w:autoSpaceDE w:val="0"/>
      <w:autoSpaceDN w:val="0"/>
      <w:adjustRightInd w:val="0"/>
      <w:spacing w:after="0" w:line="360" w:lineRule="auto"/>
    </w:pPr>
    <w:rPr>
      <w:rFonts w:ascii="Calibri" w:eastAsia="Times New Roman" w:hAnsi="Calibri" w:cs="Lucida Sans"/>
      <w:color w:val="000000"/>
      <w:szCs w:val="24"/>
      <w:lang w:eastAsia="zh-CN"/>
    </w:rPr>
  </w:style>
  <w:style w:type="character" w:styleId="LineNumber">
    <w:name w:val="line number"/>
    <w:basedOn w:val="DefaultParagraphFont"/>
    <w:semiHidden/>
    <w:unhideWhenUsed/>
    <w:rsid w:val="00F9012F"/>
  </w:style>
  <w:style w:type="paragraph" w:styleId="BodyTextFirstIndent">
    <w:name w:val="Body Text First Indent"/>
    <w:basedOn w:val="BodyText"/>
    <w:link w:val="BodyTextFirstIndentChar"/>
    <w:rsid w:val="00F9012F"/>
    <w:pPr>
      <w:ind w:firstLine="360"/>
    </w:pPr>
    <w:rPr>
      <w:lang w:eastAsia="zh-CN"/>
    </w:rPr>
  </w:style>
  <w:style w:type="character" w:customStyle="1" w:styleId="BodyTextFirstIndentChar">
    <w:name w:val="Body Text First Indent Char"/>
    <w:basedOn w:val="BodyTextChar"/>
    <w:link w:val="BodyTextFirstIndent"/>
    <w:rsid w:val="00F9012F"/>
    <w:rPr>
      <w:rFonts w:ascii="Arial" w:eastAsia="Times New Roman" w:hAnsi="Arial" w:cs="Times New Roman"/>
      <w:lang w:eastAsia="zh-CN"/>
    </w:rPr>
  </w:style>
  <w:style w:type="paragraph" w:customStyle="1" w:styleId="IntenseQuote1">
    <w:name w:val="Intense Quote1"/>
    <w:basedOn w:val="Normal"/>
    <w:next w:val="Normal"/>
    <w:uiPriority w:val="30"/>
    <w:rsid w:val="00F9012F"/>
    <w:pPr>
      <w:pBdr>
        <w:top w:val="single" w:sz="4" w:space="10" w:color="4F81BD"/>
        <w:bottom w:val="single" w:sz="4" w:space="10" w:color="4F81BD"/>
      </w:pBdr>
      <w:spacing w:before="360" w:after="360" w:line="360" w:lineRule="auto"/>
      <w:ind w:left="864" w:right="864"/>
      <w:jc w:val="center"/>
    </w:pPr>
    <w:rPr>
      <w:rFonts w:eastAsia="Times New Roman" w:cs="Times New Roman"/>
      <w:i/>
      <w:iCs/>
      <w:color w:val="4F81BD"/>
      <w:lang w:eastAsia="zh-CN"/>
    </w:rPr>
  </w:style>
  <w:style w:type="character" w:customStyle="1" w:styleId="IntenseQuoteChar">
    <w:name w:val="Intense Quote Char"/>
    <w:basedOn w:val="DefaultParagraphFont"/>
    <w:link w:val="IntenseQuote"/>
    <w:uiPriority w:val="30"/>
    <w:rsid w:val="00F9012F"/>
    <w:rPr>
      <w:rFonts w:ascii="Arial" w:hAnsi="Arial"/>
      <w:i/>
      <w:iCs/>
      <w:color w:val="4F81BD"/>
    </w:rPr>
  </w:style>
  <w:style w:type="paragraph" w:customStyle="1" w:styleId="Quote1">
    <w:name w:val="Quote1"/>
    <w:basedOn w:val="Normal"/>
    <w:next w:val="Normal"/>
    <w:uiPriority w:val="29"/>
    <w:rsid w:val="00F9012F"/>
    <w:pPr>
      <w:spacing w:before="200" w:line="360" w:lineRule="auto"/>
      <w:ind w:left="864" w:right="864"/>
      <w:jc w:val="center"/>
    </w:pPr>
    <w:rPr>
      <w:rFonts w:eastAsia="Times New Roman" w:cs="Times New Roman"/>
      <w:i/>
      <w:iCs/>
      <w:color w:val="404040"/>
      <w:lang w:eastAsia="zh-CN"/>
    </w:rPr>
  </w:style>
  <w:style w:type="character" w:customStyle="1" w:styleId="QuoteChar">
    <w:name w:val="Quote Char"/>
    <w:basedOn w:val="DefaultParagraphFont"/>
    <w:link w:val="Quote"/>
    <w:uiPriority w:val="29"/>
    <w:rsid w:val="00F9012F"/>
    <w:rPr>
      <w:rFonts w:ascii="Arial" w:hAnsi="Arial"/>
      <w:i/>
      <w:iCs/>
      <w:color w:val="404040"/>
    </w:rPr>
  </w:style>
  <w:style w:type="paragraph" w:styleId="Salutation">
    <w:name w:val="Salutation"/>
    <w:basedOn w:val="Normal"/>
    <w:next w:val="Normal"/>
    <w:link w:val="SalutationChar"/>
    <w:rsid w:val="00F9012F"/>
    <w:pPr>
      <w:spacing w:before="200" w:after="0" w:line="360" w:lineRule="auto"/>
    </w:pPr>
    <w:rPr>
      <w:rFonts w:eastAsia="Times New Roman" w:cs="Times New Roman"/>
      <w:lang w:eastAsia="zh-CN"/>
    </w:rPr>
  </w:style>
  <w:style w:type="character" w:customStyle="1" w:styleId="SalutationChar">
    <w:name w:val="Salutation Char"/>
    <w:basedOn w:val="DefaultParagraphFont"/>
    <w:link w:val="Salutation"/>
    <w:rsid w:val="00F9012F"/>
    <w:rPr>
      <w:rFonts w:ascii="Arial" w:eastAsia="Times New Roman" w:hAnsi="Arial" w:cs="Times New Roman"/>
      <w:lang w:eastAsia="zh-CN"/>
    </w:rPr>
  </w:style>
  <w:style w:type="paragraph" w:customStyle="1" w:styleId="Subtitle1">
    <w:name w:val="Subtitle1"/>
    <w:basedOn w:val="Normal"/>
    <w:next w:val="Normal"/>
    <w:rsid w:val="00F9012F"/>
    <w:pPr>
      <w:numPr>
        <w:ilvl w:val="1"/>
      </w:numPr>
      <w:spacing w:before="200" w:line="360" w:lineRule="auto"/>
    </w:pPr>
    <w:rPr>
      <w:rFonts w:ascii="Calibri" w:eastAsia="SimSun" w:hAnsi="Calibri"/>
      <w:color w:val="5A5A5A"/>
      <w:spacing w:val="15"/>
      <w:lang w:eastAsia="zh-CN"/>
    </w:rPr>
  </w:style>
  <w:style w:type="character" w:customStyle="1" w:styleId="SubtitleChar">
    <w:name w:val="Subtitle Char"/>
    <w:basedOn w:val="DefaultParagraphFont"/>
    <w:link w:val="Subtitle"/>
    <w:rsid w:val="00F9012F"/>
    <w:rPr>
      <w:rFonts w:ascii="Calibri" w:eastAsia="SimSun" w:hAnsi="Calibri" w:cs="Arial"/>
      <w:color w:val="5A5A5A"/>
      <w:spacing w:val="15"/>
    </w:rPr>
  </w:style>
  <w:style w:type="paragraph" w:styleId="Revision">
    <w:name w:val="Revision"/>
    <w:hidden/>
    <w:uiPriority w:val="99"/>
    <w:semiHidden/>
    <w:rsid w:val="00F9012F"/>
    <w:pPr>
      <w:spacing w:after="0" w:line="240" w:lineRule="auto"/>
    </w:pPr>
    <w:rPr>
      <w:rFonts w:ascii="Arial" w:eastAsia="Times New Roman" w:hAnsi="Arial" w:cs="Times New Roman"/>
      <w:lang w:eastAsia="zh-CN"/>
    </w:rPr>
  </w:style>
  <w:style w:type="character" w:styleId="PlaceholderText">
    <w:name w:val="Placeholder Text"/>
    <w:basedOn w:val="DefaultParagraphFont"/>
    <w:uiPriority w:val="99"/>
    <w:semiHidden/>
    <w:rsid w:val="00F9012F"/>
    <w:rPr>
      <w:color w:val="808080"/>
    </w:rPr>
  </w:style>
  <w:style w:type="character" w:customStyle="1" w:styleId="Heading5Char1">
    <w:name w:val="Heading 5 Char1"/>
    <w:basedOn w:val="DefaultParagraphFont"/>
    <w:uiPriority w:val="9"/>
    <w:semiHidden/>
    <w:rsid w:val="00F9012F"/>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F9012F"/>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F9012F"/>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F9012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9012F"/>
    <w:rPr>
      <w:rFonts w:asciiTheme="majorHAnsi" w:eastAsiaTheme="majorEastAsia" w:hAnsiTheme="majorHAnsi" w:cstheme="majorBidi"/>
      <w:i/>
      <w:iCs/>
      <w:color w:val="272727" w:themeColor="text1" w:themeTint="D8"/>
      <w:sz w:val="21"/>
      <w:szCs w:val="21"/>
    </w:rPr>
  </w:style>
  <w:style w:type="paragraph" w:styleId="BlockText">
    <w:name w:val="Block Text"/>
    <w:basedOn w:val="Normal"/>
    <w:semiHidden/>
    <w:unhideWhenUsed/>
    <w:rsid w:val="00F9012F"/>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paragraph" w:styleId="EnvelopeAddress">
    <w:name w:val="envelope address"/>
    <w:basedOn w:val="Normal"/>
    <w:semiHidden/>
    <w:unhideWhenUsed/>
    <w:rsid w:val="00F9012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F9012F"/>
    <w:pPr>
      <w:spacing w:after="0"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1"/>
    <w:semiHidden/>
    <w:unhideWhenUsed/>
    <w:rsid w:val="00F9012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F9012F"/>
    <w:rPr>
      <w:rFonts w:asciiTheme="majorHAnsi" w:eastAsiaTheme="majorEastAsia" w:hAnsiTheme="majorHAnsi" w:cstheme="majorBidi"/>
      <w:sz w:val="24"/>
      <w:szCs w:val="24"/>
      <w:shd w:val="pct20" w:color="auto" w:fill="auto"/>
    </w:rPr>
  </w:style>
  <w:style w:type="character" w:styleId="FollowedHyperlink">
    <w:name w:val="FollowedHyperlink"/>
    <w:basedOn w:val="DefaultParagraphFont"/>
    <w:semiHidden/>
    <w:unhideWhenUsed/>
    <w:rsid w:val="00F9012F"/>
    <w:rPr>
      <w:color w:val="954F72" w:themeColor="followedHyperlink"/>
      <w:u w:val="single"/>
    </w:rPr>
  </w:style>
  <w:style w:type="paragraph" w:styleId="IntenseQuote">
    <w:name w:val="Intense Quote"/>
    <w:basedOn w:val="Normal"/>
    <w:next w:val="Normal"/>
    <w:link w:val="IntenseQuoteChar"/>
    <w:uiPriority w:val="30"/>
    <w:qFormat/>
    <w:rsid w:val="00F9012F"/>
    <w:pPr>
      <w:pBdr>
        <w:top w:val="single" w:sz="4" w:space="10" w:color="5B9BD5" w:themeColor="accent1"/>
        <w:bottom w:val="single" w:sz="4" w:space="10" w:color="5B9BD5" w:themeColor="accent1"/>
      </w:pBdr>
      <w:spacing w:before="360" w:after="360"/>
      <w:ind w:left="864" w:right="864"/>
      <w:jc w:val="center"/>
    </w:pPr>
    <w:rPr>
      <w:i/>
      <w:iCs/>
      <w:color w:val="4F81BD"/>
    </w:rPr>
  </w:style>
  <w:style w:type="character" w:customStyle="1" w:styleId="IntenseQuoteChar1">
    <w:name w:val="Intense Quote Char1"/>
    <w:basedOn w:val="DefaultParagraphFont"/>
    <w:uiPriority w:val="30"/>
    <w:rsid w:val="00F9012F"/>
    <w:rPr>
      <w:rFonts w:ascii="Arial" w:hAnsi="Arial"/>
      <w:i/>
      <w:iCs/>
      <w:color w:val="5B9BD5" w:themeColor="accent1"/>
    </w:rPr>
  </w:style>
  <w:style w:type="paragraph" w:styleId="Quote">
    <w:name w:val="Quote"/>
    <w:basedOn w:val="Normal"/>
    <w:next w:val="Normal"/>
    <w:link w:val="QuoteChar"/>
    <w:uiPriority w:val="29"/>
    <w:qFormat/>
    <w:rsid w:val="00F9012F"/>
    <w:pPr>
      <w:spacing w:before="200"/>
      <w:ind w:left="864" w:right="864"/>
      <w:jc w:val="center"/>
    </w:pPr>
    <w:rPr>
      <w:i/>
      <w:iCs/>
      <w:color w:val="404040"/>
    </w:rPr>
  </w:style>
  <w:style w:type="character" w:customStyle="1" w:styleId="QuoteChar1">
    <w:name w:val="Quote Char1"/>
    <w:basedOn w:val="DefaultParagraphFont"/>
    <w:uiPriority w:val="29"/>
    <w:rsid w:val="00F9012F"/>
    <w:rPr>
      <w:rFonts w:ascii="Arial" w:hAnsi="Arial"/>
      <w:i/>
      <w:iCs/>
      <w:color w:val="404040" w:themeColor="text1" w:themeTint="BF"/>
    </w:rPr>
  </w:style>
  <w:style w:type="paragraph" w:styleId="Subtitle">
    <w:name w:val="Subtitle"/>
    <w:basedOn w:val="Normal"/>
    <w:next w:val="Normal"/>
    <w:link w:val="SubtitleChar"/>
    <w:qFormat/>
    <w:rsid w:val="00F9012F"/>
    <w:pPr>
      <w:numPr>
        <w:ilvl w:val="1"/>
      </w:numPr>
    </w:pPr>
    <w:rPr>
      <w:rFonts w:ascii="Calibri" w:eastAsia="SimSun" w:hAnsi="Calibri" w:cs="Arial"/>
      <w:color w:val="5A5A5A"/>
      <w:spacing w:val="15"/>
    </w:rPr>
  </w:style>
  <w:style w:type="character" w:customStyle="1" w:styleId="SubtitleChar1">
    <w:name w:val="Subtitle Char1"/>
    <w:basedOn w:val="DefaultParagraphFont"/>
    <w:uiPriority w:val="11"/>
    <w:rsid w:val="00F9012F"/>
    <w:rPr>
      <w:rFonts w:eastAsiaTheme="minorEastAsia"/>
      <w:color w:val="5A5A5A" w:themeColor="text1" w:themeTint="A5"/>
      <w:spacing w:val="15"/>
    </w:rPr>
  </w:style>
  <w:style w:type="paragraph" w:styleId="TOCHeading">
    <w:name w:val="TOC Heading"/>
    <w:basedOn w:val="Heading1"/>
    <w:next w:val="Normal"/>
    <w:uiPriority w:val="39"/>
    <w:semiHidden/>
    <w:unhideWhenUsed/>
    <w:qFormat/>
    <w:rsid w:val="00A864BA"/>
    <w:pPr>
      <w:keepLines/>
      <w:numPr>
        <w:numId w:val="0"/>
      </w:numPr>
      <w:spacing w:before="480" w:line="276" w:lineRule="auto"/>
      <w:outlineLvl w:val="9"/>
    </w:pPr>
    <w:rPr>
      <w:rFonts w:asciiTheme="majorHAnsi" w:hAnsiTheme="majorHAnsi"/>
      <w:b/>
      <w:bCs/>
      <w:color w:val="2E74B5" w:themeColor="accent1" w:themeShade="BF"/>
      <w:sz w:val="28"/>
      <w:szCs w:val="28"/>
      <w:lang w:val="en-US" w:eastAsia="ja-JP"/>
    </w:rPr>
  </w:style>
  <w:style w:type="paragraph" w:styleId="IndexHeading">
    <w:name w:val="index heading"/>
    <w:basedOn w:val="Normal"/>
    <w:next w:val="Index1"/>
    <w:semiHidden/>
    <w:unhideWhenUsed/>
    <w:rsid w:val="00A864BA"/>
    <w:pPr>
      <w:spacing w:before="200" w:after="0" w:line="360" w:lineRule="auto"/>
    </w:pPr>
    <w:rPr>
      <w:rFonts w:asciiTheme="majorHAnsi" w:eastAsiaTheme="majorEastAsia" w:hAnsiTheme="majorHAnsi" w:cstheme="majorBidi"/>
      <w:b/>
      <w:bCs/>
      <w:lang w:eastAsia="zh-CN"/>
    </w:rPr>
  </w:style>
  <w:style w:type="paragraph" w:styleId="TOAHeading">
    <w:name w:val="toa heading"/>
    <w:basedOn w:val="Normal"/>
    <w:next w:val="Normal"/>
    <w:semiHidden/>
    <w:unhideWhenUsed/>
    <w:rsid w:val="00A864BA"/>
    <w:pPr>
      <w:spacing w:before="120" w:after="0" w:line="360" w:lineRule="auto"/>
    </w:pPr>
    <w:rPr>
      <w:rFonts w:asciiTheme="majorHAnsi" w:eastAsiaTheme="majorEastAsia" w:hAnsiTheme="majorHAnsi" w:cstheme="majorBidi"/>
      <w:b/>
      <w:bCs/>
      <w:sz w:val="24"/>
      <w:szCs w:val="24"/>
      <w:lang w:eastAsia="zh-CN"/>
    </w:rPr>
  </w:style>
  <w:style w:type="character" w:styleId="FootnoteReference">
    <w:name w:val="footnote reference"/>
    <w:basedOn w:val="DefaultParagraphFont"/>
    <w:uiPriority w:val="99"/>
    <w:semiHidden/>
    <w:unhideWhenUsed/>
    <w:rsid w:val="002B09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7722">
      <w:bodyDiv w:val="1"/>
      <w:marLeft w:val="0"/>
      <w:marRight w:val="0"/>
      <w:marTop w:val="0"/>
      <w:marBottom w:val="0"/>
      <w:divBdr>
        <w:top w:val="none" w:sz="0" w:space="0" w:color="auto"/>
        <w:left w:val="none" w:sz="0" w:space="0" w:color="auto"/>
        <w:bottom w:val="none" w:sz="0" w:space="0" w:color="auto"/>
        <w:right w:val="none" w:sz="0" w:space="0" w:color="auto"/>
      </w:divBdr>
    </w:div>
    <w:div w:id="59257636">
      <w:bodyDiv w:val="1"/>
      <w:marLeft w:val="0"/>
      <w:marRight w:val="0"/>
      <w:marTop w:val="0"/>
      <w:marBottom w:val="0"/>
      <w:divBdr>
        <w:top w:val="none" w:sz="0" w:space="0" w:color="auto"/>
        <w:left w:val="none" w:sz="0" w:space="0" w:color="auto"/>
        <w:bottom w:val="none" w:sz="0" w:space="0" w:color="auto"/>
        <w:right w:val="none" w:sz="0" w:space="0" w:color="auto"/>
      </w:divBdr>
    </w:div>
    <w:div w:id="69037399">
      <w:bodyDiv w:val="1"/>
      <w:marLeft w:val="0"/>
      <w:marRight w:val="0"/>
      <w:marTop w:val="0"/>
      <w:marBottom w:val="0"/>
      <w:divBdr>
        <w:top w:val="none" w:sz="0" w:space="0" w:color="auto"/>
        <w:left w:val="none" w:sz="0" w:space="0" w:color="auto"/>
        <w:bottom w:val="none" w:sz="0" w:space="0" w:color="auto"/>
        <w:right w:val="none" w:sz="0" w:space="0" w:color="auto"/>
      </w:divBdr>
    </w:div>
    <w:div w:id="81463133">
      <w:bodyDiv w:val="1"/>
      <w:marLeft w:val="0"/>
      <w:marRight w:val="0"/>
      <w:marTop w:val="0"/>
      <w:marBottom w:val="0"/>
      <w:divBdr>
        <w:top w:val="none" w:sz="0" w:space="0" w:color="auto"/>
        <w:left w:val="none" w:sz="0" w:space="0" w:color="auto"/>
        <w:bottom w:val="none" w:sz="0" w:space="0" w:color="auto"/>
        <w:right w:val="none" w:sz="0" w:space="0" w:color="auto"/>
      </w:divBdr>
    </w:div>
    <w:div w:id="190193223">
      <w:bodyDiv w:val="1"/>
      <w:marLeft w:val="0"/>
      <w:marRight w:val="0"/>
      <w:marTop w:val="0"/>
      <w:marBottom w:val="0"/>
      <w:divBdr>
        <w:top w:val="none" w:sz="0" w:space="0" w:color="auto"/>
        <w:left w:val="none" w:sz="0" w:space="0" w:color="auto"/>
        <w:bottom w:val="none" w:sz="0" w:space="0" w:color="auto"/>
        <w:right w:val="none" w:sz="0" w:space="0" w:color="auto"/>
      </w:divBdr>
    </w:div>
    <w:div w:id="207912495">
      <w:bodyDiv w:val="1"/>
      <w:marLeft w:val="0"/>
      <w:marRight w:val="0"/>
      <w:marTop w:val="0"/>
      <w:marBottom w:val="0"/>
      <w:divBdr>
        <w:top w:val="none" w:sz="0" w:space="0" w:color="auto"/>
        <w:left w:val="none" w:sz="0" w:space="0" w:color="auto"/>
        <w:bottom w:val="none" w:sz="0" w:space="0" w:color="auto"/>
        <w:right w:val="none" w:sz="0" w:space="0" w:color="auto"/>
      </w:divBdr>
    </w:div>
    <w:div w:id="224725111">
      <w:bodyDiv w:val="1"/>
      <w:marLeft w:val="0"/>
      <w:marRight w:val="0"/>
      <w:marTop w:val="0"/>
      <w:marBottom w:val="0"/>
      <w:divBdr>
        <w:top w:val="none" w:sz="0" w:space="0" w:color="auto"/>
        <w:left w:val="none" w:sz="0" w:space="0" w:color="auto"/>
        <w:bottom w:val="none" w:sz="0" w:space="0" w:color="auto"/>
        <w:right w:val="none" w:sz="0" w:space="0" w:color="auto"/>
      </w:divBdr>
    </w:div>
    <w:div w:id="258559746">
      <w:bodyDiv w:val="1"/>
      <w:marLeft w:val="0"/>
      <w:marRight w:val="0"/>
      <w:marTop w:val="0"/>
      <w:marBottom w:val="0"/>
      <w:divBdr>
        <w:top w:val="none" w:sz="0" w:space="0" w:color="auto"/>
        <w:left w:val="none" w:sz="0" w:space="0" w:color="auto"/>
        <w:bottom w:val="none" w:sz="0" w:space="0" w:color="auto"/>
        <w:right w:val="none" w:sz="0" w:space="0" w:color="auto"/>
      </w:divBdr>
    </w:div>
    <w:div w:id="312685357">
      <w:bodyDiv w:val="1"/>
      <w:marLeft w:val="0"/>
      <w:marRight w:val="0"/>
      <w:marTop w:val="0"/>
      <w:marBottom w:val="0"/>
      <w:divBdr>
        <w:top w:val="none" w:sz="0" w:space="0" w:color="auto"/>
        <w:left w:val="none" w:sz="0" w:space="0" w:color="auto"/>
        <w:bottom w:val="none" w:sz="0" w:space="0" w:color="auto"/>
        <w:right w:val="none" w:sz="0" w:space="0" w:color="auto"/>
      </w:divBdr>
    </w:div>
    <w:div w:id="353923860">
      <w:bodyDiv w:val="1"/>
      <w:marLeft w:val="0"/>
      <w:marRight w:val="0"/>
      <w:marTop w:val="0"/>
      <w:marBottom w:val="0"/>
      <w:divBdr>
        <w:top w:val="none" w:sz="0" w:space="0" w:color="auto"/>
        <w:left w:val="none" w:sz="0" w:space="0" w:color="auto"/>
        <w:bottom w:val="none" w:sz="0" w:space="0" w:color="auto"/>
        <w:right w:val="none" w:sz="0" w:space="0" w:color="auto"/>
      </w:divBdr>
    </w:div>
    <w:div w:id="441657490">
      <w:bodyDiv w:val="1"/>
      <w:marLeft w:val="0"/>
      <w:marRight w:val="0"/>
      <w:marTop w:val="0"/>
      <w:marBottom w:val="0"/>
      <w:divBdr>
        <w:top w:val="none" w:sz="0" w:space="0" w:color="auto"/>
        <w:left w:val="none" w:sz="0" w:space="0" w:color="auto"/>
        <w:bottom w:val="none" w:sz="0" w:space="0" w:color="auto"/>
        <w:right w:val="none" w:sz="0" w:space="0" w:color="auto"/>
      </w:divBdr>
    </w:div>
    <w:div w:id="477771804">
      <w:bodyDiv w:val="1"/>
      <w:marLeft w:val="0"/>
      <w:marRight w:val="0"/>
      <w:marTop w:val="0"/>
      <w:marBottom w:val="0"/>
      <w:divBdr>
        <w:top w:val="none" w:sz="0" w:space="0" w:color="auto"/>
        <w:left w:val="none" w:sz="0" w:space="0" w:color="auto"/>
        <w:bottom w:val="none" w:sz="0" w:space="0" w:color="auto"/>
        <w:right w:val="none" w:sz="0" w:space="0" w:color="auto"/>
      </w:divBdr>
    </w:div>
    <w:div w:id="502208078">
      <w:bodyDiv w:val="1"/>
      <w:marLeft w:val="0"/>
      <w:marRight w:val="0"/>
      <w:marTop w:val="0"/>
      <w:marBottom w:val="0"/>
      <w:divBdr>
        <w:top w:val="none" w:sz="0" w:space="0" w:color="auto"/>
        <w:left w:val="none" w:sz="0" w:space="0" w:color="auto"/>
        <w:bottom w:val="none" w:sz="0" w:space="0" w:color="auto"/>
        <w:right w:val="none" w:sz="0" w:space="0" w:color="auto"/>
      </w:divBdr>
    </w:div>
    <w:div w:id="510681496">
      <w:bodyDiv w:val="1"/>
      <w:marLeft w:val="0"/>
      <w:marRight w:val="0"/>
      <w:marTop w:val="0"/>
      <w:marBottom w:val="0"/>
      <w:divBdr>
        <w:top w:val="none" w:sz="0" w:space="0" w:color="auto"/>
        <w:left w:val="none" w:sz="0" w:space="0" w:color="auto"/>
        <w:bottom w:val="none" w:sz="0" w:space="0" w:color="auto"/>
        <w:right w:val="none" w:sz="0" w:space="0" w:color="auto"/>
      </w:divBdr>
    </w:div>
    <w:div w:id="522091683">
      <w:bodyDiv w:val="1"/>
      <w:marLeft w:val="0"/>
      <w:marRight w:val="0"/>
      <w:marTop w:val="0"/>
      <w:marBottom w:val="0"/>
      <w:divBdr>
        <w:top w:val="none" w:sz="0" w:space="0" w:color="auto"/>
        <w:left w:val="none" w:sz="0" w:space="0" w:color="auto"/>
        <w:bottom w:val="none" w:sz="0" w:space="0" w:color="auto"/>
        <w:right w:val="none" w:sz="0" w:space="0" w:color="auto"/>
      </w:divBdr>
    </w:div>
    <w:div w:id="740105134">
      <w:bodyDiv w:val="1"/>
      <w:marLeft w:val="0"/>
      <w:marRight w:val="0"/>
      <w:marTop w:val="0"/>
      <w:marBottom w:val="0"/>
      <w:divBdr>
        <w:top w:val="none" w:sz="0" w:space="0" w:color="auto"/>
        <w:left w:val="none" w:sz="0" w:space="0" w:color="auto"/>
        <w:bottom w:val="none" w:sz="0" w:space="0" w:color="auto"/>
        <w:right w:val="none" w:sz="0" w:space="0" w:color="auto"/>
      </w:divBdr>
    </w:div>
    <w:div w:id="755246348">
      <w:bodyDiv w:val="1"/>
      <w:marLeft w:val="0"/>
      <w:marRight w:val="0"/>
      <w:marTop w:val="0"/>
      <w:marBottom w:val="0"/>
      <w:divBdr>
        <w:top w:val="none" w:sz="0" w:space="0" w:color="auto"/>
        <w:left w:val="none" w:sz="0" w:space="0" w:color="auto"/>
        <w:bottom w:val="none" w:sz="0" w:space="0" w:color="auto"/>
        <w:right w:val="none" w:sz="0" w:space="0" w:color="auto"/>
      </w:divBdr>
    </w:div>
    <w:div w:id="760445306">
      <w:bodyDiv w:val="1"/>
      <w:marLeft w:val="0"/>
      <w:marRight w:val="0"/>
      <w:marTop w:val="0"/>
      <w:marBottom w:val="0"/>
      <w:divBdr>
        <w:top w:val="none" w:sz="0" w:space="0" w:color="auto"/>
        <w:left w:val="none" w:sz="0" w:space="0" w:color="auto"/>
        <w:bottom w:val="none" w:sz="0" w:space="0" w:color="auto"/>
        <w:right w:val="none" w:sz="0" w:space="0" w:color="auto"/>
      </w:divBdr>
    </w:div>
    <w:div w:id="885331194">
      <w:bodyDiv w:val="1"/>
      <w:marLeft w:val="0"/>
      <w:marRight w:val="0"/>
      <w:marTop w:val="0"/>
      <w:marBottom w:val="0"/>
      <w:divBdr>
        <w:top w:val="none" w:sz="0" w:space="0" w:color="auto"/>
        <w:left w:val="none" w:sz="0" w:space="0" w:color="auto"/>
        <w:bottom w:val="none" w:sz="0" w:space="0" w:color="auto"/>
        <w:right w:val="none" w:sz="0" w:space="0" w:color="auto"/>
      </w:divBdr>
    </w:div>
    <w:div w:id="932519920">
      <w:bodyDiv w:val="1"/>
      <w:marLeft w:val="0"/>
      <w:marRight w:val="0"/>
      <w:marTop w:val="0"/>
      <w:marBottom w:val="0"/>
      <w:divBdr>
        <w:top w:val="none" w:sz="0" w:space="0" w:color="auto"/>
        <w:left w:val="none" w:sz="0" w:space="0" w:color="auto"/>
        <w:bottom w:val="none" w:sz="0" w:space="0" w:color="auto"/>
        <w:right w:val="none" w:sz="0" w:space="0" w:color="auto"/>
      </w:divBdr>
    </w:div>
    <w:div w:id="934822344">
      <w:bodyDiv w:val="1"/>
      <w:marLeft w:val="0"/>
      <w:marRight w:val="0"/>
      <w:marTop w:val="0"/>
      <w:marBottom w:val="0"/>
      <w:divBdr>
        <w:top w:val="none" w:sz="0" w:space="0" w:color="auto"/>
        <w:left w:val="none" w:sz="0" w:space="0" w:color="auto"/>
        <w:bottom w:val="none" w:sz="0" w:space="0" w:color="auto"/>
        <w:right w:val="none" w:sz="0" w:space="0" w:color="auto"/>
      </w:divBdr>
    </w:div>
    <w:div w:id="1011565728">
      <w:bodyDiv w:val="1"/>
      <w:marLeft w:val="0"/>
      <w:marRight w:val="0"/>
      <w:marTop w:val="0"/>
      <w:marBottom w:val="0"/>
      <w:divBdr>
        <w:top w:val="none" w:sz="0" w:space="0" w:color="auto"/>
        <w:left w:val="none" w:sz="0" w:space="0" w:color="auto"/>
        <w:bottom w:val="none" w:sz="0" w:space="0" w:color="auto"/>
        <w:right w:val="none" w:sz="0" w:space="0" w:color="auto"/>
      </w:divBdr>
    </w:div>
    <w:div w:id="1028877059">
      <w:bodyDiv w:val="1"/>
      <w:marLeft w:val="0"/>
      <w:marRight w:val="0"/>
      <w:marTop w:val="0"/>
      <w:marBottom w:val="0"/>
      <w:divBdr>
        <w:top w:val="none" w:sz="0" w:space="0" w:color="auto"/>
        <w:left w:val="none" w:sz="0" w:space="0" w:color="auto"/>
        <w:bottom w:val="none" w:sz="0" w:space="0" w:color="auto"/>
        <w:right w:val="none" w:sz="0" w:space="0" w:color="auto"/>
      </w:divBdr>
    </w:div>
    <w:div w:id="1030955688">
      <w:bodyDiv w:val="1"/>
      <w:marLeft w:val="0"/>
      <w:marRight w:val="0"/>
      <w:marTop w:val="0"/>
      <w:marBottom w:val="0"/>
      <w:divBdr>
        <w:top w:val="none" w:sz="0" w:space="0" w:color="auto"/>
        <w:left w:val="none" w:sz="0" w:space="0" w:color="auto"/>
        <w:bottom w:val="none" w:sz="0" w:space="0" w:color="auto"/>
        <w:right w:val="none" w:sz="0" w:space="0" w:color="auto"/>
      </w:divBdr>
    </w:div>
    <w:div w:id="1146971725">
      <w:bodyDiv w:val="1"/>
      <w:marLeft w:val="0"/>
      <w:marRight w:val="0"/>
      <w:marTop w:val="0"/>
      <w:marBottom w:val="0"/>
      <w:divBdr>
        <w:top w:val="none" w:sz="0" w:space="0" w:color="auto"/>
        <w:left w:val="none" w:sz="0" w:space="0" w:color="auto"/>
        <w:bottom w:val="none" w:sz="0" w:space="0" w:color="auto"/>
        <w:right w:val="none" w:sz="0" w:space="0" w:color="auto"/>
      </w:divBdr>
    </w:div>
    <w:div w:id="1202131956">
      <w:bodyDiv w:val="1"/>
      <w:marLeft w:val="0"/>
      <w:marRight w:val="0"/>
      <w:marTop w:val="0"/>
      <w:marBottom w:val="0"/>
      <w:divBdr>
        <w:top w:val="none" w:sz="0" w:space="0" w:color="auto"/>
        <w:left w:val="none" w:sz="0" w:space="0" w:color="auto"/>
        <w:bottom w:val="none" w:sz="0" w:space="0" w:color="auto"/>
        <w:right w:val="none" w:sz="0" w:space="0" w:color="auto"/>
      </w:divBdr>
    </w:div>
    <w:div w:id="1218543406">
      <w:bodyDiv w:val="1"/>
      <w:marLeft w:val="0"/>
      <w:marRight w:val="0"/>
      <w:marTop w:val="0"/>
      <w:marBottom w:val="0"/>
      <w:divBdr>
        <w:top w:val="none" w:sz="0" w:space="0" w:color="auto"/>
        <w:left w:val="none" w:sz="0" w:space="0" w:color="auto"/>
        <w:bottom w:val="none" w:sz="0" w:space="0" w:color="auto"/>
        <w:right w:val="none" w:sz="0" w:space="0" w:color="auto"/>
      </w:divBdr>
    </w:div>
    <w:div w:id="1363745654">
      <w:bodyDiv w:val="1"/>
      <w:marLeft w:val="0"/>
      <w:marRight w:val="0"/>
      <w:marTop w:val="0"/>
      <w:marBottom w:val="0"/>
      <w:divBdr>
        <w:top w:val="none" w:sz="0" w:space="0" w:color="auto"/>
        <w:left w:val="none" w:sz="0" w:space="0" w:color="auto"/>
        <w:bottom w:val="none" w:sz="0" w:space="0" w:color="auto"/>
        <w:right w:val="none" w:sz="0" w:space="0" w:color="auto"/>
      </w:divBdr>
    </w:div>
    <w:div w:id="1377970105">
      <w:bodyDiv w:val="1"/>
      <w:marLeft w:val="0"/>
      <w:marRight w:val="0"/>
      <w:marTop w:val="0"/>
      <w:marBottom w:val="0"/>
      <w:divBdr>
        <w:top w:val="none" w:sz="0" w:space="0" w:color="auto"/>
        <w:left w:val="none" w:sz="0" w:space="0" w:color="auto"/>
        <w:bottom w:val="none" w:sz="0" w:space="0" w:color="auto"/>
        <w:right w:val="none" w:sz="0" w:space="0" w:color="auto"/>
      </w:divBdr>
    </w:div>
    <w:div w:id="1393458320">
      <w:bodyDiv w:val="1"/>
      <w:marLeft w:val="0"/>
      <w:marRight w:val="0"/>
      <w:marTop w:val="0"/>
      <w:marBottom w:val="0"/>
      <w:divBdr>
        <w:top w:val="none" w:sz="0" w:space="0" w:color="auto"/>
        <w:left w:val="none" w:sz="0" w:space="0" w:color="auto"/>
        <w:bottom w:val="none" w:sz="0" w:space="0" w:color="auto"/>
        <w:right w:val="none" w:sz="0" w:space="0" w:color="auto"/>
      </w:divBdr>
    </w:div>
    <w:div w:id="1424646159">
      <w:bodyDiv w:val="1"/>
      <w:marLeft w:val="0"/>
      <w:marRight w:val="0"/>
      <w:marTop w:val="0"/>
      <w:marBottom w:val="0"/>
      <w:divBdr>
        <w:top w:val="none" w:sz="0" w:space="0" w:color="auto"/>
        <w:left w:val="none" w:sz="0" w:space="0" w:color="auto"/>
        <w:bottom w:val="none" w:sz="0" w:space="0" w:color="auto"/>
        <w:right w:val="none" w:sz="0" w:space="0" w:color="auto"/>
      </w:divBdr>
    </w:div>
    <w:div w:id="1426612350">
      <w:bodyDiv w:val="1"/>
      <w:marLeft w:val="0"/>
      <w:marRight w:val="0"/>
      <w:marTop w:val="0"/>
      <w:marBottom w:val="0"/>
      <w:divBdr>
        <w:top w:val="none" w:sz="0" w:space="0" w:color="auto"/>
        <w:left w:val="none" w:sz="0" w:space="0" w:color="auto"/>
        <w:bottom w:val="none" w:sz="0" w:space="0" w:color="auto"/>
        <w:right w:val="none" w:sz="0" w:space="0" w:color="auto"/>
      </w:divBdr>
    </w:div>
    <w:div w:id="1499076467">
      <w:bodyDiv w:val="1"/>
      <w:marLeft w:val="0"/>
      <w:marRight w:val="0"/>
      <w:marTop w:val="0"/>
      <w:marBottom w:val="0"/>
      <w:divBdr>
        <w:top w:val="none" w:sz="0" w:space="0" w:color="auto"/>
        <w:left w:val="none" w:sz="0" w:space="0" w:color="auto"/>
        <w:bottom w:val="none" w:sz="0" w:space="0" w:color="auto"/>
        <w:right w:val="none" w:sz="0" w:space="0" w:color="auto"/>
      </w:divBdr>
    </w:div>
    <w:div w:id="1530755179">
      <w:bodyDiv w:val="1"/>
      <w:marLeft w:val="0"/>
      <w:marRight w:val="0"/>
      <w:marTop w:val="0"/>
      <w:marBottom w:val="0"/>
      <w:divBdr>
        <w:top w:val="none" w:sz="0" w:space="0" w:color="auto"/>
        <w:left w:val="none" w:sz="0" w:space="0" w:color="auto"/>
        <w:bottom w:val="none" w:sz="0" w:space="0" w:color="auto"/>
        <w:right w:val="none" w:sz="0" w:space="0" w:color="auto"/>
      </w:divBdr>
    </w:div>
    <w:div w:id="1615210991">
      <w:bodyDiv w:val="1"/>
      <w:marLeft w:val="0"/>
      <w:marRight w:val="0"/>
      <w:marTop w:val="0"/>
      <w:marBottom w:val="0"/>
      <w:divBdr>
        <w:top w:val="none" w:sz="0" w:space="0" w:color="auto"/>
        <w:left w:val="none" w:sz="0" w:space="0" w:color="auto"/>
        <w:bottom w:val="none" w:sz="0" w:space="0" w:color="auto"/>
        <w:right w:val="none" w:sz="0" w:space="0" w:color="auto"/>
      </w:divBdr>
    </w:div>
    <w:div w:id="1684936511">
      <w:bodyDiv w:val="1"/>
      <w:marLeft w:val="0"/>
      <w:marRight w:val="0"/>
      <w:marTop w:val="0"/>
      <w:marBottom w:val="0"/>
      <w:divBdr>
        <w:top w:val="none" w:sz="0" w:space="0" w:color="auto"/>
        <w:left w:val="none" w:sz="0" w:space="0" w:color="auto"/>
        <w:bottom w:val="none" w:sz="0" w:space="0" w:color="auto"/>
        <w:right w:val="none" w:sz="0" w:space="0" w:color="auto"/>
      </w:divBdr>
    </w:div>
    <w:div w:id="1715930990">
      <w:bodyDiv w:val="1"/>
      <w:marLeft w:val="0"/>
      <w:marRight w:val="0"/>
      <w:marTop w:val="0"/>
      <w:marBottom w:val="0"/>
      <w:divBdr>
        <w:top w:val="none" w:sz="0" w:space="0" w:color="auto"/>
        <w:left w:val="none" w:sz="0" w:space="0" w:color="auto"/>
        <w:bottom w:val="none" w:sz="0" w:space="0" w:color="auto"/>
        <w:right w:val="none" w:sz="0" w:space="0" w:color="auto"/>
      </w:divBdr>
    </w:div>
    <w:div w:id="1864781601">
      <w:bodyDiv w:val="1"/>
      <w:marLeft w:val="0"/>
      <w:marRight w:val="0"/>
      <w:marTop w:val="0"/>
      <w:marBottom w:val="0"/>
      <w:divBdr>
        <w:top w:val="none" w:sz="0" w:space="0" w:color="auto"/>
        <w:left w:val="none" w:sz="0" w:space="0" w:color="auto"/>
        <w:bottom w:val="none" w:sz="0" w:space="0" w:color="auto"/>
        <w:right w:val="none" w:sz="0" w:space="0" w:color="auto"/>
      </w:divBdr>
    </w:div>
    <w:div w:id="1920599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0502D-36C6-4BC4-AAF3-FA3D38F9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50051</Words>
  <Characters>285291</Characters>
  <Application>Microsoft Office Word</Application>
  <DocSecurity>4</DocSecurity>
  <Lines>2377</Lines>
  <Paragraphs>669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334673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Cidonio G.</dc:creator>
  <cp:keywords/>
  <dc:description/>
  <cp:lastModifiedBy>Oreffo R.O.C.</cp:lastModifiedBy>
  <cp:revision>2</cp:revision>
  <cp:lastPrinted>2019-01-25T14:02:00Z</cp:lastPrinted>
  <dcterms:created xsi:type="dcterms:W3CDTF">2019-09-05T07:12:00Z</dcterms:created>
  <dcterms:modified xsi:type="dcterms:W3CDTF">2019-09-05T07:12:00Z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http://www.zotero.org/styles/biofabrication</vt:lpwstr>
  </property>
  <property fmtid="{D5CDD505-2E9C-101B-9397-08002B2CF9AE}" pid="7" name="Mendeley Recent Style Name 2_1">
    <vt:lpwstr>Biofabrication</vt:lpwstr>
  </property>
  <property fmtid="{D5CDD505-2E9C-101B-9397-08002B2CF9AE}" pid="8" name="Mendeley Recent Style Id 3_1">
    <vt:lpwstr>http://www.zotero.org/styles/cambridge-university-press-note</vt:lpwstr>
  </property>
  <property fmtid="{D5CDD505-2E9C-101B-9397-08002B2CF9AE}" pid="9" name="Mendeley Recent Style Name 3_1">
    <vt:lpwstr>Cambridge University Press (note)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http://www.zotero.org/styles/materials-today-bio</vt:lpwstr>
  </property>
  <property fmtid="{D5CDD505-2E9C-101B-9397-08002B2CF9AE}" pid="19" name="Mendeley Recent Style Name 8_1">
    <vt:lpwstr>Materials Today Bio</vt:lpwstr>
  </property>
  <property fmtid="{D5CDD505-2E9C-101B-9397-08002B2CF9AE}" pid="20" name="Mendeley Recent Style Id 9_1">
    <vt:lpwstr>http://www.zotero.org/styles/oxford-university-press-note</vt:lpwstr>
  </property>
  <property fmtid="{D5CDD505-2E9C-101B-9397-08002B2CF9AE}" pid="21" name="Mendeley Recent Style Name 9_1">
    <vt:lpwstr>Oxford University Press (note)</vt:lpwstr>
  </property>
  <property fmtid="{D5CDD505-2E9C-101B-9397-08002B2CF9AE}" pid="22" name="Mendeley Document_1">
    <vt:lpwstr>True</vt:lpwstr>
  </property>
  <property fmtid="{D5CDD505-2E9C-101B-9397-08002B2CF9AE}" pid="23" name="Mendeley Unique User Id_1">
    <vt:lpwstr>41ac2866-1a30-3874-9190-982c3cd4c2a7</vt:lpwstr>
  </property>
  <property fmtid="{D5CDD505-2E9C-101B-9397-08002B2CF9AE}" pid="24" name="Mendeley Citation Style_1">
    <vt:lpwstr>http://www.zotero.org/styles/materials-today-bio</vt:lpwstr>
  </property>
</Properties>
</file>